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FB80" w14:textId="7D59C0DE" w:rsidR="00AF70CF" w:rsidRDefault="00036A23" w:rsidP="005A6C1F">
      <w:pPr>
        <w:spacing w:before="2280"/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3D53FC94" wp14:editId="0A886089">
            <wp:simplePos x="0" y="0"/>
            <wp:positionH relativeFrom="column">
              <wp:posOffset>-357988</wp:posOffset>
            </wp:positionH>
            <wp:positionV relativeFrom="paragraph">
              <wp:posOffset>-473608</wp:posOffset>
            </wp:positionV>
            <wp:extent cx="7559675" cy="10691495"/>
            <wp:effectExtent l="0" t="0" r="3175" b="0"/>
            <wp:wrapNone/>
            <wp:docPr id="9" name="Picture 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Work in Progress\_Education\ED16-0251 VET Student Loan Material\ED16-0251_Report Template\links\ED16-0251 VET Student Loan Material_Report Template_Cover_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0CF">
        <w:rPr>
          <w:noProof/>
          <w:lang w:eastAsia="en-AU"/>
        </w:rPr>
        <w:drawing>
          <wp:inline distT="0" distB="0" distL="0" distR="0" wp14:anchorId="40ED86DD" wp14:editId="735BAFA3">
            <wp:extent cx="2291715" cy="555625"/>
            <wp:effectExtent l="0" t="0" r="0" b="0"/>
            <wp:docPr id="3" name="Picture 3" descr="Australian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Work in Progress\_Education\ED16-0251 VET Student Loan Material\ED16-0251_Report Template\links\ED16-0251 VET Student Loan Material_Report Template_Crest_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DA29D" w14:textId="77777777" w:rsidR="00AF70CF" w:rsidRDefault="00AF70CF" w:rsidP="005A6C1F">
      <w:pPr>
        <w:spacing w:before="1560" w:after="1200"/>
      </w:pPr>
      <w:r>
        <w:rPr>
          <w:noProof/>
          <w:lang w:eastAsia="en-AU"/>
        </w:rPr>
        <w:drawing>
          <wp:inline distT="0" distB="0" distL="0" distR="0" wp14:anchorId="02D58CFA" wp14:editId="558E12BC">
            <wp:extent cx="3252470" cy="786765"/>
            <wp:effectExtent l="0" t="0" r="5080" b="0"/>
            <wp:docPr id="6" name="Picture 6" descr="VET Student Lo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Work in Progress\_Education\ED16-0251 VET Student Loan Material\ED16-0251_Report Template\links\ED16-0251 VET Student Loan Material_Report Template_VET Student Loans logo_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D58FD" w14:textId="77777777" w:rsidR="00F40B83" w:rsidRDefault="00887692" w:rsidP="000D5D41">
      <w:pPr>
        <w:pStyle w:val="Title"/>
        <w:rPr>
          <w:b w:val="0"/>
          <w:color w:val="auto"/>
          <w:sz w:val="96"/>
          <w:szCs w:val="96"/>
        </w:rPr>
      </w:pPr>
      <w:r w:rsidRPr="007A1BB1">
        <w:rPr>
          <w:b w:val="0"/>
          <w:color w:val="auto"/>
          <w:sz w:val="96"/>
          <w:szCs w:val="96"/>
        </w:rPr>
        <w:t>Annual</w:t>
      </w:r>
      <w:r w:rsidR="000D5D41" w:rsidRPr="007A1BB1">
        <w:rPr>
          <w:b w:val="0"/>
          <w:color w:val="auto"/>
          <w:sz w:val="96"/>
          <w:szCs w:val="96"/>
        </w:rPr>
        <w:t xml:space="preserve"> Statistical </w:t>
      </w:r>
    </w:p>
    <w:p w14:paraId="6E174A28" w14:textId="721F9A09" w:rsidR="00053990" w:rsidRDefault="000D5D41" w:rsidP="000D5D41">
      <w:pPr>
        <w:pStyle w:val="Title"/>
        <w:rPr>
          <w:b w:val="0"/>
          <w:color w:val="auto"/>
          <w:sz w:val="96"/>
          <w:szCs w:val="96"/>
        </w:rPr>
      </w:pPr>
      <w:r w:rsidRPr="007A1BB1">
        <w:rPr>
          <w:b w:val="0"/>
          <w:color w:val="auto"/>
          <w:sz w:val="96"/>
          <w:szCs w:val="96"/>
        </w:rPr>
        <w:t>R</w:t>
      </w:r>
      <w:r w:rsidR="00AF70CF" w:rsidRPr="007A1BB1">
        <w:rPr>
          <w:b w:val="0"/>
          <w:color w:val="auto"/>
          <w:sz w:val="96"/>
          <w:szCs w:val="96"/>
        </w:rPr>
        <w:t>eport</w:t>
      </w:r>
      <w:r w:rsidR="00D666C3">
        <w:rPr>
          <w:b w:val="0"/>
          <w:color w:val="auto"/>
          <w:sz w:val="96"/>
          <w:szCs w:val="96"/>
        </w:rPr>
        <w:t xml:space="preserve"> -</w:t>
      </w:r>
      <w:r w:rsidR="001F0D1B">
        <w:rPr>
          <w:b w:val="0"/>
          <w:color w:val="auto"/>
          <w:sz w:val="96"/>
          <w:szCs w:val="96"/>
        </w:rPr>
        <w:t>202</w:t>
      </w:r>
      <w:r w:rsidR="0009136A">
        <w:rPr>
          <w:b w:val="0"/>
          <w:color w:val="auto"/>
          <w:sz w:val="96"/>
          <w:szCs w:val="96"/>
        </w:rPr>
        <w:t>2</w:t>
      </w:r>
    </w:p>
    <w:p w14:paraId="74B8B27E" w14:textId="079D78EF" w:rsidR="00AF70CF" w:rsidRPr="00A37797" w:rsidRDefault="00D86FE5" w:rsidP="000D5D41">
      <w:pPr>
        <w:pStyle w:val="Title"/>
        <w:rPr>
          <w:b w:val="0"/>
          <w:color w:val="auto"/>
          <w:sz w:val="36"/>
          <w:szCs w:val="36"/>
        </w:rPr>
      </w:pPr>
      <w:r w:rsidRPr="2FAC1AEF">
        <w:rPr>
          <w:sz w:val="36"/>
          <w:szCs w:val="36"/>
        </w:rPr>
        <w:br w:type="page"/>
      </w:r>
    </w:p>
    <w:p w14:paraId="6E2AC72F" w14:textId="77777777" w:rsidR="00446050" w:rsidRDefault="00446050" w:rsidP="009F6571"/>
    <w:p w14:paraId="752FCB88" w14:textId="77777777" w:rsidR="00446050" w:rsidRDefault="00446050" w:rsidP="009F6571"/>
    <w:p w14:paraId="34C3836C" w14:textId="77777777" w:rsidR="00446050" w:rsidRDefault="00446050" w:rsidP="009F6571"/>
    <w:p w14:paraId="7C6B63BA" w14:textId="19FBC2FE" w:rsidR="00446050" w:rsidRDefault="00446050" w:rsidP="009F6571"/>
    <w:p w14:paraId="6A745965" w14:textId="04967AF6" w:rsidR="00446050" w:rsidRDefault="00446050" w:rsidP="00BC0ED9"/>
    <w:p w14:paraId="1BF7D79B" w14:textId="348E6B68" w:rsidR="00446050" w:rsidRDefault="00446050" w:rsidP="00BC0ED9"/>
    <w:p w14:paraId="56BB37B1" w14:textId="77777777" w:rsidR="00446050" w:rsidRPr="00446050" w:rsidRDefault="00446050" w:rsidP="00BC0ED9"/>
    <w:p w14:paraId="20F27F49" w14:textId="069EB6A4" w:rsidR="00446050" w:rsidRDefault="00446050" w:rsidP="009F6571"/>
    <w:p w14:paraId="24B85ABB" w14:textId="7663C3DC" w:rsidR="00446050" w:rsidRDefault="00446050" w:rsidP="009F6571"/>
    <w:p w14:paraId="6C5DC96D" w14:textId="68D4C193" w:rsidR="00446050" w:rsidRDefault="00446050" w:rsidP="00BC0ED9"/>
    <w:p w14:paraId="451311DF" w14:textId="308F8EAB" w:rsidR="00446050" w:rsidRDefault="00446050" w:rsidP="00BC0ED9"/>
    <w:p w14:paraId="0E610DCA" w14:textId="77777777" w:rsidR="00446050" w:rsidRPr="00446050" w:rsidRDefault="00446050" w:rsidP="00BC0ED9"/>
    <w:p w14:paraId="56C136C5" w14:textId="7874FC42" w:rsidR="00653EA2" w:rsidRDefault="00653EA2" w:rsidP="00BC0ED9">
      <w:pPr>
        <w:rPr>
          <w:rFonts w:ascii="Calibri" w:hAnsi="Calibri" w:cs="Calibri"/>
        </w:rPr>
      </w:pPr>
    </w:p>
    <w:p w14:paraId="3AFE5F9F" w14:textId="7D6AB1AA" w:rsidR="007A0C8B" w:rsidRDefault="007A0C8B" w:rsidP="00BC0ED9">
      <w:pPr>
        <w:rPr>
          <w:rFonts w:ascii="Calibri" w:hAnsi="Calibri" w:cs="Calibri"/>
        </w:rPr>
      </w:pPr>
    </w:p>
    <w:p w14:paraId="012EBA4D" w14:textId="25914209" w:rsidR="007A0C8B" w:rsidRDefault="007A0C8B" w:rsidP="00BC0ED9">
      <w:pPr>
        <w:rPr>
          <w:rFonts w:ascii="Calibri" w:hAnsi="Calibri" w:cs="Calibri"/>
        </w:rPr>
      </w:pPr>
    </w:p>
    <w:p w14:paraId="509F1C2D" w14:textId="5E86703C" w:rsidR="007A0C8B" w:rsidRDefault="007A0C8B" w:rsidP="00BC0ED9">
      <w:pPr>
        <w:rPr>
          <w:rFonts w:ascii="Calibri" w:hAnsi="Calibri" w:cs="Calibri"/>
        </w:rPr>
      </w:pPr>
    </w:p>
    <w:p w14:paraId="668CA5FB" w14:textId="0DA716B7" w:rsidR="007A0C8B" w:rsidRDefault="007A0C8B" w:rsidP="00BC0ED9">
      <w:pPr>
        <w:rPr>
          <w:rFonts w:ascii="Calibri" w:hAnsi="Calibri" w:cs="Calibri"/>
        </w:rPr>
      </w:pPr>
    </w:p>
    <w:p w14:paraId="5E1F3555" w14:textId="05851280" w:rsidR="007A0C8B" w:rsidRDefault="007A0C8B" w:rsidP="00BC0ED9">
      <w:pPr>
        <w:rPr>
          <w:rFonts w:ascii="Calibri" w:hAnsi="Calibri" w:cs="Calibri"/>
        </w:rPr>
      </w:pPr>
    </w:p>
    <w:p w14:paraId="5D235C3D" w14:textId="0F76C1EA" w:rsidR="007A0C8B" w:rsidRDefault="007A0C8B" w:rsidP="00BC0ED9">
      <w:pPr>
        <w:rPr>
          <w:rFonts w:ascii="Calibri" w:hAnsi="Calibri" w:cs="Calibri"/>
        </w:rPr>
      </w:pPr>
    </w:p>
    <w:p w14:paraId="59F9DF16" w14:textId="68DD7F02" w:rsidR="007A0C8B" w:rsidRDefault="007A0C8B" w:rsidP="00BC0ED9">
      <w:pPr>
        <w:rPr>
          <w:rFonts w:ascii="Calibri" w:hAnsi="Calibri" w:cs="Calibri"/>
        </w:rPr>
      </w:pPr>
    </w:p>
    <w:p w14:paraId="727C4DA9" w14:textId="77777777" w:rsidR="00030786" w:rsidRDefault="00030786" w:rsidP="00446050">
      <w:pPr>
        <w:rPr>
          <w:rFonts w:ascii="Calibri" w:hAnsi="Calibri" w:cs="Calibri"/>
        </w:rPr>
      </w:pPr>
    </w:p>
    <w:p w14:paraId="5D022C68" w14:textId="77777777" w:rsidR="00653EA2" w:rsidRDefault="00653EA2" w:rsidP="00446050">
      <w:pPr>
        <w:rPr>
          <w:rFonts w:ascii="Calibri" w:hAnsi="Calibri" w:cs="Calibri"/>
        </w:rPr>
      </w:pPr>
    </w:p>
    <w:p w14:paraId="27BAAB15" w14:textId="43BB9A40" w:rsidR="00446050" w:rsidRDefault="2858433F" w:rsidP="00446050">
      <w:pPr>
        <w:rPr>
          <w:rFonts w:ascii="Calibri" w:hAnsi="Calibri" w:cs="Calibri"/>
        </w:rPr>
      </w:pPr>
      <w:r w:rsidRPr="4D672202">
        <w:rPr>
          <w:rFonts w:ascii="Calibri" w:hAnsi="Calibri" w:cs="Calibri"/>
        </w:rPr>
        <w:t>Except for</w:t>
      </w:r>
      <w:r w:rsidR="00446050" w:rsidRPr="4D672202">
        <w:rPr>
          <w:rFonts w:ascii="Calibri" w:hAnsi="Calibri" w:cs="Calibri"/>
        </w:rPr>
        <w:t xml:space="preserve"> the Commonwealth Coat of Arms, the Department’s logo, any material protected by a </w:t>
      </w:r>
      <w:r w:rsidR="0297184F" w:rsidRPr="4D672202">
        <w:rPr>
          <w:rFonts w:ascii="Calibri" w:hAnsi="Calibri" w:cs="Calibri"/>
        </w:rPr>
        <w:t>trademark</w:t>
      </w:r>
      <w:r w:rsidR="00446050" w:rsidRPr="4D672202">
        <w:rPr>
          <w:rFonts w:ascii="Calibri" w:hAnsi="Calibri" w:cs="Calibri"/>
        </w:rPr>
        <w:t xml:space="preserve"> and where otherwise noted all material presented in this document is provided under a </w:t>
      </w:r>
      <w:hyperlink r:id="rId14">
        <w:r w:rsidR="00446050" w:rsidRPr="4D672202">
          <w:rPr>
            <w:rStyle w:val="Hyperlink"/>
            <w:rFonts w:cs="Calibri"/>
          </w:rPr>
          <w:t>Creative Commons Attribution 4.0 International</w:t>
        </w:r>
      </w:hyperlink>
      <w:r w:rsidR="00446050" w:rsidRPr="4D672202">
        <w:rPr>
          <w:rFonts w:ascii="Calibri" w:hAnsi="Calibri" w:cs="Calibri"/>
        </w:rPr>
        <w:t xml:space="preserve"> (http://creativecommons.org/licenses/by/3.0/au/) licence. </w:t>
      </w:r>
    </w:p>
    <w:p w14:paraId="3F41FE79" w14:textId="77777777" w:rsidR="00446050" w:rsidRDefault="00446050" w:rsidP="0044605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details of the relevant licence conditions are available on the Creative Commons website (accessible using the links provided) as is the full legal code for the </w:t>
      </w:r>
      <w:hyperlink r:id="rId15" w:history="1">
        <w:r>
          <w:rPr>
            <w:rStyle w:val="Hyperlink"/>
            <w:rFonts w:cs="Calibri"/>
          </w:rPr>
          <w:t>CC BY 4.0 International</w:t>
        </w:r>
      </w:hyperlink>
      <w:r>
        <w:rPr>
          <w:rFonts w:ascii="Calibri" w:hAnsi="Calibri" w:cs="Calibri"/>
        </w:rPr>
        <w:t xml:space="preserve"> (http://creativecommons.org/licenses/by/4.0/legalcode). </w:t>
      </w:r>
    </w:p>
    <w:p w14:paraId="61CC4A7C" w14:textId="4E2A08D5" w:rsidR="00446050" w:rsidRDefault="00643E6B" w:rsidP="00446050">
      <w:pPr>
        <w:rPr>
          <w:rFonts w:ascii="Calibri" w:hAnsi="Calibri" w:cs="Calibri"/>
        </w:rPr>
      </w:pPr>
      <w:r w:rsidRPr="00643E6B">
        <w:rPr>
          <w:rFonts w:ascii="Calibri" w:hAnsi="Calibri" w:cs="Calibri"/>
        </w:rPr>
        <w:t xml:space="preserve">Data referenced in this report </w:t>
      </w:r>
      <w:r w:rsidR="00945D66" w:rsidRPr="00643E6B">
        <w:rPr>
          <w:rFonts w:ascii="Calibri" w:hAnsi="Calibri" w:cs="Calibri"/>
        </w:rPr>
        <w:t>are from the Department of Employment and Workplace Relations.</w:t>
      </w:r>
    </w:p>
    <w:p w14:paraId="5BA34C4C" w14:textId="580DED74" w:rsidR="00945D66" w:rsidRDefault="00945D66" w:rsidP="00945D66">
      <w:r>
        <w:t xml:space="preserve">This report is for the 2022 calendar year data and reported as </w:t>
      </w:r>
      <w:r w:rsidR="00E65BEC">
        <w:t xml:space="preserve">of </w:t>
      </w:r>
      <w:r>
        <w:t xml:space="preserve">the extraction date of 4 April 2023. </w:t>
      </w:r>
    </w:p>
    <w:p w14:paraId="1EDB3C41" w14:textId="77777777" w:rsidR="00945D66" w:rsidRDefault="00945D66" w:rsidP="00446050">
      <w:pPr>
        <w:rPr>
          <w:rFonts w:ascii="Calibri" w:hAnsi="Calibri" w:cs="Calibri"/>
        </w:rPr>
      </w:pPr>
    </w:p>
    <w:p w14:paraId="58DFD4F1" w14:textId="77777777" w:rsidR="00BC0ED9" w:rsidRDefault="00BC0ED9" w:rsidP="00446050">
      <w:pPr>
        <w:rPr>
          <w:rFonts w:ascii="Calibri" w:hAnsi="Calibri" w:cs="Calibri"/>
        </w:rPr>
      </w:pPr>
    </w:p>
    <w:p w14:paraId="3F2FE52E" w14:textId="77777777" w:rsidR="00B3392D" w:rsidRDefault="00B3392D" w:rsidP="00446050">
      <w:pPr>
        <w:rPr>
          <w:rFonts w:ascii="Calibri" w:hAnsi="Calibri" w:cs="Calibri"/>
        </w:rPr>
      </w:pPr>
    </w:p>
    <w:p w14:paraId="13C36EE4" w14:textId="77777777" w:rsidR="00B3392D" w:rsidRDefault="00B3392D" w:rsidP="00446050">
      <w:pPr>
        <w:rPr>
          <w:rFonts w:ascii="Calibri" w:hAnsi="Calibri" w:cs="Calibri"/>
        </w:rPr>
      </w:pPr>
    </w:p>
    <w:p w14:paraId="7BEB1F82" w14:textId="77777777" w:rsidR="00B3392D" w:rsidRDefault="00B3392D" w:rsidP="00446050">
      <w:pPr>
        <w:rPr>
          <w:rFonts w:ascii="Calibri" w:hAnsi="Calibri" w:cs="Calibri"/>
        </w:rPr>
      </w:pPr>
    </w:p>
    <w:p w14:paraId="3C669288" w14:textId="77777777" w:rsidR="00BC0ED9" w:rsidRDefault="00BC0ED9" w:rsidP="00446050">
      <w:pPr>
        <w:rPr>
          <w:rFonts w:ascii="Calibri" w:hAnsi="Calibri" w:cs="Calibri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  <w:lang w:val="en-AU"/>
        </w:rPr>
        <w:id w:val="1037321132"/>
        <w:docPartObj>
          <w:docPartGallery w:val="Table of Contents"/>
          <w:docPartUnique/>
        </w:docPartObj>
      </w:sdtPr>
      <w:sdtEndPr>
        <w:rPr>
          <w:b/>
          <w:bCs/>
          <w:noProof/>
          <w:highlight w:val="none"/>
        </w:rPr>
      </w:sdtEndPr>
      <w:sdtContent>
        <w:p w14:paraId="348B20EC" w14:textId="77777777" w:rsidR="00AF7484" w:rsidRPr="004D6323" w:rsidRDefault="00AF7484" w:rsidP="00536138">
          <w:pPr>
            <w:pStyle w:val="TOCHeading"/>
            <w:spacing w:before="600"/>
          </w:pPr>
        </w:p>
        <w:p w14:paraId="6B495E7D" w14:textId="6F531191" w:rsidR="00645069" w:rsidRPr="00253FF8" w:rsidRDefault="007A3114" w:rsidP="008014D2">
          <w:r w:rsidRPr="004D6323">
            <w:rPr>
              <w:sz w:val="36"/>
              <w:szCs w:val="36"/>
            </w:rPr>
            <w:t>Contents</w:t>
          </w:r>
        </w:p>
        <w:p w14:paraId="4B541B48" w14:textId="77777777" w:rsidR="009A2993" w:rsidRPr="004D6323" w:rsidRDefault="009A2993" w:rsidP="008014D2">
          <w:pPr>
            <w:pStyle w:val="TOCHeading"/>
            <w:spacing w:before="600"/>
          </w:pPr>
        </w:p>
        <w:p w14:paraId="7FFCFE2F" w14:textId="068C9BBC" w:rsidR="00BF71BD" w:rsidRDefault="007A3114">
          <w:pPr>
            <w:pStyle w:val="TOC1"/>
            <w:rPr>
              <w:rFonts w:eastAsiaTheme="minorEastAsia"/>
              <w:bCs w:val="0"/>
              <w:kern w:val="2"/>
              <w:sz w:val="22"/>
              <w:szCs w:val="22"/>
              <w:lang w:eastAsia="en-AU"/>
              <w14:ligatures w14:val="standardContextual"/>
            </w:rPr>
          </w:pPr>
          <w:r w:rsidRPr="004D6323">
            <w:fldChar w:fldCharType="begin"/>
          </w:r>
          <w:r w:rsidRPr="004D6323">
            <w:instrText xml:space="preserve"> TOC \o "1-3" \h \z \u </w:instrText>
          </w:r>
          <w:r w:rsidRPr="004D6323">
            <w:fldChar w:fldCharType="separate"/>
          </w:r>
          <w:hyperlink w:anchor="_Toc147861830" w:history="1">
            <w:r w:rsidR="00BF71BD" w:rsidRPr="004C6018">
              <w:rPr>
                <w:rStyle w:val="Hyperlink"/>
                <w:rFonts w:asciiTheme="majorHAnsi" w:hAnsiTheme="majorHAnsi"/>
              </w:rPr>
              <w:t>Introduction</w:t>
            </w:r>
            <w:r w:rsidR="00BF71BD">
              <w:rPr>
                <w:webHidden/>
              </w:rPr>
              <w:tab/>
            </w:r>
            <w:r w:rsidR="00BF71BD">
              <w:rPr>
                <w:webHidden/>
              </w:rPr>
              <w:fldChar w:fldCharType="begin"/>
            </w:r>
            <w:r w:rsidR="00BF71BD">
              <w:rPr>
                <w:webHidden/>
              </w:rPr>
              <w:instrText xml:space="preserve"> PAGEREF _Toc147861830 \h </w:instrText>
            </w:r>
            <w:r w:rsidR="00BF71BD">
              <w:rPr>
                <w:webHidden/>
              </w:rPr>
            </w:r>
            <w:r w:rsidR="00BF71BD">
              <w:rPr>
                <w:webHidden/>
              </w:rPr>
              <w:fldChar w:fldCharType="separate"/>
            </w:r>
            <w:r w:rsidR="00BF71BD">
              <w:rPr>
                <w:webHidden/>
              </w:rPr>
              <w:t>4</w:t>
            </w:r>
            <w:r w:rsidR="00BF71BD">
              <w:rPr>
                <w:webHidden/>
              </w:rPr>
              <w:fldChar w:fldCharType="end"/>
            </w:r>
          </w:hyperlink>
        </w:p>
        <w:p w14:paraId="27B03C39" w14:textId="6B6D21B2" w:rsidR="00BF71BD" w:rsidRDefault="001B3FDE">
          <w:pPr>
            <w:pStyle w:val="TOC1"/>
            <w:rPr>
              <w:rFonts w:eastAsiaTheme="minorEastAsia"/>
              <w:bCs w:val="0"/>
              <w:kern w:val="2"/>
              <w:sz w:val="22"/>
              <w:szCs w:val="22"/>
              <w:lang w:eastAsia="en-AU"/>
              <w14:ligatures w14:val="standardContextual"/>
            </w:rPr>
          </w:pPr>
          <w:hyperlink w:anchor="_Toc147861831" w:history="1">
            <w:r w:rsidR="00BF71BD" w:rsidRPr="004C6018">
              <w:rPr>
                <w:rStyle w:val="Hyperlink"/>
                <w:rFonts w:asciiTheme="majorHAnsi" w:hAnsiTheme="majorHAnsi"/>
              </w:rPr>
              <w:t>Background</w:t>
            </w:r>
            <w:r w:rsidR="00BF71BD">
              <w:rPr>
                <w:webHidden/>
              </w:rPr>
              <w:tab/>
            </w:r>
            <w:r w:rsidR="00BF71BD">
              <w:rPr>
                <w:webHidden/>
              </w:rPr>
              <w:fldChar w:fldCharType="begin"/>
            </w:r>
            <w:r w:rsidR="00BF71BD">
              <w:rPr>
                <w:webHidden/>
              </w:rPr>
              <w:instrText xml:space="preserve"> PAGEREF _Toc147861831 \h </w:instrText>
            </w:r>
            <w:r w:rsidR="00BF71BD">
              <w:rPr>
                <w:webHidden/>
              </w:rPr>
            </w:r>
            <w:r w:rsidR="00BF71BD">
              <w:rPr>
                <w:webHidden/>
              </w:rPr>
              <w:fldChar w:fldCharType="separate"/>
            </w:r>
            <w:r w:rsidR="00BF71BD">
              <w:rPr>
                <w:webHidden/>
              </w:rPr>
              <w:t>4</w:t>
            </w:r>
            <w:r w:rsidR="00BF71BD">
              <w:rPr>
                <w:webHidden/>
              </w:rPr>
              <w:fldChar w:fldCharType="end"/>
            </w:r>
          </w:hyperlink>
        </w:p>
        <w:p w14:paraId="2F0326F5" w14:textId="25592FCA" w:rsidR="00BF71BD" w:rsidRDefault="001B3FDE">
          <w:pPr>
            <w:pStyle w:val="TOC1"/>
            <w:rPr>
              <w:rFonts w:eastAsiaTheme="minorEastAsia"/>
              <w:bCs w:val="0"/>
              <w:kern w:val="2"/>
              <w:sz w:val="22"/>
              <w:szCs w:val="22"/>
              <w:lang w:eastAsia="en-AU"/>
              <w14:ligatures w14:val="standardContextual"/>
            </w:rPr>
          </w:pPr>
          <w:hyperlink w:anchor="_Toc147861832" w:history="1">
            <w:r w:rsidR="00BF71BD" w:rsidRPr="004C6018">
              <w:rPr>
                <w:rStyle w:val="Hyperlink"/>
                <w:rFonts w:asciiTheme="majorHAnsi" w:hAnsiTheme="majorHAnsi"/>
              </w:rPr>
              <w:t>Executive Summary</w:t>
            </w:r>
            <w:r w:rsidR="00BF71BD">
              <w:rPr>
                <w:webHidden/>
              </w:rPr>
              <w:tab/>
            </w:r>
            <w:r w:rsidR="00BF71BD">
              <w:rPr>
                <w:webHidden/>
              </w:rPr>
              <w:fldChar w:fldCharType="begin"/>
            </w:r>
            <w:r w:rsidR="00BF71BD">
              <w:rPr>
                <w:webHidden/>
              </w:rPr>
              <w:instrText xml:space="preserve"> PAGEREF _Toc147861832 \h </w:instrText>
            </w:r>
            <w:r w:rsidR="00BF71BD">
              <w:rPr>
                <w:webHidden/>
              </w:rPr>
            </w:r>
            <w:r w:rsidR="00BF71BD">
              <w:rPr>
                <w:webHidden/>
              </w:rPr>
              <w:fldChar w:fldCharType="separate"/>
            </w:r>
            <w:r w:rsidR="00BF71BD">
              <w:rPr>
                <w:webHidden/>
              </w:rPr>
              <w:t>5</w:t>
            </w:r>
            <w:r w:rsidR="00BF71BD">
              <w:rPr>
                <w:webHidden/>
              </w:rPr>
              <w:fldChar w:fldCharType="end"/>
            </w:r>
          </w:hyperlink>
        </w:p>
        <w:p w14:paraId="26FA4D16" w14:textId="68600058" w:rsidR="00BF71BD" w:rsidRDefault="001B3FDE">
          <w:pPr>
            <w:pStyle w:val="TOC1"/>
            <w:rPr>
              <w:rFonts w:eastAsiaTheme="minorEastAsia"/>
              <w:bCs w:val="0"/>
              <w:kern w:val="2"/>
              <w:sz w:val="22"/>
              <w:szCs w:val="22"/>
              <w:lang w:eastAsia="en-AU"/>
              <w14:ligatures w14:val="standardContextual"/>
            </w:rPr>
          </w:pPr>
          <w:hyperlink w:anchor="_Toc147861833" w:history="1">
            <w:r w:rsidR="00BF71BD" w:rsidRPr="004C6018">
              <w:rPr>
                <w:rStyle w:val="Hyperlink"/>
                <w:rFonts w:asciiTheme="majorHAnsi" w:hAnsiTheme="majorHAnsi"/>
              </w:rPr>
              <w:t>Key Findings</w:t>
            </w:r>
            <w:r w:rsidR="00BF71BD">
              <w:rPr>
                <w:webHidden/>
              </w:rPr>
              <w:tab/>
            </w:r>
            <w:r w:rsidR="00BF71BD">
              <w:rPr>
                <w:webHidden/>
              </w:rPr>
              <w:fldChar w:fldCharType="begin"/>
            </w:r>
            <w:r w:rsidR="00BF71BD">
              <w:rPr>
                <w:webHidden/>
              </w:rPr>
              <w:instrText xml:space="preserve"> PAGEREF _Toc147861833 \h </w:instrText>
            </w:r>
            <w:r w:rsidR="00BF71BD">
              <w:rPr>
                <w:webHidden/>
              </w:rPr>
            </w:r>
            <w:r w:rsidR="00BF71BD">
              <w:rPr>
                <w:webHidden/>
              </w:rPr>
              <w:fldChar w:fldCharType="separate"/>
            </w:r>
            <w:r w:rsidR="00BF71BD">
              <w:rPr>
                <w:webHidden/>
              </w:rPr>
              <w:t>6</w:t>
            </w:r>
            <w:r w:rsidR="00BF71BD">
              <w:rPr>
                <w:webHidden/>
              </w:rPr>
              <w:fldChar w:fldCharType="end"/>
            </w:r>
          </w:hyperlink>
        </w:p>
        <w:p w14:paraId="6B6C14CA" w14:textId="4A446CF4" w:rsidR="00BF71BD" w:rsidRDefault="001B3FDE">
          <w:pPr>
            <w:pStyle w:val="TOC2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147861834" w:history="1">
            <w:r w:rsidR="00BF71BD" w:rsidRPr="004C6018">
              <w:rPr>
                <w:rStyle w:val="Hyperlink"/>
                <w:rFonts w:asciiTheme="majorHAnsi" w:hAnsiTheme="majorHAnsi"/>
                <w:noProof/>
              </w:rPr>
              <w:t>Time series analysis of the VSL program – 2017 to 2022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_Toc147861834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6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2C667462" w14:textId="616FED25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35" w:history="1">
            <w:r w:rsidR="00BF71BD" w:rsidRPr="004C6018">
              <w:rPr>
                <w:rStyle w:val="Hyperlink"/>
                <w:rFonts w:cstheme="minorHAnsi"/>
                <w:noProof/>
              </w:rPr>
              <w:t>Figure 1: VSL Student numbers and VSL Loan amount (2017 to 2022)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_Toc147861835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6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718B95C3" w14:textId="2E6473CE" w:rsidR="00BF71BD" w:rsidRDefault="001B3FDE">
          <w:pPr>
            <w:pStyle w:val="TOC2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147861836" w:history="1">
            <w:r w:rsidR="00BF71BD" w:rsidRPr="004C6018">
              <w:rPr>
                <w:rStyle w:val="Hyperlink"/>
                <w:rFonts w:asciiTheme="majorHAnsi" w:hAnsiTheme="majorHAnsi"/>
                <w:noProof/>
              </w:rPr>
              <w:t>Approved provider type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_Toc147861836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7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12FD4298" w14:textId="2C82D199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37" w:history="1">
            <w:r w:rsidR="00BF71BD" w:rsidRPr="004C6018">
              <w:rPr>
                <w:rStyle w:val="Hyperlink"/>
                <w:rFonts w:cstheme="minorHAnsi"/>
                <w:noProof/>
              </w:rPr>
              <w:t>Table 1: Number and percentage of VSL providers and students by provider type, 2022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_Toc147861837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7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18F0724D" w14:textId="31E47528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38" w:history="1">
            <w:r w:rsidR="00BF71BD" w:rsidRPr="004C6018">
              <w:rPr>
                <w:rStyle w:val="Hyperlink"/>
                <w:rFonts w:cstheme="minorHAnsi"/>
                <w:noProof/>
              </w:rPr>
              <w:t>Table 2: Tuition fees, VSL amount and amount paid upfront by provider type, 2022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_Toc147861838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7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5B5DA679" w14:textId="741D4FD6" w:rsidR="00BF71BD" w:rsidRDefault="001B3FDE">
          <w:pPr>
            <w:pStyle w:val="TOC2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147861839" w:history="1">
            <w:r w:rsidR="00BF71BD" w:rsidRPr="004C6018">
              <w:rPr>
                <w:rStyle w:val="Hyperlink"/>
                <w:rFonts w:asciiTheme="majorHAnsi" w:hAnsiTheme="majorHAnsi"/>
                <w:noProof/>
              </w:rPr>
              <w:t>Monthly breakdown of tuition fees charged, VSL amount and impacted students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_Toc147861839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8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32C85A22" w14:textId="6BAB01B2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40" w:history="1">
            <w:r w:rsidR="00BF71BD" w:rsidRPr="004C6018">
              <w:rPr>
                <w:rStyle w:val="Hyperlink"/>
                <w:rFonts w:cstheme="minorHAnsi"/>
                <w:noProof/>
              </w:rPr>
              <w:t>Figure 2: Monthly VSL student numbers, 2022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_Toc147861840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8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4B368C96" w14:textId="10001922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41" w:history="1">
            <w:r w:rsidR="00BF71BD" w:rsidRPr="004C6018">
              <w:rPr>
                <w:rStyle w:val="Hyperlink"/>
                <w:rFonts w:cstheme="minorHAnsi"/>
                <w:noProof/>
              </w:rPr>
              <w:t>Figure 3: Monthly VSL amount and Tuition fees, 2022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_Toc147861841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8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06BC4637" w14:textId="13AEFDEA" w:rsidR="00BF71BD" w:rsidRDefault="001B3FDE">
          <w:pPr>
            <w:pStyle w:val="TOC2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147861842" w:history="1">
            <w:r w:rsidR="00BF71BD" w:rsidRPr="004C6018">
              <w:rPr>
                <w:rStyle w:val="Hyperlink"/>
                <w:rFonts w:asciiTheme="majorHAnsi" w:hAnsiTheme="majorHAnsi"/>
                <w:noProof/>
              </w:rPr>
              <w:t>Location - states and territories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_Toc147861842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9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7FDE58C9" w14:textId="2FCDEA07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43" w:history="1">
            <w:r w:rsidR="00BF71BD" w:rsidRPr="004C6018">
              <w:rPr>
                <w:rStyle w:val="Hyperlink"/>
                <w:rFonts w:cstheme="minorHAnsi"/>
                <w:noProof/>
              </w:rPr>
              <w:t>Table 3: Number of VSL students by States and Territories, 2022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_Toc147861843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9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100108B0" w14:textId="19120CC0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44" w:history="1">
            <w:r w:rsidR="00BF71BD" w:rsidRPr="004C6018">
              <w:rPr>
                <w:rStyle w:val="Hyperlink"/>
                <w:rFonts w:cstheme="minorHAnsi"/>
                <w:noProof/>
              </w:rPr>
              <w:t>Figure 4: Proportion of VSL students share by state* and provider type, 2022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_Toc147861844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9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12B7108C" w14:textId="272E7911" w:rsidR="00BF71BD" w:rsidRDefault="001B3FDE">
          <w:pPr>
            <w:pStyle w:val="TOC2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147861845" w:history="1">
            <w:r w:rsidR="00BF71BD" w:rsidRPr="004C6018">
              <w:rPr>
                <w:rStyle w:val="Hyperlink"/>
                <w:rFonts w:asciiTheme="majorHAnsi" w:hAnsiTheme="majorHAnsi"/>
                <w:noProof/>
              </w:rPr>
              <w:t>Location – remoteness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_Toc147861845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10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14027EB6" w14:textId="17FBF028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46" w:history="1">
            <w:r w:rsidR="00BF71BD" w:rsidRPr="004C6018">
              <w:rPr>
                <w:rStyle w:val="Hyperlink"/>
                <w:rFonts w:cstheme="minorHAnsi"/>
                <w:noProof/>
              </w:rPr>
              <w:t>Table 4: Number of VSL recipient students by remoteness, 2022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_Toc147861846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10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3EC3DA45" w14:textId="14F7232E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47" w:history="1">
            <w:r w:rsidR="00BF71BD" w:rsidRPr="004C6018">
              <w:rPr>
                <w:rStyle w:val="Hyperlink"/>
                <w:rFonts w:cstheme="minorHAnsi"/>
                <w:noProof/>
              </w:rPr>
              <w:t>Figure 5: Average Loan amount per student by remoteness, 2022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_Toc147861847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10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7A994DD9" w14:textId="505E2032" w:rsidR="00BF71BD" w:rsidRDefault="001B3FDE">
          <w:pPr>
            <w:pStyle w:val="TOC2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147861848" w:history="1">
            <w:r w:rsidR="00BF71BD" w:rsidRPr="004C6018">
              <w:rPr>
                <w:rStyle w:val="Hyperlink"/>
                <w:rFonts w:asciiTheme="majorHAnsi" w:hAnsiTheme="majorHAnsi"/>
                <w:noProof/>
              </w:rPr>
              <w:t>Demographic profile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_Toc147861848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11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664C744B" w14:textId="172226BD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49" w:history="1">
            <w:r w:rsidR="00BF71BD" w:rsidRPr="004C6018">
              <w:rPr>
                <w:rStyle w:val="Hyperlink"/>
                <w:rFonts w:cstheme="minorHAnsi"/>
                <w:noProof/>
              </w:rPr>
              <w:t>Figure 6: Number of VSL student by gender, 2022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_Toc147861849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11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1E1641D5" w14:textId="61A7267D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50" w:history="1">
            <w:r w:rsidR="00BF71BD" w:rsidRPr="004C6018">
              <w:rPr>
                <w:rStyle w:val="Hyperlink"/>
                <w:rFonts w:cstheme="minorHAnsi"/>
                <w:noProof/>
              </w:rPr>
              <w:t>Table 5: Top 10 course</w:t>
            </w:r>
            <w:r w:rsidR="00BF71BD" w:rsidRPr="004C6018">
              <w:rPr>
                <w:rStyle w:val="Hyperlink"/>
                <w:rFonts w:cstheme="minorHAnsi"/>
                <w:bCs/>
                <w:noProof/>
              </w:rPr>
              <w:t>s</w:t>
            </w:r>
            <w:r w:rsidR="00BF71BD" w:rsidRPr="004C6018">
              <w:rPr>
                <w:rStyle w:val="Hyperlink"/>
                <w:rFonts w:cstheme="minorHAnsi"/>
                <w:noProof/>
              </w:rPr>
              <w:t xml:space="preserve"> </w:t>
            </w:r>
            <w:r w:rsidR="00BF71BD" w:rsidRPr="004C6018">
              <w:rPr>
                <w:rStyle w:val="Hyperlink"/>
                <w:rFonts w:cstheme="minorHAnsi"/>
                <w:bCs/>
                <w:noProof/>
              </w:rPr>
              <w:t xml:space="preserve">studied by </w:t>
            </w:r>
            <w:r w:rsidR="00BF71BD" w:rsidRPr="004C6018">
              <w:rPr>
                <w:rStyle w:val="Hyperlink"/>
                <w:rFonts w:cstheme="minorHAnsi"/>
                <w:noProof/>
              </w:rPr>
              <w:t>female VSL students, 2022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_Toc147861850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11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56E84106" w14:textId="1A4D0CB6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51" w:history="1">
            <w:r w:rsidR="00BF71BD" w:rsidRPr="004C6018">
              <w:rPr>
                <w:rStyle w:val="Hyperlink"/>
                <w:rFonts w:cstheme="minorHAnsi"/>
                <w:noProof/>
              </w:rPr>
              <w:t xml:space="preserve">Table 6: Top 10 </w:t>
            </w:r>
            <w:r w:rsidR="00BF71BD" w:rsidRPr="004C6018">
              <w:rPr>
                <w:rStyle w:val="Hyperlink"/>
                <w:rFonts w:cstheme="minorHAnsi"/>
                <w:bCs/>
                <w:noProof/>
              </w:rPr>
              <w:t>courses studied by</w:t>
            </w:r>
            <w:r w:rsidR="00BF71BD" w:rsidRPr="004C6018">
              <w:rPr>
                <w:rStyle w:val="Hyperlink"/>
                <w:rFonts w:cstheme="minorHAnsi"/>
                <w:b/>
                <w:noProof/>
              </w:rPr>
              <w:t xml:space="preserve"> </w:t>
            </w:r>
            <w:r w:rsidR="00BF71BD" w:rsidRPr="004C6018">
              <w:rPr>
                <w:rStyle w:val="Hyperlink"/>
                <w:rFonts w:cstheme="minorHAnsi"/>
                <w:noProof/>
              </w:rPr>
              <w:t>male VSL students, 2022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_Toc147861851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12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2713694F" w14:textId="5339B110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52" w:history="1">
            <w:r w:rsidR="00BF71BD" w:rsidRPr="004C6018">
              <w:rPr>
                <w:rStyle w:val="Hyperlink"/>
                <w:rFonts w:cstheme="minorHAnsi"/>
                <w:noProof/>
              </w:rPr>
              <w:t>Figure 7: Proportion of VSL students by age breakdown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_Toc147861852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12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2EBBC548" w14:textId="406DC12B" w:rsidR="00BF71BD" w:rsidRDefault="001B3FDE">
          <w:pPr>
            <w:pStyle w:val="TOC2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147861853" w:history="1">
            <w:r w:rsidR="00BF71BD" w:rsidRPr="004C6018">
              <w:rPr>
                <w:rStyle w:val="Hyperlink"/>
                <w:rFonts w:asciiTheme="majorHAnsi" w:hAnsiTheme="majorHAnsi"/>
                <w:noProof/>
              </w:rPr>
              <w:t>Unit of study completions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_Toc147861853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13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748C1CDE" w14:textId="2327F556" w:rsidR="00BF71BD" w:rsidRDefault="001B3FDE">
          <w:pPr>
            <w:pStyle w:val="TOC3"/>
            <w:rPr>
              <w:rFonts w:cstheme="minorBidi"/>
              <w:noProof/>
              <w:kern w:val="2"/>
              <w:lang w:val="en-AU" w:eastAsia="en-AU"/>
              <w14:ligatures w14:val="standardContextual"/>
            </w:rPr>
          </w:pPr>
          <w:hyperlink w:anchor="_Toc147861854" w:history="1">
            <w:r w:rsidR="00BF71BD" w:rsidRPr="004C6018">
              <w:rPr>
                <w:rStyle w:val="Hyperlink"/>
                <w:noProof/>
              </w:rPr>
              <w:t>Figure 8: Distribution of VSL student unit of study completion rates and number of providers</w:t>
            </w:r>
            <w:r w:rsidR="00BF71BD">
              <w:rPr>
                <w:noProof/>
                <w:webHidden/>
              </w:rPr>
              <w:tab/>
            </w:r>
            <w:r w:rsidR="00BF71BD">
              <w:rPr>
                <w:noProof/>
                <w:webHidden/>
              </w:rPr>
              <w:fldChar w:fldCharType="begin"/>
            </w:r>
            <w:r w:rsidR="00BF71BD">
              <w:rPr>
                <w:noProof/>
                <w:webHidden/>
              </w:rPr>
              <w:instrText xml:space="preserve"> PAGEREF _Toc147861854 \h </w:instrText>
            </w:r>
            <w:r w:rsidR="00BF71BD">
              <w:rPr>
                <w:noProof/>
                <w:webHidden/>
              </w:rPr>
            </w:r>
            <w:r w:rsidR="00BF71BD">
              <w:rPr>
                <w:noProof/>
                <w:webHidden/>
              </w:rPr>
              <w:fldChar w:fldCharType="separate"/>
            </w:r>
            <w:r w:rsidR="00BF71BD">
              <w:rPr>
                <w:noProof/>
                <w:webHidden/>
              </w:rPr>
              <w:t>13</w:t>
            </w:r>
            <w:r w:rsidR="00BF71BD">
              <w:rPr>
                <w:noProof/>
                <w:webHidden/>
              </w:rPr>
              <w:fldChar w:fldCharType="end"/>
            </w:r>
          </w:hyperlink>
        </w:p>
        <w:p w14:paraId="3E3C55F4" w14:textId="2CA2F645" w:rsidR="00BF71BD" w:rsidRDefault="001B3FDE">
          <w:pPr>
            <w:pStyle w:val="TOC1"/>
            <w:rPr>
              <w:rFonts w:eastAsiaTheme="minorEastAsia"/>
              <w:bCs w:val="0"/>
              <w:kern w:val="2"/>
              <w:sz w:val="22"/>
              <w:szCs w:val="22"/>
              <w:lang w:eastAsia="en-AU"/>
              <w14:ligatures w14:val="standardContextual"/>
            </w:rPr>
          </w:pPr>
          <w:hyperlink w:anchor="_Toc147861855" w:history="1">
            <w:r w:rsidR="00BF71BD" w:rsidRPr="004C6018">
              <w:rPr>
                <w:rStyle w:val="Hyperlink"/>
                <w:rFonts w:asciiTheme="majorHAnsi" w:hAnsiTheme="majorHAnsi"/>
              </w:rPr>
              <w:t>Additional Information on VSL Providers and Courses</w:t>
            </w:r>
            <w:r w:rsidR="00BF71BD">
              <w:rPr>
                <w:webHidden/>
              </w:rPr>
              <w:tab/>
            </w:r>
            <w:r w:rsidR="00BF71BD">
              <w:rPr>
                <w:webHidden/>
              </w:rPr>
              <w:fldChar w:fldCharType="begin"/>
            </w:r>
            <w:r w:rsidR="00BF71BD">
              <w:rPr>
                <w:webHidden/>
              </w:rPr>
              <w:instrText xml:space="preserve"> PAGEREF _Toc147861855 \h </w:instrText>
            </w:r>
            <w:r w:rsidR="00BF71BD">
              <w:rPr>
                <w:webHidden/>
              </w:rPr>
            </w:r>
            <w:r w:rsidR="00BF71BD">
              <w:rPr>
                <w:webHidden/>
              </w:rPr>
              <w:fldChar w:fldCharType="separate"/>
            </w:r>
            <w:r w:rsidR="00BF71BD">
              <w:rPr>
                <w:webHidden/>
              </w:rPr>
              <w:t>14</w:t>
            </w:r>
            <w:r w:rsidR="00BF71BD">
              <w:rPr>
                <w:webHidden/>
              </w:rPr>
              <w:fldChar w:fldCharType="end"/>
            </w:r>
          </w:hyperlink>
        </w:p>
        <w:p w14:paraId="2BBA3B4C" w14:textId="1DB63D81" w:rsidR="00BF71BD" w:rsidRDefault="001B3FDE">
          <w:pPr>
            <w:pStyle w:val="TOC1"/>
            <w:rPr>
              <w:rFonts w:eastAsiaTheme="minorEastAsia"/>
              <w:bCs w:val="0"/>
              <w:kern w:val="2"/>
              <w:sz w:val="22"/>
              <w:szCs w:val="22"/>
              <w:lang w:eastAsia="en-AU"/>
              <w14:ligatures w14:val="standardContextual"/>
            </w:rPr>
          </w:pPr>
          <w:hyperlink w:anchor="_Toc147861856" w:history="1">
            <w:r w:rsidR="00BF71BD" w:rsidRPr="004C6018">
              <w:rPr>
                <w:rStyle w:val="Hyperlink"/>
                <w:rFonts w:asciiTheme="majorHAnsi" w:hAnsiTheme="majorHAnsi"/>
              </w:rPr>
              <w:t>Glossary</w:t>
            </w:r>
            <w:r w:rsidR="00BF71BD">
              <w:rPr>
                <w:webHidden/>
              </w:rPr>
              <w:tab/>
            </w:r>
            <w:r w:rsidR="00BF71BD">
              <w:rPr>
                <w:webHidden/>
              </w:rPr>
              <w:fldChar w:fldCharType="begin"/>
            </w:r>
            <w:r w:rsidR="00BF71BD">
              <w:rPr>
                <w:webHidden/>
              </w:rPr>
              <w:instrText xml:space="preserve"> PAGEREF _Toc147861856 \h </w:instrText>
            </w:r>
            <w:r w:rsidR="00BF71BD">
              <w:rPr>
                <w:webHidden/>
              </w:rPr>
            </w:r>
            <w:r w:rsidR="00BF71BD">
              <w:rPr>
                <w:webHidden/>
              </w:rPr>
              <w:fldChar w:fldCharType="separate"/>
            </w:r>
            <w:r w:rsidR="00BF71BD">
              <w:rPr>
                <w:webHidden/>
              </w:rPr>
              <w:t>15</w:t>
            </w:r>
            <w:r w:rsidR="00BF71BD">
              <w:rPr>
                <w:webHidden/>
              </w:rPr>
              <w:fldChar w:fldCharType="end"/>
            </w:r>
          </w:hyperlink>
        </w:p>
        <w:p w14:paraId="626044D1" w14:textId="22819B4B" w:rsidR="007A3114" w:rsidRPr="00F460EF" w:rsidRDefault="007A3114" w:rsidP="00536138">
          <w:pPr>
            <w:spacing w:before="600" w:line="360" w:lineRule="auto"/>
          </w:pPr>
          <w:r w:rsidRPr="004D6323">
            <w:rPr>
              <w:b/>
              <w:bCs/>
              <w:noProof/>
            </w:rPr>
            <w:fldChar w:fldCharType="end"/>
          </w:r>
        </w:p>
      </w:sdtContent>
    </w:sdt>
    <w:p w14:paraId="227335CD" w14:textId="77777777" w:rsidR="00410521" w:rsidRPr="00F460EF" w:rsidRDefault="00410521" w:rsidP="00410521"/>
    <w:p w14:paraId="5FDF85E1" w14:textId="4EB16000" w:rsidR="0077749A" w:rsidRPr="00CC3969" w:rsidRDefault="1E887609" w:rsidP="009F6571">
      <w:pPr>
        <w:pStyle w:val="Heading1"/>
        <w:rPr>
          <w:rFonts w:asciiTheme="majorHAnsi" w:hAnsiTheme="majorHAnsi"/>
          <w:color w:val="auto"/>
        </w:rPr>
      </w:pPr>
      <w:bookmarkStart w:id="0" w:name="_Toc147861830"/>
      <w:r w:rsidRPr="00CC3969">
        <w:rPr>
          <w:rFonts w:asciiTheme="majorHAnsi" w:hAnsiTheme="majorHAnsi"/>
          <w:color w:val="auto"/>
        </w:rPr>
        <w:t>Introduction</w:t>
      </w:r>
      <w:bookmarkEnd w:id="0"/>
    </w:p>
    <w:p w14:paraId="73615F5E" w14:textId="1092213F" w:rsidR="00866E77" w:rsidRDefault="00346167" w:rsidP="00C5363B">
      <w:r>
        <w:t>T</w:t>
      </w:r>
      <w:r w:rsidR="1E887609">
        <w:t>his annual report provide</w:t>
      </w:r>
      <w:r>
        <w:t>s</w:t>
      </w:r>
      <w:r w:rsidR="1E887609">
        <w:t xml:space="preserve"> information on</w:t>
      </w:r>
      <w:r w:rsidR="00866E77">
        <w:t xml:space="preserve"> the </w:t>
      </w:r>
      <w:r w:rsidR="1E887609">
        <w:t>level of V</w:t>
      </w:r>
      <w:r w:rsidR="008014D2">
        <w:t xml:space="preserve">ET </w:t>
      </w:r>
      <w:r w:rsidR="1E887609">
        <w:t>S</w:t>
      </w:r>
      <w:r w:rsidR="008014D2">
        <w:t xml:space="preserve">tudent </w:t>
      </w:r>
      <w:r w:rsidR="1E887609">
        <w:t>L</w:t>
      </w:r>
      <w:r w:rsidR="008014D2">
        <w:t>oans (VSL)</w:t>
      </w:r>
      <w:r w:rsidR="1E887609">
        <w:t xml:space="preserve"> provided to eligible students</w:t>
      </w:r>
      <w:r w:rsidR="00866E77">
        <w:t xml:space="preserve">. </w:t>
      </w:r>
      <w:r w:rsidR="00B91AB0">
        <w:t xml:space="preserve">Also included is a </w:t>
      </w:r>
      <w:r w:rsidR="00866E77">
        <w:t xml:space="preserve">detailed analysis of the VSL student population, including </w:t>
      </w:r>
      <w:r w:rsidR="00B91AB0">
        <w:t xml:space="preserve">a </w:t>
      </w:r>
      <w:r w:rsidR="00866E77">
        <w:t xml:space="preserve">breakdown by age, gender, location, provider type and </w:t>
      </w:r>
      <w:r w:rsidR="00080027">
        <w:t>Indigenous</w:t>
      </w:r>
      <w:r w:rsidR="00866E77">
        <w:t xml:space="preserve"> status.</w:t>
      </w:r>
    </w:p>
    <w:p w14:paraId="073C8BA0" w14:textId="56E49E7B" w:rsidR="0077749A" w:rsidRDefault="008014D2" w:rsidP="00C5363B">
      <w:r>
        <w:t>To be e</w:t>
      </w:r>
      <w:r w:rsidR="1E887609">
        <w:t>ligible</w:t>
      </w:r>
      <w:r>
        <w:t>,</w:t>
      </w:r>
      <w:r w:rsidR="1E887609">
        <w:t xml:space="preserve"> students must meet requirements under </w:t>
      </w:r>
      <w:r w:rsidR="0041143B">
        <w:t>P</w:t>
      </w:r>
      <w:r w:rsidR="00DC204D">
        <w:t xml:space="preserve">art 2, </w:t>
      </w:r>
      <w:r w:rsidR="0041143B">
        <w:t>D</w:t>
      </w:r>
      <w:r w:rsidR="00DC204D">
        <w:t xml:space="preserve">ivision 2, </w:t>
      </w:r>
      <w:r w:rsidR="0041143B">
        <w:t>S</w:t>
      </w:r>
      <w:r w:rsidR="1E887609">
        <w:t xml:space="preserve">ection 9 of </w:t>
      </w:r>
      <w:r w:rsidR="00C037B3" w:rsidRPr="000F0FF4">
        <w:t xml:space="preserve">the </w:t>
      </w:r>
      <w:r w:rsidR="00C037B3" w:rsidRPr="000F0FF4">
        <w:rPr>
          <w:i/>
          <w:iCs/>
        </w:rPr>
        <w:t>VET Student Loans Act 2016</w:t>
      </w:r>
      <w:r w:rsidR="00C037B3" w:rsidRPr="000F0FF4">
        <w:t xml:space="preserve"> (the Act).</w:t>
      </w:r>
      <w:r w:rsidR="00630F94">
        <w:t xml:space="preserve"> </w:t>
      </w:r>
      <w:r w:rsidR="00C45CB0">
        <w:t>A</w:t>
      </w:r>
      <w:r w:rsidR="1E887609">
        <w:t xml:space="preserve"> student must</w:t>
      </w:r>
      <w:r w:rsidR="00962AEB">
        <w:t>:</w:t>
      </w:r>
    </w:p>
    <w:p w14:paraId="5FEAC6CF" w14:textId="0937B6B9" w:rsidR="0077749A" w:rsidRDefault="00851CCB" w:rsidP="39704681">
      <w:pPr>
        <w:pStyle w:val="ListParagraph"/>
        <w:numPr>
          <w:ilvl w:val="0"/>
          <w:numId w:val="17"/>
        </w:numPr>
      </w:pPr>
      <w:r>
        <w:t xml:space="preserve">be </w:t>
      </w:r>
      <w:r w:rsidR="1E887609">
        <w:t>enrolled in the course</w:t>
      </w:r>
    </w:p>
    <w:p w14:paraId="5553ED8E" w14:textId="75ADE4F2" w:rsidR="0077749A" w:rsidRDefault="1E887609" w:rsidP="39704681">
      <w:pPr>
        <w:pStyle w:val="ListParagraph"/>
        <w:numPr>
          <w:ilvl w:val="0"/>
          <w:numId w:val="17"/>
        </w:numPr>
      </w:pPr>
      <w:r>
        <w:t>have provided the course provider with any information and documents required by</w:t>
      </w:r>
      <w:r w:rsidRPr="00C037B3">
        <w:t xml:space="preserve"> </w:t>
      </w:r>
      <w:r w:rsidR="00C037B3" w:rsidRPr="00CC3969">
        <w:t xml:space="preserve">VET Student Loans Rules 2016 </w:t>
      </w:r>
      <w:r w:rsidR="00C037B3">
        <w:t>(</w:t>
      </w:r>
      <w:r w:rsidR="00B56A72">
        <w:t xml:space="preserve">the </w:t>
      </w:r>
      <w:r w:rsidR="00962AEB">
        <w:t>R</w:t>
      </w:r>
      <w:r w:rsidR="00B56A72">
        <w:t>ules</w:t>
      </w:r>
      <w:r w:rsidR="00C037B3">
        <w:t>)</w:t>
      </w:r>
    </w:p>
    <w:p w14:paraId="67734E0D" w14:textId="40A0DC4E" w:rsidR="0077749A" w:rsidRDefault="1E887609" w:rsidP="39704681">
      <w:pPr>
        <w:pStyle w:val="ListParagraph"/>
        <w:numPr>
          <w:ilvl w:val="0"/>
          <w:numId w:val="17"/>
        </w:numPr>
      </w:pPr>
      <w:r>
        <w:t xml:space="preserve">meet any other requirements set out in the </w:t>
      </w:r>
      <w:r w:rsidR="000822F0">
        <w:t>R</w:t>
      </w:r>
      <w:r>
        <w:t xml:space="preserve">ules </w:t>
      </w:r>
    </w:p>
    <w:p w14:paraId="68AB23D0" w14:textId="51A71EA8" w:rsidR="0077749A" w:rsidRDefault="1E887609" w:rsidP="39704681">
      <w:pPr>
        <w:pStyle w:val="ListParagraph"/>
        <w:numPr>
          <w:ilvl w:val="0"/>
          <w:numId w:val="17"/>
        </w:numPr>
      </w:pPr>
      <w:r>
        <w:t>be undertaking the course primarily at a campus in Australia</w:t>
      </w:r>
      <w:r w:rsidR="00DC204D">
        <w:t>, and</w:t>
      </w:r>
      <w:r>
        <w:t xml:space="preserve"> </w:t>
      </w:r>
    </w:p>
    <w:p w14:paraId="2C99E699" w14:textId="1DDCBCB1" w:rsidR="0077749A" w:rsidRDefault="1E887609" w:rsidP="39704681">
      <w:pPr>
        <w:pStyle w:val="ListParagraph"/>
        <w:numPr>
          <w:ilvl w:val="0"/>
          <w:numId w:val="17"/>
        </w:numPr>
      </w:pPr>
      <w:r>
        <w:t xml:space="preserve">have applied for a </w:t>
      </w:r>
      <w:r w:rsidR="00EC6D2A">
        <w:t>VSL</w:t>
      </w:r>
      <w:r>
        <w:t xml:space="preserve"> for the course in accordance with </w:t>
      </w:r>
      <w:r w:rsidR="000822F0">
        <w:t>D</w:t>
      </w:r>
      <w:r>
        <w:t>ivision 4.</w:t>
      </w:r>
    </w:p>
    <w:p w14:paraId="4E5A7642" w14:textId="7BBC09C4" w:rsidR="0077749A" w:rsidRDefault="00F0603A" w:rsidP="00C5363B">
      <w:r>
        <w:t>The</w:t>
      </w:r>
      <w:r w:rsidR="1E887609">
        <w:t xml:space="preserve"> student must also</w:t>
      </w:r>
      <w:r w:rsidR="00667BDE">
        <w:t xml:space="preserve"> be:</w:t>
      </w:r>
    </w:p>
    <w:p w14:paraId="0FD64BF4" w14:textId="1BA0B006" w:rsidR="0077749A" w:rsidRDefault="1E887609" w:rsidP="39704681">
      <w:pPr>
        <w:pStyle w:val="ListParagraph"/>
        <w:numPr>
          <w:ilvl w:val="0"/>
          <w:numId w:val="18"/>
        </w:numPr>
      </w:pPr>
      <w:r>
        <w:t>an Australian citizen or</w:t>
      </w:r>
    </w:p>
    <w:p w14:paraId="3B2BA748" w14:textId="7E8D99C3" w:rsidR="0077749A" w:rsidRDefault="1E887609" w:rsidP="39704681">
      <w:pPr>
        <w:pStyle w:val="ListParagraph"/>
        <w:numPr>
          <w:ilvl w:val="0"/>
          <w:numId w:val="18"/>
        </w:numPr>
      </w:pPr>
      <w:r>
        <w:t>the holder of a permanent humanitarian visa who is usually resident in Australia or</w:t>
      </w:r>
    </w:p>
    <w:p w14:paraId="72E82120" w14:textId="053F745B" w:rsidR="0077749A" w:rsidRDefault="1E887609" w:rsidP="39704681">
      <w:pPr>
        <w:pStyle w:val="ListParagraph"/>
        <w:numPr>
          <w:ilvl w:val="0"/>
          <w:numId w:val="18"/>
        </w:numPr>
      </w:pPr>
      <w:r>
        <w:t>a qualifying New Zealand citizen.</w:t>
      </w:r>
    </w:p>
    <w:p w14:paraId="7CB84862" w14:textId="7D0E6758" w:rsidR="00931558" w:rsidRDefault="00931558" w:rsidP="00C5363B">
      <w:r>
        <w:t xml:space="preserve">The </w:t>
      </w:r>
      <w:r w:rsidR="00910AB4" w:rsidRPr="008014D2">
        <w:t>two six</w:t>
      </w:r>
      <w:r w:rsidR="008014D2">
        <w:t>-</w:t>
      </w:r>
      <w:r w:rsidR="00910AB4" w:rsidRPr="008014D2">
        <w:t xml:space="preserve">month reports for 2022 are not combined to provide the 2022 </w:t>
      </w:r>
      <w:r w:rsidR="00EB4230">
        <w:t>A</w:t>
      </w:r>
      <w:r w:rsidR="00EB4230" w:rsidRPr="008014D2">
        <w:t xml:space="preserve">nnual </w:t>
      </w:r>
      <w:r w:rsidR="00EB4230">
        <w:t>R</w:t>
      </w:r>
      <w:r w:rsidR="00EB4230" w:rsidRPr="008014D2">
        <w:t>eport</w:t>
      </w:r>
      <w:r w:rsidR="00EB4230">
        <w:t xml:space="preserve"> </w:t>
      </w:r>
      <w:r w:rsidR="008014D2">
        <w:t>as data can be updated by providers after the reporting period</w:t>
      </w:r>
      <w:r w:rsidR="00910AB4" w:rsidRPr="008014D2">
        <w:t>.</w:t>
      </w:r>
      <w:r w:rsidR="008014D2">
        <w:t xml:space="preserve"> </w:t>
      </w:r>
      <w:r w:rsidR="002E5CF6">
        <w:t xml:space="preserve">Furthermore, student counts and enrolment counts are calculated across the entire year, so a student that studied in both halves of the year will only be counted once in this report, whereas they would have been reported in each of the six-monthly reports. </w:t>
      </w:r>
      <w:r w:rsidR="008014D2">
        <w:t>As such, figures in this report represent a point-in-time.</w:t>
      </w:r>
    </w:p>
    <w:p w14:paraId="5A9C8DBA" w14:textId="77777777" w:rsidR="008014D2" w:rsidRPr="00A839DE" w:rsidRDefault="008014D2" w:rsidP="009F6571">
      <w:pPr>
        <w:pStyle w:val="Heading1"/>
        <w:rPr>
          <w:rFonts w:asciiTheme="majorHAnsi" w:hAnsiTheme="majorHAnsi"/>
          <w:color w:val="auto"/>
        </w:rPr>
      </w:pPr>
      <w:bookmarkStart w:id="1" w:name="_Toc136146739"/>
      <w:bookmarkStart w:id="2" w:name="_Toc147861831"/>
      <w:r w:rsidRPr="00A839DE">
        <w:rPr>
          <w:rFonts w:asciiTheme="majorHAnsi" w:hAnsiTheme="majorHAnsi"/>
          <w:color w:val="auto"/>
        </w:rPr>
        <w:t>Background</w:t>
      </w:r>
      <w:bookmarkEnd w:id="1"/>
      <w:bookmarkEnd w:id="2"/>
      <w:r w:rsidRPr="00A839DE">
        <w:rPr>
          <w:rFonts w:asciiTheme="majorHAnsi" w:hAnsiTheme="majorHAnsi"/>
          <w:color w:val="auto"/>
        </w:rPr>
        <w:t xml:space="preserve"> </w:t>
      </w:r>
    </w:p>
    <w:p w14:paraId="42F5F8C7" w14:textId="00DA46B4" w:rsidR="008014D2" w:rsidRDefault="008014D2" w:rsidP="008014D2">
      <w:pPr>
        <w:rPr>
          <w:rFonts w:ascii="Calibri" w:eastAsia="Times New Roman" w:hAnsi="Calibri" w:cs="Calibri"/>
          <w:lang w:eastAsia="en-AU"/>
        </w:rPr>
      </w:pPr>
      <w:r>
        <w:t>The VSL program commenced on 1 January 2017. It replaced the VET FEE-HELP scheme which closed to new students on 31 December 2016. The program offers income contingent loans to eligible students studying approved course(s) at the Diploma level and above.</w:t>
      </w:r>
    </w:p>
    <w:p w14:paraId="7155CCD2" w14:textId="042F566E" w:rsidR="008014D2" w:rsidRPr="002061F6" w:rsidRDefault="008014D2" w:rsidP="008014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  <w:r>
        <w:rPr>
          <w:rFonts w:ascii="Calibri" w:eastAsia="Times New Roman" w:hAnsi="Calibri" w:cs="Calibri"/>
          <w:lang w:eastAsia="en-AU"/>
        </w:rPr>
        <w:t xml:space="preserve">The Department of Employment and Workplace Relations (the department), as the regulator, has a range of powers including holding providers to account in cases of contravention of the </w:t>
      </w:r>
      <w:r w:rsidRPr="00CC3969">
        <w:rPr>
          <w:rFonts w:ascii="Calibri" w:eastAsia="Times New Roman" w:hAnsi="Calibri" w:cs="Calibri"/>
          <w:lang w:eastAsia="en-AU"/>
        </w:rPr>
        <w:t>Act</w:t>
      </w:r>
      <w:r>
        <w:rPr>
          <w:rFonts w:ascii="Calibri" w:eastAsia="Times New Roman" w:hAnsi="Calibri" w:cs="Calibri"/>
          <w:lang w:eastAsia="en-AU"/>
        </w:rPr>
        <w:t>.</w:t>
      </w:r>
    </w:p>
    <w:p w14:paraId="039F8F07" w14:textId="77777777" w:rsidR="008014D2" w:rsidRPr="00C57A7C" w:rsidRDefault="008014D2" w:rsidP="008014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AU"/>
        </w:rPr>
      </w:pPr>
    </w:p>
    <w:p w14:paraId="1B3EA10A" w14:textId="27136B0A" w:rsidR="008014D2" w:rsidRDefault="008014D2" w:rsidP="008014D2">
      <w:r>
        <w:t>T</w:t>
      </w:r>
      <w:r w:rsidRPr="00F14AC0">
        <w:t>he loan</w:t>
      </w:r>
      <w:r>
        <w:t xml:space="preserve"> amount</w:t>
      </w:r>
      <w:r w:rsidRPr="00F14AC0">
        <w:t xml:space="preserve"> </w:t>
      </w:r>
      <w:r>
        <w:t>available to</w:t>
      </w:r>
      <w:r w:rsidRPr="00F14AC0">
        <w:t xml:space="preserve"> eligible students</w:t>
      </w:r>
      <w:r>
        <w:t xml:space="preserve"> depends on the type of course they are enrolled in. </w:t>
      </w:r>
      <w:r w:rsidRPr="002D1CF4">
        <w:t xml:space="preserve">The list of current </w:t>
      </w:r>
      <w:r>
        <w:t>VSL</w:t>
      </w:r>
      <w:r w:rsidRPr="002D1CF4">
        <w:t xml:space="preserve"> approved </w:t>
      </w:r>
      <w:r>
        <w:t>courses and maximum loan amounts</w:t>
      </w:r>
      <w:r w:rsidRPr="002D1CF4">
        <w:t xml:space="preserve"> by course is available in th</w:t>
      </w:r>
      <w:r>
        <w:t xml:space="preserve">e </w:t>
      </w:r>
      <w:hyperlink r:id="rId16" w:history="1">
        <w:r w:rsidR="00EB4230">
          <w:rPr>
            <w:rStyle w:val="Hyperlink"/>
          </w:rPr>
          <w:t>VSL</w:t>
        </w:r>
        <w:r w:rsidR="00EB4230" w:rsidRPr="00C8203F">
          <w:rPr>
            <w:rStyle w:val="Hyperlink"/>
          </w:rPr>
          <w:t xml:space="preserve"> (Courses and Loan Caps) Determination 2016</w:t>
        </w:r>
      </w:hyperlink>
      <w:r>
        <w:t>.</w:t>
      </w:r>
    </w:p>
    <w:p w14:paraId="4CB4B787" w14:textId="275DD23B" w:rsidR="008014D2" w:rsidRDefault="008014D2" w:rsidP="008014D2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  <w:r w:rsidRPr="2FAC1AEF">
        <w:rPr>
          <w:rFonts w:ascii="Calibri" w:eastAsia="Times New Roman" w:hAnsi="Calibri" w:cs="Calibri"/>
          <w:lang w:eastAsia="en-AU"/>
        </w:rPr>
        <w:t>The</w:t>
      </w:r>
      <w:r>
        <w:rPr>
          <w:rFonts w:ascii="Calibri" w:eastAsia="Times New Roman" w:hAnsi="Calibri" w:cs="Calibri"/>
          <w:lang w:eastAsia="en-AU"/>
        </w:rPr>
        <w:t xml:space="preserve"> data tables provided as an attachment to this report p</w:t>
      </w:r>
      <w:r w:rsidRPr="2FAC1AEF">
        <w:rPr>
          <w:rFonts w:ascii="Calibri" w:eastAsia="Times New Roman" w:hAnsi="Calibri" w:cs="Calibri"/>
          <w:lang w:eastAsia="en-AU"/>
        </w:rPr>
        <w:t xml:space="preserve">rovides detailed information on </w:t>
      </w:r>
      <w:r>
        <w:rPr>
          <w:rFonts w:ascii="Calibri" w:eastAsia="Times New Roman" w:hAnsi="Calibri" w:cs="Calibri"/>
          <w:lang w:eastAsia="en-AU"/>
        </w:rPr>
        <w:t>s</w:t>
      </w:r>
      <w:r w:rsidRPr="2FAC1AEF">
        <w:rPr>
          <w:rFonts w:ascii="Calibri" w:eastAsia="Times New Roman" w:hAnsi="Calibri" w:cs="Calibri"/>
          <w:lang w:eastAsia="en-AU"/>
        </w:rPr>
        <w:t>tudent numbers, approved course providers,</w:t>
      </w:r>
      <w:r>
        <w:rPr>
          <w:rFonts w:ascii="Calibri" w:eastAsia="Times New Roman" w:hAnsi="Calibri" w:cs="Calibri"/>
          <w:lang w:eastAsia="en-AU"/>
        </w:rPr>
        <w:t xml:space="preserve"> </w:t>
      </w:r>
      <w:r w:rsidRPr="001F30BD">
        <w:rPr>
          <w:rFonts w:ascii="Calibri" w:eastAsia="Times New Roman" w:hAnsi="Calibri" w:cs="Calibri"/>
          <w:lang w:eastAsia="en-AU"/>
        </w:rPr>
        <w:t xml:space="preserve">loan </w:t>
      </w:r>
      <w:r>
        <w:rPr>
          <w:rFonts w:ascii="Calibri" w:eastAsia="Times New Roman" w:hAnsi="Calibri" w:cs="Calibri"/>
          <w:lang w:eastAsia="en-AU"/>
        </w:rPr>
        <w:t xml:space="preserve">amounts, courses, tuition, and course completions. </w:t>
      </w:r>
    </w:p>
    <w:p w14:paraId="4BF1870A" w14:textId="77777777" w:rsidR="008014D2" w:rsidRPr="00866E77" w:rsidRDefault="008014D2" w:rsidP="008014D2">
      <w:pPr>
        <w:spacing w:after="0" w:line="240" w:lineRule="auto"/>
        <w:textAlignment w:val="baseline"/>
        <w:rPr>
          <w:rFonts w:ascii="Calibri" w:eastAsia="Times New Roman" w:hAnsi="Calibri" w:cs="Calibri"/>
          <w:lang w:eastAsia="en-AU"/>
        </w:rPr>
      </w:pPr>
    </w:p>
    <w:p w14:paraId="22E81EAD" w14:textId="4EC97BED" w:rsidR="0077749A" w:rsidRDefault="0077749A" w:rsidP="00C5363B"/>
    <w:p w14:paraId="710BDEE6" w14:textId="381982CD" w:rsidR="006848EE" w:rsidRPr="002D1CF4" w:rsidRDefault="006848EE" w:rsidP="00C5363B"/>
    <w:p w14:paraId="3965AE27" w14:textId="16AFA8A8" w:rsidR="00983462" w:rsidRDefault="00983462" w:rsidP="00983462"/>
    <w:p w14:paraId="79802F34" w14:textId="77777777" w:rsidR="00CE5658" w:rsidRDefault="00CE5658" w:rsidP="00983462"/>
    <w:p w14:paraId="5DE45788" w14:textId="77777777" w:rsidR="00CE5658" w:rsidRDefault="00CE5658" w:rsidP="00983462"/>
    <w:p w14:paraId="386AA0F6" w14:textId="77777777" w:rsidR="004223A9" w:rsidRDefault="004223A9" w:rsidP="00983462"/>
    <w:p w14:paraId="0B6754A0" w14:textId="77777777" w:rsidR="004223A9" w:rsidRDefault="004223A9" w:rsidP="00983462"/>
    <w:p w14:paraId="16A825D9" w14:textId="77777777" w:rsidR="00941BEB" w:rsidRDefault="00941BEB" w:rsidP="00983462"/>
    <w:p w14:paraId="5D98CFA1" w14:textId="5E49863B" w:rsidR="00941BEB" w:rsidRPr="00CC3969" w:rsidRDefault="5790175B" w:rsidP="009F6571">
      <w:pPr>
        <w:pStyle w:val="Heading1"/>
        <w:rPr>
          <w:rFonts w:asciiTheme="majorHAnsi" w:hAnsiTheme="majorHAnsi"/>
          <w:color w:val="auto"/>
        </w:rPr>
      </w:pPr>
      <w:bookmarkStart w:id="3" w:name="_Toc147861832"/>
      <w:r w:rsidRPr="00CC3969">
        <w:rPr>
          <w:rFonts w:asciiTheme="majorHAnsi" w:hAnsiTheme="majorHAnsi"/>
          <w:color w:val="auto"/>
        </w:rPr>
        <w:t>Executive Summar</w:t>
      </w:r>
      <w:r w:rsidR="00445F23" w:rsidRPr="00CC3969">
        <w:rPr>
          <w:rFonts w:asciiTheme="majorHAnsi" w:hAnsiTheme="majorHAnsi"/>
          <w:color w:val="auto"/>
        </w:rPr>
        <w:t>y</w:t>
      </w:r>
      <w:bookmarkEnd w:id="3"/>
    </w:p>
    <w:p w14:paraId="453DF647" w14:textId="1CF1A7DC" w:rsidR="00983462" w:rsidRPr="005643B8" w:rsidRDefault="005F0A20" w:rsidP="00983462">
      <w:r>
        <w:t xml:space="preserve">In 2022, </w:t>
      </w:r>
      <w:r w:rsidR="006F1260" w:rsidRPr="005643B8">
        <w:t>30,00</w:t>
      </w:r>
      <w:r w:rsidR="000B3F3E">
        <w:t>3</w:t>
      </w:r>
      <w:r w:rsidR="006F1260" w:rsidRPr="005643B8">
        <w:t xml:space="preserve"> eligible students</w:t>
      </w:r>
      <w:r w:rsidR="0077254B" w:rsidRPr="005643B8">
        <w:t xml:space="preserve"> undertook </w:t>
      </w:r>
      <w:r w:rsidR="00186304" w:rsidRPr="005643B8">
        <w:t xml:space="preserve">study of </w:t>
      </w:r>
      <w:r w:rsidR="002909A7" w:rsidRPr="005643B8">
        <w:t xml:space="preserve">approved courses </w:t>
      </w:r>
      <w:r w:rsidR="00B824C1" w:rsidRPr="005643B8">
        <w:t>and</w:t>
      </w:r>
      <w:r w:rsidR="00186304" w:rsidRPr="005643B8">
        <w:t>/or</w:t>
      </w:r>
      <w:r w:rsidR="00B824C1" w:rsidRPr="005643B8">
        <w:t xml:space="preserve"> train</w:t>
      </w:r>
      <w:r w:rsidR="000C7533" w:rsidRPr="005643B8">
        <w:t>in</w:t>
      </w:r>
      <w:r w:rsidR="00B824C1" w:rsidRPr="005643B8">
        <w:t xml:space="preserve">g </w:t>
      </w:r>
      <w:r w:rsidR="002909A7" w:rsidRPr="005643B8">
        <w:t xml:space="preserve">under the </w:t>
      </w:r>
      <w:r w:rsidR="00056343" w:rsidRPr="005643B8">
        <w:t xml:space="preserve">Australian Government </w:t>
      </w:r>
      <w:r w:rsidR="00DC39A9" w:rsidRPr="005643B8">
        <w:t>VSL</w:t>
      </w:r>
      <w:r w:rsidR="00D4774B" w:rsidRPr="005643B8">
        <w:t xml:space="preserve"> program. </w:t>
      </w:r>
      <w:r w:rsidR="001578E5" w:rsidRPr="005643B8">
        <w:t xml:space="preserve">Tuition </w:t>
      </w:r>
      <w:r w:rsidR="00977CC3" w:rsidRPr="005643B8">
        <w:t>f</w:t>
      </w:r>
      <w:r w:rsidR="001578E5" w:rsidRPr="005643B8">
        <w:t xml:space="preserve">ees charged </w:t>
      </w:r>
      <w:r w:rsidR="00425557" w:rsidRPr="005643B8">
        <w:t xml:space="preserve">by </w:t>
      </w:r>
      <w:r w:rsidR="0035355B" w:rsidRPr="005643B8">
        <w:t xml:space="preserve">approved </w:t>
      </w:r>
      <w:r w:rsidR="00425557" w:rsidRPr="005643B8">
        <w:t xml:space="preserve">providers </w:t>
      </w:r>
      <w:r w:rsidR="001578E5" w:rsidRPr="005643B8">
        <w:t xml:space="preserve">to these students </w:t>
      </w:r>
      <w:r w:rsidR="00DC39A9" w:rsidRPr="005643B8">
        <w:t xml:space="preserve">were </w:t>
      </w:r>
      <w:r w:rsidR="00983462" w:rsidRPr="005643B8">
        <w:t>around $235</w:t>
      </w:r>
      <w:r w:rsidR="00D24E12">
        <w:t> </w:t>
      </w:r>
      <w:r w:rsidR="00983462" w:rsidRPr="005643B8">
        <w:t xml:space="preserve">million. </w:t>
      </w:r>
      <w:r w:rsidR="000C7533" w:rsidRPr="005643B8">
        <w:t>The</w:t>
      </w:r>
      <w:r w:rsidR="0035355B" w:rsidRPr="005643B8">
        <w:t xml:space="preserve"> total</w:t>
      </w:r>
      <w:r w:rsidR="000C7533" w:rsidRPr="005643B8">
        <w:t xml:space="preserve"> </w:t>
      </w:r>
      <w:r w:rsidR="006C265C" w:rsidRPr="005643B8">
        <w:t xml:space="preserve">VSL amount paid to meet the cost of tuition was approximately </w:t>
      </w:r>
      <w:r w:rsidR="00D9250E" w:rsidRPr="005643B8">
        <w:t>$22</w:t>
      </w:r>
      <w:r w:rsidR="00862CF7" w:rsidRPr="005643B8">
        <w:t>2</w:t>
      </w:r>
      <w:r w:rsidR="00D9250E" w:rsidRPr="005643B8">
        <w:t>.7 million (about 95</w:t>
      </w:r>
      <w:r w:rsidR="00075004" w:rsidRPr="005643B8">
        <w:t>%</w:t>
      </w:r>
      <w:r w:rsidR="00D24E12">
        <w:t> </w:t>
      </w:r>
      <w:r w:rsidR="00E65BEC" w:rsidRPr="005643B8">
        <w:t>of total tuition</w:t>
      </w:r>
      <w:r w:rsidR="00DC39A9" w:rsidRPr="005643B8">
        <w:t xml:space="preserve"> fees</w:t>
      </w:r>
      <w:r w:rsidR="00FD79C2" w:rsidRPr="005643B8">
        <w:t>)</w:t>
      </w:r>
      <w:r w:rsidR="00E65BEC" w:rsidRPr="005643B8">
        <w:t xml:space="preserve"> and s</w:t>
      </w:r>
      <w:r w:rsidR="00AF2E4A" w:rsidRPr="005643B8">
        <w:t xml:space="preserve">tudents </w:t>
      </w:r>
      <w:r w:rsidR="00E65BEC" w:rsidRPr="005643B8">
        <w:t>paid the</w:t>
      </w:r>
      <w:r w:rsidR="00AF2E4A" w:rsidRPr="005643B8">
        <w:t xml:space="preserve"> remaining </w:t>
      </w:r>
      <w:r w:rsidR="00C0421F" w:rsidRPr="005643B8">
        <w:t>$11.8 million</w:t>
      </w:r>
      <w:r w:rsidR="00B67102" w:rsidRPr="005643B8">
        <w:t xml:space="preserve"> (5</w:t>
      </w:r>
      <w:r w:rsidR="00075004" w:rsidRPr="005643B8">
        <w:t>%</w:t>
      </w:r>
      <w:r w:rsidR="004307D2" w:rsidRPr="005643B8">
        <w:t>)</w:t>
      </w:r>
      <w:r w:rsidR="00C0421F" w:rsidRPr="005643B8">
        <w:t xml:space="preserve"> </w:t>
      </w:r>
      <w:r w:rsidR="00E65BEC" w:rsidRPr="005643B8">
        <w:t xml:space="preserve">as </w:t>
      </w:r>
      <w:r w:rsidR="004307D2" w:rsidRPr="005643B8">
        <w:t>upfront</w:t>
      </w:r>
      <w:r w:rsidR="00E65BEC" w:rsidRPr="005643B8">
        <w:t xml:space="preserve"> contribution</w:t>
      </w:r>
      <w:r w:rsidR="00884391" w:rsidRPr="005643B8">
        <w:t>s</w:t>
      </w:r>
      <w:r w:rsidR="00983462" w:rsidRPr="005643B8">
        <w:t xml:space="preserve">. </w:t>
      </w:r>
    </w:p>
    <w:p w14:paraId="7427998A" w14:textId="013B27B8" w:rsidR="002C2E83" w:rsidRPr="005643B8" w:rsidRDefault="001D5008" w:rsidP="00396665">
      <w:r w:rsidRPr="005643B8">
        <w:t xml:space="preserve">Students can </w:t>
      </w:r>
      <w:r w:rsidR="00194B5E" w:rsidRPr="005643B8">
        <w:t>only</w:t>
      </w:r>
      <w:r w:rsidR="00E17198" w:rsidRPr="005643B8">
        <w:t xml:space="preserve"> </w:t>
      </w:r>
      <w:r w:rsidR="00194B5E" w:rsidRPr="005643B8">
        <w:t>use</w:t>
      </w:r>
      <w:r w:rsidRPr="005643B8">
        <w:t xml:space="preserve"> VSL</w:t>
      </w:r>
      <w:r w:rsidR="00194B5E" w:rsidRPr="005643B8">
        <w:t xml:space="preserve"> to pay for approved courses</w:t>
      </w:r>
      <w:r w:rsidR="000822F0" w:rsidRPr="005643B8">
        <w:t>,</w:t>
      </w:r>
      <w:r w:rsidR="007A15B1" w:rsidRPr="005643B8">
        <w:t xml:space="preserve"> </w:t>
      </w:r>
      <w:r w:rsidR="00BD6CAF" w:rsidRPr="005643B8">
        <w:t xml:space="preserve">as </w:t>
      </w:r>
      <w:r w:rsidR="008B532B" w:rsidRPr="005643B8">
        <w:t>prescribed under the</w:t>
      </w:r>
      <w:r w:rsidR="006F770D" w:rsidRPr="005643B8">
        <w:t xml:space="preserve"> </w:t>
      </w:r>
      <w:r w:rsidR="00DC39A9" w:rsidRPr="005643B8">
        <w:t>Act</w:t>
      </w:r>
      <w:r w:rsidR="008B532B" w:rsidRPr="005643B8">
        <w:t>.</w:t>
      </w:r>
    </w:p>
    <w:p w14:paraId="68B5B29D" w14:textId="2DC90D08" w:rsidR="006232FC" w:rsidRPr="005643B8" w:rsidRDefault="006232FC" w:rsidP="006232FC">
      <w:r w:rsidRPr="005643B8">
        <w:t xml:space="preserve">There were 218 Registered Training Organisations (RTOs) that operated as approved course providers. </w:t>
      </w:r>
      <w:r w:rsidR="00DD61EB" w:rsidRPr="005643B8">
        <w:t>T</w:t>
      </w:r>
      <w:r w:rsidR="0062116F" w:rsidRPr="005643B8">
        <w:t>AFE</w:t>
      </w:r>
      <w:r w:rsidR="00DF33D2" w:rsidRPr="005643B8">
        <w:t xml:space="preserve">s </w:t>
      </w:r>
      <w:r w:rsidR="000A5ED4" w:rsidRPr="005643B8">
        <w:t>were</w:t>
      </w:r>
      <w:r w:rsidR="00BE719B" w:rsidRPr="005643B8">
        <w:t xml:space="preserve"> </w:t>
      </w:r>
      <w:r w:rsidR="00BB455A" w:rsidRPr="005643B8">
        <w:t xml:space="preserve">the </w:t>
      </w:r>
      <w:r w:rsidR="00E70C41" w:rsidRPr="005643B8">
        <w:t xml:space="preserve">largest </w:t>
      </w:r>
      <w:r w:rsidR="00BB455A" w:rsidRPr="005643B8">
        <w:t>provider</w:t>
      </w:r>
      <w:r w:rsidR="00976C19" w:rsidRPr="005643B8">
        <w:t xml:space="preserve"> type</w:t>
      </w:r>
      <w:r w:rsidR="00BB455A" w:rsidRPr="005643B8">
        <w:t xml:space="preserve"> </w:t>
      </w:r>
      <w:r w:rsidR="007A243D" w:rsidRPr="005643B8">
        <w:t>in terms of the number of students that</w:t>
      </w:r>
      <w:r w:rsidR="002027AB" w:rsidRPr="005643B8">
        <w:t xml:space="preserve"> accessed the </w:t>
      </w:r>
      <w:r w:rsidR="00BB455A" w:rsidRPr="005643B8">
        <w:t xml:space="preserve">VSL </w:t>
      </w:r>
      <w:r w:rsidR="002027AB" w:rsidRPr="005643B8">
        <w:t>program</w:t>
      </w:r>
      <w:r w:rsidR="3E1B027E" w:rsidRPr="005643B8">
        <w:t xml:space="preserve">. </w:t>
      </w:r>
      <w:r w:rsidR="007E761C" w:rsidRPr="005643B8">
        <w:t>TAFE Queenslan</w:t>
      </w:r>
      <w:r w:rsidR="00920AF4" w:rsidRPr="005643B8">
        <w:t>d</w:t>
      </w:r>
      <w:r w:rsidR="007E761C" w:rsidRPr="005643B8">
        <w:t xml:space="preserve"> </w:t>
      </w:r>
      <w:r w:rsidR="000822F0" w:rsidRPr="005643B8">
        <w:t>was</w:t>
      </w:r>
      <w:r w:rsidR="007E761C" w:rsidRPr="005643B8">
        <w:t xml:space="preserve"> the </w:t>
      </w:r>
      <w:r w:rsidR="00920AF4" w:rsidRPr="005643B8">
        <w:t xml:space="preserve">largest provider </w:t>
      </w:r>
      <w:r w:rsidR="000822F0" w:rsidRPr="005643B8">
        <w:t xml:space="preserve">enrolling </w:t>
      </w:r>
      <w:r w:rsidR="00920AF4" w:rsidRPr="005643B8">
        <w:t>about 20</w:t>
      </w:r>
      <w:r w:rsidR="0027132F" w:rsidRPr="005643B8">
        <w:t>%</w:t>
      </w:r>
      <w:r w:rsidR="00920AF4" w:rsidRPr="005643B8">
        <w:t xml:space="preserve"> (6</w:t>
      </w:r>
      <w:r w:rsidR="00FD49A8" w:rsidRPr="005643B8">
        <w:t>,433 students)</w:t>
      </w:r>
      <w:r w:rsidR="00920AF4" w:rsidRPr="005643B8">
        <w:t xml:space="preserve"> of </w:t>
      </w:r>
      <w:r w:rsidR="000822F0" w:rsidRPr="005643B8">
        <w:t xml:space="preserve">VSL </w:t>
      </w:r>
      <w:r w:rsidR="00643E6B" w:rsidRPr="005643B8">
        <w:t>students</w:t>
      </w:r>
      <w:r w:rsidR="00920AF4" w:rsidRPr="005643B8">
        <w:t xml:space="preserve">. </w:t>
      </w:r>
    </w:p>
    <w:p w14:paraId="133CB9A0" w14:textId="267A10AF" w:rsidR="006232FC" w:rsidRPr="005643B8" w:rsidRDefault="006232FC" w:rsidP="006232FC">
      <w:r w:rsidRPr="005643B8">
        <w:t xml:space="preserve">The average </w:t>
      </w:r>
      <w:r w:rsidR="006C0084" w:rsidRPr="005643B8">
        <w:t xml:space="preserve">amount charged in </w:t>
      </w:r>
      <w:r w:rsidRPr="005643B8">
        <w:t xml:space="preserve">tuition fees </w:t>
      </w:r>
      <w:r w:rsidR="000822F0" w:rsidRPr="005643B8">
        <w:t xml:space="preserve">was </w:t>
      </w:r>
      <w:r w:rsidR="003E6456" w:rsidRPr="005643B8">
        <w:t>around $7,800 (including aviation)</w:t>
      </w:r>
      <w:r w:rsidRPr="005643B8">
        <w:t xml:space="preserve"> and</w:t>
      </w:r>
      <w:r w:rsidR="006838EA" w:rsidRPr="005643B8">
        <w:t xml:space="preserve"> the average</w:t>
      </w:r>
      <w:r w:rsidRPr="005643B8">
        <w:t xml:space="preserve"> VSL loan per student </w:t>
      </w:r>
      <w:r w:rsidR="00A836E6" w:rsidRPr="005643B8">
        <w:t xml:space="preserve">was </w:t>
      </w:r>
      <w:r w:rsidRPr="005643B8">
        <w:t xml:space="preserve">around </w:t>
      </w:r>
      <w:r w:rsidR="00643E6B" w:rsidRPr="005643B8">
        <w:t>$7,400</w:t>
      </w:r>
      <w:r w:rsidRPr="005643B8">
        <w:t>.</w:t>
      </w:r>
      <w:r w:rsidR="004223A9" w:rsidRPr="005643B8">
        <w:t xml:space="preserve"> T</w:t>
      </w:r>
      <w:r w:rsidR="00035B02" w:rsidRPr="005643B8">
        <w:t>uition fees charged for aviation</w:t>
      </w:r>
      <w:r w:rsidR="000822F0" w:rsidRPr="005643B8">
        <w:t>-</w:t>
      </w:r>
      <w:r w:rsidR="00035B02" w:rsidRPr="005643B8">
        <w:t xml:space="preserve">related courses have an upward </w:t>
      </w:r>
      <w:r w:rsidRPr="005643B8">
        <w:t>impact</w:t>
      </w:r>
      <w:r w:rsidR="00035B02" w:rsidRPr="005643B8">
        <w:t xml:space="preserve"> on the average VSL loan amount.</w:t>
      </w:r>
      <w:r w:rsidRPr="005643B8">
        <w:t xml:space="preserve"> </w:t>
      </w:r>
      <w:bookmarkStart w:id="4" w:name="_Hlk141700426"/>
      <w:r w:rsidR="00B0232A" w:rsidRPr="005643B8">
        <w:t>Excluding aviation</w:t>
      </w:r>
      <w:r w:rsidR="00B030FD" w:rsidRPr="005643B8">
        <w:t xml:space="preserve"> courses</w:t>
      </w:r>
      <w:r w:rsidR="00B0232A" w:rsidRPr="005643B8">
        <w:t>, the average VSL amount is lower at about $5,200.</w:t>
      </w:r>
      <w:bookmarkEnd w:id="4"/>
    </w:p>
    <w:p w14:paraId="2EB1391D" w14:textId="26C22554" w:rsidR="0095650D" w:rsidRPr="005643B8" w:rsidRDefault="007114C9" w:rsidP="006232FC">
      <w:r>
        <w:t xml:space="preserve">VSL </w:t>
      </w:r>
      <w:r w:rsidR="00A5223B">
        <w:t>s</w:t>
      </w:r>
      <w:r w:rsidR="00153C8A" w:rsidRPr="005643B8">
        <w:t xml:space="preserve">tudents reported </w:t>
      </w:r>
      <w:r w:rsidR="008371BA" w:rsidRPr="005643B8">
        <w:t>undertaking</w:t>
      </w:r>
      <w:r w:rsidR="00485A58" w:rsidRPr="005643B8">
        <w:t xml:space="preserve"> their </w:t>
      </w:r>
      <w:r w:rsidR="00153C8A" w:rsidRPr="005643B8">
        <w:t>studi</w:t>
      </w:r>
      <w:r w:rsidR="004D22BE" w:rsidRPr="005643B8">
        <w:t xml:space="preserve">es </w:t>
      </w:r>
      <w:r w:rsidR="00715166" w:rsidRPr="005643B8">
        <w:t>in various ways</w:t>
      </w:r>
      <w:r w:rsidR="00485A58" w:rsidRPr="005643B8">
        <w:t xml:space="preserve">, including </w:t>
      </w:r>
      <w:r w:rsidR="00643E6B" w:rsidRPr="005643B8">
        <w:t>e</w:t>
      </w:r>
      <w:r w:rsidR="004D22BE" w:rsidRPr="005643B8">
        <w:t>mployer</w:t>
      </w:r>
      <w:r w:rsidR="000822F0" w:rsidRPr="005643B8">
        <w:t>-</w:t>
      </w:r>
      <w:r w:rsidR="004D22BE" w:rsidRPr="005643B8">
        <w:t xml:space="preserve">based training and </w:t>
      </w:r>
      <w:r w:rsidR="00DC7DF1" w:rsidRPr="005643B8">
        <w:t>online</w:t>
      </w:r>
      <w:r w:rsidR="00D90317" w:rsidRPr="005643B8">
        <w:t xml:space="preserve"> attendance. </w:t>
      </w:r>
      <w:r w:rsidR="00910021" w:rsidRPr="005643B8">
        <w:t>In-person training</w:t>
      </w:r>
      <w:r w:rsidR="00643E6B" w:rsidRPr="005643B8">
        <w:t xml:space="preserve"> </w:t>
      </w:r>
      <w:r w:rsidR="00910021" w:rsidRPr="005643B8">
        <w:t>remains</w:t>
      </w:r>
      <w:r w:rsidR="00643E6B" w:rsidRPr="005643B8">
        <w:t xml:space="preserve"> the most popular </w:t>
      </w:r>
      <w:r w:rsidR="00910021" w:rsidRPr="005643B8">
        <w:t xml:space="preserve">mode </w:t>
      </w:r>
      <w:r w:rsidR="009264EE" w:rsidRPr="005643B8">
        <w:t xml:space="preserve">of delivery </w:t>
      </w:r>
      <w:r w:rsidR="00910021" w:rsidRPr="005643B8">
        <w:t xml:space="preserve">for </w:t>
      </w:r>
      <w:r w:rsidR="00643E6B" w:rsidRPr="005643B8">
        <w:t xml:space="preserve">about </w:t>
      </w:r>
      <w:r w:rsidR="00B068B7" w:rsidRPr="005643B8">
        <w:t>60</w:t>
      </w:r>
      <w:r w:rsidR="00F11C5A" w:rsidRPr="005643B8">
        <w:t xml:space="preserve">% </w:t>
      </w:r>
      <w:r w:rsidR="00D90317" w:rsidRPr="005643B8">
        <w:t>of cou</w:t>
      </w:r>
      <w:r w:rsidR="00B068B7" w:rsidRPr="005643B8">
        <w:t xml:space="preserve">rses. </w:t>
      </w:r>
    </w:p>
    <w:p w14:paraId="3CC4BDC4" w14:textId="5BCBF26D" w:rsidR="00D3429A" w:rsidRDefault="00D3429A" w:rsidP="006232FC">
      <w:r w:rsidRPr="005643B8">
        <w:t xml:space="preserve">Indigenous </w:t>
      </w:r>
      <w:r w:rsidR="00CC1D5A">
        <w:t xml:space="preserve">Australian </w:t>
      </w:r>
      <w:r w:rsidRPr="005643B8">
        <w:t>student</w:t>
      </w:r>
      <w:r w:rsidR="00E31D6F" w:rsidRPr="005643B8">
        <w:t xml:space="preserve">s </w:t>
      </w:r>
      <w:r w:rsidR="003618BA" w:rsidRPr="005643B8">
        <w:t>make</w:t>
      </w:r>
      <w:r w:rsidR="00E31D6F" w:rsidRPr="005643B8">
        <w:t xml:space="preserve"> up about 3</w:t>
      </w:r>
      <w:r w:rsidR="00843ED2" w:rsidRPr="005643B8">
        <w:t>.2</w:t>
      </w:r>
      <w:r w:rsidR="00F11C5A" w:rsidRPr="005643B8">
        <w:t xml:space="preserve">% </w:t>
      </w:r>
      <w:r w:rsidR="00010499" w:rsidRPr="005643B8">
        <w:t>(</w:t>
      </w:r>
      <w:r w:rsidR="007E36F6" w:rsidRPr="005643B8">
        <w:t xml:space="preserve">960 students) </w:t>
      </w:r>
      <w:r w:rsidR="00E31D6F" w:rsidRPr="005643B8">
        <w:t xml:space="preserve">of the total number of VSL </w:t>
      </w:r>
      <w:r w:rsidR="00010499" w:rsidRPr="005643B8">
        <w:t>student</w:t>
      </w:r>
      <w:r w:rsidR="00EA23B9" w:rsidRPr="005643B8">
        <w:t>s with an</w:t>
      </w:r>
      <w:r w:rsidR="002D4049" w:rsidRPr="005643B8">
        <w:t xml:space="preserve"> average loan amount </w:t>
      </w:r>
      <w:r w:rsidR="00EA23B9" w:rsidRPr="005643B8">
        <w:t xml:space="preserve">of </w:t>
      </w:r>
      <w:r w:rsidR="002D4049" w:rsidRPr="005643B8">
        <w:t>around $</w:t>
      </w:r>
      <w:r w:rsidR="00690222" w:rsidRPr="005643B8">
        <w:t>6,000</w:t>
      </w:r>
      <w:r w:rsidR="003618BA" w:rsidRPr="005643B8">
        <w:t>. This</w:t>
      </w:r>
      <w:r w:rsidR="00984BBE" w:rsidRPr="005643B8">
        <w:t xml:space="preserve"> population distribution is broadly</w:t>
      </w:r>
      <w:r w:rsidR="003618BA" w:rsidRPr="005643B8">
        <w:t xml:space="preserve"> in line with the representation of Indigenous</w:t>
      </w:r>
      <w:r w:rsidR="003430B9" w:rsidRPr="005643B8">
        <w:t xml:space="preserve"> Australians in the general population. </w:t>
      </w:r>
      <w:r w:rsidR="007F0296">
        <w:t xml:space="preserve"> Of these about 43% (418) live outside major cities.</w:t>
      </w:r>
    </w:p>
    <w:p w14:paraId="21C7B654" w14:textId="2363647F" w:rsidR="00310A00" w:rsidRPr="005643B8" w:rsidRDefault="00310A00" w:rsidP="006232FC">
      <w:r>
        <w:t>Approximately 3,230 VSL students reported to be living with disability. This is about 10.8% of the VSL student population.</w:t>
      </w:r>
    </w:p>
    <w:p w14:paraId="3D2CA1A8" w14:textId="46A06F33" w:rsidR="00B0232A" w:rsidRPr="000F0FF4" w:rsidRDefault="00B0232A" w:rsidP="006232FC">
      <w:r w:rsidRPr="005643B8">
        <w:t>Two</w:t>
      </w:r>
      <w:r w:rsidRPr="000F0FF4">
        <w:t>-thirds of</w:t>
      </w:r>
      <w:r w:rsidR="007114C9">
        <w:t xml:space="preserve"> VSL</w:t>
      </w:r>
      <w:r w:rsidRPr="000F0FF4">
        <w:t xml:space="preserve"> students (2</w:t>
      </w:r>
      <w:r w:rsidR="009765EF">
        <w:t>0</w:t>
      </w:r>
      <w:r w:rsidRPr="000F0FF4">
        <w:t xml:space="preserve">,317) identify as female. About a third (9,532) identify as male and a small number identified as </w:t>
      </w:r>
      <w:r w:rsidR="000822F0" w:rsidRPr="000F0FF4">
        <w:t>i</w:t>
      </w:r>
      <w:r w:rsidR="00D451CC" w:rsidRPr="000F0FF4">
        <w:t>ndeterminate/</w:t>
      </w:r>
      <w:r w:rsidR="000822F0" w:rsidRPr="000F0FF4">
        <w:t>i</w:t>
      </w:r>
      <w:r w:rsidR="00D451CC" w:rsidRPr="000F0FF4">
        <w:t>ntersex/</w:t>
      </w:r>
      <w:r w:rsidR="000822F0" w:rsidRPr="000F0FF4">
        <w:t>u</w:t>
      </w:r>
      <w:r w:rsidR="00D451CC" w:rsidRPr="000F0FF4">
        <w:t>nspecified</w:t>
      </w:r>
      <w:r w:rsidR="00C60FE9" w:rsidRPr="000F0FF4">
        <w:t>.</w:t>
      </w:r>
      <w:r w:rsidRPr="000F0FF4">
        <w:t xml:space="preserve"> </w:t>
      </w:r>
    </w:p>
    <w:p w14:paraId="1E5FDF56" w14:textId="4B77BDBA" w:rsidR="00843ED2" w:rsidRPr="000F0FF4" w:rsidRDefault="00843ED2" w:rsidP="00843ED2">
      <w:r w:rsidRPr="000F0FF4">
        <w:t>Students from Culturally and Linguistically Diverse (CALD) backgrounds account for about 12</w:t>
      </w:r>
      <w:r w:rsidR="00F11C5A" w:rsidRPr="000F0FF4">
        <w:t xml:space="preserve">% </w:t>
      </w:r>
      <w:r w:rsidRPr="000F0FF4">
        <w:t>(3,603) of the VSL student population.</w:t>
      </w:r>
    </w:p>
    <w:p w14:paraId="3AC8D25D" w14:textId="56037B2E" w:rsidR="008F6EA2" w:rsidRPr="000F0FF4" w:rsidRDefault="000822F0" w:rsidP="008F6EA2">
      <w:r w:rsidRPr="000F0FF4">
        <w:t>Y</w:t>
      </w:r>
      <w:r w:rsidR="008B282A" w:rsidRPr="000F0FF4">
        <w:t xml:space="preserve">oung people under </w:t>
      </w:r>
      <w:r w:rsidR="001A0FFB">
        <w:t>2</w:t>
      </w:r>
      <w:r w:rsidR="008B282A" w:rsidRPr="000F0FF4">
        <w:t xml:space="preserve">5 years </w:t>
      </w:r>
      <w:r w:rsidR="00FE33FC" w:rsidRPr="000F0FF4">
        <w:t>of age</w:t>
      </w:r>
      <w:r w:rsidR="008B282A" w:rsidRPr="000F0FF4">
        <w:t xml:space="preserve"> account for </w:t>
      </w:r>
      <w:r w:rsidR="0098519D">
        <w:t xml:space="preserve">about half </w:t>
      </w:r>
      <w:r w:rsidR="008B282A" w:rsidRPr="000F0FF4">
        <w:t xml:space="preserve">of the VSL </w:t>
      </w:r>
      <w:r w:rsidR="00EA5D29" w:rsidRPr="000F0FF4">
        <w:t xml:space="preserve">student </w:t>
      </w:r>
      <w:r w:rsidR="008B282A" w:rsidRPr="000F0FF4">
        <w:t>population</w:t>
      </w:r>
      <w:r w:rsidR="009D1CD3">
        <w:t xml:space="preserve">, </w:t>
      </w:r>
      <w:r w:rsidR="00C6413B">
        <w:t xml:space="preserve">26 </w:t>
      </w:r>
      <w:r w:rsidR="0021180F">
        <w:t xml:space="preserve">– </w:t>
      </w:r>
      <w:r w:rsidR="00C6413B">
        <w:t xml:space="preserve">35 years </w:t>
      </w:r>
      <w:r w:rsidR="002E6823">
        <w:t xml:space="preserve">old </w:t>
      </w:r>
      <w:r w:rsidR="00C6413B">
        <w:t xml:space="preserve">account </w:t>
      </w:r>
      <w:r w:rsidR="00F63576" w:rsidRPr="00B65DF5">
        <w:t>for a further quarter</w:t>
      </w:r>
      <w:r w:rsidR="002E6823">
        <w:t xml:space="preserve"> of </w:t>
      </w:r>
      <w:r w:rsidR="002E6823" w:rsidRPr="000F0FF4">
        <w:t>the VSL student population</w:t>
      </w:r>
      <w:r w:rsidR="00F63576" w:rsidRPr="00B65DF5">
        <w:t xml:space="preserve">. </w:t>
      </w:r>
      <w:bookmarkStart w:id="5" w:name="_Hlk141771730"/>
    </w:p>
    <w:bookmarkEnd w:id="5"/>
    <w:p w14:paraId="40E2F935" w14:textId="42B6BF08" w:rsidR="00FD49A8" w:rsidRDefault="00551407" w:rsidP="006232FC">
      <w:r w:rsidRPr="000F0FF4">
        <w:t>Over 20</w:t>
      </w:r>
      <w:r w:rsidR="003A471C" w:rsidRPr="000F0FF4">
        <w:t>%</w:t>
      </w:r>
      <w:r w:rsidRPr="000F0FF4">
        <w:t xml:space="preserve"> of </w:t>
      </w:r>
      <w:r w:rsidR="007114C9">
        <w:t xml:space="preserve">VSL </w:t>
      </w:r>
      <w:r w:rsidRPr="000F0FF4">
        <w:t>student</w:t>
      </w:r>
      <w:r w:rsidR="006910EE" w:rsidRPr="000F0FF4">
        <w:t>s</w:t>
      </w:r>
      <w:r w:rsidRPr="000F0FF4">
        <w:t xml:space="preserve"> </w:t>
      </w:r>
      <w:r w:rsidR="000A2A6E" w:rsidRPr="000F0FF4">
        <w:t xml:space="preserve">reported </w:t>
      </w:r>
      <w:r w:rsidR="006910EE" w:rsidRPr="000F0FF4">
        <w:t>as</w:t>
      </w:r>
      <w:r w:rsidR="000A2A6E" w:rsidRPr="000F0FF4">
        <w:t xml:space="preserve"> liv</w:t>
      </w:r>
      <w:r w:rsidR="006910EE" w:rsidRPr="000F0FF4">
        <w:t>ing</w:t>
      </w:r>
      <w:r w:rsidR="000A2A6E" w:rsidRPr="000F0FF4">
        <w:t xml:space="preserve"> outside the major cities. </w:t>
      </w:r>
      <w:r w:rsidR="00D523D8" w:rsidRPr="000F0FF4">
        <w:t>The average VSL amount</w:t>
      </w:r>
      <w:r w:rsidR="00501338" w:rsidRPr="000F0FF4">
        <w:t>s</w:t>
      </w:r>
      <w:r w:rsidR="00D523D8" w:rsidRPr="000F0FF4">
        <w:t xml:space="preserve"> for student</w:t>
      </w:r>
      <w:r w:rsidR="00C41EB2" w:rsidRPr="000F0FF4">
        <w:t>s</w:t>
      </w:r>
      <w:r w:rsidR="00D523D8" w:rsidRPr="000F0FF4">
        <w:t xml:space="preserve"> in remote</w:t>
      </w:r>
      <w:r w:rsidR="001E4FEC" w:rsidRPr="000F0FF4">
        <w:t xml:space="preserve"> areas</w:t>
      </w:r>
      <w:r w:rsidR="00D523D8" w:rsidRPr="000F0FF4">
        <w:t xml:space="preserve"> </w:t>
      </w:r>
      <w:r w:rsidR="00862CF7" w:rsidRPr="000F0FF4">
        <w:t>(</w:t>
      </w:r>
      <w:r w:rsidR="002A6276" w:rsidRPr="000F0FF4">
        <w:t>$8,750)</w:t>
      </w:r>
      <w:r w:rsidR="00862CF7" w:rsidRPr="000F0FF4">
        <w:t xml:space="preserve"> </w:t>
      </w:r>
      <w:r w:rsidR="00D523D8" w:rsidRPr="000F0FF4">
        <w:t>and very remote</w:t>
      </w:r>
      <w:r w:rsidR="001E4FEC" w:rsidRPr="000F0FF4">
        <w:t xml:space="preserve"> areas</w:t>
      </w:r>
      <w:r w:rsidR="007F22C1" w:rsidRPr="000F0FF4">
        <w:t xml:space="preserve"> </w:t>
      </w:r>
      <w:r w:rsidR="002A6276" w:rsidRPr="000F0FF4">
        <w:t>($9,500)</w:t>
      </w:r>
      <w:r w:rsidR="00D523D8" w:rsidRPr="000F0FF4">
        <w:t xml:space="preserve"> are significantly higher than the general VSL average</w:t>
      </w:r>
      <w:r w:rsidR="00B02960" w:rsidRPr="000F0FF4">
        <w:t xml:space="preserve"> of </w:t>
      </w:r>
      <w:r w:rsidR="002811A1" w:rsidRPr="000F0FF4">
        <w:t xml:space="preserve">around </w:t>
      </w:r>
      <w:r w:rsidR="00B02960" w:rsidRPr="000F0FF4">
        <w:t>$7,400.</w:t>
      </w:r>
    </w:p>
    <w:p w14:paraId="38BDE615" w14:textId="4C1F8A44" w:rsidR="002B21B0" w:rsidRPr="000F0FF4" w:rsidRDefault="002B21B0" w:rsidP="006232FC">
      <w:r>
        <w:t xml:space="preserve">The number of VSL students and VSL loan amounts have been decreasing year on year. </w:t>
      </w:r>
      <w:r w:rsidR="00C4387A">
        <w:t xml:space="preserve">Student numbers decreased from </w:t>
      </w:r>
      <w:r w:rsidR="00BE4BDE">
        <w:t xml:space="preserve">a peak of </w:t>
      </w:r>
      <w:r w:rsidR="00B36967">
        <w:t xml:space="preserve">about 58,000 in 2018 </w:t>
      </w:r>
      <w:r w:rsidR="001A064F">
        <w:t xml:space="preserve">to about 30,000 in 2022. This is about a </w:t>
      </w:r>
      <w:r w:rsidR="00017979">
        <w:t xml:space="preserve">48% decrease in </w:t>
      </w:r>
      <w:r w:rsidR="00D449F9">
        <w:t>student numbers.</w:t>
      </w:r>
    </w:p>
    <w:p w14:paraId="44F9F177" w14:textId="194DEB91" w:rsidR="004E69F3" w:rsidRPr="00F460EF" w:rsidRDefault="00656430" w:rsidP="003D1711">
      <w:pPr>
        <w:sectPr w:rsidR="004E69F3" w:rsidRPr="00F460EF" w:rsidSect="00487DB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720" w:bottom="720" w:left="1134" w:header="426" w:footer="451" w:gutter="0"/>
          <w:cols w:space="708"/>
          <w:docGrid w:linePitch="360"/>
        </w:sectPr>
      </w:pPr>
      <w:r w:rsidRPr="005643B8">
        <w:t>Additional</w:t>
      </w:r>
      <w:r w:rsidR="00DB0F99" w:rsidRPr="005643B8">
        <w:t xml:space="preserve"> information </w:t>
      </w:r>
      <w:r w:rsidR="00500790" w:rsidRPr="005643B8">
        <w:t xml:space="preserve">on </w:t>
      </w:r>
      <w:r w:rsidR="007114C9">
        <w:t xml:space="preserve">VSL </w:t>
      </w:r>
      <w:r w:rsidR="00A54BAE" w:rsidRPr="005643B8">
        <w:t>student</w:t>
      </w:r>
      <w:r w:rsidR="00996143" w:rsidRPr="005643B8">
        <w:t>s</w:t>
      </w:r>
      <w:r w:rsidRPr="005643B8">
        <w:t>’ characteristics</w:t>
      </w:r>
      <w:r w:rsidR="00996143" w:rsidRPr="005643B8">
        <w:t xml:space="preserve">, </w:t>
      </w:r>
      <w:r w:rsidR="00233A19" w:rsidRPr="005643B8">
        <w:t xml:space="preserve">including </w:t>
      </w:r>
      <w:r w:rsidR="00A54BAE" w:rsidRPr="005643B8">
        <w:t xml:space="preserve">their </w:t>
      </w:r>
      <w:r w:rsidR="00855B05" w:rsidRPr="005643B8">
        <w:t>Indigenous</w:t>
      </w:r>
      <w:r w:rsidR="00996143" w:rsidRPr="005643B8">
        <w:t xml:space="preserve"> status</w:t>
      </w:r>
      <w:r w:rsidR="00BA1630" w:rsidRPr="005643B8">
        <w:t xml:space="preserve">, </w:t>
      </w:r>
      <w:r w:rsidR="0041058D" w:rsidRPr="005643B8">
        <w:t>gender</w:t>
      </w:r>
      <w:r w:rsidR="00996143" w:rsidRPr="005643B8">
        <w:t xml:space="preserve"> </w:t>
      </w:r>
      <w:r w:rsidR="00522A13" w:rsidRPr="005643B8">
        <w:t>and</w:t>
      </w:r>
      <w:r w:rsidR="0041058D" w:rsidRPr="005643B8">
        <w:t xml:space="preserve"> location</w:t>
      </w:r>
      <w:r w:rsidR="00FC735A" w:rsidRPr="005643B8">
        <w:t xml:space="preserve"> is provided in the analysis section below</w:t>
      </w:r>
      <w:r w:rsidR="008C3EF8" w:rsidRPr="005643B8">
        <w:t>.</w:t>
      </w:r>
    </w:p>
    <w:p w14:paraId="066A71E8" w14:textId="53581A0E" w:rsidR="00626E5C" w:rsidRPr="00CC3969" w:rsidRDefault="007577C9" w:rsidP="009F6571">
      <w:pPr>
        <w:pStyle w:val="Heading1"/>
        <w:rPr>
          <w:rFonts w:asciiTheme="majorHAnsi" w:hAnsiTheme="majorHAnsi"/>
          <w:color w:val="auto"/>
        </w:rPr>
      </w:pPr>
      <w:bookmarkStart w:id="6" w:name="_Toc147861833"/>
      <w:r w:rsidRPr="00CC3969">
        <w:rPr>
          <w:rFonts w:asciiTheme="majorHAnsi" w:hAnsiTheme="majorHAnsi"/>
          <w:color w:val="auto"/>
        </w:rPr>
        <w:lastRenderedPageBreak/>
        <w:t xml:space="preserve">Key </w:t>
      </w:r>
      <w:r w:rsidR="00EB4230" w:rsidRPr="00CC3969">
        <w:rPr>
          <w:rFonts w:asciiTheme="majorHAnsi" w:hAnsiTheme="majorHAnsi"/>
          <w:color w:val="auto"/>
        </w:rPr>
        <w:t>F</w:t>
      </w:r>
      <w:r w:rsidRPr="00CC3969">
        <w:rPr>
          <w:rFonts w:asciiTheme="majorHAnsi" w:hAnsiTheme="majorHAnsi"/>
          <w:color w:val="auto"/>
        </w:rPr>
        <w:t>indings</w:t>
      </w:r>
      <w:bookmarkEnd w:id="6"/>
      <w:r w:rsidRPr="00CC3969">
        <w:rPr>
          <w:rFonts w:asciiTheme="majorHAnsi" w:hAnsiTheme="majorHAnsi"/>
          <w:color w:val="auto"/>
        </w:rPr>
        <w:t xml:space="preserve"> </w:t>
      </w:r>
    </w:p>
    <w:p w14:paraId="55C6CDFE" w14:textId="43864726" w:rsidR="0025051A" w:rsidRDefault="0025051A" w:rsidP="003D1711">
      <w:r w:rsidRPr="00F460EF">
        <w:t xml:space="preserve">This section </w:t>
      </w:r>
      <w:r w:rsidR="00FC62F6" w:rsidRPr="00F460EF">
        <w:t>provides</w:t>
      </w:r>
      <w:r w:rsidR="008E351F" w:rsidRPr="00F460EF">
        <w:t xml:space="preserve"> an over</w:t>
      </w:r>
      <w:r w:rsidR="00866E77" w:rsidRPr="00F460EF">
        <w:t>view</w:t>
      </w:r>
      <w:r w:rsidR="008E351F" w:rsidRPr="00F460EF">
        <w:t xml:space="preserve"> of the VSL program</w:t>
      </w:r>
      <w:r w:rsidR="007876DD">
        <w:t xml:space="preserve"> from 2017 to 2022</w:t>
      </w:r>
      <w:r w:rsidR="007F2396">
        <w:t>.</w:t>
      </w:r>
      <w:r w:rsidR="00BE7A0A">
        <w:t xml:space="preserve"> </w:t>
      </w:r>
      <w:r w:rsidR="007F2396">
        <w:t>The 2022</w:t>
      </w:r>
      <w:r w:rsidR="00FC62F6" w:rsidRPr="00F460EF">
        <w:t xml:space="preserve"> </w:t>
      </w:r>
      <w:r w:rsidR="007F2396" w:rsidRPr="008419F6">
        <w:t xml:space="preserve">calendar year </w:t>
      </w:r>
      <w:r w:rsidR="007F2396">
        <w:t xml:space="preserve">analysis includes </w:t>
      </w:r>
      <w:r w:rsidR="00396125">
        <w:t xml:space="preserve">a </w:t>
      </w:r>
      <w:r w:rsidR="00FC62F6" w:rsidRPr="00F460EF">
        <w:t>breakd</w:t>
      </w:r>
      <w:r w:rsidR="00466D54" w:rsidRPr="00F460EF">
        <w:t xml:space="preserve">own by </w:t>
      </w:r>
      <w:r w:rsidR="00825306" w:rsidRPr="00F460EF">
        <w:t>provider type</w:t>
      </w:r>
      <w:r w:rsidR="00211CC1" w:rsidRPr="00F460EF">
        <w:t>,</w:t>
      </w:r>
      <w:r w:rsidR="00644BD1" w:rsidRPr="00F460EF">
        <w:t xml:space="preserve"> </w:t>
      </w:r>
      <w:r w:rsidR="007845BF" w:rsidRPr="00F460EF">
        <w:t>monthly figures, state,</w:t>
      </w:r>
      <w:r w:rsidR="00E65BEC" w:rsidRPr="00F460EF">
        <w:t xml:space="preserve"> gender, and </w:t>
      </w:r>
      <w:r w:rsidR="00855B05" w:rsidRPr="00F460EF">
        <w:t>Indigenous</w:t>
      </w:r>
      <w:r w:rsidR="00E65BEC" w:rsidRPr="00F460EF">
        <w:t xml:space="preserve"> </w:t>
      </w:r>
      <w:r w:rsidR="00E65BEC" w:rsidRPr="008419F6">
        <w:t>status.</w:t>
      </w:r>
    </w:p>
    <w:p w14:paraId="06B66DA5" w14:textId="5810FAED" w:rsidR="00B166C2" w:rsidRPr="00CC3969" w:rsidRDefault="00B166C2" w:rsidP="00CC3969">
      <w:pPr>
        <w:pStyle w:val="Heading2"/>
        <w:rPr>
          <w:rFonts w:asciiTheme="majorHAnsi" w:hAnsiTheme="majorHAnsi"/>
          <w:sz w:val="24"/>
          <w:szCs w:val="24"/>
        </w:rPr>
      </w:pPr>
      <w:bookmarkStart w:id="7" w:name="_Toc147861834"/>
      <w:r w:rsidRPr="00CC3969">
        <w:rPr>
          <w:rFonts w:asciiTheme="majorHAnsi" w:hAnsiTheme="majorHAnsi"/>
          <w:sz w:val="24"/>
          <w:szCs w:val="24"/>
        </w:rPr>
        <w:t>Time series analysis</w:t>
      </w:r>
      <w:r w:rsidR="00902A77">
        <w:rPr>
          <w:rFonts w:asciiTheme="majorHAnsi" w:hAnsiTheme="majorHAnsi"/>
          <w:sz w:val="24"/>
          <w:szCs w:val="24"/>
        </w:rPr>
        <w:t xml:space="preserve"> of the VSL program</w:t>
      </w:r>
      <w:r w:rsidRPr="00CC3969">
        <w:rPr>
          <w:rFonts w:asciiTheme="majorHAnsi" w:hAnsiTheme="majorHAnsi"/>
          <w:sz w:val="24"/>
          <w:szCs w:val="24"/>
        </w:rPr>
        <w:t xml:space="preserve"> – 2017 to 2022</w:t>
      </w:r>
      <w:bookmarkEnd w:id="7"/>
    </w:p>
    <w:p w14:paraId="2367EB11" w14:textId="692588D7" w:rsidR="00683719" w:rsidRDefault="007E0467" w:rsidP="003D1711">
      <w:r>
        <w:t>Between</w:t>
      </w:r>
      <w:r w:rsidR="00683719">
        <w:t xml:space="preserve"> </w:t>
      </w:r>
      <w:r w:rsidR="00286CA5">
        <w:t xml:space="preserve">1 </w:t>
      </w:r>
      <w:r w:rsidR="00412E89">
        <w:t>January</w:t>
      </w:r>
      <w:r w:rsidR="00286CA5">
        <w:t xml:space="preserve"> 2017</w:t>
      </w:r>
      <w:r>
        <w:t xml:space="preserve"> to </w:t>
      </w:r>
      <w:r w:rsidR="000708B1">
        <w:t xml:space="preserve">31 </w:t>
      </w:r>
      <w:r>
        <w:t>December 2022</w:t>
      </w:r>
      <w:r w:rsidR="00286CA5">
        <w:t xml:space="preserve">, the </w:t>
      </w:r>
      <w:r w:rsidR="004E6760">
        <w:t>Australian Government</w:t>
      </w:r>
      <w:r w:rsidR="009961A6">
        <w:t xml:space="preserve"> provided around $1.5 billion in </w:t>
      </w:r>
      <w:r w:rsidR="000708B1">
        <w:t xml:space="preserve">fiscal </w:t>
      </w:r>
      <w:r w:rsidR="009961A6">
        <w:t xml:space="preserve">outlays </w:t>
      </w:r>
      <w:r w:rsidR="007F3797">
        <w:t xml:space="preserve">through </w:t>
      </w:r>
      <w:r w:rsidR="00A839DE">
        <w:t xml:space="preserve">the </w:t>
      </w:r>
      <w:r w:rsidR="007F3797">
        <w:t xml:space="preserve">VSL program </w:t>
      </w:r>
      <w:r w:rsidR="00F14EA5">
        <w:t>to eligible students</w:t>
      </w:r>
      <w:r w:rsidR="007A3DFB">
        <w:t xml:space="preserve"> to</w:t>
      </w:r>
      <w:r w:rsidR="00C51AE0">
        <w:t xml:space="preserve"> </w:t>
      </w:r>
      <w:r w:rsidR="007A3DFB">
        <w:t>stud</w:t>
      </w:r>
      <w:r w:rsidR="00C51AE0">
        <w:t xml:space="preserve">y at approved </w:t>
      </w:r>
      <w:r w:rsidR="00116D28">
        <w:t>providers</w:t>
      </w:r>
      <w:r w:rsidR="003634C0">
        <w:t xml:space="preserve">. </w:t>
      </w:r>
      <w:r w:rsidR="00A839DE">
        <w:t>Over this period</w:t>
      </w:r>
      <w:r w:rsidR="00CD24A2">
        <w:t>,</w:t>
      </w:r>
      <w:r w:rsidR="00A839DE">
        <w:t xml:space="preserve"> t</w:t>
      </w:r>
      <w:r w:rsidR="002E6E1D">
        <w:t xml:space="preserve">he program </w:t>
      </w:r>
      <w:r w:rsidR="00E15D91">
        <w:t>assis</w:t>
      </w:r>
      <w:r w:rsidR="00A839DE">
        <w:t>ted</w:t>
      </w:r>
      <w:r w:rsidR="002E6E1D">
        <w:t xml:space="preserve"> about </w:t>
      </w:r>
      <w:r w:rsidR="00E15D91">
        <w:t xml:space="preserve">46,000 </w:t>
      </w:r>
      <w:r w:rsidR="00D66602">
        <w:t>students</w:t>
      </w:r>
      <w:r w:rsidR="00E15D91">
        <w:t xml:space="preserve"> </w:t>
      </w:r>
      <w:r w:rsidR="00152804">
        <w:t xml:space="preserve">with about </w:t>
      </w:r>
      <w:r w:rsidR="00D66602">
        <w:t xml:space="preserve">$251 million in VSL </w:t>
      </w:r>
      <w:r w:rsidR="00E15D91">
        <w:t>per year</w:t>
      </w:r>
      <w:r w:rsidR="00D66602">
        <w:t>,</w:t>
      </w:r>
      <w:r w:rsidR="00E15D91">
        <w:t xml:space="preserve"> on average</w:t>
      </w:r>
      <w:r w:rsidR="00D66602">
        <w:t xml:space="preserve">. </w:t>
      </w:r>
    </w:p>
    <w:p w14:paraId="79B3CDA9" w14:textId="5FFF9A16" w:rsidR="00D35A58" w:rsidRDefault="00A945DE" w:rsidP="003D1711">
      <w:r>
        <w:t xml:space="preserve">The number of VSL students and VSL </w:t>
      </w:r>
      <w:r w:rsidR="00007180">
        <w:t>loan</w:t>
      </w:r>
      <w:r w:rsidR="008B793C">
        <w:t xml:space="preserve"> amount</w:t>
      </w:r>
      <w:r w:rsidR="009540DC">
        <w:t>s</w:t>
      </w:r>
      <w:r w:rsidR="00007180">
        <w:t xml:space="preserve"> have been decreasing year on year</w:t>
      </w:r>
      <w:r w:rsidR="008B793C">
        <w:t>,</w:t>
      </w:r>
      <w:r w:rsidR="00D9389B">
        <w:t xml:space="preserve"> see </w:t>
      </w:r>
      <w:r w:rsidR="006C7A01">
        <w:t>F</w:t>
      </w:r>
      <w:r w:rsidR="00382C9C">
        <w:t>igure 1</w:t>
      </w:r>
      <w:r w:rsidR="00D9389B">
        <w:t xml:space="preserve"> below. </w:t>
      </w:r>
    </w:p>
    <w:p w14:paraId="5142BFD7" w14:textId="54DD61CC" w:rsidR="008D4209" w:rsidRDefault="00181BD1" w:rsidP="003D1711">
      <w:r>
        <w:t>Student numbers decreased from a peak of about 58,000 in 2018 to about 30,000 in 2022. This is about a 48% decrease in student numbers.</w:t>
      </w:r>
      <w:r w:rsidR="00C3270E">
        <w:t xml:space="preserve"> D</w:t>
      </w:r>
      <w:r w:rsidR="00033CFD">
        <w:t xml:space="preserve">emand for </w:t>
      </w:r>
      <w:r w:rsidR="00FA0098">
        <w:t xml:space="preserve">VSL </w:t>
      </w:r>
      <w:r w:rsidR="00F55483">
        <w:t xml:space="preserve">has been impacted by </w:t>
      </w:r>
      <w:r w:rsidR="00B944AC">
        <w:t>economic factors</w:t>
      </w:r>
      <w:r w:rsidR="009B3B44">
        <w:t xml:space="preserve"> </w:t>
      </w:r>
      <w:r w:rsidR="00A839DE">
        <w:t xml:space="preserve">such as a tight labour market and the implementation of programs </w:t>
      </w:r>
      <w:r w:rsidR="00D35A58">
        <w:t xml:space="preserve">such as </w:t>
      </w:r>
      <w:r w:rsidR="006D721D" w:rsidRPr="00CC3969">
        <w:t xml:space="preserve">JobTrainer and </w:t>
      </w:r>
      <w:r w:rsidR="00004BAB">
        <w:t>Fee</w:t>
      </w:r>
      <w:r w:rsidR="00BE7A0A">
        <w:t>-</w:t>
      </w:r>
      <w:r w:rsidR="006D721D" w:rsidRPr="00CC3969">
        <w:t>Free TAFE</w:t>
      </w:r>
      <w:r w:rsidR="00A4242A">
        <w:t xml:space="preserve">. </w:t>
      </w:r>
      <w:r w:rsidR="00054672">
        <w:t xml:space="preserve"> </w:t>
      </w:r>
    </w:p>
    <w:p w14:paraId="1CF0701C" w14:textId="6FBCF72D" w:rsidR="00A00B6B" w:rsidRPr="003F237A" w:rsidRDefault="00643350" w:rsidP="00CC3969">
      <w:pPr>
        <w:pStyle w:val="Heading3"/>
        <w:rPr>
          <w:rFonts w:cstheme="minorHAnsi"/>
        </w:rPr>
      </w:pPr>
      <w:bookmarkStart w:id="8" w:name="_Toc147861835"/>
      <w:r w:rsidRPr="00CC3969">
        <w:rPr>
          <w:rFonts w:cstheme="minorHAnsi"/>
          <w:color w:val="auto"/>
          <w:sz w:val="22"/>
          <w:szCs w:val="22"/>
        </w:rPr>
        <w:t xml:space="preserve">Figure </w:t>
      </w:r>
      <w:r w:rsidR="00BE507F" w:rsidRPr="00CC3969">
        <w:rPr>
          <w:rFonts w:cstheme="minorHAnsi"/>
          <w:color w:val="auto"/>
          <w:sz w:val="22"/>
          <w:szCs w:val="22"/>
        </w:rPr>
        <w:t xml:space="preserve">1: </w:t>
      </w:r>
      <w:r w:rsidR="00B2616B" w:rsidRPr="00CC3969">
        <w:rPr>
          <w:rFonts w:cstheme="minorHAnsi"/>
          <w:color w:val="auto"/>
          <w:sz w:val="22"/>
          <w:szCs w:val="22"/>
        </w:rPr>
        <w:t>VSL S</w:t>
      </w:r>
      <w:r w:rsidR="00E3708D" w:rsidRPr="00CC3969">
        <w:rPr>
          <w:rFonts w:cstheme="minorHAnsi"/>
          <w:color w:val="auto"/>
          <w:sz w:val="22"/>
          <w:szCs w:val="22"/>
        </w:rPr>
        <w:t xml:space="preserve">tudent numbers and VSL Loan amount (2017 to </w:t>
      </w:r>
      <w:r w:rsidR="00BE507F" w:rsidRPr="00CC3969">
        <w:rPr>
          <w:rFonts w:cstheme="minorHAnsi"/>
          <w:color w:val="auto"/>
          <w:sz w:val="22"/>
          <w:szCs w:val="22"/>
        </w:rPr>
        <w:t>2022</w:t>
      </w:r>
      <w:r w:rsidR="00A839DE">
        <w:rPr>
          <w:rFonts w:cstheme="minorHAnsi"/>
          <w:color w:val="auto"/>
          <w:sz w:val="22"/>
          <w:szCs w:val="22"/>
        </w:rPr>
        <w:t>)</w:t>
      </w:r>
      <w:bookmarkEnd w:id="8"/>
    </w:p>
    <w:p w14:paraId="44625344" w14:textId="1B1638AE" w:rsidR="00BE507F" w:rsidRPr="00F460EF" w:rsidRDefault="00BE507F" w:rsidP="003D1711">
      <w:r>
        <w:rPr>
          <w:noProof/>
        </w:rPr>
        <w:drawing>
          <wp:inline distT="0" distB="0" distL="0" distR="0" wp14:anchorId="3E891CE4" wp14:editId="65F27B37">
            <wp:extent cx="6362700" cy="4419600"/>
            <wp:effectExtent l="0" t="0" r="0" b="0"/>
            <wp:docPr id="20819762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C1E28D3-B7C2-9155-70D5-3B20E4FF58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3FB1AF3" w14:textId="77777777" w:rsidR="00FF4A60" w:rsidRDefault="00FF4A60" w:rsidP="00E6444C">
      <w:pPr>
        <w:pStyle w:val="Heading2"/>
        <w:rPr>
          <w:rFonts w:asciiTheme="majorHAnsi" w:hAnsiTheme="majorHAnsi"/>
          <w:sz w:val="24"/>
          <w:szCs w:val="24"/>
        </w:rPr>
      </w:pPr>
    </w:p>
    <w:p w14:paraId="0FB39061" w14:textId="77777777" w:rsidR="00997AAF" w:rsidRDefault="00997AAF" w:rsidP="00E6444C">
      <w:pPr>
        <w:pStyle w:val="Heading2"/>
        <w:rPr>
          <w:rFonts w:asciiTheme="majorHAnsi" w:hAnsiTheme="majorHAnsi"/>
          <w:sz w:val="24"/>
          <w:szCs w:val="24"/>
        </w:rPr>
      </w:pPr>
    </w:p>
    <w:p w14:paraId="0645722B" w14:textId="77777777" w:rsidR="00997AAF" w:rsidRDefault="00997AAF" w:rsidP="00E6444C">
      <w:pPr>
        <w:pStyle w:val="Heading2"/>
        <w:rPr>
          <w:rFonts w:asciiTheme="majorHAnsi" w:hAnsiTheme="majorHAnsi"/>
          <w:sz w:val="24"/>
          <w:szCs w:val="24"/>
        </w:rPr>
      </w:pPr>
    </w:p>
    <w:p w14:paraId="0286A0A8" w14:textId="77777777" w:rsidR="00997AAF" w:rsidRDefault="00997AAF" w:rsidP="00E6444C">
      <w:pPr>
        <w:pStyle w:val="Heading2"/>
        <w:rPr>
          <w:rFonts w:asciiTheme="majorHAnsi" w:hAnsiTheme="majorHAnsi"/>
          <w:sz w:val="24"/>
          <w:szCs w:val="24"/>
        </w:rPr>
      </w:pPr>
    </w:p>
    <w:p w14:paraId="700DD09A" w14:textId="77777777" w:rsidR="00997AAF" w:rsidRDefault="00997AAF" w:rsidP="00E6444C">
      <w:pPr>
        <w:pStyle w:val="Heading2"/>
        <w:rPr>
          <w:rFonts w:asciiTheme="majorHAnsi" w:hAnsiTheme="majorHAnsi"/>
          <w:sz w:val="24"/>
          <w:szCs w:val="24"/>
        </w:rPr>
      </w:pPr>
    </w:p>
    <w:p w14:paraId="7B79D692" w14:textId="77777777" w:rsidR="00AE273E" w:rsidRDefault="00AE273E" w:rsidP="00E6444C">
      <w:pPr>
        <w:pStyle w:val="Heading2"/>
        <w:rPr>
          <w:rFonts w:asciiTheme="majorHAnsi" w:hAnsiTheme="majorHAnsi"/>
          <w:sz w:val="24"/>
          <w:szCs w:val="24"/>
        </w:rPr>
      </w:pPr>
    </w:p>
    <w:p w14:paraId="31761A60" w14:textId="77777777" w:rsidR="00AE273E" w:rsidRDefault="00AE273E" w:rsidP="00E6444C">
      <w:pPr>
        <w:pStyle w:val="Heading2"/>
        <w:rPr>
          <w:rFonts w:asciiTheme="majorHAnsi" w:hAnsiTheme="majorHAnsi"/>
          <w:sz w:val="24"/>
          <w:szCs w:val="24"/>
        </w:rPr>
      </w:pPr>
    </w:p>
    <w:p w14:paraId="6F3546DD" w14:textId="0C298F96" w:rsidR="00A23666" w:rsidRPr="00CC3969" w:rsidRDefault="00A23666" w:rsidP="00E6444C">
      <w:pPr>
        <w:pStyle w:val="Heading2"/>
        <w:rPr>
          <w:rFonts w:asciiTheme="majorHAnsi" w:hAnsiTheme="majorHAnsi"/>
          <w:sz w:val="24"/>
          <w:szCs w:val="24"/>
        </w:rPr>
      </w:pPr>
      <w:bookmarkStart w:id="9" w:name="_Toc147861836"/>
      <w:r w:rsidRPr="00CC3969">
        <w:rPr>
          <w:rFonts w:asciiTheme="majorHAnsi" w:hAnsiTheme="majorHAnsi"/>
          <w:sz w:val="24"/>
          <w:szCs w:val="24"/>
        </w:rPr>
        <w:lastRenderedPageBreak/>
        <w:t xml:space="preserve">Approved </w:t>
      </w:r>
      <w:r w:rsidR="004F668E" w:rsidRPr="00CC3969">
        <w:rPr>
          <w:rFonts w:asciiTheme="majorHAnsi" w:hAnsiTheme="majorHAnsi"/>
          <w:sz w:val="24"/>
          <w:szCs w:val="24"/>
        </w:rPr>
        <w:t>p</w:t>
      </w:r>
      <w:r w:rsidRPr="00CC3969">
        <w:rPr>
          <w:rFonts w:asciiTheme="majorHAnsi" w:hAnsiTheme="majorHAnsi"/>
          <w:sz w:val="24"/>
          <w:szCs w:val="24"/>
        </w:rPr>
        <w:t>rovide</w:t>
      </w:r>
      <w:r w:rsidR="004F668E" w:rsidRPr="00CC3969">
        <w:rPr>
          <w:rFonts w:asciiTheme="majorHAnsi" w:hAnsiTheme="majorHAnsi"/>
          <w:sz w:val="24"/>
          <w:szCs w:val="24"/>
        </w:rPr>
        <w:t>r</w:t>
      </w:r>
      <w:r w:rsidRPr="00CC3969">
        <w:rPr>
          <w:rFonts w:asciiTheme="majorHAnsi" w:hAnsiTheme="majorHAnsi"/>
          <w:sz w:val="24"/>
          <w:szCs w:val="24"/>
        </w:rPr>
        <w:t xml:space="preserve"> </w:t>
      </w:r>
      <w:r w:rsidR="004F668E" w:rsidRPr="00CC3969">
        <w:rPr>
          <w:rFonts w:asciiTheme="majorHAnsi" w:hAnsiTheme="majorHAnsi"/>
          <w:sz w:val="24"/>
          <w:szCs w:val="24"/>
        </w:rPr>
        <w:t>t</w:t>
      </w:r>
      <w:r w:rsidRPr="00CC3969">
        <w:rPr>
          <w:rFonts w:asciiTheme="majorHAnsi" w:hAnsiTheme="majorHAnsi"/>
          <w:sz w:val="24"/>
          <w:szCs w:val="24"/>
        </w:rPr>
        <w:t>ype</w:t>
      </w:r>
      <w:bookmarkEnd w:id="9"/>
    </w:p>
    <w:p w14:paraId="0793D2B4" w14:textId="28412223" w:rsidR="007A28EE" w:rsidRDefault="007A28EE" w:rsidP="003D1711">
      <w:r>
        <w:t xml:space="preserve">There were 218 Registered Training Organisations (RTOs) that operated as approved course providers. </w:t>
      </w:r>
      <w:r w:rsidR="00A839DE">
        <w:t xml:space="preserve">Of these, </w:t>
      </w:r>
      <w:r>
        <w:t>155(71</w:t>
      </w:r>
      <w:r w:rsidR="001A2E67">
        <w:t> </w:t>
      </w:r>
      <w:r>
        <w:t xml:space="preserve">per cent) providers reported students that accessed the VSL program. </w:t>
      </w:r>
    </w:p>
    <w:p w14:paraId="44B4667E" w14:textId="2DF2F53C" w:rsidR="00BD442D" w:rsidRPr="00F460EF" w:rsidRDefault="006C7A01" w:rsidP="003D1711">
      <w:r>
        <w:t xml:space="preserve">A breakdown of the </w:t>
      </w:r>
      <w:r w:rsidR="007A28EE">
        <w:t xml:space="preserve">155 </w:t>
      </w:r>
      <w:r w:rsidR="004F668E" w:rsidRPr="00F460EF">
        <w:t xml:space="preserve">approved course providers </w:t>
      </w:r>
      <w:r w:rsidR="002142D6">
        <w:t xml:space="preserve">with </w:t>
      </w:r>
      <w:r w:rsidR="007A28EE">
        <w:t>VSL students</w:t>
      </w:r>
      <w:r w:rsidR="002142D6">
        <w:t xml:space="preserve"> in 2022</w:t>
      </w:r>
      <w:r>
        <w:t xml:space="preserve"> is below</w:t>
      </w:r>
      <w:r w:rsidR="004F668E" w:rsidRPr="00F460EF">
        <w:t xml:space="preserve">: </w:t>
      </w:r>
    </w:p>
    <w:p w14:paraId="31E9BE46" w14:textId="1D7AF7B3" w:rsidR="00A23666" w:rsidRPr="00F460EF" w:rsidRDefault="004F668E" w:rsidP="00BD442D">
      <w:pPr>
        <w:pStyle w:val="ListParagraph"/>
        <w:numPr>
          <w:ilvl w:val="0"/>
          <w:numId w:val="23"/>
        </w:numPr>
      </w:pPr>
      <w:r w:rsidRPr="00F460EF">
        <w:t>2</w:t>
      </w:r>
      <w:r w:rsidR="00682EF6">
        <w:t>3</w:t>
      </w:r>
      <w:r w:rsidR="00814BC9" w:rsidRPr="00F460EF">
        <w:t xml:space="preserve"> </w:t>
      </w:r>
      <w:r w:rsidR="002142D6">
        <w:t>we</w:t>
      </w:r>
      <w:r w:rsidR="00814BC9" w:rsidRPr="00F460EF">
        <w:t>re</w:t>
      </w:r>
      <w:r w:rsidRPr="00F460EF">
        <w:t xml:space="preserve"> </w:t>
      </w:r>
      <w:r w:rsidR="00D61FEE" w:rsidRPr="00F460EF">
        <w:t>TAFEs</w:t>
      </w:r>
    </w:p>
    <w:p w14:paraId="73D99608" w14:textId="575EE54F" w:rsidR="00BD442D" w:rsidRPr="00F460EF" w:rsidRDefault="007A28EE" w:rsidP="00BD442D">
      <w:pPr>
        <w:pStyle w:val="ListParagraph"/>
        <w:numPr>
          <w:ilvl w:val="0"/>
          <w:numId w:val="23"/>
        </w:numPr>
      </w:pPr>
      <w:r>
        <w:t>9</w:t>
      </w:r>
      <w:r w:rsidR="00DD01EF" w:rsidRPr="00F460EF">
        <w:t xml:space="preserve"> </w:t>
      </w:r>
      <w:r w:rsidR="002142D6">
        <w:t>we</w:t>
      </w:r>
      <w:r w:rsidR="007E478A" w:rsidRPr="00F460EF">
        <w:t xml:space="preserve">re </w:t>
      </w:r>
      <w:r w:rsidR="004F668E" w:rsidRPr="00F460EF">
        <w:t>o</w:t>
      </w:r>
      <w:r w:rsidR="00BD442D" w:rsidRPr="00F460EF">
        <w:t xml:space="preserve">ther </w:t>
      </w:r>
      <w:r w:rsidR="004F668E" w:rsidRPr="00F460EF">
        <w:t>p</w:t>
      </w:r>
      <w:r w:rsidR="002C71C2" w:rsidRPr="00F460EF">
        <w:t>ublic institution</w:t>
      </w:r>
      <w:r w:rsidR="004F668E" w:rsidRPr="00F460EF">
        <w:t>s</w:t>
      </w:r>
      <w:r w:rsidR="00DA0CBB" w:rsidRPr="00F460EF">
        <w:t xml:space="preserve"> (including public universities and other </w:t>
      </w:r>
      <w:r w:rsidR="00213EB9" w:rsidRPr="00F460EF">
        <w:t xml:space="preserve">non-TAFE </w:t>
      </w:r>
      <w:r w:rsidR="002D37CC" w:rsidRPr="00F460EF">
        <w:t>publicly owned</w:t>
      </w:r>
      <w:r w:rsidR="00DA0CBB" w:rsidRPr="00F460EF">
        <w:t xml:space="preserve"> providers)</w:t>
      </w:r>
      <w:r w:rsidR="00A42616" w:rsidRPr="00F460EF">
        <w:t>,</w:t>
      </w:r>
      <w:r w:rsidR="002C71C2" w:rsidRPr="00F460EF">
        <w:t xml:space="preserve"> and</w:t>
      </w:r>
    </w:p>
    <w:p w14:paraId="4CA2126B" w14:textId="24766EE7" w:rsidR="002C71C2" w:rsidRPr="00F460EF" w:rsidRDefault="004F668E" w:rsidP="00BD442D">
      <w:pPr>
        <w:pStyle w:val="ListParagraph"/>
        <w:numPr>
          <w:ilvl w:val="0"/>
          <w:numId w:val="23"/>
        </w:numPr>
      </w:pPr>
      <w:r w:rsidRPr="00F460EF">
        <w:t>1</w:t>
      </w:r>
      <w:r w:rsidR="007A28EE">
        <w:t>23</w:t>
      </w:r>
      <w:r w:rsidRPr="00F460EF">
        <w:t xml:space="preserve"> </w:t>
      </w:r>
      <w:r w:rsidR="002142D6">
        <w:t>we</w:t>
      </w:r>
      <w:r w:rsidR="007E478A" w:rsidRPr="00F460EF">
        <w:t xml:space="preserve">re </w:t>
      </w:r>
      <w:r w:rsidR="00080027">
        <w:t>independent</w:t>
      </w:r>
      <w:r w:rsidR="002C71C2" w:rsidRPr="00F460EF">
        <w:t xml:space="preserve"> providers</w:t>
      </w:r>
      <w:r w:rsidR="00DA0CBB" w:rsidRPr="00F460EF">
        <w:t xml:space="preserve"> (including </w:t>
      </w:r>
      <w:r w:rsidR="00080027">
        <w:t>independent</w:t>
      </w:r>
      <w:r w:rsidR="00DA0CBB" w:rsidRPr="00F460EF">
        <w:t xml:space="preserve"> universities</w:t>
      </w:r>
      <w:r w:rsidR="004D7E35" w:rsidRPr="00F460EF">
        <w:t>,</w:t>
      </w:r>
      <w:r w:rsidR="00DA0CBB" w:rsidRPr="00F460EF">
        <w:t xml:space="preserve"> and both not-for-profit and for</w:t>
      </w:r>
      <w:r w:rsidR="001A2E67">
        <w:noBreakHyphen/>
      </w:r>
      <w:r w:rsidR="00DA0CBB" w:rsidRPr="00F460EF">
        <w:t xml:space="preserve">profit </w:t>
      </w:r>
      <w:r w:rsidR="00080027">
        <w:t>independent</w:t>
      </w:r>
      <w:r w:rsidR="00DA0CBB" w:rsidRPr="00F460EF">
        <w:t xml:space="preserve"> providers)</w:t>
      </w:r>
      <w:r w:rsidR="00BF71BD">
        <w:t>.</w:t>
      </w:r>
    </w:p>
    <w:p w14:paraId="7F6F72C9" w14:textId="032380BF" w:rsidR="00AC29F5" w:rsidRDefault="0071315A" w:rsidP="003D1711">
      <w:r w:rsidRPr="00F460EF">
        <w:t>TAFEs</w:t>
      </w:r>
      <w:r w:rsidR="006910EE" w:rsidRPr="00F460EF">
        <w:t>,</w:t>
      </w:r>
      <w:r w:rsidRPr="00F460EF">
        <w:t xml:space="preserve"> </w:t>
      </w:r>
      <w:r w:rsidR="00374023" w:rsidRPr="00F460EF">
        <w:t xml:space="preserve">as the state </w:t>
      </w:r>
      <w:r w:rsidR="00A21B66" w:rsidRPr="00F460EF">
        <w:t xml:space="preserve">and territory </w:t>
      </w:r>
      <w:r w:rsidR="00374023" w:rsidRPr="00F460EF">
        <w:t>government</w:t>
      </w:r>
      <w:r w:rsidR="00A21B66" w:rsidRPr="00F460EF">
        <w:t>s</w:t>
      </w:r>
      <w:r w:rsidR="0024568D" w:rsidRPr="00F460EF">
        <w:t>’</w:t>
      </w:r>
      <w:r w:rsidR="00A21B66" w:rsidRPr="00F460EF">
        <w:t xml:space="preserve"> </w:t>
      </w:r>
      <w:r w:rsidR="001E6F33" w:rsidRPr="00F460EF">
        <w:t xml:space="preserve">main </w:t>
      </w:r>
      <w:r w:rsidR="00A21B66" w:rsidRPr="00F460EF">
        <w:t>provider</w:t>
      </w:r>
      <w:r w:rsidR="0024568D" w:rsidRPr="00F460EF">
        <w:t>s</w:t>
      </w:r>
      <w:r w:rsidR="00A21B66" w:rsidRPr="00F460EF">
        <w:t xml:space="preserve"> </w:t>
      </w:r>
      <w:r w:rsidR="001E6F33" w:rsidRPr="00F460EF">
        <w:t xml:space="preserve">of vocational </w:t>
      </w:r>
      <w:r w:rsidR="00913F58" w:rsidRPr="00F460EF">
        <w:t>education and training</w:t>
      </w:r>
      <w:r w:rsidR="00BB3A40" w:rsidRPr="00F460EF">
        <w:t>,</w:t>
      </w:r>
      <w:r w:rsidR="00913F58" w:rsidRPr="00F460EF">
        <w:t xml:space="preserve"> </w:t>
      </w:r>
      <w:r w:rsidR="00195BF6" w:rsidRPr="00F460EF">
        <w:t xml:space="preserve">have the largest number of </w:t>
      </w:r>
      <w:r w:rsidR="00213A64" w:rsidRPr="00F460EF">
        <w:t>VSL students</w:t>
      </w:r>
      <w:r w:rsidR="00BB3A40" w:rsidRPr="00F460EF">
        <w:t xml:space="preserve"> among provider types</w:t>
      </w:r>
      <w:r w:rsidR="00160A9D" w:rsidRPr="00F460EF">
        <w:t>.</w:t>
      </w:r>
      <w:r w:rsidR="007A6CA0">
        <w:t xml:space="preserve"> TAFE Queensland</w:t>
      </w:r>
      <w:r w:rsidR="00EC6DF6">
        <w:t xml:space="preserve"> </w:t>
      </w:r>
      <w:r w:rsidR="006F19E5">
        <w:t>is the</w:t>
      </w:r>
      <w:r w:rsidR="00DE2ACD">
        <w:t xml:space="preserve"> largest</w:t>
      </w:r>
      <w:r w:rsidR="00747C50">
        <w:t xml:space="preserve"> VSL</w:t>
      </w:r>
      <w:r w:rsidR="00DE2ACD">
        <w:t xml:space="preserve"> </w:t>
      </w:r>
      <w:r w:rsidR="006F19E5">
        <w:t>provider,</w:t>
      </w:r>
      <w:r w:rsidR="00DE2ACD">
        <w:t xml:space="preserve"> and its </w:t>
      </w:r>
      <w:r w:rsidR="006C7A01">
        <w:t>delivery of the</w:t>
      </w:r>
      <w:r w:rsidR="006C5D47">
        <w:t xml:space="preserve"> </w:t>
      </w:r>
      <w:r w:rsidR="006F19E5">
        <w:t>Diploma of Nursing</w:t>
      </w:r>
      <w:r w:rsidR="006C7A01">
        <w:t xml:space="preserve">, which is the </w:t>
      </w:r>
      <w:r w:rsidR="00747C50">
        <w:t>most</w:t>
      </w:r>
      <w:r w:rsidR="006F19E5">
        <w:t xml:space="preserve"> popular </w:t>
      </w:r>
      <w:r w:rsidR="006C7A01">
        <w:t xml:space="preserve">VSL </w:t>
      </w:r>
      <w:r w:rsidR="006F19E5">
        <w:t>course</w:t>
      </w:r>
      <w:r w:rsidR="006C7A01">
        <w:t>,</w:t>
      </w:r>
      <w:r w:rsidR="00747C50">
        <w:t xml:space="preserve"> </w:t>
      </w:r>
      <w:r w:rsidR="00327C05">
        <w:t xml:space="preserve">contributes to the </w:t>
      </w:r>
      <w:r w:rsidR="006E0C2E">
        <w:t>higher proportion of VSL students in TAF</w:t>
      </w:r>
      <w:r w:rsidR="004E65EB">
        <w:t>E</w:t>
      </w:r>
      <w:r w:rsidR="006C7A01">
        <w:t>s</w:t>
      </w:r>
      <w:r w:rsidR="00606E67">
        <w:t xml:space="preserve"> compared to the other provider types.</w:t>
      </w:r>
    </w:p>
    <w:p w14:paraId="7CCD2B4D" w14:textId="797FFB09" w:rsidR="007A44D2" w:rsidRPr="00F460EF" w:rsidRDefault="00160A9D" w:rsidP="003D1711">
      <w:r w:rsidRPr="00F460EF">
        <w:t>Public provider</w:t>
      </w:r>
      <w:r w:rsidR="00BB3A40" w:rsidRPr="00F460EF">
        <w:t>s</w:t>
      </w:r>
      <w:r w:rsidRPr="00F460EF">
        <w:t xml:space="preserve"> (TAFEs and other </w:t>
      </w:r>
      <w:r w:rsidR="0071315A" w:rsidRPr="00F460EF">
        <w:t>public providers</w:t>
      </w:r>
      <w:r w:rsidRPr="00F460EF">
        <w:t>)</w:t>
      </w:r>
      <w:r w:rsidR="0071315A" w:rsidRPr="00F460EF">
        <w:t xml:space="preserve"> </w:t>
      </w:r>
      <w:r w:rsidR="00BB3A40" w:rsidRPr="00F460EF">
        <w:t xml:space="preserve">account for about </w:t>
      </w:r>
      <w:r w:rsidR="008B3D5C" w:rsidRPr="00F460EF">
        <w:t>6</w:t>
      </w:r>
      <w:r w:rsidR="00D842F9" w:rsidRPr="00F460EF">
        <w:t>4</w:t>
      </w:r>
      <w:r w:rsidR="003A471C" w:rsidRPr="00F460EF">
        <w:t>%</w:t>
      </w:r>
      <w:r w:rsidR="008106E3" w:rsidRPr="00F460EF">
        <w:t xml:space="preserve"> </w:t>
      </w:r>
      <w:r w:rsidR="0006782B" w:rsidRPr="00F460EF">
        <w:t xml:space="preserve">of </w:t>
      </w:r>
      <w:r w:rsidR="008106E3" w:rsidRPr="00F460EF">
        <w:t xml:space="preserve">students that </w:t>
      </w:r>
      <w:r w:rsidR="00866E77" w:rsidRPr="00F460EF">
        <w:t xml:space="preserve">accessed </w:t>
      </w:r>
      <w:r w:rsidR="008106E3" w:rsidRPr="00F460EF">
        <w:t>VSL</w:t>
      </w:r>
      <w:r w:rsidR="00866E77" w:rsidRPr="00F460EF">
        <w:t xml:space="preserve"> in 2022</w:t>
      </w:r>
      <w:r w:rsidR="00B43756" w:rsidRPr="00F460EF">
        <w:t>.</w:t>
      </w:r>
      <w:r w:rsidR="0045211A" w:rsidRPr="00F460EF">
        <w:t xml:space="preserve"> </w:t>
      </w:r>
      <w:r w:rsidR="00C200C3" w:rsidRPr="00F460EF">
        <w:t xml:space="preserve">See </w:t>
      </w:r>
      <w:r w:rsidR="00DF5C6C" w:rsidRPr="00F460EF">
        <w:t>T</w:t>
      </w:r>
      <w:r w:rsidR="00C200C3" w:rsidRPr="00F460EF">
        <w:t>able</w:t>
      </w:r>
      <w:r w:rsidR="00B43756" w:rsidRPr="00F460EF">
        <w:t xml:space="preserve"> </w:t>
      </w:r>
      <w:r w:rsidR="009E1339" w:rsidRPr="00F460EF">
        <w:t>1</w:t>
      </w:r>
      <w:r w:rsidR="00C200C3" w:rsidRPr="00F460EF">
        <w:t xml:space="preserve"> below</w:t>
      </w:r>
      <w:r w:rsidR="006C7A01">
        <w:t xml:space="preserve"> for further information</w:t>
      </w:r>
      <w:r w:rsidR="00A33A3C" w:rsidRPr="00F460EF">
        <w:t>.</w:t>
      </w:r>
      <w:r w:rsidR="00EF22B9" w:rsidRPr="00F460EF">
        <w:t xml:space="preserve"> </w:t>
      </w:r>
    </w:p>
    <w:p w14:paraId="7FC310DC" w14:textId="72DF180C" w:rsidR="006D58A4" w:rsidRPr="003F237A" w:rsidRDefault="00C40904" w:rsidP="00CC3969">
      <w:pPr>
        <w:pStyle w:val="Heading3"/>
      </w:pPr>
      <w:bookmarkStart w:id="10" w:name="_Toc147861837"/>
      <w:r w:rsidRPr="00CC3969">
        <w:rPr>
          <w:rFonts w:cstheme="minorHAnsi"/>
          <w:color w:val="auto"/>
          <w:sz w:val="22"/>
          <w:szCs w:val="22"/>
        </w:rPr>
        <w:t xml:space="preserve">Table 1: </w:t>
      </w:r>
      <w:r w:rsidR="001209AA" w:rsidRPr="00CC3969">
        <w:rPr>
          <w:rFonts w:cstheme="minorHAnsi"/>
          <w:color w:val="auto"/>
          <w:sz w:val="22"/>
          <w:szCs w:val="22"/>
        </w:rPr>
        <w:t xml:space="preserve">Number </w:t>
      </w:r>
      <w:r w:rsidR="00F16BE9" w:rsidRPr="00CC3969">
        <w:rPr>
          <w:rFonts w:cstheme="minorHAnsi"/>
          <w:color w:val="auto"/>
          <w:sz w:val="22"/>
          <w:szCs w:val="22"/>
        </w:rPr>
        <w:t xml:space="preserve">and percentage </w:t>
      </w:r>
      <w:r w:rsidR="001209AA" w:rsidRPr="00CC3969">
        <w:rPr>
          <w:rFonts w:cstheme="minorHAnsi"/>
          <w:color w:val="auto"/>
          <w:sz w:val="22"/>
          <w:szCs w:val="22"/>
        </w:rPr>
        <w:t xml:space="preserve">of </w:t>
      </w:r>
      <w:r w:rsidR="007229AC" w:rsidRPr="00CC3969">
        <w:rPr>
          <w:rFonts w:cstheme="minorHAnsi"/>
          <w:color w:val="auto"/>
          <w:sz w:val="22"/>
          <w:szCs w:val="22"/>
        </w:rPr>
        <w:t xml:space="preserve">VSL </w:t>
      </w:r>
      <w:r w:rsidR="00F16BE9" w:rsidRPr="00CC3969">
        <w:rPr>
          <w:rFonts w:cstheme="minorHAnsi"/>
          <w:color w:val="auto"/>
          <w:sz w:val="22"/>
          <w:szCs w:val="22"/>
        </w:rPr>
        <w:t xml:space="preserve">providers and </w:t>
      </w:r>
      <w:r w:rsidR="002B10EC" w:rsidRPr="00CC3969">
        <w:rPr>
          <w:rFonts w:cstheme="minorHAnsi"/>
          <w:color w:val="auto"/>
          <w:sz w:val="22"/>
          <w:szCs w:val="22"/>
        </w:rPr>
        <w:t>s</w:t>
      </w:r>
      <w:r w:rsidR="007229AC" w:rsidRPr="00CC3969">
        <w:rPr>
          <w:rFonts w:cstheme="minorHAnsi"/>
          <w:color w:val="auto"/>
          <w:sz w:val="22"/>
          <w:szCs w:val="22"/>
        </w:rPr>
        <w:t xml:space="preserve">tudents </w:t>
      </w:r>
      <w:r w:rsidR="006338AF" w:rsidRPr="00CC3969">
        <w:rPr>
          <w:rFonts w:cstheme="minorHAnsi"/>
          <w:color w:val="auto"/>
          <w:sz w:val="22"/>
          <w:szCs w:val="22"/>
        </w:rPr>
        <w:t xml:space="preserve">by </w:t>
      </w:r>
      <w:r w:rsidR="00E56D88" w:rsidRPr="00CC3969">
        <w:rPr>
          <w:rFonts w:cstheme="minorHAnsi"/>
          <w:color w:val="auto"/>
          <w:sz w:val="22"/>
          <w:szCs w:val="22"/>
        </w:rPr>
        <w:t>p</w:t>
      </w:r>
      <w:r w:rsidR="006338AF" w:rsidRPr="00CC3969">
        <w:rPr>
          <w:rFonts w:cstheme="minorHAnsi"/>
          <w:color w:val="auto"/>
          <w:sz w:val="22"/>
          <w:szCs w:val="22"/>
        </w:rPr>
        <w:t xml:space="preserve">rovider </w:t>
      </w:r>
      <w:r w:rsidR="00491548" w:rsidRPr="00CC3969">
        <w:rPr>
          <w:rFonts w:cstheme="minorHAnsi"/>
          <w:color w:val="auto"/>
          <w:sz w:val="22"/>
          <w:szCs w:val="22"/>
        </w:rPr>
        <w:t>type</w:t>
      </w:r>
      <w:r w:rsidR="00F16BE9" w:rsidRPr="00CC3969">
        <w:rPr>
          <w:rFonts w:cstheme="minorHAnsi"/>
          <w:color w:val="auto"/>
          <w:sz w:val="22"/>
          <w:szCs w:val="22"/>
        </w:rPr>
        <w:t>, 2022</w:t>
      </w:r>
      <w:bookmarkEnd w:id="10"/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488"/>
        <w:gridCol w:w="1246"/>
        <w:gridCol w:w="1559"/>
        <w:gridCol w:w="1276"/>
        <w:gridCol w:w="1701"/>
      </w:tblGrid>
      <w:tr w:rsidR="00750E48" w:rsidRPr="00B876D6" w14:paraId="3299007E" w14:textId="77777777" w:rsidTr="00CC3969">
        <w:trPr>
          <w:trHeight w:val="394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36C0A" w:themeFill="accent6" w:themeFillShade="BF"/>
          </w:tcPr>
          <w:p w14:paraId="6A794F88" w14:textId="77777777" w:rsidR="00750E48" w:rsidRPr="00B876D6" w:rsidRDefault="00750E48" w:rsidP="001D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Provider Type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36C0A" w:themeFill="accent6" w:themeFillShade="BF"/>
          </w:tcPr>
          <w:p w14:paraId="008DA0C4" w14:textId="6361B128" w:rsidR="00750E48" w:rsidRPr="00B876D6" w:rsidRDefault="00750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Providers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17B5C025" w14:textId="7312AFBC" w:rsidR="00750E48" w:rsidRPr="00B876D6" w:rsidRDefault="00750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 xml:space="preserve"> Students</w:t>
            </w:r>
          </w:p>
        </w:tc>
      </w:tr>
      <w:tr w:rsidR="00FE1871" w:rsidRPr="00B876D6" w14:paraId="3A0D5E69" w14:textId="77777777" w:rsidTr="00CC3969">
        <w:trPr>
          <w:trHeight w:val="290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4AC54" w14:textId="77777777" w:rsidR="00FE1871" w:rsidRPr="00B876D6" w:rsidRDefault="00FE1871" w:rsidP="001D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5843E217" w14:textId="085B97F7" w:rsidR="00FE1871" w:rsidRPr="00B876D6" w:rsidRDefault="0006353B" w:rsidP="000332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N</w:t>
            </w:r>
            <w:r w:rsidR="00FE1871" w:rsidRPr="00B876D6">
              <w:rPr>
                <w:rFonts w:ascii="Calibri" w:hAnsi="Calibri" w:cs="Calibri"/>
                <w:sz w:val="20"/>
                <w:szCs w:val="20"/>
              </w:rPr>
              <w:t>umber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3F456273" w14:textId="77777777" w:rsidR="00FE1871" w:rsidRPr="00B876D6" w:rsidRDefault="00FE1871" w:rsidP="000332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Percentage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63DEA44D" w14:textId="5A8E05FD" w:rsidR="00FE1871" w:rsidRPr="00B876D6" w:rsidRDefault="0006353B" w:rsidP="000332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N</w:t>
            </w:r>
            <w:r w:rsidR="00FE1871" w:rsidRPr="00B876D6">
              <w:rPr>
                <w:rFonts w:ascii="Calibri" w:hAnsi="Calibri" w:cs="Calibri"/>
                <w:sz w:val="20"/>
                <w:szCs w:val="20"/>
              </w:rPr>
              <w:t>umber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F520599" w14:textId="77777777" w:rsidR="00FE1871" w:rsidRPr="00B876D6" w:rsidRDefault="00FE1871" w:rsidP="000332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Percentage</w:t>
            </w:r>
          </w:p>
        </w:tc>
      </w:tr>
      <w:tr w:rsidR="005E1550" w:rsidRPr="00B876D6" w14:paraId="0A6C9396" w14:textId="77777777" w:rsidTr="00CC3969">
        <w:trPr>
          <w:trHeight w:val="290"/>
        </w:trPr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F0CB37" w14:textId="77777777" w:rsidR="000D5690" w:rsidRPr="00B876D6" w:rsidRDefault="000D5690" w:rsidP="001D3AE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TAFE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F7B6" w14:textId="77777777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BEF55" w14:textId="0B6992FF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9792" w14:textId="2038F156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14,028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03F8BA72" w14:textId="34E00801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46.7</w:t>
            </w:r>
          </w:p>
        </w:tc>
      </w:tr>
      <w:tr w:rsidR="005E1550" w:rsidRPr="00B876D6" w14:paraId="22D12A01" w14:textId="77777777" w:rsidTr="00CC3969">
        <w:trPr>
          <w:trHeight w:val="290"/>
        </w:trPr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C5120C" w14:textId="77777777" w:rsidR="000D5690" w:rsidRPr="00B876D6" w:rsidRDefault="000D56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Other Public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523DFC" w14:textId="77777777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20CE67" w14:textId="6A62DB6F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9B27F2" w14:textId="674B6524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5,187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5869A6" w14:textId="6078D087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17.3</w:t>
            </w:r>
          </w:p>
        </w:tc>
      </w:tr>
      <w:tr w:rsidR="005E1550" w:rsidRPr="00B876D6" w14:paraId="79F6D825" w14:textId="77777777" w:rsidTr="00CC3969">
        <w:trPr>
          <w:trHeight w:val="290"/>
        </w:trPr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07F26" w14:textId="77777777" w:rsidR="000D5690" w:rsidRPr="00B876D6" w:rsidRDefault="000D56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Independent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3ACC29" w14:textId="77777777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74EA8" w14:textId="6D6A8580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79.4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17659" w14:textId="471AE146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10,846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235FCB6" w14:textId="76157D87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36.1</w:t>
            </w:r>
          </w:p>
        </w:tc>
      </w:tr>
      <w:tr w:rsidR="005E1550" w:rsidRPr="00B876D6" w14:paraId="0E9E8D43" w14:textId="77777777" w:rsidTr="00CC3969">
        <w:trPr>
          <w:trHeight w:val="300"/>
        </w:trPr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79C8E5" w14:textId="4AB43FA5" w:rsidR="000D5690" w:rsidRPr="00B876D6" w:rsidRDefault="000D56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  <w:r w:rsid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1CE337" w14:textId="77777777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458FB9" w14:textId="7C2C8B7F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A75E68" w14:textId="73465D29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30,061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DDB073" w14:textId="3226C295" w:rsidR="000D5690" w:rsidRPr="00B876D6" w:rsidRDefault="000D5690" w:rsidP="007C40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100.0</w:t>
            </w:r>
          </w:p>
        </w:tc>
      </w:tr>
    </w:tbl>
    <w:p w14:paraId="12849E06" w14:textId="19B8988F" w:rsidR="001D3AEF" w:rsidRPr="00B876D6" w:rsidRDefault="00B876D6" w:rsidP="001D3AE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="001D3AEF" w:rsidRPr="00B876D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</w:t>
      </w:r>
      <w:r w:rsidR="0021180F">
        <w:rPr>
          <w:sz w:val="18"/>
          <w:szCs w:val="18"/>
        </w:rPr>
        <w:t>t</w:t>
      </w:r>
      <w:r w:rsidR="001D3AEF" w:rsidRPr="00B876D6">
        <w:rPr>
          <w:sz w:val="18"/>
          <w:szCs w:val="18"/>
        </w:rPr>
        <w:t xml:space="preserve">otal </w:t>
      </w:r>
      <w:r>
        <w:rPr>
          <w:sz w:val="18"/>
          <w:szCs w:val="18"/>
        </w:rPr>
        <w:t xml:space="preserve">is not a unique count of students as </w:t>
      </w:r>
      <w:r w:rsidR="001D3AEF" w:rsidRPr="00B876D6">
        <w:rPr>
          <w:sz w:val="18"/>
          <w:szCs w:val="18"/>
        </w:rPr>
        <w:t>some students studied across multiple provider type</w:t>
      </w:r>
      <w:r>
        <w:rPr>
          <w:sz w:val="18"/>
          <w:szCs w:val="18"/>
        </w:rPr>
        <w:t>s</w:t>
      </w:r>
    </w:p>
    <w:p w14:paraId="3BE18267" w14:textId="74A8169E" w:rsidR="006C7A01" w:rsidRPr="00F460EF" w:rsidRDefault="006C7A01" w:rsidP="006C7A01">
      <w:r w:rsidRPr="00F460EF">
        <w:t xml:space="preserve">Of the total VSL amount paid, </w:t>
      </w:r>
      <w:r>
        <w:t>independent</w:t>
      </w:r>
      <w:r w:rsidRPr="00F460EF">
        <w:t xml:space="preserve"> providers accounted for 57% ($127.4 million) despite only accounting for about 36% (10,846) of students. Conversely, public providers accounted for around two-thirds of </w:t>
      </w:r>
      <w:r>
        <w:t xml:space="preserve">VSL </w:t>
      </w:r>
      <w:r w:rsidRPr="00F460EF">
        <w:t>students but only accounted for less than half (about $95 million) of the VSL paid amount. The average VET student loan for a TAFE student is about $4,600</w:t>
      </w:r>
      <w:r>
        <w:t>, other public provider student is about $5,850 and independent</w:t>
      </w:r>
      <w:r w:rsidRPr="00F460EF">
        <w:t xml:space="preserve"> provider</w:t>
      </w:r>
      <w:r>
        <w:t xml:space="preserve"> student is about </w:t>
      </w:r>
      <w:r w:rsidRPr="00F460EF">
        <w:t>$11,</w:t>
      </w:r>
      <w:r>
        <w:t>75</w:t>
      </w:r>
      <w:r w:rsidRPr="00F460EF">
        <w:t>0.</w:t>
      </w:r>
    </w:p>
    <w:p w14:paraId="48758B8F" w14:textId="6EF14A43" w:rsidR="008A5D5F" w:rsidRPr="000F0FF4" w:rsidRDefault="001747A1" w:rsidP="00117F88">
      <w:r>
        <w:t xml:space="preserve">Approximately </w:t>
      </w:r>
      <w:r w:rsidRPr="000F0FF4">
        <w:t>9</w:t>
      </w:r>
      <w:r>
        <w:t>8.5</w:t>
      </w:r>
      <w:r w:rsidRPr="000F0FF4">
        <w:t>% ($</w:t>
      </w:r>
      <w:r>
        <w:t>95.3</w:t>
      </w:r>
      <w:r w:rsidRPr="000F0FF4">
        <w:t xml:space="preserve"> million)</w:t>
      </w:r>
      <w:r>
        <w:t xml:space="preserve"> </w:t>
      </w:r>
      <w:r w:rsidRPr="000F0FF4">
        <w:t xml:space="preserve">of </w:t>
      </w:r>
      <w:r>
        <w:t xml:space="preserve">total </w:t>
      </w:r>
      <w:r w:rsidRPr="000F0FF4">
        <w:t xml:space="preserve">tuition fees charged </w:t>
      </w:r>
      <w:r>
        <w:t xml:space="preserve">to VSL students </w:t>
      </w:r>
      <w:r w:rsidRPr="000F0FF4">
        <w:t>at public providers</w:t>
      </w:r>
      <w:r>
        <w:t xml:space="preserve"> (</w:t>
      </w:r>
      <w:r w:rsidRPr="000F0FF4">
        <w:t>TAFEs and/or other public VSL providers</w:t>
      </w:r>
      <w:r>
        <w:t xml:space="preserve">) are covered by VSL. This share is marginally lower for VSL students at independent providers (92.5%). See </w:t>
      </w:r>
      <w:r w:rsidR="00600033">
        <w:t>T</w:t>
      </w:r>
      <w:r w:rsidRPr="000F0FF4">
        <w:t>able 2 below.</w:t>
      </w:r>
    </w:p>
    <w:p w14:paraId="7895B9FD" w14:textId="6733F5FB" w:rsidR="00C049FF" w:rsidRDefault="00514007" w:rsidP="00CC3969">
      <w:pPr>
        <w:pStyle w:val="Heading3"/>
      </w:pPr>
      <w:bookmarkStart w:id="11" w:name="_Toc147861838"/>
      <w:r w:rsidRPr="00CC3969">
        <w:rPr>
          <w:rFonts w:cstheme="minorHAnsi"/>
          <w:color w:val="auto"/>
          <w:sz w:val="22"/>
          <w:szCs w:val="22"/>
        </w:rPr>
        <w:t xml:space="preserve">Table 2: </w:t>
      </w:r>
      <w:r w:rsidR="00FC3992" w:rsidRPr="00CC3969">
        <w:rPr>
          <w:rFonts w:cstheme="minorHAnsi"/>
          <w:color w:val="auto"/>
          <w:sz w:val="22"/>
          <w:szCs w:val="22"/>
        </w:rPr>
        <w:t xml:space="preserve">Tuition fees, VSL amount and </w:t>
      </w:r>
      <w:r w:rsidR="000703EB" w:rsidRPr="00CC3969">
        <w:rPr>
          <w:rFonts w:cstheme="minorHAnsi"/>
          <w:color w:val="auto"/>
          <w:sz w:val="22"/>
          <w:szCs w:val="22"/>
        </w:rPr>
        <w:t>amount paid upfront</w:t>
      </w:r>
      <w:r w:rsidR="0025348D" w:rsidRPr="00CC3969">
        <w:rPr>
          <w:rFonts w:cstheme="minorHAnsi"/>
          <w:color w:val="auto"/>
          <w:sz w:val="22"/>
          <w:szCs w:val="22"/>
        </w:rPr>
        <w:t xml:space="preserve"> by provider type</w:t>
      </w:r>
      <w:r w:rsidR="00CE142E" w:rsidRPr="00CC3969">
        <w:rPr>
          <w:rFonts w:cstheme="minorHAnsi"/>
          <w:color w:val="auto"/>
          <w:sz w:val="22"/>
          <w:szCs w:val="22"/>
        </w:rPr>
        <w:t>, 2022</w:t>
      </w:r>
      <w:bookmarkEnd w:id="11"/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590"/>
        <w:gridCol w:w="850"/>
        <w:gridCol w:w="1276"/>
        <w:gridCol w:w="992"/>
        <w:gridCol w:w="1276"/>
        <w:gridCol w:w="850"/>
        <w:gridCol w:w="1276"/>
      </w:tblGrid>
      <w:tr w:rsidR="00BF15F4" w:rsidRPr="00B876D6" w14:paraId="72D1F2F4" w14:textId="77777777" w:rsidTr="00CC3969">
        <w:trPr>
          <w:trHeight w:val="620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E36C0A" w:themeFill="accent6" w:themeFillShade="BF"/>
          </w:tcPr>
          <w:p w14:paraId="63A2B36C" w14:textId="77777777" w:rsidR="008A5D5F" w:rsidRPr="00B876D6" w:rsidRDefault="008A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238D9FF" w14:textId="1B7E9EE7" w:rsidR="008A5D5F" w:rsidRPr="00B876D6" w:rsidRDefault="008A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Provider Type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36C0A" w:themeFill="accent6" w:themeFillShade="BF"/>
          </w:tcPr>
          <w:p w14:paraId="0A0FF477" w14:textId="77777777" w:rsidR="008A5D5F" w:rsidRPr="00B876D6" w:rsidRDefault="008A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Tuition Charged Amount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36C0A" w:themeFill="accent6" w:themeFillShade="BF"/>
          </w:tcPr>
          <w:p w14:paraId="37C665AB" w14:textId="77777777" w:rsidR="008A5D5F" w:rsidRPr="00B876D6" w:rsidRDefault="008A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 xml:space="preserve">VET Students Loan Amount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49D74F4D" w14:textId="77777777" w:rsidR="008A5D5F" w:rsidRPr="00B876D6" w:rsidRDefault="008A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 xml:space="preserve">*Upfront Paid Amount </w:t>
            </w:r>
          </w:p>
        </w:tc>
      </w:tr>
      <w:tr w:rsidR="00BF15F4" w:rsidRPr="00B876D6" w14:paraId="16AD9D77" w14:textId="77777777" w:rsidTr="00BF15F4">
        <w:trPr>
          <w:trHeight w:val="357"/>
        </w:trPr>
        <w:tc>
          <w:tcPr>
            <w:tcW w:w="159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36C0A" w:themeFill="accent6" w:themeFillShade="BF"/>
          </w:tcPr>
          <w:p w14:paraId="7B627F2F" w14:textId="77777777" w:rsidR="008A5D5F" w:rsidRPr="00B876D6" w:rsidRDefault="008A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0CB63AB8" w14:textId="70693B3F" w:rsidR="008A5D5F" w:rsidRPr="00B876D6" w:rsidRDefault="008A5D5F" w:rsidP="00CC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($, m)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45F75612" w14:textId="43C91986" w:rsidR="008A5D5F" w:rsidRPr="00B876D6" w:rsidRDefault="008A5D5F" w:rsidP="001D4B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Percentage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3CADD757" w14:textId="506EE981" w:rsidR="008A5D5F" w:rsidRPr="00B876D6" w:rsidRDefault="008A5D5F" w:rsidP="00CC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($, m)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742B0689" w14:textId="6EEC84D4" w:rsidR="008A5D5F" w:rsidRPr="00B876D6" w:rsidRDefault="008A5D5F" w:rsidP="00AE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Percentage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31A69F1F" w14:textId="4680C8D4" w:rsidR="008A5D5F" w:rsidRPr="00B876D6" w:rsidRDefault="008A5D5F" w:rsidP="00CC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($, m)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332AB9" w14:textId="5CC61A06" w:rsidR="008A5D5F" w:rsidRPr="00B876D6" w:rsidRDefault="008A5D5F" w:rsidP="00AE27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Percentage</w:t>
            </w:r>
          </w:p>
        </w:tc>
      </w:tr>
      <w:tr w:rsidR="0006353B" w:rsidRPr="00B876D6" w14:paraId="3FD492CE" w14:textId="77777777" w:rsidTr="00B876D6">
        <w:trPr>
          <w:trHeight w:val="217"/>
        </w:trPr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759767" w14:textId="77777777" w:rsidR="009A43C1" w:rsidRPr="00B876D6" w:rsidRDefault="009A4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TAFE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E16D8" w14:textId="6D587363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F40CB" w14:textId="10677C78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5B457" w14:textId="0A1C6EA5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44C8A" w14:textId="05E4C3D5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9294B" w14:textId="067445A6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0F71EFF3" w14:textId="4F610844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9.0</w:t>
            </w:r>
          </w:p>
        </w:tc>
      </w:tr>
      <w:tr w:rsidR="00EA36DE" w:rsidRPr="00B876D6" w14:paraId="661528CD" w14:textId="77777777" w:rsidTr="00CC3969">
        <w:trPr>
          <w:trHeight w:val="245"/>
        </w:trPr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4AB5DC" w14:textId="77777777" w:rsidR="009A43C1" w:rsidRPr="00B876D6" w:rsidRDefault="009A4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Other Public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2F972E" w14:textId="6F7F5715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C7ACE3" w14:textId="51C32874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402686" w14:textId="4C963EF0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12ED5F" w14:textId="19C5C18C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2937BE" w14:textId="08AC85D2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C52E2" w14:textId="06B95284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3.6</w:t>
            </w:r>
          </w:p>
        </w:tc>
      </w:tr>
      <w:tr w:rsidR="0006353B" w:rsidRPr="00B876D6" w14:paraId="37553D49" w14:textId="77777777" w:rsidTr="00B876D6">
        <w:trPr>
          <w:trHeight w:val="267"/>
        </w:trPr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A8F12" w14:textId="77777777" w:rsidR="009A43C1" w:rsidRPr="00B876D6" w:rsidRDefault="009A4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Independent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F6680" w14:textId="6F77114E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137.7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C28D9" w14:textId="05B69FCF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7E4CC" w14:textId="38094B78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127.4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14965" w14:textId="6ADCD6D8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94EA8" w14:textId="55AE8521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14:paraId="617B47E3" w14:textId="41A502AA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87.4</w:t>
            </w:r>
          </w:p>
        </w:tc>
      </w:tr>
      <w:tr w:rsidR="00B424D1" w:rsidRPr="00B876D6" w14:paraId="768089CA" w14:textId="77777777" w:rsidTr="00B876D6">
        <w:trPr>
          <w:trHeight w:val="129"/>
        </w:trPr>
        <w:tc>
          <w:tcPr>
            <w:tcW w:w="15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9E4993" w14:textId="77777777" w:rsidR="009A43C1" w:rsidRPr="00B876D6" w:rsidRDefault="009A43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798B2F" w14:textId="790C38B0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234.</w:t>
            </w:r>
            <w:r w:rsidR="0068681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BDD4A71" w14:textId="639760E6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7D85A7" w14:textId="27862D92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222.7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7D35C5" w14:textId="2A655F5B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849683" w14:textId="46233121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8F1887" w14:textId="4012E55C" w:rsidR="009A43C1" w:rsidRPr="00B876D6" w:rsidRDefault="009A43C1" w:rsidP="008623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100.0</w:t>
            </w:r>
          </w:p>
        </w:tc>
      </w:tr>
    </w:tbl>
    <w:p w14:paraId="5E679D46" w14:textId="77777777" w:rsidR="008A5D5F" w:rsidRPr="00451CC4" w:rsidRDefault="008A5D5F" w:rsidP="008A5D5F">
      <w:pPr>
        <w:spacing w:after="0"/>
        <w:ind w:left="720" w:hanging="720"/>
        <w:rPr>
          <w:sz w:val="18"/>
          <w:szCs w:val="18"/>
        </w:rPr>
      </w:pPr>
      <w:r w:rsidRPr="00451CC4">
        <w:rPr>
          <w:sz w:val="18"/>
          <w:szCs w:val="18"/>
        </w:rPr>
        <w:t>*Total fees charged minus VSL amount. Figures may not add up due to rounding.</w:t>
      </w:r>
    </w:p>
    <w:p w14:paraId="0B16F730" w14:textId="77777777" w:rsidR="00ED79D2" w:rsidRDefault="00ED79D2" w:rsidP="009F6571"/>
    <w:p w14:paraId="776F418B" w14:textId="77777777" w:rsidR="0006353B" w:rsidRDefault="0006353B" w:rsidP="0006353B"/>
    <w:p w14:paraId="7968293A" w14:textId="77777777" w:rsidR="00640F43" w:rsidRDefault="00640F43" w:rsidP="00E6444C">
      <w:pPr>
        <w:pStyle w:val="Heading2"/>
        <w:rPr>
          <w:rFonts w:asciiTheme="majorHAnsi" w:hAnsiTheme="majorHAnsi"/>
          <w:sz w:val="24"/>
          <w:szCs w:val="24"/>
        </w:rPr>
      </w:pPr>
    </w:p>
    <w:p w14:paraId="78718296" w14:textId="77777777" w:rsidR="00640F43" w:rsidRDefault="00640F43" w:rsidP="00E6444C">
      <w:pPr>
        <w:pStyle w:val="Heading2"/>
        <w:rPr>
          <w:rFonts w:asciiTheme="majorHAnsi" w:hAnsiTheme="majorHAnsi"/>
          <w:sz w:val="24"/>
          <w:szCs w:val="24"/>
        </w:rPr>
      </w:pPr>
    </w:p>
    <w:p w14:paraId="493A0D87" w14:textId="2C0289E9" w:rsidR="00471BD8" w:rsidRPr="00CC3969" w:rsidRDefault="00471BD8" w:rsidP="00E6444C">
      <w:pPr>
        <w:pStyle w:val="Heading2"/>
        <w:rPr>
          <w:rFonts w:asciiTheme="majorHAnsi" w:hAnsiTheme="majorHAnsi"/>
          <w:sz w:val="24"/>
          <w:szCs w:val="24"/>
        </w:rPr>
      </w:pPr>
      <w:bookmarkStart w:id="12" w:name="_Toc147861839"/>
      <w:r w:rsidRPr="00CC3969">
        <w:rPr>
          <w:rFonts w:asciiTheme="majorHAnsi" w:hAnsiTheme="majorHAnsi"/>
          <w:sz w:val="24"/>
          <w:szCs w:val="24"/>
        </w:rPr>
        <w:lastRenderedPageBreak/>
        <w:t xml:space="preserve">Monthly breakdown of </w:t>
      </w:r>
      <w:r w:rsidR="0029760B" w:rsidRPr="00CC3969">
        <w:rPr>
          <w:rFonts w:asciiTheme="majorHAnsi" w:hAnsiTheme="majorHAnsi"/>
          <w:sz w:val="24"/>
          <w:szCs w:val="24"/>
        </w:rPr>
        <w:t>t</w:t>
      </w:r>
      <w:r w:rsidRPr="00CC3969">
        <w:rPr>
          <w:rFonts w:asciiTheme="majorHAnsi" w:hAnsiTheme="majorHAnsi"/>
          <w:sz w:val="24"/>
          <w:szCs w:val="24"/>
        </w:rPr>
        <w:t xml:space="preserve">uition fees charged, VSL </w:t>
      </w:r>
      <w:r w:rsidR="0029760B" w:rsidRPr="00CC3969">
        <w:rPr>
          <w:rFonts w:asciiTheme="majorHAnsi" w:hAnsiTheme="majorHAnsi"/>
          <w:sz w:val="24"/>
          <w:szCs w:val="24"/>
        </w:rPr>
        <w:t>a</w:t>
      </w:r>
      <w:r w:rsidRPr="00CC3969">
        <w:rPr>
          <w:rFonts w:asciiTheme="majorHAnsi" w:hAnsiTheme="majorHAnsi"/>
          <w:sz w:val="24"/>
          <w:szCs w:val="24"/>
        </w:rPr>
        <w:t xml:space="preserve">mount and impacted </w:t>
      </w:r>
      <w:r w:rsidR="00C95ABD" w:rsidRPr="00CC3969">
        <w:rPr>
          <w:rFonts w:asciiTheme="majorHAnsi" w:hAnsiTheme="majorHAnsi"/>
          <w:sz w:val="24"/>
          <w:szCs w:val="24"/>
        </w:rPr>
        <w:t>students</w:t>
      </w:r>
      <w:bookmarkEnd w:id="12"/>
    </w:p>
    <w:p w14:paraId="15070377" w14:textId="3729619D" w:rsidR="00DD53F1" w:rsidRDefault="00FF2389" w:rsidP="003943ED">
      <w:pPr>
        <w:spacing w:after="0"/>
      </w:pPr>
      <w:r>
        <w:t>A</w:t>
      </w:r>
      <w:r w:rsidR="009F6571">
        <w:t>round</w:t>
      </w:r>
      <w:r>
        <w:t xml:space="preserve"> </w:t>
      </w:r>
      <w:r w:rsidR="00592403" w:rsidRPr="00F460EF">
        <w:t>30,00</w:t>
      </w:r>
      <w:r>
        <w:t>0</w:t>
      </w:r>
      <w:r w:rsidR="00592403" w:rsidRPr="00F460EF">
        <w:t xml:space="preserve"> students accessed the VSL program</w:t>
      </w:r>
      <w:r w:rsidR="00533A71" w:rsidRPr="00F460EF">
        <w:t xml:space="preserve"> in 2022, accounting for</w:t>
      </w:r>
      <w:r w:rsidR="00592403" w:rsidRPr="00F460EF">
        <w:t xml:space="preserve"> about $22</w:t>
      </w:r>
      <w:r w:rsidR="00A5313D">
        <w:t>2.7</w:t>
      </w:r>
      <w:r w:rsidR="00592403" w:rsidRPr="00F460EF">
        <w:t xml:space="preserve"> million </w:t>
      </w:r>
      <w:r w:rsidR="0067414F" w:rsidRPr="00F460EF">
        <w:t xml:space="preserve">in </w:t>
      </w:r>
      <w:r w:rsidR="00592403" w:rsidRPr="00F460EF">
        <w:t>loan</w:t>
      </w:r>
      <w:r w:rsidR="00533A71" w:rsidRPr="00F460EF">
        <w:t>s</w:t>
      </w:r>
      <w:r w:rsidR="00592403" w:rsidRPr="00F460EF">
        <w:t xml:space="preserve">. </w:t>
      </w:r>
      <w:r w:rsidR="00592403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>T</w:t>
      </w:r>
      <w:r w:rsidR="007C075F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>he monthly</w:t>
      </w:r>
      <w:r w:rsidR="008774B9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(census date) breakdown </w:t>
      </w:r>
      <w:r w:rsidR="007C075F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of </w:t>
      </w:r>
      <w:r w:rsidR="00471BD8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VSL students </w:t>
      </w:r>
      <w:r w:rsidR="001E7BDB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is </w:t>
      </w:r>
      <w:r w:rsidR="00592403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shown in </w:t>
      </w:r>
      <w:r w:rsidR="006C7A01">
        <w:rPr>
          <w:rStyle w:val="normaltextrun"/>
          <w:rFonts w:ascii="Calibri" w:hAnsi="Calibri" w:cs="Calibri"/>
          <w:color w:val="000000"/>
          <w:shd w:val="clear" w:color="auto" w:fill="FFFFFF"/>
        </w:rPr>
        <w:t>F</w:t>
      </w:r>
      <w:r w:rsidR="00592403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igure </w:t>
      </w:r>
      <w:r w:rsidR="0054415F">
        <w:rPr>
          <w:rStyle w:val="normaltextrun"/>
          <w:rFonts w:ascii="Calibri" w:hAnsi="Calibri" w:cs="Calibri"/>
          <w:color w:val="000000"/>
          <w:shd w:val="clear" w:color="auto" w:fill="FFFFFF"/>
        </w:rPr>
        <w:t>2</w:t>
      </w:r>
      <w:r w:rsidR="00471BD8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="00DD53F1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7C3EBB">
        <w:t>T</w:t>
      </w:r>
      <w:r w:rsidR="003943ED" w:rsidRPr="00F460EF">
        <w:t xml:space="preserve">he </w:t>
      </w:r>
      <w:r w:rsidR="007C3EBB" w:rsidRPr="00F460EF">
        <w:t>values</w:t>
      </w:r>
      <w:r w:rsidR="003943ED" w:rsidRPr="00F460EF">
        <w:t xml:space="preserve"> of VSL paid and tuition for study undertaken during each month</w:t>
      </w:r>
      <w:r w:rsidR="007C3EBB">
        <w:t xml:space="preserve"> is shown in </w:t>
      </w:r>
      <w:r w:rsidR="006C7A01">
        <w:t>F</w:t>
      </w:r>
      <w:r w:rsidR="007C3EBB" w:rsidRPr="00F460EF">
        <w:t xml:space="preserve">igure </w:t>
      </w:r>
      <w:r w:rsidR="0054415F">
        <w:t>3</w:t>
      </w:r>
      <w:r w:rsidR="003943ED" w:rsidRPr="00F460EF">
        <w:t>.</w:t>
      </w:r>
    </w:p>
    <w:p w14:paraId="6C454749" w14:textId="77777777" w:rsidR="007C3EBB" w:rsidRPr="00F460EF" w:rsidRDefault="007C3EBB" w:rsidP="003943ED">
      <w:pPr>
        <w:spacing w:after="0"/>
        <w:rPr>
          <w:rStyle w:val="normaltextrun"/>
        </w:rPr>
      </w:pPr>
    </w:p>
    <w:p w14:paraId="51ED15CF" w14:textId="60BF4BBA" w:rsidR="00DC30D6" w:rsidRPr="00F460EF" w:rsidRDefault="00471BD8" w:rsidP="00FA324F">
      <w:pPr>
        <w:rPr>
          <w:rStyle w:val="eop"/>
        </w:rPr>
      </w:pPr>
      <w:r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About </w:t>
      </w:r>
      <w:r w:rsidR="00D209F2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>60</w:t>
      </w:r>
      <w:r w:rsidR="003A471C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>%</w:t>
      </w:r>
      <w:r w:rsidR="00D209F2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of </w:t>
      </w:r>
      <w:r w:rsidR="007114C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VSL </w:t>
      </w:r>
      <w:r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>students</w:t>
      </w:r>
      <w:r w:rsidR="00AF2E4A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reported </w:t>
      </w:r>
      <w:r w:rsidR="00D840D2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>to have enrolled in the first quar</w:t>
      </w:r>
      <w:r w:rsidR="0076363D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>ter of the year</w:t>
      </w:r>
      <w:r w:rsidR="7121D26D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  <w:r w:rsidR="006755CE" w:rsidRPr="00F460EF">
        <w:t xml:space="preserve">The </w:t>
      </w:r>
      <w:r w:rsidR="006B11CC" w:rsidRPr="00F460EF">
        <w:t xml:space="preserve">student </w:t>
      </w:r>
      <w:r w:rsidR="00A04513" w:rsidRPr="00F460EF">
        <w:t xml:space="preserve">monthly </w:t>
      </w:r>
      <w:r w:rsidR="006B11CC" w:rsidRPr="00F460EF">
        <w:t>figures,</w:t>
      </w:r>
      <w:r w:rsidR="006755CE" w:rsidRPr="00F460EF">
        <w:t xml:space="preserve"> and the subsequent </w:t>
      </w:r>
      <w:r w:rsidR="00A04513" w:rsidRPr="00F460EF">
        <w:t>t</w:t>
      </w:r>
      <w:r w:rsidR="006755CE" w:rsidRPr="00F460EF">
        <w:t xml:space="preserve">uition fees charged, and VSL loans amount paid </w:t>
      </w:r>
      <w:r w:rsidR="006755CE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>are higher in March and August</w:t>
      </w:r>
      <w:r w:rsidR="00203DDC" w:rsidRPr="00F460E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noting this </w:t>
      </w:r>
      <w:r w:rsidR="00DF0507" w:rsidRPr="00F460EF">
        <w:rPr>
          <w:rStyle w:val="eop"/>
          <w:rFonts w:ascii="Calibri" w:hAnsi="Calibri" w:cs="Calibri"/>
          <w:color w:val="000000"/>
          <w:shd w:val="clear" w:color="auto" w:fill="FFFFFF"/>
        </w:rPr>
        <w:t xml:space="preserve">movement </w:t>
      </w:r>
      <w:r w:rsidR="00FA324F" w:rsidRPr="00F460EF">
        <w:rPr>
          <w:rStyle w:val="eop"/>
          <w:rFonts w:ascii="Calibri" w:hAnsi="Calibri" w:cs="Calibri"/>
          <w:color w:val="000000"/>
          <w:shd w:val="clear" w:color="auto" w:fill="FFFFFF"/>
        </w:rPr>
        <w:t xml:space="preserve">is broadly in-line with </w:t>
      </w:r>
      <w:r w:rsidR="00DF0507" w:rsidRPr="00F460EF">
        <w:rPr>
          <w:rStyle w:val="eop"/>
          <w:rFonts w:ascii="Calibri" w:hAnsi="Calibri" w:cs="Calibri"/>
          <w:color w:val="000000"/>
          <w:shd w:val="clear" w:color="auto" w:fill="FFFFFF"/>
        </w:rPr>
        <w:t xml:space="preserve">expectation </w:t>
      </w:r>
      <w:r w:rsidR="00ED05B5" w:rsidRPr="00F460EF">
        <w:rPr>
          <w:rStyle w:val="eop"/>
          <w:rFonts w:ascii="Calibri" w:hAnsi="Calibri" w:cs="Calibri"/>
          <w:color w:val="000000"/>
          <w:shd w:val="clear" w:color="auto" w:fill="FFFFFF"/>
        </w:rPr>
        <w:t xml:space="preserve">and </w:t>
      </w:r>
      <w:r w:rsidR="008D19FA" w:rsidRPr="00F460EF">
        <w:rPr>
          <w:rStyle w:val="eop"/>
          <w:rFonts w:ascii="Calibri" w:hAnsi="Calibri" w:cs="Calibri"/>
          <w:color w:val="000000"/>
          <w:shd w:val="clear" w:color="auto" w:fill="FFFFFF"/>
        </w:rPr>
        <w:t xml:space="preserve">is </w:t>
      </w:r>
      <w:r w:rsidR="00ED05B5" w:rsidRPr="00F460EF">
        <w:rPr>
          <w:rStyle w:val="eop"/>
          <w:rFonts w:ascii="Calibri" w:hAnsi="Calibri" w:cs="Calibri"/>
          <w:color w:val="000000"/>
          <w:shd w:val="clear" w:color="auto" w:fill="FFFFFF"/>
        </w:rPr>
        <w:t>consistent with the commencement period of course</w:t>
      </w:r>
      <w:r w:rsidR="00203DDC" w:rsidRPr="00F460EF">
        <w:rPr>
          <w:rStyle w:val="eop"/>
          <w:rFonts w:ascii="Calibri" w:hAnsi="Calibri" w:cs="Calibri"/>
          <w:color w:val="000000"/>
          <w:shd w:val="clear" w:color="auto" w:fill="FFFFFF"/>
        </w:rPr>
        <w:t>s</w:t>
      </w:r>
      <w:r w:rsidR="00ED05B5" w:rsidRPr="00F460EF"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  <w:r w:rsidR="008D19FA" w:rsidRPr="00F460EF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1B79A47D" w14:textId="20229148" w:rsidR="007845BF" w:rsidRPr="00CC3969" w:rsidRDefault="004D75B8" w:rsidP="009F6571">
      <w:pPr>
        <w:pStyle w:val="Heading3"/>
        <w:rPr>
          <w:rStyle w:val="eop"/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bookmarkStart w:id="13" w:name="_Toc147861840"/>
      <w:r w:rsidRPr="00CC3969">
        <w:rPr>
          <w:rFonts w:cstheme="minorHAnsi"/>
          <w:color w:val="auto"/>
          <w:sz w:val="22"/>
          <w:szCs w:val="22"/>
        </w:rPr>
        <w:t xml:space="preserve">Figure </w:t>
      </w:r>
      <w:r w:rsidR="0054415F">
        <w:rPr>
          <w:rFonts w:cstheme="minorHAnsi"/>
          <w:color w:val="auto"/>
          <w:sz w:val="22"/>
          <w:szCs w:val="22"/>
        </w:rPr>
        <w:t>2</w:t>
      </w:r>
      <w:r w:rsidRPr="00CC3969">
        <w:rPr>
          <w:rFonts w:cstheme="minorHAnsi"/>
          <w:color w:val="auto"/>
          <w:sz w:val="22"/>
          <w:szCs w:val="22"/>
        </w:rPr>
        <w:t>: Monthly VSL student numbers</w:t>
      </w:r>
      <w:r w:rsidR="00D24E12" w:rsidRPr="00CC3969">
        <w:rPr>
          <w:rFonts w:cstheme="minorHAnsi"/>
          <w:color w:val="auto"/>
          <w:sz w:val="22"/>
          <w:szCs w:val="22"/>
        </w:rPr>
        <w:t>, 2022</w:t>
      </w:r>
      <w:bookmarkEnd w:id="13"/>
      <w:r w:rsidRPr="00CC3969">
        <w:rPr>
          <w:rFonts w:cstheme="minorHAnsi"/>
          <w:color w:val="auto"/>
          <w:sz w:val="22"/>
          <w:szCs w:val="22"/>
        </w:rPr>
        <w:t xml:space="preserve"> </w:t>
      </w:r>
    </w:p>
    <w:p w14:paraId="5DE0D45C" w14:textId="47ACB269" w:rsidR="007C3EBB" w:rsidRDefault="005C52EF" w:rsidP="009F6571">
      <w:pPr>
        <w:rPr>
          <w:noProof/>
        </w:rPr>
      </w:pPr>
      <w:r w:rsidRPr="00F460EF">
        <w:rPr>
          <w:noProof/>
        </w:rPr>
        <w:drawing>
          <wp:inline distT="0" distB="0" distL="0" distR="0" wp14:anchorId="67371511" wp14:editId="4843845D">
            <wp:extent cx="6210300" cy="3105150"/>
            <wp:effectExtent l="0" t="0" r="0" b="0"/>
            <wp:docPr id="733949063" name="Chart 733949063">
              <a:extLst xmlns:a="http://schemas.openxmlformats.org/drawingml/2006/main">
                <a:ext uri="{FF2B5EF4-FFF2-40B4-BE49-F238E27FC236}">
                  <a16:creationId xmlns:a16="http://schemas.microsoft.com/office/drawing/2014/main" id="{FB764EC5-709A-D137-B0B9-E99CC80D16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69E0E46" w14:textId="1760BBD4" w:rsidR="00114601" w:rsidRPr="00CC3969" w:rsidRDefault="002B01A1" w:rsidP="009F6571">
      <w:pPr>
        <w:pStyle w:val="Heading3"/>
        <w:rPr>
          <w:rFonts w:cstheme="minorHAnsi"/>
          <w:color w:val="auto"/>
          <w:sz w:val="22"/>
          <w:szCs w:val="22"/>
        </w:rPr>
      </w:pPr>
      <w:bookmarkStart w:id="14" w:name="_Toc147861841"/>
      <w:r w:rsidRPr="00CC3969">
        <w:rPr>
          <w:rFonts w:cstheme="minorHAnsi"/>
          <w:color w:val="auto"/>
          <w:sz w:val="22"/>
          <w:szCs w:val="22"/>
        </w:rPr>
        <w:t xml:space="preserve">Figure </w:t>
      </w:r>
      <w:r w:rsidR="0054415F">
        <w:rPr>
          <w:rFonts w:cstheme="minorHAnsi"/>
          <w:color w:val="auto"/>
          <w:sz w:val="22"/>
          <w:szCs w:val="22"/>
        </w:rPr>
        <w:t>3</w:t>
      </w:r>
      <w:r w:rsidRPr="00CC3969">
        <w:rPr>
          <w:rFonts w:cstheme="minorHAnsi"/>
          <w:color w:val="auto"/>
          <w:sz w:val="22"/>
          <w:szCs w:val="22"/>
        </w:rPr>
        <w:t xml:space="preserve">: Monthly VSL </w:t>
      </w:r>
      <w:r w:rsidR="00473A8E" w:rsidRPr="00CC3969">
        <w:rPr>
          <w:rFonts w:cstheme="minorHAnsi"/>
          <w:color w:val="auto"/>
          <w:sz w:val="22"/>
          <w:szCs w:val="22"/>
        </w:rPr>
        <w:t>amount and Tuition fees</w:t>
      </w:r>
      <w:r w:rsidR="00D24E12" w:rsidRPr="00CC3969">
        <w:rPr>
          <w:rFonts w:cstheme="minorHAnsi"/>
          <w:color w:val="auto"/>
          <w:sz w:val="22"/>
          <w:szCs w:val="22"/>
        </w:rPr>
        <w:t>, 2022</w:t>
      </w:r>
      <w:bookmarkEnd w:id="14"/>
    </w:p>
    <w:p w14:paraId="71E5D043" w14:textId="5512B6B5" w:rsidR="005C52EF" w:rsidRDefault="005C52EF" w:rsidP="009F6571">
      <w:pPr>
        <w:rPr>
          <w:sz w:val="24"/>
          <w:szCs w:val="24"/>
        </w:rPr>
      </w:pPr>
      <w:r w:rsidRPr="00F460EF">
        <w:rPr>
          <w:noProof/>
        </w:rPr>
        <w:drawing>
          <wp:inline distT="0" distB="0" distL="0" distR="0" wp14:anchorId="6C6BC642" wp14:editId="7A933DD9">
            <wp:extent cx="6273800" cy="3771900"/>
            <wp:effectExtent l="0" t="0" r="0" b="0"/>
            <wp:docPr id="2023718186" name="Chart 2023718186">
              <a:extLst xmlns:a="http://schemas.openxmlformats.org/drawingml/2006/main">
                <a:ext uri="{FF2B5EF4-FFF2-40B4-BE49-F238E27FC236}">
                  <a16:creationId xmlns:a16="http://schemas.microsoft.com/office/drawing/2014/main" id="{0DE6A97F-A601-4DE6-8DD5-EA03D3CD9B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466BC6E" w14:textId="77777777" w:rsidR="007C3EBB" w:rsidRDefault="007C3EBB" w:rsidP="00386AF1">
      <w:pPr>
        <w:pStyle w:val="Heading2"/>
        <w:rPr>
          <w:sz w:val="24"/>
          <w:szCs w:val="24"/>
        </w:rPr>
      </w:pPr>
    </w:p>
    <w:p w14:paraId="62AED217" w14:textId="798BCBBB" w:rsidR="00386AF1" w:rsidRPr="00CC3969" w:rsidRDefault="00CE3A3F" w:rsidP="00423325">
      <w:pPr>
        <w:pStyle w:val="Heading2"/>
        <w:rPr>
          <w:rFonts w:asciiTheme="majorHAnsi" w:hAnsiTheme="majorHAnsi"/>
          <w:sz w:val="24"/>
          <w:szCs w:val="24"/>
        </w:rPr>
      </w:pPr>
      <w:bookmarkStart w:id="15" w:name="_Toc147861842"/>
      <w:r w:rsidRPr="00CC3969">
        <w:rPr>
          <w:rFonts w:asciiTheme="majorHAnsi" w:hAnsiTheme="majorHAnsi"/>
          <w:sz w:val="24"/>
          <w:szCs w:val="24"/>
        </w:rPr>
        <w:lastRenderedPageBreak/>
        <w:t xml:space="preserve">Location - </w:t>
      </w:r>
      <w:r w:rsidR="0029760B" w:rsidRPr="00CC3969">
        <w:rPr>
          <w:rFonts w:asciiTheme="majorHAnsi" w:hAnsiTheme="majorHAnsi"/>
          <w:sz w:val="24"/>
          <w:szCs w:val="24"/>
        </w:rPr>
        <w:t>s</w:t>
      </w:r>
      <w:r w:rsidR="00386AF1" w:rsidRPr="00CC3969">
        <w:rPr>
          <w:rFonts w:asciiTheme="majorHAnsi" w:hAnsiTheme="majorHAnsi"/>
          <w:sz w:val="24"/>
          <w:szCs w:val="24"/>
        </w:rPr>
        <w:t>tate</w:t>
      </w:r>
      <w:r w:rsidR="0033068A" w:rsidRPr="00CC3969">
        <w:rPr>
          <w:rFonts w:asciiTheme="majorHAnsi" w:hAnsiTheme="majorHAnsi"/>
          <w:sz w:val="24"/>
          <w:szCs w:val="24"/>
        </w:rPr>
        <w:t>s and territories</w:t>
      </w:r>
      <w:bookmarkEnd w:id="15"/>
    </w:p>
    <w:p w14:paraId="4CB08C37" w14:textId="0582915B" w:rsidR="006E7284" w:rsidRDefault="00D3111F" w:rsidP="00386AF1">
      <w:r w:rsidRPr="005643B8">
        <w:t>At the State and Territories distribution of VSL</w:t>
      </w:r>
      <w:r w:rsidR="005E68AA">
        <w:t xml:space="preserve"> students</w:t>
      </w:r>
      <w:r w:rsidRPr="005643B8">
        <w:t xml:space="preserve">, </w:t>
      </w:r>
      <w:r w:rsidR="00386AF1" w:rsidRPr="005643B8">
        <w:t>Queensland</w:t>
      </w:r>
      <w:r w:rsidR="00943A20">
        <w:t xml:space="preserve"> (32.8%)</w:t>
      </w:r>
      <w:r w:rsidR="0060594C" w:rsidRPr="005643B8">
        <w:t xml:space="preserve">, </w:t>
      </w:r>
      <w:r w:rsidRPr="005643B8">
        <w:t>Victoria</w:t>
      </w:r>
      <w:r w:rsidR="00386AF1" w:rsidRPr="005643B8">
        <w:t xml:space="preserve"> </w:t>
      </w:r>
      <w:r w:rsidR="00943A20">
        <w:t>(30.1%)</w:t>
      </w:r>
      <w:r w:rsidR="00943A20" w:rsidRPr="005643B8">
        <w:t xml:space="preserve">, </w:t>
      </w:r>
      <w:r w:rsidR="0060594C" w:rsidRPr="005643B8">
        <w:t>and New South Wales</w:t>
      </w:r>
      <w:r w:rsidR="00943A20">
        <w:t xml:space="preserve"> (16.3%)</w:t>
      </w:r>
      <w:r w:rsidR="00943A20" w:rsidRPr="005643B8">
        <w:t xml:space="preserve">, </w:t>
      </w:r>
      <w:r w:rsidR="0060594C" w:rsidRPr="005643B8">
        <w:t xml:space="preserve">accounts </w:t>
      </w:r>
      <w:r w:rsidRPr="005643B8">
        <w:t xml:space="preserve">for </w:t>
      </w:r>
      <w:r w:rsidR="0060594C" w:rsidRPr="005643B8">
        <w:t xml:space="preserve">most of the </w:t>
      </w:r>
      <w:r w:rsidR="00386AF1" w:rsidRPr="005643B8">
        <w:t xml:space="preserve">VSL </w:t>
      </w:r>
      <w:r w:rsidR="0060594C" w:rsidRPr="005643B8">
        <w:t>recipients</w:t>
      </w:r>
      <w:r w:rsidR="00386AF1" w:rsidRPr="005643B8">
        <w:t>.</w:t>
      </w:r>
      <w:r w:rsidR="003F2C9F" w:rsidRPr="005643B8">
        <w:t xml:space="preserve"> </w:t>
      </w:r>
      <w:r w:rsidR="0060594C" w:rsidRPr="005643B8">
        <w:t>The spread</w:t>
      </w:r>
      <w:r w:rsidR="00F70018" w:rsidRPr="005643B8">
        <w:t xml:space="preserve"> of VSL students</w:t>
      </w:r>
      <w:r w:rsidR="0060594C" w:rsidRPr="005643B8">
        <w:t xml:space="preserve"> is broadly in line with the national population spread </w:t>
      </w:r>
      <w:r w:rsidR="00F70018" w:rsidRPr="005643B8">
        <w:t xml:space="preserve">in all states </w:t>
      </w:r>
      <w:r w:rsidR="0060594C" w:rsidRPr="005643B8">
        <w:t xml:space="preserve">except for Queensland </w:t>
      </w:r>
      <w:r w:rsidR="009765EF">
        <w:t xml:space="preserve">and Victoria </w:t>
      </w:r>
      <w:r w:rsidR="00EF13EF">
        <w:t>which</w:t>
      </w:r>
      <w:r w:rsidR="0060594C" w:rsidRPr="005643B8">
        <w:t xml:space="preserve"> </w:t>
      </w:r>
      <w:r w:rsidR="009765EF">
        <w:t>are overrepresented and New South Wales</w:t>
      </w:r>
      <w:r w:rsidR="0060594C" w:rsidRPr="005643B8">
        <w:t xml:space="preserve"> </w:t>
      </w:r>
      <w:r w:rsidR="00EF13EF">
        <w:t>which</w:t>
      </w:r>
      <w:r w:rsidR="00F46F22">
        <w:t xml:space="preserve"> is</w:t>
      </w:r>
      <w:r w:rsidR="0060594C" w:rsidRPr="005643B8">
        <w:t xml:space="preserve"> </w:t>
      </w:r>
      <w:r w:rsidR="009765EF">
        <w:t>underrepresented</w:t>
      </w:r>
      <w:r w:rsidR="0060594C" w:rsidRPr="005643B8">
        <w:t xml:space="preserve"> </w:t>
      </w:r>
      <w:r w:rsidR="002E2A57">
        <w:t xml:space="preserve">(see </w:t>
      </w:r>
      <w:r w:rsidR="00600033">
        <w:t>T</w:t>
      </w:r>
      <w:r w:rsidR="002E2A57">
        <w:t>able 3</w:t>
      </w:r>
      <w:r w:rsidR="0060594C" w:rsidRPr="005643B8">
        <w:t>)</w:t>
      </w:r>
      <w:r w:rsidR="006E7284">
        <w:t>.</w:t>
      </w:r>
    </w:p>
    <w:p w14:paraId="75764B23" w14:textId="7B3552C5" w:rsidR="00027E7F" w:rsidRDefault="000771D3" w:rsidP="00CC3969">
      <w:pPr>
        <w:pStyle w:val="Heading3"/>
        <w:rPr>
          <w:shd w:val="clear" w:color="auto" w:fill="FFFFFF"/>
        </w:rPr>
      </w:pPr>
      <w:bookmarkStart w:id="16" w:name="_Toc147861843"/>
      <w:r w:rsidRPr="00CC3969">
        <w:rPr>
          <w:rFonts w:cstheme="minorHAnsi"/>
          <w:color w:val="auto"/>
          <w:sz w:val="22"/>
          <w:szCs w:val="22"/>
        </w:rPr>
        <w:t xml:space="preserve">Table </w:t>
      </w:r>
      <w:r w:rsidR="002065F6" w:rsidRPr="00CC3969">
        <w:rPr>
          <w:rFonts w:cstheme="minorHAnsi"/>
          <w:color w:val="auto"/>
          <w:sz w:val="22"/>
          <w:szCs w:val="22"/>
        </w:rPr>
        <w:t>3</w:t>
      </w:r>
      <w:r w:rsidRPr="00CC3969">
        <w:rPr>
          <w:rFonts w:cstheme="minorHAnsi"/>
          <w:color w:val="auto"/>
          <w:sz w:val="22"/>
          <w:szCs w:val="22"/>
        </w:rPr>
        <w:t xml:space="preserve">: Number of </w:t>
      </w:r>
      <w:r w:rsidR="007114C9" w:rsidRPr="00CC3969">
        <w:rPr>
          <w:rFonts w:cstheme="minorHAnsi"/>
          <w:color w:val="auto"/>
          <w:sz w:val="22"/>
          <w:szCs w:val="22"/>
        </w:rPr>
        <w:t xml:space="preserve">VSL </w:t>
      </w:r>
      <w:r w:rsidR="00E86103" w:rsidRPr="00CC3969">
        <w:rPr>
          <w:rFonts w:cstheme="minorHAnsi"/>
          <w:color w:val="auto"/>
          <w:sz w:val="22"/>
          <w:szCs w:val="22"/>
        </w:rPr>
        <w:t>students by States and Territories</w:t>
      </w:r>
      <w:r w:rsidR="00D24E12" w:rsidRPr="00CC3969">
        <w:rPr>
          <w:rFonts w:cstheme="minorHAnsi"/>
          <w:color w:val="auto"/>
          <w:sz w:val="22"/>
          <w:szCs w:val="22"/>
        </w:rPr>
        <w:t>, 2022</w:t>
      </w:r>
      <w:bookmarkEnd w:id="16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7"/>
        <w:gridCol w:w="1559"/>
        <w:gridCol w:w="1417"/>
      </w:tblGrid>
      <w:tr w:rsidR="003153B4" w:rsidRPr="00B876D6" w14:paraId="0D81BAD7" w14:textId="77777777" w:rsidTr="00FB440C">
        <w:trPr>
          <w:trHeight w:val="581"/>
        </w:trPr>
        <w:tc>
          <w:tcPr>
            <w:tcW w:w="2727" w:type="dxa"/>
            <w:shd w:val="clear" w:color="auto" w:fill="E36C0A" w:themeFill="accent6" w:themeFillShade="BF"/>
          </w:tcPr>
          <w:p w14:paraId="675FF36F" w14:textId="77777777" w:rsidR="00CB4E7E" w:rsidRPr="00B876D6" w:rsidRDefault="00CB4E7E" w:rsidP="00CB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States and Territories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670AC45C" w14:textId="77777777" w:rsidR="00CB4E7E" w:rsidRPr="00B876D6" w:rsidRDefault="00CB4E7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Number of students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231BF1DD" w14:textId="77777777" w:rsidR="00CB4E7E" w:rsidRPr="00B876D6" w:rsidRDefault="00CB4E7E" w:rsidP="00FB4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Share of total</w:t>
            </w:r>
          </w:p>
        </w:tc>
      </w:tr>
      <w:tr w:rsidR="003153B4" w:rsidRPr="00B876D6" w14:paraId="0C02B21E" w14:textId="77777777" w:rsidTr="00FB440C">
        <w:trPr>
          <w:trHeight w:val="289"/>
        </w:trPr>
        <w:tc>
          <w:tcPr>
            <w:tcW w:w="2727" w:type="dxa"/>
            <w:shd w:val="clear" w:color="auto" w:fill="FFFFFF" w:themeFill="background1"/>
          </w:tcPr>
          <w:p w14:paraId="4A3EDEAA" w14:textId="7D9B0047" w:rsidR="00CB4E7E" w:rsidRPr="00B876D6" w:rsidRDefault="00CB4E7E" w:rsidP="00CB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EB6147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ustralian Capital </w:t>
            </w:r>
            <w:r w:rsidR="006B46F9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Territory</w:t>
            </w:r>
          </w:p>
        </w:tc>
        <w:tc>
          <w:tcPr>
            <w:tcW w:w="1559" w:type="dxa"/>
            <w:shd w:val="clear" w:color="auto" w:fill="FFFFFF" w:themeFill="background1"/>
          </w:tcPr>
          <w:p w14:paraId="68F0FFE4" w14:textId="40EAC51B" w:rsidR="00CB4E7E" w:rsidRPr="00B876D6" w:rsidRDefault="00CB4E7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417" w:type="dxa"/>
            <w:shd w:val="clear" w:color="auto" w:fill="FFFFFF" w:themeFill="background1"/>
          </w:tcPr>
          <w:p w14:paraId="0095C066" w14:textId="097129D8" w:rsidR="00CB4E7E" w:rsidRPr="00B876D6" w:rsidRDefault="00CB4E7E" w:rsidP="00FB4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1.0%</w:t>
            </w:r>
          </w:p>
        </w:tc>
      </w:tr>
      <w:tr w:rsidR="003153B4" w:rsidRPr="00B876D6" w14:paraId="234D0FB9" w14:textId="77777777" w:rsidTr="00FB440C">
        <w:trPr>
          <w:trHeight w:val="289"/>
        </w:trPr>
        <w:tc>
          <w:tcPr>
            <w:tcW w:w="2727" w:type="dxa"/>
            <w:shd w:val="clear" w:color="auto" w:fill="F2F2F2" w:themeFill="background1" w:themeFillShade="F2"/>
          </w:tcPr>
          <w:p w14:paraId="5E77F10E" w14:textId="79F13A6F" w:rsidR="00CB4E7E" w:rsidRPr="00B876D6" w:rsidRDefault="00CB4E7E" w:rsidP="00CB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="00EB6147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ew </w:t>
            </w: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EB6147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outh </w:t>
            </w: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W</w:t>
            </w:r>
            <w:r w:rsidR="00EB6147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ales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A67885B" w14:textId="4EF89C1D" w:rsidR="00CB4E7E" w:rsidRPr="00B876D6" w:rsidRDefault="00CB4E7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4,894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0E6DA2F" w14:textId="77777777" w:rsidR="00CB4E7E" w:rsidRPr="00B876D6" w:rsidRDefault="00CB4E7E" w:rsidP="00FB4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16.3%</w:t>
            </w:r>
          </w:p>
        </w:tc>
      </w:tr>
      <w:tr w:rsidR="003153B4" w:rsidRPr="00B876D6" w14:paraId="3C6B6650" w14:textId="77777777" w:rsidTr="00FB440C">
        <w:trPr>
          <w:trHeight w:val="289"/>
        </w:trPr>
        <w:tc>
          <w:tcPr>
            <w:tcW w:w="2727" w:type="dxa"/>
            <w:shd w:val="clear" w:color="auto" w:fill="FFFFFF" w:themeFill="background1"/>
          </w:tcPr>
          <w:p w14:paraId="5E60ED18" w14:textId="254DA601" w:rsidR="00CB4E7E" w:rsidRPr="00B876D6" w:rsidRDefault="00CB4E7E" w:rsidP="00CB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="00EB6147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orthern Territory </w:t>
            </w:r>
          </w:p>
        </w:tc>
        <w:tc>
          <w:tcPr>
            <w:tcW w:w="1559" w:type="dxa"/>
            <w:shd w:val="clear" w:color="auto" w:fill="FFFFFF" w:themeFill="background1"/>
          </w:tcPr>
          <w:p w14:paraId="47749719" w14:textId="77777777" w:rsidR="00CB4E7E" w:rsidRPr="00B876D6" w:rsidRDefault="00CB4E7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17" w:type="dxa"/>
            <w:shd w:val="clear" w:color="auto" w:fill="FFFFFF" w:themeFill="background1"/>
          </w:tcPr>
          <w:p w14:paraId="5ED56AB4" w14:textId="77777777" w:rsidR="00CB4E7E" w:rsidRPr="00B876D6" w:rsidRDefault="00CB4E7E" w:rsidP="00FB4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0.3%</w:t>
            </w:r>
          </w:p>
        </w:tc>
      </w:tr>
      <w:tr w:rsidR="003153B4" w:rsidRPr="00B876D6" w14:paraId="576250F1" w14:textId="77777777" w:rsidTr="00FB440C">
        <w:trPr>
          <w:trHeight w:val="289"/>
        </w:trPr>
        <w:tc>
          <w:tcPr>
            <w:tcW w:w="2727" w:type="dxa"/>
            <w:shd w:val="clear" w:color="auto" w:fill="F2F2F2" w:themeFill="background1" w:themeFillShade="F2"/>
          </w:tcPr>
          <w:p w14:paraId="7F40EC9E" w14:textId="11F0DB4F" w:rsidR="00CB4E7E" w:rsidRPr="00B876D6" w:rsidRDefault="00CB4E7E" w:rsidP="00CB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Q</w:t>
            </w:r>
            <w:r w:rsidR="00EB6147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ueensland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8C25644" w14:textId="0F9FFDF0" w:rsidR="00CB4E7E" w:rsidRPr="00B876D6" w:rsidRDefault="00CB4E7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9,843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2746C0F" w14:textId="77777777" w:rsidR="00CB4E7E" w:rsidRPr="00B876D6" w:rsidRDefault="00CB4E7E" w:rsidP="00FB4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32.8%</w:t>
            </w:r>
          </w:p>
        </w:tc>
      </w:tr>
      <w:tr w:rsidR="003153B4" w:rsidRPr="00B876D6" w14:paraId="45BECA95" w14:textId="77777777" w:rsidTr="00FB440C">
        <w:trPr>
          <w:trHeight w:val="289"/>
        </w:trPr>
        <w:tc>
          <w:tcPr>
            <w:tcW w:w="2727" w:type="dxa"/>
            <w:shd w:val="clear" w:color="auto" w:fill="FFFFFF" w:themeFill="background1"/>
          </w:tcPr>
          <w:p w14:paraId="71C8110E" w14:textId="7B1954A6" w:rsidR="00CB4E7E" w:rsidRPr="00B876D6" w:rsidRDefault="00CB4E7E" w:rsidP="00CB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EB6147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outh </w:t>
            </w: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EB6147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ustralia</w:t>
            </w:r>
          </w:p>
        </w:tc>
        <w:tc>
          <w:tcPr>
            <w:tcW w:w="1559" w:type="dxa"/>
            <w:shd w:val="clear" w:color="auto" w:fill="FFFFFF" w:themeFill="background1"/>
          </w:tcPr>
          <w:p w14:paraId="23432852" w14:textId="1B0EB4EA" w:rsidR="00CB4E7E" w:rsidRPr="00B876D6" w:rsidRDefault="00CB4E7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2,592</w:t>
            </w:r>
          </w:p>
        </w:tc>
        <w:tc>
          <w:tcPr>
            <w:tcW w:w="1417" w:type="dxa"/>
            <w:shd w:val="clear" w:color="auto" w:fill="FFFFFF" w:themeFill="background1"/>
          </w:tcPr>
          <w:p w14:paraId="626E8A5C" w14:textId="77777777" w:rsidR="00CB4E7E" w:rsidRPr="00B876D6" w:rsidRDefault="00CB4E7E" w:rsidP="00FB4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8.6%</w:t>
            </w:r>
          </w:p>
        </w:tc>
      </w:tr>
      <w:tr w:rsidR="003153B4" w:rsidRPr="00B876D6" w14:paraId="3AED0A99" w14:textId="77777777" w:rsidTr="00FB440C">
        <w:trPr>
          <w:trHeight w:val="289"/>
        </w:trPr>
        <w:tc>
          <w:tcPr>
            <w:tcW w:w="2727" w:type="dxa"/>
            <w:shd w:val="clear" w:color="auto" w:fill="F2F2F2" w:themeFill="background1" w:themeFillShade="F2"/>
          </w:tcPr>
          <w:p w14:paraId="436E83D4" w14:textId="2985494A" w:rsidR="00CB4E7E" w:rsidRPr="00B876D6" w:rsidRDefault="00CB4E7E" w:rsidP="00CB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="00EB6147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asmania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1C443B8" w14:textId="77777777" w:rsidR="00CB4E7E" w:rsidRPr="00B876D6" w:rsidRDefault="00CB4E7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166AC4E" w14:textId="77777777" w:rsidR="00CB4E7E" w:rsidRPr="00B876D6" w:rsidRDefault="00CB4E7E" w:rsidP="00FB4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2.0%</w:t>
            </w:r>
          </w:p>
        </w:tc>
      </w:tr>
      <w:tr w:rsidR="003153B4" w:rsidRPr="00B876D6" w14:paraId="29084576" w14:textId="77777777" w:rsidTr="00FB440C">
        <w:trPr>
          <w:trHeight w:val="289"/>
        </w:trPr>
        <w:tc>
          <w:tcPr>
            <w:tcW w:w="2727" w:type="dxa"/>
            <w:shd w:val="clear" w:color="auto" w:fill="FFFFFF" w:themeFill="background1"/>
          </w:tcPr>
          <w:p w14:paraId="32BC6D65" w14:textId="77595699" w:rsidR="00CB4E7E" w:rsidRPr="00B876D6" w:rsidRDefault="00CB4E7E" w:rsidP="00CB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V</w:t>
            </w:r>
            <w:r w:rsidR="00EB6147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ictoria</w:t>
            </w:r>
          </w:p>
        </w:tc>
        <w:tc>
          <w:tcPr>
            <w:tcW w:w="1559" w:type="dxa"/>
            <w:shd w:val="clear" w:color="auto" w:fill="FFFFFF" w:themeFill="background1"/>
          </w:tcPr>
          <w:p w14:paraId="01BD7F0E" w14:textId="33F2522E" w:rsidR="00CB4E7E" w:rsidRPr="00B876D6" w:rsidRDefault="00CB4E7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9,035</w:t>
            </w:r>
          </w:p>
        </w:tc>
        <w:tc>
          <w:tcPr>
            <w:tcW w:w="1417" w:type="dxa"/>
            <w:shd w:val="clear" w:color="auto" w:fill="FFFFFF" w:themeFill="background1"/>
          </w:tcPr>
          <w:p w14:paraId="5DBFFAE0" w14:textId="77777777" w:rsidR="00CB4E7E" w:rsidRPr="00B876D6" w:rsidRDefault="00CB4E7E" w:rsidP="00FB4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30.1%</w:t>
            </w:r>
          </w:p>
        </w:tc>
      </w:tr>
      <w:tr w:rsidR="003153B4" w:rsidRPr="00B876D6" w14:paraId="28B02271" w14:textId="77777777" w:rsidTr="00FB440C">
        <w:trPr>
          <w:trHeight w:val="289"/>
        </w:trPr>
        <w:tc>
          <w:tcPr>
            <w:tcW w:w="2727" w:type="dxa"/>
            <w:shd w:val="clear" w:color="auto" w:fill="F2F2F2" w:themeFill="background1" w:themeFillShade="F2"/>
          </w:tcPr>
          <w:p w14:paraId="3D5D816E" w14:textId="01818329" w:rsidR="00CB4E7E" w:rsidRPr="00B876D6" w:rsidRDefault="00CB4E7E" w:rsidP="00CB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W</w:t>
            </w:r>
            <w:r w:rsidR="00EB6147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estern </w:t>
            </w: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EB6147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ustralia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73B3054" w14:textId="6A9E4C55" w:rsidR="00CB4E7E" w:rsidRPr="00B876D6" w:rsidRDefault="00CB4E7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2,608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4B9D86A" w14:textId="6633B9B7" w:rsidR="00CB4E7E" w:rsidRPr="00B876D6" w:rsidRDefault="00CB4E7E" w:rsidP="00FB4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8.7%</w:t>
            </w:r>
          </w:p>
        </w:tc>
      </w:tr>
      <w:tr w:rsidR="003153B4" w:rsidRPr="00B876D6" w14:paraId="1CB5C92C" w14:textId="77777777" w:rsidTr="00FB440C">
        <w:trPr>
          <w:trHeight w:val="289"/>
        </w:trPr>
        <w:tc>
          <w:tcPr>
            <w:tcW w:w="2727" w:type="dxa"/>
            <w:shd w:val="clear" w:color="auto" w:fill="FFFFFF" w:themeFill="background1"/>
          </w:tcPr>
          <w:p w14:paraId="08260AEB" w14:textId="2050393A" w:rsidR="00CB4E7E" w:rsidRPr="00B876D6" w:rsidRDefault="003377CC" w:rsidP="00CB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  <w:r w:rsidR="00CB4E7E"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59" w:type="dxa"/>
            <w:shd w:val="clear" w:color="auto" w:fill="FFFFFF" w:themeFill="background1"/>
          </w:tcPr>
          <w:p w14:paraId="367D7FE3" w14:textId="77777777" w:rsidR="00CB4E7E" w:rsidRPr="00B876D6" w:rsidRDefault="00CB4E7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 w:themeFill="background1"/>
          </w:tcPr>
          <w:p w14:paraId="079FE8E2" w14:textId="178CDADC" w:rsidR="00CB4E7E" w:rsidRPr="00B876D6" w:rsidRDefault="00CB4E7E" w:rsidP="00FB4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0.0%</w:t>
            </w:r>
          </w:p>
        </w:tc>
      </w:tr>
      <w:tr w:rsidR="003153B4" w:rsidRPr="00B876D6" w14:paraId="6C3D3EB7" w14:textId="77777777" w:rsidTr="00FB440C">
        <w:trPr>
          <w:trHeight w:val="289"/>
        </w:trPr>
        <w:tc>
          <w:tcPr>
            <w:tcW w:w="2727" w:type="dxa"/>
            <w:shd w:val="clear" w:color="auto" w:fill="F2F2F2" w:themeFill="background1" w:themeFillShade="F2"/>
          </w:tcPr>
          <w:p w14:paraId="04F350C4" w14:textId="36E901DE" w:rsidR="00CB4E7E" w:rsidRPr="00B876D6" w:rsidRDefault="00CB4E7E" w:rsidP="00CB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56E1007" w14:textId="4AC764B5" w:rsidR="00CB4E7E" w:rsidRPr="00B876D6" w:rsidRDefault="00CB4E7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30,003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A697F15" w14:textId="066DEAE7" w:rsidR="00CB4E7E" w:rsidRPr="00B876D6" w:rsidRDefault="00CB4E7E" w:rsidP="00FB44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  <w:r w:rsidR="003153B4"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500725DE" w14:textId="77777777" w:rsidR="006B46F9" w:rsidRPr="009B03CB" w:rsidRDefault="006B46F9" w:rsidP="006B46F9">
      <w:pPr>
        <w:spacing w:after="0"/>
        <w:rPr>
          <w:sz w:val="18"/>
          <w:szCs w:val="18"/>
        </w:rPr>
      </w:pPr>
      <w:r>
        <w:rPr>
          <w:sz w:val="18"/>
          <w:szCs w:val="18"/>
        </w:rPr>
        <w:t>*Missing reported addresses/state indicator</w:t>
      </w:r>
    </w:p>
    <w:p w14:paraId="3FE6F75D" w14:textId="77777777" w:rsidR="006E04B7" w:rsidRPr="00027E7F" w:rsidRDefault="006E04B7" w:rsidP="00386AF1">
      <w:pPr>
        <w:rPr>
          <w:rFonts w:ascii="Calibri" w:hAnsi="Calibri" w:cs="Calibri"/>
          <w:color w:val="000000"/>
          <w:shd w:val="clear" w:color="auto" w:fill="FFFFFF"/>
        </w:rPr>
      </w:pPr>
    </w:p>
    <w:p w14:paraId="7F44B277" w14:textId="5EA3183C" w:rsidR="005C52EF" w:rsidRDefault="008F75AF" w:rsidP="008F75AF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Figure</w:t>
      </w:r>
      <w:r w:rsidR="005E68A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54415F">
        <w:rPr>
          <w:rStyle w:val="normaltextrun"/>
          <w:rFonts w:ascii="Calibri" w:hAnsi="Calibri" w:cs="Calibri"/>
          <w:color w:val="000000"/>
          <w:shd w:val="clear" w:color="auto" w:fill="FFFFFF"/>
        </w:rPr>
        <w:t>4</w:t>
      </w:r>
      <w:r w:rsidR="005E68A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B0197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below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shows the proportion of</w:t>
      </w:r>
      <w:r w:rsidR="007114C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VSL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students per provider type across states and territories.</w:t>
      </w:r>
      <w:r w:rsidR="009F697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Victoria and </w:t>
      </w:r>
      <w:r w:rsidR="009F697D" w:rsidRPr="00027E7F">
        <w:rPr>
          <w:rStyle w:val="normaltextrun"/>
          <w:rFonts w:ascii="Calibri" w:hAnsi="Calibri" w:cs="Calibri"/>
          <w:color w:val="000000"/>
          <w:shd w:val="clear" w:color="auto" w:fill="FFFFFF"/>
        </w:rPr>
        <w:t>Northern Territory</w:t>
      </w:r>
      <w:r w:rsidR="009F697D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have </w:t>
      </w:r>
      <w:r w:rsidR="0003415C">
        <w:rPr>
          <w:rStyle w:val="normaltextrun"/>
          <w:rFonts w:ascii="Calibri" w:hAnsi="Calibri" w:cs="Calibri"/>
          <w:color w:val="000000"/>
          <w:shd w:val="clear" w:color="auto" w:fill="FFFFFF"/>
        </w:rPr>
        <w:t>proportionately large numbers of VSL students</w:t>
      </w:r>
      <w:r w:rsidR="003D410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in other public</w:t>
      </w:r>
      <w:r w:rsidR="00FE563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approved providers</w:t>
      </w:r>
      <w:r w:rsidR="003D410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  <w:r w:rsidRPr="00027E7F">
        <w:rPr>
          <w:rStyle w:val="normaltextrun"/>
        </w:rPr>
        <w:t>T</w:t>
      </w:r>
      <w:r w:rsidRPr="00027E7F">
        <w:rPr>
          <w:rStyle w:val="normaltextrun"/>
          <w:rFonts w:ascii="Calibri" w:hAnsi="Calibri" w:cs="Calibri"/>
          <w:color w:val="000000"/>
          <w:shd w:val="clear" w:color="auto" w:fill="FFFFFF"/>
        </w:rPr>
        <w:t>h</w:t>
      </w:r>
      <w:r w:rsidR="00FE563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is </w:t>
      </w:r>
      <w:r w:rsidRPr="00027E7F">
        <w:rPr>
          <w:rStyle w:val="normaltextrun"/>
          <w:rFonts w:ascii="Calibri" w:hAnsi="Calibri" w:cs="Calibri"/>
          <w:color w:val="000000"/>
          <w:shd w:val="clear" w:color="auto" w:fill="FFFFFF"/>
        </w:rPr>
        <w:t>can be attributed to the location of dual sector universities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with proportionately large numbers of VSL students</w:t>
      </w:r>
      <w:r w:rsidRPr="00027E7F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7ED02C57" w14:textId="53927A89" w:rsidR="00CC55A5" w:rsidRPr="00CC3969" w:rsidRDefault="00CC55A5" w:rsidP="009F6571">
      <w:pPr>
        <w:pStyle w:val="Heading3"/>
        <w:rPr>
          <w:rFonts w:cstheme="minorHAnsi"/>
          <w:color w:val="auto"/>
        </w:rPr>
      </w:pPr>
      <w:bookmarkStart w:id="17" w:name="_Toc147861844"/>
      <w:r w:rsidRPr="003B2FBF">
        <w:rPr>
          <w:rFonts w:cstheme="minorHAnsi"/>
          <w:color w:val="auto"/>
        </w:rPr>
        <w:t xml:space="preserve">Figure </w:t>
      </w:r>
      <w:r w:rsidR="0054415F">
        <w:rPr>
          <w:rFonts w:cstheme="minorHAnsi"/>
          <w:color w:val="auto"/>
        </w:rPr>
        <w:t>4</w:t>
      </w:r>
      <w:r w:rsidRPr="003B2FBF">
        <w:rPr>
          <w:rFonts w:cstheme="minorHAnsi"/>
          <w:color w:val="auto"/>
        </w:rPr>
        <w:t xml:space="preserve">: </w:t>
      </w:r>
      <w:r w:rsidR="00DA2BDA" w:rsidRPr="00CC3969">
        <w:rPr>
          <w:rFonts w:cstheme="minorHAnsi"/>
          <w:color w:val="auto"/>
          <w:sz w:val="22"/>
          <w:szCs w:val="22"/>
        </w:rPr>
        <w:t>Proportion of VSL students share by state</w:t>
      </w:r>
      <w:r w:rsidR="00AD1EB7">
        <w:rPr>
          <w:rFonts w:cstheme="minorHAnsi"/>
          <w:color w:val="auto"/>
          <w:sz w:val="22"/>
          <w:szCs w:val="22"/>
        </w:rPr>
        <w:t>*</w:t>
      </w:r>
      <w:r w:rsidR="00DA2BDA" w:rsidRPr="00CC3969">
        <w:rPr>
          <w:rFonts w:cstheme="minorHAnsi"/>
          <w:color w:val="auto"/>
          <w:sz w:val="22"/>
          <w:szCs w:val="22"/>
        </w:rPr>
        <w:t xml:space="preserve"> and provider type</w:t>
      </w:r>
      <w:r w:rsidR="00D24E12" w:rsidRPr="00CC3969">
        <w:rPr>
          <w:rFonts w:cstheme="minorHAnsi"/>
          <w:color w:val="auto"/>
          <w:sz w:val="22"/>
          <w:szCs w:val="22"/>
        </w:rPr>
        <w:t>, 2022</w:t>
      </w:r>
      <w:bookmarkEnd w:id="17"/>
    </w:p>
    <w:p w14:paraId="7233E9E6" w14:textId="22B65B8D" w:rsidR="005C52EF" w:rsidRDefault="006B75BE" w:rsidP="005C52EF">
      <w:r w:rsidRPr="004D632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E3D937" wp14:editId="144F5C98">
                <wp:simplePos x="0" y="0"/>
                <wp:positionH relativeFrom="margin">
                  <wp:posOffset>85725</wp:posOffset>
                </wp:positionH>
                <wp:positionV relativeFrom="paragraph">
                  <wp:posOffset>3611880</wp:posOffset>
                </wp:positionV>
                <wp:extent cx="3365500" cy="425450"/>
                <wp:effectExtent l="0" t="0" r="6350" b="0"/>
                <wp:wrapNone/>
                <wp:docPr id="182259928" name="Text Box 182259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1C69B" w14:textId="4A69DF17" w:rsidR="006B75BE" w:rsidRPr="009B03CB" w:rsidRDefault="00AD1EB7" w:rsidP="006B75B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* The state is </w:t>
                            </w:r>
                            <w:r w:rsidR="006B75BE">
                              <w:rPr>
                                <w:sz w:val="18"/>
                                <w:szCs w:val="18"/>
                              </w:rPr>
                              <w:t xml:space="preserve">based 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6B75BE">
                              <w:rPr>
                                <w:sz w:val="18"/>
                                <w:szCs w:val="18"/>
                              </w:rPr>
                              <w:t>student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’s</w:t>
                            </w:r>
                            <w:r w:rsidR="006B75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home </w:t>
                            </w:r>
                            <w:r w:rsidR="006B75BE">
                              <w:rPr>
                                <w:sz w:val="18"/>
                                <w:szCs w:val="18"/>
                              </w:rPr>
                              <w:t>address.</w:t>
                            </w:r>
                          </w:p>
                          <w:p w14:paraId="3E7D0F09" w14:textId="77777777" w:rsidR="006B75BE" w:rsidRPr="009B03CB" w:rsidRDefault="006B75BE" w:rsidP="006B75B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3D937" id="_x0000_t202" coordsize="21600,21600" o:spt="202" path="m,l,21600r21600,l21600,xe">
                <v:stroke joinstyle="miter"/>
                <v:path gradientshapeok="t" o:connecttype="rect"/>
              </v:shapetype>
              <v:shape id="Text Box 182259928" o:spid="_x0000_s1026" type="#_x0000_t202" style="position:absolute;margin-left:6.75pt;margin-top:284.4pt;width:265pt;height:33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" fillcolor="white [3201]" stroked="f" strokeweight=".5pt">
                <v:textbox>
                  <w:txbxContent>
                    <w:p w14:paraId="4791C69B" w14:textId="4A69DF17" w:rsidR="006B75BE" w:rsidRPr="009B03CB" w:rsidRDefault="00AD1EB7" w:rsidP="006B75B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* The state is </w:t>
                      </w:r>
                      <w:r w:rsidR="006B75BE">
                        <w:rPr>
                          <w:sz w:val="18"/>
                          <w:szCs w:val="18"/>
                        </w:rPr>
                        <w:t xml:space="preserve">based on </w:t>
                      </w:r>
                      <w:r>
                        <w:rPr>
                          <w:sz w:val="18"/>
                          <w:szCs w:val="18"/>
                        </w:rPr>
                        <w:t xml:space="preserve">the </w:t>
                      </w:r>
                      <w:r w:rsidR="006B75BE">
                        <w:rPr>
                          <w:sz w:val="18"/>
                          <w:szCs w:val="18"/>
                        </w:rPr>
                        <w:t>student</w:t>
                      </w:r>
                      <w:r>
                        <w:rPr>
                          <w:sz w:val="18"/>
                          <w:szCs w:val="18"/>
                        </w:rPr>
                        <w:t>’s</w:t>
                      </w:r>
                      <w:r w:rsidR="006B75BE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home </w:t>
                      </w:r>
                      <w:r w:rsidR="006B75BE">
                        <w:rPr>
                          <w:sz w:val="18"/>
                          <w:szCs w:val="18"/>
                        </w:rPr>
                        <w:t>address.</w:t>
                      </w:r>
                    </w:p>
                    <w:p w14:paraId="3E7D0F09" w14:textId="77777777" w:rsidR="006B75BE" w:rsidRPr="009B03CB" w:rsidRDefault="006B75BE" w:rsidP="006B75B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C52EF" w:rsidRPr="00F654F4">
        <w:rPr>
          <w:b/>
          <w:bCs/>
          <w:noProof/>
        </w:rPr>
        <w:drawing>
          <wp:inline distT="0" distB="0" distL="0" distR="0" wp14:anchorId="1232E085" wp14:editId="414A5E8D">
            <wp:extent cx="6524625" cy="3695700"/>
            <wp:effectExtent l="0" t="0" r="0" b="0"/>
            <wp:docPr id="2121779591" name="Chart 2121779591">
              <a:extLst xmlns:a="http://schemas.openxmlformats.org/drawingml/2006/main">
                <a:ext uri="{FF2B5EF4-FFF2-40B4-BE49-F238E27FC236}">
                  <a16:creationId xmlns:a16="http://schemas.microsoft.com/office/drawing/2014/main" id="{B6293E59-E69C-0190-34CE-81671859A3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DE05393" w14:textId="25362176" w:rsidR="00BF6B1B" w:rsidRDefault="00BF6B1B" w:rsidP="00C530DE">
      <w:pPr>
        <w:pStyle w:val="Heading2"/>
        <w:rPr>
          <w:sz w:val="24"/>
          <w:szCs w:val="24"/>
        </w:rPr>
      </w:pPr>
    </w:p>
    <w:p w14:paraId="64C65C45" w14:textId="77777777" w:rsidR="00423325" w:rsidRDefault="00423325" w:rsidP="00423325">
      <w:pPr>
        <w:pStyle w:val="Heading2"/>
      </w:pPr>
    </w:p>
    <w:p w14:paraId="4CB55C8B" w14:textId="77777777" w:rsidR="00697158" w:rsidRDefault="00697158" w:rsidP="00423325">
      <w:pPr>
        <w:pStyle w:val="Heading2"/>
        <w:rPr>
          <w:rFonts w:asciiTheme="majorHAnsi" w:hAnsiTheme="majorHAnsi"/>
          <w:sz w:val="24"/>
          <w:szCs w:val="24"/>
        </w:rPr>
      </w:pPr>
    </w:p>
    <w:p w14:paraId="44CF333E" w14:textId="7A6696D5" w:rsidR="00D7695E" w:rsidRPr="00CC3969" w:rsidRDefault="009238EC" w:rsidP="00423325">
      <w:pPr>
        <w:pStyle w:val="Heading2"/>
        <w:rPr>
          <w:rFonts w:asciiTheme="majorHAnsi" w:hAnsiTheme="majorHAnsi"/>
          <w:sz w:val="24"/>
          <w:szCs w:val="24"/>
        </w:rPr>
      </w:pPr>
      <w:bookmarkStart w:id="18" w:name="_Toc147861845"/>
      <w:r w:rsidRPr="00CC3969">
        <w:rPr>
          <w:rFonts w:asciiTheme="majorHAnsi" w:hAnsiTheme="majorHAnsi"/>
          <w:sz w:val="24"/>
          <w:szCs w:val="24"/>
        </w:rPr>
        <w:lastRenderedPageBreak/>
        <w:t xml:space="preserve">Location </w:t>
      </w:r>
      <w:r w:rsidR="00D7695E" w:rsidRPr="00CC3969">
        <w:rPr>
          <w:rFonts w:asciiTheme="majorHAnsi" w:hAnsiTheme="majorHAnsi"/>
          <w:sz w:val="24"/>
          <w:szCs w:val="24"/>
        </w:rPr>
        <w:t>–</w:t>
      </w:r>
      <w:r w:rsidRPr="00CC3969">
        <w:rPr>
          <w:rFonts w:asciiTheme="majorHAnsi" w:hAnsiTheme="majorHAnsi"/>
          <w:sz w:val="24"/>
          <w:szCs w:val="24"/>
        </w:rPr>
        <w:t xml:space="preserve"> </w:t>
      </w:r>
      <w:r w:rsidR="0029760B" w:rsidRPr="00CC3969">
        <w:rPr>
          <w:rFonts w:asciiTheme="majorHAnsi" w:hAnsiTheme="majorHAnsi"/>
          <w:sz w:val="24"/>
          <w:szCs w:val="24"/>
        </w:rPr>
        <w:t>r</w:t>
      </w:r>
      <w:r w:rsidR="007148A7" w:rsidRPr="00CC3969">
        <w:rPr>
          <w:rFonts w:asciiTheme="majorHAnsi" w:hAnsiTheme="majorHAnsi"/>
          <w:sz w:val="24"/>
          <w:szCs w:val="24"/>
        </w:rPr>
        <w:t>emoteness</w:t>
      </w:r>
      <w:bookmarkEnd w:id="18"/>
    </w:p>
    <w:p w14:paraId="25DD890B" w14:textId="540B37C9" w:rsidR="00AB6E37" w:rsidRDefault="00DD5681" w:rsidP="009238EC">
      <w:r>
        <w:t xml:space="preserve">Table 4 shows the spread of VSL students by remoteness. </w:t>
      </w:r>
      <w:r w:rsidR="00564596" w:rsidRPr="004D6323">
        <w:t>About 20</w:t>
      </w:r>
      <w:r w:rsidR="003A471C" w:rsidRPr="004D6323">
        <w:t>%</w:t>
      </w:r>
      <w:r w:rsidR="00564596" w:rsidRPr="004D6323">
        <w:t xml:space="preserve"> of </w:t>
      </w:r>
      <w:r w:rsidR="00621FBB" w:rsidRPr="004D6323">
        <w:t>VS</w:t>
      </w:r>
      <w:r w:rsidR="00007671" w:rsidRPr="004D6323">
        <w:t>L</w:t>
      </w:r>
      <w:r w:rsidR="00943E87" w:rsidRPr="004D6323">
        <w:t xml:space="preserve"> students live outside the major cities</w:t>
      </w:r>
      <w:r w:rsidR="009238EC" w:rsidRPr="004D6323">
        <w:t>.</w:t>
      </w:r>
      <w:r w:rsidR="00854662" w:rsidRPr="004D6323">
        <w:t xml:space="preserve"> </w:t>
      </w:r>
    </w:p>
    <w:p w14:paraId="5FD415D4" w14:textId="0D79B18E" w:rsidR="00493EFA" w:rsidRPr="003F237A" w:rsidRDefault="00493EFA" w:rsidP="00CC3969">
      <w:pPr>
        <w:pStyle w:val="Heading3"/>
      </w:pPr>
      <w:bookmarkStart w:id="19" w:name="_Toc147861846"/>
      <w:r w:rsidRPr="00CC3969">
        <w:rPr>
          <w:rFonts w:cstheme="minorHAnsi"/>
          <w:color w:val="auto"/>
          <w:sz w:val="22"/>
          <w:szCs w:val="22"/>
        </w:rPr>
        <w:t>Table 4: Number of VSL recipient students by remoteness</w:t>
      </w:r>
      <w:r w:rsidR="002E462E">
        <w:rPr>
          <w:rFonts w:cstheme="minorHAnsi"/>
          <w:color w:val="auto"/>
          <w:sz w:val="22"/>
          <w:szCs w:val="22"/>
        </w:rPr>
        <w:t>, 2022</w:t>
      </w:r>
      <w:bookmarkEnd w:id="19"/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4"/>
        <w:gridCol w:w="1896"/>
        <w:gridCol w:w="1417"/>
      </w:tblGrid>
      <w:tr w:rsidR="00B424D1" w:rsidRPr="00B876D6" w14:paraId="1EF66646" w14:textId="77777777" w:rsidTr="00CC3969">
        <w:trPr>
          <w:trHeight w:val="536"/>
        </w:trPr>
        <w:tc>
          <w:tcPr>
            <w:tcW w:w="2964" w:type="dxa"/>
            <w:shd w:val="clear" w:color="auto" w:fill="E36C0A" w:themeFill="accent6" w:themeFillShade="BF"/>
          </w:tcPr>
          <w:p w14:paraId="1320BAE6" w14:textId="77777777" w:rsidR="00EB3D2E" w:rsidRPr="00B876D6" w:rsidRDefault="00EB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Remoteness</w:t>
            </w:r>
          </w:p>
        </w:tc>
        <w:tc>
          <w:tcPr>
            <w:tcW w:w="1896" w:type="dxa"/>
            <w:shd w:val="clear" w:color="auto" w:fill="E36C0A" w:themeFill="accent6" w:themeFillShade="BF"/>
          </w:tcPr>
          <w:p w14:paraId="69AED2E9" w14:textId="77777777" w:rsidR="00EB3D2E" w:rsidRPr="00B876D6" w:rsidRDefault="00EB3D2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Number of Students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72DE162E" w14:textId="77777777" w:rsidR="00EB3D2E" w:rsidRPr="00B876D6" w:rsidRDefault="00EB3D2E" w:rsidP="00697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Share of total</w:t>
            </w:r>
          </w:p>
        </w:tc>
      </w:tr>
      <w:tr w:rsidR="00EA36DE" w:rsidRPr="00B876D6" w14:paraId="262E6715" w14:textId="77777777" w:rsidTr="00CC3969">
        <w:trPr>
          <w:trHeight w:val="267"/>
        </w:trPr>
        <w:tc>
          <w:tcPr>
            <w:tcW w:w="2964" w:type="dxa"/>
            <w:shd w:val="clear" w:color="auto" w:fill="FFFFFF" w:themeFill="background1"/>
          </w:tcPr>
          <w:p w14:paraId="7427309D" w14:textId="77777777" w:rsidR="00EB3D2E" w:rsidRPr="00B876D6" w:rsidRDefault="00EB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Major Cities of Australia</w:t>
            </w:r>
          </w:p>
        </w:tc>
        <w:tc>
          <w:tcPr>
            <w:tcW w:w="1896" w:type="dxa"/>
            <w:shd w:val="clear" w:color="auto" w:fill="FFFFFF" w:themeFill="background1"/>
          </w:tcPr>
          <w:p w14:paraId="1E80EF13" w14:textId="32D98964" w:rsidR="00EB3D2E" w:rsidRPr="00B876D6" w:rsidRDefault="00EB3D2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23,799</w:t>
            </w:r>
          </w:p>
        </w:tc>
        <w:tc>
          <w:tcPr>
            <w:tcW w:w="1417" w:type="dxa"/>
            <w:shd w:val="clear" w:color="auto" w:fill="FFFFFF" w:themeFill="background1"/>
          </w:tcPr>
          <w:p w14:paraId="53605F14" w14:textId="77777777" w:rsidR="00EB3D2E" w:rsidRPr="00B876D6" w:rsidRDefault="00EB3D2E" w:rsidP="00697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79.3%</w:t>
            </w:r>
          </w:p>
        </w:tc>
      </w:tr>
      <w:tr w:rsidR="00E85F15" w:rsidRPr="00B876D6" w14:paraId="2F23BBF1" w14:textId="77777777" w:rsidTr="00CC3969">
        <w:trPr>
          <w:trHeight w:val="267"/>
        </w:trPr>
        <w:tc>
          <w:tcPr>
            <w:tcW w:w="2964" w:type="dxa"/>
            <w:shd w:val="clear" w:color="auto" w:fill="F2F2F2" w:themeFill="background1" w:themeFillShade="F2"/>
          </w:tcPr>
          <w:p w14:paraId="482F6579" w14:textId="77777777" w:rsidR="00EB3D2E" w:rsidRPr="00B876D6" w:rsidRDefault="00EB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Inner Regional Australia</w:t>
            </w:r>
          </w:p>
        </w:tc>
        <w:tc>
          <w:tcPr>
            <w:tcW w:w="1896" w:type="dxa"/>
            <w:shd w:val="clear" w:color="auto" w:fill="F2F2F2" w:themeFill="background1" w:themeFillShade="F2"/>
          </w:tcPr>
          <w:p w14:paraId="5D549FAF" w14:textId="52560445" w:rsidR="00EB3D2E" w:rsidRPr="00B876D6" w:rsidRDefault="00EB3D2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4,234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27ED66B" w14:textId="77777777" w:rsidR="00EB3D2E" w:rsidRPr="00B876D6" w:rsidRDefault="00EB3D2E" w:rsidP="00697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14.1%</w:t>
            </w:r>
          </w:p>
        </w:tc>
      </w:tr>
      <w:tr w:rsidR="00EA36DE" w:rsidRPr="00B876D6" w14:paraId="35BE3A78" w14:textId="77777777" w:rsidTr="00CC3969">
        <w:trPr>
          <w:trHeight w:val="267"/>
        </w:trPr>
        <w:tc>
          <w:tcPr>
            <w:tcW w:w="2964" w:type="dxa"/>
            <w:shd w:val="clear" w:color="auto" w:fill="FFFFFF" w:themeFill="background1"/>
          </w:tcPr>
          <w:p w14:paraId="0ACD281B" w14:textId="77777777" w:rsidR="00EB3D2E" w:rsidRPr="00B876D6" w:rsidRDefault="00EB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Outer Regional Australia</w:t>
            </w:r>
          </w:p>
        </w:tc>
        <w:tc>
          <w:tcPr>
            <w:tcW w:w="1896" w:type="dxa"/>
            <w:shd w:val="clear" w:color="auto" w:fill="FFFFFF" w:themeFill="background1"/>
          </w:tcPr>
          <w:p w14:paraId="7B883BAB" w14:textId="05C34F42" w:rsidR="00EB3D2E" w:rsidRPr="00B876D6" w:rsidRDefault="00EB3D2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1,670</w:t>
            </w:r>
          </w:p>
        </w:tc>
        <w:tc>
          <w:tcPr>
            <w:tcW w:w="1417" w:type="dxa"/>
            <w:shd w:val="clear" w:color="auto" w:fill="FFFFFF" w:themeFill="background1"/>
          </w:tcPr>
          <w:p w14:paraId="3466013D" w14:textId="77777777" w:rsidR="00EB3D2E" w:rsidRPr="00B876D6" w:rsidRDefault="00EB3D2E" w:rsidP="00697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5.6%</w:t>
            </w:r>
          </w:p>
        </w:tc>
      </w:tr>
      <w:tr w:rsidR="00E85F15" w:rsidRPr="00B876D6" w14:paraId="0AEFFBEB" w14:textId="77777777" w:rsidTr="00CC3969">
        <w:trPr>
          <w:trHeight w:val="267"/>
        </w:trPr>
        <w:tc>
          <w:tcPr>
            <w:tcW w:w="2964" w:type="dxa"/>
            <w:shd w:val="clear" w:color="auto" w:fill="F2F2F2" w:themeFill="background1" w:themeFillShade="F2"/>
          </w:tcPr>
          <w:p w14:paraId="6580F877" w14:textId="77777777" w:rsidR="00EB3D2E" w:rsidRPr="00B876D6" w:rsidRDefault="00EB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Remote Australia</w:t>
            </w:r>
          </w:p>
        </w:tc>
        <w:tc>
          <w:tcPr>
            <w:tcW w:w="1896" w:type="dxa"/>
            <w:shd w:val="clear" w:color="auto" w:fill="F2F2F2" w:themeFill="background1" w:themeFillShade="F2"/>
          </w:tcPr>
          <w:p w14:paraId="1FC8E3FE" w14:textId="77AADBD1" w:rsidR="00EB3D2E" w:rsidRPr="00B876D6" w:rsidRDefault="00EB3D2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8DF5D4A" w14:textId="77777777" w:rsidR="00EB3D2E" w:rsidRPr="00B876D6" w:rsidRDefault="00EB3D2E" w:rsidP="00697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0.6%</w:t>
            </w:r>
          </w:p>
        </w:tc>
      </w:tr>
      <w:tr w:rsidR="00EA36DE" w:rsidRPr="00B876D6" w14:paraId="1E18A4F8" w14:textId="77777777" w:rsidTr="00CC3969">
        <w:trPr>
          <w:trHeight w:val="267"/>
        </w:trPr>
        <w:tc>
          <w:tcPr>
            <w:tcW w:w="2964" w:type="dxa"/>
            <w:shd w:val="clear" w:color="auto" w:fill="FFFFFF" w:themeFill="background1"/>
          </w:tcPr>
          <w:p w14:paraId="35861D4C" w14:textId="77777777" w:rsidR="00EB3D2E" w:rsidRPr="00B876D6" w:rsidRDefault="00EB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Very Remote Australia</w:t>
            </w:r>
          </w:p>
        </w:tc>
        <w:tc>
          <w:tcPr>
            <w:tcW w:w="1896" w:type="dxa"/>
            <w:shd w:val="clear" w:color="auto" w:fill="FFFFFF" w:themeFill="background1"/>
          </w:tcPr>
          <w:p w14:paraId="751EAEB1" w14:textId="08B448C6" w:rsidR="00EB3D2E" w:rsidRPr="00B876D6" w:rsidRDefault="00EB3D2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shd w:val="clear" w:color="auto" w:fill="FFFFFF" w:themeFill="background1"/>
          </w:tcPr>
          <w:p w14:paraId="3520C472" w14:textId="77777777" w:rsidR="00EB3D2E" w:rsidRPr="00B876D6" w:rsidRDefault="00EB3D2E" w:rsidP="00697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0.3%</w:t>
            </w:r>
          </w:p>
        </w:tc>
      </w:tr>
      <w:tr w:rsidR="00EA36DE" w:rsidRPr="00B876D6" w14:paraId="4C527A9F" w14:textId="77777777" w:rsidTr="00CC3969">
        <w:trPr>
          <w:trHeight w:val="267"/>
        </w:trPr>
        <w:tc>
          <w:tcPr>
            <w:tcW w:w="2964" w:type="dxa"/>
            <w:shd w:val="clear" w:color="auto" w:fill="F2F2F2" w:themeFill="background1" w:themeFillShade="F2"/>
          </w:tcPr>
          <w:p w14:paraId="0A1D8372" w14:textId="50308A1F" w:rsidR="00EB3D2E" w:rsidRPr="00B876D6" w:rsidRDefault="00EB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*N/A</w:t>
            </w:r>
          </w:p>
        </w:tc>
        <w:tc>
          <w:tcPr>
            <w:tcW w:w="1896" w:type="dxa"/>
            <w:shd w:val="clear" w:color="auto" w:fill="F2F2F2" w:themeFill="background1" w:themeFillShade="F2"/>
          </w:tcPr>
          <w:p w14:paraId="29485181" w14:textId="6D744E3D" w:rsidR="00EB3D2E" w:rsidRPr="00B876D6" w:rsidRDefault="00EB3D2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66B9854" w14:textId="77777777" w:rsidR="00EB3D2E" w:rsidRPr="00B876D6" w:rsidRDefault="00EB3D2E" w:rsidP="00697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0.1%</w:t>
            </w:r>
          </w:p>
        </w:tc>
      </w:tr>
      <w:tr w:rsidR="00EA36DE" w:rsidRPr="00B876D6" w14:paraId="33B467BA" w14:textId="77777777" w:rsidTr="00CC3969">
        <w:trPr>
          <w:trHeight w:val="267"/>
        </w:trPr>
        <w:tc>
          <w:tcPr>
            <w:tcW w:w="2964" w:type="dxa"/>
            <w:shd w:val="clear" w:color="auto" w:fill="FFFFFF" w:themeFill="background1"/>
          </w:tcPr>
          <w:p w14:paraId="6F31141F" w14:textId="77777777" w:rsidR="00EB3D2E" w:rsidRPr="00B876D6" w:rsidRDefault="00EB3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96" w:type="dxa"/>
            <w:shd w:val="clear" w:color="auto" w:fill="FFFFFF" w:themeFill="background1"/>
          </w:tcPr>
          <w:p w14:paraId="48DDCCFE" w14:textId="3AE0D97B" w:rsidR="00EB3D2E" w:rsidRPr="00B876D6" w:rsidRDefault="00EB3D2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30,003</w:t>
            </w:r>
          </w:p>
        </w:tc>
        <w:tc>
          <w:tcPr>
            <w:tcW w:w="1417" w:type="dxa"/>
            <w:shd w:val="clear" w:color="auto" w:fill="FFFFFF" w:themeFill="background1"/>
          </w:tcPr>
          <w:p w14:paraId="000DFD20" w14:textId="77777777" w:rsidR="00EB3D2E" w:rsidRPr="00B876D6" w:rsidRDefault="00EB3D2E" w:rsidP="00697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</w:tbl>
    <w:p w14:paraId="1CCD0878" w14:textId="5D5561A2" w:rsidR="00EB56ED" w:rsidRPr="00CC3969" w:rsidRDefault="00EB3D2E" w:rsidP="00CC3969">
      <w:pPr>
        <w:spacing w:line="256" w:lineRule="auto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>* Missing addresses/remoteness indicator</w:t>
      </w:r>
    </w:p>
    <w:p w14:paraId="4D62245F" w14:textId="6DDDA6F0" w:rsidR="006C7A01" w:rsidRDefault="006C7A01" w:rsidP="006C7A01">
      <w:r w:rsidRPr="004D6323">
        <w:t>The average VSL amount per student in remote and very remote areas is higher than the general VSL population student average.</w:t>
      </w:r>
    </w:p>
    <w:p w14:paraId="2FB6F9A9" w14:textId="32CF7892" w:rsidR="00BC769A" w:rsidRDefault="00943A20" w:rsidP="009238EC">
      <w:r w:rsidRPr="004D6323">
        <w:t>The average</w:t>
      </w:r>
      <w:r w:rsidR="004A188B">
        <w:t xml:space="preserve"> VSL </w:t>
      </w:r>
      <w:r w:rsidRPr="004D6323">
        <w:t>loan amount for students in major cities is broadly in line with the total VSL average.</w:t>
      </w:r>
      <w:r>
        <w:t xml:space="preserve"> </w:t>
      </w:r>
      <w:r w:rsidR="00037E10" w:rsidRPr="004D6323">
        <w:t xml:space="preserve">Students in </w:t>
      </w:r>
      <w:r w:rsidR="0029760B" w:rsidRPr="004D6323">
        <w:t>i</w:t>
      </w:r>
      <w:r w:rsidR="00037E10" w:rsidRPr="004D6323">
        <w:t>nner</w:t>
      </w:r>
      <w:r w:rsidR="002C0A2A" w:rsidRPr="004D6323">
        <w:t>-</w:t>
      </w:r>
      <w:r w:rsidR="0029760B" w:rsidRPr="004D6323">
        <w:t>r</w:t>
      </w:r>
      <w:r w:rsidR="002C0A2A" w:rsidRPr="004D6323">
        <w:t xml:space="preserve">egional and </w:t>
      </w:r>
      <w:r w:rsidR="0029760B" w:rsidRPr="004D6323">
        <w:t>o</w:t>
      </w:r>
      <w:r w:rsidR="002C0A2A" w:rsidRPr="004D6323">
        <w:t>uter</w:t>
      </w:r>
      <w:r w:rsidR="00B138B7" w:rsidRPr="004D6323">
        <w:t>-</w:t>
      </w:r>
      <w:r w:rsidR="002C0A2A" w:rsidRPr="004D6323">
        <w:t>regional areas</w:t>
      </w:r>
      <w:r w:rsidR="00472EE1" w:rsidRPr="004D6323">
        <w:t xml:space="preserve"> have</w:t>
      </w:r>
      <w:r w:rsidR="002C0A2A" w:rsidRPr="004D6323">
        <w:t xml:space="preserve"> </w:t>
      </w:r>
      <w:r w:rsidR="003939D7" w:rsidRPr="004D6323">
        <w:t xml:space="preserve">marginally lower </w:t>
      </w:r>
      <w:r w:rsidR="00472EE1" w:rsidRPr="004D6323">
        <w:t xml:space="preserve">average loan amounts </w:t>
      </w:r>
      <w:r w:rsidR="003939D7" w:rsidRPr="004D6323">
        <w:t xml:space="preserve">than the </w:t>
      </w:r>
      <w:r w:rsidR="00472EE1" w:rsidRPr="004D6323">
        <w:t>total VSL average</w:t>
      </w:r>
      <w:r w:rsidR="00155984">
        <w:t xml:space="preserve"> </w:t>
      </w:r>
      <w:r w:rsidR="00BB6981">
        <w:t>(</w:t>
      </w:r>
      <w:r w:rsidR="00155984">
        <w:t>s</w:t>
      </w:r>
      <w:r w:rsidR="00BC769A">
        <w:t xml:space="preserve">ee </w:t>
      </w:r>
      <w:r w:rsidR="006C7A01">
        <w:t>F</w:t>
      </w:r>
      <w:r w:rsidR="00BC769A">
        <w:t xml:space="preserve">igure </w:t>
      </w:r>
      <w:r w:rsidR="0054415F">
        <w:t>5</w:t>
      </w:r>
      <w:r w:rsidR="00BC769A">
        <w:t xml:space="preserve"> below</w:t>
      </w:r>
      <w:r w:rsidR="00BB6981">
        <w:t>)</w:t>
      </w:r>
      <w:r w:rsidR="00CD2BCF">
        <w:t>.</w:t>
      </w:r>
    </w:p>
    <w:p w14:paraId="07A5FEEE" w14:textId="331F7EDD" w:rsidR="00BC769A" w:rsidRPr="00CC3969" w:rsidRDefault="00BC769A" w:rsidP="009F6571">
      <w:pPr>
        <w:pStyle w:val="Heading3"/>
        <w:rPr>
          <w:rFonts w:cstheme="minorHAnsi"/>
          <w:color w:val="auto"/>
        </w:rPr>
      </w:pPr>
      <w:bookmarkStart w:id="20" w:name="_Toc147861847"/>
      <w:r w:rsidRPr="00CC3969">
        <w:rPr>
          <w:rFonts w:cstheme="minorHAnsi"/>
          <w:color w:val="auto"/>
          <w:sz w:val="22"/>
          <w:szCs w:val="22"/>
        </w:rPr>
        <w:t xml:space="preserve">Figure </w:t>
      </w:r>
      <w:r w:rsidR="0054415F">
        <w:rPr>
          <w:rFonts w:cstheme="minorHAnsi"/>
          <w:color w:val="auto"/>
          <w:sz w:val="22"/>
          <w:szCs w:val="22"/>
        </w:rPr>
        <w:t>5</w:t>
      </w:r>
      <w:r w:rsidRPr="00CC3969">
        <w:rPr>
          <w:rFonts w:cstheme="minorHAnsi"/>
          <w:color w:val="auto"/>
          <w:sz w:val="22"/>
          <w:szCs w:val="22"/>
        </w:rPr>
        <w:t xml:space="preserve">: </w:t>
      </w:r>
      <w:r w:rsidR="00DF0262" w:rsidRPr="00CC3969">
        <w:rPr>
          <w:rFonts w:cstheme="minorHAnsi"/>
          <w:color w:val="auto"/>
          <w:sz w:val="22"/>
          <w:szCs w:val="22"/>
        </w:rPr>
        <w:t>Average Loan amount per student by remoteness</w:t>
      </w:r>
      <w:r w:rsidR="002E462E">
        <w:rPr>
          <w:rFonts w:cstheme="minorHAnsi"/>
          <w:color w:val="auto"/>
          <w:sz w:val="22"/>
          <w:szCs w:val="22"/>
        </w:rPr>
        <w:t>, 2022</w:t>
      </w:r>
      <w:bookmarkEnd w:id="20"/>
    </w:p>
    <w:p w14:paraId="27693224" w14:textId="4DD40105" w:rsidR="00B77491" w:rsidRDefault="00B77491" w:rsidP="009F6571">
      <w:r w:rsidRPr="004D6323">
        <w:rPr>
          <w:noProof/>
        </w:rPr>
        <w:drawing>
          <wp:inline distT="0" distB="0" distL="0" distR="0" wp14:anchorId="5937E87E" wp14:editId="2C3E869C">
            <wp:extent cx="6070600" cy="4241800"/>
            <wp:effectExtent l="0" t="0" r="6350" b="6350"/>
            <wp:docPr id="1957643324" name="Chart 1957643324">
              <a:extLst xmlns:a="http://schemas.openxmlformats.org/drawingml/2006/main">
                <a:ext uri="{FF2B5EF4-FFF2-40B4-BE49-F238E27FC236}">
                  <a16:creationId xmlns:a16="http://schemas.microsoft.com/office/drawing/2014/main" id="{64E7F569-DACB-5EC1-63AE-961F196E61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770E186" w14:textId="77777777" w:rsidR="00F91B56" w:rsidRDefault="00F91B56" w:rsidP="005B556C">
      <w:pPr>
        <w:pStyle w:val="Heading2"/>
        <w:rPr>
          <w:sz w:val="24"/>
          <w:szCs w:val="24"/>
        </w:rPr>
      </w:pPr>
    </w:p>
    <w:p w14:paraId="1A227659" w14:textId="77777777" w:rsidR="00AC2E12" w:rsidRDefault="00AC2E12" w:rsidP="005B556C">
      <w:pPr>
        <w:pStyle w:val="Heading2"/>
        <w:rPr>
          <w:sz w:val="24"/>
          <w:szCs w:val="24"/>
        </w:rPr>
      </w:pPr>
    </w:p>
    <w:p w14:paraId="0FF19CC4" w14:textId="77777777" w:rsidR="00423325" w:rsidRDefault="00423325" w:rsidP="00423325">
      <w:pPr>
        <w:pStyle w:val="Heading2"/>
      </w:pPr>
    </w:p>
    <w:p w14:paraId="30055671" w14:textId="77777777" w:rsidR="001300AB" w:rsidRPr="001300AB" w:rsidRDefault="001300AB" w:rsidP="009F6571"/>
    <w:p w14:paraId="61B5C7FD" w14:textId="77777777" w:rsidR="00BB6981" w:rsidRDefault="00BB6981" w:rsidP="009F6571"/>
    <w:p w14:paraId="38BF0AD8" w14:textId="2E572F13" w:rsidR="005B556C" w:rsidRPr="00CC3969" w:rsidRDefault="004C526E" w:rsidP="00423325">
      <w:pPr>
        <w:pStyle w:val="Heading2"/>
        <w:rPr>
          <w:rFonts w:asciiTheme="majorHAnsi" w:hAnsiTheme="majorHAnsi"/>
          <w:sz w:val="24"/>
          <w:szCs w:val="24"/>
        </w:rPr>
      </w:pPr>
      <w:bookmarkStart w:id="21" w:name="_Toc147861848"/>
      <w:r w:rsidRPr="00CC3969">
        <w:rPr>
          <w:rFonts w:asciiTheme="majorHAnsi" w:hAnsiTheme="majorHAnsi"/>
          <w:sz w:val="24"/>
          <w:szCs w:val="24"/>
        </w:rPr>
        <w:t>Demograph</w:t>
      </w:r>
      <w:r w:rsidR="005A6073" w:rsidRPr="00CC3969">
        <w:rPr>
          <w:rFonts w:asciiTheme="majorHAnsi" w:hAnsiTheme="majorHAnsi"/>
          <w:sz w:val="24"/>
          <w:szCs w:val="24"/>
        </w:rPr>
        <w:t>ic profile</w:t>
      </w:r>
      <w:bookmarkEnd w:id="21"/>
    </w:p>
    <w:p w14:paraId="712E37A0" w14:textId="7D391ABD" w:rsidR="008F5ABA" w:rsidRDefault="00517DA1" w:rsidP="00BC10FC">
      <w:r w:rsidRPr="004D6323">
        <w:t xml:space="preserve">Female </w:t>
      </w:r>
      <w:r w:rsidR="00175FFC">
        <w:t xml:space="preserve">students </w:t>
      </w:r>
      <w:r w:rsidR="00996143" w:rsidRPr="004D6323">
        <w:t xml:space="preserve">accessed </w:t>
      </w:r>
      <w:r w:rsidR="001A2338" w:rsidRPr="004D6323">
        <w:t xml:space="preserve">VSL </w:t>
      </w:r>
      <w:r w:rsidR="0067414F" w:rsidRPr="004D6323">
        <w:t>more than other gender categories</w:t>
      </w:r>
      <w:r w:rsidRPr="004D6323">
        <w:t xml:space="preserve">. Of the </w:t>
      </w:r>
      <w:r w:rsidR="002D02C8" w:rsidRPr="004D6323">
        <w:t xml:space="preserve">around </w:t>
      </w:r>
      <w:r w:rsidRPr="004D6323">
        <w:t>30,00</w:t>
      </w:r>
      <w:r w:rsidR="00331562">
        <w:t>0</w:t>
      </w:r>
      <w:r w:rsidRPr="004D6323">
        <w:t xml:space="preserve"> </w:t>
      </w:r>
      <w:r w:rsidR="002D02C8" w:rsidRPr="004D6323">
        <w:t xml:space="preserve">VSL </w:t>
      </w:r>
      <w:r w:rsidRPr="004D6323">
        <w:t>students</w:t>
      </w:r>
      <w:r w:rsidR="00600033">
        <w:t xml:space="preserve"> in 2022</w:t>
      </w:r>
      <w:r w:rsidRPr="004D6323">
        <w:t xml:space="preserve">, two in every three students </w:t>
      </w:r>
      <w:r w:rsidR="004B4B66" w:rsidRPr="004D6323">
        <w:t>(20</w:t>
      </w:r>
      <w:r w:rsidR="00652A86" w:rsidRPr="004D6323">
        <w:t>,3</w:t>
      </w:r>
      <w:r w:rsidR="00D245C0">
        <w:t>17</w:t>
      </w:r>
      <w:r w:rsidR="00652A86" w:rsidRPr="004D6323">
        <w:t xml:space="preserve">) </w:t>
      </w:r>
      <w:r w:rsidRPr="004D6323">
        <w:t xml:space="preserve">identified as female and </w:t>
      </w:r>
      <w:r w:rsidR="00996143" w:rsidRPr="004D6323">
        <w:t xml:space="preserve">about </w:t>
      </w:r>
      <w:r w:rsidR="0041058D" w:rsidRPr="004D6323">
        <w:t>75</w:t>
      </w:r>
      <w:r w:rsidR="003A471C" w:rsidRPr="004D6323">
        <w:t>%</w:t>
      </w:r>
      <w:r w:rsidR="0041058D" w:rsidRPr="004D6323">
        <w:t xml:space="preserve"> </w:t>
      </w:r>
      <w:r w:rsidR="0067414F" w:rsidRPr="004D6323">
        <w:t xml:space="preserve">of those </w:t>
      </w:r>
      <w:r w:rsidR="00DA7FA1" w:rsidRPr="004D6323">
        <w:t xml:space="preserve">were </w:t>
      </w:r>
      <w:r w:rsidRPr="004D6323">
        <w:t xml:space="preserve">under the age of </w:t>
      </w:r>
      <w:r w:rsidR="00643E6B" w:rsidRPr="004D6323">
        <w:t>thirty-five</w:t>
      </w:r>
      <w:r w:rsidR="001A2E67">
        <w:t> </w:t>
      </w:r>
      <w:r w:rsidR="0041058D" w:rsidRPr="004D6323">
        <w:t>(35)</w:t>
      </w:r>
      <w:r w:rsidR="00C44D0A" w:rsidRPr="004D6323">
        <w:t>. Students th</w:t>
      </w:r>
      <w:r w:rsidR="00FD474C" w:rsidRPr="004D6323">
        <w:t>a</w:t>
      </w:r>
      <w:r w:rsidR="00C44D0A" w:rsidRPr="004D6323">
        <w:t>t identified as male account for</w:t>
      </w:r>
      <w:r w:rsidR="00FD474C" w:rsidRPr="004D6323">
        <w:t xml:space="preserve"> about a third (9,532</w:t>
      </w:r>
      <w:r w:rsidR="00683D17" w:rsidRPr="004D6323">
        <w:t>) of VSL s</w:t>
      </w:r>
      <w:r w:rsidR="00914FA7" w:rsidRPr="004D6323">
        <w:t>t</w:t>
      </w:r>
      <w:r w:rsidR="00683D17" w:rsidRPr="004D6323">
        <w:t>udents</w:t>
      </w:r>
      <w:r w:rsidR="00914FA7" w:rsidRPr="004D6323">
        <w:t xml:space="preserve"> (</w:t>
      </w:r>
      <w:r w:rsidR="001A2338" w:rsidRPr="004D6323">
        <w:t>s</w:t>
      </w:r>
      <w:r w:rsidR="00F42589" w:rsidRPr="004D6323">
        <w:t xml:space="preserve">ee </w:t>
      </w:r>
      <w:r w:rsidR="006C7A01">
        <w:t>F</w:t>
      </w:r>
      <w:r w:rsidR="00F42589" w:rsidRPr="004D6323">
        <w:t xml:space="preserve">igure </w:t>
      </w:r>
      <w:r w:rsidR="0054415F">
        <w:t>6</w:t>
      </w:r>
      <w:r w:rsidR="00914FA7" w:rsidRPr="004D6323">
        <w:t>)</w:t>
      </w:r>
      <w:r w:rsidR="00F42589" w:rsidRPr="004D6323">
        <w:t>.</w:t>
      </w:r>
    </w:p>
    <w:p w14:paraId="0D82D082" w14:textId="33CD5DDE" w:rsidR="008F5ABA" w:rsidRPr="00CC3969" w:rsidRDefault="00744747" w:rsidP="009F6571">
      <w:pPr>
        <w:pStyle w:val="Heading3"/>
        <w:rPr>
          <w:rFonts w:cstheme="minorHAnsi"/>
          <w:color w:val="auto"/>
        </w:rPr>
      </w:pPr>
      <w:bookmarkStart w:id="22" w:name="_Toc147861849"/>
      <w:r w:rsidRPr="00CC3969">
        <w:rPr>
          <w:rFonts w:cstheme="minorHAnsi"/>
          <w:color w:val="auto"/>
          <w:sz w:val="22"/>
          <w:szCs w:val="22"/>
        </w:rPr>
        <w:t xml:space="preserve">Figure </w:t>
      </w:r>
      <w:r w:rsidR="0054415F">
        <w:rPr>
          <w:rFonts w:cstheme="minorHAnsi"/>
          <w:color w:val="auto"/>
          <w:sz w:val="22"/>
          <w:szCs w:val="22"/>
        </w:rPr>
        <w:t>6</w:t>
      </w:r>
      <w:r w:rsidRPr="00CC3969">
        <w:rPr>
          <w:rFonts w:cstheme="minorHAnsi"/>
          <w:color w:val="auto"/>
          <w:sz w:val="22"/>
          <w:szCs w:val="22"/>
        </w:rPr>
        <w:t xml:space="preserve">: </w:t>
      </w:r>
      <w:r w:rsidR="009E1D96" w:rsidRPr="00CC3969">
        <w:rPr>
          <w:rFonts w:cstheme="minorHAnsi"/>
          <w:color w:val="auto"/>
          <w:sz w:val="22"/>
          <w:szCs w:val="22"/>
        </w:rPr>
        <w:t>Number of VSL student by gender</w:t>
      </w:r>
      <w:r w:rsidR="002E462E">
        <w:rPr>
          <w:rFonts w:cstheme="minorHAnsi"/>
          <w:color w:val="auto"/>
          <w:sz w:val="22"/>
          <w:szCs w:val="22"/>
        </w:rPr>
        <w:t>, 2022</w:t>
      </w:r>
      <w:bookmarkEnd w:id="22"/>
    </w:p>
    <w:p w14:paraId="6B7F88EB" w14:textId="76AE74D1" w:rsidR="00175FFC" w:rsidRDefault="008F5ABA" w:rsidP="00517DA1">
      <w:r w:rsidRPr="004D6323">
        <w:rPr>
          <w:noProof/>
        </w:rPr>
        <w:drawing>
          <wp:inline distT="0" distB="0" distL="0" distR="0" wp14:anchorId="1885DF50" wp14:editId="1E92ACC6">
            <wp:extent cx="6203950" cy="3009900"/>
            <wp:effectExtent l="0" t="0" r="6350" b="0"/>
            <wp:docPr id="1073072003" name="Chart 1073072003">
              <a:extLst xmlns:a="http://schemas.openxmlformats.org/drawingml/2006/main">
                <a:ext uri="{FF2B5EF4-FFF2-40B4-BE49-F238E27FC236}">
                  <a16:creationId xmlns:a16="http://schemas.microsoft.com/office/drawing/2014/main" id="{0B2E90AB-EAE7-32EB-052E-08A859F17F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D67F853" w14:textId="1C22841B" w:rsidR="007F0D5B" w:rsidRPr="004D6323" w:rsidRDefault="0017087C">
      <w:r w:rsidRPr="004D6323">
        <w:t xml:space="preserve">The </w:t>
      </w:r>
      <w:r w:rsidR="00EC16F1" w:rsidRPr="004D6323">
        <w:t xml:space="preserve">most popular </w:t>
      </w:r>
      <w:r w:rsidRPr="004D6323">
        <w:t>course</w:t>
      </w:r>
      <w:r w:rsidR="0067414F" w:rsidRPr="004D6323">
        <w:t>s</w:t>
      </w:r>
      <w:r w:rsidRPr="004D6323">
        <w:t xml:space="preserve"> studied by </w:t>
      </w:r>
      <w:r w:rsidR="000D2720">
        <w:t xml:space="preserve">VSL </w:t>
      </w:r>
      <w:r w:rsidR="00E30E63" w:rsidRPr="004D6323">
        <w:t xml:space="preserve">students </w:t>
      </w:r>
      <w:r w:rsidRPr="004D6323">
        <w:t>are Diploma of Nursing, Diploma of Beauty Therapy and Diploma of Screen and Media.</w:t>
      </w:r>
      <w:r w:rsidR="00E7573F" w:rsidRPr="004D6323">
        <w:t xml:space="preserve"> </w:t>
      </w:r>
      <w:r w:rsidR="00461739" w:rsidRPr="004D6323">
        <w:t xml:space="preserve">Further information on </w:t>
      </w:r>
      <w:r w:rsidR="00610B57" w:rsidRPr="004D6323">
        <w:t>the courses studied by</w:t>
      </w:r>
      <w:r w:rsidR="007114C9">
        <w:t xml:space="preserve"> VSL</w:t>
      </w:r>
      <w:r w:rsidR="00610B57" w:rsidRPr="004D6323">
        <w:t xml:space="preserve"> students</w:t>
      </w:r>
      <w:r w:rsidR="006A44CB">
        <w:t xml:space="preserve"> and gender break</w:t>
      </w:r>
      <w:r w:rsidR="00806948">
        <w:t>down</w:t>
      </w:r>
      <w:r w:rsidR="00610B57" w:rsidRPr="004D6323">
        <w:t xml:space="preserve"> </w:t>
      </w:r>
      <w:r w:rsidR="00D30F56" w:rsidRPr="004D6323">
        <w:t xml:space="preserve">is </w:t>
      </w:r>
      <w:r w:rsidR="00610B57" w:rsidRPr="004D6323">
        <w:t>at T</w:t>
      </w:r>
      <w:r w:rsidR="00DD01EF" w:rsidRPr="004D6323">
        <w:t>ables 5</w:t>
      </w:r>
      <w:r w:rsidR="00B93EDA">
        <w:t xml:space="preserve"> </w:t>
      </w:r>
      <w:r w:rsidR="00DD01EF" w:rsidRPr="004D6323">
        <w:t xml:space="preserve">and </w:t>
      </w:r>
      <w:r w:rsidR="00B93EDA">
        <w:t xml:space="preserve">6 </w:t>
      </w:r>
      <w:r w:rsidR="00DD01EF" w:rsidRPr="004D6323">
        <w:t>below.</w:t>
      </w:r>
      <w:r w:rsidR="00DB707A">
        <w:t xml:space="preserve"> </w:t>
      </w:r>
    </w:p>
    <w:p w14:paraId="26744EC2" w14:textId="351CFF33" w:rsidR="002F3681" w:rsidRDefault="0096684F" w:rsidP="00CC3969">
      <w:pPr>
        <w:pStyle w:val="Heading3"/>
      </w:pPr>
      <w:bookmarkStart w:id="23" w:name="_Toc147861850"/>
      <w:r w:rsidRPr="00CC3969">
        <w:rPr>
          <w:rFonts w:cstheme="minorHAnsi"/>
          <w:color w:val="auto"/>
          <w:sz w:val="22"/>
          <w:szCs w:val="22"/>
        </w:rPr>
        <w:t xml:space="preserve">Table </w:t>
      </w:r>
      <w:r w:rsidR="00A611A5" w:rsidRPr="00CC3969">
        <w:rPr>
          <w:rFonts w:cstheme="minorHAnsi"/>
          <w:color w:val="auto"/>
          <w:sz w:val="22"/>
          <w:szCs w:val="22"/>
        </w:rPr>
        <w:t>5</w:t>
      </w:r>
      <w:r w:rsidRPr="00CC3969">
        <w:rPr>
          <w:rFonts w:cstheme="minorHAnsi"/>
          <w:color w:val="auto"/>
          <w:sz w:val="22"/>
          <w:szCs w:val="22"/>
        </w:rPr>
        <w:t>: Top 10 course</w:t>
      </w:r>
      <w:r w:rsidR="0030600B" w:rsidRPr="00CC3969">
        <w:rPr>
          <w:rFonts w:cstheme="minorHAnsi"/>
          <w:bCs/>
          <w:color w:val="auto"/>
          <w:sz w:val="22"/>
          <w:szCs w:val="22"/>
        </w:rPr>
        <w:t>s</w:t>
      </w:r>
      <w:r w:rsidRPr="00CC3969">
        <w:rPr>
          <w:rFonts w:cstheme="minorHAnsi"/>
          <w:color w:val="auto"/>
          <w:sz w:val="22"/>
          <w:szCs w:val="22"/>
        </w:rPr>
        <w:t xml:space="preserve"> </w:t>
      </w:r>
      <w:r w:rsidR="00600033">
        <w:rPr>
          <w:rFonts w:cstheme="minorHAnsi"/>
          <w:bCs/>
          <w:color w:val="auto"/>
          <w:sz w:val="22"/>
          <w:szCs w:val="22"/>
        </w:rPr>
        <w:t xml:space="preserve">studied by </w:t>
      </w:r>
      <w:r w:rsidRPr="00CC3969">
        <w:rPr>
          <w:rFonts w:cstheme="minorHAnsi"/>
          <w:color w:val="auto"/>
          <w:sz w:val="22"/>
          <w:szCs w:val="22"/>
        </w:rPr>
        <w:t xml:space="preserve">female </w:t>
      </w:r>
      <w:r w:rsidR="007114C9" w:rsidRPr="00CC3969">
        <w:rPr>
          <w:rFonts w:cstheme="minorHAnsi"/>
          <w:color w:val="auto"/>
          <w:sz w:val="22"/>
          <w:szCs w:val="22"/>
        </w:rPr>
        <w:t xml:space="preserve">VSL </w:t>
      </w:r>
      <w:r w:rsidRPr="00CC3969">
        <w:rPr>
          <w:rFonts w:cstheme="minorHAnsi"/>
          <w:color w:val="auto"/>
          <w:sz w:val="22"/>
          <w:szCs w:val="22"/>
        </w:rPr>
        <w:t>students</w:t>
      </w:r>
      <w:r w:rsidR="00AE550B">
        <w:rPr>
          <w:rFonts w:cstheme="minorHAnsi"/>
          <w:color w:val="auto"/>
          <w:sz w:val="22"/>
          <w:szCs w:val="22"/>
        </w:rPr>
        <w:t xml:space="preserve">, </w:t>
      </w:r>
      <w:r w:rsidR="002E462E">
        <w:rPr>
          <w:rFonts w:cstheme="minorHAnsi"/>
          <w:color w:val="auto"/>
          <w:sz w:val="22"/>
          <w:szCs w:val="22"/>
        </w:rPr>
        <w:t>2022</w:t>
      </w:r>
      <w:bookmarkEnd w:id="23"/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2"/>
        <w:gridCol w:w="1885"/>
        <w:gridCol w:w="1418"/>
      </w:tblGrid>
      <w:tr w:rsidR="002F3681" w:rsidRPr="00B876D6" w14:paraId="7688DAB6" w14:textId="77777777" w:rsidTr="007C4093">
        <w:trPr>
          <w:trHeight w:val="570"/>
        </w:trPr>
        <w:tc>
          <w:tcPr>
            <w:tcW w:w="4382" w:type="dxa"/>
            <w:shd w:val="clear" w:color="auto" w:fill="E36C0A" w:themeFill="accent6" w:themeFillShade="BF"/>
          </w:tcPr>
          <w:p w14:paraId="56FE20BF" w14:textId="77777777" w:rsidR="002F3681" w:rsidRPr="00B876D6" w:rsidRDefault="002F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Course Name</w:t>
            </w:r>
          </w:p>
        </w:tc>
        <w:tc>
          <w:tcPr>
            <w:tcW w:w="1885" w:type="dxa"/>
            <w:shd w:val="clear" w:color="auto" w:fill="E36C0A" w:themeFill="accent6" w:themeFillShade="BF"/>
          </w:tcPr>
          <w:p w14:paraId="6E3B2908" w14:textId="77777777" w:rsidR="002F3681" w:rsidRPr="00B876D6" w:rsidRDefault="002F3681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Number of students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5C2A746B" w14:textId="0B48C006" w:rsidR="002F3681" w:rsidRPr="00B876D6" w:rsidRDefault="002F3681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Share of</w:t>
            </w:r>
            <w:r w:rsidR="002E462E" w:rsidRPr="00B876D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876D6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</w:tr>
      <w:tr w:rsidR="002F3681" w:rsidRPr="00B876D6" w14:paraId="2E82084F" w14:textId="77777777" w:rsidTr="00B876D6">
        <w:trPr>
          <w:trHeight w:val="210"/>
        </w:trPr>
        <w:tc>
          <w:tcPr>
            <w:tcW w:w="4382" w:type="dxa"/>
            <w:shd w:val="clear" w:color="auto" w:fill="FFFFFF" w:themeFill="background1"/>
          </w:tcPr>
          <w:p w14:paraId="7ED509AA" w14:textId="77777777" w:rsidR="002F3681" w:rsidRPr="00B876D6" w:rsidRDefault="002F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Nursing</w:t>
            </w:r>
          </w:p>
        </w:tc>
        <w:tc>
          <w:tcPr>
            <w:tcW w:w="1885" w:type="dxa"/>
            <w:shd w:val="clear" w:color="auto" w:fill="FFFFFF" w:themeFill="background1"/>
          </w:tcPr>
          <w:p w14:paraId="4DE0C70D" w14:textId="4652610A" w:rsidR="002F3681" w:rsidRPr="00B876D6" w:rsidRDefault="002F3681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6,076</w:t>
            </w:r>
          </w:p>
        </w:tc>
        <w:tc>
          <w:tcPr>
            <w:tcW w:w="1418" w:type="dxa"/>
            <w:shd w:val="clear" w:color="auto" w:fill="FFFFFF" w:themeFill="background1"/>
          </w:tcPr>
          <w:p w14:paraId="43412726" w14:textId="77777777" w:rsidR="002F3681" w:rsidRPr="00B876D6" w:rsidRDefault="002F3681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29.9%</w:t>
            </w:r>
          </w:p>
        </w:tc>
      </w:tr>
      <w:tr w:rsidR="002F3681" w:rsidRPr="00B876D6" w14:paraId="09021008" w14:textId="77777777" w:rsidTr="00B876D6">
        <w:trPr>
          <w:trHeight w:val="173"/>
        </w:trPr>
        <w:tc>
          <w:tcPr>
            <w:tcW w:w="4382" w:type="dxa"/>
            <w:shd w:val="clear" w:color="auto" w:fill="F2F2F2" w:themeFill="background1" w:themeFillShade="F2"/>
          </w:tcPr>
          <w:p w14:paraId="2FFB6632" w14:textId="77777777" w:rsidR="002F3681" w:rsidRPr="00B876D6" w:rsidRDefault="002F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Beauty Therapy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14:paraId="5A8C5B96" w14:textId="786ECAC5" w:rsidR="002F3681" w:rsidRPr="00B876D6" w:rsidRDefault="002F3681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2,325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5A27803" w14:textId="77777777" w:rsidR="002F3681" w:rsidRPr="00B876D6" w:rsidRDefault="002F3681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11.4%</w:t>
            </w:r>
          </w:p>
        </w:tc>
      </w:tr>
      <w:tr w:rsidR="002F3681" w:rsidRPr="00B876D6" w14:paraId="61E8B309" w14:textId="77777777" w:rsidTr="00B876D6">
        <w:trPr>
          <w:trHeight w:val="276"/>
        </w:trPr>
        <w:tc>
          <w:tcPr>
            <w:tcW w:w="4382" w:type="dxa"/>
            <w:shd w:val="clear" w:color="auto" w:fill="FFFFFF" w:themeFill="background1"/>
          </w:tcPr>
          <w:p w14:paraId="1EFF7570" w14:textId="77777777" w:rsidR="002F3681" w:rsidRPr="00B876D6" w:rsidRDefault="002F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Screen and Media</w:t>
            </w:r>
          </w:p>
        </w:tc>
        <w:tc>
          <w:tcPr>
            <w:tcW w:w="1885" w:type="dxa"/>
            <w:shd w:val="clear" w:color="auto" w:fill="FFFFFF" w:themeFill="background1"/>
          </w:tcPr>
          <w:p w14:paraId="49490C39" w14:textId="5B2B4EDC" w:rsidR="002F3681" w:rsidRPr="00B876D6" w:rsidRDefault="002F3681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1,102</w:t>
            </w:r>
          </w:p>
        </w:tc>
        <w:tc>
          <w:tcPr>
            <w:tcW w:w="1418" w:type="dxa"/>
            <w:shd w:val="clear" w:color="auto" w:fill="FFFFFF" w:themeFill="background1"/>
          </w:tcPr>
          <w:p w14:paraId="1266CBF0" w14:textId="77777777" w:rsidR="002F3681" w:rsidRPr="00B876D6" w:rsidRDefault="002F3681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5.4%</w:t>
            </w:r>
          </w:p>
        </w:tc>
      </w:tr>
      <w:tr w:rsidR="002F3681" w:rsidRPr="00B876D6" w14:paraId="3A12BC87" w14:textId="77777777" w:rsidTr="00B876D6">
        <w:trPr>
          <w:trHeight w:val="122"/>
        </w:trPr>
        <w:tc>
          <w:tcPr>
            <w:tcW w:w="4382" w:type="dxa"/>
            <w:shd w:val="clear" w:color="auto" w:fill="F2F2F2" w:themeFill="background1" w:themeFillShade="F2"/>
          </w:tcPr>
          <w:p w14:paraId="02EBF62E" w14:textId="77777777" w:rsidR="002F3681" w:rsidRPr="00B876D6" w:rsidRDefault="002F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Remedial Massage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14:paraId="314FFD28" w14:textId="082BCCDA" w:rsidR="002F3681" w:rsidRPr="00B876D6" w:rsidRDefault="002F3681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4AFB515" w14:textId="77777777" w:rsidR="002F3681" w:rsidRPr="00B876D6" w:rsidRDefault="002F3681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4.3%</w:t>
            </w:r>
          </w:p>
        </w:tc>
      </w:tr>
      <w:tr w:rsidR="002F3681" w:rsidRPr="00B876D6" w14:paraId="4AC8EE0F" w14:textId="77777777" w:rsidTr="00B876D6">
        <w:trPr>
          <w:trHeight w:val="37"/>
        </w:trPr>
        <w:tc>
          <w:tcPr>
            <w:tcW w:w="4382" w:type="dxa"/>
            <w:shd w:val="clear" w:color="auto" w:fill="FFFFFF" w:themeFill="background1"/>
          </w:tcPr>
          <w:p w14:paraId="24CE25B2" w14:textId="77777777" w:rsidR="002F3681" w:rsidRPr="00B876D6" w:rsidRDefault="002F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Counselling</w:t>
            </w:r>
          </w:p>
        </w:tc>
        <w:tc>
          <w:tcPr>
            <w:tcW w:w="1885" w:type="dxa"/>
            <w:shd w:val="clear" w:color="auto" w:fill="FFFFFF" w:themeFill="background1"/>
          </w:tcPr>
          <w:p w14:paraId="1388D5A3" w14:textId="296157FF" w:rsidR="002F3681" w:rsidRPr="00B876D6" w:rsidRDefault="002F3681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418" w:type="dxa"/>
            <w:shd w:val="clear" w:color="auto" w:fill="FFFFFF" w:themeFill="background1"/>
          </w:tcPr>
          <w:p w14:paraId="03789BFF" w14:textId="77777777" w:rsidR="002F3681" w:rsidRPr="00B876D6" w:rsidRDefault="002F3681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4.3%</w:t>
            </w:r>
          </w:p>
        </w:tc>
      </w:tr>
      <w:tr w:rsidR="002F3681" w:rsidRPr="00B876D6" w14:paraId="2D7688AC" w14:textId="77777777" w:rsidTr="00B876D6">
        <w:trPr>
          <w:trHeight w:val="120"/>
        </w:trPr>
        <w:tc>
          <w:tcPr>
            <w:tcW w:w="4382" w:type="dxa"/>
            <w:shd w:val="clear" w:color="auto" w:fill="F2F2F2" w:themeFill="background1" w:themeFillShade="F2"/>
          </w:tcPr>
          <w:p w14:paraId="71CC3D77" w14:textId="77777777" w:rsidR="002F3681" w:rsidRPr="00B876D6" w:rsidRDefault="002F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Community Services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14:paraId="435F033A" w14:textId="51BA7B43" w:rsidR="002F3681" w:rsidRPr="00B876D6" w:rsidRDefault="002F3681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F0BB1CC" w14:textId="77777777" w:rsidR="002F3681" w:rsidRPr="00B876D6" w:rsidRDefault="002F3681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3.8%</w:t>
            </w:r>
          </w:p>
        </w:tc>
      </w:tr>
      <w:tr w:rsidR="002F3681" w:rsidRPr="00B876D6" w14:paraId="1AC6C894" w14:textId="77777777" w:rsidTr="00B876D6">
        <w:trPr>
          <w:trHeight w:val="152"/>
        </w:trPr>
        <w:tc>
          <w:tcPr>
            <w:tcW w:w="4382" w:type="dxa"/>
            <w:shd w:val="clear" w:color="auto" w:fill="FFFFFF" w:themeFill="background1"/>
          </w:tcPr>
          <w:p w14:paraId="08A662A4" w14:textId="77777777" w:rsidR="002F3681" w:rsidRPr="00B876D6" w:rsidRDefault="002F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Interior Design</w:t>
            </w:r>
          </w:p>
        </w:tc>
        <w:tc>
          <w:tcPr>
            <w:tcW w:w="1885" w:type="dxa"/>
            <w:shd w:val="clear" w:color="auto" w:fill="FFFFFF" w:themeFill="background1"/>
          </w:tcPr>
          <w:p w14:paraId="7222D836" w14:textId="7813DF3F" w:rsidR="002F3681" w:rsidRPr="00B876D6" w:rsidRDefault="002F3681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418" w:type="dxa"/>
            <w:shd w:val="clear" w:color="auto" w:fill="FFFFFF" w:themeFill="background1"/>
          </w:tcPr>
          <w:p w14:paraId="3DCD7705" w14:textId="77777777" w:rsidR="002F3681" w:rsidRPr="00B876D6" w:rsidRDefault="002F3681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3.5%</w:t>
            </w:r>
          </w:p>
        </w:tc>
      </w:tr>
      <w:tr w:rsidR="002F3681" w:rsidRPr="00B876D6" w14:paraId="41CE4CE9" w14:textId="77777777" w:rsidTr="00B876D6">
        <w:trPr>
          <w:trHeight w:val="94"/>
        </w:trPr>
        <w:tc>
          <w:tcPr>
            <w:tcW w:w="4382" w:type="dxa"/>
            <w:shd w:val="clear" w:color="auto" w:fill="F2F2F2" w:themeFill="background1" w:themeFillShade="F2"/>
          </w:tcPr>
          <w:p w14:paraId="720B98F2" w14:textId="77777777" w:rsidR="002F3681" w:rsidRPr="00B876D6" w:rsidRDefault="002F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Visual Arts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14:paraId="41F76796" w14:textId="1B00EAB1" w:rsidR="002F3681" w:rsidRPr="00B876D6" w:rsidRDefault="002F3681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B4DC015" w14:textId="77777777" w:rsidR="002F3681" w:rsidRPr="00B876D6" w:rsidRDefault="002F3681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3.1%</w:t>
            </w:r>
          </w:p>
        </w:tc>
      </w:tr>
      <w:tr w:rsidR="002F3681" w:rsidRPr="00B876D6" w14:paraId="5F80CA1D" w14:textId="77777777" w:rsidTr="00B876D6">
        <w:trPr>
          <w:trHeight w:val="146"/>
        </w:trPr>
        <w:tc>
          <w:tcPr>
            <w:tcW w:w="4382" w:type="dxa"/>
            <w:shd w:val="clear" w:color="auto" w:fill="FFFFFF" w:themeFill="background1"/>
          </w:tcPr>
          <w:p w14:paraId="144CAA86" w14:textId="77777777" w:rsidR="002F3681" w:rsidRPr="00B876D6" w:rsidRDefault="002F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Business</w:t>
            </w:r>
          </w:p>
        </w:tc>
        <w:tc>
          <w:tcPr>
            <w:tcW w:w="1885" w:type="dxa"/>
            <w:shd w:val="clear" w:color="auto" w:fill="FFFFFF" w:themeFill="background1"/>
          </w:tcPr>
          <w:p w14:paraId="5C36824A" w14:textId="432E9DE3" w:rsidR="002F3681" w:rsidRPr="00B876D6" w:rsidRDefault="002F3681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418" w:type="dxa"/>
            <w:shd w:val="clear" w:color="auto" w:fill="FFFFFF" w:themeFill="background1"/>
          </w:tcPr>
          <w:p w14:paraId="32312B49" w14:textId="77777777" w:rsidR="002F3681" w:rsidRPr="00B876D6" w:rsidRDefault="002F3681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2.5%</w:t>
            </w:r>
          </w:p>
        </w:tc>
      </w:tr>
      <w:tr w:rsidR="002F3681" w:rsidRPr="00B876D6" w14:paraId="33782055" w14:textId="77777777" w:rsidTr="007C4093">
        <w:trPr>
          <w:trHeight w:val="244"/>
        </w:trPr>
        <w:tc>
          <w:tcPr>
            <w:tcW w:w="4382" w:type="dxa"/>
            <w:shd w:val="clear" w:color="auto" w:fill="F2F2F2" w:themeFill="background1" w:themeFillShade="F2"/>
          </w:tcPr>
          <w:p w14:paraId="4312373E" w14:textId="5A2F62A8" w:rsidR="002F3681" w:rsidRPr="00B876D6" w:rsidRDefault="002F36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Library and Information Services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14:paraId="2CDE27AE" w14:textId="3995EF8A" w:rsidR="002F3681" w:rsidRPr="00B876D6" w:rsidRDefault="002F3681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1A5161A" w14:textId="47A1800F" w:rsidR="002F3681" w:rsidRPr="00B876D6" w:rsidRDefault="002F3681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2.1%</w:t>
            </w:r>
          </w:p>
        </w:tc>
      </w:tr>
    </w:tbl>
    <w:p w14:paraId="098CF192" w14:textId="1CF2B772" w:rsidR="00073429" w:rsidRDefault="00073429" w:rsidP="00AE2859"/>
    <w:p w14:paraId="1B2AA3E5" w14:textId="77777777" w:rsidR="000D2720" w:rsidRDefault="000D2720" w:rsidP="00D24F31">
      <w:pPr>
        <w:pStyle w:val="Heading2"/>
        <w:rPr>
          <w:b w:val="0"/>
          <w:bCs/>
          <w:sz w:val="22"/>
          <w:szCs w:val="22"/>
        </w:rPr>
      </w:pPr>
    </w:p>
    <w:p w14:paraId="44421D67" w14:textId="77777777" w:rsidR="000D2720" w:rsidRDefault="000D2720" w:rsidP="009F6571"/>
    <w:p w14:paraId="5339B7E5" w14:textId="77777777" w:rsidR="000D2720" w:rsidRDefault="000D2720" w:rsidP="00D24F31">
      <w:pPr>
        <w:pStyle w:val="Heading2"/>
        <w:rPr>
          <w:b w:val="0"/>
          <w:bCs/>
          <w:sz w:val="22"/>
          <w:szCs w:val="22"/>
        </w:rPr>
      </w:pPr>
    </w:p>
    <w:p w14:paraId="3055C5B8" w14:textId="77777777" w:rsidR="000D2720" w:rsidRDefault="000D2720" w:rsidP="000D2720"/>
    <w:p w14:paraId="3CA02574" w14:textId="77777777" w:rsidR="000D2720" w:rsidRDefault="000D2720" w:rsidP="009F6571"/>
    <w:p w14:paraId="63FC2FC4" w14:textId="77777777" w:rsidR="00330F0E" w:rsidRPr="000D2720" w:rsidRDefault="00330F0E" w:rsidP="009F6571"/>
    <w:p w14:paraId="655845A8" w14:textId="60510B23" w:rsidR="004E5730" w:rsidRPr="003F237A" w:rsidRDefault="002F0A69" w:rsidP="00CC3969">
      <w:pPr>
        <w:pStyle w:val="Heading3"/>
      </w:pPr>
      <w:bookmarkStart w:id="24" w:name="_Toc147861851"/>
      <w:r w:rsidRPr="00CC3969">
        <w:rPr>
          <w:rFonts w:cstheme="minorHAnsi"/>
          <w:color w:val="auto"/>
          <w:sz w:val="22"/>
          <w:szCs w:val="22"/>
        </w:rPr>
        <w:lastRenderedPageBreak/>
        <w:t xml:space="preserve">Table </w:t>
      </w:r>
      <w:r w:rsidR="00A611A5" w:rsidRPr="00CC3969">
        <w:rPr>
          <w:rFonts w:cstheme="minorHAnsi"/>
          <w:color w:val="auto"/>
          <w:sz w:val="22"/>
          <w:szCs w:val="22"/>
        </w:rPr>
        <w:t>6</w:t>
      </w:r>
      <w:r w:rsidRPr="00CC3969">
        <w:rPr>
          <w:rFonts w:cstheme="minorHAnsi"/>
          <w:color w:val="auto"/>
          <w:sz w:val="22"/>
          <w:szCs w:val="22"/>
        </w:rPr>
        <w:t xml:space="preserve">: </w:t>
      </w:r>
      <w:r w:rsidR="00D24F31" w:rsidRPr="00CC3969">
        <w:rPr>
          <w:rFonts w:cstheme="minorHAnsi"/>
          <w:color w:val="auto"/>
          <w:sz w:val="22"/>
          <w:szCs w:val="22"/>
        </w:rPr>
        <w:t xml:space="preserve">Top 10 </w:t>
      </w:r>
      <w:r w:rsidR="00D24F31" w:rsidRPr="00CC3969">
        <w:rPr>
          <w:rFonts w:cstheme="minorHAnsi"/>
          <w:bCs/>
          <w:color w:val="auto"/>
          <w:sz w:val="22"/>
          <w:szCs w:val="22"/>
        </w:rPr>
        <w:t>course</w:t>
      </w:r>
      <w:r w:rsidR="00600033">
        <w:rPr>
          <w:rFonts w:cstheme="minorHAnsi"/>
          <w:bCs/>
          <w:color w:val="auto"/>
          <w:sz w:val="22"/>
          <w:szCs w:val="22"/>
        </w:rPr>
        <w:t>s studied by</w:t>
      </w:r>
      <w:r w:rsidR="00D24F31" w:rsidRPr="00CC3969">
        <w:rPr>
          <w:rFonts w:cstheme="minorHAnsi"/>
          <w:b/>
          <w:color w:val="auto"/>
          <w:sz w:val="22"/>
          <w:szCs w:val="22"/>
        </w:rPr>
        <w:t xml:space="preserve"> </w:t>
      </w:r>
      <w:r w:rsidR="00D24F31" w:rsidRPr="00CC3969">
        <w:rPr>
          <w:rFonts w:cstheme="minorHAnsi"/>
          <w:color w:val="auto"/>
          <w:sz w:val="22"/>
          <w:szCs w:val="22"/>
        </w:rPr>
        <w:t xml:space="preserve">male </w:t>
      </w:r>
      <w:r w:rsidR="007114C9" w:rsidRPr="00CC3969">
        <w:rPr>
          <w:rFonts w:cstheme="minorHAnsi"/>
          <w:color w:val="auto"/>
          <w:sz w:val="22"/>
          <w:szCs w:val="22"/>
        </w:rPr>
        <w:t xml:space="preserve">VSL </w:t>
      </w:r>
      <w:r w:rsidR="00D24F31" w:rsidRPr="00CC3969">
        <w:rPr>
          <w:rFonts w:cstheme="minorHAnsi"/>
          <w:color w:val="auto"/>
          <w:sz w:val="22"/>
          <w:szCs w:val="22"/>
        </w:rPr>
        <w:t>students</w:t>
      </w:r>
      <w:r w:rsidR="00AE550B">
        <w:rPr>
          <w:rFonts w:cstheme="minorHAnsi"/>
          <w:color w:val="auto"/>
          <w:sz w:val="22"/>
          <w:szCs w:val="22"/>
        </w:rPr>
        <w:t>,</w:t>
      </w:r>
      <w:r w:rsidR="002E462E">
        <w:rPr>
          <w:rFonts w:cstheme="minorHAnsi"/>
          <w:color w:val="auto"/>
          <w:sz w:val="22"/>
          <w:szCs w:val="22"/>
        </w:rPr>
        <w:t xml:space="preserve"> 2022</w:t>
      </w:r>
      <w:bookmarkEnd w:id="24"/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8"/>
        <w:gridCol w:w="1559"/>
        <w:gridCol w:w="1418"/>
      </w:tblGrid>
      <w:tr w:rsidR="00BF15F4" w:rsidRPr="00B876D6" w14:paraId="466F5003" w14:textId="77777777" w:rsidTr="007C4093">
        <w:trPr>
          <w:trHeight w:val="563"/>
        </w:trPr>
        <w:tc>
          <w:tcPr>
            <w:tcW w:w="4708" w:type="dxa"/>
            <w:shd w:val="clear" w:color="auto" w:fill="E36C0A" w:themeFill="accent6" w:themeFillShade="BF"/>
          </w:tcPr>
          <w:p w14:paraId="4393E25F" w14:textId="77777777" w:rsidR="00330F0E" w:rsidRPr="00B876D6" w:rsidRDefault="0033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Course Name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14:paraId="1B60373F" w14:textId="337C0701" w:rsidR="00330F0E" w:rsidRPr="00B876D6" w:rsidRDefault="00330F0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 xml:space="preserve">Number of </w:t>
            </w:r>
            <w:r w:rsidR="00600033" w:rsidRPr="00B876D6">
              <w:rPr>
                <w:rFonts w:ascii="Calibri" w:hAnsi="Calibri" w:cs="Calibri"/>
                <w:sz w:val="20"/>
                <w:szCs w:val="20"/>
              </w:rPr>
              <w:t>s</w:t>
            </w:r>
            <w:r w:rsidRPr="00B876D6">
              <w:rPr>
                <w:rFonts w:ascii="Calibri" w:hAnsi="Calibri" w:cs="Calibri"/>
                <w:sz w:val="20"/>
                <w:szCs w:val="20"/>
              </w:rPr>
              <w:t>tudents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4E81037A" w14:textId="0B53BDB8" w:rsidR="00330F0E" w:rsidRPr="00B876D6" w:rsidRDefault="00330F0E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876D6">
              <w:rPr>
                <w:rFonts w:ascii="Calibri" w:hAnsi="Calibri" w:cs="Calibri"/>
                <w:sz w:val="20"/>
                <w:szCs w:val="20"/>
              </w:rPr>
              <w:t>Share of</w:t>
            </w:r>
            <w:r w:rsidR="00600033" w:rsidRPr="00B876D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876D6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</w:tr>
      <w:tr w:rsidR="00330F0E" w:rsidRPr="00B876D6" w14:paraId="58620FB7" w14:textId="77777777" w:rsidTr="007C4093">
        <w:trPr>
          <w:trHeight w:val="486"/>
        </w:trPr>
        <w:tc>
          <w:tcPr>
            <w:tcW w:w="4708" w:type="dxa"/>
            <w:shd w:val="clear" w:color="auto" w:fill="FFFFFF" w:themeFill="background1"/>
          </w:tcPr>
          <w:p w14:paraId="375D641F" w14:textId="77777777" w:rsidR="00330F0E" w:rsidRPr="00B876D6" w:rsidRDefault="0033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Aviation (Commercial Pilot Licence - Aeroplane)</w:t>
            </w:r>
          </w:p>
        </w:tc>
        <w:tc>
          <w:tcPr>
            <w:tcW w:w="1559" w:type="dxa"/>
            <w:shd w:val="clear" w:color="auto" w:fill="FFFFFF" w:themeFill="background1"/>
          </w:tcPr>
          <w:p w14:paraId="14D6DBB8" w14:textId="41E6514F" w:rsidR="00330F0E" w:rsidRPr="00B876D6" w:rsidRDefault="00330F0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18" w:type="dxa"/>
            <w:shd w:val="clear" w:color="auto" w:fill="FFFFFF" w:themeFill="background1"/>
          </w:tcPr>
          <w:p w14:paraId="11B7EF3F" w14:textId="77777777" w:rsidR="00330F0E" w:rsidRPr="00B876D6" w:rsidRDefault="00330F0E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8.9%</w:t>
            </w:r>
          </w:p>
        </w:tc>
      </w:tr>
      <w:tr w:rsidR="00330F0E" w:rsidRPr="00B876D6" w14:paraId="6F27179F" w14:textId="77777777" w:rsidTr="007C4093">
        <w:trPr>
          <w:trHeight w:val="243"/>
        </w:trPr>
        <w:tc>
          <w:tcPr>
            <w:tcW w:w="4708" w:type="dxa"/>
            <w:shd w:val="clear" w:color="auto" w:fill="F2F2F2" w:themeFill="background1" w:themeFillShade="F2"/>
          </w:tcPr>
          <w:p w14:paraId="4501B26D" w14:textId="77777777" w:rsidR="00330F0E" w:rsidRPr="00B876D6" w:rsidRDefault="0033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Nursing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D26DC5B" w14:textId="5454C35F" w:rsidR="00330F0E" w:rsidRPr="00B876D6" w:rsidRDefault="00330F0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6E08A52" w14:textId="77777777" w:rsidR="00330F0E" w:rsidRPr="00B876D6" w:rsidRDefault="00330F0E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8.7%</w:t>
            </w:r>
          </w:p>
        </w:tc>
      </w:tr>
      <w:tr w:rsidR="00330F0E" w:rsidRPr="00B876D6" w14:paraId="63436193" w14:textId="77777777" w:rsidTr="007C4093">
        <w:trPr>
          <w:trHeight w:val="243"/>
        </w:trPr>
        <w:tc>
          <w:tcPr>
            <w:tcW w:w="4708" w:type="dxa"/>
            <w:shd w:val="clear" w:color="auto" w:fill="FFFFFF" w:themeFill="background1"/>
          </w:tcPr>
          <w:p w14:paraId="49C21291" w14:textId="77777777" w:rsidR="00330F0E" w:rsidRPr="00B876D6" w:rsidRDefault="0033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Screen and Media</w:t>
            </w:r>
          </w:p>
        </w:tc>
        <w:tc>
          <w:tcPr>
            <w:tcW w:w="1559" w:type="dxa"/>
            <w:shd w:val="clear" w:color="auto" w:fill="FFFFFF" w:themeFill="background1"/>
          </w:tcPr>
          <w:p w14:paraId="354F1C6B" w14:textId="4376C7D0" w:rsidR="00330F0E" w:rsidRPr="00B876D6" w:rsidRDefault="00330F0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418" w:type="dxa"/>
            <w:shd w:val="clear" w:color="auto" w:fill="FFFFFF" w:themeFill="background1"/>
          </w:tcPr>
          <w:p w14:paraId="3702033F" w14:textId="77777777" w:rsidR="00330F0E" w:rsidRPr="00B876D6" w:rsidRDefault="00330F0E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7.4%</w:t>
            </w:r>
          </w:p>
        </w:tc>
      </w:tr>
      <w:tr w:rsidR="00330F0E" w:rsidRPr="00B876D6" w14:paraId="3DA73ED0" w14:textId="77777777" w:rsidTr="007C4093">
        <w:trPr>
          <w:trHeight w:val="243"/>
        </w:trPr>
        <w:tc>
          <w:tcPr>
            <w:tcW w:w="4708" w:type="dxa"/>
            <w:shd w:val="clear" w:color="auto" w:fill="F2F2F2" w:themeFill="background1" w:themeFillShade="F2"/>
          </w:tcPr>
          <w:p w14:paraId="2B032E81" w14:textId="77777777" w:rsidR="00330F0E" w:rsidRPr="00B876D6" w:rsidRDefault="0033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Business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41BC622" w14:textId="23BD9FD6" w:rsidR="00330F0E" w:rsidRPr="00B876D6" w:rsidRDefault="00330F0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88CD3D4" w14:textId="77777777" w:rsidR="00330F0E" w:rsidRPr="00B876D6" w:rsidRDefault="00330F0E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4.9%</w:t>
            </w:r>
          </w:p>
        </w:tc>
      </w:tr>
      <w:tr w:rsidR="00330F0E" w:rsidRPr="00B876D6" w14:paraId="04D05ECF" w14:textId="77777777" w:rsidTr="00B876D6">
        <w:trPr>
          <w:trHeight w:val="261"/>
        </w:trPr>
        <w:tc>
          <w:tcPr>
            <w:tcW w:w="4708" w:type="dxa"/>
            <w:shd w:val="clear" w:color="auto" w:fill="FFFFFF" w:themeFill="background1"/>
          </w:tcPr>
          <w:p w14:paraId="54218063" w14:textId="77777777" w:rsidR="00330F0E" w:rsidRPr="00B876D6" w:rsidRDefault="0033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Advanced Diploma of Building Design (Architectural)</w:t>
            </w:r>
          </w:p>
        </w:tc>
        <w:tc>
          <w:tcPr>
            <w:tcW w:w="1559" w:type="dxa"/>
            <w:shd w:val="clear" w:color="auto" w:fill="FFFFFF" w:themeFill="background1"/>
          </w:tcPr>
          <w:p w14:paraId="2447331A" w14:textId="50348E7F" w:rsidR="00330F0E" w:rsidRPr="00B876D6" w:rsidRDefault="00330F0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418" w:type="dxa"/>
            <w:shd w:val="clear" w:color="auto" w:fill="FFFFFF" w:themeFill="background1"/>
          </w:tcPr>
          <w:p w14:paraId="5A803DD1" w14:textId="77777777" w:rsidR="00330F0E" w:rsidRPr="00B876D6" w:rsidRDefault="00330F0E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4.4%</w:t>
            </w:r>
          </w:p>
        </w:tc>
      </w:tr>
      <w:tr w:rsidR="00330F0E" w:rsidRPr="00B876D6" w14:paraId="33351A29" w14:textId="77777777" w:rsidTr="00B876D6">
        <w:trPr>
          <w:trHeight w:val="136"/>
        </w:trPr>
        <w:tc>
          <w:tcPr>
            <w:tcW w:w="4708" w:type="dxa"/>
            <w:shd w:val="clear" w:color="auto" w:fill="F2F2F2" w:themeFill="background1" w:themeFillShade="F2"/>
          </w:tcPr>
          <w:p w14:paraId="48D1E38C" w14:textId="77777777" w:rsidR="00330F0E" w:rsidRPr="00B876D6" w:rsidRDefault="0033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Information Technology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7133C1D" w14:textId="69D63D06" w:rsidR="00330F0E" w:rsidRPr="00B876D6" w:rsidRDefault="00330F0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7F5FE99" w14:textId="77777777" w:rsidR="00330F0E" w:rsidRPr="00B876D6" w:rsidRDefault="00330F0E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4.3%</w:t>
            </w:r>
          </w:p>
        </w:tc>
      </w:tr>
      <w:tr w:rsidR="00330F0E" w:rsidRPr="00B876D6" w14:paraId="34A60CCE" w14:textId="77777777" w:rsidTr="007C4093">
        <w:trPr>
          <w:trHeight w:val="243"/>
        </w:trPr>
        <w:tc>
          <w:tcPr>
            <w:tcW w:w="4708" w:type="dxa"/>
            <w:shd w:val="clear" w:color="auto" w:fill="FFFFFF" w:themeFill="background1"/>
          </w:tcPr>
          <w:p w14:paraId="17396400" w14:textId="77777777" w:rsidR="00330F0E" w:rsidRPr="00B876D6" w:rsidRDefault="0033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Visual Arts</w:t>
            </w:r>
          </w:p>
        </w:tc>
        <w:tc>
          <w:tcPr>
            <w:tcW w:w="1559" w:type="dxa"/>
            <w:shd w:val="clear" w:color="auto" w:fill="FFFFFF" w:themeFill="background1"/>
          </w:tcPr>
          <w:p w14:paraId="0FBE03F5" w14:textId="44578D9F" w:rsidR="00330F0E" w:rsidRPr="00B876D6" w:rsidRDefault="00330F0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418" w:type="dxa"/>
            <w:shd w:val="clear" w:color="auto" w:fill="FFFFFF" w:themeFill="background1"/>
          </w:tcPr>
          <w:p w14:paraId="07AA8B13" w14:textId="77777777" w:rsidR="00330F0E" w:rsidRPr="00B876D6" w:rsidRDefault="00330F0E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4.1%</w:t>
            </w:r>
          </w:p>
        </w:tc>
      </w:tr>
      <w:tr w:rsidR="00330F0E" w:rsidRPr="00B876D6" w14:paraId="1D079BE7" w14:textId="77777777" w:rsidTr="007C4093">
        <w:trPr>
          <w:trHeight w:val="243"/>
        </w:trPr>
        <w:tc>
          <w:tcPr>
            <w:tcW w:w="4708" w:type="dxa"/>
            <w:shd w:val="clear" w:color="auto" w:fill="F2F2F2" w:themeFill="background1" w:themeFillShade="F2"/>
          </w:tcPr>
          <w:p w14:paraId="6145F774" w14:textId="77777777" w:rsidR="00330F0E" w:rsidRPr="00B876D6" w:rsidRDefault="0033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Remedial Massage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432F4F5" w14:textId="683AB0C5" w:rsidR="00330F0E" w:rsidRPr="00B876D6" w:rsidRDefault="00330F0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1EC3059" w14:textId="77777777" w:rsidR="00330F0E" w:rsidRPr="00B876D6" w:rsidRDefault="00330F0E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3.7%</w:t>
            </w:r>
          </w:p>
        </w:tc>
      </w:tr>
      <w:tr w:rsidR="00330F0E" w:rsidRPr="00B876D6" w14:paraId="26AFD297" w14:textId="77777777" w:rsidTr="00B876D6">
        <w:trPr>
          <w:trHeight w:val="219"/>
        </w:trPr>
        <w:tc>
          <w:tcPr>
            <w:tcW w:w="4708" w:type="dxa"/>
            <w:shd w:val="clear" w:color="auto" w:fill="FFFFFF" w:themeFill="background1"/>
          </w:tcPr>
          <w:p w14:paraId="47F4B107" w14:textId="77777777" w:rsidR="00330F0E" w:rsidRPr="00B876D6" w:rsidRDefault="0033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Aviation (Instrument Rating)</w:t>
            </w:r>
          </w:p>
        </w:tc>
        <w:tc>
          <w:tcPr>
            <w:tcW w:w="1559" w:type="dxa"/>
            <w:shd w:val="clear" w:color="auto" w:fill="FFFFFF" w:themeFill="background1"/>
          </w:tcPr>
          <w:p w14:paraId="113837A8" w14:textId="4136F112" w:rsidR="00330F0E" w:rsidRPr="00B876D6" w:rsidRDefault="00330F0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18" w:type="dxa"/>
            <w:shd w:val="clear" w:color="auto" w:fill="FFFFFF" w:themeFill="background1"/>
          </w:tcPr>
          <w:p w14:paraId="34BBE0E7" w14:textId="77777777" w:rsidR="00330F0E" w:rsidRPr="00B876D6" w:rsidRDefault="00330F0E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3.4%</w:t>
            </w:r>
          </w:p>
        </w:tc>
      </w:tr>
      <w:tr w:rsidR="00330F0E" w:rsidRPr="00B876D6" w14:paraId="3598759F" w14:textId="77777777" w:rsidTr="007C4093">
        <w:trPr>
          <w:trHeight w:val="251"/>
        </w:trPr>
        <w:tc>
          <w:tcPr>
            <w:tcW w:w="4708" w:type="dxa"/>
            <w:shd w:val="clear" w:color="auto" w:fill="F2F2F2" w:themeFill="background1" w:themeFillShade="F2"/>
          </w:tcPr>
          <w:p w14:paraId="422EA812" w14:textId="77777777" w:rsidR="00330F0E" w:rsidRPr="00B876D6" w:rsidRDefault="0033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Diploma of Sport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2F2A3BE" w14:textId="4F604984" w:rsidR="00330F0E" w:rsidRPr="00B876D6" w:rsidRDefault="00330F0E" w:rsidP="00481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1806467" w14:textId="77777777" w:rsidR="00330F0E" w:rsidRPr="00B876D6" w:rsidRDefault="00330F0E" w:rsidP="00892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876D6">
              <w:rPr>
                <w:rFonts w:ascii="Calibri" w:hAnsi="Calibri" w:cs="Calibri"/>
                <w:color w:val="000000"/>
                <w:sz w:val="20"/>
                <w:szCs w:val="20"/>
              </w:rPr>
              <w:t>3.1%</w:t>
            </w:r>
          </w:p>
        </w:tc>
      </w:tr>
    </w:tbl>
    <w:p w14:paraId="374ECF25" w14:textId="77777777" w:rsidR="004E5730" w:rsidRDefault="004E5730" w:rsidP="00C75CA0"/>
    <w:p w14:paraId="6626EF7D" w14:textId="77777777" w:rsidR="00DB707A" w:rsidRDefault="00DB707A" w:rsidP="000D2720">
      <w:pPr>
        <w:pStyle w:val="Heading2"/>
        <w:rPr>
          <w:b w:val="0"/>
          <w:bCs/>
          <w:sz w:val="22"/>
          <w:szCs w:val="22"/>
        </w:rPr>
      </w:pPr>
    </w:p>
    <w:p w14:paraId="664A9F36" w14:textId="7A1C72C6" w:rsidR="00073429" w:rsidRPr="00CC3969" w:rsidRDefault="000D2720" w:rsidP="009F6571">
      <w:pPr>
        <w:pStyle w:val="Heading3"/>
        <w:rPr>
          <w:rFonts w:cstheme="minorHAnsi"/>
          <w:color w:val="auto"/>
        </w:rPr>
      </w:pPr>
      <w:bookmarkStart w:id="25" w:name="_Toc147861852"/>
      <w:r w:rsidRPr="00CC3969">
        <w:rPr>
          <w:rFonts w:cstheme="minorHAnsi"/>
          <w:color w:val="auto"/>
          <w:sz w:val="22"/>
          <w:szCs w:val="22"/>
        </w:rPr>
        <w:t xml:space="preserve">Figure </w:t>
      </w:r>
      <w:r w:rsidR="0054415F">
        <w:rPr>
          <w:rFonts w:cstheme="minorHAnsi"/>
          <w:color w:val="auto"/>
          <w:sz w:val="22"/>
          <w:szCs w:val="22"/>
        </w:rPr>
        <w:t>7</w:t>
      </w:r>
      <w:r w:rsidRPr="00CC3969">
        <w:rPr>
          <w:rFonts w:cstheme="minorHAnsi"/>
          <w:color w:val="auto"/>
          <w:sz w:val="22"/>
          <w:szCs w:val="22"/>
        </w:rPr>
        <w:t>: Proportion of VSL students by age breakdown</w:t>
      </w:r>
      <w:bookmarkEnd w:id="25"/>
    </w:p>
    <w:p w14:paraId="7E98E275" w14:textId="3E9761BA" w:rsidR="00073429" w:rsidRDefault="00073429" w:rsidP="00C75CA0">
      <w:r>
        <w:rPr>
          <w:noProof/>
        </w:rPr>
        <w:drawing>
          <wp:inline distT="0" distB="0" distL="0" distR="0" wp14:anchorId="3BF353E8" wp14:editId="0C5FC1C4">
            <wp:extent cx="6383020" cy="2928977"/>
            <wp:effectExtent l="0" t="0" r="0" b="5080"/>
            <wp:docPr id="1210923314" name="Chart 1210923314">
              <a:extLst xmlns:a="http://schemas.openxmlformats.org/drawingml/2006/main">
                <a:ext uri="{FF2B5EF4-FFF2-40B4-BE49-F238E27FC236}">
                  <a16:creationId xmlns:a16="http://schemas.microsoft.com/office/drawing/2014/main" id="{70AD6D32-E06C-0454-4292-67E16F46A4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2C032EC" w14:textId="3A3E6EB1" w:rsidR="00DB707A" w:rsidRDefault="00DB707A" w:rsidP="00C75CA0">
      <w:r>
        <w:t xml:space="preserve">Approximately half </w:t>
      </w:r>
      <w:r w:rsidRPr="004D6323">
        <w:t xml:space="preserve">the VSL </w:t>
      </w:r>
      <w:r>
        <w:t xml:space="preserve">student </w:t>
      </w:r>
      <w:r w:rsidRPr="004D6323">
        <w:t>population</w:t>
      </w:r>
      <w:r>
        <w:t xml:space="preserve"> is 25 years old or younger</w:t>
      </w:r>
      <w:r w:rsidR="00D9757C">
        <w:t xml:space="preserve"> and p</w:t>
      </w:r>
      <w:r w:rsidR="009557F2">
        <w:t xml:space="preserve">eople </w:t>
      </w:r>
      <w:r w:rsidR="00CD2BCF">
        <w:t>aged</w:t>
      </w:r>
      <w:r w:rsidR="009557F2">
        <w:t xml:space="preserve"> </w:t>
      </w:r>
      <w:r w:rsidR="00CD2BCF">
        <w:t xml:space="preserve">between </w:t>
      </w:r>
      <w:r w:rsidR="009557F2">
        <w:t>26 to 35</w:t>
      </w:r>
      <w:r w:rsidR="00CD2BCF">
        <w:t xml:space="preserve"> years</w:t>
      </w:r>
      <w:r w:rsidR="009557F2">
        <w:t xml:space="preserve"> account for about a </w:t>
      </w:r>
      <w:r w:rsidR="004A7522">
        <w:t>quarter of the students</w:t>
      </w:r>
      <w:r w:rsidR="00D9757C">
        <w:t xml:space="preserve"> </w:t>
      </w:r>
      <w:r w:rsidR="00D9757C" w:rsidRPr="004D6323">
        <w:t xml:space="preserve">(see </w:t>
      </w:r>
      <w:r w:rsidR="006C7A01">
        <w:t>F</w:t>
      </w:r>
      <w:r w:rsidR="00D9757C" w:rsidRPr="004D6323">
        <w:t xml:space="preserve">igure </w:t>
      </w:r>
      <w:r w:rsidR="0054415F">
        <w:t>7</w:t>
      </w:r>
      <w:r w:rsidR="00D9757C">
        <w:t xml:space="preserve"> above</w:t>
      </w:r>
      <w:r w:rsidR="00D9757C" w:rsidRPr="004D6323">
        <w:t>).</w:t>
      </w:r>
    </w:p>
    <w:p w14:paraId="3CEBD70E" w14:textId="728956AB" w:rsidR="00B3397D" w:rsidRPr="004D6323" w:rsidRDefault="00B3397D" w:rsidP="00B3397D">
      <w:r w:rsidRPr="004D6323">
        <w:t>About 3</w:t>
      </w:r>
      <w:r w:rsidR="007F0296">
        <w:t>.2</w:t>
      </w:r>
      <w:r w:rsidRPr="004D6323">
        <w:t>% (960) of the VSL population identified as an Indigenous Australian. Of which:</w:t>
      </w:r>
    </w:p>
    <w:p w14:paraId="6D64B02B" w14:textId="2C042A09" w:rsidR="0021180F" w:rsidRDefault="00B3397D" w:rsidP="00B3397D">
      <w:pPr>
        <w:pStyle w:val="ListParagraph"/>
        <w:numPr>
          <w:ilvl w:val="0"/>
          <w:numId w:val="28"/>
        </w:numPr>
      </w:pPr>
      <w:r w:rsidRPr="004D6323">
        <w:t xml:space="preserve">about 80% are female (13% higher than the general VSL population) </w:t>
      </w:r>
    </w:p>
    <w:p w14:paraId="3EA60442" w14:textId="0C337E9E" w:rsidR="00B3397D" w:rsidRPr="0021180F" w:rsidRDefault="0021180F" w:rsidP="0021180F">
      <w:pPr>
        <w:pStyle w:val="ListParagraph"/>
        <w:numPr>
          <w:ilvl w:val="0"/>
          <w:numId w:val="28"/>
        </w:numPr>
      </w:pPr>
      <w:r>
        <w:t>around</w:t>
      </w:r>
      <w:r w:rsidRPr="0021180F">
        <w:t xml:space="preserve"> 43% (418) live outside the major cities, </w:t>
      </w:r>
      <w:r w:rsidR="00B3397D" w:rsidRPr="0021180F">
        <w:t>and</w:t>
      </w:r>
    </w:p>
    <w:p w14:paraId="01FE3F75" w14:textId="2E907C06" w:rsidR="00B3397D" w:rsidRPr="004D6323" w:rsidRDefault="0021180F" w:rsidP="00B3397D">
      <w:pPr>
        <w:pStyle w:val="ListParagraph"/>
        <w:numPr>
          <w:ilvl w:val="0"/>
          <w:numId w:val="28"/>
        </w:numPr>
      </w:pPr>
      <w:r>
        <w:t xml:space="preserve">approximately </w:t>
      </w:r>
      <w:r w:rsidR="00B3397D" w:rsidRPr="004D6323">
        <w:t xml:space="preserve">54% </w:t>
      </w:r>
      <w:r w:rsidR="00BF71BD">
        <w:t xml:space="preserve">(521) </w:t>
      </w:r>
      <w:r w:rsidR="00B3397D" w:rsidRPr="004D6323">
        <w:t>studied in TAFE.</w:t>
      </w:r>
    </w:p>
    <w:p w14:paraId="48A9EDED" w14:textId="11D51910" w:rsidR="00B3397D" w:rsidRDefault="00B3397D" w:rsidP="00B3397D">
      <w:r w:rsidRPr="004D6323">
        <w:t>Students from CALD backgrounds account for about 12% (3,603) of the VSL student population.</w:t>
      </w:r>
    </w:p>
    <w:p w14:paraId="1B3E9711" w14:textId="7258B4FD" w:rsidR="0021180F" w:rsidRPr="00F460EF" w:rsidRDefault="0021180F" w:rsidP="0021180F">
      <w:r>
        <w:t>About 3,230 VSL students reported to be living with disability. This is about 10.8% of the VSL student population.</w:t>
      </w:r>
    </w:p>
    <w:p w14:paraId="4C66B51A" w14:textId="77777777" w:rsidR="0021180F" w:rsidRPr="00F460EF" w:rsidRDefault="0021180F" w:rsidP="00B3397D"/>
    <w:p w14:paraId="5FF735E1" w14:textId="77777777" w:rsidR="000D2720" w:rsidRDefault="000D2720">
      <w:pPr>
        <w:pStyle w:val="Heading2"/>
        <w:rPr>
          <w:b w:val="0"/>
          <w:bCs/>
          <w:sz w:val="22"/>
          <w:szCs w:val="22"/>
        </w:rPr>
      </w:pPr>
    </w:p>
    <w:p w14:paraId="1BEF7162" w14:textId="77777777" w:rsidR="000D2720" w:rsidRDefault="000D2720" w:rsidP="009F6571"/>
    <w:p w14:paraId="7F11F8E4" w14:textId="77777777" w:rsidR="000D2720" w:rsidRDefault="000D2720">
      <w:pPr>
        <w:pStyle w:val="Heading2"/>
        <w:rPr>
          <w:b w:val="0"/>
          <w:bCs/>
          <w:sz w:val="22"/>
          <w:szCs w:val="22"/>
        </w:rPr>
      </w:pPr>
    </w:p>
    <w:p w14:paraId="1463F8F8" w14:textId="77777777" w:rsidR="000D2720" w:rsidRDefault="000D2720">
      <w:pPr>
        <w:pStyle w:val="Heading2"/>
        <w:rPr>
          <w:b w:val="0"/>
          <w:bCs/>
          <w:sz w:val="22"/>
          <w:szCs w:val="22"/>
        </w:rPr>
      </w:pPr>
    </w:p>
    <w:p w14:paraId="5ECBD49B" w14:textId="6ED76B64" w:rsidR="00F70E9F" w:rsidRPr="009F6571" w:rsidRDefault="00F70E9F" w:rsidP="009F6571">
      <w:pPr>
        <w:sectPr w:rsidR="00F70E9F" w:rsidRPr="009F6571" w:rsidSect="009F6571">
          <w:pgSz w:w="11906" w:h="16838"/>
          <w:pgMar w:top="720" w:right="720" w:bottom="720" w:left="1134" w:header="426" w:footer="451" w:gutter="0"/>
          <w:cols w:space="708"/>
          <w:docGrid w:linePitch="360"/>
        </w:sectPr>
      </w:pPr>
    </w:p>
    <w:p w14:paraId="7534D658" w14:textId="4352A2AF" w:rsidR="003F6857" w:rsidRPr="00CC3969" w:rsidRDefault="004F2979" w:rsidP="00423325">
      <w:pPr>
        <w:pStyle w:val="Heading2"/>
        <w:rPr>
          <w:rFonts w:asciiTheme="majorHAnsi" w:hAnsiTheme="majorHAnsi"/>
        </w:rPr>
      </w:pPr>
      <w:bookmarkStart w:id="26" w:name="_Toc147861853"/>
      <w:r w:rsidRPr="00CC3969">
        <w:rPr>
          <w:rFonts w:asciiTheme="majorHAnsi" w:hAnsiTheme="majorHAnsi"/>
        </w:rPr>
        <w:lastRenderedPageBreak/>
        <w:t xml:space="preserve">Unit of </w:t>
      </w:r>
      <w:r w:rsidR="007F5D99">
        <w:rPr>
          <w:rFonts w:asciiTheme="majorHAnsi" w:hAnsiTheme="majorHAnsi"/>
        </w:rPr>
        <w:t>s</w:t>
      </w:r>
      <w:r w:rsidRPr="00CC3969">
        <w:rPr>
          <w:rFonts w:asciiTheme="majorHAnsi" w:hAnsiTheme="majorHAnsi"/>
        </w:rPr>
        <w:t xml:space="preserve">tudy </w:t>
      </w:r>
      <w:r w:rsidR="007F5D99">
        <w:rPr>
          <w:rFonts w:asciiTheme="majorHAnsi" w:hAnsiTheme="majorHAnsi"/>
        </w:rPr>
        <w:t>c</w:t>
      </w:r>
      <w:r w:rsidR="002911DB" w:rsidRPr="00CC3969">
        <w:rPr>
          <w:rFonts w:asciiTheme="majorHAnsi" w:hAnsiTheme="majorHAnsi"/>
        </w:rPr>
        <w:t>ompletions</w:t>
      </w:r>
      <w:bookmarkEnd w:id="26"/>
    </w:p>
    <w:p w14:paraId="6946DDE9" w14:textId="35788DA3" w:rsidR="00A30DD0" w:rsidRPr="00F460EF" w:rsidRDefault="00C14305" w:rsidP="00A30DD0">
      <w:r>
        <w:t xml:space="preserve">The </w:t>
      </w:r>
      <w:r w:rsidR="007433FC">
        <w:t xml:space="preserve">unit completion rate for 2022 is </w:t>
      </w:r>
      <w:r w:rsidR="00244CE9">
        <w:t xml:space="preserve">82.3%. Figure </w:t>
      </w:r>
      <w:r w:rsidR="0054415F">
        <w:t>8</w:t>
      </w:r>
      <w:r w:rsidR="00244CE9">
        <w:t xml:space="preserve"> </w:t>
      </w:r>
      <w:r w:rsidR="00A30DD0" w:rsidRPr="00F460EF">
        <w:t xml:space="preserve">shows </w:t>
      </w:r>
      <w:r w:rsidR="007E1ACB">
        <w:t xml:space="preserve">the </w:t>
      </w:r>
      <w:r w:rsidR="00A30DD0" w:rsidRPr="00F460EF">
        <w:t>unit of study completion rates</w:t>
      </w:r>
      <w:r w:rsidR="001D79A7">
        <w:t xml:space="preserve"> breakdown</w:t>
      </w:r>
      <w:r w:rsidR="00A30DD0" w:rsidRPr="00F460EF">
        <w:t xml:space="preserve"> by proportion of providers. </w:t>
      </w:r>
    </w:p>
    <w:p w14:paraId="5EBADDCE" w14:textId="556E021E" w:rsidR="00A30DD0" w:rsidRDefault="00A30DD0" w:rsidP="00A30DD0">
      <w:r w:rsidRPr="00F460EF">
        <w:t xml:space="preserve">Most VSL students reported to have studied in 2022 are unlikely to complete their course by 31 December 2022. About two-thirds (143) of </w:t>
      </w:r>
      <w:r w:rsidR="007B5A8D" w:rsidRPr="00F460EF">
        <w:t>a</w:t>
      </w:r>
      <w:r w:rsidRPr="00F460EF">
        <w:t xml:space="preserve">pproved providers reported </w:t>
      </w:r>
      <w:r w:rsidR="0067414F" w:rsidRPr="00F460EF">
        <w:t xml:space="preserve">some unit of study </w:t>
      </w:r>
      <w:r w:rsidRPr="00F460EF">
        <w:t>completion</w:t>
      </w:r>
      <w:r w:rsidR="0067414F" w:rsidRPr="00F460EF">
        <w:t>s</w:t>
      </w:r>
      <w:r w:rsidRPr="00F460EF">
        <w:t xml:space="preserve"> and the remaining third (75) reported all their students’ units of study as in progress.</w:t>
      </w:r>
    </w:p>
    <w:p w14:paraId="41DC0426" w14:textId="62095B2D" w:rsidR="00A30DD0" w:rsidRPr="00F460EF" w:rsidRDefault="00A30DD0" w:rsidP="00A30DD0">
      <w:r w:rsidRPr="00F460EF">
        <w:t xml:space="preserve">Of the 143 providers with reported </w:t>
      </w:r>
      <w:r w:rsidR="0067414F" w:rsidRPr="00F460EF">
        <w:t xml:space="preserve">unit of study </w:t>
      </w:r>
      <w:r w:rsidRPr="00F460EF">
        <w:t>completion rates:</w:t>
      </w:r>
    </w:p>
    <w:p w14:paraId="3097F741" w14:textId="4BA1F6DE" w:rsidR="00A30DD0" w:rsidRPr="00F460EF" w:rsidRDefault="00A30DD0" w:rsidP="00A30DD0">
      <w:pPr>
        <w:pStyle w:val="ListParagraph"/>
        <w:numPr>
          <w:ilvl w:val="0"/>
          <w:numId w:val="16"/>
        </w:numPr>
      </w:pPr>
      <w:r w:rsidRPr="00F460EF">
        <w:t>134 (94</w:t>
      </w:r>
      <w:r w:rsidR="003A471C" w:rsidRPr="00F460EF">
        <w:t>%</w:t>
      </w:r>
      <w:r w:rsidRPr="00F460EF">
        <w:t>) had completion rate above 50%</w:t>
      </w:r>
    </w:p>
    <w:p w14:paraId="0C6C1A63" w14:textId="6CD4F340" w:rsidR="00A14E9D" w:rsidRPr="00F460EF" w:rsidRDefault="00DD47A9" w:rsidP="00A30DD0">
      <w:pPr>
        <w:pStyle w:val="ListParagraph"/>
        <w:numPr>
          <w:ilvl w:val="0"/>
          <w:numId w:val="16"/>
        </w:numPr>
      </w:pPr>
      <w:r w:rsidRPr="00F460EF">
        <w:t xml:space="preserve">Over </w:t>
      </w:r>
      <w:r w:rsidR="002F0416" w:rsidRPr="00F460EF">
        <w:t>two-thirds</w:t>
      </w:r>
      <w:r w:rsidR="00A14E9D" w:rsidRPr="00F460EF">
        <w:t xml:space="preserve"> </w:t>
      </w:r>
      <w:r w:rsidR="002F0416" w:rsidRPr="00F460EF">
        <w:t xml:space="preserve">reported a completion rate of </w:t>
      </w:r>
      <w:r w:rsidR="000F676C" w:rsidRPr="00F460EF">
        <w:t>above 80</w:t>
      </w:r>
      <w:r w:rsidR="00CE48C5" w:rsidRPr="00F460EF">
        <w:t>%</w:t>
      </w:r>
    </w:p>
    <w:p w14:paraId="0A000D81" w14:textId="088F0545" w:rsidR="001300AB" w:rsidRDefault="00A30DD0" w:rsidP="00625B84">
      <w:pPr>
        <w:pStyle w:val="ListParagraph"/>
        <w:numPr>
          <w:ilvl w:val="0"/>
          <w:numId w:val="16"/>
        </w:numPr>
      </w:pPr>
      <w:r w:rsidRPr="00F460EF">
        <w:t>A small number reported study completion rate below 50%</w:t>
      </w:r>
      <w:r w:rsidR="002D37CC">
        <w:t>.</w:t>
      </w:r>
    </w:p>
    <w:p w14:paraId="199C2F2D" w14:textId="71C9E43B" w:rsidR="00DA05A1" w:rsidRPr="00F460EF" w:rsidRDefault="00DA05A1" w:rsidP="009F6571">
      <w:pPr>
        <w:pStyle w:val="ListParagraph"/>
        <w:ind w:left="770"/>
      </w:pPr>
    </w:p>
    <w:p w14:paraId="0B00224B" w14:textId="2F594575" w:rsidR="00570AF0" w:rsidRPr="00CC3969" w:rsidRDefault="00A50E7B" w:rsidP="009F6571">
      <w:pPr>
        <w:pStyle w:val="Heading3"/>
        <w:rPr>
          <w:color w:val="auto"/>
          <w:sz w:val="22"/>
          <w:szCs w:val="22"/>
        </w:rPr>
      </w:pPr>
      <w:bookmarkStart w:id="27" w:name="_Toc147861854"/>
      <w:r w:rsidRPr="00CC3969">
        <w:rPr>
          <w:color w:val="auto"/>
          <w:sz w:val="22"/>
          <w:szCs w:val="22"/>
        </w:rPr>
        <w:t xml:space="preserve">Figure </w:t>
      </w:r>
      <w:r w:rsidR="0054415F">
        <w:rPr>
          <w:color w:val="auto"/>
          <w:sz w:val="22"/>
          <w:szCs w:val="22"/>
        </w:rPr>
        <w:t>8</w:t>
      </w:r>
      <w:r w:rsidRPr="00CC3969">
        <w:rPr>
          <w:color w:val="auto"/>
          <w:sz w:val="22"/>
          <w:szCs w:val="22"/>
        </w:rPr>
        <w:t>: Distribution of VSL student unit of study completion rates and number of providers</w:t>
      </w:r>
      <w:bookmarkEnd w:id="27"/>
    </w:p>
    <w:p w14:paraId="04F2CDC4" w14:textId="59C3E2C3" w:rsidR="00D77EA7" w:rsidRDefault="00AC2AD9" w:rsidP="00937C98">
      <w:r w:rsidRPr="00F460EF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0A89EA" wp14:editId="21450644">
                <wp:simplePos x="0" y="0"/>
                <wp:positionH relativeFrom="margin">
                  <wp:posOffset>295275</wp:posOffset>
                </wp:positionH>
                <wp:positionV relativeFrom="paragraph">
                  <wp:posOffset>3248025</wp:posOffset>
                </wp:positionV>
                <wp:extent cx="4442604" cy="258792"/>
                <wp:effectExtent l="0" t="0" r="0" b="8255"/>
                <wp:wrapNone/>
                <wp:docPr id="1957442114" name="Text Box 1957442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2604" cy="2587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C8B53D" w14:textId="77777777" w:rsidR="00AC2AD9" w:rsidRPr="00BB0B35" w:rsidRDefault="00AC2AD9" w:rsidP="00AC2AD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Excludes 75 providers that reported all their students as having courses as in progress.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A89EA" id="Text Box 1957442114" o:spid="_x0000_s1027" type="#_x0000_t202" style="position:absolute;margin-left:23.25pt;margin-top:255.75pt;width:349.8pt;height:20.4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" fillcolor="white [3201]" stroked="f" strokeweight=".5pt">
                <v:textbox>
                  <w:txbxContent>
                    <w:p w14:paraId="09C8B53D" w14:textId="77777777" w:rsidR="00AC2AD9" w:rsidRPr="00BB0B35" w:rsidRDefault="00AC2AD9" w:rsidP="00AC2AD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Excludes 75 providers that reported all their students as having courses as in progress.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7EA7" w:rsidRPr="00F460EF">
        <w:rPr>
          <w:noProof/>
        </w:rPr>
        <w:drawing>
          <wp:inline distT="0" distB="0" distL="0" distR="0" wp14:anchorId="46A24311" wp14:editId="66222DC6">
            <wp:extent cx="6375400" cy="3286125"/>
            <wp:effectExtent l="0" t="0" r="6350" b="0"/>
            <wp:docPr id="1918333153" name="Chart 1918333153">
              <a:extLst xmlns:a="http://schemas.openxmlformats.org/drawingml/2006/main">
                <a:ext uri="{FF2B5EF4-FFF2-40B4-BE49-F238E27FC236}">
                  <a16:creationId xmlns:a16="http://schemas.microsoft.com/office/drawing/2014/main" id="{14907B24-F1AD-C1F1-2D77-B10A0BA4E5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C39E9DA" w14:textId="5306FA7F" w:rsidR="00D77EA7" w:rsidRDefault="00D77EA7" w:rsidP="00937C98"/>
    <w:p w14:paraId="2AEAA0C8" w14:textId="092F6CA6" w:rsidR="00937C98" w:rsidRPr="00F460EF" w:rsidRDefault="00996143" w:rsidP="00937C98">
      <w:r w:rsidRPr="00F460EF">
        <w:t>C</w:t>
      </w:r>
      <w:r w:rsidR="00937C98" w:rsidRPr="00F460EF">
        <w:t xml:space="preserve">ompletion rate </w:t>
      </w:r>
      <w:r w:rsidR="00B945B4" w:rsidRPr="00F460EF">
        <w:t xml:space="preserve">is determined </w:t>
      </w:r>
      <w:r w:rsidR="00102429">
        <w:t>on</w:t>
      </w:r>
      <w:r w:rsidR="00102429" w:rsidRPr="00F460EF">
        <w:t xml:space="preserve"> </w:t>
      </w:r>
      <w:r w:rsidRPr="00F460EF">
        <w:t>the following</w:t>
      </w:r>
      <w:r w:rsidR="00102429">
        <w:t xml:space="preserve"> bases</w:t>
      </w:r>
      <w:r w:rsidR="00937C98" w:rsidRPr="00F460EF">
        <w:t>:</w:t>
      </w:r>
    </w:p>
    <w:p w14:paraId="0626D32E" w14:textId="28E40F32" w:rsidR="00937C98" w:rsidRPr="00F460EF" w:rsidRDefault="00937C98" w:rsidP="00937C98">
      <w:pPr>
        <w:pStyle w:val="ListParagraph"/>
        <w:numPr>
          <w:ilvl w:val="0"/>
          <w:numId w:val="14"/>
        </w:numPr>
      </w:pPr>
      <w:r w:rsidRPr="00F460EF">
        <w:t xml:space="preserve">The report only covers students who </w:t>
      </w:r>
      <w:r w:rsidR="009E60C7" w:rsidRPr="00F460EF">
        <w:t xml:space="preserve">used the </w:t>
      </w:r>
      <w:r w:rsidR="00C5030B" w:rsidRPr="00F460EF">
        <w:t xml:space="preserve">VSL </w:t>
      </w:r>
      <w:r w:rsidR="009E60C7" w:rsidRPr="00F460EF">
        <w:t xml:space="preserve">program </w:t>
      </w:r>
      <w:r w:rsidRPr="00F460EF">
        <w:t xml:space="preserve">in </w:t>
      </w:r>
      <w:r w:rsidR="007B5A8D" w:rsidRPr="00F460EF">
        <w:t>the 2022 c</w:t>
      </w:r>
      <w:r w:rsidR="00C5030B" w:rsidRPr="00F460EF">
        <w:t>alendar year</w:t>
      </w:r>
    </w:p>
    <w:p w14:paraId="184FA00F" w14:textId="3434C113" w:rsidR="00935B5D" w:rsidRPr="00F460EF" w:rsidRDefault="00937C98" w:rsidP="00A30DD0">
      <w:pPr>
        <w:pStyle w:val="ListParagraph"/>
        <w:numPr>
          <w:ilvl w:val="0"/>
          <w:numId w:val="14"/>
        </w:numPr>
      </w:pPr>
      <w:r w:rsidRPr="00F460EF">
        <w:t>This report includes course completion data reported as of 4 April 2023. Therefore, a completed course that had a final census day in 202</w:t>
      </w:r>
      <w:r w:rsidR="00C5030B" w:rsidRPr="00F460EF">
        <w:t>3</w:t>
      </w:r>
      <w:r w:rsidRPr="00F460EF">
        <w:t xml:space="preserve"> </w:t>
      </w:r>
      <w:r w:rsidR="00C5030B" w:rsidRPr="00F460EF">
        <w:t>may</w:t>
      </w:r>
      <w:r w:rsidRPr="00F460EF">
        <w:t xml:space="preserve"> </w:t>
      </w:r>
      <w:r w:rsidR="009E60C7" w:rsidRPr="00F460EF">
        <w:t xml:space="preserve">be </w:t>
      </w:r>
      <w:r w:rsidR="00C5030B" w:rsidRPr="00F460EF">
        <w:t xml:space="preserve">excluded </w:t>
      </w:r>
      <w:r w:rsidRPr="00F460EF">
        <w:t>in th</w:t>
      </w:r>
      <w:r w:rsidR="00C5030B" w:rsidRPr="00F460EF">
        <w:t xml:space="preserve">e </w:t>
      </w:r>
      <w:r w:rsidRPr="00F460EF">
        <w:t xml:space="preserve">report if completed after 4 April </w:t>
      </w:r>
      <w:r w:rsidR="263E07FB" w:rsidRPr="00F460EF">
        <w:t>2023.</w:t>
      </w:r>
    </w:p>
    <w:p w14:paraId="00D7D588" w14:textId="1F9898D1" w:rsidR="00A30DD0" w:rsidRPr="00F460EF" w:rsidRDefault="00A30DD0" w:rsidP="00A30DD0">
      <w:r w:rsidRPr="00F460EF">
        <w:t xml:space="preserve">A course </w:t>
      </w:r>
      <w:r w:rsidR="00B945B4" w:rsidRPr="00F460EF">
        <w:t xml:space="preserve">is usually more than one </w:t>
      </w:r>
      <w:r w:rsidRPr="00F460EF">
        <w:t xml:space="preserve">unit of study (referred to as </w:t>
      </w:r>
      <w:r w:rsidR="00655E50" w:rsidRPr="00F460EF">
        <w:t>‘</w:t>
      </w:r>
      <w:r w:rsidRPr="00F460EF">
        <w:t>parts of the course</w:t>
      </w:r>
      <w:r w:rsidR="00655E50" w:rsidRPr="00F460EF">
        <w:t>’</w:t>
      </w:r>
      <w:r w:rsidRPr="00F460EF">
        <w:t xml:space="preserve"> in the</w:t>
      </w:r>
      <w:r w:rsidR="00F12123" w:rsidRPr="00F460EF">
        <w:t xml:space="preserve"> </w:t>
      </w:r>
      <w:r w:rsidR="000822F0" w:rsidRPr="00F460EF">
        <w:t>Rules</w:t>
      </w:r>
      <w:r w:rsidRPr="00F460EF">
        <w:t>). Thus, reporting on unit of study completion rates provides an alternative way of presenting information on</w:t>
      </w:r>
      <w:r w:rsidR="00206483">
        <w:t xml:space="preserve"> VSL</w:t>
      </w:r>
      <w:r w:rsidRPr="00F460EF">
        <w:t xml:space="preserve"> students’ progression through their courses at this early stage of the program. </w:t>
      </w:r>
    </w:p>
    <w:p w14:paraId="73277C66" w14:textId="4611F7D7" w:rsidR="00A30DD0" w:rsidRPr="00F460EF" w:rsidRDefault="00A30DD0" w:rsidP="00A30DD0">
      <w:r w:rsidRPr="00F460EF">
        <w:t xml:space="preserve">The unit of study completion rate is the proportion of units of study successfully passed as a share of total units of study undertaken. These units of study are in Equivalent Full Time Student Load (EFTSL) rather than student numbers. </w:t>
      </w:r>
    </w:p>
    <w:p w14:paraId="4CDC4586" w14:textId="0F6D2262" w:rsidR="00A30DD0" w:rsidRPr="00F460EF" w:rsidRDefault="00A30DD0" w:rsidP="00A30DD0">
      <w:r w:rsidRPr="00F460EF">
        <w:t>Units of study includes units that providers reported</w:t>
      </w:r>
      <w:r w:rsidR="00206483">
        <w:t xml:space="preserve"> VSL</w:t>
      </w:r>
      <w:r w:rsidR="00035B02" w:rsidRPr="00F460EF">
        <w:t xml:space="preserve"> students</w:t>
      </w:r>
      <w:r w:rsidRPr="00F460EF">
        <w:t xml:space="preserve"> </w:t>
      </w:r>
      <w:r w:rsidR="00035B02" w:rsidRPr="00F460EF">
        <w:t xml:space="preserve">to have </w:t>
      </w:r>
      <w:r w:rsidRPr="00F460EF">
        <w:t>withdrawn from, failed, or successfully completed.</w:t>
      </w:r>
      <w:r w:rsidR="00802683">
        <w:t xml:space="preserve"> </w:t>
      </w:r>
    </w:p>
    <w:p w14:paraId="57D0A5C5" w14:textId="77777777" w:rsidR="00A94933" w:rsidRPr="00F460EF" w:rsidRDefault="00A94933" w:rsidP="003A565E"/>
    <w:p w14:paraId="7C5E5DFC" w14:textId="77777777" w:rsidR="00493304" w:rsidRPr="004D6323" w:rsidRDefault="00493304" w:rsidP="007A0C8B">
      <w:pPr>
        <w:pStyle w:val="Heading1"/>
        <w:spacing w:before="360" w:after="120"/>
        <w:rPr>
          <w:color w:val="auto"/>
          <w:sz w:val="32"/>
          <w:szCs w:val="32"/>
        </w:rPr>
        <w:sectPr w:rsidR="00493304" w:rsidRPr="004D6323" w:rsidSect="009F6571">
          <w:pgSz w:w="11906" w:h="16838"/>
          <w:pgMar w:top="720" w:right="720" w:bottom="720" w:left="1134" w:header="426" w:footer="451" w:gutter="0"/>
          <w:cols w:space="708"/>
          <w:docGrid w:linePitch="360"/>
        </w:sectPr>
      </w:pPr>
      <w:bookmarkStart w:id="28" w:name="_Toc136146742"/>
    </w:p>
    <w:p w14:paraId="5EE4FC43" w14:textId="378A37D0" w:rsidR="00657453" w:rsidRPr="00CC3969" w:rsidRDefault="003D1711" w:rsidP="009F6571">
      <w:pPr>
        <w:pStyle w:val="Heading1"/>
        <w:rPr>
          <w:rFonts w:asciiTheme="majorHAnsi" w:hAnsiTheme="majorHAnsi"/>
          <w:color w:val="auto"/>
        </w:rPr>
      </w:pPr>
      <w:bookmarkStart w:id="29" w:name="_Toc147861855"/>
      <w:r w:rsidRPr="00CC3969">
        <w:rPr>
          <w:rFonts w:asciiTheme="majorHAnsi" w:hAnsiTheme="majorHAnsi"/>
          <w:color w:val="auto"/>
        </w:rPr>
        <w:lastRenderedPageBreak/>
        <w:t xml:space="preserve">Additional </w:t>
      </w:r>
      <w:r w:rsidR="002D02C8" w:rsidRPr="00CC3969">
        <w:rPr>
          <w:rFonts w:asciiTheme="majorHAnsi" w:hAnsiTheme="majorHAnsi"/>
          <w:color w:val="auto"/>
        </w:rPr>
        <w:t xml:space="preserve">Information on </w:t>
      </w:r>
      <w:r w:rsidR="00F12123" w:rsidRPr="00CC3969">
        <w:rPr>
          <w:rFonts w:asciiTheme="majorHAnsi" w:hAnsiTheme="majorHAnsi"/>
          <w:color w:val="auto"/>
        </w:rPr>
        <w:t>VSL</w:t>
      </w:r>
      <w:r w:rsidRPr="00CC3969">
        <w:rPr>
          <w:rFonts w:asciiTheme="majorHAnsi" w:hAnsiTheme="majorHAnsi"/>
          <w:color w:val="auto"/>
        </w:rPr>
        <w:t xml:space="preserve"> </w:t>
      </w:r>
      <w:r w:rsidR="00C037B3" w:rsidRPr="00CC3969">
        <w:rPr>
          <w:rFonts w:asciiTheme="majorHAnsi" w:hAnsiTheme="majorHAnsi"/>
          <w:color w:val="auto"/>
        </w:rPr>
        <w:t>P</w:t>
      </w:r>
      <w:r w:rsidRPr="00CC3969">
        <w:rPr>
          <w:rFonts w:asciiTheme="majorHAnsi" w:hAnsiTheme="majorHAnsi"/>
          <w:color w:val="auto"/>
        </w:rPr>
        <w:t>rovider</w:t>
      </w:r>
      <w:r w:rsidR="002D02C8" w:rsidRPr="00CC3969">
        <w:rPr>
          <w:rFonts w:asciiTheme="majorHAnsi" w:hAnsiTheme="majorHAnsi"/>
          <w:color w:val="auto"/>
        </w:rPr>
        <w:t>s</w:t>
      </w:r>
      <w:r w:rsidRPr="00CC3969">
        <w:rPr>
          <w:rFonts w:asciiTheme="majorHAnsi" w:hAnsiTheme="majorHAnsi"/>
          <w:color w:val="auto"/>
        </w:rPr>
        <w:t xml:space="preserve"> and </w:t>
      </w:r>
      <w:bookmarkEnd w:id="28"/>
      <w:r w:rsidR="00C037B3" w:rsidRPr="00CC3969">
        <w:rPr>
          <w:rFonts w:asciiTheme="majorHAnsi" w:hAnsiTheme="majorHAnsi"/>
          <w:color w:val="auto"/>
        </w:rPr>
        <w:t>Courses</w:t>
      </w:r>
      <w:bookmarkEnd w:id="29"/>
      <w:r w:rsidR="00C037B3" w:rsidRPr="00CC3969">
        <w:rPr>
          <w:rFonts w:asciiTheme="majorHAnsi" w:hAnsiTheme="majorHAnsi"/>
          <w:color w:val="auto"/>
        </w:rPr>
        <w:t xml:space="preserve"> </w:t>
      </w:r>
    </w:p>
    <w:p w14:paraId="1DECDFAF" w14:textId="2010BA82" w:rsidR="005C66D2" w:rsidRPr="00F460EF" w:rsidRDefault="005C66D2" w:rsidP="005C66D2">
      <w:r w:rsidRPr="00F460EF">
        <w:t xml:space="preserve">The Addendum </w:t>
      </w:r>
      <w:r w:rsidR="00FB7019" w:rsidRPr="00F460EF">
        <w:t>T</w:t>
      </w:r>
      <w:r w:rsidRPr="00F460EF">
        <w:t xml:space="preserve">able 1 provides the </w:t>
      </w:r>
      <w:r w:rsidR="00F12123" w:rsidRPr="00F460EF">
        <w:t>VSL</w:t>
      </w:r>
      <w:r w:rsidRPr="00F460EF">
        <w:t xml:space="preserve"> data listed in the report for the reporting period 1 January 2022 to 31</w:t>
      </w:r>
      <w:r w:rsidR="00006653" w:rsidRPr="00F460EF">
        <w:t> </w:t>
      </w:r>
      <w:r w:rsidRPr="00F460EF">
        <w:t xml:space="preserve">December 2022. </w:t>
      </w:r>
    </w:p>
    <w:p w14:paraId="234E08EE" w14:textId="6313AE77" w:rsidR="005C66D2" w:rsidRPr="00F460EF" w:rsidRDefault="005C66D2" w:rsidP="005C66D2">
      <w:r w:rsidRPr="00F460EF">
        <w:t xml:space="preserve">The Addendum </w:t>
      </w:r>
      <w:r w:rsidR="00FB7019" w:rsidRPr="00F460EF">
        <w:t>T</w:t>
      </w:r>
      <w:r w:rsidRPr="00F460EF">
        <w:t>ables 2 to 6</w:t>
      </w:r>
      <w:r w:rsidR="00E172C7" w:rsidRPr="00F460EF">
        <w:t xml:space="preserve"> </w:t>
      </w:r>
      <w:r w:rsidRPr="00F460EF">
        <w:t xml:space="preserve">provide additional information on approved course providers and eligible courses offered. </w:t>
      </w:r>
    </w:p>
    <w:p w14:paraId="03B94976" w14:textId="6972BA7D" w:rsidR="005C66D2" w:rsidRPr="00F460EF" w:rsidRDefault="005C66D2" w:rsidP="005C66D2">
      <w:r w:rsidRPr="00F460EF">
        <w:t xml:space="preserve">These tables rank providers in order of VSL students (Table 2), value of </w:t>
      </w:r>
      <w:r w:rsidR="00F12123" w:rsidRPr="00F460EF">
        <w:t>loans</w:t>
      </w:r>
      <w:r w:rsidRPr="00F460EF">
        <w:t xml:space="preserve"> paid (Table 3), and rank courses in order of VSL students (Table 4) and in order of value of </w:t>
      </w:r>
      <w:r w:rsidR="00F12123" w:rsidRPr="00F460EF">
        <w:t>loans</w:t>
      </w:r>
      <w:r w:rsidRPr="00F460EF">
        <w:t xml:space="preserve"> paid (Table 5)</w:t>
      </w:r>
      <w:r w:rsidR="004D55E4" w:rsidRPr="00F460EF">
        <w:t xml:space="preserve"> and total value of loans paid to individual VSL provider including the course breakdown (Table 6)</w:t>
      </w:r>
      <w:r w:rsidR="00D042F1">
        <w:t>.</w:t>
      </w:r>
      <w:r w:rsidRPr="00F460EF">
        <w:t xml:space="preserve"> </w:t>
      </w:r>
    </w:p>
    <w:p w14:paraId="4C2560DF" w14:textId="0568ABF1" w:rsidR="00E172C7" w:rsidRPr="00F460EF" w:rsidRDefault="005C66D2" w:rsidP="005C66D2">
      <w:r w:rsidRPr="00F460EF">
        <w:t>These tables also provide the following:</w:t>
      </w:r>
    </w:p>
    <w:p w14:paraId="27EC172D" w14:textId="71694033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>VSL student numbers (Table 2 and 3)</w:t>
      </w:r>
    </w:p>
    <w:p w14:paraId="2741D2D2" w14:textId="1B082625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>course enrolment numbers</w:t>
      </w:r>
      <w:r w:rsidR="00371D76" w:rsidRPr="00F460EF">
        <w:t xml:space="preserve"> </w:t>
      </w:r>
      <w:r w:rsidRPr="00F460EF">
        <w:t>(Tables 4 and 5)</w:t>
      </w:r>
    </w:p>
    <w:p w14:paraId="234181FB" w14:textId="77777777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>Equivalent Full-Time Student Load (EFTSL) by provider and by course</w:t>
      </w:r>
    </w:p>
    <w:p w14:paraId="23243CCC" w14:textId="67FA971F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 xml:space="preserve">tuition fees </w:t>
      </w:r>
      <w:r w:rsidR="002D02C8" w:rsidRPr="00F460EF">
        <w:t>charged</w:t>
      </w:r>
    </w:p>
    <w:p w14:paraId="403D23F1" w14:textId="77777777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>the amount of the tuition fees paid up-front (paid directly to the provider by the student, rather than deferred through a VSL loan)</w:t>
      </w:r>
    </w:p>
    <w:p w14:paraId="0498B97C" w14:textId="77777777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 xml:space="preserve">the value of VSL loans </w:t>
      </w:r>
    </w:p>
    <w:p w14:paraId="721070DB" w14:textId="77777777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>tuition fees per student (Tables 2 and 3)</w:t>
      </w:r>
    </w:p>
    <w:p w14:paraId="7BC68534" w14:textId="77777777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>tuition fees per course enrolment (Tables 4 and 5)</w:t>
      </w:r>
    </w:p>
    <w:p w14:paraId="09F121A4" w14:textId="77777777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>tuition fees per EFTSL</w:t>
      </w:r>
    </w:p>
    <w:p w14:paraId="02A44CE6" w14:textId="77777777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>loan amount per student (Tables 2 and 3)</w:t>
      </w:r>
    </w:p>
    <w:p w14:paraId="7426CF7F" w14:textId="77777777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>loan amount per course enrolment (Tables 4 and 5)</w:t>
      </w:r>
    </w:p>
    <w:p w14:paraId="0FF320F8" w14:textId="77777777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>loan amount per EFTSL</w:t>
      </w:r>
    </w:p>
    <w:p w14:paraId="7D448ECD" w14:textId="091DCA6E" w:rsidR="005C66D2" w:rsidRPr="00F460EF" w:rsidRDefault="005C66D2" w:rsidP="005C66D2">
      <w:pPr>
        <w:pStyle w:val="ListParagraph"/>
        <w:numPr>
          <w:ilvl w:val="0"/>
          <w:numId w:val="6"/>
        </w:numPr>
      </w:pPr>
      <w:r w:rsidRPr="00F460EF">
        <w:t>enrolments, loans, tuition fees, students completing courses and unit of study completion rates by provider and course</w:t>
      </w:r>
      <w:r w:rsidR="009E525A" w:rsidRPr="00F460EF">
        <w:t xml:space="preserve"> </w:t>
      </w:r>
      <w:r w:rsidRPr="00F460EF">
        <w:t>(Table 6)</w:t>
      </w:r>
      <w:r w:rsidR="002D37CC">
        <w:t>.</w:t>
      </w:r>
    </w:p>
    <w:p w14:paraId="4A273DF7" w14:textId="31C7F2A9" w:rsidR="005C66D2" w:rsidRPr="00F460EF" w:rsidRDefault="00E172C7" w:rsidP="005C66D2">
      <w:r w:rsidRPr="00F460EF">
        <w:t>Half</w:t>
      </w:r>
      <w:r w:rsidR="005C66D2" w:rsidRPr="00F460EF">
        <w:t xml:space="preserve"> of the top </w:t>
      </w:r>
      <w:r w:rsidR="00643E6B" w:rsidRPr="00F460EF">
        <w:t>ten</w:t>
      </w:r>
      <w:r w:rsidR="005C66D2" w:rsidRPr="00F460EF">
        <w:t xml:space="preserve"> providers ranked by value of</w:t>
      </w:r>
      <w:r w:rsidR="009D4C5D" w:rsidRPr="00F460EF">
        <w:t xml:space="preserve"> total </w:t>
      </w:r>
      <w:r w:rsidR="005C66D2" w:rsidRPr="00F460EF">
        <w:t>loan</w:t>
      </w:r>
      <w:r w:rsidR="00F12123" w:rsidRPr="00F460EF">
        <w:t>s</w:t>
      </w:r>
      <w:r w:rsidR="005C66D2" w:rsidRPr="00F460EF">
        <w:t xml:space="preserve"> paid were public providers. In terms of student numbers, seven out of the top </w:t>
      </w:r>
      <w:r w:rsidR="00643E6B" w:rsidRPr="00F460EF">
        <w:t>ten</w:t>
      </w:r>
      <w:r w:rsidR="005C66D2" w:rsidRPr="00F460EF">
        <w:t xml:space="preserve"> providers were public providers</w:t>
      </w:r>
      <w:r w:rsidRPr="00F460EF">
        <w:t>.</w:t>
      </w:r>
      <w:r w:rsidR="005C66D2" w:rsidRPr="00F460EF">
        <w:t xml:space="preserve"> </w:t>
      </w:r>
    </w:p>
    <w:p w14:paraId="2C0679C4" w14:textId="54D2F74F" w:rsidR="00E172C7" w:rsidRPr="00F460EF" w:rsidRDefault="005C66D2" w:rsidP="005C66D2">
      <w:r w:rsidRPr="00F460EF">
        <w:t>Diploma of Nursing is the highest-rank</w:t>
      </w:r>
      <w:r w:rsidR="00E172C7" w:rsidRPr="00F460EF">
        <w:t>ed</w:t>
      </w:r>
      <w:r w:rsidRPr="00F460EF">
        <w:t xml:space="preserve"> course in terms of course enrolments and Diploma of Aviation (Commercial Pilot Licence - Aeroplane) is </w:t>
      </w:r>
      <w:r w:rsidR="00E172C7" w:rsidRPr="00F460EF">
        <w:t xml:space="preserve">ranked highest </w:t>
      </w:r>
      <w:r w:rsidRPr="00F460EF">
        <w:t xml:space="preserve">in terms of value of loans paid. </w:t>
      </w:r>
    </w:p>
    <w:p w14:paraId="5E81115C" w14:textId="26FA7238" w:rsidR="005C66D2" w:rsidRPr="00F460EF" w:rsidRDefault="00102429" w:rsidP="005C66D2">
      <w:r>
        <w:t>In order, n</w:t>
      </w:r>
      <w:r w:rsidRPr="00F460EF">
        <w:t>ursing</w:t>
      </w:r>
      <w:r w:rsidR="005C66D2" w:rsidRPr="00F460EF">
        <w:t>, beauty therapy and screen and media qualifications are</w:t>
      </w:r>
      <w:r>
        <w:t xml:space="preserve"> the next most</w:t>
      </w:r>
      <w:r w:rsidR="005C66D2" w:rsidRPr="00F460EF">
        <w:t xml:space="preserve"> popular with VSL students</w:t>
      </w:r>
      <w:r>
        <w:t xml:space="preserve"> by student enrolments</w:t>
      </w:r>
      <w:r w:rsidR="005C66D2" w:rsidRPr="00F460EF">
        <w:t>.</w:t>
      </w:r>
    </w:p>
    <w:p w14:paraId="7F3753AF" w14:textId="3C1EE061" w:rsidR="00946E05" w:rsidRDefault="005C66D2" w:rsidP="005C66D2">
      <w:r w:rsidRPr="00F460EF">
        <w:t xml:space="preserve">Only two of the top ten courses ranked by student enrolments in 2022 </w:t>
      </w:r>
      <w:r w:rsidR="00643E6B" w:rsidRPr="00F460EF">
        <w:t>were not</w:t>
      </w:r>
      <w:r w:rsidRPr="00F460EF">
        <w:t xml:space="preserve"> on the corresponding list in 2021</w:t>
      </w:r>
      <w:r w:rsidR="00D042F1">
        <w:t xml:space="preserve"> </w:t>
      </w:r>
      <w:r w:rsidR="00080027">
        <w:t>(Diploma</w:t>
      </w:r>
      <w:r w:rsidRPr="00F460EF">
        <w:t xml:space="preserve"> of Visual Arts and the Diploma of Early Childhood Education</w:t>
      </w:r>
      <w:r w:rsidR="00946E05">
        <w:t>)</w:t>
      </w:r>
      <w:r w:rsidRPr="00F460EF">
        <w:t xml:space="preserve">. </w:t>
      </w:r>
    </w:p>
    <w:p w14:paraId="1883CE17" w14:textId="1DE898B7" w:rsidR="005C66D2" w:rsidRPr="0039508C" w:rsidRDefault="005C66D2" w:rsidP="005C66D2">
      <w:r w:rsidRPr="00F460EF">
        <w:t xml:space="preserve">In this reporting period (Jan-Dec 2022), </w:t>
      </w:r>
      <w:r w:rsidR="00643E6B" w:rsidRPr="00F460EF">
        <w:t>forty-four</w:t>
      </w:r>
      <w:r w:rsidRPr="00F460EF">
        <w:t xml:space="preserve"> courses appear twice in Tables 4 and 5 as both superseding and superseded courses exist.</w:t>
      </w:r>
    </w:p>
    <w:p w14:paraId="638D5462" w14:textId="01596406" w:rsidR="00705752" w:rsidRDefault="00705752" w:rsidP="00D05C47"/>
    <w:p w14:paraId="68D93C68" w14:textId="77777777" w:rsidR="00B02812" w:rsidRDefault="00B02812" w:rsidP="00D05C47"/>
    <w:p w14:paraId="7A4D8B61" w14:textId="77777777" w:rsidR="00B02812" w:rsidRDefault="00B02812" w:rsidP="00D05C47"/>
    <w:p w14:paraId="7EA0A821" w14:textId="77777777" w:rsidR="00B02812" w:rsidRDefault="00B02812" w:rsidP="00D05C47"/>
    <w:p w14:paraId="3F07F311" w14:textId="77777777" w:rsidR="00371D76" w:rsidRDefault="00371D76" w:rsidP="00D05C47"/>
    <w:p w14:paraId="390C796F" w14:textId="77777777" w:rsidR="00B02812" w:rsidRPr="00CC3969" w:rsidRDefault="00B02812" w:rsidP="009F6571">
      <w:pPr>
        <w:pStyle w:val="Heading1"/>
        <w:rPr>
          <w:rFonts w:asciiTheme="majorHAnsi" w:hAnsiTheme="majorHAnsi"/>
          <w:color w:val="auto"/>
        </w:rPr>
      </w:pPr>
      <w:bookmarkStart w:id="30" w:name="_Toc147861856"/>
      <w:r w:rsidRPr="00CC3969">
        <w:rPr>
          <w:rFonts w:asciiTheme="majorHAnsi" w:hAnsiTheme="majorHAnsi"/>
          <w:color w:val="auto"/>
        </w:rPr>
        <w:lastRenderedPageBreak/>
        <w:t>Glossary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B02812" w:rsidRPr="00F460EF" w14:paraId="675F11A3" w14:textId="77777777" w:rsidTr="00CC3969">
        <w:trPr>
          <w:trHeight w:val="445"/>
        </w:trPr>
        <w:tc>
          <w:tcPr>
            <w:tcW w:w="2405" w:type="dxa"/>
            <w:shd w:val="clear" w:color="auto" w:fill="C4BC96" w:themeFill="background2" w:themeFillShade="BF"/>
          </w:tcPr>
          <w:p w14:paraId="2E9B5ECF" w14:textId="77777777" w:rsidR="00B02812" w:rsidRPr="00CC3969" w:rsidRDefault="00B02812" w:rsidP="00BA50A7">
            <w:pPr>
              <w:rPr>
                <w:b/>
                <w:bCs/>
                <w:sz w:val="28"/>
                <w:szCs w:val="28"/>
              </w:rPr>
            </w:pPr>
            <w:r w:rsidRPr="00CC3969">
              <w:rPr>
                <w:b/>
                <w:bCs/>
                <w:sz w:val="28"/>
                <w:szCs w:val="28"/>
              </w:rPr>
              <w:t>Term</w:t>
            </w:r>
          </w:p>
        </w:tc>
        <w:tc>
          <w:tcPr>
            <w:tcW w:w="7371" w:type="dxa"/>
            <w:shd w:val="clear" w:color="auto" w:fill="C4BC96" w:themeFill="background2" w:themeFillShade="BF"/>
          </w:tcPr>
          <w:p w14:paraId="1990E99E" w14:textId="77777777" w:rsidR="00B02812" w:rsidRPr="000F0FF4" w:rsidRDefault="00B02812" w:rsidP="00BA50A7">
            <w:pPr>
              <w:jc w:val="center"/>
              <w:rPr>
                <w:b/>
                <w:bCs/>
                <w:sz w:val="28"/>
                <w:szCs w:val="28"/>
              </w:rPr>
            </w:pPr>
            <w:r w:rsidRPr="000F0FF4">
              <w:rPr>
                <w:b/>
                <w:bCs/>
                <w:sz w:val="28"/>
                <w:szCs w:val="28"/>
              </w:rPr>
              <w:t>Definition/Meaning</w:t>
            </w:r>
          </w:p>
        </w:tc>
      </w:tr>
      <w:tr w:rsidR="00B02812" w:rsidRPr="00F460EF" w14:paraId="01FA7373" w14:textId="77777777" w:rsidTr="00CC3969">
        <w:tc>
          <w:tcPr>
            <w:tcW w:w="2405" w:type="dxa"/>
          </w:tcPr>
          <w:p w14:paraId="45347FBE" w14:textId="77777777" w:rsidR="00B02812" w:rsidRPr="000F0FF4" w:rsidRDefault="00B02812" w:rsidP="00BA50A7">
            <w:pPr>
              <w:rPr>
                <w:b/>
                <w:bCs/>
              </w:rPr>
            </w:pPr>
            <w:r w:rsidRPr="000F0FF4">
              <w:rPr>
                <w:b/>
                <w:bCs/>
              </w:rPr>
              <w:t>Approved Course</w:t>
            </w:r>
          </w:p>
          <w:p w14:paraId="0A157A96" w14:textId="77777777" w:rsidR="00B02812" w:rsidRPr="000F0FF4" w:rsidRDefault="00B02812" w:rsidP="00BA50A7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7CE94F80" w14:textId="55AB45F5" w:rsidR="00B02812" w:rsidRPr="000F0FF4" w:rsidRDefault="00B02812" w:rsidP="00BA50A7">
            <w:r w:rsidRPr="000F0FF4">
              <w:t xml:space="preserve">A Course that meets the requirements of Section 13 (Division 3) of the Act. </w:t>
            </w:r>
          </w:p>
          <w:p w14:paraId="1D9BEDB1" w14:textId="77777777" w:rsidR="00B02812" w:rsidRPr="000F0FF4" w:rsidRDefault="00B02812" w:rsidP="00BA50A7"/>
        </w:tc>
      </w:tr>
      <w:tr w:rsidR="00B02812" w:rsidRPr="00F460EF" w14:paraId="6341B4FA" w14:textId="77777777" w:rsidTr="00CC3969">
        <w:tc>
          <w:tcPr>
            <w:tcW w:w="2405" w:type="dxa"/>
          </w:tcPr>
          <w:p w14:paraId="002BB595" w14:textId="77777777" w:rsidR="00B02812" w:rsidRPr="000F0FF4" w:rsidRDefault="00B02812" w:rsidP="00BA50A7">
            <w:pPr>
              <w:rPr>
                <w:b/>
                <w:bCs/>
              </w:rPr>
            </w:pPr>
            <w:r w:rsidRPr="000F0FF4">
              <w:rPr>
                <w:b/>
                <w:bCs/>
              </w:rPr>
              <w:t>Approved Course Provider</w:t>
            </w:r>
          </w:p>
          <w:p w14:paraId="27E1CE74" w14:textId="77777777" w:rsidR="00B02812" w:rsidRPr="000F0FF4" w:rsidRDefault="00B02812" w:rsidP="00BA50A7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26C102B9" w14:textId="0F82EFD6" w:rsidR="00B02812" w:rsidRPr="000F0FF4" w:rsidRDefault="00B02812" w:rsidP="00BA50A7">
            <w:r w:rsidRPr="000F0FF4">
              <w:t xml:space="preserve">Bodies that are approved to offer </w:t>
            </w:r>
            <w:r w:rsidR="00C037B3">
              <w:t>VSL</w:t>
            </w:r>
            <w:r w:rsidRPr="000F0FF4">
              <w:t xml:space="preserve"> in accordance with the Act. This may include TAFEs, other public providers, and </w:t>
            </w:r>
            <w:r>
              <w:t>independent</w:t>
            </w:r>
            <w:r w:rsidRPr="000F0FF4">
              <w:t xml:space="preserve"> providers.</w:t>
            </w:r>
          </w:p>
          <w:p w14:paraId="55922928" w14:textId="77777777" w:rsidR="00B02812" w:rsidRPr="000F0FF4" w:rsidRDefault="00B02812" w:rsidP="00BA50A7"/>
        </w:tc>
      </w:tr>
      <w:tr w:rsidR="00B02812" w:rsidRPr="00F460EF" w14:paraId="1F652E53" w14:textId="77777777" w:rsidTr="00CC3969">
        <w:tc>
          <w:tcPr>
            <w:tcW w:w="2405" w:type="dxa"/>
          </w:tcPr>
          <w:p w14:paraId="6AC8C5AA" w14:textId="77777777" w:rsidR="00B02812" w:rsidRPr="000F0FF4" w:rsidRDefault="00B02812" w:rsidP="00BA50A7">
            <w:pPr>
              <w:rPr>
                <w:b/>
                <w:bCs/>
              </w:rPr>
            </w:pPr>
            <w:r w:rsidRPr="000F0FF4">
              <w:rPr>
                <w:b/>
                <w:bCs/>
              </w:rPr>
              <w:t>Australian Government Department of Employment and Workplace Relations</w:t>
            </w:r>
          </w:p>
          <w:p w14:paraId="33540BB6" w14:textId="77777777" w:rsidR="00B02812" w:rsidRPr="000F0FF4" w:rsidRDefault="00B02812" w:rsidP="00BA50A7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3A520FD2" w14:textId="2D37978C" w:rsidR="00B02812" w:rsidRPr="000F0FF4" w:rsidRDefault="00B02812" w:rsidP="00BA50A7">
            <w:r w:rsidRPr="000F0FF4">
              <w:t xml:space="preserve">The Commonwealth department that administers the </w:t>
            </w:r>
            <w:r w:rsidR="00C037B3">
              <w:t>VSL</w:t>
            </w:r>
            <w:r w:rsidRPr="000F0FF4">
              <w:t xml:space="preserve"> program.</w:t>
            </w:r>
          </w:p>
          <w:p w14:paraId="7935C8CC" w14:textId="77777777" w:rsidR="00B02812" w:rsidRPr="000F0FF4" w:rsidRDefault="00B02812" w:rsidP="00BA50A7"/>
        </w:tc>
      </w:tr>
      <w:tr w:rsidR="00B02812" w:rsidRPr="00F460EF" w14:paraId="7DFCB767" w14:textId="77777777" w:rsidTr="00CC3969">
        <w:tc>
          <w:tcPr>
            <w:tcW w:w="2405" w:type="dxa"/>
          </w:tcPr>
          <w:p w14:paraId="07AEF581" w14:textId="77777777" w:rsidR="00B02812" w:rsidRPr="000F0FF4" w:rsidRDefault="00B02812" w:rsidP="00BA50A7">
            <w:pPr>
              <w:rPr>
                <w:b/>
                <w:bCs/>
              </w:rPr>
            </w:pPr>
            <w:r w:rsidRPr="000F0FF4">
              <w:rPr>
                <w:b/>
                <w:bCs/>
              </w:rPr>
              <w:t>Census Year</w:t>
            </w:r>
          </w:p>
          <w:p w14:paraId="5E0D170D" w14:textId="77777777" w:rsidR="00B02812" w:rsidRPr="000F0FF4" w:rsidRDefault="00B02812" w:rsidP="00BA50A7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373A289D" w14:textId="77777777" w:rsidR="00B02812" w:rsidRPr="000F0FF4" w:rsidRDefault="00B02812" w:rsidP="00BA50A7">
            <w:r w:rsidRPr="000F0FF4">
              <w:t>The reporting period for the report: 1 January 2022 to 31 December 2022.</w:t>
            </w:r>
          </w:p>
          <w:p w14:paraId="4D34CF2C" w14:textId="77777777" w:rsidR="00B02812" w:rsidRPr="000F0FF4" w:rsidRDefault="00B02812" w:rsidP="00BA50A7"/>
        </w:tc>
      </w:tr>
      <w:tr w:rsidR="00B02812" w:rsidRPr="00F460EF" w14:paraId="4D5EF18C" w14:textId="77777777" w:rsidTr="00CC3969">
        <w:tc>
          <w:tcPr>
            <w:tcW w:w="2405" w:type="dxa"/>
          </w:tcPr>
          <w:p w14:paraId="6314E440" w14:textId="77777777" w:rsidR="00B02812" w:rsidRPr="000F0FF4" w:rsidRDefault="00B02812" w:rsidP="00BA50A7">
            <w:pPr>
              <w:rPr>
                <w:b/>
                <w:bCs/>
              </w:rPr>
            </w:pPr>
            <w:r w:rsidRPr="000F0FF4">
              <w:rPr>
                <w:b/>
                <w:bCs/>
              </w:rPr>
              <w:t>Course Completion rate</w:t>
            </w:r>
          </w:p>
          <w:p w14:paraId="33855294" w14:textId="77777777" w:rsidR="00B02812" w:rsidRPr="000F0FF4" w:rsidRDefault="00B02812" w:rsidP="00BA50A7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1CBDBDC0" w14:textId="77777777" w:rsidR="00B02812" w:rsidRPr="000F0FF4" w:rsidRDefault="00B02812" w:rsidP="00BA50A7">
            <w:r w:rsidRPr="000F0FF4">
              <w:t>The proportion of units of study that were passed, of the total units of study undertaken, with units of study measured in Equivalent Full Time Student Load (EFTSL).</w:t>
            </w:r>
          </w:p>
          <w:p w14:paraId="36253B41" w14:textId="77777777" w:rsidR="00B02812" w:rsidRPr="000F0FF4" w:rsidRDefault="00B02812" w:rsidP="00BA50A7"/>
        </w:tc>
      </w:tr>
      <w:tr w:rsidR="00B02812" w:rsidRPr="00F460EF" w14:paraId="36773380" w14:textId="77777777" w:rsidTr="00CC3969">
        <w:tc>
          <w:tcPr>
            <w:tcW w:w="2405" w:type="dxa"/>
          </w:tcPr>
          <w:p w14:paraId="4E6565E5" w14:textId="77777777" w:rsidR="00B02812" w:rsidRPr="000F0FF4" w:rsidRDefault="00B02812" w:rsidP="00BA50A7">
            <w:pPr>
              <w:rPr>
                <w:b/>
                <w:bCs/>
              </w:rPr>
            </w:pPr>
            <w:r w:rsidRPr="000F0FF4">
              <w:rPr>
                <w:b/>
                <w:bCs/>
              </w:rPr>
              <w:t>Eligible Students</w:t>
            </w:r>
          </w:p>
          <w:p w14:paraId="2302DA76" w14:textId="77777777" w:rsidR="00B02812" w:rsidRPr="000F0FF4" w:rsidRDefault="00B02812" w:rsidP="00BA50A7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3F83934B" w14:textId="77777777" w:rsidR="00B02812" w:rsidRPr="000F0FF4" w:rsidRDefault="00B02812" w:rsidP="00BA50A7">
            <w:r w:rsidRPr="000F0FF4">
              <w:t xml:space="preserve">To be an eligible student for VSL, the person must satisfy section 9 (Division 2) of the Act. This includes the citizenship and residency status, enrolment and application and academic suitability requirements. </w:t>
            </w:r>
          </w:p>
          <w:p w14:paraId="35B68774" w14:textId="77777777" w:rsidR="00B02812" w:rsidRPr="000F0FF4" w:rsidRDefault="00B02812" w:rsidP="00BA50A7"/>
        </w:tc>
      </w:tr>
      <w:tr w:rsidR="00B02812" w:rsidRPr="00F460EF" w14:paraId="53A70BB4" w14:textId="77777777" w:rsidTr="00CC3969">
        <w:tc>
          <w:tcPr>
            <w:tcW w:w="2405" w:type="dxa"/>
          </w:tcPr>
          <w:p w14:paraId="15FF7E7C" w14:textId="77777777" w:rsidR="00B02812" w:rsidRPr="000F0FF4" w:rsidRDefault="00B02812" w:rsidP="00BA50A7">
            <w:pPr>
              <w:rPr>
                <w:b/>
                <w:bCs/>
              </w:rPr>
            </w:pPr>
            <w:r w:rsidRPr="000F0FF4">
              <w:rPr>
                <w:b/>
                <w:bCs/>
              </w:rPr>
              <w:t>Enrolment</w:t>
            </w:r>
          </w:p>
          <w:p w14:paraId="05A40B61" w14:textId="77777777" w:rsidR="00B02812" w:rsidRPr="000F0FF4" w:rsidRDefault="00B02812" w:rsidP="00BA50A7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015541CA" w14:textId="77777777" w:rsidR="00B02812" w:rsidRPr="000F0FF4" w:rsidRDefault="00B02812" w:rsidP="00BA50A7">
            <w:r w:rsidRPr="000F0FF4">
              <w:t xml:space="preserve">The number of courses students studied in the reporting period. </w:t>
            </w:r>
          </w:p>
          <w:p w14:paraId="3EC982AD" w14:textId="77777777" w:rsidR="00B02812" w:rsidRPr="000F0FF4" w:rsidRDefault="00B02812" w:rsidP="00BA50A7"/>
        </w:tc>
      </w:tr>
      <w:tr w:rsidR="00B02812" w:rsidRPr="00F460EF" w14:paraId="23F1FAA6" w14:textId="77777777" w:rsidTr="00CC3969">
        <w:tc>
          <w:tcPr>
            <w:tcW w:w="2405" w:type="dxa"/>
          </w:tcPr>
          <w:p w14:paraId="4A78CA10" w14:textId="77777777" w:rsidR="00B02812" w:rsidRPr="000F0FF4" w:rsidRDefault="00B02812" w:rsidP="00BA50A7">
            <w:pPr>
              <w:rPr>
                <w:b/>
                <w:bCs/>
              </w:rPr>
            </w:pPr>
            <w:r w:rsidRPr="000F0FF4">
              <w:rPr>
                <w:b/>
                <w:bCs/>
              </w:rPr>
              <w:t>Loan amount</w:t>
            </w:r>
          </w:p>
          <w:p w14:paraId="16ECA134" w14:textId="77777777" w:rsidR="00B02812" w:rsidRPr="000F0FF4" w:rsidRDefault="00B02812" w:rsidP="00BA50A7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0EF1161E" w14:textId="77777777" w:rsidR="00B02812" w:rsidRPr="000F0FF4" w:rsidRDefault="00B02812" w:rsidP="00BA50A7">
            <w:r w:rsidRPr="000F0FF4">
              <w:t>The VSL amount paid by the Commonwealth to an eligible student to undertake approved courses as described in the Act, excluding upfront amounts paid and/or contributed by the student.</w:t>
            </w:r>
          </w:p>
          <w:p w14:paraId="51EA48A6" w14:textId="77777777" w:rsidR="00B02812" w:rsidRPr="000F0FF4" w:rsidRDefault="00B02812" w:rsidP="00BA50A7"/>
        </w:tc>
      </w:tr>
      <w:tr w:rsidR="00B02812" w:rsidRPr="00F460EF" w14:paraId="5B25D389" w14:textId="77777777" w:rsidTr="00CC3969">
        <w:tc>
          <w:tcPr>
            <w:tcW w:w="2405" w:type="dxa"/>
          </w:tcPr>
          <w:p w14:paraId="15296CD4" w14:textId="77777777" w:rsidR="00B02812" w:rsidRPr="000F0FF4" w:rsidRDefault="00B02812" w:rsidP="00BA50A7">
            <w:pPr>
              <w:rPr>
                <w:b/>
                <w:bCs/>
              </w:rPr>
            </w:pPr>
            <w:r w:rsidRPr="000F0FF4">
              <w:rPr>
                <w:b/>
                <w:bCs/>
              </w:rPr>
              <w:t>Provider Type</w:t>
            </w:r>
          </w:p>
          <w:p w14:paraId="7140AF2B" w14:textId="77777777" w:rsidR="00B02812" w:rsidRPr="000F0FF4" w:rsidRDefault="00B02812" w:rsidP="00BA50A7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598D00A0" w14:textId="77777777" w:rsidR="00B02812" w:rsidRPr="000F0FF4" w:rsidRDefault="00B02812" w:rsidP="00BA50A7">
            <w:r w:rsidRPr="000F0FF4">
              <w:t xml:space="preserve">Whether the provider is a TAFE, other public provider </w:t>
            </w:r>
            <w:r w:rsidRPr="00F460EF">
              <w:t>(including public universities and other non-TAFE publicly owned providers)</w:t>
            </w:r>
            <w:r w:rsidRPr="000F0FF4">
              <w:t xml:space="preserve"> or </w:t>
            </w:r>
            <w:r>
              <w:t>independent</w:t>
            </w:r>
            <w:r w:rsidRPr="000F0FF4">
              <w:t xml:space="preserve"> provider </w:t>
            </w:r>
            <w:r w:rsidRPr="00F460EF">
              <w:t xml:space="preserve">(including private universities and both not-for-profit and for-profit </w:t>
            </w:r>
            <w:r>
              <w:t>independent</w:t>
            </w:r>
            <w:r w:rsidRPr="00F460EF">
              <w:t xml:space="preserve"> providers)</w:t>
            </w:r>
            <w:r w:rsidRPr="000F0FF4">
              <w:t>.</w:t>
            </w:r>
          </w:p>
          <w:p w14:paraId="115DEBA5" w14:textId="77777777" w:rsidR="00B02812" w:rsidRPr="000F0FF4" w:rsidRDefault="00B02812" w:rsidP="00BA50A7"/>
        </w:tc>
      </w:tr>
      <w:tr w:rsidR="00B02812" w:rsidRPr="00F460EF" w14:paraId="7B259C2C" w14:textId="77777777" w:rsidTr="00CC3969">
        <w:tc>
          <w:tcPr>
            <w:tcW w:w="2405" w:type="dxa"/>
          </w:tcPr>
          <w:p w14:paraId="55310A42" w14:textId="77777777" w:rsidR="00B02812" w:rsidRPr="000F0FF4" w:rsidRDefault="00B02812" w:rsidP="00BA50A7">
            <w:pPr>
              <w:rPr>
                <w:b/>
                <w:bCs/>
                <w:i/>
                <w:iCs/>
              </w:rPr>
            </w:pPr>
            <w:r w:rsidRPr="000F0FF4">
              <w:rPr>
                <w:b/>
                <w:bCs/>
                <w:i/>
                <w:iCs/>
              </w:rPr>
              <w:t>VET Student Loans Act 2016</w:t>
            </w:r>
          </w:p>
          <w:p w14:paraId="5563577F" w14:textId="77777777" w:rsidR="00B02812" w:rsidRPr="000F0FF4" w:rsidRDefault="00B02812" w:rsidP="00BA50A7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5F2094F4" w14:textId="77777777" w:rsidR="00B02812" w:rsidRPr="000F0FF4" w:rsidRDefault="00B02812" w:rsidP="00BA50A7">
            <w:r w:rsidRPr="000F0FF4">
              <w:t>The principal Commonwealth legislation governing the VSL program.</w:t>
            </w:r>
          </w:p>
          <w:p w14:paraId="7FFF2B1B" w14:textId="77777777" w:rsidR="00B02812" w:rsidRPr="000F0FF4" w:rsidRDefault="00B02812" w:rsidP="00BA50A7"/>
        </w:tc>
      </w:tr>
      <w:tr w:rsidR="00B02812" w:rsidRPr="00F460EF" w14:paraId="4CF2280D" w14:textId="77777777" w:rsidTr="00CC3969">
        <w:tc>
          <w:tcPr>
            <w:tcW w:w="2405" w:type="dxa"/>
          </w:tcPr>
          <w:p w14:paraId="6CE53D71" w14:textId="77777777" w:rsidR="00B02812" w:rsidRPr="000F0FF4" w:rsidRDefault="00B02812" w:rsidP="00BA50A7">
            <w:pPr>
              <w:rPr>
                <w:b/>
                <w:bCs/>
              </w:rPr>
            </w:pPr>
            <w:r w:rsidRPr="00F460EF">
              <w:rPr>
                <w:b/>
                <w:bCs/>
              </w:rPr>
              <w:t>VET Student Loans Rules 2016</w:t>
            </w:r>
          </w:p>
        </w:tc>
        <w:tc>
          <w:tcPr>
            <w:tcW w:w="7371" w:type="dxa"/>
          </w:tcPr>
          <w:p w14:paraId="317302D3" w14:textId="2B2AAFD4" w:rsidR="00B02812" w:rsidRPr="00F460EF" w:rsidRDefault="00B02812" w:rsidP="00BA50A7">
            <w:r w:rsidRPr="000F0FF4">
              <w:t xml:space="preserve">The Rules as made by the Minister for Skills and Training under the Act to provide </w:t>
            </w:r>
            <w:r w:rsidRPr="00F460EF">
              <w:t>for the administration of the requirements of the Act.</w:t>
            </w:r>
          </w:p>
          <w:p w14:paraId="24402C59" w14:textId="77777777" w:rsidR="00B02812" w:rsidRPr="00F460EF" w:rsidRDefault="00B02812" w:rsidP="00BA50A7"/>
        </w:tc>
      </w:tr>
      <w:tr w:rsidR="00B02812" w:rsidRPr="00F460EF" w14:paraId="30C1D8D4" w14:textId="77777777" w:rsidTr="00CC3969">
        <w:tc>
          <w:tcPr>
            <w:tcW w:w="2405" w:type="dxa"/>
          </w:tcPr>
          <w:p w14:paraId="00F74CC6" w14:textId="1FA822DF" w:rsidR="00B02812" w:rsidRPr="000F0FF4" w:rsidRDefault="00B02812" w:rsidP="00BA50A7">
            <w:pPr>
              <w:rPr>
                <w:b/>
                <w:bCs/>
              </w:rPr>
            </w:pPr>
            <w:r w:rsidRPr="000F0FF4">
              <w:rPr>
                <w:b/>
                <w:bCs/>
              </w:rPr>
              <w:t>V</w:t>
            </w:r>
            <w:r w:rsidR="003E404A">
              <w:rPr>
                <w:b/>
                <w:bCs/>
              </w:rPr>
              <w:t>SL</w:t>
            </w:r>
            <w:r w:rsidRPr="000F0FF4">
              <w:rPr>
                <w:b/>
                <w:bCs/>
              </w:rPr>
              <w:t xml:space="preserve"> Students</w:t>
            </w:r>
          </w:p>
        </w:tc>
        <w:tc>
          <w:tcPr>
            <w:tcW w:w="7371" w:type="dxa"/>
          </w:tcPr>
          <w:p w14:paraId="2A48F770" w14:textId="77777777" w:rsidR="00B02812" w:rsidRPr="000F0FF4" w:rsidRDefault="00B02812" w:rsidP="00BA50A7">
            <w:r w:rsidRPr="000F0FF4">
              <w:t>Students that paid tuition fees partly or fully using the VSL program.</w:t>
            </w:r>
          </w:p>
          <w:p w14:paraId="4C493D4F" w14:textId="77777777" w:rsidR="00B02812" w:rsidRPr="000F0FF4" w:rsidRDefault="00B02812" w:rsidP="00BA50A7"/>
        </w:tc>
      </w:tr>
      <w:tr w:rsidR="00B02812" w:rsidRPr="00F460EF" w14:paraId="52BF4841" w14:textId="77777777" w:rsidTr="00CC3969">
        <w:trPr>
          <w:trHeight w:val="532"/>
        </w:trPr>
        <w:tc>
          <w:tcPr>
            <w:tcW w:w="2405" w:type="dxa"/>
          </w:tcPr>
          <w:p w14:paraId="23FADE55" w14:textId="234BA454" w:rsidR="00B02812" w:rsidRPr="000F0FF4" w:rsidRDefault="00B02812" w:rsidP="00600033">
            <w:pPr>
              <w:rPr>
                <w:b/>
                <w:bCs/>
              </w:rPr>
            </w:pPr>
            <w:r w:rsidRPr="000F0FF4">
              <w:rPr>
                <w:b/>
                <w:bCs/>
              </w:rPr>
              <w:t>VET Student Loan</w:t>
            </w:r>
          </w:p>
        </w:tc>
        <w:tc>
          <w:tcPr>
            <w:tcW w:w="7371" w:type="dxa"/>
          </w:tcPr>
          <w:p w14:paraId="6A301C6C" w14:textId="77777777" w:rsidR="00B02812" w:rsidRPr="000F0FF4" w:rsidRDefault="00B02812" w:rsidP="00BA50A7">
            <w:r w:rsidRPr="000F0FF4">
              <w:t>See Loan Amount</w:t>
            </w:r>
          </w:p>
        </w:tc>
      </w:tr>
      <w:tr w:rsidR="00B02812" w14:paraId="2F86F3A5" w14:textId="77777777" w:rsidTr="00CC3969">
        <w:trPr>
          <w:trHeight w:val="570"/>
        </w:trPr>
        <w:tc>
          <w:tcPr>
            <w:tcW w:w="2405" w:type="dxa"/>
          </w:tcPr>
          <w:p w14:paraId="0F43CA78" w14:textId="77777777" w:rsidR="00B02812" w:rsidRPr="000F0FF4" w:rsidRDefault="00B02812" w:rsidP="00BA50A7">
            <w:pPr>
              <w:rPr>
                <w:b/>
                <w:bCs/>
              </w:rPr>
            </w:pPr>
            <w:r w:rsidRPr="000F0FF4">
              <w:rPr>
                <w:b/>
                <w:bCs/>
              </w:rPr>
              <w:t>Tuition Fees</w:t>
            </w:r>
          </w:p>
          <w:p w14:paraId="36BB23CD" w14:textId="77777777" w:rsidR="00B02812" w:rsidRPr="000F0FF4" w:rsidRDefault="00B02812" w:rsidP="00BA50A7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14:paraId="445950E1" w14:textId="77777777" w:rsidR="00B02812" w:rsidRDefault="00B02812" w:rsidP="00BA50A7">
            <w:r w:rsidRPr="000F0FF4">
              <w:t>Fees charged by Approved Providers to students for their courses.</w:t>
            </w:r>
            <w:r>
              <w:t xml:space="preserve"> </w:t>
            </w:r>
          </w:p>
          <w:p w14:paraId="3180A6AC" w14:textId="77777777" w:rsidR="00B02812" w:rsidRDefault="00B02812" w:rsidP="00BA50A7"/>
        </w:tc>
      </w:tr>
    </w:tbl>
    <w:p w14:paraId="3163A2CE" w14:textId="77777777" w:rsidR="00B02812" w:rsidRPr="00D24D2D" w:rsidRDefault="00B02812" w:rsidP="00D05C47"/>
    <w:sectPr w:rsidR="00B02812" w:rsidRPr="00D24D2D" w:rsidSect="007E5D39">
      <w:pgSz w:w="11906" w:h="16838"/>
      <w:pgMar w:top="720" w:right="720" w:bottom="720" w:left="1134" w:header="426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71DA" w14:textId="77777777" w:rsidR="00E57EEE" w:rsidRDefault="00E57EEE">
      <w:pPr>
        <w:spacing w:after="0" w:line="240" w:lineRule="auto"/>
      </w:pPr>
      <w:r>
        <w:separator/>
      </w:r>
    </w:p>
  </w:endnote>
  <w:endnote w:type="continuationSeparator" w:id="0">
    <w:p w14:paraId="2D728E08" w14:textId="77777777" w:rsidR="00E57EEE" w:rsidRDefault="00E57EEE">
      <w:pPr>
        <w:spacing w:after="0" w:line="240" w:lineRule="auto"/>
      </w:pPr>
      <w:r>
        <w:continuationSeparator/>
      </w:r>
    </w:p>
  </w:endnote>
  <w:endnote w:type="continuationNotice" w:id="1">
    <w:p w14:paraId="37D65671" w14:textId="77777777" w:rsidR="00E57EEE" w:rsidRDefault="00E57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8FDD" w14:textId="77777777" w:rsidR="00CB534A" w:rsidRDefault="00CB5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422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307CA" w14:textId="094744B7" w:rsidR="009F2CBB" w:rsidRDefault="009F2C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90666D" w14:textId="3E22DAFB" w:rsidR="007545DF" w:rsidRDefault="007545D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E401" w14:textId="77777777" w:rsidR="00CB534A" w:rsidRDefault="00CB5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0627" w14:textId="77777777" w:rsidR="00E57EEE" w:rsidRDefault="00E57EEE">
      <w:pPr>
        <w:spacing w:after="0" w:line="240" w:lineRule="auto"/>
      </w:pPr>
      <w:r>
        <w:separator/>
      </w:r>
    </w:p>
  </w:footnote>
  <w:footnote w:type="continuationSeparator" w:id="0">
    <w:p w14:paraId="284F828A" w14:textId="77777777" w:rsidR="00E57EEE" w:rsidRDefault="00E57EEE">
      <w:pPr>
        <w:spacing w:after="0" w:line="240" w:lineRule="auto"/>
      </w:pPr>
      <w:r>
        <w:continuationSeparator/>
      </w:r>
    </w:p>
  </w:footnote>
  <w:footnote w:type="continuationNotice" w:id="1">
    <w:p w14:paraId="44842527" w14:textId="77777777" w:rsidR="00E57EEE" w:rsidRDefault="00E57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9C0A" w14:textId="77777777" w:rsidR="00CB534A" w:rsidRDefault="00CB5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B90C" w14:textId="103B5790" w:rsidR="007545DF" w:rsidRDefault="007545DF" w:rsidP="004B5E0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7170" w14:textId="77777777" w:rsidR="00CB534A" w:rsidRDefault="00CB534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U+n/cZxNFSrSo" int2:id="0YATMqth">
      <int2:state int2:value="Rejected" int2:type="AugLoop_Text_Critique"/>
    </int2:textHash>
    <int2:textHash int2:hashCode="TIKGH3akn7oyS9" int2:id="5K9vzugc">
      <int2:state int2:value="Rejected" int2:type="AugLoop_Text_Critique"/>
    </int2:textHash>
    <int2:textHash int2:hashCode="lG8uWI0hcplh9Z" int2:id="5UWEplVa">
      <int2:state int2:value="Rejected" int2:type="AugLoop_Text_Critique"/>
    </int2:textHash>
    <int2:textHash int2:hashCode="7TU+qXoinMcFua" int2:id="JaY55ka7">
      <int2:state int2:value="Rejected" int2:type="AugLoop_Text_Critique"/>
    </int2:textHash>
    <int2:textHash int2:hashCode="HH+kZZZaR3SIuh" int2:id="M4tWxstt">
      <int2:state int2:value="Rejected" int2:type="AugLoop_Text_Critique"/>
    </int2:textHash>
    <int2:textHash int2:hashCode="q1BI2J1DOMaSKa" int2:id="P2Ocz4jk">
      <int2:state int2:value="Rejected" int2:type="AugLoop_Text_Critique"/>
    </int2:textHash>
    <int2:textHash int2:hashCode="3xFP2ohc9o1xkZ" int2:id="TgFqh6kK">
      <int2:state int2:value="Rejected" int2:type="AugLoop_Text_Critique"/>
    </int2:textHash>
    <int2:textHash int2:hashCode="nUXGep8TDx63zN" int2:id="UByiLlcc">
      <int2:state int2:value="Rejected" int2:type="AugLoop_Text_Critique"/>
    </int2:textHash>
    <int2:textHash int2:hashCode="Cm3QunR11l7Hoc" int2:id="ZZ2KyXjA">
      <int2:state int2:value="Rejected" int2:type="AugLoop_Text_Critique"/>
    </int2:textHash>
    <int2:textHash int2:hashCode="Ed53DQjh50K2n/" int2:id="grpDO1Y0">
      <int2:state int2:value="Rejected" int2:type="AugLoop_Text_Critique"/>
    </int2:textHash>
    <int2:textHash int2:hashCode="4IhUetLjLDXSKt" int2:id="mLNAmYo0">
      <int2:state int2:value="Rejected" int2:type="AugLoop_Text_Critique"/>
    </int2:textHash>
    <int2:textHash int2:hashCode="vTZEOoCzZA7Nxr" int2:id="rSJu5gqc">
      <int2:state int2:value="Rejected" int2:type="AugLoop_Text_Critique"/>
    </int2:textHash>
    <int2:entireDocument int2:id="ZOkrBdNf">
      <int2:extLst>
        <oel:ext uri="E302BA01-7950-474C-9AD3-286E660C40A8">
          <int2:similaritySummary int2:version="1" int2:runId="1688007546361" int2:tilesCheckedInThisRun="152" int2:totalNumOfTiles="152" int2:similarityAnnotationCount="9" int2:numWords="2869" int2:numFlaggedWords="179"/>
        </oel:ext>
      </int2:extLst>
    </int2:entireDocument>
  </int2:observations>
  <int2:intelligenceSettings/>
  <int2:onDemandWorkflows>
    <int2:onDemandWorkflow int2:type="SimilarityCheck" int2:paragraphVersions="4153FB80-337704F9 612DA29D-77777777 29DD58FD-77777777 6E174A28-721F9A09 74B8B27E-216BE855 6E2AC72F-77777777 752FCB88-77777777 34C3836C-77777777 7C6B63BA-19FBC2FE 6A745965-04967AF6 1BF7D79B-348E6B68 56BB37B1-77777777 20F27F49-069EB6A4 11D15519-7A4269AE 60DD3F88-77777777 24B85ABB-7663C3DC 6C5DC96D-68D4C193 451311DF-308F8EAB 0E610DCA-77777777 56C136C5-7874FC42 3AFE5F9F-7D6AB1AA 012EBA4D-25914209 509F1C2D-5E86703C 668CA5FB-0DA716B7 5E1F3555-05851280 5D235C3D-0F76C1EA 59F9DF16-68DD7F02 727C4DA9-77777777 5D022C68-77777777 27BAAB15-43BB9A40 3F41FE79-77777777 61CC4A7C-31E5EE4F 5BA34C4C-77777777 1EDB3C41-77777777 348B20EC-77777777 178EF52C-1B4155F4 4B541B48-77777777 3AEDD961-102FFCC3 51B93E72-2FC2C829 4A9D7DF2-5EFFF6DE 16F58149-375E8CF1 636D9539-43F063C1 7E02A563-50EBE02E 468FC691-5AD71820 14C18F68-28E1C0FF 60A73D61-0F640321 0AEA9FB6-080D0A0B 65FDCB0D-504F4AA9 5463ABEE-21894C9E 0EC7AD1E-2AF471BA 1D4921B5-73180A2C 199ECD03-3CDDFA7C 7C2B9EAA-4453CE01 626044D1-3072D0E7 49E41648-206A8734 0C01E7E4-77777777 2169A0FD-77777777 6F7E9DCD-349C9529 69F63CD2-77777777 225C64DD-77777777 4F2EBA64-77777777 19CD2CDA-77777777 35EE319E-77777777 25CCEBDE-77777777 1C315EB1-77777777 4A9FFDC0-77777777 227335CD-77777777 302F9966-0B078B3F 4FF86B31-09C5EB2F 08351FEE-3AA99E6F 307536C8-493B89E4 73401355-74DBD487 7543F819-113CECBD 32453C90-3247E36D 7C32983D-3247E36D 582B8CA5-3789B1BA 01F36796-3D147C2C 1C69A8C9-582C4A9B 4FDE6BF1-77777777 71D9A1BB-77777777 6ADEE65E-77777777 3ED33BCE-6C113FEB 0169DDE8-5EB09DA5 48AA1877-77777777 21940A4A-071D81AC 0BF574E8-36CD8E88 2FF4B1A8-497DCF25 79412898-77777777 6DBE2F53-77777777 629290D1-77777777 0E7889FD-517CFD27 2D12F4E7-28D8566E 608E1282-25D0837D 4B49FF49-072BE560 177601C8-77777777 1384AE29-1E4DC4C5 126F2431-389C9FA1 48D8B586-75F614C7 641A18C9-36C0DD48 17C26E26-77777777 17FBEEE3-79BE61FF 05A4B8DA-0CE44F0C 370825ED-77777777 3BD17D47-77777777 1F027745-1012CFBD 59FBDA0C-709AED16 3CA647A4-77777777 282BAAFB-073B864A 5F215AF3-073B864A 1DAAF4FF-30A21896 26BB36D1-77777777 40D372BF-6A1614FC 5AAEC563-41F6C119 49C363A2-77777777 0AE5CF4C-77777777 33247942-6C2FF550 004005DC-26C4FF77 71273C74-77777777 194CAE79-77777777 4CC7B724-37E88D10 499F5D03-77777777 7D8DAFF8-067BA74D 01C02944-77777777 7DC89927-77777777 4367C5A1-49498CC0 30186640-50CDEBE5 7F158FE5-77777777 0EE8240F-77777777 20FA12AF-3C3CB4F3 300AE6E4-632640AA 42E05612-402B2AAF 5822528F-367899C7 54605998-445EDB8C 27E711EB-57EEBB26 33C4D597-3333EDDD 17D32390-07AB0C46 5F0AF1AC-013B2875 1DE1A29B-77777777 5FDF85E1-4EB16000 073C8BA0-244C2F6A 5FEAC6CF-644B72B6 5553ED8E-77777777 67734E0D-77777777 68AB23D0-77777777 2C99E699-31B718CD 4E5A7642-2A081FEB 0FD64BF4-77777777 3B2BA748-77777777 72E82120-3004EECF 4BBB6AC0-77777777 66301120-17E2EE1B 22E81EAD-4EC97BED 710BDEE6-381982CD 3965AE27-16AFA8A8 16A825D9-77777777 45572FE1-77777777 5D98CFA1-115A4780 453DF647-4C619817 7427998A-457E4AE6 68B5B29D-0718148D 133CB9A0-77777777 2EB1391D-5789A97D 3CC4BDC4-7704D816 5AE924D7-77777777 7D3E03B5-2C83F7F5 425E9F92-3BBC0D3A 40E2F935-1D9153F6 072ACD27-6A88E47B 5DEE0232-62BEB3F6 280C847C-77777777 5B539FDD-26D1ABA7 15D864D2-50DB64C1 32F8C44F-0CE83820 44F9F177-5E7BE115 4E5AB90C-33F42749 1342C9C9-77777777 79B8B221-77777777 5A37B276-77015F18 7C90666D-3E22DAFB 3D918810-77777777 5340F496-77777777 066A71E8-485553A1 55C6CDFE-2D844A46 6F3546DD-30D363CA 44B4667E-40FC261F 31E9BE46-7EA9D50F 73D99608-00A96A05 4CA2126B-47A325F1 7CCD2B4D-020E22ED 5C851897-1EC80401 4AE15009-77777777 12F3E3B2-4416377E 1F18C1B7-77777777 2900011E-4DE8368C 4320BE64-77777777 4AE07C31-49A7BD94 65FABD01-64FE52E5 196FAD3E-77777777 38209D25-77E14DB9 48D2B55A-77777777 2AC3AA7E-77777777 5F31B3C4-3DCE3492 165B6F47-0249AD20 018BCEFD-74FDCBA6 6B906AFE-77777777 01FEC346-77777777 160B9FDE-026EBCAC 52A18617-2BDA56FC 367DF464-50CB8C83 191569E9-06E4AEBA 658CD15B-6A6A30F2 1091F069-77777777 04CB3A72-4C0AEBB5 038DC9BC-782678B1 493A0D87-77777777 196687D5-42801FD5 40099443-77777777 7FCF0673-55367807 1B79A47D-51DF3864 2436122F-632A1272 49644B52-77777777 27AA761C-77777777 5181EA89-028F798B 000F65DC-77777777 69C36576-77777777 08185715-77777777 28D1815E-77E53ED8 62AED217-298D11F3 78C78319-5EC6E593 73BCF231-6771A266 31B21F70-77777777 196CCD41-77777777 7E0AE79D-3F5ADDB7 03646A4D-1BF88E20 3E4EAD9E-77777777 75575330-32482B3D 321F40AA-604F657F 44CF333E-500820C1 25DD890B-77777777 501F2ADA-6653547F 56BBBB92-77777777 7B17A9BA-77777777 55D72EAB-1A8CE221 3B2637C1-0AF600E4 4435B497-5F54C62D 3A26F07E-6EAE15A9 02E4EEEA-58D6AD4F 38BF0AD8-256623FD 0308CEB1-77777777 5E139232-47F22422 3AC8EF1A-77777777 4FD7A8A2-2DCEDB93 7C704196-2111485A 223EAEC4-21D937FE 61E8561F-77777777 1B0F9608-77777777 2DC7ACED-443AA79E 6041C5B4-77777777 033B2BD6-38844A0C 100D668B-4AD39152 6D23A602-77777777 3BDD726E-77777777 7534D658-399D98E7 6946DDE9-77777777 5EBADDCE-77777777 41DC0426-77777777 3097F741-77777777 0C6C1A63-6CD4F340 14FA3F9D-58564667 3BED3BDB-730C76E2 1620ECBC-77777777 0826A811-77777777 4E0A3764-77777777 63277477-77777777 32AFB7F0-77777777 630795BE-37B2A7E1 78FBDF66-5BDF3B74 71B657B8-77777777 7B501DDC-77777777 5FDC2505-77777777 0C811FCD-650C4E3C 2C22C2E8-77777777 2AEAA0C8-77777777 0626D32E-77777777 1A8039DF-77777777 184FA00F-0B5CF0E0 00D7D588-7ED3A436 73277C66-77777777 4CDC4586-77777777 17F7D5BC-77777777 4030EF60-77777777 57D0A5C5-77777777 5E511404-77777777 46A9E530-77777777 323A61A7-77777777 7D11F2DD-77777777 546031CB-77777777 3AF79D34-77777777 41CC3FAA-77777777 7C5E5DFC-77777777 4E5AB90C-33F42749 1342C9C9-77777777 79B8B221-77777777 5A37B276-77015F18 7C90666D-3E22DAFB 3D918810-77777777 5340F496-77777777 53740734-218D9EA5 5EE4FC43-6016FE04 1DECDFAF-77777777 234E08EE-77777777 03B94976-530A1EA0 7643F3C7-77777777 27EC172D-77777777 2741D2D2-77777777 234181FB-77777777 23243CCC-77777777 403D23F1-77777777 0498B97C-77777777 721070DB-77777777 7BC68534-77777777 09F121A4-77777777 02A44CE6-77777777 7426CF7F-77777777 0FF320F8-77777777 7D448ECD-77777777 4A273DF7-77777777 5E81115C-7FA8001C 1883CE17-77777777 638D5462-01596406 4E5AB90C-33F42749 1342C9C9-77777777 79B8B221-77777777 5A37B276-77015F18 7C90666D-3E22DAFB 3D918810-77777777 5340F496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AC51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20B8E"/>
    <w:multiLevelType w:val="hybridMultilevel"/>
    <w:tmpl w:val="AD1C9822"/>
    <w:lvl w:ilvl="0" w:tplc="98D82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D2AF78E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6B14"/>
    <w:multiLevelType w:val="hybridMultilevel"/>
    <w:tmpl w:val="E2940446"/>
    <w:lvl w:ilvl="0" w:tplc="2AD6B020">
      <w:start w:val="1"/>
      <w:numFmt w:val="decimal"/>
      <w:pStyle w:val="MBPoint"/>
      <w:lvlText w:val="%1."/>
      <w:lvlJc w:val="left"/>
      <w:pPr>
        <w:ind w:left="417" w:hanging="360"/>
      </w:pPr>
      <w:rPr>
        <w:rFonts w:hint="default"/>
      </w:rPr>
    </w:lvl>
    <w:lvl w:ilvl="1" w:tplc="32D226C0">
      <w:start w:val="1"/>
      <w:numFmt w:val="lowerLetter"/>
      <w:lvlText w:val="%2."/>
      <w:lvlJc w:val="left"/>
      <w:pPr>
        <w:ind w:left="1137" w:hanging="360"/>
      </w:pPr>
    </w:lvl>
    <w:lvl w:ilvl="2" w:tplc="0204B8D6" w:tentative="1">
      <w:start w:val="1"/>
      <w:numFmt w:val="lowerRoman"/>
      <w:lvlText w:val="%3."/>
      <w:lvlJc w:val="right"/>
      <w:pPr>
        <w:ind w:left="1857" w:hanging="180"/>
      </w:pPr>
    </w:lvl>
    <w:lvl w:ilvl="3" w:tplc="6C1604FC" w:tentative="1">
      <w:start w:val="1"/>
      <w:numFmt w:val="decimal"/>
      <w:lvlText w:val="%4."/>
      <w:lvlJc w:val="left"/>
      <w:pPr>
        <w:ind w:left="2577" w:hanging="360"/>
      </w:pPr>
    </w:lvl>
    <w:lvl w:ilvl="4" w:tplc="902213DE" w:tentative="1">
      <w:start w:val="1"/>
      <w:numFmt w:val="lowerLetter"/>
      <w:lvlText w:val="%5."/>
      <w:lvlJc w:val="left"/>
      <w:pPr>
        <w:ind w:left="3297" w:hanging="360"/>
      </w:pPr>
    </w:lvl>
    <w:lvl w:ilvl="5" w:tplc="A8F42E0C" w:tentative="1">
      <w:start w:val="1"/>
      <w:numFmt w:val="lowerRoman"/>
      <w:lvlText w:val="%6."/>
      <w:lvlJc w:val="right"/>
      <w:pPr>
        <w:ind w:left="4017" w:hanging="180"/>
      </w:pPr>
    </w:lvl>
    <w:lvl w:ilvl="6" w:tplc="E838387E" w:tentative="1">
      <w:start w:val="1"/>
      <w:numFmt w:val="decimal"/>
      <w:lvlText w:val="%7."/>
      <w:lvlJc w:val="left"/>
      <w:pPr>
        <w:ind w:left="4737" w:hanging="360"/>
      </w:pPr>
    </w:lvl>
    <w:lvl w:ilvl="7" w:tplc="86560088" w:tentative="1">
      <w:start w:val="1"/>
      <w:numFmt w:val="lowerLetter"/>
      <w:lvlText w:val="%8."/>
      <w:lvlJc w:val="left"/>
      <w:pPr>
        <w:ind w:left="5457" w:hanging="360"/>
      </w:pPr>
    </w:lvl>
    <w:lvl w:ilvl="8" w:tplc="B192E018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9BD3E53"/>
    <w:multiLevelType w:val="hybridMultilevel"/>
    <w:tmpl w:val="BA0609FE"/>
    <w:lvl w:ilvl="0" w:tplc="3104C2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6FC"/>
    <w:multiLevelType w:val="hybridMultilevel"/>
    <w:tmpl w:val="36467D24"/>
    <w:lvl w:ilvl="0" w:tplc="6D84EC08">
      <w:start w:val="1"/>
      <w:numFmt w:val="lowerLetter"/>
      <w:lvlText w:val="103A 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95B"/>
    <w:multiLevelType w:val="hybridMultilevel"/>
    <w:tmpl w:val="1C925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27471"/>
    <w:multiLevelType w:val="hybridMultilevel"/>
    <w:tmpl w:val="72FED908"/>
    <w:lvl w:ilvl="0" w:tplc="45288E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510ED"/>
    <w:multiLevelType w:val="hybridMultilevel"/>
    <w:tmpl w:val="90C44FD0"/>
    <w:lvl w:ilvl="0" w:tplc="37CA90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02A80"/>
    <w:multiLevelType w:val="hybridMultilevel"/>
    <w:tmpl w:val="5FC47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277D5"/>
    <w:multiLevelType w:val="hybridMultilevel"/>
    <w:tmpl w:val="119AAF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22B95"/>
    <w:multiLevelType w:val="hybridMultilevel"/>
    <w:tmpl w:val="02C2040C"/>
    <w:lvl w:ilvl="0" w:tplc="C18E07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C0E12"/>
    <w:multiLevelType w:val="hybridMultilevel"/>
    <w:tmpl w:val="B308A882"/>
    <w:lvl w:ilvl="0" w:tplc="5C7C75D8">
      <w:start w:val="1"/>
      <w:numFmt w:val="lowerRoman"/>
      <w:lvlText w:val="103A (b) (%1)"/>
      <w:lvlJc w:val="left"/>
      <w:pPr>
        <w:ind w:left="720" w:hanging="6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35326"/>
    <w:multiLevelType w:val="hybridMultilevel"/>
    <w:tmpl w:val="6C78D94E"/>
    <w:lvl w:ilvl="0" w:tplc="21E24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83887"/>
    <w:multiLevelType w:val="hybridMultilevel"/>
    <w:tmpl w:val="C85AD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91294"/>
    <w:multiLevelType w:val="hybridMultilevel"/>
    <w:tmpl w:val="1E6EBCE8"/>
    <w:lvl w:ilvl="0" w:tplc="292E2A6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67EC3"/>
    <w:multiLevelType w:val="hybridMultilevel"/>
    <w:tmpl w:val="ABFA4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C70F2"/>
    <w:multiLevelType w:val="hybridMultilevel"/>
    <w:tmpl w:val="9F50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9228A"/>
    <w:multiLevelType w:val="hybridMultilevel"/>
    <w:tmpl w:val="648A7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A432F"/>
    <w:multiLevelType w:val="hybridMultilevel"/>
    <w:tmpl w:val="65DE5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C47E6"/>
    <w:multiLevelType w:val="hybridMultilevel"/>
    <w:tmpl w:val="2F30BC2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87B6A9A"/>
    <w:multiLevelType w:val="multilevel"/>
    <w:tmpl w:val="BFD4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A24EE2"/>
    <w:multiLevelType w:val="hybridMultilevel"/>
    <w:tmpl w:val="D6FC079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B7157EC"/>
    <w:multiLevelType w:val="hybridMultilevel"/>
    <w:tmpl w:val="9A8A284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5D1B24E7"/>
    <w:multiLevelType w:val="hybridMultilevel"/>
    <w:tmpl w:val="C1100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B6C6B"/>
    <w:multiLevelType w:val="multilevel"/>
    <w:tmpl w:val="8564B9CE"/>
    <w:lvl w:ilvl="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43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9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1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7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9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54" w:hanging="360"/>
      </w:pPr>
      <w:rPr>
        <w:rFonts w:hint="default"/>
      </w:rPr>
    </w:lvl>
  </w:abstractNum>
  <w:abstractNum w:abstractNumId="26" w15:restartNumberingAfterBreak="0">
    <w:nsid w:val="6A1A4648"/>
    <w:multiLevelType w:val="hybridMultilevel"/>
    <w:tmpl w:val="E31AF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1441A"/>
    <w:multiLevelType w:val="hybridMultilevel"/>
    <w:tmpl w:val="C0F02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C096A"/>
    <w:multiLevelType w:val="hybridMultilevel"/>
    <w:tmpl w:val="96F48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D436F"/>
    <w:multiLevelType w:val="multilevel"/>
    <w:tmpl w:val="70A4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6F3061"/>
    <w:multiLevelType w:val="hybridMultilevel"/>
    <w:tmpl w:val="4B2EB858"/>
    <w:lvl w:ilvl="0" w:tplc="37CA9004">
      <w:start w:val="8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80725471">
    <w:abstractNumId w:val="5"/>
  </w:num>
  <w:num w:numId="2" w16cid:durableId="520123231">
    <w:abstractNumId w:val="1"/>
  </w:num>
  <w:num w:numId="3" w16cid:durableId="1365204388">
    <w:abstractNumId w:val="6"/>
  </w:num>
  <w:num w:numId="4" w16cid:durableId="1660574347">
    <w:abstractNumId w:val="4"/>
  </w:num>
  <w:num w:numId="5" w16cid:durableId="1285305370">
    <w:abstractNumId w:val="12"/>
  </w:num>
  <w:num w:numId="6" w16cid:durableId="1806048125">
    <w:abstractNumId w:val="16"/>
  </w:num>
  <w:num w:numId="7" w16cid:durableId="331034286">
    <w:abstractNumId w:val="14"/>
  </w:num>
  <w:num w:numId="8" w16cid:durableId="514730824">
    <w:abstractNumId w:val="26"/>
  </w:num>
  <w:num w:numId="9" w16cid:durableId="327365807">
    <w:abstractNumId w:val="10"/>
  </w:num>
  <w:num w:numId="10" w16cid:durableId="178005284">
    <w:abstractNumId w:val="0"/>
  </w:num>
  <w:num w:numId="11" w16cid:durableId="1025323044">
    <w:abstractNumId w:val="25"/>
  </w:num>
  <w:num w:numId="12" w16cid:durableId="1030716515">
    <w:abstractNumId w:val="15"/>
  </w:num>
  <w:num w:numId="13" w16cid:durableId="16584550">
    <w:abstractNumId w:val="11"/>
  </w:num>
  <w:num w:numId="14" w16cid:durableId="268317530">
    <w:abstractNumId w:val="17"/>
  </w:num>
  <w:num w:numId="15" w16cid:durableId="915942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5432508">
    <w:abstractNumId w:val="20"/>
  </w:num>
  <w:num w:numId="17" w16cid:durableId="1199119965">
    <w:abstractNumId w:val="28"/>
  </w:num>
  <w:num w:numId="18" w16cid:durableId="119809178">
    <w:abstractNumId w:val="27"/>
  </w:num>
  <w:num w:numId="19" w16cid:durableId="476142837">
    <w:abstractNumId w:val="23"/>
  </w:num>
  <w:num w:numId="20" w16cid:durableId="1410425927">
    <w:abstractNumId w:val="19"/>
  </w:num>
  <w:num w:numId="21" w16cid:durableId="1425612853">
    <w:abstractNumId w:val="22"/>
  </w:num>
  <w:num w:numId="22" w16cid:durableId="1780182333">
    <w:abstractNumId w:val="13"/>
  </w:num>
  <w:num w:numId="23" w16cid:durableId="1951934023">
    <w:abstractNumId w:val="9"/>
  </w:num>
  <w:num w:numId="24" w16cid:durableId="1759594453">
    <w:abstractNumId w:val="21"/>
  </w:num>
  <w:num w:numId="25" w16cid:durableId="1746995799">
    <w:abstractNumId w:val="29"/>
  </w:num>
  <w:num w:numId="26" w16cid:durableId="1801652438">
    <w:abstractNumId w:val="3"/>
  </w:num>
  <w:num w:numId="27" w16cid:durableId="1241259744">
    <w:abstractNumId w:val="8"/>
  </w:num>
  <w:num w:numId="28" w16cid:durableId="1784575623">
    <w:abstractNumId w:val="30"/>
  </w:num>
  <w:num w:numId="29" w16cid:durableId="2038267007">
    <w:abstractNumId w:val="2"/>
  </w:num>
  <w:num w:numId="30" w16cid:durableId="784614850">
    <w:abstractNumId w:val="24"/>
  </w:num>
  <w:num w:numId="31" w16cid:durableId="15332972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836"/>
    <w:rsid w:val="00000B3B"/>
    <w:rsid w:val="00001578"/>
    <w:rsid w:val="00001BD2"/>
    <w:rsid w:val="00001F8C"/>
    <w:rsid w:val="000020FF"/>
    <w:rsid w:val="000025BD"/>
    <w:rsid w:val="00002E17"/>
    <w:rsid w:val="00002FA4"/>
    <w:rsid w:val="000030DA"/>
    <w:rsid w:val="000046B6"/>
    <w:rsid w:val="000047AF"/>
    <w:rsid w:val="00004BAB"/>
    <w:rsid w:val="00004CC7"/>
    <w:rsid w:val="00004DEF"/>
    <w:rsid w:val="000051CB"/>
    <w:rsid w:val="0000551C"/>
    <w:rsid w:val="00006653"/>
    <w:rsid w:val="00007180"/>
    <w:rsid w:val="000071CE"/>
    <w:rsid w:val="00007671"/>
    <w:rsid w:val="00007A8A"/>
    <w:rsid w:val="00007D79"/>
    <w:rsid w:val="00007D9D"/>
    <w:rsid w:val="00007F01"/>
    <w:rsid w:val="000102FA"/>
    <w:rsid w:val="00010499"/>
    <w:rsid w:val="00011046"/>
    <w:rsid w:val="00011ED0"/>
    <w:rsid w:val="00012732"/>
    <w:rsid w:val="00012E4C"/>
    <w:rsid w:val="00013274"/>
    <w:rsid w:val="000143C2"/>
    <w:rsid w:val="0001491E"/>
    <w:rsid w:val="00014E08"/>
    <w:rsid w:val="00014F35"/>
    <w:rsid w:val="000155BB"/>
    <w:rsid w:val="00016641"/>
    <w:rsid w:val="000172CF"/>
    <w:rsid w:val="0001750D"/>
    <w:rsid w:val="0001796F"/>
    <w:rsid w:val="00017979"/>
    <w:rsid w:val="00020DC1"/>
    <w:rsid w:val="00021130"/>
    <w:rsid w:val="0002142D"/>
    <w:rsid w:val="000215E8"/>
    <w:rsid w:val="00021A15"/>
    <w:rsid w:val="00022F14"/>
    <w:rsid w:val="00024A2C"/>
    <w:rsid w:val="00025323"/>
    <w:rsid w:val="00025637"/>
    <w:rsid w:val="000262D3"/>
    <w:rsid w:val="00026748"/>
    <w:rsid w:val="00026856"/>
    <w:rsid w:val="000277ED"/>
    <w:rsid w:val="00027E7F"/>
    <w:rsid w:val="000303AA"/>
    <w:rsid w:val="00030786"/>
    <w:rsid w:val="00030834"/>
    <w:rsid w:val="000332CC"/>
    <w:rsid w:val="00033CFD"/>
    <w:rsid w:val="0003415C"/>
    <w:rsid w:val="00034220"/>
    <w:rsid w:val="0003469D"/>
    <w:rsid w:val="00035864"/>
    <w:rsid w:val="00035B02"/>
    <w:rsid w:val="00036102"/>
    <w:rsid w:val="00036880"/>
    <w:rsid w:val="00036A23"/>
    <w:rsid w:val="00037445"/>
    <w:rsid w:val="00037E10"/>
    <w:rsid w:val="0004050F"/>
    <w:rsid w:val="00040BF4"/>
    <w:rsid w:val="00040F85"/>
    <w:rsid w:val="0004132A"/>
    <w:rsid w:val="000413B1"/>
    <w:rsid w:val="00041917"/>
    <w:rsid w:val="00041BDF"/>
    <w:rsid w:val="000429CB"/>
    <w:rsid w:val="00044E01"/>
    <w:rsid w:val="00045223"/>
    <w:rsid w:val="00046B76"/>
    <w:rsid w:val="00046CF6"/>
    <w:rsid w:val="00046D77"/>
    <w:rsid w:val="00046DDC"/>
    <w:rsid w:val="0004775E"/>
    <w:rsid w:val="00047B97"/>
    <w:rsid w:val="0005007F"/>
    <w:rsid w:val="00050761"/>
    <w:rsid w:val="000509C7"/>
    <w:rsid w:val="00050C6C"/>
    <w:rsid w:val="000516FC"/>
    <w:rsid w:val="00051FA0"/>
    <w:rsid w:val="00052B18"/>
    <w:rsid w:val="000538B3"/>
    <w:rsid w:val="00053990"/>
    <w:rsid w:val="00053E45"/>
    <w:rsid w:val="00054400"/>
    <w:rsid w:val="00054559"/>
    <w:rsid w:val="00054672"/>
    <w:rsid w:val="00054C8E"/>
    <w:rsid w:val="000550DE"/>
    <w:rsid w:val="000552C5"/>
    <w:rsid w:val="000555C2"/>
    <w:rsid w:val="00055C57"/>
    <w:rsid w:val="00055D2E"/>
    <w:rsid w:val="00056006"/>
    <w:rsid w:val="00056343"/>
    <w:rsid w:val="00056EA8"/>
    <w:rsid w:val="00057027"/>
    <w:rsid w:val="00057FF0"/>
    <w:rsid w:val="00060756"/>
    <w:rsid w:val="00060C50"/>
    <w:rsid w:val="0006215C"/>
    <w:rsid w:val="00062A9B"/>
    <w:rsid w:val="0006353B"/>
    <w:rsid w:val="00066100"/>
    <w:rsid w:val="000666B6"/>
    <w:rsid w:val="00066DDA"/>
    <w:rsid w:val="0006782B"/>
    <w:rsid w:val="000703EB"/>
    <w:rsid w:val="000704F9"/>
    <w:rsid w:val="00070647"/>
    <w:rsid w:val="00070729"/>
    <w:rsid w:val="000708B1"/>
    <w:rsid w:val="00070AB0"/>
    <w:rsid w:val="00071AB8"/>
    <w:rsid w:val="00071E92"/>
    <w:rsid w:val="0007227B"/>
    <w:rsid w:val="00072A0D"/>
    <w:rsid w:val="00072C7E"/>
    <w:rsid w:val="00073429"/>
    <w:rsid w:val="00073C90"/>
    <w:rsid w:val="000746A2"/>
    <w:rsid w:val="00075004"/>
    <w:rsid w:val="00075F58"/>
    <w:rsid w:val="0007620E"/>
    <w:rsid w:val="00076B7F"/>
    <w:rsid w:val="000771D3"/>
    <w:rsid w:val="0007778A"/>
    <w:rsid w:val="000779B2"/>
    <w:rsid w:val="00080027"/>
    <w:rsid w:val="00080A55"/>
    <w:rsid w:val="0008135C"/>
    <w:rsid w:val="00081C85"/>
    <w:rsid w:val="00081D01"/>
    <w:rsid w:val="00081E64"/>
    <w:rsid w:val="000822F0"/>
    <w:rsid w:val="00082C48"/>
    <w:rsid w:val="00082CD5"/>
    <w:rsid w:val="00083D92"/>
    <w:rsid w:val="00083DF7"/>
    <w:rsid w:val="000840A1"/>
    <w:rsid w:val="000844A8"/>
    <w:rsid w:val="00084633"/>
    <w:rsid w:val="000847FB"/>
    <w:rsid w:val="0008481D"/>
    <w:rsid w:val="00084A6E"/>
    <w:rsid w:val="0008596A"/>
    <w:rsid w:val="00086220"/>
    <w:rsid w:val="00086828"/>
    <w:rsid w:val="000871EE"/>
    <w:rsid w:val="0008791C"/>
    <w:rsid w:val="00090404"/>
    <w:rsid w:val="0009136A"/>
    <w:rsid w:val="00091AA6"/>
    <w:rsid w:val="00092387"/>
    <w:rsid w:val="00093482"/>
    <w:rsid w:val="000939EC"/>
    <w:rsid w:val="00094983"/>
    <w:rsid w:val="00095F65"/>
    <w:rsid w:val="00095FB3"/>
    <w:rsid w:val="00096927"/>
    <w:rsid w:val="00096CB5"/>
    <w:rsid w:val="00096EDE"/>
    <w:rsid w:val="00097099"/>
    <w:rsid w:val="000972A9"/>
    <w:rsid w:val="000978F3"/>
    <w:rsid w:val="000A1253"/>
    <w:rsid w:val="000A13B0"/>
    <w:rsid w:val="000A2067"/>
    <w:rsid w:val="000A22AE"/>
    <w:rsid w:val="000A2655"/>
    <w:rsid w:val="000A29B8"/>
    <w:rsid w:val="000A2A6E"/>
    <w:rsid w:val="000A36C8"/>
    <w:rsid w:val="000A3A62"/>
    <w:rsid w:val="000A45FB"/>
    <w:rsid w:val="000A4669"/>
    <w:rsid w:val="000A499A"/>
    <w:rsid w:val="000A57B8"/>
    <w:rsid w:val="000A595B"/>
    <w:rsid w:val="000A5ED4"/>
    <w:rsid w:val="000A6553"/>
    <w:rsid w:val="000A6CC6"/>
    <w:rsid w:val="000A7843"/>
    <w:rsid w:val="000B1291"/>
    <w:rsid w:val="000B1564"/>
    <w:rsid w:val="000B34FC"/>
    <w:rsid w:val="000B378C"/>
    <w:rsid w:val="000B3A98"/>
    <w:rsid w:val="000B3E15"/>
    <w:rsid w:val="000B3EDD"/>
    <w:rsid w:val="000B3F3E"/>
    <w:rsid w:val="000B4BD4"/>
    <w:rsid w:val="000B4C28"/>
    <w:rsid w:val="000B521C"/>
    <w:rsid w:val="000B5BF7"/>
    <w:rsid w:val="000B6420"/>
    <w:rsid w:val="000B7D1A"/>
    <w:rsid w:val="000B7FAC"/>
    <w:rsid w:val="000C00E9"/>
    <w:rsid w:val="000C0AAF"/>
    <w:rsid w:val="000C0C64"/>
    <w:rsid w:val="000C0E29"/>
    <w:rsid w:val="000C1B73"/>
    <w:rsid w:val="000C1C7F"/>
    <w:rsid w:val="000C2456"/>
    <w:rsid w:val="000C35AE"/>
    <w:rsid w:val="000C39B0"/>
    <w:rsid w:val="000C427F"/>
    <w:rsid w:val="000C60FE"/>
    <w:rsid w:val="000C687C"/>
    <w:rsid w:val="000C6DC2"/>
    <w:rsid w:val="000C7533"/>
    <w:rsid w:val="000C7664"/>
    <w:rsid w:val="000C7E4E"/>
    <w:rsid w:val="000D0A39"/>
    <w:rsid w:val="000D1C52"/>
    <w:rsid w:val="000D24EF"/>
    <w:rsid w:val="000D2720"/>
    <w:rsid w:val="000D4827"/>
    <w:rsid w:val="000D5646"/>
    <w:rsid w:val="000D5655"/>
    <w:rsid w:val="000D5690"/>
    <w:rsid w:val="000D5D41"/>
    <w:rsid w:val="000D5F19"/>
    <w:rsid w:val="000D6F6E"/>
    <w:rsid w:val="000D7A2B"/>
    <w:rsid w:val="000E02AE"/>
    <w:rsid w:val="000E0620"/>
    <w:rsid w:val="000E0B82"/>
    <w:rsid w:val="000E1745"/>
    <w:rsid w:val="000E17C1"/>
    <w:rsid w:val="000E2085"/>
    <w:rsid w:val="000E2558"/>
    <w:rsid w:val="000E2C41"/>
    <w:rsid w:val="000E35CA"/>
    <w:rsid w:val="000E3B40"/>
    <w:rsid w:val="000E5621"/>
    <w:rsid w:val="000E57B2"/>
    <w:rsid w:val="000E5AEC"/>
    <w:rsid w:val="000E6247"/>
    <w:rsid w:val="000E7D3B"/>
    <w:rsid w:val="000F033C"/>
    <w:rsid w:val="000F0464"/>
    <w:rsid w:val="000F0ED3"/>
    <w:rsid w:val="000F0FF4"/>
    <w:rsid w:val="000F11F5"/>
    <w:rsid w:val="000F3965"/>
    <w:rsid w:val="000F40D1"/>
    <w:rsid w:val="000F42DF"/>
    <w:rsid w:val="000F50EA"/>
    <w:rsid w:val="000F5235"/>
    <w:rsid w:val="000F6538"/>
    <w:rsid w:val="000F676C"/>
    <w:rsid w:val="000F6C0E"/>
    <w:rsid w:val="000F750B"/>
    <w:rsid w:val="000F7A1D"/>
    <w:rsid w:val="000F7A65"/>
    <w:rsid w:val="000F7B02"/>
    <w:rsid w:val="00100221"/>
    <w:rsid w:val="00100DB0"/>
    <w:rsid w:val="00100DD3"/>
    <w:rsid w:val="0010103E"/>
    <w:rsid w:val="00102429"/>
    <w:rsid w:val="001024BE"/>
    <w:rsid w:val="00103269"/>
    <w:rsid w:val="0010385A"/>
    <w:rsid w:val="001039D1"/>
    <w:rsid w:val="001042D4"/>
    <w:rsid w:val="001043C0"/>
    <w:rsid w:val="00104B23"/>
    <w:rsid w:val="0010522D"/>
    <w:rsid w:val="00105BA1"/>
    <w:rsid w:val="00106583"/>
    <w:rsid w:val="001075FC"/>
    <w:rsid w:val="001105A1"/>
    <w:rsid w:val="0011062D"/>
    <w:rsid w:val="001106DE"/>
    <w:rsid w:val="00110F01"/>
    <w:rsid w:val="00112949"/>
    <w:rsid w:val="00113397"/>
    <w:rsid w:val="00114601"/>
    <w:rsid w:val="00114711"/>
    <w:rsid w:val="00116D28"/>
    <w:rsid w:val="00117140"/>
    <w:rsid w:val="001172D5"/>
    <w:rsid w:val="0011756F"/>
    <w:rsid w:val="00117F88"/>
    <w:rsid w:val="00120220"/>
    <w:rsid w:val="001209AA"/>
    <w:rsid w:val="0012226D"/>
    <w:rsid w:val="00122D75"/>
    <w:rsid w:val="001238B1"/>
    <w:rsid w:val="0012408A"/>
    <w:rsid w:val="00124A9F"/>
    <w:rsid w:val="0012532E"/>
    <w:rsid w:val="00125F1C"/>
    <w:rsid w:val="00126F27"/>
    <w:rsid w:val="001300AB"/>
    <w:rsid w:val="00130796"/>
    <w:rsid w:val="00132160"/>
    <w:rsid w:val="001324FD"/>
    <w:rsid w:val="00133178"/>
    <w:rsid w:val="00134137"/>
    <w:rsid w:val="0013445F"/>
    <w:rsid w:val="0013449A"/>
    <w:rsid w:val="00134EE5"/>
    <w:rsid w:val="001355EE"/>
    <w:rsid w:val="0013703B"/>
    <w:rsid w:val="00137582"/>
    <w:rsid w:val="001375C1"/>
    <w:rsid w:val="00137A2B"/>
    <w:rsid w:val="00137EEF"/>
    <w:rsid w:val="00140693"/>
    <w:rsid w:val="001419EC"/>
    <w:rsid w:val="00141E24"/>
    <w:rsid w:val="0014230C"/>
    <w:rsid w:val="001423F1"/>
    <w:rsid w:val="00142919"/>
    <w:rsid w:val="00143341"/>
    <w:rsid w:val="00143EA3"/>
    <w:rsid w:val="00144FDA"/>
    <w:rsid w:val="0014556F"/>
    <w:rsid w:val="0014663A"/>
    <w:rsid w:val="00146640"/>
    <w:rsid w:val="00146E5E"/>
    <w:rsid w:val="001473F2"/>
    <w:rsid w:val="00147928"/>
    <w:rsid w:val="00147A4B"/>
    <w:rsid w:val="00147BFB"/>
    <w:rsid w:val="00150148"/>
    <w:rsid w:val="00150787"/>
    <w:rsid w:val="00151257"/>
    <w:rsid w:val="00152804"/>
    <w:rsid w:val="00152809"/>
    <w:rsid w:val="00152AD3"/>
    <w:rsid w:val="00153C8A"/>
    <w:rsid w:val="00153CAD"/>
    <w:rsid w:val="00153EAA"/>
    <w:rsid w:val="0015460D"/>
    <w:rsid w:val="001549CF"/>
    <w:rsid w:val="001553A2"/>
    <w:rsid w:val="00155984"/>
    <w:rsid w:val="00155BDB"/>
    <w:rsid w:val="0015633C"/>
    <w:rsid w:val="001578E5"/>
    <w:rsid w:val="00157C81"/>
    <w:rsid w:val="00160A9D"/>
    <w:rsid w:val="00161257"/>
    <w:rsid w:val="00161267"/>
    <w:rsid w:val="00161F11"/>
    <w:rsid w:val="00162CAB"/>
    <w:rsid w:val="001637C9"/>
    <w:rsid w:val="00163AEA"/>
    <w:rsid w:val="00164009"/>
    <w:rsid w:val="00164667"/>
    <w:rsid w:val="00164C1E"/>
    <w:rsid w:val="00164C5A"/>
    <w:rsid w:val="00164C73"/>
    <w:rsid w:val="00164FE3"/>
    <w:rsid w:val="00165243"/>
    <w:rsid w:val="001659DD"/>
    <w:rsid w:val="00165BF5"/>
    <w:rsid w:val="00165D4D"/>
    <w:rsid w:val="0016692C"/>
    <w:rsid w:val="00166A08"/>
    <w:rsid w:val="00170667"/>
    <w:rsid w:val="0017087C"/>
    <w:rsid w:val="00170B39"/>
    <w:rsid w:val="00170D27"/>
    <w:rsid w:val="00170ECE"/>
    <w:rsid w:val="00172963"/>
    <w:rsid w:val="0017351D"/>
    <w:rsid w:val="001747A1"/>
    <w:rsid w:val="00174E21"/>
    <w:rsid w:val="00175A43"/>
    <w:rsid w:val="00175E85"/>
    <w:rsid w:val="00175F64"/>
    <w:rsid w:val="00175FFC"/>
    <w:rsid w:val="00176687"/>
    <w:rsid w:val="00176AD5"/>
    <w:rsid w:val="00176B87"/>
    <w:rsid w:val="00176CA2"/>
    <w:rsid w:val="001801DB"/>
    <w:rsid w:val="001804ED"/>
    <w:rsid w:val="00181834"/>
    <w:rsid w:val="00181BD1"/>
    <w:rsid w:val="00181D59"/>
    <w:rsid w:val="00182996"/>
    <w:rsid w:val="00182B73"/>
    <w:rsid w:val="0018332D"/>
    <w:rsid w:val="0018369F"/>
    <w:rsid w:val="00183DA0"/>
    <w:rsid w:val="0018556E"/>
    <w:rsid w:val="00185DA1"/>
    <w:rsid w:val="00186304"/>
    <w:rsid w:val="00187CB9"/>
    <w:rsid w:val="00190736"/>
    <w:rsid w:val="00190A84"/>
    <w:rsid w:val="001911EE"/>
    <w:rsid w:val="0019192E"/>
    <w:rsid w:val="00191ACD"/>
    <w:rsid w:val="00192083"/>
    <w:rsid w:val="0019318E"/>
    <w:rsid w:val="00193311"/>
    <w:rsid w:val="0019358A"/>
    <w:rsid w:val="00193AF7"/>
    <w:rsid w:val="00194135"/>
    <w:rsid w:val="001941CA"/>
    <w:rsid w:val="00194236"/>
    <w:rsid w:val="00194ABD"/>
    <w:rsid w:val="00194B5E"/>
    <w:rsid w:val="001952A4"/>
    <w:rsid w:val="00195890"/>
    <w:rsid w:val="00195BF6"/>
    <w:rsid w:val="00195EE7"/>
    <w:rsid w:val="001A064F"/>
    <w:rsid w:val="001A0C84"/>
    <w:rsid w:val="001A0FFB"/>
    <w:rsid w:val="001A17AE"/>
    <w:rsid w:val="001A1A3E"/>
    <w:rsid w:val="001A2338"/>
    <w:rsid w:val="001A2E67"/>
    <w:rsid w:val="001A33D2"/>
    <w:rsid w:val="001A4F63"/>
    <w:rsid w:val="001A5B4E"/>
    <w:rsid w:val="001A5E18"/>
    <w:rsid w:val="001A5F91"/>
    <w:rsid w:val="001B025C"/>
    <w:rsid w:val="001B05C4"/>
    <w:rsid w:val="001B05DF"/>
    <w:rsid w:val="001B08B5"/>
    <w:rsid w:val="001B0EE1"/>
    <w:rsid w:val="001B27A2"/>
    <w:rsid w:val="001B28CB"/>
    <w:rsid w:val="001B30B5"/>
    <w:rsid w:val="001B34DA"/>
    <w:rsid w:val="001B3FDE"/>
    <w:rsid w:val="001B4163"/>
    <w:rsid w:val="001B4321"/>
    <w:rsid w:val="001B4394"/>
    <w:rsid w:val="001B4ACA"/>
    <w:rsid w:val="001B5305"/>
    <w:rsid w:val="001B5439"/>
    <w:rsid w:val="001B60C4"/>
    <w:rsid w:val="001B6494"/>
    <w:rsid w:val="001B64A1"/>
    <w:rsid w:val="001B6B21"/>
    <w:rsid w:val="001C0E45"/>
    <w:rsid w:val="001C2007"/>
    <w:rsid w:val="001C44BF"/>
    <w:rsid w:val="001C4BD9"/>
    <w:rsid w:val="001C58E3"/>
    <w:rsid w:val="001C594F"/>
    <w:rsid w:val="001C5D46"/>
    <w:rsid w:val="001C5DCB"/>
    <w:rsid w:val="001C5E3C"/>
    <w:rsid w:val="001C5FE6"/>
    <w:rsid w:val="001C6B7F"/>
    <w:rsid w:val="001D0BEE"/>
    <w:rsid w:val="001D13C9"/>
    <w:rsid w:val="001D1578"/>
    <w:rsid w:val="001D19D6"/>
    <w:rsid w:val="001D227C"/>
    <w:rsid w:val="001D234A"/>
    <w:rsid w:val="001D34D0"/>
    <w:rsid w:val="001D3A00"/>
    <w:rsid w:val="001D3AEF"/>
    <w:rsid w:val="001D3CA3"/>
    <w:rsid w:val="001D4A2D"/>
    <w:rsid w:val="001D4B55"/>
    <w:rsid w:val="001D4BC6"/>
    <w:rsid w:val="001D4F46"/>
    <w:rsid w:val="001D5008"/>
    <w:rsid w:val="001D5C33"/>
    <w:rsid w:val="001D5D32"/>
    <w:rsid w:val="001D656C"/>
    <w:rsid w:val="001D6A80"/>
    <w:rsid w:val="001D6EF5"/>
    <w:rsid w:val="001D79A7"/>
    <w:rsid w:val="001D7C2E"/>
    <w:rsid w:val="001D7E8E"/>
    <w:rsid w:val="001E0ADD"/>
    <w:rsid w:val="001E1AC4"/>
    <w:rsid w:val="001E1C98"/>
    <w:rsid w:val="001E1D1F"/>
    <w:rsid w:val="001E2013"/>
    <w:rsid w:val="001E2AAB"/>
    <w:rsid w:val="001E366F"/>
    <w:rsid w:val="001E36CD"/>
    <w:rsid w:val="001E3F55"/>
    <w:rsid w:val="001E413A"/>
    <w:rsid w:val="001E4FEC"/>
    <w:rsid w:val="001E5433"/>
    <w:rsid w:val="001E6B76"/>
    <w:rsid w:val="001E6C85"/>
    <w:rsid w:val="001E6F33"/>
    <w:rsid w:val="001E70ED"/>
    <w:rsid w:val="001E71E4"/>
    <w:rsid w:val="001E78E5"/>
    <w:rsid w:val="001E7BDB"/>
    <w:rsid w:val="001F08EA"/>
    <w:rsid w:val="001F0CA4"/>
    <w:rsid w:val="001F0D1B"/>
    <w:rsid w:val="001F30BD"/>
    <w:rsid w:val="001F32E5"/>
    <w:rsid w:val="001F3487"/>
    <w:rsid w:val="001F3FE1"/>
    <w:rsid w:val="001F420C"/>
    <w:rsid w:val="001F48B8"/>
    <w:rsid w:val="001F5AE5"/>
    <w:rsid w:val="001F5EE0"/>
    <w:rsid w:val="001F61CC"/>
    <w:rsid w:val="001F6CDE"/>
    <w:rsid w:val="001F71F8"/>
    <w:rsid w:val="001F7C58"/>
    <w:rsid w:val="001F7CC0"/>
    <w:rsid w:val="001F7D2D"/>
    <w:rsid w:val="002000DE"/>
    <w:rsid w:val="0020030C"/>
    <w:rsid w:val="00200515"/>
    <w:rsid w:val="002009D3"/>
    <w:rsid w:val="00201D0A"/>
    <w:rsid w:val="0020217F"/>
    <w:rsid w:val="002022BD"/>
    <w:rsid w:val="00202341"/>
    <w:rsid w:val="002027AB"/>
    <w:rsid w:val="00203DDC"/>
    <w:rsid w:val="00203E1A"/>
    <w:rsid w:val="00203F95"/>
    <w:rsid w:val="00204910"/>
    <w:rsid w:val="002060CD"/>
    <w:rsid w:val="00206178"/>
    <w:rsid w:val="002061F6"/>
    <w:rsid w:val="00206483"/>
    <w:rsid w:val="002065F6"/>
    <w:rsid w:val="00206727"/>
    <w:rsid w:val="0020672A"/>
    <w:rsid w:val="002071EF"/>
    <w:rsid w:val="00207755"/>
    <w:rsid w:val="00207931"/>
    <w:rsid w:val="00211680"/>
    <w:rsid w:val="0021180F"/>
    <w:rsid w:val="00211CC1"/>
    <w:rsid w:val="00211CF9"/>
    <w:rsid w:val="00211D51"/>
    <w:rsid w:val="00211FF9"/>
    <w:rsid w:val="002125FE"/>
    <w:rsid w:val="002129F1"/>
    <w:rsid w:val="002136A8"/>
    <w:rsid w:val="002137ED"/>
    <w:rsid w:val="00213A64"/>
    <w:rsid w:val="00213EB9"/>
    <w:rsid w:val="002142D6"/>
    <w:rsid w:val="00214456"/>
    <w:rsid w:val="00214814"/>
    <w:rsid w:val="002148DE"/>
    <w:rsid w:val="0021530B"/>
    <w:rsid w:val="00215341"/>
    <w:rsid w:val="002154EE"/>
    <w:rsid w:val="00215618"/>
    <w:rsid w:val="00215BE1"/>
    <w:rsid w:val="00216279"/>
    <w:rsid w:val="002163A7"/>
    <w:rsid w:val="00216C1D"/>
    <w:rsid w:val="00217050"/>
    <w:rsid w:val="00217620"/>
    <w:rsid w:val="00217F5C"/>
    <w:rsid w:val="002200AA"/>
    <w:rsid w:val="002208E6"/>
    <w:rsid w:val="00220BCC"/>
    <w:rsid w:val="00220F94"/>
    <w:rsid w:val="00221F95"/>
    <w:rsid w:val="0022249B"/>
    <w:rsid w:val="00222987"/>
    <w:rsid w:val="0022328F"/>
    <w:rsid w:val="0022463C"/>
    <w:rsid w:val="00224869"/>
    <w:rsid w:val="0022493B"/>
    <w:rsid w:val="00224B71"/>
    <w:rsid w:val="00225C8E"/>
    <w:rsid w:val="00225FD8"/>
    <w:rsid w:val="00226406"/>
    <w:rsid w:val="0022640D"/>
    <w:rsid w:val="00227C74"/>
    <w:rsid w:val="00230053"/>
    <w:rsid w:val="002301E3"/>
    <w:rsid w:val="002302E2"/>
    <w:rsid w:val="002303AC"/>
    <w:rsid w:val="00230983"/>
    <w:rsid w:val="00230A03"/>
    <w:rsid w:val="0023123A"/>
    <w:rsid w:val="00231D2F"/>
    <w:rsid w:val="00232421"/>
    <w:rsid w:val="002333CE"/>
    <w:rsid w:val="00233A19"/>
    <w:rsid w:val="00233FB2"/>
    <w:rsid w:val="002340C6"/>
    <w:rsid w:val="00234F32"/>
    <w:rsid w:val="0023501A"/>
    <w:rsid w:val="00235B2F"/>
    <w:rsid w:val="00236332"/>
    <w:rsid w:val="00236A5F"/>
    <w:rsid w:val="002377AD"/>
    <w:rsid w:val="00237847"/>
    <w:rsid w:val="00237BF0"/>
    <w:rsid w:val="002404F4"/>
    <w:rsid w:val="0024254B"/>
    <w:rsid w:val="00243203"/>
    <w:rsid w:val="002432A3"/>
    <w:rsid w:val="00243BAA"/>
    <w:rsid w:val="00244CE9"/>
    <w:rsid w:val="00244E33"/>
    <w:rsid w:val="002450EA"/>
    <w:rsid w:val="0024568D"/>
    <w:rsid w:val="00246C29"/>
    <w:rsid w:val="002479BD"/>
    <w:rsid w:val="0025051A"/>
    <w:rsid w:val="00251060"/>
    <w:rsid w:val="00251561"/>
    <w:rsid w:val="002519A9"/>
    <w:rsid w:val="00251AD6"/>
    <w:rsid w:val="00251DF4"/>
    <w:rsid w:val="00251DFE"/>
    <w:rsid w:val="002526EF"/>
    <w:rsid w:val="00252914"/>
    <w:rsid w:val="00252D42"/>
    <w:rsid w:val="0025330D"/>
    <w:rsid w:val="0025348D"/>
    <w:rsid w:val="002538FF"/>
    <w:rsid w:val="002539A9"/>
    <w:rsid w:val="00253E4D"/>
    <w:rsid w:val="00253FF8"/>
    <w:rsid w:val="002540E6"/>
    <w:rsid w:val="0025457A"/>
    <w:rsid w:val="002548E4"/>
    <w:rsid w:val="00255253"/>
    <w:rsid w:val="002556B1"/>
    <w:rsid w:val="0025598F"/>
    <w:rsid w:val="002575C7"/>
    <w:rsid w:val="00260789"/>
    <w:rsid w:val="002615E6"/>
    <w:rsid w:val="0026175C"/>
    <w:rsid w:val="00261816"/>
    <w:rsid w:val="00262C00"/>
    <w:rsid w:val="00263571"/>
    <w:rsid w:val="002637A1"/>
    <w:rsid w:val="002643B8"/>
    <w:rsid w:val="002643BE"/>
    <w:rsid w:val="002647A6"/>
    <w:rsid w:val="00264D86"/>
    <w:rsid w:val="00266CAF"/>
    <w:rsid w:val="00267335"/>
    <w:rsid w:val="00270EE2"/>
    <w:rsid w:val="0027132F"/>
    <w:rsid w:val="0027140B"/>
    <w:rsid w:val="00271ED9"/>
    <w:rsid w:val="0027277D"/>
    <w:rsid w:val="00272C79"/>
    <w:rsid w:val="00272EBB"/>
    <w:rsid w:val="002736E2"/>
    <w:rsid w:val="00275547"/>
    <w:rsid w:val="0027559F"/>
    <w:rsid w:val="00275783"/>
    <w:rsid w:val="00275969"/>
    <w:rsid w:val="00276D8C"/>
    <w:rsid w:val="00277729"/>
    <w:rsid w:val="00277C10"/>
    <w:rsid w:val="00277EA3"/>
    <w:rsid w:val="002800FC"/>
    <w:rsid w:val="0028039F"/>
    <w:rsid w:val="00280EBF"/>
    <w:rsid w:val="00280FF6"/>
    <w:rsid w:val="00281191"/>
    <w:rsid w:val="002811A1"/>
    <w:rsid w:val="00281C8A"/>
    <w:rsid w:val="002828A1"/>
    <w:rsid w:val="00283E1C"/>
    <w:rsid w:val="00285003"/>
    <w:rsid w:val="0028553E"/>
    <w:rsid w:val="00285AB1"/>
    <w:rsid w:val="00285C87"/>
    <w:rsid w:val="002867BB"/>
    <w:rsid w:val="00286CA5"/>
    <w:rsid w:val="00286F28"/>
    <w:rsid w:val="00287F80"/>
    <w:rsid w:val="00290031"/>
    <w:rsid w:val="002909A7"/>
    <w:rsid w:val="00290C37"/>
    <w:rsid w:val="002911DB"/>
    <w:rsid w:val="002937B5"/>
    <w:rsid w:val="002948DE"/>
    <w:rsid w:val="00295303"/>
    <w:rsid w:val="00295C49"/>
    <w:rsid w:val="00295D85"/>
    <w:rsid w:val="00296A79"/>
    <w:rsid w:val="00296CEA"/>
    <w:rsid w:val="00296EF9"/>
    <w:rsid w:val="00296F6F"/>
    <w:rsid w:val="002970F3"/>
    <w:rsid w:val="0029760B"/>
    <w:rsid w:val="002A0874"/>
    <w:rsid w:val="002A0C2A"/>
    <w:rsid w:val="002A10A8"/>
    <w:rsid w:val="002A1456"/>
    <w:rsid w:val="002A1572"/>
    <w:rsid w:val="002A2A6F"/>
    <w:rsid w:val="002A3330"/>
    <w:rsid w:val="002A3448"/>
    <w:rsid w:val="002A41A9"/>
    <w:rsid w:val="002A559E"/>
    <w:rsid w:val="002A5EFC"/>
    <w:rsid w:val="002A6276"/>
    <w:rsid w:val="002A672E"/>
    <w:rsid w:val="002A732C"/>
    <w:rsid w:val="002A7B9A"/>
    <w:rsid w:val="002A7C83"/>
    <w:rsid w:val="002B01A1"/>
    <w:rsid w:val="002B07DA"/>
    <w:rsid w:val="002B10EC"/>
    <w:rsid w:val="002B21B0"/>
    <w:rsid w:val="002B24E5"/>
    <w:rsid w:val="002B293A"/>
    <w:rsid w:val="002B2CE6"/>
    <w:rsid w:val="002B2F7D"/>
    <w:rsid w:val="002B30D4"/>
    <w:rsid w:val="002B35EB"/>
    <w:rsid w:val="002B480B"/>
    <w:rsid w:val="002B5BBE"/>
    <w:rsid w:val="002B5E2F"/>
    <w:rsid w:val="002B5EFE"/>
    <w:rsid w:val="002B7BCC"/>
    <w:rsid w:val="002C0A2A"/>
    <w:rsid w:val="002C0B6C"/>
    <w:rsid w:val="002C1D29"/>
    <w:rsid w:val="002C2598"/>
    <w:rsid w:val="002C2E83"/>
    <w:rsid w:val="002C3E27"/>
    <w:rsid w:val="002C432B"/>
    <w:rsid w:val="002C4B60"/>
    <w:rsid w:val="002C4EEE"/>
    <w:rsid w:val="002C5C11"/>
    <w:rsid w:val="002C5DD6"/>
    <w:rsid w:val="002C6068"/>
    <w:rsid w:val="002C6922"/>
    <w:rsid w:val="002C6EA0"/>
    <w:rsid w:val="002C71C2"/>
    <w:rsid w:val="002C76C8"/>
    <w:rsid w:val="002C7E9A"/>
    <w:rsid w:val="002D0190"/>
    <w:rsid w:val="002D02C8"/>
    <w:rsid w:val="002D039B"/>
    <w:rsid w:val="002D0668"/>
    <w:rsid w:val="002D09EA"/>
    <w:rsid w:val="002D0CDA"/>
    <w:rsid w:val="002D1CF4"/>
    <w:rsid w:val="002D1F43"/>
    <w:rsid w:val="002D256F"/>
    <w:rsid w:val="002D2C9B"/>
    <w:rsid w:val="002D37CC"/>
    <w:rsid w:val="002D4049"/>
    <w:rsid w:val="002D4D45"/>
    <w:rsid w:val="002D547F"/>
    <w:rsid w:val="002D69DC"/>
    <w:rsid w:val="002D73E0"/>
    <w:rsid w:val="002D790E"/>
    <w:rsid w:val="002D793C"/>
    <w:rsid w:val="002E0BEF"/>
    <w:rsid w:val="002E16C6"/>
    <w:rsid w:val="002E1C60"/>
    <w:rsid w:val="002E1DF9"/>
    <w:rsid w:val="002E25CF"/>
    <w:rsid w:val="002E27ED"/>
    <w:rsid w:val="002E2968"/>
    <w:rsid w:val="002E2A57"/>
    <w:rsid w:val="002E2C88"/>
    <w:rsid w:val="002E35DE"/>
    <w:rsid w:val="002E3C97"/>
    <w:rsid w:val="002E3FB1"/>
    <w:rsid w:val="002E462E"/>
    <w:rsid w:val="002E5971"/>
    <w:rsid w:val="002E5CF6"/>
    <w:rsid w:val="002E6823"/>
    <w:rsid w:val="002E6E1D"/>
    <w:rsid w:val="002E7308"/>
    <w:rsid w:val="002E783B"/>
    <w:rsid w:val="002E7843"/>
    <w:rsid w:val="002F02C8"/>
    <w:rsid w:val="002F0416"/>
    <w:rsid w:val="002F05AB"/>
    <w:rsid w:val="002F0600"/>
    <w:rsid w:val="002F0715"/>
    <w:rsid w:val="002F0A69"/>
    <w:rsid w:val="002F1692"/>
    <w:rsid w:val="002F1803"/>
    <w:rsid w:val="002F1C5B"/>
    <w:rsid w:val="002F3187"/>
    <w:rsid w:val="002F33A9"/>
    <w:rsid w:val="002F3681"/>
    <w:rsid w:val="002F37F6"/>
    <w:rsid w:val="002F6C48"/>
    <w:rsid w:val="002F71D7"/>
    <w:rsid w:val="002F77BC"/>
    <w:rsid w:val="002F7A9E"/>
    <w:rsid w:val="00301262"/>
    <w:rsid w:val="00301263"/>
    <w:rsid w:val="003015D4"/>
    <w:rsid w:val="00301DBA"/>
    <w:rsid w:val="00302239"/>
    <w:rsid w:val="003025A4"/>
    <w:rsid w:val="00302828"/>
    <w:rsid w:val="003028E4"/>
    <w:rsid w:val="00303337"/>
    <w:rsid w:val="003035C5"/>
    <w:rsid w:val="00303C10"/>
    <w:rsid w:val="0030454C"/>
    <w:rsid w:val="00304782"/>
    <w:rsid w:val="0030490C"/>
    <w:rsid w:val="0030531B"/>
    <w:rsid w:val="0030544E"/>
    <w:rsid w:val="00305A86"/>
    <w:rsid w:val="0030600B"/>
    <w:rsid w:val="00306F1E"/>
    <w:rsid w:val="003070A2"/>
    <w:rsid w:val="003073AB"/>
    <w:rsid w:val="0030755A"/>
    <w:rsid w:val="003079B6"/>
    <w:rsid w:val="00307A0F"/>
    <w:rsid w:val="00307E30"/>
    <w:rsid w:val="003100A4"/>
    <w:rsid w:val="003101F5"/>
    <w:rsid w:val="00310A00"/>
    <w:rsid w:val="00310F57"/>
    <w:rsid w:val="00312175"/>
    <w:rsid w:val="00312A72"/>
    <w:rsid w:val="00312E84"/>
    <w:rsid w:val="00313103"/>
    <w:rsid w:val="00314BB2"/>
    <w:rsid w:val="003153B4"/>
    <w:rsid w:val="00315702"/>
    <w:rsid w:val="00315AFE"/>
    <w:rsid w:val="00315DDF"/>
    <w:rsid w:val="00316366"/>
    <w:rsid w:val="00317F9B"/>
    <w:rsid w:val="00320229"/>
    <w:rsid w:val="003206FD"/>
    <w:rsid w:val="00320E36"/>
    <w:rsid w:val="00321A43"/>
    <w:rsid w:val="00323428"/>
    <w:rsid w:val="0032406D"/>
    <w:rsid w:val="003241D4"/>
    <w:rsid w:val="003241E3"/>
    <w:rsid w:val="003266FC"/>
    <w:rsid w:val="0032783C"/>
    <w:rsid w:val="00327C05"/>
    <w:rsid w:val="00327ED1"/>
    <w:rsid w:val="0033068A"/>
    <w:rsid w:val="00330F0E"/>
    <w:rsid w:val="00331562"/>
    <w:rsid w:val="00331674"/>
    <w:rsid w:val="003316D6"/>
    <w:rsid w:val="00331B87"/>
    <w:rsid w:val="00332AD5"/>
    <w:rsid w:val="00332B50"/>
    <w:rsid w:val="00333F38"/>
    <w:rsid w:val="003340D9"/>
    <w:rsid w:val="0033477F"/>
    <w:rsid w:val="003377CC"/>
    <w:rsid w:val="00337DE6"/>
    <w:rsid w:val="00337E22"/>
    <w:rsid w:val="0034035C"/>
    <w:rsid w:val="003406D6"/>
    <w:rsid w:val="00342313"/>
    <w:rsid w:val="00342543"/>
    <w:rsid w:val="003430B9"/>
    <w:rsid w:val="0034427D"/>
    <w:rsid w:val="003443C0"/>
    <w:rsid w:val="003446F1"/>
    <w:rsid w:val="00344821"/>
    <w:rsid w:val="00344F1F"/>
    <w:rsid w:val="00345466"/>
    <w:rsid w:val="00345AD0"/>
    <w:rsid w:val="00346097"/>
    <w:rsid w:val="00346167"/>
    <w:rsid w:val="003461E8"/>
    <w:rsid w:val="003472D4"/>
    <w:rsid w:val="0034755E"/>
    <w:rsid w:val="0034787F"/>
    <w:rsid w:val="003502DF"/>
    <w:rsid w:val="00351C10"/>
    <w:rsid w:val="003520AE"/>
    <w:rsid w:val="0035210F"/>
    <w:rsid w:val="003527B5"/>
    <w:rsid w:val="00353001"/>
    <w:rsid w:val="0035321D"/>
    <w:rsid w:val="0035355B"/>
    <w:rsid w:val="00353680"/>
    <w:rsid w:val="00353716"/>
    <w:rsid w:val="00353AD0"/>
    <w:rsid w:val="00353C2D"/>
    <w:rsid w:val="00354102"/>
    <w:rsid w:val="0035420A"/>
    <w:rsid w:val="00354C35"/>
    <w:rsid w:val="0035539D"/>
    <w:rsid w:val="003558A7"/>
    <w:rsid w:val="0035617A"/>
    <w:rsid w:val="003561F1"/>
    <w:rsid w:val="0035663F"/>
    <w:rsid w:val="00356FC0"/>
    <w:rsid w:val="00357080"/>
    <w:rsid w:val="0035718B"/>
    <w:rsid w:val="0035775D"/>
    <w:rsid w:val="00360DCA"/>
    <w:rsid w:val="00360E28"/>
    <w:rsid w:val="003617FE"/>
    <w:rsid w:val="003618BA"/>
    <w:rsid w:val="00361D30"/>
    <w:rsid w:val="00361D53"/>
    <w:rsid w:val="00362A06"/>
    <w:rsid w:val="00362D74"/>
    <w:rsid w:val="00362FB2"/>
    <w:rsid w:val="003634C0"/>
    <w:rsid w:val="003641AD"/>
    <w:rsid w:val="00364ABF"/>
    <w:rsid w:val="00364B74"/>
    <w:rsid w:val="00364C2D"/>
    <w:rsid w:val="00364D41"/>
    <w:rsid w:val="003656DB"/>
    <w:rsid w:val="00366824"/>
    <w:rsid w:val="00366A0A"/>
    <w:rsid w:val="00366A6C"/>
    <w:rsid w:val="00366D2E"/>
    <w:rsid w:val="00367165"/>
    <w:rsid w:val="003673A4"/>
    <w:rsid w:val="00367CF0"/>
    <w:rsid w:val="00370DCE"/>
    <w:rsid w:val="00370E23"/>
    <w:rsid w:val="00371096"/>
    <w:rsid w:val="00371D66"/>
    <w:rsid w:val="00371D76"/>
    <w:rsid w:val="003722A8"/>
    <w:rsid w:val="003725B1"/>
    <w:rsid w:val="00372F54"/>
    <w:rsid w:val="00374023"/>
    <w:rsid w:val="00374DF3"/>
    <w:rsid w:val="0037585D"/>
    <w:rsid w:val="00375AC9"/>
    <w:rsid w:val="00375DEB"/>
    <w:rsid w:val="00375E75"/>
    <w:rsid w:val="003761CD"/>
    <w:rsid w:val="00376518"/>
    <w:rsid w:val="00376851"/>
    <w:rsid w:val="003774E4"/>
    <w:rsid w:val="0037765F"/>
    <w:rsid w:val="00380300"/>
    <w:rsid w:val="00380440"/>
    <w:rsid w:val="003808AA"/>
    <w:rsid w:val="00380D04"/>
    <w:rsid w:val="00381328"/>
    <w:rsid w:val="00381C07"/>
    <w:rsid w:val="00381CDB"/>
    <w:rsid w:val="00382062"/>
    <w:rsid w:val="0038256F"/>
    <w:rsid w:val="00382C9C"/>
    <w:rsid w:val="00383B6E"/>
    <w:rsid w:val="00383C0D"/>
    <w:rsid w:val="00384071"/>
    <w:rsid w:val="00384CFA"/>
    <w:rsid w:val="00384DCC"/>
    <w:rsid w:val="0038508E"/>
    <w:rsid w:val="00385595"/>
    <w:rsid w:val="00386030"/>
    <w:rsid w:val="00386713"/>
    <w:rsid w:val="00386AF1"/>
    <w:rsid w:val="00390E43"/>
    <w:rsid w:val="00390E71"/>
    <w:rsid w:val="0039158B"/>
    <w:rsid w:val="00391D40"/>
    <w:rsid w:val="00392142"/>
    <w:rsid w:val="00392454"/>
    <w:rsid w:val="00393716"/>
    <w:rsid w:val="003938E0"/>
    <w:rsid w:val="003939D7"/>
    <w:rsid w:val="00393AD9"/>
    <w:rsid w:val="003943ED"/>
    <w:rsid w:val="003950FA"/>
    <w:rsid w:val="003954CE"/>
    <w:rsid w:val="00395532"/>
    <w:rsid w:val="00395D49"/>
    <w:rsid w:val="00396125"/>
    <w:rsid w:val="00396665"/>
    <w:rsid w:val="00396D22"/>
    <w:rsid w:val="00397C7E"/>
    <w:rsid w:val="00397D04"/>
    <w:rsid w:val="003A0008"/>
    <w:rsid w:val="003A1716"/>
    <w:rsid w:val="003A2011"/>
    <w:rsid w:val="003A2324"/>
    <w:rsid w:val="003A2473"/>
    <w:rsid w:val="003A27AB"/>
    <w:rsid w:val="003A4247"/>
    <w:rsid w:val="003A471C"/>
    <w:rsid w:val="003A4C9B"/>
    <w:rsid w:val="003A565E"/>
    <w:rsid w:val="003A68F9"/>
    <w:rsid w:val="003A697E"/>
    <w:rsid w:val="003A7026"/>
    <w:rsid w:val="003A74F3"/>
    <w:rsid w:val="003B1465"/>
    <w:rsid w:val="003B214B"/>
    <w:rsid w:val="003B2C2C"/>
    <w:rsid w:val="003B2C4E"/>
    <w:rsid w:val="003B2C81"/>
    <w:rsid w:val="003B2FBF"/>
    <w:rsid w:val="003B3401"/>
    <w:rsid w:val="003B3DF8"/>
    <w:rsid w:val="003B4046"/>
    <w:rsid w:val="003B44B7"/>
    <w:rsid w:val="003B4585"/>
    <w:rsid w:val="003B4A00"/>
    <w:rsid w:val="003B4B68"/>
    <w:rsid w:val="003B5445"/>
    <w:rsid w:val="003B552F"/>
    <w:rsid w:val="003B6213"/>
    <w:rsid w:val="003B79BD"/>
    <w:rsid w:val="003C0D18"/>
    <w:rsid w:val="003C1661"/>
    <w:rsid w:val="003C1D3A"/>
    <w:rsid w:val="003C2ABD"/>
    <w:rsid w:val="003C3257"/>
    <w:rsid w:val="003C510F"/>
    <w:rsid w:val="003C5B11"/>
    <w:rsid w:val="003C6531"/>
    <w:rsid w:val="003D0C7D"/>
    <w:rsid w:val="003D0D07"/>
    <w:rsid w:val="003D1711"/>
    <w:rsid w:val="003D321D"/>
    <w:rsid w:val="003D3890"/>
    <w:rsid w:val="003D3B60"/>
    <w:rsid w:val="003D4106"/>
    <w:rsid w:val="003D54CF"/>
    <w:rsid w:val="003D5B2D"/>
    <w:rsid w:val="003D79DC"/>
    <w:rsid w:val="003E1FC5"/>
    <w:rsid w:val="003E271C"/>
    <w:rsid w:val="003E2B0A"/>
    <w:rsid w:val="003E39FA"/>
    <w:rsid w:val="003E404A"/>
    <w:rsid w:val="003E43E5"/>
    <w:rsid w:val="003E47F6"/>
    <w:rsid w:val="003E4F2F"/>
    <w:rsid w:val="003E58E5"/>
    <w:rsid w:val="003E63DD"/>
    <w:rsid w:val="003E6456"/>
    <w:rsid w:val="003E6DAB"/>
    <w:rsid w:val="003E7529"/>
    <w:rsid w:val="003E78F7"/>
    <w:rsid w:val="003F032A"/>
    <w:rsid w:val="003F0419"/>
    <w:rsid w:val="003F237A"/>
    <w:rsid w:val="003F2C19"/>
    <w:rsid w:val="003F2C9F"/>
    <w:rsid w:val="003F2D98"/>
    <w:rsid w:val="003F38D7"/>
    <w:rsid w:val="003F492C"/>
    <w:rsid w:val="003F52F3"/>
    <w:rsid w:val="003F55A0"/>
    <w:rsid w:val="003F6525"/>
    <w:rsid w:val="003F6857"/>
    <w:rsid w:val="003F707D"/>
    <w:rsid w:val="003F72A9"/>
    <w:rsid w:val="003F76BD"/>
    <w:rsid w:val="00400EE6"/>
    <w:rsid w:val="004014F8"/>
    <w:rsid w:val="00401532"/>
    <w:rsid w:val="00401AB4"/>
    <w:rsid w:val="0040489E"/>
    <w:rsid w:val="00404DEA"/>
    <w:rsid w:val="00405003"/>
    <w:rsid w:val="0040502E"/>
    <w:rsid w:val="0040726C"/>
    <w:rsid w:val="004074C7"/>
    <w:rsid w:val="00410521"/>
    <w:rsid w:val="0041058D"/>
    <w:rsid w:val="0041083C"/>
    <w:rsid w:val="00410AC6"/>
    <w:rsid w:val="0041111A"/>
    <w:rsid w:val="0041143B"/>
    <w:rsid w:val="004116A2"/>
    <w:rsid w:val="004127C7"/>
    <w:rsid w:val="00412864"/>
    <w:rsid w:val="00412CA7"/>
    <w:rsid w:val="00412D60"/>
    <w:rsid w:val="00412E89"/>
    <w:rsid w:val="00413260"/>
    <w:rsid w:val="00413A5D"/>
    <w:rsid w:val="004149BA"/>
    <w:rsid w:val="00414C0E"/>
    <w:rsid w:val="004154B2"/>
    <w:rsid w:val="00415749"/>
    <w:rsid w:val="00416101"/>
    <w:rsid w:val="00416305"/>
    <w:rsid w:val="00416E4E"/>
    <w:rsid w:val="0041720D"/>
    <w:rsid w:val="00417B2B"/>
    <w:rsid w:val="00417E77"/>
    <w:rsid w:val="00420726"/>
    <w:rsid w:val="00420E1D"/>
    <w:rsid w:val="0042146F"/>
    <w:rsid w:val="00421C5C"/>
    <w:rsid w:val="004223A9"/>
    <w:rsid w:val="0042262A"/>
    <w:rsid w:val="00423325"/>
    <w:rsid w:val="0042402F"/>
    <w:rsid w:val="00424566"/>
    <w:rsid w:val="00424AD5"/>
    <w:rsid w:val="00424C7C"/>
    <w:rsid w:val="00425199"/>
    <w:rsid w:val="0042520C"/>
    <w:rsid w:val="00425557"/>
    <w:rsid w:val="00425AC3"/>
    <w:rsid w:val="00425ADA"/>
    <w:rsid w:val="00427C71"/>
    <w:rsid w:val="004307D2"/>
    <w:rsid w:val="004319BE"/>
    <w:rsid w:val="004319D2"/>
    <w:rsid w:val="00431CDA"/>
    <w:rsid w:val="0043224C"/>
    <w:rsid w:val="004328DC"/>
    <w:rsid w:val="00432F7D"/>
    <w:rsid w:val="00433AE1"/>
    <w:rsid w:val="00434187"/>
    <w:rsid w:val="004349F8"/>
    <w:rsid w:val="00435515"/>
    <w:rsid w:val="00435B3A"/>
    <w:rsid w:val="004364DF"/>
    <w:rsid w:val="004366BD"/>
    <w:rsid w:val="00436CF0"/>
    <w:rsid w:val="00440013"/>
    <w:rsid w:val="004413D4"/>
    <w:rsid w:val="004421C1"/>
    <w:rsid w:val="00442B4A"/>
    <w:rsid w:val="004433D8"/>
    <w:rsid w:val="00443661"/>
    <w:rsid w:val="00443697"/>
    <w:rsid w:val="00443E0D"/>
    <w:rsid w:val="00443F5B"/>
    <w:rsid w:val="004444C8"/>
    <w:rsid w:val="00444890"/>
    <w:rsid w:val="00444D62"/>
    <w:rsid w:val="00445CF7"/>
    <w:rsid w:val="00445F23"/>
    <w:rsid w:val="00446050"/>
    <w:rsid w:val="004461C1"/>
    <w:rsid w:val="004469EE"/>
    <w:rsid w:val="00450898"/>
    <w:rsid w:val="00450D95"/>
    <w:rsid w:val="00451CC4"/>
    <w:rsid w:val="0045211A"/>
    <w:rsid w:val="004531D3"/>
    <w:rsid w:val="00454282"/>
    <w:rsid w:val="00454763"/>
    <w:rsid w:val="00456F3D"/>
    <w:rsid w:val="00457F3A"/>
    <w:rsid w:val="00460652"/>
    <w:rsid w:val="00460A9F"/>
    <w:rsid w:val="0046129C"/>
    <w:rsid w:val="00461385"/>
    <w:rsid w:val="00461393"/>
    <w:rsid w:val="00461739"/>
    <w:rsid w:val="0046186B"/>
    <w:rsid w:val="00461890"/>
    <w:rsid w:val="004628AC"/>
    <w:rsid w:val="0046294A"/>
    <w:rsid w:val="00463946"/>
    <w:rsid w:val="00465AA3"/>
    <w:rsid w:val="00466605"/>
    <w:rsid w:val="0046695E"/>
    <w:rsid w:val="00466D54"/>
    <w:rsid w:val="0046740D"/>
    <w:rsid w:val="00467B14"/>
    <w:rsid w:val="00467DD0"/>
    <w:rsid w:val="004700F5"/>
    <w:rsid w:val="00471A10"/>
    <w:rsid w:val="00471BD8"/>
    <w:rsid w:val="00471CA5"/>
    <w:rsid w:val="00472114"/>
    <w:rsid w:val="00472930"/>
    <w:rsid w:val="00472EE1"/>
    <w:rsid w:val="00472F8B"/>
    <w:rsid w:val="00473345"/>
    <w:rsid w:val="004734E4"/>
    <w:rsid w:val="00473A23"/>
    <w:rsid w:val="00473A8E"/>
    <w:rsid w:val="0047426F"/>
    <w:rsid w:val="00474F22"/>
    <w:rsid w:val="00475248"/>
    <w:rsid w:val="0047555A"/>
    <w:rsid w:val="004759CE"/>
    <w:rsid w:val="00476A6B"/>
    <w:rsid w:val="00476C33"/>
    <w:rsid w:val="00477296"/>
    <w:rsid w:val="0048061A"/>
    <w:rsid w:val="00480E48"/>
    <w:rsid w:val="0048163E"/>
    <w:rsid w:val="004819FE"/>
    <w:rsid w:val="00482509"/>
    <w:rsid w:val="004825D4"/>
    <w:rsid w:val="00483B8C"/>
    <w:rsid w:val="00484015"/>
    <w:rsid w:val="00484240"/>
    <w:rsid w:val="00484D36"/>
    <w:rsid w:val="004853FD"/>
    <w:rsid w:val="00485A1F"/>
    <w:rsid w:val="00485A58"/>
    <w:rsid w:val="00485EE7"/>
    <w:rsid w:val="00485F86"/>
    <w:rsid w:val="0048628B"/>
    <w:rsid w:val="00486DFA"/>
    <w:rsid w:val="00487DBE"/>
    <w:rsid w:val="0049062D"/>
    <w:rsid w:val="00491548"/>
    <w:rsid w:val="00491A83"/>
    <w:rsid w:val="0049210C"/>
    <w:rsid w:val="00492143"/>
    <w:rsid w:val="004929B6"/>
    <w:rsid w:val="00493304"/>
    <w:rsid w:val="00493EFA"/>
    <w:rsid w:val="0049412F"/>
    <w:rsid w:val="00494B39"/>
    <w:rsid w:val="00494D88"/>
    <w:rsid w:val="00494F3C"/>
    <w:rsid w:val="00495377"/>
    <w:rsid w:val="00496B2C"/>
    <w:rsid w:val="0049756F"/>
    <w:rsid w:val="00497DB2"/>
    <w:rsid w:val="004A02BE"/>
    <w:rsid w:val="004A091B"/>
    <w:rsid w:val="004A0E26"/>
    <w:rsid w:val="004A10C7"/>
    <w:rsid w:val="004A1469"/>
    <w:rsid w:val="004A188B"/>
    <w:rsid w:val="004A18B5"/>
    <w:rsid w:val="004A4615"/>
    <w:rsid w:val="004A4FF2"/>
    <w:rsid w:val="004A55C0"/>
    <w:rsid w:val="004A564B"/>
    <w:rsid w:val="004A564C"/>
    <w:rsid w:val="004A65CF"/>
    <w:rsid w:val="004A7522"/>
    <w:rsid w:val="004A777B"/>
    <w:rsid w:val="004B01A2"/>
    <w:rsid w:val="004B1324"/>
    <w:rsid w:val="004B15B4"/>
    <w:rsid w:val="004B1CA1"/>
    <w:rsid w:val="004B1D42"/>
    <w:rsid w:val="004B1EDA"/>
    <w:rsid w:val="004B244A"/>
    <w:rsid w:val="004B2A77"/>
    <w:rsid w:val="004B2D42"/>
    <w:rsid w:val="004B353B"/>
    <w:rsid w:val="004B3EED"/>
    <w:rsid w:val="004B48B2"/>
    <w:rsid w:val="004B4B66"/>
    <w:rsid w:val="004B56A2"/>
    <w:rsid w:val="004B5E0F"/>
    <w:rsid w:val="004B6737"/>
    <w:rsid w:val="004B69E4"/>
    <w:rsid w:val="004B7DC7"/>
    <w:rsid w:val="004C0186"/>
    <w:rsid w:val="004C01AD"/>
    <w:rsid w:val="004C26DC"/>
    <w:rsid w:val="004C2EB2"/>
    <w:rsid w:val="004C3062"/>
    <w:rsid w:val="004C333C"/>
    <w:rsid w:val="004C360D"/>
    <w:rsid w:val="004C4252"/>
    <w:rsid w:val="004C526E"/>
    <w:rsid w:val="004C6B99"/>
    <w:rsid w:val="004C7835"/>
    <w:rsid w:val="004C7883"/>
    <w:rsid w:val="004C7C96"/>
    <w:rsid w:val="004C7D09"/>
    <w:rsid w:val="004C7F08"/>
    <w:rsid w:val="004D038A"/>
    <w:rsid w:val="004D0CBC"/>
    <w:rsid w:val="004D0DB1"/>
    <w:rsid w:val="004D1CAE"/>
    <w:rsid w:val="004D22BE"/>
    <w:rsid w:val="004D25DB"/>
    <w:rsid w:val="004D28AD"/>
    <w:rsid w:val="004D33CD"/>
    <w:rsid w:val="004D473B"/>
    <w:rsid w:val="004D55E4"/>
    <w:rsid w:val="004D6323"/>
    <w:rsid w:val="004D6B62"/>
    <w:rsid w:val="004D75B8"/>
    <w:rsid w:val="004D7685"/>
    <w:rsid w:val="004D7E35"/>
    <w:rsid w:val="004E01F2"/>
    <w:rsid w:val="004E06A5"/>
    <w:rsid w:val="004E1528"/>
    <w:rsid w:val="004E1973"/>
    <w:rsid w:val="004E2C10"/>
    <w:rsid w:val="004E2DF7"/>
    <w:rsid w:val="004E3634"/>
    <w:rsid w:val="004E4687"/>
    <w:rsid w:val="004E4B52"/>
    <w:rsid w:val="004E5681"/>
    <w:rsid w:val="004E5730"/>
    <w:rsid w:val="004E63F2"/>
    <w:rsid w:val="004E65EB"/>
    <w:rsid w:val="004E6760"/>
    <w:rsid w:val="004E69F3"/>
    <w:rsid w:val="004E6D1C"/>
    <w:rsid w:val="004E70BF"/>
    <w:rsid w:val="004E7F05"/>
    <w:rsid w:val="004F071A"/>
    <w:rsid w:val="004F1171"/>
    <w:rsid w:val="004F11D6"/>
    <w:rsid w:val="004F149E"/>
    <w:rsid w:val="004F24A7"/>
    <w:rsid w:val="004F2979"/>
    <w:rsid w:val="004F351C"/>
    <w:rsid w:val="004F3A81"/>
    <w:rsid w:val="004F3B0F"/>
    <w:rsid w:val="004F514D"/>
    <w:rsid w:val="004F53D2"/>
    <w:rsid w:val="004F668E"/>
    <w:rsid w:val="004F682B"/>
    <w:rsid w:val="004F7C97"/>
    <w:rsid w:val="00500115"/>
    <w:rsid w:val="0050023D"/>
    <w:rsid w:val="00500790"/>
    <w:rsid w:val="00500D18"/>
    <w:rsid w:val="00501338"/>
    <w:rsid w:val="00501717"/>
    <w:rsid w:val="00501E92"/>
    <w:rsid w:val="0050251C"/>
    <w:rsid w:val="00503400"/>
    <w:rsid w:val="005039E0"/>
    <w:rsid w:val="00504194"/>
    <w:rsid w:val="00504B6B"/>
    <w:rsid w:val="00504F60"/>
    <w:rsid w:val="00505291"/>
    <w:rsid w:val="00506367"/>
    <w:rsid w:val="00506903"/>
    <w:rsid w:val="005072FC"/>
    <w:rsid w:val="0050767C"/>
    <w:rsid w:val="0051014C"/>
    <w:rsid w:val="005116A3"/>
    <w:rsid w:val="00513604"/>
    <w:rsid w:val="00514007"/>
    <w:rsid w:val="0051411F"/>
    <w:rsid w:val="0051484F"/>
    <w:rsid w:val="005148B0"/>
    <w:rsid w:val="00515C22"/>
    <w:rsid w:val="00515FCB"/>
    <w:rsid w:val="00517007"/>
    <w:rsid w:val="00517066"/>
    <w:rsid w:val="005170AA"/>
    <w:rsid w:val="00517DA1"/>
    <w:rsid w:val="0052053E"/>
    <w:rsid w:val="005206EB"/>
    <w:rsid w:val="00520C7A"/>
    <w:rsid w:val="00520F8F"/>
    <w:rsid w:val="005229D3"/>
    <w:rsid w:val="00522A13"/>
    <w:rsid w:val="0052424A"/>
    <w:rsid w:val="005247FC"/>
    <w:rsid w:val="00524956"/>
    <w:rsid w:val="00524E81"/>
    <w:rsid w:val="00525811"/>
    <w:rsid w:val="00525911"/>
    <w:rsid w:val="0052693E"/>
    <w:rsid w:val="00526FE3"/>
    <w:rsid w:val="00527260"/>
    <w:rsid w:val="005272FE"/>
    <w:rsid w:val="005273F5"/>
    <w:rsid w:val="00527C50"/>
    <w:rsid w:val="005306DE"/>
    <w:rsid w:val="005308B7"/>
    <w:rsid w:val="00531BE6"/>
    <w:rsid w:val="00531DE7"/>
    <w:rsid w:val="0053202B"/>
    <w:rsid w:val="00532550"/>
    <w:rsid w:val="00533A71"/>
    <w:rsid w:val="005343BB"/>
    <w:rsid w:val="00535208"/>
    <w:rsid w:val="00535364"/>
    <w:rsid w:val="00535D36"/>
    <w:rsid w:val="00535E20"/>
    <w:rsid w:val="00535F1F"/>
    <w:rsid w:val="0053602A"/>
    <w:rsid w:val="00536138"/>
    <w:rsid w:val="005376A4"/>
    <w:rsid w:val="00540080"/>
    <w:rsid w:val="005426BE"/>
    <w:rsid w:val="0054415F"/>
    <w:rsid w:val="00544E37"/>
    <w:rsid w:val="005457A5"/>
    <w:rsid w:val="0054581D"/>
    <w:rsid w:val="00545A36"/>
    <w:rsid w:val="00546FF7"/>
    <w:rsid w:val="005474AE"/>
    <w:rsid w:val="005476B0"/>
    <w:rsid w:val="00547AE2"/>
    <w:rsid w:val="00550B94"/>
    <w:rsid w:val="00550C49"/>
    <w:rsid w:val="005513FD"/>
    <w:rsid w:val="00551407"/>
    <w:rsid w:val="00551535"/>
    <w:rsid w:val="0055207E"/>
    <w:rsid w:val="00552141"/>
    <w:rsid w:val="00552370"/>
    <w:rsid w:val="00553481"/>
    <w:rsid w:val="0055447E"/>
    <w:rsid w:val="0055486B"/>
    <w:rsid w:val="00555788"/>
    <w:rsid w:val="00555A2D"/>
    <w:rsid w:val="00555C58"/>
    <w:rsid w:val="0055666C"/>
    <w:rsid w:val="00557BCA"/>
    <w:rsid w:val="0056010D"/>
    <w:rsid w:val="00560721"/>
    <w:rsid w:val="005619AF"/>
    <w:rsid w:val="00561D1D"/>
    <w:rsid w:val="00561FBF"/>
    <w:rsid w:val="00562117"/>
    <w:rsid w:val="00563627"/>
    <w:rsid w:val="00563659"/>
    <w:rsid w:val="0056365B"/>
    <w:rsid w:val="005643B8"/>
    <w:rsid w:val="005644B5"/>
    <w:rsid w:val="00564596"/>
    <w:rsid w:val="00564AA9"/>
    <w:rsid w:val="0056507E"/>
    <w:rsid w:val="00565BCD"/>
    <w:rsid w:val="005664C0"/>
    <w:rsid w:val="00566573"/>
    <w:rsid w:val="00566C7E"/>
    <w:rsid w:val="0057005E"/>
    <w:rsid w:val="00570930"/>
    <w:rsid w:val="00570AF0"/>
    <w:rsid w:val="00570B38"/>
    <w:rsid w:val="0057172D"/>
    <w:rsid w:val="00571FCC"/>
    <w:rsid w:val="00572B54"/>
    <w:rsid w:val="00572C3D"/>
    <w:rsid w:val="00573774"/>
    <w:rsid w:val="0057423E"/>
    <w:rsid w:val="005742E5"/>
    <w:rsid w:val="00574836"/>
    <w:rsid w:val="00574F46"/>
    <w:rsid w:val="0057543A"/>
    <w:rsid w:val="0057563C"/>
    <w:rsid w:val="00576DFB"/>
    <w:rsid w:val="005775DD"/>
    <w:rsid w:val="00577DAF"/>
    <w:rsid w:val="00577EF9"/>
    <w:rsid w:val="00577F25"/>
    <w:rsid w:val="00580FF8"/>
    <w:rsid w:val="00582A21"/>
    <w:rsid w:val="005831A0"/>
    <w:rsid w:val="00583467"/>
    <w:rsid w:val="00583593"/>
    <w:rsid w:val="00583E80"/>
    <w:rsid w:val="0058402C"/>
    <w:rsid w:val="00584992"/>
    <w:rsid w:val="00586FD7"/>
    <w:rsid w:val="005872AD"/>
    <w:rsid w:val="0058759E"/>
    <w:rsid w:val="00590556"/>
    <w:rsid w:val="00591451"/>
    <w:rsid w:val="005923D2"/>
    <w:rsid w:val="00592403"/>
    <w:rsid w:val="00592F75"/>
    <w:rsid w:val="00592FCB"/>
    <w:rsid w:val="005930A3"/>
    <w:rsid w:val="00594C7D"/>
    <w:rsid w:val="00595DBA"/>
    <w:rsid w:val="005967B5"/>
    <w:rsid w:val="00596B3B"/>
    <w:rsid w:val="00597346"/>
    <w:rsid w:val="005A04A0"/>
    <w:rsid w:val="005A0A94"/>
    <w:rsid w:val="005A10EB"/>
    <w:rsid w:val="005A1159"/>
    <w:rsid w:val="005A16B1"/>
    <w:rsid w:val="005A1BCF"/>
    <w:rsid w:val="005A1E71"/>
    <w:rsid w:val="005A2F18"/>
    <w:rsid w:val="005A30FE"/>
    <w:rsid w:val="005A3DA3"/>
    <w:rsid w:val="005A456B"/>
    <w:rsid w:val="005A46BA"/>
    <w:rsid w:val="005A47BA"/>
    <w:rsid w:val="005A48DF"/>
    <w:rsid w:val="005A4EA5"/>
    <w:rsid w:val="005A4F4C"/>
    <w:rsid w:val="005A4FC5"/>
    <w:rsid w:val="005A5A38"/>
    <w:rsid w:val="005A5E38"/>
    <w:rsid w:val="005A6073"/>
    <w:rsid w:val="005A6745"/>
    <w:rsid w:val="005A6BFD"/>
    <w:rsid w:val="005A6C1F"/>
    <w:rsid w:val="005A71B7"/>
    <w:rsid w:val="005A7291"/>
    <w:rsid w:val="005B0220"/>
    <w:rsid w:val="005B0271"/>
    <w:rsid w:val="005B2510"/>
    <w:rsid w:val="005B3B13"/>
    <w:rsid w:val="005B412C"/>
    <w:rsid w:val="005B556C"/>
    <w:rsid w:val="005B5DCA"/>
    <w:rsid w:val="005B5E4B"/>
    <w:rsid w:val="005B5E64"/>
    <w:rsid w:val="005B6F9B"/>
    <w:rsid w:val="005C0058"/>
    <w:rsid w:val="005C08C2"/>
    <w:rsid w:val="005C0C6B"/>
    <w:rsid w:val="005C274C"/>
    <w:rsid w:val="005C3C8C"/>
    <w:rsid w:val="005C3E7A"/>
    <w:rsid w:val="005C4006"/>
    <w:rsid w:val="005C4B75"/>
    <w:rsid w:val="005C52EF"/>
    <w:rsid w:val="005C5CA3"/>
    <w:rsid w:val="005C5CF8"/>
    <w:rsid w:val="005C5F10"/>
    <w:rsid w:val="005C6339"/>
    <w:rsid w:val="005C6576"/>
    <w:rsid w:val="005C66D2"/>
    <w:rsid w:val="005C6C6C"/>
    <w:rsid w:val="005C6C92"/>
    <w:rsid w:val="005C6CD3"/>
    <w:rsid w:val="005C6F94"/>
    <w:rsid w:val="005D044A"/>
    <w:rsid w:val="005D0490"/>
    <w:rsid w:val="005D0EB4"/>
    <w:rsid w:val="005D108C"/>
    <w:rsid w:val="005D2A2D"/>
    <w:rsid w:val="005D353F"/>
    <w:rsid w:val="005D3DAC"/>
    <w:rsid w:val="005D3E7F"/>
    <w:rsid w:val="005D437C"/>
    <w:rsid w:val="005D4597"/>
    <w:rsid w:val="005D4CC4"/>
    <w:rsid w:val="005D5CF6"/>
    <w:rsid w:val="005D5EAE"/>
    <w:rsid w:val="005D74E2"/>
    <w:rsid w:val="005D75F2"/>
    <w:rsid w:val="005E022C"/>
    <w:rsid w:val="005E053A"/>
    <w:rsid w:val="005E0E76"/>
    <w:rsid w:val="005E1550"/>
    <w:rsid w:val="005E2584"/>
    <w:rsid w:val="005E2606"/>
    <w:rsid w:val="005E2621"/>
    <w:rsid w:val="005E4CD2"/>
    <w:rsid w:val="005E5408"/>
    <w:rsid w:val="005E6438"/>
    <w:rsid w:val="005E68AA"/>
    <w:rsid w:val="005E6AE5"/>
    <w:rsid w:val="005E71A5"/>
    <w:rsid w:val="005E736E"/>
    <w:rsid w:val="005E7D14"/>
    <w:rsid w:val="005E7E89"/>
    <w:rsid w:val="005E7E9E"/>
    <w:rsid w:val="005F0163"/>
    <w:rsid w:val="005F0A20"/>
    <w:rsid w:val="005F103E"/>
    <w:rsid w:val="005F12A4"/>
    <w:rsid w:val="005F165C"/>
    <w:rsid w:val="005F24F8"/>
    <w:rsid w:val="005F2E55"/>
    <w:rsid w:val="005F3ACC"/>
    <w:rsid w:val="005F427F"/>
    <w:rsid w:val="005F4300"/>
    <w:rsid w:val="005F5F90"/>
    <w:rsid w:val="005F61E9"/>
    <w:rsid w:val="005F69B8"/>
    <w:rsid w:val="005F77A2"/>
    <w:rsid w:val="005F7BEE"/>
    <w:rsid w:val="005F7DAE"/>
    <w:rsid w:val="00600033"/>
    <w:rsid w:val="006005E9"/>
    <w:rsid w:val="00600648"/>
    <w:rsid w:val="006021DA"/>
    <w:rsid w:val="00602354"/>
    <w:rsid w:val="006044DD"/>
    <w:rsid w:val="00604A92"/>
    <w:rsid w:val="00604EDF"/>
    <w:rsid w:val="006050FB"/>
    <w:rsid w:val="00605178"/>
    <w:rsid w:val="006054D3"/>
    <w:rsid w:val="00605751"/>
    <w:rsid w:val="0060594C"/>
    <w:rsid w:val="006064BB"/>
    <w:rsid w:val="00606E67"/>
    <w:rsid w:val="00607D27"/>
    <w:rsid w:val="00607ED8"/>
    <w:rsid w:val="00610B57"/>
    <w:rsid w:val="006115FF"/>
    <w:rsid w:val="00612C32"/>
    <w:rsid w:val="0061390C"/>
    <w:rsid w:val="00613C09"/>
    <w:rsid w:val="00613E17"/>
    <w:rsid w:val="00614B32"/>
    <w:rsid w:val="006151D6"/>
    <w:rsid w:val="00615E7B"/>
    <w:rsid w:val="006163AF"/>
    <w:rsid w:val="0061668E"/>
    <w:rsid w:val="006176F9"/>
    <w:rsid w:val="0061787E"/>
    <w:rsid w:val="00617B8D"/>
    <w:rsid w:val="00620A4C"/>
    <w:rsid w:val="0062116F"/>
    <w:rsid w:val="006219A7"/>
    <w:rsid w:val="00621FBB"/>
    <w:rsid w:val="00622627"/>
    <w:rsid w:val="0062311B"/>
    <w:rsid w:val="006232FC"/>
    <w:rsid w:val="006233B6"/>
    <w:rsid w:val="00624571"/>
    <w:rsid w:val="00624DF5"/>
    <w:rsid w:val="006252D0"/>
    <w:rsid w:val="00625474"/>
    <w:rsid w:val="00625B84"/>
    <w:rsid w:val="00625FD0"/>
    <w:rsid w:val="00626075"/>
    <w:rsid w:val="0062624A"/>
    <w:rsid w:val="00626E5C"/>
    <w:rsid w:val="00626EE4"/>
    <w:rsid w:val="00627001"/>
    <w:rsid w:val="00627961"/>
    <w:rsid w:val="00627AD6"/>
    <w:rsid w:val="0063067B"/>
    <w:rsid w:val="00630BD3"/>
    <w:rsid w:val="00630CDF"/>
    <w:rsid w:val="00630F94"/>
    <w:rsid w:val="0063148B"/>
    <w:rsid w:val="00631946"/>
    <w:rsid w:val="0063216B"/>
    <w:rsid w:val="00632663"/>
    <w:rsid w:val="00632A8B"/>
    <w:rsid w:val="00632B6E"/>
    <w:rsid w:val="006338AF"/>
    <w:rsid w:val="00634B1B"/>
    <w:rsid w:val="00634F19"/>
    <w:rsid w:val="00635B00"/>
    <w:rsid w:val="006364CD"/>
    <w:rsid w:val="00637A0E"/>
    <w:rsid w:val="00637C86"/>
    <w:rsid w:val="00637F66"/>
    <w:rsid w:val="00640286"/>
    <w:rsid w:val="006408A6"/>
    <w:rsid w:val="00640B20"/>
    <w:rsid w:val="00640F43"/>
    <w:rsid w:val="00641745"/>
    <w:rsid w:val="00641899"/>
    <w:rsid w:val="00641FD6"/>
    <w:rsid w:val="00642807"/>
    <w:rsid w:val="00642843"/>
    <w:rsid w:val="00642AED"/>
    <w:rsid w:val="006431FE"/>
    <w:rsid w:val="00643350"/>
    <w:rsid w:val="00643533"/>
    <w:rsid w:val="00643681"/>
    <w:rsid w:val="00643E6B"/>
    <w:rsid w:val="00644BD1"/>
    <w:rsid w:val="00645069"/>
    <w:rsid w:val="00645784"/>
    <w:rsid w:val="00645BF2"/>
    <w:rsid w:val="00647612"/>
    <w:rsid w:val="0064795E"/>
    <w:rsid w:val="00647CE1"/>
    <w:rsid w:val="00650A33"/>
    <w:rsid w:val="00652A86"/>
    <w:rsid w:val="00653594"/>
    <w:rsid w:val="00653EA2"/>
    <w:rsid w:val="006540F2"/>
    <w:rsid w:val="00655E50"/>
    <w:rsid w:val="00656430"/>
    <w:rsid w:val="00656B3E"/>
    <w:rsid w:val="00657453"/>
    <w:rsid w:val="006578AC"/>
    <w:rsid w:val="006600AE"/>
    <w:rsid w:val="006605C1"/>
    <w:rsid w:val="00660866"/>
    <w:rsid w:val="00660951"/>
    <w:rsid w:val="00660A16"/>
    <w:rsid w:val="00660D47"/>
    <w:rsid w:val="0066172E"/>
    <w:rsid w:val="00662AB5"/>
    <w:rsid w:val="00663F67"/>
    <w:rsid w:val="006656AD"/>
    <w:rsid w:val="00665EF0"/>
    <w:rsid w:val="006666CC"/>
    <w:rsid w:val="00667BDE"/>
    <w:rsid w:val="00667DED"/>
    <w:rsid w:val="0067080C"/>
    <w:rsid w:val="00670C6A"/>
    <w:rsid w:val="00671225"/>
    <w:rsid w:val="006712F8"/>
    <w:rsid w:val="00672E18"/>
    <w:rsid w:val="00673015"/>
    <w:rsid w:val="0067414F"/>
    <w:rsid w:val="00674788"/>
    <w:rsid w:val="006747D7"/>
    <w:rsid w:val="00674EA8"/>
    <w:rsid w:val="006755CE"/>
    <w:rsid w:val="006756FD"/>
    <w:rsid w:val="0068052C"/>
    <w:rsid w:val="0068119F"/>
    <w:rsid w:val="00682B61"/>
    <w:rsid w:val="00682EF6"/>
    <w:rsid w:val="00683171"/>
    <w:rsid w:val="00683719"/>
    <w:rsid w:val="0068386C"/>
    <w:rsid w:val="006838EA"/>
    <w:rsid w:val="00683D17"/>
    <w:rsid w:val="00683D31"/>
    <w:rsid w:val="006841CB"/>
    <w:rsid w:val="006848EE"/>
    <w:rsid w:val="00685F23"/>
    <w:rsid w:val="0068635A"/>
    <w:rsid w:val="00686765"/>
    <w:rsid w:val="00686810"/>
    <w:rsid w:val="00686EFB"/>
    <w:rsid w:val="00687012"/>
    <w:rsid w:val="00687A0B"/>
    <w:rsid w:val="00687AB4"/>
    <w:rsid w:val="0068C8B0"/>
    <w:rsid w:val="006900D8"/>
    <w:rsid w:val="00690222"/>
    <w:rsid w:val="006907A9"/>
    <w:rsid w:val="0069099E"/>
    <w:rsid w:val="006910EE"/>
    <w:rsid w:val="00691286"/>
    <w:rsid w:val="0069154F"/>
    <w:rsid w:val="00692214"/>
    <w:rsid w:val="00693516"/>
    <w:rsid w:val="00693BD4"/>
    <w:rsid w:val="00694163"/>
    <w:rsid w:val="00694BEC"/>
    <w:rsid w:val="00695BA9"/>
    <w:rsid w:val="00695BD9"/>
    <w:rsid w:val="00695EC9"/>
    <w:rsid w:val="0069646E"/>
    <w:rsid w:val="0069683C"/>
    <w:rsid w:val="00696933"/>
    <w:rsid w:val="00696E18"/>
    <w:rsid w:val="00697158"/>
    <w:rsid w:val="00697362"/>
    <w:rsid w:val="006976B8"/>
    <w:rsid w:val="006A0976"/>
    <w:rsid w:val="006A0DD8"/>
    <w:rsid w:val="006A282C"/>
    <w:rsid w:val="006A29E7"/>
    <w:rsid w:val="006A3047"/>
    <w:rsid w:val="006A3A6C"/>
    <w:rsid w:val="006A44CB"/>
    <w:rsid w:val="006A53D7"/>
    <w:rsid w:val="006A5629"/>
    <w:rsid w:val="006A5DF4"/>
    <w:rsid w:val="006A67A6"/>
    <w:rsid w:val="006A6AE7"/>
    <w:rsid w:val="006A71DD"/>
    <w:rsid w:val="006B02EA"/>
    <w:rsid w:val="006B034A"/>
    <w:rsid w:val="006B11CC"/>
    <w:rsid w:val="006B1A28"/>
    <w:rsid w:val="006B1BF4"/>
    <w:rsid w:val="006B253C"/>
    <w:rsid w:val="006B2ACC"/>
    <w:rsid w:val="006B2E85"/>
    <w:rsid w:val="006B3487"/>
    <w:rsid w:val="006B3DFA"/>
    <w:rsid w:val="006B46F9"/>
    <w:rsid w:val="006B586E"/>
    <w:rsid w:val="006B6502"/>
    <w:rsid w:val="006B65F0"/>
    <w:rsid w:val="006B6882"/>
    <w:rsid w:val="006B752F"/>
    <w:rsid w:val="006B75BE"/>
    <w:rsid w:val="006C0084"/>
    <w:rsid w:val="006C0268"/>
    <w:rsid w:val="006C095C"/>
    <w:rsid w:val="006C09B0"/>
    <w:rsid w:val="006C0B7A"/>
    <w:rsid w:val="006C1F02"/>
    <w:rsid w:val="006C265C"/>
    <w:rsid w:val="006C4207"/>
    <w:rsid w:val="006C4B60"/>
    <w:rsid w:val="006C4C48"/>
    <w:rsid w:val="006C577F"/>
    <w:rsid w:val="006C5ACA"/>
    <w:rsid w:val="006C5D47"/>
    <w:rsid w:val="006C627D"/>
    <w:rsid w:val="006C6C87"/>
    <w:rsid w:val="006C6DC1"/>
    <w:rsid w:val="006C7A01"/>
    <w:rsid w:val="006D008B"/>
    <w:rsid w:val="006D0581"/>
    <w:rsid w:val="006D08EA"/>
    <w:rsid w:val="006D130B"/>
    <w:rsid w:val="006D1E0E"/>
    <w:rsid w:val="006D27B3"/>
    <w:rsid w:val="006D2CE7"/>
    <w:rsid w:val="006D2D88"/>
    <w:rsid w:val="006D3033"/>
    <w:rsid w:val="006D3372"/>
    <w:rsid w:val="006D3736"/>
    <w:rsid w:val="006D377F"/>
    <w:rsid w:val="006D4280"/>
    <w:rsid w:val="006D4963"/>
    <w:rsid w:val="006D4B2F"/>
    <w:rsid w:val="006D5517"/>
    <w:rsid w:val="006D58A4"/>
    <w:rsid w:val="006D700B"/>
    <w:rsid w:val="006D721D"/>
    <w:rsid w:val="006D775E"/>
    <w:rsid w:val="006E0369"/>
    <w:rsid w:val="006E04B7"/>
    <w:rsid w:val="006E06DB"/>
    <w:rsid w:val="006E0C2E"/>
    <w:rsid w:val="006E10FA"/>
    <w:rsid w:val="006E182E"/>
    <w:rsid w:val="006E18DF"/>
    <w:rsid w:val="006E25F4"/>
    <w:rsid w:val="006E267D"/>
    <w:rsid w:val="006E29EF"/>
    <w:rsid w:val="006E34BE"/>
    <w:rsid w:val="006E39DD"/>
    <w:rsid w:val="006E4A67"/>
    <w:rsid w:val="006E5025"/>
    <w:rsid w:val="006E538C"/>
    <w:rsid w:val="006E5498"/>
    <w:rsid w:val="006E5C25"/>
    <w:rsid w:val="006E6326"/>
    <w:rsid w:val="006E65E9"/>
    <w:rsid w:val="006E7284"/>
    <w:rsid w:val="006E7C3B"/>
    <w:rsid w:val="006F00C5"/>
    <w:rsid w:val="006F0700"/>
    <w:rsid w:val="006F0A26"/>
    <w:rsid w:val="006F1260"/>
    <w:rsid w:val="006F14D7"/>
    <w:rsid w:val="006F19E5"/>
    <w:rsid w:val="006F207D"/>
    <w:rsid w:val="006F2F98"/>
    <w:rsid w:val="006F38C7"/>
    <w:rsid w:val="006F38F0"/>
    <w:rsid w:val="006F553D"/>
    <w:rsid w:val="006F6095"/>
    <w:rsid w:val="006F6E96"/>
    <w:rsid w:val="006F72D9"/>
    <w:rsid w:val="006F770D"/>
    <w:rsid w:val="006F7C4C"/>
    <w:rsid w:val="006F7DC2"/>
    <w:rsid w:val="006FCC69"/>
    <w:rsid w:val="007005F8"/>
    <w:rsid w:val="00701789"/>
    <w:rsid w:val="0070220A"/>
    <w:rsid w:val="00702610"/>
    <w:rsid w:val="00702A43"/>
    <w:rsid w:val="00703034"/>
    <w:rsid w:val="00703205"/>
    <w:rsid w:val="00703391"/>
    <w:rsid w:val="007045CD"/>
    <w:rsid w:val="0070465B"/>
    <w:rsid w:val="00705752"/>
    <w:rsid w:val="00705B32"/>
    <w:rsid w:val="00706AA6"/>
    <w:rsid w:val="007075C4"/>
    <w:rsid w:val="007078DA"/>
    <w:rsid w:val="00707DB5"/>
    <w:rsid w:val="00707E48"/>
    <w:rsid w:val="00707E66"/>
    <w:rsid w:val="0071021C"/>
    <w:rsid w:val="00710CC6"/>
    <w:rsid w:val="00710EED"/>
    <w:rsid w:val="00710F3F"/>
    <w:rsid w:val="007114C9"/>
    <w:rsid w:val="007123AE"/>
    <w:rsid w:val="00712FC0"/>
    <w:rsid w:val="0071300F"/>
    <w:rsid w:val="0071315A"/>
    <w:rsid w:val="00713E5D"/>
    <w:rsid w:val="007148A7"/>
    <w:rsid w:val="00714F7C"/>
    <w:rsid w:val="00715166"/>
    <w:rsid w:val="007159F3"/>
    <w:rsid w:val="00715AEA"/>
    <w:rsid w:val="0071646D"/>
    <w:rsid w:val="007173F0"/>
    <w:rsid w:val="0071746E"/>
    <w:rsid w:val="007174D7"/>
    <w:rsid w:val="0072014E"/>
    <w:rsid w:val="00722328"/>
    <w:rsid w:val="007227DD"/>
    <w:rsid w:val="007229AC"/>
    <w:rsid w:val="00722C9C"/>
    <w:rsid w:val="0072312E"/>
    <w:rsid w:val="00723346"/>
    <w:rsid w:val="00723BAB"/>
    <w:rsid w:val="007243BD"/>
    <w:rsid w:val="00724C4B"/>
    <w:rsid w:val="007257E7"/>
    <w:rsid w:val="00725B32"/>
    <w:rsid w:val="007268BB"/>
    <w:rsid w:val="00727905"/>
    <w:rsid w:val="00730187"/>
    <w:rsid w:val="00730F46"/>
    <w:rsid w:val="00730FE4"/>
    <w:rsid w:val="00731391"/>
    <w:rsid w:val="0073183E"/>
    <w:rsid w:val="00731C11"/>
    <w:rsid w:val="00731CE8"/>
    <w:rsid w:val="007325BF"/>
    <w:rsid w:val="0073285D"/>
    <w:rsid w:val="00732D44"/>
    <w:rsid w:val="007343D7"/>
    <w:rsid w:val="00734556"/>
    <w:rsid w:val="00734AB4"/>
    <w:rsid w:val="00735226"/>
    <w:rsid w:val="007360F1"/>
    <w:rsid w:val="00737523"/>
    <w:rsid w:val="0073792A"/>
    <w:rsid w:val="00737C21"/>
    <w:rsid w:val="0074034E"/>
    <w:rsid w:val="007406BC"/>
    <w:rsid w:val="00741043"/>
    <w:rsid w:val="00741129"/>
    <w:rsid w:val="0074188D"/>
    <w:rsid w:val="00741B03"/>
    <w:rsid w:val="007421BE"/>
    <w:rsid w:val="007433D3"/>
    <w:rsid w:val="007433FC"/>
    <w:rsid w:val="00743915"/>
    <w:rsid w:val="00743C6A"/>
    <w:rsid w:val="007444A5"/>
    <w:rsid w:val="00744747"/>
    <w:rsid w:val="00744824"/>
    <w:rsid w:val="00745100"/>
    <w:rsid w:val="0074543F"/>
    <w:rsid w:val="00746376"/>
    <w:rsid w:val="007471E0"/>
    <w:rsid w:val="007472CD"/>
    <w:rsid w:val="0074755D"/>
    <w:rsid w:val="00747C50"/>
    <w:rsid w:val="00747D78"/>
    <w:rsid w:val="007502F6"/>
    <w:rsid w:val="00750355"/>
    <w:rsid w:val="00750554"/>
    <w:rsid w:val="00750748"/>
    <w:rsid w:val="00750C6C"/>
    <w:rsid w:val="00750E48"/>
    <w:rsid w:val="00750FCB"/>
    <w:rsid w:val="00751369"/>
    <w:rsid w:val="0075211B"/>
    <w:rsid w:val="007523BF"/>
    <w:rsid w:val="007526FB"/>
    <w:rsid w:val="007528BE"/>
    <w:rsid w:val="007540B1"/>
    <w:rsid w:val="00754587"/>
    <w:rsid w:val="007545DF"/>
    <w:rsid w:val="00755D7C"/>
    <w:rsid w:val="0075689C"/>
    <w:rsid w:val="00756B21"/>
    <w:rsid w:val="007577C9"/>
    <w:rsid w:val="007601D5"/>
    <w:rsid w:val="00760767"/>
    <w:rsid w:val="00760D26"/>
    <w:rsid w:val="00760F21"/>
    <w:rsid w:val="00761246"/>
    <w:rsid w:val="007618FA"/>
    <w:rsid w:val="007619EC"/>
    <w:rsid w:val="00761BB4"/>
    <w:rsid w:val="007620BE"/>
    <w:rsid w:val="0076363D"/>
    <w:rsid w:val="0076501F"/>
    <w:rsid w:val="00765071"/>
    <w:rsid w:val="007653CE"/>
    <w:rsid w:val="00765544"/>
    <w:rsid w:val="00767830"/>
    <w:rsid w:val="007710CE"/>
    <w:rsid w:val="0077254B"/>
    <w:rsid w:val="007726A7"/>
    <w:rsid w:val="00772A29"/>
    <w:rsid w:val="00772BCC"/>
    <w:rsid w:val="00772DA8"/>
    <w:rsid w:val="0077389E"/>
    <w:rsid w:val="00774A80"/>
    <w:rsid w:val="00774E44"/>
    <w:rsid w:val="00775496"/>
    <w:rsid w:val="00775EAB"/>
    <w:rsid w:val="00775F69"/>
    <w:rsid w:val="007763FA"/>
    <w:rsid w:val="0077749A"/>
    <w:rsid w:val="007806F7"/>
    <w:rsid w:val="00780D47"/>
    <w:rsid w:val="00780F1D"/>
    <w:rsid w:val="00781AB6"/>
    <w:rsid w:val="00782775"/>
    <w:rsid w:val="007845BF"/>
    <w:rsid w:val="0078492B"/>
    <w:rsid w:val="007850E6"/>
    <w:rsid w:val="007876DD"/>
    <w:rsid w:val="00787A5F"/>
    <w:rsid w:val="00790661"/>
    <w:rsid w:val="0079125A"/>
    <w:rsid w:val="007928F7"/>
    <w:rsid w:val="0079385C"/>
    <w:rsid w:val="00793C4B"/>
    <w:rsid w:val="0079434B"/>
    <w:rsid w:val="007945A3"/>
    <w:rsid w:val="0079547E"/>
    <w:rsid w:val="007954C0"/>
    <w:rsid w:val="00795C2E"/>
    <w:rsid w:val="00796E94"/>
    <w:rsid w:val="007A0C8B"/>
    <w:rsid w:val="007A0F4A"/>
    <w:rsid w:val="007A15B1"/>
    <w:rsid w:val="007A16B9"/>
    <w:rsid w:val="007A1AA0"/>
    <w:rsid w:val="007A1BB1"/>
    <w:rsid w:val="007A1DCF"/>
    <w:rsid w:val="007A1FBA"/>
    <w:rsid w:val="007A229A"/>
    <w:rsid w:val="007A2424"/>
    <w:rsid w:val="007A243D"/>
    <w:rsid w:val="007A25A5"/>
    <w:rsid w:val="007A289E"/>
    <w:rsid w:val="007A28EE"/>
    <w:rsid w:val="007A3114"/>
    <w:rsid w:val="007A376D"/>
    <w:rsid w:val="007A39C5"/>
    <w:rsid w:val="007A3DFB"/>
    <w:rsid w:val="007A4067"/>
    <w:rsid w:val="007A44D2"/>
    <w:rsid w:val="007A58A4"/>
    <w:rsid w:val="007A5C60"/>
    <w:rsid w:val="007A61E1"/>
    <w:rsid w:val="007A6CA0"/>
    <w:rsid w:val="007A7F81"/>
    <w:rsid w:val="007B0A96"/>
    <w:rsid w:val="007B0FB8"/>
    <w:rsid w:val="007B1666"/>
    <w:rsid w:val="007B1C67"/>
    <w:rsid w:val="007B4522"/>
    <w:rsid w:val="007B4C1E"/>
    <w:rsid w:val="007B5A8D"/>
    <w:rsid w:val="007B5DA0"/>
    <w:rsid w:val="007B662D"/>
    <w:rsid w:val="007B6ED9"/>
    <w:rsid w:val="007B74CA"/>
    <w:rsid w:val="007B7EB9"/>
    <w:rsid w:val="007C024A"/>
    <w:rsid w:val="007C075F"/>
    <w:rsid w:val="007C0AB9"/>
    <w:rsid w:val="007C13AA"/>
    <w:rsid w:val="007C13BF"/>
    <w:rsid w:val="007C2499"/>
    <w:rsid w:val="007C26D3"/>
    <w:rsid w:val="007C2784"/>
    <w:rsid w:val="007C3030"/>
    <w:rsid w:val="007C3691"/>
    <w:rsid w:val="007C382C"/>
    <w:rsid w:val="007C3EBB"/>
    <w:rsid w:val="007C4093"/>
    <w:rsid w:val="007C4B6E"/>
    <w:rsid w:val="007C50BE"/>
    <w:rsid w:val="007C5398"/>
    <w:rsid w:val="007C5880"/>
    <w:rsid w:val="007C61A7"/>
    <w:rsid w:val="007C6561"/>
    <w:rsid w:val="007C7549"/>
    <w:rsid w:val="007C76AE"/>
    <w:rsid w:val="007D018F"/>
    <w:rsid w:val="007D0641"/>
    <w:rsid w:val="007D14BF"/>
    <w:rsid w:val="007D17E7"/>
    <w:rsid w:val="007D1F9F"/>
    <w:rsid w:val="007D25EE"/>
    <w:rsid w:val="007D3961"/>
    <w:rsid w:val="007D4591"/>
    <w:rsid w:val="007D50C8"/>
    <w:rsid w:val="007D601D"/>
    <w:rsid w:val="007D60DE"/>
    <w:rsid w:val="007D6117"/>
    <w:rsid w:val="007D6D58"/>
    <w:rsid w:val="007D70D3"/>
    <w:rsid w:val="007D7116"/>
    <w:rsid w:val="007D75E1"/>
    <w:rsid w:val="007D7DF9"/>
    <w:rsid w:val="007E0467"/>
    <w:rsid w:val="007E079C"/>
    <w:rsid w:val="007E1946"/>
    <w:rsid w:val="007E1ACB"/>
    <w:rsid w:val="007E2421"/>
    <w:rsid w:val="007E3109"/>
    <w:rsid w:val="007E36F6"/>
    <w:rsid w:val="007E3AEC"/>
    <w:rsid w:val="007E3E2D"/>
    <w:rsid w:val="007E405E"/>
    <w:rsid w:val="007E40C8"/>
    <w:rsid w:val="007E478A"/>
    <w:rsid w:val="007E518A"/>
    <w:rsid w:val="007E53D0"/>
    <w:rsid w:val="007E5D39"/>
    <w:rsid w:val="007E61AA"/>
    <w:rsid w:val="007E62D3"/>
    <w:rsid w:val="007E761C"/>
    <w:rsid w:val="007E793A"/>
    <w:rsid w:val="007E7F6E"/>
    <w:rsid w:val="007F0283"/>
    <w:rsid w:val="007F0296"/>
    <w:rsid w:val="007F03DA"/>
    <w:rsid w:val="007F0A82"/>
    <w:rsid w:val="007F0D5B"/>
    <w:rsid w:val="007F129F"/>
    <w:rsid w:val="007F22C1"/>
    <w:rsid w:val="007F2396"/>
    <w:rsid w:val="007F2E25"/>
    <w:rsid w:val="007F3797"/>
    <w:rsid w:val="007F418D"/>
    <w:rsid w:val="007F4953"/>
    <w:rsid w:val="007F4D8B"/>
    <w:rsid w:val="007F4F0C"/>
    <w:rsid w:val="007F5498"/>
    <w:rsid w:val="007F568A"/>
    <w:rsid w:val="007F5D99"/>
    <w:rsid w:val="007F6569"/>
    <w:rsid w:val="007F6B34"/>
    <w:rsid w:val="007F6CA3"/>
    <w:rsid w:val="007F73F4"/>
    <w:rsid w:val="007F7893"/>
    <w:rsid w:val="008007E7"/>
    <w:rsid w:val="0080137E"/>
    <w:rsid w:val="008014D2"/>
    <w:rsid w:val="00801828"/>
    <w:rsid w:val="00802179"/>
    <w:rsid w:val="008022AD"/>
    <w:rsid w:val="00802679"/>
    <w:rsid w:val="00802683"/>
    <w:rsid w:val="00802B91"/>
    <w:rsid w:val="00803E73"/>
    <w:rsid w:val="008047DC"/>
    <w:rsid w:val="008054A2"/>
    <w:rsid w:val="00805799"/>
    <w:rsid w:val="008059CA"/>
    <w:rsid w:val="00805B8C"/>
    <w:rsid w:val="0080672A"/>
    <w:rsid w:val="00806948"/>
    <w:rsid w:val="00806AF6"/>
    <w:rsid w:val="00806D5C"/>
    <w:rsid w:val="0080730D"/>
    <w:rsid w:val="0081060B"/>
    <w:rsid w:val="008106E3"/>
    <w:rsid w:val="00810AF0"/>
    <w:rsid w:val="00811E12"/>
    <w:rsid w:val="00812367"/>
    <w:rsid w:val="00812A43"/>
    <w:rsid w:val="00813A22"/>
    <w:rsid w:val="00814BC9"/>
    <w:rsid w:val="00814E4F"/>
    <w:rsid w:val="0081537D"/>
    <w:rsid w:val="008175FE"/>
    <w:rsid w:val="008176DC"/>
    <w:rsid w:val="00817DA1"/>
    <w:rsid w:val="00820172"/>
    <w:rsid w:val="008203B0"/>
    <w:rsid w:val="008203EB"/>
    <w:rsid w:val="00822259"/>
    <w:rsid w:val="00822810"/>
    <w:rsid w:val="00822D6A"/>
    <w:rsid w:val="00822DBD"/>
    <w:rsid w:val="008233EC"/>
    <w:rsid w:val="00823CB7"/>
    <w:rsid w:val="008246FD"/>
    <w:rsid w:val="00824E93"/>
    <w:rsid w:val="00825306"/>
    <w:rsid w:val="008257A8"/>
    <w:rsid w:val="00825C8C"/>
    <w:rsid w:val="00825CC7"/>
    <w:rsid w:val="00825D8E"/>
    <w:rsid w:val="00826B7B"/>
    <w:rsid w:val="00826C7E"/>
    <w:rsid w:val="00827547"/>
    <w:rsid w:val="00827A1D"/>
    <w:rsid w:val="00827D82"/>
    <w:rsid w:val="00827E3B"/>
    <w:rsid w:val="0083132E"/>
    <w:rsid w:val="00831725"/>
    <w:rsid w:val="00831A84"/>
    <w:rsid w:val="008326F2"/>
    <w:rsid w:val="008333A1"/>
    <w:rsid w:val="00833627"/>
    <w:rsid w:val="00834089"/>
    <w:rsid w:val="008342CE"/>
    <w:rsid w:val="008345E3"/>
    <w:rsid w:val="0083557E"/>
    <w:rsid w:val="008371BA"/>
    <w:rsid w:val="00837870"/>
    <w:rsid w:val="008405AB"/>
    <w:rsid w:val="00841114"/>
    <w:rsid w:val="008419F6"/>
    <w:rsid w:val="008421A2"/>
    <w:rsid w:val="00842448"/>
    <w:rsid w:val="00843313"/>
    <w:rsid w:val="00843C43"/>
    <w:rsid w:val="00843ED2"/>
    <w:rsid w:val="00844AB3"/>
    <w:rsid w:val="00845F1F"/>
    <w:rsid w:val="00846BAA"/>
    <w:rsid w:val="00846DF0"/>
    <w:rsid w:val="0084702F"/>
    <w:rsid w:val="00847BF5"/>
    <w:rsid w:val="008501CB"/>
    <w:rsid w:val="0085044C"/>
    <w:rsid w:val="008517CF"/>
    <w:rsid w:val="0085180B"/>
    <w:rsid w:val="0085189F"/>
    <w:rsid w:val="00851CCB"/>
    <w:rsid w:val="00851E27"/>
    <w:rsid w:val="0085235D"/>
    <w:rsid w:val="00854662"/>
    <w:rsid w:val="00854A50"/>
    <w:rsid w:val="00854C2D"/>
    <w:rsid w:val="00854DCC"/>
    <w:rsid w:val="00855677"/>
    <w:rsid w:val="00855792"/>
    <w:rsid w:val="00855B05"/>
    <w:rsid w:val="00855EBD"/>
    <w:rsid w:val="00856BCA"/>
    <w:rsid w:val="00856C55"/>
    <w:rsid w:val="0085789C"/>
    <w:rsid w:val="008602BB"/>
    <w:rsid w:val="008605DD"/>
    <w:rsid w:val="008614A4"/>
    <w:rsid w:val="00861C0C"/>
    <w:rsid w:val="008623EB"/>
    <w:rsid w:val="00862C5B"/>
    <w:rsid w:val="00862CF7"/>
    <w:rsid w:val="00863068"/>
    <w:rsid w:val="008646C7"/>
    <w:rsid w:val="0086580C"/>
    <w:rsid w:val="00865B66"/>
    <w:rsid w:val="00865BE4"/>
    <w:rsid w:val="00866E77"/>
    <w:rsid w:val="0086778E"/>
    <w:rsid w:val="00867C92"/>
    <w:rsid w:val="0087046F"/>
    <w:rsid w:val="0087069C"/>
    <w:rsid w:val="00870869"/>
    <w:rsid w:val="00870D5A"/>
    <w:rsid w:val="00870DD7"/>
    <w:rsid w:val="00871959"/>
    <w:rsid w:val="00873000"/>
    <w:rsid w:val="008734D7"/>
    <w:rsid w:val="0087375C"/>
    <w:rsid w:val="00873BEC"/>
    <w:rsid w:val="00873EC0"/>
    <w:rsid w:val="0087424B"/>
    <w:rsid w:val="008742BA"/>
    <w:rsid w:val="0087489F"/>
    <w:rsid w:val="0087552A"/>
    <w:rsid w:val="00875818"/>
    <w:rsid w:val="00875EE1"/>
    <w:rsid w:val="00876F54"/>
    <w:rsid w:val="008774B9"/>
    <w:rsid w:val="0087797C"/>
    <w:rsid w:val="00877AAB"/>
    <w:rsid w:val="00880DE8"/>
    <w:rsid w:val="00881904"/>
    <w:rsid w:val="00882117"/>
    <w:rsid w:val="0088228D"/>
    <w:rsid w:val="00882D74"/>
    <w:rsid w:val="00882F4F"/>
    <w:rsid w:val="0088375B"/>
    <w:rsid w:val="0088383F"/>
    <w:rsid w:val="00884391"/>
    <w:rsid w:val="008846B1"/>
    <w:rsid w:val="00884A3B"/>
    <w:rsid w:val="00885C0B"/>
    <w:rsid w:val="00885CEC"/>
    <w:rsid w:val="00886B6E"/>
    <w:rsid w:val="00887683"/>
    <w:rsid w:val="00887692"/>
    <w:rsid w:val="00887848"/>
    <w:rsid w:val="00887EA5"/>
    <w:rsid w:val="008911AE"/>
    <w:rsid w:val="008918D3"/>
    <w:rsid w:val="00892023"/>
    <w:rsid w:val="00892B0E"/>
    <w:rsid w:val="00893049"/>
    <w:rsid w:val="00893A1C"/>
    <w:rsid w:val="008943BD"/>
    <w:rsid w:val="00895DA7"/>
    <w:rsid w:val="008970E3"/>
    <w:rsid w:val="008973B0"/>
    <w:rsid w:val="008976E1"/>
    <w:rsid w:val="008976F9"/>
    <w:rsid w:val="008A075B"/>
    <w:rsid w:val="008A07D0"/>
    <w:rsid w:val="008A1716"/>
    <w:rsid w:val="008A1AC2"/>
    <w:rsid w:val="008A2E1B"/>
    <w:rsid w:val="008A35D0"/>
    <w:rsid w:val="008A3951"/>
    <w:rsid w:val="008A566E"/>
    <w:rsid w:val="008A5774"/>
    <w:rsid w:val="008A57AC"/>
    <w:rsid w:val="008A5A1C"/>
    <w:rsid w:val="008A5D5F"/>
    <w:rsid w:val="008A5DCD"/>
    <w:rsid w:val="008A5EF4"/>
    <w:rsid w:val="008A641B"/>
    <w:rsid w:val="008A6990"/>
    <w:rsid w:val="008A745F"/>
    <w:rsid w:val="008A75D0"/>
    <w:rsid w:val="008B0F27"/>
    <w:rsid w:val="008B140A"/>
    <w:rsid w:val="008B1CDE"/>
    <w:rsid w:val="008B282A"/>
    <w:rsid w:val="008B2F14"/>
    <w:rsid w:val="008B31C4"/>
    <w:rsid w:val="008B3246"/>
    <w:rsid w:val="008B325C"/>
    <w:rsid w:val="008B327C"/>
    <w:rsid w:val="008B38F4"/>
    <w:rsid w:val="008B3967"/>
    <w:rsid w:val="008B3D5C"/>
    <w:rsid w:val="008B4F9B"/>
    <w:rsid w:val="008B532B"/>
    <w:rsid w:val="008B5472"/>
    <w:rsid w:val="008B658D"/>
    <w:rsid w:val="008B6B46"/>
    <w:rsid w:val="008B6FAB"/>
    <w:rsid w:val="008B70F8"/>
    <w:rsid w:val="008B7838"/>
    <w:rsid w:val="008B793C"/>
    <w:rsid w:val="008C0DC0"/>
    <w:rsid w:val="008C14FC"/>
    <w:rsid w:val="008C23E8"/>
    <w:rsid w:val="008C296D"/>
    <w:rsid w:val="008C2AE0"/>
    <w:rsid w:val="008C2CA7"/>
    <w:rsid w:val="008C344C"/>
    <w:rsid w:val="008C35FE"/>
    <w:rsid w:val="008C3EF8"/>
    <w:rsid w:val="008C4264"/>
    <w:rsid w:val="008C4A03"/>
    <w:rsid w:val="008C4AD9"/>
    <w:rsid w:val="008C5126"/>
    <w:rsid w:val="008C582C"/>
    <w:rsid w:val="008C5B9D"/>
    <w:rsid w:val="008C6001"/>
    <w:rsid w:val="008C793D"/>
    <w:rsid w:val="008D03FC"/>
    <w:rsid w:val="008D13E4"/>
    <w:rsid w:val="008D19FA"/>
    <w:rsid w:val="008D2066"/>
    <w:rsid w:val="008D2A33"/>
    <w:rsid w:val="008D3015"/>
    <w:rsid w:val="008D3A00"/>
    <w:rsid w:val="008D3A68"/>
    <w:rsid w:val="008D4006"/>
    <w:rsid w:val="008D4209"/>
    <w:rsid w:val="008D6DE6"/>
    <w:rsid w:val="008D6FAF"/>
    <w:rsid w:val="008D71F6"/>
    <w:rsid w:val="008D7544"/>
    <w:rsid w:val="008D7852"/>
    <w:rsid w:val="008D7A92"/>
    <w:rsid w:val="008E321D"/>
    <w:rsid w:val="008E351F"/>
    <w:rsid w:val="008E3CCF"/>
    <w:rsid w:val="008E5878"/>
    <w:rsid w:val="008E58F4"/>
    <w:rsid w:val="008E6611"/>
    <w:rsid w:val="008E6D7B"/>
    <w:rsid w:val="008E74DC"/>
    <w:rsid w:val="008E7542"/>
    <w:rsid w:val="008E7F95"/>
    <w:rsid w:val="008F1B2B"/>
    <w:rsid w:val="008F1F12"/>
    <w:rsid w:val="008F2546"/>
    <w:rsid w:val="008F2D06"/>
    <w:rsid w:val="008F3955"/>
    <w:rsid w:val="008F4050"/>
    <w:rsid w:val="008F421E"/>
    <w:rsid w:val="008F44C2"/>
    <w:rsid w:val="008F45A3"/>
    <w:rsid w:val="008F5707"/>
    <w:rsid w:val="008F5ABA"/>
    <w:rsid w:val="008F5B0F"/>
    <w:rsid w:val="008F6331"/>
    <w:rsid w:val="008F63C2"/>
    <w:rsid w:val="008F664A"/>
    <w:rsid w:val="008F6EA2"/>
    <w:rsid w:val="008F75AF"/>
    <w:rsid w:val="008F762A"/>
    <w:rsid w:val="008F7698"/>
    <w:rsid w:val="008F7A2E"/>
    <w:rsid w:val="008F7DC9"/>
    <w:rsid w:val="0090038F"/>
    <w:rsid w:val="009013A3"/>
    <w:rsid w:val="00901C1F"/>
    <w:rsid w:val="009020A8"/>
    <w:rsid w:val="00902A77"/>
    <w:rsid w:val="0090330B"/>
    <w:rsid w:val="00903347"/>
    <w:rsid w:val="00903AB7"/>
    <w:rsid w:val="00903B24"/>
    <w:rsid w:val="00904456"/>
    <w:rsid w:val="009058E8"/>
    <w:rsid w:val="009059B4"/>
    <w:rsid w:val="00905DF7"/>
    <w:rsid w:val="0090655F"/>
    <w:rsid w:val="00906754"/>
    <w:rsid w:val="00906A3E"/>
    <w:rsid w:val="00907809"/>
    <w:rsid w:val="00910021"/>
    <w:rsid w:val="00910190"/>
    <w:rsid w:val="009101E1"/>
    <w:rsid w:val="00910226"/>
    <w:rsid w:val="00910AB4"/>
    <w:rsid w:val="00911078"/>
    <w:rsid w:val="00911222"/>
    <w:rsid w:val="009112CB"/>
    <w:rsid w:val="0091130F"/>
    <w:rsid w:val="00911F32"/>
    <w:rsid w:val="00911F8F"/>
    <w:rsid w:val="00912DE1"/>
    <w:rsid w:val="00913289"/>
    <w:rsid w:val="009137D8"/>
    <w:rsid w:val="00913F58"/>
    <w:rsid w:val="00914347"/>
    <w:rsid w:val="009144CF"/>
    <w:rsid w:val="00914DBE"/>
    <w:rsid w:val="00914EA7"/>
    <w:rsid w:val="00914FA7"/>
    <w:rsid w:val="009167E3"/>
    <w:rsid w:val="00916D1C"/>
    <w:rsid w:val="00916D22"/>
    <w:rsid w:val="00920AAC"/>
    <w:rsid w:val="00920AF4"/>
    <w:rsid w:val="00921085"/>
    <w:rsid w:val="009218EB"/>
    <w:rsid w:val="00922131"/>
    <w:rsid w:val="00922F1C"/>
    <w:rsid w:val="009238EC"/>
    <w:rsid w:val="00923C8C"/>
    <w:rsid w:val="0092502E"/>
    <w:rsid w:val="009250A8"/>
    <w:rsid w:val="0092527A"/>
    <w:rsid w:val="009255A3"/>
    <w:rsid w:val="009257B5"/>
    <w:rsid w:val="00925D89"/>
    <w:rsid w:val="00925E87"/>
    <w:rsid w:val="00925EA7"/>
    <w:rsid w:val="00926382"/>
    <w:rsid w:val="009264E9"/>
    <w:rsid w:val="009264EE"/>
    <w:rsid w:val="009265D3"/>
    <w:rsid w:val="00927B21"/>
    <w:rsid w:val="0093022A"/>
    <w:rsid w:val="009306D0"/>
    <w:rsid w:val="00930D60"/>
    <w:rsid w:val="00931558"/>
    <w:rsid w:val="009315A6"/>
    <w:rsid w:val="009316BA"/>
    <w:rsid w:val="00932322"/>
    <w:rsid w:val="00933894"/>
    <w:rsid w:val="00933AEF"/>
    <w:rsid w:val="009343F2"/>
    <w:rsid w:val="00934D1B"/>
    <w:rsid w:val="00935B5D"/>
    <w:rsid w:val="00935FA9"/>
    <w:rsid w:val="00936F3B"/>
    <w:rsid w:val="00937C98"/>
    <w:rsid w:val="00937E84"/>
    <w:rsid w:val="00937EFE"/>
    <w:rsid w:val="00937F2C"/>
    <w:rsid w:val="00940A64"/>
    <w:rsid w:val="009416D9"/>
    <w:rsid w:val="00941BEB"/>
    <w:rsid w:val="00942075"/>
    <w:rsid w:val="0094208B"/>
    <w:rsid w:val="00942139"/>
    <w:rsid w:val="00943570"/>
    <w:rsid w:val="00943A20"/>
    <w:rsid w:val="00943E87"/>
    <w:rsid w:val="00944331"/>
    <w:rsid w:val="00944A1B"/>
    <w:rsid w:val="00945D66"/>
    <w:rsid w:val="00945E6D"/>
    <w:rsid w:val="009460B8"/>
    <w:rsid w:val="0094631D"/>
    <w:rsid w:val="00946B11"/>
    <w:rsid w:val="00946E05"/>
    <w:rsid w:val="009471FB"/>
    <w:rsid w:val="00950223"/>
    <w:rsid w:val="00950C5D"/>
    <w:rsid w:val="0095164A"/>
    <w:rsid w:val="00951B2D"/>
    <w:rsid w:val="0095213F"/>
    <w:rsid w:val="0095274D"/>
    <w:rsid w:val="00953022"/>
    <w:rsid w:val="0095328E"/>
    <w:rsid w:val="009533E4"/>
    <w:rsid w:val="009540DC"/>
    <w:rsid w:val="00954607"/>
    <w:rsid w:val="00954875"/>
    <w:rsid w:val="009557F2"/>
    <w:rsid w:val="0095613E"/>
    <w:rsid w:val="009563DE"/>
    <w:rsid w:val="0095650D"/>
    <w:rsid w:val="009568ED"/>
    <w:rsid w:val="00956CB7"/>
    <w:rsid w:val="0096036B"/>
    <w:rsid w:val="00961A03"/>
    <w:rsid w:val="00962883"/>
    <w:rsid w:val="00962AEB"/>
    <w:rsid w:val="00963345"/>
    <w:rsid w:val="009639C7"/>
    <w:rsid w:val="00963AA5"/>
    <w:rsid w:val="0096426D"/>
    <w:rsid w:val="0096608C"/>
    <w:rsid w:val="0096684F"/>
    <w:rsid w:val="00966B89"/>
    <w:rsid w:val="0096766C"/>
    <w:rsid w:val="009677C1"/>
    <w:rsid w:val="00971930"/>
    <w:rsid w:val="00971EB0"/>
    <w:rsid w:val="0097220D"/>
    <w:rsid w:val="009727F2"/>
    <w:rsid w:val="009729B8"/>
    <w:rsid w:val="00972CD1"/>
    <w:rsid w:val="0097415E"/>
    <w:rsid w:val="00974237"/>
    <w:rsid w:val="00974242"/>
    <w:rsid w:val="009744B4"/>
    <w:rsid w:val="00974723"/>
    <w:rsid w:val="009748B2"/>
    <w:rsid w:val="00975954"/>
    <w:rsid w:val="00975DDE"/>
    <w:rsid w:val="009765EF"/>
    <w:rsid w:val="00976675"/>
    <w:rsid w:val="00976C19"/>
    <w:rsid w:val="00976C3C"/>
    <w:rsid w:val="009771FC"/>
    <w:rsid w:val="009775FA"/>
    <w:rsid w:val="00977CC3"/>
    <w:rsid w:val="00980FF3"/>
    <w:rsid w:val="009816C0"/>
    <w:rsid w:val="0098234E"/>
    <w:rsid w:val="00982ED6"/>
    <w:rsid w:val="00983462"/>
    <w:rsid w:val="009835E6"/>
    <w:rsid w:val="00983C52"/>
    <w:rsid w:val="00983DD5"/>
    <w:rsid w:val="00983FBC"/>
    <w:rsid w:val="00984BBE"/>
    <w:rsid w:val="00984DD6"/>
    <w:rsid w:val="0098519D"/>
    <w:rsid w:val="0098566A"/>
    <w:rsid w:val="0098598E"/>
    <w:rsid w:val="00985B72"/>
    <w:rsid w:val="0098630C"/>
    <w:rsid w:val="00986360"/>
    <w:rsid w:val="00986617"/>
    <w:rsid w:val="00986BC7"/>
    <w:rsid w:val="00987699"/>
    <w:rsid w:val="00987DF2"/>
    <w:rsid w:val="00990F4F"/>
    <w:rsid w:val="00991310"/>
    <w:rsid w:val="00991C79"/>
    <w:rsid w:val="00995599"/>
    <w:rsid w:val="0099592C"/>
    <w:rsid w:val="00996143"/>
    <w:rsid w:val="009961A6"/>
    <w:rsid w:val="00996247"/>
    <w:rsid w:val="00997286"/>
    <w:rsid w:val="00997AAF"/>
    <w:rsid w:val="00997B3A"/>
    <w:rsid w:val="00997D69"/>
    <w:rsid w:val="009A0703"/>
    <w:rsid w:val="009A0A0D"/>
    <w:rsid w:val="009A0F3E"/>
    <w:rsid w:val="009A285C"/>
    <w:rsid w:val="009A2993"/>
    <w:rsid w:val="009A2AA3"/>
    <w:rsid w:val="009A2B73"/>
    <w:rsid w:val="009A3379"/>
    <w:rsid w:val="009A3A7F"/>
    <w:rsid w:val="009A3AE2"/>
    <w:rsid w:val="009A3DBC"/>
    <w:rsid w:val="009A4354"/>
    <w:rsid w:val="009A43C1"/>
    <w:rsid w:val="009A567C"/>
    <w:rsid w:val="009A595F"/>
    <w:rsid w:val="009A6B57"/>
    <w:rsid w:val="009A6D22"/>
    <w:rsid w:val="009A7C9C"/>
    <w:rsid w:val="009B03CB"/>
    <w:rsid w:val="009B23AD"/>
    <w:rsid w:val="009B286D"/>
    <w:rsid w:val="009B2DB7"/>
    <w:rsid w:val="009B39E7"/>
    <w:rsid w:val="009B3B44"/>
    <w:rsid w:val="009B3F5C"/>
    <w:rsid w:val="009B427A"/>
    <w:rsid w:val="009B49D0"/>
    <w:rsid w:val="009B4B1F"/>
    <w:rsid w:val="009B5B1E"/>
    <w:rsid w:val="009B6F1A"/>
    <w:rsid w:val="009B7EE7"/>
    <w:rsid w:val="009C050C"/>
    <w:rsid w:val="009C0C1B"/>
    <w:rsid w:val="009C1706"/>
    <w:rsid w:val="009C1DE8"/>
    <w:rsid w:val="009C1F8A"/>
    <w:rsid w:val="009C2570"/>
    <w:rsid w:val="009C2DD9"/>
    <w:rsid w:val="009C3512"/>
    <w:rsid w:val="009C382E"/>
    <w:rsid w:val="009C419C"/>
    <w:rsid w:val="009C52A9"/>
    <w:rsid w:val="009C577A"/>
    <w:rsid w:val="009C5C4B"/>
    <w:rsid w:val="009C6DA2"/>
    <w:rsid w:val="009C73C1"/>
    <w:rsid w:val="009C7926"/>
    <w:rsid w:val="009C7D0D"/>
    <w:rsid w:val="009D1805"/>
    <w:rsid w:val="009D1CD3"/>
    <w:rsid w:val="009D2347"/>
    <w:rsid w:val="009D278E"/>
    <w:rsid w:val="009D298A"/>
    <w:rsid w:val="009D3104"/>
    <w:rsid w:val="009D318B"/>
    <w:rsid w:val="009D3292"/>
    <w:rsid w:val="009D3C68"/>
    <w:rsid w:val="009D3FCF"/>
    <w:rsid w:val="009D4C5D"/>
    <w:rsid w:val="009D4D4D"/>
    <w:rsid w:val="009D5232"/>
    <w:rsid w:val="009D6495"/>
    <w:rsid w:val="009D717E"/>
    <w:rsid w:val="009D751A"/>
    <w:rsid w:val="009D7D60"/>
    <w:rsid w:val="009E09F2"/>
    <w:rsid w:val="009E1339"/>
    <w:rsid w:val="009E1D96"/>
    <w:rsid w:val="009E2F1E"/>
    <w:rsid w:val="009E31DD"/>
    <w:rsid w:val="009E3652"/>
    <w:rsid w:val="009E36F8"/>
    <w:rsid w:val="009E3EFF"/>
    <w:rsid w:val="009E4897"/>
    <w:rsid w:val="009E4B76"/>
    <w:rsid w:val="009E525A"/>
    <w:rsid w:val="009E60C7"/>
    <w:rsid w:val="009E663D"/>
    <w:rsid w:val="009E66B3"/>
    <w:rsid w:val="009E757B"/>
    <w:rsid w:val="009F02C9"/>
    <w:rsid w:val="009F08C0"/>
    <w:rsid w:val="009F0926"/>
    <w:rsid w:val="009F2A5B"/>
    <w:rsid w:val="009F2CBB"/>
    <w:rsid w:val="009F2CC8"/>
    <w:rsid w:val="009F3377"/>
    <w:rsid w:val="009F3DAD"/>
    <w:rsid w:val="009F4B3E"/>
    <w:rsid w:val="009F4D97"/>
    <w:rsid w:val="009F4F34"/>
    <w:rsid w:val="009F57CE"/>
    <w:rsid w:val="009F64F4"/>
    <w:rsid w:val="009F6571"/>
    <w:rsid w:val="009F697D"/>
    <w:rsid w:val="009F7B8A"/>
    <w:rsid w:val="00A0014A"/>
    <w:rsid w:val="00A00427"/>
    <w:rsid w:val="00A0082C"/>
    <w:rsid w:val="00A008E2"/>
    <w:rsid w:val="00A00B6B"/>
    <w:rsid w:val="00A00CF4"/>
    <w:rsid w:val="00A00FB7"/>
    <w:rsid w:val="00A01143"/>
    <w:rsid w:val="00A014CF"/>
    <w:rsid w:val="00A01925"/>
    <w:rsid w:val="00A0202C"/>
    <w:rsid w:val="00A0206C"/>
    <w:rsid w:val="00A026E6"/>
    <w:rsid w:val="00A03658"/>
    <w:rsid w:val="00A038AA"/>
    <w:rsid w:val="00A040AF"/>
    <w:rsid w:val="00A04513"/>
    <w:rsid w:val="00A0458A"/>
    <w:rsid w:val="00A05180"/>
    <w:rsid w:val="00A05318"/>
    <w:rsid w:val="00A05B1B"/>
    <w:rsid w:val="00A0785A"/>
    <w:rsid w:val="00A1075F"/>
    <w:rsid w:val="00A11310"/>
    <w:rsid w:val="00A11FF1"/>
    <w:rsid w:val="00A12210"/>
    <w:rsid w:val="00A12A62"/>
    <w:rsid w:val="00A12BD0"/>
    <w:rsid w:val="00A133EF"/>
    <w:rsid w:val="00A14E9D"/>
    <w:rsid w:val="00A14F0C"/>
    <w:rsid w:val="00A16750"/>
    <w:rsid w:val="00A20391"/>
    <w:rsid w:val="00A206E6"/>
    <w:rsid w:val="00A20DA0"/>
    <w:rsid w:val="00A21B66"/>
    <w:rsid w:val="00A2297E"/>
    <w:rsid w:val="00A229B4"/>
    <w:rsid w:val="00A22DB0"/>
    <w:rsid w:val="00A22DBE"/>
    <w:rsid w:val="00A23666"/>
    <w:rsid w:val="00A23778"/>
    <w:rsid w:val="00A24471"/>
    <w:rsid w:val="00A264E7"/>
    <w:rsid w:val="00A26D96"/>
    <w:rsid w:val="00A30189"/>
    <w:rsid w:val="00A30514"/>
    <w:rsid w:val="00A306C3"/>
    <w:rsid w:val="00A30DD0"/>
    <w:rsid w:val="00A311AB"/>
    <w:rsid w:val="00A31202"/>
    <w:rsid w:val="00A31763"/>
    <w:rsid w:val="00A31EF6"/>
    <w:rsid w:val="00A32853"/>
    <w:rsid w:val="00A328D3"/>
    <w:rsid w:val="00A3384A"/>
    <w:rsid w:val="00A338C6"/>
    <w:rsid w:val="00A33A3C"/>
    <w:rsid w:val="00A33A54"/>
    <w:rsid w:val="00A34C73"/>
    <w:rsid w:val="00A352C4"/>
    <w:rsid w:val="00A363C5"/>
    <w:rsid w:val="00A367FE"/>
    <w:rsid w:val="00A368C3"/>
    <w:rsid w:val="00A36B4B"/>
    <w:rsid w:val="00A36D45"/>
    <w:rsid w:val="00A37360"/>
    <w:rsid w:val="00A37797"/>
    <w:rsid w:val="00A37ABD"/>
    <w:rsid w:val="00A37C8B"/>
    <w:rsid w:val="00A40D79"/>
    <w:rsid w:val="00A41664"/>
    <w:rsid w:val="00A421FB"/>
    <w:rsid w:val="00A4242A"/>
    <w:rsid w:val="00A42616"/>
    <w:rsid w:val="00A42E17"/>
    <w:rsid w:val="00A42F66"/>
    <w:rsid w:val="00A43019"/>
    <w:rsid w:val="00A4347F"/>
    <w:rsid w:val="00A439DF"/>
    <w:rsid w:val="00A43F2C"/>
    <w:rsid w:val="00A44C13"/>
    <w:rsid w:val="00A45437"/>
    <w:rsid w:val="00A45A99"/>
    <w:rsid w:val="00A45B56"/>
    <w:rsid w:val="00A460A6"/>
    <w:rsid w:val="00A46232"/>
    <w:rsid w:val="00A465F3"/>
    <w:rsid w:val="00A469D4"/>
    <w:rsid w:val="00A500D5"/>
    <w:rsid w:val="00A507E3"/>
    <w:rsid w:val="00A50E7B"/>
    <w:rsid w:val="00A51A4E"/>
    <w:rsid w:val="00A52002"/>
    <w:rsid w:val="00A5223B"/>
    <w:rsid w:val="00A52E29"/>
    <w:rsid w:val="00A5313D"/>
    <w:rsid w:val="00A53515"/>
    <w:rsid w:val="00A539FA"/>
    <w:rsid w:val="00A5444D"/>
    <w:rsid w:val="00A544BB"/>
    <w:rsid w:val="00A54BAE"/>
    <w:rsid w:val="00A558E0"/>
    <w:rsid w:val="00A566DF"/>
    <w:rsid w:val="00A56E32"/>
    <w:rsid w:val="00A56E4B"/>
    <w:rsid w:val="00A60435"/>
    <w:rsid w:val="00A605DC"/>
    <w:rsid w:val="00A611A5"/>
    <w:rsid w:val="00A61972"/>
    <w:rsid w:val="00A62ECE"/>
    <w:rsid w:val="00A630FF"/>
    <w:rsid w:val="00A6334B"/>
    <w:rsid w:val="00A637F2"/>
    <w:rsid w:val="00A6386A"/>
    <w:rsid w:val="00A63AB1"/>
    <w:rsid w:val="00A651AA"/>
    <w:rsid w:val="00A65D0E"/>
    <w:rsid w:val="00A67880"/>
    <w:rsid w:val="00A710DF"/>
    <w:rsid w:val="00A7196C"/>
    <w:rsid w:val="00A72157"/>
    <w:rsid w:val="00A7324F"/>
    <w:rsid w:val="00A75524"/>
    <w:rsid w:val="00A758A9"/>
    <w:rsid w:val="00A77CB8"/>
    <w:rsid w:val="00A80375"/>
    <w:rsid w:val="00A807B6"/>
    <w:rsid w:val="00A80B5E"/>
    <w:rsid w:val="00A80EB0"/>
    <w:rsid w:val="00A80F9B"/>
    <w:rsid w:val="00A81BBB"/>
    <w:rsid w:val="00A82AE1"/>
    <w:rsid w:val="00A82B9F"/>
    <w:rsid w:val="00A836E6"/>
    <w:rsid w:val="00A839DE"/>
    <w:rsid w:val="00A84135"/>
    <w:rsid w:val="00A8432F"/>
    <w:rsid w:val="00A8471C"/>
    <w:rsid w:val="00A850AD"/>
    <w:rsid w:val="00A85180"/>
    <w:rsid w:val="00A85671"/>
    <w:rsid w:val="00A85707"/>
    <w:rsid w:val="00A8665C"/>
    <w:rsid w:val="00A871BB"/>
    <w:rsid w:val="00A87790"/>
    <w:rsid w:val="00A90A66"/>
    <w:rsid w:val="00A92A8C"/>
    <w:rsid w:val="00A92FBA"/>
    <w:rsid w:val="00A935E7"/>
    <w:rsid w:val="00A935FC"/>
    <w:rsid w:val="00A93667"/>
    <w:rsid w:val="00A93725"/>
    <w:rsid w:val="00A9425C"/>
    <w:rsid w:val="00A944FD"/>
    <w:rsid w:val="00A945BA"/>
    <w:rsid w:val="00A945DE"/>
    <w:rsid w:val="00A94933"/>
    <w:rsid w:val="00A94C3E"/>
    <w:rsid w:val="00A95702"/>
    <w:rsid w:val="00A9586E"/>
    <w:rsid w:val="00A96CAD"/>
    <w:rsid w:val="00A97548"/>
    <w:rsid w:val="00A97693"/>
    <w:rsid w:val="00AA0889"/>
    <w:rsid w:val="00AA314A"/>
    <w:rsid w:val="00AA336B"/>
    <w:rsid w:val="00AA3C2B"/>
    <w:rsid w:val="00AA3F91"/>
    <w:rsid w:val="00AA422C"/>
    <w:rsid w:val="00AA4E2F"/>
    <w:rsid w:val="00AA5484"/>
    <w:rsid w:val="00AA5B9F"/>
    <w:rsid w:val="00AA62F2"/>
    <w:rsid w:val="00AA7A4D"/>
    <w:rsid w:val="00AA7CB1"/>
    <w:rsid w:val="00AB0140"/>
    <w:rsid w:val="00AB0546"/>
    <w:rsid w:val="00AB0AC1"/>
    <w:rsid w:val="00AB12E5"/>
    <w:rsid w:val="00AB174A"/>
    <w:rsid w:val="00AB1881"/>
    <w:rsid w:val="00AB1CE8"/>
    <w:rsid w:val="00AB1E12"/>
    <w:rsid w:val="00AB21CE"/>
    <w:rsid w:val="00AB2A6A"/>
    <w:rsid w:val="00AB2DFC"/>
    <w:rsid w:val="00AB3A1C"/>
    <w:rsid w:val="00AB3C80"/>
    <w:rsid w:val="00AB42DB"/>
    <w:rsid w:val="00AB4BB1"/>
    <w:rsid w:val="00AB5C7D"/>
    <w:rsid w:val="00AB5D7B"/>
    <w:rsid w:val="00AB6B0E"/>
    <w:rsid w:val="00AB6B4A"/>
    <w:rsid w:val="00AB6E37"/>
    <w:rsid w:val="00AB7F01"/>
    <w:rsid w:val="00AC0905"/>
    <w:rsid w:val="00AC0AAB"/>
    <w:rsid w:val="00AC101F"/>
    <w:rsid w:val="00AC17A8"/>
    <w:rsid w:val="00AC1C20"/>
    <w:rsid w:val="00AC2006"/>
    <w:rsid w:val="00AC29F5"/>
    <w:rsid w:val="00AC2AD9"/>
    <w:rsid w:val="00AC2E12"/>
    <w:rsid w:val="00AC3283"/>
    <w:rsid w:val="00AC351E"/>
    <w:rsid w:val="00AC4122"/>
    <w:rsid w:val="00AC623E"/>
    <w:rsid w:val="00AC6966"/>
    <w:rsid w:val="00AC76BF"/>
    <w:rsid w:val="00AD03A5"/>
    <w:rsid w:val="00AD0E4D"/>
    <w:rsid w:val="00AD177A"/>
    <w:rsid w:val="00AD1EB7"/>
    <w:rsid w:val="00AD3675"/>
    <w:rsid w:val="00AD3BE2"/>
    <w:rsid w:val="00AD3D0A"/>
    <w:rsid w:val="00AD4DC2"/>
    <w:rsid w:val="00AD4F3A"/>
    <w:rsid w:val="00AD5607"/>
    <w:rsid w:val="00AD57C8"/>
    <w:rsid w:val="00AD5B1D"/>
    <w:rsid w:val="00AD6B13"/>
    <w:rsid w:val="00AD6EFD"/>
    <w:rsid w:val="00AD7334"/>
    <w:rsid w:val="00AD7F3A"/>
    <w:rsid w:val="00AE0676"/>
    <w:rsid w:val="00AE0C69"/>
    <w:rsid w:val="00AE1587"/>
    <w:rsid w:val="00AE1DB6"/>
    <w:rsid w:val="00AE1E27"/>
    <w:rsid w:val="00AE209E"/>
    <w:rsid w:val="00AE2341"/>
    <w:rsid w:val="00AE273E"/>
    <w:rsid w:val="00AE2859"/>
    <w:rsid w:val="00AE3768"/>
    <w:rsid w:val="00AE3E04"/>
    <w:rsid w:val="00AE473E"/>
    <w:rsid w:val="00AE4DAC"/>
    <w:rsid w:val="00AE4F01"/>
    <w:rsid w:val="00AE4F82"/>
    <w:rsid w:val="00AE550B"/>
    <w:rsid w:val="00AE5B21"/>
    <w:rsid w:val="00AE6416"/>
    <w:rsid w:val="00AE64ED"/>
    <w:rsid w:val="00AF0179"/>
    <w:rsid w:val="00AF2053"/>
    <w:rsid w:val="00AF2416"/>
    <w:rsid w:val="00AF2DC8"/>
    <w:rsid w:val="00AF2E4A"/>
    <w:rsid w:val="00AF34EE"/>
    <w:rsid w:val="00AF3A57"/>
    <w:rsid w:val="00AF3A88"/>
    <w:rsid w:val="00AF42BD"/>
    <w:rsid w:val="00AF43C6"/>
    <w:rsid w:val="00AF4415"/>
    <w:rsid w:val="00AF471B"/>
    <w:rsid w:val="00AF5D14"/>
    <w:rsid w:val="00AF6615"/>
    <w:rsid w:val="00AF6C64"/>
    <w:rsid w:val="00AF70CF"/>
    <w:rsid w:val="00AF72D1"/>
    <w:rsid w:val="00AF7484"/>
    <w:rsid w:val="00AF7788"/>
    <w:rsid w:val="00AF7936"/>
    <w:rsid w:val="00AF7AEC"/>
    <w:rsid w:val="00AF7DC4"/>
    <w:rsid w:val="00B0029E"/>
    <w:rsid w:val="00B00430"/>
    <w:rsid w:val="00B0197C"/>
    <w:rsid w:val="00B0232A"/>
    <w:rsid w:val="00B02514"/>
    <w:rsid w:val="00B02812"/>
    <w:rsid w:val="00B02960"/>
    <w:rsid w:val="00B02D89"/>
    <w:rsid w:val="00B030FD"/>
    <w:rsid w:val="00B03447"/>
    <w:rsid w:val="00B034FC"/>
    <w:rsid w:val="00B058ED"/>
    <w:rsid w:val="00B05AF1"/>
    <w:rsid w:val="00B05FCB"/>
    <w:rsid w:val="00B068B7"/>
    <w:rsid w:val="00B06AC3"/>
    <w:rsid w:val="00B10213"/>
    <w:rsid w:val="00B11090"/>
    <w:rsid w:val="00B11649"/>
    <w:rsid w:val="00B11872"/>
    <w:rsid w:val="00B11A40"/>
    <w:rsid w:val="00B12357"/>
    <w:rsid w:val="00B1243D"/>
    <w:rsid w:val="00B12CF0"/>
    <w:rsid w:val="00B13744"/>
    <w:rsid w:val="00B13836"/>
    <w:rsid w:val="00B138B7"/>
    <w:rsid w:val="00B144DB"/>
    <w:rsid w:val="00B148DC"/>
    <w:rsid w:val="00B15133"/>
    <w:rsid w:val="00B156FB"/>
    <w:rsid w:val="00B158F0"/>
    <w:rsid w:val="00B166C2"/>
    <w:rsid w:val="00B20839"/>
    <w:rsid w:val="00B222C2"/>
    <w:rsid w:val="00B228CB"/>
    <w:rsid w:val="00B22F90"/>
    <w:rsid w:val="00B23084"/>
    <w:rsid w:val="00B23599"/>
    <w:rsid w:val="00B23750"/>
    <w:rsid w:val="00B23B79"/>
    <w:rsid w:val="00B23C8C"/>
    <w:rsid w:val="00B25289"/>
    <w:rsid w:val="00B255AD"/>
    <w:rsid w:val="00B260EB"/>
    <w:rsid w:val="00B26104"/>
    <w:rsid w:val="00B2616B"/>
    <w:rsid w:val="00B262DE"/>
    <w:rsid w:val="00B26AF7"/>
    <w:rsid w:val="00B26D72"/>
    <w:rsid w:val="00B27A4F"/>
    <w:rsid w:val="00B30B96"/>
    <w:rsid w:val="00B31912"/>
    <w:rsid w:val="00B319D4"/>
    <w:rsid w:val="00B31DC3"/>
    <w:rsid w:val="00B31EEE"/>
    <w:rsid w:val="00B32162"/>
    <w:rsid w:val="00B32FF1"/>
    <w:rsid w:val="00B337D8"/>
    <w:rsid w:val="00B3392D"/>
    <w:rsid w:val="00B3397D"/>
    <w:rsid w:val="00B33B67"/>
    <w:rsid w:val="00B33D4F"/>
    <w:rsid w:val="00B35515"/>
    <w:rsid w:val="00B35C75"/>
    <w:rsid w:val="00B36338"/>
    <w:rsid w:val="00B36967"/>
    <w:rsid w:val="00B37E64"/>
    <w:rsid w:val="00B409C9"/>
    <w:rsid w:val="00B4114A"/>
    <w:rsid w:val="00B41604"/>
    <w:rsid w:val="00B424D1"/>
    <w:rsid w:val="00B43756"/>
    <w:rsid w:val="00B439F2"/>
    <w:rsid w:val="00B440F9"/>
    <w:rsid w:val="00B441DE"/>
    <w:rsid w:val="00B445BC"/>
    <w:rsid w:val="00B447A6"/>
    <w:rsid w:val="00B45DD5"/>
    <w:rsid w:val="00B45E70"/>
    <w:rsid w:val="00B47D38"/>
    <w:rsid w:val="00B47E2F"/>
    <w:rsid w:val="00B47EC7"/>
    <w:rsid w:val="00B50E37"/>
    <w:rsid w:val="00B51389"/>
    <w:rsid w:val="00B5174B"/>
    <w:rsid w:val="00B51E71"/>
    <w:rsid w:val="00B52ADD"/>
    <w:rsid w:val="00B53D54"/>
    <w:rsid w:val="00B54A91"/>
    <w:rsid w:val="00B557EE"/>
    <w:rsid w:val="00B55C7B"/>
    <w:rsid w:val="00B55F84"/>
    <w:rsid w:val="00B56A72"/>
    <w:rsid w:val="00B57285"/>
    <w:rsid w:val="00B57DF8"/>
    <w:rsid w:val="00B602A3"/>
    <w:rsid w:val="00B605C8"/>
    <w:rsid w:val="00B61190"/>
    <w:rsid w:val="00B61227"/>
    <w:rsid w:val="00B61504"/>
    <w:rsid w:val="00B61A46"/>
    <w:rsid w:val="00B62197"/>
    <w:rsid w:val="00B623AB"/>
    <w:rsid w:val="00B624A8"/>
    <w:rsid w:val="00B6368E"/>
    <w:rsid w:val="00B63CFE"/>
    <w:rsid w:val="00B640B7"/>
    <w:rsid w:val="00B64A7E"/>
    <w:rsid w:val="00B64CFA"/>
    <w:rsid w:val="00B64E38"/>
    <w:rsid w:val="00B64E40"/>
    <w:rsid w:val="00B64F06"/>
    <w:rsid w:val="00B65902"/>
    <w:rsid w:val="00B65DF5"/>
    <w:rsid w:val="00B66BCE"/>
    <w:rsid w:val="00B67102"/>
    <w:rsid w:val="00B70218"/>
    <w:rsid w:val="00B707E2"/>
    <w:rsid w:val="00B708B1"/>
    <w:rsid w:val="00B70A0A"/>
    <w:rsid w:val="00B70E7F"/>
    <w:rsid w:val="00B70EB1"/>
    <w:rsid w:val="00B71283"/>
    <w:rsid w:val="00B71EE2"/>
    <w:rsid w:val="00B71F6B"/>
    <w:rsid w:val="00B7294B"/>
    <w:rsid w:val="00B733DE"/>
    <w:rsid w:val="00B73464"/>
    <w:rsid w:val="00B736D7"/>
    <w:rsid w:val="00B73F72"/>
    <w:rsid w:val="00B7557E"/>
    <w:rsid w:val="00B75FB8"/>
    <w:rsid w:val="00B76C00"/>
    <w:rsid w:val="00B77491"/>
    <w:rsid w:val="00B80283"/>
    <w:rsid w:val="00B807BF"/>
    <w:rsid w:val="00B81EEF"/>
    <w:rsid w:val="00B81F5B"/>
    <w:rsid w:val="00B824C1"/>
    <w:rsid w:val="00B8426A"/>
    <w:rsid w:val="00B868EE"/>
    <w:rsid w:val="00B86D8D"/>
    <w:rsid w:val="00B876D6"/>
    <w:rsid w:val="00B87E16"/>
    <w:rsid w:val="00B88402"/>
    <w:rsid w:val="00B900AB"/>
    <w:rsid w:val="00B90117"/>
    <w:rsid w:val="00B90666"/>
    <w:rsid w:val="00B90DE0"/>
    <w:rsid w:val="00B9147B"/>
    <w:rsid w:val="00B91AB0"/>
    <w:rsid w:val="00B91D41"/>
    <w:rsid w:val="00B93EDA"/>
    <w:rsid w:val="00B944AC"/>
    <w:rsid w:val="00B945B4"/>
    <w:rsid w:val="00B94833"/>
    <w:rsid w:val="00B94A2D"/>
    <w:rsid w:val="00B96025"/>
    <w:rsid w:val="00B96BF8"/>
    <w:rsid w:val="00B979C2"/>
    <w:rsid w:val="00B97BF6"/>
    <w:rsid w:val="00BA0AFE"/>
    <w:rsid w:val="00BA12E4"/>
    <w:rsid w:val="00BA1469"/>
    <w:rsid w:val="00BA1630"/>
    <w:rsid w:val="00BA1DD2"/>
    <w:rsid w:val="00BA1F25"/>
    <w:rsid w:val="00BA226E"/>
    <w:rsid w:val="00BA25F4"/>
    <w:rsid w:val="00BA2B73"/>
    <w:rsid w:val="00BA3147"/>
    <w:rsid w:val="00BA42B9"/>
    <w:rsid w:val="00BA5911"/>
    <w:rsid w:val="00BA70F3"/>
    <w:rsid w:val="00BA771B"/>
    <w:rsid w:val="00BB0555"/>
    <w:rsid w:val="00BB0B35"/>
    <w:rsid w:val="00BB1CDA"/>
    <w:rsid w:val="00BB1DF6"/>
    <w:rsid w:val="00BB3A18"/>
    <w:rsid w:val="00BB3A40"/>
    <w:rsid w:val="00BB3DD4"/>
    <w:rsid w:val="00BB455A"/>
    <w:rsid w:val="00BB4930"/>
    <w:rsid w:val="00BB4D1B"/>
    <w:rsid w:val="00BB52FE"/>
    <w:rsid w:val="00BB58C5"/>
    <w:rsid w:val="00BB59F7"/>
    <w:rsid w:val="00BB5DB6"/>
    <w:rsid w:val="00BB615D"/>
    <w:rsid w:val="00BB61B7"/>
    <w:rsid w:val="00BB63E2"/>
    <w:rsid w:val="00BB6981"/>
    <w:rsid w:val="00BB6B7B"/>
    <w:rsid w:val="00BB7766"/>
    <w:rsid w:val="00BB7944"/>
    <w:rsid w:val="00BC0ED9"/>
    <w:rsid w:val="00BC10FC"/>
    <w:rsid w:val="00BC13DF"/>
    <w:rsid w:val="00BC1B41"/>
    <w:rsid w:val="00BC282B"/>
    <w:rsid w:val="00BC3220"/>
    <w:rsid w:val="00BC365B"/>
    <w:rsid w:val="00BC3758"/>
    <w:rsid w:val="00BC37C5"/>
    <w:rsid w:val="00BC3B03"/>
    <w:rsid w:val="00BC3DCA"/>
    <w:rsid w:val="00BC4122"/>
    <w:rsid w:val="00BC4778"/>
    <w:rsid w:val="00BC4FFB"/>
    <w:rsid w:val="00BC55F2"/>
    <w:rsid w:val="00BC617D"/>
    <w:rsid w:val="00BC7634"/>
    <w:rsid w:val="00BC769A"/>
    <w:rsid w:val="00BC776B"/>
    <w:rsid w:val="00BC798E"/>
    <w:rsid w:val="00BD0B48"/>
    <w:rsid w:val="00BD1576"/>
    <w:rsid w:val="00BD1D66"/>
    <w:rsid w:val="00BD262A"/>
    <w:rsid w:val="00BD2671"/>
    <w:rsid w:val="00BD2FFB"/>
    <w:rsid w:val="00BD3262"/>
    <w:rsid w:val="00BD442D"/>
    <w:rsid w:val="00BD4B29"/>
    <w:rsid w:val="00BD5AC9"/>
    <w:rsid w:val="00BD6970"/>
    <w:rsid w:val="00BD6CAF"/>
    <w:rsid w:val="00BD7694"/>
    <w:rsid w:val="00BD7FD7"/>
    <w:rsid w:val="00BE0F6E"/>
    <w:rsid w:val="00BE25E6"/>
    <w:rsid w:val="00BE2B43"/>
    <w:rsid w:val="00BE4BDE"/>
    <w:rsid w:val="00BE507F"/>
    <w:rsid w:val="00BE58B5"/>
    <w:rsid w:val="00BE5A3B"/>
    <w:rsid w:val="00BE649C"/>
    <w:rsid w:val="00BE65AC"/>
    <w:rsid w:val="00BE65B2"/>
    <w:rsid w:val="00BE719B"/>
    <w:rsid w:val="00BE77C2"/>
    <w:rsid w:val="00BE7883"/>
    <w:rsid w:val="00BE79E8"/>
    <w:rsid w:val="00BE7A0A"/>
    <w:rsid w:val="00BE7B7B"/>
    <w:rsid w:val="00BF0369"/>
    <w:rsid w:val="00BF0FD5"/>
    <w:rsid w:val="00BF1231"/>
    <w:rsid w:val="00BF15F4"/>
    <w:rsid w:val="00BF2271"/>
    <w:rsid w:val="00BF2AAD"/>
    <w:rsid w:val="00BF36F9"/>
    <w:rsid w:val="00BF3DB3"/>
    <w:rsid w:val="00BF46B5"/>
    <w:rsid w:val="00BF4886"/>
    <w:rsid w:val="00BF4B1B"/>
    <w:rsid w:val="00BF4C90"/>
    <w:rsid w:val="00BF5227"/>
    <w:rsid w:val="00BF6B1B"/>
    <w:rsid w:val="00BF71BD"/>
    <w:rsid w:val="00C00059"/>
    <w:rsid w:val="00C00161"/>
    <w:rsid w:val="00C0017E"/>
    <w:rsid w:val="00C00331"/>
    <w:rsid w:val="00C00750"/>
    <w:rsid w:val="00C011A7"/>
    <w:rsid w:val="00C02926"/>
    <w:rsid w:val="00C02EE8"/>
    <w:rsid w:val="00C037B3"/>
    <w:rsid w:val="00C03B11"/>
    <w:rsid w:val="00C03B31"/>
    <w:rsid w:val="00C03C9F"/>
    <w:rsid w:val="00C0421F"/>
    <w:rsid w:val="00C049FF"/>
    <w:rsid w:val="00C04CF3"/>
    <w:rsid w:val="00C0520A"/>
    <w:rsid w:val="00C05F61"/>
    <w:rsid w:val="00C05FA5"/>
    <w:rsid w:val="00C064D9"/>
    <w:rsid w:val="00C07421"/>
    <w:rsid w:val="00C07C64"/>
    <w:rsid w:val="00C07E6D"/>
    <w:rsid w:val="00C07ECC"/>
    <w:rsid w:val="00C07EEB"/>
    <w:rsid w:val="00C10245"/>
    <w:rsid w:val="00C1049A"/>
    <w:rsid w:val="00C11C6D"/>
    <w:rsid w:val="00C13247"/>
    <w:rsid w:val="00C13611"/>
    <w:rsid w:val="00C140E2"/>
    <w:rsid w:val="00C1415F"/>
    <w:rsid w:val="00C14305"/>
    <w:rsid w:val="00C14958"/>
    <w:rsid w:val="00C15299"/>
    <w:rsid w:val="00C15579"/>
    <w:rsid w:val="00C157A7"/>
    <w:rsid w:val="00C16070"/>
    <w:rsid w:val="00C17151"/>
    <w:rsid w:val="00C1793F"/>
    <w:rsid w:val="00C200C3"/>
    <w:rsid w:val="00C2082F"/>
    <w:rsid w:val="00C21566"/>
    <w:rsid w:val="00C21713"/>
    <w:rsid w:val="00C2297F"/>
    <w:rsid w:val="00C23159"/>
    <w:rsid w:val="00C23A56"/>
    <w:rsid w:val="00C24AF1"/>
    <w:rsid w:val="00C24D1E"/>
    <w:rsid w:val="00C2613E"/>
    <w:rsid w:val="00C271B8"/>
    <w:rsid w:val="00C27944"/>
    <w:rsid w:val="00C301DB"/>
    <w:rsid w:val="00C313A3"/>
    <w:rsid w:val="00C3149A"/>
    <w:rsid w:val="00C31D61"/>
    <w:rsid w:val="00C31DC0"/>
    <w:rsid w:val="00C32122"/>
    <w:rsid w:val="00C3270E"/>
    <w:rsid w:val="00C33C14"/>
    <w:rsid w:val="00C33C44"/>
    <w:rsid w:val="00C33DA5"/>
    <w:rsid w:val="00C34B4E"/>
    <w:rsid w:val="00C367ED"/>
    <w:rsid w:val="00C368B9"/>
    <w:rsid w:val="00C37A5B"/>
    <w:rsid w:val="00C40356"/>
    <w:rsid w:val="00C407F0"/>
    <w:rsid w:val="00C40904"/>
    <w:rsid w:val="00C411E2"/>
    <w:rsid w:val="00C412CA"/>
    <w:rsid w:val="00C418BD"/>
    <w:rsid w:val="00C41EB2"/>
    <w:rsid w:val="00C4259A"/>
    <w:rsid w:val="00C42793"/>
    <w:rsid w:val="00C42FE9"/>
    <w:rsid w:val="00C433D3"/>
    <w:rsid w:val="00C4387A"/>
    <w:rsid w:val="00C43FAD"/>
    <w:rsid w:val="00C44296"/>
    <w:rsid w:val="00C44480"/>
    <w:rsid w:val="00C44D0A"/>
    <w:rsid w:val="00C44F03"/>
    <w:rsid w:val="00C45B21"/>
    <w:rsid w:val="00C45CB0"/>
    <w:rsid w:val="00C46932"/>
    <w:rsid w:val="00C47BD9"/>
    <w:rsid w:val="00C50056"/>
    <w:rsid w:val="00C501BB"/>
    <w:rsid w:val="00C5030B"/>
    <w:rsid w:val="00C50E8B"/>
    <w:rsid w:val="00C51AE0"/>
    <w:rsid w:val="00C51BF7"/>
    <w:rsid w:val="00C528AC"/>
    <w:rsid w:val="00C52AB5"/>
    <w:rsid w:val="00C530DE"/>
    <w:rsid w:val="00C53263"/>
    <w:rsid w:val="00C53353"/>
    <w:rsid w:val="00C5363B"/>
    <w:rsid w:val="00C5384C"/>
    <w:rsid w:val="00C53F2D"/>
    <w:rsid w:val="00C54CC9"/>
    <w:rsid w:val="00C54D2D"/>
    <w:rsid w:val="00C55EB0"/>
    <w:rsid w:val="00C56D5A"/>
    <w:rsid w:val="00C56DF6"/>
    <w:rsid w:val="00C57481"/>
    <w:rsid w:val="00C576DB"/>
    <w:rsid w:val="00C57A7C"/>
    <w:rsid w:val="00C57ABC"/>
    <w:rsid w:val="00C57E07"/>
    <w:rsid w:val="00C6048C"/>
    <w:rsid w:val="00C604A5"/>
    <w:rsid w:val="00C60BE3"/>
    <w:rsid w:val="00C60FE9"/>
    <w:rsid w:val="00C619D3"/>
    <w:rsid w:val="00C61FFE"/>
    <w:rsid w:val="00C626F1"/>
    <w:rsid w:val="00C627F8"/>
    <w:rsid w:val="00C62C90"/>
    <w:rsid w:val="00C62F0D"/>
    <w:rsid w:val="00C62F60"/>
    <w:rsid w:val="00C6413B"/>
    <w:rsid w:val="00C641A5"/>
    <w:rsid w:val="00C64716"/>
    <w:rsid w:val="00C65956"/>
    <w:rsid w:val="00C66798"/>
    <w:rsid w:val="00C66D4F"/>
    <w:rsid w:val="00C66EBD"/>
    <w:rsid w:val="00C674C5"/>
    <w:rsid w:val="00C67723"/>
    <w:rsid w:val="00C70043"/>
    <w:rsid w:val="00C70607"/>
    <w:rsid w:val="00C706D9"/>
    <w:rsid w:val="00C7078F"/>
    <w:rsid w:val="00C70A32"/>
    <w:rsid w:val="00C70A3F"/>
    <w:rsid w:val="00C70CEF"/>
    <w:rsid w:val="00C736BE"/>
    <w:rsid w:val="00C74473"/>
    <w:rsid w:val="00C7465A"/>
    <w:rsid w:val="00C7479B"/>
    <w:rsid w:val="00C74E12"/>
    <w:rsid w:val="00C755D2"/>
    <w:rsid w:val="00C75A7F"/>
    <w:rsid w:val="00C75CA0"/>
    <w:rsid w:val="00C75E8D"/>
    <w:rsid w:val="00C75F56"/>
    <w:rsid w:val="00C7635B"/>
    <w:rsid w:val="00C76951"/>
    <w:rsid w:val="00C770AD"/>
    <w:rsid w:val="00C77432"/>
    <w:rsid w:val="00C77652"/>
    <w:rsid w:val="00C77BD5"/>
    <w:rsid w:val="00C80C97"/>
    <w:rsid w:val="00C80CED"/>
    <w:rsid w:val="00C81FA4"/>
    <w:rsid w:val="00C8203F"/>
    <w:rsid w:val="00C82307"/>
    <w:rsid w:val="00C82448"/>
    <w:rsid w:val="00C8253C"/>
    <w:rsid w:val="00C82E1E"/>
    <w:rsid w:val="00C83062"/>
    <w:rsid w:val="00C83BE7"/>
    <w:rsid w:val="00C83E72"/>
    <w:rsid w:val="00C83E98"/>
    <w:rsid w:val="00C8440C"/>
    <w:rsid w:val="00C8459F"/>
    <w:rsid w:val="00C845CF"/>
    <w:rsid w:val="00C855F4"/>
    <w:rsid w:val="00C86945"/>
    <w:rsid w:val="00C87560"/>
    <w:rsid w:val="00C8790F"/>
    <w:rsid w:val="00C90110"/>
    <w:rsid w:val="00C9042D"/>
    <w:rsid w:val="00C91686"/>
    <w:rsid w:val="00C916A4"/>
    <w:rsid w:val="00C91913"/>
    <w:rsid w:val="00C91DF7"/>
    <w:rsid w:val="00C91E57"/>
    <w:rsid w:val="00C92898"/>
    <w:rsid w:val="00C92D21"/>
    <w:rsid w:val="00C94071"/>
    <w:rsid w:val="00C944F6"/>
    <w:rsid w:val="00C946C6"/>
    <w:rsid w:val="00C94CE5"/>
    <w:rsid w:val="00C9573D"/>
    <w:rsid w:val="00C95ABD"/>
    <w:rsid w:val="00C95B36"/>
    <w:rsid w:val="00C96F4A"/>
    <w:rsid w:val="00C9760E"/>
    <w:rsid w:val="00C978FD"/>
    <w:rsid w:val="00C97A17"/>
    <w:rsid w:val="00C97A40"/>
    <w:rsid w:val="00CA0216"/>
    <w:rsid w:val="00CA0938"/>
    <w:rsid w:val="00CA0C80"/>
    <w:rsid w:val="00CA1321"/>
    <w:rsid w:val="00CA1790"/>
    <w:rsid w:val="00CA2F5D"/>
    <w:rsid w:val="00CA3029"/>
    <w:rsid w:val="00CA3031"/>
    <w:rsid w:val="00CA4188"/>
    <w:rsid w:val="00CA48B7"/>
    <w:rsid w:val="00CA4A61"/>
    <w:rsid w:val="00CA5854"/>
    <w:rsid w:val="00CA5AEC"/>
    <w:rsid w:val="00CA6251"/>
    <w:rsid w:val="00CA6EEA"/>
    <w:rsid w:val="00CA72DF"/>
    <w:rsid w:val="00CA770F"/>
    <w:rsid w:val="00CA7AB1"/>
    <w:rsid w:val="00CB04FA"/>
    <w:rsid w:val="00CB2342"/>
    <w:rsid w:val="00CB339C"/>
    <w:rsid w:val="00CB3C17"/>
    <w:rsid w:val="00CB4626"/>
    <w:rsid w:val="00CB4E7E"/>
    <w:rsid w:val="00CB510B"/>
    <w:rsid w:val="00CB534A"/>
    <w:rsid w:val="00CB53B0"/>
    <w:rsid w:val="00CB5B24"/>
    <w:rsid w:val="00CB5B81"/>
    <w:rsid w:val="00CB6433"/>
    <w:rsid w:val="00CB6A65"/>
    <w:rsid w:val="00CB7206"/>
    <w:rsid w:val="00CC0DC1"/>
    <w:rsid w:val="00CC1A6F"/>
    <w:rsid w:val="00CC1D5A"/>
    <w:rsid w:val="00CC2257"/>
    <w:rsid w:val="00CC280C"/>
    <w:rsid w:val="00CC3065"/>
    <w:rsid w:val="00CC3415"/>
    <w:rsid w:val="00CC35ED"/>
    <w:rsid w:val="00CC3969"/>
    <w:rsid w:val="00CC489C"/>
    <w:rsid w:val="00CC49F5"/>
    <w:rsid w:val="00CC51B1"/>
    <w:rsid w:val="00CC55A5"/>
    <w:rsid w:val="00CC5AED"/>
    <w:rsid w:val="00CC5DC1"/>
    <w:rsid w:val="00CC6166"/>
    <w:rsid w:val="00CC70EA"/>
    <w:rsid w:val="00CC7261"/>
    <w:rsid w:val="00CC7D42"/>
    <w:rsid w:val="00CC7DF7"/>
    <w:rsid w:val="00CC7E41"/>
    <w:rsid w:val="00CD061B"/>
    <w:rsid w:val="00CD08CE"/>
    <w:rsid w:val="00CD1B28"/>
    <w:rsid w:val="00CD24A2"/>
    <w:rsid w:val="00CD2BCF"/>
    <w:rsid w:val="00CD2E93"/>
    <w:rsid w:val="00CD3CAF"/>
    <w:rsid w:val="00CD4010"/>
    <w:rsid w:val="00CD477D"/>
    <w:rsid w:val="00CD4F29"/>
    <w:rsid w:val="00CD5811"/>
    <w:rsid w:val="00CD6158"/>
    <w:rsid w:val="00CD6268"/>
    <w:rsid w:val="00CD6BDD"/>
    <w:rsid w:val="00CD6DFB"/>
    <w:rsid w:val="00CD6F75"/>
    <w:rsid w:val="00CD778E"/>
    <w:rsid w:val="00CE0B42"/>
    <w:rsid w:val="00CE0F48"/>
    <w:rsid w:val="00CE142E"/>
    <w:rsid w:val="00CE2381"/>
    <w:rsid w:val="00CE3A3F"/>
    <w:rsid w:val="00CE3B4E"/>
    <w:rsid w:val="00CE48C5"/>
    <w:rsid w:val="00CE4937"/>
    <w:rsid w:val="00CE4B96"/>
    <w:rsid w:val="00CE50F4"/>
    <w:rsid w:val="00CE5205"/>
    <w:rsid w:val="00CE5658"/>
    <w:rsid w:val="00CE5AF2"/>
    <w:rsid w:val="00CE642F"/>
    <w:rsid w:val="00CE64D9"/>
    <w:rsid w:val="00CE6C79"/>
    <w:rsid w:val="00CE6D76"/>
    <w:rsid w:val="00CE6EDC"/>
    <w:rsid w:val="00CE6FC2"/>
    <w:rsid w:val="00CE723F"/>
    <w:rsid w:val="00CE7923"/>
    <w:rsid w:val="00CE7CD5"/>
    <w:rsid w:val="00CF012B"/>
    <w:rsid w:val="00CF076D"/>
    <w:rsid w:val="00CF0BF1"/>
    <w:rsid w:val="00CF0C59"/>
    <w:rsid w:val="00CF0E25"/>
    <w:rsid w:val="00CF0F8B"/>
    <w:rsid w:val="00CF1049"/>
    <w:rsid w:val="00CF1840"/>
    <w:rsid w:val="00CF246A"/>
    <w:rsid w:val="00CF28CC"/>
    <w:rsid w:val="00CF31EA"/>
    <w:rsid w:val="00CF32EC"/>
    <w:rsid w:val="00CF4327"/>
    <w:rsid w:val="00CF45FD"/>
    <w:rsid w:val="00CF5180"/>
    <w:rsid w:val="00CF6759"/>
    <w:rsid w:val="00CF6ABB"/>
    <w:rsid w:val="00CF723F"/>
    <w:rsid w:val="00CF7384"/>
    <w:rsid w:val="00CF762F"/>
    <w:rsid w:val="00CF7B01"/>
    <w:rsid w:val="00CF7D7B"/>
    <w:rsid w:val="00D00400"/>
    <w:rsid w:val="00D0088F"/>
    <w:rsid w:val="00D00E2D"/>
    <w:rsid w:val="00D01252"/>
    <w:rsid w:val="00D01383"/>
    <w:rsid w:val="00D02014"/>
    <w:rsid w:val="00D02B39"/>
    <w:rsid w:val="00D03A08"/>
    <w:rsid w:val="00D03A7B"/>
    <w:rsid w:val="00D042F1"/>
    <w:rsid w:val="00D04A56"/>
    <w:rsid w:val="00D04B78"/>
    <w:rsid w:val="00D04DAC"/>
    <w:rsid w:val="00D05257"/>
    <w:rsid w:val="00D05C47"/>
    <w:rsid w:val="00D068CE"/>
    <w:rsid w:val="00D073C9"/>
    <w:rsid w:val="00D1022B"/>
    <w:rsid w:val="00D10E1A"/>
    <w:rsid w:val="00D139CE"/>
    <w:rsid w:val="00D13E38"/>
    <w:rsid w:val="00D13EBF"/>
    <w:rsid w:val="00D146BD"/>
    <w:rsid w:val="00D147D1"/>
    <w:rsid w:val="00D1589B"/>
    <w:rsid w:val="00D160BA"/>
    <w:rsid w:val="00D16325"/>
    <w:rsid w:val="00D169C0"/>
    <w:rsid w:val="00D17EAF"/>
    <w:rsid w:val="00D20165"/>
    <w:rsid w:val="00D202B4"/>
    <w:rsid w:val="00D203E0"/>
    <w:rsid w:val="00D2097A"/>
    <w:rsid w:val="00D209F2"/>
    <w:rsid w:val="00D20EAE"/>
    <w:rsid w:val="00D22C1A"/>
    <w:rsid w:val="00D239B4"/>
    <w:rsid w:val="00D245C0"/>
    <w:rsid w:val="00D24D2D"/>
    <w:rsid w:val="00D24DC0"/>
    <w:rsid w:val="00D24E12"/>
    <w:rsid w:val="00D24F31"/>
    <w:rsid w:val="00D255DF"/>
    <w:rsid w:val="00D257BB"/>
    <w:rsid w:val="00D25F07"/>
    <w:rsid w:val="00D270E0"/>
    <w:rsid w:val="00D30076"/>
    <w:rsid w:val="00D30C1D"/>
    <w:rsid w:val="00D30F56"/>
    <w:rsid w:val="00D3111F"/>
    <w:rsid w:val="00D317E3"/>
    <w:rsid w:val="00D32D21"/>
    <w:rsid w:val="00D334F8"/>
    <w:rsid w:val="00D3377A"/>
    <w:rsid w:val="00D3429A"/>
    <w:rsid w:val="00D343D3"/>
    <w:rsid w:val="00D35281"/>
    <w:rsid w:val="00D352DB"/>
    <w:rsid w:val="00D35A58"/>
    <w:rsid w:val="00D35CF3"/>
    <w:rsid w:val="00D37395"/>
    <w:rsid w:val="00D3754C"/>
    <w:rsid w:val="00D376B0"/>
    <w:rsid w:val="00D37DE9"/>
    <w:rsid w:val="00D40128"/>
    <w:rsid w:val="00D409A8"/>
    <w:rsid w:val="00D409BF"/>
    <w:rsid w:val="00D41E91"/>
    <w:rsid w:val="00D41F65"/>
    <w:rsid w:val="00D420A9"/>
    <w:rsid w:val="00D421AD"/>
    <w:rsid w:val="00D43C23"/>
    <w:rsid w:val="00D43FAC"/>
    <w:rsid w:val="00D44284"/>
    <w:rsid w:val="00D443AC"/>
    <w:rsid w:val="00D449F9"/>
    <w:rsid w:val="00D44BA6"/>
    <w:rsid w:val="00D45172"/>
    <w:rsid w:val="00D451CC"/>
    <w:rsid w:val="00D452A5"/>
    <w:rsid w:val="00D469FD"/>
    <w:rsid w:val="00D47432"/>
    <w:rsid w:val="00D47576"/>
    <w:rsid w:val="00D4774B"/>
    <w:rsid w:val="00D47980"/>
    <w:rsid w:val="00D50877"/>
    <w:rsid w:val="00D508D0"/>
    <w:rsid w:val="00D50A50"/>
    <w:rsid w:val="00D50D72"/>
    <w:rsid w:val="00D514AA"/>
    <w:rsid w:val="00D51600"/>
    <w:rsid w:val="00D519F7"/>
    <w:rsid w:val="00D523D8"/>
    <w:rsid w:val="00D524A6"/>
    <w:rsid w:val="00D529F0"/>
    <w:rsid w:val="00D53A4F"/>
    <w:rsid w:val="00D550EB"/>
    <w:rsid w:val="00D556E8"/>
    <w:rsid w:val="00D557AF"/>
    <w:rsid w:val="00D56393"/>
    <w:rsid w:val="00D5649E"/>
    <w:rsid w:val="00D56A3E"/>
    <w:rsid w:val="00D56C10"/>
    <w:rsid w:val="00D56E20"/>
    <w:rsid w:val="00D56EC7"/>
    <w:rsid w:val="00D6049D"/>
    <w:rsid w:val="00D61FEE"/>
    <w:rsid w:val="00D626FD"/>
    <w:rsid w:val="00D62BCD"/>
    <w:rsid w:val="00D6312B"/>
    <w:rsid w:val="00D63343"/>
    <w:rsid w:val="00D63B83"/>
    <w:rsid w:val="00D63DAB"/>
    <w:rsid w:val="00D63F0E"/>
    <w:rsid w:val="00D64051"/>
    <w:rsid w:val="00D64092"/>
    <w:rsid w:val="00D640C0"/>
    <w:rsid w:val="00D645F7"/>
    <w:rsid w:val="00D647F4"/>
    <w:rsid w:val="00D648FE"/>
    <w:rsid w:val="00D64F23"/>
    <w:rsid w:val="00D656AB"/>
    <w:rsid w:val="00D662DA"/>
    <w:rsid w:val="00D66602"/>
    <w:rsid w:val="00D666C3"/>
    <w:rsid w:val="00D6676B"/>
    <w:rsid w:val="00D66B5F"/>
    <w:rsid w:val="00D67C9E"/>
    <w:rsid w:val="00D706C9"/>
    <w:rsid w:val="00D707BE"/>
    <w:rsid w:val="00D71230"/>
    <w:rsid w:val="00D715A5"/>
    <w:rsid w:val="00D7171F"/>
    <w:rsid w:val="00D71E2F"/>
    <w:rsid w:val="00D72F87"/>
    <w:rsid w:val="00D72FA0"/>
    <w:rsid w:val="00D7359C"/>
    <w:rsid w:val="00D7372C"/>
    <w:rsid w:val="00D757E7"/>
    <w:rsid w:val="00D75827"/>
    <w:rsid w:val="00D759B5"/>
    <w:rsid w:val="00D75C2F"/>
    <w:rsid w:val="00D761A6"/>
    <w:rsid w:val="00D7695E"/>
    <w:rsid w:val="00D77EA7"/>
    <w:rsid w:val="00D81B20"/>
    <w:rsid w:val="00D82E10"/>
    <w:rsid w:val="00D82ECD"/>
    <w:rsid w:val="00D83030"/>
    <w:rsid w:val="00D839C1"/>
    <w:rsid w:val="00D840D2"/>
    <w:rsid w:val="00D842F9"/>
    <w:rsid w:val="00D847D0"/>
    <w:rsid w:val="00D85361"/>
    <w:rsid w:val="00D853E6"/>
    <w:rsid w:val="00D854DC"/>
    <w:rsid w:val="00D86FE5"/>
    <w:rsid w:val="00D87041"/>
    <w:rsid w:val="00D87723"/>
    <w:rsid w:val="00D87983"/>
    <w:rsid w:val="00D87B1F"/>
    <w:rsid w:val="00D87ED9"/>
    <w:rsid w:val="00D90317"/>
    <w:rsid w:val="00D90415"/>
    <w:rsid w:val="00D905DE"/>
    <w:rsid w:val="00D91243"/>
    <w:rsid w:val="00D9250E"/>
    <w:rsid w:val="00D932A1"/>
    <w:rsid w:val="00D9389B"/>
    <w:rsid w:val="00D93D8B"/>
    <w:rsid w:val="00D9425A"/>
    <w:rsid w:val="00D9447E"/>
    <w:rsid w:val="00D94869"/>
    <w:rsid w:val="00D95E28"/>
    <w:rsid w:val="00D95E65"/>
    <w:rsid w:val="00D966AE"/>
    <w:rsid w:val="00D9746D"/>
    <w:rsid w:val="00D9757C"/>
    <w:rsid w:val="00D97F3E"/>
    <w:rsid w:val="00DA01D2"/>
    <w:rsid w:val="00DA0446"/>
    <w:rsid w:val="00DA05A1"/>
    <w:rsid w:val="00DA0AF0"/>
    <w:rsid w:val="00DA0CBB"/>
    <w:rsid w:val="00DA112A"/>
    <w:rsid w:val="00DA112B"/>
    <w:rsid w:val="00DA26B9"/>
    <w:rsid w:val="00DA2BDA"/>
    <w:rsid w:val="00DA2EB7"/>
    <w:rsid w:val="00DA3295"/>
    <w:rsid w:val="00DA4C66"/>
    <w:rsid w:val="00DA5330"/>
    <w:rsid w:val="00DA5654"/>
    <w:rsid w:val="00DA5D68"/>
    <w:rsid w:val="00DA68A2"/>
    <w:rsid w:val="00DA7BBD"/>
    <w:rsid w:val="00DA7FA1"/>
    <w:rsid w:val="00DB07D0"/>
    <w:rsid w:val="00DB0F99"/>
    <w:rsid w:val="00DB171C"/>
    <w:rsid w:val="00DB2448"/>
    <w:rsid w:val="00DB34F2"/>
    <w:rsid w:val="00DB375F"/>
    <w:rsid w:val="00DB3968"/>
    <w:rsid w:val="00DB3EBE"/>
    <w:rsid w:val="00DB42DF"/>
    <w:rsid w:val="00DB5770"/>
    <w:rsid w:val="00DB58E2"/>
    <w:rsid w:val="00DB5AC4"/>
    <w:rsid w:val="00DB5D25"/>
    <w:rsid w:val="00DB610F"/>
    <w:rsid w:val="00DB6197"/>
    <w:rsid w:val="00DB6612"/>
    <w:rsid w:val="00DB6992"/>
    <w:rsid w:val="00DB69CC"/>
    <w:rsid w:val="00DB707A"/>
    <w:rsid w:val="00DC027C"/>
    <w:rsid w:val="00DC05DA"/>
    <w:rsid w:val="00DC1A4B"/>
    <w:rsid w:val="00DC1DBE"/>
    <w:rsid w:val="00DC204D"/>
    <w:rsid w:val="00DC21DE"/>
    <w:rsid w:val="00DC24F2"/>
    <w:rsid w:val="00DC30D6"/>
    <w:rsid w:val="00DC3285"/>
    <w:rsid w:val="00DC32BA"/>
    <w:rsid w:val="00DC333F"/>
    <w:rsid w:val="00DC39A9"/>
    <w:rsid w:val="00DC44E2"/>
    <w:rsid w:val="00DC4A82"/>
    <w:rsid w:val="00DC628D"/>
    <w:rsid w:val="00DC7222"/>
    <w:rsid w:val="00DC74AE"/>
    <w:rsid w:val="00DC794D"/>
    <w:rsid w:val="00DC7DF1"/>
    <w:rsid w:val="00DD01EF"/>
    <w:rsid w:val="00DD0889"/>
    <w:rsid w:val="00DD0A62"/>
    <w:rsid w:val="00DD169C"/>
    <w:rsid w:val="00DD17A3"/>
    <w:rsid w:val="00DD2854"/>
    <w:rsid w:val="00DD305A"/>
    <w:rsid w:val="00DD34A0"/>
    <w:rsid w:val="00DD3D5A"/>
    <w:rsid w:val="00DD3F3E"/>
    <w:rsid w:val="00DD434E"/>
    <w:rsid w:val="00DD4694"/>
    <w:rsid w:val="00DD47A9"/>
    <w:rsid w:val="00DD4F53"/>
    <w:rsid w:val="00DD4F7D"/>
    <w:rsid w:val="00DD53F1"/>
    <w:rsid w:val="00DD5681"/>
    <w:rsid w:val="00DD59A8"/>
    <w:rsid w:val="00DD61EB"/>
    <w:rsid w:val="00DD6C65"/>
    <w:rsid w:val="00DD71F5"/>
    <w:rsid w:val="00DD7C88"/>
    <w:rsid w:val="00DD7EEA"/>
    <w:rsid w:val="00DE05A9"/>
    <w:rsid w:val="00DE1297"/>
    <w:rsid w:val="00DE1C67"/>
    <w:rsid w:val="00DE205F"/>
    <w:rsid w:val="00DE27FB"/>
    <w:rsid w:val="00DE2ACD"/>
    <w:rsid w:val="00DE46A7"/>
    <w:rsid w:val="00DE4CEB"/>
    <w:rsid w:val="00DE4E21"/>
    <w:rsid w:val="00DE5634"/>
    <w:rsid w:val="00DE5D56"/>
    <w:rsid w:val="00DE5E40"/>
    <w:rsid w:val="00DE7495"/>
    <w:rsid w:val="00DF0262"/>
    <w:rsid w:val="00DF0507"/>
    <w:rsid w:val="00DF1595"/>
    <w:rsid w:val="00DF2189"/>
    <w:rsid w:val="00DF23D5"/>
    <w:rsid w:val="00DF2875"/>
    <w:rsid w:val="00DF2966"/>
    <w:rsid w:val="00DF300C"/>
    <w:rsid w:val="00DF33D2"/>
    <w:rsid w:val="00DF3748"/>
    <w:rsid w:val="00DF4D90"/>
    <w:rsid w:val="00DF54B5"/>
    <w:rsid w:val="00DF5921"/>
    <w:rsid w:val="00DF5C6C"/>
    <w:rsid w:val="00DF7130"/>
    <w:rsid w:val="00DF77E7"/>
    <w:rsid w:val="00E00859"/>
    <w:rsid w:val="00E00BE4"/>
    <w:rsid w:val="00E00C55"/>
    <w:rsid w:val="00E015A9"/>
    <w:rsid w:val="00E018B2"/>
    <w:rsid w:val="00E018B6"/>
    <w:rsid w:val="00E01B0E"/>
    <w:rsid w:val="00E032F3"/>
    <w:rsid w:val="00E03C04"/>
    <w:rsid w:val="00E047B2"/>
    <w:rsid w:val="00E0481F"/>
    <w:rsid w:val="00E05607"/>
    <w:rsid w:val="00E05695"/>
    <w:rsid w:val="00E0580A"/>
    <w:rsid w:val="00E05C09"/>
    <w:rsid w:val="00E071EC"/>
    <w:rsid w:val="00E074AB"/>
    <w:rsid w:val="00E078A7"/>
    <w:rsid w:val="00E10106"/>
    <w:rsid w:val="00E10514"/>
    <w:rsid w:val="00E10881"/>
    <w:rsid w:val="00E10C34"/>
    <w:rsid w:val="00E110F0"/>
    <w:rsid w:val="00E113DE"/>
    <w:rsid w:val="00E114F6"/>
    <w:rsid w:val="00E116BA"/>
    <w:rsid w:val="00E12502"/>
    <w:rsid w:val="00E12B11"/>
    <w:rsid w:val="00E132CE"/>
    <w:rsid w:val="00E1434F"/>
    <w:rsid w:val="00E14494"/>
    <w:rsid w:val="00E15611"/>
    <w:rsid w:val="00E15D91"/>
    <w:rsid w:val="00E16784"/>
    <w:rsid w:val="00E16F82"/>
    <w:rsid w:val="00E17198"/>
    <w:rsid w:val="00E172C7"/>
    <w:rsid w:val="00E17D98"/>
    <w:rsid w:val="00E17DC5"/>
    <w:rsid w:val="00E2004C"/>
    <w:rsid w:val="00E2035D"/>
    <w:rsid w:val="00E206F2"/>
    <w:rsid w:val="00E214EE"/>
    <w:rsid w:val="00E22F5B"/>
    <w:rsid w:val="00E23658"/>
    <w:rsid w:val="00E238AF"/>
    <w:rsid w:val="00E24A15"/>
    <w:rsid w:val="00E24EE4"/>
    <w:rsid w:val="00E265FF"/>
    <w:rsid w:val="00E268AE"/>
    <w:rsid w:val="00E26CE3"/>
    <w:rsid w:val="00E27375"/>
    <w:rsid w:val="00E278B1"/>
    <w:rsid w:val="00E308CB"/>
    <w:rsid w:val="00E30CF0"/>
    <w:rsid w:val="00E30E63"/>
    <w:rsid w:val="00E310CB"/>
    <w:rsid w:val="00E31796"/>
    <w:rsid w:val="00E31D6F"/>
    <w:rsid w:val="00E35E8B"/>
    <w:rsid w:val="00E35FD6"/>
    <w:rsid w:val="00E35FE6"/>
    <w:rsid w:val="00E36912"/>
    <w:rsid w:val="00E36A81"/>
    <w:rsid w:val="00E36F35"/>
    <w:rsid w:val="00E3708D"/>
    <w:rsid w:val="00E370F5"/>
    <w:rsid w:val="00E37394"/>
    <w:rsid w:val="00E412BB"/>
    <w:rsid w:val="00E41544"/>
    <w:rsid w:val="00E41994"/>
    <w:rsid w:val="00E41CA1"/>
    <w:rsid w:val="00E41EB0"/>
    <w:rsid w:val="00E4269A"/>
    <w:rsid w:val="00E42779"/>
    <w:rsid w:val="00E42D40"/>
    <w:rsid w:val="00E439B5"/>
    <w:rsid w:val="00E44252"/>
    <w:rsid w:val="00E454C7"/>
    <w:rsid w:val="00E45BF4"/>
    <w:rsid w:val="00E45CD9"/>
    <w:rsid w:val="00E463DC"/>
    <w:rsid w:val="00E465EB"/>
    <w:rsid w:val="00E46D16"/>
    <w:rsid w:val="00E47C75"/>
    <w:rsid w:val="00E47FCD"/>
    <w:rsid w:val="00E518E1"/>
    <w:rsid w:val="00E52C94"/>
    <w:rsid w:val="00E52DA4"/>
    <w:rsid w:val="00E53713"/>
    <w:rsid w:val="00E537D6"/>
    <w:rsid w:val="00E54677"/>
    <w:rsid w:val="00E556A5"/>
    <w:rsid w:val="00E55AF1"/>
    <w:rsid w:val="00E56D88"/>
    <w:rsid w:val="00E572FA"/>
    <w:rsid w:val="00E5778C"/>
    <w:rsid w:val="00E57EEE"/>
    <w:rsid w:val="00E603FF"/>
    <w:rsid w:val="00E60E58"/>
    <w:rsid w:val="00E6234E"/>
    <w:rsid w:val="00E64004"/>
    <w:rsid w:val="00E6444C"/>
    <w:rsid w:val="00E64F1A"/>
    <w:rsid w:val="00E6517F"/>
    <w:rsid w:val="00E658B8"/>
    <w:rsid w:val="00E65BEC"/>
    <w:rsid w:val="00E66D32"/>
    <w:rsid w:val="00E67689"/>
    <w:rsid w:val="00E677BB"/>
    <w:rsid w:val="00E7050A"/>
    <w:rsid w:val="00E70C0E"/>
    <w:rsid w:val="00E70C41"/>
    <w:rsid w:val="00E710BA"/>
    <w:rsid w:val="00E7137C"/>
    <w:rsid w:val="00E7141E"/>
    <w:rsid w:val="00E715D5"/>
    <w:rsid w:val="00E72041"/>
    <w:rsid w:val="00E72062"/>
    <w:rsid w:val="00E72205"/>
    <w:rsid w:val="00E72BEA"/>
    <w:rsid w:val="00E72FD3"/>
    <w:rsid w:val="00E73478"/>
    <w:rsid w:val="00E735BA"/>
    <w:rsid w:val="00E740FD"/>
    <w:rsid w:val="00E7437F"/>
    <w:rsid w:val="00E74755"/>
    <w:rsid w:val="00E752AD"/>
    <w:rsid w:val="00E7573F"/>
    <w:rsid w:val="00E763D8"/>
    <w:rsid w:val="00E770FA"/>
    <w:rsid w:val="00E806AD"/>
    <w:rsid w:val="00E815C8"/>
    <w:rsid w:val="00E81CE5"/>
    <w:rsid w:val="00E82061"/>
    <w:rsid w:val="00E821D8"/>
    <w:rsid w:val="00E82466"/>
    <w:rsid w:val="00E82DB6"/>
    <w:rsid w:val="00E82E0C"/>
    <w:rsid w:val="00E82E79"/>
    <w:rsid w:val="00E83FEA"/>
    <w:rsid w:val="00E84340"/>
    <w:rsid w:val="00E850EF"/>
    <w:rsid w:val="00E857E5"/>
    <w:rsid w:val="00E8597C"/>
    <w:rsid w:val="00E85F15"/>
    <w:rsid w:val="00E86103"/>
    <w:rsid w:val="00E86473"/>
    <w:rsid w:val="00E86C0A"/>
    <w:rsid w:val="00E86DA1"/>
    <w:rsid w:val="00E86FAD"/>
    <w:rsid w:val="00E8744F"/>
    <w:rsid w:val="00E87622"/>
    <w:rsid w:val="00E87CCF"/>
    <w:rsid w:val="00E90B03"/>
    <w:rsid w:val="00E90FC2"/>
    <w:rsid w:val="00E914E4"/>
    <w:rsid w:val="00E91F2B"/>
    <w:rsid w:val="00E9244B"/>
    <w:rsid w:val="00E92680"/>
    <w:rsid w:val="00E926DD"/>
    <w:rsid w:val="00E9276C"/>
    <w:rsid w:val="00E9276F"/>
    <w:rsid w:val="00E92906"/>
    <w:rsid w:val="00E93B08"/>
    <w:rsid w:val="00E93EA9"/>
    <w:rsid w:val="00E93F9E"/>
    <w:rsid w:val="00E94268"/>
    <w:rsid w:val="00E94ABE"/>
    <w:rsid w:val="00E9519A"/>
    <w:rsid w:val="00E956AA"/>
    <w:rsid w:val="00E972F5"/>
    <w:rsid w:val="00E973AD"/>
    <w:rsid w:val="00EA0021"/>
    <w:rsid w:val="00EA0267"/>
    <w:rsid w:val="00EA091C"/>
    <w:rsid w:val="00EA0DC8"/>
    <w:rsid w:val="00EA1BEB"/>
    <w:rsid w:val="00EA23B9"/>
    <w:rsid w:val="00EA24D1"/>
    <w:rsid w:val="00EA3153"/>
    <w:rsid w:val="00EA36DE"/>
    <w:rsid w:val="00EA3B91"/>
    <w:rsid w:val="00EA5B97"/>
    <w:rsid w:val="00EA5D29"/>
    <w:rsid w:val="00EA698D"/>
    <w:rsid w:val="00EA76F0"/>
    <w:rsid w:val="00EA7948"/>
    <w:rsid w:val="00EB0A16"/>
    <w:rsid w:val="00EB13EE"/>
    <w:rsid w:val="00EB18BE"/>
    <w:rsid w:val="00EB20B4"/>
    <w:rsid w:val="00EB34FB"/>
    <w:rsid w:val="00EB35FD"/>
    <w:rsid w:val="00EB3D2E"/>
    <w:rsid w:val="00EB3D46"/>
    <w:rsid w:val="00EB3E85"/>
    <w:rsid w:val="00EB4230"/>
    <w:rsid w:val="00EB50F5"/>
    <w:rsid w:val="00EB56ED"/>
    <w:rsid w:val="00EB5D9B"/>
    <w:rsid w:val="00EB6147"/>
    <w:rsid w:val="00EB6AE4"/>
    <w:rsid w:val="00EB7F81"/>
    <w:rsid w:val="00EC01F0"/>
    <w:rsid w:val="00EC16F1"/>
    <w:rsid w:val="00EC1AAA"/>
    <w:rsid w:val="00EC1F49"/>
    <w:rsid w:val="00EC2C5F"/>
    <w:rsid w:val="00EC3225"/>
    <w:rsid w:val="00EC3DBE"/>
    <w:rsid w:val="00EC4E8F"/>
    <w:rsid w:val="00EC511B"/>
    <w:rsid w:val="00EC5254"/>
    <w:rsid w:val="00EC5E70"/>
    <w:rsid w:val="00EC6D2A"/>
    <w:rsid w:val="00EC6DF6"/>
    <w:rsid w:val="00EC737B"/>
    <w:rsid w:val="00EC7A15"/>
    <w:rsid w:val="00ED0306"/>
    <w:rsid w:val="00ED05B5"/>
    <w:rsid w:val="00ED0FA5"/>
    <w:rsid w:val="00ED2121"/>
    <w:rsid w:val="00ED3A81"/>
    <w:rsid w:val="00ED469A"/>
    <w:rsid w:val="00ED5451"/>
    <w:rsid w:val="00ED79D2"/>
    <w:rsid w:val="00ED7B72"/>
    <w:rsid w:val="00ED7DAD"/>
    <w:rsid w:val="00EE0D9C"/>
    <w:rsid w:val="00EE16C9"/>
    <w:rsid w:val="00EE200F"/>
    <w:rsid w:val="00EE38AC"/>
    <w:rsid w:val="00EE414A"/>
    <w:rsid w:val="00EE46BA"/>
    <w:rsid w:val="00EE4799"/>
    <w:rsid w:val="00EE4A1F"/>
    <w:rsid w:val="00EE57BA"/>
    <w:rsid w:val="00EE6024"/>
    <w:rsid w:val="00EE6102"/>
    <w:rsid w:val="00EE708B"/>
    <w:rsid w:val="00EE762A"/>
    <w:rsid w:val="00EE7899"/>
    <w:rsid w:val="00EF04D6"/>
    <w:rsid w:val="00EF0B69"/>
    <w:rsid w:val="00EF0EAD"/>
    <w:rsid w:val="00EF0FF8"/>
    <w:rsid w:val="00EF10B0"/>
    <w:rsid w:val="00EF13EF"/>
    <w:rsid w:val="00EF20D1"/>
    <w:rsid w:val="00EF22B9"/>
    <w:rsid w:val="00EF2394"/>
    <w:rsid w:val="00EF38C8"/>
    <w:rsid w:val="00EF3A45"/>
    <w:rsid w:val="00EF42EB"/>
    <w:rsid w:val="00EF528D"/>
    <w:rsid w:val="00EF65A3"/>
    <w:rsid w:val="00EF7D7A"/>
    <w:rsid w:val="00F006E6"/>
    <w:rsid w:val="00F0167B"/>
    <w:rsid w:val="00F01DD7"/>
    <w:rsid w:val="00F01E9F"/>
    <w:rsid w:val="00F01FA4"/>
    <w:rsid w:val="00F0260F"/>
    <w:rsid w:val="00F030E7"/>
    <w:rsid w:val="00F036A0"/>
    <w:rsid w:val="00F04824"/>
    <w:rsid w:val="00F04B5D"/>
    <w:rsid w:val="00F04F80"/>
    <w:rsid w:val="00F05AAD"/>
    <w:rsid w:val="00F05BDA"/>
    <w:rsid w:val="00F0603A"/>
    <w:rsid w:val="00F06DB4"/>
    <w:rsid w:val="00F07838"/>
    <w:rsid w:val="00F079E5"/>
    <w:rsid w:val="00F07EE5"/>
    <w:rsid w:val="00F10219"/>
    <w:rsid w:val="00F108A1"/>
    <w:rsid w:val="00F1120D"/>
    <w:rsid w:val="00F11C5A"/>
    <w:rsid w:val="00F11CB6"/>
    <w:rsid w:val="00F11DA2"/>
    <w:rsid w:val="00F12123"/>
    <w:rsid w:val="00F125B4"/>
    <w:rsid w:val="00F12B6E"/>
    <w:rsid w:val="00F13331"/>
    <w:rsid w:val="00F146F4"/>
    <w:rsid w:val="00F147F8"/>
    <w:rsid w:val="00F14A81"/>
    <w:rsid w:val="00F14AC0"/>
    <w:rsid w:val="00F14E33"/>
    <w:rsid w:val="00F14EA5"/>
    <w:rsid w:val="00F16BE9"/>
    <w:rsid w:val="00F17481"/>
    <w:rsid w:val="00F177A5"/>
    <w:rsid w:val="00F17EEF"/>
    <w:rsid w:val="00F203F0"/>
    <w:rsid w:val="00F20969"/>
    <w:rsid w:val="00F20BE8"/>
    <w:rsid w:val="00F20DB3"/>
    <w:rsid w:val="00F2150B"/>
    <w:rsid w:val="00F226D3"/>
    <w:rsid w:val="00F22A45"/>
    <w:rsid w:val="00F22D41"/>
    <w:rsid w:val="00F23598"/>
    <w:rsid w:val="00F23DE5"/>
    <w:rsid w:val="00F2419B"/>
    <w:rsid w:val="00F244B2"/>
    <w:rsid w:val="00F24559"/>
    <w:rsid w:val="00F25E44"/>
    <w:rsid w:val="00F26C37"/>
    <w:rsid w:val="00F275BD"/>
    <w:rsid w:val="00F27CE3"/>
    <w:rsid w:val="00F305B4"/>
    <w:rsid w:val="00F30BD1"/>
    <w:rsid w:val="00F31A27"/>
    <w:rsid w:val="00F31BC3"/>
    <w:rsid w:val="00F32032"/>
    <w:rsid w:val="00F3206A"/>
    <w:rsid w:val="00F322D2"/>
    <w:rsid w:val="00F32BCE"/>
    <w:rsid w:val="00F33D29"/>
    <w:rsid w:val="00F3478B"/>
    <w:rsid w:val="00F34F31"/>
    <w:rsid w:val="00F3510D"/>
    <w:rsid w:val="00F35C03"/>
    <w:rsid w:val="00F35C4B"/>
    <w:rsid w:val="00F366AC"/>
    <w:rsid w:val="00F36A18"/>
    <w:rsid w:val="00F37A31"/>
    <w:rsid w:val="00F37CDF"/>
    <w:rsid w:val="00F40939"/>
    <w:rsid w:val="00F40B38"/>
    <w:rsid w:val="00F40B83"/>
    <w:rsid w:val="00F40EA2"/>
    <w:rsid w:val="00F41236"/>
    <w:rsid w:val="00F41DB4"/>
    <w:rsid w:val="00F41EBA"/>
    <w:rsid w:val="00F423C4"/>
    <w:rsid w:val="00F423D4"/>
    <w:rsid w:val="00F42589"/>
    <w:rsid w:val="00F43FA3"/>
    <w:rsid w:val="00F444A1"/>
    <w:rsid w:val="00F44792"/>
    <w:rsid w:val="00F44BFC"/>
    <w:rsid w:val="00F44C5F"/>
    <w:rsid w:val="00F44C9D"/>
    <w:rsid w:val="00F44FD8"/>
    <w:rsid w:val="00F453AB"/>
    <w:rsid w:val="00F460EF"/>
    <w:rsid w:val="00F465BE"/>
    <w:rsid w:val="00F46AC2"/>
    <w:rsid w:val="00F46F22"/>
    <w:rsid w:val="00F47387"/>
    <w:rsid w:val="00F4756A"/>
    <w:rsid w:val="00F47A3C"/>
    <w:rsid w:val="00F50775"/>
    <w:rsid w:val="00F51CB6"/>
    <w:rsid w:val="00F5209A"/>
    <w:rsid w:val="00F52B39"/>
    <w:rsid w:val="00F52CBA"/>
    <w:rsid w:val="00F5382F"/>
    <w:rsid w:val="00F5510A"/>
    <w:rsid w:val="00F55483"/>
    <w:rsid w:val="00F55FC3"/>
    <w:rsid w:val="00F57341"/>
    <w:rsid w:val="00F5791D"/>
    <w:rsid w:val="00F61B4D"/>
    <w:rsid w:val="00F63576"/>
    <w:rsid w:val="00F638AF"/>
    <w:rsid w:val="00F63B2D"/>
    <w:rsid w:val="00F64E10"/>
    <w:rsid w:val="00F6534B"/>
    <w:rsid w:val="00F654F4"/>
    <w:rsid w:val="00F6567A"/>
    <w:rsid w:val="00F658B3"/>
    <w:rsid w:val="00F65AC7"/>
    <w:rsid w:val="00F66651"/>
    <w:rsid w:val="00F667BB"/>
    <w:rsid w:val="00F674F6"/>
    <w:rsid w:val="00F67758"/>
    <w:rsid w:val="00F70018"/>
    <w:rsid w:val="00F70CBF"/>
    <w:rsid w:val="00F70E9F"/>
    <w:rsid w:val="00F7166C"/>
    <w:rsid w:val="00F7243E"/>
    <w:rsid w:val="00F73106"/>
    <w:rsid w:val="00F73258"/>
    <w:rsid w:val="00F739D0"/>
    <w:rsid w:val="00F74513"/>
    <w:rsid w:val="00F75214"/>
    <w:rsid w:val="00F753AC"/>
    <w:rsid w:val="00F754E7"/>
    <w:rsid w:val="00F7601B"/>
    <w:rsid w:val="00F760E8"/>
    <w:rsid w:val="00F76643"/>
    <w:rsid w:val="00F766D5"/>
    <w:rsid w:val="00F76A70"/>
    <w:rsid w:val="00F7732F"/>
    <w:rsid w:val="00F77E69"/>
    <w:rsid w:val="00F8067A"/>
    <w:rsid w:val="00F811EE"/>
    <w:rsid w:val="00F816F0"/>
    <w:rsid w:val="00F82676"/>
    <w:rsid w:val="00F82CE2"/>
    <w:rsid w:val="00F84098"/>
    <w:rsid w:val="00F8449D"/>
    <w:rsid w:val="00F84B9E"/>
    <w:rsid w:val="00F850E2"/>
    <w:rsid w:val="00F858F9"/>
    <w:rsid w:val="00F85DA7"/>
    <w:rsid w:val="00F860EF"/>
    <w:rsid w:val="00F90BA1"/>
    <w:rsid w:val="00F91343"/>
    <w:rsid w:val="00F91B56"/>
    <w:rsid w:val="00F91D43"/>
    <w:rsid w:val="00F920AC"/>
    <w:rsid w:val="00F928F1"/>
    <w:rsid w:val="00F92D67"/>
    <w:rsid w:val="00F92E42"/>
    <w:rsid w:val="00F944AA"/>
    <w:rsid w:val="00F94592"/>
    <w:rsid w:val="00F94CFD"/>
    <w:rsid w:val="00F96DDF"/>
    <w:rsid w:val="00F96E27"/>
    <w:rsid w:val="00F9729C"/>
    <w:rsid w:val="00F972B6"/>
    <w:rsid w:val="00FA0098"/>
    <w:rsid w:val="00FA0909"/>
    <w:rsid w:val="00FA24BE"/>
    <w:rsid w:val="00FA2507"/>
    <w:rsid w:val="00FA2A87"/>
    <w:rsid w:val="00FA302C"/>
    <w:rsid w:val="00FA324F"/>
    <w:rsid w:val="00FA32A2"/>
    <w:rsid w:val="00FA36A5"/>
    <w:rsid w:val="00FA37D2"/>
    <w:rsid w:val="00FA3E33"/>
    <w:rsid w:val="00FA4318"/>
    <w:rsid w:val="00FA507E"/>
    <w:rsid w:val="00FA534B"/>
    <w:rsid w:val="00FA6A57"/>
    <w:rsid w:val="00FA6ABC"/>
    <w:rsid w:val="00FA6B9D"/>
    <w:rsid w:val="00FB03AF"/>
    <w:rsid w:val="00FB0728"/>
    <w:rsid w:val="00FB0E1F"/>
    <w:rsid w:val="00FB0E35"/>
    <w:rsid w:val="00FB1649"/>
    <w:rsid w:val="00FB1EAA"/>
    <w:rsid w:val="00FB1ED6"/>
    <w:rsid w:val="00FB29C3"/>
    <w:rsid w:val="00FB2DCD"/>
    <w:rsid w:val="00FB2E94"/>
    <w:rsid w:val="00FB35AD"/>
    <w:rsid w:val="00FB37C2"/>
    <w:rsid w:val="00FB385F"/>
    <w:rsid w:val="00FB3AE8"/>
    <w:rsid w:val="00FB440C"/>
    <w:rsid w:val="00FB58C0"/>
    <w:rsid w:val="00FB5B37"/>
    <w:rsid w:val="00FB7019"/>
    <w:rsid w:val="00FB75BE"/>
    <w:rsid w:val="00FB76D1"/>
    <w:rsid w:val="00FC0483"/>
    <w:rsid w:val="00FC05FE"/>
    <w:rsid w:val="00FC0747"/>
    <w:rsid w:val="00FC081F"/>
    <w:rsid w:val="00FC0E9E"/>
    <w:rsid w:val="00FC1162"/>
    <w:rsid w:val="00FC1D22"/>
    <w:rsid w:val="00FC2C88"/>
    <w:rsid w:val="00FC2E13"/>
    <w:rsid w:val="00FC316C"/>
    <w:rsid w:val="00FC38E5"/>
    <w:rsid w:val="00FC3992"/>
    <w:rsid w:val="00FC3C2E"/>
    <w:rsid w:val="00FC4492"/>
    <w:rsid w:val="00FC58D6"/>
    <w:rsid w:val="00FC5EEE"/>
    <w:rsid w:val="00FC62F6"/>
    <w:rsid w:val="00FC68AD"/>
    <w:rsid w:val="00FC6D37"/>
    <w:rsid w:val="00FC6D7E"/>
    <w:rsid w:val="00FC735A"/>
    <w:rsid w:val="00FC7406"/>
    <w:rsid w:val="00FD07D1"/>
    <w:rsid w:val="00FD12C9"/>
    <w:rsid w:val="00FD2BC5"/>
    <w:rsid w:val="00FD41F9"/>
    <w:rsid w:val="00FD474C"/>
    <w:rsid w:val="00FD4879"/>
    <w:rsid w:val="00FD49A8"/>
    <w:rsid w:val="00FD6419"/>
    <w:rsid w:val="00FD6D1B"/>
    <w:rsid w:val="00FD72D2"/>
    <w:rsid w:val="00FD79C2"/>
    <w:rsid w:val="00FE04C4"/>
    <w:rsid w:val="00FE0903"/>
    <w:rsid w:val="00FE09D2"/>
    <w:rsid w:val="00FE0AEA"/>
    <w:rsid w:val="00FE0FAE"/>
    <w:rsid w:val="00FE1871"/>
    <w:rsid w:val="00FE33FC"/>
    <w:rsid w:val="00FE3AA1"/>
    <w:rsid w:val="00FE4031"/>
    <w:rsid w:val="00FE4AB3"/>
    <w:rsid w:val="00FE4CC2"/>
    <w:rsid w:val="00FE53DF"/>
    <w:rsid w:val="00FE5580"/>
    <w:rsid w:val="00FE563B"/>
    <w:rsid w:val="00FE5A18"/>
    <w:rsid w:val="00FE5ADE"/>
    <w:rsid w:val="00FE6681"/>
    <w:rsid w:val="00FE7A90"/>
    <w:rsid w:val="00FF055C"/>
    <w:rsid w:val="00FF1C60"/>
    <w:rsid w:val="00FF1F20"/>
    <w:rsid w:val="00FF1FB8"/>
    <w:rsid w:val="00FF2389"/>
    <w:rsid w:val="00FF2B36"/>
    <w:rsid w:val="00FF2E1B"/>
    <w:rsid w:val="00FF3520"/>
    <w:rsid w:val="00FF38D0"/>
    <w:rsid w:val="00FF405E"/>
    <w:rsid w:val="00FF4260"/>
    <w:rsid w:val="00FF44CA"/>
    <w:rsid w:val="00FF44EE"/>
    <w:rsid w:val="00FF4A60"/>
    <w:rsid w:val="00FF4B15"/>
    <w:rsid w:val="00FF4CBD"/>
    <w:rsid w:val="00FF5AB9"/>
    <w:rsid w:val="00FF7DFF"/>
    <w:rsid w:val="020CB543"/>
    <w:rsid w:val="025C4B78"/>
    <w:rsid w:val="0297184F"/>
    <w:rsid w:val="02CB9BE1"/>
    <w:rsid w:val="035B6661"/>
    <w:rsid w:val="03857201"/>
    <w:rsid w:val="047952A6"/>
    <w:rsid w:val="04B6D22F"/>
    <w:rsid w:val="076A8972"/>
    <w:rsid w:val="0901613E"/>
    <w:rsid w:val="09F95514"/>
    <w:rsid w:val="0A9E0EC8"/>
    <w:rsid w:val="0B41C6C6"/>
    <w:rsid w:val="0CC67830"/>
    <w:rsid w:val="0E054AB3"/>
    <w:rsid w:val="0E0AEBEE"/>
    <w:rsid w:val="0E2CDBF0"/>
    <w:rsid w:val="0E961680"/>
    <w:rsid w:val="0EB43A62"/>
    <w:rsid w:val="0F398EB5"/>
    <w:rsid w:val="0F49B5EB"/>
    <w:rsid w:val="0FE48BBB"/>
    <w:rsid w:val="0FEE8B1A"/>
    <w:rsid w:val="1009F2BF"/>
    <w:rsid w:val="111165D7"/>
    <w:rsid w:val="11116BB8"/>
    <w:rsid w:val="125A5007"/>
    <w:rsid w:val="12BBD07A"/>
    <w:rsid w:val="12E79730"/>
    <w:rsid w:val="13110C3B"/>
    <w:rsid w:val="13448C50"/>
    <w:rsid w:val="13AF8030"/>
    <w:rsid w:val="14017C19"/>
    <w:rsid w:val="142FE41D"/>
    <w:rsid w:val="144DD877"/>
    <w:rsid w:val="14787AC2"/>
    <w:rsid w:val="1572A5EC"/>
    <w:rsid w:val="15F6D80E"/>
    <w:rsid w:val="16D6ACAE"/>
    <w:rsid w:val="16FE29AE"/>
    <w:rsid w:val="170DBFA8"/>
    <w:rsid w:val="17D836C1"/>
    <w:rsid w:val="1856A3B8"/>
    <w:rsid w:val="1884AB3C"/>
    <w:rsid w:val="18F133B6"/>
    <w:rsid w:val="1A54D8F4"/>
    <w:rsid w:val="1A71B2B9"/>
    <w:rsid w:val="1B1786BF"/>
    <w:rsid w:val="1B634348"/>
    <w:rsid w:val="1C2B1725"/>
    <w:rsid w:val="1D8B67DB"/>
    <w:rsid w:val="1DB11609"/>
    <w:rsid w:val="1E887609"/>
    <w:rsid w:val="1F0A9372"/>
    <w:rsid w:val="20A9ADFF"/>
    <w:rsid w:val="20AF6078"/>
    <w:rsid w:val="20BCF38E"/>
    <w:rsid w:val="210C8380"/>
    <w:rsid w:val="21368845"/>
    <w:rsid w:val="21E901BB"/>
    <w:rsid w:val="23509671"/>
    <w:rsid w:val="239DFA79"/>
    <w:rsid w:val="23CA6168"/>
    <w:rsid w:val="23FF5972"/>
    <w:rsid w:val="2419A0AE"/>
    <w:rsid w:val="24594679"/>
    <w:rsid w:val="25764091"/>
    <w:rsid w:val="25893500"/>
    <w:rsid w:val="263E07FB"/>
    <w:rsid w:val="271EFE72"/>
    <w:rsid w:val="2836F964"/>
    <w:rsid w:val="2858433F"/>
    <w:rsid w:val="28716B9C"/>
    <w:rsid w:val="29F413A0"/>
    <w:rsid w:val="2B428FFA"/>
    <w:rsid w:val="2C3CC982"/>
    <w:rsid w:val="2DF3C302"/>
    <w:rsid w:val="2EA40ABF"/>
    <w:rsid w:val="2F4E81EE"/>
    <w:rsid w:val="2F52312A"/>
    <w:rsid w:val="2FAC1AEF"/>
    <w:rsid w:val="30635524"/>
    <w:rsid w:val="31A8D5AF"/>
    <w:rsid w:val="320F484F"/>
    <w:rsid w:val="3289D1EC"/>
    <w:rsid w:val="343C12C7"/>
    <w:rsid w:val="357C3CD8"/>
    <w:rsid w:val="35821936"/>
    <w:rsid w:val="36828FC6"/>
    <w:rsid w:val="36D296A8"/>
    <w:rsid w:val="372075CC"/>
    <w:rsid w:val="3754AABB"/>
    <w:rsid w:val="3755D44E"/>
    <w:rsid w:val="376E1B26"/>
    <w:rsid w:val="39704681"/>
    <w:rsid w:val="3A44069C"/>
    <w:rsid w:val="3A99A3C1"/>
    <w:rsid w:val="3B0A2BFF"/>
    <w:rsid w:val="3B90014E"/>
    <w:rsid w:val="3BE80FEA"/>
    <w:rsid w:val="3C10D0AF"/>
    <w:rsid w:val="3C6082C6"/>
    <w:rsid w:val="3D48E963"/>
    <w:rsid w:val="3DC44BAF"/>
    <w:rsid w:val="3E1B027E"/>
    <w:rsid w:val="3EC7064C"/>
    <w:rsid w:val="3FB1DCE9"/>
    <w:rsid w:val="41591398"/>
    <w:rsid w:val="416D94E3"/>
    <w:rsid w:val="41DFDB56"/>
    <w:rsid w:val="4204EE93"/>
    <w:rsid w:val="4257E0D2"/>
    <w:rsid w:val="428F99F0"/>
    <w:rsid w:val="4291B990"/>
    <w:rsid w:val="438FD473"/>
    <w:rsid w:val="44087ACD"/>
    <w:rsid w:val="448BF5AE"/>
    <w:rsid w:val="44B5D0F8"/>
    <w:rsid w:val="44DC175A"/>
    <w:rsid w:val="45164AA6"/>
    <w:rsid w:val="4584550B"/>
    <w:rsid w:val="45ABFA48"/>
    <w:rsid w:val="46030A7C"/>
    <w:rsid w:val="46D85FB6"/>
    <w:rsid w:val="46EA37C9"/>
    <w:rsid w:val="46F6CBC3"/>
    <w:rsid w:val="4714ADCC"/>
    <w:rsid w:val="47AC8829"/>
    <w:rsid w:val="47E46AEB"/>
    <w:rsid w:val="48AA0CFF"/>
    <w:rsid w:val="4957C1F7"/>
    <w:rsid w:val="49CE70A5"/>
    <w:rsid w:val="49CF2E0F"/>
    <w:rsid w:val="49E6ABF7"/>
    <w:rsid w:val="4A149A37"/>
    <w:rsid w:val="4A77DB1B"/>
    <w:rsid w:val="4BEB617B"/>
    <w:rsid w:val="4C642C86"/>
    <w:rsid w:val="4CB6ADBD"/>
    <w:rsid w:val="4D217292"/>
    <w:rsid w:val="4D653A91"/>
    <w:rsid w:val="4D672202"/>
    <w:rsid w:val="4DBF2DD3"/>
    <w:rsid w:val="4E13A995"/>
    <w:rsid w:val="4E2DBFB3"/>
    <w:rsid w:val="4EB2289F"/>
    <w:rsid w:val="4EFC0981"/>
    <w:rsid w:val="4F077EBC"/>
    <w:rsid w:val="4FCF4E09"/>
    <w:rsid w:val="4FF1314E"/>
    <w:rsid w:val="5011B42D"/>
    <w:rsid w:val="50CCE543"/>
    <w:rsid w:val="5142FBEB"/>
    <w:rsid w:val="52F69425"/>
    <w:rsid w:val="52F6A912"/>
    <w:rsid w:val="534C53CF"/>
    <w:rsid w:val="53B2C5A9"/>
    <w:rsid w:val="54263191"/>
    <w:rsid w:val="5526C217"/>
    <w:rsid w:val="5559C08A"/>
    <w:rsid w:val="55C03E43"/>
    <w:rsid w:val="55DC7F6B"/>
    <w:rsid w:val="5683217A"/>
    <w:rsid w:val="57656202"/>
    <w:rsid w:val="5790175B"/>
    <w:rsid w:val="57EA78A0"/>
    <w:rsid w:val="58CD3BC5"/>
    <w:rsid w:val="58D588C9"/>
    <w:rsid w:val="5932B5FF"/>
    <w:rsid w:val="5AD66352"/>
    <w:rsid w:val="5AE85346"/>
    <w:rsid w:val="5B65D148"/>
    <w:rsid w:val="5BAAED5D"/>
    <w:rsid w:val="5BCC3808"/>
    <w:rsid w:val="5BE9872C"/>
    <w:rsid w:val="5C9C8F39"/>
    <w:rsid w:val="5CF6BC86"/>
    <w:rsid w:val="5D2C8605"/>
    <w:rsid w:val="5D5117DA"/>
    <w:rsid w:val="5E3938BE"/>
    <w:rsid w:val="5E627611"/>
    <w:rsid w:val="5E7D0ECB"/>
    <w:rsid w:val="60D480FB"/>
    <w:rsid w:val="61289B32"/>
    <w:rsid w:val="62E2A7E0"/>
    <w:rsid w:val="62E5A215"/>
    <w:rsid w:val="637B928B"/>
    <w:rsid w:val="63DB8F70"/>
    <w:rsid w:val="65CD2577"/>
    <w:rsid w:val="65E29507"/>
    <w:rsid w:val="664C5B24"/>
    <w:rsid w:val="66621F22"/>
    <w:rsid w:val="6706B437"/>
    <w:rsid w:val="674184D8"/>
    <w:rsid w:val="6806A2D4"/>
    <w:rsid w:val="6991A9A9"/>
    <w:rsid w:val="6A0181C0"/>
    <w:rsid w:val="6B1ED028"/>
    <w:rsid w:val="6BC2AB8C"/>
    <w:rsid w:val="6CBAA089"/>
    <w:rsid w:val="6D8D4D99"/>
    <w:rsid w:val="6D9DBBDD"/>
    <w:rsid w:val="6FCEED32"/>
    <w:rsid w:val="7019CE2E"/>
    <w:rsid w:val="70B2F723"/>
    <w:rsid w:val="7121D26D"/>
    <w:rsid w:val="71BC3B45"/>
    <w:rsid w:val="71FC0201"/>
    <w:rsid w:val="7204283B"/>
    <w:rsid w:val="72682574"/>
    <w:rsid w:val="726D758D"/>
    <w:rsid w:val="7303B365"/>
    <w:rsid w:val="763E2933"/>
    <w:rsid w:val="77342FDF"/>
    <w:rsid w:val="777B4E21"/>
    <w:rsid w:val="777BA824"/>
    <w:rsid w:val="77D63BCA"/>
    <w:rsid w:val="78C2358D"/>
    <w:rsid w:val="78FA7CC5"/>
    <w:rsid w:val="791E9064"/>
    <w:rsid w:val="79584E48"/>
    <w:rsid w:val="797F4C41"/>
    <w:rsid w:val="79B42037"/>
    <w:rsid w:val="7A6AEE62"/>
    <w:rsid w:val="7B09F6DF"/>
    <w:rsid w:val="7B38691A"/>
    <w:rsid w:val="7B74C3D6"/>
    <w:rsid w:val="7B8FE36B"/>
    <w:rsid w:val="7B95E0AD"/>
    <w:rsid w:val="7C1E2E5F"/>
    <w:rsid w:val="7C4B7F59"/>
    <w:rsid w:val="7CEF6B35"/>
    <w:rsid w:val="7D9A0143"/>
    <w:rsid w:val="7EEB2812"/>
    <w:rsid w:val="7EF7FD0D"/>
    <w:rsid w:val="7F5F778C"/>
    <w:rsid w:val="7F6781BD"/>
    <w:rsid w:val="7FAFD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C698C"/>
  <w15:docId w15:val="{4EC3EA0D-3C2D-422F-A247-B837DDDD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956"/>
    <w:pPr>
      <w:keepNext/>
      <w:keepLines/>
      <w:spacing w:after="240"/>
      <w:outlineLvl w:val="0"/>
    </w:pPr>
    <w:rPr>
      <w:rFonts w:ascii="Calibri" w:eastAsiaTheme="majorEastAsia" w:hAnsi="Calibri" w:cstheme="majorBidi"/>
      <w:b/>
      <w:color w:val="24206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956"/>
    <w:pPr>
      <w:spacing w:before="160"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F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956"/>
    <w:rPr>
      <w:rFonts w:ascii="Calibri" w:eastAsiaTheme="majorEastAsia" w:hAnsi="Calibri" w:cstheme="majorBidi"/>
      <w:b/>
      <w:color w:val="24206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4956"/>
    <w:rPr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61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4E152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4E1528"/>
    <w:pPr>
      <w:spacing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1528"/>
    <w:rPr>
      <w:rFonts w:ascii="Calibri" w:eastAsiaTheme="majorEastAsia" w:hAnsi="Calibri" w:cstheme="majorBidi"/>
      <w:b/>
      <w:color w:val="522761"/>
      <w:spacing w:val="5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528"/>
    <w:pPr>
      <w:spacing w:after="240" w:line="276" w:lineRule="auto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528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BodyText">
    <w:name w:val="Body Text"/>
    <w:basedOn w:val="Normal"/>
    <w:link w:val="BodyTextChar"/>
    <w:rsid w:val="004E1528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4E1528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E1528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4E152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E1528"/>
    <w:pPr>
      <w:tabs>
        <w:tab w:val="center" w:pos="4513"/>
        <w:tab w:val="right" w:pos="9026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4E1528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4E152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2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2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2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7D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DF9"/>
    <w:rPr>
      <w:color w:val="800080"/>
      <w:u w:val="single"/>
    </w:rPr>
  </w:style>
  <w:style w:type="paragraph" w:customStyle="1" w:styleId="xl65">
    <w:name w:val="xl65"/>
    <w:basedOn w:val="Normal"/>
    <w:rsid w:val="007D7DF9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7D7DF9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7">
    <w:name w:val="xl67"/>
    <w:basedOn w:val="Normal"/>
    <w:rsid w:val="007D7DF9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CC616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C616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CC616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D06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4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1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163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1010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xl71">
    <w:name w:val="xl71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2">
    <w:name w:val="xl72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3">
    <w:name w:val="xl73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4">
    <w:name w:val="xl74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5">
    <w:name w:val="xl75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6">
    <w:name w:val="xl76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79">
    <w:name w:val="xl79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0">
    <w:name w:val="xl80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2">
    <w:name w:val="xl82"/>
    <w:basedOn w:val="Normal"/>
    <w:rsid w:val="009316BA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msonormal0">
    <w:name w:val="msonormal"/>
    <w:basedOn w:val="Normal"/>
    <w:rsid w:val="0086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57563C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57563C"/>
    <w:rPr>
      <w:rFonts w:ascii="Times New Roman" w:eastAsia="Times New Roman" w:hAnsi="Times New Roman" w:cs="Times New Roman"/>
      <w:szCs w:val="20"/>
      <w:lang w:eastAsia="en-AU"/>
    </w:rPr>
  </w:style>
  <w:style w:type="paragraph" w:styleId="Revision">
    <w:name w:val="Revision"/>
    <w:hidden/>
    <w:uiPriority w:val="99"/>
    <w:semiHidden/>
    <w:rsid w:val="00316366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222987"/>
    <w:pPr>
      <w:numPr>
        <w:numId w:val="10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F4A60"/>
    <w:pPr>
      <w:tabs>
        <w:tab w:val="right" w:leader="dot" w:pos="10042"/>
      </w:tabs>
      <w:spacing w:after="100" w:line="276" w:lineRule="auto"/>
    </w:pPr>
    <w:rPr>
      <w:bC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261816"/>
    <w:pPr>
      <w:tabs>
        <w:tab w:val="right" w:leader="dot" w:pos="10042"/>
      </w:tabs>
      <w:spacing w:after="100"/>
      <w:ind w:left="220"/>
    </w:pPr>
  </w:style>
  <w:style w:type="paragraph" w:customStyle="1" w:styleId="numberedpara">
    <w:name w:val="numbered para"/>
    <w:basedOn w:val="Normal"/>
    <w:rsid w:val="00446050"/>
    <w:pPr>
      <w:numPr>
        <w:numId w:val="15"/>
      </w:numPr>
      <w:spacing w:after="0" w:line="240" w:lineRule="auto"/>
    </w:pPr>
    <w:rPr>
      <w:rFonts w:ascii="Calibri" w:hAnsi="Calibri" w:cs="Calibri"/>
      <w:lang w:eastAsia="en-AU"/>
    </w:rPr>
  </w:style>
  <w:style w:type="table" w:styleId="TableGrid">
    <w:name w:val="Table Grid"/>
    <w:basedOn w:val="TableNormal"/>
    <w:uiPriority w:val="39"/>
    <w:rsid w:val="001B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A935E7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F05AAD"/>
  </w:style>
  <w:style w:type="paragraph" w:styleId="TOCHeading">
    <w:name w:val="TOC Heading"/>
    <w:basedOn w:val="Heading1"/>
    <w:next w:val="Normal"/>
    <w:uiPriority w:val="39"/>
    <w:unhideWhenUsed/>
    <w:qFormat/>
    <w:rsid w:val="005E0E76"/>
    <w:pPr>
      <w:spacing w:before="240" w:after="0"/>
      <w:outlineLvl w:val="9"/>
    </w:pPr>
    <w:rPr>
      <w:rFonts w:asciiTheme="majorHAnsi" w:hAnsiTheme="majorHAnsi"/>
      <w:b w:val="0"/>
      <w:color w:val="365F91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57ABC"/>
    <w:pPr>
      <w:tabs>
        <w:tab w:val="right" w:leader="dot" w:pos="10042"/>
      </w:tabs>
      <w:spacing w:after="100"/>
      <w:ind w:left="440"/>
    </w:pPr>
    <w:rPr>
      <w:rFonts w:eastAsiaTheme="minorEastAsia" w:cs="Times New Roman"/>
      <w:lang w:val="en-US"/>
    </w:rPr>
  </w:style>
  <w:style w:type="paragraph" w:customStyle="1" w:styleId="xl83">
    <w:name w:val="xl83"/>
    <w:basedOn w:val="Normal"/>
    <w:rsid w:val="00DB610F"/>
    <w:pPr>
      <w:pBdr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4">
    <w:name w:val="xl84"/>
    <w:basedOn w:val="Normal"/>
    <w:rsid w:val="00DB61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DB610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DB61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7">
    <w:name w:val="xl87"/>
    <w:basedOn w:val="Normal"/>
    <w:rsid w:val="00C43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8">
    <w:name w:val="xl88"/>
    <w:basedOn w:val="Normal"/>
    <w:rsid w:val="00C433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A352C4"/>
  </w:style>
  <w:style w:type="character" w:customStyle="1" w:styleId="Heading3Char">
    <w:name w:val="Heading 3 Char"/>
    <w:basedOn w:val="DefaultParagraphFont"/>
    <w:link w:val="Heading3"/>
    <w:uiPriority w:val="9"/>
    <w:rsid w:val="00730F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BPoint">
    <w:name w:val="MB Point"/>
    <w:basedOn w:val="ListParagraph"/>
    <w:link w:val="MBPointChar"/>
    <w:qFormat/>
    <w:rsid w:val="00660866"/>
    <w:pPr>
      <w:numPr>
        <w:numId w:val="29"/>
      </w:numPr>
      <w:spacing w:after="60" w:line="240" w:lineRule="auto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MBPointChar">
    <w:name w:val="MB Point Char"/>
    <w:basedOn w:val="DefaultParagraphFont"/>
    <w:link w:val="MBPoint"/>
    <w:rsid w:val="00660866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FA6ABC"/>
  </w:style>
  <w:style w:type="character" w:styleId="UnresolvedMention">
    <w:name w:val="Unresolved Mention"/>
    <w:basedOn w:val="DefaultParagraphFont"/>
    <w:uiPriority w:val="99"/>
    <w:semiHidden/>
    <w:unhideWhenUsed/>
    <w:rsid w:val="00B56A7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10AB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26" Type="http://schemas.openxmlformats.org/officeDocument/2006/relationships/chart" Target="charts/chart4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openxmlformats.org/officeDocument/2006/relationships/chart" Target="charts/chart3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Details/F2023C00351" TargetMode="External"/><Relationship Id="rId20" Type="http://schemas.openxmlformats.org/officeDocument/2006/relationships/footer" Target="footer2.xml"/><Relationship Id="rId29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chart" Target="charts/chart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dnet.hosts.network/education/Resources/Documents/CC%20BY%204.0%20International" TargetMode="External"/><Relationship Id="rId23" Type="http://schemas.openxmlformats.org/officeDocument/2006/relationships/chart" Target="charts/chart1.xml"/><Relationship Id="rId28" Type="http://schemas.openxmlformats.org/officeDocument/2006/relationships/chart" Target="charts/chart6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dnet.hosts.network/education/Resources/Documents/Creative%20Commons%20Attribution%204.0%20International" TargetMode="External"/><Relationship Id="rId22" Type="http://schemas.openxmlformats.org/officeDocument/2006/relationships/footer" Target="footer3.xml"/><Relationship Id="rId27" Type="http://schemas.openxmlformats.org/officeDocument/2006/relationships/chart" Target="charts/chart5.xml"/><Relationship Id="rId30" Type="http://schemas.openxmlformats.org/officeDocument/2006/relationships/chart" Target="charts/chart8.xml"/><Relationship Id="rId8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sharedservicescentre.sharepoint.com/sites/DESE-VETStudentLoansDataandReporting-TEAM/Shared%20Documents/Data%20Request/Regular%20Request/RR19-0060%20-%20Statistical%20Reports/2022/12%20Months/Analysis/VSL%20Annual%20Report%202022-%20Graphs%20and%20Tab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sharedservicescentre.sharepoint.com/sites/DESE-VETStudentLoansDataandReporting-TEAM/Shared%20Documents/Data%20Request/Regular%20Request/RR19-0060%20-%20Statistical%20Reports/2022/12%20Months/VSL%20Annual%20Report%202022-%20Graphs%20and%20Tabl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sharedservicescentre.sharepoint.com/sites/DESE-VETStudentLoansDataandReporting-TEAM/Shared%20Documents/Data%20Request/Regular%20Request/RR19-0060%20-%20Statistical%20Reports/2022/12%20Months/VSL%20Annual%20Report%202022-%20Graphs%20and%20Tabl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sharedservicescentre.sharepoint.com/sites/DESE-VETStudentLoansDataandReporting-TEAM/Shared%20Documents/Data%20Request/Regular%20Request/RR19-0060%20-%20Statistical%20Reports/2022/12%20Months/Analysis/VSL%20Annual%20Report%202022-%20Graphs%20and%20Table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sharedservicescentre-my.sharepoint.com/personal/abdul_koroma_dewr_gov_au/Documents/Copy%20of%20Annual%20Report%202022%20data_20230627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sharedservicescentre.sharepoint.com/sites/DESE-VETStudentLoansDataandReporting-TEAM/Shared%20Documents/Data%20Request/Regular%20Request/RR19-0060%20-%20Statistical%20Reports/2022/12%20Months/VSL%20Annual%20Report%202022-%20Graphs%20and%20Table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sharedservicescentre.sharepoint.com/sites/DESE-VETStudentLoansDataandReporting-TEAM/Shared%20Documents/Data%20Request/Regular%20Request/RR19-0060%20-%20Statistical%20Reports/2022/12%20Months/Analysis/VSL%20Annual%20Report%202022-%20Graphs%20and%20Table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sharedservicescentre.sharepoint.com/sites/DESE-VETStudentLoansDataandReporting-TEAM/Shared%20Documents/Data%20Request/Regular%20Request/RR19-0060%20-%20Statistical%20Reports/2022/12%20Months/VSL%20Annual%20Report%20%20Jan%20-%20Dec%202022%20-%20De-IDE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13590738949233"/>
          <c:y val="7.7642512077294695E-2"/>
          <c:w val="0.73811619581766896"/>
          <c:h val="0.6893973905435734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'[VSL Annual Report 2022- Graphs and Tables.xlsx]Sheet6'!$J$12</c:f>
              <c:strCache>
                <c:ptCount val="1"/>
                <c:pt idx="0">
                  <c:v>VSL Amount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numFmt formatCode="&quot;$&quot;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'[VSL Annual Report 2022- Graphs and Tables.xlsx]Sheet6'!$H$13:$H$18</c:f>
              <c:strCach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strCache>
            </c:strRef>
          </c:cat>
          <c:val>
            <c:numRef>
              <c:f>'[VSL Annual Report 2022- Graphs and Tables.xlsx]Sheet6'!$J$13:$J$18</c:f>
              <c:numCache>
                <c:formatCode>"$"#,##0.00</c:formatCode>
                <c:ptCount val="6"/>
                <c:pt idx="0">
                  <c:v>200335628.15000001</c:v>
                </c:pt>
                <c:pt idx="1">
                  <c:v>278717990.69</c:v>
                </c:pt>
                <c:pt idx="2">
                  <c:v>275930934.25999999</c:v>
                </c:pt>
                <c:pt idx="3">
                  <c:v>273221649.64999998</c:v>
                </c:pt>
                <c:pt idx="4">
                  <c:v>257695600.22999999</c:v>
                </c:pt>
                <c:pt idx="5">
                  <c:v>222733012.24000001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DB-434C-BD8C-2F396F743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14601552"/>
        <c:axId val="397808640"/>
      </c:barChart>
      <c:lineChart>
        <c:grouping val="stacked"/>
        <c:varyColors val="0"/>
        <c:ser>
          <c:idx val="0"/>
          <c:order val="0"/>
          <c:tx>
            <c:strRef>
              <c:f>'[VSL Annual Report 2022- Graphs and Tables.xlsx]Sheet6'!$I$12</c:f>
              <c:strCache>
                <c:ptCount val="1"/>
                <c:pt idx="0">
                  <c:v>Students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1.8367349890302087E-2"/>
                  <c:y val="0.252830188679245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DB-434C-BD8C-2F396F743707}"/>
                </c:ext>
              </c:extLst>
            </c:dLbl>
            <c:dLbl>
              <c:idx val="1"/>
              <c:layout>
                <c:manualLayout>
                  <c:x val="1.2244899926868022E-2"/>
                  <c:y val="0.396226415094339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DDB-434C-BD8C-2F396F743707}"/>
                </c:ext>
              </c:extLst>
            </c:dLbl>
            <c:dLbl>
              <c:idx val="2"/>
              <c:layout>
                <c:manualLayout>
                  <c:x val="1.0204083272390049E-2"/>
                  <c:y val="0.366037735849056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DDB-434C-BD8C-2F396F743707}"/>
                </c:ext>
              </c:extLst>
            </c:dLbl>
            <c:dLbl>
              <c:idx val="3"/>
              <c:layout>
                <c:manualLayout>
                  <c:x val="1.4285716581345993E-2"/>
                  <c:y val="0.328301886792452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DDB-434C-BD8C-2F396F743707}"/>
                </c:ext>
              </c:extLst>
            </c:dLbl>
            <c:dLbl>
              <c:idx val="4"/>
              <c:layout>
                <c:manualLayout>
                  <c:x val="6.1224008675562257E-3"/>
                  <c:y val="0.210800298669562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DDB-434C-BD8C-2F396F743707}"/>
                </c:ext>
              </c:extLst>
            </c:dLbl>
            <c:dLbl>
              <c:idx val="5"/>
              <c:layout>
                <c:manualLayout>
                  <c:x val="3.8609395382463419E-3"/>
                  <c:y val="0.124907683953298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DDB-434C-BD8C-2F396F7437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'[VSL Annual Report 2022- Graphs and Tables.xlsx]Sheet6'!$H$13:$H$18</c:f>
              <c:strCach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strCache>
            </c:strRef>
          </c:cat>
          <c:val>
            <c:numRef>
              <c:f>'[VSL Annual Report 2022- Graphs and Tables.xlsx]Sheet6'!$I$13:$I$18</c:f>
              <c:numCache>
                <c:formatCode>_(* #,##0_);_(* \(#,##0\);_(* "-"??_);_(@_)</c:formatCode>
                <c:ptCount val="6"/>
                <c:pt idx="0">
                  <c:v>42220</c:v>
                </c:pt>
                <c:pt idx="1">
                  <c:v>57874</c:v>
                </c:pt>
                <c:pt idx="2">
                  <c:v>53892</c:v>
                </c:pt>
                <c:pt idx="3">
                  <c:v>50554</c:v>
                </c:pt>
                <c:pt idx="4">
                  <c:v>40490</c:v>
                </c:pt>
                <c:pt idx="5">
                  <c:v>30003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DDB-434C-BD8C-2F396F743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14614544"/>
        <c:axId val="1909399328"/>
      </c:lineChart>
      <c:catAx>
        <c:axId val="41461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9399328"/>
        <c:crosses val="autoZero"/>
        <c:auto val="1"/>
        <c:lblAlgn val="ctr"/>
        <c:lblOffset val="100"/>
        <c:noMultiLvlLbl val="0"/>
      </c:catAx>
      <c:valAx>
        <c:axId val="190939932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Number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614544"/>
        <c:crosses val="autoZero"/>
        <c:crossBetween val="between"/>
      </c:valAx>
      <c:valAx>
        <c:axId val="397808640"/>
        <c:scaling>
          <c:orientation val="minMax"/>
        </c:scaling>
        <c:delete val="0"/>
        <c:axPos val="r"/>
        <c:numFmt formatCode="&quot;$&quot;#,##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601552"/>
        <c:crosses val="max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0.9546835858402033"/>
                <c:y val="0.29090566037735849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en-AU"/>
                    <a:t>VSL</a:t>
                  </a:r>
                  <a:r>
                    <a:rPr lang="en-AU" baseline="0"/>
                    <a:t> amount (m)</a:t>
                  </a:r>
                  <a:endParaRPr lang="en-AU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</c:dispUnitsLbl>
        </c:dispUnits>
      </c:valAx>
      <c:catAx>
        <c:axId val="414601552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crossAx val="3978086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10995776804914"/>
          <c:y val="4.4989775051124746E-2"/>
          <c:w val="0.86046640780904338"/>
          <c:h val="0.734172920767716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'[VSL Annual Report 2022- Graphs and Tables.xlsx]Monthly breakdown'!$C$27</c:f>
              <c:strCache>
                <c:ptCount val="1"/>
                <c:pt idx="0">
                  <c:v>VSL Students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'[VSL Annual Report 2022- Graphs and Tables.xlsx]Monthly breakdown'!$B$28:$B$39</c:f>
              <c:strCache>
                <c:ptCount val="12"/>
                <c:pt idx="0">
                  <c:v>Jan 2022</c:v>
                </c:pt>
                <c:pt idx="1">
                  <c:v>Feb 2022</c:v>
                </c:pt>
                <c:pt idx="2">
                  <c:v>Mar 2022</c:v>
                </c:pt>
                <c:pt idx="3">
                  <c:v>Apr 2022</c:v>
                </c:pt>
                <c:pt idx="4">
                  <c:v>May 2022</c:v>
                </c:pt>
                <c:pt idx="5">
                  <c:v>Jun 2022</c:v>
                </c:pt>
                <c:pt idx="6">
                  <c:v>Jul 2022</c:v>
                </c:pt>
                <c:pt idx="7">
                  <c:v>Aug 2022</c:v>
                </c:pt>
                <c:pt idx="8">
                  <c:v>Sep 2022</c:v>
                </c:pt>
                <c:pt idx="9">
                  <c:v>Oct 2022</c:v>
                </c:pt>
                <c:pt idx="10">
                  <c:v>Nov 2022</c:v>
                </c:pt>
                <c:pt idx="11">
                  <c:v>Dec 2022</c:v>
                </c:pt>
              </c:strCache>
            </c:strRef>
          </c:cat>
          <c:val>
            <c:numRef>
              <c:f>'[VSL Annual Report 2022- Graphs and Tables.xlsx]Monthly breakdown'!$C$28:$C$39</c:f>
              <c:numCache>
                <c:formatCode>_-* #,##0_-;\-* #,##0_-;_-* "-"??_-;_-@_-</c:formatCode>
                <c:ptCount val="12"/>
                <c:pt idx="0">
                  <c:v>2299</c:v>
                </c:pt>
                <c:pt idx="1">
                  <c:v>4986</c:v>
                </c:pt>
                <c:pt idx="2">
                  <c:v>10825</c:v>
                </c:pt>
                <c:pt idx="3">
                  <c:v>2735</c:v>
                </c:pt>
                <c:pt idx="4">
                  <c:v>1570</c:v>
                </c:pt>
                <c:pt idx="5">
                  <c:v>1066</c:v>
                </c:pt>
                <c:pt idx="6">
                  <c:v>852</c:v>
                </c:pt>
                <c:pt idx="7">
                  <c:v>2829</c:v>
                </c:pt>
                <c:pt idx="8">
                  <c:v>1048</c:v>
                </c:pt>
                <c:pt idx="9">
                  <c:v>763</c:v>
                </c:pt>
                <c:pt idx="10">
                  <c:v>549</c:v>
                </c:pt>
                <c:pt idx="11">
                  <c:v>481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2A-449D-9F68-036072CD94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827917215"/>
        <c:axId val="1827914335"/>
      </c:barChart>
      <c:catAx>
        <c:axId val="18279172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Months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7914335"/>
        <c:crosses val="autoZero"/>
        <c:auto val="1"/>
        <c:lblAlgn val="ctr"/>
        <c:lblOffset val="100"/>
        <c:noMultiLvlLbl val="0"/>
      </c:catAx>
      <c:valAx>
        <c:axId val="182791433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Number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79172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654817419667205E-2"/>
          <c:y val="4.4579533941236066E-2"/>
          <c:w val="0.87786621817903832"/>
          <c:h val="0.719725602481507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'[VSL Annual Report 2022- Graphs and Tables.xlsx]Monthly breakdown'!$C$5</c:f>
              <c:strCache>
                <c:ptCount val="1"/>
                <c:pt idx="0">
                  <c:v>VSL Loans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numFmt formatCode="&quot;$&quot;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'[VSL Annual Report 2022- Graphs and Tables.xlsx]Monthly breakdown'!$B$6:$B$17</c:f>
              <c:strCache>
                <c:ptCount val="12"/>
                <c:pt idx="0">
                  <c:v>Jan 2022</c:v>
                </c:pt>
                <c:pt idx="1">
                  <c:v>Feb 2022</c:v>
                </c:pt>
                <c:pt idx="2">
                  <c:v>Mar 2022</c:v>
                </c:pt>
                <c:pt idx="3">
                  <c:v>Apr 2022</c:v>
                </c:pt>
                <c:pt idx="4">
                  <c:v>May 2022</c:v>
                </c:pt>
                <c:pt idx="5">
                  <c:v>Jun 2022</c:v>
                </c:pt>
                <c:pt idx="6">
                  <c:v>Jul 2022</c:v>
                </c:pt>
                <c:pt idx="7">
                  <c:v>Aug 2022</c:v>
                </c:pt>
                <c:pt idx="8">
                  <c:v>Sep 2022</c:v>
                </c:pt>
                <c:pt idx="9">
                  <c:v>Oct 2022</c:v>
                </c:pt>
                <c:pt idx="10">
                  <c:v>Nov 2022</c:v>
                </c:pt>
                <c:pt idx="11">
                  <c:v>Dec 2022</c:v>
                </c:pt>
              </c:strCache>
            </c:strRef>
          </c:cat>
          <c:val>
            <c:numRef>
              <c:f>'[VSL Annual Report 2022- Graphs and Tables.xlsx]Monthly breakdown'!$C$6:$C$17</c:f>
              <c:numCache>
                <c:formatCode>General</c:formatCode>
                <c:ptCount val="12"/>
                <c:pt idx="0">
                  <c:v>9160129.0199999996</c:v>
                </c:pt>
                <c:pt idx="1">
                  <c:v>20582669.09</c:v>
                </c:pt>
                <c:pt idx="2">
                  <c:v>33709451.140000001</c:v>
                </c:pt>
                <c:pt idx="3">
                  <c:v>18195635.530000001</c:v>
                </c:pt>
                <c:pt idx="4">
                  <c:v>24289319.300000001</c:v>
                </c:pt>
                <c:pt idx="5">
                  <c:v>14353593.369999999</c:v>
                </c:pt>
                <c:pt idx="6">
                  <c:v>14236977.699999999</c:v>
                </c:pt>
                <c:pt idx="7">
                  <c:v>32508849.98</c:v>
                </c:pt>
                <c:pt idx="8">
                  <c:v>19338731.739999998</c:v>
                </c:pt>
                <c:pt idx="9">
                  <c:v>15729227.880000001</c:v>
                </c:pt>
                <c:pt idx="10">
                  <c:v>12135995.140000001</c:v>
                </c:pt>
                <c:pt idx="11">
                  <c:v>8502960.3499999996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67-475B-8396-0148510EC160}"/>
            </c:ext>
          </c:extLst>
        </c:ser>
        <c:ser>
          <c:idx val="1"/>
          <c:order val="1"/>
          <c:tx>
            <c:strRef>
              <c:f>'[VSL Annual Report 2022- Graphs and Tables.xlsx]Monthly breakdown'!$D$5</c:f>
              <c:strCache>
                <c:ptCount val="1"/>
                <c:pt idx="0">
                  <c:v>Tuition Fees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&quot;$&quot;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'[VSL Annual Report 2022- Graphs and Tables.xlsx]Monthly breakdown'!$B$6:$B$17</c:f>
              <c:strCache>
                <c:ptCount val="12"/>
                <c:pt idx="0">
                  <c:v>Jan 2022</c:v>
                </c:pt>
                <c:pt idx="1">
                  <c:v>Feb 2022</c:v>
                </c:pt>
                <c:pt idx="2">
                  <c:v>Mar 2022</c:v>
                </c:pt>
                <c:pt idx="3">
                  <c:v>Apr 2022</c:v>
                </c:pt>
                <c:pt idx="4">
                  <c:v>May 2022</c:v>
                </c:pt>
                <c:pt idx="5">
                  <c:v>Jun 2022</c:v>
                </c:pt>
                <c:pt idx="6">
                  <c:v>Jul 2022</c:v>
                </c:pt>
                <c:pt idx="7">
                  <c:v>Aug 2022</c:v>
                </c:pt>
                <c:pt idx="8">
                  <c:v>Sep 2022</c:v>
                </c:pt>
                <c:pt idx="9">
                  <c:v>Oct 2022</c:v>
                </c:pt>
                <c:pt idx="10">
                  <c:v>Nov 2022</c:v>
                </c:pt>
                <c:pt idx="11">
                  <c:v>Dec 2022</c:v>
                </c:pt>
              </c:strCache>
            </c:strRef>
          </c:cat>
          <c:val>
            <c:numRef>
              <c:f>'[VSL Annual Report 2022- Graphs and Tables.xlsx]Monthly breakdown'!$D$6:$D$17</c:f>
              <c:numCache>
                <c:formatCode>General</c:formatCode>
                <c:ptCount val="12"/>
                <c:pt idx="0">
                  <c:v>9453972.4199999999</c:v>
                </c:pt>
                <c:pt idx="1">
                  <c:v>21981031.789999999</c:v>
                </c:pt>
                <c:pt idx="2">
                  <c:v>35209539.649999999</c:v>
                </c:pt>
                <c:pt idx="3">
                  <c:v>18668133.760000002</c:v>
                </c:pt>
                <c:pt idx="4">
                  <c:v>25655968.870000001</c:v>
                </c:pt>
                <c:pt idx="5">
                  <c:v>15330554.529999999</c:v>
                </c:pt>
                <c:pt idx="6">
                  <c:v>14853171.779999999</c:v>
                </c:pt>
                <c:pt idx="7">
                  <c:v>33873611.640000001</c:v>
                </c:pt>
                <c:pt idx="8">
                  <c:v>20707352.32</c:v>
                </c:pt>
                <c:pt idx="9">
                  <c:v>16445136.279999999</c:v>
                </c:pt>
                <c:pt idx="10">
                  <c:v>12876718.869999999</c:v>
                </c:pt>
                <c:pt idx="11">
                  <c:v>9498634.7100000009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67-475B-8396-0148510EC1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70"/>
        <c:axId val="1003058176"/>
        <c:axId val="1003058656"/>
      </c:barChart>
      <c:catAx>
        <c:axId val="100305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058656"/>
        <c:crosses val="autoZero"/>
        <c:auto val="1"/>
        <c:lblAlgn val="ctr"/>
        <c:lblOffset val="100"/>
        <c:noMultiLvlLbl val="0"/>
      </c:catAx>
      <c:valAx>
        <c:axId val="1003058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3058176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8.6067749211455082E-3"/>
                <c:y val="0.35416283110899199"/>
              </c:manualLayout>
            </c:layout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'[VSL Annual Report 2022- Graphs and Tables.xlsx]Location State'!$R$2</c:f>
              <c:strCache>
                <c:ptCount val="1"/>
                <c:pt idx="0">
                  <c:v>TAFE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8661800486617987E-2"/>
                  <c:y val="9.9656357388316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9B-4D0D-AFBC-07A54879BAA7}"/>
                </c:ext>
              </c:extLst>
            </c:dLbl>
            <c:dLbl>
              <c:idx val="1"/>
              <c:layout>
                <c:manualLayout>
                  <c:x val="4.6715328467153247E-2"/>
                  <c:y val="0.109965635738831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59B-4D0D-AFBC-07A54879BAA7}"/>
                </c:ext>
              </c:extLst>
            </c:dLbl>
            <c:dLbl>
              <c:idx val="2"/>
              <c:layout>
                <c:manualLayout>
                  <c:x val="4.6715328467153212E-2"/>
                  <c:y val="-1.3745704467353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59B-4D0D-AFBC-07A54879BAA7}"/>
                </c:ext>
              </c:extLst>
            </c:dLbl>
            <c:dLbl>
              <c:idx val="3"/>
              <c:layout>
                <c:manualLayout>
                  <c:x val="5.4501216545012096E-2"/>
                  <c:y val="0.175257731958762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59B-4D0D-AFBC-07A54879BAA7}"/>
                </c:ext>
              </c:extLst>
            </c:dLbl>
            <c:dLbl>
              <c:idx val="4"/>
              <c:layout>
                <c:manualLayout>
                  <c:x val="5.4501216545012235E-2"/>
                  <c:y val="0.154639175257731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59B-4D0D-AFBC-07A54879BAA7}"/>
                </c:ext>
              </c:extLst>
            </c:dLbl>
            <c:dLbl>
              <c:idx val="5"/>
              <c:layout>
                <c:manualLayout>
                  <c:x val="5.4501216545012166E-2"/>
                  <c:y val="0.20274914089347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59B-4D0D-AFBC-07A54879BAA7}"/>
                </c:ext>
              </c:extLst>
            </c:dLbl>
            <c:dLbl>
              <c:idx val="6"/>
              <c:layout>
                <c:manualLayout>
                  <c:x val="5.45012165450121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59B-4D0D-AFBC-07A54879BAA7}"/>
                </c:ext>
              </c:extLst>
            </c:dLbl>
            <c:dLbl>
              <c:idx val="7"/>
              <c:layout>
                <c:manualLayout>
                  <c:x val="4.6715328467153282E-2"/>
                  <c:y val="0.127147766323024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59B-4D0D-AFBC-07A54879BA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'[VSL Annual Report 2022- Graphs and Tables.xlsx]Location State'!$Q$3:$Q$10</c:f>
              <c:strCache>
                <c:ptCount val="8"/>
                <c:pt idx="0">
                  <c:v>ACT</c:v>
                </c:pt>
                <c:pt idx="1">
                  <c:v>NSW</c:v>
                </c:pt>
                <c:pt idx="2">
                  <c:v>NT</c:v>
                </c:pt>
                <c:pt idx="3">
                  <c:v>QLD</c:v>
                </c:pt>
                <c:pt idx="4">
                  <c:v>SA</c:v>
                </c:pt>
                <c:pt idx="5">
                  <c:v>TAS</c:v>
                </c:pt>
                <c:pt idx="6">
                  <c:v>VIC</c:v>
                </c:pt>
                <c:pt idx="7">
                  <c:v>WA</c:v>
                </c:pt>
              </c:strCache>
            </c:strRef>
          </c:cat>
          <c:val>
            <c:numRef>
              <c:f>'[VSL Annual Report 2022- Graphs and Tables.xlsx]Location State'!$R$3:$R$10</c:f>
              <c:numCache>
                <c:formatCode>0.0%</c:formatCode>
                <c:ptCount val="8"/>
                <c:pt idx="0">
                  <c:v>0.4212218649517685</c:v>
                </c:pt>
                <c:pt idx="1">
                  <c:v>0.45136902329382916</c:v>
                </c:pt>
                <c:pt idx="2">
                  <c:v>0.15686274509803921</c:v>
                </c:pt>
                <c:pt idx="3">
                  <c:v>0.63761048460835112</c:v>
                </c:pt>
                <c:pt idx="4">
                  <c:v>0.59892016968762052</c:v>
                </c:pt>
                <c:pt idx="5">
                  <c:v>0.71663920922570012</c:v>
                </c:pt>
                <c:pt idx="6">
                  <c:v>0.22003320420586608</c:v>
                </c:pt>
                <c:pt idx="7">
                  <c:v>0.53565950920245398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E3-4118-820C-295C5D4C9A02}"/>
            </c:ext>
          </c:extLst>
        </c:ser>
        <c:ser>
          <c:idx val="1"/>
          <c:order val="1"/>
          <c:tx>
            <c:strRef>
              <c:f>'[VSL Annual Report 2022- Graphs and Tables.xlsx]Location State'!$S$2</c:f>
              <c:strCache>
                <c:ptCount val="1"/>
                <c:pt idx="0">
                  <c:v>Other Public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86618004866180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9B-4D0D-AFBC-07A54879BAA7}"/>
                </c:ext>
              </c:extLst>
            </c:dLbl>
            <c:dLbl>
              <c:idx val="1"/>
              <c:layout>
                <c:manualLayout>
                  <c:x val="4.08759124087591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9B-4D0D-AFBC-07A54879BAA7}"/>
                </c:ext>
              </c:extLst>
            </c:dLbl>
            <c:dLbl>
              <c:idx val="2"/>
              <c:layout>
                <c:manualLayout>
                  <c:x val="5.2554744525547446E-2"/>
                  <c:y val="3.4364261168384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59B-4D0D-AFBC-07A54879BAA7}"/>
                </c:ext>
              </c:extLst>
            </c:dLbl>
            <c:dLbl>
              <c:idx val="3"/>
              <c:layout>
                <c:manualLayout>
                  <c:x val="4.476885644768849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59B-4D0D-AFBC-07A54879BAA7}"/>
                </c:ext>
              </c:extLst>
            </c:dLbl>
            <c:dLbl>
              <c:idx val="4"/>
              <c:layout>
                <c:manualLayout>
                  <c:x val="4.476885644768849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59B-4D0D-AFBC-07A54879BAA7}"/>
                </c:ext>
              </c:extLst>
            </c:dLbl>
            <c:dLbl>
              <c:idx val="5"/>
              <c:layout>
                <c:manualLayout>
                  <c:x val="4.4768856447688563E-2"/>
                  <c:y val="-3.15002088445855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59B-4D0D-AFBC-07A54879BAA7}"/>
                </c:ext>
              </c:extLst>
            </c:dLbl>
            <c:dLbl>
              <c:idx val="6"/>
              <c:layout>
                <c:manualLayout>
                  <c:x val="5.060827250608272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59B-4D0D-AFBC-07A54879BAA7}"/>
                </c:ext>
              </c:extLst>
            </c:dLbl>
            <c:dLbl>
              <c:idx val="7"/>
              <c:layout>
                <c:manualLayout>
                  <c:x val="4.4768856447688563E-2"/>
                  <c:y val="-3.4364261168384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59B-4D0D-AFBC-07A54879BA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'[VSL Annual Report 2022- Graphs and Tables.xlsx]Location State'!$Q$3:$Q$10</c:f>
              <c:strCache>
                <c:ptCount val="8"/>
                <c:pt idx="0">
                  <c:v>ACT</c:v>
                </c:pt>
                <c:pt idx="1">
                  <c:v>NSW</c:v>
                </c:pt>
                <c:pt idx="2">
                  <c:v>NT</c:v>
                </c:pt>
                <c:pt idx="3">
                  <c:v>QLD</c:v>
                </c:pt>
                <c:pt idx="4">
                  <c:v>SA</c:v>
                </c:pt>
                <c:pt idx="5">
                  <c:v>TAS</c:v>
                </c:pt>
                <c:pt idx="6">
                  <c:v>VIC</c:v>
                </c:pt>
                <c:pt idx="7">
                  <c:v>WA</c:v>
                </c:pt>
              </c:strCache>
            </c:strRef>
          </c:cat>
          <c:val>
            <c:numRef>
              <c:f>'[VSL Annual Report 2022- Graphs and Tables.xlsx]Location State'!$S$3:$S$10</c:f>
              <c:numCache>
                <c:formatCode>0.0%</c:formatCode>
                <c:ptCount val="8"/>
                <c:pt idx="0">
                  <c:v>3.8585209003215437E-2</c:v>
                </c:pt>
                <c:pt idx="1">
                  <c:v>1.4507560277891296E-2</c:v>
                </c:pt>
                <c:pt idx="2">
                  <c:v>0.22549019607843138</c:v>
                </c:pt>
                <c:pt idx="3">
                  <c:v>6.0042669917708014E-2</c:v>
                </c:pt>
                <c:pt idx="4">
                  <c:v>1.3112225221750868E-2</c:v>
                </c:pt>
                <c:pt idx="5">
                  <c:v>2.6359143327841845E-2</c:v>
                </c:pt>
                <c:pt idx="6">
                  <c:v>0.46408411732152738</c:v>
                </c:pt>
                <c:pt idx="7">
                  <c:v>9.2791411042944791E-2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E3-4118-820C-295C5D4C9A02}"/>
            </c:ext>
          </c:extLst>
        </c:ser>
        <c:ser>
          <c:idx val="2"/>
          <c:order val="2"/>
          <c:tx>
            <c:strRef>
              <c:f>'[VSL Annual Report 2022- Graphs and Tables.xlsx]Location State'!$T$2</c:f>
              <c:strCache>
                <c:ptCount val="1"/>
                <c:pt idx="0">
                  <c:v>Independent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8661800486617987E-2"/>
                  <c:y val="-0.17182130584192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9B-4D0D-AFBC-07A54879BAA7}"/>
                </c:ext>
              </c:extLst>
            </c:dLbl>
            <c:dLbl>
              <c:idx val="1"/>
              <c:layout>
                <c:manualLayout>
                  <c:x val="4.4768856447688528E-2"/>
                  <c:y val="-0.168384879725085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9B-4D0D-AFBC-07A54879BAA7}"/>
                </c:ext>
              </c:extLst>
            </c:dLbl>
            <c:dLbl>
              <c:idx val="2"/>
              <c:layout>
                <c:manualLayout>
                  <c:x val="4.6715328467153212E-2"/>
                  <c:y val="-0.20274914089347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59B-4D0D-AFBC-07A54879BAA7}"/>
                </c:ext>
              </c:extLst>
            </c:dLbl>
            <c:dLbl>
              <c:idx val="3"/>
              <c:layout>
                <c:manualLayout>
                  <c:x val="4.6715328467153282E-2"/>
                  <c:y val="-7.903780068728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59B-4D0D-AFBC-07A54879BAA7}"/>
                </c:ext>
              </c:extLst>
            </c:dLbl>
            <c:dLbl>
              <c:idx val="4"/>
              <c:layout>
                <c:manualLayout>
                  <c:x val="5.2554744525547446E-2"/>
                  <c:y val="-0.120274914089347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59B-4D0D-AFBC-07A54879BAA7}"/>
                </c:ext>
              </c:extLst>
            </c:dLbl>
            <c:dLbl>
              <c:idx val="5"/>
              <c:layout>
                <c:manualLayout>
                  <c:x val="5.0608272506082727E-2"/>
                  <c:y val="-6.8728522336769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59B-4D0D-AFBC-07A54879BAA7}"/>
                </c:ext>
              </c:extLst>
            </c:dLbl>
            <c:dLbl>
              <c:idx val="6"/>
              <c:layout>
                <c:manualLayout>
                  <c:x val="5.2554744525547446E-2"/>
                  <c:y val="-8.9347079037800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59B-4D0D-AFBC-07A54879BAA7}"/>
                </c:ext>
              </c:extLst>
            </c:dLbl>
            <c:dLbl>
              <c:idx val="7"/>
              <c:layout>
                <c:manualLayout>
                  <c:x val="4.8661800486618008E-2"/>
                  <c:y val="-0.120274914089347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59B-4D0D-AFBC-07A54879BA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'[VSL Annual Report 2022- Graphs and Tables.xlsx]Location State'!$Q$3:$Q$10</c:f>
              <c:strCache>
                <c:ptCount val="8"/>
                <c:pt idx="0">
                  <c:v>ACT</c:v>
                </c:pt>
                <c:pt idx="1">
                  <c:v>NSW</c:v>
                </c:pt>
                <c:pt idx="2">
                  <c:v>NT</c:v>
                </c:pt>
                <c:pt idx="3">
                  <c:v>QLD</c:v>
                </c:pt>
                <c:pt idx="4">
                  <c:v>SA</c:v>
                </c:pt>
                <c:pt idx="5">
                  <c:v>TAS</c:v>
                </c:pt>
                <c:pt idx="6">
                  <c:v>VIC</c:v>
                </c:pt>
                <c:pt idx="7">
                  <c:v>WA</c:v>
                </c:pt>
              </c:strCache>
            </c:strRef>
          </c:cat>
          <c:val>
            <c:numRef>
              <c:f>'[VSL Annual Report 2022- Graphs and Tables.xlsx]Location State'!$T$3:$T$10</c:f>
              <c:numCache>
                <c:formatCode>0.0%</c:formatCode>
                <c:ptCount val="8"/>
                <c:pt idx="0">
                  <c:v>0.54019292604501612</c:v>
                </c:pt>
                <c:pt idx="1">
                  <c:v>0.53412341642827954</c:v>
                </c:pt>
                <c:pt idx="2">
                  <c:v>0.61764705882352944</c:v>
                </c:pt>
                <c:pt idx="3">
                  <c:v>0.30234684547394086</c:v>
                </c:pt>
                <c:pt idx="4">
                  <c:v>0.38796760509062861</c:v>
                </c:pt>
                <c:pt idx="5">
                  <c:v>0.25700164744645798</c:v>
                </c:pt>
                <c:pt idx="6">
                  <c:v>0.31588267847260654</c:v>
                </c:pt>
                <c:pt idx="7">
                  <c:v>0.37154907975460122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E3-4118-820C-295C5D4C9A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27915295"/>
        <c:axId val="1827915775"/>
      </c:barChart>
      <c:catAx>
        <c:axId val="1827915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7915775"/>
        <c:crosses val="autoZero"/>
        <c:auto val="1"/>
        <c:lblAlgn val="ctr"/>
        <c:lblOffset val="100"/>
        <c:noMultiLvlLbl val="0"/>
      </c:catAx>
      <c:valAx>
        <c:axId val="1827915775"/>
        <c:scaling>
          <c:orientation val="minMax"/>
          <c:max val="1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79152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950696800975193"/>
          <c:y val="4.1314553990610327E-2"/>
          <c:w val="0.83307860837478998"/>
          <c:h val="0.785639865439355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'[Copy of Annual Report 2022 data_20230627.xlsx]Remoteness'!$C$34</c:f>
              <c:strCache>
                <c:ptCount val="1"/>
                <c:pt idx="0">
                  <c:v> Average loan amount by remoteness 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412-4679-8CE6-50CC2B8A1C14}"/>
                </c:ext>
              </c:extLst>
            </c:dLbl>
            <c:dLbl>
              <c:idx val="2"/>
              <c:layout>
                <c:manualLayout>
                  <c:x val="0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12-4679-8CE6-50CC2B8A1C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'[Copy of Annual Report 2022 data_20230627.xlsx]Remoteness'!$B$35:$B$39</c:f>
              <c:strCache>
                <c:ptCount val="5"/>
                <c:pt idx="0">
                  <c:v>Major Cities </c:v>
                </c:pt>
                <c:pt idx="1">
                  <c:v>Inner Regional </c:v>
                </c:pt>
                <c:pt idx="2">
                  <c:v>Outer Regional </c:v>
                </c:pt>
                <c:pt idx="3">
                  <c:v>Remote </c:v>
                </c:pt>
                <c:pt idx="4">
                  <c:v>Very Remote </c:v>
                </c:pt>
              </c:strCache>
            </c:strRef>
          </c:cat>
          <c:val>
            <c:numRef>
              <c:f>'[Copy of Annual Report 2022 data_20230627.xlsx]Remoteness'!$C$35:$C$39</c:f>
              <c:numCache>
                <c:formatCode>_-"$"* #,##0_-;\-"$"* #,##0_-;_-"$"* "-"??_-;_-@_-</c:formatCode>
                <c:ptCount val="5"/>
                <c:pt idx="0">
                  <c:v>7528.1942321108072</c:v>
                </c:pt>
                <c:pt idx="1">
                  <c:v>6895.4581435992777</c:v>
                </c:pt>
                <c:pt idx="2">
                  <c:v>7000.8966227545561</c:v>
                </c:pt>
                <c:pt idx="3">
                  <c:v>8747.1543617021252</c:v>
                </c:pt>
                <c:pt idx="4">
                  <c:v>9503.9734523809511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12-4679-8CE6-50CC2B8A1C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5199744"/>
        <c:axId val="505201184"/>
      </c:barChart>
      <c:lineChart>
        <c:grouping val="standard"/>
        <c:varyColors val="0"/>
        <c:ser>
          <c:idx val="1"/>
          <c:order val="1"/>
          <c:tx>
            <c:strRef>
              <c:f>'[Copy of Annual Report 2022 data_20230627.xlsx]Remoteness'!$D$34</c:f>
              <c:strCache>
                <c:ptCount val="1"/>
                <c:pt idx="0">
                  <c:v>VSL average per student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12-4679-8CE6-50CC2B8A1C1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412-4679-8CE6-50CC2B8A1C1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12-4679-8CE6-50CC2B8A1C1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412-4679-8CE6-50CC2B8A1C14}"/>
                </c:ext>
              </c:extLst>
            </c:dLbl>
            <c:dLbl>
              <c:idx val="4"/>
              <c:layout>
                <c:manualLayout>
                  <c:x val="1.8828451882845189E-2"/>
                  <c:y val="-1.1976047904191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412-4679-8CE6-50CC2B8A1C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'[Copy of Annual Report 2022 data_20230627.xlsx]Remoteness'!$B$35:$B$39</c:f>
              <c:strCache>
                <c:ptCount val="5"/>
                <c:pt idx="0">
                  <c:v>Major Cities </c:v>
                </c:pt>
                <c:pt idx="1">
                  <c:v>Inner Regional </c:v>
                </c:pt>
                <c:pt idx="2">
                  <c:v>Outer Regional </c:v>
                </c:pt>
                <c:pt idx="3">
                  <c:v>Remote </c:v>
                </c:pt>
                <c:pt idx="4">
                  <c:v>Very Remote </c:v>
                </c:pt>
              </c:strCache>
            </c:strRef>
          </c:cat>
          <c:val>
            <c:numRef>
              <c:f>'[Copy of Annual Report 2022 data_20230627.xlsx]Remoteness'!$D$35:$D$39</c:f>
              <c:numCache>
                <c:formatCode>_-"$"* #,##0_-;\-"$"* #,##0_-;_-"$"* "-"??_-;_-@_-</c:formatCode>
                <c:ptCount val="5"/>
                <c:pt idx="0">
                  <c:v>7424.0422704396242</c:v>
                </c:pt>
                <c:pt idx="1">
                  <c:v>7424.0422704396242</c:v>
                </c:pt>
                <c:pt idx="2">
                  <c:v>7424.0422704396242</c:v>
                </c:pt>
                <c:pt idx="3">
                  <c:v>7424.0422704396242</c:v>
                </c:pt>
                <c:pt idx="4">
                  <c:v>7424.0422704396242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C412-4679-8CE6-50CC2B8A1C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5199744"/>
        <c:axId val="505201184"/>
      </c:lineChart>
      <c:catAx>
        <c:axId val="505199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5201184"/>
        <c:crosses val="autoZero"/>
        <c:auto val="1"/>
        <c:lblAlgn val="ctr"/>
        <c:lblOffset val="100"/>
        <c:noMultiLvlLbl val="0"/>
      </c:catAx>
      <c:valAx>
        <c:axId val="5052011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b="1"/>
                  <a:t>average loan amount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_-&quot;$&quot;* #,##0_-;\-&quot;$&quot;* #,##0_-;_-&quot;$&quot;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5199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'[VSL Annual Report 2022- Graphs and Tables.xlsx]Gender'!$B$13</c:f>
              <c:strCache>
                <c:ptCount val="1"/>
                <c:pt idx="0">
                  <c:v>Students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'[VSL Annual Report 2022- Graphs and Tables.xlsx]Gender'!$A$14:$A$16</c:f>
              <c:strCache>
                <c:ptCount val="3"/>
                <c:pt idx="0">
                  <c:v>X</c:v>
                </c:pt>
                <c:pt idx="1">
                  <c:v>Male</c:v>
                </c:pt>
                <c:pt idx="2">
                  <c:v>Female</c:v>
                </c:pt>
              </c:strCache>
            </c:strRef>
          </c:cat>
          <c:val>
            <c:numRef>
              <c:f>'[VSL Annual Report 2022- Graphs and Tables.xlsx]Gender'!$B$14:$B$16</c:f>
              <c:numCache>
                <c:formatCode>_-* #,##0_-;\-* #,##0_-;_-* "-"??_-;_-@_-</c:formatCode>
                <c:ptCount val="3"/>
                <c:pt idx="0">
                  <c:v>154</c:v>
                </c:pt>
                <c:pt idx="1">
                  <c:v>9532</c:v>
                </c:pt>
                <c:pt idx="2">
                  <c:v>20317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CB-422A-8932-D8C7AD47E6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83879952"/>
        <c:axId val="83877552"/>
      </c:barChart>
      <c:catAx>
        <c:axId val="83879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877552"/>
        <c:crosses val="autoZero"/>
        <c:auto val="1"/>
        <c:lblAlgn val="ctr"/>
        <c:lblOffset val="100"/>
        <c:noMultiLvlLbl val="0"/>
      </c:catAx>
      <c:valAx>
        <c:axId val="83877552"/>
        <c:scaling>
          <c:orientation val="minMax"/>
        </c:scaling>
        <c:delete val="0"/>
        <c:axPos val="b"/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879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256479089766901"/>
          <c:y val="5.0925925925925923E-2"/>
          <c:w val="0.84527551251336408"/>
          <c:h val="0.7941586027448513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'[VSL Annual Report 2022- Graphs and Tables.xlsx]Gender  &amp; Age'!$C$32</c:f>
              <c:strCache>
                <c:ptCount val="1"/>
                <c:pt idx="0">
                  <c:v>Share of total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'[VSL Annual Report 2022- Graphs and Tables.xlsx]Gender  &amp; Age'!$B$33:$B$40</c:f>
              <c:strCache>
                <c:ptCount val="7"/>
                <c:pt idx="0">
                  <c:v>65+</c:v>
                </c:pt>
                <c:pt idx="1">
                  <c:v>56-64</c:v>
                </c:pt>
                <c:pt idx="2">
                  <c:v>15-17</c:v>
                </c:pt>
                <c:pt idx="3">
                  <c:v>46-55</c:v>
                </c:pt>
                <c:pt idx="4">
                  <c:v>36-45</c:v>
                </c:pt>
                <c:pt idx="5">
                  <c:v>26-35</c:v>
                </c:pt>
                <c:pt idx="6">
                  <c:v>18-25</c:v>
                </c:pt>
              </c:strCache>
              <c:extLst/>
            </c:strRef>
          </c:cat>
          <c:val>
            <c:numRef>
              <c:f>'[VSL Annual Report 2022- Graphs and Tables.xlsx]Gender  &amp; Age'!$C$33:$C$40</c:f>
              <c:numCache>
                <c:formatCode>0%</c:formatCode>
                <c:ptCount val="7"/>
                <c:pt idx="0">
                  <c:v>3.6329700363297002E-3</c:v>
                </c:pt>
                <c:pt idx="1">
                  <c:v>1.5498450154984501E-2</c:v>
                </c:pt>
                <c:pt idx="2">
                  <c:v>5.2728060527280608E-2</c:v>
                </c:pt>
                <c:pt idx="3">
                  <c:v>6.6493350664933504E-2</c:v>
                </c:pt>
                <c:pt idx="4">
                  <c:v>0.1303536313035363</c:v>
                </c:pt>
                <c:pt idx="5">
                  <c:v>0.23884278238842782</c:v>
                </c:pt>
                <c:pt idx="6">
                  <c:v>0.49218411492184116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6AB1-4E78-9993-2C9917D491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301187184"/>
        <c:axId val="281584687"/>
      </c:barChart>
      <c:catAx>
        <c:axId val="3011871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Age bracket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1584687"/>
        <c:crosses val="autoZero"/>
        <c:auto val="1"/>
        <c:lblAlgn val="ctr"/>
        <c:lblOffset val="100"/>
        <c:noMultiLvlLbl val="0"/>
      </c:catAx>
      <c:valAx>
        <c:axId val="281584687"/>
        <c:scaling>
          <c:orientation val="minMax"/>
          <c:max val="0.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Proportion of VSL</a:t>
                </a:r>
                <a:r>
                  <a:rPr lang="en-AU" baseline="0"/>
                  <a:t> students</a:t>
                </a:r>
                <a:endParaRPr lang="en-A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1187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88408570442638"/>
          <c:y val="4.4252751988091032E-2"/>
          <c:w val="0.85964739467327544"/>
          <c:h val="0.791568143534297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'[VSL Annual Report  Jan - Dec 2022 - De-IDENTIFIED as at as at 12May2023_V1.xlsx]Graph 4'!$B$4</c:f>
              <c:strCache>
                <c:ptCount val="1"/>
                <c:pt idx="0">
                  <c:v>Number of providers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31750"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'[VSL Annual Report  Jan - Dec 2022 - De-IDENTIFIED as at as at 12May2023_V1.xlsx]Graph 4'!$A$5:$A$16</c:f>
              <c:strCache>
                <c:ptCount val="11"/>
                <c:pt idx="0">
                  <c:v>0</c:v>
                </c:pt>
                <c:pt idx="1">
                  <c:v>1-10</c:v>
                </c:pt>
                <c:pt idx="2">
                  <c:v>11-20</c:v>
                </c:pt>
                <c:pt idx="3">
                  <c:v>21-30</c:v>
                </c:pt>
                <c:pt idx="4">
                  <c:v>31-40</c:v>
                </c:pt>
                <c:pt idx="5">
                  <c:v>41-50</c:v>
                </c:pt>
                <c:pt idx="6">
                  <c:v>51-60</c:v>
                </c:pt>
                <c:pt idx="7">
                  <c:v>61-70</c:v>
                </c:pt>
                <c:pt idx="8">
                  <c:v>71-80</c:v>
                </c:pt>
                <c:pt idx="9">
                  <c:v>81-90</c:v>
                </c:pt>
                <c:pt idx="10">
                  <c:v>91-100</c:v>
                </c:pt>
              </c:strCache>
              <c:extLst/>
            </c:strRef>
          </c:cat>
          <c:val>
            <c:numRef>
              <c:f>'[VSL Annual Report  Jan - Dec 2022 - De-IDENTIFIED as at as at 12May2023_V1.xlsx]Graph 4'!$B$5:$B$16</c:f>
              <c:numCache>
                <c:formatCode>General</c:formatCode>
                <c:ptCount val="11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12</c:v>
                </c:pt>
                <c:pt idx="8">
                  <c:v>18</c:v>
                </c:pt>
                <c:pt idx="9">
                  <c:v>32</c:v>
                </c:pt>
                <c:pt idx="10">
                  <c:v>69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543-4BB0-87CF-057FC5CC98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7"/>
        <c:axId val="2113342063"/>
        <c:axId val="2113346383"/>
      </c:barChart>
      <c:catAx>
        <c:axId val="211334206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800" b="1"/>
                  <a:t>Completion rates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3346383"/>
        <c:crosses val="autoZero"/>
        <c:auto val="1"/>
        <c:lblAlgn val="ctr"/>
        <c:lblOffset val="100"/>
        <c:noMultiLvlLbl val="0"/>
      </c:catAx>
      <c:valAx>
        <c:axId val="21133463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800" b="1"/>
                  <a:t>Number of providers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33420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3" ma:contentTypeDescription="Create a new document." ma:contentTypeScope="" ma:versionID="aef6c189806902e4d8900fdddd63d19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4cad83917bc7dcf9304b24d6baf7f56b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D15894-39D8-41B8-8A07-54B43A1BFA0B}"/>
</file>

<file path=customXml/itemProps2.xml><?xml version="1.0" encoding="utf-8"?>
<ds:datastoreItem xmlns:ds="http://schemas.openxmlformats.org/officeDocument/2006/customXml" ds:itemID="{AA061712-7669-4436-9175-D564D496F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9A7AF-FE8E-47D5-B5CA-45FD82D391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0F848B-BDFD-4D09-8457-BCD4D442755B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a3870de7-628d-4f96-ad09-9338c4ed9354"/>
    <ds:schemaRef ds:uri="http://schemas.microsoft.com/office/infopath/2007/PartnerControls"/>
    <ds:schemaRef ds:uri="http://schemas.openxmlformats.org/package/2006/metadata/core-properties"/>
    <ds:schemaRef ds:uri="afd363e9-35fc-44f3-a206-b83cf12c84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3620</Words>
  <Characters>20636</Characters>
  <Application>Microsoft Office Word</Application>
  <DocSecurity>4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 Student Loans</vt:lpstr>
    </vt:vector>
  </TitlesOfParts>
  <Company>Australian Government</Company>
  <LinksUpToDate>false</LinksUpToDate>
  <CharactersWithSpaces>24208</CharactersWithSpaces>
  <SharedDoc>false</SharedDoc>
  <HLinks>
    <vt:vector size="96" baseType="variant">
      <vt:variant>
        <vt:i4>917534</vt:i4>
      </vt:variant>
      <vt:variant>
        <vt:i4>87</vt:i4>
      </vt:variant>
      <vt:variant>
        <vt:i4>0</vt:i4>
      </vt:variant>
      <vt:variant>
        <vt:i4>5</vt:i4>
      </vt:variant>
      <vt:variant>
        <vt:lpwstr>https://www.legislation.gov.au/Series/F2016L02016</vt:lpwstr>
      </vt:variant>
      <vt:variant>
        <vt:lpwstr/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_Toc144139162</vt:lpwstr>
      </vt:variant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_Toc144139161</vt:lpwstr>
      </vt:variant>
      <vt:variant>
        <vt:i4>1900599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_Toc144139160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_Toc144139159</vt:lpwstr>
      </vt:variant>
      <vt:variant>
        <vt:i4>1966135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_Toc144139158</vt:lpwstr>
      </vt:variant>
      <vt:variant>
        <vt:i4>1966135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_Toc144139157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_Toc144139156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_Toc144139155</vt:lpwstr>
      </vt:variant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_Toc144139154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_Toc144139153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_Toc144139152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_Toc144139151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_Toc144139150</vt:lpwstr>
      </vt:variant>
      <vt:variant>
        <vt:i4>7012407</vt:i4>
      </vt:variant>
      <vt:variant>
        <vt:i4>3</vt:i4>
      </vt:variant>
      <vt:variant>
        <vt:i4>0</vt:i4>
      </vt:variant>
      <vt:variant>
        <vt:i4>5</vt:i4>
      </vt:variant>
      <vt:variant>
        <vt:lpwstr>http://dnet.hosts.network/education/Resources/Documents/CC BY 4.0 International</vt:lpwstr>
      </vt:variant>
      <vt:variant>
        <vt:lpwstr/>
      </vt:variant>
      <vt:variant>
        <vt:i4>3735590</vt:i4>
      </vt:variant>
      <vt:variant>
        <vt:i4>0</vt:i4>
      </vt:variant>
      <vt:variant>
        <vt:i4>0</vt:i4>
      </vt:variant>
      <vt:variant>
        <vt:i4>5</vt:i4>
      </vt:variant>
      <vt:variant>
        <vt:lpwstr>http://dnet.hosts.network/education/Resources/Documents/Creative Commons Attribution 4.0 International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Student Loans</dc:title>
  <dc:subject/>
  <dc:creator>Abdul.Koroma@dewr.gov.au</dc:creator>
  <cp:keywords/>
  <cp:lastModifiedBy>BARLING,Fiona</cp:lastModifiedBy>
  <cp:revision>2</cp:revision>
  <cp:lastPrinted>2019-07-29T09:08:00Z</cp:lastPrinted>
  <dcterms:created xsi:type="dcterms:W3CDTF">2023-12-18T00:18:00Z</dcterms:created>
  <dcterms:modified xsi:type="dcterms:W3CDTF">2023-12-18T00:18:00Z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RetentionFormula">
    <vt:lpwstr/>
  </property>
  <property fmtid="{D5CDD505-2E9C-101B-9397-08002B2CF9AE}" pid="4" name="_dlc_policyId">
    <vt:lpwstr/>
  </property>
  <property fmtid="{D5CDD505-2E9C-101B-9397-08002B2CF9AE}" pid="5" name="MSIP_Label_79d889eb-932f-4752-8739-64d25806ef64_Enabled">
    <vt:lpwstr>true</vt:lpwstr>
  </property>
  <property fmtid="{D5CDD505-2E9C-101B-9397-08002B2CF9AE}" pid="6" name="MSIP_Label_79d889eb-932f-4752-8739-64d25806ef64_SetDate">
    <vt:lpwstr>2022-04-28T05:59:31Z</vt:lpwstr>
  </property>
  <property fmtid="{D5CDD505-2E9C-101B-9397-08002B2CF9AE}" pid="7" name="MSIP_Label_79d889eb-932f-4752-8739-64d25806ef64_Method">
    <vt:lpwstr>Privileged</vt:lpwstr>
  </property>
  <property fmtid="{D5CDD505-2E9C-101B-9397-08002B2CF9AE}" pid="8" name="MSIP_Label_79d889eb-932f-4752-8739-64d25806ef64_Name">
    <vt:lpwstr>79d889eb-932f-4752-8739-64d25806ef64</vt:lpwstr>
  </property>
  <property fmtid="{D5CDD505-2E9C-101B-9397-08002B2CF9AE}" pid="9" name="MSIP_Label_79d889eb-932f-4752-8739-64d25806ef64_SiteId">
    <vt:lpwstr>dd0cfd15-4558-4b12-8bad-ea26984fc417</vt:lpwstr>
  </property>
  <property fmtid="{D5CDD505-2E9C-101B-9397-08002B2CF9AE}" pid="10" name="MSIP_Label_79d889eb-932f-4752-8739-64d25806ef64_ActionId">
    <vt:lpwstr>977b5a00-81f3-4738-bed3-cd3b38651c29</vt:lpwstr>
  </property>
  <property fmtid="{D5CDD505-2E9C-101B-9397-08002B2CF9AE}" pid="11" name="MSIP_Label_79d889eb-932f-4752-8739-64d25806ef64_ContentBits">
    <vt:lpwstr>0</vt:lpwstr>
  </property>
  <property fmtid="{D5CDD505-2E9C-101B-9397-08002B2CF9AE}" pid="12" name="MediaServiceImageTags">
    <vt:lpwstr/>
  </property>
</Properties>
</file>