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BD34" w14:textId="77777777" w:rsidR="005B42C3" w:rsidRDefault="005B42C3" w:rsidP="005B42C3">
      <w:pPr>
        <w:pStyle w:val="Heading1"/>
      </w:pPr>
      <w:r>
        <w:t xml:space="preserve">Say hello to a career that moves </w:t>
      </w:r>
      <w:r w:rsidRPr="005B42C3">
        <w:t>with</w:t>
      </w:r>
      <w:r>
        <w:t xml:space="preserve"> you</w:t>
      </w:r>
    </w:p>
    <w:p w14:paraId="2B03DC94" w14:textId="77777777" w:rsidR="005B42C3" w:rsidRDefault="005B42C3" w:rsidP="005B42C3">
      <w:r>
        <w:t>Australia’s vocational education and training (VET) system is evolving — responding to growing demand for higher-level skills, smoother school-to-work transitions, and a workforce that’s adaptable to change.</w:t>
      </w:r>
    </w:p>
    <w:p w14:paraId="4E31DFAC" w14:textId="77777777" w:rsidR="005B42C3" w:rsidRDefault="005B42C3" w:rsidP="005B42C3">
      <w:r>
        <w:t>This means that qualifications will be designed to be clearer and more relevant — whether you’re just starting out, changing careers, or upskilling for the future.</w:t>
      </w:r>
    </w:p>
    <w:p w14:paraId="6A5EB561" w14:textId="77777777" w:rsidR="005B42C3" w:rsidRDefault="005B42C3" w:rsidP="005B42C3">
      <w:r>
        <w:t xml:space="preserve">These changes are being led by industry and Jobs and Skills Councils, and you’ll start seeing them in action over the coming years. Not everything is changing — and if you’re already enrolled in a course, your qualification is still valid and </w:t>
      </w:r>
      <w:proofErr w:type="spellStart"/>
      <w:r>
        <w:t>recognised</w:t>
      </w:r>
      <w:proofErr w:type="spellEnd"/>
      <w:r>
        <w:t>.</w:t>
      </w:r>
    </w:p>
    <w:p w14:paraId="4E6139A8" w14:textId="77777777" w:rsidR="005B42C3" w:rsidRDefault="005B42C3" w:rsidP="005B42C3">
      <w:pPr>
        <w:pStyle w:val="Heading2"/>
      </w:pPr>
      <w:r>
        <w:t xml:space="preserve">Bigger </w:t>
      </w:r>
      <w:r w:rsidRPr="005B42C3">
        <w:t>careers</w:t>
      </w:r>
      <w:r>
        <w:t xml:space="preserve">, brighter futures </w:t>
      </w:r>
    </w:p>
    <w:p w14:paraId="02EDBFB2" w14:textId="77777777" w:rsidR="005B42C3" w:rsidRPr="005B42C3" w:rsidRDefault="005B42C3" w:rsidP="005B42C3">
      <w:r w:rsidRPr="005B42C3">
        <w:t>This reform is about helping you get ahead in a changing world of work.</w:t>
      </w:r>
    </w:p>
    <w:p w14:paraId="75DFC516" w14:textId="77777777" w:rsidR="005B42C3" w:rsidRPr="005B42C3" w:rsidRDefault="005B42C3" w:rsidP="005B42C3">
      <w:pPr>
        <w:pStyle w:val="ListParagraph"/>
        <w:numPr>
          <w:ilvl w:val="0"/>
          <w:numId w:val="9"/>
        </w:numPr>
      </w:pPr>
      <w:r w:rsidRPr="005B42C3">
        <w:t>Qualifications will be easier to understand, so you know what skills you’re learning and where they can take you.</w:t>
      </w:r>
    </w:p>
    <w:p w14:paraId="2498CA64" w14:textId="77777777" w:rsidR="005B42C3" w:rsidRPr="005B42C3" w:rsidRDefault="005B42C3" w:rsidP="005B42C3">
      <w:pPr>
        <w:pStyle w:val="ListParagraph"/>
        <w:numPr>
          <w:ilvl w:val="0"/>
          <w:numId w:val="9"/>
        </w:numPr>
      </w:pPr>
      <w:r w:rsidRPr="005B42C3">
        <w:t>You’ll build skills that last, with more focus on adaptability, and transferable knowledge where appropriate.</w:t>
      </w:r>
    </w:p>
    <w:p w14:paraId="1499303A" w14:textId="77777777" w:rsidR="005B42C3" w:rsidRPr="005B42C3" w:rsidRDefault="005B42C3" w:rsidP="005B42C3">
      <w:pPr>
        <w:pStyle w:val="ListParagraph"/>
        <w:numPr>
          <w:ilvl w:val="0"/>
          <w:numId w:val="9"/>
        </w:numPr>
      </w:pPr>
      <w:r w:rsidRPr="005B42C3">
        <w:t>As industries evolve, your qualifications will keep pace — helping you stay competitive in the job market.</w:t>
      </w:r>
    </w:p>
    <w:p w14:paraId="53DBE900" w14:textId="77777777" w:rsidR="005B42C3" w:rsidRPr="005B42C3" w:rsidRDefault="005B42C3" w:rsidP="005B42C3">
      <w:pPr>
        <w:pStyle w:val="ListParagraph"/>
        <w:numPr>
          <w:ilvl w:val="0"/>
          <w:numId w:val="9"/>
        </w:numPr>
      </w:pPr>
      <w:r w:rsidRPr="005B42C3">
        <w:t>A new approach to qualification design provides you with greater opportunities for upskilling, reskilling, and lifelong learning.</w:t>
      </w:r>
    </w:p>
    <w:p w14:paraId="36868D3A" w14:textId="77777777" w:rsidR="005B42C3" w:rsidRDefault="005B42C3" w:rsidP="005B42C3">
      <w:pPr>
        <w:pStyle w:val="Heading3"/>
      </w:pPr>
      <w:r>
        <w:t>Will this affect my current course?</w:t>
      </w:r>
    </w:p>
    <w:p w14:paraId="62E4B6F2" w14:textId="77777777" w:rsidR="005B42C3" w:rsidRDefault="005B42C3" w:rsidP="005B42C3">
      <w:r>
        <w:t xml:space="preserve">No. If you’re already studying, you don’t need to worry — your current qualification remains valid and will continue to be </w:t>
      </w:r>
      <w:proofErr w:type="spellStart"/>
      <w:r>
        <w:t>recognised</w:t>
      </w:r>
      <w:proofErr w:type="spellEnd"/>
      <w:r>
        <w:t xml:space="preserve"> by employers and training providers. </w:t>
      </w:r>
    </w:p>
    <w:p w14:paraId="7B4B49B0" w14:textId="77777777" w:rsidR="005B42C3" w:rsidRDefault="005B42C3" w:rsidP="005B42C3">
      <w:r>
        <w:t xml:space="preserve">If you </w:t>
      </w:r>
      <w:proofErr w:type="spellStart"/>
      <w:r>
        <w:t>enrol</w:t>
      </w:r>
      <w:proofErr w:type="spellEnd"/>
      <w:r>
        <w:t xml:space="preserve"> in a course from 2026, you may be completing a newly updated qualification. </w:t>
      </w:r>
    </w:p>
    <w:p w14:paraId="1256D4BC" w14:textId="77777777" w:rsidR="005B42C3" w:rsidRDefault="005B42C3" w:rsidP="005B42C3">
      <w:pPr>
        <w:pStyle w:val="Heading3"/>
      </w:pPr>
      <w:r>
        <w:t>What does this mean for my career options?</w:t>
      </w:r>
    </w:p>
    <w:p w14:paraId="282BE413" w14:textId="77777777" w:rsidR="005B42C3" w:rsidRDefault="005B42C3" w:rsidP="005B42C3">
      <w:r>
        <w:t>You may see qualifications that support a range of occupations or job outcomes and stronger connections between training and employment — whether you’re looking to enter the workforce, move into a new role, or continue learning.</w:t>
      </w:r>
    </w:p>
    <w:p w14:paraId="36D97416" w14:textId="77777777" w:rsidR="005B42C3" w:rsidRDefault="005B42C3" w:rsidP="005B42C3">
      <w:pPr>
        <w:pStyle w:val="Heading3"/>
      </w:pPr>
      <w:r>
        <w:t xml:space="preserve">Where can I learn more? </w:t>
      </w:r>
    </w:p>
    <w:p w14:paraId="4F4738E6" w14:textId="77777777" w:rsidR="005B42C3" w:rsidRPr="005B42C3" w:rsidRDefault="005B42C3" w:rsidP="005B42C3">
      <w:pPr>
        <w:rPr>
          <w:color w:val="000000" w:themeColor="text1"/>
        </w:rPr>
      </w:pPr>
      <w:r w:rsidRPr="005B42C3">
        <w:rPr>
          <w:color w:val="000000" w:themeColor="text1"/>
        </w:rPr>
        <w:t xml:space="preserve">Your Registered Training </w:t>
      </w:r>
      <w:proofErr w:type="spellStart"/>
      <w:r w:rsidRPr="005B42C3">
        <w:rPr>
          <w:color w:val="000000" w:themeColor="text1"/>
        </w:rPr>
        <w:t>Organisation</w:t>
      </w:r>
      <w:proofErr w:type="spellEnd"/>
      <w:r w:rsidRPr="005B42C3">
        <w:rPr>
          <w:color w:val="000000" w:themeColor="text1"/>
        </w:rPr>
        <w:t xml:space="preserve"> will be able to tell you more about any changes to the qualifications they offer. </w:t>
      </w:r>
    </w:p>
    <w:p w14:paraId="7A5E9F46" w14:textId="77777777" w:rsidR="005B42C3" w:rsidRPr="005B42C3" w:rsidRDefault="005B42C3" w:rsidP="005B42C3">
      <w:pPr>
        <w:rPr>
          <w:color w:val="000000" w:themeColor="text1"/>
        </w:rPr>
      </w:pPr>
      <w:r w:rsidRPr="005B42C3">
        <w:rPr>
          <w:color w:val="000000" w:themeColor="text1"/>
        </w:rPr>
        <w:t xml:space="preserve">You can also visit </w:t>
      </w:r>
      <w:r w:rsidRPr="005B42C3">
        <w:rPr>
          <w:rStyle w:val="Hyperlink"/>
          <w:rFonts w:ascii="Barlow-ExtraBold" w:hAnsi="Barlow-ExtraBold" w:cs="Barlow-ExtraBold"/>
          <w:color w:val="000000" w:themeColor="text1"/>
        </w:rPr>
        <w:t>dewr.gov.au/vet-qualification-reform</w:t>
      </w:r>
      <w:r w:rsidRPr="005B42C3">
        <w:rPr>
          <w:color w:val="000000" w:themeColor="text1"/>
        </w:rPr>
        <w:t xml:space="preserve"> for more </w:t>
      </w:r>
      <w:proofErr w:type="gramStart"/>
      <w:r w:rsidRPr="005B42C3">
        <w:rPr>
          <w:color w:val="000000" w:themeColor="text1"/>
        </w:rPr>
        <w:t>information, or</w:t>
      </w:r>
      <w:proofErr w:type="gramEnd"/>
      <w:r w:rsidRPr="005B42C3">
        <w:rPr>
          <w:color w:val="000000" w:themeColor="text1"/>
        </w:rPr>
        <w:t xml:space="preserve"> talk to a career adviser or teacher if you’re not sure where to start.</w:t>
      </w:r>
    </w:p>
    <w:p w14:paraId="1B114AD3" w14:textId="77777777" w:rsidR="005B42C3" w:rsidRDefault="005B42C3" w:rsidP="005B42C3">
      <w:pPr>
        <w:pStyle w:val="Heading2"/>
        <w:rPr>
          <w:rFonts w:ascii="Barlow-Medium" w:hAnsi="Barlow-Medium" w:cs="Barlow-Medium"/>
          <w:b/>
          <w:bCs/>
          <w:sz w:val="23"/>
          <w:szCs w:val="23"/>
        </w:rPr>
      </w:pPr>
      <w:r>
        <w:t>Making sense of the changes</w:t>
      </w:r>
    </w:p>
    <w:p w14:paraId="01704704" w14:textId="77777777" w:rsidR="005B42C3" w:rsidRDefault="005B42C3" w:rsidP="005B42C3">
      <w:r>
        <w:t>While current VET qualifications work well in industries with clearly defined roles, others need a more flexible design approach — one that balances job-specific skills with transferable and knowledge-based skills.</w:t>
      </w:r>
    </w:p>
    <w:p w14:paraId="4B610712" w14:textId="77777777" w:rsidR="005B42C3" w:rsidRDefault="005B42C3" w:rsidP="005B42C3">
      <w:r>
        <w:t>The new purpose-led, principles-based approach builds on the strengths of the current system and continues to support safety and quality in training outcomes, while creating space for new approaches where they’re needed.</w:t>
      </w:r>
    </w:p>
    <w:p w14:paraId="6459143B" w14:textId="77777777" w:rsidR="005B42C3" w:rsidRDefault="005B42C3" w:rsidP="005B42C3">
      <w:pPr>
        <w:pStyle w:val="Heading3"/>
      </w:pPr>
      <w:r>
        <w:lastRenderedPageBreak/>
        <w:t>What remains the same?</w:t>
      </w:r>
    </w:p>
    <w:p w14:paraId="486A06CE" w14:textId="77777777" w:rsidR="005B42C3" w:rsidRDefault="005B42C3" w:rsidP="005B42C3">
      <w:r>
        <w:t>While there are important changes, many core elements of the VET system are staying the same to provide stability and continuity:</w:t>
      </w:r>
    </w:p>
    <w:p w14:paraId="2693F1D7" w14:textId="77777777" w:rsidR="005B42C3" w:rsidRDefault="005B42C3" w:rsidP="005B42C3">
      <w:pPr>
        <w:pStyle w:val="ListParagraph"/>
        <w:numPr>
          <w:ilvl w:val="0"/>
          <w:numId w:val="10"/>
        </w:numPr>
      </w:pPr>
      <w:r>
        <w:t>The overall structure of VET qualifications remains the same, and learners will still complete units of competency to achieve a qualification.</w:t>
      </w:r>
    </w:p>
    <w:p w14:paraId="14B19941" w14:textId="77777777" w:rsidR="005B42C3" w:rsidRDefault="005B42C3" w:rsidP="005B42C3">
      <w:pPr>
        <w:pStyle w:val="ListParagraph"/>
        <w:numPr>
          <w:ilvl w:val="0"/>
          <w:numId w:val="10"/>
        </w:numPr>
      </w:pPr>
      <w:r>
        <w:t xml:space="preserve">Apprenticeships and traineeships will continue to operate as they do now. Learners will still gain </w:t>
      </w:r>
      <w:proofErr w:type="spellStart"/>
      <w:r>
        <w:t>recognised</w:t>
      </w:r>
      <w:proofErr w:type="spellEnd"/>
      <w:r>
        <w:t xml:space="preserve"> qualifications that meet employer expectations and there are no changes to alignment with industry awards or certifications.</w:t>
      </w:r>
    </w:p>
    <w:p w14:paraId="4C3B398E" w14:textId="7C510569" w:rsidR="005B42C3" w:rsidRPr="005B42C3" w:rsidRDefault="005B42C3" w:rsidP="005B42C3">
      <w:pPr>
        <w:pStyle w:val="ListParagraph"/>
        <w:numPr>
          <w:ilvl w:val="0"/>
          <w:numId w:val="10"/>
        </w:numPr>
      </w:pPr>
      <w:r>
        <w:t>Regulatory oversight and quality assurance continue. Training providers will still be assessed under the same national quality standards by Australian Skills Quality Authority (ASQA) and state-based regulators.</w:t>
      </w:r>
    </w:p>
    <w:p w14:paraId="47CC1A14" w14:textId="77777777" w:rsidR="005B42C3" w:rsidRPr="005B42C3" w:rsidRDefault="005B42C3" w:rsidP="005B42C3">
      <w:pPr>
        <w:rPr>
          <w:b/>
          <w:bCs/>
        </w:rPr>
      </w:pPr>
      <w:r w:rsidRPr="005B42C3">
        <w:rPr>
          <w:b/>
          <w:bCs/>
        </w:rPr>
        <w:t>The key takeaway? This reform is an evolution, not a revolution. What works well will stay, and what needs updating will become simpler, clearer, and more effective.</w:t>
      </w:r>
    </w:p>
    <w:p w14:paraId="52192D2F" w14:textId="7E799BCE" w:rsidR="00205DF0" w:rsidRPr="005B42C3" w:rsidRDefault="00205DF0" w:rsidP="005B42C3"/>
    <w:sectPr w:rsidR="00205DF0" w:rsidRPr="005B42C3" w:rsidSect="00205D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418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E080" w14:textId="77777777" w:rsidR="006A5B3C" w:rsidRDefault="006A5B3C" w:rsidP="00205DF0">
      <w:pPr>
        <w:spacing w:after="0"/>
      </w:pPr>
      <w:r>
        <w:separator/>
      </w:r>
    </w:p>
  </w:endnote>
  <w:endnote w:type="continuationSeparator" w:id="0">
    <w:p w14:paraId="118B76AE" w14:textId="77777777" w:rsidR="006A5B3C" w:rsidRDefault="006A5B3C" w:rsidP="00205D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arlow-Medium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arlow-Extra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75A8" w14:textId="77777777" w:rsidR="004C2AB8" w:rsidRDefault="004C2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73FB" w14:textId="22226EF7" w:rsidR="00205DF0" w:rsidRDefault="00205DF0">
    <w:pPr>
      <w:pStyle w:val="Foo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0911D2" wp14:editId="639E4F29">
              <wp:simplePos x="0" y="0"/>
              <wp:positionH relativeFrom="column">
                <wp:posOffset>-777875</wp:posOffset>
              </wp:positionH>
              <wp:positionV relativeFrom="paragraph">
                <wp:posOffset>163398</wp:posOffset>
              </wp:positionV>
              <wp:extent cx="7694295" cy="1381287"/>
              <wp:effectExtent l="0" t="0" r="1905" b="3175"/>
              <wp:wrapNone/>
              <wp:docPr id="9360819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4295" cy="1381287"/>
                      </a:xfrm>
                      <a:prstGeom prst="rect">
                        <a:avLst/>
                      </a:prstGeom>
                      <a:solidFill>
                        <a:srgbClr val="C99CF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22320" id="Rectangle 1" o:spid="_x0000_s1026" style="position:absolute;margin-left:-61.25pt;margin-top:12.85pt;width:605.85pt;height:1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" fillcolor="#c99cf5" stroked="f" strokeweight="1pt"/>
          </w:pict>
        </mc:Fallback>
      </mc:AlternateContent>
    </w:r>
  </w:p>
  <w:p w14:paraId="21A492CE" w14:textId="49D97888" w:rsidR="00205DF0" w:rsidRDefault="00205DF0">
    <w:pPr>
      <w:pStyle w:val="Footer"/>
      <w:rPr>
        <w:b/>
        <w:bCs/>
      </w:rPr>
    </w:pPr>
  </w:p>
  <w:p w14:paraId="4B98AF85" w14:textId="747E3623" w:rsidR="00205DF0" w:rsidRDefault="00205DF0" w:rsidP="00205DF0">
    <w:pPr>
      <w:pStyle w:val="Footer"/>
      <w:spacing w:before="360"/>
      <w:ind w:left="1843"/>
      <w:rPr>
        <w:b/>
        <w:bCs/>
      </w:rPr>
    </w:pPr>
    <w:r w:rsidRPr="00205DF0">
      <w:rPr>
        <w:noProof/>
      </w:rPr>
      <w:drawing>
        <wp:anchor distT="0" distB="0" distL="114300" distR="114300" simplePos="0" relativeHeight="251658240" behindDoc="1" locked="0" layoutInCell="1" allowOverlap="1" wp14:anchorId="62488404" wp14:editId="494D73AD">
          <wp:simplePos x="0" y="0"/>
          <wp:positionH relativeFrom="column">
            <wp:posOffset>0</wp:posOffset>
          </wp:positionH>
          <wp:positionV relativeFrom="paragraph">
            <wp:posOffset>170383</wp:posOffset>
          </wp:positionV>
          <wp:extent cx="850900" cy="723900"/>
          <wp:effectExtent l="0" t="0" r="0" b="0"/>
          <wp:wrapTight wrapText="bothSides">
            <wp:wrapPolygon edited="0">
              <wp:start x="322" y="0"/>
              <wp:lineTo x="0" y="1137"/>
              <wp:lineTo x="0" y="20463"/>
              <wp:lineTo x="322" y="21221"/>
              <wp:lineTo x="20955" y="21221"/>
              <wp:lineTo x="21278" y="20463"/>
              <wp:lineTo x="21278" y="1137"/>
              <wp:lineTo x="20955" y="0"/>
              <wp:lineTo x="322" y="0"/>
            </wp:wrapPolygon>
          </wp:wrapTight>
          <wp:docPr id="1753355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3554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DF0">
      <w:rPr>
        <w:b/>
        <w:bCs/>
      </w:rPr>
      <w:t xml:space="preserve">There’s support to help you understand what’s changing and what’s next. </w:t>
    </w:r>
    <w:r w:rsidRPr="00205DF0">
      <w:rPr>
        <w:b/>
        <w:bCs/>
      </w:rPr>
      <w:br/>
      <w:t>Engage with JSCs or visit</w:t>
    </w:r>
    <w:r w:rsidRPr="004C2AB8">
      <w:rPr>
        <w:b/>
        <w:bCs/>
        <w:color w:val="000000" w:themeColor="text1"/>
      </w:rPr>
      <w:t xml:space="preserve"> </w:t>
    </w:r>
    <w:hyperlink r:id="rId2" w:history="1">
      <w:r w:rsidR="004C2AB8" w:rsidRPr="004C2AB8">
        <w:rPr>
          <w:rStyle w:val="Hyperlink"/>
          <w:b/>
          <w:bCs/>
          <w:color w:val="000000" w:themeColor="text1"/>
        </w:rPr>
        <w:t>dewr.gov.au/vet-qualification-reform</w:t>
      </w:r>
    </w:hyperlink>
  </w:p>
  <w:p w14:paraId="601D8150" w14:textId="6C98BC3E" w:rsidR="00205DF0" w:rsidRPr="00205DF0" w:rsidRDefault="00205DF0" w:rsidP="00205DF0">
    <w:pPr>
      <w:spacing w:before="120"/>
      <w:ind w:left="1843"/>
      <w:rPr>
        <w:sz w:val="15"/>
        <w:szCs w:val="21"/>
      </w:rPr>
    </w:pPr>
    <w:r w:rsidRPr="00205DF0">
      <w:rPr>
        <w:sz w:val="15"/>
        <w:szCs w:val="21"/>
      </w:rPr>
      <w:t>Jobs and Skills Councils funded by the Australian Government Department of Employment and Workplace Relations.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4379" w14:textId="77777777" w:rsidR="004C2AB8" w:rsidRDefault="004C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FDA1" w14:textId="77777777" w:rsidR="006A5B3C" w:rsidRDefault="006A5B3C" w:rsidP="00205DF0">
      <w:pPr>
        <w:spacing w:after="0"/>
      </w:pPr>
      <w:r>
        <w:separator/>
      </w:r>
    </w:p>
  </w:footnote>
  <w:footnote w:type="continuationSeparator" w:id="0">
    <w:p w14:paraId="6BB73C78" w14:textId="77777777" w:rsidR="006A5B3C" w:rsidRDefault="006A5B3C" w:rsidP="00205D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F264" w14:textId="77777777" w:rsidR="004C2AB8" w:rsidRDefault="004C2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284" w14:textId="77777777" w:rsidR="004C2AB8" w:rsidRDefault="004C2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0242" w14:textId="77777777" w:rsidR="004C2AB8" w:rsidRDefault="004C2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5B6C"/>
    <w:multiLevelType w:val="hybridMultilevel"/>
    <w:tmpl w:val="977E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13D1"/>
    <w:multiLevelType w:val="hybridMultilevel"/>
    <w:tmpl w:val="FF28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C46F9"/>
    <w:multiLevelType w:val="hybridMultilevel"/>
    <w:tmpl w:val="E4FE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798B"/>
    <w:multiLevelType w:val="hybridMultilevel"/>
    <w:tmpl w:val="2B16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386"/>
    <w:multiLevelType w:val="hybridMultilevel"/>
    <w:tmpl w:val="6982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76919"/>
    <w:multiLevelType w:val="hybridMultilevel"/>
    <w:tmpl w:val="5B3E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1BCA"/>
    <w:multiLevelType w:val="hybridMultilevel"/>
    <w:tmpl w:val="80A0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A5ADE"/>
    <w:multiLevelType w:val="hybridMultilevel"/>
    <w:tmpl w:val="98989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7183"/>
    <w:multiLevelType w:val="hybridMultilevel"/>
    <w:tmpl w:val="DE94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07C"/>
    <w:multiLevelType w:val="hybridMultilevel"/>
    <w:tmpl w:val="BC8E2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665419">
    <w:abstractNumId w:val="4"/>
  </w:num>
  <w:num w:numId="2" w16cid:durableId="653223407">
    <w:abstractNumId w:val="5"/>
  </w:num>
  <w:num w:numId="3" w16cid:durableId="348724376">
    <w:abstractNumId w:val="3"/>
  </w:num>
  <w:num w:numId="4" w16cid:durableId="1563835559">
    <w:abstractNumId w:val="0"/>
  </w:num>
  <w:num w:numId="5" w16cid:durableId="1504315352">
    <w:abstractNumId w:val="2"/>
  </w:num>
  <w:num w:numId="6" w16cid:durableId="1827938047">
    <w:abstractNumId w:val="6"/>
  </w:num>
  <w:num w:numId="7" w16cid:durableId="1742482413">
    <w:abstractNumId w:val="9"/>
  </w:num>
  <w:num w:numId="8" w16cid:durableId="777414145">
    <w:abstractNumId w:val="1"/>
  </w:num>
  <w:num w:numId="9" w16cid:durableId="544413448">
    <w:abstractNumId w:val="7"/>
  </w:num>
  <w:num w:numId="10" w16cid:durableId="457913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F0"/>
    <w:rsid w:val="000B19CC"/>
    <w:rsid w:val="000D6DDA"/>
    <w:rsid w:val="000F183D"/>
    <w:rsid w:val="001C0D9E"/>
    <w:rsid w:val="00205DF0"/>
    <w:rsid w:val="002B3A01"/>
    <w:rsid w:val="003800CB"/>
    <w:rsid w:val="003D2A74"/>
    <w:rsid w:val="004A6788"/>
    <w:rsid w:val="004C2AB8"/>
    <w:rsid w:val="00527861"/>
    <w:rsid w:val="005B42C3"/>
    <w:rsid w:val="005E054F"/>
    <w:rsid w:val="006A5B3C"/>
    <w:rsid w:val="006E3880"/>
    <w:rsid w:val="00725D11"/>
    <w:rsid w:val="007A6D0A"/>
    <w:rsid w:val="007F47FE"/>
    <w:rsid w:val="008213CE"/>
    <w:rsid w:val="00903A8B"/>
    <w:rsid w:val="00A434DA"/>
    <w:rsid w:val="00BA1C44"/>
    <w:rsid w:val="00BD4C83"/>
    <w:rsid w:val="00E21B40"/>
    <w:rsid w:val="00E37825"/>
    <w:rsid w:val="00E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83CC0"/>
  <w15:chartTrackingRefBased/>
  <w15:docId w15:val="{3EA9E31A-842A-6347-9C72-A9FA1D97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F0"/>
    <w:pPr>
      <w:spacing w:after="240"/>
    </w:pPr>
    <w:rPr>
      <w:sz w:val="20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063E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063E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DF0"/>
    <w:pPr>
      <w:keepNext/>
      <w:keepLines/>
      <w:spacing w:before="160" w:after="80"/>
      <w:outlineLvl w:val="2"/>
    </w:pPr>
    <w:rPr>
      <w:rFonts w:eastAsiaTheme="majorEastAsia" w:cstheme="majorBidi"/>
      <w:color w:val="7063E8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5DA7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DF0"/>
    <w:pPr>
      <w:keepNext/>
      <w:keepLines/>
      <w:spacing w:before="80" w:after="40"/>
      <w:outlineLvl w:val="4"/>
    </w:pPr>
    <w:rPr>
      <w:rFonts w:eastAsiaTheme="majorEastAsia" w:cstheme="majorBidi"/>
      <w:color w:val="25DA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DF0"/>
    <w:rPr>
      <w:rFonts w:asciiTheme="majorHAnsi" w:eastAsiaTheme="majorEastAsia" w:hAnsiTheme="majorHAnsi" w:cstheme="majorBidi"/>
      <w:color w:val="7063E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5DF0"/>
    <w:rPr>
      <w:rFonts w:asciiTheme="majorHAnsi" w:eastAsiaTheme="majorEastAsia" w:hAnsiTheme="majorHAnsi" w:cstheme="majorBidi"/>
      <w:color w:val="7063E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5DF0"/>
    <w:rPr>
      <w:rFonts w:eastAsiaTheme="majorEastAsia" w:cstheme="majorBidi"/>
      <w:color w:val="7063E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DF0"/>
    <w:rPr>
      <w:rFonts w:eastAsiaTheme="majorEastAsia" w:cstheme="majorBidi"/>
      <w:i/>
      <w:iCs/>
      <w:color w:val="25DA7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DF0"/>
    <w:rPr>
      <w:rFonts w:eastAsiaTheme="majorEastAsia" w:cstheme="majorBidi"/>
      <w:color w:val="25DA7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DF0"/>
    <w:pPr>
      <w:spacing w:after="80"/>
      <w:contextualSpacing/>
    </w:pPr>
    <w:rPr>
      <w:rFonts w:asciiTheme="majorHAnsi" w:eastAsiaTheme="majorEastAsia" w:hAnsiTheme="majorHAnsi" w:cstheme="majorBidi"/>
      <w:color w:val="7063E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DF0"/>
    <w:rPr>
      <w:rFonts w:asciiTheme="majorHAnsi" w:eastAsiaTheme="majorEastAsia" w:hAnsiTheme="majorHAnsi" w:cstheme="majorBidi"/>
      <w:color w:val="7063E8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D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DF0"/>
    <w:rPr>
      <w:i/>
      <w:iCs/>
      <w:color w:val="25DA7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DF0"/>
    <w:pPr>
      <w:pBdr>
        <w:top w:val="single" w:sz="4" w:space="10" w:color="25DA7F" w:themeColor="accent1" w:themeShade="BF"/>
        <w:bottom w:val="single" w:sz="4" w:space="10" w:color="25DA7F" w:themeColor="accent1" w:themeShade="BF"/>
      </w:pBdr>
      <w:spacing w:before="360" w:after="360"/>
      <w:ind w:left="864" w:right="864"/>
      <w:jc w:val="center"/>
    </w:pPr>
    <w:rPr>
      <w:i/>
      <w:iCs/>
      <w:color w:val="25DA7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F0"/>
    <w:rPr>
      <w:i/>
      <w:iCs/>
      <w:color w:val="25DA7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DF0"/>
    <w:rPr>
      <w:b/>
      <w:bCs/>
      <w:smallCaps/>
      <w:color w:val="25DA7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D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5DF0"/>
    <w:rPr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205DF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5DF0"/>
    <w:rPr>
      <w:sz w:val="20"/>
      <w:szCs w:val="28"/>
    </w:rPr>
  </w:style>
  <w:style w:type="paragraph" w:customStyle="1" w:styleId="Body">
    <w:name w:val="Body"/>
    <w:basedOn w:val="Normal"/>
    <w:uiPriority w:val="99"/>
    <w:rsid w:val="00205DF0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Barlow-Regular" w:hAnsi="Barlow-Regular" w:cs="Barlow-Regular"/>
      <w:color w:val="000000"/>
      <w:kern w:val="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C2AB8"/>
    <w:rPr>
      <w:color w:val="F1EC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AB8"/>
    <w:rPr>
      <w:color w:val="605E5C"/>
      <w:shd w:val="clear" w:color="auto" w:fill="E1DFDD"/>
    </w:rPr>
  </w:style>
  <w:style w:type="paragraph" w:customStyle="1" w:styleId="Intropara">
    <w:name w:val="Intro para"/>
    <w:basedOn w:val="Body"/>
    <w:uiPriority w:val="99"/>
    <w:rsid w:val="00BD4C83"/>
    <w:pPr>
      <w:spacing w:line="300" w:lineRule="atLeast"/>
    </w:pPr>
    <w:rPr>
      <w:rFonts w:ascii="Barlow-Medium" w:hAnsi="Barlow-Medium" w:cs="Barlow-Medium"/>
      <w:sz w:val="23"/>
      <w:szCs w:val="23"/>
    </w:rPr>
  </w:style>
  <w:style w:type="paragraph" w:customStyle="1" w:styleId="Bullets">
    <w:name w:val="Bullets"/>
    <w:basedOn w:val="Body"/>
    <w:uiPriority w:val="99"/>
    <w:rsid w:val="00BD4C83"/>
    <w:pPr>
      <w:ind w:left="227" w:hanging="227"/>
    </w:pPr>
  </w:style>
  <w:style w:type="character" w:customStyle="1" w:styleId="Texthighlightpurple">
    <w:name w:val="Text highlight purple"/>
    <w:basedOn w:val="DefaultParagraphFont"/>
    <w:uiPriority w:val="99"/>
    <w:rsid w:val="00A434DA"/>
    <w:rPr>
      <w:b/>
      <w:bCs/>
      <w:color w:val="000000"/>
      <w:u w:val="thick" w:color="C99CF5"/>
    </w:rPr>
  </w:style>
  <w:style w:type="paragraph" w:styleId="NoSpacing">
    <w:name w:val="No Spacing"/>
    <w:uiPriority w:val="1"/>
    <w:qFormat/>
    <w:rsid w:val="005B42C3"/>
    <w:rPr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dewr.gov.au/vet-qualification-refor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ET REFORM">
      <a:dk1>
        <a:srgbClr val="000000"/>
      </a:dk1>
      <a:lt1>
        <a:srgbClr val="FFFFFF"/>
      </a:lt1>
      <a:dk2>
        <a:srgbClr val="0E2841"/>
      </a:dk2>
      <a:lt2>
        <a:srgbClr val="F1ECE3"/>
      </a:lt2>
      <a:accent1>
        <a:srgbClr val="6FE7AB"/>
      </a:accent1>
      <a:accent2>
        <a:srgbClr val="C6FAC4"/>
      </a:accent2>
      <a:accent3>
        <a:srgbClr val="D8FF87"/>
      </a:accent3>
      <a:accent4>
        <a:srgbClr val="7062E7"/>
      </a:accent4>
      <a:accent5>
        <a:srgbClr val="C89CF4"/>
      </a:accent5>
      <a:accent6>
        <a:srgbClr val="ECFE66"/>
      </a:accent6>
      <a:hlink>
        <a:srgbClr val="F1ECE3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7472e-77be-4fdf-b10e-da2cedd8e25d">
      <Terms xmlns="http://schemas.microsoft.com/office/infopath/2007/PartnerControls"/>
    </lcf76f155ced4ddcb4097134ff3c332f>
    <TaxCatchAll xmlns="5b45fd23-8214-452c-accd-0ee665e52c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9231156E4A40B928B6EC50EFED3B" ma:contentTypeVersion="12" ma:contentTypeDescription="Create a new document." ma:contentTypeScope="" ma:versionID="9d4438ca7a1c37957477ff7dba91cb52">
  <xsd:schema xmlns:xsd="http://www.w3.org/2001/XMLSchema" xmlns:xs="http://www.w3.org/2001/XMLSchema" xmlns:p="http://schemas.microsoft.com/office/2006/metadata/properties" xmlns:ns2="76d7472e-77be-4fdf-b10e-da2cedd8e25d" xmlns:ns3="5b45fd23-8214-452c-accd-0ee665e52c19" targetNamespace="http://schemas.microsoft.com/office/2006/metadata/properties" ma:root="true" ma:fieldsID="0637f7c6d0ee740e734144436c6d418f" ns2:_="" ns3:_="">
    <xsd:import namespace="76d7472e-77be-4fdf-b10e-da2cedd8e25d"/>
    <xsd:import namespace="5b45fd23-8214-452c-accd-0ee665e52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7472e-77be-4fdf-b10e-da2cedd8e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5fd23-8214-452c-accd-0ee665e52c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0d29ae-169d-4e92-bc66-33ab70350774}" ma:internalName="TaxCatchAll" ma:showField="CatchAllData" ma:web="5b45fd23-8214-452c-accd-0ee665e52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F7AB2-7D56-4DD3-9919-630989E9A41A}">
  <ds:schemaRefs>
    <ds:schemaRef ds:uri="http://schemas.microsoft.com/office/2006/metadata/properties"/>
    <ds:schemaRef ds:uri="http://schemas.microsoft.com/office/infopath/2007/PartnerControls"/>
    <ds:schemaRef ds:uri="9ca3db3c-53fd-4d05-83ed-3a026d677ebc"/>
    <ds:schemaRef ds:uri="a89fec8e-fe4b-4b03-9aad-ff52a8554ba7"/>
  </ds:schemaRefs>
</ds:datastoreItem>
</file>

<file path=customXml/itemProps2.xml><?xml version="1.0" encoding="utf-8"?>
<ds:datastoreItem xmlns:ds="http://schemas.openxmlformats.org/officeDocument/2006/customXml" ds:itemID="{788E6588-1C21-4714-8504-8D21C958E539}"/>
</file>

<file path=customXml/itemProps3.xml><?xml version="1.0" encoding="utf-8"?>
<ds:datastoreItem xmlns:ds="http://schemas.openxmlformats.org/officeDocument/2006/customXml" ds:itemID="{0F5CAA93-C3B6-4DFB-8A37-67D0524CC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Clarkson</dc:creator>
  <cp:keywords/>
  <dc:description/>
  <cp:lastModifiedBy>Tegan Clarkson</cp:lastModifiedBy>
  <cp:revision>3</cp:revision>
  <dcterms:created xsi:type="dcterms:W3CDTF">2025-06-11T12:00:00Z</dcterms:created>
  <dcterms:modified xsi:type="dcterms:W3CDTF">2025-06-11T12:02:00Z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0x010100C3809231156E4A40B928B6EC50EFED3B</vt:lpwstr>
  </property>
  <property fmtid="{D5CDD505-2E9C-101B-9397-08002B2CF9AE}" pid="3" name="MediaServiceImageTags">
    <vt:lpwstr/>
  </property>
</Properties>
</file>