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7F2E2242">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0853A1">
          <w:headerReference w:type="default" r:id="rId14"/>
          <w:footerReference w:type="default" r:id="rId15"/>
          <w:footerReference w:type="first" r:id="rId16"/>
          <w:type w:val="continuous"/>
          <w:pgSz w:w="11906" w:h="16838"/>
          <w:pgMar w:top="851" w:right="1418" w:bottom="1418" w:left="1418" w:header="0" w:footer="709" w:gutter="0"/>
          <w:cols w:space="708"/>
          <w:docGrid w:linePitch="360"/>
        </w:sectPr>
      </w:pPr>
    </w:p>
    <w:p w14:paraId="096976A5" w14:textId="7C4C48A9" w:rsidR="00C62708" w:rsidRDefault="008A6EA6" w:rsidP="00901825">
      <w:pPr>
        <w:pStyle w:val="Title"/>
        <w:spacing w:before="480"/>
      </w:pPr>
      <w:r>
        <w:t>Supplementary Guidance for the Skills Guarantee PCP Version 1.2</w:t>
      </w:r>
    </w:p>
    <w:p w14:paraId="7761DEA6" w14:textId="3A10D3FF" w:rsidR="00084C37" w:rsidRPr="00DB79CF" w:rsidRDefault="0598240A" w:rsidP="00DB79CF">
      <w:pPr>
        <w:pStyle w:val="Subtitle"/>
        <w:spacing w:after="0"/>
        <w:rPr>
          <w:rFonts w:ascii="Aptos Display" w:eastAsia="Aptos Display" w:hAnsi="Aptos Display" w:cs="Aptos Display"/>
          <w:color w:val="5D7A38"/>
          <w:sz w:val="36"/>
          <w:szCs w:val="36"/>
        </w:rPr>
      </w:pPr>
      <w:r w:rsidRPr="00781066">
        <w:rPr>
          <w:rFonts w:ascii="Aptos Display" w:eastAsia="Aptos Display" w:hAnsi="Aptos Display" w:cs="Aptos Display"/>
          <w:color w:val="5D7A38"/>
          <w:sz w:val="36"/>
          <w:szCs w:val="36"/>
        </w:rPr>
        <w:t>G</w:t>
      </w:r>
      <w:r w:rsidR="007F41E5" w:rsidRPr="00781066">
        <w:rPr>
          <w:rFonts w:ascii="Aptos Display" w:eastAsia="Aptos Display" w:hAnsi="Aptos Display" w:cs="Aptos Display"/>
          <w:color w:val="5D7A38"/>
          <w:sz w:val="36"/>
          <w:szCs w:val="36"/>
        </w:rPr>
        <w:t xml:space="preserve">uidance for </w:t>
      </w:r>
      <w:r w:rsidR="2EDA6EF5" w:rsidRPr="00781066">
        <w:rPr>
          <w:rFonts w:ascii="Aptos Display" w:eastAsia="Aptos Display" w:hAnsi="Aptos Display" w:cs="Aptos Display"/>
          <w:color w:val="5D7A38"/>
          <w:sz w:val="36"/>
          <w:szCs w:val="36"/>
        </w:rPr>
        <w:t>R</w:t>
      </w:r>
      <w:r w:rsidR="007F41E5" w:rsidRPr="00781066">
        <w:rPr>
          <w:rFonts w:ascii="Aptos Display" w:eastAsia="Aptos Display" w:hAnsi="Aptos Display" w:cs="Aptos Display"/>
          <w:color w:val="5D7A38"/>
          <w:sz w:val="36"/>
          <w:szCs w:val="36"/>
        </w:rPr>
        <w:t xml:space="preserve">elevant </w:t>
      </w:r>
      <w:r w:rsidR="0D5CABCB" w:rsidRPr="00C20A68">
        <w:rPr>
          <w:rFonts w:ascii="Aptos Display" w:eastAsia="Aptos Display" w:hAnsi="Aptos Display" w:cs="Aptos Display"/>
          <w:color w:val="5D7A38"/>
          <w:sz w:val="36"/>
          <w:szCs w:val="36"/>
        </w:rPr>
        <w:t>E</w:t>
      </w:r>
      <w:r w:rsidR="007F41E5" w:rsidRPr="00C20A68">
        <w:rPr>
          <w:rFonts w:ascii="Aptos Display" w:eastAsia="Aptos Display" w:hAnsi="Aptos Display" w:cs="Aptos Display"/>
          <w:color w:val="5D7A38"/>
          <w:sz w:val="36"/>
          <w:szCs w:val="36"/>
        </w:rPr>
        <w:t>ntities</w:t>
      </w:r>
      <w:r w:rsidR="004E5FE2" w:rsidRPr="00781066">
        <w:rPr>
          <w:rFonts w:ascii="Aptos Display" w:eastAsia="Aptos Display" w:hAnsi="Aptos Display" w:cs="Aptos Display"/>
          <w:color w:val="5D7A38"/>
          <w:sz w:val="36"/>
          <w:szCs w:val="36"/>
        </w:rPr>
        <w:t xml:space="preserve"> </w:t>
      </w:r>
    </w:p>
    <w:sdt>
      <w:sdtPr>
        <w:rPr>
          <w:rFonts w:asciiTheme="minorHAnsi" w:eastAsiaTheme="minorEastAsia" w:hAnsiTheme="minorHAnsi" w:cstheme="minorBidi"/>
          <w:color w:val="auto"/>
          <w:sz w:val="22"/>
          <w:szCs w:val="22"/>
        </w:rPr>
        <w:id w:val="166737213"/>
        <w:docPartObj>
          <w:docPartGallery w:val="Table of Contents"/>
          <w:docPartUnique/>
        </w:docPartObj>
      </w:sdtPr>
      <w:sdtContent>
        <w:p w14:paraId="1231D36C" w14:textId="790A9FB1" w:rsidR="00506DCB" w:rsidRPr="007F570F" w:rsidRDefault="00506DCB" w:rsidP="00847C24">
          <w:pPr>
            <w:pStyle w:val="TOCHeading"/>
            <w:spacing w:before="0" w:after="0"/>
            <w:rPr>
              <w:color w:val="auto"/>
            </w:rPr>
          </w:pPr>
          <w:r w:rsidRPr="3BCD4151">
            <w:rPr>
              <w:color w:val="auto"/>
            </w:rPr>
            <w:t>Contents</w:t>
          </w:r>
        </w:p>
        <w:p w14:paraId="0BA53B7E" w14:textId="18DDE35D" w:rsidR="002E4EA6" w:rsidRDefault="3BCD4151">
          <w:pPr>
            <w:pStyle w:val="TOC1"/>
            <w:tabs>
              <w:tab w:val="right" w:leader="dot" w:pos="9060"/>
            </w:tabs>
            <w:rPr>
              <w:rFonts w:eastAsiaTheme="minorEastAsia"/>
              <w:b w:val="0"/>
              <w:noProof/>
              <w:kern w:val="2"/>
              <w:sz w:val="24"/>
              <w:szCs w:val="24"/>
              <w:lang w:eastAsia="en-AU"/>
              <w14:ligatures w14:val="standardContextual"/>
            </w:rPr>
          </w:pPr>
          <w:r>
            <w:fldChar w:fldCharType="begin"/>
          </w:r>
          <w:r w:rsidR="00506DCB">
            <w:instrText>TOC \o "1-3" \z \u \h</w:instrText>
          </w:r>
          <w:r>
            <w:fldChar w:fldCharType="separate"/>
          </w:r>
          <w:hyperlink w:anchor="_Toc209787034" w:history="1">
            <w:r w:rsidR="002E4EA6" w:rsidRPr="00092D54">
              <w:rPr>
                <w:rStyle w:val="Hyperlink"/>
                <w:noProof/>
              </w:rPr>
              <w:t>Actions for Relevant Entities Summary</w:t>
            </w:r>
            <w:r w:rsidR="002E4EA6">
              <w:rPr>
                <w:noProof/>
                <w:webHidden/>
              </w:rPr>
              <w:tab/>
            </w:r>
            <w:r w:rsidR="002E4EA6">
              <w:rPr>
                <w:noProof/>
                <w:webHidden/>
              </w:rPr>
              <w:fldChar w:fldCharType="begin"/>
            </w:r>
            <w:r w:rsidR="002E4EA6">
              <w:rPr>
                <w:noProof/>
                <w:webHidden/>
              </w:rPr>
              <w:instrText xml:space="preserve"> PAGEREF _Toc209787034 \h </w:instrText>
            </w:r>
            <w:r w:rsidR="002E4EA6">
              <w:rPr>
                <w:noProof/>
                <w:webHidden/>
              </w:rPr>
            </w:r>
            <w:r w:rsidR="002E4EA6">
              <w:rPr>
                <w:noProof/>
                <w:webHidden/>
              </w:rPr>
              <w:fldChar w:fldCharType="separate"/>
            </w:r>
            <w:r w:rsidR="00B53A95">
              <w:rPr>
                <w:noProof/>
                <w:webHidden/>
              </w:rPr>
              <w:t>3</w:t>
            </w:r>
            <w:r w:rsidR="002E4EA6">
              <w:rPr>
                <w:noProof/>
                <w:webHidden/>
              </w:rPr>
              <w:fldChar w:fldCharType="end"/>
            </w:r>
          </w:hyperlink>
        </w:p>
        <w:p w14:paraId="5CE8090B" w14:textId="1B1449DC"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35" w:history="1">
            <w:r w:rsidRPr="00092D54">
              <w:rPr>
                <w:rStyle w:val="Hyperlink"/>
                <w:noProof/>
              </w:rPr>
              <w:t>Introduction</w:t>
            </w:r>
            <w:r>
              <w:rPr>
                <w:noProof/>
                <w:webHidden/>
              </w:rPr>
              <w:tab/>
            </w:r>
            <w:r>
              <w:rPr>
                <w:noProof/>
                <w:webHidden/>
              </w:rPr>
              <w:fldChar w:fldCharType="begin"/>
            </w:r>
            <w:r>
              <w:rPr>
                <w:noProof/>
                <w:webHidden/>
              </w:rPr>
              <w:instrText xml:space="preserve"> PAGEREF _Toc209787035 \h </w:instrText>
            </w:r>
            <w:r>
              <w:rPr>
                <w:noProof/>
                <w:webHidden/>
              </w:rPr>
            </w:r>
            <w:r>
              <w:rPr>
                <w:noProof/>
                <w:webHidden/>
              </w:rPr>
              <w:fldChar w:fldCharType="separate"/>
            </w:r>
            <w:r w:rsidR="00B53A95">
              <w:rPr>
                <w:noProof/>
                <w:webHidden/>
              </w:rPr>
              <w:t>4</w:t>
            </w:r>
            <w:r>
              <w:rPr>
                <w:noProof/>
                <w:webHidden/>
              </w:rPr>
              <w:fldChar w:fldCharType="end"/>
            </w:r>
          </w:hyperlink>
        </w:p>
        <w:p w14:paraId="4CAFD4A5" w14:textId="77ADB64A"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36" w:history="1">
            <w:r w:rsidRPr="00092D54">
              <w:rPr>
                <w:rStyle w:val="Hyperlink"/>
                <w:noProof/>
              </w:rPr>
              <w:t>Procurements in scope</w:t>
            </w:r>
            <w:r>
              <w:rPr>
                <w:noProof/>
                <w:webHidden/>
              </w:rPr>
              <w:tab/>
            </w:r>
            <w:r>
              <w:rPr>
                <w:noProof/>
                <w:webHidden/>
              </w:rPr>
              <w:fldChar w:fldCharType="begin"/>
            </w:r>
            <w:r>
              <w:rPr>
                <w:noProof/>
                <w:webHidden/>
              </w:rPr>
              <w:instrText xml:space="preserve"> PAGEREF _Toc209787036 \h </w:instrText>
            </w:r>
            <w:r>
              <w:rPr>
                <w:noProof/>
                <w:webHidden/>
              </w:rPr>
            </w:r>
            <w:r>
              <w:rPr>
                <w:noProof/>
                <w:webHidden/>
              </w:rPr>
              <w:fldChar w:fldCharType="separate"/>
            </w:r>
            <w:r w:rsidR="00B53A95">
              <w:rPr>
                <w:noProof/>
                <w:webHidden/>
              </w:rPr>
              <w:t>4</w:t>
            </w:r>
            <w:r>
              <w:rPr>
                <w:noProof/>
                <w:webHidden/>
              </w:rPr>
              <w:fldChar w:fldCharType="end"/>
            </w:r>
          </w:hyperlink>
        </w:p>
        <w:p w14:paraId="107D9C21" w14:textId="07135DB5"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37"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_Toc209787037 \h </w:instrText>
            </w:r>
            <w:r>
              <w:rPr>
                <w:noProof/>
                <w:webHidden/>
              </w:rPr>
            </w:r>
            <w:r>
              <w:rPr>
                <w:noProof/>
                <w:webHidden/>
              </w:rPr>
              <w:fldChar w:fldCharType="separate"/>
            </w:r>
            <w:r w:rsidR="00B53A95">
              <w:rPr>
                <w:noProof/>
                <w:webHidden/>
              </w:rPr>
              <w:t>4</w:t>
            </w:r>
            <w:r>
              <w:rPr>
                <w:noProof/>
                <w:webHidden/>
              </w:rPr>
              <w:fldChar w:fldCharType="end"/>
            </w:r>
          </w:hyperlink>
        </w:p>
        <w:p w14:paraId="3DDB5DD4" w14:textId="2085608B"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38" w:history="1">
            <w:r w:rsidRPr="00092D54">
              <w:rPr>
                <w:rStyle w:val="Hyperlink"/>
                <w:noProof/>
              </w:rPr>
              <w:t>Construction procurement</w:t>
            </w:r>
            <w:r>
              <w:rPr>
                <w:noProof/>
                <w:webHidden/>
              </w:rPr>
              <w:tab/>
            </w:r>
            <w:r>
              <w:rPr>
                <w:noProof/>
                <w:webHidden/>
              </w:rPr>
              <w:fldChar w:fldCharType="begin"/>
            </w:r>
            <w:r>
              <w:rPr>
                <w:noProof/>
                <w:webHidden/>
              </w:rPr>
              <w:instrText xml:space="preserve"> PAGEREF _Toc209787038 \h </w:instrText>
            </w:r>
            <w:r>
              <w:rPr>
                <w:noProof/>
                <w:webHidden/>
              </w:rPr>
            </w:r>
            <w:r>
              <w:rPr>
                <w:noProof/>
                <w:webHidden/>
              </w:rPr>
              <w:fldChar w:fldCharType="separate"/>
            </w:r>
            <w:r w:rsidR="00B53A95">
              <w:rPr>
                <w:noProof/>
                <w:webHidden/>
              </w:rPr>
              <w:t>4</w:t>
            </w:r>
            <w:r>
              <w:rPr>
                <w:noProof/>
                <w:webHidden/>
              </w:rPr>
              <w:fldChar w:fldCharType="end"/>
            </w:r>
          </w:hyperlink>
        </w:p>
        <w:p w14:paraId="23AB5E91" w14:textId="163B30FF"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39" w:history="1">
            <w:r w:rsidRPr="00092D54">
              <w:rPr>
                <w:rStyle w:val="Hyperlink"/>
                <w:noProof/>
              </w:rPr>
              <w:t>ICT procurement</w:t>
            </w:r>
            <w:r>
              <w:rPr>
                <w:noProof/>
                <w:webHidden/>
              </w:rPr>
              <w:tab/>
            </w:r>
            <w:r>
              <w:rPr>
                <w:noProof/>
                <w:webHidden/>
              </w:rPr>
              <w:fldChar w:fldCharType="begin"/>
            </w:r>
            <w:r>
              <w:rPr>
                <w:noProof/>
                <w:webHidden/>
              </w:rPr>
              <w:instrText xml:space="preserve"> PAGEREF _Toc209787039 \h </w:instrText>
            </w:r>
            <w:r>
              <w:rPr>
                <w:noProof/>
                <w:webHidden/>
              </w:rPr>
            </w:r>
            <w:r>
              <w:rPr>
                <w:noProof/>
                <w:webHidden/>
              </w:rPr>
              <w:fldChar w:fldCharType="separate"/>
            </w:r>
            <w:r w:rsidR="00B53A95">
              <w:rPr>
                <w:noProof/>
                <w:webHidden/>
              </w:rPr>
              <w:t>4</w:t>
            </w:r>
            <w:r>
              <w:rPr>
                <w:noProof/>
                <w:webHidden/>
              </w:rPr>
              <w:fldChar w:fldCharType="end"/>
            </w:r>
          </w:hyperlink>
        </w:p>
        <w:p w14:paraId="00579E45" w14:textId="026B79C1"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40" w:history="1">
            <w:r w:rsidRPr="00092D54">
              <w:rPr>
                <w:rStyle w:val="Hyperlink"/>
                <w:noProof/>
              </w:rPr>
              <w:t>Exemptions</w:t>
            </w:r>
            <w:r>
              <w:rPr>
                <w:noProof/>
                <w:webHidden/>
              </w:rPr>
              <w:tab/>
            </w:r>
            <w:r>
              <w:rPr>
                <w:noProof/>
                <w:webHidden/>
              </w:rPr>
              <w:fldChar w:fldCharType="begin"/>
            </w:r>
            <w:r>
              <w:rPr>
                <w:noProof/>
                <w:webHidden/>
              </w:rPr>
              <w:instrText xml:space="preserve"> PAGEREF _Toc209787040 \h </w:instrText>
            </w:r>
            <w:r>
              <w:rPr>
                <w:noProof/>
                <w:webHidden/>
              </w:rPr>
            </w:r>
            <w:r>
              <w:rPr>
                <w:noProof/>
                <w:webHidden/>
              </w:rPr>
              <w:fldChar w:fldCharType="separate"/>
            </w:r>
            <w:r w:rsidR="00B53A95">
              <w:rPr>
                <w:noProof/>
                <w:webHidden/>
              </w:rPr>
              <w:t>5</w:t>
            </w:r>
            <w:r>
              <w:rPr>
                <w:noProof/>
                <w:webHidden/>
              </w:rPr>
              <w:fldChar w:fldCharType="end"/>
            </w:r>
          </w:hyperlink>
        </w:p>
        <w:p w14:paraId="3C5F7C62" w14:textId="2C4879E5"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41"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_Toc209787041 \h </w:instrText>
            </w:r>
            <w:r>
              <w:rPr>
                <w:noProof/>
                <w:webHidden/>
              </w:rPr>
            </w:r>
            <w:r>
              <w:rPr>
                <w:noProof/>
                <w:webHidden/>
              </w:rPr>
              <w:fldChar w:fldCharType="separate"/>
            </w:r>
            <w:r w:rsidR="00B53A95">
              <w:rPr>
                <w:noProof/>
                <w:webHidden/>
              </w:rPr>
              <w:t>5</w:t>
            </w:r>
            <w:r>
              <w:rPr>
                <w:noProof/>
                <w:webHidden/>
              </w:rPr>
              <w:fldChar w:fldCharType="end"/>
            </w:r>
          </w:hyperlink>
        </w:p>
        <w:p w14:paraId="363381BD" w14:textId="05424D73"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42" w:history="1">
            <w:r w:rsidRPr="00092D54">
              <w:rPr>
                <w:rStyle w:val="Hyperlink"/>
                <w:noProof/>
              </w:rPr>
              <w:t>Formal exemptions</w:t>
            </w:r>
            <w:r>
              <w:rPr>
                <w:noProof/>
                <w:webHidden/>
              </w:rPr>
              <w:tab/>
            </w:r>
            <w:r>
              <w:rPr>
                <w:noProof/>
                <w:webHidden/>
              </w:rPr>
              <w:fldChar w:fldCharType="begin"/>
            </w:r>
            <w:r>
              <w:rPr>
                <w:noProof/>
                <w:webHidden/>
              </w:rPr>
              <w:instrText xml:space="preserve"> PAGEREF _Toc209787042 \h </w:instrText>
            </w:r>
            <w:r>
              <w:rPr>
                <w:noProof/>
                <w:webHidden/>
              </w:rPr>
            </w:r>
            <w:r>
              <w:rPr>
                <w:noProof/>
                <w:webHidden/>
              </w:rPr>
              <w:fldChar w:fldCharType="separate"/>
            </w:r>
            <w:r w:rsidR="00B53A95">
              <w:rPr>
                <w:noProof/>
                <w:webHidden/>
              </w:rPr>
              <w:t>5</w:t>
            </w:r>
            <w:r>
              <w:rPr>
                <w:noProof/>
                <w:webHidden/>
              </w:rPr>
              <w:fldChar w:fldCharType="end"/>
            </w:r>
          </w:hyperlink>
        </w:p>
        <w:p w14:paraId="7104F21E" w14:textId="6CFBDB6C"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43" w:history="1">
            <w:r w:rsidRPr="00092D54">
              <w:rPr>
                <w:rStyle w:val="Hyperlink"/>
                <w:noProof/>
              </w:rPr>
              <w:t>Determining eligibility and reasonableness</w:t>
            </w:r>
            <w:r>
              <w:rPr>
                <w:noProof/>
                <w:webHidden/>
              </w:rPr>
              <w:tab/>
            </w:r>
            <w:r>
              <w:rPr>
                <w:noProof/>
                <w:webHidden/>
              </w:rPr>
              <w:fldChar w:fldCharType="begin"/>
            </w:r>
            <w:r>
              <w:rPr>
                <w:noProof/>
                <w:webHidden/>
              </w:rPr>
              <w:instrText xml:space="preserve"> PAGEREF _Toc209787043 \h </w:instrText>
            </w:r>
            <w:r>
              <w:rPr>
                <w:noProof/>
                <w:webHidden/>
              </w:rPr>
            </w:r>
            <w:r>
              <w:rPr>
                <w:noProof/>
                <w:webHidden/>
              </w:rPr>
              <w:fldChar w:fldCharType="separate"/>
            </w:r>
            <w:r w:rsidR="00B53A95">
              <w:rPr>
                <w:noProof/>
                <w:webHidden/>
              </w:rPr>
              <w:t>5</w:t>
            </w:r>
            <w:r>
              <w:rPr>
                <w:noProof/>
                <w:webHidden/>
              </w:rPr>
              <w:fldChar w:fldCharType="end"/>
            </w:r>
          </w:hyperlink>
        </w:p>
        <w:p w14:paraId="65C96D85" w14:textId="2DD28675"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44" w:history="1">
            <w:r w:rsidRPr="00092D54">
              <w:rPr>
                <w:rStyle w:val="Hyperlink"/>
                <w:noProof/>
              </w:rPr>
              <w:t>ADMS notifications and reviewing a new Contract</w:t>
            </w:r>
            <w:r>
              <w:rPr>
                <w:noProof/>
                <w:webHidden/>
              </w:rPr>
              <w:tab/>
            </w:r>
            <w:r>
              <w:rPr>
                <w:noProof/>
                <w:webHidden/>
              </w:rPr>
              <w:fldChar w:fldCharType="begin"/>
            </w:r>
            <w:r>
              <w:rPr>
                <w:noProof/>
                <w:webHidden/>
              </w:rPr>
              <w:instrText xml:space="preserve"> PAGEREF _Toc209787044 \h </w:instrText>
            </w:r>
            <w:r>
              <w:rPr>
                <w:noProof/>
                <w:webHidden/>
              </w:rPr>
            </w:r>
            <w:r>
              <w:rPr>
                <w:noProof/>
                <w:webHidden/>
              </w:rPr>
              <w:fldChar w:fldCharType="separate"/>
            </w:r>
            <w:r w:rsidR="00B53A95">
              <w:rPr>
                <w:noProof/>
                <w:webHidden/>
              </w:rPr>
              <w:t>6</w:t>
            </w:r>
            <w:r>
              <w:rPr>
                <w:noProof/>
                <w:webHidden/>
              </w:rPr>
              <w:fldChar w:fldCharType="end"/>
            </w:r>
          </w:hyperlink>
        </w:p>
        <w:p w14:paraId="7B7B74A2" w14:textId="577BC210"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45" w:history="1">
            <w:r w:rsidRPr="00092D54">
              <w:rPr>
                <w:rStyle w:val="Hyperlink"/>
                <w:noProof/>
              </w:rPr>
              <w:t>Gender Equality Action Plan (GEAP)</w:t>
            </w:r>
            <w:r>
              <w:rPr>
                <w:noProof/>
                <w:webHidden/>
              </w:rPr>
              <w:tab/>
            </w:r>
            <w:r>
              <w:rPr>
                <w:noProof/>
                <w:webHidden/>
              </w:rPr>
              <w:fldChar w:fldCharType="begin"/>
            </w:r>
            <w:r>
              <w:rPr>
                <w:noProof/>
                <w:webHidden/>
              </w:rPr>
              <w:instrText xml:space="preserve"> PAGEREF _Toc209787045 \h </w:instrText>
            </w:r>
            <w:r>
              <w:rPr>
                <w:noProof/>
                <w:webHidden/>
              </w:rPr>
            </w:r>
            <w:r>
              <w:rPr>
                <w:noProof/>
                <w:webHidden/>
              </w:rPr>
              <w:fldChar w:fldCharType="separate"/>
            </w:r>
            <w:r w:rsidR="00B53A95">
              <w:rPr>
                <w:noProof/>
                <w:webHidden/>
              </w:rPr>
              <w:t>7</w:t>
            </w:r>
            <w:r>
              <w:rPr>
                <w:noProof/>
                <w:webHidden/>
              </w:rPr>
              <w:fldChar w:fldCharType="end"/>
            </w:r>
          </w:hyperlink>
        </w:p>
        <w:p w14:paraId="4A366B94" w14:textId="030F8F09"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46"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_Toc209787046 \h </w:instrText>
            </w:r>
            <w:r>
              <w:rPr>
                <w:noProof/>
                <w:webHidden/>
              </w:rPr>
            </w:r>
            <w:r>
              <w:rPr>
                <w:noProof/>
                <w:webHidden/>
              </w:rPr>
              <w:fldChar w:fldCharType="separate"/>
            </w:r>
            <w:r w:rsidR="00B53A95">
              <w:rPr>
                <w:noProof/>
                <w:webHidden/>
              </w:rPr>
              <w:t>7</w:t>
            </w:r>
            <w:r>
              <w:rPr>
                <w:noProof/>
                <w:webHidden/>
              </w:rPr>
              <w:fldChar w:fldCharType="end"/>
            </w:r>
          </w:hyperlink>
        </w:p>
        <w:p w14:paraId="24C9E901" w14:textId="1A4ECEA2"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47" w:history="1">
            <w:r w:rsidRPr="00092D54">
              <w:rPr>
                <w:rStyle w:val="Hyperlink"/>
                <w:noProof/>
              </w:rPr>
              <w:t>Construction targets</w:t>
            </w:r>
            <w:r>
              <w:rPr>
                <w:noProof/>
                <w:webHidden/>
              </w:rPr>
              <w:tab/>
            </w:r>
            <w:r>
              <w:rPr>
                <w:noProof/>
                <w:webHidden/>
              </w:rPr>
              <w:fldChar w:fldCharType="begin"/>
            </w:r>
            <w:r>
              <w:rPr>
                <w:noProof/>
                <w:webHidden/>
              </w:rPr>
              <w:instrText xml:space="preserve"> PAGEREF _Toc209787047 \h </w:instrText>
            </w:r>
            <w:r>
              <w:rPr>
                <w:noProof/>
                <w:webHidden/>
              </w:rPr>
            </w:r>
            <w:r>
              <w:rPr>
                <w:noProof/>
                <w:webHidden/>
              </w:rPr>
              <w:fldChar w:fldCharType="separate"/>
            </w:r>
            <w:r w:rsidR="00B53A95">
              <w:rPr>
                <w:noProof/>
                <w:webHidden/>
              </w:rPr>
              <w:t>8</w:t>
            </w:r>
            <w:r>
              <w:rPr>
                <w:noProof/>
                <w:webHidden/>
              </w:rPr>
              <w:fldChar w:fldCharType="end"/>
            </w:r>
          </w:hyperlink>
        </w:p>
        <w:p w14:paraId="70FC95D7" w14:textId="7D09B72A"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48" w:history="1">
            <w:r w:rsidRPr="00092D54">
              <w:rPr>
                <w:rStyle w:val="Hyperlink"/>
                <w:noProof/>
              </w:rPr>
              <w:t>Construction target examples</w:t>
            </w:r>
            <w:r>
              <w:rPr>
                <w:noProof/>
                <w:webHidden/>
              </w:rPr>
              <w:tab/>
            </w:r>
            <w:r>
              <w:rPr>
                <w:noProof/>
                <w:webHidden/>
              </w:rPr>
              <w:fldChar w:fldCharType="begin"/>
            </w:r>
            <w:r>
              <w:rPr>
                <w:noProof/>
                <w:webHidden/>
              </w:rPr>
              <w:instrText xml:space="preserve"> PAGEREF _Toc209787048 \h </w:instrText>
            </w:r>
            <w:r>
              <w:rPr>
                <w:noProof/>
                <w:webHidden/>
              </w:rPr>
            </w:r>
            <w:r>
              <w:rPr>
                <w:noProof/>
                <w:webHidden/>
              </w:rPr>
              <w:fldChar w:fldCharType="separate"/>
            </w:r>
            <w:r w:rsidR="00B53A95">
              <w:rPr>
                <w:noProof/>
                <w:webHidden/>
              </w:rPr>
              <w:t>9</w:t>
            </w:r>
            <w:r>
              <w:rPr>
                <w:noProof/>
                <w:webHidden/>
              </w:rPr>
              <w:fldChar w:fldCharType="end"/>
            </w:r>
          </w:hyperlink>
        </w:p>
        <w:p w14:paraId="250D4814" w14:textId="31E9F893"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49" w:history="1">
            <w:r w:rsidRPr="00092D54">
              <w:rPr>
                <w:rStyle w:val="Hyperlink"/>
                <w:noProof/>
              </w:rPr>
              <w:t>ICT targets</w:t>
            </w:r>
            <w:r>
              <w:rPr>
                <w:noProof/>
                <w:webHidden/>
              </w:rPr>
              <w:tab/>
            </w:r>
            <w:r>
              <w:rPr>
                <w:noProof/>
                <w:webHidden/>
              </w:rPr>
              <w:fldChar w:fldCharType="begin"/>
            </w:r>
            <w:r>
              <w:rPr>
                <w:noProof/>
                <w:webHidden/>
              </w:rPr>
              <w:instrText xml:space="preserve"> PAGEREF _Toc209787049 \h </w:instrText>
            </w:r>
            <w:r>
              <w:rPr>
                <w:noProof/>
                <w:webHidden/>
              </w:rPr>
            </w:r>
            <w:r>
              <w:rPr>
                <w:noProof/>
                <w:webHidden/>
              </w:rPr>
              <w:fldChar w:fldCharType="separate"/>
            </w:r>
            <w:r w:rsidR="00B53A95">
              <w:rPr>
                <w:noProof/>
                <w:webHidden/>
              </w:rPr>
              <w:t>10</w:t>
            </w:r>
            <w:r>
              <w:rPr>
                <w:noProof/>
                <w:webHidden/>
              </w:rPr>
              <w:fldChar w:fldCharType="end"/>
            </w:r>
          </w:hyperlink>
        </w:p>
        <w:p w14:paraId="0992DB32" w14:textId="18DC923C"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0" w:history="1">
            <w:r w:rsidRPr="00092D54">
              <w:rPr>
                <w:rStyle w:val="Hyperlink"/>
                <w:noProof/>
              </w:rPr>
              <w:t>ICT target examples</w:t>
            </w:r>
            <w:r>
              <w:rPr>
                <w:noProof/>
                <w:webHidden/>
              </w:rPr>
              <w:tab/>
            </w:r>
            <w:r>
              <w:rPr>
                <w:noProof/>
                <w:webHidden/>
              </w:rPr>
              <w:fldChar w:fldCharType="begin"/>
            </w:r>
            <w:r>
              <w:rPr>
                <w:noProof/>
                <w:webHidden/>
              </w:rPr>
              <w:instrText xml:space="preserve"> PAGEREF _Toc209787050 \h </w:instrText>
            </w:r>
            <w:r>
              <w:rPr>
                <w:noProof/>
                <w:webHidden/>
              </w:rPr>
            </w:r>
            <w:r>
              <w:rPr>
                <w:noProof/>
                <w:webHidden/>
              </w:rPr>
              <w:fldChar w:fldCharType="separate"/>
            </w:r>
            <w:r w:rsidR="00B53A95">
              <w:rPr>
                <w:noProof/>
                <w:webHidden/>
              </w:rPr>
              <w:t>11</w:t>
            </w:r>
            <w:r>
              <w:rPr>
                <w:noProof/>
                <w:webHidden/>
              </w:rPr>
              <w:fldChar w:fldCharType="end"/>
            </w:r>
          </w:hyperlink>
        </w:p>
        <w:p w14:paraId="61EFBBEB" w14:textId="745CC7ED"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51" w:history="1">
            <w:r w:rsidRPr="00092D54">
              <w:rPr>
                <w:rStyle w:val="Hyperlink"/>
                <w:noProof/>
              </w:rPr>
              <w:t>Skills Guarantee Model Clauses</w:t>
            </w:r>
            <w:r>
              <w:rPr>
                <w:noProof/>
                <w:webHidden/>
              </w:rPr>
              <w:tab/>
            </w:r>
            <w:r>
              <w:rPr>
                <w:noProof/>
                <w:webHidden/>
              </w:rPr>
              <w:fldChar w:fldCharType="begin"/>
            </w:r>
            <w:r>
              <w:rPr>
                <w:noProof/>
                <w:webHidden/>
              </w:rPr>
              <w:instrText xml:space="preserve"> PAGEREF _Toc209787051 \h </w:instrText>
            </w:r>
            <w:r>
              <w:rPr>
                <w:noProof/>
                <w:webHidden/>
              </w:rPr>
            </w:r>
            <w:r>
              <w:rPr>
                <w:noProof/>
                <w:webHidden/>
              </w:rPr>
              <w:fldChar w:fldCharType="separate"/>
            </w:r>
            <w:r w:rsidR="00B53A95">
              <w:rPr>
                <w:noProof/>
                <w:webHidden/>
              </w:rPr>
              <w:t>12</w:t>
            </w:r>
            <w:r>
              <w:rPr>
                <w:noProof/>
                <w:webHidden/>
              </w:rPr>
              <w:fldChar w:fldCharType="end"/>
            </w:r>
          </w:hyperlink>
        </w:p>
        <w:p w14:paraId="45090D66" w14:textId="04F3C4A3"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2"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_Toc209787052 \h </w:instrText>
            </w:r>
            <w:r>
              <w:rPr>
                <w:noProof/>
                <w:webHidden/>
              </w:rPr>
            </w:r>
            <w:r>
              <w:rPr>
                <w:noProof/>
                <w:webHidden/>
              </w:rPr>
              <w:fldChar w:fldCharType="separate"/>
            </w:r>
            <w:r w:rsidR="00B53A95">
              <w:rPr>
                <w:noProof/>
                <w:webHidden/>
              </w:rPr>
              <w:t>12</w:t>
            </w:r>
            <w:r>
              <w:rPr>
                <w:noProof/>
                <w:webHidden/>
              </w:rPr>
              <w:fldChar w:fldCharType="end"/>
            </w:r>
          </w:hyperlink>
        </w:p>
        <w:p w14:paraId="0753D288" w14:textId="104949D0"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53" w:history="1">
            <w:r w:rsidRPr="00092D54">
              <w:rPr>
                <w:rStyle w:val="Hyperlink"/>
                <w:noProof/>
              </w:rPr>
              <w:t>Privacy</w:t>
            </w:r>
            <w:r>
              <w:rPr>
                <w:noProof/>
                <w:webHidden/>
              </w:rPr>
              <w:tab/>
            </w:r>
            <w:r>
              <w:rPr>
                <w:noProof/>
                <w:webHidden/>
              </w:rPr>
              <w:fldChar w:fldCharType="begin"/>
            </w:r>
            <w:r>
              <w:rPr>
                <w:noProof/>
                <w:webHidden/>
              </w:rPr>
              <w:instrText xml:space="preserve"> PAGEREF _Toc209787053 \h </w:instrText>
            </w:r>
            <w:r>
              <w:rPr>
                <w:noProof/>
                <w:webHidden/>
              </w:rPr>
            </w:r>
            <w:r>
              <w:rPr>
                <w:noProof/>
                <w:webHidden/>
              </w:rPr>
              <w:fldChar w:fldCharType="separate"/>
            </w:r>
            <w:r w:rsidR="00B53A95">
              <w:rPr>
                <w:noProof/>
                <w:webHidden/>
              </w:rPr>
              <w:t>12</w:t>
            </w:r>
            <w:r>
              <w:rPr>
                <w:noProof/>
                <w:webHidden/>
              </w:rPr>
              <w:fldChar w:fldCharType="end"/>
            </w:r>
          </w:hyperlink>
        </w:p>
        <w:p w14:paraId="35C06208" w14:textId="5B4DA55C"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4" w:history="1">
            <w:r w:rsidRPr="00092D54">
              <w:rPr>
                <w:rStyle w:val="Hyperlink"/>
                <w:noProof/>
              </w:rPr>
              <w:t>Consent Requirements and Privacy Considerations</w:t>
            </w:r>
            <w:r>
              <w:rPr>
                <w:noProof/>
                <w:webHidden/>
              </w:rPr>
              <w:tab/>
            </w:r>
            <w:r>
              <w:rPr>
                <w:noProof/>
                <w:webHidden/>
              </w:rPr>
              <w:fldChar w:fldCharType="begin"/>
            </w:r>
            <w:r>
              <w:rPr>
                <w:noProof/>
                <w:webHidden/>
              </w:rPr>
              <w:instrText xml:space="preserve"> PAGEREF _Toc209787054 \h </w:instrText>
            </w:r>
            <w:r>
              <w:rPr>
                <w:noProof/>
                <w:webHidden/>
              </w:rPr>
            </w:r>
            <w:r>
              <w:rPr>
                <w:noProof/>
                <w:webHidden/>
              </w:rPr>
              <w:fldChar w:fldCharType="separate"/>
            </w:r>
            <w:r w:rsidR="00B53A95">
              <w:rPr>
                <w:noProof/>
                <w:webHidden/>
              </w:rPr>
              <w:t>12</w:t>
            </w:r>
            <w:r>
              <w:rPr>
                <w:noProof/>
                <w:webHidden/>
              </w:rPr>
              <w:fldChar w:fldCharType="end"/>
            </w:r>
          </w:hyperlink>
        </w:p>
        <w:p w14:paraId="307D9058" w14:textId="085B61E2"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5" w:history="1">
            <w:r w:rsidRPr="00092D54">
              <w:rPr>
                <w:rStyle w:val="Hyperlink"/>
                <w:noProof/>
              </w:rPr>
              <w:t>Collection of Personal Information</w:t>
            </w:r>
            <w:r>
              <w:rPr>
                <w:noProof/>
                <w:webHidden/>
              </w:rPr>
              <w:tab/>
            </w:r>
            <w:r>
              <w:rPr>
                <w:noProof/>
                <w:webHidden/>
              </w:rPr>
              <w:fldChar w:fldCharType="begin"/>
            </w:r>
            <w:r>
              <w:rPr>
                <w:noProof/>
                <w:webHidden/>
              </w:rPr>
              <w:instrText xml:space="preserve"> PAGEREF _Toc209787055 \h </w:instrText>
            </w:r>
            <w:r>
              <w:rPr>
                <w:noProof/>
                <w:webHidden/>
              </w:rPr>
            </w:r>
            <w:r>
              <w:rPr>
                <w:noProof/>
                <w:webHidden/>
              </w:rPr>
              <w:fldChar w:fldCharType="separate"/>
            </w:r>
            <w:r w:rsidR="00B53A95">
              <w:rPr>
                <w:noProof/>
                <w:webHidden/>
              </w:rPr>
              <w:t>13</w:t>
            </w:r>
            <w:r>
              <w:rPr>
                <w:noProof/>
                <w:webHidden/>
              </w:rPr>
              <w:fldChar w:fldCharType="end"/>
            </w:r>
          </w:hyperlink>
        </w:p>
        <w:p w14:paraId="5C1745BA" w14:textId="49B37827"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6" w:history="1">
            <w:r w:rsidRPr="00092D54">
              <w:rPr>
                <w:rStyle w:val="Hyperlink"/>
                <w:noProof/>
              </w:rPr>
              <w:t>Using Skills Guarantee Model Clauses to Secure Consent</w:t>
            </w:r>
            <w:r>
              <w:rPr>
                <w:noProof/>
                <w:webHidden/>
              </w:rPr>
              <w:tab/>
            </w:r>
            <w:r>
              <w:rPr>
                <w:noProof/>
                <w:webHidden/>
              </w:rPr>
              <w:fldChar w:fldCharType="begin"/>
            </w:r>
            <w:r>
              <w:rPr>
                <w:noProof/>
                <w:webHidden/>
              </w:rPr>
              <w:instrText xml:space="preserve"> PAGEREF _Toc209787056 \h </w:instrText>
            </w:r>
            <w:r>
              <w:rPr>
                <w:noProof/>
                <w:webHidden/>
              </w:rPr>
            </w:r>
            <w:r>
              <w:rPr>
                <w:noProof/>
                <w:webHidden/>
              </w:rPr>
              <w:fldChar w:fldCharType="separate"/>
            </w:r>
            <w:r w:rsidR="00B53A95">
              <w:rPr>
                <w:noProof/>
                <w:webHidden/>
              </w:rPr>
              <w:t>13</w:t>
            </w:r>
            <w:r>
              <w:rPr>
                <w:noProof/>
                <w:webHidden/>
              </w:rPr>
              <w:fldChar w:fldCharType="end"/>
            </w:r>
          </w:hyperlink>
        </w:p>
        <w:p w14:paraId="03DACE89" w14:textId="1E2C503C"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7"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_Toc209787057 \h </w:instrText>
            </w:r>
            <w:r>
              <w:rPr>
                <w:noProof/>
                <w:webHidden/>
              </w:rPr>
            </w:r>
            <w:r>
              <w:rPr>
                <w:noProof/>
                <w:webHidden/>
              </w:rPr>
              <w:fldChar w:fldCharType="separate"/>
            </w:r>
            <w:r w:rsidR="00B53A95">
              <w:rPr>
                <w:noProof/>
                <w:webHidden/>
              </w:rPr>
              <w:t>13</w:t>
            </w:r>
            <w:r>
              <w:rPr>
                <w:noProof/>
                <w:webHidden/>
              </w:rPr>
              <w:fldChar w:fldCharType="end"/>
            </w:r>
          </w:hyperlink>
        </w:p>
        <w:p w14:paraId="7C3208B3" w14:textId="455266FC"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58" w:history="1">
            <w:r w:rsidRPr="00092D54">
              <w:rPr>
                <w:rStyle w:val="Hyperlink"/>
                <w:noProof/>
              </w:rPr>
              <w:t>Contract variations</w:t>
            </w:r>
            <w:r>
              <w:rPr>
                <w:noProof/>
                <w:webHidden/>
              </w:rPr>
              <w:tab/>
            </w:r>
            <w:r>
              <w:rPr>
                <w:noProof/>
                <w:webHidden/>
              </w:rPr>
              <w:fldChar w:fldCharType="begin"/>
            </w:r>
            <w:r>
              <w:rPr>
                <w:noProof/>
                <w:webHidden/>
              </w:rPr>
              <w:instrText xml:space="preserve"> PAGEREF _Toc209787058 \h </w:instrText>
            </w:r>
            <w:r>
              <w:rPr>
                <w:noProof/>
                <w:webHidden/>
              </w:rPr>
            </w:r>
            <w:r>
              <w:rPr>
                <w:noProof/>
                <w:webHidden/>
              </w:rPr>
              <w:fldChar w:fldCharType="separate"/>
            </w:r>
            <w:r w:rsidR="00B53A95">
              <w:rPr>
                <w:noProof/>
                <w:webHidden/>
              </w:rPr>
              <w:t>13</w:t>
            </w:r>
            <w:r>
              <w:rPr>
                <w:noProof/>
                <w:webHidden/>
              </w:rPr>
              <w:fldChar w:fldCharType="end"/>
            </w:r>
          </w:hyperlink>
        </w:p>
        <w:p w14:paraId="2684BE4E" w14:textId="5DB59C29"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59" w:history="1">
            <w:r w:rsidRPr="00092D54">
              <w:rPr>
                <w:rStyle w:val="Hyperlink"/>
                <w:noProof/>
              </w:rPr>
              <w:t>ADMS reporting for Contract variations</w:t>
            </w:r>
            <w:r>
              <w:rPr>
                <w:noProof/>
                <w:webHidden/>
              </w:rPr>
              <w:tab/>
            </w:r>
            <w:r>
              <w:rPr>
                <w:noProof/>
                <w:webHidden/>
              </w:rPr>
              <w:fldChar w:fldCharType="begin"/>
            </w:r>
            <w:r>
              <w:rPr>
                <w:noProof/>
                <w:webHidden/>
              </w:rPr>
              <w:instrText xml:space="preserve"> PAGEREF _Toc209787059 \h </w:instrText>
            </w:r>
            <w:r>
              <w:rPr>
                <w:noProof/>
                <w:webHidden/>
              </w:rPr>
            </w:r>
            <w:r>
              <w:rPr>
                <w:noProof/>
                <w:webHidden/>
              </w:rPr>
              <w:fldChar w:fldCharType="separate"/>
            </w:r>
            <w:r w:rsidR="00B53A95">
              <w:rPr>
                <w:noProof/>
                <w:webHidden/>
              </w:rPr>
              <w:t>14</w:t>
            </w:r>
            <w:r>
              <w:rPr>
                <w:noProof/>
                <w:webHidden/>
              </w:rPr>
              <w:fldChar w:fldCharType="end"/>
            </w:r>
          </w:hyperlink>
        </w:p>
        <w:p w14:paraId="4D8572CD" w14:textId="502D4CF5"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60" w:history="1">
            <w:r w:rsidRPr="00092D54">
              <w:rPr>
                <w:rStyle w:val="Hyperlink"/>
                <w:noProof/>
              </w:rPr>
              <w:t>Panel or Standing Offer arrangements</w:t>
            </w:r>
            <w:r>
              <w:rPr>
                <w:noProof/>
                <w:webHidden/>
              </w:rPr>
              <w:tab/>
            </w:r>
            <w:r>
              <w:rPr>
                <w:noProof/>
                <w:webHidden/>
              </w:rPr>
              <w:fldChar w:fldCharType="begin"/>
            </w:r>
            <w:r>
              <w:rPr>
                <w:noProof/>
                <w:webHidden/>
              </w:rPr>
              <w:instrText xml:space="preserve"> PAGEREF _Toc209787060 \h </w:instrText>
            </w:r>
            <w:r>
              <w:rPr>
                <w:noProof/>
                <w:webHidden/>
              </w:rPr>
            </w:r>
            <w:r>
              <w:rPr>
                <w:noProof/>
                <w:webHidden/>
              </w:rPr>
              <w:fldChar w:fldCharType="separate"/>
            </w:r>
            <w:r w:rsidR="00B53A95">
              <w:rPr>
                <w:noProof/>
                <w:webHidden/>
              </w:rPr>
              <w:t>14</w:t>
            </w:r>
            <w:r>
              <w:rPr>
                <w:noProof/>
                <w:webHidden/>
              </w:rPr>
              <w:fldChar w:fldCharType="end"/>
            </w:r>
          </w:hyperlink>
        </w:p>
        <w:p w14:paraId="139212B8" w14:textId="715D7F13"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61"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_Toc209787061 \h </w:instrText>
            </w:r>
            <w:r>
              <w:rPr>
                <w:noProof/>
                <w:webHidden/>
              </w:rPr>
            </w:r>
            <w:r>
              <w:rPr>
                <w:noProof/>
                <w:webHidden/>
              </w:rPr>
              <w:fldChar w:fldCharType="separate"/>
            </w:r>
            <w:r w:rsidR="00B53A95">
              <w:rPr>
                <w:noProof/>
                <w:webHidden/>
              </w:rPr>
              <w:t>14</w:t>
            </w:r>
            <w:r>
              <w:rPr>
                <w:noProof/>
                <w:webHidden/>
              </w:rPr>
              <w:fldChar w:fldCharType="end"/>
            </w:r>
          </w:hyperlink>
        </w:p>
        <w:p w14:paraId="65E4D410" w14:textId="1503603F"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62" w:history="1">
            <w:r w:rsidRPr="00092D54">
              <w:rPr>
                <w:rStyle w:val="Hyperlink"/>
                <w:rFonts w:ascii="Segoe UI Emoji" w:eastAsia="Times New Roman" w:hAnsi="Segoe UI Emoji" w:cs="Segoe UI Emoji"/>
                <w:noProof/>
                <w:lang w:eastAsia="en-AU"/>
              </w:rPr>
              <w:t>📌</w:t>
            </w:r>
            <w:r w:rsidRPr="00092D54">
              <w:rPr>
                <w:rStyle w:val="Hyperlink"/>
                <w:noProof/>
              </w:rPr>
              <w:t xml:space="preserve"> Checklist for Relevant Entities</w:t>
            </w:r>
            <w:r>
              <w:rPr>
                <w:noProof/>
                <w:webHidden/>
              </w:rPr>
              <w:tab/>
            </w:r>
            <w:r>
              <w:rPr>
                <w:noProof/>
                <w:webHidden/>
              </w:rPr>
              <w:fldChar w:fldCharType="begin"/>
            </w:r>
            <w:r>
              <w:rPr>
                <w:noProof/>
                <w:webHidden/>
              </w:rPr>
              <w:instrText xml:space="preserve"> PAGEREF _Toc209787062 \h </w:instrText>
            </w:r>
            <w:r>
              <w:rPr>
                <w:noProof/>
                <w:webHidden/>
              </w:rPr>
            </w:r>
            <w:r>
              <w:rPr>
                <w:noProof/>
                <w:webHidden/>
              </w:rPr>
              <w:fldChar w:fldCharType="separate"/>
            </w:r>
            <w:r w:rsidR="00B53A95">
              <w:rPr>
                <w:noProof/>
                <w:webHidden/>
              </w:rPr>
              <w:t>15</w:t>
            </w:r>
            <w:r>
              <w:rPr>
                <w:noProof/>
                <w:webHidden/>
              </w:rPr>
              <w:fldChar w:fldCharType="end"/>
            </w:r>
          </w:hyperlink>
        </w:p>
        <w:p w14:paraId="16A864FF" w14:textId="5B85389E"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63" w:history="1">
            <w:r w:rsidRPr="00092D54">
              <w:rPr>
                <w:rStyle w:val="Hyperlink"/>
                <w:noProof/>
              </w:rPr>
              <w:t>Contract variation examples</w:t>
            </w:r>
            <w:r>
              <w:rPr>
                <w:noProof/>
                <w:webHidden/>
              </w:rPr>
              <w:tab/>
            </w:r>
            <w:r>
              <w:rPr>
                <w:noProof/>
                <w:webHidden/>
              </w:rPr>
              <w:fldChar w:fldCharType="begin"/>
            </w:r>
            <w:r>
              <w:rPr>
                <w:noProof/>
                <w:webHidden/>
              </w:rPr>
              <w:instrText xml:space="preserve"> PAGEREF _Toc209787063 \h </w:instrText>
            </w:r>
            <w:r>
              <w:rPr>
                <w:noProof/>
                <w:webHidden/>
              </w:rPr>
            </w:r>
            <w:r>
              <w:rPr>
                <w:noProof/>
                <w:webHidden/>
              </w:rPr>
              <w:fldChar w:fldCharType="separate"/>
            </w:r>
            <w:r w:rsidR="00B53A95">
              <w:rPr>
                <w:noProof/>
                <w:webHidden/>
              </w:rPr>
              <w:t>16</w:t>
            </w:r>
            <w:r>
              <w:rPr>
                <w:noProof/>
                <w:webHidden/>
              </w:rPr>
              <w:fldChar w:fldCharType="end"/>
            </w:r>
          </w:hyperlink>
        </w:p>
        <w:p w14:paraId="553755CA" w14:textId="6186D6A2"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64" w:history="1">
            <w:r w:rsidRPr="00092D54">
              <w:rPr>
                <w:rStyle w:val="Hyperlink"/>
                <w:noProof/>
              </w:rPr>
              <w:t>Submission Assessment</w:t>
            </w:r>
            <w:r>
              <w:rPr>
                <w:noProof/>
                <w:webHidden/>
              </w:rPr>
              <w:tab/>
            </w:r>
            <w:r>
              <w:rPr>
                <w:noProof/>
                <w:webHidden/>
              </w:rPr>
              <w:fldChar w:fldCharType="begin"/>
            </w:r>
            <w:r>
              <w:rPr>
                <w:noProof/>
                <w:webHidden/>
              </w:rPr>
              <w:instrText xml:space="preserve"> PAGEREF _Toc209787064 \h </w:instrText>
            </w:r>
            <w:r>
              <w:rPr>
                <w:noProof/>
                <w:webHidden/>
              </w:rPr>
            </w:r>
            <w:r>
              <w:rPr>
                <w:noProof/>
                <w:webHidden/>
              </w:rPr>
              <w:fldChar w:fldCharType="separate"/>
            </w:r>
            <w:r w:rsidR="00B53A95">
              <w:rPr>
                <w:noProof/>
                <w:webHidden/>
              </w:rPr>
              <w:t>18</w:t>
            </w:r>
            <w:r>
              <w:rPr>
                <w:noProof/>
                <w:webHidden/>
              </w:rPr>
              <w:fldChar w:fldCharType="end"/>
            </w:r>
          </w:hyperlink>
        </w:p>
        <w:p w14:paraId="46E30757" w14:textId="442E933D"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65" w:history="1">
            <w:r w:rsidRPr="00092D54">
              <w:rPr>
                <w:rStyle w:val="Hyperlink"/>
                <w:noProof/>
              </w:rPr>
              <w:t>Reporting and compliance</w:t>
            </w:r>
            <w:r>
              <w:rPr>
                <w:noProof/>
                <w:webHidden/>
              </w:rPr>
              <w:tab/>
            </w:r>
            <w:r>
              <w:rPr>
                <w:noProof/>
                <w:webHidden/>
              </w:rPr>
              <w:fldChar w:fldCharType="begin"/>
            </w:r>
            <w:r>
              <w:rPr>
                <w:noProof/>
                <w:webHidden/>
              </w:rPr>
              <w:instrText xml:space="preserve"> PAGEREF _Toc209787065 \h </w:instrText>
            </w:r>
            <w:r>
              <w:rPr>
                <w:noProof/>
                <w:webHidden/>
              </w:rPr>
            </w:r>
            <w:r>
              <w:rPr>
                <w:noProof/>
                <w:webHidden/>
              </w:rPr>
              <w:fldChar w:fldCharType="separate"/>
            </w:r>
            <w:r w:rsidR="00B53A95">
              <w:rPr>
                <w:noProof/>
                <w:webHidden/>
              </w:rPr>
              <w:t>18</w:t>
            </w:r>
            <w:r>
              <w:rPr>
                <w:noProof/>
                <w:webHidden/>
              </w:rPr>
              <w:fldChar w:fldCharType="end"/>
            </w:r>
          </w:hyperlink>
        </w:p>
        <w:p w14:paraId="0E9D7019" w14:textId="4E40DDE3" w:rsidR="002E4EA6" w:rsidRDefault="002E4EA6">
          <w:pPr>
            <w:pStyle w:val="TOC2"/>
            <w:tabs>
              <w:tab w:val="right" w:leader="dot" w:pos="9060"/>
            </w:tabs>
            <w:rPr>
              <w:rFonts w:eastAsiaTheme="minorEastAsia"/>
              <w:noProof/>
              <w:kern w:val="2"/>
              <w:sz w:val="24"/>
              <w:szCs w:val="24"/>
              <w:lang w:eastAsia="en-AU"/>
              <w14:ligatures w14:val="standardContextual"/>
            </w:rPr>
          </w:pPr>
          <w:hyperlink w:anchor="_Toc209787066" w:history="1">
            <w:r w:rsidRPr="00092D54">
              <w:rPr>
                <w:rStyle w:val="Hyperlink"/>
                <w:rFonts w:ascii="Segoe UI Emoji" w:eastAsia="Times New Roman" w:hAnsi="Segoe UI Emoji" w:cs="Segoe UI Emoji"/>
                <w:noProof/>
                <w:lang w:eastAsia="en-AU"/>
              </w:rPr>
              <w:t>📌</w:t>
            </w:r>
            <w:r w:rsidRPr="00092D54">
              <w:rPr>
                <w:rStyle w:val="Hyperlink"/>
                <w:noProof/>
              </w:rPr>
              <w:t xml:space="preserve"> Actions for Relevant Entities</w:t>
            </w:r>
            <w:r>
              <w:rPr>
                <w:noProof/>
                <w:webHidden/>
              </w:rPr>
              <w:tab/>
            </w:r>
            <w:r>
              <w:rPr>
                <w:noProof/>
                <w:webHidden/>
              </w:rPr>
              <w:fldChar w:fldCharType="begin"/>
            </w:r>
            <w:r>
              <w:rPr>
                <w:noProof/>
                <w:webHidden/>
              </w:rPr>
              <w:instrText xml:space="preserve"> PAGEREF _Toc209787066 \h </w:instrText>
            </w:r>
            <w:r>
              <w:rPr>
                <w:noProof/>
                <w:webHidden/>
              </w:rPr>
            </w:r>
            <w:r>
              <w:rPr>
                <w:noProof/>
                <w:webHidden/>
              </w:rPr>
              <w:fldChar w:fldCharType="separate"/>
            </w:r>
            <w:r w:rsidR="00B53A95">
              <w:rPr>
                <w:noProof/>
                <w:webHidden/>
              </w:rPr>
              <w:t>18</w:t>
            </w:r>
            <w:r>
              <w:rPr>
                <w:noProof/>
                <w:webHidden/>
              </w:rPr>
              <w:fldChar w:fldCharType="end"/>
            </w:r>
          </w:hyperlink>
        </w:p>
        <w:p w14:paraId="48E21A3E" w14:textId="273DCC1B"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67" w:history="1">
            <w:r w:rsidRPr="00092D54">
              <w:rPr>
                <w:rStyle w:val="Hyperlink"/>
                <w:noProof/>
              </w:rPr>
              <w:t>Frequently Asked Questions</w:t>
            </w:r>
            <w:r>
              <w:rPr>
                <w:noProof/>
                <w:webHidden/>
              </w:rPr>
              <w:tab/>
            </w:r>
            <w:r>
              <w:rPr>
                <w:noProof/>
                <w:webHidden/>
              </w:rPr>
              <w:fldChar w:fldCharType="begin"/>
            </w:r>
            <w:r>
              <w:rPr>
                <w:noProof/>
                <w:webHidden/>
              </w:rPr>
              <w:instrText xml:space="preserve"> PAGEREF _Toc209787067 \h </w:instrText>
            </w:r>
            <w:r>
              <w:rPr>
                <w:noProof/>
                <w:webHidden/>
              </w:rPr>
            </w:r>
            <w:r>
              <w:rPr>
                <w:noProof/>
                <w:webHidden/>
              </w:rPr>
              <w:fldChar w:fldCharType="separate"/>
            </w:r>
            <w:r w:rsidR="00B53A95">
              <w:rPr>
                <w:noProof/>
                <w:webHidden/>
              </w:rPr>
              <w:t>19</w:t>
            </w:r>
            <w:r>
              <w:rPr>
                <w:noProof/>
                <w:webHidden/>
              </w:rPr>
              <w:fldChar w:fldCharType="end"/>
            </w:r>
          </w:hyperlink>
        </w:p>
        <w:p w14:paraId="460E584A" w14:textId="1104218C"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69" w:history="1">
            <w:r w:rsidRPr="00092D54">
              <w:rPr>
                <w:rStyle w:val="Hyperlink"/>
                <w:noProof/>
              </w:rPr>
              <w:t>Do PCP thresholds apply to projects as a whole or individual procurements?</w:t>
            </w:r>
            <w:r>
              <w:rPr>
                <w:noProof/>
                <w:webHidden/>
              </w:rPr>
              <w:tab/>
            </w:r>
            <w:r>
              <w:rPr>
                <w:noProof/>
                <w:webHidden/>
              </w:rPr>
              <w:fldChar w:fldCharType="begin"/>
            </w:r>
            <w:r>
              <w:rPr>
                <w:noProof/>
                <w:webHidden/>
              </w:rPr>
              <w:instrText xml:space="preserve"> PAGEREF _Toc209787069 \h </w:instrText>
            </w:r>
            <w:r>
              <w:rPr>
                <w:noProof/>
                <w:webHidden/>
              </w:rPr>
            </w:r>
            <w:r>
              <w:rPr>
                <w:noProof/>
                <w:webHidden/>
              </w:rPr>
              <w:fldChar w:fldCharType="separate"/>
            </w:r>
            <w:r w:rsidR="00B53A95">
              <w:rPr>
                <w:noProof/>
                <w:webHidden/>
              </w:rPr>
              <w:t>19</w:t>
            </w:r>
            <w:r>
              <w:rPr>
                <w:noProof/>
                <w:webHidden/>
              </w:rPr>
              <w:fldChar w:fldCharType="end"/>
            </w:r>
          </w:hyperlink>
        </w:p>
        <w:p w14:paraId="2F5DD9E3" w14:textId="7DB6748F"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0" w:history="1">
            <w:r w:rsidRPr="00092D54">
              <w:rPr>
                <w:rStyle w:val="Hyperlink"/>
                <w:noProof/>
              </w:rPr>
              <w:t>Does the PCP apply to Sub-contractors?</w:t>
            </w:r>
            <w:r>
              <w:rPr>
                <w:noProof/>
                <w:webHidden/>
              </w:rPr>
              <w:tab/>
            </w:r>
            <w:r>
              <w:rPr>
                <w:noProof/>
                <w:webHidden/>
              </w:rPr>
              <w:fldChar w:fldCharType="begin"/>
            </w:r>
            <w:r>
              <w:rPr>
                <w:noProof/>
                <w:webHidden/>
              </w:rPr>
              <w:instrText xml:space="preserve"> PAGEREF _Toc209787070 \h </w:instrText>
            </w:r>
            <w:r>
              <w:rPr>
                <w:noProof/>
                <w:webHidden/>
              </w:rPr>
            </w:r>
            <w:r>
              <w:rPr>
                <w:noProof/>
                <w:webHidden/>
              </w:rPr>
              <w:fldChar w:fldCharType="separate"/>
            </w:r>
            <w:r w:rsidR="00B53A95">
              <w:rPr>
                <w:noProof/>
                <w:webHidden/>
              </w:rPr>
              <w:t>19</w:t>
            </w:r>
            <w:r>
              <w:rPr>
                <w:noProof/>
                <w:webHidden/>
              </w:rPr>
              <w:fldChar w:fldCharType="end"/>
            </w:r>
          </w:hyperlink>
        </w:p>
        <w:p w14:paraId="3E7CAC7C" w14:textId="04133345"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1" w:history="1">
            <w:r w:rsidRPr="00092D54">
              <w:rPr>
                <w:rStyle w:val="Hyperlink"/>
                <w:noProof/>
              </w:rPr>
              <w:t>How do I calculate the estimated individual value of a procurement to determine whether my procurement is subject to the PCP?</w:t>
            </w:r>
            <w:r>
              <w:rPr>
                <w:noProof/>
                <w:webHidden/>
              </w:rPr>
              <w:tab/>
            </w:r>
            <w:r>
              <w:rPr>
                <w:noProof/>
                <w:webHidden/>
              </w:rPr>
              <w:fldChar w:fldCharType="begin"/>
            </w:r>
            <w:r>
              <w:rPr>
                <w:noProof/>
                <w:webHidden/>
              </w:rPr>
              <w:instrText xml:space="preserve"> PAGEREF _Toc209787071 \h </w:instrText>
            </w:r>
            <w:r>
              <w:rPr>
                <w:noProof/>
                <w:webHidden/>
              </w:rPr>
            </w:r>
            <w:r>
              <w:rPr>
                <w:noProof/>
                <w:webHidden/>
              </w:rPr>
              <w:fldChar w:fldCharType="separate"/>
            </w:r>
            <w:r w:rsidR="00B53A95">
              <w:rPr>
                <w:noProof/>
                <w:webHidden/>
              </w:rPr>
              <w:t>19</w:t>
            </w:r>
            <w:r>
              <w:rPr>
                <w:noProof/>
                <w:webHidden/>
              </w:rPr>
              <w:fldChar w:fldCharType="end"/>
            </w:r>
          </w:hyperlink>
        </w:p>
        <w:p w14:paraId="4FF1F4C7" w14:textId="4B3D6D17"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2" w:history="1">
            <w:r w:rsidRPr="00092D54">
              <w:rPr>
                <w:rStyle w:val="Hyperlink"/>
                <w:noProof/>
              </w:rPr>
              <w:t>Does the PCP apply to a procurement where the estimated individual value is less than $10 million but the successful Submission is over $10 million?</w:t>
            </w:r>
            <w:r>
              <w:rPr>
                <w:noProof/>
                <w:webHidden/>
              </w:rPr>
              <w:tab/>
            </w:r>
            <w:r>
              <w:rPr>
                <w:noProof/>
                <w:webHidden/>
              </w:rPr>
              <w:fldChar w:fldCharType="begin"/>
            </w:r>
            <w:r>
              <w:rPr>
                <w:noProof/>
                <w:webHidden/>
              </w:rPr>
              <w:instrText xml:space="preserve"> PAGEREF _Toc209787072 \h </w:instrText>
            </w:r>
            <w:r>
              <w:rPr>
                <w:noProof/>
                <w:webHidden/>
              </w:rPr>
            </w:r>
            <w:r>
              <w:rPr>
                <w:noProof/>
                <w:webHidden/>
              </w:rPr>
              <w:fldChar w:fldCharType="separate"/>
            </w:r>
            <w:r w:rsidR="00B53A95">
              <w:rPr>
                <w:noProof/>
                <w:webHidden/>
              </w:rPr>
              <w:t>19</w:t>
            </w:r>
            <w:r>
              <w:rPr>
                <w:noProof/>
                <w:webHidden/>
              </w:rPr>
              <w:fldChar w:fldCharType="end"/>
            </w:r>
          </w:hyperlink>
        </w:p>
        <w:p w14:paraId="10484712" w14:textId="1AA544B8"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3" w:history="1">
            <w:r w:rsidRPr="00092D54">
              <w:rPr>
                <w:rStyle w:val="Hyperlink"/>
                <w:noProof/>
              </w:rPr>
              <w:t>Does the PCP apply to a procurement where the estimated individual value is over $10 million but the successful Submission is less than $10 million?</w:t>
            </w:r>
            <w:r>
              <w:rPr>
                <w:noProof/>
                <w:webHidden/>
              </w:rPr>
              <w:tab/>
            </w:r>
            <w:r>
              <w:rPr>
                <w:noProof/>
                <w:webHidden/>
              </w:rPr>
              <w:fldChar w:fldCharType="begin"/>
            </w:r>
            <w:r>
              <w:rPr>
                <w:noProof/>
                <w:webHidden/>
              </w:rPr>
              <w:instrText xml:space="preserve"> PAGEREF _Toc209787073 \h </w:instrText>
            </w:r>
            <w:r>
              <w:rPr>
                <w:noProof/>
                <w:webHidden/>
              </w:rPr>
            </w:r>
            <w:r>
              <w:rPr>
                <w:noProof/>
                <w:webHidden/>
              </w:rPr>
              <w:fldChar w:fldCharType="separate"/>
            </w:r>
            <w:r w:rsidR="00B53A95">
              <w:rPr>
                <w:noProof/>
                <w:webHidden/>
              </w:rPr>
              <w:t>19</w:t>
            </w:r>
            <w:r>
              <w:rPr>
                <w:noProof/>
                <w:webHidden/>
              </w:rPr>
              <w:fldChar w:fldCharType="end"/>
            </w:r>
          </w:hyperlink>
        </w:p>
        <w:p w14:paraId="55DA84CC" w14:textId="1F4B5F7F"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5" w:history="1">
            <w:r w:rsidRPr="00092D54">
              <w:rPr>
                <w:rStyle w:val="Hyperlink"/>
                <w:noProof/>
              </w:rPr>
              <w:t>What is an Apprentice?</w:t>
            </w:r>
            <w:r>
              <w:rPr>
                <w:noProof/>
                <w:webHidden/>
              </w:rPr>
              <w:tab/>
            </w:r>
            <w:r>
              <w:rPr>
                <w:noProof/>
                <w:webHidden/>
              </w:rPr>
              <w:fldChar w:fldCharType="begin"/>
            </w:r>
            <w:r>
              <w:rPr>
                <w:noProof/>
                <w:webHidden/>
              </w:rPr>
              <w:instrText xml:space="preserve"> PAGEREF _Toc209787075 \h </w:instrText>
            </w:r>
            <w:r>
              <w:rPr>
                <w:noProof/>
                <w:webHidden/>
              </w:rPr>
            </w:r>
            <w:r>
              <w:rPr>
                <w:noProof/>
                <w:webHidden/>
              </w:rPr>
              <w:fldChar w:fldCharType="separate"/>
            </w:r>
            <w:r w:rsidR="00B53A95">
              <w:rPr>
                <w:noProof/>
                <w:webHidden/>
              </w:rPr>
              <w:t>20</w:t>
            </w:r>
            <w:r>
              <w:rPr>
                <w:noProof/>
                <w:webHidden/>
              </w:rPr>
              <w:fldChar w:fldCharType="end"/>
            </w:r>
          </w:hyperlink>
        </w:p>
        <w:p w14:paraId="3B2573BB" w14:textId="45F7051A"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6" w:history="1">
            <w:r w:rsidRPr="00092D54">
              <w:rPr>
                <w:rStyle w:val="Hyperlink"/>
                <w:noProof/>
              </w:rPr>
              <w:t>What is a Learning Worker?</w:t>
            </w:r>
            <w:r>
              <w:rPr>
                <w:noProof/>
                <w:webHidden/>
              </w:rPr>
              <w:tab/>
            </w:r>
            <w:r>
              <w:rPr>
                <w:noProof/>
                <w:webHidden/>
              </w:rPr>
              <w:fldChar w:fldCharType="begin"/>
            </w:r>
            <w:r>
              <w:rPr>
                <w:noProof/>
                <w:webHidden/>
              </w:rPr>
              <w:instrText xml:space="preserve"> PAGEREF _Toc209787076 \h </w:instrText>
            </w:r>
            <w:r>
              <w:rPr>
                <w:noProof/>
                <w:webHidden/>
              </w:rPr>
            </w:r>
            <w:r>
              <w:rPr>
                <w:noProof/>
                <w:webHidden/>
              </w:rPr>
              <w:fldChar w:fldCharType="separate"/>
            </w:r>
            <w:r w:rsidR="00B53A95">
              <w:rPr>
                <w:noProof/>
                <w:webHidden/>
              </w:rPr>
              <w:t>20</w:t>
            </w:r>
            <w:r>
              <w:rPr>
                <w:noProof/>
                <w:webHidden/>
              </w:rPr>
              <w:fldChar w:fldCharType="end"/>
            </w:r>
          </w:hyperlink>
        </w:p>
        <w:p w14:paraId="6BED7CCD" w14:textId="738D24D0"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8" w:history="1">
            <w:r w:rsidRPr="00092D54">
              <w:rPr>
                <w:rStyle w:val="Hyperlink"/>
                <w:noProof/>
              </w:rPr>
              <w:t>How are Apprentice or Learning Worker Off-Site Labour Hours treated to calculate meeting the targets under the PCP?</w:t>
            </w:r>
            <w:r>
              <w:rPr>
                <w:noProof/>
                <w:webHidden/>
              </w:rPr>
              <w:tab/>
            </w:r>
            <w:r>
              <w:rPr>
                <w:noProof/>
                <w:webHidden/>
              </w:rPr>
              <w:fldChar w:fldCharType="begin"/>
            </w:r>
            <w:r>
              <w:rPr>
                <w:noProof/>
                <w:webHidden/>
              </w:rPr>
              <w:instrText xml:space="preserve"> PAGEREF _Toc209787078 \h </w:instrText>
            </w:r>
            <w:r>
              <w:rPr>
                <w:noProof/>
                <w:webHidden/>
              </w:rPr>
            </w:r>
            <w:r>
              <w:rPr>
                <w:noProof/>
                <w:webHidden/>
              </w:rPr>
              <w:fldChar w:fldCharType="separate"/>
            </w:r>
            <w:r w:rsidR="00B53A95">
              <w:rPr>
                <w:noProof/>
                <w:webHidden/>
              </w:rPr>
              <w:t>20</w:t>
            </w:r>
            <w:r>
              <w:rPr>
                <w:noProof/>
                <w:webHidden/>
              </w:rPr>
              <w:fldChar w:fldCharType="end"/>
            </w:r>
          </w:hyperlink>
        </w:p>
        <w:p w14:paraId="10D9A8E1" w14:textId="4EDDF7E7"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79" w:history="1">
            <w:r w:rsidRPr="00092D54">
              <w:rPr>
                <w:rStyle w:val="Hyperlink"/>
                <w:noProof/>
              </w:rPr>
              <w:t>How are part-time hours treated under the PCP?</w:t>
            </w:r>
            <w:r>
              <w:rPr>
                <w:noProof/>
                <w:webHidden/>
              </w:rPr>
              <w:tab/>
            </w:r>
            <w:r>
              <w:rPr>
                <w:noProof/>
                <w:webHidden/>
              </w:rPr>
              <w:fldChar w:fldCharType="begin"/>
            </w:r>
            <w:r>
              <w:rPr>
                <w:noProof/>
                <w:webHidden/>
              </w:rPr>
              <w:instrText xml:space="preserve"> PAGEREF _Toc209787079 \h </w:instrText>
            </w:r>
            <w:r>
              <w:rPr>
                <w:noProof/>
                <w:webHidden/>
              </w:rPr>
            </w:r>
            <w:r>
              <w:rPr>
                <w:noProof/>
                <w:webHidden/>
              </w:rPr>
              <w:fldChar w:fldCharType="separate"/>
            </w:r>
            <w:r w:rsidR="00B53A95">
              <w:rPr>
                <w:noProof/>
                <w:webHidden/>
              </w:rPr>
              <w:t>21</w:t>
            </w:r>
            <w:r>
              <w:rPr>
                <w:noProof/>
                <w:webHidden/>
              </w:rPr>
              <w:fldChar w:fldCharType="end"/>
            </w:r>
          </w:hyperlink>
        </w:p>
        <w:p w14:paraId="09308281" w14:textId="1BE4EBF4"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80" w:history="1">
            <w:r w:rsidRPr="00092D54">
              <w:rPr>
                <w:rStyle w:val="Hyperlink"/>
                <w:noProof/>
              </w:rPr>
              <w:t>Can more than one Apprentice or Learning Worker contribute to the Labour Hour targets?</w:t>
            </w:r>
            <w:r>
              <w:rPr>
                <w:noProof/>
                <w:webHidden/>
              </w:rPr>
              <w:tab/>
            </w:r>
            <w:r>
              <w:rPr>
                <w:noProof/>
                <w:webHidden/>
              </w:rPr>
              <w:fldChar w:fldCharType="begin"/>
            </w:r>
            <w:r>
              <w:rPr>
                <w:noProof/>
                <w:webHidden/>
              </w:rPr>
              <w:instrText xml:space="preserve"> PAGEREF _Toc209787080 \h </w:instrText>
            </w:r>
            <w:r>
              <w:rPr>
                <w:noProof/>
                <w:webHidden/>
              </w:rPr>
            </w:r>
            <w:r>
              <w:rPr>
                <w:noProof/>
                <w:webHidden/>
              </w:rPr>
              <w:fldChar w:fldCharType="separate"/>
            </w:r>
            <w:r w:rsidR="00B53A95">
              <w:rPr>
                <w:noProof/>
                <w:webHidden/>
              </w:rPr>
              <w:t>21</w:t>
            </w:r>
            <w:r>
              <w:rPr>
                <w:noProof/>
                <w:webHidden/>
              </w:rPr>
              <w:fldChar w:fldCharType="end"/>
            </w:r>
          </w:hyperlink>
        </w:p>
        <w:p w14:paraId="3B13FFC1" w14:textId="0A391CD7"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82" w:history="1">
            <w:r w:rsidRPr="00092D54">
              <w:rPr>
                <w:rStyle w:val="Hyperlink"/>
                <w:noProof/>
              </w:rPr>
              <w:t>How will Suppliers report on PCP targets?</w:t>
            </w:r>
            <w:r>
              <w:rPr>
                <w:noProof/>
                <w:webHidden/>
              </w:rPr>
              <w:tab/>
            </w:r>
            <w:r>
              <w:rPr>
                <w:noProof/>
                <w:webHidden/>
              </w:rPr>
              <w:fldChar w:fldCharType="begin"/>
            </w:r>
            <w:r>
              <w:rPr>
                <w:noProof/>
                <w:webHidden/>
              </w:rPr>
              <w:instrText xml:space="preserve"> PAGEREF _Toc209787082 \h </w:instrText>
            </w:r>
            <w:r>
              <w:rPr>
                <w:noProof/>
                <w:webHidden/>
              </w:rPr>
            </w:r>
            <w:r>
              <w:rPr>
                <w:noProof/>
                <w:webHidden/>
              </w:rPr>
              <w:fldChar w:fldCharType="separate"/>
            </w:r>
            <w:r w:rsidR="00B53A95">
              <w:rPr>
                <w:noProof/>
                <w:webHidden/>
              </w:rPr>
              <w:t>21</w:t>
            </w:r>
            <w:r>
              <w:rPr>
                <w:noProof/>
                <w:webHidden/>
              </w:rPr>
              <w:fldChar w:fldCharType="end"/>
            </w:r>
          </w:hyperlink>
        </w:p>
        <w:p w14:paraId="09475D0B" w14:textId="3A43DC04"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83" w:history="1">
            <w:r w:rsidRPr="00092D54">
              <w:rPr>
                <w:rStyle w:val="Hyperlink"/>
                <w:noProof/>
              </w:rPr>
              <w:t>Will a Suppliers performance be publicly available?</w:t>
            </w:r>
            <w:r>
              <w:rPr>
                <w:noProof/>
                <w:webHidden/>
              </w:rPr>
              <w:tab/>
            </w:r>
            <w:r>
              <w:rPr>
                <w:noProof/>
                <w:webHidden/>
              </w:rPr>
              <w:fldChar w:fldCharType="begin"/>
            </w:r>
            <w:r>
              <w:rPr>
                <w:noProof/>
                <w:webHidden/>
              </w:rPr>
              <w:instrText xml:space="preserve"> PAGEREF _Toc209787083 \h </w:instrText>
            </w:r>
            <w:r>
              <w:rPr>
                <w:noProof/>
                <w:webHidden/>
              </w:rPr>
            </w:r>
            <w:r>
              <w:rPr>
                <w:noProof/>
                <w:webHidden/>
              </w:rPr>
              <w:fldChar w:fldCharType="separate"/>
            </w:r>
            <w:r w:rsidR="00B53A95">
              <w:rPr>
                <w:noProof/>
                <w:webHidden/>
              </w:rPr>
              <w:t>21</w:t>
            </w:r>
            <w:r>
              <w:rPr>
                <w:noProof/>
                <w:webHidden/>
              </w:rPr>
              <w:fldChar w:fldCharType="end"/>
            </w:r>
          </w:hyperlink>
        </w:p>
        <w:p w14:paraId="11C91EE1" w14:textId="6AD4B103"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84" w:history="1">
            <w:r w:rsidRPr="00092D54">
              <w:rPr>
                <w:rStyle w:val="Hyperlink"/>
                <w:noProof/>
              </w:rPr>
              <w:t>How will compliance be monitored under the PCP?</w:t>
            </w:r>
            <w:r>
              <w:rPr>
                <w:noProof/>
                <w:webHidden/>
              </w:rPr>
              <w:tab/>
            </w:r>
            <w:r>
              <w:rPr>
                <w:noProof/>
                <w:webHidden/>
              </w:rPr>
              <w:fldChar w:fldCharType="begin"/>
            </w:r>
            <w:r>
              <w:rPr>
                <w:noProof/>
                <w:webHidden/>
              </w:rPr>
              <w:instrText xml:space="preserve"> PAGEREF _Toc209787084 \h </w:instrText>
            </w:r>
            <w:r>
              <w:rPr>
                <w:noProof/>
                <w:webHidden/>
              </w:rPr>
            </w:r>
            <w:r>
              <w:rPr>
                <w:noProof/>
                <w:webHidden/>
              </w:rPr>
              <w:fldChar w:fldCharType="separate"/>
            </w:r>
            <w:r w:rsidR="00B53A95">
              <w:rPr>
                <w:noProof/>
                <w:webHidden/>
              </w:rPr>
              <w:t>21</w:t>
            </w:r>
            <w:r>
              <w:rPr>
                <w:noProof/>
                <w:webHidden/>
              </w:rPr>
              <w:fldChar w:fldCharType="end"/>
            </w:r>
          </w:hyperlink>
        </w:p>
        <w:p w14:paraId="6BB253D6" w14:textId="6054E17C"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85" w:history="1">
            <w:r w:rsidRPr="00092D54">
              <w:rPr>
                <w:rStyle w:val="Hyperlink"/>
                <w:noProof/>
              </w:rPr>
              <w:t>Are there financial penalties for non-compliance with PCP targets?</w:t>
            </w:r>
            <w:r>
              <w:rPr>
                <w:noProof/>
                <w:webHidden/>
              </w:rPr>
              <w:tab/>
            </w:r>
            <w:r>
              <w:rPr>
                <w:noProof/>
                <w:webHidden/>
              </w:rPr>
              <w:fldChar w:fldCharType="begin"/>
            </w:r>
            <w:r>
              <w:rPr>
                <w:noProof/>
                <w:webHidden/>
              </w:rPr>
              <w:instrText xml:space="preserve"> PAGEREF _Toc209787085 \h </w:instrText>
            </w:r>
            <w:r>
              <w:rPr>
                <w:noProof/>
                <w:webHidden/>
              </w:rPr>
            </w:r>
            <w:r>
              <w:rPr>
                <w:noProof/>
                <w:webHidden/>
              </w:rPr>
              <w:fldChar w:fldCharType="separate"/>
            </w:r>
            <w:r w:rsidR="00B53A95">
              <w:rPr>
                <w:noProof/>
                <w:webHidden/>
              </w:rPr>
              <w:t>21</w:t>
            </w:r>
            <w:r>
              <w:rPr>
                <w:noProof/>
                <w:webHidden/>
              </w:rPr>
              <w:fldChar w:fldCharType="end"/>
            </w:r>
          </w:hyperlink>
        </w:p>
        <w:p w14:paraId="33471821" w14:textId="4BA3F5A7" w:rsidR="002E4EA6" w:rsidRDefault="002E4EA6">
          <w:pPr>
            <w:pStyle w:val="TOC3"/>
            <w:tabs>
              <w:tab w:val="right" w:leader="dot" w:pos="9060"/>
            </w:tabs>
            <w:rPr>
              <w:rFonts w:eastAsiaTheme="minorEastAsia"/>
              <w:noProof/>
              <w:kern w:val="2"/>
              <w:sz w:val="24"/>
              <w:szCs w:val="24"/>
              <w:lang w:eastAsia="en-AU"/>
              <w14:ligatures w14:val="standardContextual"/>
            </w:rPr>
          </w:pPr>
          <w:hyperlink w:anchor="_Toc209787086" w:history="1">
            <w:r w:rsidRPr="00092D54">
              <w:rPr>
                <w:rStyle w:val="Hyperlink"/>
                <w:noProof/>
              </w:rPr>
              <w:t>Will mitigating factors be considered when assessing a Supplier's compliance with the Skills Guarantee?</w:t>
            </w:r>
            <w:r>
              <w:rPr>
                <w:noProof/>
                <w:webHidden/>
              </w:rPr>
              <w:tab/>
            </w:r>
            <w:r>
              <w:rPr>
                <w:noProof/>
                <w:webHidden/>
              </w:rPr>
              <w:fldChar w:fldCharType="begin"/>
            </w:r>
            <w:r>
              <w:rPr>
                <w:noProof/>
                <w:webHidden/>
              </w:rPr>
              <w:instrText xml:space="preserve"> PAGEREF _Toc209787086 \h </w:instrText>
            </w:r>
            <w:r>
              <w:rPr>
                <w:noProof/>
                <w:webHidden/>
              </w:rPr>
            </w:r>
            <w:r>
              <w:rPr>
                <w:noProof/>
                <w:webHidden/>
              </w:rPr>
              <w:fldChar w:fldCharType="separate"/>
            </w:r>
            <w:r w:rsidR="00B53A95">
              <w:rPr>
                <w:noProof/>
                <w:webHidden/>
              </w:rPr>
              <w:t>21</w:t>
            </w:r>
            <w:r>
              <w:rPr>
                <w:noProof/>
                <w:webHidden/>
              </w:rPr>
              <w:fldChar w:fldCharType="end"/>
            </w:r>
          </w:hyperlink>
        </w:p>
        <w:p w14:paraId="4975664E" w14:textId="54262E39" w:rsidR="002E4EA6" w:rsidRDefault="002E4EA6">
          <w:pPr>
            <w:pStyle w:val="TOC1"/>
            <w:tabs>
              <w:tab w:val="right" w:leader="dot" w:pos="9060"/>
            </w:tabs>
            <w:rPr>
              <w:rFonts w:eastAsiaTheme="minorEastAsia"/>
              <w:b w:val="0"/>
              <w:noProof/>
              <w:kern w:val="2"/>
              <w:sz w:val="24"/>
              <w:szCs w:val="24"/>
              <w:lang w:eastAsia="en-AU"/>
              <w14:ligatures w14:val="standardContextual"/>
            </w:rPr>
          </w:pPr>
          <w:hyperlink w:anchor="_Toc209787087" w:history="1">
            <w:r w:rsidRPr="00092D54">
              <w:rPr>
                <w:rStyle w:val="Hyperlink"/>
                <w:noProof/>
              </w:rPr>
              <w:t>Further resources</w:t>
            </w:r>
            <w:r>
              <w:rPr>
                <w:noProof/>
                <w:webHidden/>
              </w:rPr>
              <w:tab/>
            </w:r>
            <w:r>
              <w:rPr>
                <w:noProof/>
                <w:webHidden/>
              </w:rPr>
              <w:fldChar w:fldCharType="begin"/>
            </w:r>
            <w:r>
              <w:rPr>
                <w:noProof/>
                <w:webHidden/>
              </w:rPr>
              <w:instrText xml:space="preserve"> PAGEREF _Toc209787087 \h </w:instrText>
            </w:r>
            <w:r>
              <w:rPr>
                <w:noProof/>
                <w:webHidden/>
              </w:rPr>
            </w:r>
            <w:r>
              <w:rPr>
                <w:noProof/>
                <w:webHidden/>
              </w:rPr>
              <w:fldChar w:fldCharType="separate"/>
            </w:r>
            <w:r w:rsidR="00B53A95">
              <w:rPr>
                <w:noProof/>
                <w:webHidden/>
              </w:rPr>
              <w:t>22</w:t>
            </w:r>
            <w:r>
              <w:rPr>
                <w:noProof/>
                <w:webHidden/>
              </w:rPr>
              <w:fldChar w:fldCharType="end"/>
            </w:r>
          </w:hyperlink>
        </w:p>
        <w:p w14:paraId="4CFDF682" w14:textId="1415BCA7" w:rsidR="005632F7" w:rsidRPr="005632F7" w:rsidRDefault="3BCD4151" w:rsidP="005632F7">
          <w:pPr>
            <w:pStyle w:val="TOC1"/>
            <w:tabs>
              <w:tab w:val="right" w:leader="dot" w:pos="9060"/>
            </w:tabs>
            <w:rPr>
              <w:color w:val="404246"/>
              <w:u w:val="single"/>
            </w:rPr>
          </w:pPr>
          <w:r>
            <w:fldChar w:fldCharType="end"/>
          </w:r>
        </w:p>
      </w:sdtContent>
    </w:sdt>
    <w:bookmarkStart w:id="0" w:name="_Toc209787034" w:displacedByCustomXml="prev"/>
    <w:p w14:paraId="3AFC9CA3" w14:textId="77777777" w:rsidR="005632F7" w:rsidRDefault="005632F7">
      <w:pPr>
        <w:spacing w:after="160" w:line="259" w:lineRule="auto"/>
        <w:rPr>
          <w:rFonts w:ascii="Calibri" w:eastAsiaTheme="majorEastAsia" w:hAnsi="Calibri" w:cstheme="majorBidi"/>
          <w:b/>
          <w:color w:val="404246"/>
          <w:sz w:val="32"/>
          <w:szCs w:val="32"/>
        </w:rPr>
      </w:pPr>
      <w:r>
        <w:br w:type="page"/>
      </w:r>
    </w:p>
    <w:p w14:paraId="7A4AD5D4" w14:textId="491A810C" w:rsidR="005632F7" w:rsidRPr="005632F7" w:rsidRDefault="005462A3" w:rsidP="005632F7">
      <w:pPr>
        <w:pStyle w:val="Heading1"/>
      </w:pPr>
      <w:r w:rsidRPr="009B111E">
        <w:lastRenderedPageBreak/>
        <w:t>Actions for Relevant Entities Summary</w:t>
      </w:r>
      <w:bookmarkEnd w:id="0"/>
    </w:p>
    <w:p w14:paraId="7483C889" w14:textId="20F3173B" w:rsidR="005462A3" w:rsidRPr="005462A3" w:rsidRDefault="00E61A51" w:rsidP="00894A27">
      <w:pPr>
        <w:ind w:left="-426"/>
      </w:pPr>
      <w:r>
        <w:rPr>
          <w:noProof/>
        </w:rPr>
        <w:drawing>
          <wp:inline distT="0" distB="0" distL="0" distR="0" wp14:anchorId="54303AEB" wp14:editId="77B6FCED">
            <wp:extent cx="6350165" cy="6781800"/>
            <wp:effectExtent l="0" t="0" r="0" b="0"/>
            <wp:docPr id="138468035" name="Picture 1" descr="Summary of Relevant Entities actions for PC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8035" name="Picture 1" descr="Summary of Relevant Entities actions for PCP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2727" cy="6795216"/>
                    </a:xfrm>
                    <a:prstGeom prst="rect">
                      <a:avLst/>
                    </a:prstGeom>
                    <a:noFill/>
                  </pic:spPr>
                </pic:pic>
              </a:graphicData>
            </a:graphic>
          </wp:inline>
        </w:drawing>
      </w:r>
    </w:p>
    <w:p w14:paraId="29E3947B" w14:textId="7E2FF931" w:rsidR="00380981" w:rsidRDefault="00380981" w:rsidP="2DA203D0">
      <w:pPr>
        <w:rPr>
          <w:rFonts w:ascii="Calibri" w:eastAsia="Calibri" w:hAnsi="Calibri" w:cs="Arial"/>
        </w:rPr>
      </w:pPr>
    </w:p>
    <w:p w14:paraId="340CE007" w14:textId="473939F5" w:rsidR="00084C37" w:rsidRPr="00084C37" w:rsidRDefault="00084C37" w:rsidP="00084C37"/>
    <w:p w14:paraId="17FC7D7D" w14:textId="77777777" w:rsidR="00380981" w:rsidRDefault="00380981" w:rsidP="00380981">
      <w:pPr>
        <w:pStyle w:val="ListNumber"/>
        <w:numPr>
          <w:ilvl w:val="0"/>
          <w:numId w:val="0"/>
        </w:numPr>
        <w:ind w:left="357" w:hanging="357"/>
      </w:pPr>
    </w:p>
    <w:p w14:paraId="52075144" w14:textId="77777777" w:rsidR="00380981" w:rsidRDefault="00380981" w:rsidP="006C740A">
      <w:pPr>
        <w:pStyle w:val="ListNumber"/>
        <w:numPr>
          <w:ilvl w:val="0"/>
          <w:numId w:val="0"/>
        </w:numPr>
      </w:pPr>
    </w:p>
    <w:p w14:paraId="5389DC84" w14:textId="77777777" w:rsidR="005632F7" w:rsidRDefault="005632F7">
      <w:pPr>
        <w:spacing w:after="160" w:line="259" w:lineRule="auto"/>
        <w:rPr>
          <w:rFonts w:ascii="Calibri" w:eastAsiaTheme="majorEastAsia" w:hAnsi="Calibri" w:cstheme="majorBidi"/>
          <w:b/>
          <w:color w:val="404246"/>
          <w:sz w:val="32"/>
          <w:szCs w:val="32"/>
        </w:rPr>
      </w:pPr>
      <w:bookmarkStart w:id="1" w:name="_Toc209787035"/>
      <w:r>
        <w:br w:type="page"/>
      </w:r>
    </w:p>
    <w:p w14:paraId="03EF7556" w14:textId="18D58CDE" w:rsidR="003B4299" w:rsidRDefault="00721579" w:rsidP="008073B4">
      <w:pPr>
        <w:pStyle w:val="Heading1"/>
      </w:pPr>
      <w:r>
        <w:lastRenderedPageBreak/>
        <w:t>Introduction</w:t>
      </w:r>
      <w:bookmarkEnd w:id="1"/>
      <w:r>
        <w:t xml:space="preserve"> </w:t>
      </w:r>
    </w:p>
    <w:p w14:paraId="23ABD31C" w14:textId="04DE74FC" w:rsidR="00DF56C9" w:rsidRDefault="00DF56C9" w:rsidP="00EA759C">
      <w:pPr>
        <w:pStyle w:val="ListNumber"/>
        <w:numPr>
          <w:ilvl w:val="0"/>
          <w:numId w:val="0"/>
        </w:numPr>
        <w:spacing w:after="0" w:line="276" w:lineRule="auto"/>
        <w:rPr>
          <w:b/>
          <w:bCs/>
        </w:rPr>
      </w:pPr>
      <w:r w:rsidRPr="00DF56C9">
        <w:t xml:space="preserve">The </w:t>
      </w:r>
      <w:r w:rsidRPr="00DF56C9">
        <w:rPr>
          <w:rStyle w:val="Strong"/>
          <w:b w:val="0"/>
          <w:bCs w:val="0"/>
        </w:rPr>
        <w:t>Australian Skills Guarantee (Skills Guarantee)</w:t>
      </w:r>
      <w:r w:rsidRPr="00DF56C9">
        <w:t xml:space="preserve"> </w:t>
      </w:r>
      <w:r w:rsidR="003341E6">
        <w:t>sets</w:t>
      </w:r>
      <w:r w:rsidRPr="00DF56C9">
        <w:t xml:space="preserve"> national targets for the participation of </w:t>
      </w:r>
      <w:r w:rsidRPr="00DF56C9">
        <w:rPr>
          <w:rStyle w:val="Strong"/>
          <w:b w:val="0"/>
          <w:bCs w:val="0"/>
        </w:rPr>
        <w:t>Apprentices</w:t>
      </w:r>
      <w:r w:rsidR="003572CD">
        <w:rPr>
          <w:rStyle w:val="Strong"/>
          <w:b w:val="0"/>
          <w:bCs w:val="0"/>
        </w:rPr>
        <w:t xml:space="preserve">, Learning Workers </w:t>
      </w:r>
      <w:r w:rsidRPr="00DF56C9">
        <w:rPr>
          <w:rStyle w:val="Strong"/>
          <w:b w:val="0"/>
          <w:bCs w:val="0"/>
        </w:rPr>
        <w:t>and Women</w:t>
      </w:r>
      <w:r w:rsidRPr="00DF56C9">
        <w:t xml:space="preserve"> on eligible Australian Government-funded major projects. These targets apply to </w:t>
      </w:r>
      <w:r w:rsidRPr="00DF56C9">
        <w:rPr>
          <w:rStyle w:val="Strong"/>
          <w:b w:val="0"/>
          <w:bCs w:val="0"/>
        </w:rPr>
        <w:t>building and construction</w:t>
      </w:r>
      <w:r w:rsidRPr="00DF56C9">
        <w:rPr>
          <w:b/>
          <w:bCs/>
        </w:rPr>
        <w:t xml:space="preserve">, </w:t>
      </w:r>
      <w:r w:rsidRPr="00DF56C9">
        <w:rPr>
          <w:rStyle w:val="Strong"/>
          <w:b w:val="0"/>
          <w:bCs w:val="0"/>
        </w:rPr>
        <w:t>maintenance services</w:t>
      </w:r>
      <w:r>
        <w:rPr>
          <w:rStyle w:val="Strong"/>
          <w:b w:val="0"/>
          <w:bCs w:val="0"/>
        </w:rPr>
        <w:t xml:space="preserve"> (Construction)</w:t>
      </w:r>
      <w:r w:rsidRPr="00DF56C9">
        <w:t>, and</w:t>
      </w:r>
      <w:r w:rsidRPr="00DF56C9">
        <w:rPr>
          <w:b/>
          <w:bCs/>
        </w:rPr>
        <w:t xml:space="preserve"> </w:t>
      </w:r>
      <w:r w:rsidRPr="00DF56C9">
        <w:rPr>
          <w:rStyle w:val="Strong"/>
          <w:b w:val="0"/>
          <w:bCs w:val="0"/>
        </w:rPr>
        <w:t>information and communications technology (ICT)</w:t>
      </w:r>
      <w:r w:rsidRPr="00DF56C9">
        <w:t xml:space="preserve"> procurements with an estimated individual value of </w:t>
      </w:r>
      <w:r w:rsidRPr="00DF56C9">
        <w:rPr>
          <w:rStyle w:val="Strong"/>
          <w:b w:val="0"/>
          <w:bCs w:val="0"/>
        </w:rPr>
        <w:t>$10 million or more</w:t>
      </w:r>
      <w:r w:rsidRPr="00DF56C9">
        <w:rPr>
          <w:b/>
          <w:bCs/>
        </w:rPr>
        <w:t>.</w:t>
      </w:r>
    </w:p>
    <w:p w14:paraId="4A329B26" w14:textId="77777777" w:rsidR="00EA759C" w:rsidRPr="00DF56C9" w:rsidRDefault="00EA759C" w:rsidP="00EA759C">
      <w:pPr>
        <w:pStyle w:val="ListNumber"/>
        <w:numPr>
          <w:ilvl w:val="0"/>
          <w:numId w:val="0"/>
        </w:numPr>
        <w:spacing w:after="0" w:line="276" w:lineRule="auto"/>
        <w:rPr>
          <w:b/>
          <w:bCs/>
        </w:rPr>
      </w:pPr>
    </w:p>
    <w:p w14:paraId="2B0ED2C4" w14:textId="4EA4473E" w:rsidR="00332BDC" w:rsidRPr="00DF56C9" w:rsidRDefault="00DF56C9" w:rsidP="00EA759C">
      <w:pPr>
        <w:pStyle w:val="ListNumber"/>
        <w:numPr>
          <w:ilvl w:val="0"/>
          <w:numId w:val="0"/>
        </w:numPr>
        <w:spacing w:line="276" w:lineRule="auto"/>
      </w:pPr>
      <w:r w:rsidRPr="00DF56C9">
        <w:t xml:space="preserve">This </w:t>
      </w:r>
      <w:r w:rsidRPr="00DF56C9">
        <w:rPr>
          <w:rStyle w:val="Strong"/>
          <w:b w:val="0"/>
          <w:bCs w:val="0"/>
        </w:rPr>
        <w:t>supplementary guidance</w:t>
      </w:r>
      <w:r w:rsidRPr="00DF56C9">
        <w:t xml:space="preserve"> support</w:t>
      </w:r>
      <w:r w:rsidR="00C41F05">
        <w:t>s</w:t>
      </w:r>
      <w:r w:rsidRPr="00DF56C9">
        <w:t xml:space="preserve"> </w:t>
      </w:r>
      <w:r w:rsidRPr="00DF56C9">
        <w:rPr>
          <w:rStyle w:val="Strong"/>
          <w:b w:val="0"/>
          <w:bCs w:val="0"/>
        </w:rPr>
        <w:t>Relevant Entities</w:t>
      </w:r>
      <w:r w:rsidRPr="00DF56C9">
        <w:t xml:space="preserve"> in understanding and implementing the </w:t>
      </w:r>
      <w:r w:rsidRPr="00DF56C9">
        <w:rPr>
          <w:rStyle w:val="Strong"/>
          <w:b w:val="0"/>
          <w:bCs w:val="0"/>
        </w:rPr>
        <w:t>Skills Guarantee Procurement Connected Policy (PCP) Version 1.2</w:t>
      </w:r>
      <w:r w:rsidRPr="00DF56C9">
        <w:t xml:space="preserve">. It should be read </w:t>
      </w:r>
      <w:r w:rsidR="00C41F05">
        <w:t xml:space="preserve">alongside </w:t>
      </w:r>
      <w:r w:rsidRPr="00DF56C9">
        <w:t>the PCP and provides practical advice on determining project eligibility, incorporating model clauses, meeting reporting requirements, and supporting compliance.</w:t>
      </w:r>
    </w:p>
    <w:p w14:paraId="22C0A4B0" w14:textId="77777777" w:rsidR="00235050" w:rsidRDefault="00235050" w:rsidP="008073B4">
      <w:pPr>
        <w:pStyle w:val="Heading1"/>
      </w:pPr>
      <w:bookmarkStart w:id="2" w:name="_Toc209787036"/>
      <w:r>
        <w:t>Procurements in scope</w:t>
      </w:r>
      <w:bookmarkEnd w:id="2"/>
    </w:p>
    <w:p w14:paraId="4F79B617" w14:textId="4A1112F9" w:rsidR="005F710E" w:rsidRPr="00A35604" w:rsidRDefault="006851E3" w:rsidP="00A35604">
      <w:pPr>
        <w:pStyle w:val="Heading2"/>
        <w:spacing w:before="0"/>
        <w:rPr>
          <w:color w:val="5D7A38"/>
        </w:rPr>
      </w:pPr>
      <w:bookmarkStart w:id="3" w:name="_Toc209787037"/>
      <w:r w:rsidRPr="3BCD4151">
        <w:rPr>
          <w:rFonts w:ascii="Segoe UI Emoji" w:eastAsia="Times New Roman" w:hAnsi="Segoe UI Emoji" w:cs="Segoe UI Emoji"/>
          <w:color w:val="5D7A38"/>
          <w:sz w:val="24"/>
          <w:szCs w:val="24"/>
          <w:lang w:eastAsia="en-AU"/>
        </w:rPr>
        <w:t>📌</w:t>
      </w:r>
      <w:r>
        <w:t xml:space="preserve"> </w:t>
      </w:r>
      <w:r w:rsidR="00D20CDA" w:rsidRPr="3BCD4151">
        <w:rPr>
          <w:color w:val="5D7A38"/>
        </w:rPr>
        <w:t>Actions for Relevant Entities</w:t>
      </w:r>
      <w:bookmarkEnd w:id="3"/>
      <w:r w:rsidR="00D20CDA" w:rsidRPr="3BCD4151">
        <w:rPr>
          <w:color w:val="5D7A38"/>
        </w:rPr>
        <w:t xml:space="preserve"> </w:t>
      </w:r>
    </w:p>
    <w:p w14:paraId="3302D3A6" w14:textId="7DFA372D" w:rsidR="005F710E" w:rsidRDefault="005F710E" w:rsidP="005F710E">
      <w:pPr>
        <w:spacing w:after="0"/>
      </w:pPr>
      <w:r>
        <w:t>To determine whether a procurement falls within scope, Relevant Entities must</w:t>
      </w:r>
      <w:r w:rsidR="009F1D04">
        <w:t xml:space="preserve"> ensure that the procurement</w:t>
      </w:r>
      <w:r>
        <w:t>:</w:t>
      </w:r>
    </w:p>
    <w:p w14:paraId="3B97DEE1" w14:textId="0323ADF1" w:rsidR="00A35604" w:rsidRDefault="00A35604" w:rsidP="005F710E">
      <w:pPr>
        <w:pStyle w:val="ListParagraph"/>
        <w:numPr>
          <w:ilvl w:val="0"/>
          <w:numId w:val="11"/>
        </w:numPr>
        <w:spacing w:line="276" w:lineRule="auto"/>
      </w:pPr>
      <w:r>
        <w:t>meet</w:t>
      </w:r>
      <w:r w:rsidR="009F1D04">
        <w:t>s</w:t>
      </w:r>
      <w:r>
        <w:t xml:space="preserve"> the definition of an Eligible Project</w:t>
      </w:r>
    </w:p>
    <w:p w14:paraId="0E7E6737" w14:textId="16C474FD" w:rsidR="005F710E" w:rsidRDefault="005F710E" w:rsidP="005F710E">
      <w:pPr>
        <w:pStyle w:val="ListParagraph"/>
        <w:numPr>
          <w:ilvl w:val="0"/>
          <w:numId w:val="11"/>
        </w:numPr>
        <w:spacing w:line="276" w:lineRule="auto"/>
      </w:pPr>
      <w:r>
        <w:t>meets the financial threshold</w:t>
      </w:r>
    </w:p>
    <w:p w14:paraId="224A6FA4" w14:textId="09E96E15" w:rsidR="005F710E" w:rsidRDefault="005F710E" w:rsidP="005F710E">
      <w:pPr>
        <w:pStyle w:val="ListParagraph"/>
        <w:numPr>
          <w:ilvl w:val="0"/>
          <w:numId w:val="11"/>
        </w:numPr>
        <w:spacing w:line="276" w:lineRule="auto"/>
      </w:pPr>
      <w:r>
        <w:t>use</w:t>
      </w:r>
      <w:r w:rsidR="00711798">
        <w:t>s</w:t>
      </w:r>
      <w:r>
        <w:t xml:space="preserve"> an eligible </w:t>
      </w:r>
      <w:r w:rsidR="00CD77AD">
        <w:t>United Nations Standard Products and Services Code (</w:t>
      </w:r>
      <w:r>
        <w:t>UNSPSC</w:t>
      </w:r>
      <w:r w:rsidR="00CD77AD">
        <w:t>)</w:t>
      </w:r>
      <w:r>
        <w:t xml:space="preserve"> subset code, and</w:t>
      </w:r>
    </w:p>
    <w:p w14:paraId="0C1F977A" w14:textId="23CA5075" w:rsidR="005F710E" w:rsidRDefault="00711798" w:rsidP="005F710E">
      <w:pPr>
        <w:pStyle w:val="ListParagraph"/>
        <w:numPr>
          <w:ilvl w:val="0"/>
          <w:numId w:val="11"/>
        </w:numPr>
        <w:spacing w:line="276" w:lineRule="auto"/>
      </w:pPr>
      <w:r>
        <w:t>satisfies all other</w:t>
      </w:r>
      <w:r w:rsidR="005F710E">
        <w:t xml:space="preserve"> eligibility criteria.</w:t>
      </w:r>
    </w:p>
    <w:p w14:paraId="6FBE8671" w14:textId="59287641" w:rsidR="008A42F8" w:rsidRPr="008073B4" w:rsidRDefault="008A42F8" w:rsidP="008073B4">
      <w:pPr>
        <w:pStyle w:val="Heading2"/>
      </w:pPr>
      <w:bookmarkStart w:id="4" w:name="_Toc209787038"/>
      <w:r>
        <w:t xml:space="preserve">Construction </w:t>
      </w:r>
      <w:r w:rsidR="00EA759C">
        <w:t>procurement</w:t>
      </w:r>
      <w:bookmarkEnd w:id="4"/>
    </w:p>
    <w:p w14:paraId="7B38995B" w14:textId="6AD3CA43" w:rsidR="008A42F8" w:rsidRDefault="008A42F8" w:rsidP="008A42F8">
      <w:r w:rsidRPr="00332BDC">
        <w:rPr>
          <w:rStyle w:val="Heading5Char"/>
        </w:rPr>
        <w:t>Major Construction Project:</w:t>
      </w:r>
      <w:r>
        <w:t xml:space="preserve"> Procurement with an estimated individual value of $10 million or more (GST inclusive) using a UNSPSC subset code listed in Appendix C of the PCP.</w:t>
      </w:r>
    </w:p>
    <w:p w14:paraId="13955F8B" w14:textId="4B321E40" w:rsidR="008A42F8" w:rsidRDefault="008A42F8" w:rsidP="008A42F8">
      <w:r w:rsidRPr="00332BDC">
        <w:rPr>
          <w:rStyle w:val="Heading5Char"/>
        </w:rPr>
        <w:t>Flagship Construction Project:</w:t>
      </w:r>
      <w:r>
        <w:t xml:space="preserve"> Procurement with an estimated individual value of $100 million or more (GST inclusive) using a UNSPSC subset code listed in Appendix C</w:t>
      </w:r>
      <w:r w:rsidR="008C1E4B">
        <w:t xml:space="preserve"> of the PCP</w:t>
      </w:r>
      <w:r>
        <w:t>.</w:t>
      </w:r>
    </w:p>
    <w:p w14:paraId="7A58D2AB" w14:textId="7D12E6AD" w:rsidR="008A42F8" w:rsidRPr="008073B4" w:rsidRDefault="008A42F8" w:rsidP="008073B4">
      <w:pPr>
        <w:pStyle w:val="Heading2"/>
      </w:pPr>
      <w:bookmarkStart w:id="5" w:name="_Toc209787039"/>
      <w:r>
        <w:t xml:space="preserve">ICT </w:t>
      </w:r>
      <w:r w:rsidR="00EA759C">
        <w:t>procurement</w:t>
      </w:r>
      <w:bookmarkEnd w:id="5"/>
    </w:p>
    <w:p w14:paraId="3C96D69E" w14:textId="5A0349C6" w:rsidR="008A42F8" w:rsidRDefault="008A42F8" w:rsidP="008A42F8">
      <w:r w:rsidRPr="00332BDC">
        <w:rPr>
          <w:rStyle w:val="Heading5Char"/>
        </w:rPr>
        <w:t>Major ICT Project:</w:t>
      </w:r>
      <w:r>
        <w:t xml:space="preserve"> Procurement with an estimated individual value of $10 million or more (GST inclusive) using a UNSPSC subset code listed in Appendix D of the PCP.</w:t>
      </w:r>
    </w:p>
    <w:p w14:paraId="7BE805CB" w14:textId="6E31477E" w:rsidR="008A42F8" w:rsidRDefault="008A42F8" w:rsidP="008A42F8">
      <w:r w:rsidRPr="00332BDC">
        <w:rPr>
          <w:rStyle w:val="Heading5Char"/>
        </w:rPr>
        <w:t xml:space="preserve">High-Value ICT Project: </w:t>
      </w:r>
      <w:r>
        <w:t>Procurement with an estimated individual value of $50 million or more (GST inclusive) using a UNSPSC subset code listed in Appendix D</w:t>
      </w:r>
      <w:r w:rsidR="00BB199F">
        <w:t xml:space="preserve"> of the PCP</w:t>
      </w:r>
      <w:r>
        <w:t>.</w:t>
      </w:r>
    </w:p>
    <w:p w14:paraId="16FE8090" w14:textId="49DDB14C" w:rsidR="005C3B4D" w:rsidRDefault="005C3B4D" w:rsidP="005C3B4D">
      <w:pPr>
        <w:spacing w:after="0"/>
        <w:rPr>
          <w:rFonts w:ascii="Calibri" w:eastAsiaTheme="majorEastAsia" w:hAnsi="Calibri" w:cstheme="majorBidi"/>
          <w:b/>
          <w:color w:val="5F6369"/>
        </w:rPr>
      </w:pPr>
      <w:r w:rsidRPr="005C3B4D">
        <w:rPr>
          <w:rFonts w:ascii="Calibri" w:eastAsiaTheme="majorEastAsia" w:hAnsi="Calibri" w:cstheme="majorBidi"/>
          <w:b/>
          <w:color w:val="5F6369"/>
        </w:rPr>
        <w:t xml:space="preserve">Table 1 – </w:t>
      </w:r>
      <w:r w:rsidR="002F1D29">
        <w:rPr>
          <w:rFonts w:ascii="Calibri" w:eastAsiaTheme="majorEastAsia" w:hAnsi="Calibri" w:cstheme="majorBidi"/>
          <w:b/>
          <w:color w:val="5F6369"/>
        </w:rPr>
        <w:t>Overview of p</w:t>
      </w:r>
      <w:r w:rsidRPr="005C3B4D">
        <w:rPr>
          <w:rFonts w:ascii="Calibri" w:eastAsiaTheme="majorEastAsia" w:hAnsi="Calibri" w:cstheme="majorBidi"/>
          <w:b/>
          <w:color w:val="5F6369"/>
        </w:rPr>
        <w:t>rocurements in scope of the PCP</w:t>
      </w:r>
    </w:p>
    <w:p w14:paraId="7CA3FDAE" w14:textId="3F0AB998" w:rsidR="005F7B1D" w:rsidRDefault="00882DD6" w:rsidP="005C3B4D">
      <w:pPr>
        <w:spacing w:after="0"/>
        <w:rPr>
          <w:rFonts w:ascii="Calibri" w:eastAsiaTheme="majorEastAsia" w:hAnsi="Calibri" w:cstheme="majorBidi"/>
          <w:b/>
          <w:color w:val="5F6369"/>
        </w:rPr>
      </w:pPr>
      <w:r w:rsidRPr="00882DD6">
        <w:rPr>
          <w:rFonts w:ascii="Calibri" w:eastAsiaTheme="majorEastAsia" w:hAnsi="Calibri" w:cstheme="majorBidi"/>
          <w:b/>
          <w:noProof/>
          <w:color w:val="5F6369"/>
        </w:rPr>
        <w:drawing>
          <wp:inline distT="0" distB="0" distL="0" distR="0" wp14:anchorId="197EE1C0" wp14:editId="5DB70BEA">
            <wp:extent cx="5910554" cy="1314450"/>
            <wp:effectExtent l="0" t="0" r="0" b="0"/>
            <wp:docPr id="1536205034" name="Picture 1" descr="Table 1 Overview of procurements in scope of the P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05034" name="Picture 1" descr="Table 1 Overview of procurements in scope of the PCP."/>
                    <pic:cNvPicPr/>
                  </pic:nvPicPr>
                  <pic:blipFill>
                    <a:blip r:embed="rId18"/>
                    <a:stretch>
                      <a:fillRect/>
                    </a:stretch>
                  </pic:blipFill>
                  <pic:spPr>
                    <a:xfrm>
                      <a:off x="0" y="0"/>
                      <a:ext cx="5917152" cy="1315917"/>
                    </a:xfrm>
                    <a:prstGeom prst="rect">
                      <a:avLst/>
                    </a:prstGeom>
                  </pic:spPr>
                </pic:pic>
              </a:graphicData>
            </a:graphic>
          </wp:inline>
        </w:drawing>
      </w:r>
    </w:p>
    <w:p w14:paraId="258EA306" w14:textId="62FF66BC" w:rsidR="000330F3" w:rsidRDefault="00FF4405" w:rsidP="008073B4">
      <w:pPr>
        <w:pStyle w:val="Heading1"/>
      </w:pPr>
      <w:bookmarkStart w:id="6" w:name="_Toc209787040"/>
      <w:r>
        <w:lastRenderedPageBreak/>
        <w:t>Exemptions</w:t>
      </w:r>
      <w:bookmarkEnd w:id="6"/>
      <w:r w:rsidR="00BA1686">
        <w:t xml:space="preserve"> </w:t>
      </w:r>
    </w:p>
    <w:p w14:paraId="5A78A0EB" w14:textId="484230F7" w:rsidR="00C93FC6" w:rsidRPr="006851E3" w:rsidRDefault="006851E3" w:rsidP="00427E00">
      <w:pPr>
        <w:pStyle w:val="Heading2"/>
        <w:spacing w:before="0"/>
        <w:rPr>
          <w:color w:val="5D7A38"/>
        </w:rPr>
      </w:pPr>
      <w:bookmarkStart w:id="7" w:name="_Toc209787041"/>
      <w:bookmarkStart w:id="8" w:name="_Hlk209163831"/>
      <w:r w:rsidRPr="3BCD4151">
        <w:rPr>
          <w:rFonts w:ascii="Segoe UI Emoji" w:eastAsia="Times New Roman" w:hAnsi="Segoe UI Emoji" w:cs="Segoe UI Emoji"/>
          <w:color w:val="5D7A38"/>
          <w:sz w:val="24"/>
          <w:szCs w:val="24"/>
          <w:lang w:eastAsia="en-AU"/>
        </w:rPr>
        <w:t>📌</w:t>
      </w:r>
      <w:r w:rsidRPr="3BCD4151">
        <w:rPr>
          <w:color w:val="5D7A38"/>
        </w:rPr>
        <w:t xml:space="preserve"> </w:t>
      </w:r>
      <w:r w:rsidR="00C93FC6" w:rsidRPr="3BCD4151">
        <w:rPr>
          <w:color w:val="5D7A38"/>
        </w:rPr>
        <w:t>Actions for Relevant Entities</w:t>
      </w:r>
      <w:bookmarkEnd w:id="7"/>
      <w:r w:rsidR="00C93FC6" w:rsidRPr="3BCD4151">
        <w:rPr>
          <w:color w:val="5D7A38"/>
        </w:rPr>
        <w:t xml:space="preserve"> </w:t>
      </w:r>
    </w:p>
    <w:bookmarkEnd w:id="8"/>
    <w:p w14:paraId="4C2AEB53" w14:textId="650F5DEB" w:rsidR="00BA1686" w:rsidRDefault="00BA1686" w:rsidP="00674440">
      <w:pPr>
        <w:spacing w:after="0"/>
      </w:pPr>
      <w:r>
        <w:t xml:space="preserve">Before releasing </w:t>
      </w:r>
      <w:r w:rsidR="00D34D34">
        <w:t>procurement documentation</w:t>
      </w:r>
      <w:r w:rsidR="00AE559A">
        <w:t xml:space="preserve"> </w:t>
      </w:r>
      <w:r>
        <w:t xml:space="preserve">and </w:t>
      </w:r>
      <w:r w:rsidR="006C3AE7">
        <w:t>during</w:t>
      </w:r>
      <w:r>
        <w:t xml:space="preserve"> the </w:t>
      </w:r>
      <w:r w:rsidR="00AE559A">
        <w:t>Submission</w:t>
      </w:r>
      <w:r>
        <w:t xml:space="preserve"> assessment process, Relevant Entities must determine whether the procurement is:</w:t>
      </w:r>
    </w:p>
    <w:p w14:paraId="2592B176" w14:textId="47903E5C" w:rsidR="00BA1686" w:rsidRDefault="006C3AE7" w:rsidP="00D87FC3">
      <w:pPr>
        <w:pStyle w:val="ListParagraph"/>
        <w:numPr>
          <w:ilvl w:val="0"/>
          <w:numId w:val="11"/>
        </w:numPr>
        <w:spacing w:line="276" w:lineRule="auto"/>
      </w:pPr>
      <w:r>
        <w:t>e</w:t>
      </w:r>
      <w:r w:rsidR="00BA1686">
        <w:t>ligible under the PCP</w:t>
      </w:r>
    </w:p>
    <w:p w14:paraId="55557FF3" w14:textId="6A632DDC" w:rsidR="00BA1686" w:rsidRDefault="006C3AE7" w:rsidP="00966D9C">
      <w:pPr>
        <w:pStyle w:val="ListParagraph"/>
        <w:numPr>
          <w:ilvl w:val="0"/>
          <w:numId w:val="11"/>
        </w:numPr>
        <w:spacing w:line="276" w:lineRule="auto"/>
      </w:pPr>
      <w:r>
        <w:t>e</w:t>
      </w:r>
      <w:r w:rsidR="00BA1686">
        <w:t xml:space="preserve">xempt from the </w:t>
      </w:r>
      <w:r w:rsidR="00AE559A">
        <w:t>PCP</w:t>
      </w:r>
      <w:r w:rsidR="00BA1686">
        <w:t xml:space="preserve"> requirements.</w:t>
      </w:r>
    </w:p>
    <w:p w14:paraId="4724BE8C" w14:textId="77777777" w:rsidR="00823AD6" w:rsidRPr="008073B4" w:rsidRDefault="00823AD6" w:rsidP="00823AD6">
      <w:pPr>
        <w:pStyle w:val="Heading2"/>
      </w:pPr>
      <w:bookmarkStart w:id="9" w:name="_Toc209787042"/>
      <w:r>
        <w:t>Formal exemptions</w:t>
      </w:r>
      <w:bookmarkEnd w:id="9"/>
    </w:p>
    <w:p w14:paraId="67AECDA9" w14:textId="77777777" w:rsidR="00823AD6" w:rsidRDefault="00823AD6" w:rsidP="00823AD6">
      <w:pPr>
        <w:spacing w:after="0"/>
      </w:pPr>
      <w:r>
        <w:t xml:space="preserve">Some procurements may be formally exempt under </w:t>
      </w:r>
      <w:r w:rsidRPr="00724DC9">
        <w:rPr>
          <w:b/>
          <w:bCs/>
        </w:rPr>
        <w:t>Section 2.4</w:t>
      </w:r>
      <w:r>
        <w:t xml:space="preserve"> of the PCP, including applying paragraph 2.6 of the Commonwealth Procurement Rules (CPRs) and when the Eligible Project is delivered wholly overseas. In such cases:</w:t>
      </w:r>
    </w:p>
    <w:p w14:paraId="3814AD34" w14:textId="77777777" w:rsidR="00823AD6" w:rsidRDefault="00823AD6" w:rsidP="00823AD6">
      <w:pPr>
        <w:pStyle w:val="ListParagraph"/>
        <w:numPr>
          <w:ilvl w:val="0"/>
          <w:numId w:val="11"/>
        </w:numPr>
        <w:spacing w:line="276" w:lineRule="auto"/>
        <w:ind w:left="284" w:hanging="284"/>
      </w:pPr>
      <w:r>
        <w:t>PCP requirements must be excluded from procurement documentation</w:t>
      </w:r>
    </w:p>
    <w:p w14:paraId="7493049C" w14:textId="4220584C" w:rsidR="00823AD6" w:rsidRDefault="00823AD6" w:rsidP="008073B4">
      <w:pPr>
        <w:pStyle w:val="ListParagraph"/>
        <w:numPr>
          <w:ilvl w:val="0"/>
          <w:numId w:val="11"/>
        </w:numPr>
        <w:spacing w:line="276" w:lineRule="auto"/>
        <w:ind w:left="284" w:hanging="284"/>
      </w:pPr>
      <w:r>
        <w:t>Targets will not be considered during the Submission assessment.</w:t>
      </w:r>
    </w:p>
    <w:p w14:paraId="4C1A5F79" w14:textId="5462FD0F" w:rsidR="00BA1686" w:rsidRPr="008073B4" w:rsidRDefault="00BA1686" w:rsidP="008073B4">
      <w:pPr>
        <w:pStyle w:val="Heading2"/>
      </w:pPr>
      <w:bookmarkStart w:id="10" w:name="_Toc209787043"/>
      <w:r>
        <w:t xml:space="preserve">Determining </w:t>
      </w:r>
      <w:r w:rsidR="00730FEE">
        <w:t>e</w:t>
      </w:r>
      <w:r>
        <w:t xml:space="preserve">ligibility and </w:t>
      </w:r>
      <w:r w:rsidR="00730FEE">
        <w:t>r</w:t>
      </w:r>
      <w:r>
        <w:t>easonableness</w:t>
      </w:r>
      <w:bookmarkEnd w:id="10"/>
    </w:p>
    <w:p w14:paraId="0009C08F" w14:textId="1D43F7CF" w:rsidR="00BA1686" w:rsidRDefault="00BA1686" w:rsidP="00284F0B">
      <w:pPr>
        <w:spacing w:after="0"/>
      </w:pPr>
      <w:r>
        <w:t>If a</w:t>
      </w:r>
      <w:r w:rsidR="000A6516">
        <w:t>n ICT</w:t>
      </w:r>
      <w:r>
        <w:t xml:space="preserve"> procurement meets the eligibility criteria</w:t>
      </w:r>
      <w:r w:rsidR="00133372">
        <w:t>,</w:t>
      </w:r>
      <w:r>
        <w:t xml:space="preserve"> Relevant Entities must assess whether it is reasonable to apply </w:t>
      </w:r>
      <w:r w:rsidR="00316011">
        <w:t xml:space="preserve">the </w:t>
      </w:r>
      <w:r>
        <w:t xml:space="preserve">targets. This </w:t>
      </w:r>
      <w:r w:rsidR="00316011">
        <w:t>assessment should</w:t>
      </w:r>
      <w:r>
        <w:t xml:space="preserve"> consider</w:t>
      </w:r>
      <w:r w:rsidR="005558B3">
        <w:t xml:space="preserve"> the</w:t>
      </w:r>
      <w:r w:rsidR="00284F0B">
        <w:t xml:space="preserve"> </w:t>
      </w:r>
      <w:r>
        <w:t xml:space="preserve">nature of the </w:t>
      </w:r>
      <w:r w:rsidR="00284F0B">
        <w:t xml:space="preserve">services being procured. </w:t>
      </w:r>
    </w:p>
    <w:p w14:paraId="685B4228" w14:textId="77777777" w:rsidR="00284F0B" w:rsidRDefault="00284F0B" w:rsidP="00284F0B">
      <w:pPr>
        <w:spacing w:after="0"/>
      </w:pPr>
    </w:p>
    <w:p w14:paraId="5A1D3F66" w14:textId="0813B671" w:rsidR="00BA1686" w:rsidRDefault="00BA1686" w:rsidP="00674440">
      <w:pPr>
        <w:spacing w:after="0"/>
      </w:pPr>
      <w:r>
        <w:t>Examples where targets may not be reasonable</w:t>
      </w:r>
      <w:r w:rsidR="00F31899">
        <w:t xml:space="preserve"> for eligible ICT procurements</w:t>
      </w:r>
      <w:r>
        <w:t>:</w:t>
      </w:r>
    </w:p>
    <w:p w14:paraId="2F16104F" w14:textId="4F16F497" w:rsidR="00BA1686" w:rsidRDefault="00BA1686" w:rsidP="004D38C1">
      <w:pPr>
        <w:pStyle w:val="ListParagraph"/>
        <w:numPr>
          <w:ilvl w:val="0"/>
          <w:numId w:val="11"/>
        </w:numPr>
        <w:spacing w:line="276" w:lineRule="auto"/>
        <w:ind w:left="284" w:hanging="284"/>
      </w:pPr>
      <w:r>
        <w:t xml:space="preserve">Highly specialised services requiring experienced personnel, with limited scope for </w:t>
      </w:r>
      <w:r w:rsidR="0088550F">
        <w:t xml:space="preserve">Apprentices or </w:t>
      </w:r>
      <w:r>
        <w:t>Learning Workers.</w:t>
      </w:r>
    </w:p>
    <w:p w14:paraId="7C7C81E2" w14:textId="77777777" w:rsidR="00BA1686" w:rsidRDefault="00BA1686" w:rsidP="004D38C1">
      <w:pPr>
        <w:pStyle w:val="ListParagraph"/>
        <w:numPr>
          <w:ilvl w:val="0"/>
          <w:numId w:val="11"/>
        </w:numPr>
        <w:spacing w:line="276" w:lineRule="auto"/>
        <w:ind w:left="284" w:hanging="284"/>
      </w:pPr>
      <w:r>
        <w:t>Procurement of pre-developed software requiring minimal Labour Hours.</w:t>
      </w:r>
    </w:p>
    <w:p w14:paraId="5864CD42" w14:textId="774AC89E" w:rsidR="00BA1686" w:rsidRDefault="00BA1686" w:rsidP="00AF004E">
      <w:pPr>
        <w:pStyle w:val="ListParagraph"/>
        <w:numPr>
          <w:ilvl w:val="0"/>
          <w:numId w:val="11"/>
        </w:numPr>
        <w:spacing w:after="0" w:line="276" w:lineRule="auto"/>
        <w:ind w:left="284" w:hanging="284"/>
      </w:pPr>
      <w:r>
        <w:t>Extensions of software licensing arrangements with no delivery component.</w:t>
      </w:r>
    </w:p>
    <w:p w14:paraId="72CC3A3D" w14:textId="77777777" w:rsidR="00AF004E" w:rsidRDefault="00AF004E" w:rsidP="00AF004E">
      <w:pPr>
        <w:pStyle w:val="ListParagraph"/>
        <w:spacing w:after="0" w:line="276" w:lineRule="auto"/>
        <w:ind w:left="284"/>
      </w:pPr>
    </w:p>
    <w:p w14:paraId="2E2331F2" w14:textId="693EEA1F" w:rsidR="00BA1686" w:rsidRDefault="00BA1686" w:rsidP="00BA1686">
      <w:r>
        <w:t xml:space="preserve">If it is determined that applying targets is not reasonable, </w:t>
      </w:r>
      <w:r w:rsidRPr="00EA6608">
        <w:t>the procurement should be marked as not reportable in the Apprenticeship Data Management System (ADMS</w:t>
      </w:r>
      <w:r w:rsidR="27904F16">
        <w:t>)</w:t>
      </w:r>
      <w:r w:rsidR="55919EFD">
        <w:t xml:space="preserve"> Project Reporting Section</w:t>
      </w:r>
      <w:r w:rsidR="27904F16">
        <w:t>,</w:t>
      </w:r>
      <w:r w:rsidRPr="00EA6608">
        <w:t xml:space="preserve"> with docume</w:t>
      </w:r>
      <w:r>
        <w:t>nted justification</w:t>
      </w:r>
      <w:r w:rsidR="294DAF7A">
        <w:t xml:space="preserve"> </w:t>
      </w:r>
      <w:r w:rsidR="122EDB58">
        <w:t>of</w:t>
      </w:r>
      <w:r w:rsidR="294DAF7A">
        <w:t xml:space="preserve"> the rationale for not applying</w:t>
      </w:r>
      <w:r w:rsidR="27904F16">
        <w:t>.</w:t>
      </w:r>
      <w:r>
        <w:t xml:space="preserve"> Records must be maintained to support this decision.</w:t>
      </w:r>
    </w:p>
    <w:p w14:paraId="6E8568DF" w14:textId="77777777" w:rsidR="00823AD6" w:rsidRDefault="00823AD6">
      <w:pPr>
        <w:spacing w:after="160" w:line="259" w:lineRule="auto"/>
        <w:rPr>
          <w:rFonts w:ascii="Calibri" w:eastAsiaTheme="majorEastAsia" w:hAnsi="Calibri" w:cstheme="majorBidi"/>
          <w:b/>
          <w:color w:val="404246"/>
          <w:sz w:val="30"/>
          <w:szCs w:val="26"/>
        </w:rPr>
      </w:pPr>
      <w:bookmarkStart w:id="11" w:name="_ADMS_notifications_and"/>
      <w:bookmarkEnd w:id="11"/>
      <w:r>
        <w:br w:type="page"/>
      </w:r>
    </w:p>
    <w:p w14:paraId="56833D01" w14:textId="22FA11B1" w:rsidR="00BA1686" w:rsidRPr="00535C6B" w:rsidRDefault="00BA1686" w:rsidP="00535C6B">
      <w:pPr>
        <w:pStyle w:val="Heading2"/>
      </w:pPr>
      <w:bookmarkStart w:id="12" w:name="_Toc209787044"/>
      <w:bookmarkStart w:id="13" w:name="_ADMS_notifications_and_1"/>
      <w:bookmarkEnd w:id="13"/>
      <w:r>
        <w:lastRenderedPageBreak/>
        <w:t xml:space="preserve">ADMS </w:t>
      </w:r>
      <w:r w:rsidR="0099789A">
        <w:t>n</w:t>
      </w:r>
      <w:r>
        <w:t xml:space="preserve">otifications and </w:t>
      </w:r>
      <w:r w:rsidR="33784ECD">
        <w:t>reviewing a new Contract</w:t>
      </w:r>
      <w:bookmarkEnd w:id="12"/>
    </w:p>
    <w:p w14:paraId="352B9029" w14:textId="26CA049E" w:rsidR="00BA1686" w:rsidRDefault="00BA1686" w:rsidP="00674440">
      <w:pPr>
        <w:spacing w:after="0"/>
      </w:pPr>
      <w:r>
        <w:t xml:space="preserve">When ADMS identifies a new </w:t>
      </w:r>
      <w:r w:rsidR="00EC0C82">
        <w:t>C</w:t>
      </w:r>
      <w:r>
        <w:t xml:space="preserve">ontract that meets the </w:t>
      </w:r>
      <w:r w:rsidR="00EC0C82">
        <w:t xml:space="preserve">PCP </w:t>
      </w:r>
      <w:r>
        <w:t>eligibility criteria, it will notify the Relevant Entity. The Relevant Entity must:</w:t>
      </w:r>
    </w:p>
    <w:p w14:paraId="63464CEF" w14:textId="0820F856" w:rsidR="00BA1686" w:rsidRDefault="00165EAE" w:rsidP="00986DBB">
      <w:pPr>
        <w:pStyle w:val="ListParagraph"/>
        <w:numPr>
          <w:ilvl w:val="0"/>
          <w:numId w:val="11"/>
        </w:numPr>
        <w:spacing w:line="276" w:lineRule="auto"/>
        <w:ind w:left="284" w:hanging="284"/>
      </w:pPr>
      <w:r>
        <w:t>l</w:t>
      </w:r>
      <w:r w:rsidR="00BA1686">
        <w:t>og in to ADMS,</w:t>
      </w:r>
    </w:p>
    <w:p w14:paraId="4429AD0C" w14:textId="03216E9C" w:rsidR="00BA1686" w:rsidRDefault="32ED877B" w:rsidP="00986DBB">
      <w:pPr>
        <w:pStyle w:val="ListParagraph"/>
        <w:numPr>
          <w:ilvl w:val="0"/>
          <w:numId w:val="11"/>
        </w:numPr>
        <w:spacing w:line="276" w:lineRule="auto"/>
        <w:ind w:left="284" w:hanging="284"/>
      </w:pPr>
      <w:r>
        <w:t>r</w:t>
      </w:r>
      <w:r w:rsidR="5C9556FD">
        <w:t xml:space="preserve">eview the </w:t>
      </w:r>
      <w:r w:rsidR="0CD522AC">
        <w:t>C</w:t>
      </w:r>
      <w:r w:rsidR="5C9556FD">
        <w:t>ontract</w:t>
      </w:r>
    </w:p>
    <w:p w14:paraId="2B949678" w14:textId="792387D4" w:rsidR="00BA1686" w:rsidRDefault="70102AE6" w:rsidP="009873E8">
      <w:pPr>
        <w:pStyle w:val="ListParagraph"/>
        <w:spacing w:line="276" w:lineRule="auto"/>
      </w:pPr>
      <w:r>
        <w:rPr>
          <w:noProof/>
        </w:rPr>
        <w:drawing>
          <wp:inline distT="0" distB="0" distL="0" distR="0" wp14:anchorId="09E87A87" wp14:editId="6E41208B">
            <wp:extent cx="3200400" cy="1733550"/>
            <wp:effectExtent l="0" t="0" r="0" b="0"/>
            <wp:docPr id="936118729" name="drawing" descr="A screenshot of the Contract search section of the Create project process with a Contract notice ID entered and the Search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18729" name=""/>
                    <pic:cNvPicPr/>
                  </pic:nvPicPr>
                  <pic:blipFill>
                    <a:blip r:embed="rId19">
                      <a:extLst>
                        <a:ext uri="{28A0092B-C50C-407E-A947-70E740481C1C}">
                          <a14:useLocalDpi xmlns:a14="http://schemas.microsoft.com/office/drawing/2010/main" val="0"/>
                        </a:ext>
                      </a:extLst>
                    </a:blip>
                    <a:stretch>
                      <a:fillRect/>
                    </a:stretch>
                  </pic:blipFill>
                  <pic:spPr>
                    <a:xfrm>
                      <a:off x="0" y="0"/>
                      <a:ext cx="3200400" cy="1733550"/>
                    </a:xfrm>
                    <a:prstGeom prst="rect">
                      <a:avLst/>
                    </a:prstGeom>
                  </pic:spPr>
                </pic:pic>
              </a:graphicData>
            </a:graphic>
          </wp:inline>
        </w:drawing>
      </w:r>
    </w:p>
    <w:p w14:paraId="1B025713" w14:textId="631EC01B" w:rsidR="00BA1686" w:rsidRDefault="00BA1686" w:rsidP="009873E8">
      <w:pPr>
        <w:pStyle w:val="ListParagraph"/>
        <w:spacing w:line="276" w:lineRule="auto"/>
      </w:pPr>
    </w:p>
    <w:p w14:paraId="00C73541" w14:textId="3D50BA9C" w:rsidR="432DFFE6" w:rsidRDefault="32ED877B" w:rsidP="00986DBB">
      <w:pPr>
        <w:pStyle w:val="ListParagraph"/>
        <w:numPr>
          <w:ilvl w:val="0"/>
          <w:numId w:val="11"/>
        </w:numPr>
        <w:spacing w:line="276" w:lineRule="auto"/>
        <w:ind w:left="284" w:hanging="284"/>
      </w:pPr>
      <w:r>
        <w:t>r</w:t>
      </w:r>
      <w:r w:rsidR="5C9556FD">
        <w:t xml:space="preserve">ecord whether the </w:t>
      </w:r>
      <w:r w:rsidR="0CD522AC">
        <w:t>C</w:t>
      </w:r>
      <w:r w:rsidR="5C9556FD">
        <w:t xml:space="preserve">ontract is reportable under the </w:t>
      </w:r>
      <w:r w:rsidR="727EA3AC">
        <w:t>PCP</w:t>
      </w:r>
      <w:r w:rsidR="60644418">
        <w:t xml:space="preserve">, noting this does not require action in ADMS if the </w:t>
      </w:r>
      <w:r w:rsidR="365B41E5">
        <w:t>new C</w:t>
      </w:r>
      <w:r w:rsidR="60644418">
        <w:t>ontract is exempt</w:t>
      </w:r>
      <w:r w:rsidR="1576116F">
        <w:t xml:space="preserve"> under Section 2.4 of the PCP,</w:t>
      </w:r>
      <w:r w:rsidR="60644418">
        <w:t xml:space="preserve"> as outlined above</w:t>
      </w:r>
      <w:r w:rsidR="00F2310B">
        <w:t>.</w:t>
      </w:r>
    </w:p>
    <w:p w14:paraId="161DA7CB" w14:textId="2DBCC1D2" w:rsidR="5C9556FD" w:rsidRDefault="5C9556FD">
      <w:r>
        <w:t>If the procurement is reportable, this must be confirmed in ADMS when creating the project record</w:t>
      </w:r>
      <w:r w:rsidR="49D8B0E9">
        <w:t xml:space="preserve"> and </w:t>
      </w:r>
      <w:r w:rsidR="00493464">
        <w:t>Relevant Entities will need</w:t>
      </w:r>
      <w:r w:rsidR="4EF14FA7">
        <w:t xml:space="preserve"> to</w:t>
      </w:r>
      <w:r w:rsidR="00F2310B">
        <w:t xml:space="preserve"> </w:t>
      </w:r>
      <w:r w:rsidR="040D14B5">
        <w:t>ensure the correct PCP version has been applied to the project</w:t>
      </w:r>
      <w:r w:rsidR="6ED16A39">
        <w:t>.</w:t>
      </w:r>
    </w:p>
    <w:p w14:paraId="2B13C6BC" w14:textId="218C2241" w:rsidR="040D14B5" w:rsidRDefault="040D14B5" w:rsidP="432DFFE6">
      <w:r>
        <w:rPr>
          <w:noProof/>
        </w:rPr>
        <w:drawing>
          <wp:inline distT="0" distB="0" distL="0" distR="0" wp14:anchorId="09155CD9" wp14:editId="18FA922E">
            <wp:extent cx="5334000" cy="1143000"/>
            <wp:effectExtent l="0" t="0" r="0" b="0"/>
            <wp:docPr id="1521673880" name="drawing" descr="A screenshot of the Procurement connected policy version section of the project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96652" name=""/>
                    <pic:cNvPicPr/>
                  </pic:nvPicPr>
                  <pic:blipFill>
                    <a:blip r:embed="rId20">
                      <a:extLst>
                        <a:ext uri="{28A0092B-C50C-407E-A947-70E740481C1C}">
                          <a14:useLocalDpi xmlns:a14="http://schemas.microsoft.com/office/drawing/2010/main" val="0"/>
                        </a:ext>
                      </a:extLst>
                    </a:blip>
                    <a:stretch>
                      <a:fillRect/>
                    </a:stretch>
                  </pic:blipFill>
                  <pic:spPr>
                    <a:xfrm>
                      <a:off x="0" y="0"/>
                      <a:ext cx="5334000" cy="1143000"/>
                    </a:xfrm>
                    <a:prstGeom prst="rect">
                      <a:avLst/>
                    </a:prstGeom>
                  </pic:spPr>
                </pic:pic>
              </a:graphicData>
            </a:graphic>
          </wp:inline>
        </w:drawing>
      </w:r>
    </w:p>
    <w:p w14:paraId="54AB899E" w14:textId="6726E073" w:rsidR="00BA1686" w:rsidRPr="00CE0242" w:rsidRDefault="009C113B" w:rsidP="00BA1686">
      <w:hyperlink r:id="rId21" w:history="1">
        <w:r w:rsidRPr="00CE0242">
          <w:rPr>
            <w:rStyle w:val="Hyperlink"/>
          </w:rPr>
          <w:t>Additional reporting guidance is available on GovTEAMS – Australian Skills Guarantee Operational Resources and Stakeholder Engagement Community</w:t>
        </w:r>
      </w:hyperlink>
      <w:r w:rsidR="00CE0242">
        <w:t>.</w:t>
      </w:r>
    </w:p>
    <w:p w14:paraId="20FCFF7A" w14:textId="77777777" w:rsidR="00EA4684" w:rsidRDefault="00EA4684">
      <w:pPr>
        <w:spacing w:after="160" w:line="259" w:lineRule="auto"/>
        <w:rPr>
          <w:rFonts w:ascii="Calibri" w:eastAsiaTheme="majorEastAsia" w:hAnsi="Calibri" w:cstheme="majorBidi"/>
          <w:b/>
          <w:color w:val="404246"/>
          <w:sz w:val="32"/>
          <w:szCs w:val="32"/>
        </w:rPr>
      </w:pPr>
      <w:r>
        <w:br w:type="page"/>
      </w:r>
    </w:p>
    <w:p w14:paraId="0C9846AC" w14:textId="7ADD907D" w:rsidR="00FF4405" w:rsidRDefault="00A836EF" w:rsidP="00535C6B">
      <w:pPr>
        <w:pStyle w:val="Heading1"/>
      </w:pPr>
      <w:bookmarkStart w:id="14" w:name="_Toc209787045"/>
      <w:r>
        <w:lastRenderedPageBreak/>
        <w:t xml:space="preserve">Gender Equality Action </w:t>
      </w:r>
      <w:r w:rsidR="004656F1">
        <w:t>Plan (GEAP)</w:t>
      </w:r>
      <w:bookmarkEnd w:id="14"/>
    </w:p>
    <w:p w14:paraId="252C1B2E" w14:textId="12624179" w:rsidR="00E85761" w:rsidRDefault="00E85761" w:rsidP="00674440">
      <w:pPr>
        <w:spacing w:after="0"/>
      </w:pPr>
      <w:r>
        <w:t xml:space="preserve">GEAPs are </w:t>
      </w:r>
      <w:r w:rsidRPr="004656F1">
        <w:rPr>
          <w:b/>
          <w:bCs/>
        </w:rPr>
        <w:t>mandatory</w:t>
      </w:r>
      <w:r>
        <w:t xml:space="preserve"> for</w:t>
      </w:r>
      <w:r w:rsidR="00D22135">
        <w:t xml:space="preserve"> Potential Suppliers to </w:t>
      </w:r>
      <w:r w:rsidR="00F62D32">
        <w:t>submit with their Submission</w:t>
      </w:r>
      <w:r w:rsidR="00674440">
        <w:t xml:space="preserve"> for</w:t>
      </w:r>
      <w:r>
        <w:t>:</w:t>
      </w:r>
    </w:p>
    <w:p w14:paraId="281B6E3B" w14:textId="77777777" w:rsidR="00E85761" w:rsidRDefault="00E85761" w:rsidP="00986DBB">
      <w:pPr>
        <w:pStyle w:val="ListParagraph"/>
        <w:numPr>
          <w:ilvl w:val="0"/>
          <w:numId w:val="11"/>
        </w:numPr>
        <w:spacing w:line="276" w:lineRule="auto"/>
        <w:ind w:left="284" w:hanging="284"/>
      </w:pPr>
      <w:r>
        <w:t>Flagship Construction Projects (≥ $100 million), and</w:t>
      </w:r>
    </w:p>
    <w:p w14:paraId="5246F1B8" w14:textId="39277BC1" w:rsidR="00E85761" w:rsidRDefault="00E85761" w:rsidP="00986DBB">
      <w:pPr>
        <w:pStyle w:val="ListParagraph"/>
        <w:numPr>
          <w:ilvl w:val="0"/>
          <w:numId w:val="11"/>
        </w:numPr>
        <w:spacing w:line="276" w:lineRule="auto"/>
        <w:ind w:left="284" w:hanging="284"/>
      </w:pPr>
      <w:r>
        <w:t>High-Value ICT Projects (≥ $50 million).</w:t>
      </w:r>
    </w:p>
    <w:p w14:paraId="44727E3C" w14:textId="0B512DF3" w:rsidR="00E85761" w:rsidRDefault="00E85761" w:rsidP="00674440">
      <w:pPr>
        <w:spacing w:after="0"/>
      </w:pPr>
      <w:r>
        <w:t xml:space="preserve">GEAPs are </w:t>
      </w:r>
      <w:r w:rsidR="002F0C73" w:rsidRPr="002F0C73">
        <w:rPr>
          <w:b/>
          <w:bCs/>
        </w:rPr>
        <w:t xml:space="preserve">voluntary </w:t>
      </w:r>
      <w:r w:rsidR="002F0C73">
        <w:t xml:space="preserve">and </w:t>
      </w:r>
      <w:r w:rsidR="00F62D32">
        <w:t>Potential Suppliers</w:t>
      </w:r>
      <w:r w:rsidR="002F0C73">
        <w:t xml:space="preserve"> are </w:t>
      </w:r>
      <w:r w:rsidR="002F0C73" w:rsidRPr="004656F1">
        <w:rPr>
          <w:b/>
          <w:bCs/>
        </w:rPr>
        <w:t>encouraged</w:t>
      </w:r>
      <w:r w:rsidR="002F0C73">
        <w:t xml:space="preserve"> </w:t>
      </w:r>
      <w:r w:rsidR="00F62D32">
        <w:t>to submit with their Submission for</w:t>
      </w:r>
      <w:r>
        <w:t>:</w:t>
      </w:r>
    </w:p>
    <w:p w14:paraId="77619384" w14:textId="77777777" w:rsidR="00E85761" w:rsidRDefault="00E85761" w:rsidP="00986DBB">
      <w:pPr>
        <w:pStyle w:val="ListParagraph"/>
        <w:numPr>
          <w:ilvl w:val="0"/>
          <w:numId w:val="11"/>
        </w:numPr>
        <w:spacing w:line="276" w:lineRule="auto"/>
        <w:ind w:left="284" w:hanging="284"/>
      </w:pPr>
      <w:r>
        <w:t>Major Construction Projects (≥ $10 million), and</w:t>
      </w:r>
    </w:p>
    <w:p w14:paraId="1ACA4CB9" w14:textId="53D7B3ED" w:rsidR="00E85761" w:rsidRDefault="00E85761" w:rsidP="00986DBB">
      <w:pPr>
        <w:pStyle w:val="ListParagraph"/>
        <w:numPr>
          <w:ilvl w:val="0"/>
          <w:numId w:val="11"/>
        </w:numPr>
        <w:spacing w:line="276" w:lineRule="auto"/>
        <w:ind w:left="284" w:hanging="284"/>
      </w:pPr>
      <w:r>
        <w:t>Major ICT Projects (≥ $10 million).</w:t>
      </w:r>
    </w:p>
    <w:p w14:paraId="101AAFE3" w14:textId="64E2E0BA" w:rsidR="00E85761" w:rsidRDefault="00E85761" w:rsidP="00674440">
      <w:pPr>
        <w:spacing w:after="0"/>
      </w:pPr>
      <w:r>
        <w:t xml:space="preserve">GEAPs outline how </w:t>
      </w:r>
      <w:r w:rsidR="00631A12">
        <w:t xml:space="preserve">Potential </w:t>
      </w:r>
      <w:r>
        <w:t>Suppliers will meet and sustain targets for Women, including:</w:t>
      </w:r>
    </w:p>
    <w:p w14:paraId="6ADA526E" w14:textId="12A10769" w:rsidR="00E85761" w:rsidRDefault="00165EAE" w:rsidP="00986DBB">
      <w:pPr>
        <w:pStyle w:val="ListParagraph"/>
        <w:numPr>
          <w:ilvl w:val="0"/>
          <w:numId w:val="11"/>
        </w:numPr>
        <w:spacing w:line="276" w:lineRule="auto"/>
        <w:ind w:left="284" w:hanging="284"/>
      </w:pPr>
      <w:r>
        <w:t>r</w:t>
      </w:r>
      <w:r w:rsidR="00E85761">
        <w:t>ecruitment and retention strategies</w:t>
      </w:r>
      <w:r w:rsidR="00187EA0">
        <w:t xml:space="preserve"> that will be put in place or continue to operate to ensure the targets for Women are achieved and sustained</w:t>
      </w:r>
      <w:r w:rsidR="00E85761">
        <w:t>,</w:t>
      </w:r>
    </w:p>
    <w:p w14:paraId="5499444A" w14:textId="68C5F4D8" w:rsidR="00E85761" w:rsidRDefault="00165EAE" w:rsidP="00986DBB">
      <w:pPr>
        <w:pStyle w:val="ListParagraph"/>
        <w:numPr>
          <w:ilvl w:val="0"/>
          <w:numId w:val="11"/>
        </w:numPr>
        <w:spacing w:line="276" w:lineRule="auto"/>
        <w:ind w:left="284" w:hanging="284"/>
      </w:pPr>
      <w:r>
        <w:t>w</w:t>
      </w:r>
      <w:r w:rsidR="00E85761">
        <w:t>orkplace culture improvements,</w:t>
      </w:r>
    </w:p>
    <w:p w14:paraId="16DDAE51" w14:textId="2A3A9CC3" w:rsidR="00E85761" w:rsidRDefault="00165EAE" w:rsidP="00986DBB">
      <w:pPr>
        <w:pStyle w:val="ListParagraph"/>
        <w:numPr>
          <w:ilvl w:val="0"/>
          <w:numId w:val="11"/>
        </w:numPr>
        <w:spacing w:line="276" w:lineRule="auto"/>
        <w:ind w:left="284" w:hanging="284"/>
      </w:pPr>
      <w:r>
        <w:t>c</w:t>
      </w:r>
      <w:r w:rsidR="00E85761">
        <w:t>ommitments to safe, respectful, and equitable environments.</w:t>
      </w:r>
    </w:p>
    <w:p w14:paraId="6F64C44C" w14:textId="542E6B68" w:rsidR="00E85761" w:rsidRDefault="00E85761" w:rsidP="00674440">
      <w:pPr>
        <w:spacing w:after="0"/>
      </w:pPr>
      <w:r>
        <w:t>GEAPs may include:</w:t>
      </w:r>
    </w:p>
    <w:p w14:paraId="07CB8216" w14:textId="758635C7" w:rsidR="00E85761" w:rsidRDefault="00E85761" w:rsidP="00986DBB">
      <w:pPr>
        <w:pStyle w:val="ListParagraph"/>
        <w:numPr>
          <w:ilvl w:val="0"/>
          <w:numId w:val="11"/>
        </w:numPr>
        <w:spacing w:line="276" w:lineRule="auto"/>
        <w:ind w:left="284" w:hanging="284"/>
      </w:pPr>
      <w:r>
        <w:t>Organisation-wide policies</w:t>
      </w:r>
    </w:p>
    <w:p w14:paraId="254A3DD1" w14:textId="1378FE1C" w:rsidR="00E85761" w:rsidRDefault="00165EAE" w:rsidP="00986DBB">
      <w:pPr>
        <w:pStyle w:val="ListParagraph"/>
        <w:numPr>
          <w:ilvl w:val="0"/>
          <w:numId w:val="11"/>
        </w:numPr>
        <w:spacing w:line="276" w:lineRule="auto"/>
        <w:ind w:left="284" w:hanging="284"/>
      </w:pPr>
      <w:r>
        <w:t>p</w:t>
      </w:r>
      <w:r w:rsidR="00E85761">
        <w:t>rocurement-specific actions</w:t>
      </w:r>
    </w:p>
    <w:p w14:paraId="46A33016" w14:textId="6A60A747" w:rsidR="00117CFA" w:rsidRDefault="00117CFA" w:rsidP="00986DBB">
      <w:pPr>
        <w:pStyle w:val="ListParagraph"/>
        <w:numPr>
          <w:ilvl w:val="0"/>
          <w:numId w:val="11"/>
        </w:numPr>
        <w:spacing w:line="276" w:lineRule="auto"/>
        <w:ind w:left="284" w:hanging="284"/>
      </w:pPr>
      <w:r w:rsidRPr="00117CFA">
        <w:t>how the</w:t>
      </w:r>
      <w:r>
        <w:t xml:space="preserve"> Supplier aims to</w:t>
      </w:r>
      <w:r w:rsidRPr="00117CFA">
        <w:t xml:space="preserve"> drive both short and long-term outcomes</w:t>
      </w:r>
    </w:p>
    <w:p w14:paraId="23A8EB4D" w14:textId="0604614B" w:rsidR="00B91CB8" w:rsidRDefault="00E85761" w:rsidP="00986DBB">
      <w:pPr>
        <w:pStyle w:val="ListParagraph"/>
        <w:numPr>
          <w:ilvl w:val="0"/>
          <w:numId w:val="11"/>
        </w:numPr>
        <w:spacing w:line="276" w:lineRule="auto"/>
        <w:ind w:left="284" w:hanging="284"/>
      </w:pPr>
      <w:r>
        <w:t xml:space="preserve">how </w:t>
      </w:r>
      <w:r w:rsidR="00717728">
        <w:t>the Supplier</w:t>
      </w:r>
      <w:r w:rsidR="002213A4">
        <w:t>’</w:t>
      </w:r>
      <w:r w:rsidR="00717728">
        <w:t xml:space="preserve">s </w:t>
      </w:r>
      <w:r>
        <w:t>broader policies will apply to the specific project.</w:t>
      </w:r>
    </w:p>
    <w:p w14:paraId="1B98850F" w14:textId="7BBE4D7A" w:rsidR="00674440" w:rsidRDefault="00B91CB8" w:rsidP="0088623B">
      <w:r w:rsidRPr="00E56837">
        <w:t xml:space="preserve">A </w:t>
      </w:r>
      <w:r w:rsidR="00961154" w:rsidRPr="00E56837">
        <w:t xml:space="preserve">GEAP </w:t>
      </w:r>
      <w:r w:rsidRPr="00E56837">
        <w:t xml:space="preserve">template for </w:t>
      </w:r>
      <w:r w:rsidR="00631A12" w:rsidRPr="00E56837">
        <w:t xml:space="preserve">Potential </w:t>
      </w:r>
      <w:r w:rsidR="00961154" w:rsidRPr="00E56837">
        <w:t xml:space="preserve">Suppliers is available </w:t>
      </w:r>
      <w:r w:rsidR="001C471D" w:rsidRPr="00E56837">
        <w:t xml:space="preserve">in the Supplementary Guidance for Suppliers for PCP Version 1.2 </w:t>
      </w:r>
      <w:r w:rsidR="00961154" w:rsidRPr="00E56837">
        <w:t xml:space="preserve">on the </w:t>
      </w:r>
      <w:hyperlink r:id="rId22" w:history="1">
        <w:r w:rsidR="00961154" w:rsidRPr="00E56837">
          <w:rPr>
            <w:rStyle w:val="Hyperlink"/>
          </w:rPr>
          <w:t>DEWR website</w:t>
        </w:r>
      </w:hyperlink>
      <w:r w:rsidR="00961154" w:rsidRPr="00E56837">
        <w:t>.</w:t>
      </w:r>
      <w:r w:rsidR="00961154">
        <w:t xml:space="preserve"> </w:t>
      </w:r>
    </w:p>
    <w:p w14:paraId="634CAA08" w14:textId="5A635A70" w:rsidR="00CF6525" w:rsidRPr="006851E3" w:rsidRDefault="006851E3" w:rsidP="00CF6525">
      <w:pPr>
        <w:pStyle w:val="Heading2"/>
        <w:rPr>
          <w:color w:val="5D7A38"/>
        </w:rPr>
      </w:pPr>
      <w:bookmarkStart w:id="15" w:name="_Toc209787046"/>
      <w:bookmarkStart w:id="16" w:name="_Hlk209163763"/>
      <w:r w:rsidRPr="3BCD4151">
        <w:rPr>
          <w:rFonts w:ascii="Segoe UI Emoji" w:eastAsia="Times New Roman" w:hAnsi="Segoe UI Emoji" w:cs="Segoe UI Emoji"/>
          <w:color w:val="5D7A38"/>
          <w:sz w:val="24"/>
          <w:szCs w:val="24"/>
          <w:lang w:eastAsia="en-AU"/>
        </w:rPr>
        <w:t>📌</w:t>
      </w:r>
      <w:r w:rsidRPr="3BCD4151">
        <w:rPr>
          <w:color w:val="5D7A38"/>
        </w:rPr>
        <w:t xml:space="preserve"> </w:t>
      </w:r>
      <w:r w:rsidR="00CF6525" w:rsidRPr="3BCD4151">
        <w:rPr>
          <w:color w:val="5D7A38"/>
        </w:rPr>
        <w:t xml:space="preserve">Actions for </w:t>
      </w:r>
      <w:r w:rsidR="00E85761" w:rsidRPr="3BCD4151">
        <w:rPr>
          <w:color w:val="5D7A38"/>
        </w:rPr>
        <w:t>Relevant Entities</w:t>
      </w:r>
      <w:bookmarkEnd w:id="15"/>
      <w:r w:rsidR="00E85761" w:rsidRPr="3BCD4151">
        <w:rPr>
          <w:color w:val="5D7A38"/>
        </w:rPr>
        <w:t xml:space="preserve"> </w:t>
      </w:r>
    </w:p>
    <w:bookmarkEnd w:id="16"/>
    <w:p w14:paraId="181D1681" w14:textId="07403E80" w:rsidR="00E85761" w:rsidRPr="00CF6525" w:rsidRDefault="003E6E7B" w:rsidP="00966D9C">
      <w:pPr>
        <w:pStyle w:val="ListParagraph"/>
        <w:numPr>
          <w:ilvl w:val="0"/>
          <w:numId w:val="11"/>
        </w:numPr>
        <w:spacing w:line="276" w:lineRule="auto"/>
      </w:pPr>
      <w:r>
        <w:t>e</w:t>
      </w:r>
      <w:r w:rsidR="00E85761" w:rsidRPr="00CF6525">
        <w:t>nsure GEAPs are submitted</w:t>
      </w:r>
      <w:r w:rsidR="00286CBA" w:rsidRPr="00CF6525">
        <w:t xml:space="preserve"> by Potential Suppliers</w:t>
      </w:r>
      <w:r w:rsidR="00166FCF" w:rsidRPr="00CF6525">
        <w:t>,</w:t>
      </w:r>
      <w:r w:rsidR="00E85761" w:rsidRPr="00CF6525">
        <w:t xml:space="preserve"> where required</w:t>
      </w:r>
    </w:p>
    <w:p w14:paraId="2EF51553" w14:textId="112D4176" w:rsidR="00E85761" w:rsidRDefault="003E6E7B" w:rsidP="00966D9C">
      <w:pPr>
        <w:pStyle w:val="ListParagraph"/>
        <w:numPr>
          <w:ilvl w:val="0"/>
          <w:numId w:val="11"/>
        </w:numPr>
        <w:spacing w:line="276" w:lineRule="auto"/>
      </w:pPr>
      <w:r>
        <w:t>a</w:t>
      </w:r>
      <w:r w:rsidR="00E85761">
        <w:t xml:space="preserve">ssess whether the GEAP aligns with the project type and </w:t>
      </w:r>
      <w:r w:rsidR="00EF3C70">
        <w:t xml:space="preserve">its </w:t>
      </w:r>
      <w:r w:rsidR="00E85761">
        <w:t>applicable targets</w:t>
      </w:r>
    </w:p>
    <w:p w14:paraId="0FBDA42B" w14:textId="1A6BA3CC" w:rsidR="00E85761" w:rsidRDefault="00165EAE" w:rsidP="00966D9C">
      <w:pPr>
        <w:pStyle w:val="ListParagraph"/>
        <w:numPr>
          <w:ilvl w:val="0"/>
          <w:numId w:val="11"/>
        </w:numPr>
        <w:spacing w:line="276" w:lineRule="auto"/>
      </w:pPr>
      <w:r>
        <w:t>a</w:t>
      </w:r>
      <w:r w:rsidR="00E85761">
        <w:t>pprove the Supplier</w:t>
      </w:r>
      <w:r w:rsidR="002213A4">
        <w:t>’</w:t>
      </w:r>
      <w:r w:rsidR="00E85761">
        <w:t>s GEAP</w:t>
      </w:r>
    </w:p>
    <w:p w14:paraId="794FB0B4" w14:textId="72E140CF" w:rsidR="00E85761" w:rsidRDefault="00165EAE" w:rsidP="00966D9C">
      <w:pPr>
        <w:pStyle w:val="ListParagraph"/>
        <w:numPr>
          <w:ilvl w:val="0"/>
          <w:numId w:val="11"/>
        </w:numPr>
        <w:spacing w:line="276" w:lineRule="auto"/>
      </w:pPr>
      <w:r>
        <w:t>r</w:t>
      </w:r>
      <w:r w:rsidR="007B1056">
        <w:t>emind</w:t>
      </w:r>
      <w:r w:rsidR="00E85761">
        <w:t xml:space="preserve"> the Supplier </w:t>
      </w:r>
      <w:r w:rsidR="007B1056">
        <w:t xml:space="preserve">to </w:t>
      </w:r>
      <w:r w:rsidR="00E85761">
        <w:t>share the GEAP with any Sub-contractors.</w:t>
      </w:r>
    </w:p>
    <w:p w14:paraId="30FAA942" w14:textId="41581926" w:rsidR="007B1056" w:rsidRDefault="00165EAE" w:rsidP="00966D9C">
      <w:pPr>
        <w:pStyle w:val="ListParagraph"/>
        <w:numPr>
          <w:ilvl w:val="0"/>
          <w:numId w:val="11"/>
        </w:numPr>
        <w:spacing w:line="276" w:lineRule="auto"/>
      </w:pPr>
      <w:r>
        <w:t>m</w:t>
      </w:r>
      <w:r w:rsidR="007B1056">
        <w:t xml:space="preserve">onitor Supplier compliance </w:t>
      </w:r>
      <w:r w:rsidR="002B16ED">
        <w:t xml:space="preserve">and performance against gender equality targets </w:t>
      </w:r>
      <w:r w:rsidR="00B84707">
        <w:t>outlined in their</w:t>
      </w:r>
      <w:r w:rsidR="007B1056">
        <w:t xml:space="preserve"> GEAP throughout the project lifecycle.</w:t>
      </w:r>
    </w:p>
    <w:p w14:paraId="21B1F3A2" w14:textId="30F98D8E" w:rsidR="00E85761" w:rsidRDefault="00165EAE" w:rsidP="00966D9C">
      <w:pPr>
        <w:pStyle w:val="ListParagraph"/>
        <w:numPr>
          <w:ilvl w:val="0"/>
          <w:numId w:val="11"/>
        </w:numPr>
        <w:spacing w:line="276" w:lineRule="auto"/>
      </w:pPr>
      <w:r>
        <w:t>e</w:t>
      </w:r>
      <w:r w:rsidR="00E85761">
        <w:t>ncourage Suppliers to pursue both short and long-term outcomes</w:t>
      </w:r>
    </w:p>
    <w:p w14:paraId="58341892" w14:textId="692773A6" w:rsidR="00B01106" w:rsidRDefault="00165EAE" w:rsidP="00966D9C">
      <w:pPr>
        <w:pStyle w:val="ListParagraph"/>
        <w:numPr>
          <w:ilvl w:val="0"/>
          <w:numId w:val="11"/>
        </w:numPr>
        <w:spacing w:line="276" w:lineRule="auto"/>
      </w:pPr>
      <w:r>
        <w:t>r</w:t>
      </w:r>
      <w:r w:rsidR="00E85761">
        <w:t>ecognise that cultural change takes time and sustained effort</w:t>
      </w:r>
      <w:r w:rsidR="00AE5813">
        <w:t>.</w:t>
      </w:r>
    </w:p>
    <w:p w14:paraId="164BCCCB" w14:textId="45FC5735" w:rsidR="00717728" w:rsidRDefault="00B01106" w:rsidP="00B01106">
      <w:pPr>
        <w:spacing w:after="160" w:line="259" w:lineRule="auto"/>
      </w:pPr>
      <w:r>
        <w:br w:type="page"/>
      </w:r>
    </w:p>
    <w:p w14:paraId="655A4770" w14:textId="4BB2A32A" w:rsidR="0067759D" w:rsidRPr="00535C6B" w:rsidRDefault="00E36A93" w:rsidP="00535C6B">
      <w:pPr>
        <w:pStyle w:val="Heading1"/>
      </w:pPr>
      <w:bookmarkStart w:id="17" w:name="_Toc209787047"/>
      <w:r>
        <w:lastRenderedPageBreak/>
        <w:t>Construction t</w:t>
      </w:r>
      <w:r w:rsidR="00020B0E">
        <w:t>argets</w:t>
      </w:r>
      <w:bookmarkEnd w:id="17"/>
    </w:p>
    <w:p w14:paraId="32D22566" w14:textId="6D7FB92A" w:rsidR="0067759D" w:rsidRPr="00427E00" w:rsidRDefault="006C5834" w:rsidP="00427E00">
      <w:pPr>
        <w:spacing w:after="0"/>
        <w:rPr>
          <w:rFonts w:ascii="Calibri" w:eastAsiaTheme="majorEastAsia" w:hAnsi="Calibri" w:cstheme="majorBidi"/>
          <w:b/>
          <w:color w:val="5F6369"/>
        </w:rPr>
      </w:pPr>
      <w:bookmarkStart w:id="18" w:name="_Hlk209515848"/>
      <w:r w:rsidRPr="00503CB7">
        <w:rPr>
          <w:rFonts w:ascii="Calibri" w:eastAsiaTheme="majorEastAsia" w:hAnsi="Calibri" w:cstheme="majorBidi"/>
          <w:b/>
          <w:color w:val="5F6369"/>
        </w:rPr>
        <w:t xml:space="preserve">Table </w:t>
      </w:r>
      <w:r w:rsidR="00B01106">
        <w:rPr>
          <w:rFonts w:ascii="Calibri" w:eastAsiaTheme="majorEastAsia" w:hAnsi="Calibri" w:cstheme="majorBidi"/>
          <w:b/>
          <w:color w:val="5F6369"/>
        </w:rPr>
        <w:t>2</w:t>
      </w:r>
      <w:r w:rsidR="00503CB7">
        <w:rPr>
          <w:rFonts w:ascii="Calibri" w:eastAsiaTheme="majorEastAsia" w:hAnsi="Calibri" w:cstheme="majorBidi"/>
          <w:b/>
          <w:color w:val="5F6369"/>
        </w:rPr>
        <w:t xml:space="preserve"> </w:t>
      </w:r>
      <w:r w:rsidR="00DC2CE4">
        <w:rPr>
          <w:rFonts w:ascii="Calibri" w:eastAsiaTheme="majorEastAsia" w:hAnsi="Calibri" w:cstheme="majorBidi"/>
          <w:b/>
          <w:color w:val="5F6369"/>
        </w:rPr>
        <w:t>–</w:t>
      </w:r>
      <w:r w:rsidR="00503CB7">
        <w:rPr>
          <w:rFonts w:ascii="Calibri" w:eastAsiaTheme="majorEastAsia" w:hAnsi="Calibri" w:cstheme="majorBidi"/>
          <w:b/>
          <w:color w:val="5F6369"/>
        </w:rPr>
        <w:t xml:space="preserve"> </w:t>
      </w:r>
      <w:r w:rsidR="006C17B3">
        <w:rPr>
          <w:rFonts w:ascii="Calibri" w:eastAsiaTheme="majorEastAsia" w:hAnsi="Calibri" w:cstheme="majorBidi"/>
          <w:b/>
          <w:color w:val="5F6369"/>
        </w:rPr>
        <w:t xml:space="preserve">PCP </w:t>
      </w:r>
      <w:r w:rsidR="00B034C0">
        <w:rPr>
          <w:rFonts w:ascii="Calibri" w:eastAsiaTheme="majorEastAsia" w:hAnsi="Calibri" w:cstheme="majorBidi"/>
          <w:b/>
          <w:color w:val="5F6369"/>
        </w:rPr>
        <w:t xml:space="preserve">requirements for </w:t>
      </w:r>
      <w:r w:rsidR="00DC2CE4">
        <w:rPr>
          <w:rFonts w:ascii="Calibri" w:eastAsiaTheme="majorEastAsia" w:hAnsi="Calibri" w:cstheme="majorBidi"/>
          <w:b/>
          <w:color w:val="5F6369"/>
        </w:rPr>
        <w:t xml:space="preserve">Construction </w:t>
      </w:r>
      <w:r w:rsidR="006C17B3">
        <w:rPr>
          <w:rFonts w:ascii="Calibri" w:eastAsiaTheme="majorEastAsia" w:hAnsi="Calibri" w:cstheme="majorBidi"/>
          <w:b/>
          <w:color w:val="5F6369"/>
        </w:rPr>
        <w:t>procurements</w:t>
      </w:r>
    </w:p>
    <w:tbl>
      <w:tblPr>
        <w:tblStyle w:val="TableGrid"/>
        <w:tblW w:w="9351" w:type="dxa"/>
        <w:tblLook w:val="04A0" w:firstRow="1" w:lastRow="0" w:firstColumn="1" w:lastColumn="0" w:noHBand="0" w:noVBand="1"/>
        <w:tblCaption w:val="Table 2 PCP requirements for Construction procurements"/>
        <w:tblDescription w:val="Table provides an overview of the construction procurement requirements."/>
      </w:tblPr>
      <w:tblGrid>
        <w:gridCol w:w="1485"/>
        <w:gridCol w:w="1185"/>
        <w:gridCol w:w="1619"/>
        <w:gridCol w:w="1767"/>
        <w:gridCol w:w="1736"/>
        <w:gridCol w:w="1559"/>
      </w:tblGrid>
      <w:tr w:rsidR="00610A78" w14:paraId="5F27C358" w14:textId="77777777" w:rsidTr="00D35825">
        <w:trPr>
          <w:trHeight w:val="300"/>
        </w:trPr>
        <w:tc>
          <w:tcPr>
            <w:tcW w:w="1485" w:type="dxa"/>
            <w:shd w:val="clear" w:color="auto" w:fill="A4A7A9"/>
          </w:tcPr>
          <w:bookmarkEnd w:id="18"/>
          <w:p w14:paraId="7D7CF623" w14:textId="494864CC" w:rsidR="00610A78" w:rsidRPr="001B5C77" w:rsidRDefault="00610A78" w:rsidP="00115FBA">
            <w:pPr>
              <w:spacing w:after="100"/>
              <w:rPr>
                <w:b/>
                <w:bCs/>
              </w:rPr>
            </w:pPr>
            <w:r w:rsidRPr="001B5C77">
              <w:rPr>
                <w:b/>
                <w:bCs/>
              </w:rPr>
              <w:t>Project Type</w:t>
            </w:r>
          </w:p>
        </w:tc>
        <w:tc>
          <w:tcPr>
            <w:tcW w:w="1185" w:type="dxa"/>
            <w:shd w:val="clear" w:color="auto" w:fill="A4A7A9"/>
          </w:tcPr>
          <w:p w14:paraId="3DFB93C7" w14:textId="2DE153B0" w:rsidR="00610A78" w:rsidRPr="001B5C77" w:rsidRDefault="00610A78" w:rsidP="00115FBA">
            <w:pPr>
              <w:spacing w:after="100"/>
              <w:rPr>
                <w:b/>
                <w:bCs/>
              </w:rPr>
            </w:pPr>
            <w:r w:rsidRPr="001B5C77">
              <w:rPr>
                <w:b/>
                <w:bCs/>
              </w:rPr>
              <w:t>Value Threshold</w:t>
            </w:r>
          </w:p>
        </w:tc>
        <w:tc>
          <w:tcPr>
            <w:tcW w:w="1619" w:type="dxa"/>
            <w:shd w:val="clear" w:color="auto" w:fill="A4A7A9"/>
          </w:tcPr>
          <w:p w14:paraId="776104E4" w14:textId="3A962724" w:rsidR="00610A78" w:rsidRPr="001B5C77" w:rsidRDefault="00BB64BB" w:rsidP="00115FBA">
            <w:pPr>
              <w:spacing w:after="100"/>
              <w:rPr>
                <w:b/>
                <w:bCs/>
              </w:rPr>
            </w:pPr>
            <w:r w:rsidRPr="001B5C77">
              <w:rPr>
                <w:b/>
                <w:bCs/>
              </w:rPr>
              <w:t xml:space="preserve">Overarching </w:t>
            </w:r>
            <w:r w:rsidR="00610A78" w:rsidRPr="001B5C77">
              <w:rPr>
                <w:b/>
                <w:bCs/>
              </w:rPr>
              <w:t>Apprentice Target</w:t>
            </w:r>
          </w:p>
        </w:tc>
        <w:tc>
          <w:tcPr>
            <w:tcW w:w="1767" w:type="dxa"/>
            <w:shd w:val="clear" w:color="auto" w:fill="A4A7A9"/>
          </w:tcPr>
          <w:p w14:paraId="6005A998" w14:textId="1D80C0CA" w:rsidR="00610A78" w:rsidRPr="001B5C77" w:rsidRDefault="00610A78" w:rsidP="00115FBA">
            <w:pPr>
              <w:spacing w:after="100"/>
              <w:rPr>
                <w:b/>
                <w:bCs/>
              </w:rPr>
            </w:pPr>
            <w:r w:rsidRPr="001B5C77">
              <w:rPr>
                <w:b/>
                <w:bCs/>
              </w:rPr>
              <w:t>Overarching Apprentice Targets for Women</w:t>
            </w:r>
          </w:p>
        </w:tc>
        <w:tc>
          <w:tcPr>
            <w:tcW w:w="1736" w:type="dxa"/>
            <w:shd w:val="clear" w:color="auto" w:fill="A4A7A9"/>
          </w:tcPr>
          <w:p w14:paraId="54481558" w14:textId="3163F87E" w:rsidR="00610A78" w:rsidRPr="001B5C77" w:rsidRDefault="00610A78" w:rsidP="00115FBA">
            <w:pPr>
              <w:spacing w:after="100"/>
              <w:rPr>
                <w:b/>
                <w:bCs/>
              </w:rPr>
            </w:pPr>
            <w:r w:rsidRPr="001B5C77">
              <w:rPr>
                <w:b/>
                <w:bCs/>
              </w:rPr>
              <w:t>Trade-Specific Apprentice Target for Women</w:t>
            </w:r>
          </w:p>
        </w:tc>
        <w:tc>
          <w:tcPr>
            <w:tcW w:w="1559" w:type="dxa"/>
            <w:shd w:val="clear" w:color="auto" w:fill="A4A7A9"/>
          </w:tcPr>
          <w:p w14:paraId="6C67A4BC" w14:textId="642CF8C6" w:rsidR="00610A78" w:rsidRPr="001B5C77" w:rsidRDefault="00EF39B9" w:rsidP="00115FBA">
            <w:pPr>
              <w:spacing w:after="100"/>
              <w:rPr>
                <w:b/>
                <w:bCs/>
              </w:rPr>
            </w:pPr>
            <w:r w:rsidRPr="001B5C77">
              <w:rPr>
                <w:b/>
                <w:bCs/>
              </w:rPr>
              <w:t>Gender Equality Action Plan</w:t>
            </w:r>
          </w:p>
        </w:tc>
      </w:tr>
      <w:tr w:rsidR="00610A78" w14:paraId="4C02E323" w14:textId="77777777" w:rsidTr="00D35825">
        <w:trPr>
          <w:trHeight w:val="300"/>
        </w:trPr>
        <w:tc>
          <w:tcPr>
            <w:tcW w:w="1485" w:type="dxa"/>
            <w:shd w:val="clear" w:color="auto" w:fill="7A9F4C"/>
          </w:tcPr>
          <w:p w14:paraId="137DFB56" w14:textId="1ED21CB7" w:rsidR="00610A78" w:rsidRPr="00321CFA" w:rsidRDefault="00610A78" w:rsidP="003723A6">
            <w:pPr>
              <w:spacing w:before="80" w:after="0"/>
              <w:rPr>
                <w:b/>
                <w:bCs/>
              </w:rPr>
            </w:pPr>
            <w:r w:rsidRPr="00321CFA">
              <w:rPr>
                <w:b/>
                <w:bCs/>
              </w:rPr>
              <w:t>Major Construction Project</w:t>
            </w:r>
          </w:p>
        </w:tc>
        <w:tc>
          <w:tcPr>
            <w:tcW w:w="1185" w:type="dxa"/>
          </w:tcPr>
          <w:p w14:paraId="631FC916" w14:textId="5CE7373F" w:rsidR="00610A78" w:rsidRPr="00321CFA" w:rsidRDefault="001339CC" w:rsidP="003723A6">
            <w:pPr>
              <w:spacing w:before="80" w:after="0"/>
            </w:pPr>
            <w:r w:rsidRPr="00321CFA">
              <w:t>$10 million or more</w:t>
            </w:r>
          </w:p>
        </w:tc>
        <w:tc>
          <w:tcPr>
            <w:tcW w:w="1619" w:type="dxa"/>
          </w:tcPr>
          <w:p w14:paraId="55724FB2" w14:textId="608205FF" w:rsidR="00610A78" w:rsidRPr="00321CFA" w:rsidRDefault="001339CC" w:rsidP="003723A6">
            <w:pPr>
              <w:spacing w:before="80" w:after="0"/>
            </w:pPr>
            <w:r w:rsidRPr="00321CFA">
              <w:t>Minimum 10% of all estimated Labour Hours</w:t>
            </w:r>
            <w:r w:rsidR="00A16B2E">
              <w:t xml:space="preserve"> by Apprentices</w:t>
            </w:r>
          </w:p>
        </w:tc>
        <w:tc>
          <w:tcPr>
            <w:tcW w:w="1767" w:type="dxa"/>
          </w:tcPr>
          <w:p w14:paraId="1D683F6D" w14:textId="0CD752B6" w:rsidR="00610A78" w:rsidRPr="00321CFA" w:rsidRDefault="004D65E7" w:rsidP="003723A6">
            <w:pPr>
              <w:spacing w:before="80" w:after="0"/>
            </w:pPr>
            <w:r w:rsidRPr="00321CFA">
              <w:t>Minimum 7%</w:t>
            </w:r>
            <w:r w:rsidR="00427E00">
              <w:t>*</w:t>
            </w:r>
            <w:r w:rsidRPr="00321CFA">
              <w:t xml:space="preserve"> of Apprentice Labour Hours</w:t>
            </w:r>
            <w:r w:rsidR="00EF3306" w:rsidRPr="00321CFA">
              <w:t xml:space="preserve"> undertaken by Women</w:t>
            </w:r>
          </w:p>
        </w:tc>
        <w:tc>
          <w:tcPr>
            <w:tcW w:w="1736" w:type="dxa"/>
          </w:tcPr>
          <w:p w14:paraId="4355F152" w14:textId="3B8CC5FE" w:rsidR="00610A78" w:rsidRPr="00321CFA" w:rsidRDefault="00115FBA" w:rsidP="003723A6">
            <w:pPr>
              <w:spacing w:before="80" w:after="0"/>
            </w:pPr>
            <w:r w:rsidRPr="00321CFA">
              <w:t>Minimum 5%</w:t>
            </w:r>
            <w:r w:rsidR="00427E00">
              <w:t>*</w:t>
            </w:r>
            <w:r w:rsidRPr="00321CFA">
              <w:t xml:space="preserve"> of Trade Apprentice Labour </w:t>
            </w:r>
            <w:r w:rsidR="00EF39B9" w:rsidRPr="00321CFA">
              <w:t>Hours</w:t>
            </w:r>
            <w:r w:rsidR="00EF3306" w:rsidRPr="00321CFA">
              <w:t xml:space="preserve"> undertaken by Women</w:t>
            </w:r>
          </w:p>
        </w:tc>
        <w:tc>
          <w:tcPr>
            <w:tcW w:w="1559" w:type="dxa"/>
          </w:tcPr>
          <w:p w14:paraId="53179D85" w14:textId="053FD4CB" w:rsidR="00610A78" w:rsidRPr="00321CFA" w:rsidRDefault="00EF39B9" w:rsidP="003723A6">
            <w:pPr>
              <w:spacing w:before="80" w:after="0"/>
            </w:pPr>
            <w:r w:rsidRPr="00321CFA">
              <w:t>Voluntary with Submission</w:t>
            </w:r>
          </w:p>
        </w:tc>
      </w:tr>
      <w:tr w:rsidR="00610A78" w14:paraId="4F68D6D8" w14:textId="77777777" w:rsidTr="00D35825">
        <w:trPr>
          <w:trHeight w:val="300"/>
        </w:trPr>
        <w:tc>
          <w:tcPr>
            <w:tcW w:w="1485" w:type="dxa"/>
            <w:shd w:val="clear" w:color="auto" w:fill="7A9F4C"/>
          </w:tcPr>
          <w:p w14:paraId="25D09E2B" w14:textId="34FA642D" w:rsidR="00610A78" w:rsidRPr="00321CFA" w:rsidRDefault="00610A78" w:rsidP="0067759D">
            <w:pPr>
              <w:spacing w:before="80" w:after="320"/>
              <w:rPr>
                <w:b/>
                <w:bCs/>
              </w:rPr>
            </w:pPr>
            <w:r w:rsidRPr="00321CFA">
              <w:rPr>
                <w:b/>
                <w:bCs/>
              </w:rPr>
              <w:t>Flagship Construction Project</w:t>
            </w:r>
          </w:p>
        </w:tc>
        <w:tc>
          <w:tcPr>
            <w:tcW w:w="1185" w:type="dxa"/>
          </w:tcPr>
          <w:p w14:paraId="4F50930A" w14:textId="4D33AD1F" w:rsidR="00610A78" w:rsidRPr="00321CFA" w:rsidRDefault="001339CC" w:rsidP="0067759D">
            <w:pPr>
              <w:spacing w:before="80" w:after="320"/>
            </w:pPr>
            <w:r w:rsidRPr="00321CFA">
              <w:t>$100 million or more</w:t>
            </w:r>
          </w:p>
        </w:tc>
        <w:tc>
          <w:tcPr>
            <w:tcW w:w="1619" w:type="dxa"/>
          </w:tcPr>
          <w:p w14:paraId="6125C20B" w14:textId="1BAF336E" w:rsidR="00610A78" w:rsidRPr="00321CFA" w:rsidRDefault="001339CC" w:rsidP="0067759D">
            <w:pPr>
              <w:spacing w:before="80" w:after="320"/>
            </w:pPr>
            <w:r w:rsidRPr="00321CFA">
              <w:t>Minimum 10% of all Labour Hours</w:t>
            </w:r>
          </w:p>
        </w:tc>
        <w:tc>
          <w:tcPr>
            <w:tcW w:w="1767" w:type="dxa"/>
          </w:tcPr>
          <w:p w14:paraId="009210EB" w14:textId="707BBB2C" w:rsidR="00610A78" w:rsidRPr="00321CFA" w:rsidRDefault="00434A61" w:rsidP="003723A6">
            <w:pPr>
              <w:spacing w:before="80" w:after="0"/>
            </w:pPr>
            <w:r>
              <w:t>Must meet targets for Women for Major Construction Projects</w:t>
            </w:r>
            <w:r w:rsidR="00F308C2">
              <w:t xml:space="preserve"> and set </w:t>
            </w:r>
            <w:r w:rsidR="00291D46">
              <w:t>and meet more ambitious targets for Women</w:t>
            </w:r>
          </w:p>
        </w:tc>
        <w:tc>
          <w:tcPr>
            <w:tcW w:w="1736" w:type="dxa"/>
          </w:tcPr>
          <w:p w14:paraId="7E9FB094" w14:textId="5E583444" w:rsidR="00610A78" w:rsidRPr="00321CFA" w:rsidRDefault="00291D46" w:rsidP="0067759D">
            <w:pPr>
              <w:spacing w:before="80" w:after="320"/>
            </w:pPr>
            <w:r>
              <w:t>Must meet targets for Women for Major Construction Projects and set and meet more ambitious targets for Women</w:t>
            </w:r>
          </w:p>
        </w:tc>
        <w:tc>
          <w:tcPr>
            <w:tcW w:w="1559" w:type="dxa"/>
          </w:tcPr>
          <w:p w14:paraId="4F461A39" w14:textId="0E68A5F3" w:rsidR="00610A78" w:rsidRPr="00321CFA" w:rsidRDefault="00EF39B9" w:rsidP="0067759D">
            <w:pPr>
              <w:spacing w:before="80" w:after="320"/>
            </w:pPr>
            <w:r w:rsidRPr="00321CFA">
              <w:t xml:space="preserve">Mandatory with Submission </w:t>
            </w:r>
          </w:p>
        </w:tc>
      </w:tr>
    </w:tbl>
    <w:p w14:paraId="021DA1EC" w14:textId="7A63F312" w:rsidR="002A527E" w:rsidRDefault="00D2783B" w:rsidP="0067759D">
      <w:pPr>
        <w:spacing w:before="80" w:after="320"/>
        <w:rPr>
          <w:sz w:val="18"/>
        </w:rPr>
      </w:pPr>
      <w:r w:rsidRPr="0067759D">
        <w:rPr>
          <w:sz w:val="18"/>
        </w:rPr>
        <w:t xml:space="preserve">*Targets for Women </w:t>
      </w:r>
      <w:r w:rsidR="002066F7">
        <w:rPr>
          <w:sz w:val="18"/>
        </w:rPr>
        <w:t xml:space="preserve">in </w:t>
      </w:r>
      <w:r w:rsidRPr="0067759D">
        <w:rPr>
          <w:sz w:val="18"/>
        </w:rPr>
        <w:t xml:space="preserve">listed </w:t>
      </w:r>
      <w:r w:rsidR="006B744E">
        <w:rPr>
          <w:sz w:val="18"/>
        </w:rPr>
        <w:t xml:space="preserve">in Table 2 </w:t>
      </w:r>
      <w:r w:rsidRPr="0067759D">
        <w:rPr>
          <w:sz w:val="18"/>
        </w:rPr>
        <w:t>are for 1 July 2025 to 30 June 2026 and increase one percentage point every financial year until 2030</w:t>
      </w:r>
      <w:r>
        <w:rPr>
          <w:sz w:val="18"/>
        </w:rPr>
        <w:t xml:space="preserve"> as outlined in Table </w:t>
      </w:r>
      <w:r w:rsidR="00551008">
        <w:rPr>
          <w:sz w:val="18"/>
        </w:rPr>
        <w:t>3</w:t>
      </w:r>
      <w:r>
        <w:rPr>
          <w:sz w:val="18"/>
        </w:rPr>
        <w:t xml:space="preserve"> below</w:t>
      </w:r>
      <w:r w:rsidRPr="0067759D">
        <w:rPr>
          <w:sz w:val="18"/>
        </w:rPr>
        <w:t>.</w:t>
      </w:r>
    </w:p>
    <w:p w14:paraId="51631A70" w14:textId="4A36C20E" w:rsidR="006136F0" w:rsidRPr="006136F0" w:rsidRDefault="006136F0" w:rsidP="006136F0">
      <w:r w:rsidRPr="00AC7D1B">
        <w:t xml:space="preserve">Targets </w:t>
      </w:r>
      <w:r>
        <w:t xml:space="preserve">for Women </w:t>
      </w:r>
      <w:r w:rsidRPr="00AC7D1B">
        <w:t xml:space="preserve">are based on the project’s </w:t>
      </w:r>
      <w:r>
        <w:t>C</w:t>
      </w:r>
      <w:r w:rsidRPr="00AC7D1B">
        <w:t xml:space="preserve">ontract start date and increase each financial year for multi-year </w:t>
      </w:r>
      <w:r w:rsidR="00F02FF2" w:rsidRPr="00AC7D1B">
        <w:t>projects</w:t>
      </w:r>
      <w:r w:rsidR="00F02FF2">
        <w:t>;</w:t>
      </w:r>
      <w:r w:rsidR="00314F92">
        <w:t xml:space="preserve"> </w:t>
      </w:r>
      <w:hyperlink w:anchor="_Table_3_-" w:history="1">
        <w:r w:rsidR="00314F92" w:rsidRPr="00680226">
          <w:rPr>
            <w:rStyle w:val="Hyperlink"/>
            <w:b/>
            <w:bCs/>
          </w:rPr>
          <w:t xml:space="preserve">Table </w:t>
        </w:r>
        <w:r w:rsidR="00B01106" w:rsidRPr="00680226">
          <w:rPr>
            <w:rStyle w:val="Hyperlink"/>
            <w:b/>
            <w:bCs/>
          </w:rPr>
          <w:t>3</w:t>
        </w:r>
      </w:hyperlink>
      <w:r w:rsidR="00314F92">
        <w:t xml:space="preserve"> below provides </w:t>
      </w:r>
      <w:r w:rsidR="00F02FF2">
        <w:t>more information on the increases</w:t>
      </w:r>
      <w:r w:rsidRPr="00AC7D1B">
        <w:t>.</w:t>
      </w:r>
    </w:p>
    <w:p w14:paraId="02EDD245" w14:textId="6A871E3B" w:rsidR="00E447C9" w:rsidRPr="00A6760B" w:rsidRDefault="006C5834" w:rsidP="00503CB7">
      <w:pPr>
        <w:pStyle w:val="Heading5"/>
      </w:pPr>
      <w:bookmarkStart w:id="19" w:name="_Table_3_-"/>
      <w:bookmarkEnd w:id="19"/>
      <w:r>
        <w:t xml:space="preserve">Table </w:t>
      </w:r>
      <w:r w:rsidR="00B01106">
        <w:t>3</w:t>
      </w:r>
      <w:r>
        <w:t xml:space="preserve"> </w:t>
      </w:r>
      <w:r w:rsidR="005C4106">
        <w:t xml:space="preserve">- </w:t>
      </w:r>
      <w:r w:rsidR="0067759D" w:rsidRPr="0067759D">
        <w:t xml:space="preserve">Annual increases of Targets for Women working on Construction projects </w:t>
      </w:r>
    </w:p>
    <w:tbl>
      <w:tblPr>
        <w:tblStyle w:val="TableGrid"/>
        <w:tblW w:w="0" w:type="auto"/>
        <w:tblLook w:val="04A0" w:firstRow="1" w:lastRow="0" w:firstColumn="1" w:lastColumn="0" w:noHBand="0" w:noVBand="1"/>
        <w:tblCaption w:val="Table 3 annual target increases for women on construction projects"/>
        <w:tblDescription w:val="Table 3 provides an overview of the increases for targets of the Overarching Apprentice Target for Women and the Trade-Specific Apprentice Target for Women. "/>
      </w:tblPr>
      <w:tblGrid>
        <w:gridCol w:w="2830"/>
        <w:gridCol w:w="2977"/>
        <w:gridCol w:w="3253"/>
      </w:tblGrid>
      <w:tr w:rsidR="0067759D" w:rsidRPr="0067759D" w14:paraId="1FC85CC5" w14:textId="77777777" w:rsidTr="00591A92">
        <w:trPr>
          <w:tblHeader/>
        </w:trPr>
        <w:tc>
          <w:tcPr>
            <w:tcW w:w="2830" w:type="dxa"/>
            <w:shd w:val="clear" w:color="auto" w:fill="A4A7A9"/>
            <w:vAlign w:val="center"/>
          </w:tcPr>
          <w:p w14:paraId="49F43C28" w14:textId="77777777" w:rsidR="0067759D" w:rsidRPr="00591A92" w:rsidRDefault="0067759D" w:rsidP="0067759D">
            <w:pPr>
              <w:spacing w:before="100" w:beforeAutospacing="1" w:after="100" w:afterAutospacing="1"/>
              <w:rPr>
                <w:rFonts w:ascii="Calibri" w:hAnsi="Calibri"/>
                <w:b/>
                <w:bCs/>
              </w:rPr>
            </w:pPr>
            <w:bookmarkStart w:id="20" w:name="_Hlk209428886"/>
            <w:r w:rsidRPr="00591A92">
              <w:rPr>
                <w:rFonts w:ascii="Calibri" w:hAnsi="Calibri"/>
                <w:b/>
                <w:bCs/>
              </w:rPr>
              <w:t xml:space="preserve">Targets apply </w:t>
            </w:r>
          </w:p>
        </w:tc>
        <w:tc>
          <w:tcPr>
            <w:tcW w:w="2977" w:type="dxa"/>
            <w:shd w:val="clear" w:color="auto" w:fill="A4A7A9"/>
            <w:vAlign w:val="center"/>
          </w:tcPr>
          <w:p w14:paraId="39B49516" w14:textId="77777777" w:rsidR="0067759D" w:rsidRPr="00591A92" w:rsidRDefault="0067759D" w:rsidP="0067759D">
            <w:pPr>
              <w:spacing w:before="100" w:beforeAutospacing="1" w:after="100" w:afterAutospacing="1"/>
              <w:rPr>
                <w:rFonts w:ascii="Calibri" w:hAnsi="Calibri"/>
                <w:b/>
                <w:bCs/>
              </w:rPr>
            </w:pPr>
            <w:r w:rsidRPr="00591A92">
              <w:rPr>
                <w:rFonts w:ascii="Calibri" w:hAnsi="Calibri"/>
                <w:b/>
                <w:bCs/>
              </w:rPr>
              <w:t>Overarching Apprentice Target for Women</w:t>
            </w:r>
          </w:p>
        </w:tc>
        <w:tc>
          <w:tcPr>
            <w:tcW w:w="3253" w:type="dxa"/>
            <w:shd w:val="clear" w:color="auto" w:fill="A4A7A9"/>
            <w:vAlign w:val="center"/>
          </w:tcPr>
          <w:p w14:paraId="5FC83C90" w14:textId="77777777" w:rsidR="0067759D" w:rsidRPr="00591A92" w:rsidRDefault="0067759D" w:rsidP="0067759D">
            <w:pPr>
              <w:spacing w:before="100" w:beforeAutospacing="1" w:after="100" w:afterAutospacing="1"/>
              <w:rPr>
                <w:rFonts w:ascii="Calibri" w:hAnsi="Calibri"/>
                <w:b/>
                <w:bCs/>
              </w:rPr>
            </w:pPr>
            <w:r w:rsidRPr="00591A92">
              <w:rPr>
                <w:rFonts w:ascii="Calibri" w:hAnsi="Calibri"/>
                <w:b/>
                <w:bCs/>
              </w:rPr>
              <w:t>Trade-specific Apprentice Target for Women</w:t>
            </w:r>
          </w:p>
        </w:tc>
      </w:tr>
      <w:bookmarkEnd w:id="20"/>
      <w:tr w:rsidR="0067759D" w:rsidRPr="0067759D" w14:paraId="18D62604" w14:textId="77777777" w:rsidTr="001732A8">
        <w:tc>
          <w:tcPr>
            <w:tcW w:w="2830" w:type="dxa"/>
          </w:tcPr>
          <w:p w14:paraId="649BC017" w14:textId="77777777" w:rsidR="0067759D" w:rsidRPr="0067759D" w:rsidRDefault="0067759D" w:rsidP="0067759D">
            <w:pPr>
              <w:spacing w:before="60" w:after="60"/>
            </w:pPr>
            <w:r w:rsidRPr="0067759D">
              <w:t>1 July 2024 to 30 June 2025</w:t>
            </w:r>
          </w:p>
        </w:tc>
        <w:tc>
          <w:tcPr>
            <w:tcW w:w="2977" w:type="dxa"/>
          </w:tcPr>
          <w:p w14:paraId="462519FB" w14:textId="77777777" w:rsidR="0067759D" w:rsidRPr="0067759D" w:rsidRDefault="0067759D" w:rsidP="0067759D">
            <w:pPr>
              <w:spacing w:before="60" w:after="60"/>
              <w:jc w:val="center"/>
            </w:pPr>
            <w:r w:rsidRPr="0067759D">
              <w:t>6%</w:t>
            </w:r>
          </w:p>
        </w:tc>
        <w:tc>
          <w:tcPr>
            <w:tcW w:w="3253" w:type="dxa"/>
          </w:tcPr>
          <w:p w14:paraId="1862940B" w14:textId="77777777" w:rsidR="0067759D" w:rsidRPr="0067759D" w:rsidRDefault="0067759D" w:rsidP="0067759D">
            <w:pPr>
              <w:spacing w:before="60" w:after="60"/>
              <w:jc w:val="center"/>
            </w:pPr>
            <w:r w:rsidRPr="0067759D">
              <w:t>4%</w:t>
            </w:r>
          </w:p>
        </w:tc>
      </w:tr>
      <w:tr w:rsidR="0067759D" w:rsidRPr="0067759D" w14:paraId="443DF58C" w14:textId="77777777" w:rsidTr="001732A8">
        <w:tc>
          <w:tcPr>
            <w:tcW w:w="2830" w:type="dxa"/>
          </w:tcPr>
          <w:p w14:paraId="6A7D2DE2" w14:textId="77777777" w:rsidR="0067759D" w:rsidRPr="0067759D" w:rsidRDefault="0067759D" w:rsidP="0067759D">
            <w:pPr>
              <w:spacing w:before="60" w:after="60"/>
            </w:pPr>
            <w:r w:rsidRPr="0067759D">
              <w:t>1 July 2025 to 30 June 2026</w:t>
            </w:r>
          </w:p>
        </w:tc>
        <w:tc>
          <w:tcPr>
            <w:tcW w:w="2977" w:type="dxa"/>
          </w:tcPr>
          <w:p w14:paraId="5F562D69" w14:textId="77777777" w:rsidR="0067759D" w:rsidRPr="0067759D" w:rsidRDefault="0067759D" w:rsidP="0067759D">
            <w:pPr>
              <w:spacing w:before="60" w:after="60"/>
              <w:jc w:val="center"/>
            </w:pPr>
            <w:r w:rsidRPr="0067759D">
              <w:t>7%</w:t>
            </w:r>
          </w:p>
        </w:tc>
        <w:tc>
          <w:tcPr>
            <w:tcW w:w="3253" w:type="dxa"/>
          </w:tcPr>
          <w:p w14:paraId="08190E15" w14:textId="77777777" w:rsidR="0067759D" w:rsidRPr="0067759D" w:rsidRDefault="0067759D" w:rsidP="0067759D">
            <w:pPr>
              <w:spacing w:before="60" w:after="60"/>
              <w:jc w:val="center"/>
            </w:pPr>
            <w:r w:rsidRPr="0067759D">
              <w:t>5%</w:t>
            </w:r>
          </w:p>
        </w:tc>
      </w:tr>
      <w:tr w:rsidR="0067759D" w:rsidRPr="0067759D" w14:paraId="7500BA79" w14:textId="77777777" w:rsidTr="001732A8">
        <w:tc>
          <w:tcPr>
            <w:tcW w:w="2830" w:type="dxa"/>
          </w:tcPr>
          <w:p w14:paraId="1801E55C" w14:textId="77777777" w:rsidR="0067759D" w:rsidRPr="0067759D" w:rsidRDefault="0067759D" w:rsidP="0067759D">
            <w:pPr>
              <w:spacing w:before="60" w:after="60"/>
            </w:pPr>
            <w:r w:rsidRPr="0067759D">
              <w:t>1 July 2026 to 30 June 2027</w:t>
            </w:r>
          </w:p>
        </w:tc>
        <w:tc>
          <w:tcPr>
            <w:tcW w:w="2977" w:type="dxa"/>
          </w:tcPr>
          <w:p w14:paraId="1BC8CAAC" w14:textId="77777777" w:rsidR="0067759D" w:rsidRPr="0067759D" w:rsidRDefault="0067759D" w:rsidP="0067759D">
            <w:pPr>
              <w:spacing w:before="60" w:after="60"/>
              <w:jc w:val="center"/>
            </w:pPr>
            <w:r w:rsidRPr="0067759D">
              <w:t>8%</w:t>
            </w:r>
          </w:p>
        </w:tc>
        <w:tc>
          <w:tcPr>
            <w:tcW w:w="3253" w:type="dxa"/>
          </w:tcPr>
          <w:p w14:paraId="0113F092" w14:textId="77777777" w:rsidR="0067759D" w:rsidRPr="0067759D" w:rsidRDefault="0067759D" w:rsidP="0067759D">
            <w:pPr>
              <w:spacing w:before="60" w:after="60"/>
              <w:jc w:val="center"/>
            </w:pPr>
            <w:r w:rsidRPr="0067759D">
              <w:t>6%</w:t>
            </w:r>
          </w:p>
        </w:tc>
      </w:tr>
      <w:tr w:rsidR="0067759D" w:rsidRPr="0067759D" w14:paraId="05B0D22F" w14:textId="77777777" w:rsidTr="001732A8">
        <w:tc>
          <w:tcPr>
            <w:tcW w:w="2830" w:type="dxa"/>
          </w:tcPr>
          <w:p w14:paraId="37FE9EF5" w14:textId="77777777" w:rsidR="0067759D" w:rsidRPr="0067759D" w:rsidRDefault="0067759D" w:rsidP="0067759D">
            <w:pPr>
              <w:spacing w:before="60" w:after="60"/>
            </w:pPr>
            <w:r w:rsidRPr="0067759D">
              <w:t>1 July 2027 to 30 June 2028</w:t>
            </w:r>
          </w:p>
        </w:tc>
        <w:tc>
          <w:tcPr>
            <w:tcW w:w="2977" w:type="dxa"/>
          </w:tcPr>
          <w:p w14:paraId="3E24EAB4" w14:textId="77777777" w:rsidR="0067759D" w:rsidRPr="0067759D" w:rsidRDefault="0067759D" w:rsidP="0067759D">
            <w:pPr>
              <w:spacing w:before="60" w:after="60"/>
              <w:jc w:val="center"/>
            </w:pPr>
            <w:r w:rsidRPr="0067759D">
              <w:t>9%</w:t>
            </w:r>
          </w:p>
        </w:tc>
        <w:tc>
          <w:tcPr>
            <w:tcW w:w="3253" w:type="dxa"/>
          </w:tcPr>
          <w:p w14:paraId="294CE318" w14:textId="77777777" w:rsidR="0067759D" w:rsidRPr="0067759D" w:rsidRDefault="0067759D" w:rsidP="0067759D">
            <w:pPr>
              <w:spacing w:before="60" w:after="60"/>
              <w:jc w:val="center"/>
            </w:pPr>
            <w:r w:rsidRPr="0067759D">
              <w:t>7%</w:t>
            </w:r>
          </w:p>
        </w:tc>
      </w:tr>
      <w:tr w:rsidR="0067759D" w:rsidRPr="0067759D" w14:paraId="4117EA30" w14:textId="77777777" w:rsidTr="001732A8">
        <w:tc>
          <w:tcPr>
            <w:tcW w:w="2830" w:type="dxa"/>
          </w:tcPr>
          <w:p w14:paraId="6B7C0CF8" w14:textId="77777777" w:rsidR="0067759D" w:rsidRPr="0067759D" w:rsidRDefault="0067759D" w:rsidP="0067759D">
            <w:pPr>
              <w:spacing w:before="60" w:after="60"/>
            </w:pPr>
            <w:r w:rsidRPr="0067759D">
              <w:t>1 July 2028 to 30 June 2029</w:t>
            </w:r>
          </w:p>
        </w:tc>
        <w:tc>
          <w:tcPr>
            <w:tcW w:w="2977" w:type="dxa"/>
          </w:tcPr>
          <w:p w14:paraId="110A7344" w14:textId="77777777" w:rsidR="0067759D" w:rsidRPr="0067759D" w:rsidRDefault="0067759D" w:rsidP="0067759D">
            <w:pPr>
              <w:spacing w:before="60" w:after="60"/>
              <w:jc w:val="center"/>
            </w:pPr>
            <w:r w:rsidRPr="0067759D">
              <w:t>10%</w:t>
            </w:r>
          </w:p>
        </w:tc>
        <w:tc>
          <w:tcPr>
            <w:tcW w:w="3253" w:type="dxa"/>
          </w:tcPr>
          <w:p w14:paraId="58F4C434" w14:textId="77777777" w:rsidR="0067759D" w:rsidRPr="0067759D" w:rsidRDefault="0067759D" w:rsidP="0067759D">
            <w:pPr>
              <w:spacing w:before="60" w:after="60"/>
              <w:jc w:val="center"/>
            </w:pPr>
            <w:r w:rsidRPr="0067759D">
              <w:t>8%</w:t>
            </w:r>
          </w:p>
        </w:tc>
      </w:tr>
      <w:tr w:rsidR="0067759D" w:rsidRPr="0067759D" w14:paraId="62438157" w14:textId="77777777" w:rsidTr="001732A8">
        <w:tc>
          <w:tcPr>
            <w:tcW w:w="2830" w:type="dxa"/>
          </w:tcPr>
          <w:p w14:paraId="4D801179" w14:textId="77777777" w:rsidR="0067759D" w:rsidRPr="0067759D" w:rsidRDefault="0067759D" w:rsidP="0067759D">
            <w:pPr>
              <w:spacing w:before="60" w:after="60"/>
            </w:pPr>
            <w:r w:rsidRPr="0067759D">
              <w:t>1 July 2029 to 30 June 2030</w:t>
            </w:r>
          </w:p>
        </w:tc>
        <w:tc>
          <w:tcPr>
            <w:tcW w:w="2977" w:type="dxa"/>
          </w:tcPr>
          <w:p w14:paraId="452B2739" w14:textId="77777777" w:rsidR="0067759D" w:rsidRPr="0067759D" w:rsidRDefault="0067759D" w:rsidP="0067759D">
            <w:pPr>
              <w:spacing w:before="60" w:after="60"/>
              <w:jc w:val="center"/>
            </w:pPr>
            <w:r w:rsidRPr="0067759D">
              <w:t>11%</w:t>
            </w:r>
          </w:p>
        </w:tc>
        <w:tc>
          <w:tcPr>
            <w:tcW w:w="3253" w:type="dxa"/>
          </w:tcPr>
          <w:p w14:paraId="238C8E80" w14:textId="77777777" w:rsidR="0067759D" w:rsidRPr="0067759D" w:rsidRDefault="0067759D" w:rsidP="0067759D">
            <w:pPr>
              <w:spacing w:before="60" w:after="60"/>
              <w:jc w:val="center"/>
            </w:pPr>
            <w:r w:rsidRPr="0067759D">
              <w:t>9%</w:t>
            </w:r>
          </w:p>
        </w:tc>
      </w:tr>
      <w:tr w:rsidR="0067759D" w:rsidRPr="0067759D" w14:paraId="277800ED" w14:textId="77777777" w:rsidTr="001732A8">
        <w:tc>
          <w:tcPr>
            <w:tcW w:w="2830" w:type="dxa"/>
          </w:tcPr>
          <w:p w14:paraId="52C5D353" w14:textId="77777777" w:rsidR="0067759D" w:rsidRPr="0067759D" w:rsidRDefault="0067759D" w:rsidP="0067759D">
            <w:pPr>
              <w:spacing w:before="60" w:after="60"/>
            </w:pPr>
            <w:r w:rsidRPr="0067759D">
              <w:t>1 July 2030 onwards</w:t>
            </w:r>
          </w:p>
        </w:tc>
        <w:tc>
          <w:tcPr>
            <w:tcW w:w="2977" w:type="dxa"/>
          </w:tcPr>
          <w:p w14:paraId="0A490680" w14:textId="77777777" w:rsidR="0067759D" w:rsidRPr="0067759D" w:rsidRDefault="0067759D" w:rsidP="0067759D">
            <w:pPr>
              <w:spacing w:before="60" w:after="60"/>
              <w:jc w:val="center"/>
            </w:pPr>
            <w:r w:rsidRPr="0067759D">
              <w:t>12%</w:t>
            </w:r>
          </w:p>
        </w:tc>
        <w:tc>
          <w:tcPr>
            <w:tcW w:w="3253" w:type="dxa"/>
          </w:tcPr>
          <w:p w14:paraId="2E8B0CD5" w14:textId="77777777" w:rsidR="0067759D" w:rsidRPr="0067759D" w:rsidRDefault="0067759D" w:rsidP="0067759D">
            <w:pPr>
              <w:spacing w:before="60" w:after="60"/>
              <w:jc w:val="center"/>
            </w:pPr>
            <w:r w:rsidRPr="0067759D">
              <w:t>10%</w:t>
            </w:r>
          </w:p>
        </w:tc>
      </w:tr>
    </w:tbl>
    <w:p w14:paraId="03C4FDC4" w14:textId="78D9F61B" w:rsidR="00C533BC" w:rsidRDefault="00C533BC">
      <w:pPr>
        <w:spacing w:after="160" w:line="259" w:lineRule="auto"/>
        <w:rPr>
          <w:rFonts w:ascii="Calibri" w:eastAsiaTheme="majorEastAsia" w:hAnsi="Calibri" w:cstheme="majorBidi"/>
          <w:b/>
          <w:color w:val="404246"/>
          <w:sz w:val="30"/>
          <w:szCs w:val="26"/>
        </w:rPr>
      </w:pPr>
    </w:p>
    <w:p w14:paraId="6BD56D4B" w14:textId="18760C5D" w:rsidR="005C6660" w:rsidRPr="005C6660" w:rsidRDefault="005C6660" w:rsidP="00963841">
      <w:pPr>
        <w:pStyle w:val="Heading2"/>
        <w:keepLines w:val="0"/>
      </w:pPr>
      <w:bookmarkStart w:id="21" w:name="_Toc209787048"/>
      <w:r>
        <w:lastRenderedPageBreak/>
        <w:t>Construction target</w:t>
      </w:r>
      <w:r w:rsidR="00222889">
        <w:t xml:space="preserve"> examples</w:t>
      </w:r>
      <w:bookmarkEnd w:id="21"/>
    </w:p>
    <w:p w14:paraId="7B3DBEA5" w14:textId="01A88998" w:rsidR="005C6660" w:rsidRPr="005C6660" w:rsidRDefault="005C6660" w:rsidP="00963841">
      <w:pPr>
        <w:keepNext/>
        <w:spacing w:after="0"/>
        <w:rPr>
          <w:rStyle w:val="Heading5Char"/>
        </w:rPr>
      </w:pPr>
      <w:r w:rsidRPr="005C6660">
        <w:rPr>
          <w:rStyle w:val="Heading5Char"/>
          <w:bCs/>
        </w:rPr>
        <w:t>Overarching Apprentice Target</w:t>
      </w:r>
    </w:p>
    <w:p w14:paraId="0AC7CC23" w14:textId="77777777" w:rsidR="005C6660" w:rsidRDefault="005C6660" w:rsidP="00A55A4A">
      <w:pPr>
        <w:pStyle w:val="ListBullet"/>
        <w:numPr>
          <w:ilvl w:val="0"/>
          <w:numId w:val="21"/>
        </w:numPr>
        <w:spacing w:line="276" w:lineRule="auto"/>
        <w:ind w:left="284" w:hanging="284"/>
      </w:pPr>
      <w:r w:rsidRPr="005C6660">
        <w:rPr>
          <w:i/>
          <w:iCs/>
        </w:rPr>
        <w:t>Chapman &amp; Louey Construction</w:t>
      </w:r>
      <w:r w:rsidRPr="005C6660">
        <w:t xml:space="preserve"> has estimated that their </w:t>
      </w:r>
      <w:r w:rsidRPr="005C6660">
        <w:rPr>
          <w:b/>
          <w:bCs/>
          <w:u w:val="single"/>
        </w:rPr>
        <w:t>Major Construction Project</w:t>
      </w:r>
      <w:r w:rsidRPr="005C6660">
        <w:t xml:space="preserve"> will require 8,000 Labour Hours.</w:t>
      </w:r>
    </w:p>
    <w:p w14:paraId="0C1088CA" w14:textId="698672FE" w:rsidR="000528F7" w:rsidRPr="005C6660" w:rsidRDefault="00766D4F" w:rsidP="00A55A4A">
      <w:pPr>
        <w:pStyle w:val="ListBullet"/>
        <w:numPr>
          <w:ilvl w:val="0"/>
          <w:numId w:val="21"/>
        </w:numPr>
        <w:spacing w:line="276" w:lineRule="auto"/>
        <w:ind w:left="284" w:hanging="284"/>
      </w:pPr>
      <w:r>
        <w:t xml:space="preserve">The </w:t>
      </w:r>
      <w:r w:rsidR="002B4C88" w:rsidRPr="00766D4F">
        <w:t>Overarching Apprentice Target is calculated using the 8</w:t>
      </w:r>
      <w:r w:rsidRPr="00766D4F">
        <w:t>,000 estimated Labour Hours.</w:t>
      </w:r>
    </w:p>
    <w:p w14:paraId="2DEF087F" w14:textId="79F70635" w:rsidR="005C6660" w:rsidRPr="005C6660" w:rsidRDefault="005C6660" w:rsidP="00A55A4A">
      <w:pPr>
        <w:pStyle w:val="ListBullet"/>
        <w:numPr>
          <w:ilvl w:val="0"/>
          <w:numId w:val="21"/>
        </w:numPr>
        <w:spacing w:line="276" w:lineRule="auto"/>
        <w:ind w:left="284" w:hanging="284"/>
      </w:pPr>
      <w:r w:rsidRPr="005C6660">
        <w:t xml:space="preserve">800 Labour Hours must be undertaken by Apprentices (10% of the </w:t>
      </w:r>
      <w:r w:rsidR="00B31F24">
        <w:t xml:space="preserve">Major Construction </w:t>
      </w:r>
      <w:r w:rsidR="00BD231C">
        <w:t xml:space="preserve">Project’s </w:t>
      </w:r>
      <w:r w:rsidR="00BD231C" w:rsidRPr="005C6660">
        <w:t>total</w:t>
      </w:r>
      <w:r w:rsidRPr="005C6660">
        <w:t xml:space="preserve"> estimated Labour Hours).</w:t>
      </w:r>
    </w:p>
    <w:p w14:paraId="32A86EA8" w14:textId="6AE172A5" w:rsidR="005C6660" w:rsidRPr="008552A7" w:rsidRDefault="005C6660" w:rsidP="00A55A4A">
      <w:pPr>
        <w:pStyle w:val="ListBullet"/>
        <w:numPr>
          <w:ilvl w:val="0"/>
          <w:numId w:val="21"/>
        </w:numPr>
        <w:spacing w:line="276" w:lineRule="auto"/>
        <w:ind w:left="284" w:hanging="284"/>
      </w:pPr>
      <w:r w:rsidRPr="005C6660">
        <w:t>All reported Apprentice Labour Hours are counted towards the 10% target in the reporting system.</w:t>
      </w:r>
    </w:p>
    <w:p w14:paraId="4E14ABA8" w14:textId="77777777" w:rsidR="005C6660" w:rsidRPr="005C6660" w:rsidRDefault="005C6660" w:rsidP="007D49BA">
      <w:pPr>
        <w:spacing w:after="0"/>
        <w:rPr>
          <w:rStyle w:val="Heading5Char"/>
          <w:bCs/>
        </w:rPr>
      </w:pPr>
      <w:r w:rsidRPr="005C6660">
        <w:rPr>
          <w:rStyle w:val="Heading5Char"/>
          <w:bCs/>
        </w:rPr>
        <w:t>Overarching Apprentice Target for Women</w:t>
      </w:r>
    </w:p>
    <w:p w14:paraId="0A0A377C" w14:textId="77777777" w:rsidR="005C6660" w:rsidRPr="005C6660" w:rsidRDefault="005C6660" w:rsidP="00A55A4A">
      <w:pPr>
        <w:pStyle w:val="ListBullet"/>
        <w:numPr>
          <w:ilvl w:val="0"/>
          <w:numId w:val="22"/>
        </w:numPr>
        <w:spacing w:line="276" w:lineRule="auto"/>
        <w:ind w:left="284" w:hanging="284"/>
      </w:pPr>
      <w:r w:rsidRPr="005C6660">
        <w:rPr>
          <w:i/>
          <w:iCs/>
        </w:rPr>
        <w:t>Chapman &amp; Louey Construction’s</w:t>
      </w:r>
      <w:r w:rsidRPr="005C6660">
        <w:t xml:space="preserve"> </w:t>
      </w:r>
      <w:r w:rsidRPr="005C6660">
        <w:rPr>
          <w:b/>
          <w:bCs/>
          <w:u w:val="single"/>
        </w:rPr>
        <w:t>Major Construction Project</w:t>
      </w:r>
      <w:r w:rsidRPr="005C6660">
        <w:t xml:space="preserve"> has a Contract start date of 1 August 2025 and an end date of 30 June 2026.</w:t>
      </w:r>
    </w:p>
    <w:p w14:paraId="44FF464C" w14:textId="77777777" w:rsidR="005C6660" w:rsidRPr="005C6660" w:rsidRDefault="005C6660" w:rsidP="00A55A4A">
      <w:pPr>
        <w:pStyle w:val="ListBullet"/>
        <w:numPr>
          <w:ilvl w:val="0"/>
          <w:numId w:val="22"/>
        </w:numPr>
        <w:spacing w:line="276" w:lineRule="auto"/>
        <w:ind w:left="284" w:hanging="284"/>
      </w:pPr>
      <w:r w:rsidRPr="005C6660">
        <w:t>The project is subject to the 2025–26 financial year targets, requiring 7% of Apprentice Labour Hours to be undertaken by Women.</w:t>
      </w:r>
    </w:p>
    <w:p w14:paraId="10389892" w14:textId="77777777" w:rsidR="005C6660" w:rsidRPr="005C6660" w:rsidRDefault="005C6660" w:rsidP="00A55A4A">
      <w:pPr>
        <w:pStyle w:val="ListBullet"/>
        <w:numPr>
          <w:ilvl w:val="0"/>
          <w:numId w:val="22"/>
        </w:numPr>
        <w:spacing w:line="276" w:lineRule="auto"/>
        <w:ind w:left="284" w:hanging="284"/>
      </w:pPr>
      <w:r w:rsidRPr="005C6660">
        <w:t>If 800 Apprentice Labour Hours are reported, then 56 Labour Hours must be undertaken by Women Apprentices (7% of 800).</w:t>
      </w:r>
    </w:p>
    <w:p w14:paraId="6641CD0A" w14:textId="77777777" w:rsidR="005C6660" w:rsidRPr="005C6660" w:rsidRDefault="005C6660" w:rsidP="007D49BA">
      <w:pPr>
        <w:spacing w:after="0"/>
        <w:rPr>
          <w:rStyle w:val="Heading5Char"/>
          <w:bCs/>
        </w:rPr>
      </w:pPr>
      <w:r w:rsidRPr="005C6660">
        <w:rPr>
          <w:rStyle w:val="Heading5Char"/>
          <w:bCs/>
        </w:rPr>
        <w:t>Trade-specific Apprentice Target for Women</w:t>
      </w:r>
    </w:p>
    <w:p w14:paraId="0563D4B9" w14:textId="77777777" w:rsidR="005C6660" w:rsidRPr="005C6660" w:rsidRDefault="005C6660" w:rsidP="00A55A4A">
      <w:pPr>
        <w:pStyle w:val="ListBullet"/>
        <w:numPr>
          <w:ilvl w:val="0"/>
          <w:numId w:val="23"/>
        </w:numPr>
        <w:spacing w:line="276" w:lineRule="auto"/>
        <w:ind w:left="284" w:hanging="284"/>
      </w:pPr>
      <w:r w:rsidRPr="005C6660">
        <w:rPr>
          <w:i/>
          <w:iCs/>
        </w:rPr>
        <w:t>Chapman &amp; Louey Construction</w:t>
      </w:r>
      <w:r w:rsidRPr="005C6660">
        <w:t xml:space="preserve"> estimates that 600 Labour Hours will be worked by Trade Apprentices.</w:t>
      </w:r>
    </w:p>
    <w:p w14:paraId="61E479BF" w14:textId="77777777" w:rsidR="005C6660" w:rsidRPr="005C6660" w:rsidRDefault="005C6660" w:rsidP="00A55A4A">
      <w:pPr>
        <w:pStyle w:val="ListBullet"/>
        <w:numPr>
          <w:ilvl w:val="0"/>
          <w:numId w:val="23"/>
        </w:numPr>
        <w:spacing w:line="276" w:lineRule="auto"/>
        <w:ind w:left="284" w:hanging="284"/>
      </w:pPr>
      <w:r w:rsidRPr="005C6660">
        <w:t>The 2025–26 financial year target requires 5% of Trade Apprentice Labour Hours to be undertaken by Women.</w:t>
      </w:r>
    </w:p>
    <w:p w14:paraId="2629C282" w14:textId="64EAD020" w:rsidR="003B1EEA" w:rsidRPr="000426E1" w:rsidRDefault="005C6660" w:rsidP="00A55A4A">
      <w:pPr>
        <w:pStyle w:val="ListBullet"/>
        <w:numPr>
          <w:ilvl w:val="0"/>
          <w:numId w:val="23"/>
        </w:numPr>
        <w:spacing w:line="276" w:lineRule="auto"/>
        <w:ind w:left="284" w:hanging="284"/>
      </w:pPr>
      <w:r w:rsidRPr="005C6660">
        <w:t>30 Labour Hours must be undertaken by Women Trade Apprentices (5% of 600).</w:t>
      </w:r>
    </w:p>
    <w:p w14:paraId="39425CFF" w14:textId="77777777" w:rsidR="00972ABB" w:rsidRPr="00A55A4A" w:rsidRDefault="00972ABB" w:rsidP="00A55A4A">
      <w:pPr>
        <w:pStyle w:val="ListParagraph"/>
        <w:numPr>
          <w:ilvl w:val="0"/>
          <w:numId w:val="23"/>
        </w:numPr>
        <w:spacing w:after="160" w:line="259" w:lineRule="auto"/>
        <w:ind w:left="284" w:hanging="284"/>
        <w:rPr>
          <w:rFonts w:ascii="Calibri" w:eastAsiaTheme="majorEastAsia" w:hAnsi="Calibri" w:cstheme="majorBidi"/>
          <w:b/>
          <w:color w:val="404246"/>
          <w:sz w:val="32"/>
          <w:szCs w:val="32"/>
        </w:rPr>
      </w:pPr>
      <w:r>
        <w:br w:type="page"/>
      </w:r>
    </w:p>
    <w:p w14:paraId="41C84AC1" w14:textId="4B7DEEE3" w:rsidR="0067759D" w:rsidRPr="00535C6B" w:rsidRDefault="00E36A93" w:rsidP="00535C6B">
      <w:pPr>
        <w:pStyle w:val="Heading1"/>
      </w:pPr>
      <w:bookmarkStart w:id="22" w:name="_Toc209787049"/>
      <w:r>
        <w:lastRenderedPageBreak/>
        <w:t>ICT targets</w:t>
      </w:r>
      <w:bookmarkEnd w:id="22"/>
    </w:p>
    <w:p w14:paraId="750FF8BF" w14:textId="405285C4" w:rsidR="003E28C0" w:rsidRDefault="003E28C0" w:rsidP="00C734BE">
      <w:pPr>
        <w:pStyle w:val="ListNumber"/>
        <w:numPr>
          <w:ilvl w:val="0"/>
          <w:numId w:val="0"/>
        </w:numPr>
        <w:spacing w:after="0"/>
        <w:ind w:left="357" w:hanging="357"/>
        <w:rPr>
          <w:rFonts w:ascii="Calibri" w:eastAsiaTheme="majorEastAsia" w:hAnsi="Calibri" w:cstheme="majorBidi"/>
          <w:b/>
          <w:color w:val="5F6369"/>
        </w:rPr>
      </w:pPr>
      <w:r w:rsidRPr="00C734BE">
        <w:rPr>
          <w:rFonts w:ascii="Calibri" w:eastAsiaTheme="majorEastAsia" w:hAnsi="Calibri" w:cstheme="majorBidi"/>
          <w:b/>
          <w:color w:val="5F6369"/>
        </w:rPr>
        <w:t xml:space="preserve">Table </w:t>
      </w:r>
      <w:r w:rsidR="00B01106">
        <w:rPr>
          <w:rFonts w:ascii="Calibri" w:eastAsiaTheme="majorEastAsia" w:hAnsi="Calibri" w:cstheme="majorBidi"/>
          <w:b/>
          <w:color w:val="5F6369"/>
        </w:rPr>
        <w:t>4</w:t>
      </w:r>
      <w:r w:rsidRPr="00C734BE">
        <w:rPr>
          <w:rFonts w:ascii="Calibri" w:eastAsiaTheme="majorEastAsia" w:hAnsi="Calibri" w:cstheme="majorBidi"/>
          <w:b/>
          <w:color w:val="5F6369"/>
        </w:rPr>
        <w:t xml:space="preserve"> – PCP requirements for ICT procurements</w:t>
      </w:r>
    </w:p>
    <w:p w14:paraId="4A815867" w14:textId="0E4C16A2" w:rsidR="00091181" w:rsidRDefault="000C10E5" w:rsidP="00C734BE">
      <w:pPr>
        <w:pStyle w:val="ListNumber"/>
        <w:numPr>
          <w:ilvl w:val="0"/>
          <w:numId w:val="0"/>
        </w:numPr>
        <w:spacing w:after="0"/>
        <w:ind w:left="357" w:hanging="357"/>
        <w:rPr>
          <w:rFonts w:ascii="Calibri" w:eastAsiaTheme="majorEastAsia" w:hAnsi="Calibri" w:cstheme="majorBidi"/>
          <w:b/>
          <w:color w:val="5F6369"/>
        </w:rPr>
      </w:pPr>
      <w:r>
        <w:rPr>
          <w:rFonts w:ascii="Calibri" w:eastAsiaTheme="majorEastAsia" w:hAnsi="Calibri" w:cstheme="majorBidi"/>
          <w:b/>
          <w:noProof/>
          <w:color w:val="5F6369"/>
        </w:rPr>
        <w:drawing>
          <wp:inline distT="0" distB="0" distL="0" distR="0" wp14:anchorId="2BBE4940" wp14:editId="422B6D36">
            <wp:extent cx="5981700" cy="5166014"/>
            <wp:effectExtent l="0" t="0" r="0" b="0"/>
            <wp:docPr id="2142211510" name="Picture 2" descr="Table 4 provides an overview of the requirements for ICT procurements in scope of the P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11510" name="Picture 2" descr="Table 4 provides an overview of the requirements for ICT procurements in scope of the PC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6308" cy="5178630"/>
                    </a:xfrm>
                    <a:prstGeom prst="rect">
                      <a:avLst/>
                    </a:prstGeom>
                    <a:noFill/>
                  </pic:spPr>
                </pic:pic>
              </a:graphicData>
            </a:graphic>
          </wp:inline>
        </w:drawing>
      </w:r>
    </w:p>
    <w:p w14:paraId="55F7FF99" w14:textId="79D31DE5" w:rsidR="004A12B0" w:rsidRPr="00F9043C" w:rsidRDefault="00E03840" w:rsidP="0067759D">
      <w:pPr>
        <w:spacing w:before="80" w:after="320"/>
        <w:rPr>
          <w:sz w:val="18"/>
        </w:rPr>
      </w:pPr>
      <w:r>
        <w:rPr>
          <w:b/>
          <w:bCs/>
          <w:sz w:val="18"/>
        </w:rPr>
        <w:t>*</w:t>
      </w:r>
      <w:r w:rsidR="0067759D" w:rsidRPr="0067759D">
        <w:rPr>
          <w:b/>
          <w:bCs/>
          <w:sz w:val="18"/>
        </w:rPr>
        <w:t xml:space="preserve"> </w:t>
      </w:r>
      <w:r w:rsidR="0067759D" w:rsidRPr="0067759D">
        <w:rPr>
          <w:sz w:val="18"/>
        </w:rPr>
        <w:t xml:space="preserve">Targets for Women listed </w:t>
      </w:r>
      <w:r w:rsidR="00715105">
        <w:rPr>
          <w:sz w:val="18"/>
        </w:rPr>
        <w:t xml:space="preserve">in Table 4 </w:t>
      </w:r>
      <w:r w:rsidR="0067759D" w:rsidRPr="0067759D">
        <w:rPr>
          <w:sz w:val="18"/>
        </w:rPr>
        <w:t>are for 1 October 2025 to 30 June 2026 and increase 2 percentage points every financial year until 2030.</w:t>
      </w:r>
    </w:p>
    <w:p w14:paraId="67F8F2EE" w14:textId="27CDD541" w:rsidR="00C734BE" w:rsidRPr="00C734BE" w:rsidRDefault="00C734BE" w:rsidP="00C734BE">
      <w:pPr>
        <w:pStyle w:val="Heading5"/>
      </w:pPr>
      <w:r>
        <w:t xml:space="preserve">Table </w:t>
      </w:r>
      <w:r w:rsidR="00BD231C">
        <w:t>5</w:t>
      </w:r>
      <w:r>
        <w:t xml:space="preserve"> - </w:t>
      </w:r>
      <w:r w:rsidRPr="0067759D">
        <w:t xml:space="preserve">Annual increases of Targets for Women working on </w:t>
      </w:r>
      <w:r>
        <w:t>ICT</w:t>
      </w:r>
      <w:r w:rsidRPr="0067759D">
        <w:t xml:space="preserve"> projects </w:t>
      </w:r>
    </w:p>
    <w:tbl>
      <w:tblPr>
        <w:tblStyle w:val="TableGrid"/>
        <w:tblW w:w="0" w:type="auto"/>
        <w:tblInd w:w="-5" w:type="dxa"/>
        <w:tblLook w:val="04A0" w:firstRow="1" w:lastRow="0" w:firstColumn="1" w:lastColumn="0" w:noHBand="0" w:noVBand="1"/>
        <w:tblCaption w:val="Table 5 Annual increases for targets for women working on ICT projects"/>
        <w:tblDescription w:val="Table 5 provides the annual increases for Learning Worker Target for Women. "/>
      </w:tblPr>
      <w:tblGrid>
        <w:gridCol w:w="4253"/>
        <w:gridCol w:w="4678"/>
      </w:tblGrid>
      <w:tr w:rsidR="00341A8B" w:rsidRPr="00591A92" w14:paraId="5D482315" w14:textId="77777777" w:rsidTr="00DD13D4">
        <w:trPr>
          <w:tblHeader/>
        </w:trPr>
        <w:tc>
          <w:tcPr>
            <w:tcW w:w="4253" w:type="dxa"/>
            <w:shd w:val="clear" w:color="auto" w:fill="A4A7A9"/>
            <w:vAlign w:val="center"/>
          </w:tcPr>
          <w:p w14:paraId="69AFEAD9" w14:textId="77777777" w:rsidR="00341A8B" w:rsidRPr="00591A92" w:rsidRDefault="00341A8B" w:rsidP="00442467">
            <w:pPr>
              <w:spacing w:before="100" w:beforeAutospacing="1" w:after="100" w:afterAutospacing="1"/>
              <w:rPr>
                <w:rFonts w:ascii="Calibri" w:hAnsi="Calibri"/>
                <w:b/>
                <w:bCs/>
              </w:rPr>
            </w:pPr>
            <w:r w:rsidRPr="00591A92">
              <w:rPr>
                <w:rFonts w:ascii="Calibri" w:hAnsi="Calibri"/>
                <w:b/>
                <w:bCs/>
              </w:rPr>
              <w:t xml:space="preserve">Targets apply </w:t>
            </w:r>
          </w:p>
        </w:tc>
        <w:tc>
          <w:tcPr>
            <w:tcW w:w="4678" w:type="dxa"/>
            <w:shd w:val="clear" w:color="auto" w:fill="A4A7A9"/>
            <w:vAlign w:val="center"/>
          </w:tcPr>
          <w:p w14:paraId="2931243E" w14:textId="47930C8C" w:rsidR="00341A8B" w:rsidRPr="00591A92" w:rsidRDefault="00341A8B" w:rsidP="00442467">
            <w:pPr>
              <w:spacing w:before="100" w:beforeAutospacing="1" w:after="100" w:afterAutospacing="1"/>
              <w:rPr>
                <w:rFonts w:ascii="Calibri" w:hAnsi="Calibri"/>
                <w:b/>
                <w:bCs/>
              </w:rPr>
            </w:pPr>
            <w:r>
              <w:rPr>
                <w:rFonts w:ascii="Calibri" w:hAnsi="Calibri"/>
                <w:b/>
                <w:bCs/>
              </w:rPr>
              <w:t>Learning Worker</w:t>
            </w:r>
            <w:r w:rsidRPr="00591A92">
              <w:rPr>
                <w:rFonts w:ascii="Calibri" w:hAnsi="Calibri"/>
                <w:b/>
                <w:bCs/>
              </w:rPr>
              <w:t xml:space="preserve"> Target for Women</w:t>
            </w:r>
          </w:p>
        </w:tc>
      </w:tr>
      <w:tr w:rsidR="0067759D" w:rsidRPr="0067759D" w14:paraId="1130BC32" w14:textId="77777777" w:rsidTr="00DD13D4">
        <w:tc>
          <w:tcPr>
            <w:tcW w:w="4253" w:type="dxa"/>
          </w:tcPr>
          <w:p w14:paraId="28B0ABD5" w14:textId="77777777" w:rsidR="0067759D" w:rsidRPr="0067759D" w:rsidRDefault="0067759D" w:rsidP="0067759D">
            <w:pPr>
              <w:spacing w:before="60" w:after="60"/>
            </w:pPr>
            <w:r w:rsidRPr="0067759D">
              <w:t>1 October 2025 to 30 June 2026</w:t>
            </w:r>
          </w:p>
        </w:tc>
        <w:tc>
          <w:tcPr>
            <w:tcW w:w="4678" w:type="dxa"/>
          </w:tcPr>
          <w:p w14:paraId="1CBCC726" w14:textId="77777777" w:rsidR="0067759D" w:rsidRPr="0067759D" w:rsidRDefault="0067759D" w:rsidP="0067759D">
            <w:pPr>
              <w:spacing w:before="60" w:after="60"/>
              <w:jc w:val="center"/>
            </w:pPr>
            <w:r w:rsidRPr="0067759D">
              <w:t>10%</w:t>
            </w:r>
          </w:p>
        </w:tc>
      </w:tr>
      <w:tr w:rsidR="0067759D" w:rsidRPr="0067759D" w14:paraId="6D96BD3E" w14:textId="77777777" w:rsidTr="00DD13D4">
        <w:tc>
          <w:tcPr>
            <w:tcW w:w="4253" w:type="dxa"/>
          </w:tcPr>
          <w:p w14:paraId="15B09745" w14:textId="77777777" w:rsidR="0067759D" w:rsidRPr="0067759D" w:rsidRDefault="0067759D" w:rsidP="0067759D">
            <w:pPr>
              <w:spacing w:before="60" w:after="60"/>
            </w:pPr>
            <w:r w:rsidRPr="0067759D">
              <w:t>1 July 2026 to 30 June 2027</w:t>
            </w:r>
          </w:p>
        </w:tc>
        <w:tc>
          <w:tcPr>
            <w:tcW w:w="4678" w:type="dxa"/>
          </w:tcPr>
          <w:p w14:paraId="32A7E206" w14:textId="77777777" w:rsidR="0067759D" w:rsidRPr="0067759D" w:rsidRDefault="0067759D" w:rsidP="0067759D">
            <w:pPr>
              <w:spacing w:before="60" w:after="60"/>
              <w:jc w:val="center"/>
            </w:pPr>
            <w:r w:rsidRPr="0067759D">
              <w:t>12%</w:t>
            </w:r>
          </w:p>
        </w:tc>
      </w:tr>
      <w:tr w:rsidR="0067759D" w:rsidRPr="0067759D" w14:paraId="501FD794" w14:textId="77777777" w:rsidTr="00DD13D4">
        <w:tc>
          <w:tcPr>
            <w:tcW w:w="4253" w:type="dxa"/>
          </w:tcPr>
          <w:p w14:paraId="4AE6F526" w14:textId="77777777" w:rsidR="0067759D" w:rsidRPr="0067759D" w:rsidRDefault="0067759D" w:rsidP="0067759D">
            <w:pPr>
              <w:spacing w:before="60" w:after="60"/>
            </w:pPr>
            <w:r w:rsidRPr="0067759D">
              <w:t>1 July 2027 to 30 June 2028</w:t>
            </w:r>
          </w:p>
        </w:tc>
        <w:tc>
          <w:tcPr>
            <w:tcW w:w="4678" w:type="dxa"/>
          </w:tcPr>
          <w:p w14:paraId="195795F0" w14:textId="77777777" w:rsidR="0067759D" w:rsidRPr="0067759D" w:rsidRDefault="0067759D" w:rsidP="0067759D">
            <w:pPr>
              <w:spacing w:before="60" w:after="60"/>
              <w:jc w:val="center"/>
            </w:pPr>
            <w:r w:rsidRPr="0067759D">
              <w:t>14%</w:t>
            </w:r>
          </w:p>
        </w:tc>
      </w:tr>
      <w:tr w:rsidR="0067759D" w:rsidRPr="0067759D" w14:paraId="1F6CD62A" w14:textId="77777777" w:rsidTr="00DD13D4">
        <w:tc>
          <w:tcPr>
            <w:tcW w:w="4253" w:type="dxa"/>
          </w:tcPr>
          <w:p w14:paraId="709E15DD" w14:textId="77777777" w:rsidR="0067759D" w:rsidRPr="0067759D" w:rsidRDefault="0067759D" w:rsidP="0067759D">
            <w:pPr>
              <w:spacing w:before="60" w:after="60"/>
            </w:pPr>
            <w:r w:rsidRPr="0067759D">
              <w:t>1 July 2028 to 30 June 2029</w:t>
            </w:r>
          </w:p>
        </w:tc>
        <w:tc>
          <w:tcPr>
            <w:tcW w:w="4678" w:type="dxa"/>
          </w:tcPr>
          <w:p w14:paraId="7BB9BBF6" w14:textId="77777777" w:rsidR="0067759D" w:rsidRPr="0067759D" w:rsidRDefault="0067759D" w:rsidP="0067759D">
            <w:pPr>
              <w:spacing w:before="60" w:after="60"/>
              <w:jc w:val="center"/>
            </w:pPr>
            <w:r w:rsidRPr="0067759D">
              <w:t>16%</w:t>
            </w:r>
          </w:p>
        </w:tc>
      </w:tr>
      <w:tr w:rsidR="0067759D" w:rsidRPr="0067759D" w14:paraId="7BE3CE4B" w14:textId="77777777" w:rsidTr="00DD13D4">
        <w:tc>
          <w:tcPr>
            <w:tcW w:w="4253" w:type="dxa"/>
          </w:tcPr>
          <w:p w14:paraId="2D60BE3C" w14:textId="77777777" w:rsidR="0067759D" w:rsidRPr="0067759D" w:rsidRDefault="0067759D" w:rsidP="0067759D">
            <w:pPr>
              <w:spacing w:before="60" w:after="60"/>
            </w:pPr>
            <w:r w:rsidRPr="0067759D">
              <w:t>1 July 2029 to 30 June 2030</w:t>
            </w:r>
          </w:p>
        </w:tc>
        <w:tc>
          <w:tcPr>
            <w:tcW w:w="4678" w:type="dxa"/>
          </w:tcPr>
          <w:p w14:paraId="736EC761" w14:textId="77777777" w:rsidR="0067759D" w:rsidRPr="0067759D" w:rsidRDefault="0067759D" w:rsidP="0067759D">
            <w:pPr>
              <w:spacing w:before="60" w:after="60"/>
              <w:jc w:val="center"/>
            </w:pPr>
            <w:r w:rsidRPr="0067759D">
              <w:t>18%</w:t>
            </w:r>
          </w:p>
        </w:tc>
      </w:tr>
      <w:tr w:rsidR="0067759D" w:rsidRPr="0067759D" w14:paraId="04934305" w14:textId="77777777" w:rsidTr="00DD13D4">
        <w:tc>
          <w:tcPr>
            <w:tcW w:w="4253" w:type="dxa"/>
          </w:tcPr>
          <w:p w14:paraId="6D6E0F66" w14:textId="77777777" w:rsidR="0067759D" w:rsidRPr="0067759D" w:rsidRDefault="0067759D" w:rsidP="0067759D">
            <w:pPr>
              <w:spacing w:before="60" w:after="60"/>
            </w:pPr>
            <w:r w:rsidRPr="0067759D">
              <w:t>1 July 2030 onwards</w:t>
            </w:r>
          </w:p>
        </w:tc>
        <w:tc>
          <w:tcPr>
            <w:tcW w:w="4678" w:type="dxa"/>
          </w:tcPr>
          <w:p w14:paraId="3251BB82" w14:textId="77777777" w:rsidR="0067759D" w:rsidRPr="0067759D" w:rsidRDefault="0067759D" w:rsidP="0067759D">
            <w:pPr>
              <w:spacing w:before="60" w:after="60"/>
              <w:jc w:val="center"/>
            </w:pPr>
            <w:r w:rsidRPr="0067759D">
              <w:t>20%</w:t>
            </w:r>
          </w:p>
        </w:tc>
      </w:tr>
    </w:tbl>
    <w:p w14:paraId="51D9F132" w14:textId="77777777" w:rsidR="00A91606" w:rsidRDefault="00A91606" w:rsidP="00A91606">
      <w:pPr>
        <w:spacing w:after="120"/>
        <w:rPr>
          <w:rFonts w:cstheme="minorHAnsi"/>
        </w:rPr>
      </w:pPr>
    </w:p>
    <w:p w14:paraId="27404F6F" w14:textId="3295569D" w:rsidR="00972ABB" w:rsidRPr="00765370" w:rsidRDefault="00C734BE" w:rsidP="00765370">
      <w:pPr>
        <w:spacing w:before="80" w:after="320"/>
      </w:pPr>
      <w:r w:rsidRPr="00AC7D1B">
        <w:lastRenderedPageBreak/>
        <w:t xml:space="preserve">Targets </w:t>
      </w:r>
      <w:r>
        <w:t xml:space="preserve">for Women </w:t>
      </w:r>
      <w:r w:rsidRPr="00AC7D1B">
        <w:t xml:space="preserve">are based on the project’s </w:t>
      </w:r>
      <w:r>
        <w:t>C</w:t>
      </w:r>
      <w:r w:rsidRPr="00AC7D1B">
        <w:t>ontract start date and increase each financial year for multi-year projects.</w:t>
      </w:r>
    </w:p>
    <w:p w14:paraId="080EC5FB" w14:textId="41F67702" w:rsidR="00DB4248" w:rsidRPr="00DB4248" w:rsidRDefault="00DB4248" w:rsidP="00535C6B">
      <w:pPr>
        <w:pStyle w:val="Heading2"/>
      </w:pPr>
      <w:bookmarkStart w:id="23" w:name="_Toc209787050"/>
      <w:r>
        <w:t>ICT target</w:t>
      </w:r>
      <w:r w:rsidR="00222889">
        <w:t xml:space="preserve"> examples</w:t>
      </w:r>
      <w:bookmarkEnd w:id="23"/>
    </w:p>
    <w:p w14:paraId="39CDDD2A" w14:textId="77777777" w:rsidR="00DB4248" w:rsidRPr="007D49BA" w:rsidRDefault="00DB4248" w:rsidP="00DB4248">
      <w:pPr>
        <w:spacing w:after="0"/>
        <w:rPr>
          <w:rStyle w:val="Heading5Char"/>
          <w:bCs/>
        </w:rPr>
      </w:pPr>
      <w:r w:rsidRPr="007D49BA">
        <w:rPr>
          <w:rStyle w:val="Heading5Char"/>
          <w:bCs/>
        </w:rPr>
        <w:t>Learning Worker Target</w:t>
      </w:r>
    </w:p>
    <w:p w14:paraId="29AA69D4" w14:textId="77777777" w:rsidR="00DB4248" w:rsidRPr="00571BDB" w:rsidRDefault="00DB4248" w:rsidP="003D75C0">
      <w:pPr>
        <w:pStyle w:val="ListBullet"/>
        <w:numPr>
          <w:ilvl w:val="0"/>
          <w:numId w:val="24"/>
        </w:numPr>
        <w:spacing w:line="276" w:lineRule="auto"/>
        <w:ind w:left="284" w:hanging="284"/>
      </w:pPr>
      <w:r w:rsidRPr="00571BDB">
        <w:rPr>
          <w:i/>
          <w:iCs/>
        </w:rPr>
        <w:t>Brown &amp; Smith ICT</w:t>
      </w:r>
      <w:r w:rsidRPr="00571BDB">
        <w:t xml:space="preserve"> has estimated that their </w:t>
      </w:r>
      <w:r w:rsidRPr="00571BDB">
        <w:rPr>
          <w:b/>
          <w:bCs/>
          <w:u w:val="single"/>
        </w:rPr>
        <w:t>Major ICT Project</w:t>
      </w:r>
      <w:r w:rsidRPr="00571BDB">
        <w:t xml:space="preserve"> will require 3,000 Labour Hours.</w:t>
      </w:r>
    </w:p>
    <w:p w14:paraId="09AAAE21" w14:textId="77777777" w:rsidR="00DB4248" w:rsidRPr="00571BDB" w:rsidRDefault="00DB4248" w:rsidP="003D75C0">
      <w:pPr>
        <w:pStyle w:val="ListBullet"/>
        <w:numPr>
          <w:ilvl w:val="0"/>
          <w:numId w:val="24"/>
        </w:numPr>
        <w:spacing w:line="276" w:lineRule="auto"/>
        <w:ind w:left="284" w:hanging="284"/>
      </w:pPr>
      <w:r w:rsidRPr="00571BDB">
        <w:t>150 Labour Hours need to be undertaken by Learning Workers (5% of the project’s total estimated Labour Hours). </w:t>
      </w:r>
    </w:p>
    <w:p w14:paraId="7B220E87" w14:textId="7F8C806C" w:rsidR="00DB4248" w:rsidRPr="00571BDB" w:rsidRDefault="00DB4248" w:rsidP="003D75C0">
      <w:pPr>
        <w:pStyle w:val="ListBullet"/>
        <w:numPr>
          <w:ilvl w:val="0"/>
          <w:numId w:val="24"/>
        </w:numPr>
        <w:spacing w:line="276" w:lineRule="auto"/>
        <w:ind w:left="284" w:hanging="284"/>
      </w:pPr>
      <w:r w:rsidRPr="00571BDB">
        <w:t xml:space="preserve">All reported Learning Worker Labour Hours are counted towards the 5% target in the Apprenticeship Data Management System (ADMS) online reporting system. </w:t>
      </w:r>
    </w:p>
    <w:p w14:paraId="64944C26" w14:textId="77777777" w:rsidR="00DB4248" w:rsidRPr="00DB4248" w:rsidRDefault="00DB4248" w:rsidP="00DB4248">
      <w:pPr>
        <w:spacing w:after="0"/>
        <w:rPr>
          <w:rStyle w:val="Heading5Char"/>
        </w:rPr>
      </w:pPr>
      <w:r w:rsidRPr="00DB4248">
        <w:rPr>
          <w:rStyle w:val="Heading5Char"/>
        </w:rPr>
        <w:t>Microcredentials Limit for the Learning Worker Target</w:t>
      </w:r>
    </w:p>
    <w:p w14:paraId="283A386E" w14:textId="77777777" w:rsidR="00DB4248" w:rsidRPr="00571BDB" w:rsidRDefault="00DB4248" w:rsidP="00336438">
      <w:pPr>
        <w:pStyle w:val="ListBullet"/>
        <w:numPr>
          <w:ilvl w:val="0"/>
          <w:numId w:val="25"/>
        </w:numPr>
        <w:tabs>
          <w:tab w:val="left" w:pos="284"/>
        </w:tabs>
        <w:spacing w:line="276" w:lineRule="auto"/>
        <w:ind w:left="284" w:hanging="284"/>
      </w:pPr>
      <w:r w:rsidRPr="00571BDB">
        <w:t xml:space="preserve">a </w:t>
      </w:r>
      <w:r w:rsidRPr="00571BDB">
        <w:rPr>
          <w:b/>
          <w:bCs/>
        </w:rPr>
        <w:t>maximum of 20% of the reported Learning Worker Labour Hours</w:t>
      </w:r>
      <w:r w:rsidRPr="00571BDB">
        <w:t xml:space="preserve"> may be attributed to Workers who are currently undertaking or have undertaken Microcredentials to meet the Learning Worker Target.</w:t>
      </w:r>
    </w:p>
    <w:p w14:paraId="5C9399A5" w14:textId="77777777" w:rsidR="00DB4248" w:rsidRPr="00571BDB" w:rsidRDefault="00DB4248" w:rsidP="00336438">
      <w:pPr>
        <w:pStyle w:val="ListBullet"/>
        <w:numPr>
          <w:ilvl w:val="0"/>
          <w:numId w:val="25"/>
        </w:numPr>
        <w:tabs>
          <w:tab w:val="left" w:pos="284"/>
        </w:tabs>
        <w:spacing w:line="276" w:lineRule="auto"/>
        <w:ind w:left="284" w:hanging="284"/>
      </w:pPr>
      <w:r w:rsidRPr="00571BDB">
        <w:t>For example, if 150 Learning Worker Labour Hours are reported, up to 30 hours may be from Microcredentials.</w:t>
      </w:r>
    </w:p>
    <w:p w14:paraId="257A25EF" w14:textId="77777777" w:rsidR="00DB4248" w:rsidRPr="00571BDB" w:rsidRDefault="00DB4248" w:rsidP="00336438">
      <w:pPr>
        <w:pStyle w:val="ListBullet"/>
        <w:numPr>
          <w:ilvl w:val="0"/>
          <w:numId w:val="25"/>
        </w:numPr>
        <w:tabs>
          <w:tab w:val="left" w:pos="284"/>
        </w:tabs>
        <w:spacing w:line="276" w:lineRule="auto"/>
        <w:ind w:left="284" w:hanging="284"/>
      </w:pPr>
      <w:r w:rsidRPr="00571BDB">
        <w:t xml:space="preserve">the Microcredential limit for the Learning Worker Target is </w:t>
      </w:r>
      <w:r w:rsidRPr="00571BDB">
        <w:rPr>
          <w:b/>
          <w:bCs/>
        </w:rPr>
        <w:t>assessed and calculated at the end of the Eligible Project</w:t>
      </w:r>
      <w:r w:rsidRPr="00571BDB">
        <w:t xml:space="preserve"> in ADMS, based on the reported (not estimated) Learning Worker Labour Hours. </w:t>
      </w:r>
    </w:p>
    <w:p w14:paraId="5A0E173E" w14:textId="77777777" w:rsidR="00DB4248" w:rsidRPr="00571BDB" w:rsidRDefault="00DB4248" w:rsidP="00336438">
      <w:pPr>
        <w:pStyle w:val="ListBullet"/>
        <w:numPr>
          <w:ilvl w:val="0"/>
          <w:numId w:val="25"/>
        </w:numPr>
        <w:tabs>
          <w:tab w:val="left" w:pos="284"/>
        </w:tabs>
        <w:spacing w:line="276" w:lineRule="auto"/>
        <w:ind w:left="284" w:hanging="284"/>
      </w:pPr>
      <w:r w:rsidRPr="00571BDB">
        <w:t xml:space="preserve">If more than 20% of the Learning Worker Labour Hours are from Microcredentials, ADMS will flag that the project has not met the target due to exceeding the limit and will prompt for the Supplier to provide an explanation. </w:t>
      </w:r>
    </w:p>
    <w:p w14:paraId="699E820F" w14:textId="77777777" w:rsidR="00DB4248" w:rsidRPr="00571BDB" w:rsidRDefault="00DB4248" w:rsidP="00336438">
      <w:pPr>
        <w:pStyle w:val="ListBullet"/>
        <w:numPr>
          <w:ilvl w:val="0"/>
          <w:numId w:val="25"/>
        </w:numPr>
        <w:tabs>
          <w:tab w:val="left" w:pos="284"/>
        </w:tabs>
        <w:spacing w:line="276" w:lineRule="auto"/>
        <w:ind w:left="284" w:hanging="284"/>
      </w:pPr>
      <w:r w:rsidRPr="00571BDB">
        <w:t xml:space="preserve">ADMS includes a progress bar showing Microcredential hour usage when viewing or assessing project reports to show how many Microcredential Labour Hours have been used against the limit. </w:t>
      </w:r>
    </w:p>
    <w:p w14:paraId="00F05FCE" w14:textId="77777777" w:rsidR="00DB4248" w:rsidRPr="007D49BA" w:rsidRDefault="00DB4248" w:rsidP="00DB4248">
      <w:pPr>
        <w:spacing w:after="0"/>
        <w:rPr>
          <w:rStyle w:val="Heading5Char"/>
          <w:bCs/>
        </w:rPr>
      </w:pPr>
      <w:r w:rsidRPr="007D49BA">
        <w:rPr>
          <w:rStyle w:val="Heading5Char"/>
          <w:bCs/>
        </w:rPr>
        <w:t>Learning Worker Targets for Women</w:t>
      </w:r>
    </w:p>
    <w:p w14:paraId="209819F6" w14:textId="52D4FB71" w:rsidR="00DB4248" w:rsidRPr="00571BDB" w:rsidRDefault="00DB4248" w:rsidP="00336438">
      <w:pPr>
        <w:pStyle w:val="ListBullet"/>
        <w:numPr>
          <w:ilvl w:val="0"/>
          <w:numId w:val="26"/>
        </w:numPr>
        <w:spacing w:line="276" w:lineRule="auto"/>
        <w:ind w:left="284" w:hanging="284"/>
      </w:pPr>
      <w:r w:rsidRPr="00571BDB">
        <w:rPr>
          <w:i/>
          <w:iCs/>
        </w:rPr>
        <w:t>Brown &amp; Smith ICT’s</w:t>
      </w:r>
      <w:r w:rsidRPr="00571BDB">
        <w:t xml:space="preserve"> </w:t>
      </w:r>
      <w:r w:rsidRPr="00571BDB">
        <w:rPr>
          <w:b/>
          <w:bCs/>
          <w:u w:val="single"/>
        </w:rPr>
        <w:t>Major ICT Project</w:t>
      </w:r>
      <w:r w:rsidRPr="00571BDB">
        <w:t xml:space="preserve"> has a Contract start date of 1 November 2025 and has a Contract end date of 16 May 2026. </w:t>
      </w:r>
    </w:p>
    <w:p w14:paraId="0628A7B9" w14:textId="77777777" w:rsidR="00DB4248" w:rsidRPr="00571BDB" w:rsidRDefault="00DB4248" w:rsidP="00336438">
      <w:pPr>
        <w:pStyle w:val="ListBullet"/>
        <w:numPr>
          <w:ilvl w:val="0"/>
          <w:numId w:val="26"/>
        </w:numPr>
        <w:spacing w:line="276" w:lineRule="auto"/>
        <w:ind w:left="284" w:hanging="284"/>
      </w:pPr>
      <w:r w:rsidRPr="00571BDB">
        <w:t>The project is subject to the target for Women for the 2025–26 financial year, requiring 10% of Learning Worker Labour Hours to be undertaken by Women.</w:t>
      </w:r>
    </w:p>
    <w:p w14:paraId="60B70968" w14:textId="77777777" w:rsidR="00DB4248" w:rsidRPr="00571BDB" w:rsidRDefault="00DB4248" w:rsidP="00336438">
      <w:pPr>
        <w:pStyle w:val="ListBullet"/>
        <w:numPr>
          <w:ilvl w:val="0"/>
          <w:numId w:val="26"/>
        </w:numPr>
        <w:spacing w:line="276" w:lineRule="auto"/>
        <w:ind w:left="284" w:hanging="284"/>
      </w:pPr>
      <w:r w:rsidRPr="00571BDB">
        <w:t xml:space="preserve">The number of Labour Hours required to meet the target for Women is based on the reported Learning Worker Labour Hours. </w:t>
      </w:r>
    </w:p>
    <w:p w14:paraId="68F0CEE1" w14:textId="77777777" w:rsidR="00DB4248" w:rsidRPr="00571BDB" w:rsidRDefault="00DB4248" w:rsidP="00336438">
      <w:pPr>
        <w:pStyle w:val="ListBullet"/>
        <w:numPr>
          <w:ilvl w:val="0"/>
          <w:numId w:val="26"/>
        </w:numPr>
        <w:spacing w:line="276" w:lineRule="auto"/>
        <w:ind w:left="284" w:hanging="284"/>
      </w:pPr>
      <w:r w:rsidRPr="00571BDB">
        <w:t xml:space="preserve">For example, if </w:t>
      </w:r>
      <w:r w:rsidRPr="00571BDB">
        <w:rPr>
          <w:i/>
          <w:iCs/>
        </w:rPr>
        <w:t>Brown and Smith ICT</w:t>
      </w:r>
      <w:r w:rsidRPr="00571BDB">
        <w:t xml:space="preserve"> reports 170 Learning Worker Labour Hours, then 17 Labour Hours must be undertaken by Learning Workers who are Women (10% of the project’s total 170 Learning Worker Labour Hours).</w:t>
      </w:r>
    </w:p>
    <w:p w14:paraId="49334B75" w14:textId="35BCC768" w:rsidR="00DB4248" w:rsidRPr="00571BDB" w:rsidRDefault="00DB4248" w:rsidP="00336438">
      <w:pPr>
        <w:pStyle w:val="ListBullet"/>
        <w:numPr>
          <w:ilvl w:val="0"/>
          <w:numId w:val="26"/>
        </w:numPr>
        <w:spacing w:line="276" w:lineRule="auto"/>
        <w:ind w:left="284" w:hanging="284"/>
      </w:pPr>
      <w:r w:rsidRPr="00571BDB">
        <w:t xml:space="preserve">All reported Learning Worker Labour Hours for Women are counted towards the target for the financial year in ADMS. </w:t>
      </w:r>
    </w:p>
    <w:p w14:paraId="4FE294E7" w14:textId="77777777" w:rsidR="00DB4248" w:rsidRPr="00DB4248" w:rsidRDefault="00DB4248" w:rsidP="00DB4248">
      <w:pPr>
        <w:spacing w:after="0"/>
        <w:rPr>
          <w:rStyle w:val="Heading5Char"/>
        </w:rPr>
      </w:pPr>
      <w:r w:rsidRPr="00DB4248">
        <w:rPr>
          <w:rStyle w:val="Heading5Char"/>
        </w:rPr>
        <w:t>Microcredentials Limit for the Learning Worker Target for Women</w:t>
      </w:r>
    </w:p>
    <w:p w14:paraId="4277541C" w14:textId="77777777" w:rsidR="00DB4248" w:rsidRPr="00571BDB" w:rsidRDefault="00DB4248" w:rsidP="00336438">
      <w:pPr>
        <w:pStyle w:val="ListBullet"/>
        <w:numPr>
          <w:ilvl w:val="0"/>
          <w:numId w:val="27"/>
        </w:numPr>
        <w:spacing w:line="276" w:lineRule="auto"/>
        <w:ind w:left="284" w:hanging="284"/>
      </w:pPr>
      <w:r w:rsidRPr="00571BDB">
        <w:t xml:space="preserve">a </w:t>
      </w:r>
      <w:r w:rsidRPr="00571BDB">
        <w:rPr>
          <w:b/>
          <w:bCs/>
        </w:rPr>
        <w:t>maximum of 20%</w:t>
      </w:r>
      <w:r w:rsidRPr="00571BDB">
        <w:t xml:space="preserve"> of the reported Learning Worker Labour Hours for Women may be attributed to Microcredentials to meet the Learning Worker Target for Women.</w:t>
      </w:r>
    </w:p>
    <w:p w14:paraId="76E2891D" w14:textId="77777777" w:rsidR="00DB4248" w:rsidRPr="00571BDB" w:rsidRDefault="00DB4248" w:rsidP="00336438">
      <w:pPr>
        <w:pStyle w:val="ListBullet"/>
        <w:numPr>
          <w:ilvl w:val="0"/>
          <w:numId w:val="27"/>
        </w:numPr>
        <w:spacing w:line="276" w:lineRule="auto"/>
        <w:ind w:left="284" w:hanging="284"/>
      </w:pPr>
      <w:r w:rsidRPr="00571BDB">
        <w:t xml:space="preserve">the Microcredential limit for the Learning Worker Target for Women </w:t>
      </w:r>
      <w:r w:rsidRPr="00571BDB">
        <w:rPr>
          <w:b/>
          <w:bCs/>
        </w:rPr>
        <w:t>is assessed and calculated each financial year during the Eligible Project</w:t>
      </w:r>
      <w:r w:rsidRPr="00571BDB">
        <w:t xml:space="preserve"> in ADMS. </w:t>
      </w:r>
    </w:p>
    <w:p w14:paraId="6BB320A8" w14:textId="77777777" w:rsidR="00DB4248" w:rsidRPr="00571BDB" w:rsidRDefault="00DB4248" w:rsidP="00336438">
      <w:pPr>
        <w:pStyle w:val="ListBullet"/>
        <w:numPr>
          <w:ilvl w:val="0"/>
          <w:numId w:val="27"/>
        </w:numPr>
        <w:spacing w:line="276" w:lineRule="auto"/>
        <w:ind w:left="284" w:hanging="284"/>
      </w:pPr>
      <w:r w:rsidRPr="00571BDB">
        <w:lastRenderedPageBreak/>
        <w:t xml:space="preserve">For example, if 17 Labour Hours are reported for Women, the Microcredential limit would be 20% of the 17 = 3.4 hours. </w:t>
      </w:r>
    </w:p>
    <w:p w14:paraId="51F8C870" w14:textId="77777777" w:rsidR="00DB4248" w:rsidRPr="00571BDB" w:rsidRDefault="00DB4248" w:rsidP="00336438">
      <w:pPr>
        <w:pStyle w:val="ListBullet"/>
        <w:numPr>
          <w:ilvl w:val="0"/>
          <w:numId w:val="27"/>
        </w:numPr>
        <w:spacing w:line="276" w:lineRule="auto"/>
        <w:ind w:left="284" w:hanging="284"/>
      </w:pPr>
      <w:r w:rsidRPr="00571BDB">
        <w:t xml:space="preserve">If more than 20% of the Women Learning Worker Labour Hours are from Microcredentials, ADMS will flag that the project has not met the target due to exceeding the limit and will prompt for the Supplier to provide an explanation. </w:t>
      </w:r>
    </w:p>
    <w:p w14:paraId="287511CA" w14:textId="77777777" w:rsidR="008C7856" w:rsidRDefault="00DB4248" w:rsidP="00336438">
      <w:pPr>
        <w:pStyle w:val="ListBullet"/>
        <w:numPr>
          <w:ilvl w:val="0"/>
          <w:numId w:val="27"/>
        </w:numPr>
        <w:spacing w:line="276" w:lineRule="auto"/>
        <w:ind w:left="284" w:hanging="284"/>
      </w:pPr>
      <w:r w:rsidRPr="00571BDB">
        <w:t xml:space="preserve">ADMS includes a progress bar showing Microcredential hour usage for the financial year when viewing or assessing project reports to show how many Microcredential Labour Hours have been used against the limit. </w:t>
      </w:r>
    </w:p>
    <w:p w14:paraId="2750E61C" w14:textId="32082A5F" w:rsidR="00607A4E" w:rsidRDefault="00DB4248" w:rsidP="00336438">
      <w:pPr>
        <w:pStyle w:val="ListBullet"/>
        <w:numPr>
          <w:ilvl w:val="0"/>
          <w:numId w:val="27"/>
        </w:numPr>
        <w:spacing w:line="276" w:lineRule="auto"/>
        <w:ind w:left="284" w:hanging="284"/>
      </w:pPr>
      <w:r w:rsidRPr="00571BDB">
        <w:t>Targets for Women are determined based on a project’s Contract start and will increase each financial year that the project continues.</w:t>
      </w:r>
    </w:p>
    <w:p w14:paraId="4300B037" w14:textId="3BD63390" w:rsidR="00020B0E" w:rsidRPr="00535C6B" w:rsidRDefault="00B9776B" w:rsidP="00535C6B">
      <w:pPr>
        <w:pStyle w:val="Heading1"/>
      </w:pPr>
      <w:bookmarkStart w:id="24" w:name="_Toc209787051"/>
      <w:r>
        <w:t xml:space="preserve">Skills Guarantee </w:t>
      </w:r>
      <w:r w:rsidR="00020B0E">
        <w:t>Model Clauses</w:t>
      </w:r>
      <w:bookmarkEnd w:id="24"/>
    </w:p>
    <w:p w14:paraId="41079EDE" w14:textId="5F67837B" w:rsidR="00B9776B" w:rsidRDefault="00B9776B" w:rsidP="00F7741F">
      <w:pPr>
        <w:spacing w:after="0"/>
      </w:pPr>
      <w:r>
        <w:t xml:space="preserve">The Skills Guarantee Model Clauses are designed to help </w:t>
      </w:r>
      <w:r w:rsidR="00E723C1">
        <w:t>n</w:t>
      </w:r>
      <w:r>
        <w:t xml:space="preserve">on-Corporate Commonwealth Entities </w:t>
      </w:r>
      <w:r w:rsidR="00510D46">
        <w:t>and p</w:t>
      </w:r>
      <w:r w:rsidR="003F03A2">
        <w:t xml:space="preserve">rescribed corporate Commonwealth entities listed in Section 30 of the </w:t>
      </w:r>
      <w:r w:rsidR="00F23AC7" w:rsidRPr="00D436BA">
        <w:rPr>
          <w:i/>
        </w:rPr>
        <w:t>Public Governance, Performance and Accountability Rule 2014</w:t>
      </w:r>
      <w:r w:rsidR="00F23AC7" w:rsidRPr="00D436BA">
        <w:t xml:space="preserve"> </w:t>
      </w:r>
      <w:r w:rsidR="00F23AC7">
        <w:t>(</w:t>
      </w:r>
      <w:r w:rsidR="003F03A2">
        <w:t>PGPA</w:t>
      </w:r>
      <w:r w:rsidR="00F23AC7">
        <w:t>)</w:t>
      </w:r>
      <w:r w:rsidR="00B458F7">
        <w:t xml:space="preserve"> </w:t>
      </w:r>
      <w:r>
        <w:t>meet both:</w:t>
      </w:r>
    </w:p>
    <w:p w14:paraId="5C6682D6" w14:textId="77777777" w:rsidR="00B9776B" w:rsidRDefault="00B9776B" w:rsidP="00303515">
      <w:pPr>
        <w:pStyle w:val="ListParagraph"/>
        <w:numPr>
          <w:ilvl w:val="0"/>
          <w:numId w:val="9"/>
        </w:numPr>
        <w:spacing w:line="276" w:lineRule="auto"/>
        <w:ind w:left="284" w:hanging="284"/>
      </w:pPr>
      <w:r>
        <w:t xml:space="preserve">Mandatory requirements, and </w:t>
      </w:r>
    </w:p>
    <w:p w14:paraId="63B643ED" w14:textId="77777777" w:rsidR="00B9776B" w:rsidRDefault="00B9776B" w:rsidP="00303515">
      <w:pPr>
        <w:pStyle w:val="ListParagraph"/>
        <w:numPr>
          <w:ilvl w:val="0"/>
          <w:numId w:val="9"/>
        </w:numPr>
        <w:spacing w:line="276" w:lineRule="auto"/>
        <w:ind w:left="284" w:hanging="284"/>
      </w:pPr>
      <w:r>
        <w:t xml:space="preserve">Optional provisions outlined in the PCP. </w:t>
      </w:r>
    </w:p>
    <w:p w14:paraId="2087B373" w14:textId="7E408C5F" w:rsidR="00E723C1" w:rsidRDefault="00E723C1" w:rsidP="00E723C1">
      <w:pPr>
        <w:spacing w:after="0"/>
      </w:pPr>
      <w:r>
        <w:t xml:space="preserve">The Skills Guarantee Model Clauses are </w:t>
      </w:r>
      <w:r w:rsidR="00264775">
        <w:t xml:space="preserve">the mechanism to </w:t>
      </w:r>
      <w:r w:rsidR="003556EE">
        <w:t>give effect to</w:t>
      </w:r>
      <w:r w:rsidR="000321B5">
        <w:t xml:space="preserve"> the PCP </w:t>
      </w:r>
      <w:r w:rsidR="003556EE">
        <w:t>by applying to</w:t>
      </w:r>
      <w:r w:rsidR="00520645">
        <w:t>:</w:t>
      </w:r>
    </w:p>
    <w:p w14:paraId="10FC0265" w14:textId="77777777" w:rsidR="00E723C1" w:rsidRDefault="00E723C1" w:rsidP="00303515">
      <w:pPr>
        <w:pStyle w:val="ListParagraph"/>
        <w:numPr>
          <w:ilvl w:val="0"/>
          <w:numId w:val="9"/>
        </w:numPr>
        <w:spacing w:line="276" w:lineRule="auto"/>
        <w:ind w:left="284" w:hanging="284"/>
      </w:pPr>
      <w:r>
        <w:t xml:space="preserve">Approach to Market (ATM) documentation </w:t>
      </w:r>
    </w:p>
    <w:p w14:paraId="2EF49856" w14:textId="77777777" w:rsidR="00E723C1" w:rsidRDefault="00E723C1" w:rsidP="00303515">
      <w:pPr>
        <w:pStyle w:val="ListParagraph"/>
        <w:numPr>
          <w:ilvl w:val="0"/>
          <w:numId w:val="9"/>
        </w:numPr>
        <w:spacing w:line="276" w:lineRule="auto"/>
        <w:ind w:left="284" w:hanging="284"/>
      </w:pPr>
      <w:r>
        <w:t xml:space="preserve">Panel and Standing Offer documentation, and </w:t>
      </w:r>
    </w:p>
    <w:p w14:paraId="3705E95C" w14:textId="5495F1EF" w:rsidR="000A35D8" w:rsidRDefault="00E723C1" w:rsidP="00303515">
      <w:pPr>
        <w:pStyle w:val="ListParagraph"/>
        <w:numPr>
          <w:ilvl w:val="0"/>
          <w:numId w:val="9"/>
        </w:numPr>
        <w:spacing w:line="276" w:lineRule="auto"/>
        <w:ind w:left="284" w:hanging="284"/>
      </w:pPr>
      <w:r>
        <w:t xml:space="preserve">Contracts where the procurement has been determined as an Eligible Project for the PCP. </w:t>
      </w:r>
    </w:p>
    <w:p w14:paraId="2380265C" w14:textId="1223C9CC" w:rsidR="00311D32" w:rsidRPr="006851E3" w:rsidRDefault="006851E3" w:rsidP="00311D32">
      <w:pPr>
        <w:pStyle w:val="Heading2"/>
        <w:rPr>
          <w:color w:val="5D7A38"/>
        </w:rPr>
      </w:pPr>
      <w:bookmarkStart w:id="25" w:name="_Toc209787052"/>
      <w:r w:rsidRPr="3BCD4151">
        <w:rPr>
          <w:rFonts w:ascii="Segoe UI Emoji" w:eastAsia="Times New Roman" w:hAnsi="Segoe UI Emoji" w:cs="Segoe UI Emoji"/>
          <w:color w:val="5D7A38"/>
          <w:sz w:val="24"/>
          <w:szCs w:val="24"/>
          <w:lang w:eastAsia="en-AU"/>
        </w:rPr>
        <w:t>📌</w:t>
      </w:r>
      <w:r w:rsidRPr="3BCD4151">
        <w:rPr>
          <w:color w:val="5D7A38"/>
        </w:rPr>
        <w:t xml:space="preserve"> </w:t>
      </w:r>
      <w:r w:rsidR="00311D32" w:rsidRPr="3BCD4151">
        <w:rPr>
          <w:color w:val="5D7A38"/>
        </w:rPr>
        <w:t>Actions for Relevant Entities</w:t>
      </w:r>
      <w:bookmarkEnd w:id="25"/>
      <w:r w:rsidR="00311D32" w:rsidRPr="3BCD4151">
        <w:rPr>
          <w:color w:val="5D7A38"/>
        </w:rPr>
        <w:t xml:space="preserve"> </w:t>
      </w:r>
    </w:p>
    <w:p w14:paraId="6A251F27" w14:textId="5B06512D" w:rsidR="00B9776B" w:rsidRPr="008812D6" w:rsidRDefault="00B9776B" w:rsidP="0016540A">
      <w:r w:rsidRPr="008812D6">
        <w:t xml:space="preserve">For further guidance, refer to the </w:t>
      </w:r>
      <w:hyperlink r:id="rId24" w:history="1">
        <w:r w:rsidRPr="00A159C2">
          <w:rPr>
            <w:rStyle w:val="Hyperlink"/>
            <w:b/>
            <w:bCs/>
          </w:rPr>
          <w:t>Guidance for Using Model Clauses for Commonwealth Contracting Agencies Version 1.4</w:t>
        </w:r>
        <w:r w:rsidRPr="00A159C2">
          <w:rPr>
            <w:rStyle w:val="Hyperlink"/>
          </w:rPr>
          <w:t>,</w:t>
        </w:r>
      </w:hyperlink>
      <w:r w:rsidRPr="008812D6">
        <w:t xml:space="preserve"> available on </w:t>
      </w:r>
      <w:r w:rsidRPr="00A159C2">
        <w:rPr>
          <w:b/>
          <w:bCs/>
        </w:rPr>
        <w:t>GovTEAMS</w:t>
      </w:r>
      <w:r w:rsidRPr="008812D6">
        <w:t>.</w:t>
      </w:r>
    </w:p>
    <w:p w14:paraId="2F0D3AA6" w14:textId="0FE8A5C0" w:rsidR="00020B0E" w:rsidRDefault="00B31151" w:rsidP="00535C6B">
      <w:pPr>
        <w:pStyle w:val="Heading1"/>
      </w:pPr>
      <w:bookmarkStart w:id="26" w:name="_Toc209787053"/>
      <w:r>
        <w:t>P</w:t>
      </w:r>
      <w:r w:rsidR="00B12002">
        <w:t>rivacy</w:t>
      </w:r>
      <w:bookmarkEnd w:id="26"/>
    </w:p>
    <w:p w14:paraId="795F96A1" w14:textId="600BBBA6" w:rsidR="00B9776B" w:rsidRPr="00535C6B" w:rsidRDefault="00B9776B" w:rsidP="003514A0">
      <w:pPr>
        <w:pStyle w:val="Heading2"/>
        <w:spacing w:before="0"/>
      </w:pPr>
      <w:bookmarkStart w:id="27" w:name="_Toc209787054"/>
      <w:r>
        <w:t xml:space="preserve">Consent </w:t>
      </w:r>
      <w:r w:rsidR="00B31151">
        <w:t>R</w:t>
      </w:r>
      <w:r>
        <w:t xml:space="preserve">equirements and </w:t>
      </w:r>
      <w:r w:rsidR="00B31151">
        <w:t>P</w:t>
      </w:r>
      <w:r>
        <w:t xml:space="preserve">rivacy </w:t>
      </w:r>
      <w:r w:rsidR="00B31151">
        <w:t>C</w:t>
      </w:r>
      <w:r>
        <w:t>onsiderations</w:t>
      </w:r>
      <w:bookmarkEnd w:id="27"/>
    </w:p>
    <w:p w14:paraId="6322961C" w14:textId="206F231A" w:rsidR="00B9776B" w:rsidRPr="008812D6" w:rsidRDefault="00B9776B" w:rsidP="005117A2">
      <w:pPr>
        <w:spacing w:after="0"/>
      </w:pPr>
      <w:r w:rsidRPr="008812D6">
        <w:t>Contracts within scope of PCP must include either:</w:t>
      </w:r>
    </w:p>
    <w:p w14:paraId="40E59CE5" w14:textId="71B998AF" w:rsidR="00B9776B" w:rsidRPr="005117A2" w:rsidRDefault="00B9776B" w:rsidP="00303515">
      <w:pPr>
        <w:pStyle w:val="ListParagraph"/>
        <w:numPr>
          <w:ilvl w:val="0"/>
          <w:numId w:val="11"/>
        </w:numPr>
        <w:spacing w:line="276" w:lineRule="auto"/>
        <w:ind w:left="284" w:hanging="284"/>
      </w:pPr>
      <w:r w:rsidRPr="005117A2">
        <w:t>relevant Australian Skills Guarantee Model Clauses, or</w:t>
      </w:r>
    </w:p>
    <w:p w14:paraId="43C0C62C" w14:textId="7EE29E4D" w:rsidR="00B9776B" w:rsidRPr="005117A2" w:rsidRDefault="00E314B2" w:rsidP="00303515">
      <w:pPr>
        <w:pStyle w:val="ListParagraph"/>
        <w:numPr>
          <w:ilvl w:val="0"/>
          <w:numId w:val="11"/>
        </w:numPr>
        <w:spacing w:line="276" w:lineRule="auto"/>
        <w:ind w:left="284" w:hanging="284"/>
      </w:pPr>
      <w:r>
        <w:t>e</w:t>
      </w:r>
      <w:r w:rsidR="00B9776B" w:rsidRPr="005117A2">
        <w:t>quivalent terms and conditions that secure the necessary consents.</w:t>
      </w:r>
    </w:p>
    <w:p w14:paraId="557F5CAD" w14:textId="3FA0D036" w:rsidR="00B9776B" w:rsidRPr="005117A2" w:rsidRDefault="00B9776B" w:rsidP="005117A2">
      <w:pPr>
        <w:spacing w:after="0"/>
      </w:pPr>
      <w:r w:rsidRPr="005117A2">
        <w:t xml:space="preserve">These consents enable the </w:t>
      </w:r>
      <w:r w:rsidR="007D08CE">
        <w:t xml:space="preserve">Department of Employment and Workplace Relations (DEWR) </w:t>
      </w:r>
      <w:r w:rsidRPr="005117A2">
        <w:t>to:</w:t>
      </w:r>
    </w:p>
    <w:p w14:paraId="121338C2" w14:textId="66BA8F5A" w:rsidR="00B9776B" w:rsidRPr="005117A2" w:rsidRDefault="00E314B2" w:rsidP="00303515">
      <w:pPr>
        <w:pStyle w:val="ListParagraph"/>
        <w:numPr>
          <w:ilvl w:val="0"/>
          <w:numId w:val="11"/>
        </w:numPr>
        <w:spacing w:line="276" w:lineRule="auto"/>
        <w:ind w:left="284" w:hanging="284"/>
      </w:pPr>
      <w:r>
        <w:t>c</w:t>
      </w:r>
      <w:r w:rsidR="00B9776B" w:rsidRPr="005117A2">
        <w:t>ollect,</w:t>
      </w:r>
    </w:p>
    <w:p w14:paraId="06753123" w14:textId="76608671" w:rsidR="00B9776B" w:rsidRPr="005117A2" w:rsidRDefault="00E314B2" w:rsidP="00303515">
      <w:pPr>
        <w:pStyle w:val="ListParagraph"/>
        <w:numPr>
          <w:ilvl w:val="0"/>
          <w:numId w:val="11"/>
        </w:numPr>
        <w:spacing w:line="276" w:lineRule="auto"/>
        <w:ind w:left="284" w:hanging="284"/>
      </w:pPr>
      <w:r>
        <w:t>u</w:t>
      </w:r>
      <w:r w:rsidR="00B9776B" w:rsidRPr="005117A2">
        <w:t>se, and</w:t>
      </w:r>
    </w:p>
    <w:p w14:paraId="425C1976" w14:textId="12225B3A" w:rsidR="00B9776B" w:rsidRPr="008812D6" w:rsidRDefault="00E314B2" w:rsidP="00303515">
      <w:pPr>
        <w:pStyle w:val="ListParagraph"/>
        <w:numPr>
          <w:ilvl w:val="0"/>
          <w:numId w:val="11"/>
        </w:numPr>
        <w:spacing w:line="276" w:lineRule="auto"/>
        <w:ind w:left="284" w:hanging="284"/>
      </w:pPr>
      <w:r>
        <w:t>s</w:t>
      </w:r>
      <w:r w:rsidR="00B9776B" w:rsidRPr="005117A2">
        <w:t>tore personal information of Apprentices</w:t>
      </w:r>
      <w:r w:rsidR="009E48BF">
        <w:t xml:space="preserve"> </w:t>
      </w:r>
      <w:r w:rsidR="00B9776B" w:rsidRPr="005117A2">
        <w:t>and Learning Workers for</w:t>
      </w:r>
      <w:r w:rsidR="00B9776B" w:rsidRPr="008812D6">
        <w:t xml:space="preserve"> verification and administration purposes.</w:t>
      </w:r>
    </w:p>
    <w:p w14:paraId="5772D8A8" w14:textId="77777777" w:rsidR="0018103C" w:rsidRDefault="0018103C">
      <w:pPr>
        <w:spacing w:after="160" w:line="259" w:lineRule="auto"/>
        <w:rPr>
          <w:rFonts w:ascii="Calibri" w:eastAsiaTheme="majorEastAsia" w:hAnsi="Calibri" w:cstheme="majorBidi"/>
          <w:b/>
          <w:color w:val="404246"/>
          <w:sz w:val="30"/>
          <w:szCs w:val="26"/>
        </w:rPr>
      </w:pPr>
      <w:bookmarkStart w:id="28" w:name="_Toc209787055"/>
      <w:r>
        <w:br w:type="page"/>
      </w:r>
    </w:p>
    <w:p w14:paraId="6249A546" w14:textId="0260D25D" w:rsidR="00B9776B" w:rsidRPr="00535C6B" w:rsidRDefault="00B9776B" w:rsidP="00535C6B">
      <w:pPr>
        <w:pStyle w:val="Heading2"/>
      </w:pPr>
      <w:r>
        <w:lastRenderedPageBreak/>
        <w:t>Collection of Personal Information</w:t>
      </w:r>
      <w:bookmarkEnd w:id="28"/>
    </w:p>
    <w:p w14:paraId="3E564D5D" w14:textId="1529B7E4" w:rsidR="00B9776B" w:rsidRPr="008812D6" w:rsidRDefault="00B9776B" w:rsidP="005117A2">
      <w:pPr>
        <w:spacing w:after="0"/>
      </w:pPr>
      <w:r w:rsidRPr="008812D6">
        <w:t xml:space="preserve">The collection of personal information supports </w:t>
      </w:r>
      <w:r w:rsidR="00EE032A">
        <w:t>DEWR</w:t>
      </w:r>
      <w:r w:rsidRPr="008812D6">
        <w:t xml:space="preserve"> in verifying reported data through </w:t>
      </w:r>
      <w:r w:rsidR="00C52A8A">
        <w:t>ADMS</w:t>
      </w:r>
      <w:r w:rsidRPr="008812D6">
        <w:t>. This includes confirming that individuals</w:t>
      </w:r>
      <w:r w:rsidR="005117A2">
        <w:t xml:space="preserve"> are</w:t>
      </w:r>
      <w:r w:rsidRPr="008812D6">
        <w:t>:</w:t>
      </w:r>
    </w:p>
    <w:p w14:paraId="0FE2C7F3" w14:textId="24FDD939" w:rsidR="00B9776B" w:rsidRPr="008812D6" w:rsidRDefault="00B9776B" w:rsidP="00303515">
      <w:pPr>
        <w:pStyle w:val="ListParagraph"/>
        <w:numPr>
          <w:ilvl w:val="0"/>
          <w:numId w:val="11"/>
        </w:numPr>
        <w:spacing w:line="276" w:lineRule="auto"/>
        <w:ind w:left="284" w:hanging="284"/>
      </w:pPr>
      <w:r w:rsidRPr="008812D6">
        <w:t>real and identifiable,</w:t>
      </w:r>
    </w:p>
    <w:p w14:paraId="0A1D5C9E" w14:textId="338A6092" w:rsidR="00B9776B" w:rsidRPr="008812D6" w:rsidRDefault="00B9776B" w:rsidP="00303515">
      <w:pPr>
        <w:pStyle w:val="ListParagraph"/>
        <w:numPr>
          <w:ilvl w:val="0"/>
          <w:numId w:val="11"/>
        </w:numPr>
        <w:spacing w:line="276" w:lineRule="auto"/>
        <w:ind w:left="284" w:hanging="284"/>
      </w:pPr>
      <w:r w:rsidRPr="008812D6">
        <w:t>actively engaged in their roles, and</w:t>
      </w:r>
    </w:p>
    <w:p w14:paraId="2376DABD" w14:textId="0FD3B1A3" w:rsidR="00B9776B" w:rsidRPr="008812D6" w:rsidRDefault="00B9776B" w:rsidP="00303515">
      <w:pPr>
        <w:pStyle w:val="ListParagraph"/>
        <w:numPr>
          <w:ilvl w:val="0"/>
          <w:numId w:val="11"/>
        </w:numPr>
        <w:spacing w:line="276" w:lineRule="auto"/>
        <w:ind w:left="284" w:hanging="284"/>
      </w:pPr>
      <w:r w:rsidRPr="008812D6">
        <w:t>undertaking a recognised trade or qualification</w:t>
      </w:r>
      <w:r w:rsidR="00C52A8A">
        <w:t xml:space="preserve">, </w:t>
      </w:r>
      <w:r w:rsidRPr="008812D6">
        <w:t>where applicable.</w:t>
      </w:r>
    </w:p>
    <w:p w14:paraId="4F5F4E85" w14:textId="29B65D4A" w:rsidR="00B9776B" w:rsidRPr="008812D6" w:rsidRDefault="00B9776B" w:rsidP="00B9776B">
      <w:r w:rsidRPr="008812D6">
        <w:t xml:space="preserve">Suppliers must distribute the </w:t>
      </w:r>
      <w:hyperlink r:id="rId25" w:history="1">
        <w:r w:rsidRPr="002338A1">
          <w:rPr>
            <w:rStyle w:val="Hyperlink"/>
          </w:rPr>
          <w:t>Australian Skills Guarantee Privacy Notice</w:t>
        </w:r>
      </w:hyperlink>
      <w:r w:rsidRPr="002338A1">
        <w:t xml:space="preserve"> </w:t>
      </w:r>
      <w:r w:rsidRPr="008812D6">
        <w:t>to Apprentices</w:t>
      </w:r>
      <w:r w:rsidR="00C52A8A">
        <w:t xml:space="preserve"> </w:t>
      </w:r>
      <w:r w:rsidRPr="008812D6">
        <w:t>and Learning Workers working on Eligible Projects. This notice explains how</w:t>
      </w:r>
      <w:r w:rsidR="00C52A8A">
        <w:t xml:space="preserve"> </w:t>
      </w:r>
      <w:r w:rsidR="00EE032A">
        <w:t>DEWR</w:t>
      </w:r>
      <w:r w:rsidRPr="008812D6">
        <w:t xml:space="preserve"> will handle personal information under the PCP.</w:t>
      </w:r>
    </w:p>
    <w:p w14:paraId="1654317D" w14:textId="0644D6F8" w:rsidR="00B9776B" w:rsidRPr="00535C6B" w:rsidRDefault="00B9776B" w:rsidP="00535C6B">
      <w:pPr>
        <w:pStyle w:val="Heading2"/>
      </w:pPr>
      <w:bookmarkStart w:id="29" w:name="_Toc209787056"/>
      <w:r>
        <w:t xml:space="preserve">Using </w:t>
      </w:r>
      <w:r w:rsidR="00666040">
        <w:t xml:space="preserve">Skills Guarantee </w:t>
      </w:r>
      <w:r>
        <w:t>Model Clauses to Secure Consent</w:t>
      </w:r>
      <w:bookmarkEnd w:id="29"/>
    </w:p>
    <w:p w14:paraId="75142AD0" w14:textId="133E6583" w:rsidR="00806AFF" w:rsidRDefault="00806AFF" w:rsidP="00806AFF">
      <w:pPr>
        <w:jc w:val="both"/>
      </w:pPr>
      <w:r w:rsidRPr="00286C74">
        <w:t>The Skills Guarantee Model Clauses contain</w:t>
      </w:r>
      <w:r>
        <w:t xml:space="preserve"> provisions</w:t>
      </w:r>
      <w:r w:rsidRPr="00ED7EAE">
        <w:t xml:space="preserve"> </w:t>
      </w:r>
      <w:r>
        <w:t>which require the Supplier to obtain all necessary consents from its Apprentices and Learning Workers</w:t>
      </w:r>
      <w:r w:rsidRPr="00AF5614">
        <w:t xml:space="preserve"> </w:t>
      </w:r>
      <w:r>
        <w:t xml:space="preserve">for the handling of their personal information as set out in the </w:t>
      </w:r>
      <w:r w:rsidRPr="00286C74">
        <w:t>Australian Skills Guarantee Privacy Notice</w:t>
      </w:r>
      <w:r>
        <w:t>.</w:t>
      </w:r>
    </w:p>
    <w:p w14:paraId="62F27A12" w14:textId="064F5167" w:rsidR="00B9776B" w:rsidRPr="006851E3" w:rsidRDefault="006851E3" w:rsidP="002C4243">
      <w:pPr>
        <w:pStyle w:val="Heading2"/>
        <w:spacing w:before="0"/>
        <w:rPr>
          <w:color w:val="5D7A38"/>
        </w:rPr>
      </w:pPr>
      <w:bookmarkStart w:id="30" w:name="_Toc209787057"/>
      <w:r w:rsidRPr="3BCD4151">
        <w:rPr>
          <w:rFonts w:ascii="Segoe UI Emoji" w:eastAsia="Times New Roman" w:hAnsi="Segoe UI Emoji" w:cs="Segoe UI Emoji"/>
          <w:color w:val="5D7A38"/>
          <w:sz w:val="24"/>
          <w:szCs w:val="24"/>
          <w:lang w:eastAsia="en-AU"/>
        </w:rPr>
        <w:t>📌</w:t>
      </w:r>
      <w:r w:rsidRPr="3BCD4151">
        <w:rPr>
          <w:color w:val="5D7A38"/>
        </w:rPr>
        <w:t xml:space="preserve"> </w:t>
      </w:r>
      <w:r w:rsidR="00AB4B02" w:rsidRPr="3BCD4151">
        <w:rPr>
          <w:color w:val="5D7A38"/>
        </w:rPr>
        <w:t>Actions for Relevant Entities</w:t>
      </w:r>
      <w:bookmarkEnd w:id="30"/>
      <w:r w:rsidR="00AB4B02" w:rsidRPr="3BCD4151">
        <w:rPr>
          <w:color w:val="5D7A38"/>
        </w:rPr>
        <w:t xml:space="preserve"> </w:t>
      </w:r>
    </w:p>
    <w:p w14:paraId="13D971B7" w14:textId="06E93337" w:rsidR="00D76C5E" w:rsidRPr="008812D6" w:rsidRDefault="00D76C5E" w:rsidP="00966D9C">
      <w:pPr>
        <w:pStyle w:val="ListParagraph"/>
        <w:numPr>
          <w:ilvl w:val="0"/>
          <w:numId w:val="11"/>
        </w:numPr>
        <w:spacing w:line="276" w:lineRule="auto"/>
      </w:pPr>
      <w:r>
        <w:t>i</w:t>
      </w:r>
      <w:r w:rsidRPr="008812D6">
        <w:t xml:space="preserve">nclude suitable terms </w:t>
      </w:r>
      <w:r w:rsidR="00DC61F8">
        <w:t xml:space="preserve">and conditions </w:t>
      </w:r>
      <w:r w:rsidR="005D7A30" w:rsidRPr="008812D6">
        <w:t xml:space="preserve">to obtain consent from </w:t>
      </w:r>
      <w:r w:rsidR="005D7A30">
        <w:t>Apprentices and Learning Workers</w:t>
      </w:r>
      <w:r w:rsidR="005D7A30" w:rsidRPr="008812D6">
        <w:t xml:space="preserve"> </w:t>
      </w:r>
      <w:r w:rsidR="00EA15F0">
        <w:t xml:space="preserve">are prescribed </w:t>
      </w:r>
      <w:r w:rsidRPr="008812D6">
        <w:t>allowing</w:t>
      </w:r>
      <w:r>
        <w:t xml:space="preserve"> </w:t>
      </w:r>
      <w:r w:rsidR="00EE032A">
        <w:t>DEWR</w:t>
      </w:r>
      <w:r w:rsidRPr="008812D6">
        <w:t xml:space="preserve"> to collect, use, and disclose personal information</w:t>
      </w:r>
      <w:r>
        <w:t xml:space="preserve"> t</w:t>
      </w:r>
      <w:r w:rsidRPr="008812D6">
        <w:t xml:space="preserve">o comply with the </w:t>
      </w:r>
      <w:r w:rsidRPr="005117A2">
        <w:t>Privacy Act 1988 and other relevant</w:t>
      </w:r>
      <w:r w:rsidRPr="008812D6">
        <w:t xml:space="preserve"> laws</w:t>
      </w:r>
      <w:r>
        <w:t xml:space="preserve"> </w:t>
      </w:r>
      <w:r w:rsidRPr="008812D6">
        <w:t>ATM, Contract, or panel/Standing Offer documentation</w:t>
      </w:r>
    </w:p>
    <w:p w14:paraId="7A3C128D" w14:textId="42815F78" w:rsidR="00B9776B" w:rsidRPr="008812D6" w:rsidRDefault="000A2725" w:rsidP="00966D9C">
      <w:pPr>
        <w:pStyle w:val="ListParagraph"/>
        <w:numPr>
          <w:ilvl w:val="0"/>
          <w:numId w:val="11"/>
        </w:numPr>
        <w:spacing w:line="276" w:lineRule="auto"/>
      </w:pPr>
      <w:r>
        <w:t>e</w:t>
      </w:r>
      <w:r w:rsidR="00B9776B" w:rsidRPr="008812D6">
        <w:t>nsure any modifications still meet PCP requirements</w:t>
      </w:r>
    </w:p>
    <w:p w14:paraId="466DDB65" w14:textId="15BD61C1" w:rsidR="000A2725" w:rsidRDefault="000A2725" w:rsidP="00966D9C">
      <w:pPr>
        <w:pStyle w:val="ListParagraph"/>
        <w:numPr>
          <w:ilvl w:val="0"/>
          <w:numId w:val="11"/>
        </w:numPr>
        <w:spacing w:line="276" w:lineRule="auto"/>
      </w:pPr>
      <w:r>
        <w:t>b</w:t>
      </w:r>
      <w:r w:rsidR="00B9776B" w:rsidRPr="008812D6">
        <w:t xml:space="preserve">e aware that changes may affect </w:t>
      </w:r>
      <w:r w:rsidR="00EE032A">
        <w:t>DEWR’s</w:t>
      </w:r>
      <w:r w:rsidR="00B9776B" w:rsidRPr="008812D6">
        <w:t xml:space="preserve"> ability to manage personal information effectively</w:t>
      </w:r>
    </w:p>
    <w:p w14:paraId="7462DF82" w14:textId="6E137A7A" w:rsidR="00FE3E3B" w:rsidRDefault="00DC61F8" w:rsidP="00891C0A">
      <w:pPr>
        <w:pStyle w:val="ListParagraph"/>
        <w:numPr>
          <w:ilvl w:val="0"/>
          <w:numId w:val="11"/>
        </w:numPr>
        <w:spacing w:line="276" w:lineRule="auto"/>
      </w:pPr>
      <w:r>
        <w:t>re</w:t>
      </w:r>
      <w:r w:rsidR="002B7FFA">
        <w:t>mind</w:t>
      </w:r>
      <w:r w:rsidR="00B9776B" w:rsidRPr="008812D6">
        <w:t xml:space="preserve"> Suppliers </w:t>
      </w:r>
      <w:r w:rsidR="002B7FFA">
        <w:t xml:space="preserve">to distribute the </w:t>
      </w:r>
      <w:hyperlink r:id="rId26" w:history="1">
        <w:r w:rsidR="002B7FFA" w:rsidRPr="00310C6A">
          <w:rPr>
            <w:rStyle w:val="Hyperlink"/>
          </w:rPr>
          <w:t>Australian Skills Guarantee Privacy Notice</w:t>
        </w:r>
      </w:hyperlink>
      <w:r w:rsidR="002B7FFA">
        <w:t xml:space="preserve"> to Apprentices and Learning Workers</w:t>
      </w:r>
      <w:r w:rsidR="00FE3E3B">
        <w:t xml:space="preserve">, that is </w:t>
      </w:r>
      <w:r w:rsidR="00FE3E3B" w:rsidRPr="00310C6A">
        <w:t>available on the DEWR website</w:t>
      </w:r>
      <w:r w:rsidR="009A1360">
        <w:t>.</w:t>
      </w:r>
    </w:p>
    <w:p w14:paraId="51997338" w14:textId="17CE06E7" w:rsidR="00020B0E" w:rsidRDefault="00020B0E" w:rsidP="00535C6B">
      <w:pPr>
        <w:pStyle w:val="Heading1"/>
      </w:pPr>
      <w:bookmarkStart w:id="31" w:name="_Toc209787058"/>
      <w:r>
        <w:t>Contract variations</w:t>
      </w:r>
      <w:bookmarkEnd w:id="31"/>
    </w:p>
    <w:p w14:paraId="7C0217A3" w14:textId="77777777" w:rsidR="00D214E8" w:rsidRDefault="00D343C5" w:rsidP="00D343C5">
      <w:r w:rsidRPr="00F603E3">
        <w:t xml:space="preserve">Relevant </w:t>
      </w:r>
      <w:r>
        <w:t>E</w:t>
      </w:r>
      <w:r w:rsidRPr="00F603E3">
        <w:t xml:space="preserve">ntities </w:t>
      </w:r>
      <w:r w:rsidR="00B834CB">
        <w:t xml:space="preserve">should consider </w:t>
      </w:r>
      <w:r w:rsidR="001747AC" w:rsidRPr="001747AC">
        <w:rPr>
          <w:b/>
          <w:bCs/>
        </w:rPr>
        <w:t>Section 3.2</w:t>
      </w:r>
      <w:r w:rsidR="001747AC">
        <w:t xml:space="preserve"> of the PCP </w:t>
      </w:r>
      <w:r w:rsidR="00B834CB">
        <w:t xml:space="preserve">when a Contract Variation causes a </w:t>
      </w:r>
      <w:r w:rsidRPr="00F603E3">
        <w:t xml:space="preserve">procurement </w:t>
      </w:r>
      <w:r w:rsidR="00B834CB">
        <w:t>to become an</w:t>
      </w:r>
      <w:r w:rsidRPr="00F603E3">
        <w:t xml:space="preserve"> </w:t>
      </w:r>
      <w:r w:rsidRPr="00530917">
        <w:t>Eligible Project under</w:t>
      </w:r>
      <w:r w:rsidRPr="00F603E3">
        <w:t xml:space="preserve"> the </w:t>
      </w:r>
      <w:r>
        <w:t>PCP</w:t>
      </w:r>
      <w:r w:rsidR="007D7B19">
        <w:t xml:space="preserve"> from</w:t>
      </w:r>
      <w:r>
        <w:t xml:space="preserve"> changes to an existing Contract</w:t>
      </w:r>
      <w:r w:rsidR="00A77879">
        <w:t xml:space="preserve">. </w:t>
      </w:r>
    </w:p>
    <w:p w14:paraId="35A44618" w14:textId="54B2BE8D" w:rsidR="00D343C5" w:rsidRDefault="00D214E8" w:rsidP="00D343C5">
      <w:r>
        <w:t xml:space="preserve">The PCP requirements should have already been applied </w:t>
      </w:r>
      <w:r w:rsidR="00495361">
        <w:t xml:space="preserve">to a procurement </w:t>
      </w:r>
      <w:r w:rsidR="00370D5A">
        <w:t xml:space="preserve">if the original </w:t>
      </w:r>
      <w:r w:rsidR="00D343C5">
        <w:t xml:space="preserve">estimated procurement value is $10 million (GST inclusive) or more. </w:t>
      </w:r>
    </w:p>
    <w:p w14:paraId="6C452031" w14:textId="1C7988E7" w:rsidR="00C75D88" w:rsidRDefault="6C89FDE1" w:rsidP="0018103C">
      <w:pPr>
        <w:pStyle w:val="ListBullet"/>
        <w:spacing w:after="0" w:line="276" w:lineRule="auto"/>
        <w:ind w:left="0" w:firstLine="0"/>
      </w:pPr>
      <w:r>
        <w:t xml:space="preserve">Relevant Entities </w:t>
      </w:r>
      <w:r w:rsidR="00F855BD">
        <w:t xml:space="preserve">must </w:t>
      </w:r>
      <w:r w:rsidR="003C21AC">
        <w:t>ensure</w:t>
      </w:r>
      <w:r w:rsidR="4F3827FE">
        <w:t xml:space="preserve"> </w:t>
      </w:r>
      <w:r>
        <w:t>Contract Variations</w:t>
      </w:r>
      <w:r w:rsidR="003C21AC">
        <w:t xml:space="preserve"> are </w:t>
      </w:r>
      <w:r w:rsidR="00A30B24">
        <w:t xml:space="preserve">reported </w:t>
      </w:r>
      <w:r w:rsidR="17EEC6F5">
        <w:t>in ADMS</w:t>
      </w:r>
      <w:r>
        <w:t xml:space="preserve"> as soon as practicable. As Contract variations may not be published in AusTender in a timely way, it is important for Relevant Entities to </w:t>
      </w:r>
      <w:r w:rsidR="00FB4E3F">
        <w:t>confirm</w:t>
      </w:r>
      <w:r w:rsidR="00F855BD">
        <w:t xml:space="preserve"> </w:t>
      </w:r>
      <w:r>
        <w:t>any new Eligible Projects</w:t>
      </w:r>
      <w:r w:rsidR="48A3EFC0">
        <w:t xml:space="preserve"> in ADMS</w:t>
      </w:r>
      <w:r w:rsidR="009C42C2">
        <w:t>,</w:t>
      </w:r>
      <w:r>
        <w:t xml:space="preserve"> including procurements where the PCP requirements were not applied and noting the reasons why.</w:t>
      </w:r>
    </w:p>
    <w:p w14:paraId="18098FDC" w14:textId="77777777" w:rsidR="0018103C" w:rsidRDefault="0018103C" w:rsidP="0018103C">
      <w:pPr>
        <w:pStyle w:val="ListBullet"/>
        <w:spacing w:after="0" w:line="276" w:lineRule="auto"/>
        <w:ind w:left="0" w:firstLine="0"/>
      </w:pPr>
    </w:p>
    <w:p w14:paraId="0259BA16" w14:textId="6FB282CA" w:rsidR="3CE7D1A7" w:rsidRDefault="3CE7D1A7" w:rsidP="0018103C">
      <w:pPr>
        <w:pStyle w:val="ListBullet"/>
        <w:spacing w:before="240" w:line="276" w:lineRule="auto"/>
        <w:ind w:left="0" w:firstLine="0"/>
      </w:pPr>
      <w:r>
        <w:t xml:space="preserve">If PCP Version 1 applies to the existing </w:t>
      </w:r>
      <w:r w:rsidR="775169D4">
        <w:t>C</w:t>
      </w:r>
      <w:r>
        <w:t>ontract, Relevant Entit</w:t>
      </w:r>
      <w:r w:rsidR="775169D4">
        <w:t>ies</w:t>
      </w:r>
      <w:r>
        <w:t xml:space="preserve"> may negotiate with the Supplier to apply the ICT targets outlined in Version 1.2 of the PCP to the varied </w:t>
      </w:r>
      <w:r w:rsidR="02F825C8">
        <w:t>C</w:t>
      </w:r>
      <w:r>
        <w:t>ontract. However, the updated policy provisions</w:t>
      </w:r>
      <w:r w:rsidR="002C490C">
        <w:t xml:space="preserve">, </w:t>
      </w:r>
      <w:r>
        <w:t>including the definitions of Learning Worker, High-Value ICT Project, and Microcredential</w:t>
      </w:r>
      <w:r w:rsidR="00D24F0B">
        <w:t xml:space="preserve"> </w:t>
      </w:r>
      <w:r w:rsidR="2C6199CD">
        <w:t xml:space="preserve">could be </w:t>
      </w:r>
      <w:r w:rsidR="46A95778">
        <w:t xml:space="preserve">included and </w:t>
      </w:r>
      <w:r w:rsidR="2C6199CD">
        <w:t>applied</w:t>
      </w:r>
      <w:r w:rsidR="0055EEE3">
        <w:t xml:space="preserve"> with a Contract variation</w:t>
      </w:r>
      <w:r w:rsidR="2C6199CD">
        <w:t xml:space="preserve"> </w:t>
      </w:r>
      <w:r w:rsidR="67C7E106">
        <w:t>from</w:t>
      </w:r>
      <w:r>
        <w:t xml:space="preserve"> 1 October 2025. Any negotiated targets aligned with the Version 1.2 ICT targets will be treated in the same manner as negotiated ICT targets under Version 1.</w:t>
      </w:r>
    </w:p>
    <w:p w14:paraId="7292C988" w14:textId="7D135179" w:rsidR="7AC88BA4" w:rsidRDefault="7AC88BA4" w:rsidP="432DFFE6">
      <w:pPr>
        <w:pStyle w:val="Heading2"/>
      </w:pPr>
      <w:bookmarkStart w:id="32" w:name="_Toc209787059"/>
      <w:r>
        <w:lastRenderedPageBreak/>
        <w:t>ADMS reporting</w:t>
      </w:r>
      <w:r w:rsidR="1BFE8F4C">
        <w:t xml:space="preserve"> for Contract variations</w:t>
      </w:r>
      <w:bookmarkEnd w:id="32"/>
    </w:p>
    <w:p w14:paraId="663B5E3D" w14:textId="28C1AF54" w:rsidR="432DFFE6" w:rsidRDefault="1BFE8F4C" w:rsidP="6A0C26B5">
      <w:r>
        <w:t>ADMS will notify the Relevant Entity when an existing Contract is varied, including Contracts previously below the Skills Guarantee $10 million threshold. The Relevant Entity should log in to ADMS and review these Contracts for ongoing or new Skills Guarantee eligibility.</w:t>
      </w:r>
    </w:p>
    <w:p w14:paraId="796EBC79" w14:textId="44EA282A" w:rsidR="432DFFE6" w:rsidRDefault="7AAF60AC" w:rsidP="6A0C26B5">
      <w:r>
        <w:t xml:space="preserve">If the Contract was previously below $10 million and a variation means it now meets Skills Guarantee eligibility, you should follow the steps for creating a new project detailed above </w:t>
      </w:r>
      <w:r w:rsidR="3DB69706">
        <w:t>at the</w:t>
      </w:r>
      <w:r>
        <w:t xml:space="preserve"> </w:t>
      </w:r>
      <w:hyperlink w:anchor="_ADMS_notifications_and_1" w:history="1">
        <w:r w:rsidR="5FC31723" w:rsidRPr="00ED0C7A">
          <w:rPr>
            <w:rStyle w:val="Hyperlink"/>
          </w:rPr>
          <w:t>ADMS notifications and reviewing a new Contract</w:t>
        </w:r>
        <w:r w:rsidR="1E0DA244" w:rsidRPr="00ED0C7A">
          <w:rPr>
            <w:rStyle w:val="Hyperlink"/>
          </w:rPr>
          <w:t xml:space="preserve"> section on </w:t>
        </w:r>
        <w:r w:rsidRPr="00ED0C7A">
          <w:rPr>
            <w:rStyle w:val="Hyperlink"/>
          </w:rPr>
          <w:t>Pg 6</w:t>
        </w:r>
      </w:hyperlink>
      <w:r w:rsidRPr="00ED0C7A">
        <w:t>.</w:t>
      </w:r>
    </w:p>
    <w:p w14:paraId="6C0CE70B" w14:textId="7A8DF33B" w:rsidR="432DFFE6" w:rsidRDefault="7AAF60AC" w:rsidP="6A0C26B5">
      <w:r>
        <w:t xml:space="preserve">If there is a </w:t>
      </w:r>
      <w:r w:rsidR="489E8600">
        <w:t xml:space="preserve">Contract </w:t>
      </w:r>
      <w:r>
        <w:t xml:space="preserve">variation to an existing </w:t>
      </w:r>
      <w:r w:rsidR="5A4499FA">
        <w:t>C</w:t>
      </w:r>
      <w:r>
        <w:t>ontract, which had previously been assessed for Skills Guarantee reporting, you will need to confirm the project’s reporting status, including for projects previously not reportable.</w:t>
      </w:r>
    </w:p>
    <w:p w14:paraId="33629AF2" w14:textId="0CCE8EEB" w:rsidR="432DFFE6" w:rsidRPr="00804C2D" w:rsidRDefault="1BFE8F4C" w:rsidP="6A0C26B5">
      <w:r w:rsidRPr="00804C2D">
        <w:t xml:space="preserve">Please refer to the additional reporting guidance is available on </w:t>
      </w:r>
      <w:hyperlink r:id="rId27" w:history="1">
        <w:r w:rsidRPr="00804C2D">
          <w:rPr>
            <w:rStyle w:val="Hyperlink"/>
          </w:rPr>
          <w:t>GovTEAMS – Australian Skills Guarantee Operational Resources and Stakeholder Engagement Community</w:t>
        </w:r>
      </w:hyperlink>
      <w:r w:rsidR="00804C2D" w:rsidRPr="00804C2D">
        <w:t>.</w:t>
      </w:r>
    </w:p>
    <w:p w14:paraId="079C9491" w14:textId="77777777" w:rsidR="00E228EE" w:rsidRPr="00535C6B" w:rsidRDefault="00E228EE" w:rsidP="00535C6B">
      <w:pPr>
        <w:pStyle w:val="Heading2"/>
      </w:pPr>
      <w:bookmarkStart w:id="33" w:name="_Toc209787060"/>
      <w:r>
        <w:t>Panel or Standing Offer arrangements</w:t>
      </w:r>
      <w:bookmarkEnd w:id="33"/>
      <w:r>
        <w:t xml:space="preserve"> </w:t>
      </w:r>
    </w:p>
    <w:p w14:paraId="1CFC2E8F" w14:textId="77777777" w:rsidR="00E228EE" w:rsidRDefault="00E228EE" w:rsidP="00E228EE">
      <w:r>
        <w:t xml:space="preserve">Lead agencies for existing panel or Standing Offer arrangements may vary the standard Contract terms of their deed of Standing Offer, indicating that the PCP requirements will apply to Eligible Projects procured from that panel or Standing Offer arrangement. </w:t>
      </w:r>
    </w:p>
    <w:p w14:paraId="1192DA0D" w14:textId="77777777" w:rsidR="00E228EE" w:rsidRDefault="00E228EE" w:rsidP="00E228EE">
      <w:r>
        <w:t>The assessment and reporting for the PCP requirements will occur when a new Contract is created for an Eligible Project under a panel or Standing Offer arrangement, or where a Contract under that panel or Standing Offer arrangement is varied making it an Eligible Project.</w:t>
      </w:r>
    </w:p>
    <w:p w14:paraId="7256D0FE" w14:textId="280AC1C5" w:rsidR="00E228EE" w:rsidRDefault="00E228EE" w:rsidP="00D343C5">
      <w:r>
        <w:t xml:space="preserve">Relevant Entities will take the same approach to negotiating the inclusion of PCP requirements in a Contract variation for an Eligible Project under a panel or Standing Offer arrangement, as for Contract variations for Eligible Projects not under a panel or Standing Offer arrangement. </w:t>
      </w:r>
    </w:p>
    <w:p w14:paraId="0DFAFCD7" w14:textId="11A72275" w:rsidR="00B17AF8" w:rsidRPr="006851E3" w:rsidRDefault="006851E3" w:rsidP="00B17AF8">
      <w:pPr>
        <w:pStyle w:val="Heading2"/>
        <w:spacing w:before="0"/>
        <w:rPr>
          <w:color w:val="5D7A38"/>
        </w:rPr>
      </w:pPr>
      <w:bookmarkStart w:id="34" w:name="_Toc209787061"/>
      <w:r w:rsidRPr="3BCD4151">
        <w:rPr>
          <w:rFonts w:ascii="Segoe UI Emoji" w:eastAsia="Times New Roman" w:hAnsi="Segoe UI Emoji" w:cs="Segoe UI Emoji"/>
          <w:color w:val="5D7A38"/>
          <w:sz w:val="24"/>
          <w:szCs w:val="24"/>
          <w:lang w:eastAsia="en-AU"/>
        </w:rPr>
        <w:t>📌</w:t>
      </w:r>
      <w:r w:rsidRPr="3BCD4151">
        <w:rPr>
          <w:color w:val="5D7A38"/>
        </w:rPr>
        <w:t xml:space="preserve"> </w:t>
      </w:r>
      <w:r w:rsidR="00B17AF8" w:rsidRPr="3BCD4151">
        <w:rPr>
          <w:color w:val="5D7A38"/>
        </w:rPr>
        <w:t>Actions for Relevant Entities</w:t>
      </w:r>
      <w:bookmarkEnd w:id="34"/>
      <w:r w:rsidR="00B17AF8" w:rsidRPr="3BCD4151">
        <w:rPr>
          <w:color w:val="5D7A38"/>
        </w:rPr>
        <w:t xml:space="preserve"> </w:t>
      </w:r>
    </w:p>
    <w:p w14:paraId="06281344" w14:textId="7948962A" w:rsidR="00394ADB" w:rsidRPr="00394ADB" w:rsidRDefault="00635025" w:rsidP="002736ED">
      <w:pPr>
        <w:spacing w:after="0"/>
      </w:pPr>
      <w:r>
        <w:t>Relevant Entities should negotiate the application of the PCP with Supplier</w:t>
      </w:r>
      <w:r w:rsidR="002736ED">
        <w:t xml:space="preserve">s considering: </w:t>
      </w:r>
    </w:p>
    <w:p w14:paraId="0134D9AD" w14:textId="0B90C6D1" w:rsidR="00D343C5" w:rsidRDefault="002D60EC" w:rsidP="00491FA5">
      <w:pPr>
        <w:pStyle w:val="ListParagraph"/>
        <w:numPr>
          <w:ilvl w:val="0"/>
          <w:numId w:val="11"/>
        </w:numPr>
        <w:spacing w:line="276" w:lineRule="auto"/>
      </w:pPr>
      <w:r>
        <w:t>if</w:t>
      </w:r>
      <w:r w:rsidR="00D343C5" w:rsidRPr="00CA479B">
        <w:t xml:space="preserve"> </w:t>
      </w:r>
      <w:r w:rsidR="00D343C5" w:rsidRPr="006E2955">
        <w:t>the</w:t>
      </w:r>
      <w:r w:rsidR="00D343C5">
        <w:t xml:space="preserve"> C</w:t>
      </w:r>
      <w:r w:rsidR="00D343C5" w:rsidRPr="006E2955">
        <w:t xml:space="preserve">ontract variation presents an opportunity </w:t>
      </w:r>
      <w:r w:rsidR="00D343C5">
        <w:t>to enhance the</w:t>
      </w:r>
      <w:r w:rsidR="00D343C5" w:rsidRPr="006E2955">
        <w:t xml:space="preserve"> participation of </w:t>
      </w:r>
      <w:r w:rsidR="00D343C5">
        <w:t>A</w:t>
      </w:r>
      <w:r w:rsidR="00D343C5" w:rsidRPr="006E2955">
        <w:t xml:space="preserve">pprentices, </w:t>
      </w:r>
      <w:r w:rsidR="00D343C5">
        <w:t xml:space="preserve">Learning Workers, </w:t>
      </w:r>
      <w:r w:rsidR="00D343C5" w:rsidRPr="006E2955">
        <w:t xml:space="preserve">and </w:t>
      </w:r>
      <w:r w:rsidR="00D343C5">
        <w:t>W</w:t>
      </w:r>
      <w:r w:rsidR="00D343C5" w:rsidRPr="006E2955">
        <w:t>omen in deliver</w:t>
      </w:r>
      <w:r w:rsidR="00D343C5">
        <w:t>ing</w:t>
      </w:r>
      <w:r w:rsidR="00D343C5" w:rsidRPr="006E2955">
        <w:t xml:space="preserve"> the remainder of the </w:t>
      </w:r>
      <w:r w:rsidR="00D343C5">
        <w:t>C</w:t>
      </w:r>
      <w:r w:rsidR="00D343C5" w:rsidRPr="006E2955">
        <w:t>ontract</w:t>
      </w:r>
      <w:r w:rsidR="00D25C60">
        <w:t>, supporting the PCP intent</w:t>
      </w:r>
    </w:p>
    <w:p w14:paraId="638F771F" w14:textId="526DD712" w:rsidR="00D343C5" w:rsidRDefault="00D343C5" w:rsidP="00491FA5">
      <w:pPr>
        <w:pStyle w:val="ListParagraph"/>
        <w:numPr>
          <w:ilvl w:val="0"/>
          <w:numId w:val="11"/>
        </w:numPr>
        <w:spacing w:line="276" w:lineRule="auto"/>
      </w:pPr>
      <w:r>
        <w:t>sufficient time remaining on the Contract to ensure Apprentices or Learning Workers receive an adequate training experience</w:t>
      </w:r>
    </w:p>
    <w:p w14:paraId="11D9BFBA" w14:textId="5AE0B098" w:rsidR="00D343C5" w:rsidRDefault="00D343C5" w:rsidP="00491FA5">
      <w:pPr>
        <w:pStyle w:val="ListParagraph"/>
        <w:numPr>
          <w:ilvl w:val="0"/>
          <w:numId w:val="11"/>
        </w:numPr>
        <w:spacing w:line="276" w:lineRule="auto"/>
      </w:pPr>
      <w:r w:rsidRPr="001D066E">
        <w:t>sufficient work</w:t>
      </w:r>
      <w:r>
        <w:t xml:space="preserve"> to be completed within Australia</w:t>
      </w:r>
    </w:p>
    <w:p w14:paraId="699CEAE1" w14:textId="6C0CECE7" w:rsidR="00D343C5" w:rsidRDefault="00D343C5" w:rsidP="00491FA5">
      <w:pPr>
        <w:pStyle w:val="ListParagraph"/>
        <w:numPr>
          <w:ilvl w:val="0"/>
          <w:numId w:val="11"/>
        </w:numPr>
        <w:spacing w:line="276" w:lineRule="auto"/>
      </w:pPr>
      <w:r>
        <w:t>remaining Contract deliverables requir</w:t>
      </w:r>
      <w:r w:rsidR="00C10C86">
        <w:t>ing</w:t>
      </w:r>
      <w:r>
        <w:t xml:space="preserve"> Labour Hours</w:t>
      </w:r>
    </w:p>
    <w:p w14:paraId="43EBAF4D" w14:textId="35F1D170" w:rsidR="00D343C5" w:rsidRDefault="00D343C5" w:rsidP="00491FA5">
      <w:pPr>
        <w:pStyle w:val="ListParagraph"/>
        <w:numPr>
          <w:ilvl w:val="0"/>
          <w:numId w:val="11"/>
        </w:numPr>
        <w:spacing w:line="276" w:lineRule="auto"/>
      </w:pPr>
      <w:r w:rsidRPr="00864BB7">
        <w:t xml:space="preserve">sufficient work </w:t>
      </w:r>
      <w:r>
        <w:t>available that align with the A</w:t>
      </w:r>
      <w:r w:rsidRPr="00864BB7">
        <w:t>pprentice</w:t>
      </w:r>
      <w:r>
        <w:t xml:space="preserve"> or Learning Worker</w:t>
      </w:r>
      <w:r w:rsidRPr="00864BB7">
        <w:t xml:space="preserve"> pathway</w:t>
      </w:r>
      <w:r>
        <w:t>s</w:t>
      </w:r>
    </w:p>
    <w:p w14:paraId="24782A32" w14:textId="42B03DE9" w:rsidR="00F10C6E" w:rsidRDefault="00347BB3" w:rsidP="00491FA5">
      <w:pPr>
        <w:pStyle w:val="ListParagraph"/>
        <w:numPr>
          <w:ilvl w:val="0"/>
          <w:numId w:val="11"/>
        </w:numPr>
        <w:spacing w:line="276" w:lineRule="auto"/>
      </w:pPr>
      <w:r>
        <w:t>a</w:t>
      </w:r>
      <w:r w:rsidR="00D343C5">
        <w:t xml:space="preserve"> change in the type of Eligible Project creates an opportunity to negotiate higher targets for Women and the provision of a </w:t>
      </w:r>
      <w:r>
        <w:t>GEAP</w:t>
      </w:r>
    </w:p>
    <w:p w14:paraId="48C82FFB" w14:textId="5481FB6C" w:rsidR="00F271D0" w:rsidRDefault="00966A29" w:rsidP="00491FA5">
      <w:pPr>
        <w:pStyle w:val="ListParagraph"/>
        <w:numPr>
          <w:ilvl w:val="0"/>
          <w:numId w:val="11"/>
        </w:numPr>
        <w:spacing w:line="276" w:lineRule="auto"/>
      </w:pPr>
      <w:r>
        <w:t xml:space="preserve">if </w:t>
      </w:r>
      <w:r w:rsidR="00257FF2">
        <w:t>the provision of a</w:t>
      </w:r>
      <w:r>
        <w:t xml:space="preserve"> GEAP is </w:t>
      </w:r>
      <w:r w:rsidR="00257FF2">
        <w:t>agreed, ensure the Supplier provide</w:t>
      </w:r>
      <w:r w:rsidR="00C44FEF">
        <w:t>s a GEAP before their next quarterly report</w:t>
      </w:r>
      <w:r w:rsidR="00011A0F">
        <w:t xml:space="preserve"> </w:t>
      </w:r>
      <w:r w:rsidR="002D545F">
        <w:t>and include in the next six-monthly reporting in ADMS or earlier</w:t>
      </w:r>
    </w:p>
    <w:p w14:paraId="2716593B" w14:textId="4A6FBB12" w:rsidR="007178AC" w:rsidRDefault="00427F88" w:rsidP="00491FA5">
      <w:pPr>
        <w:pStyle w:val="ListParagraph"/>
        <w:numPr>
          <w:ilvl w:val="0"/>
          <w:numId w:val="11"/>
        </w:numPr>
        <w:spacing w:line="276" w:lineRule="auto"/>
      </w:pPr>
      <w:r>
        <w:t xml:space="preserve">update </w:t>
      </w:r>
      <w:r w:rsidR="0040213C">
        <w:t xml:space="preserve">the targets and </w:t>
      </w:r>
      <w:r>
        <w:t>Labour Hours</w:t>
      </w:r>
      <w:r w:rsidR="0040213C">
        <w:t xml:space="preserve"> </w:t>
      </w:r>
      <w:r>
        <w:t xml:space="preserve">remaining </w:t>
      </w:r>
      <w:r w:rsidR="0040213C">
        <w:t>in the Contract</w:t>
      </w:r>
    </w:p>
    <w:p w14:paraId="5B3C3084" w14:textId="717FAEED" w:rsidR="00C75D88" w:rsidRPr="004B7A9F" w:rsidRDefault="00603A2D" w:rsidP="00491FA5">
      <w:pPr>
        <w:pStyle w:val="ListParagraph"/>
        <w:numPr>
          <w:ilvl w:val="0"/>
          <w:numId w:val="11"/>
        </w:numPr>
        <w:spacing w:line="276" w:lineRule="auto"/>
      </w:pPr>
      <w:r w:rsidRPr="004B7A9F">
        <w:lastRenderedPageBreak/>
        <w:t>if PCP Version 1 applies to an existing Contract, negotiating to adopt the ICT targets from PCP Version 1.2 with the Supplier</w:t>
      </w:r>
      <w:r w:rsidR="009A76B9" w:rsidRPr="004B7A9F">
        <w:t xml:space="preserve"> and a</w:t>
      </w:r>
      <w:r w:rsidRPr="004B7A9F">
        <w:t>ny negotiated targets based on Version 1.2 will be treated the same as those under Version 1</w:t>
      </w:r>
      <w:r w:rsidR="00926126" w:rsidRPr="004B7A9F">
        <w:t xml:space="preserve"> and </w:t>
      </w:r>
      <w:r w:rsidR="0079042B" w:rsidRPr="004B7A9F">
        <w:t xml:space="preserve">updated </w:t>
      </w:r>
      <w:r w:rsidR="00926126" w:rsidRPr="004B7A9F">
        <w:t>policy provisions</w:t>
      </w:r>
      <w:r w:rsidR="0079042B" w:rsidRPr="004B7A9F">
        <w:t>, such as Learning Worker or Microcredentials,</w:t>
      </w:r>
      <w:r w:rsidR="00926126" w:rsidRPr="004B7A9F">
        <w:t xml:space="preserve"> should not be applied until the </w:t>
      </w:r>
      <w:r w:rsidR="004B7A9F" w:rsidRPr="004B7A9F">
        <w:t>PCP Version 1.2</w:t>
      </w:r>
      <w:r w:rsidR="00926126" w:rsidRPr="004B7A9F">
        <w:t xml:space="preserve"> takes effect on 1 October 2025.</w:t>
      </w:r>
    </w:p>
    <w:p w14:paraId="453EB825" w14:textId="73BD0653" w:rsidR="00D343C5" w:rsidRDefault="00D343C5" w:rsidP="00491FA5">
      <w:pPr>
        <w:pStyle w:val="ListParagraph"/>
        <w:numPr>
          <w:ilvl w:val="0"/>
          <w:numId w:val="11"/>
        </w:numPr>
        <w:spacing w:after="0" w:line="276" w:lineRule="auto"/>
      </w:pPr>
      <w:r>
        <w:t xml:space="preserve">exercise discretion </w:t>
      </w:r>
      <w:r w:rsidR="00A65ED6">
        <w:t>to apply</w:t>
      </w:r>
      <w:r>
        <w:t xml:space="preserve"> PCP requirements where a </w:t>
      </w:r>
      <w:r w:rsidR="004D7A10">
        <w:t>C</w:t>
      </w:r>
      <w:r>
        <w:t>ontract is varied for reasons</w:t>
      </w:r>
      <w:r w:rsidR="005D2B31">
        <w:t xml:space="preserve"> including</w:t>
      </w:r>
      <w:r w:rsidR="004058C2">
        <w:t>,</w:t>
      </w:r>
      <w:r w:rsidR="005D2B31">
        <w:t xml:space="preserve"> but not limited to</w:t>
      </w:r>
      <w:r>
        <w:t>:</w:t>
      </w:r>
    </w:p>
    <w:p w14:paraId="122B3EA2" w14:textId="306302BB" w:rsidR="00D343C5" w:rsidRPr="007058AA" w:rsidRDefault="005D2B31" w:rsidP="00491FA5">
      <w:pPr>
        <w:pStyle w:val="ListBullet"/>
        <w:numPr>
          <w:ilvl w:val="2"/>
          <w:numId w:val="28"/>
        </w:numPr>
        <w:spacing w:line="276" w:lineRule="auto"/>
      </w:pPr>
      <w:r>
        <w:t>in</w:t>
      </w:r>
      <w:r w:rsidR="00D343C5">
        <w:t xml:space="preserve">sufficient time to offer Apprentices or Learning Workers a meaningful training experience, </w:t>
      </w:r>
      <w:r w:rsidR="00BA5B40">
        <w:t>e.g.</w:t>
      </w:r>
      <w:r w:rsidR="00D343C5">
        <w:t>, there is only one month remaining on the Contract</w:t>
      </w:r>
    </w:p>
    <w:p w14:paraId="200E8281" w14:textId="77777777" w:rsidR="00D343C5" w:rsidRDefault="00D343C5" w:rsidP="00491FA5">
      <w:pPr>
        <w:pStyle w:val="ListBullet"/>
        <w:numPr>
          <w:ilvl w:val="2"/>
          <w:numId w:val="28"/>
        </w:numPr>
        <w:spacing w:line="276" w:lineRule="auto"/>
      </w:pPr>
      <w:r>
        <w:t>the majority of the remaining Contract deliverables are scheduled to be completed overseas.</w:t>
      </w:r>
    </w:p>
    <w:p w14:paraId="1ABEAB9C" w14:textId="1FCA377F" w:rsidR="00BA5B40" w:rsidRDefault="00D343C5" w:rsidP="00491FA5">
      <w:pPr>
        <w:pStyle w:val="ListBullet"/>
        <w:numPr>
          <w:ilvl w:val="2"/>
          <w:numId w:val="28"/>
        </w:numPr>
        <w:spacing w:line="276" w:lineRule="auto"/>
      </w:pPr>
      <w:r>
        <w:t>the majority of the remaining Contract deliverables do not require Labour Hours</w:t>
      </w:r>
    </w:p>
    <w:p w14:paraId="169B51A9" w14:textId="53E2E25E" w:rsidR="00D343C5" w:rsidRDefault="00D343C5" w:rsidP="00491FA5">
      <w:pPr>
        <w:pStyle w:val="ListBullet"/>
        <w:numPr>
          <w:ilvl w:val="2"/>
          <w:numId w:val="28"/>
        </w:numPr>
        <w:spacing w:line="276" w:lineRule="auto"/>
      </w:pPr>
      <w:r w:rsidRPr="00864BB7">
        <w:t xml:space="preserve">there are no </w:t>
      </w:r>
      <w:r>
        <w:t>suitable pathways for A</w:t>
      </w:r>
      <w:r w:rsidRPr="00864BB7">
        <w:t>pprentice</w:t>
      </w:r>
      <w:r>
        <w:t>s</w:t>
      </w:r>
      <w:r w:rsidRPr="00864BB7">
        <w:t xml:space="preserve"> or </w:t>
      </w:r>
      <w:r>
        <w:t>Learning Workers</w:t>
      </w:r>
      <w:r w:rsidRPr="00864BB7">
        <w:t xml:space="preserve"> in the remaining </w:t>
      </w:r>
      <w:r>
        <w:t xml:space="preserve">scope of </w:t>
      </w:r>
      <w:r w:rsidRPr="00864BB7">
        <w:t>work to be delivered</w:t>
      </w:r>
      <w:r w:rsidR="006F02BA">
        <w:t>.</w:t>
      </w:r>
    </w:p>
    <w:p w14:paraId="2E74D508" w14:textId="7AFBB94E" w:rsidR="00DD4B02" w:rsidRDefault="00AA1EA6" w:rsidP="00491FA5">
      <w:pPr>
        <w:pStyle w:val="ListBullet"/>
        <w:numPr>
          <w:ilvl w:val="2"/>
          <w:numId w:val="28"/>
        </w:numPr>
        <w:spacing w:line="276" w:lineRule="auto"/>
      </w:pPr>
      <w:r>
        <w:t>document the reasons and maintain appropriate records where PCP requirements are not included as part of the Contract variation</w:t>
      </w:r>
      <w:r w:rsidR="00FF4A13">
        <w:t>.</w:t>
      </w:r>
    </w:p>
    <w:p w14:paraId="61AC1DDB" w14:textId="3776FD9C" w:rsidR="00DD4B02" w:rsidRPr="00535C6B" w:rsidRDefault="00A5723A" w:rsidP="00535C6B">
      <w:pPr>
        <w:pStyle w:val="Heading2"/>
      </w:pPr>
      <w:bookmarkStart w:id="35" w:name="_Toc209787062"/>
      <w:r w:rsidRPr="3BCD4151">
        <w:rPr>
          <w:rFonts w:ascii="Segoe UI Emoji" w:eastAsia="Times New Roman" w:hAnsi="Segoe UI Emoji" w:cs="Segoe UI Emoji"/>
          <w:color w:val="5D7A38"/>
          <w:sz w:val="24"/>
          <w:szCs w:val="24"/>
          <w:lang w:eastAsia="en-AU"/>
        </w:rPr>
        <w:t>📌</w:t>
      </w:r>
      <w:r>
        <w:t xml:space="preserve"> </w:t>
      </w:r>
      <w:r w:rsidRPr="3BCD4151">
        <w:rPr>
          <w:color w:val="5D7A38"/>
        </w:rPr>
        <w:t>C</w:t>
      </w:r>
      <w:r w:rsidR="00DD4B02" w:rsidRPr="3BCD4151">
        <w:rPr>
          <w:color w:val="5D7A38"/>
        </w:rPr>
        <w:t>hecklist for Relevant Entities</w:t>
      </w:r>
      <w:bookmarkEnd w:id="35"/>
      <w:r w:rsidR="00DD4B02">
        <w:t xml:space="preserve"> </w:t>
      </w:r>
    </w:p>
    <w:p w14:paraId="28CAD07C" w14:textId="0D1630F9" w:rsidR="00D343C5" w:rsidRPr="00CD27C1" w:rsidRDefault="00D343C5" w:rsidP="00D343C5">
      <w:pPr>
        <w:spacing w:after="0"/>
        <w:rPr>
          <w:rFonts w:eastAsiaTheme="majorEastAsia" w:cstheme="majorBidi"/>
          <w:color w:val="404246"/>
        </w:rPr>
      </w:pPr>
      <w:r w:rsidRPr="00CD27C1">
        <w:rPr>
          <w:rFonts w:eastAsiaTheme="majorEastAsia" w:cstheme="majorBidi"/>
          <w:color w:val="404246"/>
        </w:rPr>
        <w:t xml:space="preserve">When a </w:t>
      </w:r>
      <w:r w:rsidR="00DD4B02">
        <w:rPr>
          <w:rFonts w:eastAsiaTheme="majorEastAsia" w:cstheme="majorBidi"/>
          <w:color w:val="404246"/>
        </w:rPr>
        <w:t>C</w:t>
      </w:r>
      <w:r w:rsidRPr="00CD27C1">
        <w:rPr>
          <w:rFonts w:eastAsiaTheme="majorEastAsia" w:cstheme="majorBidi"/>
          <w:color w:val="404246"/>
        </w:rPr>
        <w:t>ontract is varied, consider the following actions:</w:t>
      </w:r>
    </w:p>
    <w:p w14:paraId="07ACEFC1" w14:textId="77777777" w:rsidR="00D343C5" w:rsidRPr="00CD27C1" w:rsidRDefault="00D343C5" w:rsidP="00491FA5">
      <w:pPr>
        <w:numPr>
          <w:ilvl w:val="0"/>
          <w:numId w:val="6"/>
        </w:numPr>
        <w:spacing w:after="0"/>
        <w:ind w:hanging="720"/>
        <w:rPr>
          <w:rFonts w:eastAsiaTheme="majorEastAsia" w:cstheme="majorBidi"/>
          <w:color w:val="404246"/>
        </w:rPr>
      </w:pPr>
      <w:r w:rsidRPr="00CD27C1">
        <w:rPr>
          <w:rFonts w:eastAsiaTheme="majorEastAsia" w:cstheme="majorBidi"/>
          <w:b/>
          <w:bCs/>
          <w:color w:val="404246"/>
        </w:rPr>
        <w:t>Risk Management</w:t>
      </w:r>
    </w:p>
    <w:p w14:paraId="10767644" w14:textId="77777777" w:rsidR="00D343C5" w:rsidRPr="00CD27C1" w:rsidRDefault="00D343C5" w:rsidP="00491FA5">
      <w:pPr>
        <w:rPr>
          <w:rFonts w:eastAsiaTheme="majorEastAsia" w:cstheme="majorBidi"/>
          <w:color w:val="404246"/>
        </w:rPr>
      </w:pPr>
      <w:r w:rsidRPr="00CD27C1">
        <w:rPr>
          <w:rFonts w:ascii="Segoe UI Symbol" w:eastAsiaTheme="majorEastAsia" w:hAnsi="Segoe UI Symbol" w:cs="Segoe UI Symbol"/>
          <w:color w:val="404246"/>
        </w:rPr>
        <w:t>☐</w:t>
      </w:r>
      <w:r w:rsidRPr="00CD27C1">
        <w:rPr>
          <w:rFonts w:eastAsiaTheme="majorEastAsia" w:cstheme="majorBidi"/>
          <w:color w:val="404246"/>
        </w:rPr>
        <w:t xml:space="preserve"> Update the </w:t>
      </w:r>
      <w:r w:rsidRPr="00CD27C1">
        <w:rPr>
          <w:rFonts w:eastAsiaTheme="majorEastAsia" w:cstheme="majorBidi"/>
          <w:b/>
          <w:bCs/>
          <w:color w:val="404246"/>
        </w:rPr>
        <w:t>Procurement Risk Plan</w:t>
      </w:r>
      <w:r w:rsidRPr="00CD27C1">
        <w:rPr>
          <w:rFonts w:eastAsiaTheme="majorEastAsia" w:cstheme="majorBidi"/>
          <w:color w:val="404246"/>
        </w:rPr>
        <w:t> to reflect any new or altered risks.</w:t>
      </w:r>
    </w:p>
    <w:p w14:paraId="2BA3B631" w14:textId="77777777" w:rsidR="00D343C5" w:rsidRPr="00CD27C1" w:rsidRDefault="00D343C5" w:rsidP="00491FA5">
      <w:pPr>
        <w:numPr>
          <w:ilvl w:val="0"/>
          <w:numId w:val="6"/>
        </w:numPr>
        <w:spacing w:after="0"/>
        <w:ind w:hanging="720"/>
        <w:rPr>
          <w:rFonts w:eastAsiaTheme="majorEastAsia" w:cstheme="majorBidi"/>
          <w:b/>
          <w:bCs/>
          <w:color w:val="404246"/>
        </w:rPr>
      </w:pPr>
      <w:r w:rsidRPr="00CD27C1">
        <w:rPr>
          <w:rFonts w:eastAsiaTheme="majorEastAsia" w:cstheme="majorBidi"/>
          <w:b/>
          <w:bCs/>
          <w:color w:val="404246"/>
        </w:rPr>
        <w:t>Systems and Records</w:t>
      </w:r>
    </w:p>
    <w:p w14:paraId="42914513" w14:textId="7193417C" w:rsidR="00D343C5" w:rsidRPr="00CD27C1" w:rsidRDefault="00D343C5" w:rsidP="00491FA5">
      <w:pPr>
        <w:spacing w:after="0"/>
        <w:rPr>
          <w:rFonts w:eastAsiaTheme="majorEastAsia" w:cstheme="majorBidi"/>
          <w:color w:val="404246"/>
        </w:rPr>
      </w:pPr>
      <w:r w:rsidRPr="28F185B3">
        <w:rPr>
          <w:rFonts w:ascii="Segoe UI Symbol" w:eastAsiaTheme="majorEastAsia" w:hAnsi="Segoe UI Symbol" w:cs="Segoe UI Symbol"/>
          <w:color w:val="404246"/>
        </w:rPr>
        <w:t>☐</w:t>
      </w:r>
      <w:r w:rsidRPr="28F185B3">
        <w:rPr>
          <w:rFonts w:eastAsiaTheme="majorEastAsia" w:cstheme="majorBidi"/>
          <w:color w:val="404246"/>
        </w:rPr>
        <w:t xml:space="preserve"> Update </w:t>
      </w:r>
      <w:r w:rsidRPr="28F185B3">
        <w:rPr>
          <w:rFonts w:eastAsiaTheme="majorEastAsia" w:cstheme="majorBidi"/>
          <w:b/>
          <w:bCs/>
          <w:color w:val="404246"/>
        </w:rPr>
        <w:t>ADMS</w:t>
      </w:r>
      <w:r w:rsidRPr="28F185B3">
        <w:rPr>
          <w:rFonts w:eastAsiaTheme="majorEastAsia" w:cstheme="majorBidi"/>
          <w:color w:val="404246"/>
        </w:rPr>
        <w:t> including any changes to supplier contact details and reporting status.</w:t>
      </w:r>
    </w:p>
    <w:p w14:paraId="5A13CA7C" w14:textId="40A175ED" w:rsidR="00D343C5" w:rsidRDefault="00D343C5" w:rsidP="00491FA5">
      <w:pPr>
        <w:pStyle w:val="ListParagraph"/>
        <w:numPr>
          <w:ilvl w:val="0"/>
          <w:numId w:val="5"/>
        </w:numPr>
        <w:spacing w:after="0" w:line="276" w:lineRule="auto"/>
        <w:ind w:left="993" w:hanging="284"/>
        <w:rPr>
          <w:rFonts w:eastAsiaTheme="majorEastAsia" w:cstheme="majorBidi"/>
          <w:color w:val="404246"/>
        </w:rPr>
      </w:pPr>
      <w:r w:rsidRPr="28F185B3">
        <w:rPr>
          <w:rFonts w:eastAsiaTheme="majorEastAsia" w:cstheme="majorBidi"/>
          <w:color w:val="404246"/>
        </w:rPr>
        <w:t xml:space="preserve">Guidance on accessing and using ADMS is available on the Australian Skills Guarantee </w:t>
      </w:r>
      <w:hyperlink r:id="rId28" w:history="1">
        <w:r w:rsidRPr="002A3C90">
          <w:rPr>
            <w:rStyle w:val="Hyperlink"/>
            <w:rFonts w:eastAsiaTheme="majorEastAsia" w:cstheme="majorBidi"/>
          </w:rPr>
          <w:t>GovTeams SharePoint</w:t>
        </w:r>
      </w:hyperlink>
      <w:r w:rsidRPr="002A3C90">
        <w:rPr>
          <w:rFonts w:eastAsiaTheme="majorEastAsia" w:cstheme="majorBidi"/>
          <w:color w:val="404246"/>
        </w:rPr>
        <w:t>.</w:t>
      </w:r>
    </w:p>
    <w:p w14:paraId="444BD60E" w14:textId="77777777" w:rsidR="00D343C5" w:rsidRPr="00CD27C1" w:rsidRDefault="00D343C5" w:rsidP="00491FA5">
      <w:pPr>
        <w:spacing w:after="0"/>
        <w:rPr>
          <w:rFonts w:eastAsiaTheme="majorEastAsia" w:cstheme="majorBidi"/>
          <w:color w:val="404246"/>
        </w:rPr>
      </w:pPr>
      <w:r w:rsidRPr="00CD27C1">
        <w:rPr>
          <w:rFonts w:ascii="Segoe UI Symbol" w:eastAsiaTheme="majorEastAsia" w:hAnsi="Segoe UI Symbol" w:cs="Segoe UI Symbol"/>
          <w:color w:val="404246"/>
        </w:rPr>
        <w:t>☐</w:t>
      </w:r>
      <w:r w:rsidRPr="00CD27C1">
        <w:rPr>
          <w:rFonts w:eastAsiaTheme="majorEastAsia" w:cstheme="majorBidi"/>
          <w:color w:val="404246"/>
        </w:rPr>
        <w:t xml:space="preserve"> Ensure </w:t>
      </w:r>
      <w:r w:rsidRPr="00CD27C1">
        <w:rPr>
          <w:rFonts w:eastAsiaTheme="majorEastAsia" w:cstheme="majorBidi"/>
          <w:b/>
          <w:bCs/>
          <w:color w:val="404246"/>
        </w:rPr>
        <w:t>Records Management</w:t>
      </w:r>
      <w:r w:rsidRPr="00CD27C1">
        <w:rPr>
          <w:rFonts w:eastAsiaTheme="majorEastAsia" w:cstheme="majorBidi"/>
          <w:color w:val="404246"/>
        </w:rPr>
        <w:t> of:</w:t>
      </w:r>
    </w:p>
    <w:p w14:paraId="2C5FBD37" w14:textId="2438C24E" w:rsidR="00D343C5" w:rsidRPr="00CD27C1" w:rsidRDefault="00D343C5" w:rsidP="00491FA5">
      <w:pPr>
        <w:numPr>
          <w:ilvl w:val="2"/>
          <w:numId w:val="6"/>
        </w:numPr>
        <w:tabs>
          <w:tab w:val="clear" w:pos="2160"/>
          <w:tab w:val="num" w:pos="1418"/>
        </w:tabs>
        <w:spacing w:after="0"/>
        <w:ind w:left="993" w:hanging="284"/>
        <w:rPr>
          <w:rFonts w:eastAsiaTheme="majorEastAsia" w:cstheme="majorBidi"/>
          <w:color w:val="404246"/>
        </w:rPr>
      </w:pPr>
      <w:r w:rsidRPr="00CD27C1">
        <w:rPr>
          <w:rFonts w:eastAsiaTheme="majorEastAsia" w:cstheme="majorBidi"/>
          <w:color w:val="404246"/>
        </w:rPr>
        <w:t xml:space="preserve">The updated </w:t>
      </w:r>
      <w:r w:rsidR="00DA3378">
        <w:rPr>
          <w:rFonts w:eastAsiaTheme="majorEastAsia" w:cstheme="majorBidi"/>
          <w:color w:val="404246"/>
        </w:rPr>
        <w:t>C</w:t>
      </w:r>
      <w:r w:rsidRPr="00CD27C1">
        <w:rPr>
          <w:rFonts w:eastAsiaTheme="majorEastAsia" w:cstheme="majorBidi"/>
          <w:color w:val="404246"/>
        </w:rPr>
        <w:t>ontract.</w:t>
      </w:r>
    </w:p>
    <w:p w14:paraId="6FEAB08F" w14:textId="77777777" w:rsidR="00D343C5" w:rsidRPr="00CD27C1" w:rsidRDefault="00D343C5" w:rsidP="00491FA5">
      <w:pPr>
        <w:numPr>
          <w:ilvl w:val="2"/>
          <w:numId w:val="6"/>
        </w:numPr>
        <w:tabs>
          <w:tab w:val="clear" w:pos="2160"/>
          <w:tab w:val="num" w:pos="1418"/>
        </w:tabs>
        <w:ind w:left="993" w:hanging="284"/>
        <w:rPr>
          <w:rFonts w:eastAsiaTheme="majorEastAsia" w:cstheme="majorBidi"/>
          <w:color w:val="404246"/>
        </w:rPr>
      </w:pPr>
      <w:r w:rsidRPr="00CD27C1">
        <w:rPr>
          <w:rFonts w:eastAsiaTheme="majorEastAsia" w:cstheme="majorBidi"/>
          <w:color w:val="404246"/>
        </w:rPr>
        <w:t>Supporting documentation and decisions related to the variation.</w:t>
      </w:r>
    </w:p>
    <w:p w14:paraId="19844607" w14:textId="77777777" w:rsidR="00D343C5" w:rsidRPr="00CD27C1" w:rsidRDefault="00D343C5" w:rsidP="00491FA5">
      <w:pPr>
        <w:numPr>
          <w:ilvl w:val="0"/>
          <w:numId w:val="6"/>
        </w:numPr>
        <w:spacing w:after="0"/>
        <w:ind w:hanging="720"/>
        <w:rPr>
          <w:rFonts w:eastAsiaTheme="majorEastAsia" w:cstheme="majorBidi"/>
          <w:b/>
          <w:bCs/>
          <w:color w:val="404246"/>
        </w:rPr>
      </w:pPr>
      <w:r w:rsidRPr="00CD27C1">
        <w:rPr>
          <w:rFonts w:eastAsiaTheme="majorEastAsia" w:cstheme="majorBidi"/>
          <w:b/>
          <w:bCs/>
          <w:color w:val="404246"/>
        </w:rPr>
        <w:t>Reporting Obligations</w:t>
      </w:r>
    </w:p>
    <w:p w14:paraId="027F3990" w14:textId="5CF5A37F" w:rsidR="00D343C5" w:rsidRPr="00CD27C1" w:rsidRDefault="00D343C5" w:rsidP="00491FA5">
      <w:pPr>
        <w:rPr>
          <w:rFonts w:eastAsiaTheme="majorEastAsia" w:cstheme="majorBidi"/>
          <w:color w:val="404246"/>
        </w:rPr>
      </w:pPr>
      <w:r w:rsidRPr="00CD27C1">
        <w:rPr>
          <w:rFonts w:ascii="Segoe UI Symbol" w:eastAsiaTheme="majorEastAsia" w:hAnsi="Segoe UI Symbol" w:cs="Segoe UI Symbol"/>
          <w:color w:val="404246"/>
        </w:rPr>
        <w:t>☐</w:t>
      </w:r>
      <w:r w:rsidRPr="00CD27C1">
        <w:rPr>
          <w:rFonts w:eastAsiaTheme="majorEastAsia" w:cstheme="majorBidi"/>
          <w:color w:val="404246"/>
        </w:rPr>
        <w:t xml:space="preserve"> Report the </w:t>
      </w:r>
      <w:r w:rsidR="00DA3378">
        <w:rPr>
          <w:rFonts w:eastAsiaTheme="majorEastAsia" w:cstheme="majorBidi"/>
          <w:color w:val="404246"/>
        </w:rPr>
        <w:t>C</w:t>
      </w:r>
      <w:r w:rsidRPr="00CD27C1">
        <w:rPr>
          <w:rFonts w:eastAsiaTheme="majorEastAsia" w:cstheme="majorBidi"/>
          <w:color w:val="404246"/>
        </w:rPr>
        <w:t>ontract variation on </w:t>
      </w:r>
      <w:r w:rsidRPr="00CD27C1">
        <w:rPr>
          <w:rFonts w:eastAsiaTheme="majorEastAsia" w:cstheme="majorBidi"/>
          <w:b/>
          <w:bCs/>
          <w:color w:val="404246"/>
        </w:rPr>
        <w:t>AusTender</w:t>
      </w:r>
      <w:r w:rsidRPr="00CD27C1">
        <w:rPr>
          <w:rFonts w:eastAsiaTheme="majorEastAsia" w:cstheme="majorBidi"/>
          <w:color w:val="404246"/>
        </w:rPr>
        <w:t> within </w:t>
      </w:r>
      <w:r w:rsidRPr="00CD27C1">
        <w:rPr>
          <w:rFonts w:eastAsiaTheme="majorEastAsia" w:cstheme="majorBidi"/>
          <w:b/>
          <w:bCs/>
          <w:color w:val="404246"/>
        </w:rPr>
        <w:t>42 days</w:t>
      </w:r>
      <w:r w:rsidRPr="00CD27C1">
        <w:rPr>
          <w:rFonts w:eastAsiaTheme="majorEastAsia" w:cstheme="majorBidi"/>
          <w:color w:val="404246"/>
        </w:rPr>
        <w:t>, if the updated contract value is </w:t>
      </w:r>
      <w:r w:rsidRPr="00CD27C1">
        <w:rPr>
          <w:rFonts w:eastAsiaTheme="majorEastAsia" w:cstheme="majorBidi"/>
          <w:b/>
          <w:bCs/>
          <w:color w:val="404246"/>
        </w:rPr>
        <w:t>$10,000 or more</w:t>
      </w:r>
      <w:r w:rsidRPr="00CD27C1">
        <w:rPr>
          <w:rFonts w:eastAsiaTheme="majorEastAsia" w:cstheme="majorBidi"/>
          <w:color w:val="404246"/>
        </w:rPr>
        <w:t>.</w:t>
      </w:r>
    </w:p>
    <w:p w14:paraId="65CFF392" w14:textId="77777777" w:rsidR="00D343C5" w:rsidRPr="00CD27C1" w:rsidRDefault="00D343C5" w:rsidP="00491FA5">
      <w:pPr>
        <w:numPr>
          <w:ilvl w:val="0"/>
          <w:numId w:val="6"/>
        </w:numPr>
        <w:spacing w:after="0"/>
        <w:ind w:hanging="720"/>
        <w:rPr>
          <w:rFonts w:eastAsiaTheme="majorEastAsia" w:cstheme="majorBidi"/>
          <w:b/>
          <w:bCs/>
          <w:color w:val="404246"/>
        </w:rPr>
      </w:pPr>
      <w:r w:rsidRPr="00CD27C1">
        <w:rPr>
          <w:rFonts w:eastAsiaTheme="majorEastAsia" w:cstheme="majorBidi"/>
          <w:b/>
          <w:bCs/>
          <w:color w:val="404246"/>
        </w:rPr>
        <w:t>Privacy Compliance</w:t>
      </w:r>
    </w:p>
    <w:p w14:paraId="75C012F6" w14:textId="2A58A5A5" w:rsidR="00D343C5" w:rsidRPr="00CD27C1" w:rsidRDefault="00D343C5" w:rsidP="00491FA5">
      <w:pPr>
        <w:rPr>
          <w:rFonts w:eastAsiaTheme="majorEastAsia" w:cstheme="majorBidi"/>
          <w:color w:val="404246"/>
        </w:rPr>
      </w:pPr>
      <w:r w:rsidRPr="00CD27C1">
        <w:rPr>
          <w:rFonts w:ascii="Segoe UI Symbol" w:eastAsiaTheme="majorEastAsia" w:hAnsi="Segoe UI Symbol" w:cs="Segoe UI Symbol"/>
          <w:color w:val="404246"/>
        </w:rPr>
        <w:t>☐</w:t>
      </w:r>
      <w:r w:rsidRPr="00CD27C1">
        <w:rPr>
          <w:rFonts w:eastAsiaTheme="majorEastAsia" w:cstheme="majorBidi"/>
          <w:color w:val="404246"/>
        </w:rPr>
        <w:t xml:space="preserve"> Send the </w:t>
      </w:r>
      <w:r w:rsidRPr="00CD27C1">
        <w:rPr>
          <w:rFonts w:eastAsiaTheme="majorEastAsia" w:cstheme="majorBidi"/>
          <w:b/>
          <w:bCs/>
          <w:color w:val="404246"/>
        </w:rPr>
        <w:t>Privacy Notice</w:t>
      </w:r>
      <w:r w:rsidRPr="00CD27C1">
        <w:rPr>
          <w:rFonts w:eastAsiaTheme="majorEastAsia" w:cstheme="majorBidi"/>
          <w:color w:val="404246"/>
        </w:rPr>
        <w:t xml:space="preserve"> to the </w:t>
      </w:r>
      <w:r w:rsidR="00DA3378">
        <w:rPr>
          <w:rFonts w:eastAsiaTheme="majorEastAsia" w:cstheme="majorBidi"/>
          <w:color w:val="404246"/>
        </w:rPr>
        <w:t>S</w:t>
      </w:r>
      <w:r w:rsidRPr="00CD27C1">
        <w:rPr>
          <w:rFonts w:eastAsiaTheme="majorEastAsia" w:cstheme="majorBidi"/>
          <w:color w:val="404246"/>
        </w:rPr>
        <w:t>upplier, if required under the variation.</w:t>
      </w:r>
    </w:p>
    <w:p w14:paraId="64A45FED" w14:textId="1C43B638" w:rsidR="00D343C5" w:rsidRPr="00CD27C1" w:rsidRDefault="00D343C5" w:rsidP="00491FA5">
      <w:pPr>
        <w:numPr>
          <w:ilvl w:val="0"/>
          <w:numId w:val="6"/>
        </w:numPr>
        <w:spacing w:after="0"/>
        <w:ind w:hanging="720"/>
        <w:rPr>
          <w:rFonts w:eastAsiaTheme="majorEastAsia" w:cstheme="majorBidi"/>
          <w:b/>
          <w:bCs/>
          <w:color w:val="404246"/>
        </w:rPr>
      </w:pPr>
      <w:r w:rsidRPr="00CD27C1">
        <w:rPr>
          <w:rFonts w:eastAsiaTheme="majorEastAsia" w:cstheme="majorBidi"/>
          <w:b/>
          <w:bCs/>
          <w:color w:val="404246"/>
        </w:rPr>
        <w:t xml:space="preserve">GEAP Requirements </w:t>
      </w:r>
    </w:p>
    <w:p w14:paraId="1100EAFB" w14:textId="0FCF7C89" w:rsidR="00D343C5" w:rsidRPr="00CD27C1" w:rsidRDefault="00D343C5" w:rsidP="00491FA5">
      <w:pPr>
        <w:spacing w:after="0"/>
        <w:rPr>
          <w:rFonts w:eastAsiaTheme="majorEastAsia" w:cstheme="majorBidi"/>
          <w:color w:val="404246"/>
        </w:rPr>
      </w:pPr>
      <w:r w:rsidRPr="00CD27C1">
        <w:rPr>
          <w:rFonts w:ascii="Segoe UI Symbol" w:eastAsiaTheme="majorEastAsia" w:hAnsi="Segoe UI Symbol" w:cs="Segoe UI Symbol"/>
          <w:color w:val="404246"/>
        </w:rPr>
        <w:t>☐</w:t>
      </w:r>
      <w:r w:rsidRPr="00CD27C1">
        <w:rPr>
          <w:rFonts w:eastAsiaTheme="majorEastAsia" w:cstheme="majorBidi"/>
          <w:color w:val="404246"/>
        </w:rPr>
        <w:t xml:space="preserve"> Request a </w:t>
      </w:r>
      <w:r w:rsidRPr="00CD27C1">
        <w:rPr>
          <w:rFonts w:eastAsiaTheme="majorEastAsia" w:cstheme="majorBidi"/>
          <w:b/>
          <w:bCs/>
          <w:color w:val="404246"/>
        </w:rPr>
        <w:t>GEAP</w:t>
      </w:r>
      <w:r w:rsidRPr="00CD27C1">
        <w:rPr>
          <w:rFonts w:eastAsiaTheme="majorEastAsia" w:cstheme="majorBidi"/>
          <w:color w:val="404246"/>
        </w:rPr>
        <w:t xml:space="preserve"> from the </w:t>
      </w:r>
      <w:r w:rsidR="00AB3BE9">
        <w:rPr>
          <w:rFonts w:eastAsiaTheme="majorEastAsia" w:cstheme="majorBidi"/>
          <w:color w:val="404246"/>
        </w:rPr>
        <w:t>S</w:t>
      </w:r>
      <w:r w:rsidRPr="00CD27C1">
        <w:rPr>
          <w:rFonts w:eastAsiaTheme="majorEastAsia" w:cstheme="majorBidi"/>
          <w:color w:val="404246"/>
        </w:rPr>
        <w:t>upplier if the procurement has changed classification:</w:t>
      </w:r>
    </w:p>
    <w:p w14:paraId="6B435787" w14:textId="77777777" w:rsidR="00D343C5" w:rsidRPr="00CD27C1" w:rsidRDefault="00D343C5" w:rsidP="00491FA5">
      <w:pPr>
        <w:numPr>
          <w:ilvl w:val="2"/>
          <w:numId w:val="6"/>
        </w:numPr>
        <w:tabs>
          <w:tab w:val="clear" w:pos="2160"/>
          <w:tab w:val="num" w:pos="1418"/>
        </w:tabs>
        <w:spacing w:after="0"/>
        <w:ind w:left="993" w:hanging="284"/>
        <w:rPr>
          <w:rFonts w:eastAsiaTheme="majorEastAsia" w:cstheme="majorBidi"/>
          <w:color w:val="404246"/>
        </w:rPr>
      </w:pPr>
      <w:r w:rsidRPr="00CD27C1">
        <w:rPr>
          <w:rFonts w:eastAsiaTheme="majorEastAsia" w:cstheme="majorBidi"/>
          <w:color w:val="404246"/>
        </w:rPr>
        <w:t>From a </w:t>
      </w:r>
      <w:r w:rsidRPr="00CD27C1">
        <w:rPr>
          <w:rFonts w:eastAsiaTheme="majorEastAsia" w:cstheme="majorBidi"/>
          <w:b/>
          <w:bCs/>
          <w:color w:val="404246"/>
        </w:rPr>
        <w:t>Major Construction Project</w:t>
      </w:r>
      <w:r w:rsidRPr="00CD27C1">
        <w:rPr>
          <w:rFonts w:eastAsiaTheme="majorEastAsia" w:cstheme="majorBidi"/>
          <w:color w:val="404246"/>
        </w:rPr>
        <w:t> to a </w:t>
      </w:r>
      <w:r w:rsidRPr="00CD27C1">
        <w:rPr>
          <w:rFonts w:eastAsiaTheme="majorEastAsia" w:cstheme="majorBidi"/>
          <w:b/>
          <w:bCs/>
          <w:color w:val="404246"/>
        </w:rPr>
        <w:t>Flagship Construction Project</w:t>
      </w:r>
      <w:r w:rsidRPr="00CD27C1">
        <w:rPr>
          <w:rFonts w:eastAsiaTheme="majorEastAsia" w:cstheme="majorBidi"/>
          <w:color w:val="404246"/>
        </w:rPr>
        <w:t>, or</w:t>
      </w:r>
    </w:p>
    <w:p w14:paraId="1181C6AA" w14:textId="77777777" w:rsidR="00D343C5" w:rsidRPr="00CD27C1" w:rsidRDefault="00D343C5" w:rsidP="00491FA5">
      <w:pPr>
        <w:numPr>
          <w:ilvl w:val="2"/>
          <w:numId w:val="6"/>
        </w:numPr>
        <w:tabs>
          <w:tab w:val="clear" w:pos="2160"/>
          <w:tab w:val="num" w:pos="1418"/>
        </w:tabs>
        <w:spacing w:after="0"/>
        <w:ind w:left="993" w:hanging="284"/>
        <w:rPr>
          <w:rFonts w:eastAsiaTheme="majorEastAsia" w:cstheme="majorBidi"/>
          <w:color w:val="404246"/>
        </w:rPr>
      </w:pPr>
      <w:r w:rsidRPr="00CD27C1">
        <w:rPr>
          <w:rFonts w:eastAsiaTheme="majorEastAsia" w:cstheme="majorBidi"/>
          <w:color w:val="404246"/>
        </w:rPr>
        <w:t>From a </w:t>
      </w:r>
      <w:r w:rsidRPr="00CD27C1">
        <w:rPr>
          <w:rFonts w:eastAsiaTheme="majorEastAsia" w:cstheme="majorBidi"/>
          <w:b/>
          <w:bCs/>
          <w:color w:val="404246"/>
        </w:rPr>
        <w:t>Major ICT Project</w:t>
      </w:r>
      <w:r w:rsidRPr="00CD27C1">
        <w:rPr>
          <w:rFonts w:eastAsiaTheme="majorEastAsia" w:cstheme="majorBidi"/>
          <w:color w:val="404246"/>
        </w:rPr>
        <w:t> to a </w:t>
      </w:r>
      <w:r w:rsidRPr="00CD27C1">
        <w:rPr>
          <w:rFonts w:eastAsiaTheme="majorEastAsia" w:cstheme="majorBidi"/>
          <w:b/>
          <w:bCs/>
          <w:color w:val="404246"/>
        </w:rPr>
        <w:t>High-Value ICT Project</w:t>
      </w:r>
      <w:r w:rsidRPr="00CD27C1">
        <w:rPr>
          <w:rFonts w:eastAsiaTheme="majorEastAsia" w:cstheme="majorBidi"/>
          <w:color w:val="404246"/>
        </w:rPr>
        <w:t>.</w:t>
      </w:r>
    </w:p>
    <w:p w14:paraId="0B53123B" w14:textId="27C95374" w:rsidR="006851E3" w:rsidRDefault="00D343C5" w:rsidP="00491FA5">
      <w:pPr>
        <w:rPr>
          <w:rFonts w:eastAsiaTheme="majorEastAsia" w:cstheme="majorBidi"/>
          <w:color w:val="404246"/>
        </w:rPr>
      </w:pPr>
      <w:r w:rsidRPr="00CD27C1">
        <w:rPr>
          <w:rFonts w:ascii="Segoe UI Symbol" w:eastAsiaTheme="majorEastAsia" w:hAnsi="Segoe UI Symbol" w:cs="Segoe UI Symbol"/>
          <w:color w:val="404246"/>
        </w:rPr>
        <w:t>☐</w:t>
      </w:r>
      <w:r w:rsidRPr="00CD27C1">
        <w:rPr>
          <w:rFonts w:eastAsiaTheme="majorEastAsia" w:cstheme="majorBidi"/>
          <w:color w:val="404246"/>
        </w:rPr>
        <w:t xml:space="preserve"> Provide a copy of the GEAP to </w:t>
      </w:r>
      <w:r w:rsidR="00F7524F">
        <w:rPr>
          <w:rFonts w:eastAsiaTheme="majorEastAsia" w:cstheme="majorBidi"/>
          <w:b/>
          <w:bCs/>
          <w:color w:val="404246"/>
        </w:rPr>
        <w:t>DEWR</w:t>
      </w:r>
      <w:r w:rsidRPr="00CD27C1">
        <w:rPr>
          <w:rFonts w:eastAsiaTheme="majorEastAsia" w:cstheme="majorBidi"/>
          <w:color w:val="404246"/>
        </w:rPr>
        <w:t> as part of your </w:t>
      </w:r>
      <w:r w:rsidRPr="00CD27C1">
        <w:rPr>
          <w:rFonts w:eastAsiaTheme="majorEastAsia" w:cstheme="majorBidi"/>
          <w:b/>
          <w:bCs/>
          <w:color w:val="404246"/>
        </w:rPr>
        <w:t>six-monthly reporting</w:t>
      </w:r>
      <w:r w:rsidRPr="00CD27C1">
        <w:rPr>
          <w:rFonts w:eastAsiaTheme="majorEastAsia" w:cstheme="majorBidi"/>
          <w:color w:val="404246"/>
        </w:rPr>
        <w:t>.</w:t>
      </w:r>
    </w:p>
    <w:p w14:paraId="53B0F040" w14:textId="77777777" w:rsidR="00F40F15" w:rsidRDefault="00F40F15">
      <w:pPr>
        <w:spacing w:after="160" w:line="259" w:lineRule="auto"/>
        <w:rPr>
          <w:rFonts w:ascii="Calibri" w:eastAsiaTheme="majorEastAsia" w:hAnsi="Calibri" w:cstheme="majorBidi"/>
          <w:b/>
          <w:color w:val="404246"/>
          <w:sz w:val="30"/>
          <w:szCs w:val="26"/>
        </w:rPr>
      </w:pPr>
      <w:r>
        <w:br w:type="page"/>
      </w:r>
    </w:p>
    <w:p w14:paraId="20C0F94E" w14:textId="2920357E" w:rsidR="006851E3" w:rsidRPr="00535C6B" w:rsidRDefault="006851E3" w:rsidP="00535C6B">
      <w:pPr>
        <w:pStyle w:val="Heading2"/>
      </w:pPr>
      <w:bookmarkStart w:id="36" w:name="_Toc209787063"/>
      <w:r>
        <w:lastRenderedPageBreak/>
        <w:t>Contract variation example</w:t>
      </w:r>
      <w:r w:rsidR="00767D67">
        <w:t>s</w:t>
      </w:r>
      <w:bookmarkEnd w:id="36"/>
    </w:p>
    <w:p w14:paraId="2628EDCB" w14:textId="77777777" w:rsidR="006851E3" w:rsidRPr="00C76A7D" w:rsidRDefault="006851E3" w:rsidP="006851E3">
      <w:pPr>
        <w:pStyle w:val="Heading5"/>
        <w:spacing w:before="0"/>
      </w:pPr>
      <w:r>
        <w:t>Scenario 1 (a) – Supplier agrees to include PCP requirements</w:t>
      </w:r>
    </w:p>
    <w:tbl>
      <w:tblPr>
        <w:tblStyle w:val="TableGrid"/>
        <w:tblW w:w="0" w:type="auto"/>
        <w:tblLook w:val="04A0" w:firstRow="1" w:lastRow="0" w:firstColumn="1" w:lastColumn="0" w:noHBand="0" w:noVBand="1"/>
      </w:tblPr>
      <w:tblGrid>
        <w:gridCol w:w="9060"/>
      </w:tblGrid>
      <w:tr w:rsidR="006851E3" w14:paraId="6192D095" w14:textId="77777777" w:rsidTr="00442467">
        <w:tc>
          <w:tcPr>
            <w:tcW w:w="9060" w:type="dxa"/>
          </w:tcPr>
          <w:p w14:paraId="0B375107" w14:textId="77777777" w:rsidR="006851E3" w:rsidRDefault="006851E3" w:rsidP="00442467">
            <w:pPr>
              <w:spacing w:before="120" w:after="120"/>
            </w:pPr>
            <w:r>
              <w:t xml:space="preserve">The </w:t>
            </w:r>
            <w:r w:rsidRPr="00B4032D">
              <w:rPr>
                <w:i/>
                <w:iCs/>
              </w:rPr>
              <w:t>Department of Example Scenarios</w:t>
            </w:r>
            <w:r>
              <w:t xml:space="preserve"> has contracted </w:t>
            </w:r>
            <w:r w:rsidRPr="00B4032D">
              <w:rPr>
                <w:i/>
                <w:iCs/>
              </w:rPr>
              <w:t>Construction</w:t>
            </w:r>
            <w:r>
              <w:rPr>
                <w:i/>
                <w:iCs/>
              </w:rPr>
              <w:t xml:space="preserve"> Company A</w:t>
            </w:r>
            <w:r>
              <w:t xml:space="preserve"> to deliver construction services. </w:t>
            </w:r>
          </w:p>
          <w:p w14:paraId="642C2992" w14:textId="523ECFBC" w:rsidR="006851E3" w:rsidRDefault="006851E3" w:rsidP="00442467">
            <w:pPr>
              <w:spacing w:before="120" w:after="120"/>
            </w:pPr>
            <w:r>
              <w:t xml:space="preserve">The Contract start date is 30 September 2024 and the </w:t>
            </w:r>
            <w:r w:rsidR="00CD5522">
              <w:t>C</w:t>
            </w:r>
            <w:r>
              <w:t xml:space="preserve">ontract end date is 30 September 2026. The Contract has an estimated value of $9,800,000. The UNSPSC code listed for the </w:t>
            </w:r>
            <w:r w:rsidR="00CD5522">
              <w:t>A</w:t>
            </w:r>
            <w:r>
              <w:t xml:space="preserve">pproach to </w:t>
            </w:r>
            <w:r w:rsidR="00CD5522">
              <w:t>M</w:t>
            </w:r>
            <w:r>
              <w:t xml:space="preserve">arket and subsequent Contract notice on AusTender is </w:t>
            </w:r>
            <w:r w:rsidRPr="00004B0E">
              <w:rPr>
                <w:i/>
                <w:iCs/>
              </w:rPr>
              <w:t>UNSPSC 72100000 – Building construction and support and maintenance and repair services</w:t>
            </w:r>
            <w:r>
              <w:t>.</w:t>
            </w:r>
          </w:p>
          <w:p w14:paraId="0D43B071" w14:textId="77777777" w:rsidR="006851E3" w:rsidRDefault="006851E3" w:rsidP="00442467">
            <w:pPr>
              <w:spacing w:before="120" w:after="120"/>
            </w:pPr>
            <w:r>
              <w:t>In April 2026, the department identifies that more work is required to achieve the objective of the procurement and seeks to vary the Contract. The Contract variation will extend the Contract to end on 30 October 2026 and will result in the estimated procurement value increasing to $10,500,000.</w:t>
            </w:r>
          </w:p>
          <w:p w14:paraId="78D48FD3" w14:textId="3E90F1A6" w:rsidR="006851E3" w:rsidRDefault="006851E3" w:rsidP="00442467">
            <w:pPr>
              <w:spacing w:before="120" w:after="120"/>
            </w:pPr>
            <w:r>
              <w:t xml:space="preserve">As the UNSPSC is captured by the PCP Version 1.2 and the procurement has met the estimated individual value of </w:t>
            </w:r>
            <w:r w:rsidRPr="009526EA">
              <w:t>$10 million and above (GST inclusive)</w:t>
            </w:r>
            <w:r>
              <w:t xml:space="preserve">, </w:t>
            </w:r>
            <w:r w:rsidRPr="0029795C">
              <w:t xml:space="preserve">the procurement meets the requirements of an </w:t>
            </w:r>
            <w:r>
              <w:t>E</w:t>
            </w:r>
            <w:r w:rsidRPr="0029795C">
              <w:t xml:space="preserve">ligible </w:t>
            </w:r>
            <w:r>
              <w:t>P</w:t>
            </w:r>
            <w:r w:rsidRPr="0029795C">
              <w:t>roject</w:t>
            </w:r>
            <w:r w:rsidR="00CD5522">
              <w:t>,</w:t>
            </w:r>
            <w:r w:rsidRPr="0029795C">
              <w:t xml:space="preserve"> and the department seeks to include the </w:t>
            </w:r>
            <w:r>
              <w:t>PCP</w:t>
            </w:r>
            <w:r w:rsidRPr="0029795C">
              <w:t xml:space="preserve"> requirements </w:t>
            </w:r>
            <w:r>
              <w:t xml:space="preserve">for the remainder of the Contract term. Before negotiating with </w:t>
            </w:r>
            <w:r w:rsidRPr="00B4032D">
              <w:rPr>
                <w:i/>
                <w:iCs/>
              </w:rPr>
              <w:t>Construction</w:t>
            </w:r>
            <w:r>
              <w:rPr>
                <w:i/>
                <w:iCs/>
              </w:rPr>
              <w:t xml:space="preserve"> Company A</w:t>
            </w:r>
            <w:r>
              <w:t xml:space="preserve">, the department assesses that: </w:t>
            </w:r>
          </w:p>
          <w:p w14:paraId="0D9E9B60" w14:textId="77777777" w:rsidR="006851E3" w:rsidRDefault="006851E3" w:rsidP="00442467">
            <w:pPr>
              <w:pStyle w:val="ListBullet"/>
              <w:spacing w:before="120" w:after="120"/>
            </w:pPr>
            <w:r>
              <w:t>there is sufficient time to provide relevant Apprentices with an adequate training experience</w:t>
            </w:r>
          </w:p>
          <w:p w14:paraId="18BB5FF5" w14:textId="77777777" w:rsidR="006851E3" w:rsidRDefault="006851E3" w:rsidP="00442467">
            <w:pPr>
              <w:pStyle w:val="ListBullet"/>
              <w:spacing w:before="120" w:after="120"/>
            </w:pPr>
            <w:r>
              <w:t>there is sufficient work to be completed in Australia</w:t>
            </w:r>
          </w:p>
          <w:p w14:paraId="675D08AD" w14:textId="77777777" w:rsidR="006851E3" w:rsidRDefault="006851E3" w:rsidP="00442467">
            <w:pPr>
              <w:pStyle w:val="ListBullet"/>
              <w:spacing w:before="120" w:after="120"/>
            </w:pPr>
            <w:r>
              <w:t>the remaining Contract deliverables require Labour Hours</w:t>
            </w:r>
          </w:p>
          <w:p w14:paraId="7722CA68" w14:textId="65FDDE90" w:rsidR="006851E3" w:rsidRDefault="006851E3" w:rsidP="00442467">
            <w:pPr>
              <w:pStyle w:val="ListBullet"/>
              <w:spacing w:before="120" w:after="120"/>
            </w:pPr>
            <w:r>
              <w:t>there is sufficient work to be completed in areas which have an Apprentice pathway.</w:t>
            </w:r>
          </w:p>
          <w:p w14:paraId="0CBBF7C3" w14:textId="5CC40079" w:rsidR="006851E3" w:rsidRPr="008F2731" w:rsidRDefault="006851E3" w:rsidP="00442467">
            <w:pPr>
              <w:spacing w:before="120" w:after="120"/>
            </w:pPr>
            <w:r w:rsidRPr="00B4032D">
              <w:rPr>
                <w:i/>
                <w:iCs/>
              </w:rPr>
              <w:t>Construction</w:t>
            </w:r>
            <w:r>
              <w:rPr>
                <w:i/>
                <w:iCs/>
              </w:rPr>
              <w:t xml:space="preserve"> Company A</w:t>
            </w:r>
            <w:r>
              <w:t xml:space="preserve"> </w:t>
            </w:r>
            <w:r w:rsidRPr="00B913D9">
              <w:rPr>
                <w:b/>
                <w:bCs/>
              </w:rPr>
              <w:t>agrees</w:t>
            </w:r>
            <w:r w:rsidRPr="008F2731">
              <w:t xml:space="preserve"> to include </w:t>
            </w:r>
            <w:r>
              <w:t xml:space="preserve">PCP Version 1.2 </w:t>
            </w:r>
            <w:r w:rsidRPr="008F2731">
              <w:t xml:space="preserve">requirements as part of the </w:t>
            </w:r>
            <w:r>
              <w:t>C</w:t>
            </w:r>
            <w:r w:rsidRPr="008F2731">
              <w:t>ontract variation which takes effect on 1 May 2026.</w:t>
            </w:r>
          </w:p>
          <w:p w14:paraId="221CB09C" w14:textId="77777777" w:rsidR="006851E3" w:rsidRPr="008F2731" w:rsidRDefault="006851E3" w:rsidP="00442467">
            <w:pPr>
              <w:spacing w:before="120" w:after="120"/>
            </w:pPr>
            <w:r w:rsidRPr="008F2731">
              <w:t xml:space="preserve">As the </w:t>
            </w:r>
            <w:r>
              <w:t>O</w:t>
            </w:r>
            <w:r w:rsidRPr="008F2731">
              <w:t xml:space="preserve">verarching </w:t>
            </w:r>
            <w:r>
              <w:t>A</w:t>
            </w:r>
            <w:r w:rsidRPr="008F2731">
              <w:t xml:space="preserve">pprentice </w:t>
            </w:r>
            <w:r>
              <w:t>T</w:t>
            </w:r>
            <w:r w:rsidRPr="008F2731">
              <w:t xml:space="preserve">arget does not change between financial years, </w:t>
            </w:r>
            <w:r w:rsidRPr="00B4032D">
              <w:rPr>
                <w:i/>
                <w:iCs/>
              </w:rPr>
              <w:t>Construction</w:t>
            </w:r>
            <w:r>
              <w:rPr>
                <w:i/>
                <w:iCs/>
              </w:rPr>
              <w:t xml:space="preserve"> Company A</w:t>
            </w:r>
            <w:r w:rsidRPr="008F2731">
              <w:t xml:space="preserve"> will be required to ensure a minimum of 10% of all </w:t>
            </w:r>
            <w:r>
              <w:t>L</w:t>
            </w:r>
            <w:r w:rsidRPr="008F2731">
              <w:t xml:space="preserve">abour </w:t>
            </w:r>
            <w:r>
              <w:t>H</w:t>
            </w:r>
            <w:r w:rsidRPr="008F2731">
              <w:t xml:space="preserve">ours spent on the remainder of </w:t>
            </w:r>
            <w:r>
              <w:t>the Contract</w:t>
            </w:r>
            <w:r w:rsidRPr="008F2731">
              <w:t xml:space="preserve"> are undertaken by </w:t>
            </w:r>
            <w:r>
              <w:t>A</w:t>
            </w:r>
            <w:r w:rsidRPr="008F2731">
              <w:t>pprentices.</w:t>
            </w:r>
          </w:p>
          <w:p w14:paraId="41B01010" w14:textId="0D295006" w:rsidR="006851E3" w:rsidRPr="008F2731" w:rsidRDefault="006851E3" w:rsidP="00442467">
            <w:pPr>
              <w:spacing w:before="120" w:after="120"/>
            </w:pPr>
            <w:r w:rsidRPr="008F2731">
              <w:t xml:space="preserve">As the </w:t>
            </w:r>
            <w:r>
              <w:t>C</w:t>
            </w:r>
            <w:r w:rsidRPr="008F2731">
              <w:t xml:space="preserve">ontract variation takes effect on 1 May 2026, </w:t>
            </w:r>
            <w:r w:rsidRPr="00B4032D">
              <w:rPr>
                <w:i/>
                <w:iCs/>
              </w:rPr>
              <w:t>Construction</w:t>
            </w:r>
            <w:r>
              <w:rPr>
                <w:i/>
                <w:iCs/>
              </w:rPr>
              <w:t xml:space="preserve"> Company A</w:t>
            </w:r>
            <w:r>
              <w:t xml:space="preserve"> </w:t>
            </w:r>
            <w:r w:rsidRPr="008F2731">
              <w:t>will initially be required to ensure that 7</w:t>
            </w:r>
            <w:r w:rsidR="00C619FA">
              <w:t xml:space="preserve">% </w:t>
            </w:r>
            <w:r w:rsidRPr="008F2731">
              <w:t xml:space="preserve">of </w:t>
            </w:r>
            <w:r>
              <w:t>A</w:t>
            </w:r>
            <w:r w:rsidRPr="008F2731">
              <w:t xml:space="preserve">pprentice </w:t>
            </w:r>
            <w:r>
              <w:t>L</w:t>
            </w:r>
            <w:r w:rsidRPr="008F2731">
              <w:t xml:space="preserve">abour </w:t>
            </w:r>
            <w:r>
              <w:t>H</w:t>
            </w:r>
            <w:r w:rsidRPr="008F2731">
              <w:t xml:space="preserve">ours are undertaken by </w:t>
            </w:r>
            <w:r>
              <w:t>W</w:t>
            </w:r>
            <w:r w:rsidRPr="008F2731">
              <w:t xml:space="preserve">omen in </w:t>
            </w:r>
            <w:r>
              <w:t>A</w:t>
            </w:r>
            <w:r w:rsidRPr="008F2731">
              <w:t>pprenticeships, and 5</w:t>
            </w:r>
            <w:r w:rsidR="00C619FA">
              <w:t xml:space="preserve">% </w:t>
            </w:r>
            <w:r w:rsidRPr="008F2731">
              <w:t xml:space="preserve">of </w:t>
            </w:r>
            <w:r>
              <w:t>T</w:t>
            </w:r>
            <w:r w:rsidRPr="008F2731">
              <w:t xml:space="preserve">rade </w:t>
            </w:r>
            <w:r>
              <w:t>A</w:t>
            </w:r>
            <w:r w:rsidRPr="008F2731">
              <w:t xml:space="preserve">pprentice </w:t>
            </w:r>
            <w:r>
              <w:t>L</w:t>
            </w:r>
            <w:r w:rsidRPr="008F2731">
              <w:t xml:space="preserve">abour </w:t>
            </w:r>
            <w:r>
              <w:t>H</w:t>
            </w:r>
            <w:r w:rsidRPr="008F2731">
              <w:t xml:space="preserve">ours are undertaken by </w:t>
            </w:r>
            <w:r>
              <w:t>W</w:t>
            </w:r>
            <w:r w:rsidRPr="008F2731">
              <w:t xml:space="preserve">omen in </w:t>
            </w:r>
            <w:r>
              <w:t>T</w:t>
            </w:r>
            <w:r w:rsidRPr="008F2731">
              <w:t xml:space="preserve">rade </w:t>
            </w:r>
            <w:r>
              <w:t>A</w:t>
            </w:r>
            <w:r w:rsidRPr="008F2731">
              <w:t>pprenticeships. On 1 July 2026, these targets will increase to 8</w:t>
            </w:r>
            <w:r w:rsidR="00872351">
              <w:t xml:space="preserve">% </w:t>
            </w:r>
            <w:r w:rsidRPr="008F2731">
              <w:t>and 6</w:t>
            </w:r>
            <w:r w:rsidR="00872351">
              <w:t xml:space="preserve">% </w:t>
            </w:r>
            <w:r w:rsidRPr="008F2731">
              <w:t xml:space="preserve">respectively </w:t>
            </w:r>
            <w:r w:rsidR="00872351">
              <w:t>(</w:t>
            </w:r>
            <w:hyperlink w:anchor="_Table_3_-" w:history="1">
              <w:r w:rsidR="00872351" w:rsidRPr="008B4732">
                <w:rPr>
                  <w:rStyle w:val="Hyperlink"/>
                </w:rPr>
                <w:t xml:space="preserve">see </w:t>
              </w:r>
              <w:r w:rsidR="00872351" w:rsidRPr="008B4732">
                <w:rPr>
                  <w:rStyle w:val="Hyperlink"/>
                  <w:b/>
                  <w:bCs/>
                </w:rPr>
                <w:t>Table 3</w:t>
              </w:r>
              <w:r w:rsidR="00872351" w:rsidRPr="008B4732">
                <w:rPr>
                  <w:rStyle w:val="Hyperlink"/>
                </w:rPr>
                <w:t xml:space="preserve"> above</w:t>
              </w:r>
            </w:hyperlink>
            <w:r w:rsidR="00872351">
              <w:t xml:space="preserve">) </w:t>
            </w:r>
            <w:r>
              <w:t xml:space="preserve">for the remaining period of the </w:t>
            </w:r>
            <w:r w:rsidR="00872351">
              <w:t>C</w:t>
            </w:r>
            <w:r>
              <w:t>ontract</w:t>
            </w:r>
            <w:r w:rsidRPr="008F2731">
              <w:t xml:space="preserve">. </w:t>
            </w:r>
          </w:p>
          <w:p w14:paraId="1A6502EB" w14:textId="77777777" w:rsidR="006851E3" w:rsidDel="0015670C" w:rsidRDefault="006851E3" w:rsidP="00442467">
            <w:pPr>
              <w:spacing w:before="120" w:after="120"/>
            </w:pPr>
            <w:r>
              <w:t xml:space="preserve">The estimated Labour Hours and associated targets are included in the Contract. </w:t>
            </w:r>
          </w:p>
          <w:p w14:paraId="302DA154" w14:textId="333B0B3F" w:rsidR="006851E3" w:rsidRDefault="006851E3" w:rsidP="00442467">
            <w:pPr>
              <w:spacing w:before="120" w:after="120"/>
            </w:pPr>
            <w:r>
              <w:t xml:space="preserve">The department’s contract manager for this Contract will need to create a project in the ADMS to commence reporting on this project. </w:t>
            </w:r>
          </w:p>
        </w:tc>
      </w:tr>
    </w:tbl>
    <w:p w14:paraId="5858BF64" w14:textId="2A95058B" w:rsidR="006851E3" w:rsidRDefault="006851E3" w:rsidP="006851E3">
      <w:pPr>
        <w:pStyle w:val="Heading5"/>
      </w:pPr>
      <w:r>
        <w:lastRenderedPageBreak/>
        <w:t>Scenario 1 (b) – Supplier does not agree</w:t>
      </w:r>
      <w:r w:rsidRPr="009B670D">
        <w:t xml:space="preserve"> </w:t>
      </w:r>
      <w:r>
        <w:t>to include PCP requirements</w:t>
      </w:r>
    </w:p>
    <w:tbl>
      <w:tblPr>
        <w:tblStyle w:val="TableGrid"/>
        <w:tblW w:w="0" w:type="auto"/>
        <w:tblLook w:val="04A0" w:firstRow="1" w:lastRow="0" w:firstColumn="1" w:lastColumn="0" w:noHBand="0" w:noVBand="1"/>
      </w:tblPr>
      <w:tblGrid>
        <w:gridCol w:w="9060"/>
      </w:tblGrid>
      <w:tr w:rsidR="006851E3" w14:paraId="5664A54C" w14:textId="77777777" w:rsidTr="00442467">
        <w:tc>
          <w:tcPr>
            <w:tcW w:w="9060" w:type="dxa"/>
          </w:tcPr>
          <w:p w14:paraId="5FB3424F" w14:textId="77777777" w:rsidR="006851E3" w:rsidDel="00224C1E" w:rsidRDefault="006851E3" w:rsidP="00442467">
            <w:pPr>
              <w:spacing w:before="120" w:after="120"/>
            </w:pPr>
            <w:r>
              <w:t xml:space="preserve">In the above example, if </w:t>
            </w:r>
            <w:r w:rsidRPr="1A899C39">
              <w:rPr>
                <w:i/>
                <w:iCs/>
              </w:rPr>
              <w:t>Construction Company A</w:t>
            </w:r>
            <w:r>
              <w:t xml:space="preserve"> did not agree to include PCP requirements as part of the Contract variation, the </w:t>
            </w:r>
            <w:r w:rsidRPr="1A899C39">
              <w:rPr>
                <w:i/>
                <w:iCs/>
              </w:rPr>
              <w:t>Department of Example Scenarios</w:t>
            </w:r>
            <w:r>
              <w:t xml:space="preserve"> would document the reasons why the PCP was not included and would maintain appropriate records. </w:t>
            </w:r>
          </w:p>
          <w:p w14:paraId="7B03A883" w14:textId="166076C3" w:rsidR="006851E3" w:rsidRPr="00981556" w:rsidRDefault="006851E3" w:rsidP="00442467">
            <w:pPr>
              <w:spacing w:before="120" w:after="120"/>
            </w:pPr>
            <w:r>
              <w:t>The department’s contract manager for this Contract would need to record this project as ‘not reporting’ in the ADMS.</w:t>
            </w:r>
          </w:p>
        </w:tc>
      </w:tr>
    </w:tbl>
    <w:p w14:paraId="6E262A40" w14:textId="32027213" w:rsidR="006851E3" w:rsidRDefault="006851E3" w:rsidP="006851E3">
      <w:pPr>
        <w:pStyle w:val="Heading5"/>
      </w:pPr>
      <w:r>
        <w:t>Scenario 2 –PCP requirements not considered appropriate</w:t>
      </w:r>
    </w:p>
    <w:tbl>
      <w:tblPr>
        <w:tblStyle w:val="TableGrid"/>
        <w:tblW w:w="0" w:type="auto"/>
        <w:tblLook w:val="04A0" w:firstRow="1" w:lastRow="0" w:firstColumn="1" w:lastColumn="0" w:noHBand="0" w:noVBand="1"/>
      </w:tblPr>
      <w:tblGrid>
        <w:gridCol w:w="9060"/>
      </w:tblGrid>
      <w:tr w:rsidR="006851E3" w14:paraId="75462BF5" w14:textId="77777777" w:rsidTr="00442467">
        <w:tc>
          <w:tcPr>
            <w:tcW w:w="9060" w:type="dxa"/>
          </w:tcPr>
          <w:p w14:paraId="492FCAB1" w14:textId="77777777" w:rsidR="006851E3" w:rsidRDefault="006851E3" w:rsidP="00442467">
            <w:pPr>
              <w:spacing w:before="120" w:after="120"/>
            </w:pPr>
            <w:r>
              <w:t xml:space="preserve">The </w:t>
            </w:r>
            <w:r w:rsidRPr="0AE5CBBF">
              <w:rPr>
                <w:i/>
                <w:iCs/>
              </w:rPr>
              <w:t>Department of Procurements</w:t>
            </w:r>
            <w:r>
              <w:t xml:space="preserve"> has contracted </w:t>
            </w:r>
            <w:r w:rsidRPr="0AE5CBBF">
              <w:rPr>
                <w:i/>
                <w:iCs/>
              </w:rPr>
              <w:t>Construction Company B</w:t>
            </w:r>
            <w:r>
              <w:t xml:space="preserve"> under a Construction procurement. </w:t>
            </w:r>
          </w:p>
          <w:p w14:paraId="497FC270" w14:textId="77777777" w:rsidR="006851E3" w:rsidRDefault="006851E3" w:rsidP="00442467">
            <w:pPr>
              <w:spacing w:before="120" w:after="120"/>
            </w:pPr>
            <w:r>
              <w:t xml:space="preserve">The Contract start date is 15 October 2024 and the Contract end date is 15 October 2025. The Contract has an estimated value of $9,995,000. The UNSPSC listed for the Approach to Market and subsequent Contract notice on AusTender is </w:t>
            </w:r>
            <w:r w:rsidRPr="0AE5CBBF">
              <w:rPr>
                <w:i/>
                <w:iCs/>
              </w:rPr>
              <w:t>UNSPSC 72101500 – Building support services</w:t>
            </w:r>
            <w:r>
              <w:t>.</w:t>
            </w:r>
          </w:p>
          <w:p w14:paraId="4553303C" w14:textId="77777777" w:rsidR="006851E3" w:rsidRDefault="006851E3" w:rsidP="00442467">
            <w:pPr>
              <w:spacing w:before="120" w:after="120"/>
            </w:pPr>
            <w:r>
              <w:t>In September 2025, the department identifies that the Contract will need to be extended to finalise the work and seeks to vary the Contract. The Contract variation will extend the Contract to end on 30 October 2025 and will result in the estimated procurement value increasing to $10,200,000.</w:t>
            </w:r>
          </w:p>
          <w:p w14:paraId="236E36B4" w14:textId="6C9BBFAD" w:rsidR="006851E3" w:rsidRPr="006A66B5" w:rsidRDefault="006851E3" w:rsidP="00442467">
            <w:r>
              <w:t xml:space="preserve">As the UNSPSC is captured by the PCP Version 1.2 and the procurement has met the estimated individual value of $10 million and above (GST inclusive), the procurement meets the requirements of an Eligible Project, and the department assesses whether to include the PCP Version 1.2 requirements for the remainder of the Contract term. As the Contract variation does not allow enough time to provide Apprentices with an adequate training experience, the department decides not to include PCP Version 1.2 requirements. </w:t>
            </w:r>
          </w:p>
          <w:p w14:paraId="5635671D" w14:textId="77777777" w:rsidR="006851E3" w:rsidDel="0015670C" w:rsidRDefault="006851E3" w:rsidP="00442467">
            <w:r>
              <w:t xml:space="preserve">The </w:t>
            </w:r>
            <w:r w:rsidRPr="1A899C39">
              <w:rPr>
                <w:i/>
                <w:iCs/>
              </w:rPr>
              <w:t>Department of Procurements</w:t>
            </w:r>
            <w:r>
              <w:t xml:space="preserve"> documents the reasons why PCP requirements were not included and maintains appropriate records. </w:t>
            </w:r>
          </w:p>
          <w:p w14:paraId="59C1A790" w14:textId="7B432437" w:rsidR="006851E3" w:rsidRPr="00981556" w:rsidRDefault="006851E3" w:rsidP="00442467">
            <w:r>
              <w:t>The record for this Contract in the ADMS</w:t>
            </w:r>
            <w:r w:rsidR="00CA613A">
              <w:t xml:space="preserve"> </w:t>
            </w:r>
            <w:r>
              <w:t>will need to be reviewed, with the project continuing to be marked as ‘Not reporting’.</w:t>
            </w:r>
          </w:p>
        </w:tc>
      </w:tr>
    </w:tbl>
    <w:p w14:paraId="4BFC1511" w14:textId="527F82CD" w:rsidR="00F53E4D" w:rsidRDefault="00F53E4D" w:rsidP="002F5BCD">
      <w:pPr>
        <w:spacing w:after="0"/>
        <w:ind w:left="709"/>
        <w:rPr>
          <w:rFonts w:eastAsiaTheme="majorEastAsia" w:cstheme="majorBidi"/>
          <w:color w:val="404246"/>
        </w:rPr>
      </w:pPr>
    </w:p>
    <w:p w14:paraId="010FB42B" w14:textId="0D8AF4DA" w:rsidR="006851E3" w:rsidRPr="008E6064" w:rsidRDefault="00F53E4D" w:rsidP="00F53E4D">
      <w:pPr>
        <w:spacing w:after="160" w:line="259" w:lineRule="auto"/>
        <w:rPr>
          <w:rFonts w:eastAsiaTheme="majorEastAsia" w:cstheme="majorBidi"/>
          <w:color w:val="404246"/>
        </w:rPr>
      </w:pPr>
      <w:r>
        <w:rPr>
          <w:rFonts w:eastAsiaTheme="majorEastAsia" w:cstheme="majorBidi"/>
          <w:color w:val="404246"/>
        </w:rPr>
        <w:br w:type="page"/>
      </w:r>
    </w:p>
    <w:p w14:paraId="15514202" w14:textId="0357ABA6" w:rsidR="00D343C5" w:rsidRDefault="00D343C5" w:rsidP="00535C6B">
      <w:pPr>
        <w:pStyle w:val="Heading1"/>
      </w:pPr>
      <w:bookmarkStart w:id="37" w:name="_Toc209787064"/>
      <w:r>
        <w:lastRenderedPageBreak/>
        <w:t>Submission</w:t>
      </w:r>
      <w:r w:rsidR="006A34F7">
        <w:t xml:space="preserve"> </w:t>
      </w:r>
      <w:r>
        <w:t>Assessment</w:t>
      </w:r>
      <w:bookmarkEnd w:id="37"/>
    </w:p>
    <w:p w14:paraId="37596F35" w14:textId="1BFA1A50" w:rsidR="003E21A4" w:rsidRDefault="00763192" w:rsidP="001F55EA">
      <w:pPr>
        <w:pStyle w:val="ListNumber"/>
        <w:numPr>
          <w:ilvl w:val="0"/>
          <w:numId w:val="0"/>
        </w:numPr>
        <w:spacing w:after="0" w:line="276" w:lineRule="auto"/>
      </w:pPr>
      <w:r>
        <w:t>If</w:t>
      </w:r>
      <w:r w:rsidR="00460631">
        <w:t xml:space="preserve"> the PCP </w:t>
      </w:r>
      <w:r w:rsidR="001462ED">
        <w:t xml:space="preserve">is </w:t>
      </w:r>
      <w:r w:rsidR="00460631">
        <w:t>applie</w:t>
      </w:r>
      <w:r w:rsidR="00E70A41">
        <w:t xml:space="preserve">d to the </w:t>
      </w:r>
      <w:r w:rsidR="00787E68">
        <w:t>ATM</w:t>
      </w:r>
      <w:r w:rsidR="005271E7">
        <w:t xml:space="preserve"> documentation</w:t>
      </w:r>
      <w:r w:rsidR="00460631">
        <w:t xml:space="preserve">, Potential Suppliers must declare </w:t>
      </w:r>
      <w:r w:rsidR="002A50C1">
        <w:t>in</w:t>
      </w:r>
      <w:r w:rsidR="00460631">
        <w:t xml:space="preserve"> the</w:t>
      </w:r>
      <w:r w:rsidR="002A50C1">
        <w:t>ir</w:t>
      </w:r>
      <w:r w:rsidR="00460631">
        <w:t xml:space="preserve"> Submission </w:t>
      </w:r>
      <w:r>
        <w:t>whether they can</w:t>
      </w:r>
      <w:r w:rsidR="00E70A41">
        <w:t xml:space="preserve"> </w:t>
      </w:r>
      <w:r w:rsidR="00460631">
        <w:t xml:space="preserve">comply with the PCP requirements. Relevant Entities are responsible for ensuring this declaration has been included in the Submission. While the PCP does not prescribe a specific format for this declaration, Relevant Entities should outline the requirement to include a declaration clearly in the relevant ATM clauses. </w:t>
      </w:r>
    </w:p>
    <w:p w14:paraId="0223FA9B" w14:textId="77777777" w:rsidR="001F55EA" w:rsidRDefault="001F55EA" w:rsidP="001F55EA">
      <w:pPr>
        <w:pStyle w:val="ListNumber"/>
        <w:numPr>
          <w:ilvl w:val="0"/>
          <w:numId w:val="0"/>
        </w:numPr>
        <w:spacing w:after="0" w:line="276" w:lineRule="auto"/>
      </w:pPr>
    </w:p>
    <w:p w14:paraId="77EAD0E8" w14:textId="23D72E77" w:rsidR="003E21A4" w:rsidRPr="00BF6542" w:rsidRDefault="00460631" w:rsidP="001F55EA">
      <w:pPr>
        <w:pStyle w:val="ListNumber"/>
        <w:numPr>
          <w:ilvl w:val="0"/>
          <w:numId w:val="0"/>
        </w:numPr>
        <w:spacing w:line="276" w:lineRule="auto"/>
      </w:pPr>
      <w:r w:rsidRPr="673F9C55">
        <w:t>It is a matter for</w:t>
      </w:r>
      <w:r>
        <w:t xml:space="preserve"> R</w:t>
      </w:r>
      <w:r w:rsidRPr="673F9C55">
        <w:t xml:space="preserve">elevant </w:t>
      </w:r>
      <w:r>
        <w:t>E</w:t>
      </w:r>
      <w:r w:rsidRPr="673F9C55">
        <w:t>ntit</w:t>
      </w:r>
      <w:r w:rsidR="0040517A">
        <w:t>ies</w:t>
      </w:r>
      <w:r w:rsidRPr="673F9C55">
        <w:t xml:space="preserve"> to determine how to evaluate the </w:t>
      </w:r>
      <w:r>
        <w:t xml:space="preserve">PCP </w:t>
      </w:r>
      <w:r w:rsidRPr="673F9C55">
        <w:t>requirements</w:t>
      </w:r>
      <w:r>
        <w:t xml:space="preserve"> during the </w:t>
      </w:r>
      <w:r w:rsidR="0058002F">
        <w:t xml:space="preserve">Submission </w:t>
      </w:r>
      <w:r>
        <w:t>assessment process. Regardless of how the PCP requirements are framed, Relevant Entities must ensure that the</w:t>
      </w:r>
      <w:r w:rsidRPr="673F9C55">
        <w:t xml:space="preserve"> </w:t>
      </w:r>
      <w:r>
        <w:t xml:space="preserve">assessment process includes consideration of the PCP requirements, as outlined in the PCP, </w:t>
      </w:r>
      <w:r w:rsidRPr="00575527">
        <w:rPr>
          <w:b/>
          <w:bCs/>
        </w:rPr>
        <w:t>Section 5</w:t>
      </w:r>
      <w:r>
        <w:rPr>
          <w:b/>
          <w:bCs/>
        </w:rPr>
        <w:t>.</w:t>
      </w:r>
      <w:r w:rsidR="001B6312">
        <w:rPr>
          <w:b/>
          <w:bCs/>
        </w:rPr>
        <w:t xml:space="preserve"> </w:t>
      </w:r>
      <w:r w:rsidR="008978DE" w:rsidRPr="00BF6542">
        <w:t xml:space="preserve">However, if an exemption </w:t>
      </w:r>
      <w:r w:rsidR="00E158FE" w:rsidRPr="00BF6542">
        <w:t xml:space="preserve">is identified </w:t>
      </w:r>
      <w:r w:rsidR="009D3CE8" w:rsidRPr="00BF6542">
        <w:t>during</w:t>
      </w:r>
      <w:r w:rsidR="00E158FE" w:rsidRPr="00BF6542">
        <w:t xml:space="preserve"> the Submission</w:t>
      </w:r>
      <w:r w:rsidR="009D3CE8" w:rsidRPr="00BF6542">
        <w:t xml:space="preserve"> assessment, such as the Potential Supplier proposes </w:t>
      </w:r>
      <w:r w:rsidR="00592981" w:rsidRPr="00BF6542">
        <w:t xml:space="preserve">to deliver the entire </w:t>
      </w:r>
      <w:r w:rsidR="00557C52" w:rsidRPr="00BF6542">
        <w:t xml:space="preserve">procurement overseas, Relevant Entities are not required to consider </w:t>
      </w:r>
      <w:r w:rsidR="00BF6542" w:rsidRPr="00BF6542">
        <w:t xml:space="preserve">the PCP requirements. </w:t>
      </w:r>
    </w:p>
    <w:p w14:paraId="1162463F" w14:textId="77777777" w:rsidR="001F55EA" w:rsidRDefault="001F55EA" w:rsidP="001F55EA">
      <w:pPr>
        <w:pStyle w:val="ListNumber"/>
        <w:numPr>
          <w:ilvl w:val="0"/>
          <w:numId w:val="0"/>
        </w:numPr>
        <w:spacing w:line="276" w:lineRule="auto"/>
        <w:rPr>
          <w:b/>
          <w:bCs/>
        </w:rPr>
      </w:pPr>
    </w:p>
    <w:p w14:paraId="7CC7423E" w14:textId="324C875C" w:rsidR="002918E1" w:rsidRDefault="002918E1" w:rsidP="001F55EA">
      <w:pPr>
        <w:pStyle w:val="ListNumber"/>
        <w:numPr>
          <w:ilvl w:val="0"/>
          <w:numId w:val="0"/>
        </w:numPr>
        <w:spacing w:line="276" w:lineRule="auto"/>
      </w:pPr>
      <w:r w:rsidRPr="69558CA7">
        <w:t xml:space="preserve">When assessing </w:t>
      </w:r>
      <w:r>
        <w:t>Submissions</w:t>
      </w:r>
      <w:r w:rsidRPr="69558CA7">
        <w:t xml:space="preserve">, Relevant </w:t>
      </w:r>
      <w:r>
        <w:t>E</w:t>
      </w:r>
      <w:r w:rsidRPr="69558CA7">
        <w:t>ntit</w:t>
      </w:r>
      <w:r w:rsidR="0040517A">
        <w:t>ies</w:t>
      </w:r>
      <w:r w:rsidRPr="69558CA7">
        <w:t xml:space="preserve"> should check that the </w:t>
      </w:r>
      <w:r>
        <w:t>Potential Supplier</w:t>
      </w:r>
      <w:r w:rsidRPr="69558CA7">
        <w:t xml:space="preserve">’s GEAP refers to the correct </w:t>
      </w:r>
      <w:r>
        <w:t>E</w:t>
      </w:r>
      <w:r w:rsidRPr="69558CA7">
        <w:t xml:space="preserve">ligible </w:t>
      </w:r>
      <w:r>
        <w:t>P</w:t>
      </w:r>
      <w:r w:rsidRPr="69558CA7">
        <w:t xml:space="preserve">roject type and identifies the appropriate Skills Guarantee targets that will apply to the procurement. </w:t>
      </w:r>
    </w:p>
    <w:p w14:paraId="2BB90FEA" w14:textId="77777777" w:rsidR="001F55EA" w:rsidRPr="002918E1" w:rsidRDefault="001F55EA" w:rsidP="001F55EA">
      <w:pPr>
        <w:pStyle w:val="ListNumber"/>
        <w:numPr>
          <w:ilvl w:val="0"/>
          <w:numId w:val="0"/>
        </w:numPr>
        <w:spacing w:line="276" w:lineRule="auto"/>
      </w:pPr>
    </w:p>
    <w:p w14:paraId="59371E6F" w14:textId="044C8735" w:rsidR="003E21A4" w:rsidRDefault="00460631" w:rsidP="001F55EA">
      <w:pPr>
        <w:pStyle w:val="ListNumber"/>
        <w:numPr>
          <w:ilvl w:val="0"/>
          <w:numId w:val="0"/>
        </w:numPr>
        <w:spacing w:line="276" w:lineRule="auto"/>
      </w:pPr>
      <w:r>
        <w:t>Relevant Entities should consider the past performance and reporting under the PCP of Potential Suppliers in the evaluation of the Submission.</w:t>
      </w:r>
      <w:r w:rsidR="00045002" w:rsidRPr="00045002">
        <w:t xml:space="preserve"> </w:t>
      </w:r>
      <w:r w:rsidR="00045002">
        <w:t xml:space="preserve">Supplier performance data for </w:t>
      </w:r>
      <w:r w:rsidR="00045002" w:rsidRPr="00EF7EB3">
        <w:t xml:space="preserve">all completed Skills Guarantee projects will be available to all </w:t>
      </w:r>
      <w:r w:rsidR="00045002">
        <w:t>Relevant Entities.</w:t>
      </w:r>
    </w:p>
    <w:p w14:paraId="124E738A" w14:textId="77777777" w:rsidR="001F55EA" w:rsidRDefault="001F55EA" w:rsidP="001F55EA">
      <w:pPr>
        <w:pStyle w:val="ListNumber"/>
        <w:numPr>
          <w:ilvl w:val="0"/>
          <w:numId w:val="0"/>
        </w:numPr>
        <w:spacing w:line="276" w:lineRule="auto"/>
      </w:pPr>
    </w:p>
    <w:p w14:paraId="03308979" w14:textId="0CCF6B0A" w:rsidR="002918E1" w:rsidRPr="002918E1" w:rsidRDefault="00460631" w:rsidP="001F55EA">
      <w:pPr>
        <w:pStyle w:val="ListNumber"/>
        <w:numPr>
          <w:ilvl w:val="0"/>
          <w:numId w:val="0"/>
        </w:numPr>
        <w:spacing w:line="276" w:lineRule="auto"/>
        <w:rPr>
          <w:rFonts w:ascii="Calibri" w:eastAsia="Calibri" w:hAnsi="Calibri" w:cs="Calibri"/>
        </w:rPr>
      </w:pPr>
      <w:r>
        <w:t xml:space="preserve">Please also refer the </w:t>
      </w:r>
      <w:hyperlink r:id="rId29" w:history="1">
        <w:r w:rsidRPr="00C440B4">
          <w:rPr>
            <w:rStyle w:val="Hyperlink"/>
          </w:rPr>
          <w:t>Assessing Submissions Guidance on GovTEAMS</w:t>
        </w:r>
      </w:hyperlink>
      <w:r>
        <w:t xml:space="preserve"> for further information and a checklist. </w:t>
      </w:r>
    </w:p>
    <w:p w14:paraId="50A6EC2B" w14:textId="3E37124A" w:rsidR="00020B0E" w:rsidRDefault="00020B0E" w:rsidP="00535C6B">
      <w:pPr>
        <w:pStyle w:val="Heading1"/>
      </w:pPr>
      <w:bookmarkStart w:id="38" w:name="_Toc209787065"/>
      <w:r>
        <w:t xml:space="preserve">Reporting </w:t>
      </w:r>
      <w:r w:rsidR="00447E2A">
        <w:t>and compliance</w:t>
      </w:r>
      <w:bookmarkEnd w:id="38"/>
    </w:p>
    <w:p w14:paraId="4E6334A2" w14:textId="499A3590" w:rsidR="00053A9E" w:rsidRDefault="00460631" w:rsidP="00460631">
      <w:r w:rsidRPr="00421450">
        <w:t xml:space="preserve">Suppliers must </w:t>
      </w:r>
      <w:r w:rsidR="00C52F0C">
        <w:t xml:space="preserve">submit their </w:t>
      </w:r>
      <w:r w:rsidRPr="00421450">
        <w:t xml:space="preserve">quarterly </w:t>
      </w:r>
      <w:r w:rsidR="00C52F0C">
        <w:t xml:space="preserve">reports </w:t>
      </w:r>
      <w:r w:rsidRPr="00421450">
        <w:t>to Relevant Entit</w:t>
      </w:r>
      <w:r w:rsidR="00490E8E" w:rsidRPr="00421450">
        <w:t xml:space="preserve">ies </w:t>
      </w:r>
      <w:r w:rsidRPr="00421450">
        <w:t xml:space="preserve">on their progress against targets in ADMS. </w:t>
      </w:r>
    </w:p>
    <w:p w14:paraId="32AC24B5" w14:textId="79A1C72E" w:rsidR="00460631" w:rsidRDefault="00460631" w:rsidP="00460631">
      <w:r w:rsidRPr="00421450">
        <w:t xml:space="preserve">Sub-contractors may also be asked by their Supplier to record the hours worked by Apprentices and Learning Workers in ADMS. </w:t>
      </w:r>
    </w:p>
    <w:p w14:paraId="6354EDD6" w14:textId="0FDC39E8" w:rsidR="00421450" w:rsidRPr="00421450" w:rsidRDefault="00421450" w:rsidP="00421450">
      <w:pPr>
        <w:pStyle w:val="Heading2"/>
        <w:spacing w:before="0"/>
        <w:rPr>
          <w:color w:val="5D7A38"/>
        </w:rPr>
      </w:pPr>
      <w:bookmarkStart w:id="39" w:name="_Toc209787066"/>
      <w:r w:rsidRPr="3BCD4151">
        <w:rPr>
          <w:rFonts w:ascii="Segoe UI Emoji" w:eastAsia="Times New Roman" w:hAnsi="Segoe UI Emoji" w:cs="Segoe UI Emoji"/>
          <w:color w:val="5D7A38"/>
          <w:sz w:val="24"/>
          <w:szCs w:val="24"/>
          <w:lang w:eastAsia="en-AU"/>
        </w:rPr>
        <w:t>📌</w:t>
      </w:r>
      <w:r w:rsidRPr="3BCD4151">
        <w:rPr>
          <w:color w:val="5D7A38"/>
        </w:rPr>
        <w:t xml:space="preserve"> Actions for Relevant Entities</w:t>
      </w:r>
      <w:bookmarkEnd w:id="39"/>
      <w:r w:rsidRPr="3BCD4151">
        <w:rPr>
          <w:color w:val="5D7A38"/>
        </w:rPr>
        <w:t xml:space="preserve"> </w:t>
      </w:r>
    </w:p>
    <w:p w14:paraId="54CB6F17" w14:textId="77777777" w:rsidR="00421450" w:rsidRDefault="00460631" w:rsidP="00A6427E">
      <w:pPr>
        <w:spacing w:after="0"/>
      </w:pPr>
      <w:r w:rsidRPr="00421450">
        <w:t>Relevant Entities are required to</w:t>
      </w:r>
      <w:r w:rsidR="00421450">
        <w:t>:</w:t>
      </w:r>
    </w:p>
    <w:p w14:paraId="0588E051" w14:textId="77777777" w:rsidR="00521617" w:rsidRDefault="003A2A17" w:rsidP="00521617">
      <w:pPr>
        <w:pStyle w:val="ListBullet"/>
        <w:numPr>
          <w:ilvl w:val="0"/>
          <w:numId w:val="14"/>
        </w:numPr>
        <w:spacing w:line="276" w:lineRule="auto"/>
      </w:pPr>
      <w:r w:rsidRPr="00421450">
        <w:t xml:space="preserve">monitor Supplier reporting and </w:t>
      </w:r>
      <w:r w:rsidR="00E303AB">
        <w:t>address Supplier non-</w:t>
      </w:r>
      <w:r w:rsidRPr="00421450">
        <w:t xml:space="preserve">compliance </w:t>
      </w:r>
      <w:r w:rsidR="00E303AB">
        <w:t xml:space="preserve">(where necessary) </w:t>
      </w:r>
      <w:r w:rsidR="00DB53FA" w:rsidRPr="00421450">
        <w:t xml:space="preserve">over the life of the </w:t>
      </w:r>
      <w:r w:rsidR="00420C32" w:rsidRPr="00421450">
        <w:t xml:space="preserve">Contract </w:t>
      </w:r>
    </w:p>
    <w:p w14:paraId="0323791D" w14:textId="44016B94" w:rsidR="00430092" w:rsidRDefault="00420C32" w:rsidP="00521617">
      <w:pPr>
        <w:pStyle w:val="ListBullet"/>
        <w:numPr>
          <w:ilvl w:val="0"/>
          <w:numId w:val="14"/>
        </w:numPr>
        <w:spacing w:line="276" w:lineRule="auto"/>
      </w:pPr>
      <w:r>
        <w:t>undertake appropriate assurance activities</w:t>
      </w:r>
      <w:r w:rsidR="00A6427E">
        <w:t>, as required</w:t>
      </w:r>
      <w:r w:rsidR="00421450">
        <w:t xml:space="preserve"> </w:t>
      </w:r>
    </w:p>
    <w:p w14:paraId="1108EF7A" w14:textId="7AF67774" w:rsidR="00460631" w:rsidRDefault="5838AB78" w:rsidP="00963841">
      <w:pPr>
        <w:pStyle w:val="ListBullet"/>
        <w:numPr>
          <w:ilvl w:val="0"/>
          <w:numId w:val="2"/>
        </w:numPr>
        <w:spacing w:line="276" w:lineRule="auto"/>
      </w:pPr>
      <w:r>
        <w:t>c</w:t>
      </w:r>
      <w:r w:rsidR="36CC384B">
        <w:t xml:space="preserve">omplete compliance assessments for each quarterly reporting period in ADMS (this data will be sent through to DEWR every six months. </w:t>
      </w:r>
    </w:p>
    <w:p w14:paraId="601B49AE" w14:textId="422AC96C" w:rsidR="00430092" w:rsidRDefault="00430092" w:rsidP="00430092">
      <w:pPr>
        <w:pStyle w:val="ListBullet"/>
        <w:numPr>
          <w:ilvl w:val="0"/>
          <w:numId w:val="14"/>
        </w:numPr>
        <w:spacing w:line="276" w:lineRule="auto"/>
      </w:pPr>
      <w:r w:rsidRPr="00963841">
        <w:t xml:space="preserve">assess the </w:t>
      </w:r>
      <w:r w:rsidR="589EEBDD">
        <w:t>S</w:t>
      </w:r>
      <w:r w:rsidRPr="00963841">
        <w:t xml:space="preserve">upplier’s performance against targets for </w:t>
      </w:r>
      <w:r w:rsidR="67101D83">
        <w:t>W</w:t>
      </w:r>
      <w:r w:rsidRPr="00963841">
        <w:t>omen</w:t>
      </w:r>
      <w:r>
        <w:t xml:space="preserve"> in ADMS</w:t>
      </w:r>
      <w:r w:rsidRPr="00963841">
        <w:t xml:space="preserve"> </w:t>
      </w:r>
      <w:r>
        <w:t>at the end of each financial year</w:t>
      </w:r>
    </w:p>
    <w:p w14:paraId="4D156B18" w14:textId="4BC49807" w:rsidR="00B713BE" w:rsidRDefault="00CD2265" w:rsidP="00A6427E">
      <w:pPr>
        <w:pStyle w:val="ListBullet"/>
        <w:numPr>
          <w:ilvl w:val="0"/>
          <w:numId w:val="14"/>
        </w:numPr>
        <w:spacing w:line="276" w:lineRule="auto"/>
      </w:pPr>
      <w:r>
        <w:t xml:space="preserve">provide an end of project </w:t>
      </w:r>
      <w:r w:rsidR="00B713BE">
        <w:t xml:space="preserve">report to DEWR in ADMS </w:t>
      </w:r>
      <w:r>
        <w:t>at the end of each Contract.</w:t>
      </w:r>
    </w:p>
    <w:p w14:paraId="00871275" w14:textId="62B8D9D1" w:rsidR="006A4529" w:rsidRDefault="006A4529" w:rsidP="00463137">
      <w:r>
        <w:t xml:space="preserve">Please refer to </w:t>
      </w:r>
      <w:r w:rsidR="00ED2125">
        <w:t xml:space="preserve">the further </w:t>
      </w:r>
      <w:hyperlink r:id="rId30" w:history="1">
        <w:r w:rsidR="00ED2125" w:rsidRPr="00CE0242">
          <w:rPr>
            <w:rStyle w:val="Hyperlink"/>
          </w:rPr>
          <w:t>reporting guidance on GovTEAMS</w:t>
        </w:r>
      </w:hyperlink>
      <w:r w:rsidR="00ED2125" w:rsidRPr="00CE0242">
        <w:t xml:space="preserve"> for</w:t>
      </w:r>
      <w:r w:rsidR="00ED2125">
        <w:t xml:space="preserve"> more information. </w:t>
      </w:r>
    </w:p>
    <w:p w14:paraId="29B3EA1B" w14:textId="5CE3536D" w:rsidR="00B9776B" w:rsidRDefault="00B9776B" w:rsidP="00535C6B">
      <w:pPr>
        <w:pStyle w:val="Heading1"/>
      </w:pPr>
      <w:bookmarkStart w:id="40" w:name="_Toc209787067"/>
      <w:r>
        <w:lastRenderedPageBreak/>
        <w:t>Frequently Asked Questions</w:t>
      </w:r>
      <w:bookmarkEnd w:id="40"/>
    </w:p>
    <w:p w14:paraId="6C35D4FE" w14:textId="77777777" w:rsidR="00182A3F" w:rsidRPr="000A7A4C" w:rsidRDefault="00182A3F" w:rsidP="00535C6B">
      <w:pPr>
        <w:pStyle w:val="Heading3"/>
      </w:pPr>
      <w:bookmarkStart w:id="41" w:name="_Toc209774226"/>
      <w:bookmarkStart w:id="42" w:name="_Toc209776507"/>
      <w:bookmarkStart w:id="43" w:name="_Toc209777273"/>
      <w:bookmarkStart w:id="44" w:name="_Toc209787068"/>
      <w:r>
        <w:t>Eligible Projects</w:t>
      </w:r>
      <w:bookmarkEnd w:id="41"/>
      <w:bookmarkEnd w:id="42"/>
      <w:bookmarkEnd w:id="43"/>
      <w:bookmarkEnd w:id="44"/>
    </w:p>
    <w:p w14:paraId="683911ED" w14:textId="1807DE0E" w:rsidR="00182A3F" w:rsidRPr="00535C6B" w:rsidRDefault="00182A3F" w:rsidP="3BCD4151">
      <w:pPr>
        <w:pStyle w:val="Heading3"/>
        <w:rPr>
          <w:rStyle w:val="Heading5Char"/>
          <w:b w:val="0"/>
          <w:sz w:val="22"/>
          <w:szCs w:val="22"/>
        </w:rPr>
      </w:pPr>
      <w:bookmarkStart w:id="45" w:name="_Toc209787069"/>
      <w:r w:rsidRPr="3BCD4151">
        <w:rPr>
          <w:rStyle w:val="Heading5Char"/>
          <w:b w:val="0"/>
          <w:sz w:val="22"/>
          <w:szCs w:val="22"/>
        </w:rPr>
        <w:t xml:space="preserve">Do </w:t>
      </w:r>
      <w:r w:rsidR="009A640B" w:rsidRPr="3BCD4151">
        <w:rPr>
          <w:rStyle w:val="Heading5Char"/>
          <w:b w:val="0"/>
          <w:sz w:val="22"/>
          <w:szCs w:val="22"/>
        </w:rPr>
        <w:t>PCP</w:t>
      </w:r>
      <w:r w:rsidRPr="3BCD4151">
        <w:rPr>
          <w:rStyle w:val="Heading5Char"/>
          <w:b w:val="0"/>
          <w:sz w:val="22"/>
          <w:szCs w:val="22"/>
        </w:rPr>
        <w:t xml:space="preserve"> thresholds apply to projects as a whole or individual procurements?</w:t>
      </w:r>
      <w:bookmarkEnd w:id="45"/>
    </w:p>
    <w:p w14:paraId="7071A276" w14:textId="5A44833B" w:rsidR="00182A3F" w:rsidRPr="00AF3AD6" w:rsidRDefault="00182A3F" w:rsidP="7FA6D6D4">
      <w:pPr>
        <w:pStyle w:val="ListBullet"/>
        <w:numPr>
          <w:ilvl w:val="0"/>
          <w:numId w:val="29"/>
        </w:numPr>
        <w:tabs>
          <w:tab w:val="left" w:pos="284"/>
        </w:tabs>
        <w:spacing w:line="276" w:lineRule="auto"/>
        <w:ind w:left="284" w:hanging="284"/>
      </w:pPr>
      <w:r w:rsidRPr="00AF3AD6">
        <w:t xml:space="preserve">The </w:t>
      </w:r>
      <w:r w:rsidR="009A640B">
        <w:t>PCP</w:t>
      </w:r>
      <w:r w:rsidRPr="00AF3AD6">
        <w:t xml:space="preserve"> financial thresholds apply to </w:t>
      </w:r>
      <w:r>
        <w:t xml:space="preserve">each </w:t>
      </w:r>
      <w:r w:rsidRPr="00AF3AD6">
        <w:t>individual procurement.</w:t>
      </w:r>
    </w:p>
    <w:p w14:paraId="320F81E2" w14:textId="5C66A5CE" w:rsidR="00182A3F" w:rsidRPr="00535C6B" w:rsidRDefault="00182A3F" w:rsidP="3BCD4151">
      <w:pPr>
        <w:pStyle w:val="Heading3"/>
        <w:rPr>
          <w:rStyle w:val="Heading5Char"/>
          <w:b w:val="0"/>
          <w:sz w:val="22"/>
          <w:szCs w:val="22"/>
        </w:rPr>
      </w:pPr>
      <w:bookmarkStart w:id="46" w:name="_Toc209787070"/>
      <w:r w:rsidRPr="3BCD4151">
        <w:rPr>
          <w:rStyle w:val="Heading5Char"/>
          <w:b w:val="0"/>
          <w:sz w:val="22"/>
          <w:szCs w:val="22"/>
        </w:rPr>
        <w:t>Does the PCP apply to Sub-contractors?</w:t>
      </w:r>
      <w:bookmarkEnd w:id="46"/>
    </w:p>
    <w:p w14:paraId="17F67925" w14:textId="68F3C7CB" w:rsidR="00182A3F" w:rsidRPr="007D3119" w:rsidRDefault="00182A3F" w:rsidP="004D3816">
      <w:pPr>
        <w:pStyle w:val="ListBullet"/>
        <w:numPr>
          <w:ilvl w:val="0"/>
          <w:numId w:val="19"/>
        </w:numPr>
        <w:spacing w:line="276" w:lineRule="auto"/>
        <w:ind w:left="284" w:hanging="284"/>
      </w:pPr>
      <w:r>
        <w:t xml:space="preserve">The PCP applies to the Contract between the Relevant Entity and the lead contractor (the Supplier). </w:t>
      </w:r>
    </w:p>
    <w:p w14:paraId="65924333" w14:textId="4B40312B" w:rsidR="00182A3F" w:rsidRDefault="00182A3F" w:rsidP="00772D36">
      <w:pPr>
        <w:pStyle w:val="ListBullet"/>
        <w:numPr>
          <w:ilvl w:val="0"/>
          <w:numId w:val="2"/>
        </w:numPr>
        <w:spacing w:line="276" w:lineRule="auto"/>
        <w:ind w:left="284" w:hanging="284"/>
      </w:pPr>
      <w:r>
        <w:t xml:space="preserve">This means that while it does not apply to Sub-contractors directly, Suppliers are expected to report on all Labour Hours on the Eligible Project. However, Suppliers and Relevant Entities can enable Sub-contractors to report Labour Hours directly into ADMS. </w:t>
      </w:r>
      <w:r w:rsidR="00772D36">
        <w:t xml:space="preserve">If Relevant Entities or Suppliers intend to permit Sub-contractors to submit data for a project, they will need to enable Sub-contractor access when the project is created in ADMS. </w:t>
      </w:r>
    </w:p>
    <w:p w14:paraId="3728F5A9" w14:textId="4F590B77" w:rsidR="00182A3F" w:rsidRDefault="00182A3F" w:rsidP="00305506">
      <w:pPr>
        <w:pStyle w:val="ListBullet"/>
        <w:numPr>
          <w:ilvl w:val="0"/>
          <w:numId w:val="19"/>
        </w:numPr>
        <w:spacing w:line="276" w:lineRule="auto"/>
        <w:ind w:left="284" w:hanging="284"/>
      </w:pPr>
      <w:r>
        <w:t xml:space="preserve">Suppliers will need to ensure Sub-contractors have access to </w:t>
      </w:r>
      <w:r w:rsidR="0064295E">
        <w:t>ADMS</w:t>
      </w:r>
      <w:r>
        <w:t xml:space="preserve"> and provide accurate and timely reporting against the targets to the Supplier, to enable the Supplier to meet their reporting obligations to the Relevant Entity.</w:t>
      </w:r>
    </w:p>
    <w:p w14:paraId="39653115" w14:textId="19D35B6A" w:rsidR="00182A3F" w:rsidRPr="00535C6B" w:rsidRDefault="00182A3F" w:rsidP="3BCD4151">
      <w:pPr>
        <w:pStyle w:val="Heading3"/>
        <w:rPr>
          <w:rStyle w:val="Heading5Char"/>
          <w:b w:val="0"/>
          <w:sz w:val="22"/>
          <w:szCs w:val="22"/>
        </w:rPr>
      </w:pPr>
      <w:bookmarkStart w:id="47" w:name="_Toc209787071"/>
      <w:r w:rsidRPr="3BCD4151">
        <w:rPr>
          <w:rStyle w:val="Heading5Char"/>
          <w:b w:val="0"/>
          <w:sz w:val="22"/>
          <w:szCs w:val="22"/>
        </w:rPr>
        <w:t xml:space="preserve">How do I calculate the estimated individual value of a procurement to determine whether my procurement is subject to the </w:t>
      </w:r>
      <w:r w:rsidR="009A640B" w:rsidRPr="3BCD4151">
        <w:rPr>
          <w:rStyle w:val="Heading5Char"/>
          <w:b w:val="0"/>
          <w:sz w:val="22"/>
          <w:szCs w:val="22"/>
        </w:rPr>
        <w:t>PCP</w:t>
      </w:r>
      <w:r w:rsidRPr="3BCD4151">
        <w:rPr>
          <w:rStyle w:val="Heading5Char"/>
          <w:b w:val="0"/>
          <w:sz w:val="22"/>
          <w:szCs w:val="22"/>
        </w:rPr>
        <w:t>?</w:t>
      </w:r>
      <w:bookmarkEnd w:id="47"/>
    </w:p>
    <w:p w14:paraId="7A18C08D" w14:textId="596F4F1A" w:rsidR="00182A3F" w:rsidRPr="00D93FE3" w:rsidRDefault="00F325F9" w:rsidP="00305506">
      <w:pPr>
        <w:pStyle w:val="ListBullet"/>
        <w:numPr>
          <w:ilvl w:val="0"/>
          <w:numId w:val="19"/>
        </w:numPr>
        <w:spacing w:line="276" w:lineRule="auto"/>
        <w:ind w:left="284" w:hanging="284"/>
      </w:pPr>
      <w:r>
        <w:t>A</w:t>
      </w:r>
      <w:r w:rsidR="00182A3F">
        <w:t xml:space="preserve"> Relevant Entity will need to determine the ‘estimated individual value’ of the procurement. </w:t>
      </w:r>
    </w:p>
    <w:p w14:paraId="229FDDD5" w14:textId="1E3A83D2" w:rsidR="00182A3F" w:rsidRPr="00D93FE3" w:rsidRDefault="00182A3F" w:rsidP="00305506">
      <w:pPr>
        <w:pStyle w:val="ListBullet"/>
        <w:numPr>
          <w:ilvl w:val="0"/>
          <w:numId w:val="19"/>
        </w:numPr>
        <w:spacing w:line="276" w:lineRule="auto"/>
        <w:ind w:left="284" w:hanging="284"/>
      </w:pPr>
      <w:r>
        <w:t xml:space="preserve">This should include options, extensions, renewals or other mechanisms that may be executed over the life of the Contract, in line with </w:t>
      </w:r>
      <w:r w:rsidRPr="00305506">
        <w:rPr>
          <w:b/>
          <w:bCs/>
        </w:rPr>
        <w:t>Section 9.2</w:t>
      </w:r>
      <w:r>
        <w:t xml:space="preserve"> of the Commonwealth Procurement Rules (CPRs) definition of ‘expected value of a procurement’. </w:t>
      </w:r>
    </w:p>
    <w:p w14:paraId="6A0DEA8D" w14:textId="77777777" w:rsidR="00182A3F" w:rsidRPr="00D93FE3" w:rsidRDefault="00182A3F" w:rsidP="00305506">
      <w:pPr>
        <w:pStyle w:val="ListBullet"/>
        <w:numPr>
          <w:ilvl w:val="0"/>
          <w:numId w:val="19"/>
        </w:numPr>
        <w:spacing w:line="276" w:lineRule="auto"/>
        <w:ind w:left="284" w:hanging="284"/>
      </w:pPr>
      <w:r>
        <w:t xml:space="preserve">For example, where the initial Contract for a procurement has a value of $9 million but includes an option to extend the Contract, worth an additional $1.5 million, the estimated individual value of the procurement would be $10.5 million. Therefore, this procurement would meet the $10 million threshold for Major Construction Projects and Major ICT Projects.  </w:t>
      </w:r>
    </w:p>
    <w:p w14:paraId="1B42A232" w14:textId="3A81D66C" w:rsidR="00182A3F" w:rsidRPr="00535C6B" w:rsidRDefault="00182A3F" w:rsidP="3BCD4151">
      <w:pPr>
        <w:pStyle w:val="Heading3"/>
        <w:rPr>
          <w:rStyle w:val="Heading5Char"/>
          <w:b w:val="0"/>
          <w:sz w:val="22"/>
          <w:szCs w:val="22"/>
        </w:rPr>
      </w:pPr>
      <w:bookmarkStart w:id="48" w:name="_Toc209787072"/>
      <w:r w:rsidRPr="3BCD4151">
        <w:rPr>
          <w:rStyle w:val="Heading5Char"/>
          <w:b w:val="0"/>
          <w:sz w:val="22"/>
          <w:szCs w:val="22"/>
        </w:rPr>
        <w:t>Does the PCP apply to a procurement where the estimated individual value is less than $10 million but the successful Submission is $10 million</w:t>
      </w:r>
      <w:r w:rsidR="008E11AE">
        <w:rPr>
          <w:rStyle w:val="Heading5Char"/>
          <w:b w:val="0"/>
          <w:sz w:val="22"/>
          <w:szCs w:val="22"/>
        </w:rPr>
        <w:t xml:space="preserve"> or more</w:t>
      </w:r>
      <w:r w:rsidRPr="3BCD4151">
        <w:rPr>
          <w:rStyle w:val="Heading5Char"/>
          <w:b w:val="0"/>
          <w:sz w:val="22"/>
          <w:szCs w:val="22"/>
        </w:rPr>
        <w:t>?</w:t>
      </w:r>
      <w:bookmarkEnd w:id="48"/>
    </w:p>
    <w:p w14:paraId="6655189A" w14:textId="22DF0ECF" w:rsidR="00182A3F" w:rsidRDefault="00182A3F" w:rsidP="00305506">
      <w:pPr>
        <w:pStyle w:val="ListBullet"/>
        <w:numPr>
          <w:ilvl w:val="0"/>
          <w:numId w:val="19"/>
        </w:numPr>
        <w:spacing w:line="276" w:lineRule="auto"/>
        <w:ind w:left="284" w:hanging="284"/>
      </w:pPr>
      <w:r>
        <w:t>The PCP applies to eligible procurements with an estimated individual value of $10 million or more (</w:t>
      </w:r>
      <w:r w:rsidRPr="0011672F">
        <w:t>includ</w:t>
      </w:r>
      <w:r>
        <w:t>ing</w:t>
      </w:r>
      <w:r w:rsidRPr="0011672F">
        <w:t xml:space="preserve"> options, extensions, renewals or other mechanisms that may be executed over the life of the </w:t>
      </w:r>
      <w:r>
        <w:t>C</w:t>
      </w:r>
      <w:r w:rsidRPr="0011672F">
        <w:t>ontract</w:t>
      </w:r>
      <w:r>
        <w:t>).</w:t>
      </w:r>
    </w:p>
    <w:p w14:paraId="699DADE0" w14:textId="15AA8115" w:rsidR="00182A3F" w:rsidRDefault="00182A3F" w:rsidP="00305506">
      <w:pPr>
        <w:pStyle w:val="ListBullet"/>
        <w:numPr>
          <w:ilvl w:val="0"/>
          <w:numId w:val="19"/>
        </w:numPr>
        <w:spacing w:line="276" w:lineRule="auto"/>
        <w:ind w:left="284" w:hanging="284"/>
      </w:pPr>
      <w:r>
        <w:t xml:space="preserve">Where a procurements estimated individual value is less than $10 million, Relevant Entities are not required to include Skills Guarantee requirements in the Approach to Market. </w:t>
      </w:r>
    </w:p>
    <w:p w14:paraId="612453B9" w14:textId="6247CEC0" w:rsidR="00182A3F" w:rsidRDefault="00182A3F" w:rsidP="00305506">
      <w:pPr>
        <w:pStyle w:val="ListBullet"/>
        <w:numPr>
          <w:ilvl w:val="0"/>
          <w:numId w:val="19"/>
        </w:numPr>
        <w:spacing w:line="276" w:lineRule="auto"/>
        <w:ind w:left="284" w:hanging="284"/>
      </w:pPr>
      <w:r>
        <w:t xml:space="preserve">However, if the successful Contract value is $10 million or more, the Relevant Entities can negotiate with the successful Supplier to include the PCP requirements in the Contract. </w:t>
      </w:r>
    </w:p>
    <w:p w14:paraId="49ACC8E2" w14:textId="22C0763C" w:rsidR="00182A3F" w:rsidRPr="00535C6B" w:rsidRDefault="00182A3F" w:rsidP="3BCD4151">
      <w:pPr>
        <w:pStyle w:val="Heading3"/>
        <w:rPr>
          <w:rStyle w:val="Heading5Char"/>
          <w:b w:val="0"/>
          <w:sz w:val="22"/>
          <w:szCs w:val="22"/>
        </w:rPr>
      </w:pPr>
      <w:bookmarkStart w:id="49" w:name="_Toc209787073"/>
      <w:r w:rsidRPr="3BCD4151">
        <w:rPr>
          <w:rStyle w:val="Heading5Char"/>
          <w:b w:val="0"/>
          <w:sz w:val="22"/>
          <w:szCs w:val="22"/>
        </w:rPr>
        <w:t xml:space="preserve">Does the PCP apply to a procurement where the estimated individual value is $10 million </w:t>
      </w:r>
      <w:r w:rsidR="00940A33">
        <w:rPr>
          <w:rStyle w:val="Heading5Char"/>
          <w:b w:val="0"/>
          <w:sz w:val="22"/>
          <w:szCs w:val="22"/>
        </w:rPr>
        <w:t xml:space="preserve">or more </w:t>
      </w:r>
      <w:r w:rsidRPr="3BCD4151">
        <w:rPr>
          <w:rStyle w:val="Heading5Char"/>
          <w:b w:val="0"/>
          <w:sz w:val="22"/>
          <w:szCs w:val="22"/>
        </w:rPr>
        <w:t>but the successful Submission is less than $10 million?</w:t>
      </w:r>
      <w:bookmarkEnd w:id="49"/>
    </w:p>
    <w:p w14:paraId="04A3566E" w14:textId="332BBD92" w:rsidR="00182A3F" w:rsidRDefault="00182A3F" w:rsidP="00305506">
      <w:pPr>
        <w:pStyle w:val="ListBullet"/>
        <w:numPr>
          <w:ilvl w:val="0"/>
          <w:numId w:val="19"/>
        </w:numPr>
        <w:spacing w:line="276" w:lineRule="auto"/>
        <w:ind w:left="284" w:hanging="284"/>
      </w:pPr>
      <w:r>
        <w:t>If the procurements estimated individual value is $10 million</w:t>
      </w:r>
      <w:r w:rsidR="00940A33">
        <w:t xml:space="preserve"> or more</w:t>
      </w:r>
      <w:r>
        <w:t xml:space="preserve">, </w:t>
      </w:r>
      <w:r w:rsidR="002375A0">
        <w:t>PCP</w:t>
      </w:r>
      <w:r>
        <w:t xml:space="preserve"> requirements must be included in the Approach to Market.</w:t>
      </w:r>
    </w:p>
    <w:p w14:paraId="2CD045FC" w14:textId="0ED41F71" w:rsidR="00182A3F" w:rsidRPr="00A36FB5" w:rsidRDefault="00182A3F" w:rsidP="00305506">
      <w:pPr>
        <w:pStyle w:val="ListBullet"/>
        <w:numPr>
          <w:ilvl w:val="0"/>
          <w:numId w:val="19"/>
        </w:numPr>
        <w:spacing w:line="276" w:lineRule="auto"/>
        <w:ind w:left="284" w:hanging="284"/>
      </w:pPr>
      <w:r>
        <w:lastRenderedPageBreak/>
        <w:t xml:space="preserve">As the requirements are in the Approach to Market, the final Contract should also contain </w:t>
      </w:r>
      <w:r w:rsidR="00966D9C">
        <w:t xml:space="preserve">PCP </w:t>
      </w:r>
      <w:r>
        <w:t xml:space="preserve">requirements, even if the successful Contract value is under $10 million. </w:t>
      </w:r>
    </w:p>
    <w:p w14:paraId="4D19998E" w14:textId="1D340FC6" w:rsidR="00182A3F" w:rsidRPr="00975CE0" w:rsidRDefault="00182A3F" w:rsidP="3BCD4151">
      <w:pPr>
        <w:pStyle w:val="Heading3"/>
        <w:rPr>
          <w:rFonts w:asciiTheme="minorHAnsi" w:hAnsiTheme="minorHAnsi"/>
        </w:rPr>
      </w:pPr>
      <w:bookmarkStart w:id="50" w:name="_Toc209774232"/>
      <w:bookmarkStart w:id="51" w:name="_Toc209776513"/>
      <w:bookmarkStart w:id="52" w:name="_Toc209777279"/>
      <w:bookmarkStart w:id="53" w:name="_Toc209787074"/>
      <w:r>
        <w:t>Apprentices</w:t>
      </w:r>
      <w:r w:rsidRPr="3BCD4151">
        <w:rPr>
          <w:rStyle w:val="normaltextrun"/>
        </w:rPr>
        <w:t xml:space="preserve"> </w:t>
      </w:r>
      <w:r w:rsidRPr="3BCD4151">
        <w:rPr>
          <w:rFonts w:asciiTheme="minorHAnsi" w:hAnsiTheme="minorHAnsi"/>
        </w:rPr>
        <w:t>and Learning Workers</w:t>
      </w:r>
      <w:bookmarkEnd w:id="50"/>
      <w:bookmarkEnd w:id="51"/>
      <w:bookmarkEnd w:id="52"/>
      <w:bookmarkEnd w:id="53"/>
    </w:p>
    <w:p w14:paraId="6A24C196" w14:textId="77777777" w:rsidR="00182A3F" w:rsidRPr="00535C6B" w:rsidRDefault="00182A3F" w:rsidP="3BCD4151">
      <w:pPr>
        <w:pStyle w:val="Heading3"/>
        <w:rPr>
          <w:rStyle w:val="Heading5Char"/>
          <w:b w:val="0"/>
          <w:sz w:val="22"/>
          <w:szCs w:val="22"/>
        </w:rPr>
      </w:pPr>
      <w:bookmarkStart w:id="54" w:name="_Toc209787075"/>
      <w:r w:rsidRPr="3BCD4151">
        <w:rPr>
          <w:rStyle w:val="Heading5Char"/>
          <w:b w:val="0"/>
          <w:sz w:val="22"/>
          <w:szCs w:val="22"/>
        </w:rPr>
        <w:t>What is an Apprentice?</w:t>
      </w:r>
      <w:bookmarkEnd w:id="54"/>
    </w:p>
    <w:p w14:paraId="1F239201" w14:textId="6EE714E3" w:rsidR="00182A3F" w:rsidRPr="00076A83" w:rsidRDefault="00182A3F" w:rsidP="00305506">
      <w:pPr>
        <w:pStyle w:val="ListBullet"/>
        <w:numPr>
          <w:ilvl w:val="0"/>
          <w:numId w:val="20"/>
        </w:numPr>
        <w:spacing w:after="0" w:line="276" w:lineRule="auto"/>
        <w:ind w:left="284" w:hanging="284"/>
        <w:rPr>
          <w:rStyle w:val="eop"/>
        </w:rPr>
      </w:pPr>
      <w:r w:rsidRPr="00076A83">
        <w:rPr>
          <w:rStyle w:val="normaltextrun"/>
          <w:rFonts w:cs="Calibri"/>
          <w:color w:val="000000" w:themeColor="text1"/>
        </w:rPr>
        <w:t xml:space="preserve">An Apprentice </w:t>
      </w:r>
      <w:r w:rsidRPr="00076A83">
        <w:rPr>
          <w:rStyle w:val="normaltextrun"/>
          <w:rFonts w:cs="Calibri"/>
          <w:color w:val="000000"/>
          <w:shd w:val="clear" w:color="auto" w:fill="FFFFFF"/>
        </w:rPr>
        <w:t xml:space="preserve">(also known as a </w:t>
      </w:r>
      <w:r w:rsidRPr="7629484D">
        <w:rPr>
          <w:rStyle w:val="normaltextrun"/>
          <w:rFonts w:cs="Calibri"/>
          <w:i/>
          <w:iCs/>
          <w:color w:val="000000"/>
          <w:shd w:val="clear" w:color="auto" w:fill="FFFFFF"/>
        </w:rPr>
        <w:t xml:space="preserve">trainee or Australian </w:t>
      </w:r>
      <w:r w:rsidRPr="00076A83">
        <w:rPr>
          <w:rStyle w:val="normaltextrun"/>
          <w:rFonts w:cs="Calibri"/>
          <w:color w:val="000000"/>
          <w:shd w:val="clear" w:color="auto" w:fill="FFFFFF"/>
        </w:rPr>
        <w:t>Apprentice) as a person who is:</w:t>
      </w:r>
      <w:r w:rsidRPr="00076A83">
        <w:rPr>
          <w:rStyle w:val="eop"/>
          <w:rFonts w:cs="Calibri"/>
          <w:color w:val="000000"/>
          <w:shd w:val="clear" w:color="auto" w:fill="FFFFFF"/>
        </w:rPr>
        <w:t> </w:t>
      </w:r>
    </w:p>
    <w:p w14:paraId="32A4E32A" w14:textId="4B4F4089" w:rsidR="00182A3F" w:rsidRPr="00F164EE" w:rsidRDefault="00182A3F" w:rsidP="004A32C7">
      <w:pPr>
        <w:pStyle w:val="ListBullet"/>
        <w:numPr>
          <w:ilvl w:val="1"/>
          <w:numId w:val="2"/>
        </w:numPr>
        <w:spacing w:line="276" w:lineRule="auto"/>
        <w:ind w:left="709" w:hanging="283"/>
        <w:rPr>
          <w:bCs/>
        </w:rPr>
      </w:pPr>
      <w:r w:rsidRPr="00F164EE">
        <w:rPr>
          <w:bCs/>
        </w:rPr>
        <w:t>employed under a Training Contract that has been registered with, and validated by, their State/Territory Training Authority</w:t>
      </w:r>
    </w:p>
    <w:p w14:paraId="7AABA1F0" w14:textId="4FA1FE25" w:rsidR="00182A3F" w:rsidRPr="00F164EE" w:rsidRDefault="00182A3F" w:rsidP="004A32C7">
      <w:pPr>
        <w:pStyle w:val="ListBullet"/>
        <w:numPr>
          <w:ilvl w:val="1"/>
          <w:numId w:val="2"/>
        </w:numPr>
        <w:spacing w:line="276" w:lineRule="auto"/>
        <w:ind w:left="709" w:hanging="283"/>
        <w:rPr>
          <w:bCs/>
        </w:rPr>
      </w:pPr>
      <w:r w:rsidRPr="00F164EE">
        <w:rPr>
          <w:bCs/>
        </w:rPr>
        <w:t>undertaking paid work and structured training which comprises both on and off the job training</w:t>
      </w:r>
    </w:p>
    <w:p w14:paraId="257072AB" w14:textId="4AC2EE9D" w:rsidR="00182A3F" w:rsidRPr="00F164EE" w:rsidRDefault="00182A3F" w:rsidP="004A32C7">
      <w:pPr>
        <w:pStyle w:val="ListBullet"/>
        <w:numPr>
          <w:ilvl w:val="1"/>
          <w:numId w:val="2"/>
        </w:numPr>
        <w:spacing w:line="276" w:lineRule="auto"/>
        <w:ind w:left="709" w:hanging="283"/>
        <w:rPr>
          <w:bCs/>
        </w:rPr>
      </w:pPr>
      <w:r w:rsidRPr="00F164EE">
        <w:rPr>
          <w:bCs/>
        </w:rPr>
        <w:t>undertaking a negotiated training program that involves obtaining a nationally recognised qualification</w:t>
      </w:r>
      <w:r w:rsidR="004A32C7">
        <w:rPr>
          <w:bCs/>
        </w:rPr>
        <w:t>,</w:t>
      </w:r>
      <w:r w:rsidRPr="00F164EE">
        <w:rPr>
          <w:bCs/>
        </w:rPr>
        <w:t xml:space="preserve"> and</w:t>
      </w:r>
    </w:p>
    <w:p w14:paraId="65EBD4F9" w14:textId="77777777" w:rsidR="00182A3F" w:rsidRPr="00F164EE" w:rsidRDefault="00182A3F" w:rsidP="004A32C7">
      <w:pPr>
        <w:pStyle w:val="ListBullet"/>
        <w:numPr>
          <w:ilvl w:val="1"/>
          <w:numId w:val="2"/>
        </w:numPr>
        <w:spacing w:line="276" w:lineRule="auto"/>
        <w:ind w:left="709" w:hanging="283"/>
        <w:rPr>
          <w:bCs/>
        </w:rPr>
      </w:pPr>
      <w:r w:rsidRPr="00F164EE">
        <w:rPr>
          <w:bCs/>
        </w:rPr>
        <w:t>either directly employed by the Supplier or Sub-contractors or indirectly employed through a Group Training Organisation to work on an Eligible Project.</w:t>
      </w:r>
    </w:p>
    <w:p w14:paraId="760436D9" w14:textId="06F8C0AA" w:rsidR="00182A3F" w:rsidRPr="00535C6B" w:rsidRDefault="00182A3F" w:rsidP="3BCD4151">
      <w:pPr>
        <w:pStyle w:val="Heading3"/>
        <w:rPr>
          <w:rStyle w:val="Heading5Char"/>
          <w:b w:val="0"/>
          <w:sz w:val="22"/>
          <w:szCs w:val="22"/>
        </w:rPr>
      </w:pPr>
      <w:bookmarkStart w:id="55" w:name="_Toc209787076"/>
      <w:r w:rsidRPr="3BCD4151">
        <w:rPr>
          <w:rStyle w:val="Heading5Char"/>
          <w:b w:val="0"/>
          <w:sz w:val="22"/>
          <w:szCs w:val="22"/>
        </w:rPr>
        <w:t>What is a Learning Worker?</w:t>
      </w:r>
      <w:bookmarkEnd w:id="55"/>
    </w:p>
    <w:p w14:paraId="1AB922BD" w14:textId="6C90C638" w:rsidR="00182A3F" w:rsidRPr="005752B1" w:rsidRDefault="00182A3F" w:rsidP="00305506">
      <w:pPr>
        <w:pStyle w:val="ListBullet"/>
        <w:numPr>
          <w:ilvl w:val="0"/>
          <w:numId w:val="20"/>
        </w:numPr>
        <w:spacing w:after="0" w:line="276" w:lineRule="auto"/>
        <w:ind w:left="284" w:hanging="284"/>
      </w:pPr>
      <w:r>
        <w:t>A Learning Worker is:</w:t>
      </w:r>
    </w:p>
    <w:p w14:paraId="4B766289" w14:textId="0ED7E4FD" w:rsidR="00182A3F" w:rsidRPr="00CB1660" w:rsidRDefault="00182A3F" w:rsidP="00CB1660">
      <w:pPr>
        <w:pStyle w:val="ListBullet"/>
        <w:numPr>
          <w:ilvl w:val="1"/>
          <w:numId w:val="2"/>
        </w:numPr>
        <w:spacing w:line="276" w:lineRule="auto"/>
        <w:ind w:left="709" w:hanging="283"/>
        <w:rPr>
          <w:bCs/>
        </w:rPr>
      </w:pPr>
      <w:r w:rsidRPr="00CB1660">
        <w:rPr>
          <w:bCs/>
        </w:rPr>
        <w:t>a person who, while employed on a Major ICT Project or High-Value ICT Project, is an Apprentice or an ICT Cadet</w:t>
      </w:r>
      <w:r w:rsidR="004A32C7">
        <w:rPr>
          <w:bCs/>
        </w:rPr>
        <w:t>,</w:t>
      </w:r>
      <w:r w:rsidRPr="00CB1660">
        <w:rPr>
          <w:bCs/>
        </w:rPr>
        <w:t xml:space="preserve"> or</w:t>
      </w:r>
    </w:p>
    <w:p w14:paraId="17AEEC40" w14:textId="24C869FA" w:rsidR="00182A3F" w:rsidRPr="00CB1660" w:rsidRDefault="00182A3F" w:rsidP="00CB1660">
      <w:pPr>
        <w:pStyle w:val="ListBullet"/>
        <w:numPr>
          <w:ilvl w:val="1"/>
          <w:numId w:val="2"/>
        </w:numPr>
        <w:spacing w:line="276" w:lineRule="auto"/>
        <w:ind w:left="709" w:hanging="283"/>
        <w:rPr>
          <w:bCs/>
        </w:rPr>
      </w:pPr>
      <w:r w:rsidRPr="00CB1660">
        <w:rPr>
          <w:bCs/>
        </w:rPr>
        <w:t>a Worker who, while employed on a Major ICT Project or High-Value ICT Project, is currently undertaking Accredited VET and/or Higher Education relevant to the employment and skills needs of the employer while employed on the relevant Eligible Project</w:t>
      </w:r>
      <w:r w:rsidR="004A32C7">
        <w:rPr>
          <w:bCs/>
        </w:rPr>
        <w:t>,</w:t>
      </w:r>
      <w:r w:rsidRPr="00CB1660">
        <w:rPr>
          <w:bCs/>
        </w:rPr>
        <w:t xml:space="preserve"> or </w:t>
      </w:r>
    </w:p>
    <w:p w14:paraId="2CAA1BDB" w14:textId="77777777" w:rsidR="00182A3F" w:rsidRPr="00CB1660" w:rsidRDefault="00182A3F" w:rsidP="00CB1660">
      <w:pPr>
        <w:pStyle w:val="ListBullet"/>
        <w:numPr>
          <w:ilvl w:val="1"/>
          <w:numId w:val="2"/>
        </w:numPr>
        <w:spacing w:line="276" w:lineRule="auto"/>
        <w:ind w:left="709" w:hanging="283"/>
        <w:rPr>
          <w:bCs/>
        </w:rPr>
      </w:pPr>
      <w:r w:rsidRPr="00CB1660">
        <w:rPr>
          <w:bCs/>
        </w:rPr>
        <w:t xml:space="preserve">a Worker who, while employed on a Major ICT Project or High-Value ICT Project, is currently undertaking or successfully completes a Microcredential relevant to the employment and skills needs of the employer while employed on the relevant Eligible Project. </w:t>
      </w:r>
    </w:p>
    <w:p w14:paraId="14FB7AC6" w14:textId="68089198" w:rsidR="00182A3F" w:rsidRPr="006A1E97" w:rsidRDefault="0089639F" w:rsidP="00535C6B">
      <w:pPr>
        <w:pStyle w:val="Heading3"/>
      </w:pPr>
      <w:bookmarkStart w:id="56" w:name="_Toc209774235"/>
      <w:bookmarkStart w:id="57" w:name="_Toc209776516"/>
      <w:bookmarkStart w:id="58" w:name="_Toc209777282"/>
      <w:bookmarkStart w:id="59" w:name="_Toc209787077"/>
      <w:r>
        <w:t>PCP</w:t>
      </w:r>
      <w:r w:rsidR="00182A3F">
        <w:t xml:space="preserve"> targets</w:t>
      </w:r>
      <w:bookmarkEnd w:id="56"/>
      <w:bookmarkEnd w:id="57"/>
      <w:bookmarkEnd w:id="58"/>
      <w:bookmarkEnd w:id="59"/>
    </w:p>
    <w:p w14:paraId="0EA1CC15" w14:textId="550D1FD2" w:rsidR="00182A3F" w:rsidRPr="00535C6B" w:rsidRDefault="00182A3F" w:rsidP="3BCD4151">
      <w:pPr>
        <w:pStyle w:val="Heading3"/>
        <w:rPr>
          <w:rStyle w:val="Heading5Char"/>
          <w:b w:val="0"/>
          <w:sz w:val="22"/>
          <w:szCs w:val="22"/>
        </w:rPr>
      </w:pPr>
      <w:bookmarkStart w:id="60" w:name="_Toc209787078"/>
      <w:r w:rsidRPr="3BCD4151">
        <w:rPr>
          <w:rStyle w:val="Heading5Char"/>
          <w:b w:val="0"/>
          <w:sz w:val="22"/>
          <w:szCs w:val="22"/>
        </w:rPr>
        <w:t>How are Apprentice or Learning Worker Off-Site Labour Hours treated to calculate meeting the targets under the PCP?</w:t>
      </w:r>
      <w:bookmarkEnd w:id="60"/>
    </w:p>
    <w:p w14:paraId="3A1CDBFC" w14:textId="159163F2" w:rsidR="00D570EA" w:rsidRDefault="00182A3F" w:rsidP="00305506">
      <w:pPr>
        <w:pStyle w:val="ListBullet"/>
        <w:numPr>
          <w:ilvl w:val="0"/>
          <w:numId w:val="19"/>
        </w:numPr>
        <w:spacing w:line="276" w:lineRule="auto"/>
        <w:ind w:left="284" w:hanging="284"/>
      </w:pPr>
      <w:r>
        <w:t xml:space="preserve">Off-Site </w:t>
      </w:r>
      <w:r w:rsidR="008A2746">
        <w:t>refers to</w:t>
      </w:r>
      <w:r>
        <w:t xml:space="preserve"> Labour Hours undertaken not at the physical location/s of the Eligible Project to deliver inputs for the Eligible Project, or to undertake Apprentice or Learning Worker education and training contributing to their qualification and the Eligible Project. </w:t>
      </w:r>
    </w:p>
    <w:p w14:paraId="75637804" w14:textId="65A1A368" w:rsidR="00D570EA" w:rsidRDefault="00182A3F" w:rsidP="00305506">
      <w:pPr>
        <w:pStyle w:val="ListBullet"/>
        <w:numPr>
          <w:ilvl w:val="0"/>
          <w:numId w:val="19"/>
        </w:numPr>
        <w:spacing w:line="276" w:lineRule="auto"/>
        <w:ind w:left="284" w:hanging="284"/>
      </w:pPr>
      <w:r>
        <w:t>Labour Hours worked Off-Site to deliver inputs for an Eligible Project to count towards meeting the target could be</w:t>
      </w:r>
      <w:r w:rsidR="008A2746">
        <w:t>,</w:t>
      </w:r>
      <w:r>
        <w:t xml:space="preserve"> for example</w:t>
      </w:r>
      <w:r w:rsidR="008A2746">
        <w:t>,</w:t>
      </w:r>
      <w:r>
        <w:t xml:space="preserve"> the hours worked by a cabinet maker to manufacture cabinets for use on an Eligible Project.</w:t>
      </w:r>
    </w:p>
    <w:p w14:paraId="20C67AE5" w14:textId="5E5170DB" w:rsidR="00182A3F" w:rsidRPr="0052109D" w:rsidRDefault="00182A3F" w:rsidP="00305506">
      <w:pPr>
        <w:pStyle w:val="ListBullet"/>
        <w:numPr>
          <w:ilvl w:val="0"/>
          <w:numId w:val="19"/>
        </w:numPr>
        <w:spacing w:line="276" w:lineRule="auto"/>
        <w:ind w:left="284" w:hanging="284"/>
      </w:pPr>
      <w:r>
        <w:t xml:space="preserve">Hours spent Off-Site for formal Apprentice or Learning Worker training and education, including hours spent at a Registered Training Organisation or university, can be counted towards the </w:t>
      </w:r>
      <w:r w:rsidR="005515E3">
        <w:t>PCP</w:t>
      </w:r>
      <w:r>
        <w:t xml:space="preserve"> targets. However, these hours can only be counted once towards the Eligible Project. For example, if an Apprentice spends 10 hours in training, the total claimed hours must not exceed the actual hours spent Off-Site. </w:t>
      </w:r>
      <w:r w:rsidRPr="0052109D">
        <w:t>If these hours are split between multiple projects, the sum of the reported Labour Hours must not be greater than the total hours the Apprentice or Learning Worker has worked Off-Site.</w:t>
      </w:r>
      <w:r>
        <w:t xml:space="preserve"> For example, if the apprentice did 10 hours of training and 5 hours </w:t>
      </w:r>
      <w:r>
        <w:lastRenderedPageBreak/>
        <w:t xml:space="preserve">are allocated to Project A and 5 hours to Project B, that’s allowable. You would not be able to claim more than 10 hours in total across all projects. </w:t>
      </w:r>
    </w:p>
    <w:p w14:paraId="79655BE9" w14:textId="1D08A70A" w:rsidR="00182A3F" w:rsidRPr="00535C6B" w:rsidRDefault="00182A3F" w:rsidP="3BCD4151">
      <w:pPr>
        <w:pStyle w:val="Heading3"/>
        <w:rPr>
          <w:rStyle w:val="Heading5Char"/>
          <w:b w:val="0"/>
          <w:sz w:val="22"/>
          <w:szCs w:val="22"/>
        </w:rPr>
      </w:pPr>
      <w:bookmarkStart w:id="61" w:name="_Toc209787079"/>
      <w:r w:rsidRPr="3BCD4151">
        <w:rPr>
          <w:rStyle w:val="Heading5Char"/>
          <w:b w:val="0"/>
          <w:sz w:val="22"/>
          <w:szCs w:val="22"/>
        </w:rPr>
        <w:t>How are part-time hours treated under the PCP?</w:t>
      </w:r>
      <w:bookmarkEnd w:id="61"/>
    </w:p>
    <w:p w14:paraId="4083E6BE" w14:textId="0E6C30DA" w:rsidR="00182A3F" w:rsidRPr="006A1E97" w:rsidRDefault="00182A3F" w:rsidP="00814BA5">
      <w:pPr>
        <w:pStyle w:val="ListBullet"/>
        <w:numPr>
          <w:ilvl w:val="0"/>
          <w:numId w:val="19"/>
        </w:numPr>
        <w:spacing w:line="276" w:lineRule="auto"/>
        <w:ind w:left="284" w:hanging="284"/>
      </w:pPr>
      <w:r>
        <w:t>All Labour Hours, including part-time Labour Hours, that an Apprentice or Learning Worker has worked on an Eligible Project will count towards PCP targets.</w:t>
      </w:r>
    </w:p>
    <w:p w14:paraId="1F37CC7C" w14:textId="3B0A8C81" w:rsidR="00182A3F" w:rsidRPr="00535C6B" w:rsidRDefault="00182A3F" w:rsidP="3BCD4151">
      <w:pPr>
        <w:pStyle w:val="Heading3"/>
        <w:rPr>
          <w:rStyle w:val="Heading5Char"/>
          <w:b w:val="0"/>
          <w:sz w:val="22"/>
          <w:szCs w:val="22"/>
        </w:rPr>
      </w:pPr>
      <w:bookmarkStart w:id="62" w:name="_Toc209787080"/>
      <w:r w:rsidRPr="3BCD4151">
        <w:rPr>
          <w:rStyle w:val="Heading5Char"/>
          <w:b w:val="0"/>
          <w:sz w:val="22"/>
          <w:szCs w:val="22"/>
        </w:rPr>
        <w:t>Can more than one Apprentice</w:t>
      </w:r>
      <w:r w:rsidR="009B5FDC" w:rsidRPr="3BCD4151">
        <w:rPr>
          <w:rStyle w:val="Heading5Char"/>
          <w:b w:val="0"/>
          <w:sz w:val="22"/>
          <w:szCs w:val="22"/>
        </w:rPr>
        <w:t xml:space="preserve"> </w:t>
      </w:r>
      <w:r w:rsidRPr="3BCD4151">
        <w:rPr>
          <w:rStyle w:val="Heading5Char"/>
          <w:b w:val="0"/>
          <w:sz w:val="22"/>
          <w:szCs w:val="22"/>
        </w:rPr>
        <w:t>or Learning Worker contribute to the Labour Hour targets?</w:t>
      </w:r>
      <w:bookmarkEnd w:id="62"/>
    </w:p>
    <w:p w14:paraId="3AAC7322" w14:textId="0114FCA3" w:rsidR="00182A3F" w:rsidRPr="006A1E97" w:rsidRDefault="00182A3F" w:rsidP="00814BA5">
      <w:pPr>
        <w:pStyle w:val="ListBullet"/>
        <w:numPr>
          <w:ilvl w:val="0"/>
          <w:numId w:val="19"/>
        </w:numPr>
        <w:spacing w:line="276" w:lineRule="auto"/>
        <w:ind w:left="284" w:hanging="284"/>
      </w:pPr>
      <w:r>
        <w:t xml:space="preserve">It does not matter how many different employees contribute to the targets, as the targets are based on Labour Hours, rather than head count. Suppliers will be asked to </w:t>
      </w:r>
      <w:r w:rsidR="002F07FB">
        <w:t>provide the</w:t>
      </w:r>
      <w:r>
        <w:t xml:space="preserve"> total Labour Hours worked on the Eligible Project</w:t>
      </w:r>
      <w:r w:rsidR="002F07FB">
        <w:t xml:space="preserve"> in ADMS</w:t>
      </w:r>
      <w:r>
        <w:t>, rather than the number of employees that are working on the Eligible Project.</w:t>
      </w:r>
    </w:p>
    <w:p w14:paraId="47C063D1" w14:textId="77777777" w:rsidR="00182A3F" w:rsidRPr="005C762F" w:rsidRDefault="00182A3F" w:rsidP="00535C6B">
      <w:pPr>
        <w:pStyle w:val="Heading3"/>
      </w:pPr>
      <w:bookmarkStart w:id="63" w:name="_Toc209774239"/>
      <w:bookmarkStart w:id="64" w:name="_Toc209776520"/>
      <w:bookmarkStart w:id="65" w:name="_Toc209787081"/>
      <w:r>
        <w:t>Reporting and compliance</w:t>
      </w:r>
      <w:bookmarkEnd w:id="63"/>
      <w:bookmarkEnd w:id="64"/>
      <w:bookmarkEnd w:id="65"/>
    </w:p>
    <w:p w14:paraId="667083FE" w14:textId="64CC2CF9" w:rsidR="00182A3F" w:rsidRPr="00535C6B" w:rsidRDefault="00182A3F" w:rsidP="3BCD4151">
      <w:pPr>
        <w:pStyle w:val="Heading3"/>
        <w:rPr>
          <w:rStyle w:val="Heading5Char"/>
          <w:b w:val="0"/>
          <w:sz w:val="22"/>
          <w:szCs w:val="22"/>
        </w:rPr>
      </w:pPr>
      <w:bookmarkStart w:id="66" w:name="_Toc209787082"/>
      <w:r w:rsidRPr="3BCD4151">
        <w:rPr>
          <w:rStyle w:val="Heading5Char"/>
          <w:b w:val="0"/>
          <w:sz w:val="22"/>
          <w:szCs w:val="22"/>
        </w:rPr>
        <w:t xml:space="preserve">How will Suppliers report on </w:t>
      </w:r>
      <w:r w:rsidR="00DD16F6" w:rsidRPr="3BCD4151">
        <w:rPr>
          <w:rStyle w:val="Heading5Char"/>
          <w:b w:val="0"/>
          <w:sz w:val="22"/>
          <w:szCs w:val="22"/>
        </w:rPr>
        <w:t>PCP</w:t>
      </w:r>
      <w:r w:rsidRPr="3BCD4151">
        <w:rPr>
          <w:rStyle w:val="Heading5Char"/>
          <w:b w:val="0"/>
          <w:sz w:val="22"/>
          <w:szCs w:val="22"/>
        </w:rPr>
        <w:t xml:space="preserve"> targets?</w:t>
      </w:r>
      <w:bookmarkEnd w:id="66"/>
    </w:p>
    <w:p w14:paraId="05849D97" w14:textId="6A654868" w:rsidR="00182A3F" w:rsidRPr="005C762F" w:rsidRDefault="00182A3F" w:rsidP="00814BA5">
      <w:pPr>
        <w:pStyle w:val="ListBullet"/>
        <w:numPr>
          <w:ilvl w:val="0"/>
          <w:numId w:val="19"/>
        </w:numPr>
        <w:spacing w:line="276" w:lineRule="auto"/>
        <w:ind w:left="284" w:hanging="284"/>
      </w:pPr>
      <w:r>
        <w:t xml:space="preserve">Suppliers must submit quarterly reports in ADMS to Relevant Entities.    </w:t>
      </w:r>
    </w:p>
    <w:p w14:paraId="4B9E5610" w14:textId="77777777" w:rsidR="00182A3F" w:rsidRDefault="00182A3F" w:rsidP="00814BA5">
      <w:pPr>
        <w:pStyle w:val="ListBullet"/>
        <w:numPr>
          <w:ilvl w:val="0"/>
          <w:numId w:val="19"/>
        </w:numPr>
        <w:spacing w:line="276" w:lineRule="auto"/>
        <w:ind w:left="284" w:hanging="284"/>
      </w:pPr>
      <w:r>
        <w:t xml:space="preserve">Further guidance on this process is available on the Apprenticeships.gov.au website: </w:t>
      </w:r>
      <w:hyperlink r:id="rId31" w:history="1">
        <w:r w:rsidRPr="02CA8379">
          <w:rPr>
            <w:rStyle w:val="Hyperlink"/>
          </w:rPr>
          <w:t>Australian Skills Guarantee reporting for suppliers and subcontractors | Australian Apprenticeships</w:t>
        </w:r>
      </w:hyperlink>
      <w:r>
        <w:t>.</w:t>
      </w:r>
    </w:p>
    <w:p w14:paraId="14588419" w14:textId="7B33056F" w:rsidR="00182A3F" w:rsidRPr="00535C6B" w:rsidRDefault="00182A3F" w:rsidP="3BCD4151">
      <w:pPr>
        <w:pStyle w:val="Heading3"/>
        <w:rPr>
          <w:rStyle w:val="Heading5Char"/>
          <w:b w:val="0"/>
          <w:sz w:val="22"/>
          <w:szCs w:val="22"/>
        </w:rPr>
      </w:pPr>
      <w:bookmarkStart w:id="67" w:name="_Toc209787083"/>
      <w:r w:rsidRPr="3BCD4151">
        <w:rPr>
          <w:rStyle w:val="Heading5Char"/>
          <w:b w:val="0"/>
          <w:sz w:val="22"/>
          <w:szCs w:val="22"/>
        </w:rPr>
        <w:t>Will a Suppliers performance be publicly available?</w:t>
      </w:r>
      <w:bookmarkEnd w:id="67"/>
    </w:p>
    <w:p w14:paraId="22D07638" w14:textId="72290F57" w:rsidR="00182A3F" w:rsidRPr="0048107D" w:rsidRDefault="00182A3F" w:rsidP="00966D9C">
      <w:pPr>
        <w:pStyle w:val="ListParagraph"/>
        <w:numPr>
          <w:ilvl w:val="0"/>
          <w:numId w:val="7"/>
        </w:numPr>
        <w:spacing w:line="276" w:lineRule="auto"/>
        <w:ind w:left="284" w:hanging="284"/>
      </w:pPr>
      <w:r w:rsidRPr="009F247D">
        <w:t>Suppliers' performance history with the PCP will be available for Relevant Entities to</w:t>
      </w:r>
      <w:r w:rsidRPr="00576FFD">
        <w:t xml:space="preserve"> view after an Eligible Project has been completed. Supplier reports will not be shared publicly.</w:t>
      </w:r>
    </w:p>
    <w:p w14:paraId="32541298" w14:textId="2C3E68F4" w:rsidR="00182A3F" w:rsidRPr="00535C6B" w:rsidRDefault="00182A3F" w:rsidP="3BCD4151">
      <w:pPr>
        <w:pStyle w:val="Heading3"/>
        <w:rPr>
          <w:rStyle w:val="Heading5Char"/>
          <w:b w:val="0"/>
          <w:sz w:val="22"/>
          <w:szCs w:val="22"/>
        </w:rPr>
      </w:pPr>
      <w:bookmarkStart w:id="68" w:name="_Toc209787084"/>
      <w:r w:rsidRPr="3BCD4151">
        <w:rPr>
          <w:rStyle w:val="Heading5Char"/>
          <w:b w:val="0"/>
          <w:sz w:val="22"/>
          <w:szCs w:val="22"/>
        </w:rPr>
        <w:t>How will compliance be monitored under the PCP?</w:t>
      </w:r>
      <w:bookmarkEnd w:id="68"/>
    </w:p>
    <w:p w14:paraId="5E5A194C" w14:textId="714D254A" w:rsidR="00182A3F" w:rsidRDefault="00182A3F" w:rsidP="00814BA5">
      <w:pPr>
        <w:pStyle w:val="ListBullet"/>
        <w:numPr>
          <w:ilvl w:val="0"/>
          <w:numId w:val="19"/>
        </w:numPr>
        <w:spacing w:line="276" w:lineRule="auto"/>
        <w:ind w:left="284" w:hanging="284"/>
      </w:pPr>
      <w:r w:rsidRPr="005C762F">
        <w:t xml:space="preserve">Relevant </w:t>
      </w:r>
      <w:r>
        <w:t>E</w:t>
      </w:r>
      <w:r w:rsidRPr="005C762F">
        <w:t xml:space="preserve">ntities are required to monitor </w:t>
      </w:r>
      <w:r>
        <w:t>S</w:t>
      </w:r>
      <w:r w:rsidRPr="005C762F">
        <w:t xml:space="preserve">upplier performance based on their quarterly reporting. When required, </w:t>
      </w:r>
      <w:r>
        <w:t>Relevant E</w:t>
      </w:r>
      <w:r w:rsidRPr="005C762F">
        <w:t xml:space="preserve">ntities will need to address non-compliance with </w:t>
      </w:r>
      <w:r>
        <w:t>Suppliers</w:t>
      </w:r>
      <w:r w:rsidRPr="005C762F">
        <w:t xml:space="preserve"> in accordance with the streams of non-compliance detailed in the PCP. </w:t>
      </w:r>
    </w:p>
    <w:p w14:paraId="41896EC6" w14:textId="77777777" w:rsidR="00182A3F" w:rsidRPr="005C762F" w:rsidRDefault="00182A3F" w:rsidP="00814BA5">
      <w:pPr>
        <w:pStyle w:val="ListBullet"/>
        <w:numPr>
          <w:ilvl w:val="0"/>
          <w:numId w:val="19"/>
        </w:numPr>
        <w:spacing w:line="276" w:lineRule="auto"/>
        <w:ind w:left="284" w:hanging="284"/>
      </w:pPr>
      <w:r w:rsidRPr="005C762F">
        <w:t xml:space="preserve">It is expected that </w:t>
      </w:r>
      <w:r>
        <w:t>Relevant E</w:t>
      </w:r>
      <w:r w:rsidRPr="005C762F">
        <w:t>ntities will</w:t>
      </w:r>
      <w:r>
        <w:t xml:space="preserve"> utilise their own</w:t>
      </w:r>
      <w:r w:rsidRPr="005C762F">
        <w:t xml:space="preserve"> </w:t>
      </w:r>
      <w:r>
        <w:t xml:space="preserve">procurement processes and contract management </w:t>
      </w:r>
      <w:r w:rsidRPr="005C762F">
        <w:t xml:space="preserve">mechanisms to discuss performance with </w:t>
      </w:r>
      <w:r>
        <w:t>S</w:t>
      </w:r>
      <w:r w:rsidRPr="005C762F">
        <w:t>uppliers.</w:t>
      </w:r>
    </w:p>
    <w:p w14:paraId="7AFAE510" w14:textId="379C811E" w:rsidR="00182A3F" w:rsidRPr="00535C6B" w:rsidRDefault="00182A3F" w:rsidP="3BCD4151">
      <w:pPr>
        <w:pStyle w:val="Heading3"/>
        <w:rPr>
          <w:rStyle w:val="Heading5Char"/>
          <w:b w:val="0"/>
          <w:sz w:val="22"/>
          <w:szCs w:val="22"/>
        </w:rPr>
      </w:pPr>
      <w:bookmarkStart w:id="69" w:name="_Toc209787085"/>
      <w:r w:rsidRPr="3BCD4151">
        <w:rPr>
          <w:rStyle w:val="Heading5Char"/>
          <w:b w:val="0"/>
          <w:sz w:val="22"/>
          <w:szCs w:val="22"/>
        </w:rPr>
        <w:t>Are there financial penalties for non-compliance with PCP targets?</w:t>
      </w:r>
      <w:bookmarkEnd w:id="69"/>
    </w:p>
    <w:p w14:paraId="0632881C" w14:textId="3DCAA5D3" w:rsidR="00182A3F" w:rsidRPr="005C762F" w:rsidRDefault="00182A3F" w:rsidP="00814BA5">
      <w:pPr>
        <w:pStyle w:val="ListBullet"/>
        <w:numPr>
          <w:ilvl w:val="0"/>
          <w:numId w:val="19"/>
        </w:numPr>
        <w:spacing w:line="276" w:lineRule="auto"/>
        <w:ind w:left="284" w:hanging="284"/>
      </w:pPr>
      <w:r w:rsidRPr="005C762F">
        <w:t xml:space="preserve">No, there is no requirement for financial penalties to be imposed under the </w:t>
      </w:r>
      <w:r w:rsidR="009F247D">
        <w:t>PCP</w:t>
      </w:r>
      <w:r w:rsidRPr="005C762F">
        <w:t xml:space="preserve">. However, this does not preclude </w:t>
      </w:r>
      <w:r>
        <w:t>R</w:t>
      </w:r>
      <w:r w:rsidRPr="005C762F">
        <w:t xml:space="preserve">elevant </w:t>
      </w:r>
      <w:r>
        <w:t>E</w:t>
      </w:r>
      <w:r w:rsidRPr="005C762F">
        <w:t xml:space="preserve">ntities from imposing financial penalties for non-compliance where these have been agreed under the relevant </w:t>
      </w:r>
      <w:r>
        <w:t>C</w:t>
      </w:r>
      <w:r w:rsidRPr="005C762F">
        <w:t>ontract.</w:t>
      </w:r>
    </w:p>
    <w:p w14:paraId="5B9C3FDC" w14:textId="77777777" w:rsidR="00182A3F" w:rsidRPr="00535C6B" w:rsidRDefault="00182A3F" w:rsidP="3BCD4151">
      <w:pPr>
        <w:pStyle w:val="Heading3"/>
        <w:rPr>
          <w:rStyle w:val="Heading5Char"/>
          <w:b w:val="0"/>
          <w:sz w:val="22"/>
          <w:szCs w:val="22"/>
        </w:rPr>
      </w:pPr>
      <w:bookmarkStart w:id="70" w:name="_Toc209787086"/>
      <w:r w:rsidRPr="3BCD4151">
        <w:rPr>
          <w:rStyle w:val="Heading5Char"/>
          <w:b w:val="0"/>
          <w:sz w:val="22"/>
          <w:szCs w:val="22"/>
        </w:rPr>
        <w:t>Will mitigating factors be considered when assessing a Supplier's compliance with the Skills Guarantee?</w:t>
      </w:r>
      <w:bookmarkEnd w:id="70"/>
    </w:p>
    <w:p w14:paraId="144AC2C7" w14:textId="7E7E11BE" w:rsidR="00182A3F" w:rsidRPr="005C762F" w:rsidRDefault="6ED5AB19" w:rsidP="00814BA5">
      <w:pPr>
        <w:pStyle w:val="ListBullet"/>
        <w:numPr>
          <w:ilvl w:val="0"/>
          <w:numId w:val="19"/>
        </w:numPr>
        <w:spacing w:line="276" w:lineRule="auto"/>
        <w:ind w:left="284" w:hanging="284"/>
      </w:pPr>
      <w:r>
        <w:t>Yes, w</w:t>
      </w:r>
      <w:r w:rsidR="00182A3F" w:rsidRPr="005C762F">
        <w:t>here performance is below expectations</w:t>
      </w:r>
      <w:r w:rsidR="00182A3F">
        <w:t>,</w:t>
      </w:r>
      <w:r w:rsidR="00182A3F" w:rsidRPr="005C762F">
        <w:t xml:space="preserve"> mitigating factors should be considered by </w:t>
      </w:r>
      <w:r w:rsidR="00182A3F">
        <w:t>R</w:t>
      </w:r>
      <w:r w:rsidR="00182A3F" w:rsidRPr="005C762F">
        <w:t xml:space="preserve">elevant </w:t>
      </w:r>
      <w:r w:rsidR="00182A3F">
        <w:t>E</w:t>
      </w:r>
      <w:r w:rsidR="00182A3F" w:rsidRPr="005C762F">
        <w:t xml:space="preserve">ntities. There </w:t>
      </w:r>
      <w:r w:rsidR="006E456A">
        <w:t>are fields</w:t>
      </w:r>
      <w:r w:rsidR="00182A3F" w:rsidRPr="005C762F">
        <w:t xml:space="preserve"> in </w:t>
      </w:r>
      <w:r w:rsidR="00182A3F">
        <w:t>ADMS</w:t>
      </w:r>
      <w:r w:rsidR="00182A3F" w:rsidRPr="005C762F">
        <w:t xml:space="preserve"> for </w:t>
      </w:r>
      <w:r w:rsidR="006E456A">
        <w:t>S</w:t>
      </w:r>
      <w:r w:rsidR="00182A3F" w:rsidRPr="005C762F">
        <w:t>uppliers to provide reasons for non-compliance.</w:t>
      </w:r>
    </w:p>
    <w:p w14:paraId="131EF655" w14:textId="1D20C8B1" w:rsidR="00182A3F" w:rsidRDefault="00182A3F" w:rsidP="00814BA5">
      <w:pPr>
        <w:pStyle w:val="ListBullet"/>
        <w:numPr>
          <w:ilvl w:val="0"/>
          <w:numId w:val="19"/>
        </w:numPr>
        <w:spacing w:line="276" w:lineRule="auto"/>
        <w:ind w:left="284" w:hanging="284"/>
      </w:pPr>
      <w:r w:rsidRPr="005C762F">
        <w:t xml:space="preserve">For example, if the </w:t>
      </w:r>
      <w:r>
        <w:t>E</w:t>
      </w:r>
      <w:r w:rsidRPr="005C762F">
        <w:t xml:space="preserve">ligible </w:t>
      </w:r>
      <w:r>
        <w:t>P</w:t>
      </w:r>
      <w:r w:rsidRPr="005C762F">
        <w:t xml:space="preserve">roject is being delivered in a regional or remote area, and the supplier has not met </w:t>
      </w:r>
      <w:r w:rsidR="00506DCB">
        <w:t>PCP</w:t>
      </w:r>
      <w:r w:rsidRPr="005C762F">
        <w:t xml:space="preserve"> targets despite demonstrating reasonable efforts to do so, suppliers could indicate this as a mitigating factor in reporting. Relevant </w:t>
      </w:r>
      <w:r>
        <w:t>E</w:t>
      </w:r>
      <w:r w:rsidRPr="005C762F">
        <w:t xml:space="preserve">ntities should consider these factors when determining the appropriate compliance action to undertake, noting that suppliers are expected to continue working with </w:t>
      </w:r>
      <w:r>
        <w:t>S</w:t>
      </w:r>
      <w:r w:rsidRPr="005C762F">
        <w:t xml:space="preserve">ub-contractors in regional and remote areas who may have limited access to apprentices as per </w:t>
      </w:r>
      <w:r>
        <w:rPr>
          <w:b/>
        </w:rPr>
        <w:t>S</w:t>
      </w:r>
      <w:r w:rsidRPr="006B0E23">
        <w:rPr>
          <w:b/>
        </w:rPr>
        <w:t xml:space="preserve">ection 4.1.4 </w:t>
      </w:r>
      <w:r w:rsidRPr="006B0E23">
        <w:t>of the PCP.</w:t>
      </w:r>
    </w:p>
    <w:p w14:paraId="5330B8EA" w14:textId="4733F476" w:rsidR="00B9776B" w:rsidRDefault="00B9776B" w:rsidP="00857714">
      <w:pPr>
        <w:pStyle w:val="Heading1"/>
      </w:pPr>
      <w:bookmarkStart w:id="71" w:name="_Toc209787087"/>
      <w:r>
        <w:lastRenderedPageBreak/>
        <w:t>Further resources</w:t>
      </w:r>
      <w:bookmarkEnd w:id="71"/>
    </w:p>
    <w:p w14:paraId="12EEFB51" w14:textId="77777777" w:rsidR="008C6435" w:rsidRDefault="008C6435" w:rsidP="00966D9C">
      <w:pPr>
        <w:pStyle w:val="ListBullet"/>
        <w:numPr>
          <w:ilvl w:val="0"/>
          <w:numId w:val="7"/>
        </w:numPr>
        <w:ind w:left="284" w:hanging="284"/>
      </w:pPr>
      <w:r w:rsidRPr="00F603E3">
        <w:t xml:space="preserve">Australian Government Contract Management Guide, Sections 2.12-2.13 </w:t>
      </w:r>
      <w:r>
        <w:t xml:space="preserve">– </w:t>
      </w:r>
      <w:hyperlink r:id="rId32" w:history="1">
        <w:r w:rsidRPr="00A55EB3">
          <w:rPr>
            <w:rStyle w:val="Hyperlink"/>
          </w:rPr>
          <w:t>https://www.finance.gov.au/sites/default/files/2023-07/australian-government-contract-management-guide-july-2023.pdf</w:t>
        </w:r>
      </w:hyperlink>
    </w:p>
    <w:p w14:paraId="752BFEC8" w14:textId="77777777" w:rsidR="008C6435" w:rsidRDefault="008C6435" w:rsidP="00966D9C">
      <w:pPr>
        <w:pStyle w:val="ListBullet"/>
        <w:numPr>
          <w:ilvl w:val="0"/>
          <w:numId w:val="7"/>
        </w:numPr>
        <w:ind w:left="284" w:hanging="284"/>
      </w:pPr>
      <w:r>
        <w:t xml:space="preserve">Australian Government Procurement BuyRight, Contract Variations – </w:t>
      </w:r>
      <w:hyperlink r:id="rId33">
        <w:r w:rsidRPr="0AE5CBBF">
          <w:rPr>
            <w:rStyle w:val="Hyperlink"/>
          </w:rPr>
          <w:t>https://www.finance.gov.au/government/procurement/buyright/contract-variations</w:t>
        </w:r>
      </w:hyperlink>
      <w:r>
        <w:t xml:space="preserve">. </w:t>
      </w:r>
    </w:p>
    <w:p w14:paraId="64011697" w14:textId="77777777" w:rsidR="00231A8B" w:rsidRPr="004503E7" w:rsidRDefault="00231A8B" w:rsidP="00BC6739">
      <w:pPr>
        <w:pStyle w:val="ListBullet"/>
        <w:numPr>
          <w:ilvl w:val="0"/>
          <w:numId w:val="7"/>
        </w:numPr>
        <w:ind w:left="284" w:hanging="284"/>
      </w:pPr>
      <w:r w:rsidRPr="004503E7">
        <w:t xml:space="preserve">WGEA Action Planning Tool – </w:t>
      </w:r>
      <w:hyperlink r:id="rId34" w:history="1">
        <w:r w:rsidRPr="004503E7">
          <w:rPr>
            <w:rStyle w:val="Hyperlink"/>
          </w:rPr>
          <w:t>https://www.wgea.gov.au/take-action/action-planning-tool</w:t>
        </w:r>
      </w:hyperlink>
      <w:r w:rsidRPr="004503E7">
        <w:t xml:space="preserve"> </w:t>
      </w:r>
    </w:p>
    <w:p w14:paraId="18CC9B04" w14:textId="77777777" w:rsidR="00231A8B" w:rsidRPr="004503E7" w:rsidRDefault="00231A8B" w:rsidP="00BC6739">
      <w:pPr>
        <w:pStyle w:val="ListBullet"/>
        <w:numPr>
          <w:ilvl w:val="0"/>
          <w:numId w:val="7"/>
        </w:numPr>
        <w:ind w:left="284" w:hanging="284"/>
      </w:pPr>
      <w:r w:rsidRPr="004503E7">
        <w:t xml:space="preserve">WGEA Employer guidance on developing policies and strategies for the six Gender Equality Indicators – </w:t>
      </w:r>
      <w:hyperlink r:id="rId35" w:history="1">
        <w:r w:rsidRPr="004503E7">
          <w:rPr>
            <w:rStyle w:val="Hyperlink"/>
          </w:rPr>
          <w:t>https://www.wgea.gov.au/take-action/policy-and-strategy-guidance</w:t>
        </w:r>
      </w:hyperlink>
      <w:r w:rsidRPr="004503E7">
        <w:t xml:space="preserve"> </w:t>
      </w:r>
    </w:p>
    <w:p w14:paraId="7C639B1A" w14:textId="77777777" w:rsidR="00231A8B" w:rsidRPr="004503E7" w:rsidRDefault="00231A8B" w:rsidP="00BC6739">
      <w:pPr>
        <w:pStyle w:val="ListBullet"/>
        <w:numPr>
          <w:ilvl w:val="0"/>
          <w:numId w:val="7"/>
        </w:numPr>
        <w:ind w:left="284" w:hanging="284"/>
      </w:pPr>
      <w:r w:rsidRPr="004503E7">
        <w:t xml:space="preserve">WGEA Policy and strategy guidance: Gender composition of the workforce – </w:t>
      </w:r>
      <w:hyperlink r:id="rId36" w:history="1">
        <w:r w:rsidRPr="004503E7">
          <w:rPr>
            <w:rStyle w:val="Hyperlink"/>
          </w:rPr>
          <w:t>https://www.wgea.gov.au/sites/default/files/documents/Policy-and-strategy-guidance-gender-composition-of-the-workforce.pdf</w:t>
        </w:r>
      </w:hyperlink>
    </w:p>
    <w:p w14:paraId="14422C8F" w14:textId="77777777" w:rsidR="00231A8B" w:rsidRPr="004503E7" w:rsidRDefault="00231A8B" w:rsidP="00BC6739">
      <w:pPr>
        <w:pStyle w:val="ListBullet"/>
        <w:numPr>
          <w:ilvl w:val="0"/>
          <w:numId w:val="7"/>
        </w:numPr>
        <w:ind w:left="284" w:hanging="284"/>
      </w:pPr>
      <w:r w:rsidRPr="004503E7">
        <w:t xml:space="preserve">WGEA Policy and strategy guidance: Sexual harassment, harassment on the grounds of sex or discrimination – </w:t>
      </w:r>
      <w:hyperlink r:id="rId37" w:history="1">
        <w:r w:rsidRPr="004503E7">
          <w:rPr>
            <w:rStyle w:val="Hyperlink"/>
          </w:rPr>
          <w:t>https://www.wgea.gov.au/sites/default/files/documents/6-Policy-and-strategy-guidance-Sexual-harassment-harassment-on-the-ground-of-sex-and-discrimination.pdf</w:t>
        </w:r>
      </w:hyperlink>
    </w:p>
    <w:p w14:paraId="49B42405" w14:textId="77777777" w:rsidR="00231A8B" w:rsidRPr="004503E7" w:rsidRDefault="00231A8B" w:rsidP="00BC6739">
      <w:pPr>
        <w:pStyle w:val="ListBullet"/>
        <w:numPr>
          <w:ilvl w:val="0"/>
          <w:numId w:val="7"/>
        </w:numPr>
        <w:ind w:left="284" w:hanging="284"/>
      </w:pPr>
      <w:r w:rsidRPr="004503E7">
        <w:t xml:space="preserve">WGEA Gender Pay Gap Analysis Guide – </w:t>
      </w:r>
      <w:hyperlink r:id="rId38" w:history="1">
        <w:r w:rsidRPr="004503E7">
          <w:rPr>
            <w:rStyle w:val="Hyperlink"/>
          </w:rPr>
          <w:t>https://www.wgea.gov.au/take-action/gender-pay-gap/employer-gender-pay-gap-analysis-guide</w:t>
        </w:r>
      </w:hyperlink>
      <w:r w:rsidRPr="004503E7">
        <w:t xml:space="preserve"> </w:t>
      </w:r>
    </w:p>
    <w:p w14:paraId="1ED6A4E4" w14:textId="77777777" w:rsidR="00231A8B" w:rsidRPr="004503E7" w:rsidRDefault="00231A8B" w:rsidP="00BC6739">
      <w:pPr>
        <w:pStyle w:val="ListBullet"/>
        <w:numPr>
          <w:ilvl w:val="0"/>
          <w:numId w:val="7"/>
        </w:numPr>
        <w:ind w:left="284" w:hanging="284"/>
      </w:pPr>
      <w:r w:rsidRPr="004503E7">
        <w:t xml:space="preserve">WGEA Gender equitable recruitment and promotion guide - </w:t>
      </w:r>
      <w:hyperlink r:id="rId39" w:history="1">
        <w:r w:rsidRPr="004503E7">
          <w:rPr>
            <w:rStyle w:val="Hyperlink"/>
          </w:rPr>
          <w:t>https://www.wgea.gov.au/tools/recruitment-and-promotion-guide</w:t>
        </w:r>
      </w:hyperlink>
      <w:r w:rsidRPr="004503E7">
        <w:t xml:space="preserve"> </w:t>
      </w:r>
    </w:p>
    <w:p w14:paraId="3898D9A6" w14:textId="0467B5D1" w:rsidR="00C77D8F" w:rsidRDefault="00231A8B" w:rsidP="00BC6739">
      <w:pPr>
        <w:pStyle w:val="ListBullet"/>
        <w:numPr>
          <w:ilvl w:val="0"/>
          <w:numId w:val="7"/>
        </w:numPr>
        <w:ind w:left="284" w:hanging="284"/>
      </w:pPr>
      <w:r w:rsidRPr="004503E7">
        <w:t xml:space="preserve">Prime Minister and Cabinet (PM&amp;C), Office for Women - </w:t>
      </w:r>
      <w:hyperlink r:id="rId40" w:history="1">
        <w:r w:rsidRPr="004503E7">
          <w:rPr>
            <w:rStyle w:val="Hyperlink"/>
          </w:rPr>
          <w:t>Working for Women: A Strategy for Gender Equality</w:t>
        </w:r>
      </w:hyperlink>
      <w:r w:rsidRPr="004503E7">
        <w:t xml:space="preserve"> - </w:t>
      </w:r>
      <w:hyperlink r:id="rId41" w:history="1">
        <w:r w:rsidR="00257FD2" w:rsidRPr="001F3D3C">
          <w:rPr>
            <w:rStyle w:val="Hyperlink"/>
          </w:rPr>
          <w:t>https://genderequality.gov.au/sites/default/files/2024-03/working-for-women-a-strategy-for-gender-equality.pdf</w:t>
        </w:r>
      </w:hyperlink>
    </w:p>
    <w:sectPr w:rsidR="00C77D8F" w:rsidSect="005C3B4D">
      <w:type w:val="continuous"/>
      <w:pgSz w:w="11906" w:h="16838"/>
      <w:pgMar w:top="1418" w:right="1418" w:bottom="1560"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B67B" w14:textId="77777777" w:rsidR="00AB5DC6" w:rsidRDefault="00AB5DC6" w:rsidP="0051352E">
      <w:pPr>
        <w:spacing w:after="0" w:line="240" w:lineRule="auto"/>
      </w:pPr>
      <w:r>
        <w:separator/>
      </w:r>
    </w:p>
  </w:endnote>
  <w:endnote w:type="continuationSeparator" w:id="0">
    <w:p w14:paraId="1E073589" w14:textId="77777777" w:rsidR="00AB5DC6" w:rsidRDefault="00AB5DC6" w:rsidP="0051352E">
      <w:pPr>
        <w:spacing w:after="0" w:line="240" w:lineRule="auto"/>
      </w:pPr>
      <w:r>
        <w:continuationSeparator/>
      </w:r>
    </w:p>
  </w:endnote>
  <w:endnote w:type="continuationNotice" w:id="1">
    <w:p w14:paraId="5677C5C3" w14:textId="77777777" w:rsidR="00AB5DC6" w:rsidRDefault="00AB5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99F" w14:textId="0C880529" w:rsidR="00187B72" w:rsidRPr="00C14D4D" w:rsidRDefault="00007C4C" w:rsidP="00D96AC7">
    <w:pPr>
      <w:pStyle w:val="Footer"/>
      <w:tabs>
        <w:tab w:val="clear" w:pos="4513"/>
        <w:tab w:val="clear" w:pos="9026"/>
        <w:tab w:val="right" w:pos="9070"/>
      </w:tabs>
    </w:pPr>
    <w:r w:rsidRPr="002C6B33">
      <w:rPr>
        <w:noProof/>
        <w:sz w:val="18"/>
        <w:szCs w:val="18"/>
      </w:rPr>
      <mc:AlternateContent>
        <mc:Choice Requires="wps">
          <w:drawing>
            <wp:anchor distT="0" distB="0" distL="114300" distR="114300" simplePos="0" relativeHeight="251658241" behindDoc="0" locked="0" layoutInCell="1" allowOverlap="1" wp14:anchorId="582E1EEA" wp14:editId="4B0F0277">
              <wp:simplePos x="0" y="0"/>
              <wp:positionH relativeFrom="page">
                <wp:posOffset>0</wp:posOffset>
              </wp:positionH>
              <wp:positionV relativeFrom="paragraph">
                <wp:posOffset>413121</wp:posOffset>
              </wp:positionV>
              <wp:extent cx="7559675" cy="197485"/>
              <wp:effectExtent l="0" t="0" r="3175" b="0"/>
              <wp:wrapNone/>
              <wp:docPr id="864815804" name="Rectangle 864815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D3C1" id="Rectangle 864815804" o:spid="_x0000_s1026" alt="&quot;&quot;" style="position:absolute;margin-left:0;margin-top:32.55pt;width:595.25pt;height:1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DLuYIU3QAAAAcBAAAPAAAAZHJzL2Rvd25yZXYueG1sTI/BTsMwEETvSPyDtUjcqJNIjUjIpgqg&#10;CsSJFg4c3XgbR8TrKHab8Pe4JziOZjTzptosdhBnmnzvGCFdJSCIW6d77hA+P7Z39yB8UKzV4JgQ&#10;fsjDpr6+qlSp3cw7Ou9DJ2IJ+1IhmBDGUkrfGrLKr9xIHL2jm6wKUU6d1JOaY7kdZJYkubSq57hg&#10;1EhPhtrv/ckiHKl5zl6/Hhs5N0X69jKa3fZ9Qby9WZoHEIGW8BeGC35EhzoyHdyJtRcDQjwSEPJ1&#10;CuLipkWyBnFAKPIMZF3J//z1LwAAAP//AwBQSwECLQAUAAYACAAAACEAtoM4kv4AAADhAQAAEwAA&#10;AAAAAAAAAAAAAAAAAAAAW0NvbnRlbnRfVHlwZXNdLnhtbFBLAQItABQABgAIAAAAIQA4/SH/1gAA&#10;AJQBAAALAAAAAAAAAAAAAAAAAC8BAABfcmVscy8ucmVsc1BLAQItABQABgAIAAAAIQD8zjJPgAIA&#10;AF8FAAAOAAAAAAAAAAAAAAAAAC4CAABkcnMvZTJvRG9jLnhtbFBLAQItABQABgAIAAAAIQDLuYIU&#10;3QAAAAcBAAAPAAAAAAAAAAAAAAAAANoEAABkcnMvZG93bnJldi54bWxQSwUGAAAAAAQABADzAAAA&#10;5AUAAAAA&#10;" fillcolor="#404246" stroked="f" strokeweight="1pt">
              <w10:wrap anchorx="page"/>
            </v:rect>
          </w:pict>
        </mc:Fallback>
      </mc:AlternateContent>
    </w:r>
    <w:r w:rsidR="00C77D8F">
      <w:t xml:space="preserve">Supplementary Guidance for the Skills Guarantee PCP Version 1.2 </w:t>
    </w:r>
    <w:r w:rsidR="00A1778A">
      <w:t>-</w:t>
    </w:r>
    <w:r w:rsidR="00C77D8F">
      <w:t xml:space="preserve"> Relevant Entities</w:t>
    </w:r>
    <w:r w:rsidR="00D96AC7" w:rsidRPr="00C14D4D">
      <w:t xml:space="preserve"> </w:t>
    </w:r>
    <w:sdt>
      <w:sdtPr>
        <w:id w:val="-1750341633"/>
        <w:docPartObj>
          <w:docPartGallery w:val="Page Numbers (Bottom of Page)"/>
          <w:docPartUnique/>
        </w:docPartObj>
      </w:sdtPr>
      <w:sdtEndPr>
        <w:rPr>
          <w:noProof/>
        </w:rPr>
      </w:sdtEndPr>
      <w:sdtContent>
        <w:r w:rsidR="00A1778A">
          <w:t xml:space="preserve">               </w:t>
        </w:r>
        <w:r w:rsidR="00187B72" w:rsidRPr="00C14D4D">
          <w:fldChar w:fldCharType="begin"/>
        </w:r>
        <w:r w:rsidR="00187B72" w:rsidRPr="00C14D4D">
          <w:instrText xml:space="preserve"> PAGE   \* MERGEFORMAT </w:instrText>
        </w:r>
        <w:r w:rsidR="00187B72" w:rsidRPr="00C14D4D">
          <w:fldChar w:fldCharType="separate"/>
        </w:r>
        <w:r w:rsidR="00187B72" w:rsidRPr="00C14D4D">
          <w:rPr>
            <w:noProof/>
          </w:rPr>
          <w:t>2</w:t>
        </w:r>
        <w:r w:rsidR="00187B72" w:rsidRPr="00C14D4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D909764" w:rsidR="00662A42" w:rsidRDefault="00D24028" w:rsidP="00DA3680">
    <w:pPr>
      <w:pStyle w:val="Footer"/>
      <w:tabs>
        <w:tab w:val="clear" w:pos="4513"/>
        <w:tab w:val="clear" w:pos="9026"/>
        <w:tab w:val="right" w:pos="9070"/>
      </w:tabs>
    </w:pPr>
    <w:fldSimple w:instr="FILENAME \* MERGEFORMAT">
      <w:r w:rsidR="00B53A95">
        <w:rPr>
          <w:noProof/>
        </w:rPr>
        <w:t>Supplementary Guidance for the Skills Guarantee PCP Version 1.2 - Relevant Entities.docx</w:t>
      </w:r>
    </w:fldSimple>
    <w:r w:rsidR="00662A42">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D9FAA"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r w:rsidR="000655CD">
      <w:tab/>
      <w:t>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2F13" w14:textId="77777777" w:rsidR="00AB5DC6" w:rsidRDefault="00AB5DC6" w:rsidP="0051352E">
      <w:pPr>
        <w:spacing w:after="0" w:line="240" w:lineRule="auto"/>
      </w:pPr>
      <w:r>
        <w:separator/>
      </w:r>
    </w:p>
  </w:footnote>
  <w:footnote w:type="continuationSeparator" w:id="0">
    <w:p w14:paraId="33E99432" w14:textId="77777777" w:rsidR="00AB5DC6" w:rsidRDefault="00AB5DC6" w:rsidP="0051352E">
      <w:pPr>
        <w:spacing w:after="0" w:line="240" w:lineRule="auto"/>
      </w:pPr>
      <w:r>
        <w:continuationSeparator/>
      </w:r>
    </w:p>
  </w:footnote>
  <w:footnote w:type="continuationNotice" w:id="1">
    <w:p w14:paraId="15C5B413" w14:textId="77777777" w:rsidR="00AB5DC6" w:rsidRDefault="00AB5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73F4" w14:textId="68B9A533" w:rsidR="007F570F" w:rsidRDefault="007F570F">
    <w:pPr>
      <w:pStyle w:val="Header"/>
    </w:pPr>
  </w:p>
</w:hdr>
</file>

<file path=word/intelligence2.xml><?xml version="1.0" encoding="utf-8"?>
<int2:intelligence xmlns:int2="http://schemas.microsoft.com/office/intelligence/2020/intelligence" xmlns:oel="http://schemas.microsoft.com/office/2019/extlst">
  <int2:observations>
    <int2:textHash int2:hashCode="a00OwrjQSnyOPK" int2:id="EdKYSq2B">
      <int2:state int2:value="Rejected" int2:type="spell"/>
    </int2:textHash>
    <int2:textHash int2:hashCode="SSSZioFa1QqxEl" int2:id="mjL1LPZ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A22F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606ED"/>
    <w:multiLevelType w:val="multilevel"/>
    <w:tmpl w:val="0C80E8FE"/>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o"/>
      <w:lvlJc w:val="left"/>
      <w:pPr>
        <w:ind w:left="1211" w:hanging="360"/>
      </w:pPr>
      <w:rPr>
        <w:rFonts w:ascii="Courier New" w:hAnsi="Courier New" w:cs="Courier New" w:hint="default"/>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2F2EE8"/>
    <w:multiLevelType w:val="hybridMultilevel"/>
    <w:tmpl w:val="64F8E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D2334"/>
    <w:multiLevelType w:val="hybridMultilevel"/>
    <w:tmpl w:val="7820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07720"/>
    <w:multiLevelType w:val="hybridMultilevel"/>
    <w:tmpl w:val="A3AA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8752F"/>
    <w:multiLevelType w:val="hybridMultilevel"/>
    <w:tmpl w:val="DB6C3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7457"/>
    <w:multiLevelType w:val="multilevel"/>
    <w:tmpl w:val="3AECE86E"/>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002D3B"/>
    <w:multiLevelType w:val="multilevel"/>
    <w:tmpl w:val="37A2B0E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5C6F7C"/>
    <w:multiLevelType w:val="hybridMultilevel"/>
    <w:tmpl w:val="2C2CE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902D5"/>
    <w:multiLevelType w:val="hybridMultilevel"/>
    <w:tmpl w:val="CC2E8B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7D04F4E"/>
    <w:multiLevelType w:val="hybridMultilevel"/>
    <w:tmpl w:val="E1FE8208"/>
    <w:lvl w:ilvl="0" w:tplc="05E0DFA4">
      <w:start w:val="1"/>
      <w:numFmt w:val="bullet"/>
      <w:lvlText w:val=""/>
      <w:lvlJc w:val="left"/>
      <w:pPr>
        <w:ind w:left="720" w:hanging="360"/>
      </w:pPr>
      <w:rPr>
        <w:rFonts w:ascii="Symbol" w:hAnsi="Symbol" w:hint="default"/>
      </w:rPr>
    </w:lvl>
    <w:lvl w:ilvl="1" w:tplc="1C8EEADC">
      <w:start w:val="1"/>
      <w:numFmt w:val="bullet"/>
      <w:lvlText w:val="o"/>
      <w:lvlJc w:val="left"/>
      <w:pPr>
        <w:ind w:left="1440" w:hanging="360"/>
      </w:pPr>
      <w:rPr>
        <w:rFonts w:ascii="Courier New" w:hAnsi="Courier New" w:hint="default"/>
      </w:rPr>
    </w:lvl>
    <w:lvl w:ilvl="2" w:tplc="C29455C6">
      <w:start w:val="1"/>
      <w:numFmt w:val="bullet"/>
      <w:lvlText w:val=""/>
      <w:lvlJc w:val="left"/>
      <w:pPr>
        <w:ind w:left="2160" w:hanging="360"/>
      </w:pPr>
      <w:rPr>
        <w:rFonts w:ascii="Wingdings" w:hAnsi="Wingdings" w:hint="default"/>
      </w:rPr>
    </w:lvl>
    <w:lvl w:ilvl="3" w:tplc="1708CF4A">
      <w:start w:val="1"/>
      <w:numFmt w:val="bullet"/>
      <w:lvlText w:val=""/>
      <w:lvlJc w:val="left"/>
      <w:pPr>
        <w:ind w:left="2880" w:hanging="360"/>
      </w:pPr>
      <w:rPr>
        <w:rFonts w:ascii="Symbol" w:hAnsi="Symbol" w:hint="default"/>
      </w:rPr>
    </w:lvl>
    <w:lvl w:ilvl="4" w:tplc="D304CF5E">
      <w:start w:val="1"/>
      <w:numFmt w:val="bullet"/>
      <w:lvlText w:val="o"/>
      <w:lvlJc w:val="left"/>
      <w:pPr>
        <w:ind w:left="3600" w:hanging="360"/>
      </w:pPr>
      <w:rPr>
        <w:rFonts w:ascii="Courier New" w:hAnsi="Courier New" w:hint="default"/>
      </w:rPr>
    </w:lvl>
    <w:lvl w:ilvl="5" w:tplc="D488EE52">
      <w:start w:val="1"/>
      <w:numFmt w:val="bullet"/>
      <w:lvlText w:val=""/>
      <w:lvlJc w:val="left"/>
      <w:pPr>
        <w:ind w:left="4320" w:hanging="360"/>
      </w:pPr>
      <w:rPr>
        <w:rFonts w:ascii="Wingdings" w:hAnsi="Wingdings" w:hint="default"/>
      </w:rPr>
    </w:lvl>
    <w:lvl w:ilvl="6" w:tplc="886ACE92">
      <w:start w:val="1"/>
      <w:numFmt w:val="bullet"/>
      <w:lvlText w:val=""/>
      <w:lvlJc w:val="left"/>
      <w:pPr>
        <w:ind w:left="5040" w:hanging="360"/>
      </w:pPr>
      <w:rPr>
        <w:rFonts w:ascii="Symbol" w:hAnsi="Symbol" w:hint="default"/>
      </w:rPr>
    </w:lvl>
    <w:lvl w:ilvl="7" w:tplc="6EEE2232">
      <w:start w:val="1"/>
      <w:numFmt w:val="bullet"/>
      <w:lvlText w:val="o"/>
      <w:lvlJc w:val="left"/>
      <w:pPr>
        <w:ind w:left="5760" w:hanging="360"/>
      </w:pPr>
      <w:rPr>
        <w:rFonts w:ascii="Courier New" w:hAnsi="Courier New" w:hint="default"/>
      </w:rPr>
    </w:lvl>
    <w:lvl w:ilvl="8" w:tplc="3A789102">
      <w:start w:val="1"/>
      <w:numFmt w:val="bullet"/>
      <w:lvlText w:val=""/>
      <w:lvlJc w:val="left"/>
      <w:pPr>
        <w:ind w:left="6480" w:hanging="360"/>
      </w:pPr>
      <w:rPr>
        <w:rFonts w:ascii="Wingdings" w:hAnsi="Wingdings" w:hint="default"/>
      </w:rPr>
    </w:lvl>
  </w:abstractNum>
  <w:abstractNum w:abstractNumId="11" w15:restartNumberingAfterBreak="0">
    <w:nsid w:val="17DF021A"/>
    <w:multiLevelType w:val="hybridMultilevel"/>
    <w:tmpl w:val="79C4D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A259A"/>
    <w:multiLevelType w:val="multilevel"/>
    <w:tmpl w:val="37A2B0E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077EF9"/>
    <w:multiLevelType w:val="hybridMultilevel"/>
    <w:tmpl w:val="EEBE8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836B22"/>
    <w:multiLevelType w:val="hybridMultilevel"/>
    <w:tmpl w:val="FFFFFFFF"/>
    <w:lvl w:ilvl="0" w:tplc="34F61B44">
      <w:start w:val="1"/>
      <w:numFmt w:val="bullet"/>
      <w:lvlText w:val=""/>
      <w:lvlJc w:val="left"/>
      <w:pPr>
        <w:ind w:left="1069" w:hanging="360"/>
      </w:pPr>
      <w:rPr>
        <w:rFonts w:ascii="Symbol" w:hAnsi="Symbol" w:hint="default"/>
      </w:rPr>
    </w:lvl>
    <w:lvl w:ilvl="1" w:tplc="566C02BC">
      <w:start w:val="1"/>
      <w:numFmt w:val="bullet"/>
      <w:lvlText w:val="o"/>
      <w:lvlJc w:val="left"/>
      <w:pPr>
        <w:ind w:left="1789" w:hanging="360"/>
      </w:pPr>
      <w:rPr>
        <w:rFonts w:ascii="Courier New" w:hAnsi="Courier New" w:hint="default"/>
      </w:rPr>
    </w:lvl>
    <w:lvl w:ilvl="2" w:tplc="3DE00BC8">
      <w:start w:val="1"/>
      <w:numFmt w:val="bullet"/>
      <w:lvlText w:val=""/>
      <w:lvlJc w:val="left"/>
      <w:pPr>
        <w:ind w:left="2509" w:hanging="360"/>
      </w:pPr>
      <w:rPr>
        <w:rFonts w:ascii="Wingdings" w:hAnsi="Wingdings" w:hint="default"/>
      </w:rPr>
    </w:lvl>
    <w:lvl w:ilvl="3" w:tplc="6FA0DF14">
      <w:start w:val="1"/>
      <w:numFmt w:val="bullet"/>
      <w:lvlText w:val=""/>
      <w:lvlJc w:val="left"/>
      <w:pPr>
        <w:ind w:left="3229" w:hanging="360"/>
      </w:pPr>
      <w:rPr>
        <w:rFonts w:ascii="Symbol" w:hAnsi="Symbol" w:hint="default"/>
      </w:rPr>
    </w:lvl>
    <w:lvl w:ilvl="4" w:tplc="AADE7242">
      <w:start w:val="1"/>
      <w:numFmt w:val="bullet"/>
      <w:lvlText w:val="o"/>
      <w:lvlJc w:val="left"/>
      <w:pPr>
        <w:ind w:left="3949" w:hanging="360"/>
      </w:pPr>
      <w:rPr>
        <w:rFonts w:ascii="Courier New" w:hAnsi="Courier New" w:hint="default"/>
      </w:rPr>
    </w:lvl>
    <w:lvl w:ilvl="5" w:tplc="C5142AC4">
      <w:start w:val="1"/>
      <w:numFmt w:val="bullet"/>
      <w:lvlText w:val=""/>
      <w:lvlJc w:val="left"/>
      <w:pPr>
        <w:ind w:left="4669" w:hanging="360"/>
      </w:pPr>
      <w:rPr>
        <w:rFonts w:ascii="Wingdings" w:hAnsi="Wingdings" w:hint="default"/>
      </w:rPr>
    </w:lvl>
    <w:lvl w:ilvl="6" w:tplc="E682C5F4">
      <w:start w:val="1"/>
      <w:numFmt w:val="bullet"/>
      <w:lvlText w:val=""/>
      <w:lvlJc w:val="left"/>
      <w:pPr>
        <w:ind w:left="5389" w:hanging="360"/>
      </w:pPr>
      <w:rPr>
        <w:rFonts w:ascii="Symbol" w:hAnsi="Symbol" w:hint="default"/>
      </w:rPr>
    </w:lvl>
    <w:lvl w:ilvl="7" w:tplc="D80A9744">
      <w:start w:val="1"/>
      <w:numFmt w:val="bullet"/>
      <w:lvlText w:val="o"/>
      <w:lvlJc w:val="left"/>
      <w:pPr>
        <w:ind w:left="6109" w:hanging="360"/>
      </w:pPr>
      <w:rPr>
        <w:rFonts w:ascii="Courier New" w:hAnsi="Courier New" w:hint="default"/>
      </w:rPr>
    </w:lvl>
    <w:lvl w:ilvl="8" w:tplc="B08EE0EE">
      <w:start w:val="1"/>
      <w:numFmt w:val="bullet"/>
      <w:lvlText w:val=""/>
      <w:lvlJc w:val="left"/>
      <w:pPr>
        <w:ind w:left="6829"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F73941"/>
    <w:multiLevelType w:val="hybridMultilevel"/>
    <w:tmpl w:val="8934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0BF3DC"/>
    <w:multiLevelType w:val="hybridMultilevel"/>
    <w:tmpl w:val="19286BD0"/>
    <w:lvl w:ilvl="0" w:tplc="68D074DA">
      <w:start w:val="1"/>
      <w:numFmt w:val="bullet"/>
      <w:lvlText w:val=""/>
      <w:lvlJc w:val="left"/>
      <w:pPr>
        <w:ind w:left="360" w:hanging="360"/>
      </w:pPr>
      <w:rPr>
        <w:rFonts w:ascii="Symbol" w:hAnsi="Symbol" w:hint="default"/>
      </w:rPr>
    </w:lvl>
    <w:lvl w:ilvl="1" w:tplc="5E0439B0">
      <w:start w:val="1"/>
      <w:numFmt w:val="bullet"/>
      <w:lvlText w:val="o"/>
      <w:lvlJc w:val="left"/>
      <w:pPr>
        <w:ind w:left="1080" w:hanging="360"/>
      </w:pPr>
      <w:rPr>
        <w:rFonts w:ascii="Courier New" w:hAnsi="Courier New" w:hint="default"/>
      </w:rPr>
    </w:lvl>
    <w:lvl w:ilvl="2" w:tplc="7568AD20">
      <w:start w:val="1"/>
      <w:numFmt w:val="bullet"/>
      <w:lvlText w:val=""/>
      <w:lvlJc w:val="left"/>
      <w:pPr>
        <w:ind w:left="1800" w:hanging="360"/>
      </w:pPr>
      <w:rPr>
        <w:rFonts w:ascii="Wingdings" w:hAnsi="Wingdings" w:hint="default"/>
      </w:rPr>
    </w:lvl>
    <w:lvl w:ilvl="3" w:tplc="277417AA">
      <w:start w:val="1"/>
      <w:numFmt w:val="bullet"/>
      <w:lvlText w:val=""/>
      <w:lvlJc w:val="left"/>
      <w:pPr>
        <w:ind w:left="2520" w:hanging="360"/>
      </w:pPr>
      <w:rPr>
        <w:rFonts w:ascii="Symbol" w:hAnsi="Symbol" w:hint="default"/>
      </w:rPr>
    </w:lvl>
    <w:lvl w:ilvl="4" w:tplc="5E601590">
      <w:start w:val="1"/>
      <w:numFmt w:val="bullet"/>
      <w:lvlText w:val="o"/>
      <w:lvlJc w:val="left"/>
      <w:pPr>
        <w:ind w:left="3240" w:hanging="360"/>
      </w:pPr>
      <w:rPr>
        <w:rFonts w:ascii="Courier New" w:hAnsi="Courier New" w:hint="default"/>
      </w:rPr>
    </w:lvl>
    <w:lvl w:ilvl="5" w:tplc="B07629A0">
      <w:start w:val="1"/>
      <w:numFmt w:val="bullet"/>
      <w:lvlText w:val=""/>
      <w:lvlJc w:val="left"/>
      <w:pPr>
        <w:ind w:left="3960" w:hanging="360"/>
      </w:pPr>
      <w:rPr>
        <w:rFonts w:ascii="Wingdings" w:hAnsi="Wingdings" w:hint="default"/>
      </w:rPr>
    </w:lvl>
    <w:lvl w:ilvl="6" w:tplc="2766C29C">
      <w:start w:val="1"/>
      <w:numFmt w:val="bullet"/>
      <w:lvlText w:val=""/>
      <w:lvlJc w:val="left"/>
      <w:pPr>
        <w:ind w:left="4680" w:hanging="360"/>
      </w:pPr>
      <w:rPr>
        <w:rFonts w:ascii="Symbol" w:hAnsi="Symbol" w:hint="default"/>
      </w:rPr>
    </w:lvl>
    <w:lvl w:ilvl="7" w:tplc="5F387C04">
      <w:start w:val="1"/>
      <w:numFmt w:val="bullet"/>
      <w:lvlText w:val="o"/>
      <w:lvlJc w:val="left"/>
      <w:pPr>
        <w:ind w:left="5400" w:hanging="360"/>
      </w:pPr>
      <w:rPr>
        <w:rFonts w:ascii="Courier New" w:hAnsi="Courier New" w:hint="default"/>
      </w:rPr>
    </w:lvl>
    <w:lvl w:ilvl="8" w:tplc="331E8664">
      <w:start w:val="1"/>
      <w:numFmt w:val="bullet"/>
      <w:lvlText w:val=""/>
      <w:lvlJc w:val="left"/>
      <w:pPr>
        <w:ind w:left="6120" w:hanging="360"/>
      </w:pPr>
      <w:rPr>
        <w:rFonts w:ascii="Wingdings" w:hAnsi="Wingdings" w:hint="default"/>
      </w:rPr>
    </w:lvl>
  </w:abstractNum>
  <w:abstractNum w:abstractNumId="19" w15:restartNumberingAfterBreak="0">
    <w:nsid w:val="5B132181"/>
    <w:multiLevelType w:val="multilevel"/>
    <w:tmpl w:val="CAF47C6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520" w:hanging="440"/>
      </w:pPr>
      <w:rPr>
        <w:rFonts w:hint="default"/>
      </w:rPr>
    </w:lvl>
    <w:lvl w:ilvl="2">
      <w:start w:val="10"/>
      <w:numFmt w:val="decimal"/>
      <w:lvlText w:val="%3."/>
      <w:lvlJc w:val="left"/>
      <w:pPr>
        <w:ind w:left="2360" w:hanging="5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244FC"/>
    <w:multiLevelType w:val="hybridMultilevel"/>
    <w:tmpl w:val="94B2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E72BE1"/>
    <w:multiLevelType w:val="hybridMultilevel"/>
    <w:tmpl w:val="04CA2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9342CE"/>
    <w:multiLevelType w:val="multilevel"/>
    <w:tmpl w:val="8C5E7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1"/>
      <w:numFmt w:val="decimal"/>
      <w:lvlText w:val="%4."/>
      <w:lvlJc w:val="left"/>
      <w:pPr>
        <w:ind w:left="3080" w:hanging="5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B05742"/>
    <w:multiLevelType w:val="hybridMultilevel"/>
    <w:tmpl w:val="6E7A9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730C64"/>
    <w:multiLevelType w:val="hybridMultilevel"/>
    <w:tmpl w:val="DFB49800"/>
    <w:lvl w:ilvl="0" w:tplc="03F89CC2">
      <w:start w:val="1"/>
      <w:numFmt w:val="bullet"/>
      <w:pStyle w:val="Bulletpointslvl1"/>
      <w:lvlText w:val=""/>
      <w:lvlJc w:val="left"/>
      <w:pPr>
        <w:ind w:left="612" w:hanging="360"/>
      </w:pPr>
      <w:rPr>
        <w:rFonts w:ascii="Symbol" w:hAnsi="Symbol" w:hint="default"/>
      </w:rPr>
    </w:lvl>
    <w:lvl w:ilvl="1" w:tplc="78C2052E">
      <w:start w:val="1"/>
      <w:numFmt w:val="bullet"/>
      <w:lvlText w:val="o"/>
      <w:lvlJc w:val="left"/>
      <w:pPr>
        <w:ind w:left="1332" w:hanging="360"/>
      </w:pPr>
      <w:rPr>
        <w:rFonts w:ascii="Courier New" w:hAnsi="Courier New" w:cs="Courier New" w:hint="default"/>
      </w:rPr>
    </w:lvl>
    <w:lvl w:ilvl="2" w:tplc="2848DBD4" w:tentative="1">
      <w:start w:val="1"/>
      <w:numFmt w:val="bullet"/>
      <w:lvlText w:val=""/>
      <w:lvlJc w:val="left"/>
      <w:pPr>
        <w:ind w:left="2052" w:hanging="360"/>
      </w:pPr>
      <w:rPr>
        <w:rFonts w:ascii="Wingdings" w:hAnsi="Wingdings" w:hint="default"/>
      </w:rPr>
    </w:lvl>
    <w:lvl w:ilvl="3" w:tplc="129AFD20" w:tentative="1">
      <w:start w:val="1"/>
      <w:numFmt w:val="bullet"/>
      <w:lvlText w:val=""/>
      <w:lvlJc w:val="left"/>
      <w:pPr>
        <w:ind w:left="2772" w:hanging="360"/>
      </w:pPr>
      <w:rPr>
        <w:rFonts w:ascii="Symbol" w:hAnsi="Symbol" w:hint="default"/>
      </w:rPr>
    </w:lvl>
    <w:lvl w:ilvl="4" w:tplc="44F4B818" w:tentative="1">
      <w:start w:val="1"/>
      <w:numFmt w:val="bullet"/>
      <w:lvlText w:val="o"/>
      <w:lvlJc w:val="left"/>
      <w:pPr>
        <w:ind w:left="3492" w:hanging="360"/>
      </w:pPr>
      <w:rPr>
        <w:rFonts w:ascii="Courier New" w:hAnsi="Courier New" w:cs="Courier New" w:hint="default"/>
      </w:rPr>
    </w:lvl>
    <w:lvl w:ilvl="5" w:tplc="E7228066" w:tentative="1">
      <w:start w:val="1"/>
      <w:numFmt w:val="bullet"/>
      <w:lvlText w:val=""/>
      <w:lvlJc w:val="left"/>
      <w:pPr>
        <w:ind w:left="4212" w:hanging="360"/>
      </w:pPr>
      <w:rPr>
        <w:rFonts w:ascii="Wingdings" w:hAnsi="Wingdings" w:hint="default"/>
      </w:rPr>
    </w:lvl>
    <w:lvl w:ilvl="6" w:tplc="5EEE28B6" w:tentative="1">
      <w:start w:val="1"/>
      <w:numFmt w:val="bullet"/>
      <w:lvlText w:val=""/>
      <w:lvlJc w:val="left"/>
      <w:pPr>
        <w:ind w:left="4932" w:hanging="360"/>
      </w:pPr>
      <w:rPr>
        <w:rFonts w:ascii="Symbol" w:hAnsi="Symbol" w:hint="default"/>
      </w:rPr>
    </w:lvl>
    <w:lvl w:ilvl="7" w:tplc="59FCAD3A" w:tentative="1">
      <w:start w:val="1"/>
      <w:numFmt w:val="bullet"/>
      <w:lvlText w:val="o"/>
      <w:lvlJc w:val="left"/>
      <w:pPr>
        <w:ind w:left="5652" w:hanging="360"/>
      </w:pPr>
      <w:rPr>
        <w:rFonts w:ascii="Courier New" w:hAnsi="Courier New" w:cs="Courier New" w:hint="default"/>
      </w:rPr>
    </w:lvl>
    <w:lvl w:ilvl="8" w:tplc="33E8B9C4" w:tentative="1">
      <w:start w:val="1"/>
      <w:numFmt w:val="bullet"/>
      <w:lvlText w:val=""/>
      <w:lvlJc w:val="left"/>
      <w:pPr>
        <w:ind w:left="6372" w:hanging="360"/>
      </w:pPr>
      <w:rPr>
        <w:rFonts w:ascii="Wingdings" w:hAnsi="Wingdings" w:hint="default"/>
      </w:rPr>
    </w:lvl>
  </w:abstractNum>
  <w:abstractNum w:abstractNumId="25" w15:restartNumberingAfterBreak="0">
    <w:nsid w:val="7ABF4A3C"/>
    <w:multiLevelType w:val="hybridMultilevel"/>
    <w:tmpl w:val="5D3E8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7158">
    <w:abstractNumId w:val="6"/>
  </w:num>
  <w:num w:numId="2" w16cid:durableId="1523323380">
    <w:abstractNumId w:val="14"/>
  </w:num>
  <w:num w:numId="3" w16cid:durableId="933829800">
    <w:abstractNumId w:val="16"/>
  </w:num>
  <w:num w:numId="4" w16cid:durableId="419758977">
    <w:abstractNumId w:val="24"/>
  </w:num>
  <w:num w:numId="5" w16cid:durableId="1536842745">
    <w:abstractNumId w:val="15"/>
  </w:num>
  <w:num w:numId="6" w16cid:durableId="434137667">
    <w:abstractNumId w:val="22"/>
  </w:num>
  <w:num w:numId="7" w16cid:durableId="442506234">
    <w:abstractNumId w:val="3"/>
  </w:num>
  <w:num w:numId="8" w16cid:durableId="1952666306">
    <w:abstractNumId w:val="9"/>
  </w:num>
  <w:num w:numId="9" w16cid:durableId="1704356634">
    <w:abstractNumId w:val="11"/>
  </w:num>
  <w:num w:numId="10" w16cid:durableId="1288391879">
    <w:abstractNumId w:val="19"/>
  </w:num>
  <w:num w:numId="11" w16cid:durableId="1395734687">
    <w:abstractNumId w:val="25"/>
  </w:num>
  <w:num w:numId="12" w16cid:durableId="1654719744">
    <w:abstractNumId w:val="14"/>
  </w:num>
  <w:num w:numId="13" w16cid:durableId="1200701106">
    <w:abstractNumId w:val="0"/>
  </w:num>
  <w:num w:numId="14" w16cid:durableId="1855146576">
    <w:abstractNumId w:val="7"/>
  </w:num>
  <w:num w:numId="15" w16cid:durableId="1070494261">
    <w:abstractNumId w:val="12"/>
  </w:num>
  <w:num w:numId="16" w16cid:durableId="1438258481">
    <w:abstractNumId w:val="14"/>
  </w:num>
  <w:num w:numId="17" w16cid:durableId="1808283312">
    <w:abstractNumId w:val="18"/>
  </w:num>
  <w:num w:numId="18" w16cid:durableId="179515950">
    <w:abstractNumId w:val="14"/>
  </w:num>
  <w:num w:numId="19" w16cid:durableId="1266116484">
    <w:abstractNumId w:val="8"/>
  </w:num>
  <w:num w:numId="20" w16cid:durableId="1897889466">
    <w:abstractNumId w:val="4"/>
  </w:num>
  <w:num w:numId="21" w16cid:durableId="1867132756">
    <w:abstractNumId w:val="21"/>
  </w:num>
  <w:num w:numId="22" w16cid:durableId="681130447">
    <w:abstractNumId w:val="2"/>
  </w:num>
  <w:num w:numId="23" w16cid:durableId="1223952961">
    <w:abstractNumId w:val="13"/>
  </w:num>
  <w:num w:numId="24" w16cid:durableId="1663467111">
    <w:abstractNumId w:val="5"/>
  </w:num>
  <w:num w:numId="25" w16cid:durableId="1989046307">
    <w:abstractNumId w:val="17"/>
  </w:num>
  <w:num w:numId="26" w16cid:durableId="1244801035">
    <w:abstractNumId w:val="23"/>
  </w:num>
  <w:num w:numId="27" w16cid:durableId="615332252">
    <w:abstractNumId w:val="20"/>
  </w:num>
  <w:num w:numId="28" w16cid:durableId="1916471152">
    <w:abstractNumId w:val="1"/>
  </w:num>
  <w:num w:numId="29" w16cid:durableId="123188835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330"/>
    <w:rsid w:val="00001800"/>
    <w:rsid w:val="000019C2"/>
    <w:rsid w:val="0000391E"/>
    <w:rsid w:val="00003F0C"/>
    <w:rsid w:val="00005C72"/>
    <w:rsid w:val="0000634B"/>
    <w:rsid w:val="0000674A"/>
    <w:rsid w:val="00006DA9"/>
    <w:rsid w:val="00007C4C"/>
    <w:rsid w:val="000105BF"/>
    <w:rsid w:val="00011A0F"/>
    <w:rsid w:val="00013CBA"/>
    <w:rsid w:val="0001446F"/>
    <w:rsid w:val="00014A1E"/>
    <w:rsid w:val="00015EF3"/>
    <w:rsid w:val="00017D69"/>
    <w:rsid w:val="00020B0E"/>
    <w:rsid w:val="0002779D"/>
    <w:rsid w:val="000321B5"/>
    <w:rsid w:val="000330F3"/>
    <w:rsid w:val="000363C4"/>
    <w:rsid w:val="00036E01"/>
    <w:rsid w:val="000401D7"/>
    <w:rsid w:val="0004045E"/>
    <w:rsid w:val="00041677"/>
    <w:rsid w:val="0004173A"/>
    <w:rsid w:val="000426E1"/>
    <w:rsid w:val="000437AA"/>
    <w:rsid w:val="00043FFC"/>
    <w:rsid w:val="00044E4A"/>
    <w:rsid w:val="00045002"/>
    <w:rsid w:val="000451D1"/>
    <w:rsid w:val="00045670"/>
    <w:rsid w:val="0004700A"/>
    <w:rsid w:val="00051453"/>
    <w:rsid w:val="00051573"/>
    <w:rsid w:val="000522AF"/>
    <w:rsid w:val="000528F7"/>
    <w:rsid w:val="00052AAD"/>
    <w:rsid w:val="00052BBC"/>
    <w:rsid w:val="00053A9E"/>
    <w:rsid w:val="000543D4"/>
    <w:rsid w:val="00057B49"/>
    <w:rsid w:val="00057BAB"/>
    <w:rsid w:val="00060F23"/>
    <w:rsid w:val="000612F1"/>
    <w:rsid w:val="0006308D"/>
    <w:rsid w:val="00063786"/>
    <w:rsid w:val="000638B2"/>
    <w:rsid w:val="00064EB6"/>
    <w:rsid w:val="000655CD"/>
    <w:rsid w:val="0006591B"/>
    <w:rsid w:val="00067075"/>
    <w:rsid w:val="00070007"/>
    <w:rsid w:val="00071E6C"/>
    <w:rsid w:val="00072AD0"/>
    <w:rsid w:val="000739C1"/>
    <w:rsid w:val="00073B6A"/>
    <w:rsid w:val="00073BDD"/>
    <w:rsid w:val="00076807"/>
    <w:rsid w:val="00077F2F"/>
    <w:rsid w:val="00081454"/>
    <w:rsid w:val="000825D8"/>
    <w:rsid w:val="00084C37"/>
    <w:rsid w:val="000853A1"/>
    <w:rsid w:val="00085714"/>
    <w:rsid w:val="0008581A"/>
    <w:rsid w:val="00086061"/>
    <w:rsid w:val="0008654E"/>
    <w:rsid w:val="00086E25"/>
    <w:rsid w:val="00087FBC"/>
    <w:rsid w:val="000909C7"/>
    <w:rsid w:val="00090A6A"/>
    <w:rsid w:val="00090FBA"/>
    <w:rsid w:val="00091181"/>
    <w:rsid w:val="000944D0"/>
    <w:rsid w:val="000962CC"/>
    <w:rsid w:val="000969D7"/>
    <w:rsid w:val="00097627"/>
    <w:rsid w:val="000A12AF"/>
    <w:rsid w:val="000A2725"/>
    <w:rsid w:val="000A2C59"/>
    <w:rsid w:val="000A35D8"/>
    <w:rsid w:val="000A362D"/>
    <w:rsid w:val="000A38C1"/>
    <w:rsid w:val="000A453D"/>
    <w:rsid w:val="000A4931"/>
    <w:rsid w:val="000A5374"/>
    <w:rsid w:val="000A6387"/>
    <w:rsid w:val="000A6516"/>
    <w:rsid w:val="000A67AB"/>
    <w:rsid w:val="000A7517"/>
    <w:rsid w:val="000A7D72"/>
    <w:rsid w:val="000B168F"/>
    <w:rsid w:val="000B171B"/>
    <w:rsid w:val="000B1720"/>
    <w:rsid w:val="000B21B7"/>
    <w:rsid w:val="000B3BC8"/>
    <w:rsid w:val="000B3CCB"/>
    <w:rsid w:val="000B428F"/>
    <w:rsid w:val="000B49B3"/>
    <w:rsid w:val="000B4F0C"/>
    <w:rsid w:val="000B5281"/>
    <w:rsid w:val="000B5884"/>
    <w:rsid w:val="000B6032"/>
    <w:rsid w:val="000B61F6"/>
    <w:rsid w:val="000B6D99"/>
    <w:rsid w:val="000B7EF6"/>
    <w:rsid w:val="000C0DD6"/>
    <w:rsid w:val="000C10E5"/>
    <w:rsid w:val="000C13D5"/>
    <w:rsid w:val="000C18E7"/>
    <w:rsid w:val="000C209D"/>
    <w:rsid w:val="000C4183"/>
    <w:rsid w:val="000C5A05"/>
    <w:rsid w:val="000C7EA0"/>
    <w:rsid w:val="000D4D81"/>
    <w:rsid w:val="000D4FCE"/>
    <w:rsid w:val="000D6316"/>
    <w:rsid w:val="000D75DF"/>
    <w:rsid w:val="000E3C85"/>
    <w:rsid w:val="000E4C31"/>
    <w:rsid w:val="000E671D"/>
    <w:rsid w:val="000E6E69"/>
    <w:rsid w:val="000E760E"/>
    <w:rsid w:val="000E7F8A"/>
    <w:rsid w:val="000F17E8"/>
    <w:rsid w:val="000F2C6C"/>
    <w:rsid w:val="000F4486"/>
    <w:rsid w:val="000F4993"/>
    <w:rsid w:val="000F575F"/>
    <w:rsid w:val="000F622A"/>
    <w:rsid w:val="000F6759"/>
    <w:rsid w:val="000F6D3D"/>
    <w:rsid w:val="000F7E91"/>
    <w:rsid w:val="001038F1"/>
    <w:rsid w:val="00103FE3"/>
    <w:rsid w:val="001051C1"/>
    <w:rsid w:val="001060E7"/>
    <w:rsid w:val="00106F14"/>
    <w:rsid w:val="001103E8"/>
    <w:rsid w:val="00110607"/>
    <w:rsid w:val="00110962"/>
    <w:rsid w:val="00110FCF"/>
    <w:rsid w:val="00111085"/>
    <w:rsid w:val="00111D30"/>
    <w:rsid w:val="001136F3"/>
    <w:rsid w:val="00115E27"/>
    <w:rsid w:val="00115FBA"/>
    <w:rsid w:val="001167FA"/>
    <w:rsid w:val="00116F7B"/>
    <w:rsid w:val="00117205"/>
    <w:rsid w:val="00117CAC"/>
    <w:rsid w:val="00117CFA"/>
    <w:rsid w:val="001220AF"/>
    <w:rsid w:val="001242F8"/>
    <w:rsid w:val="00125FCE"/>
    <w:rsid w:val="001263AD"/>
    <w:rsid w:val="001265AF"/>
    <w:rsid w:val="00127448"/>
    <w:rsid w:val="00131D03"/>
    <w:rsid w:val="001328A4"/>
    <w:rsid w:val="00133372"/>
    <w:rsid w:val="001339CC"/>
    <w:rsid w:val="001350BB"/>
    <w:rsid w:val="001358A4"/>
    <w:rsid w:val="0013632C"/>
    <w:rsid w:val="00136ED9"/>
    <w:rsid w:val="00141014"/>
    <w:rsid w:val="001428DE"/>
    <w:rsid w:val="0014343E"/>
    <w:rsid w:val="00144693"/>
    <w:rsid w:val="00144D2D"/>
    <w:rsid w:val="001462ED"/>
    <w:rsid w:val="00146459"/>
    <w:rsid w:val="0014760E"/>
    <w:rsid w:val="001477A6"/>
    <w:rsid w:val="00147A78"/>
    <w:rsid w:val="001502A4"/>
    <w:rsid w:val="00151676"/>
    <w:rsid w:val="001530D8"/>
    <w:rsid w:val="00154531"/>
    <w:rsid w:val="00155696"/>
    <w:rsid w:val="00156E75"/>
    <w:rsid w:val="00157086"/>
    <w:rsid w:val="00157864"/>
    <w:rsid w:val="00157EFF"/>
    <w:rsid w:val="00157F35"/>
    <w:rsid w:val="00160338"/>
    <w:rsid w:val="001606BD"/>
    <w:rsid w:val="0016166F"/>
    <w:rsid w:val="00161A7B"/>
    <w:rsid w:val="00161EBA"/>
    <w:rsid w:val="001638AF"/>
    <w:rsid w:val="00164A41"/>
    <w:rsid w:val="0016540A"/>
    <w:rsid w:val="00165EAE"/>
    <w:rsid w:val="00166BEE"/>
    <w:rsid w:val="00166FCF"/>
    <w:rsid w:val="00167E17"/>
    <w:rsid w:val="00170641"/>
    <w:rsid w:val="0017183A"/>
    <w:rsid w:val="0017199C"/>
    <w:rsid w:val="0017282E"/>
    <w:rsid w:val="001732A8"/>
    <w:rsid w:val="001747AC"/>
    <w:rsid w:val="0017707B"/>
    <w:rsid w:val="00177381"/>
    <w:rsid w:val="00177CEB"/>
    <w:rsid w:val="0018103C"/>
    <w:rsid w:val="0018292E"/>
    <w:rsid w:val="00182A3F"/>
    <w:rsid w:val="00182DCB"/>
    <w:rsid w:val="00182EC8"/>
    <w:rsid w:val="001830D7"/>
    <w:rsid w:val="00183450"/>
    <w:rsid w:val="00183A75"/>
    <w:rsid w:val="00185897"/>
    <w:rsid w:val="00185984"/>
    <w:rsid w:val="00187647"/>
    <w:rsid w:val="00187B72"/>
    <w:rsid w:val="00187EA0"/>
    <w:rsid w:val="00190904"/>
    <w:rsid w:val="00191B84"/>
    <w:rsid w:val="00193CAA"/>
    <w:rsid w:val="001941D8"/>
    <w:rsid w:val="00194B56"/>
    <w:rsid w:val="00194DFA"/>
    <w:rsid w:val="00195FD6"/>
    <w:rsid w:val="00196C37"/>
    <w:rsid w:val="001A12EC"/>
    <w:rsid w:val="001A4B61"/>
    <w:rsid w:val="001A4E52"/>
    <w:rsid w:val="001A53F8"/>
    <w:rsid w:val="001A5B24"/>
    <w:rsid w:val="001A5F75"/>
    <w:rsid w:val="001B0A83"/>
    <w:rsid w:val="001B32A8"/>
    <w:rsid w:val="001B33B8"/>
    <w:rsid w:val="001B3B0F"/>
    <w:rsid w:val="001B400D"/>
    <w:rsid w:val="001B4631"/>
    <w:rsid w:val="001B5311"/>
    <w:rsid w:val="001B5C77"/>
    <w:rsid w:val="001B6312"/>
    <w:rsid w:val="001C0CA7"/>
    <w:rsid w:val="001C169C"/>
    <w:rsid w:val="001C16CB"/>
    <w:rsid w:val="001C1AC2"/>
    <w:rsid w:val="001C2CD6"/>
    <w:rsid w:val="001C33FF"/>
    <w:rsid w:val="001C471D"/>
    <w:rsid w:val="001C478D"/>
    <w:rsid w:val="001C5A51"/>
    <w:rsid w:val="001C5B55"/>
    <w:rsid w:val="001C6080"/>
    <w:rsid w:val="001C7DDF"/>
    <w:rsid w:val="001D2874"/>
    <w:rsid w:val="001D2964"/>
    <w:rsid w:val="001D707E"/>
    <w:rsid w:val="001D767F"/>
    <w:rsid w:val="001D7AC8"/>
    <w:rsid w:val="001D7C07"/>
    <w:rsid w:val="001D7F2C"/>
    <w:rsid w:val="001E16FA"/>
    <w:rsid w:val="001E1A91"/>
    <w:rsid w:val="001E41A5"/>
    <w:rsid w:val="001E49B1"/>
    <w:rsid w:val="001E56C2"/>
    <w:rsid w:val="001F1051"/>
    <w:rsid w:val="001F17E7"/>
    <w:rsid w:val="001F29F5"/>
    <w:rsid w:val="001F327E"/>
    <w:rsid w:val="001F4560"/>
    <w:rsid w:val="001F55EA"/>
    <w:rsid w:val="001F70FC"/>
    <w:rsid w:val="001F77A1"/>
    <w:rsid w:val="001F7E05"/>
    <w:rsid w:val="00201A8E"/>
    <w:rsid w:val="00201B52"/>
    <w:rsid w:val="002021FA"/>
    <w:rsid w:val="002022F8"/>
    <w:rsid w:val="00202429"/>
    <w:rsid w:val="002036CB"/>
    <w:rsid w:val="00203F55"/>
    <w:rsid w:val="002048B0"/>
    <w:rsid w:val="0020600A"/>
    <w:rsid w:val="002066F7"/>
    <w:rsid w:val="00206D88"/>
    <w:rsid w:val="00207D12"/>
    <w:rsid w:val="00210A2D"/>
    <w:rsid w:val="00211C4A"/>
    <w:rsid w:val="00211C93"/>
    <w:rsid w:val="00212239"/>
    <w:rsid w:val="0021397B"/>
    <w:rsid w:val="002139A2"/>
    <w:rsid w:val="0021521E"/>
    <w:rsid w:val="002169E6"/>
    <w:rsid w:val="00216FB8"/>
    <w:rsid w:val="00217EAB"/>
    <w:rsid w:val="00220725"/>
    <w:rsid w:val="002213A4"/>
    <w:rsid w:val="00222701"/>
    <w:rsid w:val="00222889"/>
    <w:rsid w:val="00222BCA"/>
    <w:rsid w:val="00222D75"/>
    <w:rsid w:val="00223477"/>
    <w:rsid w:val="002240A2"/>
    <w:rsid w:val="002246DA"/>
    <w:rsid w:val="0022498C"/>
    <w:rsid w:val="00225D04"/>
    <w:rsid w:val="0022626C"/>
    <w:rsid w:val="00230964"/>
    <w:rsid w:val="002315FB"/>
    <w:rsid w:val="00231A8B"/>
    <w:rsid w:val="00231AC7"/>
    <w:rsid w:val="00232AEA"/>
    <w:rsid w:val="002338A1"/>
    <w:rsid w:val="00235050"/>
    <w:rsid w:val="002357FA"/>
    <w:rsid w:val="002375A0"/>
    <w:rsid w:val="00237AA6"/>
    <w:rsid w:val="00237FE5"/>
    <w:rsid w:val="00242E43"/>
    <w:rsid w:val="00243C56"/>
    <w:rsid w:val="00243F1A"/>
    <w:rsid w:val="00244D6E"/>
    <w:rsid w:val="00244F53"/>
    <w:rsid w:val="002452F5"/>
    <w:rsid w:val="002466FD"/>
    <w:rsid w:val="00246C98"/>
    <w:rsid w:val="00246EAD"/>
    <w:rsid w:val="00250764"/>
    <w:rsid w:val="00252AC3"/>
    <w:rsid w:val="00253A57"/>
    <w:rsid w:val="00253C5F"/>
    <w:rsid w:val="00254C2A"/>
    <w:rsid w:val="002552C3"/>
    <w:rsid w:val="00255C72"/>
    <w:rsid w:val="00255D24"/>
    <w:rsid w:val="0025649C"/>
    <w:rsid w:val="00257AD0"/>
    <w:rsid w:val="00257FD2"/>
    <w:rsid w:val="00257FF2"/>
    <w:rsid w:val="00260D88"/>
    <w:rsid w:val="00261B59"/>
    <w:rsid w:val="00262394"/>
    <w:rsid w:val="002637AC"/>
    <w:rsid w:val="00264775"/>
    <w:rsid w:val="00265857"/>
    <w:rsid w:val="002668A3"/>
    <w:rsid w:val="002724D0"/>
    <w:rsid w:val="002734E5"/>
    <w:rsid w:val="002736ED"/>
    <w:rsid w:val="00274180"/>
    <w:rsid w:val="0027420A"/>
    <w:rsid w:val="00277445"/>
    <w:rsid w:val="00277AB2"/>
    <w:rsid w:val="0028045E"/>
    <w:rsid w:val="00280F54"/>
    <w:rsid w:val="00280FBA"/>
    <w:rsid w:val="0028120A"/>
    <w:rsid w:val="002812EA"/>
    <w:rsid w:val="00281CAE"/>
    <w:rsid w:val="00281D1E"/>
    <w:rsid w:val="002821B9"/>
    <w:rsid w:val="0028301A"/>
    <w:rsid w:val="00283050"/>
    <w:rsid w:val="00283052"/>
    <w:rsid w:val="0028439F"/>
    <w:rsid w:val="00284F0B"/>
    <w:rsid w:val="002853D0"/>
    <w:rsid w:val="0028678A"/>
    <w:rsid w:val="00286C74"/>
    <w:rsid w:val="00286CBA"/>
    <w:rsid w:val="00286DA8"/>
    <w:rsid w:val="00290790"/>
    <w:rsid w:val="00290B1A"/>
    <w:rsid w:val="002918E1"/>
    <w:rsid w:val="00291D46"/>
    <w:rsid w:val="00293C57"/>
    <w:rsid w:val="0029502E"/>
    <w:rsid w:val="00296803"/>
    <w:rsid w:val="002A0B07"/>
    <w:rsid w:val="002A3471"/>
    <w:rsid w:val="002A359A"/>
    <w:rsid w:val="002A3C90"/>
    <w:rsid w:val="002A41A6"/>
    <w:rsid w:val="002A50C1"/>
    <w:rsid w:val="002A527E"/>
    <w:rsid w:val="002A5B13"/>
    <w:rsid w:val="002A7606"/>
    <w:rsid w:val="002A7840"/>
    <w:rsid w:val="002A7AB4"/>
    <w:rsid w:val="002B149D"/>
    <w:rsid w:val="002B16ED"/>
    <w:rsid w:val="002B1CE5"/>
    <w:rsid w:val="002B28B7"/>
    <w:rsid w:val="002B4174"/>
    <w:rsid w:val="002B4257"/>
    <w:rsid w:val="002B442D"/>
    <w:rsid w:val="002B49F2"/>
    <w:rsid w:val="002B4C88"/>
    <w:rsid w:val="002B5011"/>
    <w:rsid w:val="002B647A"/>
    <w:rsid w:val="002B7FFA"/>
    <w:rsid w:val="002C16AB"/>
    <w:rsid w:val="002C2312"/>
    <w:rsid w:val="002C2A34"/>
    <w:rsid w:val="002C2C1A"/>
    <w:rsid w:val="002C4243"/>
    <w:rsid w:val="002C490C"/>
    <w:rsid w:val="002C4DAA"/>
    <w:rsid w:val="002C50CF"/>
    <w:rsid w:val="002C5B4E"/>
    <w:rsid w:val="002C6784"/>
    <w:rsid w:val="002C6A47"/>
    <w:rsid w:val="002C6B33"/>
    <w:rsid w:val="002D13CF"/>
    <w:rsid w:val="002D1D03"/>
    <w:rsid w:val="002D47CE"/>
    <w:rsid w:val="002D483C"/>
    <w:rsid w:val="002D4A62"/>
    <w:rsid w:val="002D5127"/>
    <w:rsid w:val="002D545F"/>
    <w:rsid w:val="002D5504"/>
    <w:rsid w:val="002D5756"/>
    <w:rsid w:val="002D594F"/>
    <w:rsid w:val="002D5A2E"/>
    <w:rsid w:val="002D60EC"/>
    <w:rsid w:val="002D7BA6"/>
    <w:rsid w:val="002D7CD7"/>
    <w:rsid w:val="002E088C"/>
    <w:rsid w:val="002E113E"/>
    <w:rsid w:val="002E13F2"/>
    <w:rsid w:val="002E4EA6"/>
    <w:rsid w:val="002E5761"/>
    <w:rsid w:val="002E6D58"/>
    <w:rsid w:val="002E70C5"/>
    <w:rsid w:val="002E799C"/>
    <w:rsid w:val="002F07FB"/>
    <w:rsid w:val="002F0C73"/>
    <w:rsid w:val="002F0D9A"/>
    <w:rsid w:val="002F1D29"/>
    <w:rsid w:val="002F2813"/>
    <w:rsid w:val="002F2942"/>
    <w:rsid w:val="002F4308"/>
    <w:rsid w:val="002F4B7F"/>
    <w:rsid w:val="002F4DB3"/>
    <w:rsid w:val="002F592C"/>
    <w:rsid w:val="002F5BCD"/>
    <w:rsid w:val="002F69F9"/>
    <w:rsid w:val="002F7C57"/>
    <w:rsid w:val="00301A5E"/>
    <w:rsid w:val="003024B8"/>
    <w:rsid w:val="003025DC"/>
    <w:rsid w:val="00303515"/>
    <w:rsid w:val="00303926"/>
    <w:rsid w:val="00303BAF"/>
    <w:rsid w:val="0030458F"/>
    <w:rsid w:val="00305506"/>
    <w:rsid w:val="0030695A"/>
    <w:rsid w:val="00306AE1"/>
    <w:rsid w:val="00310606"/>
    <w:rsid w:val="00310696"/>
    <w:rsid w:val="00310C6A"/>
    <w:rsid w:val="00311A8D"/>
    <w:rsid w:val="00311D32"/>
    <w:rsid w:val="00314F92"/>
    <w:rsid w:val="00315263"/>
    <w:rsid w:val="00316011"/>
    <w:rsid w:val="00317A79"/>
    <w:rsid w:val="00317BFE"/>
    <w:rsid w:val="0032041D"/>
    <w:rsid w:val="003207FC"/>
    <w:rsid w:val="00320AB6"/>
    <w:rsid w:val="00321CFA"/>
    <w:rsid w:val="003248BA"/>
    <w:rsid w:val="0032726E"/>
    <w:rsid w:val="00327398"/>
    <w:rsid w:val="0033114A"/>
    <w:rsid w:val="0033207B"/>
    <w:rsid w:val="00332BDC"/>
    <w:rsid w:val="003339C1"/>
    <w:rsid w:val="0033418A"/>
    <w:rsid w:val="003341E6"/>
    <w:rsid w:val="0033546D"/>
    <w:rsid w:val="00336438"/>
    <w:rsid w:val="003415A4"/>
    <w:rsid w:val="00341A8B"/>
    <w:rsid w:val="00342137"/>
    <w:rsid w:val="00342429"/>
    <w:rsid w:val="00342DDD"/>
    <w:rsid w:val="00344646"/>
    <w:rsid w:val="003460BB"/>
    <w:rsid w:val="0034659D"/>
    <w:rsid w:val="0034702A"/>
    <w:rsid w:val="00347BB3"/>
    <w:rsid w:val="00350C90"/>
    <w:rsid w:val="00350FFA"/>
    <w:rsid w:val="003511F8"/>
    <w:rsid w:val="003514A0"/>
    <w:rsid w:val="00351692"/>
    <w:rsid w:val="003518C6"/>
    <w:rsid w:val="00352A11"/>
    <w:rsid w:val="00352EE8"/>
    <w:rsid w:val="00353DBF"/>
    <w:rsid w:val="003556EE"/>
    <w:rsid w:val="00355D22"/>
    <w:rsid w:val="003562EC"/>
    <w:rsid w:val="00356ED1"/>
    <w:rsid w:val="003572CD"/>
    <w:rsid w:val="00357EB3"/>
    <w:rsid w:val="00357F93"/>
    <w:rsid w:val="00360AD4"/>
    <w:rsid w:val="003622C6"/>
    <w:rsid w:val="00363571"/>
    <w:rsid w:val="00365541"/>
    <w:rsid w:val="00370D5A"/>
    <w:rsid w:val="00371010"/>
    <w:rsid w:val="003723A6"/>
    <w:rsid w:val="0037428B"/>
    <w:rsid w:val="00374E29"/>
    <w:rsid w:val="00375AB5"/>
    <w:rsid w:val="00377333"/>
    <w:rsid w:val="003773FF"/>
    <w:rsid w:val="00380052"/>
    <w:rsid w:val="00380981"/>
    <w:rsid w:val="00380FC1"/>
    <w:rsid w:val="0038111D"/>
    <w:rsid w:val="00381184"/>
    <w:rsid w:val="0038262F"/>
    <w:rsid w:val="0038286F"/>
    <w:rsid w:val="00382CC9"/>
    <w:rsid w:val="00382F07"/>
    <w:rsid w:val="00387ADC"/>
    <w:rsid w:val="003923E9"/>
    <w:rsid w:val="003932EB"/>
    <w:rsid w:val="00394ADB"/>
    <w:rsid w:val="00394B64"/>
    <w:rsid w:val="00397549"/>
    <w:rsid w:val="00397B09"/>
    <w:rsid w:val="003A0DA2"/>
    <w:rsid w:val="003A0F28"/>
    <w:rsid w:val="003A1388"/>
    <w:rsid w:val="003A2A17"/>
    <w:rsid w:val="003A2EFF"/>
    <w:rsid w:val="003A4021"/>
    <w:rsid w:val="003A4FB1"/>
    <w:rsid w:val="003A5C47"/>
    <w:rsid w:val="003A6360"/>
    <w:rsid w:val="003A798D"/>
    <w:rsid w:val="003B0245"/>
    <w:rsid w:val="003B1EEA"/>
    <w:rsid w:val="003B20CE"/>
    <w:rsid w:val="003B4299"/>
    <w:rsid w:val="003B5183"/>
    <w:rsid w:val="003B6795"/>
    <w:rsid w:val="003B7147"/>
    <w:rsid w:val="003B734E"/>
    <w:rsid w:val="003C0ABD"/>
    <w:rsid w:val="003C21AC"/>
    <w:rsid w:val="003C34F3"/>
    <w:rsid w:val="003C3CE9"/>
    <w:rsid w:val="003C4D30"/>
    <w:rsid w:val="003C58BC"/>
    <w:rsid w:val="003C64E5"/>
    <w:rsid w:val="003D09A9"/>
    <w:rsid w:val="003D101C"/>
    <w:rsid w:val="003D1DCA"/>
    <w:rsid w:val="003D1F55"/>
    <w:rsid w:val="003D3232"/>
    <w:rsid w:val="003D392E"/>
    <w:rsid w:val="003D42FE"/>
    <w:rsid w:val="003D4856"/>
    <w:rsid w:val="003D60F6"/>
    <w:rsid w:val="003D66F2"/>
    <w:rsid w:val="003D7048"/>
    <w:rsid w:val="003D75C0"/>
    <w:rsid w:val="003E0793"/>
    <w:rsid w:val="003E21A4"/>
    <w:rsid w:val="003E28C0"/>
    <w:rsid w:val="003E2E12"/>
    <w:rsid w:val="003E45AB"/>
    <w:rsid w:val="003E605F"/>
    <w:rsid w:val="003E6797"/>
    <w:rsid w:val="003E6E7B"/>
    <w:rsid w:val="003F0196"/>
    <w:rsid w:val="003F03A2"/>
    <w:rsid w:val="003F03BE"/>
    <w:rsid w:val="003F326B"/>
    <w:rsid w:val="003F3AB7"/>
    <w:rsid w:val="003F5207"/>
    <w:rsid w:val="003F526E"/>
    <w:rsid w:val="003F602B"/>
    <w:rsid w:val="003F63D2"/>
    <w:rsid w:val="003F6400"/>
    <w:rsid w:val="004004AF"/>
    <w:rsid w:val="004004E1"/>
    <w:rsid w:val="00400BD5"/>
    <w:rsid w:val="0040213C"/>
    <w:rsid w:val="0040390B"/>
    <w:rsid w:val="00403D2A"/>
    <w:rsid w:val="00403ECE"/>
    <w:rsid w:val="00405010"/>
    <w:rsid w:val="0040517A"/>
    <w:rsid w:val="004058C2"/>
    <w:rsid w:val="0040639E"/>
    <w:rsid w:val="0040705E"/>
    <w:rsid w:val="0040758A"/>
    <w:rsid w:val="00410C58"/>
    <w:rsid w:val="00413AB8"/>
    <w:rsid w:val="00414677"/>
    <w:rsid w:val="00415C74"/>
    <w:rsid w:val="004203FE"/>
    <w:rsid w:val="00420C32"/>
    <w:rsid w:val="00421450"/>
    <w:rsid w:val="0042195F"/>
    <w:rsid w:val="00422A3D"/>
    <w:rsid w:val="00423A91"/>
    <w:rsid w:val="0042499D"/>
    <w:rsid w:val="004250B6"/>
    <w:rsid w:val="004261CF"/>
    <w:rsid w:val="0042645E"/>
    <w:rsid w:val="00426A6A"/>
    <w:rsid w:val="00426F57"/>
    <w:rsid w:val="004272E9"/>
    <w:rsid w:val="00427E00"/>
    <w:rsid w:val="00427F88"/>
    <w:rsid w:val="00430092"/>
    <w:rsid w:val="00430C1C"/>
    <w:rsid w:val="00430E43"/>
    <w:rsid w:val="0043454E"/>
    <w:rsid w:val="00434A61"/>
    <w:rsid w:val="00435441"/>
    <w:rsid w:val="00435713"/>
    <w:rsid w:val="004365B3"/>
    <w:rsid w:val="00436E37"/>
    <w:rsid w:val="00440EE7"/>
    <w:rsid w:val="00441106"/>
    <w:rsid w:val="00441472"/>
    <w:rsid w:val="004414E6"/>
    <w:rsid w:val="004420F0"/>
    <w:rsid w:val="004421ED"/>
    <w:rsid w:val="00442467"/>
    <w:rsid w:val="004430C8"/>
    <w:rsid w:val="004437B4"/>
    <w:rsid w:val="00446B8E"/>
    <w:rsid w:val="00446CC2"/>
    <w:rsid w:val="004470CC"/>
    <w:rsid w:val="00447E2A"/>
    <w:rsid w:val="00453675"/>
    <w:rsid w:val="004539FA"/>
    <w:rsid w:val="00453C04"/>
    <w:rsid w:val="00454387"/>
    <w:rsid w:val="00454EC7"/>
    <w:rsid w:val="00457C81"/>
    <w:rsid w:val="00460631"/>
    <w:rsid w:val="00463137"/>
    <w:rsid w:val="0046327E"/>
    <w:rsid w:val="00464BC0"/>
    <w:rsid w:val="004656F1"/>
    <w:rsid w:val="00465DA6"/>
    <w:rsid w:val="00466451"/>
    <w:rsid w:val="00470F2D"/>
    <w:rsid w:val="00473442"/>
    <w:rsid w:val="0047403A"/>
    <w:rsid w:val="0047515C"/>
    <w:rsid w:val="00476037"/>
    <w:rsid w:val="00476144"/>
    <w:rsid w:val="00483105"/>
    <w:rsid w:val="0048336E"/>
    <w:rsid w:val="004879CE"/>
    <w:rsid w:val="0049044E"/>
    <w:rsid w:val="00490752"/>
    <w:rsid w:val="00490E8E"/>
    <w:rsid w:val="00491FA5"/>
    <w:rsid w:val="00493464"/>
    <w:rsid w:val="004948DF"/>
    <w:rsid w:val="004949D9"/>
    <w:rsid w:val="00495361"/>
    <w:rsid w:val="004958CE"/>
    <w:rsid w:val="00495BD4"/>
    <w:rsid w:val="00497764"/>
    <w:rsid w:val="004A12B0"/>
    <w:rsid w:val="004A32C7"/>
    <w:rsid w:val="004A5A3E"/>
    <w:rsid w:val="004A5F3A"/>
    <w:rsid w:val="004A674F"/>
    <w:rsid w:val="004A74F4"/>
    <w:rsid w:val="004A7A4A"/>
    <w:rsid w:val="004B07BB"/>
    <w:rsid w:val="004B0A59"/>
    <w:rsid w:val="004B23F2"/>
    <w:rsid w:val="004B41E5"/>
    <w:rsid w:val="004B6AA1"/>
    <w:rsid w:val="004B7931"/>
    <w:rsid w:val="004B7A9F"/>
    <w:rsid w:val="004C04EE"/>
    <w:rsid w:val="004C3C80"/>
    <w:rsid w:val="004C5B47"/>
    <w:rsid w:val="004C5EDD"/>
    <w:rsid w:val="004C7A01"/>
    <w:rsid w:val="004D3816"/>
    <w:rsid w:val="004D38C1"/>
    <w:rsid w:val="004D41D8"/>
    <w:rsid w:val="004D4F10"/>
    <w:rsid w:val="004D65E7"/>
    <w:rsid w:val="004D6695"/>
    <w:rsid w:val="004D7A10"/>
    <w:rsid w:val="004D7C34"/>
    <w:rsid w:val="004E06CE"/>
    <w:rsid w:val="004E1E53"/>
    <w:rsid w:val="004E4C64"/>
    <w:rsid w:val="004E5FE2"/>
    <w:rsid w:val="004E6485"/>
    <w:rsid w:val="004E7CD5"/>
    <w:rsid w:val="004F07DE"/>
    <w:rsid w:val="004F11A8"/>
    <w:rsid w:val="004F195D"/>
    <w:rsid w:val="004F21C9"/>
    <w:rsid w:val="004F4305"/>
    <w:rsid w:val="004F5258"/>
    <w:rsid w:val="004F56D1"/>
    <w:rsid w:val="005009E8"/>
    <w:rsid w:val="00503CB7"/>
    <w:rsid w:val="0050585A"/>
    <w:rsid w:val="00505AD5"/>
    <w:rsid w:val="00506DCB"/>
    <w:rsid w:val="00507CB8"/>
    <w:rsid w:val="00507D46"/>
    <w:rsid w:val="00507D94"/>
    <w:rsid w:val="0051034A"/>
    <w:rsid w:val="00510D46"/>
    <w:rsid w:val="005114AA"/>
    <w:rsid w:val="005114F9"/>
    <w:rsid w:val="005117A2"/>
    <w:rsid w:val="005124E6"/>
    <w:rsid w:val="00512818"/>
    <w:rsid w:val="00512D65"/>
    <w:rsid w:val="005132A9"/>
    <w:rsid w:val="0051352E"/>
    <w:rsid w:val="00513C0F"/>
    <w:rsid w:val="00516FCB"/>
    <w:rsid w:val="00517C50"/>
    <w:rsid w:val="00517DA7"/>
    <w:rsid w:val="00517E7C"/>
    <w:rsid w:val="00520645"/>
    <w:rsid w:val="00520A33"/>
    <w:rsid w:val="00521617"/>
    <w:rsid w:val="00524836"/>
    <w:rsid w:val="00525CFD"/>
    <w:rsid w:val="00526473"/>
    <w:rsid w:val="00526E05"/>
    <w:rsid w:val="005271E7"/>
    <w:rsid w:val="00527AE4"/>
    <w:rsid w:val="00527FFB"/>
    <w:rsid w:val="00530917"/>
    <w:rsid w:val="00531797"/>
    <w:rsid w:val="00531E58"/>
    <w:rsid w:val="0053208D"/>
    <w:rsid w:val="0053260D"/>
    <w:rsid w:val="00532C8C"/>
    <w:rsid w:val="00533B84"/>
    <w:rsid w:val="00534780"/>
    <w:rsid w:val="005347BB"/>
    <w:rsid w:val="00534F07"/>
    <w:rsid w:val="00535104"/>
    <w:rsid w:val="00535C6B"/>
    <w:rsid w:val="005363BB"/>
    <w:rsid w:val="0053656A"/>
    <w:rsid w:val="005370B4"/>
    <w:rsid w:val="005376F3"/>
    <w:rsid w:val="00540C30"/>
    <w:rsid w:val="00541360"/>
    <w:rsid w:val="00541964"/>
    <w:rsid w:val="00542B8A"/>
    <w:rsid w:val="00542C14"/>
    <w:rsid w:val="005431F9"/>
    <w:rsid w:val="005439BF"/>
    <w:rsid w:val="00544A0B"/>
    <w:rsid w:val="005462A3"/>
    <w:rsid w:val="0054755E"/>
    <w:rsid w:val="005503C0"/>
    <w:rsid w:val="00550DC4"/>
    <w:rsid w:val="00551008"/>
    <w:rsid w:val="005515E3"/>
    <w:rsid w:val="00552179"/>
    <w:rsid w:val="00552C35"/>
    <w:rsid w:val="00553D40"/>
    <w:rsid w:val="005545EA"/>
    <w:rsid w:val="005550B7"/>
    <w:rsid w:val="0055569D"/>
    <w:rsid w:val="005558B3"/>
    <w:rsid w:val="00557C52"/>
    <w:rsid w:val="0055EEE3"/>
    <w:rsid w:val="005607F2"/>
    <w:rsid w:val="00560E3E"/>
    <w:rsid w:val="00562086"/>
    <w:rsid w:val="00562F16"/>
    <w:rsid w:val="005632F7"/>
    <w:rsid w:val="00563C60"/>
    <w:rsid w:val="005641D4"/>
    <w:rsid w:val="0056492D"/>
    <w:rsid w:val="00570777"/>
    <w:rsid w:val="00571BDB"/>
    <w:rsid w:val="005739B1"/>
    <w:rsid w:val="00574065"/>
    <w:rsid w:val="00574531"/>
    <w:rsid w:val="00575015"/>
    <w:rsid w:val="0057507C"/>
    <w:rsid w:val="00576A0A"/>
    <w:rsid w:val="0058002F"/>
    <w:rsid w:val="005800E3"/>
    <w:rsid w:val="00581A92"/>
    <w:rsid w:val="00581D8E"/>
    <w:rsid w:val="00582216"/>
    <w:rsid w:val="00582680"/>
    <w:rsid w:val="00584302"/>
    <w:rsid w:val="00585E1A"/>
    <w:rsid w:val="00586085"/>
    <w:rsid w:val="005868C1"/>
    <w:rsid w:val="00591A92"/>
    <w:rsid w:val="00592981"/>
    <w:rsid w:val="005941D8"/>
    <w:rsid w:val="005961F2"/>
    <w:rsid w:val="00596A48"/>
    <w:rsid w:val="00596A88"/>
    <w:rsid w:val="0059747D"/>
    <w:rsid w:val="00597953"/>
    <w:rsid w:val="005A188B"/>
    <w:rsid w:val="005A30EA"/>
    <w:rsid w:val="005A57C2"/>
    <w:rsid w:val="005A5A1D"/>
    <w:rsid w:val="005B050C"/>
    <w:rsid w:val="005B12E2"/>
    <w:rsid w:val="005B1C6A"/>
    <w:rsid w:val="005B2918"/>
    <w:rsid w:val="005B2A06"/>
    <w:rsid w:val="005B42EC"/>
    <w:rsid w:val="005C37F8"/>
    <w:rsid w:val="005C3B4D"/>
    <w:rsid w:val="005C3D3E"/>
    <w:rsid w:val="005C4106"/>
    <w:rsid w:val="005C4652"/>
    <w:rsid w:val="005C4AFB"/>
    <w:rsid w:val="005C4B6E"/>
    <w:rsid w:val="005C50B4"/>
    <w:rsid w:val="005C6306"/>
    <w:rsid w:val="005C6660"/>
    <w:rsid w:val="005C675A"/>
    <w:rsid w:val="005C6CF3"/>
    <w:rsid w:val="005C7BF5"/>
    <w:rsid w:val="005D06E4"/>
    <w:rsid w:val="005D0DF8"/>
    <w:rsid w:val="005D12EE"/>
    <w:rsid w:val="005D132E"/>
    <w:rsid w:val="005D146C"/>
    <w:rsid w:val="005D2B31"/>
    <w:rsid w:val="005D76AF"/>
    <w:rsid w:val="005D792D"/>
    <w:rsid w:val="005D7A30"/>
    <w:rsid w:val="005D7CE7"/>
    <w:rsid w:val="005E179D"/>
    <w:rsid w:val="005E26BB"/>
    <w:rsid w:val="005E3ACB"/>
    <w:rsid w:val="005E55B6"/>
    <w:rsid w:val="005F2F2B"/>
    <w:rsid w:val="005F3831"/>
    <w:rsid w:val="005F3B19"/>
    <w:rsid w:val="005F3E64"/>
    <w:rsid w:val="005F52EA"/>
    <w:rsid w:val="005F5476"/>
    <w:rsid w:val="005F5DA6"/>
    <w:rsid w:val="005F6FF0"/>
    <w:rsid w:val="005F710E"/>
    <w:rsid w:val="005F79BE"/>
    <w:rsid w:val="005F7B1D"/>
    <w:rsid w:val="005F7BBC"/>
    <w:rsid w:val="00601153"/>
    <w:rsid w:val="00602C9D"/>
    <w:rsid w:val="006036E7"/>
    <w:rsid w:val="00603A2D"/>
    <w:rsid w:val="006065A3"/>
    <w:rsid w:val="00606F4B"/>
    <w:rsid w:val="006077D3"/>
    <w:rsid w:val="00607943"/>
    <w:rsid w:val="00607A4E"/>
    <w:rsid w:val="00607A82"/>
    <w:rsid w:val="00607B0F"/>
    <w:rsid w:val="00610753"/>
    <w:rsid w:val="00610A38"/>
    <w:rsid w:val="00610A78"/>
    <w:rsid w:val="00610C61"/>
    <w:rsid w:val="00612509"/>
    <w:rsid w:val="006136F0"/>
    <w:rsid w:val="00613A16"/>
    <w:rsid w:val="00613C78"/>
    <w:rsid w:val="00613E0F"/>
    <w:rsid w:val="0061469A"/>
    <w:rsid w:val="00615947"/>
    <w:rsid w:val="0062072F"/>
    <w:rsid w:val="0062107C"/>
    <w:rsid w:val="00624940"/>
    <w:rsid w:val="00624FB5"/>
    <w:rsid w:val="00630282"/>
    <w:rsid w:val="00630587"/>
    <w:rsid w:val="00630B30"/>
    <w:rsid w:val="00630DDF"/>
    <w:rsid w:val="00631A12"/>
    <w:rsid w:val="00633E1C"/>
    <w:rsid w:val="00633EB9"/>
    <w:rsid w:val="0063469E"/>
    <w:rsid w:val="00635025"/>
    <w:rsid w:val="00635766"/>
    <w:rsid w:val="006361ED"/>
    <w:rsid w:val="00636F72"/>
    <w:rsid w:val="006418E9"/>
    <w:rsid w:val="00642768"/>
    <w:rsid w:val="0064295E"/>
    <w:rsid w:val="00642A27"/>
    <w:rsid w:val="006434C3"/>
    <w:rsid w:val="00644EBE"/>
    <w:rsid w:val="006458CD"/>
    <w:rsid w:val="00645C98"/>
    <w:rsid w:val="006465D5"/>
    <w:rsid w:val="0064757C"/>
    <w:rsid w:val="006509C5"/>
    <w:rsid w:val="00650B6D"/>
    <w:rsid w:val="00651C67"/>
    <w:rsid w:val="00657A60"/>
    <w:rsid w:val="00661E1F"/>
    <w:rsid w:val="00662A42"/>
    <w:rsid w:val="00662E24"/>
    <w:rsid w:val="00662E3E"/>
    <w:rsid w:val="006634D1"/>
    <w:rsid w:val="00664343"/>
    <w:rsid w:val="0066588C"/>
    <w:rsid w:val="00666040"/>
    <w:rsid w:val="00670626"/>
    <w:rsid w:val="00670FDC"/>
    <w:rsid w:val="00671291"/>
    <w:rsid w:val="00674440"/>
    <w:rsid w:val="0067514D"/>
    <w:rsid w:val="0067759D"/>
    <w:rsid w:val="00680226"/>
    <w:rsid w:val="00681214"/>
    <w:rsid w:val="0068337F"/>
    <w:rsid w:val="00683A24"/>
    <w:rsid w:val="006848C1"/>
    <w:rsid w:val="00684F76"/>
    <w:rsid w:val="006851E3"/>
    <w:rsid w:val="00685D83"/>
    <w:rsid w:val="00685FB6"/>
    <w:rsid w:val="00686785"/>
    <w:rsid w:val="00687D67"/>
    <w:rsid w:val="006902A0"/>
    <w:rsid w:val="00690F4B"/>
    <w:rsid w:val="006926AD"/>
    <w:rsid w:val="00692719"/>
    <w:rsid w:val="00693573"/>
    <w:rsid w:val="0069492E"/>
    <w:rsid w:val="00694C73"/>
    <w:rsid w:val="006959A2"/>
    <w:rsid w:val="00696BDB"/>
    <w:rsid w:val="00697369"/>
    <w:rsid w:val="006A0EDC"/>
    <w:rsid w:val="006A16A4"/>
    <w:rsid w:val="006A34F7"/>
    <w:rsid w:val="006A4529"/>
    <w:rsid w:val="006A64AB"/>
    <w:rsid w:val="006B0B39"/>
    <w:rsid w:val="006B0B5A"/>
    <w:rsid w:val="006B1179"/>
    <w:rsid w:val="006B175E"/>
    <w:rsid w:val="006B24CA"/>
    <w:rsid w:val="006B341F"/>
    <w:rsid w:val="006B674A"/>
    <w:rsid w:val="006B744E"/>
    <w:rsid w:val="006B7854"/>
    <w:rsid w:val="006C17B3"/>
    <w:rsid w:val="006C2B74"/>
    <w:rsid w:val="006C30D7"/>
    <w:rsid w:val="006C3AE7"/>
    <w:rsid w:val="006C3D50"/>
    <w:rsid w:val="006C5157"/>
    <w:rsid w:val="006C5834"/>
    <w:rsid w:val="006C740A"/>
    <w:rsid w:val="006D0F77"/>
    <w:rsid w:val="006D154E"/>
    <w:rsid w:val="006D1721"/>
    <w:rsid w:val="006D457D"/>
    <w:rsid w:val="006D46AC"/>
    <w:rsid w:val="006D4B6E"/>
    <w:rsid w:val="006D509C"/>
    <w:rsid w:val="006D56BB"/>
    <w:rsid w:val="006D56C9"/>
    <w:rsid w:val="006D712E"/>
    <w:rsid w:val="006D7A56"/>
    <w:rsid w:val="006E08F2"/>
    <w:rsid w:val="006E1208"/>
    <w:rsid w:val="006E166E"/>
    <w:rsid w:val="006E3322"/>
    <w:rsid w:val="006E41EC"/>
    <w:rsid w:val="006E456A"/>
    <w:rsid w:val="006E4AE5"/>
    <w:rsid w:val="006E5617"/>
    <w:rsid w:val="006E593D"/>
    <w:rsid w:val="006E5D6E"/>
    <w:rsid w:val="006F02BA"/>
    <w:rsid w:val="006F1371"/>
    <w:rsid w:val="006F37B2"/>
    <w:rsid w:val="006F5729"/>
    <w:rsid w:val="006F6AB9"/>
    <w:rsid w:val="006F6F21"/>
    <w:rsid w:val="006F79B8"/>
    <w:rsid w:val="006F7DBB"/>
    <w:rsid w:val="006F7F37"/>
    <w:rsid w:val="007004AF"/>
    <w:rsid w:val="00702A7C"/>
    <w:rsid w:val="00702D9C"/>
    <w:rsid w:val="00704620"/>
    <w:rsid w:val="00704E26"/>
    <w:rsid w:val="0070677E"/>
    <w:rsid w:val="00707496"/>
    <w:rsid w:val="00707828"/>
    <w:rsid w:val="00710515"/>
    <w:rsid w:val="0071099D"/>
    <w:rsid w:val="00711798"/>
    <w:rsid w:val="00711879"/>
    <w:rsid w:val="00713F74"/>
    <w:rsid w:val="007146D4"/>
    <w:rsid w:val="00714836"/>
    <w:rsid w:val="007150D8"/>
    <w:rsid w:val="00715105"/>
    <w:rsid w:val="007153C4"/>
    <w:rsid w:val="00715B40"/>
    <w:rsid w:val="00717728"/>
    <w:rsid w:val="007178AC"/>
    <w:rsid w:val="00720BFF"/>
    <w:rsid w:val="00721579"/>
    <w:rsid w:val="00721B03"/>
    <w:rsid w:val="00722F2F"/>
    <w:rsid w:val="007233A8"/>
    <w:rsid w:val="00724DC9"/>
    <w:rsid w:val="00725ECC"/>
    <w:rsid w:val="0072660B"/>
    <w:rsid w:val="0072796B"/>
    <w:rsid w:val="0072797E"/>
    <w:rsid w:val="00730FEE"/>
    <w:rsid w:val="00731048"/>
    <w:rsid w:val="0073204C"/>
    <w:rsid w:val="00734BC5"/>
    <w:rsid w:val="007353BD"/>
    <w:rsid w:val="00735BEC"/>
    <w:rsid w:val="00735E2F"/>
    <w:rsid w:val="00736050"/>
    <w:rsid w:val="00736E0A"/>
    <w:rsid w:val="007412AE"/>
    <w:rsid w:val="0074304A"/>
    <w:rsid w:val="00743336"/>
    <w:rsid w:val="007436FA"/>
    <w:rsid w:val="007439CB"/>
    <w:rsid w:val="0074561B"/>
    <w:rsid w:val="007466F2"/>
    <w:rsid w:val="00746EC5"/>
    <w:rsid w:val="00754DA8"/>
    <w:rsid w:val="00755635"/>
    <w:rsid w:val="007570DC"/>
    <w:rsid w:val="0076033D"/>
    <w:rsid w:val="007606A6"/>
    <w:rsid w:val="00761565"/>
    <w:rsid w:val="00763192"/>
    <w:rsid w:val="00765370"/>
    <w:rsid w:val="00766D4F"/>
    <w:rsid w:val="00767D67"/>
    <w:rsid w:val="0077008F"/>
    <w:rsid w:val="007701F2"/>
    <w:rsid w:val="0077045A"/>
    <w:rsid w:val="007709BF"/>
    <w:rsid w:val="007722BC"/>
    <w:rsid w:val="00772D36"/>
    <w:rsid w:val="00772FFA"/>
    <w:rsid w:val="0077364E"/>
    <w:rsid w:val="00776BEF"/>
    <w:rsid w:val="00777345"/>
    <w:rsid w:val="0078078D"/>
    <w:rsid w:val="00781066"/>
    <w:rsid w:val="0078112B"/>
    <w:rsid w:val="00781882"/>
    <w:rsid w:val="00781CF9"/>
    <w:rsid w:val="007829D3"/>
    <w:rsid w:val="007836AC"/>
    <w:rsid w:val="00783EB7"/>
    <w:rsid w:val="007852F0"/>
    <w:rsid w:val="007863C0"/>
    <w:rsid w:val="00787D76"/>
    <w:rsid w:val="00787E68"/>
    <w:rsid w:val="007902A0"/>
    <w:rsid w:val="0079042B"/>
    <w:rsid w:val="00791A42"/>
    <w:rsid w:val="00792D3E"/>
    <w:rsid w:val="00794540"/>
    <w:rsid w:val="007949CE"/>
    <w:rsid w:val="00795C3A"/>
    <w:rsid w:val="007A0070"/>
    <w:rsid w:val="007A16A8"/>
    <w:rsid w:val="007A1E70"/>
    <w:rsid w:val="007A5C68"/>
    <w:rsid w:val="007A5E0D"/>
    <w:rsid w:val="007A613F"/>
    <w:rsid w:val="007A6C14"/>
    <w:rsid w:val="007B0799"/>
    <w:rsid w:val="007B1056"/>
    <w:rsid w:val="007B1ABA"/>
    <w:rsid w:val="007B2662"/>
    <w:rsid w:val="007B2ECC"/>
    <w:rsid w:val="007B336F"/>
    <w:rsid w:val="007B74C5"/>
    <w:rsid w:val="007C10C0"/>
    <w:rsid w:val="007C19C2"/>
    <w:rsid w:val="007C26CD"/>
    <w:rsid w:val="007C364E"/>
    <w:rsid w:val="007C489E"/>
    <w:rsid w:val="007C5BDD"/>
    <w:rsid w:val="007C5C14"/>
    <w:rsid w:val="007C7A6C"/>
    <w:rsid w:val="007D01B5"/>
    <w:rsid w:val="007D08CE"/>
    <w:rsid w:val="007D0AB8"/>
    <w:rsid w:val="007D22B9"/>
    <w:rsid w:val="007D49BA"/>
    <w:rsid w:val="007D686F"/>
    <w:rsid w:val="007D7208"/>
    <w:rsid w:val="007D747B"/>
    <w:rsid w:val="007D7B19"/>
    <w:rsid w:val="007E2ADB"/>
    <w:rsid w:val="007E3C69"/>
    <w:rsid w:val="007E40EB"/>
    <w:rsid w:val="007E596E"/>
    <w:rsid w:val="007E5B27"/>
    <w:rsid w:val="007E6194"/>
    <w:rsid w:val="007E70C2"/>
    <w:rsid w:val="007E7CEC"/>
    <w:rsid w:val="007E7EA4"/>
    <w:rsid w:val="007F1B9C"/>
    <w:rsid w:val="007F2923"/>
    <w:rsid w:val="007F3C22"/>
    <w:rsid w:val="007F41E5"/>
    <w:rsid w:val="007F56B7"/>
    <w:rsid w:val="007F570F"/>
    <w:rsid w:val="007F7B27"/>
    <w:rsid w:val="00800312"/>
    <w:rsid w:val="0080190C"/>
    <w:rsid w:val="00804C2D"/>
    <w:rsid w:val="0080547B"/>
    <w:rsid w:val="00805D3C"/>
    <w:rsid w:val="00806AFF"/>
    <w:rsid w:val="008073B4"/>
    <w:rsid w:val="0081244E"/>
    <w:rsid w:val="008130E7"/>
    <w:rsid w:val="008136D5"/>
    <w:rsid w:val="0081409C"/>
    <w:rsid w:val="00814BA5"/>
    <w:rsid w:val="00815CA5"/>
    <w:rsid w:val="00817CEC"/>
    <w:rsid w:val="008222C0"/>
    <w:rsid w:val="00823316"/>
    <w:rsid w:val="00823AD6"/>
    <w:rsid w:val="008246CC"/>
    <w:rsid w:val="00824B16"/>
    <w:rsid w:val="00824BA4"/>
    <w:rsid w:val="00824FFC"/>
    <w:rsid w:val="00825174"/>
    <w:rsid w:val="008260C7"/>
    <w:rsid w:val="00827EF5"/>
    <w:rsid w:val="008302C6"/>
    <w:rsid w:val="00830CF9"/>
    <w:rsid w:val="00831632"/>
    <w:rsid w:val="00831667"/>
    <w:rsid w:val="00832C83"/>
    <w:rsid w:val="00834906"/>
    <w:rsid w:val="0083552F"/>
    <w:rsid w:val="008365D6"/>
    <w:rsid w:val="00837393"/>
    <w:rsid w:val="0084093F"/>
    <w:rsid w:val="00841299"/>
    <w:rsid w:val="00841B31"/>
    <w:rsid w:val="00841D71"/>
    <w:rsid w:val="008424BE"/>
    <w:rsid w:val="00842C50"/>
    <w:rsid w:val="00843CC4"/>
    <w:rsid w:val="00844F37"/>
    <w:rsid w:val="00845C50"/>
    <w:rsid w:val="00845C98"/>
    <w:rsid w:val="0084683E"/>
    <w:rsid w:val="00847C24"/>
    <w:rsid w:val="008507C1"/>
    <w:rsid w:val="00852146"/>
    <w:rsid w:val="008524EB"/>
    <w:rsid w:val="008552A7"/>
    <w:rsid w:val="0085536B"/>
    <w:rsid w:val="00855AA6"/>
    <w:rsid w:val="00856479"/>
    <w:rsid w:val="00857714"/>
    <w:rsid w:val="00857E9A"/>
    <w:rsid w:val="00861253"/>
    <w:rsid w:val="008618FD"/>
    <w:rsid w:val="00861934"/>
    <w:rsid w:val="00861A8D"/>
    <w:rsid w:val="00862044"/>
    <w:rsid w:val="00862D96"/>
    <w:rsid w:val="00862F31"/>
    <w:rsid w:val="00865C02"/>
    <w:rsid w:val="00865CAF"/>
    <w:rsid w:val="00866F5D"/>
    <w:rsid w:val="00870347"/>
    <w:rsid w:val="008704D1"/>
    <w:rsid w:val="00871B20"/>
    <w:rsid w:val="00872351"/>
    <w:rsid w:val="00873D64"/>
    <w:rsid w:val="00873F62"/>
    <w:rsid w:val="00875E13"/>
    <w:rsid w:val="008812D6"/>
    <w:rsid w:val="00881BD3"/>
    <w:rsid w:val="00882DD6"/>
    <w:rsid w:val="00883414"/>
    <w:rsid w:val="00883B0A"/>
    <w:rsid w:val="008848E8"/>
    <w:rsid w:val="0088550F"/>
    <w:rsid w:val="008857F6"/>
    <w:rsid w:val="0088623B"/>
    <w:rsid w:val="00886FBB"/>
    <w:rsid w:val="00890CB6"/>
    <w:rsid w:val="00891973"/>
    <w:rsid w:val="008919EE"/>
    <w:rsid w:val="00891C0A"/>
    <w:rsid w:val="008929B3"/>
    <w:rsid w:val="00894A27"/>
    <w:rsid w:val="00894EF6"/>
    <w:rsid w:val="0089561C"/>
    <w:rsid w:val="00895B9C"/>
    <w:rsid w:val="00895CA2"/>
    <w:rsid w:val="0089639F"/>
    <w:rsid w:val="0089743D"/>
    <w:rsid w:val="00897736"/>
    <w:rsid w:val="008978DE"/>
    <w:rsid w:val="008A04D1"/>
    <w:rsid w:val="008A194C"/>
    <w:rsid w:val="008A2746"/>
    <w:rsid w:val="008A2CE2"/>
    <w:rsid w:val="008A4240"/>
    <w:rsid w:val="008A42F8"/>
    <w:rsid w:val="008A6E8C"/>
    <w:rsid w:val="008A6EA6"/>
    <w:rsid w:val="008B019F"/>
    <w:rsid w:val="008B0786"/>
    <w:rsid w:val="008B13C4"/>
    <w:rsid w:val="008B2ABB"/>
    <w:rsid w:val="008B38FC"/>
    <w:rsid w:val="008B3B29"/>
    <w:rsid w:val="008B4732"/>
    <w:rsid w:val="008B4E29"/>
    <w:rsid w:val="008B4ED9"/>
    <w:rsid w:val="008B66F7"/>
    <w:rsid w:val="008B6F69"/>
    <w:rsid w:val="008B73D5"/>
    <w:rsid w:val="008C1414"/>
    <w:rsid w:val="008C1646"/>
    <w:rsid w:val="008C1E4B"/>
    <w:rsid w:val="008C2FAB"/>
    <w:rsid w:val="008C3426"/>
    <w:rsid w:val="008C63A4"/>
    <w:rsid w:val="008C6435"/>
    <w:rsid w:val="008C6440"/>
    <w:rsid w:val="008C7856"/>
    <w:rsid w:val="008C7FD7"/>
    <w:rsid w:val="008D2393"/>
    <w:rsid w:val="008D24B4"/>
    <w:rsid w:val="008D2561"/>
    <w:rsid w:val="008D3BF9"/>
    <w:rsid w:val="008D6D9A"/>
    <w:rsid w:val="008E0667"/>
    <w:rsid w:val="008E11AE"/>
    <w:rsid w:val="008E1FA7"/>
    <w:rsid w:val="008E22BA"/>
    <w:rsid w:val="008E2958"/>
    <w:rsid w:val="008E48D3"/>
    <w:rsid w:val="008E558D"/>
    <w:rsid w:val="008E560E"/>
    <w:rsid w:val="008E6064"/>
    <w:rsid w:val="008E7F0C"/>
    <w:rsid w:val="008F0AC9"/>
    <w:rsid w:val="008F3694"/>
    <w:rsid w:val="008F7332"/>
    <w:rsid w:val="00900CCE"/>
    <w:rsid w:val="00900F7F"/>
    <w:rsid w:val="00901825"/>
    <w:rsid w:val="00901903"/>
    <w:rsid w:val="00901F65"/>
    <w:rsid w:val="00903B36"/>
    <w:rsid w:val="00904946"/>
    <w:rsid w:val="00905752"/>
    <w:rsid w:val="0090600F"/>
    <w:rsid w:val="00907B88"/>
    <w:rsid w:val="00907F94"/>
    <w:rsid w:val="00910FF3"/>
    <w:rsid w:val="009122FC"/>
    <w:rsid w:val="00914950"/>
    <w:rsid w:val="00915443"/>
    <w:rsid w:val="00915D60"/>
    <w:rsid w:val="00920438"/>
    <w:rsid w:val="00921DC7"/>
    <w:rsid w:val="00923D49"/>
    <w:rsid w:val="00924DC4"/>
    <w:rsid w:val="009252EB"/>
    <w:rsid w:val="00926126"/>
    <w:rsid w:val="00927402"/>
    <w:rsid w:val="00931C0D"/>
    <w:rsid w:val="00934228"/>
    <w:rsid w:val="00934584"/>
    <w:rsid w:val="0093473D"/>
    <w:rsid w:val="009351F1"/>
    <w:rsid w:val="00935724"/>
    <w:rsid w:val="00936429"/>
    <w:rsid w:val="00936EC3"/>
    <w:rsid w:val="00940A33"/>
    <w:rsid w:val="00941ACB"/>
    <w:rsid w:val="00944161"/>
    <w:rsid w:val="00944ECC"/>
    <w:rsid w:val="00947CD9"/>
    <w:rsid w:val="00951DB6"/>
    <w:rsid w:val="00951F39"/>
    <w:rsid w:val="00955B58"/>
    <w:rsid w:val="009563BD"/>
    <w:rsid w:val="00960F0A"/>
    <w:rsid w:val="00961154"/>
    <w:rsid w:val="00962A27"/>
    <w:rsid w:val="00962D89"/>
    <w:rsid w:val="0096348D"/>
    <w:rsid w:val="00963841"/>
    <w:rsid w:val="00966A29"/>
    <w:rsid w:val="00966D9C"/>
    <w:rsid w:val="009675C2"/>
    <w:rsid w:val="00967848"/>
    <w:rsid w:val="00971FCD"/>
    <w:rsid w:val="009722B6"/>
    <w:rsid w:val="00972598"/>
    <w:rsid w:val="00972ABB"/>
    <w:rsid w:val="00972F57"/>
    <w:rsid w:val="009739AF"/>
    <w:rsid w:val="009772AE"/>
    <w:rsid w:val="0098035A"/>
    <w:rsid w:val="00980424"/>
    <w:rsid w:val="009823CD"/>
    <w:rsid w:val="00983EF7"/>
    <w:rsid w:val="00986C8D"/>
    <w:rsid w:val="00986DBB"/>
    <w:rsid w:val="009870F9"/>
    <w:rsid w:val="009873E8"/>
    <w:rsid w:val="00990393"/>
    <w:rsid w:val="00991B9A"/>
    <w:rsid w:val="009928D3"/>
    <w:rsid w:val="00992A94"/>
    <w:rsid w:val="00993A99"/>
    <w:rsid w:val="00995280"/>
    <w:rsid w:val="0099766A"/>
    <w:rsid w:val="0099789A"/>
    <w:rsid w:val="009A1353"/>
    <w:rsid w:val="009A1360"/>
    <w:rsid w:val="009A1CDD"/>
    <w:rsid w:val="009A26A9"/>
    <w:rsid w:val="009A3D32"/>
    <w:rsid w:val="009A4005"/>
    <w:rsid w:val="009A44E3"/>
    <w:rsid w:val="009A4A90"/>
    <w:rsid w:val="009A640B"/>
    <w:rsid w:val="009A6612"/>
    <w:rsid w:val="009A76B9"/>
    <w:rsid w:val="009B0A4D"/>
    <w:rsid w:val="009B111E"/>
    <w:rsid w:val="009B124C"/>
    <w:rsid w:val="009B197C"/>
    <w:rsid w:val="009B26E5"/>
    <w:rsid w:val="009B29B8"/>
    <w:rsid w:val="009B2D2A"/>
    <w:rsid w:val="009B32C9"/>
    <w:rsid w:val="009B452D"/>
    <w:rsid w:val="009B4DFD"/>
    <w:rsid w:val="009B5DDB"/>
    <w:rsid w:val="009B5FDC"/>
    <w:rsid w:val="009B69BA"/>
    <w:rsid w:val="009B6F86"/>
    <w:rsid w:val="009C0494"/>
    <w:rsid w:val="009C090B"/>
    <w:rsid w:val="009C113B"/>
    <w:rsid w:val="009C30D1"/>
    <w:rsid w:val="009C39C3"/>
    <w:rsid w:val="009C42C2"/>
    <w:rsid w:val="009C50F3"/>
    <w:rsid w:val="009C62C9"/>
    <w:rsid w:val="009C7597"/>
    <w:rsid w:val="009D3CE8"/>
    <w:rsid w:val="009D4023"/>
    <w:rsid w:val="009D461E"/>
    <w:rsid w:val="009D7049"/>
    <w:rsid w:val="009E0263"/>
    <w:rsid w:val="009E07B2"/>
    <w:rsid w:val="009E40AF"/>
    <w:rsid w:val="009E48BF"/>
    <w:rsid w:val="009E735E"/>
    <w:rsid w:val="009E77D9"/>
    <w:rsid w:val="009F0414"/>
    <w:rsid w:val="009F0740"/>
    <w:rsid w:val="009F08DD"/>
    <w:rsid w:val="009F1D04"/>
    <w:rsid w:val="009F247D"/>
    <w:rsid w:val="009F32C5"/>
    <w:rsid w:val="009F39AA"/>
    <w:rsid w:val="009F4A64"/>
    <w:rsid w:val="009F6347"/>
    <w:rsid w:val="009F7CEE"/>
    <w:rsid w:val="00A01436"/>
    <w:rsid w:val="00A02B41"/>
    <w:rsid w:val="00A03ADD"/>
    <w:rsid w:val="00A04640"/>
    <w:rsid w:val="00A0610D"/>
    <w:rsid w:val="00A062F9"/>
    <w:rsid w:val="00A07055"/>
    <w:rsid w:val="00A07132"/>
    <w:rsid w:val="00A071D7"/>
    <w:rsid w:val="00A07AD0"/>
    <w:rsid w:val="00A10AF0"/>
    <w:rsid w:val="00A10D56"/>
    <w:rsid w:val="00A10D69"/>
    <w:rsid w:val="00A11672"/>
    <w:rsid w:val="00A14382"/>
    <w:rsid w:val="00A14BC9"/>
    <w:rsid w:val="00A14D5E"/>
    <w:rsid w:val="00A1592D"/>
    <w:rsid w:val="00A159C2"/>
    <w:rsid w:val="00A15AA1"/>
    <w:rsid w:val="00A16B2E"/>
    <w:rsid w:val="00A172B0"/>
    <w:rsid w:val="00A1778A"/>
    <w:rsid w:val="00A20B8F"/>
    <w:rsid w:val="00A216BB"/>
    <w:rsid w:val="00A21D74"/>
    <w:rsid w:val="00A224F5"/>
    <w:rsid w:val="00A22B15"/>
    <w:rsid w:val="00A22BC9"/>
    <w:rsid w:val="00A23A7B"/>
    <w:rsid w:val="00A24076"/>
    <w:rsid w:val="00A24E6E"/>
    <w:rsid w:val="00A262D9"/>
    <w:rsid w:val="00A27F9E"/>
    <w:rsid w:val="00A3040C"/>
    <w:rsid w:val="00A30B24"/>
    <w:rsid w:val="00A319C7"/>
    <w:rsid w:val="00A333E2"/>
    <w:rsid w:val="00A33EF9"/>
    <w:rsid w:val="00A354E7"/>
    <w:rsid w:val="00A35604"/>
    <w:rsid w:val="00A36091"/>
    <w:rsid w:val="00A37571"/>
    <w:rsid w:val="00A4063C"/>
    <w:rsid w:val="00A41185"/>
    <w:rsid w:val="00A4244A"/>
    <w:rsid w:val="00A4289B"/>
    <w:rsid w:val="00A43694"/>
    <w:rsid w:val="00A44637"/>
    <w:rsid w:val="00A44AC3"/>
    <w:rsid w:val="00A4512F"/>
    <w:rsid w:val="00A479EE"/>
    <w:rsid w:val="00A50465"/>
    <w:rsid w:val="00A54473"/>
    <w:rsid w:val="00A5499D"/>
    <w:rsid w:val="00A55A4A"/>
    <w:rsid w:val="00A56103"/>
    <w:rsid w:val="00A56FC7"/>
    <w:rsid w:val="00A57183"/>
    <w:rsid w:val="00A5723A"/>
    <w:rsid w:val="00A57C39"/>
    <w:rsid w:val="00A605F1"/>
    <w:rsid w:val="00A60874"/>
    <w:rsid w:val="00A617A1"/>
    <w:rsid w:val="00A61F4E"/>
    <w:rsid w:val="00A631B0"/>
    <w:rsid w:val="00A6427E"/>
    <w:rsid w:val="00A64630"/>
    <w:rsid w:val="00A6488F"/>
    <w:rsid w:val="00A65ED6"/>
    <w:rsid w:val="00A668BF"/>
    <w:rsid w:val="00A6760B"/>
    <w:rsid w:val="00A72575"/>
    <w:rsid w:val="00A72C10"/>
    <w:rsid w:val="00A7367B"/>
    <w:rsid w:val="00A74071"/>
    <w:rsid w:val="00A74486"/>
    <w:rsid w:val="00A7470B"/>
    <w:rsid w:val="00A754E4"/>
    <w:rsid w:val="00A77879"/>
    <w:rsid w:val="00A77F49"/>
    <w:rsid w:val="00A80624"/>
    <w:rsid w:val="00A814D4"/>
    <w:rsid w:val="00A8169A"/>
    <w:rsid w:val="00A819A8"/>
    <w:rsid w:val="00A821CE"/>
    <w:rsid w:val="00A833CE"/>
    <w:rsid w:val="00A836EF"/>
    <w:rsid w:val="00A84B9F"/>
    <w:rsid w:val="00A85913"/>
    <w:rsid w:val="00A85ACA"/>
    <w:rsid w:val="00A87E7D"/>
    <w:rsid w:val="00A90139"/>
    <w:rsid w:val="00A912FA"/>
    <w:rsid w:val="00A91606"/>
    <w:rsid w:val="00A91B09"/>
    <w:rsid w:val="00A92F19"/>
    <w:rsid w:val="00A94579"/>
    <w:rsid w:val="00A95559"/>
    <w:rsid w:val="00AA0658"/>
    <w:rsid w:val="00AA124A"/>
    <w:rsid w:val="00AA1EA6"/>
    <w:rsid w:val="00AA2A96"/>
    <w:rsid w:val="00AA3596"/>
    <w:rsid w:val="00AA3DE2"/>
    <w:rsid w:val="00AA7FF8"/>
    <w:rsid w:val="00AB0B36"/>
    <w:rsid w:val="00AB0B43"/>
    <w:rsid w:val="00AB0B9F"/>
    <w:rsid w:val="00AB14CA"/>
    <w:rsid w:val="00AB3BE9"/>
    <w:rsid w:val="00AB4A7B"/>
    <w:rsid w:val="00AB4B02"/>
    <w:rsid w:val="00AB54EE"/>
    <w:rsid w:val="00AB583E"/>
    <w:rsid w:val="00AB5DC6"/>
    <w:rsid w:val="00AB6E6F"/>
    <w:rsid w:val="00AB6EA6"/>
    <w:rsid w:val="00AB7D86"/>
    <w:rsid w:val="00AC3D04"/>
    <w:rsid w:val="00AC63D2"/>
    <w:rsid w:val="00AC7A68"/>
    <w:rsid w:val="00AC7D1B"/>
    <w:rsid w:val="00AD05C4"/>
    <w:rsid w:val="00AD1996"/>
    <w:rsid w:val="00AD2561"/>
    <w:rsid w:val="00AD37EE"/>
    <w:rsid w:val="00AD5AF5"/>
    <w:rsid w:val="00AD68C2"/>
    <w:rsid w:val="00AD6A13"/>
    <w:rsid w:val="00AD79A6"/>
    <w:rsid w:val="00AE030C"/>
    <w:rsid w:val="00AE0B17"/>
    <w:rsid w:val="00AE0F9D"/>
    <w:rsid w:val="00AE17F1"/>
    <w:rsid w:val="00AE1BC3"/>
    <w:rsid w:val="00AE1DAD"/>
    <w:rsid w:val="00AE4179"/>
    <w:rsid w:val="00AE559A"/>
    <w:rsid w:val="00AE5813"/>
    <w:rsid w:val="00AE70BC"/>
    <w:rsid w:val="00AE72A5"/>
    <w:rsid w:val="00AF004E"/>
    <w:rsid w:val="00AF0525"/>
    <w:rsid w:val="00AF08D2"/>
    <w:rsid w:val="00AF09D9"/>
    <w:rsid w:val="00AF10BB"/>
    <w:rsid w:val="00AF1801"/>
    <w:rsid w:val="00AF3E5A"/>
    <w:rsid w:val="00AF619E"/>
    <w:rsid w:val="00AF7449"/>
    <w:rsid w:val="00AF74BB"/>
    <w:rsid w:val="00B008D9"/>
    <w:rsid w:val="00B00FC1"/>
    <w:rsid w:val="00B01106"/>
    <w:rsid w:val="00B01A33"/>
    <w:rsid w:val="00B022C8"/>
    <w:rsid w:val="00B034C0"/>
    <w:rsid w:val="00B03FDE"/>
    <w:rsid w:val="00B053FA"/>
    <w:rsid w:val="00B05F01"/>
    <w:rsid w:val="00B060C4"/>
    <w:rsid w:val="00B070EE"/>
    <w:rsid w:val="00B07C4E"/>
    <w:rsid w:val="00B100CC"/>
    <w:rsid w:val="00B11AEF"/>
    <w:rsid w:val="00B12002"/>
    <w:rsid w:val="00B15470"/>
    <w:rsid w:val="00B16E7D"/>
    <w:rsid w:val="00B17AF8"/>
    <w:rsid w:val="00B202AB"/>
    <w:rsid w:val="00B23833"/>
    <w:rsid w:val="00B23B52"/>
    <w:rsid w:val="00B2432C"/>
    <w:rsid w:val="00B24DCE"/>
    <w:rsid w:val="00B25041"/>
    <w:rsid w:val="00B254E1"/>
    <w:rsid w:val="00B26B24"/>
    <w:rsid w:val="00B26FA8"/>
    <w:rsid w:val="00B27C6A"/>
    <w:rsid w:val="00B31151"/>
    <w:rsid w:val="00B31904"/>
    <w:rsid w:val="00B31F24"/>
    <w:rsid w:val="00B32483"/>
    <w:rsid w:val="00B32841"/>
    <w:rsid w:val="00B32AFF"/>
    <w:rsid w:val="00B333BA"/>
    <w:rsid w:val="00B34C65"/>
    <w:rsid w:val="00B34D10"/>
    <w:rsid w:val="00B36146"/>
    <w:rsid w:val="00B36DE9"/>
    <w:rsid w:val="00B37511"/>
    <w:rsid w:val="00B4063C"/>
    <w:rsid w:val="00B407FC"/>
    <w:rsid w:val="00B40FC6"/>
    <w:rsid w:val="00B41AD5"/>
    <w:rsid w:val="00B41C59"/>
    <w:rsid w:val="00B43CC9"/>
    <w:rsid w:val="00B43F26"/>
    <w:rsid w:val="00B454E4"/>
    <w:rsid w:val="00B45539"/>
    <w:rsid w:val="00B456C5"/>
    <w:rsid w:val="00B458F7"/>
    <w:rsid w:val="00B45CCF"/>
    <w:rsid w:val="00B5113A"/>
    <w:rsid w:val="00B51394"/>
    <w:rsid w:val="00B51D40"/>
    <w:rsid w:val="00B53A95"/>
    <w:rsid w:val="00B550E8"/>
    <w:rsid w:val="00B55AD7"/>
    <w:rsid w:val="00B56EBD"/>
    <w:rsid w:val="00B579BE"/>
    <w:rsid w:val="00B606AD"/>
    <w:rsid w:val="00B61C0A"/>
    <w:rsid w:val="00B61F23"/>
    <w:rsid w:val="00B63F6E"/>
    <w:rsid w:val="00B65C06"/>
    <w:rsid w:val="00B66314"/>
    <w:rsid w:val="00B6649D"/>
    <w:rsid w:val="00B6689D"/>
    <w:rsid w:val="00B66C35"/>
    <w:rsid w:val="00B67F7D"/>
    <w:rsid w:val="00B70167"/>
    <w:rsid w:val="00B70FB5"/>
    <w:rsid w:val="00B713BE"/>
    <w:rsid w:val="00B72368"/>
    <w:rsid w:val="00B72A28"/>
    <w:rsid w:val="00B7312B"/>
    <w:rsid w:val="00B73822"/>
    <w:rsid w:val="00B73AA2"/>
    <w:rsid w:val="00B74784"/>
    <w:rsid w:val="00B7600D"/>
    <w:rsid w:val="00B769A8"/>
    <w:rsid w:val="00B8318A"/>
    <w:rsid w:val="00B83405"/>
    <w:rsid w:val="00B834CB"/>
    <w:rsid w:val="00B838FF"/>
    <w:rsid w:val="00B84707"/>
    <w:rsid w:val="00B848E2"/>
    <w:rsid w:val="00B85EAC"/>
    <w:rsid w:val="00B86803"/>
    <w:rsid w:val="00B876AE"/>
    <w:rsid w:val="00B87E9E"/>
    <w:rsid w:val="00B91CB8"/>
    <w:rsid w:val="00B932B6"/>
    <w:rsid w:val="00B95D81"/>
    <w:rsid w:val="00B96632"/>
    <w:rsid w:val="00B9776B"/>
    <w:rsid w:val="00BA1686"/>
    <w:rsid w:val="00BA2CFD"/>
    <w:rsid w:val="00BA2DBC"/>
    <w:rsid w:val="00BA3247"/>
    <w:rsid w:val="00BA33E5"/>
    <w:rsid w:val="00BA45FB"/>
    <w:rsid w:val="00BA5A62"/>
    <w:rsid w:val="00BA5B40"/>
    <w:rsid w:val="00BA5DEF"/>
    <w:rsid w:val="00BA6B0E"/>
    <w:rsid w:val="00BB0485"/>
    <w:rsid w:val="00BB0792"/>
    <w:rsid w:val="00BB199F"/>
    <w:rsid w:val="00BB1BE6"/>
    <w:rsid w:val="00BB23C8"/>
    <w:rsid w:val="00BB2F76"/>
    <w:rsid w:val="00BB3A1A"/>
    <w:rsid w:val="00BB53C4"/>
    <w:rsid w:val="00BB5577"/>
    <w:rsid w:val="00BB64BB"/>
    <w:rsid w:val="00BB66F2"/>
    <w:rsid w:val="00BB7387"/>
    <w:rsid w:val="00BB7B3A"/>
    <w:rsid w:val="00BC3205"/>
    <w:rsid w:val="00BC46CE"/>
    <w:rsid w:val="00BC5D7A"/>
    <w:rsid w:val="00BC6739"/>
    <w:rsid w:val="00BC6F33"/>
    <w:rsid w:val="00BD14A5"/>
    <w:rsid w:val="00BD231C"/>
    <w:rsid w:val="00BD3738"/>
    <w:rsid w:val="00BD3EBA"/>
    <w:rsid w:val="00BD5E34"/>
    <w:rsid w:val="00BD6670"/>
    <w:rsid w:val="00BE0356"/>
    <w:rsid w:val="00BE0B03"/>
    <w:rsid w:val="00BE1527"/>
    <w:rsid w:val="00BE1F6E"/>
    <w:rsid w:val="00BE3087"/>
    <w:rsid w:val="00BE3103"/>
    <w:rsid w:val="00BE3705"/>
    <w:rsid w:val="00BE40B9"/>
    <w:rsid w:val="00BE61CA"/>
    <w:rsid w:val="00BE6D64"/>
    <w:rsid w:val="00BE6E51"/>
    <w:rsid w:val="00BE7977"/>
    <w:rsid w:val="00BF2BE1"/>
    <w:rsid w:val="00BF56F0"/>
    <w:rsid w:val="00BF5D41"/>
    <w:rsid w:val="00BF6336"/>
    <w:rsid w:val="00BF6542"/>
    <w:rsid w:val="00C00140"/>
    <w:rsid w:val="00C040E3"/>
    <w:rsid w:val="00C04EE9"/>
    <w:rsid w:val="00C10C86"/>
    <w:rsid w:val="00C10EB8"/>
    <w:rsid w:val="00C11BD8"/>
    <w:rsid w:val="00C12294"/>
    <w:rsid w:val="00C1261C"/>
    <w:rsid w:val="00C12E76"/>
    <w:rsid w:val="00C13271"/>
    <w:rsid w:val="00C13CEE"/>
    <w:rsid w:val="00C144E7"/>
    <w:rsid w:val="00C14D4D"/>
    <w:rsid w:val="00C166BC"/>
    <w:rsid w:val="00C20A68"/>
    <w:rsid w:val="00C21771"/>
    <w:rsid w:val="00C22A44"/>
    <w:rsid w:val="00C23BD2"/>
    <w:rsid w:val="00C241F0"/>
    <w:rsid w:val="00C24730"/>
    <w:rsid w:val="00C24924"/>
    <w:rsid w:val="00C256D5"/>
    <w:rsid w:val="00C27E42"/>
    <w:rsid w:val="00C31AE6"/>
    <w:rsid w:val="00C31FB4"/>
    <w:rsid w:val="00C32E1A"/>
    <w:rsid w:val="00C358F2"/>
    <w:rsid w:val="00C35A76"/>
    <w:rsid w:val="00C362E3"/>
    <w:rsid w:val="00C367FA"/>
    <w:rsid w:val="00C36F14"/>
    <w:rsid w:val="00C41F05"/>
    <w:rsid w:val="00C4216F"/>
    <w:rsid w:val="00C4225A"/>
    <w:rsid w:val="00C4293D"/>
    <w:rsid w:val="00C440B4"/>
    <w:rsid w:val="00C44FEF"/>
    <w:rsid w:val="00C46C18"/>
    <w:rsid w:val="00C47E90"/>
    <w:rsid w:val="00C50DDE"/>
    <w:rsid w:val="00C50F5E"/>
    <w:rsid w:val="00C51BE4"/>
    <w:rsid w:val="00C52081"/>
    <w:rsid w:val="00C52A8A"/>
    <w:rsid w:val="00C52F0C"/>
    <w:rsid w:val="00C533BC"/>
    <w:rsid w:val="00C53776"/>
    <w:rsid w:val="00C546A9"/>
    <w:rsid w:val="00C54770"/>
    <w:rsid w:val="00C54A1A"/>
    <w:rsid w:val="00C54D58"/>
    <w:rsid w:val="00C55593"/>
    <w:rsid w:val="00C56A92"/>
    <w:rsid w:val="00C573E1"/>
    <w:rsid w:val="00C579D7"/>
    <w:rsid w:val="00C57EAC"/>
    <w:rsid w:val="00C60222"/>
    <w:rsid w:val="00C61665"/>
    <w:rsid w:val="00C619EB"/>
    <w:rsid w:val="00C619FA"/>
    <w:rsid w:val="00C62708"/>
    <w:rsid w:val="00C63AD2"/>
    <w:rsid w:val="00C64675"/>
    <w:rsid w:val="00C64A54"/>
    <w:rsid w:val="00C64B4C"/>
    <w:rsid w:val="00C651C0"/>
    <w:rsid w:val="00C65553"/>
    <w:rsid w:val="00C66092"/>
    <w:rsid w:val="00C676D0"/>
    <w:rsid w:val="00C67705"/>
    <w:rsid w:val="00C70253"/>
    <w:rsid w:val="00C714BD"/>
    <w:rsid w:val="00C72A34"/>
    <w:rsid w:val="00C72E31"/>
    <w:rsid w:val="00C73085"/>
    <w:rsid w:val="00C734BE"/>
    <w:rsid w:val="00C736D3"/>
    <w:rsid w:val="00C75C33"/>
    <w:rsid w:val="00C75D88"/>
    <w:rsid w:val="00C768DC"/>
    <w:rsid w:val="00C77211"/>
    <w:rsid w:val="00C772BB"/>
    <w:rsid w:val="00C77D8F"/>
    <w:rsid w:val="00C81E8F"/>
    <w:rsid w:val="00C82588"/>
    <w:rsid w:val="00C8308B"/>
    <w:rsid w:val="00C8526A"/>
    <w:rsid w:val="00C863A8"/>
    <w:rsid w:val="00C90AB5"/>
    <w:rsid w:val="00C91721"/>
    <w:rsid w:val="00C9294D"/>
    <w:rsid w:val="00C93CC8"/>
    <w:rsid w:val="00C93FC6"/>
    <w:rsid w:val="00C94764"/>
    <w:rsid w:val="00C94A2D"/>
    <w:rsid w:val="00C95DF6"/>
    <w:rsid w:val="00C964D6"/>
    <w:rsid w:val="00C97ADD"/>
    <w:rsid w:val="00CA2721"/>
    <w:rsid w:val="00CA5D36"/>
    <w:rsid w:val="00CA613A"/>
    <w:rsid w:val="00CA6F14"/>
    <w:rsid w:val="00CA7CA9"/>
    <w:rsid w:val="00CB1130"/>
    <w:rsid w:val="00CB1660"/>
    <w:rsid w:val="00CB1724"/>
    <w:rsid w:val="00CB2D6D"/>
    <w:rsid w:val="00CB3C16"/>
    <w:rsid w:val="00CB673F"/>
    <w:rsid w:val="00CB6BEE"/>
    <w:rsid w:val="00CC3BA4"/>
    <w:rsid w:val="00CC62D2"/>
    <w:rsid w:val="00CC6ED7"/>
    <w:rsid w:val="00CC71D4"/>
    <w:rsid w:val="00CD04E6"/>
    <w:rsid w:val="00CD2265"/>
    <w:rsid w:val="00CD325B"/>
    <w:rsid w:val="00CD39DE"/>
    <w:rsid w:val="00CD3E5C"/>
    <w:rsid w:val="00CD5522"/>
    <w:rsid w:val="00CD5C50"/>
    <w:rsid w:val="00CD77AD"/>
    <w:rsid w:val="00CE0242"/>
    <w:rsid w:val="00CE24FE"/>
    <w:rsid w:val="00CE2651"/>
    <w:rsid w:val="00CE45F9"/>
    <w:rsid w:val="00CE5C65"/>
    <w:rsid w:val="00CE5DF0"/>
    <w:rsid w:val="00CE65DE"/>
    <w:rsid w:val="00CE759B"/>
    <w:rsid w:val="00CE77AA"/>
    <w:rsid w:val="00CF0B84"/>
    <w:rsid w:val="00CF1641"/>
    <w:rsid w:val="00CF3779"/>
    <w:rsid w:val="00CF6525"/>
    <w:rsid w:val="00CF7B86"/>
    <w:rsid w:val="00D0073E"/>
    <w:rsid w:val="00D020E2"/>
    <w:rsid w:val="00D05082"/>
    <w:rsid w:val="00D05CBD"/>
    <w:rsid w:val="00D06048"/>
    <w:rsid w:val="00D0617E"/>
    <w:rsid w:val="00D063D9"/>
    <w:rsid w:val="00D0783E"/>
    <w:rsid w:val="00D07C06"/>
    <w:rsid w:val="00D07F55"/>
    <w:rsid w:val="00D11122"/>
    <w:rsid w:val="00D12E15"/>
    <w:rsid w:val="00D13254"/>
    <w:rsid w:val="00D1366D"/>
    <w:rsid w:val="00D14354"/>
    <w:rsid w:val="00D15BA7"/>
    <w:rsid w:val="00D16547"/>
    <w:rsid w:val="00D1694C"/>
    <w:rsid w:val="00D174FB"/>
    <w:rsid w:val="00D20221"/>
    <w:rsid w:val="00D2039D"/>
    <w:rsid w:val="00D20CDA"/>
    <w:rsid w:val="00D214E8"/>
    <w:rsid w:val="00D22135"/>
    <w:rsid w:val="00D24028"/>
    <w:rsid w:val="00D24F0B"/>
    <w:rsid w:val="00D251D6"/>
    <w:rsid w:val="00D25AAF"/>
    <w:rsid w:val="00D25C60"/>
    <w:rsid w:val="00D25D0F"/>
    <w:rsid w:val="00D25D74"/>
    <w:rsid w:val="00D2783B"/>
    <w:rsid w:val="00D32F01"/>
    <w:rsid w:val="00D334EE"/>
    <w:rsid w:val="00D33794"/>
    <w:rsid w:val="00D343C5"/>
    <w:rsid w:val="00D34879"/>
    <w:rsid w:val="00D34D34"/>
    <w:rsid w:val="00D354D4"/>
    <w:rsid w:val="00D35825"/>
    <w:rsid w:val="00D36B0C"/>
    <w:rsid w:val="00D37985"/>
    <w:rsid w:val="00D43AFE"/>
    <w:rsid w:val="00D45ACE"/>
    <w:rsid w:val="00D46105"/>
    <w:rsid w:val="00D46405"/>
    <w:rsid w:val="00D46F52"/>
    <w:rsid w:val="00D47CD8"/>
    <w:rsid w:val="00D47CFD"/>
    <w:rsid w:val="00D50097"/>
    <w:rsid w:val="00D524A6"/>
    <w:rsid w:val="00D529CD"/>
    <w:rsid w:val="00D52C95"/>
    <w:rsid w:val="00D55CAE"/>
    <w:rsid w:val="00D55F24"/>
    <w:rsid w:val="00D570CE"/>
    <w:rsid w:val="00D570EA"/>
    <w:rsid w:val="00D5752E"/>
    <w:rsid w:val="00D579D1"/>
    <w:rsid w:val="00D60A2D"/>
    <w:rsid w:val="00D62A33"/>
    <w:rsid w:val="00D62D3D"/>
    <w:rsid w:val="00D644F7"/>
    <w:rsid w:val="00D646FE"/>
    <w:rsid w:val="00D64A79"/>
    <w:rsid w:val="00D651C2"/>
    <w:rsid w:val="00D67799"/>
    <w:rsid w:val="00D67C03"/>
    <w:rsid w:val="00D7069E"/>
    <w:rsid w:val="00D72B8F"/>
    <w:rsid w:val="00D73151"/>
    <w:rsid w:val="00D73955"/>
    <w:rsid w:val="00D76C27"/>
    <w:rsid w:val="00D76C5E"/>
    <w:rsid w:val="00D76D10"/>
    <w:rsid w:val="00D81D14"/>
    <w:rsid w:val="00D823E6"/>
    <w:rsid w:val="00D83053"/>
    <w:rsid w:val="00D83362"/>
    <w:rsid w:val="00D83E18"/>
    <w:rsid w:val="00D84A61"/>
    <w:rsid w:val="00D84C65"/>
    <w:rsid w:val="00D84CF4"/>
    <w:rsid w:val="00D85F96"/>
    <w:rsid w:val="00D86A27"/>
    <w:rsid w:val="00D87FC3"/>
    <w:rsid w:val="00D9016B"/>
    <w:rsid w:val="00D915DF"/>
    <w:rsid w:val="00D923BB"/>
    <w:rsid w:val="00D92771"/>
    <w:rsid w:val="00D93F59"/>
    <w:rsid w:val="00D96AC7"/>
    <w:rsid w:val="00D96F9D"/>
    <w:rsid w:val="00D97721"/>
    <w:rsid w:val="00DA1B7B"/>
    <w:rsid w:val="00DA204F"/>
    <w:rsid w:val="00DA311E"/>
    <w:rsid w:val="00DA3378"/>
    <w:rsid w:val="00DA352E"/>
    <w:rsid w:val="00DA3680"/>
    <w:rsid w:val="00DB0043"/>
    <w:rsid w:val="00DB11F9"/>
    <w:rsid w:val="00DB4248"/>
    <w:rsid w:val="00DB43A7"/>
    <w:rsid w:val="00DB4D6C"/>
    <w:rsid w:val="00DB53FA"/>
    <w:rsid w:val="00DB53FB"/>
    <w:rsid w:val="00DB56C9"/>
    <w:rsid w:val="00DB626C"/>
    <w:rsid w:val="00DB6347"/>
    <w:rsid w:val="00DB6842"/>
    <w:rsid w:val="00DB721D"/>
    <w:rsid w:val="00DB79CF"/>
    <w:rsid w:val="00DB79DF"/>
    <w:rsid w:val="00DB7F7C"/>
    <w:rsid w:val="00DC0898"/>
    <w:rsid w:val="00DC205E"/>
    <w:rsid w:val="00DC25FD"/>
    <w:rsid w:val="00DC2CE4"/>
    <w:rsid w:val="00DC479D"/>
    <w:rsid w:val="00DC61F8"/>
    <w:rsid w:val="00DC7EFE"/>
    <w:rsid w:val="00DD13D4"/>
    <w:rsid w:val="00DD16F6"/>
    <w:rsid w:val="00DD1787"/>
    <w:rsid w:val="00DD1AED"/>
    <w:rsid w:val="00DD4822"/>
    <w:rsid w:val="00DD4B02"/>
    <w:rsid w:val="00DD5426"/>
    <w:rsid w:val="00DD5BD1"/>
    <w:rsid w:val="00DD64B6"/>
    <w:rsid w:val="00DD6720"/>
    <w:rsid w:val="00DE0402"/>
    <w:rsid w:val="00DE12A0"/>
    <w:rsid w:val="00DE1669"/>
    <w:rsid w:val="00DE1D12"/>
    <w:rsid w:val="00DE24E5"/>
    <w:rsid w:val="00DE25A9"/>
    <w:rsid w:val="00DE276F"/>
    <w:rsid w:val="00DE3187"/>
    <w:rsid w:val="00DE370B"/>
    <w:rsid w:val="00DE3E06"/>
    <w:rsid w:val="00DE4E25"/>
    <w:rsid w:val="00DE50A7"/>
    <w:rsid w:val="00DE5750"/>
    <w:rsid w:val="00DE5979"/>
    <w:rsid w:val="00DE5A74"/>
    <w:rsid w:val="00DE6400"/>
    <w:rsid w:val="00DE6C79"/>
    <w:rsid w:val="00DF18F3"/>
    <w:rsid w:val="00DF56C9"/>
    <w:rsid w:val="00E015AB"/>
    <w:rsid w:val="00E02099"/>
    <w:rsid w:val="00E02B21"/>
    <w:rsid w:val="00E03263"/>
    <w:rsid w:val="00E03840"/>
    <w:rsid w:val="00E04410"/>
    <w:rsid w:val="00E04B60"/>
    <w:rsid w:val="00E06910"/>
    <w:rsid w:val="00E0701E"/>
    <w:rsid w:val="00E11426"/>
    <w:rsid w:val="00E11BFC"/>
    <w:rsid w:val="00E12C47"/>
    <w:rsid w:val="00E13155"/>
    <w:rsid w:val="00E158FE"/>
    <w:rsid w:val="00E168CC"/>
    <w:rsid w:val="00E17531"/>
    <w:rsid w:val="00E17A18"/>
    <w:rsid w:val="00E17A56"/>
    <w:rsid w:val="00E21C04"/>
    <w:rsid w:val="00E228EE"/>
    <w:rsid w:val="00E24703"/>
    <w:rsid w:val="00E24BF7"/>
    <w:rsid w:val="00E25EF4"/>
    <w:rsid w:val="00E265E3"/>
    <w:rsid w:val="00E26D68"/>
    <w:rsid w:val="00E27763"/>
    <w:rsid w:val="00E303AB"/>
    <w:rsid w:val="00E314B2"/>
    <w:rsid w:val="00E32175"/>
    <w:rsid w:val="00E3277C"/>
    <w:rsid w:val="00E32CD6"/>
    <w:rsid w:val="00E33B3D"/>
    <w:rsid w:val="00E33CA4"/>
    <w:rsid w:val="00E36A93"/>
    <w:rsid w:val="00E36EF8"/>
    <w:rsid w:val="00E36F4A"/>
    <w:rsid w:val="00E3769F"/>
    <w:rsid w:val="00E3776A"/>
    <w:rsid w:val="00E43EB9"/>
    <w:rsid w:val="00E447C9"/>
    <w:rsid w:val="00E50FCD"/>
    <w:rsid w:val="00E51716"/>
    <w:rsid w:val="00E55228"/>
    <w:rsid w:val="00E55C79"/>
    <w:rsid w:val="00E56837"/>
    <w:rsid w:val="00E5752D"/>
    <w:rsid w:val="00E575CF"/>
    <w:rsid w:val="00E60E8C"/>
    <w:rsid w:val="00E61A51"/>
    <w:rsid w:val="00E62ECD"/>
    <w:rsid w:val="00E6359B"/>
    <w:rsid w:val="00E64864"/>
    <w:rsid w:val="00E654B4"/>
    <w:rsid w:val="00E65E43"/>
    <w:rsid w:val="00E6637D"/>
    <w:rsid w:val="00E67289"/>
    <w:rsid w:val="00E705AA"/>
    <w:rsid w:val="00E70A41"/>
    <w:rsid w:val="00E71022"/>
    <w:rsid w:val="00E71214"/>
    <w:rsid w:val="00E723C1"/>
    <w:rsid w:val="00E743F6"/>
    <w:rsid w:val="00E748F5"/>
    <w:rsid w:val="00E74A39"/>
    <w:rsid w:val="00E7550C"/>
    <w:rsid w:val="00E76522"/>
    <w:rsid w:val="00E76F09"/>
    <w:rsid w:val="00E77169"/>
    <w:rsid w:val="00E77C39"/>
    <w:rsid w:val="00E82077"/>
    <w:rsid w:val="00E84A4B"/>
    <w:rsid w:val="00E851F3"/>
    <w:rsid w:val="00E85761"/>
    <w:rsid w:val="00E861E0"/>
    <w:rsid w:val="00E8667F"/>
    <w:rsid w:val="00E868DB"/>
    <w:rsid w:val="00E8743E"/>
    <w:rsid w:val="00E87470"/>
    <w:rsid w:val="00E91CD9"/>
    <w:rsid w:val="00E91E30"/>
    <w:rsid w:val="00E9216D"/>
    <w:rsid w:val="00E93624"/>
    <w:rsid w:val="00E94655"/>
    <w:rsid w:val="00E946D6"/>
    <w:rsid w:val="00E94D0B"/>
    <w:rsid w:val="00E953C2"/>
    <w:rsid w:val="00E96A51"/>
    <w:rsid w:val="00E96AC3"/>
    <w:rsid w:val="00E973B3"/>
    <w:rsid w:val="00EA15F0"/>
    <w:rsid w:val="00EA1906"/>
    <w:rsid w:val="00EA1B40"/>
    <w:rsid w:val="00EA2C43"/>
    <w:rsid w:val="00EA32F7"/>
    <w:rsid w:val="00EA3640"/>
    <w:rsid w:val="00EA4684"/>
    <w:rsid w:val="00EA6200"/>
    <w:rsid w:val="00EA65CF"/>
    <w:rsid w:val="00EA6608"/>
    <w:rsid w:val="00EA6E40"/>
    <w:rsid w:val="00EA759C"/>
    <w:rsid w:val="00EB1113"/>
    <w:rsid w:val="00EB3B29"/>
    <w:rsid w:val="00EB6B69"/>
    <w:rsid w:val="00EC0C82"/>
    <w:rsid w:val="00EC14D8"/>
    <w:rsid w:val="00EC41A9"/>
    <w:rsid w:val="00EC46BE"/>
    <w:rsid w:val="00EC6A53"/>
    <w:rsid w:val="00EC6FD8"/>
    <w:rsid w:val="00ED019A"/>
    <w:rsid w:val="00ED06B8"/>
    <w:rsid w:val="00ED0B65"/>
    <w:rsid w:val="00ED0C7A"/>
    <w:rsid w:val="00ED1658"/>
    <w:rsid w:val="00ED1E89"/>
    <w:rsid w:val="00ED2125"/>
    <w:rsid w:val="00ED4E3B"/>
    <w:rsid w:val="00ED7139"/>
    <w:rsid w:val="00EE032A"/>
    <w:rsid w:val="00EE05D9"/>
    <w:rsid w:val="00EE0826"/>
    <w:rsid w:val="00EE1A62"/>
    <w:rsid w:val="00EE20A8"/>
    <w:rsid w:val="00EE3546"/>
    <w:rsid w:val="00EE37FB"/>
    <w:rsid w:val="00EE3868"/>
    <w:rsid w:val="00EE422E"/>
    <w:rsid w:val="00EE4678"/>
    <w:rsid w:val="00EE58F0"/>
    <w:rsid w:val="00EE5EEB"/>
    <w:rsid w:val="00EE64ED"/>
    <w:rsid w:val="00EF010C"/>
    <w:rsid w:val="00EF0E28"/>
    <w:rsid w:val="00EF13AF"/>
    <w:rsid w:val="00EF1576"/>
    <w:rsid w:val="00EF3306"/>
    <w:rsid w:val="00EF39B9"/>
    <w:rsid w:val="00EF3C70"/>
    <w:rsid w:val="00EF4171"/>
    <w:rsid w:val="00EF47A4"/>
    <w:rsid w:val="00EF5A12"/>
    <w:rsid w:val="00EF5A78"/>
    <w:rsid w:val="00EF613D"/>
    <w:rsid w:val="00EF63DD"/>
    <w:rsid w:val="00EF71EC"/>
    <w:rsid w:val="00EF79A7"/>
    <w:rsid w:val="00F00A78"/>
    <w:rsid w:val="00F02FF2"/>
    <w:rsid w:val="00F049E1"/>
    <w:rsid w:val="00F10C6E"/>
    <w:rsid w:val="00F11A01"/>
    <w:rsid w:val="00F12EB1"/>
    <w:rsid w:val="00F1349E"/>
    <w:rsid w:val="00F13C1A"/>
    <w:rsid w:val="00F14F74"/>
    <w:rsid w:val="00F15F7F"/>
    <w:rsid w:val="00F162A1"/>
    <w:rsid w:val="00F164EE"/>
    <w:rsid w:val="00F16717"/>
    <w:rsid w:val="00F21E4D"/>
    <w:rsid w:val="00F22C2D"/>
    <w:rsid w:val="00F230CD"/>
    <w:rsid w:val="00F2310B"/>
    <w:rsid w:val="00F23154"/>
    <w:rsid w:val="00F23838"/>
    <w:rsid w:val="00F23AC7"/>
    <w:rsid w:val="00F24911"/>
    <w:rsid w:val="00F24FEC"/>
    <w:rsid w:val="00F25B09"/>
    <w:rsid w:val="00F26B04"/>
    <w:rsid w:val="00F271D0"/>
    <w:rsid w:val="00F30211"/>
    <w:rsid w:val="00F308C2"/>
    <w:rsid w:val="00F31899"/>
    <w:rsid w:val="00F31BC1"/>
    <w:rsid w:val="00F320F3"/>
    <w:rsid w:val="00F325F9"/>
    <w:rsid w:val="00F32D18"/>
    <w:rsid w:val="00F36D5D"/>
    <w:rsid w:val="00F40C92"/>
    <w:rsid w:val="00F40F15"/>
    <w:rsid w:val="00F41985"/>
    <w:rsid w:val="00F41E29"/>
    <w:rsid w:val="00F44113"/>
    <w:rsid w:val="00F4446D"/>
    <w:rsid w:val="00F44B04"/>
    <w:rsid w:val="00F453CA"/>
    <w:rsid w:val="00F46F79"/>
    <w:rsid w:val="00F4769F"/>
    <w:rsid w:val="00F4798D"/>
    <w:rsid w:val="00F51C18"/>
    <w:rsid w:val="00F52444"/>
    <w:rsid w:val="00F53E4D"/>
    <w:rsid w:val="00F53FC6"/>
    <w:rsid w:val="00F54347"/>
    <w:rsid w:val="00F5443B"/>
    <w:rsid w:val="00F55687"/>
    <w:rsid w:val="00F55E34"/>
    <w:rsid w:val="00F60768"/>
    <w:rsid w:val="00F611F9"/>
    <w:rsid w:val="00F614F2"/>
    <w:rsid w:val="00F62D32"/>
    <w:rsid w:val="00F654CE"/>
    <w:rsid w:val="00F65D2D"/>
    <w:rsid w:val="00F661D1"/>
    <w:rsid w:val="00F66403"/>
    <w:rsid w:val="00F67007"/>
    <w:rsid w:val="00F70960"/>
    <w:rsid w:val="00F71C2D"/>
    <w:rsid w:val="00F7276B"/>
    <w:rsid w:val="00F72C45"/>
    <w:rsid w:val="00F7386A"/>
    <w:rsid w:val="00F74BE0"/>
    <w:rsid w:val="00F7524F"/>
    <w:rsid w:val="00F75700"/>
    <w:rsid w:val="00F7663D"/>
    <w:rsid w:val="00F7741F"/>
    <w:rsid w:val="00F8225D"/>
    <w:rsid w:val="00F82D02"/>
    <w:rsid w:val="00F84262"/>
    <w:rsid w:val="00F842B5"/>
    <w:rsid w:val="00F855BD"/>
    <w:rsid w:val="00F857C7"/>
    <w:rsid w:val="00F86A20"/>
    <w:rsid w:val="00F86D24"/>
    <w:rsid w:val="00F8731D"/>
    <w:rsid w:val="00F87963"/>
    <w:rsid w:val="00F87EC2"/>
    <w:rsid w:val="00F9043C"/>
    <w:rsid w:val="00F918BE"/>
    <w:rsid w:val="00F91E6D"/>
    <w:rsid w:val="00F928F7"/>
    <w:rsid w:val="00F92C0D"/>
    <w:rsid w:val="00F930EB"/>
    <w:rsid w:val="00F94DB5"/>
    <w:rsid w:val="00F94E96"/>
    <w:rsid w:val="00F955B4"/>
    <w:rsid w:val="00F96265"/>
    <w:rsid w:val="00FA133D"/>
    <w:rsid w:val="00FA31E2"/>
    <w:rsid w:val="00FA426C"/>
    <w:rsid w:val="00FA4A3C"/>
    <w:rsid w:val="00FA4D04"/>
    <w:rsid w:val="00FB07C3"/>
    <w:rsid w:val="00FB1FF6"/>
    <w:rsid w:val="00FB426D"/>
    <w:rsid w:val="00FB479C"/>
    <w:rsid w:val="00FB47B2"/>
    <w:rsid w:val="00FB4E3F"/>
    <w:rsid w:val="00FB6477"/>
    <w:rsid w:val="00FB6A75"/>
    <w:rsid w:val="00FB702F"/>
    <w:rsid w:val="00FC0006"/>
    <w:rsid w:val="00FC0260"/>
    <w:rsid w:val="00FC4F67"/>
    <w:rsid w:val="00FC5E88"/>
    <w:rsid w:val="00FC6290"/>
    <w:rsid w:val="00FC701B"/>
    <w:rsid w:val="00FC72D3"/>
    <w:rsid w:val="00FC7A60"/>
    <w:rsid w:val="00FD0E40"/>
    <w:rsid w:val="00FD0F51"/>
    <w:rsid w:val="00FD14F1"/>
    <w:rsid w:val="00FD2EE4"/>
    <w:rsid w:val="00FD3C0D"/>
    <w:rsid w:val="00FD3CED"/>
    <w:rsid w:val="00FD463B"/>
    <w:rsid w:val="00FD53EE"/>
    <w:rsid w:val="00FD5CDC"/>
    <w:rsid w:val="00FD6ED9"/>
    <w:rsid w:val="00FE1026"/>
    <w:rsid w:val="00FE2464"/>
    <w:rsid w:val="00FE3E3B"/>
    <w:rsid w:val="00FE45D5"/>
    <w:rsid w:val="00FE52FF"/>
    <w:rsid w:val="00FE71C4"/>
    <w:rsid w:val="00FF038A"/>
    <w:rsid w:val="00FF06C0"/>
    <w:rsid w:val="00FF1250"/>
    <w:rsid w:val="00FF3C5A"/>
    <w:rsid w:val="00FF4405"/>
    <w:rsid w:val="00FF4A13"/>
    <w:rsid w:val="00FF584A"/>
    <w:rsid w:val="00FF5B70"/>
    <w:rsid w:val="00FF5BB9"/>
    <w:rsid w:val="01A8AC55"/>
    <w:rsid w:val="01AE1CBB"/>
    <w:rsid w:val="02C8246E"/>
    <w:rsid w:val="02F825C8"/>
    <w:rsid w:val="0365DBD3"/>
    <w:rsid w:val="040D14B5"/>
    <w:rsid w:val="043300F5"/>
    <w:rsid w:val="0443AAE0"/>
    <w:rsid w:val="051ACA5D"/>
    <w:rsid w:val="05634B20"/>
    <w:rsid w:val="0598240A"/>
    <w:rsid w:val="05B49085"/>
    <w:rsid w:val="06CF768D"/>
    <w:rsid w:val="07599182"/>
    <w:rsid w:val="079BE257"/>
    <w:rsid w:val="0B2031E6"/>
    <w:rsid w:val="0BC5F789"/>
    <w:rsid w:val="0CD522AC"/>
    <w:rsid w:val="0D5CABCB"/>
    <w:rsid w:val="0DC704BF"/>
    <w:rsid w:val="0F3996E9"/>
    <w:rsid w:val="0F73E02B"/>
    <w:rsid w:val="107F7F29"/>
    <w:rsid w:val="10FAAEFA"/>
    <w:rsid w:val="11B8AED3"/>
    <w:rsid w:val="122EDB58"/>
    <w:rsid w:val="1296C6BF"/>
    <w:rsid w:val="1383E107"/>
    <w:rsid w:val="13AE8159"/>
    <w:rsid w:val="14472536"/>
    <w:rsid w:val="1576116F"/>
    <w:rsid w:val="15B3225F"/>
    <w:rsid w:val="15D91E82"/>
    <w:rsid w:val="1780185E"/>
    <w:rsid w:val="17EEC6F5"/>
    <w:rsid w:val="1B103618"/>
    <w:rsid w:val="1B2FFEB0"/>
    <w:rsid w:val="1BFE8F4C"/>
    <w:rsid w:val="1C2D03FB"/>
    <w:rsid w:val="1E0DA244"/>
    <w:rsid w:val="1ECDC10F"/>
    <w:rsid w:val="1F6D262B"/>
    <w:rsid w:val="20470726"/>
    <w:rsid w:val="21001439"/>
    <w:rsid w:val="227CF1A7"/>
    <w:rsid w:val="23C99662"/>
    <w:rsid w:val="23F3B37E"/>
    <w:rsid w:val="2441D155"/>
    <w:rsid w:val="253607B1"/>
    <w:rsid w:val="27904F16"/>
    <w:rsid w:val="2935CD39"/>
    <w:rsid w:val="294DAF7A"/>
    <w:rsid w:val="2A36BCFF"/>
    <w:rsid w:val="2C6199CD"/>
    <w:rsid w:val="2DA203D0"/>
    <w:rsid w:val="2E15C7D9"/>
    <w:rsid w:val="2EDA6EF5"/>
    <w:rsid w:val="2FDD6669"/>
    <w:rsid w:val="30051D58"/>
    <w:rsid w:val="3249BF17"/>
    <w:rsid w:val="32ED877B"/>
    <w:rsid w:val="330AFDA8"/>
    <w:rsid w:val="3349339E"/>
    <w:rsid w:val="33784ECD"/>
    <w:rsid w:val="35B5DCBF"/>
    <w:rsid w:val="365B41E5"/>
    <w:rsid w:val="36CC384B"/>
    <w:rsid w:val="3BC0E640"/>
    <w:rsid w:val="3BCD4151"/>
    <w:rsid w:val="3C476962"/>
    <w:rsid w:val="3CE7D1A7"/>
    <w:rsid w:val="3D094FC2"/>
    <w:rsid w:val="3D323AB3"/>
    <w:rsid w:val="3DB69706"/>
    <w:rsid w:val="3E053687"/>
    <w:rsid w:val="3E810D36"/>
    <w:rsid w:val="3E9AEFC3"/>
    <w:rsid w:val="4061C94C"/>
    <w:rsid w:val="40A67DF4"/>
    <w:rsid w:val="41521C77"/>
    <w:rsid w:val="4179A21B"/>
    <w:rsid w:val="41FADB60"/>
    <w:rsid w:val="42F6171B"/>
    <w:rsid w:val="432DFFE6"/>
    <w:rsid w:val="45528662"/>
    <w:rsid w:val="46A95778"/>
    <w:rsid w:val="472FB64E"/>
    <w:rsid w:val="4821A394"/>
    <w:rsid w:val="489E8600"/>
    <w:rsid w:val="48A3EFC0"/>
    <w:rsid w:val="48B0F57C"/>
    <w:rsid w:val="48D96DC8"/>
    <w:rsid w:val="49D8B0E9"/>
    <w:rsid w:val="4C1B8CB6"/>
    <w:rsid w:val="4E14F4E7"/>
    <w:rsid w:val="4E92FD15"/>
    <w:rsid w:val="4EF14FA7"/>
    <w:rsid w:val="4F3827FE"/>
    <w:rsid w:val="4F6BABFD"/>
    <w:rsid w:val="523CB98E"/>
    <w:rsid w:val="5362EADA"/>
    <w:rsid w:val="536621E3"/>
    <w:rsid w:val="55277EF6"/>
    <w:rsid w:val="55919EFD"/>
    <w:rsid w:val="567793EC"/>
    <w:rsid w:val="5714ABAD"/>
    <w:rsid w:val="57358D54"/>
    <w:rsid w:val="5764AB88"/>
    <w:rsid w:val="577270B4"/>
    <w:rsid w:val="57A49419"/>
    <w:rsid w:val="5838AB78"/>
    <w:rsid w:val="589EEBDD"/>
    <w:rsid w:val="5A114CCC"/>
    <w:rsid w:val="5A4499FA"/>
    <w:rsid w:val="5B5DF146"/>
    <w:rsid w:val="5BEBBC71"/>
    <w:rsid w:val="5C9556FD"/>
    <w:rsid w:val="5EC6E7CB"/>
    <w:rsid w:val="5FC31723"/>
    <w:rsid w:val="6052EA58"/>
    <w:rsid w:val="60644418"/>
    <w:rsid w:val="60D157B0"/>
    <w:rsid w:val="61720618"/>
    <w:rsid w:val="626D63A2"/>
    <w:rsid w:val="650BE6A1"/>
    <w:rsid w:val="651760C3"/>
    <w:rsid w:val="65E89503"/>
    <w:rsid w:val="67101D83"/>
    <w:rsid w:val="674B07B6"/>
    <w:rsid w:val="67BBE3C8"/>
    <w:rsid w:val="67C7E106"/>
    <w:rsid w:val="680ABFA7"/>
    <w:rsid w:val="6A0C26B5"/>
    <w:rsid w:val="6C270417"/>
    <w:rsid w:val="6C89FDE1"/>
    <w:rsid w:val="6ED16A39"/>
    <w:rsid w:val="6ED5AB19"/>
    <w:rsid w:val="6F6BD4B4"/>
    <w:rsid w:val="70102AE6"/>
    <w:rsid w:val="70DEFEA7"/>
    <w:rsid w:val="7120F8CF"/>
    <w:rsid w:val="727EA3AC"/>
    <w:rsid w:val="72AF4400"/>
    <w:rsid w:val="73193BA3"/>
    <w:rsid w:val="74810E64"/>
    <w:rsid w:val="74D4699E"/>
    <w:rsid w:val="7623637F"/>
    <w:rsid w:val="76FAC8A1"/>
    <w:rsid w:val="77153805"/>
    <w:rsid w:val="77489F85"/>
    <w:rsid w:val="775169D4"/>
    <w:rsid w:val="77DBB198"/>
    <w:rsid w:val="7AAF60AC"/>
    <w:rsid w:val="7AC88BA4"/>
    <w:rsid w:val="7AF83BE0"/>
    <w:rsid w:val="7CE901FC"/>
    <w:rsid w:val="7E0136C5"/>
    <w:rsid w:val="7FA6D6D4"/>
    <w:rsid w:val="7FB215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95F99D66-93E6-4F45-8D5C-44302531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7436FA"/>
    <w:pPr>
      <w:keepNext/>
      <w:keepLines/>
      <w:spacing w:before="40" w:after="0"/>
      <w:ind w:left="1296" w:hanging="1296"/>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7436F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36F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ist Paragraph1,List Paragraph11,Bullet point,List Paragraph Number,Bullet Point,L,Bullet points,Content descriptions,Use Case List Paragraph,List Paragraph - bullets,standard lewis,Numbered Para 1,Dot pt,No Spacing1,B1,列出段"/>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ind w:left="357" w:hanging="357"/>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A6612"/>
    <w:rPr>
      <w:color w:val="605E5C"/>
      <w:shd w:val="clear" w:color="auto" w:fill="E1DFDD"/>
    </w:rPr>
  </w:style>
  <w:style w:type="character" w:styleId="CommentReference">
    <w:name w:val="annotation reference"/>
    <w:basedOn w:val="DefaultParagraphFont"/>
    <w:uiPriority w:val="99"/>
    <w:semiHidden/>
    <w:unhideWhenUsed/>
    <w:rsid w:val="000E671D"/>
    <w:rPr>
      <w:sz w:val="16"/>
      <w:szCs w:val="16"/>
    </w:rPr>
  </w:style>
  <w:style w:type="paragraph" w:styleId="CommentText">
    <w:name w:val="annotation text"/>
    <w:basedOn w:val="Normal"/>
    <w:link w:val="CommentTextChar"/>
    <w:uiPriority w:val="99"/>
    <w:unhideWhenUsed/>
    <w:rsid w:val="000E671D"/>
    <w:pPr>
      <w:spacing w:line="240" w:lineRule="auto"/>
    </w:pPr>
    <w:rPr>
      <w:sz w:val="20"/>
      <w:szCs w:val="20"/>
    </w:rPr>
  </w:style>
  <w:style w:type="character" w:customStyle="1" w:styleId="CommentTextChar">
    <w:name w:val="Comment Text Char"/>
    <w:basedOn w:val="DefaultParagraphFont"/>
    <w:link w:val="CommentText"/>
    <w:uiPriority w:val="99"/>
    <w:rsid w:val="000E671D"/>
    <w:rPr>
      <w:sz w:val="20"/>
      <w:szCs w:val="20"/>
    </w:rPr>
  </w:style>
  <w:style w:type="paragraph" w:styleId="CommentSubject">
    <w:name w:val="annotation subject"/>
    <w:basedOn w:val="CommentText"/>
    <w:next w:val="CommentText"/>
    <w:link w:val="CommentSubjectChar"/>
    <w:uiPriority w:val="99"/>
    <w:semiHidden/>
    <w:unhideWhenUsed/>
    <w:rsid w:val="000E671D"/>
    <w:rPr>
      <w:b/>
      <w:bCs/>
    </w:rPr>
  </w:style>
  <w:style w:type="character" w:customStyle="1" w:styleId="CommentSubjectChar">
    <w:name w:val="Comment Subject Char"/>
    <w:basedOn w:val="CommentTextChar"/>
    <w:link w:val="CommentSubject"/>
    <w:uiPriority w:val="99"/>
    <w:semiHidden/>
    <w:rsid w:val="000E671D"/>
    <w:rPr>
      <w:b/>
      <w:bCs/>
      <w:sz w:val="20"/>
      <w:szCs w:val="20"/>
    </w:rPr>
  </w:style>
  <w:style w:type="character" w:customStyle="1" w:styleId="Heading7Char">
    <w:name w:val="Heading 7 Char"/>
    <w:basedOn w:val="DefaultParagraphFont"/>
    <w:link w:val="Heading7"/>
    <w:uiPriority w:val="9"/>
    <w:semiHidden/>
    <w:rsid w:val="007436FA"/>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7436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36FA"/>
    <w:rPr>
      <w:rFonts w:asciiTheme="majorHAnsi" w:eastAsiaTheme="majorEastAsia" w:hAnsiTheme="majorHAnsi" w:cstheme="majorBidi"/>
      <w:i/>
      <w:iCs/>
      <w:color w:val="272727" w:themeColor="text1" w:themeTint="D8"/>
      <w:sz w:val="21"/>
      <w:szCs w:val="21"/>
    </w:rPr>
  </w:style>
  <w:style w:type="paragraph" w:customStyle="1" w:styleId="Numberedparagraphs">
    <w:name w:val="Numbered paragraphs"/>
    <w:basedOn w:val="Normal"/>
    <w:link w:val="NumberedparagraphsChar"/>
    <w:qFormat/>
    <w:rsid w:val="007436FA"/>
    <w:pPr>
      <w:ind w:left="720" w:hanging="720"/>
      <w:outlineLvl w:val="2"/>
    </w:pPr>
    <w:rPr>
      <w:rFonts w:ascii="Calibri" w:eastAsiaTheme="majorEastAsia" w:hAnsi="Calibri" w:cstheme="majorBidi"/>
      <w:color w:val="000000" w:themeColor="text1"/>
    </w:rPr>
  </w:style>
  <w:style w:type="character" w:customStyle="1" w:styleId="NumberedparagraphsChar">
    <w:name w:val="Numbered paragraphs Char"/>
    <w:basedOn w:val="DefaultParagraphFont"/>
    <w:link w:val="Numberedparagraphs"/>
    <w:rsid w:val="007436FA"/>
    <w:rPr>
      <w:rFonts w:ascii="Calibri" w:eastAsiaTheme="majorEastAsia" w:hAnsi="Calibri" w:cstheme="majorBidi"/>
      <w:color w:val="000000" w:themeColor="text1"/>
    </w:rPr>
  </w:style>
  <w:style w:type="paragraph" w:styleId="Revision">
    <w:name w:val="Revision"/>
    <w:hidden/>
    <w:uiPriority w:val="99"/>
    <w:semiHidden/>
    <w:rsid w:val="0043454E"/>
    <w:pPr>
      <w:spacing w:after="0" w:line="240" w:lineRule="auto"/>
    </w:pPr>
  </w:style>
  <w:style w:type="paragraph" w:customStyle="1" w:styleId="pf1">
    <w:name w:val="pf1"/>
    <w:basedOn w:val="Normal"/>
    <w:rsid w:val="004E7CD5"/>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pf0">
    <w:name w:val="pf0"/>
    <w:basedOn w:val="Normal"/>
    <w:rsid w:val="004E7C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E7CD5"/>
    <w:rPr>
      <w:rFonts w:ascii="Segoe UI" w:hAnsi="Segoe UI" w:cs="Segoe UI" w:hint="default"/>
      <w:sz w:val="18"/>
      <w:szCs w:val="18"/>
    </w:rPr>
  </w:style>
  <w:style w:type="character" w:styleId="PlaceholderText">
    <w:name w:val="Placeholder Text"/>
    <w:basedOn w:val="DefaultParagraphFont"/>
    <w:uiPriority w:val="99"/>
    <w:semiHidden/>
    <w:rsid w:val="003024B8"/>
    <w:rPr>
      <w:color w:val="666666"/>
    </w:rPr>
  </w:style>
  <w:style w:type="character" w:styleId="Mention">
    <w:name w:val="Mention"/>
    <w:basedOn w:val="DefaultParagraphFont"/>
    <w:uiPriority w:val="99"/>
    <w:unhideWhenUsed/>
    <w:rsid w:val="00645C98"/>
    <w:rPr>
      <w:color w:val="2B579A"/>
      <w:shd w:val="clear" w:color="auto" w:fill="E1DFDD"/>
    </w:rPr>
  </w:style>
  <w:style w:type="paragraph" w:customStyle="1" w:styleId="Bulletpointslvl1">
    <w:name w:val="Bullet points lvl 1"/>
    <w:basedOn w:val="Normal"/>
    <w:link w:val="Bulletpointslvl1Char"/>
    <w:qFormat/>
    <w:rsid w:val="00167E17"/>
    <w:pPr>
      <w:numPr>
        <w:numId w:val="4"/>
      </w:numPr>
      <w:spacing w:after="120"/>
      <w:outlineLvl w:val="2"/>
    </w:pPr>
    <w:rPr>
      <w:rFonts w:ascii="Calibri" w:eastAsiaTheme="majorEastAsia" w:hAnsi="Calibri" w:cstheme="majorBidi"/>
      <w:color w:val="000000" w:themeColor="text1"/>
    </w:rPr>
  </w:style>
  <w:style w:type="character" w:customStyle="1" w:styleId="Bulletpointslvl1Char">
    <w:name w:val="Bullet points lvl 1 Char"/>
    <w:basedOn w:val="DefaultParagraphFont"/>
    <w:link w:val="Bulletpointslvl1"/>
    <w:rsid w:val="00167E17"/>
    <w:rPr>
      <w:rFonts w:ascii="Calibri" w:eastAsiaTheme="majorEastAsia" w:hAnsi="Calibri" w:cstheme="majorBidi"/>
      <w:color w:val="000000" w:themeColor="text1"/>
    </w:rPr>
  </w:style>
  <w:style w:type="character" w:styleId="FollowedHyperlink">
    <w:name w:val="FollowedHyperlink"/>
    <w:basedOn w:val="DefaultParagraphFont"/>
    <w:uiPriority w:val="99"/>
    <w:semiHidden/>
    <w:unhideWhenUsed/>
    <w:rsid w:val="00D20221"/>
    <w:rPr>
      <w:color w:val="002D3F" w:themeColor="followedHyperlink"/>
      <w:u w:val="single"/>
    </w:rPr>
  </w:style>
  <w:style w:type="character" w:customStyle="1" w:styleId="normaltextrun">
    <w:name w:val="normaltextrun"/>
    <w:basedOn w:val="DefaultParagraphFont"/>
    <w:rsid w:val="008C6435"/>
  </w:style>
  <w:style w:type="character" w:customStyle="1" w:styleId="ListParagraphChar">
    <w:name w:val="List Paragraph Char"/>
    <w:aliases w:val="Recommendation Char,List Paragraph1 Char,List Paragraph11 Char,Bullet point Char,List Paragraph Number Char,Bullet Point Char,L Char,Bullet points Char,Content descriptions Char,Use Case List Paragraph Char,standard lewis Char"/>
    <w:basedOn w:val="DefaultParagraphFont"/>
    <w:link w:val="ListParagraph"/>
    <w:uiPriority w:val="34"/>
    <w:qFormat/>
    <w:locked/>
    <w:rsid w:val="00182A3F"/>
  </w:style>
  <w:style w:type="character" w:customStyle="1" w:styleId="eop">
    <w:name w:val="eop"/>
    <w:basedOn w:val="DefaultParagraphFont"/>
    <w:rsid w:val="00182A3F"/>
  </w:style>
  <w:style w:type="character" w:styleId="FootnoteReference">
    <w:name w:val="footnote reference"/>
    <w:basedOn w:val="DefaultParagraphFont"/>
    <w:uiPriority w:val="99"/>
    <w:semiHidden/>
    <w:unhideWhenUsed/>
    <w:rsid w:val="00D93F59"/>
    <w:rPr>
      <w:vertAlign w:val="superscript"/>
    </w:rPr>
  </w:style>
  <w:style w:type="paragraph" w:styleId="NormalWeb">
    <w:name w:val="Normal (Web)"/>
    <w:basedOn w:val="Normal"/>
    <w:uiPriority w:val="99"/>
    <w:semiHidden/>
    <w:unhideWhenUsed/>
    <w:rsid w:val="00DF56C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705">
      <w:bodyDiv w:val="1"/>
      <w:marLeft w:val="0"/>
      <w:marRight w:val="0"/>
      <w:marTop w:val="0"/>
      <w:marBottom w:val="0"/>
      <w:divBdr>
        <w:top w:val="none" w:sz="0" w:space="0" w:color="auto"/>
        <w:left w:val="none" w:sz="0" w:space="0" w:color="auto"/>
        <w:bottom w:val="none" w:sz="0" w:space="0" w:color="auto"/>
        <w:right w:val="none" w:sz="0" w:space="0" w:color="auto"/>
      </w:divBdr>
      <w:divsChild>
        <w:div w:id="28222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862156">
      <w:bodyDiv w:val="1"/>
      <w:marLeft w:val="0"/>
      <w:marRight w:val="0"/>
      <w:marTop w:val="0"/>
      <w:marBottom w:val="0"/>
      <w:divBdr>
        <w:top w:val="none" w:sz="0" w:space="0" w:color="auto"/>
        <w:left w:val="none" w:sz="0" w:space="0" w:color="auto"/>
        <w:bottom w:val="none" w:sz="0" w:space="0" w:color="auto"/>
        <w:right w:val="none" w:sz="0" w:space="0" w:color="auto"/>
      </w:divBdr>
    </w:div>
    <w:div w:id="257763269">
      <w:bodyDiv w:val="1"/>
      <w:marLeft w:val="0"/>
      <w:marRight w:val="0"/>
      <w:marTop w:val="0"/>
      <w:marBottom w:val="0"/>
      <w:divBdr>
        <w:top w:val="none" w:sz="0" w:space="0" w:color="auto"/>
        <w:left w:val="none" w:sz="0" w:space="0" w:color="auto"/>
        <w:bottom w:val="none" w:sz="0" w:space="0" w:color="auto"/>
        <w:right w:val="none" w:sz="0" w:space="0" w:color="auto"/>
      </w:divBdr>
    </w:div>
    <w:div w:id="297338544">
      <w:bodyDiv w:val="1"/>
      <w:marLeft w:val="0"/>
      <w:marRight w:val="0"/>
      <w:marTop w:val="0"/>
      <w:marBottom w:val="0"/>
      <w:divBdr>
        <w:top w:val="none" w:sz="0" w:space="0" w:color="auto"/>
        <w:left w:val="none" w:sz="0" w:space="0" w:color="auto"/>
        <w:bottom w:val="none" w:sz="0" w:space="0" w:color="auto"/>
        <w:right w:val="none" w:sz="0" w:space="0" w:color="auto"/>
      </w:divBdr>
    </w:div>
    <w:div w:id="354961146">
      <w:bodyDiv w:val="1"/>
      <w:marLeft w:val="0"/>
      <w:marRight w:val="0"/>
      <w:marTop w:val="0"/>
      <w:marBottom w:val="0"/>
      <w:divBdr>
        <w:top w:val="none" w:sz="0" w:space="0" w:color="auto"/>
        <w:left w:val="none" w:sz="0" w:space="0" w:color="auto"/>
        <w:bottom w:val="none" w:sz="0" w:space="0" w:color="auto"/>
        <w:right w:val="none" w:sz="0" w:space="0" w:color="auto"/>
      </w:divBdr>
    </w:div>
    <w:div w:id="541596184">
      <w:bodyDiv w:val="1"/>
      <w:marLeft w:val="0"/>
      <w:marRight w:val="0"/>
      <w:marTop w:val="0"/>
      <w:marBottom w:val="0"/>
      <w:divBdr>
        <w:top w:val="none" w:sz="0" w:space="0" w:color="auto"/>
        <w:left w:val="none" w:sz="0" w:space="0" w:color="auto"/>
        <w:bottom w:val="none" w:sz="0" w:space="0" w:color="auto"/>
        <w:right w:val="none" w:sz="0" w:space="0" w:color="auto"/>
      </w:divBdr>
    </w:div>
    <w:div w:id="584341589">
      <w:bodyDiv w:val="1"/>
      <w:marLeft w:val="0"/>
      <w:marRight w:val="0"/>
      <w:marTop w:val="0"/>
      <w:marBottom w:val="0"/>
      <w:divBdr>
        <w:top w:val="none" w:sz="0" w:space="0" w:color="auto"/>
        <w:left w:val="none" w:sz="0" w:space="0" w:color="auto"/>
        <w:bottom w:val="none" w:sz="0" w:space="0" w:color="auto"/>
        <w:right w:val="none" w:sz="0" w:space="0" w:color="auto"/>
      </w:divBdr>
    </w:div>
    <w:div w:id="633102670">
      <w:bodyDiv w:val="1"/>
      <w:marLeft w:val="0"/>
      <w:marRight w:val="0"/>
      <w:marTop w:val="0"/>
      <w:marBottom w:val="0"/>
      <w:divBdr>
        <w:top w:val="none" w:sz="0" w:space="0" w:color="auto"/>
        <w:left w:val="none" w:sz="0" w:space="0" w:color="auto"/>
        <w:bottom w:val="none" w:sz="0" w:space="0" w:color="auto"/>
        <w:right w:val="none" w:sz="0" w:space="0" w:color="auto"/>
      </w:divBdr>
    </w:div>
    <w:div w:id="894127124">
      <w:bodyDiv w:val="1"/>
      <w:marLeft w:val="0"/>
      <w:marRight w:val="0"/>
      <w:marTop w:val="0"/>
      <w:marBottom w:val="0"/>
      <w:divBdr>
        <w:top w:val="none" w:sz="0" w:space="0" w:color="auto"/>
        <w:left w:val="none" w:sz="0" w:space="0" w:color="auto"/>
        <w:bottom w:val="none" w:sz="0" w:space="0" w:color="auto"/>
        <w:right w:val="none" w:sz="0" w:space="0" w:color="auto"/>
      </w:divBdr>
    </w:div>
    <w:div w:id="920724092">
      <w:bodyDiv w:val="1"/>
      <w:marLeft w:val="0"/>
      <w:marRight w:val="0"/>
      <w:marTop w:val="0"/>
      <w:marBottom w:val="0"/>
      <w:divBdr>
        <w:top w:val="none" w:sz="0" w:space="0" w:color="auto"/>
        <w:left w:val="none" w:sz="0" w:space="0" w:color="auto"/>
        <w:bottom w:val="none" w:sz="0" w:space="0" w:color="auto"/>
        <w:right w:val="none" w:sz="0" w:space="0" w:color="auto"/>
      </w:divBdr>
    </w:div>
    <w:div w:id="1276061553">
      <w:bodyDiv w:val="1"/>
      <w:marLeft w:val="0"/>
      <w:marRight w:val="0"/>
      <w:marTop w:val="0"/>
      <w:marBottom w:val="0"/>
      <w:divBdr>
        <w:top w:val="none" w:sz="0" w:space="0" w:color="auto"/>
        <w:left w:val="none" w:sz="0" w:space="0" w:color="auto"/>
        <w:bottom w:val="none" w:sz="0" w:space="0" w:color="auto"/>
        <w:right w:val="none" w:sz="0" w:space="0" w:color="auto"/>
      </w:divBdr>
    </w:div>
    <w:div w:id="1483891385">
      <w:bodyDiv w:val="1"/>
      <w:marLeft w:val="0"/>
      <w:marRight w:val="0"/>
      <w:marTop w:val="0"/>
      <w:marBottom w:val="0"/>
      <w:divBdr>
        <w:top w:val="none" w:sz="0" w:space="0" w:color="auto"/>
        <w:left w:val="none" w:sz="0" w:space="0" w:color="auto"/>
        <w:bottom w:val="none" w:sz="0" w:space="0" w:color="auto"/>
        <w:right w:val="none" w:sz="0" w:space="0" w:color="auto"/>
      </w:divBdr>
    </w:div>
    <w:div w:id="1619605585">
      <w:bodyDiv w:val="1"/>
      <w:marLeft w:val="0"/>
      <w:marRight w:val="0"/>
      <w:marTop w:val="0"/>
      <w:marBottom w:val="0"/>
      <w:divBdr>
        <w:top w:val="none" w:sz="0" w:space="0" w:color="auto"/>
        <w:left w:val="none" w:sz="0" w:space="0" w:color="auto"/>
        <w:bottom w:val="none" w:sz="0" w:space="0" w:color="auto"/>
        <w:right w:val="none" w:sz="0" w:space="0" w:color="auto"/>
      </w:divBdr>
    </w:div>
    <w:div w:id="1835293200">
      <w:bodyDiv w:val="1"/>
      <w:marLeft w:val="0"/>
      <w:marRight w:val="0"/>
      <w:marTop w:val="0"/>
      <w:marBottom w:val="0"/>
      <w:divBdr>
        <w:top w:val="none" w:sz="0" w:space="0" w:color="auto"/>
        <w:left w:val="none" w:sz="0" w:space="0" w:color="auto"/>
        <w:bottom w:val="none" w:sz="0" w:space="0" w:color="auto"/>
        <w:right w:val="none" w:sz="0" w:space="0" w:color="auto"/>
      </w:divBdr>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dewr.gov.au/australian-skills-guarantee/resources/australian-skills-guarantee-privacy-notice" TargetMode="External"/><Relationship Id="rId39" Type="http://schemas.openxmlformats.org/officeDocument/2006/relationships/hyperlink" Target="https://www.wgea.gov.au/tools/recruitment-and-promotion-guide" TargetMode="External"/><Relationship Id="rId21" Type="http://schemas.openxmlformats.org/officeDocument/2006/relationships/hyperlink" Target="https://govteams.sharepoint.com/sites/australianskillsguaranteeoperationalresourcesandstakeholderengag/SitePages/Home.aspx" TargetMode="External"/><Relationship Id="rId34" Type="http://schemas.openxmlformats.org/officeDocument/2006/relationships/hyperlink" Target="https://www.wgea.gov.au/take-action/action-planning-too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hyperlink" Target="https://govteams.sharepoint.com/:w:/r/sites/australianskillsguaranteeoperationalresourcesandstakeholderengag/Shared%20Documents/Assessing%20Submissions%20Guidance%20for%20Commonwealth%20Contracting%20Agencies%20Version%201.2.docx?d=wb6cead12f4ae46ae8d32a22fd28fcfa9&amp;csf=1&amp;web=1&amp;e=cysdJA" TargetMode="External"/><Relationship Id="rId41" Type="http://schemas.openxmlformats.org/officeDocument/2006/relationships/hyperlink" Target="https://genderequality.gov.au/sites/default/files/2024-03/working-for-women-a-strategy-for-gender-equalit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ovteams.sharepoint.com/:w:/r/sites/australianskillsguaranteeoperationalresourcesandstakeholderengag/Shared%20Documents/Guidance%20for%20using%20the%20model%20clauses%20for%20Commonwealth%20Contracting%20Agencies%20Version%201.4.docx?d=w1d6ca305682c45d3a5b594b6017adcaa&amp;csf=1&amp;web=1&amp;e=aCOlao" TargetMode="External"/><Relationship Id="rId32" Type="http://schemas.openxmlformats.org/officeDocument/2006/relationships/hyperlink" Target="https://www.finance.gov.au/sites/default/files/2023-07/australian-government-contract-management-guide-july-2023.pdf" TargetMode="External"/><Relationship Id="rId37" Type="http://schemas.openxmlformats.org/officeDocument/2006/relationships/hyperlink" Target="https://www.wgea.gov.au/sites/default/files/documents/6-Policy-and-strategy-guidance-Sexual-harassment-harassment-on-the-ground-of-sex-and-discrimination.pdf" TargetMode="External"/><Relationship Id="rId40" Type="http://schemas.openxmlformats.org/officeDocument/2006/relationships/hyperlink" Target="https://genderequality.gov.au/sites/default/files/2024-03/working-for-women-a-strategy-for-gender-equality.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govteams.sharepoint.com/sites/australianskillsguaranteeoperationalresourcesandstakeholderengag/SitePages/Home.aspx" TargetMode="External"/><Relationship Id="rId36" Type="http://schemas.openxmlformats.org/officeDocument/2006/relationships/hyperlink" Target="https://www.wgea.gov.au/sites/default/files/documents/Policy-and-strategy-guidance-gender-composition-of-the-workforce.pdf"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apprenticeships.gov.au/about-apprenticeships/using-apprenticeships-data-management-system/ASG-suppliers-subcontractors"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ewr.gov.au/resources/australian-skills-guarantee" TargetMode="External"/><Relationship Id="rId27" Type="http://schemas.openxmlformats.org/officeDocument/2006/relationships/hyperlink" Target="https://govteams.sharepoint.com/sites/australianskillsguaranteeoperationalresourcesandstakeholderengag/SitePages/Home.aspx" TargetMode="External"/><Relationship Id="rId30" Type="http://schemas.openxmlformats.org/officeDocument/2006/relationships/hyperlink" Target="https://govteams.sharepoint.com/sites/australianskillsguaranteeoperationalresourcesandstakeholderengag/SitePages/Home.aspx" TargetMode="External"/><Relationship Id="rId35" Type="http://schemas.openxmlformats.org/officeDocument/2006/relationships/hyperlink" Target="https://www.wgea.gov.au/take-action/policy-and-strategy-guidanc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yperlink" Target="https://www.dewr.gov.au/australian-skills-guarantee/resources/australian-skills-guarantee-privacy-notice" TargetMode="External"/><Relationship Id="rId33" Type="http://schemas.openxmlformats.org/officeDocument/2006/relationships/hyperlink" Target="https://www.finance.gov.au/government/procurement/buyright/contract-variations" TargetMode="External"/><Relationship Id="rId38" Type="http://schemas.openxmlformats.org/officeDocument/2006/relationships/hyperlink" Target="https://www.wgea.gov.au/take-action/gender-pay-gap/employer-gender-pay-gap-analysis-guide"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025033DE46047828D88018635091B" ma:contentTypeVersion="26" ma:contentTypeDescription="Create a new document." ma:contentTypeScope="" ma:versionID="aa86e518b624894a8f0e571255fd7350">
  <xsd:schema xmlns:xsd="http://www.w3.org/2001/XMLSchema" xmlns:xs="http://www.w3.org/2001/XMLSchema" xmlns:p="http://schemas.microsoft.com/office/2006/metadata/properties" xmlns:ns2="409f8594-b164-455e-aca0-53614ef5b7c1" xmlns:ns3="469d646d-0fe8-4876-8896-a85182c8c4b5" targetNamespace="http://schemas.microsoft.com/office/2006/metadata/properties" ma:root="true" ma:fieldsID="31486a4f4045805438d8fd7236733da9" ns2:_="" ns3:_="">
    <xsd:import namespace="409f8594-b164-455e-aca0-53614ef5b7c1"/>
    <xsd:import namespace="469d646d-0fe8-4876-8896-a85182c8c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ocation" minOccurs="0"/>
                <xsd:element ref="ns2:ac32b987-56ab-4177-9673-f26ed9159544CountryOrRegion" minOccurs="0"/>
                <xsd:element ref="ns2:ac32b987-56ab-4177-9673-f26ed9159544State" minOccurs="0"/>
                <xsd:element ref="ns2:ac32b987-56ab-4177-9673-f26ed9159544City" minOccurs="0"/>
                <xsd:element ref="ns2:ac32b987-56ab-4177-9673-f26ed9159544PostalCode" minOccurs="0"/>
                <xsd:element ref="ns2:ac32b987-56ab-4177-9673-f26ed9159544Street" minOccurs="0"/>
                <xsd:element ref="ns2:ac32b987-56ab-4177-9673-f26ed9159544GeoLoc" minOccurs="0"/>
                <xsd:element ref="ns2:ac32b987-56ab-4177-9673-f26ed9159544DispName" minOccurs="0"/>
                <xsd:element ref="ns2:MediaServiceSearchProperties" minOccurs="0"/>
                <xsd:element ref="ns2:Version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f8594-b164-455e-aca0-53614ef5b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ocation" ma:index="23" nillable="true" ma:displayName="Location" ma:format="Dropdown" ma:internalName="Location">
      <xsd:simpleType>
        <xsd:restriction base="dms:Unknown"/>
      </xsd:simpleType>
    </xsd:element>
    <xsd:element name="ac32b987-56ab-4177-9673-f26ed9159544CountryOrRegion" ma:index="24" nillable="true" ma:displayName="Location: Country/Region" ma:internalName="CountryOrRegion" ma:readOnly="true">
      <xsd:simpleType>
        <xsd:restriction base="dms:Text"/>
      </xsd:simpleType>
    </xsd:element>
    <xsd:element name="ac32b987-56ab-4177-9673-f26ed9159544State" ma:index="25" nillable="true" ma:displayName="Location: State" ma:internalName="State" ma:readOnly="true">
      <xsd:simpleType>
        <xsd:restriction base="dms:Text"/>
      </xsd:simpleType>
    </xsd:element>
    <xsd:element name="ac32b987-56ab-4177-9673-f26ed9159544City" ma:index="26" nillable="true" ma:displayName="Location: City" ma:internalName="City" ma:readOnly="true">
      <xsd:simpleType>
        <xsd:restriction base="dms:Text"/>
      </xsd:simpleType>
    </xsd:element>
    <xsd:element name="ac32b987-56ab-4177-9673-f26ed9159544PostalCode" ma:index="27" nillable="true" ma:displayName="Location: Postal Code" ma:internalName="PostalCode" ma:readOnly="true">
      <xsd:simpleType>
        <xsd:restriction base="dms:Text"/>
      </xsd:simpleType>
    </xsd:element>
    <xsd:element name="ac32b987-56ab-4177-9673-f26ed9159544Street" ma:index="28" nillable="true" ma:displayName="Location: Street" ma:internalName="Street" ma:readOnly="true">
      <xsd:simpleType>
        <xsd:restriction base="dms:Text"/>
      </xsd:simpleType>
    </xsd:element>
    <xsd:element name="ac32b987-56ab-4177-9673-f26ed9159544GeoLoc" ma:index="29" nillable="true" ma:displayName="Location: Coordinates" ma:internalName="GeoLoc" ma:readOnly="true">
      <xsd:simpleType>
        <xsd:restriction base="dms:Unknown"/>
      </xsd:simpleType>
    </xsd:element>
    <xsd:element name="ac32b987-56ab-4177-9673-f26ed9159544DispName" ma:index="30" nillable="true" ma:displayName="Location: Name" ma:internalName="DispNam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Versionnotes" ma:index="32" nillable="true" ma:displayName="Version notes" ma:format="Dropdown" ma:internalName="Versionnotes">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d646d-0fe8-4876-8896-a85182c8c4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4f870d-0731-45b1-afd8-7abc9af48d8f}" ma:internalName="TaxCatchAll" ma:showField="CatchAllData" ma:web="469d646d-0fe8-4876-8896-a85182c8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69d646d-0fe8-4876-8896-a85182c8c4b5" xsi:nil="true"/>
    <lcf76f155ced4ddcb4097134ff3c332f xmlns="409f8594-b164-455e-aca0-53614ef5b7c1">
      <Terms xmlns="http://schemas.microsoft.com/office/infopath/2007/PartnerControls"/>
    </lcf76f155ced4ddcb4097134ff3c332f>
    <Location xmlns="409f8594-b164-455e-aca0-53614ef5b7c1" xsi:nil="true"/>
    <Versionnotes xmlns="409f8594-b164-455e-aca0-53614ef5b7c1" xsi:nil="true"/>
  </documentManagement>
</p:properties>
</file>

<file path=customXml/itemProps1.xml><?xml version="1.0" encoding="utf-8"?>
<ds:datastoreItem xmlns:ds="http://schemas.openxmlformats.org/officeDocument/2006/customXml" ds:itemID="{B341152F-12DD-4BC0-BB38-0B14E641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f8594-b164-455e-aca0-53614ef5b7c1"/>
    <ds:schemaRef ds:uri="469d646d-0fe8-4876-8896-a85182c8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469d646d-0fe8-4876-8896-a85182c8c4b5"/>
    <ds:schemaRef ds:uri="409f8594-b164-455e-aca0-53614ef5b7c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7037</Words>
  <Characters>39762</Characters>
  <Application>Microsoft Office Word</Application>
  <DocSecurity>0</DocSecurity>
  <Lines>864</Lines>
  <Paragraphs>550</Paragraphs>
  <ScaleCrop>false</ScaleCrop>
  <Company/>
  <LinksUpToDate>false</LinksUpToDate>
  <CharactersWithSpaces>46249</CharactersWithSpaces>
  <SharedDoc>false</SharedDoc>
  <HLinks>
    <vt:vector size="438" baseType="variant">
      <vt:variant>
        <vt:i4>2359400</vt:i4>
      </vt:variant>
      <vt:variant>
        <vt:i4>369</vt:i4>
      </vt:variant>
      <vt:variant>
        <vt:i4>0</vt:i4>
      </vt:variant>
      <vt:variant>
        <vt:i4>5</vt:i4>
      </vt:variant>
      <vt:variant>
        <vt:lpwstr>https://genderequality.gov.au/sites/default/files/2024-03/working-for-women-a-strategy-for-gender-equality.pdf</vt:lpwstr>
      </vt:variant>
      <vt:variant>
        <vt:lpwstr/>
      </vt:variant>
      <vt:variant>
        <vt:i4>2359400</vt:i4>
      </vt:variant>
      <vt:variant>
        <vt:i4>366</vt:i4>
      </vt:variant>
      <vt:variant>
        <vt:i4>0</vt:i4>
      </vt:variant>
      <vt:variant>
        <vt:i4>5</vt:i4>
      </vt:variant>
      <vt:variant>
        <vt:lpwstr>https://genderequality.gov.au/sites/default/files/2024-03/working-for-women-a-strategy-for-gender-equality.pdf</vt:lpwstr>
      </vt:variant>
      <vt:variant>
        <vt:lpwstr/>
      </vt:variant>
      <vt:variant>
        <vt:i4>1441885</vt:i4>
      </vt:variant>
      <vt:variant>
        <vt:i4>363</vt:i4>
      </vt:variant>
      <vt:variant>
        <vt:i4>0</vt:i4>
      </vt:variant>
      <vt:variant>
        <vt:i4>5</vt:i4>
      </vt:variant>
      <vt:variant>
        <vt:lpwstr>https://www.wgea.gov.au/tools/recruitment-and-promotion-guide</vt:lpwstr>
      </vt:variant>
      <vt:variant>
        <vt:lpwstr/>
      </vt:variant>
      <vt:variant>
        <vt:i4>6160410</vt:i4>
      </vt:variant>
      <vt:variant>
        <vt:i4>360</vt:i4>
      </vt:variant>
      <vt:variant>
        <vt:i4>0</vt:i4>
      </vt:variant>
      <vt:variant>
        <vt:i4>5</vt:i4>
      </vt:variant>
      <vt:variant>
        <vt:lpwstr>https://www.wgea.gov.au/take-action/gender-pay-gap/employer-gender-pay-gap-analysis-guide</vt:lpwstr>
      </vt:variant>
      <vt:variant>
        <vt:lpwstr/>
      </vt:variant>
      <vt:variant>
        <vt:i4>589910</vt:i4>
      </vt:variant>
      <vt:variant>
        <vt:i4>357</vt:i4>
      </vt:variant>
      <vt:variant>
        <vt:i4>0</vt:i4>
      </vt:variant>
      <vt:variant>
        <vt:i4>5</vt:i4>
      </vt:variant>
      <vt:variant>
        <vt:lpwstr>https://www.wgea.gov.au/sites/default/files/documents/6-Policy-and-strategy-guidance-Sexual-harassment-harassment-on-the-ground-of-sex-and-discrimination.pdf</vt:lpwstr>
      </vt:variant>
      <vt:variant>
        <vt:lpwstr/>
      </vt:variant>
      <vt:variant>
        <vt:i4>2293809</vt:i4>
      </vt:variant>
      <vt:variant>
        <vt:i4>354</vt:i4>
      </vt:variant>
      <vt:variant>
        <vt:i4>0</vt:i4>
      </vt:variant>
      <vt:variant>
        <vt:i4>5</vt:i4>
      </vt:variant>
      <vt:variant>
        <vt:lpwstr>https://www.wgea.gov.au/sites/default/files/documents/Policy-and-strategy-guidance-gender-composition-of-the-workforce.pdf</vt:lpwstr>
      </vt:variant>
      <vt:variant>
        <vt:lpwstr/>
      </vt:variant>
      <vt:variant>
        <vt:i4>2031626</vt:i4>
      </vt:variant>
      <vt:variant>
        <vt:i4>351</vt:i4>
      </vt:variant>
      <vt:variant>
        <vt:i4>0</vt:i4>
      </vt:variant>
      <vt:variant>
        <vt:i4>5</vt:i4>
      </vt:variant>
      <vt:variant>
        <vt:lpwstr>https://www.wgea.gov.au/take-action/policy-and-strategy-guidance</vt:lpwstr>
      </vt:variant>
      <vt:variant>
        <vt:lpwstr/>
      </vt:variant>
      <vt:variant>
        <vt:i4>1769566</vt:i4>
      </vt:variant>
      <vt:variant>
        <vt:i4>348</vt:i4>
      </vt:variant>
      <vt:variant>
        <vt:i4>0</vt:i4>
      </vt:variant>
      <vt:variant>
        <vt:i4>5</vt:i4>
      </vt:variant>
      <vt:variant>
        <vt:lpwstr>https://www.wgea.gov.au/take-action/action-planning-tool</vt:lpwstr>
      </vt:variant>
      <vt:variant>
        <vt:lpwstr/>
      </vt:variant>
      <vt:variant>
        <vt:i4>8126510</vt:i4>
      </vt:variant>
      <vt:variant>
        <vt:i4>345</vt:i4>
      </vt:variant>
      <vt:variant>
        <vt:i4>0</vt:i4>
      </vt:variant>
      <vt:variant>
        <vt:i4>5</vt:i4>
      </vt:variant>
      <vt:variant>
        <vt:lpwstr>https://www.finance.gov.au/government/procurement/buyright/contract-variations</vt:lpwstr>
      </vt:variant>
      <vt:variant>
        <vt:lpwstr/>
      </vt:variant>
      <vt:variant>
        <vt:i4>524371</vt:i4>
      </vt:variant>
      <vt:variant>
        <vt:i4>342</vt:i4>
      </vt:variant>
      <vt:variant>
        <vt:i4>0</vt:i4>
      </vt:variant>
      <vt:variant>
        <vt:i4>5</vt:i4>
      </vt:variant>
      <vt:variant>
        <vt:lpwstr>https://www.finance.gov.au/sites/default/files/2023-07/australian-government-contract-management-guide-july-2023.pdf</vt:lpwstr>
      </vt:variant>
      <vt:variant>
        <vt:lpwstr/>
      </vt:variant>
      <vt:variant>
        <vt:i4>3145765</vt:i4>
      </vt:variant>
      <vt:variant>
        <vt:i4>339</vt:i4>
      </vt:variant>
      <vt:variant>
        <vt:i4>0</vt:i4>
      </vt:variant>
      <vt:variant>
        <vt:i4>5</vt:i4>
      </vt:variant>
      <vt:variant>
        <vt:lpwstr>https://www.apprenticeships.gov.au/about-apprenticeships/using-apprenticeships-data-management-system/ASG-suppliers-subcontractors</vt:lpwstr>
      </vt:variant>
      <vt:variant>
        <vt:lpwstr/>
      </vt:variant>
      <vt:variant>
        <vt:i4>8126583</vt:i4>
      </vt:variant>
      <vt:variant>
        <vt:i4>336</vt:i4>
      </vt:variant>
      <vt:variant>
        <vt:i4>0</vt:i4>
      </vt:variant>
      <vt:variant>
        <vt:i4>5</vt:i4>
      </vt:variant>
      <vt:variant>
        <vt:lpwstr>https://govteams.sharepoint.com/sites/australianskillsguaranteeoperationalresourcesandstakeholderengag/SitePages/Home.aspx</vt:lpwstr>
      </vt:variant>
      <vt:variant>
        <vt:lpwstr/>
      </vt:variant>
      <vt:variant>
        <vt:i4>7078001</vt:i4>
      </vt:variant>
      <vt:variant>
        <vt:i4>333</vt:i4>
      </vt:variant>
      <vt:variant>
        <vt:i4>0</vt:i4>
      </vt:variant>
      <vt:variant>
        <vt:i4>5</vt:i4>
      </vt:variant>
      <vt:variant>
        <vt:lpwstr>https://govteams.sharepoint.com/:w:/r/sites/australianskillsguaranteeoperationalresourcesandstakeholderengag/Shared Documents/Assessing Submissions Guidance for Commonwealth Contracting Agencies Version 1.2.docx?d=wb6cead12f4ae46ae8d32a22fd28fcfa9&amp;csf=1&amp;web=1&amp;e=cysdJA</vt:lpwstr>
      </vt:variant>
      <vt:variant>
        <vt:lpwstr/>
      </vt:variant>
      <vt:variant>
        <vt:i4>7143506</vt:i4>
      </vt:variant>
      <vt:variant>
        <vt:i4>330</vt:i4>
      </vt:variant>
      <vt:variant>
        <vt:i4>0</vt:i4>
      </vt:variant>
      <vt:variant>
        <vt:i4>5</vt:i4>
      </vt:variant>
      <vt:variant>
        <vt:lpwstr/>
      </vt:variant>
      <vt:variant>
        <vt:lpwstr>_Table_3_-</vt:lpwstr>
      </vt:variant>
      <vt:variant>
        <vt:i4>8126583</vt:i4>
      </vt:variant>
      <vt:variant>
        <vt:i4>327</vt:i4>
      </vt:variant>
      <vt:variant>
        <vt:i4>0</vt:i4>
      </vt:variant>
      <vt:variant>
        <vt:i4>5</vt:i4>
      </vt:variant>
      <vt:variant>
        <vt:lpwstr>https://govteams.sharepoint.com/sites/australianskillsguaranteeoperationalresourcesandstakeholderengag/SitePages/Home.aspx</vt:lpwstr>
      </vt:variant>
      <vt:variant>
        <vt:lpwstr/>
      </vt:variant>
      <vt:variant>
        <vt:i4>8126583</vt:i4>
      </vt:variant>
      <vt:variant>
        <vt:i4>324</vt:i4>
      </vt:variant>
      <vt:variant>
        <vt:i4>0</vt:i4>
      </vt:variant>
      <vt:variant>
        <vt:i4>5</vt:i4>
      </vt:variant>
      <vt:variant>
        <vt:lpwstr>https://govteams.sharepoint.com/sites/australianskillsguaranteeoperationalresourcesandstakeholderengag/SitePages/Home.aspx</vt:lpwstr>
      </vt:variant>
      <vt:variant>
        <vt:lpwstr/>
      </vt:variant>
      <vt:variant>
        <vt:i4>7012446</vt:i4>
      </vt:variant>
      <vt:variant>
        <vt:i4>321</vt:i4>
      </vt:variant>
      <vt:variant>
        <vt:i4>0</vt:i4>
      </vt:variant>
      <vt:variant>
        <vt:i4>5</vt:i4>
      </vt:variant>
      <vt:variant>
        <vt:lpwstr/>
      </vt:variant>
      <vt:variant>
        <vt:lpwstr>_ADMS_notifications_and</vt:lpwstr>
      </vt:variant>
      <vt:variant>
        <vt:i4>1638485</vt:i4>
      </vt:variant>
      <vt:variant>
        <vt:i4>318</vt:i4>
      </vt:variant>
      <vt:variant>
        <vt:i4>0</vt:i4>
      </vt:variant>
      <vt:variant>
        <vt:i4>5</vt:i4>
      </vt:variant>
      <vt:variant>
        <vt:lpwstr>https://www.dewr.gov.au/australian-skills-guarantee/resources/australian-skills-guarantee-privacy-notice</vt:lpwstr>
      </vt:variant>
      <vt:variant>
        <vt:lpwstr/>
      </vt:variant>
      <vt:variant>
        <vt:i4>1638485</vt:i4>
      </vt:variant>
      <vt:variant>
        <vt:i4>315</vt:i4>
      </vt:variant>
      <vt:variant>
        <vt:i4>0</vt:i4>
      </vt:variant>
      <vt:variant>
        <vt:i4>5</vt:i4>
      </vt:variant>
      <vt:variant>
        <vt:lpwstr>https://www.dewr.gov.au/australian-skills-guarantee/resources/australian-skills-guarantee-privacy-notice</vt:lpwstr>
      </vt:variant>
      <vt:variant>
        <vt:lpwstr/>
      </vt:variant>
      <vt:variant>
        <vt:i4>2162803</vt:i4>
      </vt:variant>
      <vt:variant>
        <vt:i4>312</vt:i4>
      </vt:variant>
      <vt:variant>
        <vt:i4>0</vt:i4>
      </vt:variant>
      <vt:variant>
        <vt:i4>5</vt:i4>
      </vt:variant>
      <vt:variant>
        <vt:lpwstr>https://govteams.sharepoint.com/:w:/r/sites/australianskillsguaranteeoperationalresourcesandstakeholderengag/Shared Documents/Guidance for using the model clauses for Commonwealth Contracting Agencies Version 1.4.docx?d=w1d6ca305682c45d3a5b594b6017adcaa&amp;csf=1&amp;web=1&amp;e=aCOlao</vt:lpwstr>
      </vt:variant>
      <vt:variant>
        <vt:lpwstr/>
      </vt:variant>
      <vt:variant>
        <vt:i4>7143506</vt:i4>
      </vt:variant>
      <vt:variant>
        <vt:i4>309</vt:i4>
      </vt:variant>
      <vt:variant>
        <vt:i4>0</vt:i4>
      </vt:variant>
      <vt:variant>
        <vt:i4>5</vt:i4>
      </vt:variant>
      <vt:variant>
        <vt:lpwstr/>
      </vt:variant>
      <vt:variant>
        <vt:lpwstr>_Table_3_-</vt:lpwstr>
      </vt:variant>
      <vt:variant>
        <vt:i4>131082</vt:i4>
      </vt:variant>
      <vt:variant>
        <vt:i4>306</vt:i4>
      </vt:variant>
      <vt:variant>
        <vt:i4>0</vt:i4>
      </vt:variant>
      <vt:variant>
        <vt:i4>5</vt:i4>
      </vt:variant>
      <vt:variant>
        <vt:lpwstr>https://www.dewr.gov.au/resources/australian-skills-guarantee</vt:lpwstr>
      </vt:variant>
      <vt:variant>
        <vt:lpwstr/>
      </vt:variant>
      <vt:variant>
        <vt:i4>8126583</vt:i4>
      </vt:variant>
      <vt:variant>
        <vt:i4>303</vt:i4>
      </vt:variant>
      <vt:variant>
        <vt:i4>0</vt:i4>
      </vt:variant>
      <vt:variant>
        <vt:i4>5</vt:i4>
      </vt:variant>
      <vt:variant>
        <vt:lpwstr>https://govteams.sharepoint.com/sites/australianskillsguaranteeoperationalresourcesandstakeholderengag/SitePages/Home.aspx</vt:lpwstr>
      </vt:variant>
      <vt:variant>
        <vt:lpwstr/>
      </vt:variant>
      <vt:variant>
        <vt:i4>2031667</vt:i4>
      </vt:variant>
      <vt:variant>
        <vt:i4>296</vt:i4>
      </vt:variant>
      <vt:variant>
        <vt:i4>0</vt:i4>
      </vt:variant>
      <vt:variant>
        <vt:i4>5</vt:i4>
      </vt:variant>
      <vt:variant>
        <vt:lpwstr/>
      </vt:variant>
      <vt:variant>
        <vt:lpwstr>_Toc209787087</vt:lpwstr>
      </vt:variant>
      <vt:variant>
        <vt:i4>2031667</vt:i4>
      </vt:variant>
      <vt:variant>
        <vt:i4>290</vt:i4>
      </vt:variant>
      <vt:variant>
        <vt:i4>0</vt:i4>
      </vt:variant>
      <vt:variant>
        <vt:i4>5</vt:i4>
      </vt:variant>
      <vt:variant>
        <vt:lpwstr/>
      </vt:variant>
      <vt:variant>
        <vt:lpwstr>_Toc209787086</vt:lpwstr>
      </vt:variant>
      <vt:variant>
        <vt:i4>2031667</vt:i4>
      </vt:variant>
      <vt:variant>
        <vt:i4>284</vt:i4>
      </vt:variant>
      <vt:variant>
        <vt:i4>0</vt:i4>
      </vt:variant>
      <vt:variant>
        <vt:i4>5</vt:i4>
      </vt:variant>
      <vt:variant>
        <vt:lpwstr/>
      </vt:variant>
      <vt:variant>
        <vt:lpwstr>_Toc209787085</vt:lpwstr>
      </vt:variant>
      <vt:variant>
        <vt:i4>2031667</vt:i4>
      </vt:variant>
      <vt:variant>
        <vt:i4>278</vt:i4>
      </vt:variant>
      <vt:variant>
        <vt:i4>0</vt:i4>
      </vt:variant>
      <vt:variant>
        <vt:i4>5</vt:i4>
      </vt:variant>
      <vt:variant>
        <vt:lpwstr/>
      </vt:variant>
      <vt:variant>
        <vt:lpwstr>_Toc209787084</vt:lpwstr>
      </vt:variant>
      <vt:variant>
        <vt:i4>2031667</vt:i4>
      </vt:variant>
      <vt:variant>
        <vt:i4>272</vt:i4>
      </vt:variant>
      <vt:variant>
        <vt:i4>0</vt:i4>
      </vt:variant>
      <vt:variant>
        <vt:i4>5</vt:i4>
      </vt:variant>
      <vt:variant>
        <vt:lpwstr/>
      </vt:variant>
      <vt:variant>
        <vt:lpwstr>_Toc209787083</vt:lpwstr>
      </vt:variant>
      <vt:variant>
        <vt:i4>2031667</vt:i4>
      </vt:variant>
      <vt:variant>
        <vt:i4>266</vt:i4>
      </vt:variant>
      <vt:variant>
        <vt:i4>0</vt:i4>
      </vt:variant>
      <vt:variant>
        <vt:i4>5</vt:i4>
      </vt:variant>
      <vt:variant>
        <vt:lpwstr/>
      </vt:variant>
      <vt:variant>
        <vt:lpwstr>_Toc209787082</vt:lpwstr>
      </vt:variant>
      <vt:variant>
        <vt:i4>2031667</vt:i4>
      </vt:variant>
      <vt:variant>
        <vt:i4>260</vt:i4>
      </vt:variant>
      <vt:variant>
        <vt:i4>0</vt:i4>
      </vt:variant>
      <vt:variant>
        <vt:i4>5</vt:i4>
      </vt:variant>
      <vt:variant>
        <vt:lpwstr/>
      </vt:variant>
      <vt:variant>
        <vt:lpwstr>_Toc209787080</vt:lpwstr>
      </vt:variant>
      <vt:variant>
        <vt:i4>1048627</vt:i4>
      </vt:variant>
      <vt:variant>
        <vt:i4>254</vt:i4>
      </vt:variant>
      <vt:variant>
        <vt:i4>0</vt:i4>
      </vt:variant>
      <vt:variant>
        <vt:i4>5</vt:i4>
      </vt:variant>
      <vt:variant>
        <vt:lpwstr/>
      </vt:variant>
      <vt:variant>
        <vt:lpwstr>_Toc209787079</vt:lpwstr>
      </vt:variant>
      <vt:variant>
        <vt:i4>1048627</vt:i4>
      </vt:variant>
      <vt:variant>
        <vt:i4>248</vt:i4>
      </vt:variant>
      <vt:variant>
        <vt:i4>0</vt:i4>
      </vt:variant>
      <vt:variant>
        <vt:i4>5</vt:i4>
      </vt:variant>
      <vt:variant>
        <vt:lpwstr/>
      </vt:variant>
      <vt:variant>
        <vt:lpwstr>_Toc209787078</vt:lpwstr>
      </vt:variant>
      <vt:variant>
        <vt:i4>1048627</vt:i4>
      </vt:variant>
      <vt:variant>
        <vt:i4>242</vt:i4>
      </vt:variant>
      <vt:variant>
        <vt:i4>0</vt:i4>
      </vt:variant>
      <vt:variant>
        <vt:i4>5</vt:i4>
      </vt:variant>
      <vt:variant>
        <vt:lpwstr/>
      </vt:variant>
      <vt:variant>
        <vt:lpwstr>_Toc209787076</vt:lpwstr>
      </vt:variant>
      <vt:variant>
        <vt:i4>1048627</vt:i4>
      </vt:variant>
      <vt:variant>
        <vt:i4>236</vt:i4>
      </vt:variant>
      <vt:variant>
        <vt:i4>0</vt:i4>
      </vt:variant>
      <vt:variant>
        <vt:i4>5</vt:i4>
      </vt:variant>
      <vt:variant>
        <vt:lpwstr/>
      </vt:variant>
      <vt:variant>
        <vt:lpwstr>_Toc209787075</vt:lpwstr>
      </vt:variant>
      <vt:variant>
        <vt:i4>1048627</vt:i4>
      </vt:variant>
      <vt:variant>
        <vt:i4>230</vt:i4>
      </vt:variant>
      <vt:variant>
        <vt:i4>0</vt:i4>
      </vt:variant>
      <vt:variant>
        <vt:i4>5</vt:i4>
      </vt:variant>
      <vt:variant>
        <vt:lpwstr/>
      </vt:variant>
      <vt:variant>
        <vt:lpwstr>_Toc209787073</vt:lpwstr>
      </vt:variant>
      <vt:variant>
        <vt:i4>1048627</vt:i4>
      </vt:variant>
      <vt:variant>
        <vt:i4>224</vt:i4>
      </vt:variant>
      <vt:variant>
        <vt:i4>0</vt:i4>
      </vt:variant>
      <vt:variant>
        <vt:i4>5</vt:i4>
      </vt:variant>
      <vt:variant>
        <vt:lpwstr/>
      </vt:variant>
      <vt:variant>
        <vt:lpwstr>_Toc209787072</vt:lpwstr>
      </vt:variant>
      <vt:variant>
        <vt:i4>1048627</vt:i4>
      </vt:variant>
      <vt:variant>
        <vt:i4>218</vt:i4>
      </vt:variant>
      <vt:variant>
        <vt:i4>0</vt:i4>
      </vt:variant>
      <vt:variant>
        <vt:i4>5</vt:i4>
      </vt:variant>
      <vt:variant>
        <vt:lpwstr/>
      </vt:variant>
      <vt:variant>
        <vt:lpwstr>_Toc209787071</vt:lpwstr>
      </vt:variant>
      <vt:variant>
        <vt:i4>1048627</vt:i4>
      </vt:variant>
      <vt:variant>
        <vt:i4>212</vt:i4>
      </vt:variant>
      <vt:variant>
        <vt:i4>0</vt:i4>
      </vt:variant>
      <vt:variant>
        <vt:i4>5</vt:i4>
      </vt:variant>
      <vt:variant>
        <vt:lpwstr/>
      </vt:variant>
      <vt:variant>
        <vt:lpwstr>_Toc209787070</vt:lpwstr>
      </vt:variant>
      <vt:variant>
        <vt:i4>1114163</vt:i4>
      </vt:variant>
      <vt:variant>
        <vt:i4>206</vt:i4>
      </vt:variant>
      <vt:variant>
        <vt:i4>0</vt:i4>
      </vt:variant>
      <vt:variant>
        <vt:i4>5</vt:i4>
      </vt:variant>
      <vt:variant>
        <vt:lpwstr/>
      </vt:variant>
      <vt:variant>
        <vt:lpwstr>_Toc209787069</vt:lpwstr>
      </vt:variant>
      <vt:variant>
        <vt:i4>1114163</vt:i4>
      </vt:variant>
      <vt:variant>
        <vt:i4>200</vt:i4>
      </vt:variant>
      <vt:variant>
        <vt:i4>0</vt:i4>
      </vt:variant>
      <vt:variant>
        <vt:i4>5</vt:i4>
      </vt:variant>
      <vt:variant>
        <vt:lpwstr/>
      </vt:variant>
      <vt:variant>
        <vt:lpwstr>_Toc209787067</vt:lpwstr>
      </vt:variant>
      <vt:variant>
        <vt:i4>1114163</vt:i4>
      </vt:variant>
      <vt:variant>
        <vt:i4>194</vt:i4>
      </vt:variant>
      <vt:variant>
        <vt:i4>0</vt:i4>
      </vt:variant>
      <vt:variant>
        <vt:i4>5</vt:i4>
      </vt:variant>
      <vt:variant>
        <vt:lpwstr/>
      </vt:variant>
      <vt:variant>
        <vt:lpwstr>_Toc209787066</vt:lpwstr>
      </vt:variant>
      <vt:variant>
        <vt:i4>1114163</vt:i4>
      </vt:variant>
      <vt:variant>
        <vt:i4>188</vt:i4>
      </vt:variant>
      <vt:variant>
        <vt:i4>0</vt:i4>
      </vt:variant>
      <vt:variant>
        <vt:i4>5</vt:i4>
      </vt:variant>
      <vt:variant>
        <vt:lpwstr/>
      </vt:variant>
      <vt:variant>
        <vt:lpwstr>_Toc209787065</vt:lpwstr>
      </vt:variant>
      <vt:variant>
        <vt:i4>1114163</vt:i4>
      </vt:variant>
      <vt:variant>
        <vt:i4>182</vt:i4>
      </vt:variant>
      <vt:variant>
        <vt:i4>0</vt:i4>
      </vt:variant>
      <vt:variant>
        <vt:i4>5</vt:i4>
      </vt:variant>
      <vt:variant>
        <vt:lpwstr/>
      </vt:variant>
      <vt:variant>
        <vt:lpwstr>_Toc209787064</vt:lpwstr>
      </vt:variant>
      <vt:variant>
        <vt:i4>1114163</vt:i4>
      </vt:variant>
      <vt:variant>
        <vt:i4>176</vt:i4>
      </vt:variant>
      <vt:variant>
        <vt:i4>0</vt:i4>
      </vt:variant>
      <vt:variant>
        <vt:i4>5</vt:i4>
      </vt:variant>
      <vt:variant>
        <vt:lpwstr/>
      </vt:variant>
      <vt:variant>
        <vt:lpwstr>_Toc209787063</vt:lpwstr>
      </vt:variant>
      <vt:variant>
        <vt:i4>1114163</vt:i4>
      </vt:variant>
      <vt:variant>
        <vt:i4>170</vt:i4>
      </vt:variant>
      <vt:variant>
        <vt:i4>0</vt:i4>
      </vt:variant>
      <vt:variant>
        <vt:i4>5</vt:i4>
      </vt:variant>
      <vt:variant>
        <vt:lpwstr/>
      </vt:variant>
      <vt:variant>
        <vt:lpwstr>_Toc209787062</vt:lpwstr>
      </vt:variant>
      <vt:variant>
        <vt:i4>1114163</vt:i4>
      </vt:variant>
      <vt:variant>
        <vt:i4>164</vt:i4>
      </vt:variant>
      <vt:variant>
        <vt:i4>0</vt:i4>
      </vt:variant>
      <vt:variant>
        <vt:i4>5</vt:i4>
      </vt:variant>
      <vt:variant>
        <vt:lpwstr/>
      </vt:variant>
      <vt:variant>
        <vt:lpwstr>_Toc209787061</vt:lpwstr>
      </vt:variant>
      <vt:variant>
        <vt:i4>1114163</vt:i4>
      </vt:variant>
      <vt:variant>
        <vt:i4>158</vt:i4>
      </vt:variant>
      <vt:variant>
        <vt:i4>0</vt:i4>
      </vt:variant>
      <vt:variant>
        <vt:i4>5</vt:i4>
      </vt:variant>
      <vt:variant>
        <vt:lpwstr/>
      </vt:variant>
      <vt:variant>
        <vt:lpwstr>_Toc209787060</vt:lpwstr>
      </vt:variant>
      <vt:variant>
        <vt:i4>1179699</vt:i4>
      </vt:variant>
      <vt:variant>
        <vt:i4>152</vt:i4>
      </vt:variant>
      <vt:variant>
        <vt:i4>0</vt:i4>
      </vt:variant>
      <vt:variant>
        <vt:i4>5</vt:i4>
      </vt:variant>
      <vt:variant>
        <vt:lpwstr/>
      </vt:variant>
      <vt:variant>
        <vt:lpwstr>_Toc209787059</vt:lpwstr>
      </vt:variant>
      <vt:variant>
        <vt:i4>1179699</vt:i4>
      </vt:variant>
      <vt:variant>
        <vt:i4>146</vt:i4>
      </vt:variant>
      <vt:variant>
        <vt:i4>0</vt:i4>
      </vt:variant>
      <vt:variant>
        <vt:i4>5</vt:i4>
      </vt:variant>
      <vt:variant>
        <vt:lpwstr/>
      </vt:variant>
      <vt:variant>
        <vt:lpwstr>_Toc209787058</vt:lpwstr>
      </vt:variant>
      <vt:variant>
        <vt:i4>1179699</vt:i4>
      </vt:variant>
      <vt:variant>
        <vt:i4>140</vt:i4>
      </vt:variant>
      <vt:variant>
        <vt:i4>0</vt:i4>
      </vt:variant>
      <vt:variant>
        <vt:i4>5</vt:i4>
      </vt:variant>
      <vt:variant>
        <vt:lpwstr/>
      </vt:variant>
      <vt:variant>
        <vt:lpwstr>_Toc209787057</vt:lpwstr>
      </vt:variant>
      <vt:variant>
        <vt:i4>1179699</vt:i4>
      </vt:variant>
      <vt:variant>
        <vt:i4>134</vt:i4>
      </vt:variant>
      <vt:variant>
        <vt:i4>0</vt:i4>
      </vt:variant>
      <vt:variant>
        <vt:i4>5</vt:i4>
      </vt:variant>
      <vt:variant>
        <vt:lpwstr/>
      </vt:variant>
      <vt:variant>
        <vt:lpwstr>_Toc209787056</vt:lpwstr>
      </vt:variant>
      <vt:variant>
        <vt:i4>1179699</vt:i4>
      </vt:variant>
      <vt:variant>
        <vt:i4>128</vt:i4>
      </vt:variant>
      <vt:variant>
        <vt:i4>0</vt:i4>
      </vt:variant>
      <vt:variant>
        <vt:i4>5</vt:i4>
      </vt:variant>
      <vt:variant>
        <vt:lpwstr/>
      </vt:variant>
      <vt:variant>
        <vt:lpwstr>_Toc209787055</vt:lpwstr>
      </vt:variant>
      <vt:variant>
        <vt:i4>1179699</vt:i4>
      </vt:variant>
      <vt:variant>
        <vt:i4>122</vt:i4>
      </vt:variant>
      <vt:variant>
        <vt:i4>0</vt:i4>
      </vt:variant>
      <vt:variant>
        <vt:i4>5</vt:i4>
      </vt:variant>
      <vt:variant>
        <vt:lpwstr/>
      </vt:variant>
      <vt:variant>
        <vt:lpwstr>_Toc209787054</vt:lpwstr>
      </vt:variant>
      <vt:variant>
        <vt:i4>1179699</vt:i4>
      </vt:variant>
      <vt:variant>
        <vt:i4>116</vt:i4>
      </vt:variant>
      <vt:variant>
        <vt:i4>0</vt:i4>
      </vt:variant>
      <vt:variant>
        <vt:i4>5</vt:i4>
      </vt:variant>
      <vt:variant>
        <vt:lpwstr/>
      </vt:variant>
      <vt:variant>
        <vt:lpwstr>_Toc209787053</vt:lpwstr>
      </vt:variant>
      <vt:variant>
        <vt:i4>1179699</vt:i4>
      </vt:variant>
      <vt:variant>
        <vt:i4>110</vt:i4>
      </vt:variant>
      <vt:variant>
        <vt:i4>0</vt:i4>
      </vt:variant>
      <vt:variant>
        <vt:i4>5</vt:i4>
      </vt:variant>
      <vt:variant>
        <vt:lpwstr/>
      </vt:variant>
      <vt:variant>
        <vt:lpwstr>_Toc209787052</vt:lpwstr>
      </vt:variant>
      <vt:variant>
        <vt:i4>1179699</vt:i4>
      </vt:variant>
      <vt:variant>
        <vt:i4>104</vt:i4>
      </vt:variant>
      <vt:variant>
        <vt:i4>0</vt:i4>
      </vt:variant>
      <vt:variant>
        <vt:i4>5</vt:i4>
      </vt:variant>
      <vt:variant>
        <vt:lpwstr/>
      </vt:variant>
      <vt:variant>
        <vt:lpwstr>_Toc209787051</vt:lpwstr>
      </vt:variant>
      <vt:variant>
        <vt:i4>1179699</vt:i4>
      </vt:variant>
      <vt:variant>
        <vt:i4>98</vt:i4>
      </vt:variant>
      <vt:variant>
        <vt:i4>0</vt:i4>
      </vt:variant>
      <vt:variant>
        <vt:i4>5</vt:i4>
      </vt:variant>
      <vt:variant>
        <vt:lpwstr/>
      </vt:variant>
      <vt:variant>
        <vt:lpwstr>_Toc209787050</vt:lpwstr>
      </vt:variant>
      <vt:variant>
        <vt:i4>1245235</vt:i4>
      </vt:variant>
      <vt:variant>
        <vt:i4>92</vt:i4>
      </vt:variant>
      <vt:variant>
        <vt:i4>0</vt:i4>
      </vt:variant>
      <vt:variant>
        <vt:i4>5</vt:i4>
      </vt:variant>
      <vt:variant>
        <vt:lpwstr/>
      </vt:variant>
      <vt:variant>
        <vt:lpwstr>_Toc209787049</vt:lpwstr>
      </vt:variant>
      <vt:variant>
        <vt:i4>1245235</vt:i4>
      </vt:variant>
      <vt:variant>
        <vt:i4>86</vt:i4>
      </vt:variant>
      <vt:variant>
        <vt:i4>0</vt:i4>
      </vt:variant>
      <vt:variant>
        <vt:i4>5</vt:i4>
      </vt:variant>
      <vt:variant>
        <vt:lpwstr/>
      </vt:variant>
      <vt:variant>
        <vt:lpwstr>_Toc209787048</vt:lpwstr>
      </vt:variant>
      <vt:variant>
        <vt:i4>1245235</vt:i4>
      </vt:variant>
      <vt:variant>
        <vt:i4>80</vt:i4>
      </vt:variant>
      <vt:variant>
        <vt:i4>0</vt:i4>
      </vt:variant>
      <vt:variant>
        <vt:i4>5</vt:i4>
      </vt:variant>
      <vt:variant>
        <vt:lpwstr/>
      </vt:variant>
      <vt:variant>
        <vt:lpwstr>_Toc209787047</vt:lpwstr>
      </vt:variant>
      <vt:variant>
        <vt:i4>1245235</vt:i4>
      </vt:variant>
      <vt:variant>
        <vt:i4>74</vt:i4>
      </vt:variant>
      <vt:variant>
        <vt:i4>0</vt:i4>
      </vt:variant>
      <vt:variant>
        <vt:i4>5</vt:i4>
      </vt:variant>
      <vt:variant>
        <vt:lpwstr/>
      </vt:variant>
      <vt:variant>
        <vt:lpwstr>_Toc209787046</vt:lpwstr>
      </vt:variant>
      <vt:variant>
        <vt:i4>1245235</vt:i4>
      </vt:variant>
      <vt:variant>
        <vt:i4>68</vt:i4>
      </vt:variant>
      <vt:variant>
        <vt:i4>0</vt:i4>
      </vt:variant>
      <vt:variant>
        <vt:i4>5</vt:i4>
      </vt:variant>
      <vt:variant>
        <vt:lpwstr/>
      </vt:variant>
      <vt:variant>
        <vt:lpwstr>_Toc209787045</vt:lpwstr>
      </vt:variant>
      <vt:variant>
        <vt:i4>1245235</vt:i4>
      </vt:variant>
      <vt:variant>
        <vt:i4>62</vt:i4>
      </vt:variant>
      <vt:variant>
        <vt:i4>0</vt:i4>
      </vt:variant>
      <vt:variant>
        <vt:i4>5</vt:i4>
      </vt:variant>
      <vt:variant>
        <vt:lpwstr/>
      </vt:variant>
      <vt:variant>
        <vt:lpwstr>_Toc209787044</vt:lpwstr>
      </vt:variant>
      <vt:variant>
        <vt:i4>1245235</vt:i4>
      </vt:variant>
      <vt:variant>
        <vt:i4>56</vt:i4>
      </vt:variant>
      <vt:variant>
        <vt:i4>0</vt:i4>
      </vt:variant>
      <vt:variant>
        <vt:i4>5</vt:i4>
      </vt:variant>
      <vt:variant>
        <vt:lpwstr/>
      </vt:variant>
      <vt:variant>
        <vt:lpwstr>_Toc209787043</vt:lpwstr>
      </vt:variant>
      <vt:variant>
        <vt:i4>1245235</vt:i4>
      </vt:variant>
      <vt:variant>
        <vt:i4>50</vt:i4>
      </vt:variant>
      <vt:variant>
        <vt:i4>0</vt:i4>
      </vt:variant>
      <vt:variant>
        <vt:i4>5</vt:i4>
      </vt:variant>
      <vt:variant>
        <vt:lpwstr/>
      </vt:variant>
      <vt:variant>
        <vt:lpwstr>_Toc209787042</vt:lpwstr>
      </vt:variant>
      <vt:variant>
        <vt:i4>1245235</vt:i4>
      </vt:variant>
      <vt:variant>
        <vt:i4>44</vt:i4>
      </vt:variant>
      <vt:variant>
        <vt:i4>0</vt:i4>
      </vt:variant>
      <vt:variant>
        <vt:i4>5</vt:i4>
      </vt:variant>
      <vt:variant>
        <vt:lpwstr/>
      </vt:variant>
      <vt:variant>
        <vt:lpwstr>_Toc209787041</vt:lpwstr>
      </vt:variant>
      <vt:variant>
        <vt:i4>1245235</vt:i4>
      </vt:variant>
      <vt:variant>
        <vt:i4>38</vt:i4>
      </vt:variant>
      <vt:variant>
        <vt:i4>0</vt:i4>
      </vt:variant>
      <vt:variant>
        <vt:i4>5</vt:i4>
      </vt:variant>
      <vt:variant>
        <vt:lpwstr/>
      </vt:variant>
      <vt:variant>
        <vt:lpwstr>_Toc209787040</vt:lpwstr>
      </vt:variant>
      <vt:variant>
        <vt:i4>1310771</vt:i4>
      </vt:variant>
      <vt:variant>
        <vt:i4>32</vt:i4>
      </vt:variant>
      <vt:variant>
        <vt:i4>0</vt:i4>
      </vt:variant>
      <vt:variant>
        <vt:i4>5</vt:i4>
      </vt:variant>
      <vt:variant>
        <vt:lpwstr/>
      </vt:variant>
      <vt:variant>
        <vt:lpwstr>_Toc209787039</vt:lpwstr>
      </vt:variant>
      <vt:variant>
        <vt:i4>1310771</vt:i4>
      </vt:variant>
      <vt:variant>
        <vt:i4>26</vt:i4>
      </vt:variant>
      <vt:variant>
        <vt:i4>0</vt:i4>
      </vt:variant>
      <vt:variant>
        <vt:i4>5</vt:i4>
      </vt:variant>
      <vt:variant>
        <vt:lpwstr/>
      </vt:variant>
      <vt:variant>
        <vt:lpwstr>_Toc209787038</vt:lpwstr>
      </vt:variant>
      <vt:variant>
        <vt:i4>1310771</vt:i4>
      </vt:variant>
      <vt:variant>
        <vt:i4>20</vt:i4>
      </vt:variant>
      <vt:variant>
        <vt:i4>0</vt:i4>
      </vt:variant>
      <vt:variant>
        <vt:i4>5</vt:i4>
      </vt:variant>
      <vt:variant>
        <vt:lpwstr/>
      </vt:variant>
      <vt:variant>
        <vt:lpwstr>_Toc209787037</vt:lpwstr>
      </vt:variant>
      <vt:variant>
        <vt:i4>1310771</vt:i4>
      </vt:variant>
      <vt:variant>
        <vt:i4>14</vt:i4>
      </vt:variant>
      <vt:variant>
        <vt:i4>0</vt:i4>
      </vt:variant>
      <vt:variant>
        <vt:i4>5</vt:i4>
      </vt:variant>
      <vt:variant>
        <vt:lpwstr/>
      </vt:variant>
      <vt:variant>
        <vt:lpwstr>_Toc209787036</vt:lpwstr>
      </vt:variant>
      <vt:variant>
        <vt:i4>1310771</vt:i4>
      </vt:variant>
      <vt:variant>
        <vt:i4>8</vt:i4>
      </vt:variant>
      <vt:variant>
        <vt:i4>0</vt:i4>
      </vt:variant>
      <vt:variant>
        <vt:i4>5</vt:i4>
      </vt:variant>
      <vt:variant>
        <vt:lpwstr/>
      </vt:variant>
      <vt:variant>
        <vt:lpwstr>_Toc209787035</vt:lpwstr>
      </vt:variant>
      <vt:variant>
        <vt:i4>1310771</vt:i4>
      </vt:variant>
      <vt:variant>
        <vt:i4>2</vt:i4>
      </vt:variant>
      <vt:variant>
        <vt:i4>0</vt:i4>
      </vt:variant>
      <vt:variant>
        <vt:i4>5</vt:i4>
      </vt:variant>
      <vt:variant>
        <vt:lpwstr/>
      </vt:variant>
      <vt:variant>
        <vt:lpwstr>_Toc209787034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PARDEW,Rebecca</dc:creator>
  <cp:keywords>DEWR A4 Factsheet Template - Portrait</cp:keywords>
  <dc:description/>
  <cp:lastModifiedBy>PARDEW,Rebecca</cp:lastModifiedBy>
  <cp:revision>3</cp:revision>
  <cp:lastPrinted>2025-10-01T00:15:00Z</cp:lastPrinted>
  <dcterms:created xsi:type="dcterms:W3CDTF">2025-10-01T00:15:00Z</dcterms:created>
  <dcterms:modified xsi:type="dcterms:W3CDTF">2025-10-01T00:15:00Z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0x010100066025033DE46047828D88018635091B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