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9F15C" w14:textId="33781963" w:rsidR="00067075" w:rsidRDefault="003A2EFF" w:rsidP="00DE0402">
      <w:pPr>
        <w:pStyle w:val="Title"/>
        <w:spacing w:before="120"/>
      </w:pPr>
      <w:r>
        <w:rPr>
          <w:noProof/>
        </w:rPr>
        <w:drawing>
          <wp:inline distT="0" distB="0" distL="0" distR="0" wp14:anchorId="0368C25A" wp14:editId="1EC0F928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B30EC" wp14:editId="7F2E2242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914A" w14:textId="4D8F9C99" w:rsidR="00EC6A53" w:rsidRDefault="00EC6A53" w:rsidP="00067075">
      <w:pPr>
        <w:spacing w:before="100" w:beforeAutospacing="1" w:after="0"/>
        <w:sectPr w:rsidR="00EC6A53" w:rsidSect="000853A1">
          <w:footerReference w:type="default" r:id="rId14"/>
          <w:footerReference w:type="first" r:id="rId15"/>
          <w:type w:val="continuous"/>
          <w:pgSz w:w="11906" w:h="16838"/>
          <w:pgMar w:top="851" w:right="1418" w:bottom="1418" w:left="1418" w:header="0" w:footer="709" w:gutter="0"/>
          <w:cols w:space="708"/>
          <w:docGrid w:linePitch="360"/>
        </w:sectPr>
      </w:pPr>
    </w:p>
    <w:p w14:paraId="096976A5" w14:textId="0C5029E2" w:rsidR="00C62708" w:rsidRDefault="008A6EA6" w:rsidP="00901825">
      <w:pPr>
        <w:pStyle w:val="Title"/>
        <w:spacing w:before="480"/>
      </w:pPr>
      <w:r>
        <w:t>Supplementary Guidance for the Skills Guarantee PCP Version 1</w:t>
      </w:r>
    </w:p>
    <w:p w14:paraId="4771A54B" w14:textId="2ADC8050" w:rsidR="008A6EA6" w:rsidRDefault="0598240A" w:rsidP="008E558D">
      <w:pPr>
        <w:pStyle w:val="Subtitle"/>
        <w:spacing w:after="0"/>
        <w:rPr>
          <w:rFonts w:ascii="Aptos Display" w:eastAsia="Aptos Display" w:hAnsi="Aptos Display" w:cs="Aptos Display"/>
          <w:color w:val="5D7A38"/>
          <w:sz w:val="36"/>
          <w:szCs w:val="36"/>
        </w:rPr>
      </w:pPr>
      <w:r w:rsidRPr="00781066">
        <w:rPr>
          <w:rFonts w:ascii="Aptos Display" w:eastAsia="Aptos Display" w:hAnsi="Aptos Display" w:cs="Aptos Display"/>
          <w:color w:val="5D7A38"/>
          <w:sz w:val="36"/>
          <w:szCs w:val="36"/>
        </w:rPr>
        <w:t>G</w:t>
      </w:r>
      <w:r w:rsidR="007F41E5" w:rsidRPr="00781066">
        <w:rPr>
          <w:rFonts w:ascii="Aptos Display" w:eastAsia="Aptos Display" w:hAnsi="Aptos Display" w:cs="Aptos Display"/>
          <w:color w:val="5D7A38"/>
          <w:sz w:val="36"/>
          <w:szCs w:val="36"/>
        </w:rPr>
        <w:t xml:space="preserve">uidance for </w:t>
      </w:r>
      <w:r w:rsidR="2EDA6EF5" w:rsidRPr="00781066">
        <w:rPr>
          <w:rFonts w:ascii="Aptos Display" w:eastAsia="Aptos Display" w:hAnsi="Aptos Display" w:cs="Aptos Display"/>
          <w:color w:val="5D7A38"/>
          <w:sz w:val="36"/>
          <w:szCs w:val="36"/>
        </w:rPr>
        <w:t>R</w:t>
      </w:r>
      <w:r w:rsidR="007F41E5" w:rsidRPr="00781066">
        <w:rPr>
          <w:rFonts w:ascii="Aptos Display" w:eastAsia="Aptos Display" w:hAnsi="Aptos Display" w:cs="Aptos Display"/>
          <w:color w:val="5D7A38"/>
          <w:sz w:val="36"/>
          <w:szCs w:val="36"/>
        </w:rPr>
        <w:t xml:space="preserve">elevant </w:t>
      </w:r>
      <w:r w:rsidR="0069799B">
        <w:rPr>
          <w:rFonts w:ascii="Aptos Display" w:eastAsia="Aptos Display" w:hAnsi="Aptos Display" w:cs="Aptos Display"/>
          <w:color w:val="5D7A38"/>
          <w:sz w:val="36"/>
          <w:szCs w:val="36"/>
        </w:rPr>
        <w:t>e</w:t>
      </w:r>
      <w:r w:rsidR="007F41E5" w:rsidRPr="00C20A68">
        <w:rPr>
          <w:rFonts w:ascii="Aptos Display" w:eastAsia="Aptos Display" w:hAnsi="Aptos Display" w:cs="Aptos Display"/>
          <w:color w:val="5D7A38"/>
          <w:sz w:val="36"/>
          <w:szCs w:val="36"/>
        </w:rPr>
        <w:t>ntities</w:t>
      </w:r>
      <w:r w:rsidR="004E5FE2" w:rsidRPr="00781066">
        <w:rPr>
          <w:rFonts w:ascii="Aptos Display" w:eastAsia="Aptos Display" w:hAnsi="Aptos Display" w:cs="Aptos Display"/>
          <w:color w:val="5D7A38"/>
          <w:sz w:val="36"/>
          <w:szCs w:val="36"/>
        </w:rPr>
        <w:t xml:space="preserve"> </w:t>
      </w:r>
    </w:p>
    <w:sdt>
      <w:sdtP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id w:val="1329246845"/>
        <w:docPartObj>
          <w:docPartGallery w:val="Table of Contents"/>
          <w:docPartUnique/>
        </w:docPartObj>
      </w:sdtPr>
      <w:sdtContent>
        <w:p w14:paraId="1231D36C" w14:textId="790A9FB1" w:rsidR="00506DCB" w:rsidRPr="007F570F" w:rsidRDefault="00506DCB" w:rsidP="00857714">
          <w:pPr>
            <w:pStyle w:val="TOCHeading"/>
            <w:spacing w:after="0"/>
            <w:rPr>
              <w:color w:val="auto"/>
            </w:rPr>
          </w:pPr>
          <w:r w:rsidRPr="007F570F">
            <w:rPr>
              <w:color w:val="auto"/>
            </w:rPr>
            <w:t>Contents</w:t>
          </w:r>
        </w:p>
        <w:p w14:paraId="0ACF1829" w14:textId="6F287F63" w:rsidR="00676A81" w:rsidRDefault="00506DCB">
          <w:pPr>
            <w:pStyle w:val="TOC1"/>
            <w:tabs>
              <w:tab w:val="right" w:leader="dot" w:pos="9060"/>
            </w:tabs>
            <w:rPr>
              <w:rFonts w:eastAsiaTheme="minorEastAsia"/>
              <w:b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r w:rsidRPr="007F570F">
            <w:fldChar w:fldCharType="begin"/>
          </w:r>
          <w:r w:rsidRPr="007F570F">
            <w:instrText xml:space="preserve"> TOC \o "1-3" \h \z \u </w:instrText>
          </w:r>
          <w:r w:rsidRPr="007F570F">
            <w:fldChar w:fldCharType="separate"/>
          </w:r>
          <w:hyperlink w:anchor="_Toc210109791" w:history="1">
            <w:r w:rsidR="00676A81" w:rsidRPr="00CF0818">
              <w:rPr>
                <w:rStyle w:val="Hyperlink"/>
                <w:noProof/>
              </w:rPr>
              <w:t>Actions for Relevant entities Summary</w:t>
            </w:r>
            <w:r w:rsidR="00676A81">
              <w:rPr>
                <w:noProof/>
                <w:webHidden/>
              </w:rPr>
              <w:tab/>
            </w:r>
            <w:r w:rsidR="00676A81">
              <w:rPr>
                <w:noProof/>
                <w:webHidden/>
              </w:rPr>
              <w:fldChar w:fldCharType="begin"/>
            </w:r>
            <w:r w:rsidR="00676A81">
              <w:rPr>
                <w:noProof/>
                <w:webHidden/>
              </w:rPr>
              <w:instrText xml:space="preserve"> PAGEREF _Toc210109791 \h </w:instrText>
            </w:r>
            <w:r w:rsidR="00676A81">
              <w:rPr>
                <w:noProof/>
                <w:webHidden/>
              </w:rPr>
            </w:r>
            <w:r w:rsidR="00676A81"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3</w:t>
            </w:r>
            <w:r w:rsidR="00676A81">
              <w:rPr>
                <w:noProof/>
                <w:webHidden/>
              </w:rPr>
              <w:fldChar w:fldCharType="end"/>
            </w:r>
          </w:hyperlink>
        </w:p>
        <w:p w14:paraId="45DE84C2" w14:textId="51E5B4C3" w:rsidR="00676A81" w:rsidRDefault="00676A81">
          <w:pPr>
            <w:pStyle w:val="TOC1"/>
            <w:tabs>
              <w:tab w:val="right" w:leader="dot" w:pos="9060"/>
            </w:tabs>
            <w:rPr>
              <w:rFonts w:eastAsiaTheme="minorEastAsia"/>
              <w:b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792" w:history="1">
            <w:r w:rsidRPr="00CF0818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97D23C" w14:textId="6A4AE0FF" w:rsidR="00676A81" w:rsidRDefault="00676A81">
          <w:pPr>
            <w:pStyle w:val="TOC1"/>
            <w:tabs>
              <w:tab w:val="right" w:leader="dot" w:pos="9060"/>
            </w:tabs>
            <w:rPr>
              <w:rFonts w:eastAsiaTheme="minorEastAsia"/>
              <w:b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793" w:history="1">
            <w:r w:rsidRPr="00CF0818">
              <w:rPr>
                <w:rStyle w:val="Hyperlink"/>
                <w:noProof/>
              </w:rPr>
              <w:t>Procurements in 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68ED69" w14:textId="720F921F" w:rsidR="00676A81" w:rsidRDefault="00676A81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794" w:history="1">
            <w:r w:rsidRPr="00CF0818">
              <w:rPr>
                <w:rStyle w:val="Hyperlink"/>
                <w:rFonts w:ascii="Segoe UI Emoji" w:eastAsia="Times New Roman" w:hAnsi="Segoe UI Emoji" w:cs="Segoe UI Emoji"/>
                <w:noProof/>
                <w:lang w:eastAsia="en-AU"/>
              </w:rPr>
              <w:t>📌</w:t>
            </w:r>
            <w:r w:rsidRPr="00CF0818">
              <w:rPr>
                <w:rStyle w:val="Hyperlink"/>
                <w:noProof/>
              </w:rPr>
              <w:t xml:space="preserve"> Actions for Relevant entities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68B608" w14:textId="07A215A8" w:rsidR="00676A81" w:rsidRDefault="00676A81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795" w:history="1">
            <w:r w:rsidRPr="00CF0818">
              <w:rPr>
                <w:rStyle w:val="Hyperlink"/>
                <w:noProof/>
              </w:rPr>
              <w:t>Construction procurement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1BFF10" w14:textId="6ACEFF6C" w:rsidR="00676A81" w:rsidRDefault="00676A81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796" w:history="1">
            <w:r w:rsidRPr="00CF0818">
              <w:rPr>
                <w:rStyle w:val="Hyperlink"/>
                <w:noProof/>
              </w:rPr>
              <w:t>ICT procurement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14DE74" w14:textId="35649383" w:rsidR="00676A81" w:rsidRDefault="00676A81">
          <w:pPr>
            <w:pStyle w:val="TOC1"/>
            <w:tabs>
              <w:tab w:val="right" w:leader="dot" w:pos="9060"/>
            </w:tabs>
            <w:rPr>
              <w:rFonts w:eastAsiaTheme="minorEastAsia"/>
              <w:b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797" w:history="1">
            <w:r w:rsidRPr="00CF0818">
              <w:rPr>
                <w:rStyle w:val="Hyperlink"/>
                <w:noProof/>
              </w:rPr>
              <w:t>Exemptions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A6F996" w14:textId="1D7A37E0" w:rsidR="00676A81" w:rsidRDefault="00676A81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798" w:history="1">
            <w:r w:rsidRPr="00CF0818">
              <w:rPr>
                <w:rStyle w:val="Hyperlink"/>
                <w:rFonts w:ascii="Segoe UI Emoji" w:eastAsia="Times New Roman" w:hAnsi="Segoe UI Emoji" w:cs="Segoe UI Emoji"/>
                <w:noProof/>
                <w:lang w:eastAsia="en-AU"/>
              </w:rPr>
              <w:t>📌</w:t>
            </w:r>
            <w:r w:rsidRPr="00CF0818">
              <w:rPr>
                <w:rStyle w:val="Hyperlink"/>
                <w:noProof/>
              </w:rPr>
              <w:t xml:space="preserve"> Actions for Relevant entities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C1A31E" w14:textId="41FA9BFD" w:rsidR="00676A81" w:rsidRDefault="00676A81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799" w:history="1">
            <w:r w:rsidRPr="00CF0818">
              <w:rPr>
                <w:rStyle w:val="Hyperlink"/>
                <w:noProof/>
              </w:rPr>
              <w:t>Formal exemptions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9B9582" w14:textId="7B6630F0" w:rsidR="00676A81" w:rsidRDefault="00676A81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800" w:history="1">
            <w:r w:rsidRPr="00CF0818">
              <w:rPr>
                <w:rStyle w:val="Hyperlink"/>
                <w:noProof/>
              </w:rPr>
              <w:t>Determining eligibility and reasonableness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C36D5F" w14:textId="64890117" w:rsidR="00676A81" w:rsidRDefault="00676A81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801" w:history="1">
            <w:r w:rsidRPr="00CF0818">
              <w:rPr>
                <w:rStyle w:val="Hyperlink"/>
                <w:noProof/>
              </w:rPr>
              <w:t>ADMS notifications and reporting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47CADA" w14:textId="345C5DE0" w:rsidR="00676A81" w:rsidRDefault="00676A81">
          <w:pPr>
            <w:pStyle w:val="TOC1"/>
            <w:tabs>
              <w:tab w:val="right" w:leader="dot" w:pos="9060"/>
            </w:tabs>
            <w:rPr>
              <w:rFonts w:eastAsiaTheme="minorEastAsia"/>
              <w:b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802" w:history="1">
            <w:r w:rsidRPr="00CF0818">
              <w:rPr>
                <w:rStyle w:val="Hyperlink"/>
                <w:noProof/>
              </w:rPr>
              <w:t>Gender Equality Action Plan (GEAP)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3DD1E8" w14:textId="0B309FA0" w:rsidR="00676A81" w:rsidRDefault="00676A81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803" w:history="1">
            <w:r w:rsidRPr="00CF0818">
              <w:rPr>
                <w:rStyle w:val="Hyperlink"/>
                <w:rFonts w:ascii="Segoe UI Emoji" w:eastAsia="Times New Roman" w:hAnsi="Segoe UI Emoji" w:cs="Segoe UI Emoji"/>
                <w:noProof/>
                <w:lang w:eastAsia="en-AU"/>
              </w:rPr>
              <w:t>📌</w:t>
            </w:r>
            <w:r w:rsidRPr="00CF0818">
              <w:rPr>
                <w:rStyle w:val="Hyperlink"/>
                <w:noProof/>
              </w:rPr>
              <w:t xml:space="preserve"> Actions for Relevant entities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AA7A68" w14:textId="3BA5B3BC" w:rsidR="00676A81" w:rsidRDefault="00676A81">
          <w:pPr>
            <w:pStyle w:val="TOC1"/>
            <w:tabs>
              <w:tab w:val="right" w:leader="dot" w:pos="9060"/>
            </w:tabs>
            <w:rPr>
              <w:rFonts w:eastAsiaTheme="minorEastAsia"/>
              <w:b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804" w:history="1">
            <w:r w:rsidRPr="00CF0818">
              <w:rPr>
                <w:rStyle w:val="Hyperlink"/>
                <w:noProof/>
              </w:rPr>
              <w:t>Construction targets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26F2C6" w14:textId="4637D3BC" w:rsidR="00676A81" w:rsidRDefault="00676A81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805" w:history="1">
            <w:r w:rsidRPr="00CF0818">
              <w:rPr>
                <w:rStyle w:val="Hyperlink"/>
                <w:noProof/>
              </w:rPr>
              <w:t>Construction target examples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3C6DAB" w14:textId="5311C510" w:rsidR="00676A81" w:rsidRDefault="00676A81">
          <w:pPr>
            <w:pStyle w:val="TOC1"/>
            <w:tabs>
              <w:tab w:val="right" w:leader="dot" w:pos="9060"/>
            </w:tabs>
            <w:rPr>
              <w:rFonts w:eastAsiaTheme="minorEastAsia"/>
              <w:b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806" w:history="1">
            <w:r w:rsidRPr="00CF0818">
              <w:rPr>
                <w:rStyle w:val="Hyperlink"/>
                <w:noProof/>
              </w:rPr>
              <w:t>ICT targets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482DDC" w14:textId="054BE9E5" w:rsidR="00676A81" w:rsidRDefault="00676A81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807" w:history="1">
            <w:r w:rsidRPr="00CF0818">
              <w:rPr>
                <w:rStyle w:val="Hyperlink"/>
                <w:noProof/>
              </w:rPr>
              <w:t>Example showing how to work out if a Supplier has met their proposed ICT targets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142AC4" w14:textId="020FC42D" w:rsidR="00676A81" w:rsidRDefault="00676A81">
          <w:pPr>
            <w:pStyle w:val="TOC1"/>
            <w:tabs>
              <w:tab w:val="right" w:leader="dot" w:pos="9060"/>
            </w:tabs>
            <w:rPr>
              <w:rFonts w:eastAsiaTheme="minorEastAsia"/>
              <w:b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808" w:history="1">
            <w:r w:rsidRPr="00CF0818">
              <w:rPr>
                <w:rStyle w:val="Hyperlink"/>
                <w:noProof/>
              </w:rPr>
              <w:t>Skills Guarantee Model Clauses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B94C82" w14:textId="4F544124" w:rsidR="00676A81" w:rsidRDefault="00676A81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809" w:history="1">
            <w:r w:rsidRPr="00CF0818">
              <w:rPr>
                <w:rStyle w:val="Hyperlink"/>
                <w:rFonts w:ascii="Segoe UI Emoji" w:eastAsia="Times New Roman" w:hAnsi="Segoe UI Emoji" w:cs="Segoe UI Emoji"/>
                <w:noProof/>
                <w:lang w:eastAsia="en-AU"/>
              </w:rPr>
              <w:t>📌</w:t>
            </w:r>
            <w:r w:rsidRPr="00CF0818">
              <w:rPr>
                <w:rStyle w:val="Hyperlink"/>
                <w:noProof/>
              </w:rPr>
              <w:t xml:space="preserve"> Actions for Relevant entities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B916FC" w14:textId="223CB724" w:rsidR="00676A81" w:rsidRDefault="00676A81">
          <w:pPr>
            <w:pStyle w:val="TOC1"/>
            <w:tabs>
              <w:tab w:val="right" w:leader="dot" w:pos="9060"/>
            </w:tabs>
            <w:rPr>
              <w:rFonts w:eastAsiaTheme="minorEastAsia"/>
              <w:b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810" w:history="1">
            <w:r w:rsidRPr="00CF0818">
              <w:rPr>
                <w:rStyle w:val="Hyperlink"/>
                <w:noProof/>
              </w:rPr>
              <w:t>Privacy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B36969" w14:textId="5F6A307A" w:rsidR="00676A81" w:rsidRDefault="00676A81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811" w:history="1">
            <w:r w:rsidRPr="00CF0818">
              <w:rPr>
                <w:rStyle w:val="Hyperlink"/>
                <w:noProof/>
              </w:rPr>
              <w:t>Consent Requirements and Privacy Considerations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DFACE6" w14:textId="3951461D" w:rsidR="00676A81" w:rsidRDefault="00676A81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812" w:history="1">
            <w:r w:rsidRPr="00CF0818">
              <w:rPr>
                <w:rStyle w:val="Hyperlink"/>
                <w:noProof/>
              </w:rPr>
              <w:t>Collection of Personal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F8BF89" w14:textId="3602BA0D" w:rsidR="00676A81" w:rsidRDefault="00676A81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813" w:history="1">
            <w:r w:rsidRPr="00CF0818">
              <w:rPr>
                <w:rStyle w:val="Hyperlink"/>
                <w:noProof/>
              </w:rPr>
              <w:t>Using Skills Guarantee Model Clauses to Secure Consent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D8A54B" w14:textId="540F82AC" w:rsidR="00676A81" w:rsidRDefault="00676A81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814" w:history="1">
            <w:r w:rsidRPr="00CF0818">
              <w:rPr>
                <w:rStyle w:val="Hyperlink"/>
                <w:rFonts w:ascii="Segoe UI Emoji" w:eastAsia="Times New Roman" w:hAnsi="Segoe UI Emoji" w:cs="Segoe UI Emoji"/>
                <w:noProof/>
                <w:lang w:eastAsia="en-AU"/>
              </w:rPr>
              <w:t>📌</w:t>
            </w:r>
            <w:r w:rsidRPr="00CF0818">
              <w:rPr>
                <w:rStyle w:val="Hyperlink"/>
                <w:noProof/>
              </w:rPr>
              <w:t xml:space="preserve"> Actions for Relevant entities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49DC66" w14:textId="267E2304" w:rsidR="00676A81" w:rsidRDefault="00676A81">
          <w:pPr>
            <w:pStyle w:val="TOC1"/>
            <w:tabs>
              <w:tab w:val="right" w:leader="dot" w:pos="9060"/>
            </w:tabs>
            <w:rPr>
              <w:rFonts w:eastAsiaTheme="minorEastAsia"/>
              <w:b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815" w:history="1">
            <w:r w:rsidRPr="00CF0818">
              <w:rPr>
                <w:rStyle w:val="Hyperlink"/>
                <w:noProof/>
              </w:rPr>
              <w:t>Contract variations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993110" w14:textId="5E501194" w:rsidR="00676A81" w:rsidRDefault="00676A81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816" w:history="1">
            <w:r w:rsidRPr="00CF0818">
              <w:rPr>
                <w:rStyle w:val="Hyperlink"/>
                <w:noProof/>
              </w:rPr>
              <w:t>ADMS reporting for Contract variations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FBFDF7" w14:textId="065701B0" w:rsidR="00676A81" w:rsidRDefault="00676A81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817" w:history="1">
            <w:r w:rsidRPr="00CF0818">
              <w:rPr>
                <w:rStyle w:val="Hyperlink"/>
                <w:noProof/>
              </w:rPr>
              <w:t>Panel or standing offer arrangements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4ACDB1" w14:textId="377B8338" w:rsidR="00676A81" w:rsidRDefault="00676A81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818" w:history="1">
            <w:r w:rsidRPr="00CF0818">
              <w:rPr>
                <w:rStyle w:val="Hyperlink"/>
                <w:rFonts w:ascii="Segoe UI Emoji" w:eastAsia="Times New Roman" w:hAnsi="Segoe UI Emoji" w:cs="Segoe UI Emoji"/>
                <w:noProof/>
                <w:lang w:eastAsia="en-AU"/>
              </w:rPr>
              <w:t>📌</w:t>
            </w:r>
            <w:r w:rsidRPr="00CF0818">
              <w:rPr>
                <w:rStyle w:val="Hyperlink"/>
                <w:noProof/>
              </w:rPr>
              <w:t xml:space="preserve"> Actions for Relevant entities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C1B46C" w14:textId="145D0D02" w:rsidR="00676A81" w:rsidRDefault="00676A81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819" w:history="1">
            <w:r w:rsidRPr="00CF0818">
              <w:rPr>
                <w:rStyle w:val="Hyperlink"/>
                <w:rFonts w:ascii="Segoe UI Emoji" w:eastAsia="Times New Roman" w:hAnsi="Segoe UI Emoji" w:cs="Segoe UI Emoji"/>
                <w:noProof/>
                <w:lang w:eastAsia="en-AU"/>
              </w:rPr>
              <w:t>📌</w:t>
            </w:r>
            <w:r w:rsidRPr="00CF0818">
              <w:rPr>
                <w:rStyle w:val="Hyperlink"/>
                <w:noProof/>
              </w:rPr>
              <w:t xml:space="preserve"> Checklist for Relevant entities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338B20" w14:textId="43472597" w:rsidR="00676A81" w:rsidRDefault="00676A81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820" w:history="1">
            <w:r w:rsidRPr="00CF0818">
              <w:rPr>
                <w:rStyle w:val="Hyperlink"/>
                <w:noProof/>
              </w:rPr>
              <w:t>Contract variation examples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6D06B9" w14:textId="31FFFE8F" w:rsidR="00676A81" w:rsidRDefault="00676A81">
          <w:pPr>
            <w:pStyle w:val="TOC1"/>
            <w:tabs>
              <w:tab w:val="right" w:leader="dot" w:pos="9060"/>
            </w:tabs>
            <w:rPr>
              <w:rFonts w:eastAsiaTheme="minorEastAsia"/>
              <w:b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821" w:history="1">
            <w:r w:rsidRPr="00CF0818">
              <w:rPr>
                <w:rStyle w:val="Hyperlink"/>
                <w:noProof/>
              </w:rPr>
              <w:t>Submission 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A78E3F" w14:textId="4C5A7656" w:rsidR="00676A81" w:rsidRDefault="00676A81">
          <w:pPr>
            <w:pStyle w:val="TOC1"/>
            <w:tabs>
              <w:tab w:val="right" w:leader="dot" w:pos="9060"/>
            </w:tabs>
            <w:rPr>
              <w:rFonts w:eastAsiaTheme="minorEastAsia"/>
              <w:b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822" w:history="1">
            <w:r w:rsidRPr="00CF0818">
              <w:rPr>
                <w:rStyle w:val="Hyperlink"/>
                <w:noProof/>
              </w:rPr>
              <w:t>Reporting and compliance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08D2B6" w14:textId="0A601488" w:rsidR="00676A81" w:rsidRDefault="00676A81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823" w:history="1">
            <w:r w:rsidRPr="00CF0818">
              <w:rPr>
                <w:rStyle w:val="Hyperlink"/>
                <w:rFonts w:ascii="Segoe UI Emoji" w:eastAsia="Times New Roman" w:hAnsi="Segoe UI Emoji" w:cs="Segoe UI Emoji"/>
                <w:noProof/>
                <w:lang w:eastAsia="en-AU"/>
              </w:rPr>
              <w:t>📌</w:t>
            </w:r>
            <w:r w:rsidRPr="00CF0818">
              <w:rPr>
                <w:rStyle w:val="Hyperlink"/>
                <w:noProof/>
              </w:rPr>
              <w:t xml:space="preserve"> Actions for Relevant entities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88896D" w14:textId="5E3F34B4" w:rsidR="00676A81" w:rsidRDefault="00676A81">
          <w:pPr>
            <w:pStyle w:val="TOC1"/>
            <w:tabs>
              <w:tab w:val="right" w:leader="dot" w:pos="9060"/>
            </w:tabs>
            <w:rPr>
              <w:rFonts w:eastAsiaTheme="minorEastAsia"/>
              <w:b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824" w:history="1">
            <w:r w:rsidRPr="00CF0818">
              <w:rPr>
                <w:rStyle w:val="Hyperlink"/>
                <w:noProof/>
              </w:rPr>
              <w:t>Frequently Asked Questions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7D3930" w14:textId="5B1633BC" w:rsidR="00676A81" w:rsidRDefault="00676A81">
          <w:pPr>
            <w:pStyle w:val="TOC3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826" w:history="1">
            <w:r w:rsidRPr="00CF0818">
              <w:rPr>
                <w:rStyle w:val="Hyperlink"/>
                <w:bCs/>
                <w:noProof/>
              </w:rPr>
              <w:t>Do PCP thresholds apply to projects as a whole or individual procurements?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07B46F" w14:textId="099E1397" w:rsidR="00676A81" w:rsidRDefault="00676A81">
          <w:pPr>
            <w:pStyle w:val="TOC3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827" w:history="1">
            <w:r w:rsidRPr="00CF0818">
              <w:rPr>
                <w:rStyle w:val="Hyperlink"/>
                <w:bCs/>
                <w:noProof/>
              </w:rPr>
              <w:t>Does the PCP apply to Sub-contractors?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A209E7" w14:textId="254B6961" w:rsidR="00676A81" w:rsidRDefault="00676A81">
          <w:pPr>
            <w:pStyle w:val="TOC3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828" w:history="1">
            <w:r w:rsidRPr="00CF0818">
              <w:rPr>
                <w:rStyle w:val="Hyperlink"/>
                <w:bCs/>
                <w:noProof/>
              </w:rPr>
              <w:t>How do I calculate the estimated individual value of a procurement to determine whether my procurement is subject to the PCP?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6294E5" w14:textId="4C02ABE4" w:rsidR="00676A81" w:rsidRDefault="00676A81">
          <w:pPr>
            <w:pStyle w:val="TOC3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829" w:history="1">
            <w:r w:rsidRPr="00CF0818">
              <w:rPr>
                <w:rStyle w:val="Hyperlink"/>
                <w:bCs/>
                <w:noProof/>
              </w:rPr>
              <w:t>Does the PCP apply to a procurement where the estimated individual value is less than $10 million but the successful Submission is $10 million or more?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F6F4F4" w14:textId="32F6141A" w:rsidR="00676A81" w:rsidRDefault="00676A81">
          <w:pPr>
            <w:pStyle w:val="TOC3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830" w:history="1">
            <w:r w:rsidRPr="00CF0818">
              <w:rPr>
                <w:rStyle w:val="Hyperlink"/>
                <w:bCs/>
                <w:noProof/>
              </w:rPr>
              <w:t>Does the PCP apply to a procurement where the estimated individual value is $10 million or more but the successful Submission is less than $10 million?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E1CF84" w14:textId="075BA663" w:rsidR="00676A81" w:rsidRDefault="00676A81">
          <w:pPr>
            <w:pStyle w:val="TOC3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832" w:history="1">
            <w:r w:rsidRPr="00CF0818">
              <w:rPr>
                <w:rStyle w:val="Hyperlink"/>
                <w:bCs/>
                <w:noProof/>
              </w:rPr>
              <w:t>What is an Apprentice?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E2E6C6" w14:textId="54A75F58" w:rsidR="00676A81" w:rsidRDefault="00676A81">
          <w:pPr>
            <w:pStyle w:val="TOC3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833" w:history="1">
            <w:r w:rsidRPr="00CF0818">
              <w:rPr>
                <w:rStyle w:val="Hyperlink"/>
                <w:bCs/>
                <w:noProof/>
              </w:rPr>
              <w:t>What is an ICT cadet?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7FC506" w14:textId="3A7DF321" w:rsidR="00676A81" w:rsidRDefault="00676A81">
          <w:pPr>
            <w:pStyle w:val="TOC3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835" w:history="1">
            <w:r w:rsidRPr="00CF0818">
              <w:rPr>
                <w:rStyle w:val="Hyperlink"/>
                <w:bCs/>
                <w:noProof/>
              </w:rPr>
              <w:t>How are Apprentice or ICT cadet off-site Labour hours treated to calculate meeting the targets under the PCP?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B62C3A" w14:textId="4C3B133D" w:rsidR="00676A81" w:rsidRDefault="00676A81">
          <w:pPr>
            <w:pStyle w:val="TOC3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836" w:history="1">
            <w:r w:rsidRPr="00CF0818">
              <w:rPr>
                <w:rStyle w:val="Hyperlink"/>
                <w:bCs/>
                <w:noProof/>
              </w:rPr>
              <w:t>How are part-time hours treated under the PCP?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CB9DFD" w14:textId="5918CED4" w:rsidR="00676A81" w:rsidRDefault="00676A81">
          <w:pPr>
            <w:pStyle w:val="TOC3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837" w:history="1">
            <w:r w:rsidRPr="00CF0818">
              <w:rPr>
                <w:rStyle w:val="Hyperlink"/>
                <w:bCs/>
                <w:noProof/>
              </w:rPr>
              <w:t>Can more than one Apprentice or ICT cadet contribute to the Labour hour targets?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CCC503" w14:textId="10E5418B" w:rsidR="00676A81" w:rsidRDefault="00676A81">
          <w:pPr>
            <w:pStyle w:val="TOC3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839" w:history="1">
            <w:r w:rsidRPr="00CF0818">
              <w:rPr>
                <w:rStyle w:val="Hyperlink"/>
                <w:bCs/>
                <w:noProof/>
              </w:rPr>
              <w:t>How will Suppliers report on PCP targets?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AECEA6" w14:textId="75E864CC" w:rsidR="00676A81" w:rsidRDefault="00676A81">
          <w:pPr>
            <w:pStyle w:val="TOC3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840" w:history="1">
            <w:r w:rsidRPr="00CF0818">
              <w:rPr>
                <w:rStyle w:val="Hyperlink"/>
                <w:bCs/>
                <w:noProof/>
              </w:rPr>
              <w:t xml:space="preserve">Will a </w:t>
            </w:r>
            <w:r w:rsidRPr="00CF0818">
              <w:rPr>
                <w:rStyle w:val="Hyperlink"/>
                <w:noProof/>
              </w:rPr>
              <w:t>Suppliers’</w:t>
            </w:r>
            <w:r w:rsidRPr="00CF0818">
              <w:rPr>
                <w:rStyle w:val="Hyperlink"/>
                <w:bCs/>
                <w:noProof/>
              </w:rPr>
              <w:t xml:space="preserve"> performance be publicly available?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3A5F85" w14:textId="308D77B6" w:rsidR="00676A81" w:rsidRDefault="00676A81">
          <w:pPr>
            <w:pStyle w:val="TOC3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841" w:history="1">
            <w:r w:rsidRPr="00CF0818">
              <w:rPr>
                <w:rStyle w:val="Hyperlink"/>
                <w:bCs/>
                <w:noProof/>
              </w:rPr>
              <w:t>How will compliance be monitored under the PCP?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6F210B" w14:textId="43835AC0" w:rsidR="00676A81" w:rsidRDefault="00676A81">
          <w:pPr>
            <w:pStyle w:val="TOC3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842" w:history="1">
            <w:r w:rsidRPr="00CF0818">
              <w:rPr>
                <w:rStyle w:val="Hyperlink"/>
                <w:bCs/>
                <w:noProof/>
              </w:rPr>
              <w:t>Are there financial penalties for non-compliance with PCP targets?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5397E3" w14:textId="464DB819" w:rsidR="00676A81" w:rsidRDefault="00676A81">
          <w:pPr>
            <w:pStyle w:val="TOC3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843" w:history="1">
            <w:r w:rsidRPr="00CF0818">
              <w:rPr>
                <w:rStyle w:val="Hyperlink"/>
                <w:bCs/>
                <w:noProof/>
              </w:rPr>
              <w:t>Will mitigating factors be considered when assessing a Supplier's compliance with the Skills Guarantee?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F6A0BB" w14:textId="44EF4506" w:rsidR="00676A81" w:rsidRDefault="00676A81">
          <w:pPr>
            <w:pStyle w:val="TOC1"/>
            <w:tabs>
              <w:tab w:val="right" w:leader="dot" w:pos="9060"/>
            </w:tabs>
            <w:rPr>
              <w:rFonts w:eastAsiaTheme="minorEastAsia"/>
              <w:b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10109844" w:history="1">
            <w:r w:rsidRPr="00CF0818">
              <w:rPr>
                <w:rStyle w:val="Hyperlink"/>
                <w:noProof/>
              </w:rPr>
              <w:t>Further 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_Toc210109844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2DFD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88934E" w14:textId="5380E16D" w:rsidR="00506DCB" w:rsidRDefault="00506DCB">
          <w:r w:rsidRPr="007F570F">
            <w:rPr>
              <w:b/>
              <w:bCs/>
              <w:noProof/>
            </w:rPr>
            <w:fldChar w:fldCharType="end"/>
          </w:r>
        </w:p>
      </w:sdtContent>
    </w:sdt>
    <w:p w14:paraId="06A06E7B" w14:textId="664ED05C" w:rsidR="002F36DC" w:rsidRDefault="002F36DC" w:rsidP="002F36DC">
      <w:pPr>
        <w:pStyle w:val="Heading1"/>
      </w:pPr>
      <w:bookmarkStart w:id="0" w:name="_Toc210109791"/>
      <w:r w:rsidRPr="00E860FD">
        <w:lastRenderedPageBreak/>
        <w:t>Actions for Relevant entities Summary</w:t>
      </w:r>
      <w:bookmarkEnd w:id="0"/>
    </w:p>
    <w:p w14:paraId="5C5408BE" w14:textId="194D3AD2" w:rsidR="00EF4EA2" w:rsidRPr="00EF4EA2" w:rsidRDefault="005B236B" w:rsidP="00EF4EA2">
      <w:r w:rsidRPr="005B236B">
        <w:rPr>
          <w:noProof/>
        </w:rPr>
        <w:drawing>
          <wp:inline distT="0" distB="0" distL="0" distR="0" wp14:anchorId="42D63CB7" wp14:editId="5425BF5C">
            <wp:extent cx="6248972" cy="6648450"/>
            <wp:effectExtent l="0" t="0" r="0" b="0"/>
            <wp:docPr id="1644153256" name="Picture 1" descr="Summary of actions for Relevant Entities for PCP Version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153256" name="Picture 1" descr="Summary of actions for Relevant Entities for PCP Version 1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60094" cy="6660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98208" w14:textId="5EFD6517" w:rsidR="000D445E" w:rsidRPr="000D445E" w:rsidRDefault="000D445E" w:rsidP="000D445E"/>
    <w:p w14:paraId="13A11E7D" w14:textId="77777777" w:rsidR="00AF1FCE" w:rsidRDefault="00AF1FCE">
      <w:pPr>
        <w:spacing w:after="160" w:line="259" w:lineRule="auto"/>
        <w:rPr>
          <w:rFonts w:ascii="Calibri" w:eastAsiaTheme="majorEastAsia" w:hAnsi="Calibri" w:cstheme="majorBidi"/>
          <w:b/>
          <w:color w:val="404246"/>
          <w:sz w:val="32"/>
          <w:szCs w:val="32"/>
        </w:rPr>
      </w:pPr>
      <w:r>
        <w:br w:type="page"/>
      </w:r>
    </w:p>
    <w:p w14:paraId="03EF7556" w14:textId="537A3DC9" w:rsidR="003B4299" w:rsidRDefault="00721579" w:rsidP="008073B4">
      <w:pPr>
        <w:pStyle w:val="Heading1"/>
      </w:pPr>
      <w:bookmarkStart w:id="1" w:name="_Toc210109792"/>
      <w:r>
        <w:lastRenderedPageBreak/>
        <w:t>Introduction</w:t>
      </w:r>
      <w:bookmarkEnd w:id="1"/>
      <w:r>
        <w:t xml:space="preserve"> </w:t>
      </w:r>
    </w:p>
    <w:p w14:paraId="23ABD31C" w14:textId="2083F64C" w:rsidR="00DF56C9" w:rsidRPr="00DF42CE" w:rsidRDefault="00DF56C9" w:rsidP="00DF42CE">
      <w:pPr>
        <w:pStyle w:val="ListNumber"/>
        <w:numPr>
          <w:ilvl w:val="0"/>
          <w:numId w:val="0"/>
        </w:numPr>
        <w:spacing w:line="276" w:lineRule="auto"/>
      </w:pPr>
      <w:r w:rsidRPr="00DF56C9">
        <w:t xml:space="preserve">The </w:t>
      </w:r>
      <w:r w:rsidRPr="00DF42CE">
        <w:t>Australian Skills Guarantee (Skills Guarantee)</w:t>
      </w:r>
      <w:r w:rsidRPr="00DF56C9">
        <w:t xml:space="preserve"> </w:t>
      </w:r>
      <w:r w:rsidR="003341E6">
        <w:t>sets</w:t>
      </w:r>
      <w:r w:rsidRPr="00DF56C9">
        <w:t xml:space="preserve"> national targets for the participation of </w:t>
      </w:r>
      <w:r w:rsidRPr="00DF42CE">
        <w:t>Apprentices</w:t>
      </w:r>
      <w:r w:rsidR="003572CD" w:rsidRPr="00DF42CE">
        <w:t xml:space="preserve">, </w:t>
      </w:r>
      <w:r w:rsidR="00C3456D" w:rsidRPr="00DF42CE">
        <w:t>ICT Cadets</w:t>
      </w:r>
      <w:r w:rsidR="003572CD" w:rsidRPr="00DF42CE">
        <w:t xml:space="preserve"> </w:t>
      </w:r>
      <w:r w:rsidRPr="00DF42CE">
        <w:t xml:space="preserve">and </w:t>
      </w:r>
      <w:r w:rsidR="00D44E5A">
        <w:t>w</w:t>
      </w:r>
      <w:r w:rsidRPr="00DF42CE">
        <w:t>omen</w:t>
      </w:r>
      <w:r w:rsidRPr="00DF56C9">
        <w:t xml:space="preserve"> on eligible Australian Government-funded major projects. These targets apply to </w:t>
      </w:r>
      <w:r w:rsidRPr="00DF42CE">
        <w:t>building and construction, maintenance services (Construction)</w:t>
      </w:r>
      <w:r w:rsidRPr="00DF56C9">
        <w:t>, and</w:t>
      </w:r>
      <w:r w:rsidRPr="00DF42CE">
        <w:t xml:space="preserve"> information and communications technology (ICT)</w:t>
      </w:r>
      <w:r w:rsidRPr="00DF56C9">
        <w:t xml:space="preserve"> procurements with an estimated individual value of </w:t>
      </w:r>
      <w:r w:rsidRPr="00DF42CE">
        <w:t>$10 million or more.</w:t>
      </w:r>
      <w:r w:rsidR="00CF2EF9" w:rsidRPr="00DF42CE">
        <w:t xml:space="preserve"> </w:t>
      </w:r>
      <w:r w:rsidR="00DF42CE" w:rsidRPr="00DF42CE">
        <w:t xml:space="preserve">Targets for women on </w:t>
      </w:r>
      <w:r w:rsidR="00DF42CE">
        <w:t>M</w:t>
      </w:r>
      <w:r w:rsidR="00DF42CE" w:rsidRPr="00DF42CE">
        <w:t xml:space="preserve">ajor ICT projects are negotiated with </w:t>
      </w:r>
      <w:r w:rsidR="00DF42CE">
        <w:t>S</w:t>
      </w:r>
      <w:r w:rsidR="00DF42CE" w:rsidRPr="00DF42CE">
        <w:t xml:space="preserve">uppliers on a project-by-project basis.  </w:t>
      </w:r>
    </w:p>
    <w:p w14:paraId="4A329B26" w14:textId="77777777" w:rsidR="00EA759C" w:rsidRPr="00DF56C9" w:rsidRDefault="00EA759C" w:rsidP="00EA759C">
      <w:pPr>
        <w:pStyle w:val="ListNumber"/>
        <w:numPr>
          <w:ilvl w:val="0"/>
          <w:numId w:val="0"/>
        </w:numPr>
        <w:spacing w:after="0" w:line="276" w:lineRule="auto"/>
        <w:rPr>
          <w:b/>
          <w:bCs/>
        </w:rPr>
      </w:pPr>
    </w:p>
    <w:p w14:paraId="2B0ED2C4" w14:textId="116C3231" w:rsidR="00332BDC" w:rsidRDefault="00DF56C9" w:rsidP="00EA759C">
      <w:pPr>
        <w:pStyle w:val="ListNumber"/>
        <w:numPr>
          <w:ilvl w:val="0"/>
          <w:numId w:val="0"/>
        </w:numPr>
        <w:spacing w:line="276" w:lineRule="auto"/>
      </w:pPr>
      <w:r w:rsidRPr="00DF56C9">
        <w:t xml:space="preserve">This </w:t>
      </w:r>
      <w:r w:rsidRPr="00DF56C9">
        <w:rPr>
          <w:rStyle w:val="Strong"/>
          <w:b w:val="0"/>
          <w:bCs w:val="0"/>
        </w:rPr>
        <w:t>supplementary guidance</w:t>
      </w:r>
      <w:r w:rsidRPr="00DF56C9">
        <w:t xml:space="preserve"> support</w:t>
      </w:r>
      <w:r w:rsidR="00C41F05">
        <w:t>s</w:t>
      </w:r>
      <w:r w:rsidRPr="00DF56C9">
        <w:t xml:space="preserve"> </w:t>
      </w:r>
      <w:r w:rsidR="0069799B">
        <w:rPr>
          <w:rStyle w:val="Strong"/>
          <w:b w:val="0"/>
          <w:bCs w:val="0"/>
        </w:rPr>
        <w:t>Relevant entities</w:t>
      </w:r>
      <w:r w:rsidRPr="00DF56C9">
        <w:t xml:space="preserve"> in understanding and implementing the </w:t>
      </w:r>
      <w:r w:rsidRPr="00DF56C9">
        <w:rPr>
          <w:rStyle w:val="Strong"/>
          <w:b w:val="0"/>
          <w:bCs w:val="0"/>
        </w:rPr>
        <w:t xml:space="preserve">Skills Guarantee Procurement Connected Policy (PCP) Version </w:t>
      </w:r>
      <w:r w:rsidR="0030292E">
        <w:rPr>
          <w:rStyle w:val="Strong"/>
          <w:b w:val="0"/>
          <w:bCs w:val="0"/>
        </w:rPr>
        <w:t>1 from 1 July 2024</w:t>
      </w:r>
      <w:r w:rsidRPr="00DF56C9">
        <w:t xml:space="preserve">. It should be read </w:t>
      </w:r>
      <w:r w:rsidR="00C41F05">
        <w:t xml:space="preserve">alongside </w:t>
      </w:r>
      <w:r w:rsidRPr="00DF56C9">
        <w:t>the PCP and provides practical advice on determining project eligibility, incorporating model clauses, meeting reporting requirements, and supporting compliance.</w:t>
      </w:r>
    </w:p>
    <w:p w14:paraId="5E7DE1B4" w14:textId="77777777" w:rsidR="00A12C34" w:rsidRDefault="00A12C34" w:rsidP="00EA759C">
      <w:pPr>
        <w:pStyle w:val="ListNumber"/>
        <w:numPr>
          <w:ilvl w:val="0"/>
          <w:numId w:val="0"/>
        </w:numPr>
        <w:spacing w:line="276" w:lineRule="auto"/>
      </w:pPr>
    </w:p>
    <w:p w14:paraId="651C07B3" w14:textId="7585BB32" w:rsidR="00A12C34" w:rsidRPr="00DF56C9" w:rsidRDefault="008378B0" w:rsidP="00EA759C">
      <w:pPr>
        <w:pStyle w:val="ListNumber"/>
        <w:numPr>
          <w:ilvl w:val="0"/>
          <w:numId w:val="0"/>
        </w:numPr>
        <w:spacing w:line="276" w:lineRule="auto"/>
      </w:pPr>
      <w:r w:rsidRPr="008378B0">
        <w:rPr>
          <w:b/>
          <w:bCs/>
        </w:rPr>
        <w:t>Important to note:</w:t>
      </w:r>
      <w:r>
        <w:t xml:space="preserve"> </w:t>
      </w:r>
      <w:r w:rsidR="00A12C34">
        <w:t xml:space="preserve">For new Approaches to </w:t>
      </w:r>
      <w:r w:rsidR="00D75A7A">
        <w:t>M</w:t>
      </w:r>
      <w:r w:rsidR="00A12C34">
        <w:t xml:space="preserve">arket </w:t>
      </w:r>
      <w:r w:rsidR="008D0DA7">
        <w:t xml:space="preserve">for Eligible </w:t>
      </w:r>
      <w:r w:rsidR="00D75A7A">
        <w:t>P</w:t>
      </w:r>
      <w:r w:rsidR="008D0DA7">
        <w:t xml:space="preserve">rojects </w:t>
      </w:r>
      <w:r w:rsidR="0033457E">
        <w:t xml:space="preserve">issued from 1 October 2025, please refer to the Skills Guarantee PCP Version 1.2 and </w:t>
      </w:r>
      <w:r w:rsidR="00005101">
        <w:t xml:space="preserve">Supplementary Guidance for the Skills Guarantee PCP Version 1.2 available on the </w:t>
      </w:r>
      <w:hyperlink r:id="rId17" w:history="1">
        <w:r w:rsidR="00005101" w:rsidRPr="00B40D7B">
          <w:rPr>
            <w:rStyle w:val="Hyperlink"/>
          </w:rPr>
          <w:t>DEWR website</w:t>
        </w:r>
      </w:hyperlink>
      <w:r w:rsidR="00005101">
        <w:t xml:space="preserve">. </w:t>
      </w:r>
    </w:p>
    <w:p w14:paraId="22C0A4B0" w14:textId="77777777" w:rsidR="00235050" w:rsidRDefault="00235050" w:rsidP="008073B4">
      <w:pPr>
        <w:pStyle w:val="Heading1"/>
      </w:pPr>
      <w:bookmarkStart w:id="2" w:name="_Toc210109793"/>
      <w:r w:rsidRPr="002E5EE4">
        <w:t xml:space="preserve">Procurements </w:t>
      </w:r>
      <w:r>
        <w:t>in scope</w:t>
      </w:r>
      <w:bookmarkEnd w:id="2"/>
    </w:p>
    <w:p w14:paraId="4F79B617" w14:textId="4A1ABCBB" w:rsidR="005F710E" w:rsidRPr="00A35604" w:rsidRDefault="006851E3" w:rsidP="00A35604">
      <w:pPr>
        <w:pStyle w:val="Heading2"/>
        <w:spacing w:before="0"/>
        <w:rPr>
          <w:color w:val="5D7A38"/>
        </w:rPr>
      </w:pPr>
      <w:bookmarkStart w:id="3" w:name="_Toc210109794"/>
      <w:r w:rsidRPr="006851E3">
        <w:rPr>
          <w:rFonts w:ascii="Segoe UI Emoji" w:eastAsia="Times New Roman" w:hAnsi="Segoe UI Emoji" w:cs="Segoe UI Emoji"/>
          <w:color w:val="5D7A38"/>
          <w:sz w:val="24"/>
          <w:szCs w:val="24"/>
          <w:lang w:eastAsia="en-AU"/>
        </w:rPr>
        <w:t>📌</w:t>
      </w:r>
      <w:r>
        <w:t xml:space="preserve"> </w:t>
      </w:r>
      <w:r w:rsidR="00D20CDA" w:rsidRPr="006851E3">
        <w:rPr>
          <w:color w:val="5D7A38"/>
        </w:rPr>
        <w:t xml:space="preserve">Actions for </w:t>
      </w:r>
      <w:r w:rsidR="0069799B">
        <w:rPr>
          <w:color w:val="5D7A38"/>
        </w:rPr>
        <w:t>Relevant entities</w:t>
      </w:r>
      <w:bookmarkEnd w:id="3"/>
      <w:r w:rsidR="00D20CDA" w:rsidRPr="006851E3">
        <w:rPr>
          <w:color w:val="5D7A38"/>
        </w:rPr>
        <w:t xml:space="preserve"> </w:t>
      </w:r>
    </w:p>
    <w:p w14:paraId="3302D3A6" w14:textId="37ADF635" w:rsidR="005F710E" w:rsidRDefault="005F710E" w:rsidP="005F710E">
      <w:pPr>
        <w:spacing w:after="0"/>
      </w:pPr>
      <w:r>
        <w:t xml:space="preserve">To determine whether a procurement falls within scope, </w:t>
      </w:r>
      <w:r w:rsidR="0069799B">
        <w:t>Relevant entities</w:t>
      </w:r>
      <w:r>
        <w:t xml:space="preserve"> must</w:t>
      </w:r>
      <w:r w:rsidR="009F1D04">
        <w:t xml:space="preserve"> ensure that the procurement</w:t>
      </w:r>
      <w:r>
        <w:t>:</w:t>
      </w:r>
    </w:p>
    <w:p w14:paraId="3B97DEE1" w14:textId="584D41FD" w:rsidR="00A35604" w:rsidRDefault="00A35604" w:rsidP="005F710E">
      <w:pPr>
        <w:pStyle w:val="ListParagraph"/>
        <w:numPr>
          <w:ilvl w:val="0"/>
          <w:numId w:val="11"/>
        </w:numPr>
        <w:spacing w:line="276" w:lineRule="auto"/>
      </w:pPr>
      <w:r>
        <w:t>meet</w:t>
      </w:r>
      <w:r w:rsidR="009F1D04">
        <w:t>s</w:t>
      </w:r>
      <w:r>
        <w:t xml:space="preserve"> the definition of an </w:t>
      </w:r>
      <w:r w:rsidR="00807BA9">
        <w:t>Eligible project</w:t>
      </w:r>
      <w:r w:rsidR="00306A58">
        <w:t>,</w:t>
      </w:r>
    </w:p>
    <w:p w14:paraId="0E7E6737" w14:textId="26E96AF1" w:rsidR="005F710E" w:rsidRDefault="005F710E" w:rsidP="005F710E">
      <w:pPr>
        <w:pStyle w:val="ListParagraph"/>
        <w:numPr>
          <w:ilvl w:val="0"/>
          <w:numId w:val="11"/>
        </w:numPr>
        <w:spacing w:line="276" w:lineRule="auto"/>
      </w:pPr>
      <w:r>
        <w:t>meets the financial threshold</w:t>
      </w:r>
      <w:r w:rsidR="00306A58">
        <w:t>,</w:t>
      </w:r>
    </w:p>
    <w:p w14:paraId="224A6FA4" w14:textId="0A3F427D" w:rsidR="005F710E" w:rsidRDefault="005F710E" w:rsidP="005F710E">
      <w:pPr>
        <w:pStyle w:val="ListParagraph"/>
        <w:numPr>
          <w:ilvl w:val="0"/>
          <w:numId w:val="11"/>
        </w:numPr>
        <w:spacing w:line="276" w:lineRule="auto"/>
      </w:pPr>
      <w:r>
        <w:t>use</w:t>
      </w:r>
      <w:r w:rsidR="00711798">
        <w:t>s</w:t>
      </w:r>
      <w:r>
        <w:t xml:space="preserve"> an eligible </w:t>
      </w:r>
      <w:r w:rsidR="00CD77AD">
        <w:t>United Nations Standard Products and Services Code (</w:t>
      </w:r>
      <w:r>
        <w:t>UNSPSC</w:t>
      </w:r>
      <w:r w:rsidR="00CD77AD">
        <w:t>)</w:t>
      </w:r>
      <w:r>
        <w:t>, and</w:t>
      </w:r>
    </w:p>
    <w:p w14:paraId="0C1F977A" w14:textId="23CA5075" w:rsidR="005F710E" w:rsidRDefault="00711798" w:rsidP="005F710E">
      <w:pPr>
        <w:pStyle w:val="ListParagraph"/>
        <w:numPr>
          <w:ilvl w:val="0"/>
          <w:numId w:val="11"/>
        </w:numPr>
        <w:spacing w:line="276" w:lineRule="auto"/>
      </w:pPr>
      <w:r>
        <w:t>satisfies all other</w:t>
      </w:r>
      <w:r w:rsidR="005F710E">
        <w:t xml:space="preserve"> eligibility criteria.</w:t>
      </w:r>
    </w:p>
    <w:p w14:paraId="6FBE8671" w14:textId="59287641" w:rsidR="008A42F8" w:rsidRPr="008073B4" w:rsidRDefault="008A42F8" w:rsidP="008073B4">
      <w:pPr>
        <w:pStyle w:val="Heading2"/>
      </w:pPr>
      <w:bookmarkStart w:id="4" w:name="_Toc210109795"/>
      <w:r w:rsidRPr="008073B4">
        <w:t xml:space="preserve">Construction </w:t>
      </w:r>
      <w:r w:rsidR="00EA759C" w:rsidRPr="008073B4">
        <w:t>procurement</w:t>
      </w:r>
      <w:bookmarkEnd w:id="4"/>
    </w:p>
    <w:p w14:paraId="7B38995B" w14:textId="5C3968CD" w:rsidR="008A42F8" w:rsidRDefault="008A42F8" w:rsidP="008A42F8">
      <w:r w:rsidRPr="00332BDC">
        <w:rPr>
          <w:rStyle w:val="Heading5Char"/>
        </w:rPr>
        <w:t xml:space="preserve">Major </w:t>
      </w:r>
      <w:r w:rsidR="00D44E5A">
        <w:rPr>
          <w:rStyle w:val="Heading5Char"/>
        </w:rPr>
        <w:t>c</w:t>
      </w:r>
      <w:r w:rsidRPr="00332BDC">
        <w:rPr>
          <w:rStyle w:val="Heading5Char"/>
        </w:rPr>
        <w:t xml:space="preserve">onstruction </w:t>
      </w:r>
      <w:r w:rsidR="00E33E0E">
        <w:rPr>
          <w:rStyle w:val="Heading5Char"/>
        </w:rPr>
        <w:t>p</w:t>
      </w:r>
      <w:r w:rsidRPr="00332BDC">
        <w:rPr>
          <w:rStyle w:val="Heading5Char"/>
        </w:rPr>
        <w:t>roject:</w:t>
      </w:r>
      <w:r>
        <w:t xml:space="preserve"> Procurement with an estimated individual value of $10 million or more (GST inclusive) using a UNSPSC listed in Appendix C of the PCP.</w:t>
      </w:r>
    </w:p>
    <w:p w14:paraId="13955F8B" w14:textId="569E47C6" w:rsidR="008A42F8" w:rsidRDefault="008A42F8" w:rsidP="008A42F8">
      <w:r w:rsidRPr="00332BDC">
        <w:rPr>
          <w:rStyle w:val="Heading5Char"/>
        </w:rPr>
        <w:t xml:space="preserve">Flagship </w:t>
      </w:r>
      <w:r w:rsidR="00D44E5A">
        <w:rPr>
          <w:rStyle w:val="Heading5Char"/>
        </w:rPr>
        <w:t>c</w:t>
      </w:r>
      <w:r w:rsidRPr="00332BDC">
        <w:rPr>
          <w:rStyle w:val="Heading5Char"/>
        </w:rPr>
        <w:t xml:space="preserve">onstruction </w:t>
      </w:r>
      <w:r w:rsidR="00E33E0E">
        <w:rPr>
          <w:rStyle w:val="Heading5Char"/>
        </w:rPr>
        <w:t>p</w:t>
      </w:r>
      <w:r w:rsidRPr="00332BDC">
        <w:rPr>
          <w:rStyle w:val="Heading5Char"/>
        </w:rPr>
        <w:t>roject:</w:t>
      </w:r>
      <w:r>
        <w:t xml:space="preserve"> Procurement with an estimated individual value of $100 million or more (GST inclusive) using a UNSPSC listed in Appendix C</w:t>
      </w:r>
      <w:r w:rsidR="008C1E4B">
        <w:t xml:space="preserve"> of the PCP</w:t>
      </w:r>
      <w:r>
        <w:t>.</w:t>
      </w:r>
    </w:p>
    <w:p w14:paraId="7A58D2AB" w14:textId="7D12E6AD" w:rsidR="008A42F8" w:rsidRPr="008073B4" w:rsidRDefault="008A42F8" w:rsidP="008073B4">
      <w:pPr>
        <w:pStyle w:val="Heading2"/>
      </w:pPr>
      <w:bookmarkStart w:id="5" w:name="_Toc210109796"/>
      <w:r w:rsidRPr="008073B4">
        <w:t xml:space="preserve">ICT </w:t>
      </w:r>
      <w:r w:rsidR="00EA759C" w:rsidRPr="008073B4">
        <w:t>procurement</w:t>
      </w:r>
      <w:bookmarkEnd w:id="5"/>
    </w:p>
    <w:p w14:paraId="3C96D69E" w14:textId="5C06C1A2" w:rsidR="008A42F8" w:rsidRDefault="008A42F8" w:rsidP="008A42F8">
      <w:r w:rsidRPr="00332BDC">
        <w:rPr>
          <w:rStyle w:val="Heading5Char"/>
        </w:rPr>
        <w:t xml:space="preserve">Major ICT </w:t>
      </w:r>
      <w:r w:rsidR="00E33E0E">
        <w:rPr>
          <w:rStyle w:val="Heading5Char"/>
        </w:rPr>
        <w:t>p</w:t>
      </w:r>
      <w:r w:rsidRPr="00332BDC">
        <w:rPr>
          <w:rStyle w:val="Heading5Char"/>
        </w:rPr>
        <w:t>roject:</w:t>
      </w:r>
      <w:r>
        <w:t xml:space="preserve"> Procurement with an estimated individual value of $10 million or more (GST inclusive) using a UNSPSC listed in Appendix D of the PCP.</w:t>
      </w:r>
    </w:p>
    <w:p w14:paraId="1A3FA37A" w14:textId="77777777" w:rsidR="00C87ADF" w:rsidRDefault="00C87ADF">
      <w:pPr>
        <w:spacing w:after="160" w:line="259" w:lineRule="auto"/>
        <w:rPr>
          <w:rFonts w:ascii="Calibri" w:eastAsiaTheme="majorEastAsia" w:hAnsi="Calibri" w:cstheme="majorBidi"/>
          <w:b/>
          <w:color w:val="5F6369"/>
        </w:rPr>
      </w:pPr>
      <w:r>
        <w:rPr>
          <w:rFonts w:ascii="Calibri" w:eastAsiaTheme="majorEastAsia" w:hAnsi="Calibri" w:cstheme="majorBidi"/>
          <w:b/>
          <w:color w:val="5F6369"/>
        </w:rPr>
        <w:br w:type="page"/>
      </w:r>
    </w:p>
    <w:p w14:paraId="16FE8090" w14:textId="0FF73883" w:rsidR="005C3B4D" w:rsidRDefault="005C3B4D" w:rsidP="005C3B4D">
      <w:pPr>
        <w:spacing w:after="0"/>
        <w:rPr>
          <w:rFonts w:ascii="Calibri" w:eastAsiaTheme="majorEastAsia" w:hAnsi="Calibri" w:cstheme="majorBidi"/>
          <w:b/>
          <w:color w:val="5F6369"/>
        </w:rPr>
      </w:pPr>
      <w:r w:rsidRPr="005C3B4D">
        <w:rPr>
          <w:rFonts w:ascii="Calibri" w:eastAsiaTheme="majorEastAsia" w:hAnsi="Calibri" w:cstheme="majorBidi"/>
          <w:b/>
          <w:color w:val="5F6369"/>
        </w:rPr>
        <w:lastRenderedPageBreak/>
        <w:t xml:space="preserve">Table 1 – </w:t>
      </w:r>
      <w:r w:rsidR="002F1D29">
        <w:rPr>
          <w:rFonts w:ascii="Calibri" w:eastAsiaTheme="majorEastAsia" w:hAnsi="Calibri" w:cstheme="majorBidi"/>
          <w:b/>
          <w:color w:val="5F6369"/>
        </w:rPr>
        <w:t>Overview of p</w:t>
      </w:r>
      <w:r w:rsidRPr="005C3B4D">
        <w:rPr>
          <w:rFonts w:ascii="Calibri" w:eastAsiaTheme="majorEastAsia" w:hAnsi="Calibri" w:cstheme="majorBidi"/>
          <w:b/>
          <w:color w:val="5F6369"/>
        </w:rPr>
        <w:t>rocurements in scope of the PCP</w:t>
      </w:r>
    </w:p>
    <w:p w14:paraId="33926F64" w14:textId="40C658C7" w:rsidR="001B4596" w:rsidRDefault="0068612B" w:rsidP="005C3B4D">
      <w:pPr>
        <w:spacing w:after="0"/>
        <w:rPr>
          <w:rFonts w:ascii="Calibri" w:eastAsiaTheme="majorEastAsia" w:hAnsi="Calibri" w:cstheme="majorBidi"/>
          <w:b/>
          <w:color w:val="5F6369"/>
        </w:rPr>
      </w:pPr>
      <w:r w:rsidRPr="0068612B">
        <w:rPr>
          <w:rFonts w:ascii="Calibri" w:eastAsiaTheme="majorEastAsia" w:hAnsi="Calibri" w:cstheme="majorBidi"/>
          <w:b/>
          <w:noProof/>
          <w:color w:val="5F6369"/>
        </w:rPr>
        <w:drawing>
          <wp:inline distT="0" distB="0" distL="0" distR="0" wp14:anchorId="14489F7D" wp14:editId="5ABBBDBF">
            <wp:extent cx="5691243" cy="1628775"/>
            <wp:effectExtent l="0" t="0" r="5080" b="0"/>
            <wp:docPr id="309239221" name="Picture 1" descr="Table 1 provides high-level details of the eligibility requirements for the PC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39221" name="Picture 1" descr="Table 1 provides high-level details of the eligibility requirements for the PCP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95301" cy="162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EA306" w14:textId="62FF66BC" w:rsidR="000330F3" w:rsidRDefault="00FF4405" w:rsidP="008073B4">
      <w:pPr>
        <w:pStyle w:val="Heading1"/>
      </w:pPr>
      <w:bookmarkStart w:id="6" w:name="_Toc210109797"/>
      <w:r>
        <w:t>Exemptions</w:t>
      </w:r>
      <w:bookmarkEnd w:id="6"/>
      <w:r w:rsidR="00BA1686">
        <w:t xml:space="preserve"> </w:t>
      </w:r>
    </w:p>
    <w:p w14:paraId="5A78A0EB" w14:textId="396FBE52" w:rsidR="00C93FC6" w:rsidRPr="006851E3" w:rsidRDefault="006851E3" w:rsidP="00427E00">
      <w:pPr>
        <w:pStyle w:val="Heading2"/>
        <w:spacing w:before="0"/>
        <w:rPr>
          <w:color w:val="5D7A38"/>
        </w:rPr>
      </w:pPr>
      <w:bookmarkStart w:id="7" w:name="_Toc210109798"/>
      <w:bookmarkStart w:id="8" w:name="_Hlk209163831"/>
      <w:r w:rsidRPr="006851E3">
        <w:rPr>
          <w:rFonts w:ascii="Segoe UI Emoji" w:eastAsia="Times New Roman" w:hAnsi="Segoe UI Emoji" w:cs="Segoe UI Emoji"/>
          <w:color w:val="5D7A38"/>
          <w:sz w:val="24"/>
          <w:szCs w:val="24"/>
          <w:lang w:eastAsia="en-AU"/>
        </w:rPr>
        <w:t>📌</w:t>
      </w:r>
      <w:r w:rsidRPr="006851E3">
        <w:rPr>
          <w:color w:val="5D7A38"/>
        </w:rPr>
        <w:t xml:space="preserve"> </w:t>
      </w:r>
      <w:r w:rsidR="00C93FC6" w:rsidRPr="006851E3">
        <w:rPr>
          <w:color w:val="5D7A38"/>
        </w:rPr>
        <w:t xml:space="preserve">Actions for </w:t>
      </w:r>
      <w:r w:rsidR="0069799B">
        <w:rPr>
          <w:color w:val="5D7A38"/>
        </w:rPr>
        <w:t>Relevant entities</w:t>
      </w:r>
      <w:bookmarkEnd w:id="7"/>
      <w:r w:rsidR="00C93FC6" w:rsidRPr="006851E3">
        <w:rPr>
          <w:color w:val="5D7A38"/>
        </w:rPr>
        <w:t xml:space="preserve"> </w:t>
      </w:r>
    </w:p>
    <w:bookmarkEnd w:id="8"/>
    <w:p w14:paraId="4C2AEB53" w14:textId="076123D6" w:rsidR="00BA1686" w:rsidRDefault="00BA1686" w:rsidP="00674440">
      <w:pPr>
        <w:spacing w:after="0"/>
      </w:pPr>
      <w:r>
        <w:t xml:space="preserve">Before releasing </w:t>
      </w:r>
      <w:r w:rsidR="00D34D34">
        <w:t>procurement documentation</w:t>
      </w:r>
      <w:r w:rsidR="00AE559A">
        <w:t xml:space="preserve"> </w:t>
      </w:r>
      <w:r>
        <w:t xml:space="preserve">and </w:t>
      </w:r>
      <w:r w:rsidR="006C3AE7">
        <w:t>during</w:t>
      </w:r>
      <w:r>
        <w:t xml:space="preserve"> the </w:t>
      </w:r>
      <w:r w:rsidR="009D3386">
        <w:t>S</w:t>
      </w:r>
      <w:r w:rsidR="00AE559A">
        <w:t>ubmission</w:t>
      </w:r>
      <w:r>
        <w:t xml:space="preserve"> assessment process, </w:t>
      </w:r>
      <w:r w:rsidR="0069799B">
        <w:t>Relevant entities</w:t>
      </w:r>
      <w:r>
        <w:t xml:space="preserve"> must determine whether the procurement is:</w:t>
      </w:r>
    </w:p>
    <w:p w14:paraId="2592B176" w14:textId="74C22D35" w:rsidR="00BA1686" w:rsidRDefault="006C3AE7" w:rsidP="00D87FC3">
      <w:pPr>
        <w:pStyle w:val="ListParagraph"/>
        <w:numPr>
          <w:ilvl w:val="0"/>
          <w:numId w:val="11"/>
        </w:numPr>
        <w:spacing w:line="276" w:lineRule="auto"/>
      </w:pPr>
      <w:r>
        <w:t>e</w:t>
      </w:r>
      <w:r w:rsidR="00BA1686">
        <w:t>ligible under the PCP</w:t>
      </w:r>
      <w:r w:rsidR="00306A58">
        <w:t>,</w:t>
      </w:r>
    </w:p>
    <w:p w14:paraId="55557FF3" w14:textId="6A632DDC" w:rsidR="00BA1686" w:rsidRDefault="006C3AE7" w:rsidP="00966D9C">
      <w:pPr>
        <w:pStyle w:val="ListParagraph"/>
        <w:numPr>
          <w:ilvl w:val="0"/>
          <w:numId w:val="11"/>
        </w:numPr>
        <w:spacing w:line="276" w:lineRule="auto"/>
      </w:pPr>
      <w:r>
        <w:t>e</w:t>
      </w:r>
      <w:r w:rsidR="00BA1686">
        <w:t xml:space="preserve">xempt from the </w:t>
      </w:r>
      <w:r w:rsidR="00AE559A">
        <w:t>PCP</w:t>
      </w:r>
      <w:r w:rsidR="00BA1686">
        <w:t xml:space="preserve"> requirements.</w:t>
      </w:r>
    </w:p>
    <w:p w14:paraId="7FA087F7" w14:textId="77777777" w:rsidR="009F7CD4" w:rsidRPr="008073B4" w:rsidRDefault="009F7CD4" w:rsidP="009F7CD4">
      <w:pPr>
        <w:pStyle w:val="Heading2"/>
      </w:pPr>
      <w:bookmarkStart w:id="9" w:name="_Formal_exemptions"/>
      <w:bookmarkStart w:id="10" w:name="_Toc210109799"/>
      <w:bookmarkEnd w:id="9"/>
      <w:r w:rsidRPr="008073B4">
        <w:t>Formal exemptions</w:t>
      </w:r>
      <w:bookmarkEnd w:id="10"/>
    </w:p>
    <w:p w14:paraId="4C8CFD2D" w14:textId="77777777" w:rsidR="009F7CD4" w:rsidRDefault="009F7CD4" w:rsidP="009F7CD4">
      <w:pPr>
        <w:spacing w:after="0"/>
      </w:pPr>
      <w:r>
        <w:t xml:space="preserve">Some procurements may be formally exempt under </w:t>
      </w:r>
      <w:r w:rsidRPr="00724DC9">
        <w:rPr>
          <w:b/>
          <w:bCs/>
        </w:rPr>
        <w:t>Section 2.4</w:t>
      </w:r>
      <w:r>
        <w:t xml:space="preserve"> of the PCP, including applying paragraph 2.6 of the Commonwealth Procurement Rules (CPRs) and when the Eligible project is delivered wholly overseas. In such cases:</w:t>
      </w:r>
    </w:p>
    <w:p w14:paraId="57D9774C" w14:textId="797026CC" w:rsidR="009F7CD4" w:rsidRDefault="009F7CD4" w:rsidP="00C926FF">
      <w:pPr>
        <w:pStyle w:val="ListParagraph"/>
        <w:numPr>
          <w:ilvl w:val="0"/>
          <w:numId w:val="11"/>
        </w:numPr>
        <w:spacing w:line="276" w:lineRule="auto"/>
        <w:ind w:left="284" w:hanging="284"/>
      </w:pPr>
      <w:r>
        <w:t>PCP requirements must be excluded from procurement documentation</w:t>
      </w:r>
      <w:r w:rsidR="00CB6567">
        <w:t>,</w:t>
      </w:r>
    </w:p>
    <w:p w14:paraId="4CC2712E" w14:textId="21C1E1FB" w:rsidR="009F7CD4" w:rsidRDefault="00F03C0A" w:rsidP="00C926FF">
      <w:pPr>
        <w:pStyle w:val="ListParagraph"/>
        <w:numPr>
          <w:ilvl w:val="0"/>
          <w:numId w:val="11"/>
        </w:numPr>
        <w:spacing w:line="276" w:lineRule="auto"/>
        <w:ind w:left="284" w:hanging="284"/>
      </w:pPr>
      <w:r>
        <w:t>t</w:t>
      </w:r>
      <w:r w:rsidR="009F7CD4">
        <w:t>argets will not be considered during the Submission assessment</w:t>
      </w:r>
      <w:r>
        <w:t>.</w:t>
      </w:r>
    </w:p>
    <w:p w14:paraId="4C1A5F79" w14:textId="25707E79" w:rsidR="00BA1686" w:rsidRPr="008073B4" w:rsidRDefault="00BA1686" w:rsidP="008073B4">
      <w:pPr>
        <w:pStyle w:val="Heading2"/>
      </w:pPr>
      <w:bookmarkStart w:id="11" w:name="_Toc210109800"/>
      <w:r w:rsidRPr="008073B4">
        <w:t xml:space="preserve">Determining </w:t>
      </w:r>
      <w:r w:rsidR="00730FEE" w:rsidRPr="008073B4">
        <w:t>e</w:t>
      </w:r>
      <w:r w:rsidRPr="008073B4">
        <w:t xml:space="preserve">ligibility and </w:t>
      </w:r>
      <w:r w:rsidR="00730FEE" w:rsidRPr="008073B4">
        <w:t>r</w:t>
      </w:r>
      <w:r w:rsidRPr="008073B4">
        <w:t>easonableness</w:t>
      </w:r>
      <w:bookmarkEnd w:id="11"/>
    </w:p>
    <w:p w14:paraId="7E80EA6B" w14:textId="36580C7F" w:rsidR="00BA1686" w:rsidRDefault="00BA1686" w:rsidP="000779DB">
      <w:pPr>
        <w:spacing w:after="0"/>
      </w:pPr>
      <w:r>
        <w:t>If a</w:t>
      </w:r>
      <w:r w:rsidR="000779DB">
        <w:t>n ICT</w:t>
      </w:r>
      <w:r>
        <w:t xml:space="preserve"> procurement meets the eligibility criteria</w:t>
      </w:r>
      <w:r w:rsidR="00133372">
        <w:t>,</w:t>
      </w:r>
      <w:r>
        <w:t xml:space="preserve"> </w:t>
      </w:r>
      <w:r w:rsidR="0069799B">
        <w:t>Relevant entities</w:t>
      </w:r>
      <w:r>
        <w:t xml:space="preserve"> must assess whether it is reasonable to apply </w:t>
      </w:r>
      <w:r w:rsidR="00316011">
        <w:t xml:space="preserve">the </w:t>
      </w:r>
      <w:r>
        <w:t>targets</w:t>
      </w:r>
      <w:r w:rsidR="007A6B90">
        <w:t xml:space="preserve"> and</w:t>
      </w:r>
      <w:r>
        <w:t xml:space="preserve"> consider</w:t>
      </w:r>
      <w:r w:rsidR="005558B3">
        <w:t xml:space="preserve"> the</w:t>
      </w:r>
      <w:r w:rsidR="000779DB">
        <w:t xml:space="preserve"> nature of the services being procured. </w:t>
      </w:r>
    </w:p>
    <w:p w14:paraId="1B2DB105" w14:textId="77777777" w:rsidR="000779DB" w:rsidRDefault="000779DB" w:rsidP="000779DB">
      <w:pPr>
        <w:spacing w:after="0"/>
      </w:pPr>
    </w:p>
    <w:p w14:paraId="5A1D3F66" w14:textId="7250885A" w:rsidR="00BA1686" w:rsidRDefault="00BA1686" w:rsidP="00674440">
      <w:pPr>
        <w:spacing w:after="0"/>
      </w:pPr>
      <w:r>
        <w:t>Examples where targets may not be reasonable:</w:t>
      </w:r>
    </w:p>
    <w:p w14:paraId="2F16104F" w14:textId="006E2559" w:rsidR="00BA1686" w:rsidRDefault="0076603A" w:rsidP="00C926FF">
      <w:pPr>
        <w:pStyle w:val="ListParagraph"/>
        <w:numPr>
          <w:ilvl w:val="0"/>
          <w:numId w:val="11"/>
        </w:numPr>
        <w:spacing w:line="276" w:lineRule="auto"/>
        <w:ind w:left="284" w:hanging="284"/>
      </w:pPr>
      <w:r>
        <w:t>h</w:t>
      </w:r>
      <w:r w:rsidR="00BA1686">
        <w:t xml:space="preserve">ighly specialised services requiring experienced personnel, with limited scope for </w:t>
      </w:r>
      <w:r w:rsidR="0088550F">
        <w:t xml:space="preserve">Apprentices or </w:t>
      </w:r>
      <w:r w:rsidR="00690A32">
        <w:t>ICT cadet</w:t>
      </w:r>
      <w:r w:rsidR="00BA1686">
        <w:t>s.</w:t>
      </w:r>
    </w:p>
    <w:p w14:paraId="7C7C81E2" w14:textId="111FA744" w:rsidR="00BA1686" w:rsidRDefault="0076603A" w:rsidP="00C926FF">
      <w:pPr>
        <w:pStyle w:val="ListParagraph"/>
        <w:numPr>
          <w:ilvl w:val="0"/>
          <w:numId w:val="11"/>
        </w:numPr>
        <w:spacing w:line="276" w:lineRule="auto"/>
        <w:ind w:left="284" w:hanging="284"/>
      </w:pPr>
      <w:r>
        <w:t>p</w:t>
      </w:r>
      <w:r w:rsidR="00BA1686">
        <w:t xml:space="preserve">rocurement of pre-developed software requiring minimal </w:t>
      </w:r>
      <w:r w:rsidR="00CD5E0D">
        <w:t>Labour hours</w:t>
      </w:r>
      <w:r w:rsidR="00BA1686">
        <w:t>.</w:t>
      </w:r>
    </w:p>
    <w:p w14:paraId="5864CD42" w14:textId="4470F624" w:rsidR="00BA1686" w:rsidRDefault="0076603A" w:rsidP="00C926FF">
      <w:pPr>
        <w:pStyle w:val="ListParagraph"/>
        <w:numPr>
          <w:ilvl w:val="0"/>
          <w:numId w:val="11"/>
        </w:numPr>
        <w:spacing w:line="276" w:lineRule="auto"/>
        <w:ind w:left="284" w:hanging="284"/>
      </w:pPr>
      <w:r>
        <w:t>e</w:t>
      </w:r>
      <w:r w:rsidR="00BA1686">
        <w:t>xtensions of software licensing arrangements with no substantial delivery component.</w:t>
      </w:r>
    </w:p>
    <w:p w14:paraId="2E2331F2" w14:textId="77777777" w:rsidR="00BA1686" w:rsidRDefault="00BA1686" w:rsidP="00BA1686">
      <w:r>
        <w:t xml:space="preserve">If it is determined that applying targets is not reasonable, </w:t>
      </w:r>
      <w:r w:rsidRPr="00EA6608">
        <w:t>the procurement should be marked as not reportable in the Apprenticeship Data Management System (ADMS), with docume</w:t>
      </w:r>
      <w:r>
        <w:t>nted justification. Records must be maintained to support this decision.</w:t>
      </w:r>
    </w:p>
    <w:p w14:paraId="539156B7" w14:textId="77777777" w:rsidR="0076603A" w:rsidRDefault="0076603A">
      <w:pPr>
        <w:spacing w:after="160" w:line="259" w:lineRule="auto"/>
        <w:rPr>
          <w:rFonts w:ascii="Calibri" w:eastAsiaTheme="majorEastAsia" w:hAnsi="Calibri" w:cstheme="majorBidi"/>
          <w:b/>
          <w:color w:val="404246"/>
          <w:sz w:val="30"/>
          <w:szCs w:val="26"/>
        </w:rPr>
      </w:pPr>
      <w:r>
        <w:br w:type="page"/>
      </w:r>
    </w:p>
    <w:p w14:paraId="56833D01" w14:textId="3C9FA532" w:rsidR="00BA1686" w:rsidRPr="00535C6B" w:rsidRDefault="00BA1686" w:rsidP="00535C6B">
      <w:pPr>
        <w:pStyle w:val="Heading2"/>
      </w:pPr>
      <w:bookmarkStart w:id="12" w:name="_Toc210109801"/>
      <w:bookmarkStart w:id="13" w:name="_ADMS_notifications_and"/>
      <w:bookmarkEnd w:id="13"/>
      <w:r w:rsidRPr="00535C6B">
        <w:lastRenderedPageBreak/>
        <w:t xml:space="preserve">ADMS </w:t>
      </w:r>
      <w:r w:rsidR="0099789A" w:rsidRPr="00535C6B">
        <w:t>n</w:t>
      </w:r>
      <w:r w:rsidRPr="00535C6B">
        <w:t xml:space="preserve">otifications and </w:t>
      </w:r>
      <w:r w:rsidR="0099789A" w:rsidRPr="00535C6B">
        <w:t>r</w:t>
      </w:r>
      <w:r w:rsidRPr="00535C6B">
        <w:t>eporting</w:t>
      </w:r>
      <w:bookmarkEnd w:id="12"/>
    </w:p>
    <w:p w14:paraId="352B9029" w14:textId="44897485" w:rsidR="00BA1686" w:rsidRDefault="00BA1686" w:rsidP="00674440">
      <w:pPr>
        <w:spacing w:after="0"/>
      </w:pPr>
      <w:r>
        <w:t xml:space="preserve">When ADMS identifies a new </w:t>
      </w:r>
      <w:r w:rsidR="00780037">
        <w:t>c</w:t>
      </w:r>
      <w:r>
        <w:t xml:space="preserve">ontract that meets the </w:t>
      </w:r>
      <w:r w:rsidR="00EC0C82">
        <w:t xml:space="preserve">PCP </w:t>
      </w:r>
      <w:r>
        <w:t xml:space="preserve">eligibility criteria, it will notify the Relevant </w:t>
      </w:r>
      <w:r w:rsidR="003A1D28">
        <w:t>e</w:t>
      </w:r>
      <w:r>
        <w:t xml:space="preserve">ntity. The Relevant </w:t>
      </w:r>
      <w:r w:rsidR="003A1D28">
        <w:t>e</w:t>
      </w:r>
      <w:r>
        <w:t>ntity must:</w:t>
      </w:r>
    </w:p>
    <w:p w14:paraId="63464CEF" w14:textId="0820F856" w:rsidR="00BA1686" w:rsidRDefault="00165EAE" w:rsidP="00C926FF">
      <w:pPr>
        <w:pStyle w:val="ListParagraph"/>
        <w:numPr>
          <w:ilvl w:val="0"/>
          <w:numId w:val="11"/>
        </w:numPr>
        <w:spacing w:line="276" w:lineRule="auto"/>
        <w:ind w:left="284" w:hanging="284"/>
      </w:pPr>
      <w:r>
        <w:t>l</w:t>
      </w:r>
      <w:r w:rsidR="00BA1686">
        <w:t>og in to ADMS,</w:t>
      </w:r>
    </w:p>
    <w:p w14:paraId="1B025713" w14:textId="3479EA12" w:rsidR="00BA1686" w:rsidRDefault="00165EAE" w:rsidP="00C926FF">
      <w:pPr>
        <w:pStyle w:val="ListParagraph"/>
        <w:numPr>
          <w:ilvl w:val="0"/>
          <w:numId w:val="11"/>
        </w:numPr>
        <w:spacing w:line="276" w:lineRule="auto"/>
        <w:ind w:left="284" w:hanging="284"/>
      </w:pPr>
      <w:r>
        <w:t>r</w:t>
      </w:r>
      <w:r w:rsidR="00BA1686">
        <w:t xml:space="preserve">eview the </w:t>
      </w:r>
      <w:r w:rsidR="00780037">
        <w:t>c</w:t>
      </w:r>
      <w:r w:rsidR="00BA1686">
        <w:t>ontract, and</w:t>
      </w:r>
    </w:p>
    <w:p w14:paraId="4D86E25D" w14:textId="39D94F7A" w:rsidR="00C926FF" w:rsidRDefault="00C926FF" w:rsidP="00C926FF">
      <w:pPr>
        <w:pStyle w:val="ListParagraph"/>
        <w:numPr>
          <w:ilvl w:val="0"/>
          <w:numId w:val="11"/>
        </w:numPr>
        <w:spacing w:line="276" w:lineRule="auto"/>
        <w:ind w:left="284" w:hanging="284"/>
      </w:pPr>
      <w:r>
        <w:t xml:space="preserve">record whether the </w:t>
      </w:r>
      <w:r w:rsidR="000C02C3">
        <w:t>c</w:t>
      </w:r>
      <w:r>
        <w:t xml:space="preserve">ontract is reportable under the PCP, noting this does not require action in ADMS if the new </w:t>
      </w:r>
      <w:r w:rsidR="000C02C3">
        <w:t>c</w:t>
      </w:r>
      <w:r>
        <w:t xml:space="preserve">ontract is </w:t>
      </w:r>
      <w:hyperlink w:anchor="_Formal_exemptions" w:history="1">
        <w:r w:rsidRPr="00C926FF">
          <w:rPr>
            <w:rStyle w:val="Hyperlink"/>
          </w:rPr>
          <w:t>exempt under Section 2.4</w:t>
        </w:r>
      </w:hyperlink>
      <w:r>
        <w:t xml:space="preserve"> of the PCP.</w:t>
      </w:r>
    </w:p>
    <w:p w14:paraId="41CBDB20" w14:textId="77777777" w:rsidR="00D46B4D" w:rsidRDefault="00BA1686" w:rsidP="00D46B4D">
      <w:r>
        <w:t>If the procurement is reportable, this must be confirmed in ADMS when creating the project record.</w:t>
      </w:r>
      <w:r w:rsidR="002A5B13">
        <w:t xml:space="preserve"> </w:t>
      </w:r>
    </w:p>
    <w:p w14:paraId="0272A5B6" w14:textId="79845722" w:rsidR="000C02C3" w:rsidRPr="00BA1686" w:rsidRDefault="000C02C3" w:rsidP="000C02C3">
      <w:r>
        <w:t>ADMS will also notify the Relevant entity when an existing contract is varied, including contracts previously below the Skills Guarantee $10 million threshold. The Relevant entity should log in to ADMS and review these contracts for ongoing or new Skills Guarantee eligibility.</w:t>
      </w:r>
    </w:p>
    <w:p w14:paraId="034BDADD" w14:textId="3AFB1CCA" w:rsidR="000C02C3" w:rsidRDefault="000C02C3" w:rsidP="000C02C3">
      <w:r>
        <w:t>If the contract was previously below $10 million and a variation means it now meets Skills Guarantee eligibility, you should follow the steps for creating a new project</w:t>
      </w:r>
      <w:r w:rsidR="00137CA2">
        <w:t xml:space="preserve">. </w:t>
      </w:r>
    </w:p>
    <w:p w14:paraId="6B6B4AE5" w14:textId="512041D1" w:rsidR="000C02C3" w:rsidRDefault="000C02C3" w:rsidP="00D46B4D">
      <w:r>
        <w:t>If there is a variation to an existing contract, which had previously been assessed for Skills Guarantee reporting, you will need to confirm the project’s reporting status, including for projects previously not reportable.</w:t>
      </w:r>
    </w:p>
    <w:p w14:paraId="49EE42DF" w14:textId="01B96E5F" w:rsidR="00D46B4D" w:rsidRPr="00CE0242" w:rsidRDefault="00D46B4D" w:rsidP="00D46B4D">
      <w:hyperlink r:id="rId19" w:history="1">
        <w:r w:rsidRPr="00CE0242">
          <w:rPr>
            <w:rStyle w:val="Hyperlink"/>
          </w:rPr>
          <w:t>Additional reporting guidance is available on GovTEAMS – Australian Skills Guarantee Operational Resources and Stakeholder Engagement Community</w:t>
        </w:r>
      </w:hyperlink>
      <w:r>
        <w:t>.</w:t>
      </w:r>
    </w:p>
    <w:p w14:paraId="0C9846AC" w14:textId="54883A5B" w:rsidR="00FF4405" w:rsidRDefault="00A836EF" w:rsidP="00676A81">
      <w:pPr>
        <w:pStyle w:val="Heading1"/>
      </w:pPr>
      <w:bookmarkStart w:id="14" w:name="_Toc210109802"/>
      <w:r>
        <w:t xml:space="preserve">Gender Equality Action </w:t>
      </w:r>
      <w:r w:rsidR="004656F1">
        <w:t>Plan (GEAP)</w:t>
      </w:r>
      <w:bookmarkEnd w:id="14"/>
    </w:p>
    <w:p w14:paraId="281B6E3B" w14:textId="1976FBE7" w:rsidR="00E85761" w:rsidRDefault="00E85761" w:rsidP="00EB20E7">
      <w:pPr>
        <w:spacing w:after="0"/>
      </w:pPr>
      <w:r>
        <w:t xml:space="preserve">GEAPs are </w:t>
      </w:r>
      <w:r w:rsidRPr="004656F1">
        <w:rPr>
          <w:b/>
          <w:bCs/>
        </w:rPr>
        <w:t>mandatory</w:t>
      </w:r>
      <w:r>
        <w:t xml:space="preserve"> for</w:t>
      </w:r>
      <w:r w:rsidR="00D22135">
        <w:t xml:space="preserve"> </w:t>
      </w:r>
      <w:r w:rsidR="00780037">
        <w:t>Potential supplier</w:t>
      </w:r>
      <w:r w:rsidR="00D22135">
        <w:t xml:space="preserve">s to </w:t>
      </w:r>
      <w:r w:rsidR="006320D9">
        <w:t xml:space="preserve">include </w:t>
      </w:r>
      <w:r w:rsidR="00F62D32">
        <w:t>with their Submission</w:t>
      </w:r>
      <w:r w:rsidR="006320D9">
        <w:t>s</w:t>
      </w:r>
      <w:r w:rsidR="00674440">
        <w:t xml:space="preserve"> for</w:t>
      </w:r>
      <w:r w:rsidR="00EB20E7">
        <w:t xml:space="preserve"> </w:t>
      </w:r>
      <w:r w:rsidR="00780037">
        <w:t>Flagship construction projects</w:t>
      </w:r>
      <w:r>
        <w:t xml:space="preserve"> (≥ $100 million)</w:t>
      </w:r>
      <w:r w:rsidR="00EB20E7">
        <w:t>.</w:t>
      </w:r>
    </w:p>
    <w:p w14:paraId="75008BA1" w14:textId="77777777" w:rsidR="00EB20E7" w:rsidRDefault="00EB20E7" w:rsidP="00EB20E7">
      <w:pPr>
        <w:spacing w:after="0"/>
      </w:pPr>
    </w:p>
    <w:p w14:paraId="44FCDF85" w14:textId="5008B8EE" w:rsidR="00A21D0E" w:rsidRDefault="00C34EFF" w:rsidP="00EB20E7">
      <w:pPr>
        <w:spacing w:after="0"/>
      </w:pPr>
      <w:r>
        <w:t xml:space="preserve">For Major </w:t>
      </w:r>
      <w:r w:rsidR="00C96194">
        <w:t>c</w:t>
      </w:r>
      <w:r>
        <w:t xml:space="preserve">onstruction projects (≥ $10 million) and </w:t>
      </w:r>
      <w:r w:rsidR="001E7FEC">
        <w:t>M</w:t>
      </w:r>
      <w:r>
        <w:t xml:space="preserve">ajor ICT projects (≥ $10 million), GEAPs are </w:t>
      </w:r>
      <w:r w:rsidRPr="007E1550">
        <w:rPr>
          <w:b/>
          <w:bCs/>
        </w:rPr>
        <w:t>voluntary</w:t>
      </w:r>
      <w:r w:rsidR="007E1550">
        <w:t>, but P</w:t>
      </w:r>
      <w:r w:rsidR="005F5C12">
        <w:t xml:space="preserve">otential suppliers are strongly </w:t>
      </w:r>
      <w:r w:rsidR="005F5C12" w:rsidRPr="005F5C12">
        <w:rPr>
          <w:b/>
          <w:bCs/>
        </w:rPr>
        <w:t>encouraged</w:t>
      </w:r>
      <w:r w:rsidR="005F5C12">
        <w:t xml:space="preserve"> to include them with their Submissions. </w:t>
      </w:r>
    </w:p>
    <w:p w14:paraId="6C0A9C3A" w14:textId="546BC1F6" w:rsidR="00C34EFF" w:rsidRDefault="007E1550" w:rsidP="00EB20E7">
      <w:pPr>
        <w:spacing w:after="0"/>
      </w:pPr>
      <w:r>
        <w:t xml:space="preserve"> </w:t>
      </w:r>
      <w:r w:rsidR="00C34EFF">
        <w:t xml:space="preserve"> </w:t>
      </w:r>
    </w:p>
    <w:p w14:paraId="101AAFE3" w14:textId="3C93B812" w:rsidR="00E85761" w:rsidRDefault="00E85761" w:rsidP="00674440">
      <w:pPr>
        <w:spacing w:after="0"/>
      </w:pPr>
      <w:r>
        <w:t xml:space="preserve">GEAPs outline how </w:t>
      </w:r>
      <w:r w:rsidR="00780037">
        <w:t>Potential supplier</w:t>
      </w:r>
      <w:r>
        <w:t xml:space="preserve">s will meet and sustain targets for </w:t>
      </w:r>
      <w:r w:rsidR="00C96194">
        <w:t>w</w:t>
      </w:r>
      <w:r>
        <w:t>omen, including:</w:t>
      </w:r>
    </w:p>
    <w:p w14:paraId="6ADA526E" w14:textId="2340473A" w:rsidR="00E85761" w:rsidRDefault="00165EAE" w:rsidP="007D1699">
      <w:pPr>
        <w:pStyle w:val="ListParagraph"/>
        <w:numPr>
          <w:ilvl w:val="0"/>
          <w:numId w:val="11"/>
        </w:numPr>
        <w:spacing w:line="276" w:lineRule="auto"/>
        <w:ind w:left="284" w:hanging="284"/>
      </w:pPr>
      <w:r>
        <w:t>r</w:t>
      </w:r>
      <w:r w:rsidR="00E85761">
        <w:t>ecruitment and retention strategies</w:t>
      </w:r>
      <w:r w:rsidR="00187EA0">
        <w:t xml:space="preserve"> that will be put in place or continue to operate to ensure the targets for </w:t>
      </w:r>
      <w:r w:rsidR="00C96194">
        <w:t>w</w:t>
      </w:r>
      <w:r w:rsidR="00187EA0">
        <w:t>omen are achieved and sustained</w:t>
      </w:r>
      <w:r w:rsidR="00E85761">
        <w:t>,</w:t>
      </w:r>
    </w:p>
    <w:p w14:paraId="5499444A" w14:textId="68C5F4D8" w:rsidR="00E85761" w:rsidRDefault="00165EAE" w:rsidP="007D1699">
      <w:pPr>
        <w:pStyle w:val="ListParagraph"/>
        <w:numPr>
          <w:ilvl w:val="0"/>
          <w:numId w:val="11"/>
        </w:numPr>
        <w:spacing w:line="276" w:lineRule="auto"/>
        <w:ind w:left="284" w:hanging="284"/>
      </w:pPr>
      <w:r>
        <w:t>w</w:t>
      </w:r>
      <w:r w:rsidR="00E85761">
        <w:t>orkplace culture improvements,</w:t>
      </w:r>
    </w:p>
    <w:p w14:paraId="16DDAE51" w14:textId="2A3A9CC3" w:rsidR="00E85761" w:rsidRDefault="00165EAE" w:rsidP="007D1699">
      <w:pPr>
        <w:pStyle w:val="ListParagraph"/>
        <w:numPr>
          <w:ilvl w:val="0"/>
          <w:numId w:val="11"/>
        </w:numPr>
        <w:spacing w:line="276" w:lineRule="auto"/>
        <w:ind w:left="284" w:hanging="284"/>
      </w:pPr>
      <w:r>
        <w:t>c</w:t>
      </w:r>
      <w:r w:rsidR="00E85761">
        <w:t>ommitments to safe, respectful, and equitable environments.</w:t>
      </w:r>
    </w:p>
    <w:p w14:paraId="6F64C44C" w14:textId="542E6B68" w:rsidR="00E85761" w:rsidRDefault="00E85761" w:rsidP="00674440">
      <w:pPr>
        <w:spacing w:after="0"/>
      </w:pPr>
      <w:r>
        <w:t>GEAPs may include:</w:t>
      </w:r>
    </w:p>
    <w:p w14:paraId="07CB8216" w14:textId="412D2902" w:rsidR="00E85761" w:rsidRDefault="00E85761" w:rsidP="007D1699">
      <w:pPr>
        <w:pStyle w:val="ListParagraph"/>
        <w:numPr>
          <w:ilvl w:val="0"/>
          <w:numId w:val="11"/>
        </w:numPr>
        <w:spacing w:line="276" w:lineRule="auto"/>
        <w:ind w:left="284" w:hanging="284"/>
      </w:pPr>
      <w:r>
        <w:t>Organisation-wide policies</w:t>
      </w:r>
      <w:r w:rsidR="00CB6567">
        <w:t>,</w:t>
      </w:r>
    </w:p>
    <w:p w14:paraId="254A3DD1" w14:textId="7BBDBD10" w:rsidR="00E85761" w:rsidRDefault="00165EAE" w:rsidP="007D1699">
      <w:pPr>
        <w:pStyle w:val="ListParagraph"/>
        <w:numPr>
          <w:ilvl w:val="0"/>
          <w:numId w:val="11"/>
        </w:numPr>
        <w:spacing w:line="276" w:lineRule="auto"/>
        <w:ind w:left="284" w:hanging="284"/>
      </w:pPr>
      <w:r>
        <w:t>p</w:t>
      </w:r>
      <w:r w:rsidR="00E85761">
        <w:t>rocurement-specific actions</w:t>
      </w:r>
      <w:r w:rsidR="00CB6567">
        <w:t>,</w:t>
      </w:r>
    </w:p>
    <w:p w14:paraId="46A33016" w14:textId="08F44BE5" w:rsidR="00117CFA" w:rsidRDefault="00117CFA" w:rsidP="007D1699">
      <w:pPr>
        <w:pStyle w:val="ListParagraph"/>
        <w:numPr>
          <w:ilvl w:val="0"/>
          <w:numId w:val="11"/>
        </w:numPr>
        <w:spacing w:line="276" w:lineRule="auto"/>
        <w:ind w:left="284" w:hanging="284"/>
      </w:pPr>
      <w:r w:rsidRPr="00117CFA">
        <w:t>how the</w:t>
      </w:r>
      <w:r>
        <w:t xml:space="preserve"> Supplier aims to</w:t>
      </w:r>
      <w:r w:rsidRPr="00117CFA">
        <w:t xml:space="preserve"> drive both short and long-term outcomes</w:t>
      </w:r>
      <w:r w:rsidR="00CB6567">
        <w:t>, and</w:t>
      </w:r>
    </w:p>
    <w:p w14:paraId="23A8EB4D" w14:textId="359BF24B" w:rsidR="00B91CB8" w:rsidRDefault="00E85761" w:rsidP="007D1699">
      <w:pPr>
        <w:pStyle w:val="ListParagraph"/>
        <w:numPr>
          <w:ilvl w:val="0"/>
          <w:numId w:val="11"/>
        </w:numPr>
        <w:spacing w:line="276" w:lineRule="auto"/>
        <w:ind w:left="284" w:hanging="284"/>
      </w:pPr>
      <w:r>
        <w:t xml:space="preserve">how </w:t>
      </w:r>
      <w:r w:rsidR="00717728">
        <w:t>the Supplier</w:t>
      </w:r>
      <w:r w:rsidR="00F26702">
        <w:t>’</w:t>
      </w:r>
      <w:r w:rsidR="00717728">
        <w:t xml:space="preserve">s </w:t>
      </w:r>
      <w:r>
        <w:t>broader policies will apply to the specific project.</w:t>
      </w:r>
    </w:p>
    <w:p w14:paraId="1B98850F" w14:textId="4E5545C1" w:rsidR="00674440" w:rsidRDefault="00B91CB8" w:rsidP="0088623B">
      <w:r w:rsidRPr="007770FA">
        <w:t xml:space="preserve">A </w:t>
      </w:r>
      <w:r w:rsidR="00961154" w:rsidRPr="007770FA">
        <w:t xml:space="preserve">GEAP </w:t>
      </w:r>
      <w:r w:rsidRPr="007770FA">
        <w:t xml:space="preserve">template for </w:t>
      </w:r>
      <w:r w:rsidR="00780037" w:rsidRPr="007770FA">
        <w:t>Potential supplier</w:t>
      </w:r>
      <w:r w:rsidR="00961154" w:rsidRPr="007770FA">
        <w:t xml:space="preserve">s is available </w:t>
      </w:r>
      <w:r w:rsidR="001C471D" w:rsidRPr="007770FA">
        <w:t xml:space="preserve">in the Supplementary Guidance for Suppliers </w:t>
      </w:r>
      <w:r w:rsidR="00961154" w:rsidRPr="007770FA">
        <w:t xml:space="preserve">on the </w:t>
      </w:r>
      <w:hyperlink r:id="rId20" w:history="1">
        <w:r w:rsidR="007770FA" w:rsidRPr="007770FA">
          <w:rPr>
            <w:rStyle w:val="Hyperlink"/>
          </w:rPr>
          <w:t>DEWR website</w:t>
        </w:r>
      </w:hyperlink>
      <w:r w:rsidR="00961154" w:rsidRPr="007770FA">
        <w:t>.</w:t>
      </w:r>
      <w:r w:rsidR="00961154">
        <w:t xml:space="preserve"> </w:t>
      </w:r>
    </w:p>
    <w:p w14:paraId="634CAA08" w14:textId="675E1E39" w:rsidR="00CF6525" w:rsidRPr="006851E3" w:rsidRDefault="006851E3" w:rsidP="00CF6525">
      <w:pPr>
        <w:pStyle w:val="Heading2"/>
        <w:rPr>
          <w:color w:val="5D7A38"/>
        </w:rPr>
      </w:pPr>
      <w:bookmarkStart w:id="15" w:name="_Toc210109803"/>
      <w:bookmarkStart w:id="16" w:name="_Hlk209163763"/>
      <w:r w:rsidRPr="006851E3">
        <w:rPr>
          <w:rFonts w:ascii="Segoe UI Emoji" w:eastAsia="Times New Roman" w:hAnsi="Segoe UI Emoji" w:cs="Segoe UI Emoji"/>
          <w:color w:val="5D7A38"/>
          <w:sz w:val="24"/>
          <w:szCs w:val="24"/>
          <w:lang w:eastAsia="en-AU"/>
        </w:rPr>
        <w:lastRenderedPageBreak/>
        <w:t>📌</w:t>
      </w:r>
      <w:r w:rsidRPr="006851E3">
        <w:rPr>
          <w:color w:val="5D7A38"/>
        </w:rPr>
        <w:t xml:space="preserve"> </w:t>
      </w:r>
      <w:r w:rsidR="00CF6525" w:rsidRPr="006851E3">
        <w:rPr>
          <w:color w:val="5D7A38"/>
        </w:rPr>
        <w:t xml:space="preserve">Actions for </w:t>
      </w:r>
      <w:r w:rsidR="0069799B">
        <w:rPr>
          <w:color w:val="5D7A38"/>
        </w:rPr>
        <w:t>Relevant entities</w:t>
      </w:r>
      <w:bookmarkEnd w:id="15"/>
      <w:r w:rsidR="00E85761" w:rsidRPr="006851E3">
        <w:rPr>
          <w:color w:val="5D7A38"/>
        </w:rPr>
        <w:t xml:space="preserve"> </w:t>
      </w:r>
    </w:p>
    <w:bookmarkEnd w:id="16"/>
    <w:p w14:paraId="181D1681" w14:textId="22E81D7A" w:rsidR="00E85761" w:rsidRPr="00CF6525" w:rsidRDefault="008D076C" w:rsidP="00966D9C">
      <w:pPr>
        <w:pStyle w:val="ListParagraph"/>
        <w:numPr>
          <w:ilvl w:val="0"/>
          <w:numId w:val="11"/>
        </w:numPr>
        <w:spacing w:line="276" w:lineRule="auto"/>
      </w:pPr>
      <w:r>
        <w:t>E</w:t>
      </w:r>
      <w:r w:rsidR="00E85761" w:rsidRPr="00CF6525">
        <w:t>nsure GEAPs are submitted</w:t>
      </w:r>
      <w:r w:rsidR="00286CBA" w:rsidRPr="00CF6525">
        <w:t xml:space="preserve"> by </w:t>
      </w:r>
      <w:r w:rsidR="00780037">
        <w:t>Potential supplier</w:t>
      </w:r>
      <w:r w:rsidR="00286CBA" w:rsidRPr="00CF6525">
        <w:t>s</w:t>
      </w:r>
      <w:r w:rsidR="00166FCF" w:rsidRPr="00CF6525">
        <w:t>,</w:t>
      </w:r>
      <w:r w:rsidR="00E85761" w:rsidRPr="00CF6525">
        <w:t xml:space="preserve"> where required</w:t>
      </w:r>
      <w:r>
        <w:t>.</w:t>
      </w:r>
    </w:p>
    <w:p w14:paraId="2EF51553" w14:textId="3DBFA34B" w:rsidR="00E85761" w:rsidRDefault="008D076C" w:rsidP="00966D9C">
      <w:pPr>
        <w:pStyle w:val="ListParagraph"/>
        <w:numPr>
          <w:ilvl w:val="0"/>
          <w:numId w:val="11"/>
        </w:numPr>
        <w:spacing w:line="276" w:lineRule="auto"/>
      </w:pPr>
      <w:r>
        <w:t>A</w:t>
      </w:r>
      <w:r w:rsidR="00E85761">
        <w:t xml:space="preserve">ssess whether the GEAP aligns with the project type and </w:t>
      </w:r>
      <w:r w:rsidR="00EF3C70">
        <w:t xml:space="preserve">its </w:t>
      </w:r>
      <w:r w:rsidR="00E85761">
        <w:t>applicable targets</w:t>
      </w:r>
      <w:r>
        <w:t>.</w:t>
      </w:r>
    </w:p>
    <w:p w14:paraId="0FBDA42B" w14:textId="7BE84324" w:rsidR="00E85761" w:rsidRDefault="008D076C" w:rsidP="00966D9C">
      <w:pPr>
        <w:pStyle w:val="ListParagraph"/>
        <w:numPr>
          <w:ilvl w:val="0"/>
          <w:numId w:val="11"/>
        </w:numPr>
        <w:spacing w:line="276" w:lineRule="auto"/>
      </w:pPr>
      <w:r>
        <w:t>A</w:t>
      </w:r>
      <w:r w:rsidR="00E85761">
        <w:t>pprove the Suppliers GEAP</w:t>
      </w:r>
      <w:r>
        <w:t>.</w:t>
      </w:r>
    </w:p>
    <w:p w14:paraId="794FB0B4" w14:textId="1864C68C" w:rsidR="00E85761" w:rsidRDefault="008D076C" w:rsidP="00966D9C">
      <w:pPr>
        <w:pStyle w:val="ListParagraph"/>
        <w:numPr>
          <w:ilvl w:val="0"/>
          <w:numId w:val="11"/>
        </w:numPr>
        <w:spacing w:line="276" w:lineRule="auto"/>
      </w:pPr>
      <w:r>
        <w:t>R</w:t>
      </w:r>
      <w:r w:rsidR="007B1056">
        <w:t>emind</w:t>
      </w:r>
      <w:r w:rsidR="00E85761">
        <w:t xml:space="preserve"> the Supplier </w:t>
      </w:r>
      <w:r w:rsidR="007B1056">
        <w:t xml:space="preserve">to </w:t>
      </w:r>
      <w:r w:rsidR="00E85761">
        <w:t>share the GEAP with any Sub-contractors.</w:t>
      </w:r>
    </w:p>
    <w:p w14:paraId="30FAA942" w14:textId="6D21B61C" w:rsidR="007B1056" w:rsidRDefault="008D076C" w:rsidP="00966D9C">
      <w:pPr>
        <w:pStyle w:val="ListParagraph"/>
        <w:numPr>
          <w:ilvl w:val="0"/>
          <w:numId w:val="11"/>
        </w:numPr>
        <w:spacing w:line="276" w:lineRule="auto"/>
      </w:pPr>
      <w:r>
        <w:t>M</w:t>
      </w:r>
      <w:r w:rsidR="007B1056">
        <w:t xml:space="preserve">onitor Supplier compliance </w:t>
      </w:r>
      <w:r w:rsidR="002B16ED">
        <w:t xml:space="preserve">and performance against gender equality targets </w:t>
      </w:r>
      <w:r w:rsidR="00B84707">
        <w:t>outlined in their</w:t>
      </w:r>
      <w:r w:rsidR="007B1056">
        <w:t xml:space="preserve"> GEAP throughout the project lifecycle.</w:t>
      </w:r>
    </w:p>
    <w:p w14:paraId="21B1F3A2" w14:textId="4154346D" w:rsidR="00E85761" w:rsidRDefault="008D076C" w:rsidP="00966D9C">
      <w:pPr>
        <w:pStyle w:val="ListParagraph"/>
        <w:numPr>
          <w:ilvl w:val="0"/>
          <w:numId w:val="11"/>
        </w:numPr>
        <w:spacing w:line="276" w:lineRule="auto"/>
      </w:pPr>
      <w:r>
        <w:t>E</w:t>
      </w:r>
      <w:r w:rsidR="00E85761">
        <w:t>ncourage Suppliers to pursue both short and long-term outcomes</w:t>
      </w:r>
      <w:r>
        <w:t>.</w:t>
      </w:r>
    </w:p>
    <w:p w14:paraId="164BCCCB" w14:textId="566C14EF" w:rsidR="00717728" w:rsidRDefault="008D076C" w:rsidP="00F26702">
      <w:pPr>
        <w:pStyle w:val="ListParagraph"/>
        <w:numPr>
          <w:ilvl w:val="0"/>
          <w:numId w:val="11"/>
        </w:numPr>
        <w:spacing w:line="276" w:lineRule="auto"/>
      </w:pPr>
      <w:r>
        <w:t>R</w:t>
      </w:r>
      <w:r w:rsidR="00E85761">
        <w:t>ecognise that cultural change takes time and sustained effort</w:t>
      </w:r>
      <w:r w:rsidR="00AE5813">
        <w:t>.</w:t>
      </w:r>
    </w:p>
    <w:p w14:paraId="655A4770" w14:textId="4BB2A32A" w:rsidR="0067759D" w:rsidRPr="00535C6B" w:rsidRDefault="00E36A93" w:rsidP="00535C6B">
      <w:pPr>
        <w:pStyle w:val="Heading1"/>
      </w:pPr>
      <w:bookmarkStart w:id="17" w:name="_Toc210109804"/>
      <w:r w:rsidRPr="00535C6B">
        <w:t>Construction t</w:t>
      </w:r>
      <w:r w:rsidR="00020B0E" w:rsidRPr="00535C6B">
        <w:t>argets</w:t>
      </w:r>
      <w:bookmarkEnd w:id="17"/>
    </w:p>
    <w:p w14:paraId="32D22566" w14:textId="6D7FB92A" w:rsidR="0067759D" w:rsidRPr="00427E00" w:rsidRDefault="006C5834" w:rsidP="00427E00">
      <w:pPr>
        <w:spacing w:after="0"/>
        <w:rPr>
          <w:rFonts w:ascii="Calibri" w:eastAsiaTheme="majorEastAsia" w:hAnsi="Calibri" w:cstheme="majorBidi"/>
          <w:b/>
          <w:color w:val="5F6369"/>
        </w:rPr>
      </w:pPr>
      <w:bookmarkStart w:id="18" w:name="_Hlk209515848"/>
      <w:r w:rsidRPr="00503CB7">
        <w:rPr>
          <w:rFonts w:ascii="Calibri" w:eastAsiaTheme="majorEastAsia" w:hAnsi="Calibri" w:cstheme="majorBidi"/>
          <w:b/>
          <w:color w:val="5F6369"/>
        </w:rPr>
        <w:t xml:space="preserve">Table </w:t>
      </w:r>
      <w:r w:rsidR="00B01106">
        <w:rPr>
          <w:rFonts w:ascii="Calibri" w:eastAsiaTheme="majorEastAsia" w:hAnsi="Calibri" w:cstheme="majorBidi"/>
          <w:b/>
          <w:color w:val="5F6369"/>
        </w:rPr>
        <w:t>2</w:t>
      </w:r>
      <w:r w:rsidR="00503CB7">
        <w:rPr>
          <w:rFonts w:ascii="Calibri" w:eastAsiaTheme="majorEastAsia" w:hAnsi="Calibri" w:cstheme="majorBidi"/>
          <w:b/>
          <w:color w:val="5F6369"/>
        </w:rPr>
        <w:t xml:space="preserve"> </w:t>
      </w:r>
      <w:r w:rsidR="00DC2CE4">
        <w:rPr>
          <w:rFonts w:ascii="Calibri" w:eastAsiaTheme="majorEastAsia" w:hAnsi="Calibri" w:cstheme="majorBidi"/>
          <w:b/>
          <w:color w:val="5F6369"/>
        </w:rPr>
        <w:t>–</w:t>
      </w:r>
      <w:r w:rsidR="00503CB7">
        <w:rPr>
          <w:rFonts w:ascii="Calibri" w:eastAsiaTheme="majorEastAsia" w:hAnsi="Calibri" w:cstheme="majorBidi"/>
          <w:b/>
          <w:color w:val="5F6369"/>
        </w:rPr>
        <w:t xml:space="preserve"> </w:t>
      </w:r>
      <w:r w:rsidR="006C17B3">
        <w:rPr>
          <w:rFonts w:ascii="Calibri" w:eastAsiaTheme="majorEastAsia" w:hAnsi="Calibri" w:cstheme="majorBidi"/>
          <w:b/>
          <w:color w:val="5F6369"/>
        </w:rPr>
        <w:t xml:space="preserve">PCP </w:t>
      </w:r>
      <w:r w:rsidR="00B034C0">
        <w:rPr>
          <w:rFonts w:ascii="Calibri" w:eastAsiaTheme="majorEastAsia" w:hAnsi="Calibri" w:cstheme="majorBidi"/>
          <w:b/>
          <w:color w:val="5F6369"/>
        </w:rPr>
        <w:t xml:space="preserve">requirements for </w:t>
      </w:r>
      <w:r w:rsidR="00DC2CE4">
        <w:rPr>
          <w:rFonts w:ascii="Calibri" w:eastAsiaTheme="majorEastAsia" w:hAnsi="Calibri" w:cstheme="majorBidi"/>
          <w:b/>
          <w:color w:val="5F6369"/>
        </w:rPr>
        <w:t xml:space="preserve">Construction </w:t>
      </w:r>
      <w:r w:rsidR="006C17B3">
        <w:rPr>
          <w:rFonts w:ascii="Calibri" w:eastAsiaTheme="majorEastAsia" w:hAnsi="Calibri" w:cstheme="majorBidi"/>
          <w:b/>
          <w:color w:val="5F6369"/>
        </w:rPr>
        <w:t>procurements</w:t>
      </w:r>
    </w:p>
    <w:tbl>
      <w:tblPr>
        <w:tblStyle w:val="TableGrid"/>
        <w:tblW w:w="9351" w:type="dxa"/>
        <w:tblLook w:val="04A0" w:firstRow="1" w:lastRow="0" w:firstColumn="1" w:lastColumn="0" w:noHBand="0" w:noVBand="1"/>
        <w:tblCaption w:val="Table 2 PCP requirements for Construction procurements"/>
        <w:tblDescription w:val="Table provides an overview of the construction procurement requirements."/>
      </w:tblPr>
      <w:tblGrid>
        <w:gridCol w:w="1390"/>
        <w:gridCol w:w="1129"/>
        <w:gridCol w:w="1602"/>
        <w:gridCol w:w="1828"/>
        <w:gridCol w:w="1843"/>
        <w:gridCol w:w="1559"/>
      </w:tblGrid>
      <w:tr w:rsidR="00610A78" w14:paraId="5F27C358" w14:textId="77777777" w:rsidTr="00777345">
        <w:tc>
          <w:tcPr>
            <w:tcW w:w="1390" w:type="dxa"/>
            <w:shd w:val="clear" w:color="auto" w:fill="A4A7A9"/>
          </w:tcPr>
          <w:bookmarkEnd w:id="18"/>
          <w:p w14:paraId="7D7CF623" w14:textId="494864CC" w:rsidR="00610A78" w:rsidRPr="001B5C77" w:rsidRDefault="00610A78" w:rsidP="00115FBA">
            <w:pPr>
              <w:spacing w:after="100"/>
              <w:rPr>
                <w:b/>
                <w:bCs/>
              </w:rPr>
            </w:pPr>
            <w:r w:rsidRPr="001B5C77">
              <w:rPr>
                <w:b/>
                <w:bCs/>
              </w:rPr>
              <w:t>Project Type</w:t>
            </w:r>
          </w:p>
        </w:tc>
        <w:tc>
          <w:tcPr>
            <w:tcW w:w="1129" w:type="dxa"/>
            <w:shd w:val="clear" w:color="auto" w:fill="A4A7A9"/>
          </w:tcPr>
          <w:p w14:paraId="3DFB93C7" w14:textId="2DE153B0" w:rsidR="00610A78" w:rsidRPr="001B5C77" w:rsidRDefault="00610A78" w:rsidP="00115FBA">
            <w:pPr>
              <w:spacing w:after="100"/>
              <w:rPr>
                <w:b/>
                <w:bCs/>
              </w:rPr>
            </w:pPr>
            <w:r w:rsidRPr="001B5C77">
              <w:rPr>
                <w:b/>
                <w:bCs/>
              </w:rPr>
              <w:t>Value Threshold</w:t>
            </w:r>
          </w:p>
        </w:tc>
        <w:tc>
          <w:tcPr>
            <w:tcW w:w="1602" w:type="dxa"/>
            <w:shd w:val="clear" w:color="auto" w:fill="A4A7A9"/>
          </w:tcPr>
          <w:p w14:paraId="776104E4" w14:textId="0D289AA4" w:rsidR="00610A78" w:rsidRPr="001B5C77" w:rsidRDefault="00BB64BB" w:rsidP="00115FBA">
            <w:pPr>
              <w:spacing w:after="100"/>
              <w:rPr>
                <w:b/>
                <w:bCs/>
              </w:rPr>
            </w:pPr>
            <w:r w:rsidRPr="001B5C77">
              <w:rPr>
                <w:b/>
                <w:bCs/>
              </w:rPr>
              <w:t xml:space="preserve">Overarching </w:t>
            </w:r>
            <w:r w:rsidR="007323E1">
              <w:rPr>
                <w:b/>
                <w:bCs/>
              </w:rPr>
              <w:t>a</w:t>
            </w:r>
            <w:r w:rsidR="00610A78" w:rsidRPr="001B5C77">
              <w:rPr>
                <w:b/>
                <w:bCs/>
              </w:rPr>
              <w:t xml:space="preserve">pprentice </w:t>
            </w:r>
            <w:r w:rsidR="007323E1">
              <w:rPr>
                <w:b/>
                <w:bCs/>
              </w:rPr>
              <w:t>t</w:t>
            </w:r>
            <w:r w:rsidR="00610A78" w:rsidRPr="001B5C77">
              <w:rPr>
                <w:b/>
                <w:bCs/>
              </w:rPr>
              <w:t>arget</w:t>
            </w:r>
          </w:p>
        </w:tc>
        <w:tc>
          <w:tcPr>
            <w:tcW w:w="1828" w:type="dxa"/>
            <w:shd w:val="clear" w:color="auto" w:fill="A4A7A9"/>
          </w:tcPr>
          <w:p w14:paraId="6005A998" w14:textId="710B8C00" w:rsidR="00610A78" w:rsidRPr="001B5C77" w:rsidRDefault="00610A78" w:rsidP="00115FBA">
            <w:pPr>
              <w:spacing w:after="100"/>
              <w:rPr>
                <w:b/>
                <w:bCs/>
              </w:rPr>
            </w:pPr>
            <w:r w:rsidRPr="001B5C77">
              <w:rPr>
                <w:b/>
                <w:bCs/>
              </w:rPr>
              <w:t xml:space="preserve">Overarching </w:t>
            </w:r>
            <w:r w:rsidR="007323E1">
              <w:rPr>
                <w:b/>
                <w:bCs/>
              </w:rPr>
              <w:t>a</w:t>
            </w:r>
            <w:r w:rsidRPr="001B5C77">
              <w:rPr>
                <w:b/>
                <w:bCs/>
              </w:rPr>
              <w:t xml:space="preserve">pprentice </w:t>
            </w:r>
            <w:r w:rsidR="007323E1">
              <w:rPr>
                <w:b/>
                <w:bCs/>
              </w:rPr>
              <w:t>t</w:t>
            </w:r>
            <w:r w:rsidRPr="001B5C77">
              <w:rPr>
                <w:b/>
                <w:bCs/>
              </w:rPr>
              <w:t xml:space="preserve">argets for </w:t>
            </w:r>
            <w:r w:rsidR="007323E1">
              <w:rPr>
                <w:b/>
                <w:bCs/>
              </w:rPr>
              <w:t>w</w:t>
            </w:r>
            <w:r w:rsidRPr="001B5C77">
              <w:rPr>
                <w:b/>
                <w:bCs/>
              </w:rPr>
              <w:t>omen</w:t>
            </w:r>
          </w:p>
        </w:tc>
        <w:tc>
          <w:tcPr>
            <w:tcW w:w="1843" w:type="dxa"/>
            <w:shd w:val="clear" w:color="auto" w:fill="A4A7A9"/>
          </w:tcPr>
          <w:p w14:paraId="54481558" w14:textId="70A0A347" w:rsidR="00610A78" w:rsidRPr="001B5C77" w:rsidRDefault="00610A78" w:rsidP="00115FBA">
            <w:pPr>
              <w:spacing w:after="100"/>
              <w:rPr>
                <w:b/>
                <w:bCs/>
              </w:rPr>
            </w:pPr>
            <w:r w:rsidRPr="001B5C77">
              <w:rPr>
                <w:b/>
                <w:bCs/>
              </w:rPr>
              <w:t>Trade-</w:t>
            </w:r>
            <w:r w:rsidR="007323E1">
              <w:rPr>
                <w:b/>
                <w:bCs/>
              </w:rPr>
              <w:t>s</w:t>
            </w:r>
            <w:r w:rsidRPr="001B5C77">
              <w:rPr>
                <w:b/>
                <w:bCs/>
              </w:rPr>
              <w:t xml:space="preserve">pecific </w:t>
            </w:r>
            <w:r w:rsidR="007323E1">
              <w:rPr>
                <w:b/>
                <w:bCs/>
              </w:rPr>
              <w:t>a</w:t>
            </w:r>
            <w:r w:rsidRPr="001B5C77">
              <w:rPr>
                <w:b/>
                <w:bCs/>
              </w:rPr>
              <w:t xml:space="preserve">pprentice </w:t>
            </w:r>
            <w:r w:rsidR="007323E1">
              <w:rPr>
                <w:b/>
                <w:bCs/>
              </w:rPr>
              <w:t>t</w:t>
            </w:r>
            <w:r w:rsidRPr="001B5C77">
              <w:rPr>
                <w:b/>
                <w:bCs/>
              </w:rPr>
              <w:t xml:space="preserve">arget for </w:t>
            </w:r>
            <w:r w:rsidR="007323E1">
              <w:rPr>
                <w:b/>
                <w:bCs/>
              </w:rPr>
              <w:t>w</w:t>
            </w:r>
            <w:r w:rsidRPr="001B5C77">
              <w:rPr>
                <w:b/>
                <w:bCs/>
              </w:rPr>
              <w:t>omen</w:t>
            </w:r>
          </w:p>
        </w:tc>
        <w:tc>
          <w:tcPr>
            <w:tcW w:w="1559" w:type="dxa"/>
            <w:shd w:val="clear" w:color="auto" w:fill="A4A7A9"/>
          </w:tcPr>
          <w:p w14:paraId="6C67A4BC" w14:textId="642CF8C6" w:rsidR="00610A78" w:rsidRPr="001B5C77" w:rsidRDefault="00EF39B9" w:rsidP="00115FBA">
            <w:pPr>
              <w:spacing w:after="100"/>
              <w:rPr>
                <w:b/>
                <w:bCs/>
              </w:rPr>
            </w:pPr>
            <w:r w:rsidRPr="001B5C77">
              <w:rPr>
                <w:b/>
                <w:bCs/>
              </w:rPr>
              <w:t>Gender Equality Action Plan</w:t>
            </w:r>
          </w:p>
        </w:tc>
      </w:tr>
      <w:tr w:rsidR="00610A78" w14:paraId="4C02E323" w14:textId="77777777" w:rsidTr="00777345">
        <w:tc>
          <w:tcPr>
            <w:tcW w:w="1390" w:type="dxa"/>
            <w:shd w:val="clear" w:color="auto" w:fill="7A9F4C"/>
          </w:tcPr>
          <w:p w14:paraId="137DFB56" w14:textId="2927A2F1" w:rsidR="00610A78" w:rsidRPr="00321CFA" w:rsidRDefault="00610A78" w:rsidP="003723A6">
            <w:pPr>
              <w:spacing w:before="80" w:after="0"/>
              <w:rPr>
                <w:b/>
                <w:bCs/>
              </w:rPr>
            </w:pPr>
            <w:r w:rsidRPr="00321CFA">
              <w:rPr>
                <w:b/>
                <w:bCs/>
              </w:rPr>
              <w:t xml:space="preserve">Major </w:t>
            </w:r>
            <w:r w:rsidR="005A37A7">
              <w:rPr>
                <w:b/>
                <w:bCs/>
              </w:rPr>
              <w:t>c</w:t>
            </w:r>
            <w:r w:rsidRPr="00321CFA">
              <w:rPr>
                <w:b/>
                <w:bCs/>
              </w:rPr>
              <w:t xml:space="preserve">onstruction </w:t>
            </w:r>
            <w:r w:rsidR="005A37A7">
              <w:rPr>
                <w:b/>
                <w:bCs/>
              </w:rPr>
              <w:t>p</w:t>
            </w:r>
            <w:r w:rsidRPr="00321CFA">
              <w:rPr>
                <w:b/>
                <w:bCs/>
              </w:rPr>
              <w:t>roject</w:t>
            </w:r>
          </w:p>
        </w:tc>
        <w:tc>
          <w:tcPr>
            <w:tcW w:w="1129" w:type="dxa"/>
          </w:tcPr>
          <w:p w14:paraId="631FC916" w14:textId="5CE7373F" w:rsidR="00610A78" w:rsidRPr="00321CFA" w:rsidRDefault="001339CC" w:rsidP="003723A6">
            <w:pPr>
              <w:spacing w:before="80" w:after="0"/>
            </w:pPr>
            <w:r w:rsidRPr="00321CFA">
              <w:t>$10 million or more</w:t>
            </w:r>
          </w:p>
        </w:tc>
        <w:tc>
          <w:tcPr>
            <w:tcW w:w="1602" w:type="dxa"/>
          </w:tcPr>
          <w:p w14:paraId="55724FB2" w14:textId="515DD400" w:rsidR="00610A78" w:rsidRPr="00321CFA" w:rsidRDefault="001339CC" w:rsidP="003723A6">
            <w:pPr>
              <w:spacing w:before="80" w:after="0"/>
            </w:pPr>
            <w:r w:rsidRPr="00321CFA">
              <w:t xml:space="preserve">Minimum 10% of all estimated </w:t>
            </w:r>
            <w:r w:rsidR="00CD5E0D">
              <w:t>Labour hours</w:t>
            </w:r>
            <w:r w:rsidR="00A16B2E">
              <w:t xml:space="preserve"> by Apprentices</w:t>
            </w:r>
          </w:p>
        </w:tc>
        <w:tc>
          <w:tcPr>
            <w:tcW w:w="1828" w:type="dxa"/>
          </w:tcPr>
          <w:p w14:paraId="1D683F6D" w14:textId="7252532E" w:rsidR="00610A78" w:rsidRPr="00321CFA" w:rsidRDefault="004D65E7" w:rsidP="003723A6">
            <w:pPr>
              <w:spacing w:before="80" w:after="0"/>
            </w:pPr>
            <w:r w:rsidRPr="00321CFA">
              <w:t>Minimum 7%</w:t>
            </w:r>
            <w:r w:rsidR="00427E00">
              <w:t>*</w:t>
            </w:r>
            <w:r w:rsidRPr="00321CFA">
              <w:t xml:space="preserve"> of Apprentice </w:t>
            </w:r>
            <w:r w:rsidR="00CD5E0D">
              <w:t>Labour hours</w:t>
            </w:r>
            <w:r w:rsidR="00EF3306" w:rsidRPr="00321CFA">
              <w:t xml:space="preserve"> undertaken by </w:t>
            </w:r>
            <w:r w:rsidR="00A443FE">
              <w:t>w</w:t>
            </w:r>
            <w:r w:rsidR="00EF3306" w:rsidRPr="00321CFA">
              <w:t>omen</w:t>
            </w:r>
          </w:p>
        </w:tc>
        <w:tc>
          <w:tcPr>
            <w:tcW w:w="1843" w:type="dxa"/>
          </w:tcPr>
          <w:p w14:paraId="4355F152" w14:textId="5B430C4E" w:rsidR="00610A78" w:rsidRPr="00321CFA" w:rsidRDefault="00115FBA" w:rsidP="003723A6">
            <w:pPr>
              <w:spacing w:before="80" w:after="0"/>
            </w:pPr>
            <w:r w:rsidRPr="00321CFA">
              <w:t>Minimum 5%</w:t>
            </w:r>
            <w:r w:rsidR="00427E00">
              <w:t>*</w:t>
            </w:r>
            <w:r w:rsidRPr="00321CFA">
              <w:t xml:space="preserve"> of Trade Apprentice </w:t>
            </w:r>
            <w:r w:rsidR="00CD5E0D">
              <w:t>Labour hours</w:t>
            </w:r>
            <w:r w:rsidR="00EF3306" w:rsidRPr="00321CFA">
              <w:t xml:space="preserve"> undertaken by </w:t>
            </w:r>
            <w:r w:rsidR="00A443FE">
              <w:t>w</w:t>
            </w:r>
            <w:r w:rsidR="00EF3306" w:rsidRPr="00321CFA">
              <w:t>omen</w:t>
            </w:r>
          </w:p>
        </w:tc>
        <w:tc>
          <w:tcPr>
            <w:tcW w:w="1559" w:type="dxa"/>
          </w:tcPr>
          <w:p w14:paraId="53179D85" w14:textId="053FD4CB" w:rsidR="00610A78" w:rsidRPr="00321CFA" w:rsidRDefault="00EF39B9" w:rsidP="003723A6">
            <w:pPr>
              <w:spacing w:before="80" w:after="0"/>
            </w:pPr>
            <w:r w:rsidRPr="00321CFA">
              <w:t>Voluntary with Submission</w:t>
            </w:r>
          </w:p>
        </w:tc>
      </w:tr>
      <w:tr w:rsidR="00610A78" w14:paraId="4F68D6D8" w14:textId="77777777" w:rsidTr="00777345">
        <w:tc>
          <w:tcPr>
            <w:tcW w:w="1390" w:type="dxa"/>
            <w:shd w:val="clear" w:color="auto" w:fill="7A9F4C"/>
          </w:tcPr>
          <w:p w14:paraId="25D09E2B" w14:textId="14E0D44B" w:rsidR="00610A78" w:rsidRPr="00321CFA" w:rsidRDefault="00610A78" w:rsidP="0067759D">
            <w:pPr>
              <w:spacing w:before="80" w:after="320"/>
              <w:rPr>
                <w:b/>
                <w:bCs/>
              </w:rPr>
            </w:pPr>
            <w:r w:rsidRPr="00321CFA">
              <w:rPr>
                <w:b/>
                <w:bCs/>
              </w:rPr>
              <w:t xml:space="preserve">Flagship </w:t>
            </w:r>
            <w:r w:rsidR="00780037">
              <w:rPr>
                <w:b/>
                <w:bCs/>
              </w:rPr>
              <w:t>c</w:t>
            </w:r>
            <w:r w:rsidRPr="00321CFA">
              <w:rPr>
                <w:b/>
                <w:bCs/>
              </w:rPr>
              <w:t xml:space="preserve">onstruction </w:t>
            </w:r>
            <w:r w:rsidR="00780037">
              <w:rPr>
                <w:b/>
                <w:bCs/>
              </w:rPr>
              <w:t>p</w:t>
            </w:r>
            <w:r w:rsidRPr="00321CFA">
              <w:rPr>
                <w:b/>
                <w:bCs/>
              </w:rPr>
              <w:t>roject</w:t>
            </w:r>
          </w:p>
        </w:tc>
        <w:tc>
          <w:tcPr>
            <w:tcW w:w="1129" w:type="dxa"/>
          </w:tcPr>
          <w:p w14:paraId="4F50930A" w14:textId="4D33AD1F" w:rsidR="00610A78" w:rsidRPr="00321CFA" w:rsidRDefault="001339CC" w:rsidP="0067759D">
            <w:pPr>
              <w:spacing w:before="80" w:after="320"/>
            </w:pPr>
            <w:r w:rsidRPr="00321CFA">
              <w:t>$100 million or more</w:t>
            </w:r>
          </w:p>
        </w:tc>
        <w:tc>
          <w:tcPr>
            <w:tcW w:w="1602" w:type="dxa"/>
          </w:tcPr>
          <w:p w14:paraId="6125C20B" w14:textId="6C4033A8" w:rsidR="00610A78" w:rsidRPr="00321CFA" w:rsidRDefault="001339CC" w:rsidP="0067759D">
            <w:pPr>
              <w:spacing w:before="80" w:after="320"/>
            </w:pPr>
            <w:r w:rsidRPr="00321CFA">
              <w:t xml:space="preserve">Minimum 10% of all </w:t>
            </w:r>
            <w:r w:rsidR="00CD5E0D">
              <w:t>Labour hours</w:t>
            </w:r>
          </w:p>
        </w:tc>
        <w:tc>
          <w:tcPr>
            <w:tcW w:w="1828" w:type="dxa"/>
          </w:tcPr>
          <w:p w14:paraId="009210EB" w14:textId="723FDD04" w:rsidR="00610A78" w:rsidRPr="00321CFA" w:rsidRDefault="00EA5DB2" w:rsidP="003723A6">
            <w:pPr>
              <w:spacing w:before="80" w:after="0"/>
            </w:pPr>
            <w:r>
              <w:t xml:space="preserve">Must meet targets for </w:t>
            </w:r>
            <w:r w:rsidR="00490071">
              <w:t>w</w:t>
            </w:r>
            <w:r>
              <w:t xml:space="preserve">omen for Major </w:t>
            </w:r>
            <w:r w:rsidR="00490071">
              <w:t>c</w:t>
            </w:r>
            <w:r>
              <w:t xml:space="preserve">onstruction </w:t>
            </w:r>
            <w:r w:rsidR="00490071">
              <w:t>p</w:t>
            </w:r>
            <w:r>
              <w:t xml:space="preserve">rojects and set and meet more ambitious targets for </w:t>
            </w:r>
            <w:r w:rsidR="00490071">
              <w:t>w</w:t>
            </w:r>
            <w:r>
              <w:t>omen</w:t>
            </w:r>
          </w:p>
        </w:tc>
        <w:tc>
          <w:tcPr>
            <w:tcW w:w="1843" w:type="dxa"/>
          </w:tcPr>
          <w:p w14:paraId="7E9FB094" w14:textId="047A28CC" w:rsidR="00610A78" w:rsidRPr="00321CFA" w:rsidRDefault="007A40D5" w:rsidP="0067759D">
            <w:pPr>
              <w:spacing w:before="80" w:after="320"/>
            </w:pPr>
            <w:r>
              <w:t xml:space="preserve">Must meet targets for </w:t>
            </w:r>
            <w:r w:rsidR="00490071">
              <w:t>w</w:t>
            </w:r>
            <w:r>
              <w:t xml:space="preserve">omen for Major </w:t>
            </w:r>
            <w:r w:rsidR="00490071">
              <w:t>c</w:t>
            </w:r>
            <w:r>
              <w:t xml:space="preserve">onstruction </w:t>
            </w:r>
            <w:r w:rsidR="00490071">
              <w:t>p</w:t>
            </w:r>
            <w:r>
              <w:t xml:space="preserve">rojects and set and meet more ambitious targets for </w:t>
            </w:r>
            <w:r w:rsidR="00490071">
              <w:t>w</w:t>
            </w:r>
            <w:r>
              <w:t>omen</w:t>
            </w:r>
          </w:p>
        </w:tc>
        <w:tc>
          <w:tcPr>
            <w:tcW w:w="1559" w:type="dxa"/>
          </w:tcPr>
          <w:p w14:paraId="4F461A39" w14:textId="0E68A5F3" w:rsidR="00610A78" w:rsidRPr="00321CFA" w:rsidRDefault="00EF39B9" w:rsidP="0067759D">
            <w:pPr>
              <w:spacing w:before="80" w:after="320"/>
            </w:pPr>
            <w:r w:rsidRPr="00321CFA">
              <w:t xml:space="preserve">Mandatory with Submission </w:t>
            </w:r>
          </w:p>
        </w:tc>
      </w:tr>
    </w:tbl>
    <w:p w14:paraId="021DA1EC" w14:textId="2C9F2C4E" w:rsidR="002A527E" w:rsidRDefault="00D2783B" w:rsidP="0067759D">
      <w:pPr>
        <w:spacing w:before="80" w:after="320"/>
        <w:rPr>
          <w:sz w:val="18"/>
        </w:rPr>
      </w:pPr>
      <w:r w:rsidRPr="0067759D">
        <w:rPr>
          <w:sz w:val="18"/>
        </w:rPr>
        <w:t xml:space="preserve">*Targets for </w:t>
      </w:r>
      <w:r w:rsidR="00490071">
        <w:rPr>
          <w:sz w:val="18"/>
        </w:rPr>
        <w:t>w</w:t>
      </w:r>
      <w:r w:rsidRPr="0067759D">
        <w:rPr>
          <w:sz w:val="18"/>
        </w:rPr>
        <w:t xml:space="preserve">omen listed </w:t>
      </w:r>
      <w:r w:rsidR="00383F05">
        <w:rPr>
          <w:sz w:val="18"/>
        </w:rPr>
        <w:t xml:space="preserve">in Table 2 </w:t>
      </w:r>
      <w:r w:rsidRPr="0067759D">
        <w:rPr>
          <w:sz w:val="18"/>
        </w:rPr>
        <w:t>are for 1 July 2025 to 30 June 2026 and increase one percentage point every financial year until 2030</w:t>
      </w:r>
      <w:r>
        <w:rPr>
          <w:sz w:val="18"/>
        </w:rPr>
        <w:t xml:space="preserve"> as outlined in Table </w:t>
      </w:r>
      <w:r w:rsidR="004E1FD8">
        <w:rPr>
          <w:sz w:val="18"/>
        </w:rPr>
        <w:t>3</w:t>
      </w:r>
      <w:r w:rsidRPr="0067759D">
        <w:rPr>
          <w:sz w:val="18"/>
        </w:rPr>
        <w:t>.</w:t>
      </w:r>
    </w:p>
    <w:p w14:paraId="51631A70" w14:textId="7711E7F9" w:rsidR="006136F0" w:rsidRDefault="006136F0" w:rsidP="006136F0">
      <w:r w:rsidRPr="00AC7D1B">
        <w:t xml:space="preserve">Targets </w:t>
      </w:r>
      <w:r>
        <w:t xml:space="preserve">for </w:t>
      </w:r>
      <w:r w:rsidR="00490071">
        <w:t>w</w:t>
      </w:r>
      <w:r>
        <w:t xml:space="preserve">omen </w:t>
      </w:r>
      <w:r w:rsidRPr="00AC7D1B">
        <w:t xml:space="preserve">are based on the project’s </w:t>
      </w:r>
      <w:r w:rsidR="00780037">
        <w:t>c</w:t>
      </w:r>
      <w:r w:rsidRPr="00AC7D1B">
        <w:t xml:space="preserve">ontract start date and increase each financial year for multi-year </w:t>
      </w:r>
      <w:r w:rsidR="00F02FF2" w:rsidRPr="00AC7D1B">
        <w:t>projects</w:t>
      </w:r>
      <w:r w:rsidR="00F02FF2">
        <w:t>;</w:t>
      </w:r>
      <w:r w:rsidR="00314F92">
        <w:t xml:space="preserve"> </w:t>
      </w:r>
      <w:hyperlink w:anchor="_Table_3_-" w:history="1">
        <w:r w:rsidR="00314F92" w:rsidRPr="00F26702">
          <w:rPr>
            <w:rStyle w:val="Hyperlink"/>
            <w:b/>
            <w:bCs/>
          </w:rPr>
          <w:t xml:space="preserve">Table </w:t>
        </w:r>
        <w:r w:rsidR="00B01106" w:rsidRPr="00F26702">
          <w:rPr>
            <w:rStyle w:val="Hyperlink"/>
            <w:b/>
            <w:bCs/>
          </w:rPr>
          <w:t>3</w:t>
        </w:r>
      </w:hyperlink>
      <w:r w:rsidR="00314F92">
        <w:t xml:space="preserve"> provides </w:t>
      </w:r>
      <w:r w:rsidR="00F02FF2">
        <w:t>more information on the increases</w:t>
      </w:r>
      <w:r w:rsidRPr="00AC7D1B">
        <w:t>.</w:t>
      </w:r>
    </w:p>
    <w:p w14:paraId="5676B46E" w14:textId="44D72F53" w:rsidR="00F26702" w:rsidRPr="006136F0" w:rsidRDefault="00F26702" w:rsidP="00F26702">
      <w:pPr>
        <w:spacing w:after="160" w:line="259" w:lineRule="auto"/>
      </w:pPr>
      <w:r>
        <w:br w:type="page"/>
      </w:r>
    </w:p>
    <w:p w14:paraId="02EDD245" w14:textId="3347BA87" w:rsidR="00E447C9" w:rsidRPr="00A6760B" w:rsidRDefault="006C5834" w:rsidP="00503CB7">
      <w:pPr>
        <w:pStyle w:val="Heading5"/>
      </w:pPr>
      <w:bookmarkStart w:id="19" w:name="_Table_3_-"/>
      <w:bookmarkEnd w:id="19"/>
      <w:r>
        <w:lastRenderedPageBreak/>
        <w:t xml:space="preserve">Table </w:t>
      </w:r>
      <w:r w:rsidR="00B01106">
        <w:t>3</w:t>
      </w:r>
      <w:r>
        <w:t xml:space="preserve"> </w:t>
      </w:r>
      <w:r w:rsidR="005C4106">
        <w:t xml:space="preserve">- </w:t>
      </w:r>
      <w:r w:rsidR="0067759D" w:rsidRPr="0067759D">
        <w:t xml:space="preserve">Annual increases of </w:t>
      </w:r>
      <w:r w:rsidR="00A443FE">
        <w:t>t</w:t>
      </w:r>
      <w:r w:rsidR="0067759D" w:rsidRPr="0067759D">
        <w:t xml:space="preserve">argets for </w:t>
      </w:r>
      <w:r w:rsidR="00490071">
        <w:t>w</w:t>
      </w:r>
      <w:r w:rsidR="0067759D" w:rsidRPr="0067759D">
        <w:t xml:space="preserve">omen working on </w:t>
      </w:r>
      <w:r w:rsidR="00490071">
        <w:t>c</w:t>
      </w:r>
      <w:r w:rsidR="0067759D" w:rsidRPr="0067759D">
        <w:t xml:space="preserve">onstruction projects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3 annual target increases for women on construction projects"/>
        <w:tblDescription w:val="Table 3 provides an overview of the increases for targets of the Overarching Apprentice Target for Women and the Trade-Specific Apprentice Target for Women. "/>
      </w:tblPr>
      <w:tblGrid>
        <w:gridCol w:w="2830"/>
        <w:gridCol w:w="2977"/>
        <w:gridCol w:w="3253"/>
      </w:tblGrid>
      <w:tr w:rsidR="0067759D" w:rsidRPr="0067759D" w14:paraId="1FC85CC5" w14:textId="77777777" w:rsidTr="00591A92">
        <w:trPr>
          <w:tblHeader/>
        </w:trPr>
        <w:tc>
          <w:tcPr>
            <w:tcW w:w="2830" w:type="dxa"/>
            <w:shd w:val="clear" w:color="auto" w:fill="A4A7A9"/>
            <w:vAlign w:val="center"/>
          </w:tcPr>
          <w:p w14:paraId="49F43C28" w14:textId="77777777" w:rsidR="0067759D" w:rsidRPr="00591A92" w:rsidRDefault="0067759D" w:rsidP="0067759D">
            <w:pPr>
              <w:spacing w:before="100" w:beforeAutospacing="1" w:after="100" w:afterAutospacing="1"/>
              <w:rPr>
                <w:rFonts w:ascii="Calibri" w:hAnsi="Calibri"/>
                <w:b/>
                <w:bCs/>
              </w:rPr>
            </w:pPr>
            <w:bookmarkStart w:id="20" w:name="_Hlk209428886"/>
            <w:r w:rsidRPr="00591A92">
              <w:rPr>
                <w:rFonts w:ascii="Calibri" w:hAnsi="Calibri"/>
                <w:b/>
                <w:bCs/>
              </w:rPr>
              <w:t xml:space="preserve">Targets apply </w:t>
            </w:r>
          </w:p>
        </w:tc>
        <w:tc>
          <w:tcPr>
            <w:tcW w:w="2977" w:type="dxa"/>
            <w:shd w:val="clear" w:color="auto" w:fill="A4A7A9"/>
            <w:vAlign w:val="center"/>
          </w:tcPr>
          <w:p w14:paraId="39B49516" w14:textId="72F5D016" w:rsidR="0067759D" w:rsidRPr="00591A92" w:rsidRDefault="0067759D" w:rsidP="0067759D">
            <w:pPr>
              <w:spacing w:before="100" w:beforeAutospacing="1" w:after="100" w:afterAutospacing="1"/>
              <w:rPr>
                <w:rFonts w:ascii="Calibri" w:hAnsi="Calibri"/>
                <w:b/>
                <w:bCs/>
              </w:rPr>
            </w:pPr>
            <w:r w:rsidRPr="00591A92">
              <w:rPr>
                <w:rFonts w:ascii="Calibri" w:hAnsi="Calibri"/>
                <w:b/>
                <w:bCs/>
              </w:rPr>
              <w:t xml:space="preserve">Overarching </w:t>
            </w:r>
            <w:r w:rsidR="00A3639E">
              <w:rPr>
                <w:rFonts w:ascii="Calibri" w:hAnsi="Calibri"/>
                <w:b/>
                <w:bCs/>
              </w:rPr>
              <w:t>a</w:t>
            </w:r>
            <w:r w:rsidRPr="00591A92">
              <w:rPr>
                <w:rFonts w:ascii="Calibri" w:hAnsi="Calibri"/>
                <w:b/>
                <w:bCs/>
              </w:rPr>
              <w:t xml:space="preserve">pprentice </w:t>
            </w:r>
            <w:r w:rsidR="00A3639E">
              <w:rPr>
                <w:rFonts w:ascii="Calibri" w:hAnsi="Calibri"/>
                <w:b/>
                <w:bCs/>
              </w:rPr>
              <w:t>t</w:t>
            </w:r>
            <w:r w:rsidRPr="00591A92">
              <w:rPr>
                <w:rFonts w:ascii="Calibri" w:hAnsi="Calibri"/>
                <w:b/>
                <w:bCs/>
              </w:rPr>
              <w:t xml:space="preserve">arget for </w:t>
            </w:r>
            <w:r w:rsidR="00A3639E">
              <w:rPr>
                <w:rFonts w:ascii="Calibri" w:hAnsi="Calibri"/>
                <w:b/>
                <w:bCs/>
              </w:rPr>
              <w:t>w</w:t>
            </w:r>
            <w:r w:rsidRPr="00591A92">
              <w:rPr>
                <w:rFonts w:ascii="Calibri" w:hAnsi="Calibri"/>
                <w:b/>
                <w:bCs/>
              </w:rPr>
              <w:t>omen</w:t>
            </w:r>
          </w:p>
        </w:tc>
        <w:tc>
          <w:tcPr>
            <w:tcW w:w="3253" w:type="dxa"/>
            <w:shd w:val="clear" w:color="auto" w:fill="A4A7A9"/>
            <w:vAlign w:val="center"/>
          </w:tcPr>
          <w:p w14:paraId="5FC83C90" w14:textId="42E3BF0A" w:rsidR="0067759D" w:rsidRPr="00591A92" w:rsidRDefault="0067759D" w:rsidP="0067759D">
            <w:pPr>
              <w:spacing w:before="100" w:beforeAutospacing="1" w:after="100" w:afterAutospacing="1"/>
              <w:rPr>
                <w:rFonts w:ascii="Calibri" w:hAnsi="Calibri"/>
                <w:b/>
                <w:bCs/>
              </w:rPr>
            </w:pPr>
            <w:r w:rsidRPr="00591A92">
              <w:rPr>
                <w:rFonts w:ascii="Calibri" w:hAnsi="Calibri"/>
                <w:b/>
                <w:bCs/>
              </w:rPr>
              <w:t xml:space="preserve">Trade-specific </w:t>
            </w:r>
            <w:r w:rsidR="00A3639E">
              <w:rPr>
                <w:rFonts w:ascii="Calibri" w:hAnsi="Calibri"/>
                <w:b/>
                <w:bCs/>
              </w:rPr>
              <w:t>a</w:t>
            </w:r>
            <w:r w:rsidRPr="00591A92">
              <w:rPr>
                <w:rFonts w:ascii="Calibri" w:hAnsi="Calibri"/>
                <w:b/>
                <w:bCs/>
              </w:rPr>
              <w:t xml:space="preserve">pprentice </w:t>
            </w:r>
            <w:r w:rsidR="00A3639E">
              <w:rPr>
                <w:rFonts w:ascii="Calibri" w:hAnsi="Calibri"/>
                <w:b/>
                <w:bCs/>
              </w:rPr>
              <w:t>t</w:t>
            </w:r>
            <w:r w:rsidRPr="00591A92">
              <w:rPr>
                <w:rFonts w:ascii="Calibri" w:hAnsi="Calibri"/>
                <w:b/>
                <w:bCs/>
              </w:rPr>
              <w:t xml:space="preserve">arget for </w:t>
            </w:r>
            <w:r w:rsidR="00A3639E">
              <w:rPr>
                <w:rFonts w:ascii="Calibri" w:hAnsi="Calibri"/>
                <w:b/>
                <w:bCs/>
              </w:rPr>
              <w:t>w</w:t>
            </w:r>
            <w:r w:rsidRPr="00591A92">
              <w:rPr>
                <w:rFonts w:ascii="Calibri" w:hAnsi="Calibri"/>
                <w:b/>
                <w:bCs/>
              </w:rPr>
              <w:t>omen</w:t>
            </w:r>
          </w:p>
        </w:tc>
      </w:tr>
      <w:bookmarkEnd w:id="20"/>
      <w:tr w:rsidR="0067759D" w:rsidRPr="0067759D" w14:paraId="18D62604" w14:textId="77777777" w:rsidTr="001732A8">
        <w:tc>
          <w:tcPr>
            <w:tcW w:w="2830" w:type="dxa"/>
          </w:tcPr>
          <w:p w14:paraId="649BC017" w14:textId="77777777" w:rsidR="0067759D" w:rsidRPr="0067759D" w:rsidRDefault="0067759D" w:rsidP="0067759D">
            <w:pPr>
              <w:spacing w:before="60" w:after="60"/>
            </w:pPr>
            <w:r w:rsidRPr="0067759D">
              <w:t>1 July 2024 to 30 June 2025</w:t>
            </w:r>
          </w:p>
        </w:tc>
        <w:tc>
          <w:tcPr>
            <w:tcW w:w="2977" w:type="dxa"/>
          </w:tcPr>
          <w:p w14:paraId="462519FB" w14:textId="77777777" w:rsidR="0067759D" w:rsidRPr="0067759D" w:rsidRDefault="0067759D" w:rsidP="0067759D">
            <w:pPr>
              <w:spacing w:before="60" w:after="60"/>
              <w:jc w:val="center"/>
            </w:pPr>
            <w:r w:rsidRPr="0067759D">
              <w:t>6%</w:t>
            </w:r>
          </w:p>
        </w:tc>
        <w:tc>
          <w:tcPr>
            <w:tcW w:w="3253" w:type="dxa"/>
          </w:tcPr>
          <w:p w14:paraId="1862940B" w14:textId="77777777" w:rsidR="0067759D" w:rsidRPr="0067759D" w:rsidRDefault="0067759D" w:rsidP="0067759D">
            <w:pPr>
              <w:spacing w:before="60" w:after="60"/>
              <w:jc w:val="center"/>
            </w:pPr>
            <w:r w:rsidRPr="0067759D">
              <w:t>4%</w:t>
            </w:r>
          </w:p>
        </w:tc>
      </w:tr>
      <w:tr w:rsidR="0067759D" w:rsidRPr="0067759D" w14:paraId="443DF58C" w14:textId="77777777" w:rsidTr="001732A8">
        <w:tc>
          <w:tcPr>
            <w:tcW w:w="2830" w:type="dxa"/>
          </w:tcPr>
          <w:p w14:paraId="6A7D2DE2" w14:textId="77777777" w:rsidR="0067759D" w:rsidRPr="0067759D" w:rsidRDefault="0067759D" w:rsidP="0067759D">
            <w:pPr>
              <w:spacing w:before="60" w:after="60"/>
            </w:pPr>
            <w:r w:rsidRPr="0067759D">
              <w:t>1 July 2025 to 30 June 2026</w:t>
            </w:r>
          </w:p>
        </w:tc>
        <w:tc>
          <w:tcPr>
            <w:tcW w:w="2977" w:type="dxa"/>
          </w:tcPr>
          <w:p w14:paraId="5F562D69" w14:textId="77777777" w:rsidR="0067759D" w:rsidRPr="0067759D" w:rsidRDefault="0067759D" w:rsidP="0067759D">
            <w:pPr>
              <w:spacing w:before="60" w:after="60"/>
              <w:jc w:val="center"/>
            </w:pPr>
            <w:r w:rsidRPr="0067759D">
              <w:t>7%</w:t>
            </w:r>
          </w:p>
        </w:tc>
        <w:tc>
          <w:tcPr>
            <w:tcW w:w="3253" w:type="dxa"/>
          </w:tcPr>
          <w:p w14:paraId="08190E15" w14:textId="77777777" w:rsidR="0067759D" w:rsidRPr="0067759D" w:rsidRDefault="0067759D" w:rsidP="0067759D">
            <w:pPr>
              <w:spacing w:before="60" w:after="60"/>
              <w:jc w:val="center"/>
            </w:pPr>
            <w:r w:rsidRPr="0067759D">
              <w:t>5%</w:t>
            </w:r>
          </w:p>
        </w:tc>
      </w:tr>
      <w:tr w:rsidR="0067759D" w:rsidRPr="0067759D" w14:paraId="7500BA79" w14:textId="77777777" w:rsidTr="001732A8">
        <w:tc>
          <w:tcPr>
            <w:tcW w:w="2830" w:type="dxa"/>
          </w:tcPr>
          <w:p w14:paraId="1801E55C" w14:textId="77777777" w:rsidR="0067759D" w:rsidRPr="0067759D" w:rsidRDefault="0067759D" w:rsidP="0067759D">
            <w:pPr>
              <w:spacing w:before="60" w:after="60"/>
            </w:pPr>
            <w:r w:rsidRPr="0067759D">
              <w:t>1 July 2026 to 30 June 2027</w:t>
            </w:r>
          </w:p>
        </w:tc>
        <w:tc>
          <w:tcPr>
            <w:tcW w:w="2977" w:type="dxa"/>
          </w:tcPr>
          <w:p w14:paraId="1BC8CAAC" w14:textId="77777777" w:rsidR="0067759D" w:rsidRPr="0067759D" w:rsidRDefault="0067759D" w:rsidP="0067759D">
            <w:pPr>
              <w:spacing w:before="60" w:after="60"/>
              <w:jc w:val="center"/>
            </w:pPr>
            <w:r w:rsidRPr="0067759D">
              <w:t>8%</w:t>
            </w:r>
          </w:p>
        </w:tc>
        <w:tc>
          <w:tcPr>
            <w:tcW w:w="3253" w:type="dxa"/>
          </w:tcPr>
          <w:p w14:paraId="0113F092" w14:textId="77777777" w:rsidR="0067759D" w:rsidRPr="0067759D" w:rsidRDefault="0067759D" w:rsidP="0067759D">
            <w:pPr>
              <w:spacing w:before="60" w:after="60"/>
              <w:jc w:val="center"/>
            </w:pPr>
            <w:r w:rsidRPr="0067759D">
              <w:t>6%</w:t>
            </w:r>
          </w:p>
        </w:tc>
      </w:tr>
      <w:tr w:rsidR="0067759D" w:rsidRPr="0067759D" w14:paraId="05B0D22F" w14:textId="77777777" w:rsidTr="001732A8">
        <w:tc>
          <w:tcPr>
            <w:tcW w:w="2830" w:type="dxa"/>
          </w:tcPr>
          <w:p w14:paraId="37FE9EF5" w14:textId="77777777" w:rsidR="0067759D" w:rsidRPr="0067759D" w:rsidRDefault="0067759D" w:rsidP="0067759D">
            <w:pPr>
              <w:spacing w:before="60" w:after="60"/>
            </w:pPr>
            <w:r w:rsidRPr="0067759D">
              <w:t>1 July 2027 to 30 June 2028</w:t>
            </w:r>
          </w:p>
        </w:tc>
        <w:tc>
          <w:tcPr>
            <w:tcW w:w="2977" w:type="dxa"/>
          </w:tcPr>
          <w:p w14:paraId="3E24EAB4" w14:textId="77777777" w:rsidR="0067759D" w:rsidRPr="0067759D" w:rsidRDefault="0067759D" w:rsidP="0067759D">
            <w:pPr>
              <w:spacing w:before="60" w:after="60"/>
              <w:jc w:val="center"/>
            </w:pPr>
            <w:r w:rsidRPr="0067759D">
              <w:t>9%</w:t>
            </w:r>
          </w:p>
        </w:tc>
        <w:tc>
          <w:tcPr>
            <w:tcW w:w="3253" w:type="dxa"/>
          </w:tcPr>
          <w:p w14:paraId="294CE318" w14:textId="77777777" w:rsidR="0067759D" w:rsidRPr="0067759D" w:rsidRDefault="0067759D" w:rsidP="0067759D">
            <w:pPr>
              <w:spacing w:before="60" w:after="60"/>
              <w:jc w:val="center"/>
            </w:pPr>
            <w:r w:rsidRPr="0067759D">
              <w:t>7%</w:t>
            </w:r>
          </w:p>
        </w:tc>
      </w:tr>
      <w:tr w:rsidR="0067759D" w:rsidRPr="0067759D" w14:paraId="4117EA30" w14:textId="77777777" w:rsidTr="001732A8">
        <w:tc>
          <w:tcPr>
            <w:tcW w:w="2830" w:type="dxa"/>
          </w:tcPr>
          <w:p w14:paraId="6B7C0CF8" w14:textId="77777777" w:rsidR="0067759D" w:rsidRPr="0067759D" w:rsidRDefault="0067759D" w:rsidP="0067759D">
            <w:pPr>
              <w:spacing w:before="60" w:after="60"/>
            </w:pPr>
            <w:r w:rsidRPr="0067759D">
              <w:t>1 July 2028 to 30 June 2029</w:t>
            </w:r>
          </w:p>
        </w:tc>
        <w:tc>
          <w:tcPr>
            <w:tcW w:w="2977" w:type="dxa"/>
          </w:tcPr>
          <w:p w14:paraId="110A7344" w14:textId="77777777" w:rsidR="0067759D" w:rsidRPr="0067759D" w:rsidRDefault="0067759D" w:rsidP="0067759D">
            <w:pPr>
              <w:spacing w:before="60" w:after="60"/>
              <w:jc w:val="center"/>
            </w:pPr>
            <w:r w:rsidRPr="0067759D">
              <w:t>10%</w:t>
            </w:r>
          </w:p>
        </w:tc>
        <w:tc>
          <w:tcPr>
            <w:tcW w:w="3253" w:type="dxa"/>
          </w:tcPr>
          <w:p w14:paraId="58F4C434" w14:textId="77777777" w:rsidR="0067759D" w:rsidRPr="0067759D" w:rsidRDefault="0067759D" w:rsidP="0067759D">
            <w:pPr>
              <w:spacing w:before="60" w:after="60"/>
              <w:jc w:val="center"/>
            </w:pPr>
            <w:r w:rsidRPr="0067759D">
              <w:t>8%</w:t>
            </w:r>
          </w:p>
        </w:tc>
      </w:tr>
      <w:tr w:rsidR="0067759D" w:rsidRPr="0067759D" w14:paraId="62438157" w14:textId="77777777" w:rsidTr="001732A8">
        <w:tc>
          <w:tcPr>
            <w:tcW w:w="2830" w:type="dxa"/>
          </w:tcPr>
          <w:p w14:paraId="4D801179" w14:textId="77777777" w:rsidR="0067759D" w:rsidRPr="0067759D" w:rsidRDefault="0067759D" w:rsidP="0067759D">
            <w:pPr>
              <w:spacing w:before="60" w:after="60"/>
            </w:pPr>
            <w:r w:rsidRPr="0067759D">
              <w:t>1 July 2029 to 30 June 2030</w:t>
            </w:r>
          </w:p>
        </w:tc>
        <w:tc>
          <w:tcPr>
            <w:tcW w:w="2977" w:type="dxa"/>
          </w:tcPr>
          <w:p w14:paraId="452B2739" w14:textId="77777777" w:rsidR="0067759D" w:rsidRPr="0067759D" w:rsidRDefault="0067759D" w:rsidP="0067759D">
            <w:pPr>
              <w:spacing w:before="60" w:after="60"/>
              <w:jc w:val="center"/>
            </w:pPr>
            <w:r w:rsidRPr="0067759D">
              <w:t>11%</w:t>
            </w:r>
          </w:p>
        </w:tc>
        <w:tc>
          <w:tcPr>
            <w:tcW w:w="3253" w:type="dxa"/>
          </w:tcPr>
          <w:p w14:paraId="238C8E80" w14:textId="77777777" w:rsidR="0067759D" w:rsidRPr="0067759D" w:rsidRDefault="0067759D" w:rsidP="0067759D">
            <w:pPr>
              <w:spacing w:before="60" w:after="60"/>
              <w:jc w:val="center"/>
            </w:pPr>
            <w:r w:rsidRPr="0067759D">
              <w:t>9%</w:t>
            </w:r>
          </w:p>
        </w:tc>
      </w:tr>
      <w:tr w:rsidR="0067759D" w:rsidRPr="0067759D" w14:paraId="277800ED" w14:textId="77777777" w:rsidTr="001732A8">
        <w:tc>
          <w:tcPr>
            <w:tcW w:w="2830" w:type="dxa"/>
          </w:tcPr>
          <w:p w14:paraId="52C5D353" w14:textId="77777777" w:rsidR="0067759D" w:rsidRPr="0067759D" w:rsidRDefault="0067759D" w:rsidP="0067759D">
            <w:pPr>
              <w:spacing w:before="60" w:after="60"/>
            </w:pPr>
            <w:r w:rsidRPr="0067759D">
              <w:t>1 July 2030 onwards</w:t>
            </w:r>
          </w:p>
        </w:tc>
        <w:tc>
          <w:tcPr>
            <w:tcW w:w="2977" w:type="dxa"/>
          </w:tcPr>
          <w:p w14:paraId="0A490680" w14:textId="77777777" w:rsidR="0067759D" w:rsidRPr="0067759D" w:rsidRDefault="0067759D" w:rsidP="0067759D">
            <w:pPr>
              <w:spacing w:before="60" w:after="60"/>
              <w:jc w:val="center"/>
            </w:pPr>
            <w:r w:rsidRPr="0067759D">
              <w:t>12%</w:t>
            </w:r>
          </w:p>
        </w:tc>
        <w:tc>
          <w:tcPr>
            <w:tcW w:w="3253" w:type="dxa"/>
          </w:tcPr>
          <w:p w14:paraId="2E8B0CD5" w14:textId="77777777" w:rsidR="0067759D" w:rsidRPr="0067759D" w:rsidRDefault="0067759D" w:rsidP="0067759D">
            <w:pPr>
              <w:spacing w:before="60" w:after="60"/>
              <w:jc w:val="center"/>
            </w:pPr>
            <w:r w:rsidRPr="0067759D">
              <w:t>10%</w:t>
            </w:r>
          </w:p>
        </w:tc>
      </w:tr>
    </w:tbl>
    <w:p w14:paraId="6BD56D4B" w14:textId="5B2EF461" w:rsidR="005C6660" w:rsidRPr="005C6660" w:rsidRDefault="005C6660" w:rsidP="00535C6B">
      <w:pPr>
        <w:pStyle w:val="Heading2"/>
      </w:pPr>
      <w:bookmarkStart w:id="21" w:name="_Toc210109805"/>
      <w:r>
        <w:t xml:space="preserve">Construction </w:t>
      </w:r>
      <w:r w:rsidRPr="00DB4248">
        <w:t>target</w:t>
      </w:r>
      <w:r w:rsidR="00222889">
        <w:t xml:space="preserve"> examples</w:t>
      </w:r>
      <w:bookmarkEnd w:id="21"/>
    </w:p>
    <w:p w14:paraId="7B3DBEA5" w14:textId="5FC7AFD9" w:rsidR="005C6660" w:rsidRPr="005C6660" w:rsidRDefault="005C6660" w:rsidP="005C6660">
      <w:pPr>
        <w:spacing w:after="0"/>
        <w:rPr>
          <w:rStyle w:val="Heading5Char"/>
          <w:bCs/>
        </w:rPr>
      </w:pPr>
      <w:r w:rsidRPr="005C6660">
        <w:rPr>
          <w:rStyle w:val="Heading5Char"/>
          <w:bCs/>
        </w:rPr>
        <w:t xml:space="preserve">Overarching </w:t>
      </w:r>
      <w:r w:rsidR="00EB3188">
        <w:rPr>
          <w:rStyle w:val="Heading5Char"/>
          <w:bCs/>
        </w:rPr>
        <w:t>a</w:t>
      </w:r>
      <w:r w:rsidRPr="005C6660">
        <w:rPr>
          <w:rStyle w:val="Heading5Char"/>
          <w:bCs/>
        </w:rPr>
        <w:t xml:space="preserve">pprentice </w:t>
      </w:r>
      <w:r w:rsidR="00EB3188">
        <w:rPr>
          <w:rStyle w:val="Heading5Char"/>
          <w:bCs/>
        </w:rPr>
        <w:t>t</w:t>
      </w:r>
      <w:r w:rsidRPr="005C6660">
        <w:rPr>
          <w:rStyle w:val="Heading5Char"/>
          <w:bCs/>
        </w:rPr>
        <w:t>arget</w:t>
      </w:r>
    </w:p>
    <w:p w14:paraId="0AC7CC23" w14:textId="12E87D1F" w:rsidR="005C6660" w:rsidRDefault="005C6660" w:rsidP="008552A7">
      <w:pPr>
        <w:pStyle w:val="ListBullet"/>
        <w:spacing w:line="276" w:lineRule="auto"/>
      </w:pPr>
      <w:r w:rsidRPr="005C6660">
        <w:rPr>
          <w:i/>
          <w:iCs/>
        </w:rPr>
        <w:t>Chapman &amp; Louey Construction</w:t>
      </w:r>
      <w:r w:rsidRPr="005C6660">
        <w:t xml:space="preserve"> has estimated that their </w:t>
      </w:r>
      <w:r w:rsidRPr="005C6660">
        <w:rPr>
          <w:b/>
          <w:bCs/>
          <w:u w:val="single"/>
        </w:rPr>
        <w:t xml:space="preserve">Major </w:t>
      </w:r>
      <w:r w:rsidR="00490071">
        <w:rPr>
          <w:b/>
          <w:bCs/>
          <w:u w:val="single"/>
        </w:rPr>
        <w:t>c</w:t>
      </w:r>
      <w:r w:rsidRPr="005C6660">
        <w:rPr>
          <w:b/>
          <w:bCs/>
          <w:u w:val="single"/>
        </w:rPr>
        <w:t xml:space="preserve">onstruction </w:t>
      </w:r>
      <w:r w:rsidR="00490071">
        <w:rPr>
          <w:b/>
          <w:bCs/>
          <w:u w:val="single"/>
        </w:rPr>
        <w:t>p</w:t>
      </w:r>
      <w:r w:rsidRPr="005C6660">
        <w:rPr>
          <w:b/>
          <w:bCs/>
          <w:u w:val="single"/>
        </w:rPr>
        <w:t>roject</w:t>
      </w:r>
      <w:r w:rsidRPr="005C6660">
        <w:t xml:space="preserve"> will require 8,000 </w:t>
      </w:r>
      <w:r w:rsidR="00CD5E0D">
        <w:t>Labour hours</w:t>
      </w:r>
      <w:r w:rsidRPr="005C6660">
        <w:t>.</w:t>
      </w:r>
    </w:p>
    <w:p w14:paraId="0C1088CA" w14:textId="3287FE31" w:rsidR="000528F7" w:rsidRPr="005C6660" w:rsidRDefault="00766D4F" w:rsidP="008552A7">
      <w:pPr>
        <w:pStyle w:val="ListBullet"/>
        <w:spacing w:line="276" w:lineRule="auto"/>
      </w:pPr>
      <w:r>
        <w:t xml:space="preserve">The </w:t>
      </w:r>
      <w:r w:rsidR="002B4C88" w:rsidRPr="00766D4F">
        <w:t xml:space="preserve">Overarching </w:t>
      </w:r>
      <w:r w:rsidR="00EB3188">
        <w:t>a</w:t>
      </w:r>
      <w:r w:rsidR="002B4C88" w:rsidRPr="00766D4F">
        <w:t xml:space="preserve">pprentice </w:t>
      </w:r>
      <w:r w:rsidR="00EB3188">
        <w:t>t</w:t>
      </w:r>
      <w:r w:rsidR="002B4C88" w:rsidRPr="00766D4F">
        <w:t>arget is calculated using the 8</w:t>
      </w:r>
      <w:r w:rsidRPr="00766D4F">
        <w:t xml:space="preserve">,000 estimated </w:t>
      </w:r>
      <w:r w:rsidR="00CD5E0D">
        <w:t>Labour hours</w:t>
      </w:r>
      <w:r w:rsidRPr="00766D4F">
        <w:t>.</w:t>
      </w:r>
    </w:p>
    <w:p w14:paraId="2DEF087F" w14:textId="2A43453C" w:rsidR="005C6660" w:rsidRPr="005C6660" w:rsidRDefault="005C6660" w:rsidP="008552A7">
      <w:pPr>
        <w:pStyle w:val="ListBullet"/>
        <w:spacing w:line="276" w:lineRule="auto"/>
      </w:pPr>
      <w:r w:rsidRPr="005C6660">
        <w:t xml:space="preserve">800 </w:t>
      </w:r>
      <w:r w:rsidR="00CD5E0D">
        <w:t>Labour hours</w:t>
      </w:r>
      <w:r w:rsidRPr="005C6660">
        <w:t xml:space="preserve"> must be undertaken by Apprentices (10% of the </w:t>
      </w:r>
      <w:r w:rsidR="00B31F24">
        <w:t xml:space="preserve">Major </w:t>
      </w:r>
      <w:r w:rsidR="007F5FA5">
        <w:t>c</w:t>
      </w:r>
      <w:r w:rsidR="00B31F24">
        <w:t xml:space="preserve">onstruction </w:t>
      </w:r>
      <w:r w:rsidR="007F5FA5">
        <w:t>p</w:t>
      </w:r>
      <w:r w:rsidR="00BD231C">
        <w:t xml:space="preserve">roject’s </w:t>
      </w:r>
      <w:r w:rsidR="00BD231C" w:rsidRPr="005C6660">
        <w:t>total</w:t>
      </w:r>
      <w:r w:rsidRPr="005C6660">
        <w:t xml:space="preserve"> estimated </w:t>
      </w:r>
      <w:r w:rsidR="00CD5E0D">
        <w:t>Labour hours</w:t>
      </w:r>
      <w:r w:rsidRPr="005C6660">
        <w:t>).</w:t>
      </w:r>
    </w:p>
    <w:p w14:paraId="32A86EA8" w14:textId="7FDDF3A1" w:rsidR="005C6660" w:rsidRPr="008552A7" w:rsidRDefault="005C6660" w:rsidP="008552A7">
      <w:pPr>
        <w:pStyle w:val="ListBullet"/>
        <w:spacing w:line="276" w:lineRule="auto"/>
      </w:pPr>
      <w:r w:rsidRPr="005C6660">
        <w:t xml:space="preserve">All reported Apprentice </w:t>
      </w:r>
      <w:r w:rsidR="00CD5E0D">
        <w:t>Labour hours</w:t>
      </w:r>
      <w:r w:rsidRPr="005C6660">
        <w:t xml:space="preserve"> are counted towards the 10% target in the reporting system.</w:t>
      </w:r>
    </w:p>
    <w:p w14:paraId="4E14ABA8" w14:textId="5B54E3DD" w:rsidR="005C6660" w:rsidRPr="005C6660" w:rsidRDefault="005C6660" w:rsidP="007D49BA">
      <w:pPr>
        <w:spacing w:after="0"/>
        <w:rPr>
          <w:rStyle w:val="Heading5Char"/>
          <w:bCs/>
        </w:rPr>
      </w:pPr>
      <w:r w:rsidRPr="005C6660">
        <w:rPr>
          <w:rStyle w:val="Heading5Char"/>
          <w:bCs/>
        </w:rPr>
        <w:t xml:space="preserve">Overarching </w:t>
      </w:r>
      <w:r w:rsidR="007F5FA5">
        <w:rPr>
          <w:rStyle w:val="Heading5Char"/>
          <w:bCs/>
        </w:rPr>
        <w:t>a</w:t>
      </w:r>
      <w:r w:rsidRPr="005C6660">
        <w:rPr>
          <w:rStyle w:val="Heading5Char"/>
          <w:bCs/>
        </w:rPr>
        <w:t xml:space="preserve">pprentice </w:t>
      </w:r>
      <w:r w:rsidR="007F5FA5">
        <w:rPr>
          <w:rStyle w:val="Heading5Char"/>
          <w:bCs/>
        </w:rPr>
        <w:t>t</w:t>
      </w:r>
      <w:r w:rsidRPr="005C6660">
        <w:rPr>
          <w:rStyle w:val="Heading5Char"/>
          <w:bCs/>
        </w:rPr>
        <w:t xml:space="preserve">arget for </w:t>
      </w:r>
      <w:r w:rsidR="007F5FA5">
        <w:rPr>
          <w:rStyle w:val="Heading5Char"/>
          <w:bCs/>
        </w:rPr>
        <w:t>w</w:t>
      </w:r>
      <w:r w:rsidRPr="005C6660">
        <w:rPr>
          <w:rStyle w:val="Heading5Char"/>
          <w:bCs/>
        </w:rPr>
        <w:t>omen</w:t>
      </w:r>
    </w:p>
    <w:p w14:paraId="0A0A377C" w14:textId="02E98942" w:rsidR="005C6660" w:rsidRPr="005C6660" w:rsidRDefault="005C6660" w:rsidP="008552A7">
      <w:pPr>
        <w:pStyle w:val="ListBullet"/>
        <w:spacing w:line="276" w:lineRule="auto"/>
      </w:pPr>
      <w:r w:rsidRPr="005C6660">
        <w:rPr>
          <w:i/>
          <w:iCs/>
        </w:rPr>
        <w:t>Chapman &amp; Louey Construction’s</w:t>
      </w:r>
      <w:r w:rsidRPr="005C6660">
        <w:t xml:space="preserve"> </w:t>
      </w:r>
      <w:r w:rsidRPr="005C6660">
        <w:rPr>
          <w:b/>
          <w:bCs/>
          <w:u w:val="single"/>
        </w:rPr>
        <w:t xml:space="preserve">Major </w:t>
      </w:r>
      <w:r w:rsidR="007F5FA5">
        <w:rPr>
          <w:b/>
          <w:bCs/>
          <w:u w:val="single"/>
        </w:rPr>
        <w:t>c</w:t>
      </w:r>
      <w:r w:rsidRPr="005C6660">
        <w:rPr>
          <w:b/>
          <w:bCs/>
          <w:u w:val="single"/>
        </w:rPr>
        <w:t xml:space="preserve">onstruction </w:t>
      </w:r>
      <w:r w:rsidR="007F5FA5">
        <w:rPr>
          <w:b/>
          <w:bCs/>
          <w:u w:val="single"/>
        </w:rPr>
        <w:t>p</w:t>
      </w:r>
      <w:r w:rsidRPr="005C6660">
        <w:rPr>
          <w:b/>
          <w:bCs/>
          <w:u w:val="single"/>
        </w:rPr>
        <w:t>roject</w:t>
      </w:r>
      <w:r w:rsidRPr="005C6660">
        <w:t xml:space="preserve"> has a </w:t>
      </w:r>
      <w:r w:rsidR="00780037">
        <w:t>c</w:t>
      </w:r>
      <w:r w:rsidRPr="005C6660">
        <w:t>ontract start date of 1 August 2025 and an end date of 30 June 2026.</w:t>
      </w:r>
    </w:p>
    <w:p w14:paraId="44FF464C" w14:textId="09F4B8B5" w:rsidR="005C6660" w:rsidRPr="005C6660" w:rsidRDefault="005C6660" w:rsidP="008552A7">
      <w:pPr>
        <w:pStyle w:val="ListBullet"/>
        <w:spacing w:line="276" w:lineRule="auto"/>
      </w:pPr>
      <w:r w:rsidRPr="005C6660">
        <w:t xml:space="preserve">The project is subject to the 2025–26 financial year targets, requiring 7% of Apprentice </w:t>
      </w:r>
      <w:r w:rsidR="00CD5E0D">
        <w:t>Labour hours</w:t>
      </w:r>
      <w:r w:rsidRPr="005C6660">
        <w:t xml:space="preserve"> to be undertaken by Women.</w:t>
      </w:r>
    </w:p>
    <w:p w14:paraId="10389892" w14:textId="2A433C1B" w:rsidR="005C6660" w:rsidRPr="005C6660" w:rsidRDefault="005C6660" w:rsidP="008552A7">
      <w:pPr>
        <w:pStyle w:val="ListBullet"/>
        <w:spacing w:line="276" w:lineRule="auto"/>
      </w:pPr>
      <w:r w:rsidRPr="005C6660">
        <w:t xml:space="preserve">If 800 Apprentice </w:t>
      </w:r>
      <w:r w:rsidR="00CD5E0D">
        <w:t>Labour hours</w:t>
      </w:r>
      <w:r w:rsidRPr="005C6660">
        <w:t xml:space="preserve"> are reported, then 56 </w:t>
      </w:r>
      <w:r w:rsidR="00CD5E0D">
        <w:t>Labour hours</w:t>
      </w:r>
      <w:r w:rsidRPr="005C6660">
        <w:t xml:space="preserve"> must be undertaken by </w:t>
      </w:r>
      <w:r w:rsidR="00A938F5">
        <w:t>w</w:t>
      </w:r>
      <w:r w:rsidRPr="005C6660">
        <w:t>omen Apprentices (7% of 800).</w:t>
      </w:r>
    </w:p>
    <w:p w14:paraId="6641CD0A" w14:textId="3A220E26" w:rsidR="005C6660" w:rsidRPr="005C6660" w:rsidRDefault="005C6660" w:rsidP="007D49BA">
      <w:pPr>
        <w:spacing w:after="0"/>
        <w:rPr>
          <w:rStyle w:val="Heading5Char"/>
          <w:bCs/>
        </w:rPr>
      </w:pPr>
      <w:r w:rsidRPr="005C6660">
        <w:rPr>
          <w:rStyle w:val="Heading5Char"/>
          <w:bCs/>
        </w:rPr>
        <w:t xml:space="preserve">Trade-specific </w:t>
      </w:r>
      <w:r w:rsidR="00444710">
        <w:rPr>
          <w:rStyle w:val="Heading5Char"/>
          <w:bCs/>
        </w:rPr>
        <w:t>a</w:t>
      </w:r>
      <w:r w:rsidRPr="005C6660">
        <w:rPr>
          <w:rStyle w:val="Heading5Char"/>
          <w:bCs/>
        </w:rPr>
        <w:t xml:space="preserve">pprentice </w:t>
      </w:r>
      <w:r w:rsidR="00444710">
        <w:rPr>
          <w:rStyle w:val="Heading5Char"/>
          <w:bCs/>
        </w:rPr>
        <w:t>t</w:t>
      </w:r>
      <w:r w:rsidRPr="005C6660">
        <w:rPr>
          <w:rStyle w:val="Heading5Char"/>
          <w:bCs/>
        </w:rPr>
        <w:t xml:space="preserve">arget for </w:t>
      </w:r>
      <w:r w:rsidR="00444710">
        <w:rPr>
          <w:rStyle w:val="Heading5Char"/>
          <w:bCs/>
        </w:rPr>
        <w:t>w</w:t>
      </w:r>
      <w:r w:rsidRPr="005C6660">
        <w:rPr>
          <w:rStyle w:val="Heading5Char"/>
          <w:bCs/>
        </w:rPr>
        <w:t>omen</w:t>
      </w:r>
    </w:p>
    <w:p w14:paraId="0563D4B9" w14:textId="4E9DAB01" w:rsidR="005C6660" w:rsidRPr="005C6660" w:rsidRDefault="005C6660" w:rsidP="007D49BA">
      <w:pPr>
        <w:pStyle w:val="ListBullet"/>
        <w:spacing w:line="276" w:lineRule="auto"/>
      </w:pPr>
      <w:r w:rsidRPr="005C6660">
        <w:rPr>
          <w:i/>
          <w:iCs/>
        </w:rPr>
        <w:t>Chapman &amp; Louey Construction</w:t>
      </w:r>
      <w:r w:rsidRPr="005C6660">
        <w:t xml:space="preserve"> estimates that 600 </w:t>
      </w:r>
      <w:r w:rsidR="00CD5E0D">
        <w:t>Labour hours</w:t>
      </w:r>
      <w:r w:rsidRPr="005C6660">
        <w:t xml:space="preserve"> will be worked by Trade Apprentices.</w:t>
      </w:r>
    </w:p>
    <w:p w14:paraId="61E479BF" w14:textId="061B38FA" w:rsidR="005C6660" w:rsidRPr="005C6660" w:rsidRDefault="005C6660" w:rsidP="007D49BA">
      <w:pPr>
        <w:pStyle w:val="ListBullet"/>
        <w:spacing w:line="276" w:lineRule="auto"/>
      </w:pPr>
      <w:r w:rsidRPr="005C6660">
        <w:t xml:space="preserve">The 2025–26 financial year target requires 5% of Trade Apprentice </w:t>
      </w:r>
      <w:r w:rsidR="00CD5E0D">
        <w:t>Labour hours</w:t>
      </w:r>
      <w:r w:rsidRPr="005C6660">
        <w:t xml:space="preserve"> to be undertaken by </w:t>
      </w:r>
      <w:r w:rsidR="00A938F5">
        <w:t>w</w:t>
      </w:r>
      <w:r w:rsidRPr="005C6660">
        <w:t>omen.</w:t>
      </w:r>
    </w:p>
    <w:p w14:paraId="2629C282" w14:textId="17DD4AF6" w:rsidR="003B1EEA" w:rsidRPr="000426E1" w:rsidRDefault="005C6660" w:rsidP="000426E1">
      <w:pPr>
        <w:pStyle w:val="ListBullet"/>
        <w:spacing w:line="276" w:lineRule="auto"/>
      </w:pPr>
      <w:r w:rsidRPr="005C6660">
        <w:t xml:space="preserve">30 </w:t>
      </w:r>
      <w:r w:rsidR="00CD5E0D">
        <w:t>Labour hours</w:t>
      </w:r>
      <w:r w:rsidRPr="005C6660">
        <w:t xml:space="preserve"> must be undertaken by </w:t>
      </w:r>
      <w:r w:rsidR="00A938F5">
        <w:t>w</w:t>
      </w:r>
      <w:r w:rsidRPr="005C6660">
        <w:t>omen Trade Apprentices (5% of 600).</w:t>
      </w:r>
    </w:p>
    <w:p w14:paraId="3BC863E8" w14:textId="77777777" w:rsidR="003A043D" w:rsidRDefault="003A043D">
      <w:pPr>
        <w:spacing w:after="160" w:line="259" w:lineRule="auto"/>
        <w:rPr>
          <w:rFonts w:ascii="Calibri" w:eastAsiaTheme="majorEastAsia" w:hAnsi="Calibri" w:cstheme="majorBidi"/>
          <w:b/>
          <w:color w:val="404246"/>
          <w:sz w:val="32"/>
          <w:szCs w:val="32"/>
        </w:rPr>
      </w:pPr>
      <w:r>
        <w:br w:type="page"/>
      </w:r>
    </w:p>
    <w:p w14:paraId="41C84AC1" w14:textId="637C9EDA" w:rsidR="0067759D" w:rsidRPr="00535C6B" w:rsidRDefault="00E36A93" w:rsidP="00535C6B">
      <w:pPr>
        <w:pStyle w:val="Heading1"/>
      </w:pPr>
      <w:bookmarkStart w:id="22" w:name="_Toc210109806"/>
      <w:r w:rsidRPr="00535C6B">
        <w:lastRenderedPageBreak/>
        <w:t>ICT target</w:t>
      </w:r>
      <w:r w:rsidR="001D4952">
        <w:t>s</w:t>
      </w:r>
      <w:bookmarkEnd w:id="22"/>
    </w:p>
    <w:p w14:paraId="750FF8BF" w14:textId="6F4B6A49" w:rsidR="003E28C0" w:rsidRPr="00C734BE" w:rsidRDefault="003E28C0" w:rsidP="00C734BE">
      <w:pPr>
        <w:pStyle w:val="ListNumber"/>
        <w:numPr>
          <w:ilvl w:val="0"/>
          <w:numId w:val="0"/>
        </w:numPr>
        <w:spacing w:after="0"/>
        <w:ind w:left="357" w:hanging="357"/>
        <w:rPr>
          <w:rFonts w:ascii="Calibri" w:eastAsiaTheme="majorEastAsia" w:hAnsi="Calibri" w:cstheme="majorBidi"/>
          <w:b/>
          <w:color w:val="5F6369"/>
        </w:rPr>
      </w:pPr>
      <w:r w:rsidRPr="00C734BE">
        <w:rPr>
          <w:rFonts w:ascii="Calibri" w:eastAsiaTheme="majorEastAsia" w:hAnsi="Calibri" w:cstheme="majorBidi"/>
          <w:b/>
          <w:color w:val="5F6369"/>
        </w:rPr>
        <w:t xml:space="preserve">Table </w:t>
      </w:r>
      <w:r w:rsidR="00B01106">
        <w:rPr>
          <w:rFonts w:ascii="Calibri" w:eastAsiaTheme="majorEastAsia" w:hAnsi="Calibri" w:cstheme="majorBidi"/>
          <w:b/>
          <w:color w:val="5F6369"/>
        </w:rPr>
        <w:t>4</w:t>
      </w:r>
      <w:r w:rsidRPr="00C734BE">
        <w:rPr>
          <w:rFonts w:ascii="Calibri" w:eastAsiaTheme="majorEastAsia" w:hAnsi="Calibri" w:cstheme="majorBidi"/>
          <w:b/>
          <w:color w:val="5F6369"/>
        </w:rPr>
        <w:t xml:space="preserve"> – PCP requirement for ICT procurement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Table 4 PCP requirements for ICT procurements "/>
        <w:tblDescription w:val="Table 4 provides an overview of the requirements for ICT procurements in scope of the PCP."/>
      </w:tblPr>
      <w:tblGrid>
        <w:gridCol w:w="2262"/>
        <w:gridCol w:w="1987"/>
        <w:gridCol w:w="2580"/>
        <w:gridCol w:w="2231"/>
      </w:tblGrid>
      <w:tr w:rsidR="00E53905" w14:paraId="26FD6347" w14:textId="3C26F97B" w:rsidTr="00382DD6">
        <w:trPr>
          <w:trHeight w:val="1057"/>
        </w:trPr>
        <w:tc>
          <w:tcPr>
            <w:tcW w:w="1248" w:type="pct"/>
            <w:shd w:val="clear" w:color="auto" w:fill="A4A7A9"/>
          </w:tcPr>
          <w:p w14:paraId="2493249B" w14:textId="77777777" w:rsidR="00E53905" w:rsidRPr="001B5C77" w:rsidRDefault="00E53905" w:rsidP="00205E7F">
            <w:pPr>
              <w:spacing w:after="100"/>
              <w:rPr>
                <w:b/>
                <w:bCs/>
              </w:rPr>
            </w:pPr>
            <w:r w:rsidRPr="001B5C77">
              <w:rPr>
                <w:b/>
                <w:bCs/>
              </w:rPr>
              <w:t>Project Type</w:t>
            </w:r>
          </w:p>
        </w:tc>
        <w:tc>
          <w:tcPr>
            <w:tcW w:w="1096" w:type="pct"/>
            <w:shd w:val="clear" w:color="auto" w:fill="A4A7A9"/>
          </w:tcPr>
          <w:p w14:paraId="3BF00E73" w14:textId="77777777" w:rsidR="00E53905" w:rsidRPr="001B5C77" w:rsidRDefault="00E53905" w:rsidP="00205E7F">
            <w:pPr>
              <w:spacing w:after="100"/>
              <w:rPr>
                <w:b/>
                <w:bCs/>
              </w:rPr>
            </w:pPr>
            <w:r w:rsidRPr="001B5C77">
              <w:rPr>
                <w:b/>
                <w:bCs/>
              </w:rPr>
              <w:t>Value Threshold</w:t>
            </w:r>
          </w:p>
        </w:tc>
        <w:tc>
          <w:tcPr>
            <w:tcW w:w="1424" w:type="pct"/>
            <w:shd w:val="clear" w:color="auto" w:fill="A4A7A9"/>
          </w:tcPr>
          <w:p w14:paraId="036717D7" w14:textId="464E28BB" w:rsidR="00E53905" w:rsidRPr="001B5C77" w:rsidRDefault="00622192" w:rsidP="00205E7F">
            <w:pPr>
              <w:spacing w:after="100"/>
              <w:rPr>
                <w:b/>
                <w:bCs/>
              </w:rPr>
            </w:pPr>
            <w:r>
              <w:rPr>
                <w:b/>
                <w:bCs/>
              </w:rPr>
              <w:t xml:space="preserve">Negotiated </w:t>
            </w:r>
            <w:r w:rsidR="00E53905" w:rsidRPr="001B5C77">
              <w:rPr>
                <w:b/>
                <w:bCs/>
              </w:rPr>
              <w:t>Target</w:t>
            </w:r>
            <w:r>
              <w:rPr>
                <w:b/>
                <w:bCs/>
              </w:rPr>
              <w:t xml:space="preserve"> on project-by project basis</w:t>
            </w:r>
          </w:p>
        </w:tc>
        <w:tc>
          <w:tcPr>
            <w:tcW w:w="1231" w:type="pct"/>
            <w:shd w:val="clear" w:color="auto" w:fill="A4A7A9"/>
          </w:tcPr>
          <w:p w14:paraId="75CBD027" w14:textId="77777777" w:rsidR="00E53905" w:rsidRPr="001B5C77" w:rsidRDefault="00E53905" w:rsidP="00205E7F">
            <w:pPr>
              <w:spacing w:after="100"/>
              <w:rPr>
                <w:b/>
                <w:bCs/>
              </w:rPr>
            </w:pPr>
            <w:r w:rsidRPr="001B5C77">
              <w:rPr>
                <w:b/>
                <w:bCs/>
              </w:rPr>
              <w:t>Gender Equality Action Plan</w:t>
            </w:r>
          </w:p>
        </w:tc>
      </w:tr>
      <w:tr w:rsidR="00E53905" w14:paraId="34A62FC9" w14:textId="749C02CF" w:rsidTr="00382DD6">
        <w:trPr>
          <w:trHeight w:val="1369"/>
        </w:trPr>
        <w:tc>
          <w:tcPr>
            <w:tcW w:w="1248" w:type="pct"/>
            <w:shd w:val="clear" w:color="auto" w:fill="7A9F4C"/>
          </w:tcPr>
          <w:p w14:paraId="61D65F0D" w14:textId="385271B5" w:rsidR="00E53905" w:rsidRPr="00321CFA" w:rsidRDefault="00E53905" w:rsidP="00205E7F">
            <w:pPr>
              <w:spacing w:before="80" w:after="320"/>
              <w:rPr>
                <w:b/>
                <w:bCs/>
              </w:rPr>
            </w:pPr>
            <w:r w:rsidRPr="00321CFA">
              <w:rPr>
                <w:b/>
                <w:bCs/>
              </w:rPr>
              <w:t xml:space="preserve">Major </w:t>
            </w:r>
            <w:r>
              <w:rPr>
                <w:b/>
                <w:bCs/>
              </w:rPr>
              <w:t>ICT</w:t>
            </w:r>
            <w:r w:rsidRPr="00321CFA">
              <w:rPr>
                <w:b/>
                <w:bCs/>
              </w:rPr>
              <w:t xml:space="preserve"> </w:t>
            </w:r>
            <w:r w:rsidR="00444710">
              <w:rPr>
                <w:b/>
                <w:bCs/>
              </w:rPr>
              <w:t>p</w:t>
            </w:r>
            <w:r w:rsidRPr="00321CFA">
              <w:rPr>
                <w:b/>
                <w:bCs/>
              </w:rPr>
              <w:t>roject</w:t>
            </w:r>
          </w:p>
        </w:tc>
        <w:tc>
          <w:tcPr>
            <w:tcW w:w="1096" w:type="pct"/>
          </w:tcPr>
          <w:p w14:paraId="780961C4" w14:textId="77777777" w:rsidR="00E53905" w:rsidRPr="00321CFA" w:rsidRDefault="00E53905" w:rsidP="00205E7F">
            <w:pPr>
              <w:spacing w:before="80" w:after="320"/>
            </w:pPr>
            <w:r w:rsidRPr="00321CFA">
              <w:t>$10 million or more</w:t>
            </w:r>
          </w:p>
        </w:tc>
        <w:tc>
          <w:tcPr>
            <w:tcW w:w="1424" w:type="pct"/>
          </w:tcPr>
          <w:p w14:paraId="1AF89990" w14:textId="29CD1BB2" w:rsidR="00E53905" w:rsidRPr="00321CFA" w:rsidRDefault="00382DD6" w:rsidP="00FA4D04">
            <w:pPr>
              <w:spacing w:before="80" w:after="0"/>
            </w:pPr>
            <w:r>
              <w:t xml:space="preserve">Negotiated and agreed </w:t>
            </w:r>
            <w:r w:rsidR="00CD5E0D">
              <w:t>Labour hours</w:t>
            </w:r>
            <w:r w:rsidR="00E53905">
              <w:t xml:space="preserve"> </w:t>
            </w:r>
            <w:r>
              <w:t xml:space="preserve">undertaken </w:t>
            </w:r>
            <w:r w:rsidR="00E53905">
              <w:t>by ICT cadets</w:t>
            </w:r>
            <w:r>
              <w:t xml:space="preserve">, </w:t>
            </w:r>
            <w:r w:rsidR="00E53905">
              <w:t>Apprentices</w:t>
            </w:r>
            <w:r>
              <w:t xml:space="preserve"> and </w:t>
            </w:r>
            <w:r w:rsidR="00A938F5">
              <w:t>w</w:t>
            </w:r>
            <w:r>
              <w:t>omen</w:t>
            </w:r>
            <w:r w:rsidR="001E0671">
              <w:t xml:space="preserve">, based on workforce information provided </w:t>
            </w:r>
            <w:r w:rsidR="007369A0">
              <w:t>by Potential suppliers</w:t>
            </w:r>
            <w:r>
              <w:t>.</w:t>
            </w:r>
          </w:p>
        </w:tc>
        <w:tc>
          <w:tcPr>
            <w:tcW w:w="1231" w:type="pct"/>
          </w:tcPr>
          <w:p w14:paraId="51E40BD1" w14:textId="77777777" w:rsidR="00E53905" w:rsidRPr="00321CFA" w:rsidRDefault="00E53905" w:rsidP="00205E7F">
            <w:pPr>
              <w:spacing w:before="80" w:after="320"/>
            </w:pPr>
            <w:r w:rsidRPr="00321CFA">
              <w:t>Voluntary with Submission</w:t>
            </w:r>
          </w:p>
        </w:tc>
      </w:tr>
    </w:tbl>
    <w:p w14:paraId="5F554DDC" w14:textId="77777777" w:rsidR="009B4EB3" w:rsidRDefault="009B4EB3" w:rsidP="00F70B17">
      <w:pPr>
        <w:spacing w:before="240"/>
      </w:pPr>
      <w:r>
        <w:t>If the Relevant entity has determined it is reasonable for ICT targets to be applied to a Major ICT project, the Potential supplier should include the following information in their Submission:</w:t>
      </w:r>
    </w:p>
    <w:p w14:paraId="6698D014" w14:textId="6B31F08D" w:rsidR="009B4EB3" w:rsidRDefault="009B4EB3" w:rsidP="009B4EB3">
      <w:pPr>
        <w:pStyle w:val="ListParagraph"/>
        <w:numPr>
          <w:ilvl w:val="0"/>
          <w:numId w:val="11"/>
        </w:numPr>
        <w:spacing w:line="276" w:lineRule="auto"/>
        <w:ind w:left="284" w:hanging="284"/>
      </w:pPr>
      <w:r>
        <w:t xml:space="preserve">proposed targets for the life of the contract that demonstrate an increase in the proportion of apprentices and ICT cadets engaged in the workforce, </w:t>
      </w:r>
    </w:p>
    <w:p w14:paraId="0F738355" w14:textId="1EA0C200" w:rsidR="009B4EB3" w:rsidRDefault="009B4EB3" w:rsidP="009B4EB3">
      <w:pPr>
        <w:pStyle w:val="ListParagraph"/>
        <w:numPr>
          <w:ilvl w:val="0"/>
          <w:numId w:val="11"/>
        </w:numPr>
        <w:spacing w:line="276" w:lineRule="auto"/>
        <w:ind w:left="284" w:hanging="284"/>
      </w:pPr>
      <w:r>
        <w:t>up-to-date workforce data on which the proposed targets are based,</w:t>
      </w:r>
    </w:p>
    <w:p w14:paraId="5D821537" w14:textId="4E63C917" w:rsidR="009B4EB3" w:rsidRDefault="009B4EB3" w:rsidP="009B4EB3">
      <w:pPr>
        <w:pStyle w:val="ListParagraph"/>
        <w:numPr>
          <w:ilvl w:val="0"/>
          <w:numId w:val="11"/>
        </w:numPr>
        <w:spacing w:line="276" w:lineRule="auto"/>
        <w:ind w:left="284" w:hanging="284"/>
      </w:pPr>
      <w:r>
        <w:t xml:space="preserve">an outline of why the targets </w:t>
      </w:r>
      <w:proofErr w:type="gramStart"/>
      <w:r>
        <w:t>have</w:t>
      </w:r>
      <w:proofErr w:type="gramEnd"/>
      <w:r>
        <w:t xml:space="preserve"> been set at the proposed level,</w:t>
      </w:r>
    </w:p>
    <w:p w14:paraId="6274C7CE" w14:textId="0B13F0AF" w:rsidR="009B4EB3" w:rsidRDefault="009B4EB3" w:rsidP="009B4EB3">
      <w:pPr>
        <w:pStyle w:val="ListParagraph"/>
        <w:numPr>
          <w:ilvl w:val="0"/>
          <w:numId w:val="11"/>
        </w:numPr>
        <w:spacing w:line="276" w:lineRule="auto"/>
        <w:ind w:left="284" w:hanging="284"/>
      </w:pPr>
      <w:r>
        <w:t>propose a target specifying the number of Labour hours that will be undertaken by Apprentices and ICT cadets, and</w:t>
      </w:r>
    </w:p>
    <w:p w14:paraId="0126A2C1" w14:textId="399754A3" w:rsidR="009B4EB3" w:rsidRPr="00321BA9" w:rsidRDefault="009B4EB3" w:rsidP="009B4EB3">
      <w:pPr>
        <w:pStyle w:val="ListParagraph"/>
        <w:numPr>
          <w:ilvl w:val="0"/>
          <w:numId w:val="11"/>
        </w:numPr>
        <w:spacing w:line="276" w:lineRule="auto"/>
        <w:ind w:left="284" w:hanging="284"/>
      </w:pPr>
      <w:r>
        <w:t>propose a target specifying the number of Labour hours that will be undertaken by women Apprentices and ICT cadets.</w:t>
      </w:r>
    </w:p>
    <w:p w14:paraId="057D2155" w14:textId="4DB9B832" w:rsidR="008A5602" w:rsidRPr="00A04CE2" w:rsidRDefault="00A04CE2" w:rsidP="008A5602">
      <w:pPr>
        <w:pStyle w:val="Heading2"/>
      </w:pPr>
      <w:bookmarkStart w:id="23" w:name="_Toc210109807"/>
      <w:r w:rsidRPr="00A04CE2">
        <w:t>E</w:t>
      </w:r>
      <w:r w:rsidR="00222889" w:rsidRPr="00A04CE2">
        <w:t>xample</w:t>
      </w:r>
      <w:r w:rsidRPr="00A04CE2">
        <w:t xml:space="preserve"> </w:t>
      </w:r>
      <w:r>
        <w:t xml:space="preserve">showing </w:t>
      </w:r>
      <w:r w:rsidRPr="00A04CE2">
        <w:t xml:space="preserve">how </w:t>
      </w:r>
      <w:r w:rsidR="008A5602" w:rsidRPr="00A04CE2">
        <w:t>to</w:t>
      </w:r>
      <w:r w:rsidR="008A5602">
        <w:t xml:space="preserve"> work out if a </w:t>
      </w:r>
      <w:r>
        <w:t>S</w:t>
      </w:r>
      <w:r w:rsidR="008A5602">
        <w:t xml:space="preserve">upplier has met their proposed </w:t>
      </w:r>
      <w:r>
        <w:t xml:space="preserve">ICT </w:t>
      </w:r>
      <w:r w:rsidR="008A5602">
        <w:t>targets</w:t>
      </w:r>
      <w:bookmarkEnd w:id="23"/>
    </w:p>
    <w:p w14:paraId="2C745F1F" w14:textId="03609729" w:rsidR="008A5602" w:rsidRDefault="008A5602" w:rsidP="008A5602">
      <w:r>
        <w:t xml:space="preserve">Company B proposed an </w:t>
      </w:r>
      <w:r w:rsidR="00A04CE2">
        <w:t>o</w:t>
      </w:r>
      <w:r>
        <w:t xml:space="preserve">verarching </w:t>
      </w:r>
      <w:r w:rsidR="00BB5B4C">
        <w:t>A</w:t>
      </w:r>
      <w:r>
        <w:t xml:space="preserve">pprentice and ICT cadet target of 10% and an </w:t>
      </w:r>
      <w:r w:rsidR="00BB5B4C">
        <w:t>A</w:t>
      </w:r>
      <w:r>
        <w:t xml:space="preserve">pprentice and ICT cadet target for </w:t>
      </w:r>
      <w:r w:rsidR="00BB5B4C">
        <w:t>W</w:t>
      </w:r>
      <w:r>
        <w:t>omen of 30%.</w:t>
      </w:r>
    </w:p>
    <w:p w14:paraId="0771E64E" w14:textId="0C12C621" w:rsidR="008A5602" w:rsidRDefault="008A5602" w:rsidP="008A5602">
      <w:pPr>
        <w:pStyle w:val="ListBullet"/>
      </w:pPr>
      <w:r>
        <w:t xml:space="preserve">Company B estimated the total </w:t>
      </w:r>
      <w:r w:rsidR="00BB5B4C">
        <w:t>L</w:t>
      </w:r>
      <w:r>
        <w:t xml:space="preserve">abour hours for their </w:t>
      </w:r>
      <w:r w:rsidR="00BB5B4C">
        <w:t>M</w:t>
      </w:r>
      <w:r>
        <w:t>ajor ICT project would be 30,000.</w:t>
      </w:r>
    </w:p>
    <w:p w14:paraId="379D0119" w14:textId="3914FE87" w:rsidR="008A5602" w:rsidRDefault="008A5602" w:rsidP="008A5602">
      <w:pPr>
        <w:pStyle w:val="ListBullet"/>
      </w:pPr>
      <w:r>
        <w:t xml:space="preserve">To meet their overarching 10% target, Company B would need 3,000 </w:t>
      </w:r>
      <w:r w:rsidR="00BB5B4C">
        <w:t>L</w:t>
      </w:r>
      <w:r>
        <w:t xml:space="preserve">abour hours (30,000 x 0.1 = 3,000) to be undertaken by </w:t>
      </w:r>
      <w:r w:rsidR="00BB5B4C">
        <w:t>A</w:t>
      </w:r>
      <w:r>
        <w:t>pprentices and ICT cadets</w:t>
      </w:r>
      <w:r w:rsidR="00BB5B4C">
        <w:t>.</w:t>
      </w:r>
      <w:r>
        <w:t xml:space="preserve"> </w:t>
      </w:r>
    </w:p>
    <w:p w14:paraId="007EA5F1" w14:textId="36317763" w:rsidR="003951EC" w:rsidRPr="00924A40" w:rsidRDefault="008A5602" w:rsidP="003951EC">
      <w:pPr>
        <w:pStyle w:val="ListBullet"/>
      </w:pPr>
      <w:r>
        <w:t xml:space="preserve">To meet their apprentice and ICT cadet target for women of 30%, Company B would need 900 </w:t>
      </w:r>
      <w:r w:rsidR="00BB5B4C">
        <w:t>L</w:t>
      </w:r>
      <w:r>
        <w:t xml:space="preserve">abour hours (3,000 x 0.3 = 900) to be undertaken by </w:t>
      </w:r>
      <w:r w:rsidR="00A938F5">
        <w:t>w</w:t>
      </w:r>
      <w:r>
        <w:t xml:space="preserve">omen </w:t>
      </w:r>
      <w:r w:rsidR="00BB5B4C">
        <w:t>A</w:t>
      </w:r>
      <w:r>
        <w:t>pprentices and ICT cadets</w:t>
      </w:r>
      <w:r w:rsidR="00BB5B4C">
        <w:t>.</w:t>
      </w:r>
    </w:p>
    <w:p w14:paraId="12CBC150" w14:textId="77777777" w:rsidR="00225FE4" w:rsidRDefault="00225FE4">
      <w:pPr>
        <w:spacing w:after="160" w:line="259" w:lineRule="auto"/>
        <w:rPr>
          <w:rFonts w:ascii="Calibri" w:eastAsiaTheme="majorEastAsia" w:hAnsi="Calibri" w:cstheme="majorBidi"/>
          <w:b/>
          <w:color w:val="404246"/>
          <w:sz w:val="32"/>
          <w:szCs w:val="32"/>
        </w:rPr>
      </w:pPr>
      <w:r>
        <w:br w:type="page"/>
      </w:r>
    </w:p>
    <w:p w14:paraId="4300B037" w14:textId="70FC1C04" w:rsidR="00020B0E" w:rsidRPr="00535C6B" w:rsidRDefault="00B9776B" w:rsidP="00535C6B">
      <w:pPr>
        <w:pStyle w:val="Heading1"/>
      </w:pPr>
      <w:bookmarkStart w:id="24" w:name="_Toc210109808"/>
      <w:r w:rsidRPr="00535C6B">
        <w:lastRenderedPageBreak/>
        <w:t xml:space="preserve">Skills Guarantee </w:t>
      </w:r>
      <w:r w:rsidR="00020B0E" w:rsidRPr="00535C6B">
        <w:t>Model Clauses</w:t>
      </w:r>
      <w:bookmarkEnd w:id="24"/>
    </w:p>
    <w:p w14:paraId="41079EDE" w14:textId="5F67837B" w:rsidR="00B9776B" w:rsidRDefault="00B9776B" w:rsidP="00F7741F">
      <w:pPr>
        <w:spacing w:after="0"/>
      </w:pPr>
      <w:r>
        <w:t xml:space="preserve">The Skills Guarantee Model Clauses are designed to help </w:t>
      </w:r>
      <w:r w:rsidR="00E723C1">
        <w:t>n</w:t>
      </w:r>
      <w:r>
        <w:t xml:space="preserve">on-Corporate Commonwealth Entities </w:t>
      </w:r>
      <w:r w:rsidR="00510D46">
        <w:t>and p</w:t>
      </w:r>
      <w:r w:rsidR="003F03A2">
        <w:t xml:space="preserve">rescribed corporate Commonwealth entities listed in Section 30 of the </w:t>
      </w:r>
      <w:r w:rsidR="00F23AC7" w:rsidRPr="00D436BA">
        <w:rPr>
          <w:i/>
        </w:rPr>
        <w:t>Public Governance, Performance and Accountability Rule 2014</w:t>
      </w:r>
      <w:r w:rsidR="00F23AC7" w:rsidRPr="00D436BA">
        <w:t xml:space="preserve"> </w:t>
      </w:r>
      <w:r w:rsidR="00F23AC7">
        <w:t>(</w:t>
      </w:r>
      <w:r w:rsidR="003F03A2">
        <w:t>PGPA</w:t>
      </w:r>
      <w:r w:rsidR="00F23AC7">
        <w:t>)</w:t>
      </w:r>
      <w:r w:rsidR="00B458F7">
        <w:t xml:space="preserve"> </w:t>
      </w:r>
      <w:r>
        <w:t>meet both:</w:t>
      </w:r>
    </w:p>
    <w:p w14:paraId="5C6682D6" w14:textId="77777777" w:rsidR="00B9776B" w:rsidRDefault="00B9776B" w:rsidP="00267FD8">
      <w:pPr>
        <w:pStyle w:val="ListParagraph"/>
        <w:numPr>
          <w:ilvl w:val="0"/>
          <w:numId w:val="11"/>
        </w:numPr>
        <w:spacing w:line="276" w:lineRule="auto"/>
        <w:ind w:left="284" w:hanging="284"/>
      </w:pPr>
      <w:r>
        <w:t xml:space="preserve">Mandatory requirements, and </w:t>
      </w:r>
    </w:p>
    <w:p w14:paraId="63B643ED" w14:textId="77777777" w:rsidR="00B9776B" w:rsidRDefault="00B9776B" w:rsidP="00267FD8">
      <w:pPr>
        <w:pStyle w:val="ListParagraph"/>
        <w:numPr>
          <w:ilvl w:val="0"/>
          <w:numId w:val="11"/>
        </w:numPr>
        <w:spacing w:line="276" w:lineRule="auto"/>
        <w:ind w:left="284" w:hanging="284"/>
      </w:pPr>
      <w:r>
        <w:t xml:space="preserve">Optional provisions outlined in the PCP. </w:t>
      </w:r>
    </w:p>
    <w:p w14:paraId="2087B373" w14:textId="7E408C5F" w:rsidR="00E723C1" w:rsidRDefault="00E723C1" w:rsidP="00E723C1">
      <w:pPr>
        <w:spacing w:after="0"/>
      </w:pPr>
      <w:r>
        <w:t xml:space="preserve">The Skills Guarantee Model Clauses are </w:t>
      </w:r>
      <w:r w:rsidR="00264775">
        <w:t xml:space="preserve">the mechanism to </w:t>
      </w:r>
      <w:r w:rsidR="003556EE">
        <w:t>give effect to</w:t>
      </w:r>
      <w:r w:rsidR="000321B5">
        <w:t xml:space="preserve"> the PCP </w:t>
      </w:r>
      <w:r w:rsidR="003556EE">
        <w:t>by applying to</w:t>
      </w:r>
      <w:r w:rsidR="00520645">
        <w:t>:</w:t>
      </w:r>
    </w:p>
    <w:p w14:paraId="10FC0265" w14:textId="6EDE5899" w:rsidR="00E723C1" w:rsidRDefault="00E723C1" w:rsidP="00267FD8">
      <w:pPr>
        <w:pStyle w:val="ListParagraph"/>
        <w:numPr>
          <w:ilvl w:val="0"/>
          <w:numId w:val="11"/>
        </w:numPr>
        <w:spacing w:line="276" w:lineRule="auto"/>
        <w:ind w:left="284" w:hanging="284"/>
      </w:pPr>
      <w:r>
        <w:t xml:space="preserve">Approach to </w:t>
      </w:r>
      <w:r w:rsidR="00780037">
        <w:t>m</w:t>
      </w:r>
      <w:r>
        <w:t>arket (ATM) documentation</w:t>
      </w:r>
      <w:r w:rsidR="00466E40">
        <w:t>,</w:t>
      </w:r>
      <w:r>
        <w:t xml:space="preserve"> </w:t>
      </w:r>
    </w:p>
    <w:p w14:paraId="2EF49856" w14:textId="588E93D0" w:rsidR="00E723C1" w:rsidRDefault="00FF28F5" w:rsidP="00267FD8">
      <w:pPr>
        <w:pStyle w:val="ListParagraph"/>
        <w:numPr>
          <w:ilvl w:val="0"/>
          <w:numId w:val="11"/>
        </w:numPr>
        <w:spacing w:line="276" w:lineRule="auto"/>
        <w:ind w:left="284" w:hanging="284"/>
      </w:pPr>
      <w:r>
        <w:t>p</w:t>
      </w:r>
      <w:r w:rsidR="00E723C1">
        <w:t xml:space="preserve">anel and </w:t>
      </w:r>
      <w:r w:rsidR="00780037">
        <w:t>s</w:t>
      </w:r>
      <w:r w:rsidR="00E723C1">
        <w:t xml:space="preserve">tanding </w:t>
      </w:r>
      <w:r w:rsidR="00780037">
        <w:t>o</w:t>
      </w:r>
      <w:r w:rsidR="00E723C1">
        <w:t xml:space="preserve">ffer documentation, and </w:t>
      </w:r>
    </w:p>
    <w:p w14:paraId="3705E95C" w14:textId="7E7DCCFA" w:rsidR="000A35D8" w:rsidRDefault="00FF28F5" w:rsidP="00267FD8">
      <w:pPr>
        <w:pStyle w:val="ListParagraph"/>
        <w:numPr>
          <w:ilvl w:val="0"/>
          <w:numId w:val="11"/>
        </w:numPr>
        <w:spacing w:line="276" w:lineRule="auto"/>
        <w:ind w:left="284" w:hanging="284"/>
      </w:pPr>
      <w:r>
        <w:t>c</w:t>
      </w:r>
      <w:r w:rsidR="00E723C1">
        <w:t xml:space="preserve">ontracts where the procurement has been determined as an </w:t>
      </w:r>
      <w:r w:rsidR="00807BA9">
        <w:t>Eligible project</w:t>
      </w:r>
      <w:r w:rsidR="00E723C1">
        <w:t xml:space="preserve"> for the PCP. </w:t>
      </w:r>
    </w:p>
    <w:p w14:paraId="2380265C" w14:textId="28151427" w:rsidR="00311D32" w:rsidRPr="006851E3" w:rsidRDefault="006851E3" w:rsidP="00311D32">
      <w:pPr>
        <w:pStyle w:val="Heading2"/>
        <w:rPr>
          <w:color w:val="5D7A38"/>
        </w:rPr>
      </w:pPr>
      <w:bookmarkStart w:id="25" w:name="_Toc210109809"/>
      <w:r w:rsidRPr="006851E3">
        <w:rPr>
          <w:rFonts w:ascii="Segoe UI Emoji" w:eastAsia="Times New Roman" w:hAnsi="Segoe UI Emoji" w:cs="Segoe UI Emoji"/>
          <w:color w:val="5D7A38"/>
          <w:sz w:val="24"/>
          <w:szCs w:val="24"/>
          <w:lang w:eastAsia="en-AU"/>
        </w:rPr>
        <w:t>📌</w:t>
      </w:r>
      <w:r w:rsidRPr="006851E3">
        <w:rPr>
          <w:color w:val="5D7A38"/>
        </w:rPr>
        <w:t xml:space="preserve"> </w:t>
      </w:r>
      <w:r w:rsidR="00311D32" w:rsidRPr="006851E3">
        <w:rPr>
          <w:color w:val="5D7A38"/>
        </w:rPr>
        <w:t xml:space="preserve">Actions for </w:t>
      </w:r>
      <w:r w:rsidR="0069799B">
        <w:rPr>
          <w:color w:val="5D7A38"/>
        </w:rPr>
        <w:t>Relevant entities</w:t>
      </w:r>
      <w:bookmarkEnd w:id="25"/>
      <w:r w:rsidR="00311D32" w:rsidRPr="006851E3">
        <w:rPr>
          <w:color w:val="5D7A38"/>
        </w:rPr>
        <w:t xml:space="preserve"> </w:t>
      </w:r>
    </w:p>
    <w:p w14:paraId="02279596" w14:textId="655F5323" w:rsidR="00BD231C" w:rsidRPr="00AF0E89" w:rsidRDefault="00B9776B" w:rsidP="00B9776B">
      <w:r w:rsidRPr="008812D6">
        <w:t xml:space="preserve">For further guidance, refer to the </w:t>
      </w:r>
      <w:hyperlink r:id="rId21" w:history="1">
        <w:r w:rsidRPr="00AF0E89">
          <w:rPr>
            <w:rStyle w:val="Hyperlink"/>
          </w:rPr>
          <w:t>Guidance for Using Model Clauses for Commonwealth Contracting Agencies Version 1.</w:t>
        </w:r>
        <w:r w:rsidR="00081024" w:rsidRPr="00AF0E89">
          <w:rPr>
            <w:rStyle w:val="Hyperlink"/>
          </w:rPr>
          <w:t>3</w:t>
        </w:r>
        <w:r w:rsidRPr="00AF0E89">
          <w:rPr>
            <w:rStyle w:val="Hyperlink"/>
          </w:rPr>
          <w:t>, available on GovTEAMS</w:t>
        </w:r>
      </w:hyperlink>
      <w:r w:rsidRPr="00AF0E89">
        <w:t>.</w:t>
      </w:r>
    </w:p>
    <w:p w14:paraId="2F0D3AA6" w14:textId="0FE8A5C0" w:rsidR="00020B0E" w:rsidRDefault="00B31151" w:rsidP="00535C6B">
      <w:pPr>
        <w:pStyle w:val="Heading1"/>
      </w:pPr>
      <w:bookmarkStart w:id="26" w:name="_Toc210109810"/>
      <w:r>
        <w:t>P</w:t>
      </w:r>
      <w:r w:rsidR="00B12002">
        <w:t>rivacy</w:t>
      </w:r>
      <w:bookmarkEnd w:id="26"/>
    </w:p>
    <w:p w14:paraId="795F96A1" w14:textId="600BBBA6" w:rsidR="00B9776B" w:rsidRPr="00535C6B" w:rsidRDefault="00B9776B" w:rsidP="00AF0E89">
      <w:pPr>
        <w:pStyle w:val="Heading2"/>
        <w:spacing w:before="0"/>
      </w:pPr>
      <w:bookmarkStart w:id="27" w:name="_Toc210109811"/>
      <w:r w:rsidRPr="00535C6B">
        <w:t xml:space="preserve">Consent </w:t>
      </w:r>
      <w:r w:rsidR="00B31151" w:rsidRPr="00535C6B">
        <w:t>R</w:t>
      </w:r>
      <w:r w:rsidRPr="00535C6B">
        <w:t xml:space="preserve">equirements and </w:t>
      </w:r>
      <w:r w:rsidR="00B31151" w:rsidRPr="00535C6B">
        <w:t>P</w:t>
      </w:r>
      <w:r w:rsidRPr="00535C6B">
        <w:t xml:space="preserve">rivacy </w:t>
      </w:r>
      <w:r w:rsidR="00B31151" w:rsidRPr="00535C6B">
        <w:t>C</w:t>
      </w:r>
      <w:r w:rsidRPr="00535C6B">
        <w:t>onsiderations</w:t>
      </w:r>
      <w:bookmarkEnd w:id="27"/>
    </w:p>
    <w:p w14:paraId="6322961C" w14:textId="206F231A" w:rsidR="00B9776B" w:rsidRPr="008812D6" w:rsidRDefault="00B9776B" w:rsidP="005117A2">
      <w:pPr>
        <w:spacing w:after="0"/>
      </w:pPr>
      <w:r w:rsidRPr="008812D6">
        <w:t>Contracts within scope of PCP must include either:</w:t>
      </w:r>
    </w:p>
    <w:p w14:paraId="40E59CE5" w14:textId="5E9C1CDB" w:rsidR="00B9776B" w:rsidRPr="005117A2" w:rsidRDefault="00FF28F5" w:rsidP="00AF0E89">
      <w:pPr>
        <w:pStyle w:val="ListParagraph"/>
        <w:numPr>
          <w:ilvl w:val="0"/>
          <w:numId w:val="11"/>
        </w:numPr>
        <w:spacing w:line="276" w:lineRule="auto"/>
        <w:ind w:left="284" w:hanging="284"/>
      </w:pPr>
      <w:r>
        <w:t>r</w:t>
      </w:r>
      <w:r w:rsidR="00B9776B" w:rsidRPr="005117A2">
        <w:t>elevant Australian Skills Guarantee Model Clauses, or</w:t>
      </w:r>
    </w:p>
    <w:p w14:paraId="43C0C62C" w14:textId="31EB37DA" w:rsidR="00B9776B" w:rsidRPr="005117A2" w:rsidRDefault="00FF28F5" w:rsidP="00AF0E89">
      <w:pPr>
        <w:pStyle w:val="ListParagraph"/>
        <w:numPr>
          <w:ilvl w:val="0"/>
          <w:numId w:val="11"/>
        </w:numPr>
        <w:spacing w:line="276" w:lineRule="auto"/>
        <w:ind w:left="284" w:hanging="284"/>
      </w:pPr>
      <w:r>
        <w:t>e</w:t>
      </w:r>
      <w:r w:rsidR="00B9776B" w:rsidRPr="005117A2">
        <w:t>quivalent terms and conditions that secure the necessary consents.</w:t>
      </w:r>
    </w:p>
    <w:p w14:paraId="557F5CAD" w14:textId="0B6BFEC7" w:rsidR="00B9776B" w:rsidRPr="005117A2" w:rsidRDefault="00B9776B" w:rsidP="005117A2">
      <w:pPr>
        <w:spacing w:after="0"/>
      </w:pPr>
      <w:r w:rsidRPr="005117A2">
        <w:t xml:space="preserve">These consents enable the </w:t>
      </w:r>
      <w:r w:rsidR="007D08CE">
        <w:t xml:space="preserve">Department of Employment and Workplace Relations (DEWR) </w:t>
      </w:r>
      <w:r w:rsidRPr="005117A2">
        <w:t>to</w:t>
      </w:r>
    </w:p>
    <w:p w14:paraId="425C1976" w14:textId="3E4D41F2" w:rsidR="00B9776B" w:rsidRPr="008812D6" w:rsidRDefault="00E314B2" w:rsidP="00C560B0">
      <w:r>
        <w:t>c</w:t>
      </w:r>
      <w:r w:rsidR="00B9776B" w:rsidRPr="005117A2">
        <w:t>ollect,</w:t>
      </w:r>
      <w:r w:rsidR="00AE4AD8">
        <w:t xml:space="preserve"> </w:t>
      </w:r>
      <w:r>
        <w:t>u</w:t>
      </w:r>
      <w:r w:rsidR="00B9776B" w:rsidRPr="005117A2">
        <w:t>se, and</w:t>
      </w:r>
      <w:r w:rsidR="00AE4AD8">
        <w:t xml:space="preserve"> </w:t>
      </w:r>
      <w:r>
        <w:t>s</w:t>
      </w:r>
      <w:r w:rsidR="00B9776B" w:rsidRPr="005117A2">
        <w:t>tore personal information of Apprentices</w:t>
      </w:r>
      <w:r w:rsidR="009E48BF">
        <w:t xml:space="preserve"> </w:t>
      </w:r>
      <w:r w:rsidR="00B9776B" w:rsidRPr="005117A2">
        <w:t xml:space="preserve">and </w:t>
      </w:r>
      <w:r w:rsidR="00690A32">
        <w:t>ICT cadet</w:t>
      </w:r>
      <w:r w:rsidR="00B9776B" w:rsidRPr="005117A2">
        <w:t>s for</w:t>
      </w:r>
      <w:r w:rsidR="00B9776B" w:rsidRPr="008812D6">
        <w:t xml:space="preserve"> verification and administration purposes.</w:t>
      </w:r>
    </w:p>
    <w:p w14:paraId="6249A546" w14:textId="77777777" w:rsidR="00B9776B" w:rsidRPr="00535C6B" w:rsidRDefault="00B9776B" w:rsidP="00535C6B">
      <w:pPr>
        <w:pStyle w:val="Heading2"/>
      </w:pPr>
      <w:bookmarkStart w:id="28" w:name="_Toc210109812"/>
      <w:r w:rsidRPr="00535C6B">
        <w:t>Collection of Personal Information</w:t>
      </w:r>
      <w:bookmarkEnd w:id="28"/>
    </w:p>
    <w:p w14:paraId="3E564D5D" w14:textId="1529B7E4" w:rsidR="00B9776B" w:rsidRPr="008812D6" w:rsidRDefault="00B9776B" w:rsidP="005117A2">
      <w:pPr>
        <w:spacing w:after="0"/>
      </w:pPr>
      <w:r w:rsidRPr="008812D6">
        <w:t xml:space="preserve">The collection of personal information supports </w:t>
      </w:r>
      <w:r w:rsidR="00EE032A">
        <w:t>DEWR</w:t>
      </w:r>
      <w:r w:rsidRPr="008812D6">
        <w:t xml:space="preserve"> in verifying reported data through </w:t>
      </w:r>
      <w:r w:rsidR="00C52A8A">
        <w:t>ADMS</w:t>
      </w:r>
      <w:r w:rsidRPr="008812D6">
        <w:t>. This includes confirming that individuals</w:t>
      </w:r>
      <w:r w:rsidR="005117A2">
        <w:t xml:space="preserve"> are</w:t>
      </w:r>
      <w:r w:rsidRPr="008812D6">
        <w:t>:</w:t>
      </w:r>
    </w:p>
    <w:p w14:paraId="0FE2C7F3" w14:textId="24FDD939" w:rsidR="00B9776B" w:rsidRPr="008812D6" w:rsidRDefault="00B9776B" w:rsidP="00EC2F22">
      <w:pPr>
        <w:pStyle w:val="ListParagraph"/>
        <w:numPr>
          <w:ilvl w:val="0"/>
          <w:numId w:val="11"/>
        </w:numPr>
        <w:spacing w:line="276" w:lineRule="auto"/>
        <w:ind w:left="284" w:hanging="284"/>
      </w:pPr>
      <w:r w:rsidRPr="008812D6">
        <w:t>real and identifiable,</w:t>
      </w:r>
    </w:p>
    <w:p w14:paraId="0A1D5C9E" w14:textId="338A6092" w:rsidR="00B9776B" w:rsidRPr="008812D6" w:rsidRDefault="00B9776B" w:rsidP="00EC2F22">
      <w:pPr>
        <w:pStyle w:val="ListParagraph"/>
        <w:numPr>
          <w:ilvl w:val="0"/>
          <w:numId w:val="11"/>
        </w:numPr>
        <w:spacing w:line="276" w:lineRule="auto"/>
        <w:ind w:left="284" w:hanging="284"/>
      </w:pPr>
      <w:r w:rsidRPr="008812D6">
        <w:t>actively engaged in their roles, and</w:t>
      </w:r>
    </w:p>
    <w:p w14:paraId="2376DABD" w14:textId="0FD3B1A3" w:rsidR="00B9776B" w:rsidRPr="008812D6" w:rsidRDefault="00B9776B" w:rsidP="00EC2F22">
      <w:pPr>
        <w:pStyle w:val="ListParagraph"/>
        <w:numPr>
          <w:ilvl w:val="0"/>
          <w:numId w:val="11"/>
        </w:numPr>
        <w:spacing w:line="276" w:lineRule="auto"/>
        <w:ind w:left="284" w:hanging="284"/>
      </w:pPr>
      <w:r w:rsidRPr="008812D6">
        <w:t>undertaking a recognised trade or qualification</w:t>
      </w:r>
      <w:r w:rsidR="00C52A8A">
        <w:t xml:space="preserve">, </w:t>
      </w:r>
      <w:r w:rsidRPr="008812D6">
        <w:t>where applicable.</w:t>
      </w:r>
    </w:p>
    <w:p w14:paraId="4F5F4E85" w14:textId="5A054C45" w:rsidR="00B9776B" w:rsidRPr="008812D6" w:rsidRDefault="00B9776B" w:rsidP="00B9776B">
      <w:r w:rsidRPr="008812D6">
        <w:t xml:space="preserve">Suppliers must distribute the </w:t>
      </w:r>
      <w:r w:rsidRPr="00AC4C9E">
        <w:t xml:space="preserve">Australian Skills Guarantee Privacy Notice </w:t>
      </w:r>
      <w:r w:rsidR="00574531" w:rsidRPr="00AC4C9E">
        <w:t xml:space="preserve">(available on the </w:t>
      </w:r>
      <w:hyperlink r:id="rId22" w:history="1">
        <w:r w:rsidR="00574531" w:rsidRPr="00AC4C9E">
          <w:rPr>
            <w:rStyle w:val="Hyperlink"/>
          </w:rPr>
          <w:t>DEWR website</w:t>
        </w:r>
      </w:hyperlink>
      <w:r w:rsidR="00574531" w:rsidRPr="00AC4C9E">
        <w:t>)</w:t>
      </w:r>
      <w:r w:rsidR="00574531">
        <w:t xml:space="preserve"> </w:t>
      </w:r>
      <w:r w:rsidRPr="008812D6">
        <w:t>to Apprentices</w:t>
      </w:r>
      <w:r w:rsidR="00C52A8A">
        <w:t xml:space="preserve"> </w:t>
      </w:r>
      <w:r w:rsidRPr="008812D6">
        <w:t xml:space="preserve">and </w:t>
      </w:r>
      <w:r w:rsidR="00690A32">
        <w:t>ICT cadet</w:t>
      </w:r>
      <w:r w:rsidRPr="008812D6">
        <w:t xml:space="preserve">s working on </w:t>
      </w:r>
      <w:r w:rsidR="00807BA9">
        <w:t>Eligible project</w:t>
      </w:r>
      <w:r w:rsidRPr="008812D6">
        <w:t>s. This notice explains how</w:t>
      </w:r>
      <w:r w:rsidR="00C52A8A">
        <w:t xml:space="preserve"> </w:t>
      </w:r>
      <w:r w:rsidR="00EE032A">
        <w:t>DEWR</w:t>
      </w:r>
      <w:r w:rsidRPr="008812D6">
        <w:t xml:space="preserve"> will handle personal information under the PCP.</w:t>
      </w:r>
    </w:p>
    <w:p w14:paraId="1654317D" w14:textId="0644D6F8" w:rsidR="00B9776B" w:rsidRPr="00535C6B" w:rsidRDefault="00B9776B" w:rsidP="00535C6B">
      <w:pPr>
        <w:pStyle w:val="Heading2"/>
      </w:pPr>
      <w:bookmarkStart w:id="29" w:name="_Toc210109813"/>
      <w:r w:rsidRPr="00535C6B">
        <w:t xml:space="preserve">Using </w:t>
      </w:r>
      <w:r w:rsidR="00666040" w:rsidRPr="00535C6B">
        <w:t xml:space="preserve">Skills Guarantee </w:t>
      </w:r>
      <w:r w:rsidRPr="00535C6B">
        <w:t>Model Clauses to Secure Consent</w:t>
      </w:r>
      <w:bookmarkEnd w:id="29"/>
    </w:p>
    <w:p w14:paraId="75142AD0" w14:textId="6142AE8F" w:rsidR="00806AFF" w:rsidRDefault="00806AFF" w:rsidP="00806AFF">
      <w:pPr>
        <w:jc w:val="both"/>
      </w:pPr>
      <w:r w:rsidRPr="00286C74">
        <w:t>The Skills Guarantee Model Clauses contain</w:t>
      </w:r>
      <w:r>
        <w:t xml:space="preserve"> provisions</w:t>
      </w:r>
      <w:r w:rsidRPr="00ED7EAE">
        <w:t xml:space="preserve"> </w:t>
      </w:r>
      <w:r>
        <w:t xml:space="preserve">which require the Supplier to obtain all necessary consents from its Apprentices and </w:t>
      </w:r>
      <w:r w:rsidR="00690A32">
        <w:t>ICT cadet</w:t>
      </w:r>
      <w:r>
        <w:t>s</w:t>
      </w:r>
      <w:r w:rsidRPr="00AF5614">
        <w:t xml:space="preserve"> </w:t>
      </w:r>
      <w:r>
        <w:t xml:space="preserve">for the handling of their personal information as set out in the </w:t>
      </w:r>
      <w:r w:rsidRPr="00286C74">
        <w:t>Australian Skills Guarantee Privacy Notice</w:t>
      </w:r>
      <w:r>
        <w:t>.</w:t>
      </w:r>
    </w:p>
    <w:p w14:paraId="62F27A12" w14:textId="2641F9B3" w:rsidR="00B9776B" w:rsidRPr="006851E3" w:rsidRDefault="006851E3" w:rsidP="002C4243">
      <w:pPr>
        <w:pStyle w:val="Heading2"/>
        <w:spacing w:before="0"/>
        <w:rPr>
          <w:color w:val="5D7A38"/>
        </w:rPr>
      </w:pPr>
      <w:bookmarkStart w:id="30" w:name="_Toc210109814"/>
      <w:r w:rsidRPr="006851E3">
        <w:rPr>
          <w:rFonts w:ascii="Segoe UI Emoji" w:eastAsia="Times New Roman" w:hAnsi="Segoe UI Emoji" w:cs="Segoe UI Emoji"/>
          <w:color w:val="5D7A38"/>
          <w:sz w:val="24"/>
          <w:szCs w:val="24"/>
          <w:lang w:eastAsia="en-AU"/>
        </w:rPr>
        <w:lastRenderedPageBreak/>
        <w:t>📌</w:t>
      </w:r>
      <w:r w:rsidRPr="006851E3">
        <w:rPr>
          <w:color w:val="5D7A38"/>
        </w:rPr>
        <w:t xml:space="preserve"> </w:t>
      </w:r>
      <w:r w:rsidR="00AB4B02" w:rsidRPr="006851E3">
        <w:rPr>
          <w:color w:val="5D7A38"/>
        </w:rPr>
        <w:t xml:space="preserve">Actions for </w:t>
      </w:r>
      <w:r w:rsidR="0069799B">
        <w:rPr>
          <w:color w:val="5D7A38"/>
        </w:rPr>
        <w:t>Relevant entities</w:t>
      </w:r>
      <w:bookmarkEnd w:id="30"/>
      <w:r w:rsidR="00AB4B02" w:rsidRPr="006851E3">
        <w:rPr>
          <w:color w:val="5D7A38"/>
        </w:rPr>
        <w:t xml:space="preserve"> </w:t>
      </w:r>
    </w:p>
    <w:p w14:paraId="13D971B7" w14:textId="3ACD5B72" w:rsidR="00D76C5E" w:rsidRPr="008812D6" w:rsidRDefault="00FF28F5" w:rsidP="00966D9C">
      <w:pPr>
        <w:pStyle w:val="ListParagraph"/>
        <w:numPr>
          <w:ilvl w:val="0"/>
          <w:numId w:val="11"/>
        </w:numPr>
        <w:spacing w:line="276" w:lineRule="auto"/>
      </w:pPr>
      <w:r>
        <w:t>I</w:t>
      </w:r>
      <w:r w:rsidR="00D76C5E" w:rsidRPr="008812D6">
        <w:t xml:space="preserve">nclude suitable terms </w:t>
      </w:r>
      <w:r w:rsidR="00DC61F8">
        <w:t xml:space="preserve">and conditions </w:t>
      </w:r>
      <w:r w:rsidR="005D7A30" w:rsidRPr="008812D6">
        <w:t xml:space="preserve">to obtain consent from </w:t>
      </w:r>
      <w:r w:rsidR="005D7A30">
        <w:t xml:space="preserve">Apprentices and </w:t>
      </w:r>
      <w:r w:rsidR="00690A32">
        <w:t>ICT cadet</w:t>
      </w:r>
      <w:r w:rsidR="005D7A30">
        <w:t>s</w:t>
      </w:r>
      <w:r w:rsidR="005D7A30" w:rsidRPr="008812D6">
        <w:t xml:space="preserve"> </w:t>
      </w:r>
      <w:r w:rsidR="00EA15F0">
        <w:t xml:space="preserve">are prescribed </w:t>
      </w:r>
      <w:r w:rsidR="00D76C5E" w:rsidRPr="008812D6">
        <w:t>allowing</w:t>
      </w:r>
      <w:r w:rsidR="00D76C5E">
        <w:t xml:space="preserve"> </w:t>
      </w:r>
      <w:r w:rsidR="00EE032A">
        <w:t>DEWR</w:t>
      </w:r>
      <w:r w:rsidR="00D76C5E" w:rsidRPr="008812D6">
        <w:t xml:space="preserve"> to collect, use, and disclose personal information</w:t>
      </w:r>
      <w:r w:rsidR="00D76C5E">
        <w:t xml:space="preserve"> t</w:t>
      </w:r>
      <w:r w:rsidR="00D76C5E" w:rsidRPr="008812D6">
        <w:t xml:space="preserve">o comply with the </w:t>
      </w:r>
      <w:r w:rsidR="00D76C5E" w:rsidRPr="005117A2">
        <w:t>Privacy Act 1988 and other relevant</w:t>
      </w:r>
      <w:r w:rsidR="00D76C5E" w:rsidRPr="008812D6">
        <w:t xml:space="preserve"> laws</w:t>
      </w:r>
      <w:r w:rsidR="00D76C5E">
        <w:t xml:space="preserve"> </w:t>
      </w:r>
      <w:r w:rsidR="00D76C5E" w:rsidRPr="008812D6">
        <w:t xml:space="preserve">ATM, </w:t>
      </w:r>
      <w:r w:rsidR="00780037">
        <w:t>c</w:t>
      </w:r>
      <w:r w:rsidR="00CD71FC">
        <w:t>ontract</w:t>
      </w:r>
      <w:r w:rsidR="00D76C5E" w:rsidRPr="008812D6">
        <w:t>, or panel/</w:t>
      </w:r>
      <w:r w:rsidR="00780037">
        <w:t>s</w:t>
      </w:r>
      <w:r w:rsidR="00D76C5E" w:rsidRPr="008812D6">
        <w:t xml:space="preserve">tanding </w:t>
      </w:r>
      <w:r w:rsidR="00780037">
        <w:t>o</w:t>
      </w:r>
      <w:r w:rsidR="00D76C5E" w:rsidRPr="008812D6">
        <w:t>ffer documentation</w:t>
      </w:r>
      <w:r w:rsidR="007A075C">
        <w:t>.</w:t>
      </w:r>
    </w:p>
    <w:p w14:paraId="7A3C128D" w14:textId="733A054B" w:rsidR="00B9776B" w:rsidRPr="008812D6" w:rsidRDefault="00FF28F5" w:rsidP="00966D9C">
      <w:pPr>
        <w:pStyle w:val="ListParagraph"/>
        <w:numPr>
          <w:ilvl w:val="0"/>
          <w:numId w:val="11"/>
        </w:numPr>
        <w:spacing w:line="276" w:lineRule="auto"/>
      </w:pPr>
      <w:r>
        <w:t>E</w:t>
      </w:r>
      <w:r w:rsidR="00B9776B" w:rsidRPr="008812D6">
        <w:t>nsure any modifications still meet PCP requirements</w:t>
      </w:r>
      <w:r w:rsidR="007A075C">
        <w:t>.</w:t>
      </w:r>
    </w:p>
    <w:p w14:paraId="466DDB65" w14:textId="13EA0922" w:rsidR="000A2725" w:rsidRDefault="00FF28F5" w:rsidP="00966D9C">
      <w:pPr>
        <w:pStyle w:val="ListParagraph"/>
        <w:numPr>
          <w:ilvl w:val="0"/>
          <w:numId w:val="11"/>
        </w:numPr>
        <w:spacing w:line="276" w:lineRule="auto"/>
      </w:pPr>
      <w:r>
        <w:t>B</w:t>
      </w:r>
      <w:r w:rsidR="00B9776B" w:rsidRPr="008812D6">
        <w:t xml:space="preserve">e aware that changes may affect </w:t>
      </w:r>
      <w:r w:rsidR="00EE032A">
        <w:t>DEWR’s</w:t>
      </w:r>
      <w:r w:rsidR="00B9776B" w:rsidRPr="008812D6">
        <w:t xml:space="preserve"> ability to manage personal information effectively</w:t>
      </w:r>
      <w:r w:rsidR="007A075C">
        <w:t>.</w:t>
      </w:r>
    </w:p>
    <w:p w14:paraId="1F525E1C" w14:textId="2902934D" w:rsidR="00574531" w:rsidRPr="003F5593" w:rsidRDefault="00FF28F5" w:rsidP="00966D9C">
      <w:pPr>
        <w:pStyle w:val="ListParagraph"/>
        <w:numPr>
          <w:ilvl w:val="0"/>
          <w:numId w:val="11"/>
        </w:numPr>
        <w:spacing w:line="276" w:lineRule="auto"/>
      </w:pPr>
      <w:r>
        <w:t>R</w:t>
      </w:r>
      <w:r w:rsidR="00DC61F8">
        <w:t>e</w:t>
      </w:r>
      <w:r w:rsidR="002B7FFA">
        <w:t>mind</w:t>
      </w:r>
      <w:r w:rsidR="00B9776B" w:rsidRPr="008812D6">
        <w:t xml:space="preserve"> Suppliers </w:t>
      </w:r>
      <w:r w:rsidR="002B7FFA">
        <w:t xml:space="preserve">to distribute the Australian Skills Guarantee Privacy Notice to Apprentices and </w:t>
      </w:r>
      <w:r w:rsidR="00690A32">
        <w:t>ICT cadet</w:t>
      </w:r>
      <w:r w:rsidR="002B7FFA">
        <w:t>s</w:t>
      </w:r>
      <w:r w:rsidR="00FE3E3B">
        <w:t xml:space="preserve">, that </w:t>
      </w:r>
      <w:r w:rsidR="00FE3E3B" w:rsidRPr="003F5593">
        <w:t xml:space="preserve">is available on the </w:t>
      </w:r>
      <w:hyperlink r:id="rId23" w:history="1">
        <w:r w:rsidR="00FE3E3B" w:rsidRPr="003F5593">
          <w:rPr>
            <w:rStyle w:val="Hyperlink"/>
          </w:rPr>
          <w:t>DEWR website</w:t>
        </w:r>
      </w:hyperlink>
      <w:r w:rsidR="009A1360" w:rsidRPr="003F5593">
        <w:t>.</w:t>
      </w:r>
    </w:p>
    <w:p w14:paraId="51997338" w14:textId="17CE06E7" w:rsidR="00020B0E" w:rsidRDefault="00020B0E" w:rsidP="00535C6B">
      <w:pPr>
        <w:pStyle w:val="Heading1"/>
      </w:pPr>
      <w:bookmarkStart w:id="31" w:name="_Toc210109815"/>
      <w:r>
        <w:t>Contract variations</w:t>
      </w:r>
      <w:bookmarkEnd w:id="31"/>
    </w:p>
    <w:p w14:paraId="7C0217A3" w14:textId="6D978C7F" w:rsidR="00D214E8" w:rsidRDefault="0069799B" w:rsidP="00D343C5">
      <w:r>
        <w:t>Relevant entities</w:t>
      </w:r>
      <w:r w:rsidR="00D343C5" w:rsidRPr="00F603E3">
        <w:t xml:space="preserve"> </w:t>
      </w:r>
      <w:r w:rsidR="00B834CB">
        <w:t xml:space="preserve">should consider </w:t>
      </w:r>
      <w:r w:rsidR="001747AC" w:rsidRPr="001747AC">
        <w:rPr>
          <w:b/>
          <w:bCs/>
        </w:rPr>
        <w:t>Section 3.2</w:t>
      </w:r>
      <w:r w:rsidR="001747AC">
        <w:t xml:space="preserve"> of the PCP </w:t>
      </w:r>
      <w:r w:rsidR="00B834CB">
        <w:t xml:space="preserve">when a </w:t>
      </w:r>
      <w:r w:rsidR="00CD71FC">
        <w:t>contract</w:t>
      </w:r>
      <w:r w:rsidR="00B834CB">
        <w:t xml:space="preserve"> </w:t>
      </w:r>
      <w:r w:rsidR="00CD71FC">
        <w:t>v</w:t>
      </w:r>
      <w:r w:rsidR="00B834CB">
        <w:t xml:space="preserve">ariation causes a </w:t>
      </w:r>
      <w:r w:rsidR="00D343C5" w:rsidRPr="00F603E3">
        <w:t xml:space="preserve">procurement </w:t>
      </w:r>
      <w:r w:rsidR="00B834CB">
        <w:t>to become an</w:t>
      </w:r>
      <w:r w:rsidR="00D343C5" w:rsidRPr="00F603E3">
        <w:t xml:space="preserve"> </w:t>
      </w:r>
      <w:r w:rsidR="00807BA9">
        <w:t>Eligible project</w:t>
      </w:r>
      <w:r w:rsidR="00D343C5" w:rsidRPr="00530917">
        <w:t xml:space="preserve"> under</w:t>
      </w:r>
      <w:r w:rsidR="00D343C5" w:rsidRPr="00F603E3">
        <w:t xml:space="preserve"> the </w:t>
      </w:r>
      <w:r w:rsidR="00D343C5">
        <w:t>PCP</w:t>
      </w:r>
      <w:r w:rsidR="007D7B19">
        <w:t xml:space="preserve"> from</w:t>
      </w:r>
      <w:r w:rsidR="00D343C5">
        <w:t xml:space="preserve"> changes to an existing </w:t>
      </w:r>
      <w:r w:rsidR="00CD71FC">
        <w:t>contract</w:t>
      </w:r>
      <w:r w:rsidR="00A77879">
        <w:t xml:space="preserve">. </w:t>
      </w:r>
    </w:p>
    <w:p w14:paraId="35A44618" w14:textId="54B2BE8D" w:rsidR="00D343C5" w:rsidRDefault="00D214E8" w:rsidP="00D343C5">
      <w:r>
        <w:t xml:space="preserve">The PCP requirements should have already been applied </w:t>
      </w:r>
      <w:r w:rsidR="00495361">
        <w:t xml:space="preserve">to a procurement </w:t>
      </w:r>
      <w:r w:rsidR="00370D5A">
        <w:t xml:space="preserve">if the original </w:t>
      </w:r>
      <w:r w:rsidR="00D343C5">
        <w:t xml:space="preserve">estimated procurement value is $10 million (GST inclusive) or more. </w:t>
      </w:r>
    </w:p>
    <w:p w14:paraId="4EC613A9" w14:textId="6870ABBD" w:rsidR="00594472" w:rsidRDefault="0069799B" w:rsidP="00F855BD">
      <w:pPr>
        <w:pStyle w:val="ListBullet"/>
        <w:numPr>
          <w:ilvl w:val="0"/>
          <w:numId w:val="0"/>
        </w:numPr>
        <w:spacing w:line="276" w:lineRule="auto"/>
      </w:pPr>
      <w:r>
        <w:t>Relevant entities</w:t>
      </w:r>
      <w:r w:rsidR="00F855BD">
        <w:t xml:space="preserve"> must </w:t>
      </w:r>
      <w:r w:rsidR="00A711F5">
        <w:t>ensure</w:t>
      </w:r>
      <w:r w:rsidR="00F855BD">
        <w:t xml:space="preserve"> </w:t>
      </w:r>
      <w:r w:rsidR="00CD71FC">
        <w:t>c</w:t>
      </w:r>
      <w:r w:rsidR="00F855BD">
        <w:t xml:space="preserve">ontract </w:t>
      </w:r>
      <w:r w:rsidR="00CD71FC">
        <w:t>v</w:t>
      </w:r>
      <w:r w:rsidR="00F855BD">
        <w:t xml:space="preserve">ariations </w:t>
      </w:r>
      <w:r w:rsidR="00A711F5">
        <w:t>are reported in ADMS</w:t>
      </w:r>
      <w:r w:rsidR="00F855BD">
        <w:t xml:space="preserve"> as soon as practicable. </w:t>
      </w:r>
      <w:r w:rsidR="00F855BD" w:rsidRPr="00981556">
        <w:t xml:space="preserve">As </w:t>
      </w:r>
      <w:r w:rsidR="00CD71FC">
        <w:t>c</w:t>
      </w:r>
      <w:r w:rsidR="00F855BD" w:rsidRPr="00981556">
        <w:t xml:space="preserve">ontract variations may not be published in AusTender in a timely way, it is important for </w:t>
      </w:r>
      <w:r>
        <w:t>Relevant entities</w:t>
      </w:r>
      <w:r w:rsidR="00F855BD" w:rsidRPr="00981556">
        <w:t xml:space="preserve"> to report any new </w:t>
      </w:r>
      <w:r w:rsidR="00807BA9">
        <w:t>Eligible project</w:t>
      </w:r>
      <w:r w:rsidR="00F855BD">
        <w:t>s</w:t>
      </w:r>
      <w:r w:rsidR="00594472">
        <w:t xml:space="preserve">, </w:t>
      </w:r>
      <w:r w:rsidR="00F855BD" w:rsidRPr="00981556">
        <w:t>including procurements where the PCP requirements were not applied and noting the reasons why.</w:t>
      </w:r>
    </w:p>
    <w:p w14:paraId="3CADFC7B" w14:textId="77777777" w:rsidR="00A7708A" w:rsidRDefault="00A7708A" w:rsidP="00A7708A">
      <w:pPr>
        <w:pStyle w:val="Heading2"/>
      </w:pPr>
      <w:bookmarkStart w:id="32" w:name="_Toc209787059"/>
      <w:bookmarkStart w:id="33" w:name="_Toc210109816"/>
      <w:r>
        <w:t>ADMS reporting for Contract variations</w:t>
      </w:r>
      <w:bookmarkEnd w:id="32"/>
      <w:bookmarkEnd w:id="33"/>
    </w:p>
    <w:p w14:paraId="79BBBE91" w14:textId="305D9004" w:rsidR="00A7708A" w:rsidRDefault="00A7708A" w:rsidP="00A7708A">
      <w:r>
        <w:t>ADMS will notify the Relevant entity when an existing contract is varied, including contracts previously below the Skills Guarantee $10 million threshold. The Relevant entity should log in to ADMS and review these contracts for ongoing or new Skills Guarantee eligibility.</w:t>
      </w:r>
    </w:p>
    <w:p w14:paraId="328AB03F" w14:textId="66BA7227" w:rsidR="00A7708A" w:rsidRDefault="00A7708A" w:rsidP="00A7708A">
      <w:r>
        <w:t xml:space="preserve">If the contract was previously below $10 million and a variation means it now meets Skills Guarantee eligibility, you should follow the steps for creating a new project detailed above at the </w:t>
      </w:r>
      <w:hyperlink w:anchor="_ADMS_notifications_and" w:history="1">
        <w:r w:rsidRPr="00ED0C7A">
          <w:rPr>
            <w:rStyle w:val="Hyperlink"/>
          </w:rPr>
          <w:t>ADMS notifications and reviewing a new Contract section on Pg 6</w:t>
        </w:r>
      </w:hyperlink>
      <w:r w:rsidRPr="00ED0C7A">
        <w:t>.</w:t>
      </w:r>
    </w:p>
    <w:p w14:paraId="0D982633" w14:textId="7D95C108" w:rsidR="00A7708A" w:rsidRDefault="00A7708A" w:rsidP="00A7708A">
      <w:r>
        <w:t>If there is a contract variation to an existing contract, which had previously been assessed for Skills Guarantee reporting, you will need to confirm the project’s reporting status, including for projects previously not reportable.</w:t>
      </w:r>
    </w:p>
    <w:p w14:paraId="7F5495FF" w14:textId="7D751440" w:rsidR="00A7708A" w:rsidRDefault="00A7708A" w:rsidP="00A7708A">
      <w:r w:rsidRPr="00804C2D">
        <w:t xml:space="preserve">Please refer to the additional reporting guidance is available on </w:t>
      </w:r>
      <w:hyperlink r:id="rId24" w:history="1">
        <w:r w:rsidRPr="00804C2D">
          <w:rPr>
            <w:rStyle w:val="Hyperlink"/>
          </w:rPr>
          <w:t>GovTEAMS – Australian Skills Guarantee Operational Resources and Stakeholder Engagement Community</w:t>
        </w:r>
      </w:hyperlink>
      <w:r w:rsidRPr="00804C2D">
        <w:t>.</w:t>
      </w:r>
    </w:p>
    <w:p w14:paraId="079C9491" w14:textId="109227AC" w:rsidR="00E228EE" w:rsidRPr="00535C6B" w:rsidRDefault="00E228EE" w:rsidP="00535C6B">
      <w:pPr>
        <w:pStyle w:val="Heading2"/>
      </w:pPr>
      <w:bookmarkStart w:id="34" w:name="_Toc210109817"/>
      <w:r w:rsidRPr="00535C6B">
        <w:t xml:space="preserve">Panel or </w:t>
      </w:r>
      <w:r w:rsidR="00E403D0">
        <w:t>s</w:t>
      </w:r>
      <w:r w:rsidRPr="00535C6B">
        <w:t xml:space="preserve">tanding </w:t>
      </w:r>
      <w:r w:rsidR="00E403D0">
        <w:t>o</w:t>
      </w:r>
      <w:r w:rsidRPr="00535C6B">
        <w:t>ffer arrangements</w:t>
      </w:r>
      <w:bookmarkEnd w:id="34"/>
      <w:r w:rsidRPr="00535C6B">
        <w:t xml:space="preserve"> </w:t>
      </w:r>
    </w:p>
    <w:p w14:paraId="1CFC2E8F" w14:textId="4CF52199" w:rsidR="00E228EE" w:rsidRDefault="00E228EE" w:rsidP="00E228EE">
      <w:r>
        <w:t xml:space="preserve">Lead agencies for existing panel or </w:t>
      </w:r>
      <w:r w:rsidR="00E403D0">
        <w:t>s</w:t>
      </w:r>
      <w:r>
        <w:t xml:space="preserve">tanding </w:t>
      </w:r>
      <w:r w:rsidR="00E403D0">
        <w:t>o</w:t>
      </w:r>
      <w:r>
        <w:t xml:space="preserve">ffer arrangements may vary the standard </w:t>
      </w:r>
      <w:r w:rsidR="00CD71FC">
        <w:t>c</w:t>
      </w:r>
      <w:r>
        <w:t xml:space="preserve">ontract terms of their deed of </w:t>
      </w:r>
      <w:r w:rsidR="00E403D0">
        <w:t>s</w:t>
      </w:r>
      <w:r>
        <w:t xml:space="preserve">tanding </w:t>
      </w:r>
      <w:r w:rsidR="00442502">
        <w:t>o</w:t>
      </w:r>
      <w:r>
        <w:t xml:space="preserve">ffer, indicating that the PCP requirements will apply to </w:t>
      </w:r>
      <w:r w:rsidR="00807BA9">
        <w:t>Eligible project</w:t>
      </w:r>
      <w:r>
        <w:t xml:space="preserve">s procured from that panel or </w:t>
      </w:r>
      <w:r w:rsidR="00E403D0">
        <w:t>s</w:t>
      </w:r>
      <w:r>
        <w:t xml:space="preserve">tanding </w:t>
      </w:r>
      <w:r w:rsidR="00E403D0">
        <w:t>o</w:t>
      </w:r>
      <w:r>
        <w:t xml:space="preserve">ffer arrangement. </w:t>
      </w:r>
    </w:p>
    <w:p w14:paraId="1192DA0D" w14:textId="319CDA0B" w:rsidR="00E228EE" w:rsidRDefault="00E228EE" w:rsidP="00E228EE">
      <w:r>
        <w:t xml:space="preserve">The assessment and reporting for the PCP requirements will occur when a new </w:t>
      </w:r>
      <w:r w:rsidR="00E403D0">
        <w:t>c</w:t>
      </w:r>
      <w:r>
        <w:t xml:space="preserve">ontract is created for an </w:t>
      </w:r>
      <w:r w:rsidR="00807BA9">
        <w:t>Eligible project</w:t>
      </w:r>
      <w:r>
        <w:t xml:space="preserve"> under a panel or </w:t>
      </w:r>
      <w:r w:rsidR="00E403D0">
        <w:t>s</w:t>
      </w:r>
      <w:r>
        <w:t xml:space="preserve">tanding </w:t>
      </w:r>
      <w:r w:rsidR="00E403D0">
        <w:t>o</w:t>
      </w:r>
      <w:r>
        <w:t xml:space="preserve">ffer arrangement, or where a </w:t>
      </w:r>
      <w:r w:rsidR="00E403D0">
        <w:t>c</w:t>
      </w:r>
      <w:r>
        <w:t xml:space="preserve">ontract under that panel or </w:t>
      </w:r>
      <w:r w:rsidR="00E403D0">
        <w:t>s</w:t>
      </w:r>
      <w:r>
        <w:t xml:space="preserve">tanding </w:t>
      </w:r>
      <w:r w:rsidR="00E403D0">
        <w:t>o</w:t>
      </w:r>
      <w:r>
        <w:t xml:space="preserve">ffer arrangement is varied making it an </w:t>
      </w:r>
      <w:r w:rsidR="00807BA9">
        <w:t>Eligible project</w:t>
      </w:r>
      <w:r>
        <w:t>.</w:t>
      </w:r>
    </w:p>
    <w:p w14:paraId="7256D0FE" w14:textId="4A30DB3A" w:rsidR="00E228EE" w:rsidRDefault="0069799B" w:rsidP="00D343C5">
      <w:r>
        <w:lastRenderedPageBreak/>
        <w:t>Relevant entities</w:t>
      </w:r>
      <w:r w:rsidR="00E228EE">
        <w:t xml:space="preserve"> will take the same approach to negotiating the inclusion of PCP requirements in a </w:t>
      </w:r>
      <w:r w:rsidR="00E403D0">
        <w:t>c</w:t>
      </w:r>
      <w:r w:rsidR="00E228EE">
        <w:t xml:space="preserve">ontract variation for an </w:t>
      </w:r>
      <w:r w:rsidR="00807BA9">
        <w:t>Eligible project</w:t>
      </w:r>
      <w:r w:rsidR="00E228EE">
        <w:t xml:space="preserve"> under a panel or </w:t>
      </w:r>
      <w:r w:rsidR="00E403D0">
        <w:t>s</w:t>
      </w:r>
      <w:r w:rsidR="00E228EE">
        <w:t xml:space="preserve">tanding </w:t>
      </w:r>
      <w:r w:rsidR="00E403D0">
        <w:t>o</w:t>
      </w:r>
      <w:r w:rsidR="00E228EE">
        <w:t xml:space="preserve">ffer arrangement, as for </w:t>
      </w:r>
      <w:r w:rsidR="00E403D0">
        <w:t>c</w:t>
      </w:r>
      <w:r w:rsidR="00E228EE">
        <w:t xml:space="preserve">ontract variations for </w:t>
      </w:r>
      <w:r w:rsidR="00807BA9">
        <w:t>Eligible project</w:t>
      </w:r>
      <w:r w:rsidR="00E228EE">
        <w:t xml:space="preserve">s not under a panel or </w:t>
      </w:r>
      <w:r w:rsidR="00E403D0">
        <w:t>s</w:t>
      </w:r>
      <w:r w:rsidR="00E228EE">
        <w:t xml:space="preserve">tanding </w:t>
      </w:r>
      <w:r w:rsidR="00E403D0">
        <w:t>o</w:t>
      </w:r>
      <w:r w:rsidR="00E228EE">
        <w:t xml:space="preserve">ffer arrangement. </w:t>
      </w:r>
    </w:p>
    <w:p w14:paraId="0DFAFCD7" w14:textId="658B9918" w:rsidR="00B17AF8" w:rsidRPr="006851E3" w:rsidRDefault="006851E3" w:rsidP="00B17AF8">
      <w:pPr>
        <w:pStyle w:val="Heading2"/>
        <w:spacing w:before="0"/>
        <w:rPr>
          <w:color w:val="5D7A38"/>
        </w:rPr>
      </w:pPr>
      <w:bookmarkStart w:id="35" w:name="_Toc210109818"/>
      <w:r w:rsidRPr="006851E3">
        <w:rPr>
          <w:rFonts w:ascii="Segoe UI Emoji" w:eastAsia="Times New Roman" w:hAnsi="Segoe UI Emoji" w:cs="Segoe UI Emoji"/>
          <w:color w:val="5D7A38"/>
          <w:sz w:val="24"/>
          <w:szCs w:val="24"/>
          <w:lang w:eastAsia="en-AU"/>
        </w:rPr>
        <w:t>📌</w:t>
      </w:r>
      <w:r w:rsidRPr="006851E3">
        <w:rPr>
          <w:color w:val="5D7A38"/>
        </w:rPr>
        <w:t xml:space="preserve"> </w:t>
      </w:r>
      <w:r w:rsidR="00B17AF8" w:rsidRPr="006851E3">
        <w:rPr>
          <w:color w:val="5D7A38"/>
        </w:rPr>
        <w:t xml:space="preserve">Actions for </w:t>
      </w:r>
      <w:r w:rsidR="0069799B">
        <w:rPr>
          <w:color w:val="5D7A38"/>
        </w:rPr>
        <w:t>Relevant entities</w:t>
      </w:r>
      <w:bookmarkEnd w:id="35"/>
      <w:r w:rsidR="00B17AF8" w:rsidRPr="006851E3">
        <w:rPr>
          <w:color w:val="5D7A38"/>
        </w:rPr>
        <w:t xml:space="preserve"> </w:t>
      </w:r>
    </w:p>
    <w:p w14:paraId="06281344" w14:textId="553B4C3A" w:rsidR="00394ADB" w:rsidRPr="00394ADB" w:rsidRDefault="0069799B" w:rsidP="002736ED">
      <w:pPr>
        <w:spacing w:after="0"/>
      </w:pPr>
      <w:r>
        <w:t>Relevant entities</w:t>
      </w:r>
      <w:r w:rsidR="00635025">
        <w:t xml:space="preserve"> should negotiate the application of the PCP with Supplier</w:t>
      </w:r>
      <w:r w:rsidR="002736ED">
        <w:t xml:space="preserve">s considering: </w:t>
      </w:r>
    </w:p>
    <w:p w14:paraId="0134D9AD" w14:textId="6DF17CF4" w:rsidR="00D343C5" w:rsidRDefault="002D60EC" w:rsidP="00EC2F22">
      <w:pPr>
        <w:pStyle w:val="ListParagraph"/>
        <w:numPr>
          <w:ilvl w:val="0"/>
          <w:numId w:val="11"/>
        </w:numPr>
        <w:spacing w:line="276" w:lineRule="auto"/>
      </w:pPr>
      <w:r>
        <w:t>if</w:t>
      </w:r>
      <w:r w:rsidR="00D343C5" w:rsidRPr="00CA479B">
        <w:t xml:space="preserve"> </w:t>
      </w:r>
      <w:r w:rsidR="00D343C5" w:rsidRPr="006E2955">
        <w:t>the</w:t>
      </w:r>
      <w:r w:rsidR="00D343C5">
        <w:t xml:space="preserve"> </w:t>
      </w:r>
      <w:r w:rsidR="00880CCF">
        <w:t>c</w:t>
      </w:r>
      <w:r w:rsidR="00D343C5" w:rsidRPr="006E2955">
        <w:t xml:space="preserve">ontract variation presents an opportunity </w:t>
      </w:r>
      <w:r w:rsidR="00D343C5">
        <w:t>to enhance the</w:t>
      </w:r>
      <w:r w:rsidR="00D343C5" w:rsidRPr="006E2955">
        <w:t xml:space="preserve"> participation of </w:t>
      </w:r>
      <w:r w:rsidR="00D343C5">
        <w:t>A</w:t>
      </w:r>
      <w:r w:rsidR="00D343C5" w:rsidRPr="006E2955">
        <w:t xml:space="preserve">pprentices, </w:t>
      </w:r>
      <w:r w:rsidR="00690A32">
        <w:t>ICT cadet</w:t>
      </w:r>
      <w:r w:rsidR="00D343C5">
        <w:t xml:space="preserve">s, </w:t>
      </w:r>
      <w:r w:rsidR="00D343C5" w:rsidRPr="006E2955">
        <w:t xml:space="preserve">and </w:t>
      </w:r>
      <w:r w:rsidR="00102FBE">
        <w:t>w</w:t>
      </w:r>
      <w:r w:rsidR="00D343C5" w:rsidRPr="006E2955">
        <w:t>omen in deliver</w:t>
      </w:r>
      <w:r w:rsidR="00D343C5">
        <w:t>ing</w:t>
      </w:r>
      <w:r w:rsidR="00D343C5" w:rsidRPr="006E2955">
        <w:t xml:space="preserve"> the remainder of the </w:t>
      </w:r>
      <w:r w:rsidR="00880CCF">
        <w:t>c</w:t>
      </w:r>
      <w:r w:rsidR="00D343C5" w:rsidRPr="006E2955">
        <w:t>ontract</w:t>
      </w:r>
      <w:r w:rsidR="00D25C60">
        <w:t>, supporting the PCP intent</w:t>
      </w:r>
      <w:r w:rsidR="00EC2F22">
        <w:t>,</w:t>
      </w:r>
    </w:p>
    <w:p w14:paraId="638F771F" w14:textId="7C47FD2B" w:rsidR="00D343C5" w:rsidRDefault="00D343C5" w:rsidP="00EC2F22">
      <w:pPr>
        <w:pStyle w:val="ListParagraph"/>
        <w:numPr>
          <w:ilvl w:val="0"/>
          <w:numId w:val="11"/>
        </w:numPr>
        <w:spacing w:line="276" w:lineRule="auto"/>
      </w:pPr>
      <w:r>
        <w:t xml:space="preserve">sufficient time remaining on the </w:t>
      </w:r>
      <w:r w:rsidR="00880CCF">
        <w:t>c</w:t>
      </w:r>
      <w:r>
        <w:t xml:space="preserve">ontract to ensure Apprentices or </w:t>
      </w:r>
      <w:r w:rsidR="00690A32">
        <w:t>ICT cadet</w:t>
      </w:r>
      <w:r>
        <w:t>s receive an adequate training experience</w:t>
      </w:r>
      <w:r w:rsidR="00EC2F22">
        <w:t>,</w:t>
      </w:r>
    </w:p>
    <w:p w14:paraId="11D9BFBA" w14:textId="70C863BD" w:rsidR="00D343C5" w:rsidRDefault="00D343C5" w:rsidP="00EC2F22">
      <w:pPr>
        <w:pStyle w:val="ListParagraph"/>
        <w:numPr>
          <w:ilvl w:val="0"/>
          <w:numId w:val="11"/>
        </w:numPr>
        <w:spacing w:line="276" w:lineRule="auto"/>
      </w:pPr>
      <w:r w:rsidRPr="001D066E">
        <w:t>sufficient work</w:t>
      </w:r>
      <w:r>
        <w:t xml:space="preserve"> to be completed within Australia</w:t>
      </w:r>
      <w:r w:rsidR="00EC2F22">
        <w:t>,</w:t>
      </w:r>
    </w:p>
    <w:p w14:paraId="699CEAE1" w14:textId="52A73315" w:rsidR="00D343C5" w:rsidRDefault="00D343C5" w:rsidP="00EC2F22">
      <w:pPr>
        <w:pStyle w:val="ListParagraph"/>
        <w:numPr>
          <w:ilvl w:val="0"/>
          <w:numId w:val="11"/>
        </w:numPr>
        <w:spacing w:line="276" w:lineRule="auto"/>
      </w:pPr>
      <w:r>
        <w:t xml:space="preserve">remaining </w:t>
      </w:r>
      <w:r w:rsidR="00880CCF">
        <w:t>c</w:t>
      </w:r>
      <w:r>
        <w:t>ontract deliverables requir</w:t>
      </w:r>
      <w:r w:rsidR="00C10C86">
        <w:t>ing</w:t>
      </w:r>
      <w:r>
        <w:t xml:space="preserve"> </w:t>
      </w:r>
      <w:r w:rsidR="00CD5E0D">
        <w:t>Labour hours</w:t>
      </w:r>
      <w:r w:rsidR="00EC2F22">
        <w:t>,</w:t>
      </w:r>
    </w:p>
    <w:p w14:paraId="43EBAF4D" w14:textId="735F9C58" w:rsidR="00D343C5" w:rsidRDefault="00D343C5" w:rsidP="00EC2F22">
      <w:pPr>
        <w:pStyle w:val="ListParagraph"/>
        <w:numPr>
          <w:ilvl w:val="0"/>
          <w:numId w:val="11"/>
        </w:numPr>
        <w:spacing w:line="276" w:lineRule="auto"/>
      </w:pPr>
      <w:r w:rsidRPr="00864BB7">
        <w:t xml:space="preserve">sufficient work </w:t>
      </w:r>
      <w:r>
        <w:t>available that align with the A</w:t>
      </w:r>
      <w:r w:rsidRPr="00864BB7">
        <w:t>pprentice</w:t>
      </w:r>
      <w:r>
        <w:t xml:space="preserve"> or </w:t>
      </w:r>
      <w:r w:rsidR="00690A32">
        <w:t>ICT cadet</w:t>
      </w:r>
      <w:r w:rsidRPr="00864BB7">
        <w:t xml:space="preserve"> pathway</w:t>
      </w:r>
      <w:r>
        <w:t>s</w:t>
      </w:r>
      <w:r w:rsidR="00EC2F22">
        <w:t>,</w:t>
      </w:r>
    </w:p>
    <w:p w14:paraId="24782A32" w14:textId="74F47063" w:rsidR="00F10C6E" w:rsidRDefault="00347BB3" w:rsidP="00EC2F22">
      <w:pPr>
        <w:pStyle w:val="ListParagraph"/>
        <w:numPr>
          <w:ilvl w:val="0"/>
          <w:numId w:val="11"/>
        </w:numPr>
        <w:spacing w:line="276" w:lineRule="auto"/>
      </w:pPr>
      <w:r>
        <w:t>a</w:t>
      </w:r>
      <w:r w:rsidR="00D343C5">
        <w:t xml:space="preserve"> change in the type of </w:t>
      </w:r>
      <w:r w:rsidR="00807BA9">
        <w:t>Eligible project</w:t>
      </w:r>
      <w:r w:rsidR="00D343C5">
        <w:t xml:space="preserve"> creates an opportunity to negotiate higher targets for </w:t>
      </w:r>
      <w:r w:rsidR="00102FBE">
        <w:t>w</w:t>
      </w:r>
      <w:r w:rsidR="00D343C5">
        <w:t xml:space="preserve">omen and the provision of a </w:t>
      </w:r>
      <w:r>
        <w:t>GEAP</w:t>
      </w:r>
      <w:r w:rsidR="00EC2F22">
        <w:t>,</w:t>
      </w:r>
    </w:p>
    <w:p w14:paraId="48C82FFB" w14:textId="65F48150" w:rsidR="00F271D0" w:rsidRDefault="00966A29" w:rsidP="00EC2F22">
      <w:pPr>
        <w:pStyle w:val="ListParagraph"/>
        <w:numPr>
          <w:ilvl w:val="0"/>
          <w:numId w:val="11"/>
        </w:numPr>
        <w:spacing w:line="276" w:lineRule="auto"/>
      </w:pPr>
      <w:r>
        <w:t xml:space="preserve">if </w:t>
      </w:r>
      <w:r w:rsidR="00257FF2">
        <w:t>the provision of a</w:t>
      </w:r>
      <w:r>
        <w:t xml:space="preserve"> GEAP is </w:t>
      </w:r>
      <w:r w:rsidR="00257FF2">
        <w:t>agreed, ensure the Supplier provide</w:t>
      </w:r>
      <w:r w:rsidR="00C44FEF">
        <w:t>s a GEAP before their next quarterly report</w:t>
      </w:r>
      <w:r w:rsidR="00011A0F">
        <w:t xml:space="preserve"> </w:t>
      </w:r>
      <w:r w:rsidR="002D545F">
        <w:t>and include in the next six-monthly reporting in ADMS or earlier</w:t>
      </w:r>
      <w:r w:rsidR="00EC2F22">
        <w:t>,</w:t>
      </w:r>
    </w:p>
    <w:p w14:paraId="2716593B" w14:textId="7011D6E4" w:rsidR="007178AC" w:rsidRDefault="00427F88" w:rsidP="00EC2F22">
      <w:pPr>
        <w:pStyle w:val="ListParagraph"/>
        <w:numPr>
          <w:ilvl w:val="0"/>
          <w:numId w:val="11"/>
        </w:numPr>
        <w:spacing w:line="276" w:lineRule="auto"/>
      </w:pPr>
      <w:r>
        <w:t xml:space="preserve">update </w:t>
      </w:r>
      <w:r w:rsidR="0040213C">
        <w:t xml:space="preserve">the targets and </w:t>
      </w:r>
      <w:r w:rsidR="00CD5E0D">
        <w:t>Labour hours</w:t>
      </w:r>
      <w:r w:rsidR="0040213C">
        <w:t xml:space="preserve"> </w:t>
      </w:r>
      <w:r>
        <w:t xml:space="preserve">remaining </w:t>
      </w:r>
      <w:r w:rsidR="0040213C">
        <w:t xml:space="preserve">in the </w:t>
      </w:r>
      <w:r w:rsidR="00442502">
        <w:t>c</w:t>
      </w:r>
      <w:r w:rsidR="0040213C">
        <w:t>ontract</w:t>
      </w:r>
      <w:r w:rsidR="00EC2F22">
        <w:t>,</w:t>
      </w:r>
    </w:p>
    <w:p w14:paraId="453EB825" w14:textId="6D140A97" w:rsidR="00D343C5" w:rsidRDefault="00D343C5" w:rsidP="00EC2F22">
      <w:pPr>
        <w:pStyle w:val="ListParagraph"/>
        <w:numPr>
          <w:ilvl w:val="0"/>
          <w:numId w:val="11"/>
        </w:numPr>
        <w:spacing w:after="0" w:line="276" w:lineRule="auto"/>
      </w:pPr>
      <w:r>
        <w:t xml:space="preserve">exercise discretion </w:t>
      </w:r>
      <w:r w:rsidR="00A65ED6">
        <w:t>to apply</w:t>
      </w:r>
      <w:r>
        <w:t xml:space="preserve"> PCP requirements where a </w:t>
      </w:r>
      <w:r w:rsidR="00442502">
        <w:t>c</w:t>
      </w:r>
      <w:r>
        <w:t>ontract is varied for reasons</w:t>
      </w:r>
      <w:r w:rsidR="005D2B31">
        <w:t xml:space="preserve"> including</w:t>
      </w:r>
      <w:r w:rsidR="004058C2">
        <w:t>,</w:t>
      </w:r>
      <w:r w:rsidR="005D2B31">
        <w:t xml:space="preserve"> but not limited to</w:t>
      </w:r>
      <w:r>
        <w:t>:</w:t>
      </w:r>
    </w:p>
    <w:p w14:paraId="122B3EA2" w14:textId="7C71F4E8" w:rsidR="00D343C5" w:rsidRPr="007058AA" w:rsidRDefault="005D2B31" w:rsidP="00EC2F22">
      <w:pPr>
        <w:pStyle w:val="ListBullet"/>
        <w:numPr>
          <w:ilvl w:val="2"/>
          <w:numId w:val="21"/>
        </w:numPr>
        <w:spacing w:line="276" w:lineRule="auto"/>
      </w:pPr>
      <w:r>
        <w:t>in</w:t>
      </w:r>
      <w:r w:rsidR="00D343C5">
        <w:t xml:space="preserve">sufficient time to offer Apprentices or </w:t>
      </w:r>
      <w:r w:rsidR="00690A32">
        <w:t>ICT cadet</w:t>
      </w:r>
      <w:r w:rsidR="00D343C5">
        <w:t xml:space="preserve">s a meaningful training experience, </w:t>
      </w:r>
      <w:r w:rsidR="00BA5B40">
        <w:t>e.g.</w:t>
      </w:r>
      <w:r w:rsidR="00D343C5">
        <w:t xml:space="preserve">, there is only one month remaining on the </w:t>
      </w:r>
      <w:r w:rsidR="00442502">
        <w:t>c</w:t>
      </w:r>
      <w:r w:rsidR="00D343C5">
        <w:t>ontract</w:t>
      </w:r>
      <w:r w:rsidR="007A075C">
        <w:t>.</w:t>
      </w:r>
    </w:p>
    <w:p w14:paraId="200E8281" w14:textId="2E16506F" w:rsidR="00D343C5" w:rsidRDefault="00D343C5" w:rsidP="00EC2F22">
      <w:pPr>
        <w:pStyle w:val="ListBullet"/>
        <w:numPr>
          <w:ilvl w:val="2"/>
          <w:numId w:val="21"/>
        </w:numPr>
        <w:spacing w:line="276" w:lineRule="auto"/>
      </w:pPr>
      <w:r>
        <w:t xml:space="preserve">the majority of the remaining </w:t>
      </w:r>
      <w:r w:rsidR="00442502">
        <w:t>c</w:t>
      </w:r>
      <w:r>
        <w:t>ontract deliverables are scheduled to be completed overseas.</w:t>
      </w:r>
    </w:p>
    <w:p w14:paraId="1ABEAB9C" w14:textId="2E50B99D" w:rsidR="00BA5B40" w:rsidRDefault="00D343C5" w:rsidP="00EC2F22">
      <w:pPr>
        <w:pStyle w:val="ListBullet"/>
        <w:numPr>
          <w:ilvl w:val="2"/>
          <w:numId w:val="21"/>
        </w:numPr>
        <w:spacing w:line="276" w:lineRule="auto"/>
      </w:pPr>
      <w:r>
        <w:t xml:space="preserve">the majority of the remaining </w:t>
      </w:r>
      <w:r w:rsidR="0032552F">
        <w:t>c</w:t>
      </w:r>
      <w:r>
        <w:t xml:space="preserve">ontract deliverables do not require </w:t>
      </w:r>
      <w:r w:rsidR="00CD5E0D">
        <w:t>Labour hours</w:t>
      </w:r>
    </w:p>
    <w:p w14:paraId="169B51A9" w14:textId="62C509CF" w:rsidR="00D343C5" w:rsidRDefault="00D343C5" w:rsidP="00EC2F22">
      <w:pPr>
        <w:pStyle w:val="ListBullet"/>
        <w:numPr>
          <w:ilvl w:val="2"/>
          <w:numId w:val="21"/>
        </w:numPr>
        <w:spacing w:line="276" w:lineRule="auto"/>
      </w:pPr>
      <w:r w:rsidRPr="00864BB7">
        <w:t xml:space="preserve">there are no </w:t>
      </w:r>
      <w:r>
        <w:t>suitable pathways for A</w:t>
      </w:r>
      <w:r w:rsidRPr="00864BB7">
        <w:t>pprentice</w:t>
      </w:r>
      <w:r>
        <w:t>s</w:t>
      </w:r>
      <w:r w:rsidRPr="00864BB7">
        <w:t xml:space="preserve"> or </w:t>
      </w:r>
      <w:r w:rsidR="00690A32">
        <w:t>ICT cadet</w:t>
      </w:r>
      <w:r>
        <w:t>s</w:t>
      </w:r>
      <w:r w:rsidRPr="00864BB7">
        <w:t xml:space="preserve"> in the remaining </w:t>
      </w:r>
      <w:r>
        <w:t xml:space="preserve">scope of </w:t>
      </w:r>
      <w:r w:rsidRPr="00864BB7">
        <w:t>work to be delivered</w:t>
      </w:r>
      <w:r w:rsidR="006F02BA">
        <w:t>.</w:t>
      </w:r>
    </w:p>
    <w:p w14:paraId="2E74D508" w14:textId="4C71A791" w:rsidR="00DD4B02" w:rsidRDefault="00AA1EA6" w:rsidP="00EC2F22">
      <w:pPr>
        <w:pStyle w:val="ListBullet"/>
        <w:numPr>
          <w:ilvl w:val="2"/>
          <w:numId w:val="21"/>
        </w:numPr>
        <w:spacing w:line="276" w:lineRule="auto"/>
      </w:pPr>
      <w:r>
        <w:t xml:space="preserve">document the reasons and maintain appropriate records where PCP requirements are not included as part of the </w:t>
      </w:r>
      <w:r w:rsidR="0032552F">
        <w:t>c</w:t>
      </w:r>
      <w:r>
        <w:t>ontract variation</w:t>
      </w:r>
      <w:r w:rsidR="00FF4A13">
        <w:t>.</w:t>
      </w:r>
    </w:p>
    <w:p w14:paraId="08C55B24" w14:textId="77777777" w:rsidR="002C525E" w:rsidRDefault="002C525E">
      <w:pPr>
        <w:spacing w:after="160" w:line="259" w:lineRule="auto"/>
        <w:rPr>
          <w:rFonts w:ascii="Segoe UI Emoji" w:eastAsia="Times New Roman" w:hAnsi="Segoe UI Emoji" w:cs="Segoe UI Emoji"/>
          <w:b/>
          <w:color w:val="5D7A38"/>
          <w:sz w:val="24"/>
          <w:szCs w:val="24"/>
          <w:lang w:eastAsia="en-AU"/>
        </w:rPr>
      </w:pPr>
      <w:r>
        <w:rPr>
          <w:rFonts w:ascii="Segoe UI Emoji" w:eastAsia="Times New Roman" w:hAnsi="Segoe UI Emoji" w:cs="Segoe UI Emoji"/>
          <w:color w:val="5D7A38"/>
          <w:sz w:val="24"/>
          <w:szCs w:val="24"/>
          <w:lang w:eastAsia="en-AU"/>
        </w:rPr>
        <w:br w:type="page"/>
      </w:r>
    </w:p>
    <w:p w14:paraId="61AC1DDB" w14:textId="328739E9" w:rsidR="00DD4B02" w:rsidRPr="00535C6B" w:rsidRDefault="00A5723A" w:rsidP="00535C6B">
      <w:pPr>
        <w:pStyle w:val="Heading2"/>
      </w:pPr>
      <w:bookmarkStart w:id="36" w:name="_Toc210109819"/>
      <w:r w:rsidRPr="006851E3">
        <w:rPr>
          <w:rFonts w:ascii="Segoe UI Emoji" w:eastAsia="Times New Roman" w:hAnsi="Segoe UI Emoji" w:cs="Segoe UI Emoji"/>
          <w:color w:val="5D7A38"/>
          <w:sz w:val="24"/>
          <w:szCs w:val="24"/>
          <w:lang w:eastAsia="en-AU"/>
        </w:rPr>
        <w:lastRenderedPageBreak/>
        <w:t>📌</w:t>
      </w:r>
      <w:r w:rsidRPr="00535C6B">
        <w:t xml:space="preserve"> </w:t>
      </w:r>
      <w:r w:rsidRPr="00A5723A">
        <w:rPr>
          <w:color w:val="5D7A38"/>
        </w:rPr>
        <w:t>C</w:t>
      </w:r>
      <w:r w:rsidR="00DD4B02" w:rsidRPr="00A5723A">
        <w:rPr>
          <w:color w:val="5D7A38"/>
        </w:rPr>
        <w:t xml:space="preserve">hecklist for </w:t>
      </w:r>
      <w:r w:rsidR="0069799B">
        <w:rPr>
          <w:color w:val="5D7A38"/>
        </w:rPr>
        <w:t>Relevant entities</w:t>
      </w:r>
      <w:bookmarkEnd w:id="36"/>
      <w:r w:rsidR="00DD4B02" w:rsidRPr="00535C6B">
        <w:t xml:space="preserve"> </w:t>
      </w:r>
    </w:p>
    <w:p w14:paraId="28CAD07C" w14:textId="1DF06AFC" w:rsidR="00D343C5" w:rsidRPr="00CD27C1" w:rsidRDefault="00D343C5" w:rsidP="00D343C5">
      <w:pPr>
        <w:spacing w:after="0"/>
        <w:rPr>
          <w:rFonts w:eastAsiaTheme="majorEastAsia" w:cstheme="majorBidi"/>
          <w:color w:val="404246"/>
        </w:rPr>
      </w:pPr>
      <w:r w:rsidRPr="00CD27C1">
        <w:rPr>
          <w:rFonts w:eastAsiaTheme="majorEastAsia" w:cstheme="majorBidi"/>
          <w:color w:val="404246"/>
        </w:rPr>
        <w:t xml:space="preserve">When a </w:t>
      </w:r>
      <w:r w:rsidR="0032552F">
        <w:rPr>
          <w:rFonts w:eastAsiaTheme="majorEastAsia" w:cstheme="majorBidi"/>
          <w:color w:val="404246"/>
        </w:rPr>
        <w:t>c</w:t>
      </w:r>
      <w:r w:rsidRPr="00CD27C1">
        <w:rPr>
          <w:rFonts w:eastAsiaTheme="majorEastAsia" w:cstheme="majorBidi"/>
          <w:color w:val="404246"/>
        </w:rPr>
        <w:t>ontract is varied, consider the following actions:</w:t>
      </w:r>
    </w:p>
    <w:p w14:paraId="07ACEFC1" w14:textId="77777777" w:rsidR="00D343C5" w:rsidRPr="00CD27C1" w:rsidRDefault="00D343C5" w:rsidP="00F925F1">
      <w:pPr>
        <w:numPr>
          <w:ilvl w:val="0"/>
          <w:numId w:val="6"/>
        </w:numPr>
        <w:spacing w:after="0"/>
        <w:ind w:hanging="720"/>
        <w:rPr>
          <w:rFonts w:eastAsiaTheme="majorEastAsia" w:cstheme="majorBidi"/>
          <w:color w:val="404246"/>
        </w:rPr>
      </w:pPr>
      <w:r w:rsidRPr="00CD27C1">
        <w:rPr>
          <w:rFonts w:eastAsiaTheme="majorEastAsia" w:cstheme="majorBidi"/>
          <w:b/>
          <w:bCs/>
          <w:color w:val="404246"/>
        </w:rPr>
        <w:t>Risk Management</w:t>
      </w:r>
    </w:p>
    <w:p w14:paraId="10767644" w14:textId="77777777" w:rsidR="00D343C5" w:rsidRPr="00CD27C1" w:rsidRDefault="00D343C5" w:rsidP="0098394D">
      <w:pPr>
        <w:rPr>
          <w:rFonts w:eastAsiaTheme="majorEastAsia" w:cstheme="majorBidi"/>
          <w:color w:val="404246"/>
        </w:rPr>
      </w:pPr>
      <w:r w:rsidRPr="00CD27C1">
        <w:rPr>
          <w:rFonts w:ascii="Segoe UI Symbol" w:eastAsiaTheme="majorEastAsia" w:hAnsi="Segoe UI Symbol" w:cs="Segoe UI Symbol"/>
          <w:color w:val="404246"/>
        </w:rPr>
        <w:t>☐</w:t>
      </w:r>
      <w:r w:rsidRPr="00CD27C1">
        <w:rPr>
          <w:rFonts w:eastAsiaTheme="majorEastAsia" w:cstheme="majorBidi"/>
          <w:color w:val="404246"/>
        </w:rPr>
        <w:t xml:space="preserve"> Update the </w:t>
      </w:r>
      <w:r w:rsidRPr="00CD27C1">
        <w:rPr>
          <w:rFonts w:eastAsiaTheme="majorEastAsia" w:cstheme="majorBidi"/>
          <w:b/>
          <w:bCs/>
          <w:color w:val="404246"/>
        </w:rPr>
        <w:t>Procurement Risk Plan</w:t>
      </w:r>
      <w:r w:rsidRPr="00CD27C1">
        <w:rPr>
          <w:rFonts w:eastAsiaTheme="majorEastAsia" w:cstheme="majorBidi"/>
          <w:color w:val="404246"/>
        </w:rPr>
        <w:t> to reflect any new or altered risks.</w:t>
      </w:r>
    </w:p>
    <w:p w14:paraId="2BA3B631" w14:textId="77777777" w:rsidR="00D343C5" w:rsidRPr="00CD27C1" w:rsidRDefault="00D343C5" w:rsidP="00F925F1">
      <w:pPr>
        <w:numPr>
          <w:ilvl w:val="0"/>
          <w:numId w:val="6"/>
        </w:numPr>
        <w:spacing w:after="0"/>
        <w:ind w:hanging="720"/>
        <w:rPr>
          <w:rFonts w:eastAsiaTheme="majorEastAsia" w:cstheme="majorBidi"/>
          <w:b/>
          <w:bCs/>
          <w:color w:val="404246"/>
        </w:rPr>
      </w:pPr>
      <w:r w:rsidRPr="00CD27C1">
        <w:rPr>
          <w:rFonts w:eastAsiaTheme="majorEastAsia" w:cstheme="majorBidi"/>
          <w:b/>
          <w:bCs/>
          <w:color w:val="404246"/>
        </w:rPr>
        <w:t>Systems and Records</w:t>
      </w:r>
    </w:p>
    <w:p w14:paraId="42914513" w14:textId="7025963A" w:rsidR="00D343C5" w:rsidRPr="00CD27C1" w:rsidRDefault="00D343C5" w:rsidP="0098394D">
      <w:pPr>
        <w:spacing w:after="0"/>
        <w:rPr>
          <w:rFonts w:eastAsiaTheme="majorEastAsia" w:cstheme="majorBidi"/>
          <w:color w:val="404246"/>
        </w:rPr>
      </w:pPr>
      <w:r w:rsidRPr="28F185B3">
        <w:rPr>
          <w:rFonts w:ascii="Segoe UI Symbol" w:eastAsiaTheme="majorEastAsia" w:hAnsi="Segoe UI Symbol" w:cs="Segoe UI Symbol"/>
          <w:color w:val="404246"/>
        </w:rPr>
        <w:t>☐</w:t>
      </w:r>
      <w:r w:rsidRPr="28F185B3">
        <w:rPr>
          <w:rFonts w:eastAsiaTheme="majorEastAsia" w:cstheme="majorBidi"/>
          <w:color w:val="404246"/>
        </w:rPr>
        <w:t xml:space="preserve"> Update </w:t>
      </w:r>
      <w:r w:rsidRPr="28F185B3">
        <w:rPr>
          <w:rFonts w:eastAsiaTheme="majorEastAsia" w:cstheme="majorBidi"/>
          <w:b/>
          <w:bCs/>
          <w:color w:val="404246"/>
        </w:rPr>
        <w:t>ADMS</w:t>
      </w:r>
      <w:r w:rsidRPr="28F185B3">
        <w:rPr>
          <w:rFonts w:eastAsiaTheme="majorEastAsia" w:cstheme="majorBidi"/>
          <w:color w:val="404246"/>
        </w:rPr>
        <w:t xml:space="preserve"> including any changes to </w:t>
      </w:r>
      <w:r w:rsidR="00102FBE">
        <w:rPr>
          <w:rFonts w:eastAsiaTheme="majorEastAsia" w:cstheme="majorBidi"/>
          <w:color w:val="404246"/>
        </w:rPr>
        <w:t>S</w:t>
      </w:r>
      <w:r w:rsidRPr="28F185B3">
        <w:rPr>
          <w:rFonts w:eastAsiaTheme="majorEastAsia" w:cstheme="majorBidi"/>
          <w:color w:val="404246"/>
        </w:rPr>
        <w:t>upplier contact details and reporting status.</w:t>
      </w:r>
    </w:p>
    <w:p w14:paraId="5A13CA7C" w14:textId="46B432DF" w:rsidR="00D343C5" w:rsidRDefault="0098394D" w:rsidP="00374895">
      <w:pPr>
        <w:pStyle w:val="ListParagraph"/>
        <w:numPr>
          <w:ilvl w:val="0"/>
          <w:numId w:val="5"/>
        </w:numPr>
        <w:spacing w:after="0" w:line="276" w:lineRule="auto"/>
        <w:rPr>
          <w:rFonts w:eastAsiaTheme="majorEastAsia" w:cstheme="majorBidi"/>
          <w:color w:val="404246"/>
        </w:rPr>
      </w:pPr>
      <w:r>
        <w:rPr>
          <w:rFonts w:eastAsiaTheme="majorEastAsia" w:cstheme="majorBidi"/>
          <w:color w:val="404246"/>
        </w:rPr>
        <w:t>g</w:t>
      </w:r>
      <w:r w:rsidR="00D343C5" w:rsidRPr="28F185B3">
        <w:rPr>
          <w:rFonts w:eastAsiaTheme="majorEastAsia" w:cstheme="majorBidi"/>
          <w:color w:val="404246"/>
        </w:rPr>
        <w:t xml:space="preserve">uidance on accessing and using ADMS is available on the Australian Skills Guarantee </w:t>
      </w:r>
      <w:hyperlink r:id="rId25" w:history="1">
        <w:r w:rsidR="00F925F1" w:rsidRPr="002A3C90">
          <w:rPr>
            <w:rStyle w:val="Hyperlink"/>
            <w:rFonts w:eastAsiaTheme="majorEastAsia" w:cstheme="majorBidi"/>
          </w:rPr>
          <w:t>GovTeams SharePoint</w:t>
        </w:r>
      </w:hyperlink>
      <w:r w:rsidR="00D343C5" w:rsidRPr="28F185B3">
        <w:rPr>
          <w:rFonts w:eastAsiaTheme="majorEastAsia" w:cstheme="majorBidi"/>
          <w:color w:val="404246"/>
        </w:rPr>
        <w:t>.</w:t>
      </w:r>
    </w:p>
    <w:p w14:paraId="444BD60E" w14:textId="77777777" w:rsidR="00D343C5" w:rsidRPr="00CD27C1" w:rsidRDefault="00D343C5" w:rsidP="0098394D">
      <w:pPr>
        <w:spacing w:after="0"/>
        <w:rPr>
          <w:rFonts w:eastAsiaTheme="majorEastAsia" w:cstheme="majorBidi"/>
          <w:color w:val="404246"/>
        </w:rPr>
      </w:pPr>
      <w:r w:rsidRPr="00CD27C1">
        <w:rPr>
          <w:rFonts w:ascii="Segoe UI Symbol" w:eastAsiaTheme="majorEastAsia" w:hAnsi="Segoe UI Symbol" w:cs="Segoe UI Symbol"/>
          <w:color w:val="404246"/>
        </w:rPr>
        <w:t>☐</w:t>
      </w:r>
      <w:r w:rsidRPr="00CD27C1">
        <w:rPr>
          <w:rFonts w:eastAsiaTheme="majorEastAsia" w:cstheme="majorBidi"/>
          <w:color w:val="404246"/>
        </w:rPr>
        <w:t xml:space="preserve"> Ensure </w:t>
      </w:r>
      <w:r w:rsidRPr="00CD27C1">
        <w:rPr>
          <w:rFonts w:eastAsiaTheme="majorEastAsia" w:cstheme="majorBidi"/>
          <w:b/>
          <w:bCs/>
          <w:color w:val="404246"/>
        </w:rPr>
        <w:t>Records Management</w:t>
      </w:r>
      <w:r w:rsidRPr="00CD27C1">
        <w:rPr>
          <w:rFonts w:eastAsiaTheme="majorEastAsia" w:cstheme="majorBidi"/>
          <w:color w:val="404246"/>
        </w:rPr>
        <w:t> of:</w:t>
      </w:r>
    </w:p>
    <w:p w14:paraId="2C5FBD37" w14:textId="1C2E06D9" w:rsidR="00D343C5" w:rsidRPr="00CD27C1" w:rsidRDefault="0098394D" w:rsidP="0098394D">
      <w:pPr>
        <w:numPr>
          <w:ilvl w:val="2"/>
          <w:numId w:val="6"/>
        </w:numPr>
        <w:tabs>
          <w:tab w:val="clear" w:pos="2160"/>
          <w:tab w:val="num" w:pos="1418"/>
        </w:tabs>
        <w:spacing w:after="0"/>
        <w:ind w:left="993" w:hanging="284"/>
        <w:rPr>
          <w:rFonts w:eastAsiaTheme="majorEastAsia" w:cstheme="majorBidi"/>
          <w:color w:val="404246"/>
        </w:rPr>
      </w:pPr>
      <w:r>
        <w:rPr>
          <w:rFonts w:eastAsiaTheme="majorEastAsia" w:cstheme="majorBidi"/>
          <w:color w:val="404246"/>
        </w:rPr>
        <w:t>t</w:t>
      </w:r>
      <w:r w:rsidR="00D343C5" w:rsidRPr="00CD27C1">
        <w:rPr>
          <w:rFonts w:eastAsiaTheme="majorEastAsia" w:cstheme="majorBidi"/>
          <w:color w:val="404246"/>
        </w:rPr>
        <w:t xml:space="preserve">he updated </w:t>
      </w:r>
      <w:r w:rsidR="0032552F">
        <w:rPr>
          <w:rFonts w:eastAsiaTheme="majorEastAsia" w:cstheme="majorBidi"/>
          <w:color w:val="404246"/>
        </w:rPr>
        <w:t>c</w:t>
      </w:r>
      <w:r w:rsidR="00D343C5" w:rsidRPr="00CD27C1">
        <w:rPr>
          <w:rFonts w:eastAsiaTheme="majorEastAsia" w:cstheme="majorBidi"/>
          <w:color w:val="404246"/>
        </w:rPr>
        <w:t>ontract.</w:t>
      </w:r>
    </w:p>
    <w:p w14:paraId="1580CB4E" w14:textId="32F3C8EB" w:rsidR="002C525E" w:rsidRPr="002C525E" w:rsidRDefault="0098394D" w:rsidP="0098394D">
      <w:pPr>
        <w:numPr>
          <w:ilvl w:val="2"/>
          <w:numId w:val="6"/>
        </w:numPr>
        <w:tabs>
          <w:tab w:val="clear" w:pos="2160"/>
          <w:tab w:val="num" w:pos="1418"/>
        </w:tabs>
        <w:ind w:left="993" w:hanging="284"/>
        <w:rPr>
          <w:rFonts w:eastAsiaTheme="majorEastAsia" w:cstheme="majorBidi"/>
          <w:color w:val="404246"/>
        </w:rPr>
      </w:pPr>
      <w:r>
        <w:rPr>
          <w:rFonts w:eastAsiaTheme="majorEastAsia" w:cstheme="majorBidi"/>
          <w:color w:val="404246"/>
        </w:rPr>
        <w:t>s</w:t>
      </w:r>
      <w:r w:rsidR="00D343C5" w:rsidRPr="00CD27C1">
        <w:rPr>
          <w:rFonts w:eastAsiaTheme="majorEastAsia" w:cstheme="majorBidi"/>
          <w:color w:val="404246"/>
        </w:rPr>
        <w:t>upporting documentation and decisions related to the variation.</w:t>
      </w:r>
    </w:p>
    <w:p w14:paraId="19844607" w14:textId="77777777" w:rsidR="00D343C5" w:rsidRPr="00CD27C1" w:rsidRDefault="00D343C5" w:rsidP="002C525E">
      <w:pPr>
        <w:numPr>
          <w:ilvl w:val="0"/>
          <w:numId w:val="6"/>
        </w:numPr>
        <w:spacing w:after="0"/>
        <w:ind w:hanging="720"/>
        <w:rPr>
          <w:rFonts w:eastAsiaTheme="majorEastAsia" w:cstheme="majorBidi"/>
          <w:b/>
          <w:bCs/>
          <w:color w:val="404246"/>
        </w:rPr>
      </w:pPr>
      <w:r w:rsidRPr="00CD27C1">
        <w:rPr>
          <w:rFonts w:eastAsiaTheme="majorEastAsia" w:cstheme="majorBidi"/>
          <w:b/>
          <w:bCs/>
          <w:color w:val="404246"/>
        </w:rPr>
        <w:t>Reporting Obligations</w:t>
      </w:r>
    </w:p>
    <w:p w14:paraId="027F3990" w14:textId="049AAF99" w:rsidR="00D343C5" w:rsidRPr="00CD27C1" w:rsidRDefault="00D343C5" w:rsidP="0098394D">
      <w:pPr>
        <w:rPr>
          <w:rFonts w:eastAsiaTheme="majorEastAsia" w:cstheme="majorBidi"/>
          <w:color w:val="404246"/>
        </w:rPr>
      </w:pPr>
      <w:r w:rsidRPr="00CD27C1">
        <w:rPr>
          <w:rFonts w:ascii="Segoe UI Symbol" w:eastAsiaTheme="majorEastAsia" w:hAnsi="Segoe UI Symbol" w:cs="Segoe UI Symbol"/>
          <w:color w:val="404246"/>
        </w:rPr>
        <w:t>☐</w:t>
      </w:r>
      <w:r w:rsidRPr="00CD27C1">
        <w:rPr>
          <w:rFonts w:eastAsiaTheme="majorEastAsia" w:cstheme="majorBidi"/>
          <w:color w:val="404246"/>
        </w:rPr>
        <w:t xml:space="preserve"> Report the </w:t>
      </w:r>
      <w:r w:rsidR="0032552F">
        <w:rPr>
          <w:rFonts w:eastAsiaTheme="majorEastAsia" w:cstheme="majorBidi"/>
          <w:color w:val="404246"/>
        </w:rPr>
        <w:t>c</w:t>
      </w:r>
      <w:r w:rsidRPr="00CD27C1">
        <w:rPr>
          <w:rFonts w:eastAsiaTheme="majorEastAsia" w:cstheme="majorBidi"/>
          <w:color w:val="404246"/>
        </w:rPr>
        <w:t>ontract variation on </w:t>
      </w:r>
      <w:r w:rsidRPr="00CD27C1">
        <w:rPr>
          <w:rFonts w:eastAsiaTheme="majorEastAsia" w:cstheme="majorBidi"/>
          <w:b/>
          <w:bCs/>
          <w:color w:val="404246"/>
        </w:rPr>
        <w:t>AusTender</w:t>
      </w:r>
      <w:r w:rsidRPr="00CD27C1">
        <w:rPr>
          <w:rFonts w:eastAsiaTheme="majorEastAsia" w:cstheme="majorBidi"/>
          <w:color w:val="404246"/>
        </w:rPr>
        <w:t> within </w:t>
      </w:r>
      <w:r w:rsidRPr="00CD27C1">
        <w:rPr>
          <w:rFonts w:eastAsiaTheme="majorEastAsia" w:cstheme="majorBidi"/>
          <w:b/>
          <w:bCs/>
          <w:color w:val="404246"/>
        </w:rPr>
        <w:t>42 days</w:t>
      </w:r>
      <w:r w:rsidRPr="00CD27C1">
        <w:rPr>
          <w:rFonts w:eastAsiaTheme="majorEastAsia" w:cstheme="majorBidi"/>
          <w:color w:val="404246"/>
        </w:rPr>
        <w:t>, if the updated contract value is </w:t>
      </w:r>
      <w:r w:rsidRPr="00CD27C1">
        <w:rPr>
          <w:rFonts w:eastAsiaTheme="majorEastAsia" w:cstheme="majorBidi"/>
          <w:b/>
          <w:bCs/>
          <w:color w:val="404246"/>
        </w:rPr>
        <w:t>$10,000 or more</w:t>
      </w:r>
      <w:r w:rsidRPr="00CD27C1">
        <w:rPr>
          <w:rFonts w:eastAsiaTheme="majorEastAsia" w:cstheme="majorBidi"/>
          <w:color w:val="404246"/>
        </w:rPr>
        <w:t>.</w:t>
      </w:r>
    </w:p>
    <w:p w14:paraId="65CFF392" w14:textId="77777777" w:rsidR="00D343C5" w:rsidRPr="00CD27C1" w:rsidRDefault="00D343C5" w:rsidP="002C525E">
      <w:pPr>
        <w:numPr>
          <w:ilvl w:val="0"/>
          <w:numId w:val="6"/>
        </w:numPr>
        <w:spacing w:after="0"/>
        <w:ind w:hanging="720"/>
        <w:rPr>
          <w:rFonts w:eastAsiaTheme="majorEastAsia" w:cstheme="majorBidi"/>
          <w:b/>
          <w:bCs/>
          <w:color w:val="404246"/>
        </w:rPr>
      </w:pPr>
      <w:r w:rsidRPr="00CD27C1">
        <w:rPr>
          <w:rFonts w:eastAsiaTheme="majorEastAsia" w:cstheme="majorBidi"/>
          <w:b/>
          <w:bCs/>
          <w:color w:val="404246"/>
        </w:rPr>
        <w:t>Privacy Compliance</w:t>
      </w:r>
    </w:p>
    <w:p w14:paraId="75C012F6" w14:textId="2A58A5A5" w:rsidR="00D343C5" w:rsidRPr="00CD27C1" w:rsidRDefault="00D343C5" w:rsidP="0098394D">
      <w:pPr>
        <w:rPr>
          <w:rFonts w:eastAsiaTheme="majorEastAsia" w:cstheme="majorBidi"/>
          <w:color w:val="404246"/>
        </w:rPr>
      </w:pPr>
      <w:r w:rsidRPr="00CD27C1">
        <w:rPr>
          <w:rFonts w:ascii="Segoe UI Symbol" w:eastAsiaTheme="majorEastAsia" w:hAnsi="Segoe UI Symbol" w:cs="Segoe UI Symbol"/>
          <w:color w:val="404246"/>
        </w:rPr>
        <w:t>☐</w:t>
      </w:r>
      <w:r w:rsidRPr="00CD27C1">
        <w:rPr>
          <w:rFonts w:eastAsiaTheme="majorEastAsia" w:cstheme="majorBidi"/>
          <w:color w:val="404246"/>
        </w:rPr>
        <w:t xml:space="preserve"> Send the </w:t>
      </w:r>
      <w:r w:rsidRPr="00CD27C1">
        <w:rPr>
          <w:rFonts w:eastAsiaTheme="majorEastAsia" w:cstheme="majorBidi"/>
          <w:b/>
          <w:bCs/>
          <w:color w:val="404246"/>
        </w:rPr>
        <w:t>Privacy Notice</w:t>
      </w:r>
      <w:r w:rsidRPr="00CD27C1">
        <w:rPr>
          <w:rFonts w:eastAsiaTheme="majorEastAsia" w:cstheme="majorBidi"/>
          <w:color w:val="404246"/>
        </w:rPr>
        <w:t xml:space="preserve"> to the </w:t>
      </w:r>
      <w:r w:rsidR="00DA3378">
        <w:rPr>
          <w:rFonts w:eastAsiaTheme="majorEastAsia" w:cstheme="majorBidi"/>
          <w:color w:val="404246"/>
        </w:rPr>
        <w:t>S</w:t>
      </w:r>
      <w:r w:rsidRPr="00CD27C1">
        <w:rPr>
          <w:rFonts w:eastAsiaTheme="majorEastAsia" w:cstheme="majorBidi"/>
          <w:color w:val="404246"/>
        </w:rPr>
        <w:t>upplier, if required under the variation.</w:t>
      </w:r>
    </w:p>
    <w:p w14:paraId="64A45FED" w14:textId="1C43B638" w:rsidR="00D343C5" w:rsidRPr="00CD27C1" w:rsidRDefault="00D343C5" w:rsidP="002C525E">
      <w:pPr>
        <w:numPr>
          <w:ilvl w:val="0"/>
          <w:numId w:val="6"/>
        </w:numPr>
        <w:spacing w:after="0"/>
        <w:ind w:hanging="720"/>
        <w:rPr>
          <w:rFonts w:eastAsiaTheme="majorEastAsia" w:cstheme="majorBidi"/>
          <w:b/>
          <w:bCs/>
          <w:color w:val="404246"/>
        </w:rPr>
      </w:pPr>
      <w:r w:rsidRPr="00CD27C1">
        <w:rPr>
          <w:rFonts w:eastAsiaTheme="majorEastAsia" w:cstheme="majorBidi"/>
          <w:b/>
          <w:bCs/>
          <w:color w:val="404246"/>
        </w:rPr>
        <w:t xml:space="preserve">GEAP Requirements </w:t>
      </w:r>
    </w:p>
    <w:p w14:paraId="1100EAFB" w14:textId="0FCF7C89" w:rsidR="00D343C5" w:rsidRPr="00CD27C1" w:rsidRDefault="00D343C5" w:rsidP="0098394D">
      <w:pPr>
        <w:spacing w:after="0"/>
        <w:rPr>
          <w:rFonts w:eastAsiaTheme="majorEastAsia" w:cstheme="majorBidi"/>
          <w:color w:val="404246"/>
        </w:rPr>
      </w:pPr>
      <w:r w:rsidRPr="00CD27C1">
        <w:rPr>
          <w:rFonts w:ascii="Segoe UI Symbol" w:eastAsiaTheme="majorEastAsia" w:hAnsi="Segoe UI Symbol" w:cs="Segoe UI Symbol"/>
          <w:color w:val="404246"/>
        </w:rPr>
        <w:t>☐</w:t>
      </w:r>
      <w:r w:rsidRPr="00CD27C1">
        <w:rPr>
          <w:rFonts w:eastAsiaTheme="majorEastAsia" w:cstheme="majorBidi"/>
          <w:color w:val="404246"/>
        </w:rPr>
        <w:t xml:space="preserve"> Request a </w:t>
      </w:r>
      <w:r w:rsidRPr="00CD27C1">
        <w:rPr>
          <w:rFonts w:eastAsiaTheme="majorEastAsia" w:cstheme="majorBidi"/>
          <w:b/>
          <w:bCs/>
          <w:color w:val="404246"/>
        </w:rPr>
        <w:t>GEAP</w:t>
      </w:r>
      <w:r w:rsidRPr="00CD27C1">
        <w:rPr>
          <w:rFonts w:eastAsiaTheme="majorEastAsia" w:cstheme="majorBidi"/>
          <w:color w:val="404246"/>
        </w:rPr>
        <w:t xml:space="preserve"> from the </w:t>
      </w:r>
      <w:r w:rsidR="00AB3BE9">
        <w:rPr>
          <w:rFonts w:eastAsiaTheme="majorEastAsia" w:cstheme="majorBidi"/>
          <w:color w:val="404246"/>
        </w:rPr>
        <w:t>S</w:t>
      </w:r>
      <w:r w:rsidRPr="00CD27C1">
        <w:rPr>
          <w:rFonts w:eastAsiaTheme="majorEastAsia" w:cstheme="majorBidi"/>
          <w:color w:val="404246"/>
        </w:rPr>
        <w:t>upplier if the procurement has changed classification:</w:t>
      </w:r>
    </w:p>
    <w:p w14:paraId="1181C6AA" w14:textId="528E5960" w:rsidR="00D343C5" w:rsidRPr="00EB20E7" w:rsidRDefault="0098394D" w:rsidP="00831A68">
      <w:pPr>
        <w:numPr>
          <w:ilvl w:val="2"/>
          <w:numId w:val="6"/>
        </w:numPr>
        <w:tabs>
          <w:tab w:val="clear" w:pos="2160"/>
          <w:tab w:val="num" w:pos="1418"/>
        </w:tabs>
        <w:spacing w:after="0"/>
        <w:ind w:left="993" w:hanging="284"/>
        <w:rPr>
          <w:rFonts w:eastAsiaTheme="majorEastAsia" w:cstheme="majorBidi"/>
          <w:color w:val="404246"/>
        </w:rPr>
      </w:pPr>
      <w:r>
        <w:rPr>
          <w:rFonts w:eastAsiaTheme="majorEastAsia" w:cstheme="majorBidi"/>
          <w:color w:val="404246"/>
        </w:rPr>
        <w:t>f</w:t>
      </w:r>
      <w:r w:rsidR="00D343C5" w:rsidRPr="00CD27C1">
        <w:rPr>
          <w:rFonts w:eastAsiaTheme="majorEastAsia" w:cstheme="majorBidi"/>
          <w:color w:val="404246"/>
        </w:rPr>
        <w:t>rom a </w:t>
      </w:r>
      <w:r w:rsidR="00D343C5" w:rsidRPr="00CD27C1">
        <w:rPr>
          <w:rFonts w:eastAsiaTheme="majorEastAsia" w:cstheme="majorBidi"/>
          <w:b/>
          <w:bCs/>
          <w:color w:val="404246"/>
        </w:rPr>
        <w:t xml:space="preserve">Major </w:t>
      </w:r>
      <w:r w:rsidR="00FF7634">
        <w:rPr>
          <w:rFonts w:eastAsiaTheme="majorEastAsia" w:cstheme="majorBidi"/>
          <w:b/>
          <w:bCs/>
          <w:color w:val="404246"/>
        </w:rPr>
        <w:t>c</w:t>
      </w:r>
      <w:r w:rsidR="00D343C5" w:rsidRPr="00CD27C1">
        <w:rPr>
          <w:rFonts w:eastAsiaTheme="majorEastAsia" w:cstheme="majorBidi"/>
          <w:b/>
          <w:bCs/>
          <w:color w:val="404246"/>
        </w:rPr>
        <w:t xml:space="preserve">onstruction </w:t>
      </w:r>
      <w:r w:rsidR="00FF7634">
        <w:rPr>
          <w:rFonts w:eastAsiaTheme="majorEastAsia" w:cstheme="majorBidi"/>
          <w:b/>
          <w:bCs/>
          <w:color w:val="404246"/>
        </w:rPr>
        <w:t>p</w:t>
      </w:r>
      <w:r w:rsidR="00D343C5" w:rsidRPr="00CD27C1">
        <w:rPr>
          <w:rFonts w:eastAsiaTheme="majorEastAsia" w:cstheme="majorBidi"/>
          <w:b/>
          <w:bCs/>
          <w:color w:val="404246"/>
        </w:rPr>
        <w:t>roject</w:t>
      </w:r>
      <w:r w:rsidR="00D343C5" w:rsidRPr="00CD27C1">
        <w:rPr>
          <w:rFonts w:eastAsiaTheme="majorEastAsia" w:cstheme="majorBidi"/>
          <w:color w:val="404246"/>
        </w:rPr>
        <w:t> to a </w:t>
      </w:r>
      <w:r w:rsidR="00D343C5" w:rsidRPr="00CD27C1">
        <w:rPr>
          <w:rFonts w:eastAsiaTheme="majorEastAsia" w:cstheme="majorBidi"/>
          <w:b/>
          <w:bCs/>
          <w:color w:val="404246"/>
        </w:rPr>
        <w:t xml:space="preserve">Flagship </w:t>
      </w:r>
      <w:r w:rsidR="00FF7634">
        <w:rPr>
          <w:rFonts w:eastAsiaTheme="majorEastAsia" w:cstheme="majorBidi"/>
          <w:b/>
          <w:bCs/>
          <w:color w:val="404246"/>
        </w:rPr>
        <w:t>c</w:t>
      </w:r>
      <w:r w:rsidR="00D343C5" w:rsidRPr="00CD27C1">
        <w:rPr>
          <w:rFonts w:eastAsiaTheme="majorEastAsia" w:cstheme="majorBidi"/>
          <w:b/>
          <w:bCs/>
          <w:color w:val="404246"/>
        </w:rPr>
        <w:t xml:space="preserve">onstruction </w:t>
      </w:r>
      <w:r w:rsidR="00FF7634">
        <w:rPr>
          <w:rFonts w:eastAsiaTheme="majorEastAsia" w:cstheme="majorBidi"/>
          <w:b/>
          <w:bCs/>
          <w:color w:val="404246"/>
        </w:rPr>
        <w:t>p</w:t>
      </w:r>
      <w:r w:rsidR="00D343C5" w:rsidRPr="00CD27C1">
        <w:rPr>
          <w:rFonts w:eastAsiaTheme="majorEastAsia" w:cstheme="majorBidi"/>
          <w:b/>
          <w:bCs/>
          <w:color w:val="404246"/>
        </w:rPr>
        <w:t>roject</w:t>
      </w:r>
    </w:p>
    <w:p w14:paraId="6B0BA9B6" w14:textId="5C5CCCBD" w:rsidR="00E2501D" w:rsidRDefault="00D343C5" w:rsidP="0098394D">
      <w:pPr>
        <w:rPr>
          <w:rFonts w:eastAsiaTheme="majorEastAsia" w:cstheme="majorBidi"/>
          <w:color w:val="404246"/>
        </w:rPr>
      </w:pPr>
      <w:r w:rsidRPr="00CD27C1">
        <w:rPr>
          <w:rFonts w:ascii="Segoe UI Symbol" w:eastAsiaTheme="majorEastAsia" w:hAnsi="Segoe UI Symbol" w:cs="Segoe UI Symbol"/>
          <w:color w:val="404246"/>
        </w:rPr>
        <w:t>☐</w:t>
      </w:r>
      <w:r w:rsidRPr="00CD27C1">
        <w:rPr>
          <w:rFonts w:eastAsiaTheme="majorEastAsia" w:cstheme="majorBidi"/>
          <w:color w:val="404246"/>
        </w:rPr>
        <w:t xml:space="preserve"> Provide a copy of the GEAP to </w:t>
      </w:r>
      <w:r w:rsidR="00F7524F">
        <w:rPr>
          <w:rFonts w:eastAsiaTheme="majorEastAsia" w:cstheme="majorBidi"/>
          <w:b/>
          <w:bCs/>
          <w:color w:val="404246"/>
        </w:rPr>
        <w:t>DEWR</w:t>
      </w:r>
      <w:r w:rsidRPr="00CD27C1">
        <w:rPr>
          <w:rFonts w:eastAsiaTheme="majorEastAsia" w:cstheme="majorBidi"/>
          <w:color w:val="404246"/>
        </w:rPr>
        <w:t> as part of your </w:t>
      </w:r>
      <w:r w:rsidRPr="00CD27C1">
        <w:rPr>
          <w:rFonts w:eastAsiaTheme="majorEastAsia" w:cstheme="majorBidi"/>
          <w:b/>
          <w:bCs/>
          <w:color w:val="404246"/>
        </w:rPr>
        <w:t>six-monthly reporting</w:t>
      </w:r>
      <w:r w:rsidRPr="00CD27C1">
        <w:rPr>
          <w:rFonts w:eastAsiaTheme="majorEastAsia" w:cstheme="majorBidi"/>
          <w:color w:val="404246"/>
        </w:rPr>
        <w:t>.</w:t>
      </w:r>
    </w:p>
    <w:p w14:paraId="5564F682" w14:textId="77777777" w:rsidR="0098394D" w:rsidRDefault="0098394D">
      <w:pPr>
        <w:spacing w:after="160" w:line="259" w:lineRule="auto"/>
        <w:rPr>
          <w:rFonts w:ascii="Calibri" w:eastAsiaTheme="majorEastAsia" w:hAnsi="Calibri" w:cstheme="majorBidi"/>
          <w:b/>
          <w:color w:val="404246"/>
          <w:sz w:val="30"/>
          <w:szCs w:val="26"/>
        </w:rPr>
      </w:pPr>
      <w:r>
        <w:br w:type="page"/>
      </w:r>
    </w:p>
    <w:p w14:paraId="20C0F94E" w14:textId="6F276545" w:rsidR="006851E3" w:rsidRPr="00535C6B" w:rsidRDefault="006851E3" w:rsidP="00535C6B">
      <w:pPr>
        <w:pStyle w:val="Heading2"/>
      </w:pPr>
      <w:bookmarkStart w:id="37" w:name="_Toc210109820"/>
      <w:r w:rsidRPr="00535C6B">
        <w:lastRenderedPageBreak/>
        <w:t>Contract variation example</w:t>
      </w:r>
      <w:r w:rsidR="00767D67">
        <w:t>s</w:t>
      </w:r>
      <w:bookmarkEnd w:id="37"/>
    </w:p>
    <w:p w14:paraId="2628EDCB" w14:textId="77777777" w:rsidR="006851E3" w:rsidRPr="00C76A7D" w:rsidRDefault="006851E3" w:rsidP="006851E3">
      <w:pPr>
        <w:pStyle w:val="Heading5"/>
        <w:spacing w:before="0"/>
      </w:pPr>
      <w:r>
        <w:t>Scenario 1 (a) – Supplier agrees to include PCP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851E3" w14:paraId="6192D095" w14:textId="77777777" w:rsidTr="00205E7F">
        <w:tc>
          <w:tcPr>
            <w:tcW w:w="9060" w:type="dxa"/>
          </w:tcPr>
          <w:p w14:paraId="0B375107" w14:textId="77777777" w:rsidR="006851E3" w:rsidRDefault="006851E3" w:rsidP="00205E7F">
            <w:pPr>
              <w:spacing w:before="120" w:after="120"/>
            </w:pPr>
            <w:r>
              <w:t xml:space="preserve">The </w:t>
            </w:r>
            <w:r w:rsidRPr="00B4032D">
              <w:rPr>
                <w:i/>
                <w:iCs/>
              </w:rPr>
              <w:t>Department of Example Scenarios</w:t>
            </w:r>
            <w:r>
              <w:t xml:space="preserve"> has contracted </w:t>
            </w:r>
            <w:r w:rsidRPr="00B4032D">
              <w:rPr>
                <w:i/>
                <w:iCs/>
              </w:rPr>
              <w:t>Construction</w:t>
            </w:r>
            <w:r>
              <w:rPr>
                <w:i/>
                <w:iCs/>
              </w:rPr>
              <w:t xml:space="preserve"> Company A</w:t>
            </w:r>
            <w:r>
              <w:t xml:space="preserve"> to deliver construction services. </w:t>
            </w:r>
          </w:p>
          <w:p w14:paraId="642C2992" w14:textId="0DE649C2" w:rsidR="006851E3" w:rsidRDefault="006851E3" w:rsidP="00205E7F">
            <w:pPr>
              <w:spacing w:before="120" w:after="120"/>
            </w:pPr>
            <w:r>
              <w:t xml:space="preserve">The </w:t>
            </w:r>
            <w:r w:rsidR="00E2501D">
              <w:t>c</w:t>
            </w:r>
            <w:r>
              <w:t xml:space="preserve">ontract start date is 30 September 2024 and the </w:t>
            </w:r>
            <w:r w:rsidR="00E2501D">
              <w:t>c</w:t>
            </w:r>
            <w:r>
              <w:t xml:space="preserve">ontract end date is 30 September 2026. The </w:t>
            </w:r>
            <w:r w:rsidR="00780037">
              <w:t>c</w:t>
            </w:r>
            <w:r>
              <w:t xml:space="preserve">ontract has an estimated value of $9,800,000. The UNSPSC code listed for the </w:t>
            </w:r>
            <w:r w:rsidR="00CD5522">
              <w:t>A</w:t>
            </w:r>
            <w:r>
              <w:t xml:space="preserve">pproach to </w:t>
            </w:r>
            <w:r w:rsidR="005F709F">
              <w:t>m</w:t>
            </w:r>
            <w:r>
              <w:t xml:space="preserve">arket and subsequent </w:t>
            </w:r>
            <w:r w:rsidR="005F709F">
              <w:t>c</w:t>
            </w:r>
            <w:r>
              <w:t xml:space="preserve">ontract notice on AusTender is </w:t>
            </w:r>
            <w:r w:rsidRPr="00004B0E">
              <w:rPr>
                <w:i/>
                <w:iCs/>
              </w:rPr>
              <w:t>UNSPSC 72100000 – Building construction and support and maintenance and repair services</w:t>
            </w:r>
            <w:r>
              <w:t>.</w:t>
            </w:r>
          </w:p>
          <w:p w14:paraId="0D43B071" w14:textId="14893F33" w:rsidR="006851E3" w:rsidRDefault="006851E3" w:rsidP="00205E7F">
            <w:pPr>
              <w:spacing w:before="120" w:after="120"/>
            </w:pPr>
            <w:r>
              <w:t>In April 202</w:t>
            </w:r>
            <w:r w:rsidR="0062618A">
              <w:t>5</w:t>
            </w:r>
            <w:r>
              <w:t xml:space="preserve">, the department identifies that more work is required to achieve the objective of the procurement and seeks to vary the </w:t>
            </w:r>
            <w:r w:rsidR="005F709F">
              <w:t>c</w:t>
            </w:r>
            <w:r>
              <w:t xml:space="preserve">ontract. The </w:t>
            </w:r>
            <w:r w:rsidR="005F709F">
              <w:t>c</w:t>
            </w:r>
            <w:r>
              <w:t xml:space="preserve">ontract variation will extend the </w:t>
            </w:r>
            <w:r w:rsidR="00780037">
              <w:t>c</w:t>
            </w:r>
            <w:r>
              <w:t>ontract to end on 30 October 2026 and will result in the estimated procurement value increasing to $10,500,000.</w:t>
            </w:r>
          </w:p>
          <w:p w14:paraId="78D48FD3" w14:textId="728119C3" w:rsidR="006851E3" w:rsidRDefault="006851E3" w:rsidP="00205E7F">
            <w:pPr>
              <w:spacing w:before="120" w:after="120"/>
            </w:pPr>
            <w:r>
              <w:t xml:space="preserve">As the UNSPSC is captured by the PCP and the procurement has met the estimated individual value of </w:t>
            </w:r>
            <w:r w:rsidRPr="009526EA">
              <w:t>$10 million and above (GST inclusive)</w:t>
            </w:r>
            <w:r>
              <w:t xml:space="preserve">, </w:t>
            </w:r>
            <w:r w:rsidRPr="0029795C">
              <w:t xml:space="preserve">the procurement meets the requirements of an </w:t>
            </w:r>
            <w:r w:rsidR="00807BA9">
              <w:t>Eligible project</w:t>
            </w:r>
            <w:r w:rsidR="00CD5522">
              <w:t>,</w:t>
            </w:r>
            <w:r w:rsidRPr="0029795C">
              <w:t xml:space="preserve"> and the department seeks to include the </w:t>
            </w:r>
            <w:r>
              <w:t>PCP</w:t>
            </w:r>
            <w:r w:rsidRPr="0029795C">
              <w:t xml:space="preserve"> requirements </w:t>
            </w:r>
            <w:r>
              <w:t xml:space="preserve">for the remainder of the </w:t>
            </w:r>
            <w:r w:rsidR="002D746E">
              <w:t>c</w:t>
            </w:r>
            <w:r>
              <w:t xml:space="preserve">ontract term. Before negotiating with </w:t>
            </w:r>
            <w:r w:rsidRPr="00B4032D">
              <w:rPr>
                <w:i/>
                <w:iCs/>
              </w:rPr>
              <w:t>Construction</w:t>
            </w:r>
            <w:r>
              <w:rPr>
                <w:i/>
                <w:iCs/>
              </w:rPr>
              <w:t xml:space="preserve"> Company A</w:t>
            </w:r>
            <w:r>
              <w:t xml:space="preserve">, the department assesses that: </w:t>
            </w:r>
          </w:p>
          <w:p w14:paraId="0D9E9B60" w14:textId="77777777" w:rsidR="006851E3" w:rsidRDefault="006851E3" w:rsidP="00205E7F">
            <w:pPr>
              <w:pStyle w:val="ListBullet"/>
              <w:spacing w:before="120" w:after="120"/>
            </w:pPr>
            <w:r>
              <w:t>there is sufficient time to provide relevant Apprentices with an adequate training experience</w:t>
            </w:r>
          </w:p>
          <w:p w14:paraId="18BB5FF5" w14:textId="77777777" w:rsidR="006851E3" w:rsidRDefault="006851E3" w:rsidP="00205E7F">
            <w:pPr>
              <w:pStyle w:val="ListBullet"/>
              <w:spacing w:before="120" w:after="120"/>
            </w:pPr>
            <w:r>
              <w:t>there is sufficient work to be completed in Australia</w:t>
            </w:r>
          </w:p>
          <w:p w14:paraId="675D08AD" w14:textId="57348B3B" w:rsidR="006851E3" w:rsidRDefault="006851E3" w:rsidP="00205E7F">
            <w:pPr>
              <w:pStyle w:val="ListBullet"/>
              <w:spacing w:before="120" w:after="120"/>
            </w:pPr>
            <w:r>
              <w:t xml:space="preserve">the remaining </w:t>
            </w:r>
            <w:r w:rsidR="00780037">
              <w:t>c</w:t>
            </w:r>
            <w:r>
              <w:t xml:space="preserve">ontract deliverables require </w:t>
            </w:r>
            <w:r w:rsidR="00CD5E0D">
              <w:t>Labour hours</w:t>
            </w:r>
          </w:p>
          <w:p w14:paraId="7722CA68" w14:textId="65FDDE90" w:rsidR="006851E3" w:rsidRDefault="006851E3" w:rsidP="00205E7F">
            <w:pPr>
              <w:pStyle w:val="ListBullet"/>
              <w:spacing w:before="120" w:after="120"/>
            </w:pPr>
            <w:r>
              <w:t>there is sufficient work to be completed in areas which have an Apprentice pathway.</w:t>
            </w:r>
          </w:p>
          <w:p w14:paraId="0CBBF7C3" w14:textId="3EB46AFD" w:rsidR="006851E3" w:rsidRPr="008F2731" w:rsidRDefault="006851E3" w:rsidP="00205E7F">
            <w:pPr>
              <w:spacing w:before="120" w:after="120"/>
            </w:pPr>
            <w:r w:rsidRPr="00B4032D">
              <w:rPr>
                <w:i/>
                <w:iCs/>
              </w:rPr>
              <w:t>Construction</w:t>
            </w:r>
            <w:r>
              <w:rPr>
                <w:i/>
                <w:iCs/>
              </w:rPr>
              <w:t xml:space="preserve"> Company A</w:t>
            </w:r>
            <w:r>
              <w:t xml:space="preserve"> </w:t>
            </w:r>
            <w:r w:rsidRPr="00B913D9">
              <w:rPr>
                <w:b/>
                <w:bCs/>
              </w:rPr>
              <w:t>agrees</w:t>
            </w:r>
            <w:r w:rsidRPr="008F2731">
              <w:t xml:space="preserve"> to include </w:t>
            </w:r>
            <w:r w:rsidR="007930B7">
              <w:t xml:space="preserve">the </w:t>
            </w:r>
            <w:r>
              <w:t xml:space="preserve">PCP </w:t>
            </w:r>
            <w:r w:rsidRPr="008F2731">
              <w:t xml:space="preserve">requirements as part of the </w:t>
            </w:r>
            <w:r w:rsidR="00780037">
              <w:t>c</w:t>
            </w:r>
            <w:r w:rsidRPr="008F2731">
              <w:t>ontract variation which takes effect on 1 May 202</w:t>
            </w:r>
            <w:r w:rsidR="007930B7">
              <w:t>5</w:t>
            </w:r>
            <w:r w:rsidRPr="008F2731">
              <w:t>.</w:t>
            </w:r>
          </w:p>
          <w:p w14:paraId="221CB09C" w14:textId="25353B8A" w:rsidR="006851E3" w:rsidRPr="008F2731" w:rsidRDefault="006851E3" w:rsidP="00205E7F">
            <w:pPr>
              <w:spacing w:before="120" w:after="120"/>
            </w:pPr>
            <w:r w:rsidRPr="008F2731">
              <w:t xml:space="preserve">As the </w:t>
            </w:r>
            <w:r>
              <w:t>O</w:t>
            </w:r>
            <w:r w:rsidRPr="008F2731">
              <w:t xml:space="preserve">verarching </w:t>
            </w:r>
            <w:r>
              <w:t>A</w:t>
            </w:r>
            <w:r w:rsidRPr="008F2731">
              <w:t xml:space="preserve">pprentice </w:t>
            </w:r>
            <w:r>
              <w:t>T</w:t>
            </w:r>
            <w:r w:rsidRPr="008F2731">
              <w:t xml:space="preserve">arget does not change between financial years, </w:t>
            </w:r>
            <w:r w:rsidRPr="00B4032D">
              <w:rPr>
                <w:i/>
                <w:iCs/>
              </w:rPr>
              <w:t>Construction</w:t>
            </w:r>
            <w:r>
              <w:rPr>
                <w:i/>
                <w:iCs/>
              </w:rPr>
              <w:t xml:space="preserve"> Company A</w:t>
            </w:r>
            <w:r w:rsidRPr="008F2731">
              <w:t xml:space="preserve"> will be required to ensure a minimum of 10% of all </w:t>
            </w:r>
            <w:r w:rsidR="00CD5E0D">
              <w:t>Labour hours</w:t>
            </w:r>
            <w:r w:rsidRPr="008F2731">
              <w:t xml:space="preserve"> spent on the remainder of </w:t>
            </w:r>
            <w:r>
              <w:t xml:space="preserve">the </w:t>
            </w:r>
            <w:r w:rsidR="00574F44">
              <w:t>c</w:t>
            </w:r>
            <w:r>
              <w:t>ontract</w:t>
            </w:r>
            <w:r w:rsidRPr="008F2731">
              <w:t xml:space="preserve"> are undertaken by </w:t>
            </w:r>
            <w:r>
              <w:t>A</w:t>
            </w:r>
            <w:r w:rsidRPr="008F2731">
              <w:t>pprentices.</w:t>
            </w:r>
          </w:p>
          <w:p w14:paraId="41B01010" w14:textId="61944E08" w:rsidR="006851E3" w:rsidRPr="008F2731" w:rsidRDefault="006851E3" w:rsidP="00205E7F">
            <w:pPr>
              <w:spacing w:before="120" w:after="120"/>
            </w:pPr>
            <w:r w:rsidRPr="008F2731">
              <w:t xml:space="preserve">As the </w:t>
            </w:r>
            <w:r w:rsidR="00574F44">
              <w:t>c</w:t>
            </w:r>
            <w:r w:rsidRPr="008F2731">
              <w:t>ontract variation takes effect on 1 May 202</w:t>
            </w:r>
            <w:r w:rsidR="00574F44">
              <w:t>5</w:t>
            </w:r>
            <w:r w:rsidRPr="008F2731">
              <w:t xml:space="preserve">, </w:t>
            </w:r>
            <w:r w:rsidRPr="00B4032D">
              <w:rPr>
                <w:i/>
                <w:iCs/>
              </w:rPr>
              <w:t>Construction</w:t>
            </w:r>
            <w:r>
              <w:rPr>
                <w:i/>
                <w:iCs/>
              </w:rPr>
              <w:t xml:space="preserve"> Company A</w:t>
            </w:r>
            <w:r>
              <w:t xml:space="preserve"> </w:t>
            </w:r>
            <w:r w:rsidRPr="008F2731">
              <w:t xml:space="preserve">will initially be required to ensure that </w:t>
            </w:r>
            <w:r w:rsidR="00F22D5C">
              <w:t>6</w:t>
            </w:r>
            <w:r w:rsidR="00C619FA">
              <w:t xml:space="preserve">% </w:t>
            </w:r>
            <w:r w:rsidRPr="008F2731">
              <w:t xml:space="preserve">of </w:t>
            </w:r>
            <w:r>
              <w:t>A</w:t>
            </w:r>
            <w:r w:rsidRPr="008F2731">
              <w:t xml:space="preserve">pprentice </w:t>
            </w:r>
            <w:r w:rsidR="00CD5E0D">
              <w:t>Labour hours</w:t>
            </w:r>
            <w:r w:rsidRPr="008F2731">
              <w:t xml:space="preserve"> are undertaken by </w:t>
            </w:r>
            <w:r>
              <w:t>W</w:t>
            </w:r>
            <w:r w:rsidRPr="008F2731">
              <w:t xml:space="preserve">omen in </w:t>
            </w:r>
            <w:r>
              <w:t>A</w:t>
            </w:r>
            <w:r w:rsidRPr="008F2731">
              <w:t xml:space="preserve">pprenticeships, and </w:t>
            </w:r>
            <w:r w:rsidR="00F22D5C">
              <w:t>4</w:t>
            </w:r>
            <w:r w:rsidR="00C619FA">
              <w:t xml:space="preserve">% </w:t>
            </w:r>
            <w:r w:rsidRPr="008F2731">
              <w:t xml:space="preserve">of </w:t>
            </w:r>
            <w:r>
              <w:t>T</w:t>
            </w:r>
            <w:r w:rsidRPr="008F2731">
              <w:t xml:space="preserve">rade </w:t>
            </w:r>
            <w:r>
              <w:t>A</w:t>
            </w:r>
            <w:r w:rsidRPr="008F2731">
              <w:t xml:space="preserve">pprentice </w:t>
            </w:r>
            <w:r w:rsidR="00CD5E0D">
              <w:t>Labour hours</w:t>
            </w:r>
            <w:r w:rsidRPr="008F2731">
              <w:t xml:space="preserve"> are undertaken by </w:t>
            </w:r>
            <w:r>
              <w:t>W</w:t>
            </w:r>
            <w:r w:rsidRPr="008F2731">
              <w:t xml:space="preserve">omen in </w:t>
            </w:r>
            <w:r>
              <w:t>T</w:t>
            </w:r>
            <w:r w:rsidRPr="008F2731">
              <w:t xml:space="preserve">rade </w:t>
            </w:r>
            <w:r>
              <w:t>A</w:t>
            </w:r>
            <w:r w:rsidRPr="008F2731">
              <w:t>pprenticeships. On 1 July 202</w:t>
            </w:r>
            <w:r w:rsidR="00F22D5C">
              <w:t>5</w:t>
            </w:r>
            <w:r w:rsidRPr="008F2731">
              <w:t xml:space="preserve">, these targets will increase to </w:t>
            </w:r>
            <w:r w:rsidR="00F22D5C">
              <w:t>7</w:t>
            </w:r>
            <w:r w:rsidR="00872351">
              <w:t xml:space="preserve">% </w:t>
            </w:r>
            <w:r w:rsidRPr="008F2731">
              <w:t xml:space="preserve">and </w:t>
            </w:r>
            <w:r w:rsidR="00F22D5C">
              <w:t>5</w:t>
            </w:r>
            <w:r w:rsidR="00872351">
              <w:t xml:space="preserve">% </w:t>
            </w:r>
            <w:r w:rsidRPr="008F2731">
              <w:t xml:space="preserve">respectively </w:t>
            </w:r>
            <w:r w:rsidR="00872351">
              <w:t>(</w:t>
            </w:r>
            <w:hyperlink w:anchor="_Table_3_-" w:history="1">
              <w:r w:rsidR="00872351" w:rsidRPr="00EE3E15">
                <w:rPr>
                  <w:rStyle w:val="Hyperlink"/>
                </w:rPr>
                <w:t xml:space="preserve">see </w:t>
              </w:r>
              <w:r w:rsidR="00872351" w:rsidRPr="00EE3E15">
                <w:rPr>
                  <w:rStyle w:val="Hyperlink"/>
                  <w:b/>
                  <w:bCs/>
                </w:rPr>
                <w:t>Table 3</w:t>
              </w:r>
              <w:r w:rsidR="00872351" w:rsidRPr="00EE3E15">
                <w:rPr>
                  <w:rStyle w:val="Hyperlink"/>
                </w:rPr>
                <w:t xml:space="preserve"> above</w:t>
              </w:r>
            </w:hyperlink>
            <w:r w:rsidR="00872351">
              <w:t xml:space="preserve">) </w:t>
            </w:r>
            <w:r>
              <w:t xml:space="preserve">for the remaining period of the </w:t>
            </w:r>
            <w:r w:rsidR="0033130D">
              <w:t>c</w:t>
            </w:r>
            <w:r>
              <w:t>ontract</w:t>
            </w:r>
            <w:r w:rsidRPr="008F2731">
              <w:t xml:space="preserve">. </w:t>
            </w:r>
          </w:p>
          <w:p w14:paraId="1A6502EB" w14:textId="1C2352C9" w:rsidR="006851E3" w:rsidDel="0015670C" w:rsidRDefault="006851E3" w:rsidP="00205E7F">
            <w:pPr>
              <w:spacing w:before="120" w:after="120"/>
            </w:pPr>
            <w:r>
              <w:t xml:space="preserve">The estimated </w:t>
            </w:r>
            <w:r w:rsidR="00CD5E0D">
              <w:t>Labour hours</w:t>
            </w:r>
            <w:r>
              <w:t xml:space="preserve"> and associated targets are included in the </w:t>
            </w:r>
            <w:r w:rsidR="001E536B">
              <w:t>c</w:t>
            </w:r>
            <w:r>
              <w:t xml:space="preserve">ontract. </w:t>
            </w:r>
          </w:p>
          <w:p w14:paraId="302DA154" w14:textId="68210B8A" w:rsidR="006851E3" w:rsidRDefault="006851E3" w:rsidP="00205E7F">
            <w:pPr>
              <w:spacing w:before="120" w:after="120"/>
            </w:pPr>
            <w:r>
              <w:t xml:space="preserve">The department’s contract manager for this </w:t>
            </w:r>
            <w:r w:rsidR="0033130D">
              <w:t>c</w:t>
            </w:r>
            <w:r>
              <w:t xml:space="preserve">ontract will need to create a project in the ADMS to commence reporting on this project. </w:t>
            </w:r>
          </w:p>
        </w:tc>
      </w:tr>
    </w:tbl>
    <w:p w14:paraId="743EDEC1" w14:textId="77777777" w:rsidR="00CB5713" w:rsidRDefault="00CB5713" w:rsidP="006851E3">
      <w:pPr>
        <w:pStyle w:val="Heading5"/>
      </w:pPr>
    </w:p>
    <w:p w14:paraId="02B249C8" w14:textId="77777777" w:rsidR="00CB5713" w:rsidRDefault="00CB5713">
      <w:pPr>
        <w:spacing w:after="160" w:line="259" w:lineRule="auto"/>
        <w:rPr>
          <w:rFonts w:ascii="Calibri" w:eastAsiaTheme="majorEastAsia" w:hAnsi="Calibri" w:cstheme="majorBidi"/>
          <w:b/>
          <w:color w:val="5F6369"/>
        </w:rPr>
      </w:pPr>
      <w:r>
        <w:br w:type="page"/>
      </w:r>
    </w:p>
    <w:p w14:paraId="5858BF64" w14:textId="2AF48C2C" w:rsidR="006851E3" w:rsidRDefault="006851E3" w:rsidP="006851E3">
      <w:pPr>
        <w:pStyle w:val="Heading5"/>
      </w:pPr>
      <w:r>
        <w:lastRenderedPageBreak/>
        <w:t>Scenario 1 (b) – Supplier does not agree</w:t>
      </w:r>
      <w:r w:rsidRPr="009B670D">
        <w:t xml:space="preserve"> </w:t>
      </w:r>
      <w:r>
        <w:t>to include PCP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851E3" w14:paraId="5664A54C" w14:textId="77777777" w:rsidTr="00205E7F">
        <w:tc>
          <w:tcPr>
            <w:tcW w:w="9060" w:type="dxa"/>
          </w:tcPr>
          <w:p w14:paraId="5FB3424F" w14:textId="4DCE00DE" w:rsidR="006851E3" w:rsidDel="00224C1E" w:rsidRDefault="006851E3" w:rsidP="00205E7F">
            <w:pPr>
              <w:spacing w:before="120" w:after="120"/>
            </w:pPr>
            <w:r>
              <w:t xml:space="preserve">In the above example, if </w:t>
            </w:r>
            <w:r w:rsidRPr="1A899C39">
              <w:rPr>
                <w:i/>
                <w:iCs/>
              </w:rPr>
              <w:t>Construction Company A</w:t>
            </w:r>
            <w:r>
              <w:t xml:space="preserve"> did not agree to include PCP requirements as part of the </w:t>
            </w:r>
            <w:r w:rsidR="0033130D">
              <w:t>c</w:t>
            </w:r>
            <w:r>
              <w:t xml:space="preserve">ontract variation, the </w:t>
            </w:r>
            <w:r w:rsidRPr="1A899C39">
              <w:rPr>
                <w:i/>
                <w:iCs/>
              </w:rPr>
              <w:t>Department of Example Scenarios</w:t>
            </w:r>
            <w:r>
              <w:t xml:space="preserve"> would document the reasons why the PCP was not included and would maintain appropriate records. </w:t>
            </w:r>
          </w:p>
          <w:p w14:paraId="7B03A883" w14:textId="01DE5E65" w:rsidR="006851E3" w:rsidRPr="00981556" w:rsidRDefault="006851E3" w:rsidP="00205E7F">
            <w:pPr>
              <w:spacing w:before="120" w:after="120"/>
            </w:pPr>
            <w:r>
              <w:t xml:space="preserve">The department’s contract manager for this </w:t>
            </w:r>
            <w:r w:rsidR="0033130D">
              <w:t>c</w:t>
            </w:r>
            <w:r>
              <w:t>ontract would need to record this project as ‘not reporting’ in the ADMS.</w:t>
            </w:r>
          </w:p>
        </w:tc>
      </w:tr>
    </w:tbl>
    <w:p w14:paraId="6E262A40" w14:textId="32027213" w:rsidR="006851E3" w:rsidRDefault="006851E3" w:rsidP="006851E3">
      <w:pPr>
        <w:pStyle w:val="Heading5"/>
      </w:pPr>
      <w:r>
        <w:t>Scenario 2 –PCP requirements not considered appropriate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851E3" w14:paraId="75462BF5" w14:textId="77777777" w:rsidTr="00205E7F">
        <w:tc>
          <w:tcPr>
            <w:tcW w:w="9060" w:type="dxa"/>
          </w:tcPr>
          <w:p w14:paraId="492FCAB1" w14:textId="521EFADD" w:rsidR="006851E3" w:rsidRDefault="006851E3" w:rsidP="00205E7F">
            <w:pPr>
              <w:spacing w:before="120" w:after="120"/>
            </w:pPr>
            <w:r>
              <w:t xml:space="preserve">The </w:t>
            </w:r>
            <w:r w:rsidRPr="0AE5CBBF">
              <w:rPr>
                <w:i/>
                <w:iCs/>
              </w:rPr>
              <w:t>Department of Procurements</w:t>
            </w:r>
            <w:r>
              <w:t xml:space="preserve"> has contracted </w:t>
            </w:r>
            <w:r w:rsidRPr="0AE5CBBF">
              <w:rPr>
                <w:i/>
                <w:iCs/>
              </w:rPr>
              <w:t>Construction Company B</w:t>
            </w:r>
            <w:r>
              <w:t xml:space="preserve"> under a </w:t>
            </w:r>
            <w:r w:rsidR="00287216">
              <w:t>c</w:t>
            </w:r>
            <w:r>
              <w:t xml:space="preserve">onstruction procurement. </w:t>
            </w:r>
          </w:p>
          <w:p w14:paraId="497FC270" w14:textId="01DFBEDA" w:rsidR="006851E3" w:rsidRDefault="006851E3" w:rsidP="00205E7F">
            <w:pPr>
              <w:spacing w:before="120" w:after="120"/>
            </w:pPr>
            <w:r>
              <w:t xml:space="preserve">The </w:t>
            </w:r>
            <w:r w:rsidR="0033130D">
              <w:t>c</w:t>
            </w:r>
            <w:r>
              <w:t xml:space="preserve">ontract start date is 15 October 2024 and the </w:t>
            </w:r>
            <w:r w:rsidR="00981A73">
              <w:t>c</w:t>
            </w:r>
            <w:r>
              <w:t xml:space="preserve">ontract end date is 15 October 2025. The </w:t>
            </w:r>
            <w:r w:rsidR="00981A73">
              <w:t>c</w:t>
            </w:r>
            <w:r>
              <w:t xml:space="preserve">ontract has an estimated value of $9,995,000. The UNSPSC listed for the Approach to </w:t>
            </w:r>
            <w:r w:rsidR="00981A73">
              <w:t>m</w:t>
            </w:r>
            <w:r>
              <w:t xml:space="preserve">arket and subsequent </w:t>
            </w:r>
            <w:r w:rsidR="00981A73">
              <w:t>c</w:t>
            </w:r>
            <w:r>
              <w:t xml:space="preserve">ontract notice on AusTender is </w:t>
            </w:r>
            <w:r w:rsidRPr="0AE5CBBF">
              <w:rPr>
                <w:i/>
                <w:iCs/>
              </w:rPr>
              <w:t>UNSPSC 72101500 – Building support services</w:t>
            </w:r>
            <w:r>
              <w:t>.</w:t>
            </w:r>
          </w:p>
          <w:p w14:paraId="4553303C" w14:textId="4BABAC5D" w:rsidR="006851E3" w:rsidRDefault="006851E3" w:rsidP="00205E7F">
            <w:pPr>
              <w:spacing w:before="120" w:after="120"/>
            </w:pPr>
            <w:r>
              <w:t xml:space="preserve">In September 2025, the department identifies that the </w:t>
            </w:r>
            <w:r w:rsidR="00981A73">
              <w:t>c</w:t>
            </w:r>
            <w:r>
              <w:t xml:space="preserve">ontract will need to be extended to finalise the work and seeks to vary the </w:t>
            </w:r>
            <w:r w:rsidR="00981A73">
              <w:t>c</w:t>
            </w:r>
            <w:r>
              <w:t xml:space="preserve">ontract. The </w:t>
            </w:r>
            <w:r w:rsidR="00981A73">
              <w:t>c</w:t>
            </w:r>
            <w:r>
              <w:t xml:space="preserve">ontract variation will extend the </w:t>
            </w:r>
            <w:r w:rsidR="00981A73">
              <w:t>c</w:t>
            </w:r>
            <w:r>
              <w:t>ontract to end on 30 October 2025 and will result in the estimated procurement value increasing to $10,200,000.</w:t>
            </w:r>
          </w:p>
          <w:p w14:paraId="236E36B4" w14:textId="3A035BEA" w:rsidR="006851E3" w:rsidRPr="006A66B5" w:rsidRDefault="006851E3" w:rsidP="00205E7F">
            <w:r>
              <w:t xml:space="preserve">As the UNSPSC is captured by the PCP and the procurement has met the estimated individual value of $10 million and above (GST inclusive), the procurement meets the requirements of an </w:t>
            </w:r>
            <w:r w:rsidR="00807BA9">
              <w:t>Eligible project</w:t>
            </w:r>
            <w:r w:rsidR="00981A73">
              <w:t xml:space="preserve">. </w:t>
            </w:r>
            <w:r>
              <w:t xml:space="preserve"> </w:t>
            </w:r>
            <w:r w:rsidR="00981A73">
              <w:t>T</w:t>
            </w:r>
            <w:r>
              <w:t xml:space="preserve">he department assesses </w:t>
            </w:r>
            <w:r w:rsidR="00415A39">
              <w:t>there is insufficient time remaining on the contract to provide Apprentices with suitable work and training experience</w:t>
            </w:r>
            <w:r w:rsidR="006420BB">
              <w:t>. T</w:t>
            </w:r>
            <w:r>
              <w:t>he department decides not to include PCP requirements</w:t>
            </w:r>
            <w:r w:rsidR="006420BB">
              <w:t xml:space="preserve"> in the contract variation</w:t>
            </w:r>
            <w:r>
              <w:t xml:space="preserve">. </w:t>
            </w:r>
          </w:p>
          <w:p w14:paraId="5635671D" w14:textId="77777777" w:rsidR="006851E3" w:rsidDel="0015670C" w:rsidRDefault="006851E3" w:rsidP="00205E7F">
            <w:r>
              <w:t xml:space="preserve">The </w:t>
            </w:r>
            <w:r w:rsidRPr="1A899C39">
              <w:rPr>
                <w:i/>
                <w:iCs/>
              </w:rPr>
              <w:t>Department of Procurements</w:t>
            </w:r>
            <w:r>
              <w:t xml:space="preserve"> documents the reasons why PCP requirements were not included and maintains appropriate records. </w:t>
            </w:r>
          </w:p>
          <w:p w14:paraId="59C1A790" w14:textId="61CB2C9D" w:rsidR="006851E3" w:rsidRPr="00981556" w:rsidRDefault="006851E3" w:rsidP="00205E7F">
            <w:r>
              <w:t xml:space="preserve">The record for this </w:t>
            </w:r>
            <w:r w:rsidR="00F22209">
              <w:t>c</w:t>
            </w:r>
            <w:r>
              <w:t>ontract in the ADMS</w:t>
            </w:r>
            <w:r w:rsidR="00CA613A">
              <w:t xml:space="preserve"> </w:t>
            </w:r>
            <w:r w:rsidR="00F22209">
              <w:t>may</w:t>
            </w:r>
            <w:r>
              <w:t xml:space="preserve"> need to be reviewed, with the project continuing to be marked as ‘Not reporting’.</w:t>
            </w:r>
          </w:p>
        </w:tc>
      </w:tr>
    </w:tbl>
    <w:p w14:paraId="4BFC1511" w14:textId="527F82CD" w:rsidR="00F53E4D" w:rsidRDefault="00F53E4D" w:rsidP="002F5BCD">
      <w:pPr>
        <w:spacing w:after="0"/>
        <w:ind w:left="709"/>
        <w:rPr>
          <w:rFonts w:eastAsiaTheme="majorEastAsia" w:cstheme="majorBidi"/>
          <w:color w:val="404246"/>
        </w:rPr>
      </w:pPr>
    </w:p>
    <w:p w14:paraId="010FB42B" w14:textId="0D8AF4DA" w:rsidR="006851E3" w:rsidRPr="008E6064" w:rsidRDefault="00F53E4D" w:rsidP="00F53E4D">
      <w:pPr>
        <w:spacing w:after="160" w:line="259" w:lineRule="auto"/>
        <w:rPr>
          <w:rFonts w:eastAsiaTheme="majorEastAsia" w:cstheme="majorBidi"/>
          <w:color w:val="404246"/>
        </w:rPr>
      </w:pPr>
      <w:r>
        <w:rPr>
          <w:rFonts w:eastAsiaTheme="majorEastAsia" w:cstheme="majorBidi"/>
          <w:color w:val="404246"/>
        </w:rPr>
        <w:br w:type="page"/>
      </w:r>
    </w:p>
    <w:p w14:paraId="15514202" w14:textId="19F5918E" w:rsidR="00D343C5" w:rsidRDefault="00D343C5" w:rsidP="00535C6B">
      <w:pPr>
        <w:pStyle w:val="Heading1"/>
      </w:pPr>
      <w:bookmarkStart w:id="38" w:name="_Toc210109821"/>
      <w:r>
        <w:lastRenderedPageBreak/>
        <w:t>Submission Assessment</w:t>
      </w:r>
      <w:bookmarkEnd w:id="38"/>
    </w:p>
    <w:p w14:paraId="37596F35" w14:textId="0B053673" w:rsidR="003E21A4" w:rsidRDefault="00763192" w:rsidP="001F55EA">
      <w:pPr>
        <w:pStyle w:val="ListNumber"/>
        <w:numPr>
          <w:ilvl w:val="0"/>
          <w:numId w:val="0"/>
        </w:numPr>
        <w:spacing w:after="0" w:line="276" w:lineRule="auto"/>
      </w:pPr>
      <w:r>
        <w:t>If</w:t>
      </w:r>
      <w:r w:rsidR="00460631">
        <w:t xml:space="preserve"> the PCP </w:t>
      </w:r>
      <w:r w:rsidR="001462ED">
        <w:t xml:space="preserve">is </w:t>
      </w:r>
      <w:r w:rsidR="00460631">
        <w:t>applie</w:t>
      </w:r>
      <w:r w:rsidR="00E70A41">
        <w:t xml:space="preserve">d to the </w:t>
      </w:r>
      <w:r w:rsidR="00787E68">
        <w:t>ATM</w:t>
      </w:r>
      <w:r w:rsidR="005271E7">
        <w:t xml:space="preserve"> documentation</w:t>
      </w:r>
      <w:r w:rsidR="00460631">
        <w:t xml:space="preserve">, </w:t>
      </w:r>
      <w:r w:rsidR="00780037">
        <w:t>Potential supplier</w:t>
      </w:r>
      <w:r w:rsidR="00460631">
        <w:t xml:space="preserve">s must declare </w:t>
      </w:r>
      <w:r w:rsidR="002A50C1">
        <w:t>in</w:t>
      </w:r>
      <w:r w:rsidR="00460631">
        <w:t xml:space="preserve"> the</w:t>
      </w:r>
      <w:r w:rsidR="002A50C1">
        <w:t>ir</w:t>
      </w:r>
      <w:r w:rsidR="00460631">
        <w:t xml:space="preserve"> Submission </w:t>
      </w:r>
      <w:r>
        <w:t>whether they can</w:t>
      </w:r>
      <w:r w:rsidR="00E70A41">
        <w:t xml:space="preserve"> </w:t>
      </w:r>
      <w:r w:rsidR="00460631">
        <w:t xml:space="preserve">comply with the PCP requirements. </w:t>
      </w:r>
      <w:r w:rsidR="0069799B">
        <w:t>Relevant entities</w:t>
      </w:r>
      <w:r w:rsidR="00460631">
        <w:t xml:space="preserve"> are responsible for ensuring this declaration has been included in the Submission. While the PCP does not prescribe a specific format for this declaration, </w:t>
      </w:r>
      <w:r w:rsidR="0069799B">
        <w:t>Relevant entities</w:t>
      </w:r>
      <w:r w:rsidR="00460631">
        <w:t xml:space="preserve"> should outline the requirement to include a declaration clearly in the relevant ATM clauses. </w:t>
      </w:r>
    </w:p>
    <w:p w14:paraId="0223FA9B" w14:textId="77777777" w:rsidR="001F55EA" w:rsidRDefault="001F55EA" w:rsidP="001F55EA">
      <w:pPr>
        <w:pStyle w:val="ListNumber"/>
        <w:numPr>
          <w:ilvl w:val="0"/>
          <w:numId w:val="0"/>
        </w:numPr>
        <w:spacing w:after="0" w:line="276" w:lineRule="auto"/>
      </w:pPr>
    </w:p>
    <w:p w14:paraId="77EAD0E8" w14:textId="30B92489" w:rsidR="003E21A4" w:rsidRPr="00BF6542" w:rsidRDefault="00460631" w:rsidP="001F55EA">
      <w:pPr>
        <w:pStyle w:val="ListNumber"/>
        <w:numPr>
          <w:ilvl w:val="0"/>
          <w:numId w:val="0"/>
        </w:numPr>
        <w:spacing w:line="276" w:lineRule="auto"/>
      </w:pPr>
      <w:r w:rsidRPr="673F9C55">
        <w:t>It is a matter for</w:t>
      </w:r>
      <w:r>
        <w:t xml:space="preserve"> </w:t>
      </w:r>
      <w:r w:rsidR="0069799B">
        <w:t>Relevant entities</w:t>
      </w:r>
      <w:r w:rsidRPr="673F9C55">
        <w:t xml:space="preserve"> to determine how to evaluate the </w:t>
      </w:r>
      <w:r>
        <w:t xml:space="preserve">PCP </w:t>
      </w:r>
      <w:r w:rsidRPr="673F9C55">
        <w:t>requirements</w:t>
      </w:r>
      <w:r>
        <w:t xml:space="preserve"> during the </w:t>
      </w:r>
      <w:r w:rsidR="0058002F">
        <w:t xml:space="preserve">Submission </w:t>
      </w:r>
      <w:r>
        <w:t xml:space="preserve">assessment process. Regardless of how the PCP requirements are framed, </w:t>
      </w:r>
      <w:r w:rsidR="0069799B">
        <w:t>Relevant entities</w:t>
      </w:r>
      <w:r>
        <w:t xml:space="preserve"> must ensure that the</w:t>
      </w:r>
      <w:r w:rsidRPr="673F9C55">
        <w:t xml:space="preserve"> </w:t>
      </w:r>
      <w:r>
        <w:t xml:space="preserve">assessment process includes consideration of the PCP requirements, as outlined in the PCP, </w:t>
      </w:r>
      <w:r w:rsidRPr="00575527">
        <w:rPr>
          <w:b/>
          <w:bCs/>
        </w:rPr>
        <w:t>Section 5</w:t>
      </w:r>
      <w:r>
        <w:rPr>
          <w:b/>
          <w:bCs/>
        </w:rPr>
        <w:t>.</w:t>
      </w:r>
      <w:r w:rsidR="001B6312">
        <w:rPr>
          <w:b/>
          <w:bCs/>
        </w:rPr>
        <w:t xml:space="preserve"> </w:t>
      </w:r>
      <w:r w:rsidR="008978DE" w:rsidRPr="00BF6542">
        <w:t xml:space="preserve">However, if an exemption </w:t>
      </w:r>
      <w:r w:rsidR="00E158FE" w:rsidRPr="00BF6542">
        <w:t xml:space="preserve">is identified </w:t>
      </w:r>
      <w:r w:rsidR="009D3CE8" w:rsidRPr="00BF6542">
        <w:t>during</w:t>
      </w:r>
      <w:r w:rsidR="00E158FE" w:rsidRPr="00BF6542">
        <w:t xml:space="preserve"> the Submission</w:t>
      </w:r>
      <w:r w:rsidR="009D3CE8" w:rsidRPr="00BF6542">
        <w:t xml:space="preserve"> assessment, such as the </w:t>
      </w:r>
      <w:r w:rsidR="00780037">
        <w:t>Potential supplier</w:t>
      </w:r>
      <w:r w:rsidR="009D3CE8" w:rsidRPr="00BF6542">
        <w:t xml:space="preserve"> proposes </w:t>
      </w:r>
      <w:r w:rsidR="00592981" w:rsidRPr="00BF6542">
        <w:t xml:space="preserve">to deliver the entire </w:t>
      </w:r>
      <w:r w:rsidR="00557C52" w:rsidRPr="00BF6542">
        <w:t xml:space="preserve">procurement overseas, </w:t>
      </w:r>
      <w:r w:rsidR="0069799B">
        <w:t>Relevant entities</w:t>
      </w:r>
      <w:r w:rsidR="00557C52" w:rsidRPr="00BF6542">
        <w:t xml:space="preserve"> are not required to consider </w:t>
      </w:r>
      <w:r w:rsidR="00BF6542" w:rsidRPr="00BF6542">
        <w:t xml:space="preserve">the PCP requirements. </w:t>
      </w:r>
    </w:p>
    <w:p w14:paraId="1162463F" w14:textId="77777777" w:rsidR="001F55EA" w:rsidRDefault="001F55EA" w:rsidP="001F55EA">
      <w:pPr>
        <w:pStyle w:val="ListNumber"/>
        <w:numPr>
          <w:ilvl w:val="0"/>
          <w:numId w:val="0"/>
        </w:numPr>
        <w:spacing w:line="276" w:lineRule="auto"/>
        <w:rPr>
          <w:b/>
          <w:bCs/>
        </w:rPr>
      </w:pPr>
    </w:p>
    <w:p w14:paraId="7CC7423E" w14:textId="36E0DBC0" w:rsidR="002918E1" w:rsidRDefault="002918E1" w:rsidP="001F55EA">
      <w:pPr>
        <w:pStyle w:val="ListNumber"/>
        <w:numPr>
          <w:ilvl w:val="0"/>
          <w:numId w:val="0"/>
        </w:numPr>
        <w:spacing w:line="276" w:lineRule="auto"/>
      </w:pPr>
      <w:r w:rsidRPr="69558CA7">
        <w:t xml:space="preserve">When assessing </w:t>
      </w:r>
      <w:r>
        <w:t>Submissions</w:t>
      </w:r>
      <w:r w:rsidRPr="69558CA7">
        <w:t xml:space="preserve">, </w:t>
      </w:r>
      <w:r w:rsidR="0069799B">
        <w:t>Relevant entities</w:t>
      </w:r>
      <w:r w:rsidRPr="69558CA7">
        <w:t xml:space="preserve"> should check that the </w:t>
      </w:r>
      <w:r w:rsidR="00780037">
        <w:t>Potential supplier</w:t>
      </w:r>
      <w:r w:rsidRPr="69558CA7">
        <w:t xml:space="preserve">’s GEAP refers to the correct </w:t>
      </w:r>
      <w:r w:rsidR="00807BA9">
        <w:t>Eligible project</w:t>
      </w:r>
      <w:r w:rsidRPr="69558CA7">
        <w:t xml:space="preserve"> type and identifies the appropriate Skills Guarantee targets that will apply to the procurement. </w:t>
      </w:r>
    </w:p>
    <w:p w14:paraId="2BB90FEA" w14:textId="77777777" w:rsidR="001F55EA" w:rsidRPr="002918E1" w:rsidRDefault="001F55EA" w:rsidP="001F55EA">
      <w:pPr>
        <w:pStyle w:val="ListNumber"/>
        <w:numPr>
          <w:ilvl w:val="0"/>
          <w:numId w:val="0"/>
        </w:numPr>
        <w:spacing w:line="276" w:lineRule="auto"/>
      </w:pPr>
    </w:p>
    <w:p w14:paraId="59371E6F" w14:textId="23EC0A78" w:rsidR="003E21A4" w:rsidRDefault="0069799B" w:rsidP="001F55EA">
      <w:pPr>
        <w:pStyle w:val="ListNumber"/>
        <w:numPr>
          <w:ilvl w:val="0"/>
          <w:numId w:val="0"/>
        </w:numPr>
        <w:spacing w:line="276" w:lineRule="auto"/>
      </w:pPr>
      <w:r>
        <w:t>Relevant entities</w:t>
      </w:r>
      <w:r w:rsidR="00460631">
        <w:t xml:space="preserve"> should consider the past performance and reporting under the PCP of </w:t>
      </w:r>
      <w:r w:rsidR="00780037">
        <w:t>Potential supplier</w:t>
      </w:r>
      <w:r w:rsidR="00460631">
        <w:t>s in the evaluation of the Submission.</w:t>
      </w:r>
      <w:r w:rsidR="00045002" w:rsidRPr="00045002">
        <w:t xml:space="preserve"> </w:t>
      </w:r>
      <w:r w:rsidR="00045002">
        <w:t xml:space="preserve">Supplier performance data for </w:t>
      </w:r>
      <w:r w:rsidR="00045002" w:rsidRPr="00EF7EB3">
        <w:t xml:space="preserve">all completed Skills Guarantee projects will be available to all </w:t>
      </w:r>
      <w:r>
        <w:t>Relevant entities</w:t>
      </w:r>
      <w:r w:rsidR="00045002">
        <w:t>.</w:t>
      </w:r>
    </w:p>
    <w:p w14:paraId="124E738A" w14:textId="77777777" w:rsidR="001F55EA" w:rsidRDefault="001F55EA" w:rsidP="001F55EA">
      <w:pPr>
        <w:pStyle w:val="ListNumber"/>
        <w:numPr>
          <w:ilvl w:val="0"/>
          <w:numId w:val="0"/>
        </w:numPr>
        <w:spacing w:line="276" w:lineRule="auto"/>
      </w:pPr>
    </w:p>
    <w:p w14:paraId="03308979" w14:textId="2FA5B609" w:rsidR="002918E1" w:rsidRPr="002918E1" w:rsidRDefault="00460631" w:rsidP="001F55EA">
      <w:pPr>
        <w:pStyle w:val="ListNumber"/>
        <w:numPr>
          <w:ilvl w:val="0"/>
          <w:numId w:val="0"/>
        </w:numPr>
        <w:spacing w:line="276" w:lineRule="auto"/>
        <w:rPr>
          <w:rFonts w:ascii="Calibri" w:eastAsia="Calibri" w:hAnsi="Calibri" w:cs="Calibri"/>
        </w:rPr>
      </w:pPr>
      <w:r>
        <w:t xml:space="preserve">Please also refer the </w:t>
      </w:r>
      <w:hyperlink r:id="rId26" w:history="1">
        <w:r w:rsidRPr="00EB00B5">
          <w:rPr>
            <w:rStyle w:val="Hyperlink"/>
          </w:rPr>
          <w:t xml:space="preserve">Assessing Submissions Guidance </w:t>
        </w:r>
        <w:r w:rsidR="007D7A47" w:rsidRPr="00EB00B5">
          <w:rPr>
            <w:rStyle w:val="Hyperlink"/>
          </w:rPr>
          <w:t>Version 1.</w:t>
        </w:r>
        <w:r w:rsidR="00534B26" w:rsidRPr="00EB00B5">
          <w:rPr>
            <w:rStyle w:val="Hyperlink"/>
          </w:rPr>
          <w:t>1</w:t>
        </w:r>
        <w:r w:rsidR="007D7A47" w:rsidRPr="00EB00B5">
          <w:rPr>
            <w:rStyle w:val="Hyperlink"/>
          </w:rPr>
          <w:t xml:space="preserve"> </w:t>
        </w:r>
        <w:r w:rsidRPr="00EB00B5">
          <w:rPr>
            <w:rStyle w:val="Hyperlink"/>
          </w:rPr>
          <w:t>on GovTEAMS</w:t>
        </w:r>
      </w:hyperlink>
      <w:r w:rsidRPr="00EB00B5">
        <w:t xml:space="preserve"> for furt</w:t>
      </w:r>
      <w:r>
        <w:t xml:space="preserve">her information and a checklist. </w:t>
      </w:r>
    </w:p>
    <w:p w14:paraId="50A6EC2B" w14:textId="3E37124A" w:rsidR="00020B0E" w:rsidRDefault="00020B0E" w:rsidP="00535C6B">
      <w:pPr>
        <w:pStyle w:val="Heading1"/>
      </w:pPr>
      <w:bookmarkStart w:id="39" w:name="_Toc210109822"/>
      <w:r>
        <w:t xml:space="preserve">Reporting </w:t>
      </w:r>
      <w:r w:rsidR="00447E2A">
        <w:t>and compliance</w:t>
      </w:r>
      <w:bookmarkEnd w:id="39"/>
    </w:p>
    <w:p w14:paraId="4E6334A2" w14:textId="0A359BC9" w:rsidR="00053A9E" w:rsidRDefault="00460631" w:rsidP="00460631">
      <w:r w:rsidRPr="00421450">
        <w:t xml:space="preserve">Suppliers must report quarterly to </w:t>
      </w:r>
      <w:r w:rsidR="0069799B">
        <w:t>Relevant entities</w:t>
      </w:r>
      <w:r w:rsidR="00490E8E" w:rsidRPr="00421450">
        <w:t xml:space="preserve"> </w:t>
      </w:r>
      <w:r w:rsidRPr="00421450">
        <w:t xml:space="preserve">on their progress against targets in ADMS. </w:t>
      </w:r>
    </w:p>
    <w:p w14:paraId="32AC24B5" w14:textId="39267D28" w:rsidR="00460631" w:rsidRDefault="00460631" w:rsidP="00460631">
      <w:r w:rsidRPr="00421450">
        <w:t xml:space="preserve">Sub-contractors may also be asked by their Supplier to record the hours worked by Apprentices and </w:t>
      </w:r>
      <w:r w:rsidR="00690A32">
        <w:t>ICT cadet</w:t>
      </w:r>
      <w:r w:rsidRPr="00421450">
        <w:t xml:space="preserve">s in ADMS. </w:t>
      </w:r>
    </w:p>
    <w:p w14:paraId="6354EDD6" w14:textId="1259EB8F" w:rsidR="00421450" w:rsidRPr="00421450" w:rsidRDefault="00421450" w:rsidP="00421450">
      <w:pPr>
        <w:pStyle w:val="Heading2"/>
        <w:spacing w:before="0"/>
        <w:rPr>
          <w:color w:val="5D7A38"/>
        </w:rPr>
      </w:pPr>
      <w:bookmarkStart w:id="40" w:name="_Toc210109823"/>
      <w:r w:rsidRPr="006851E3">
        <w:rPr>
          <w:rFonts w:ascii="Segoe UI Emoji" w:eastAsia="Times New Roman" w:hAnsi="Segoe UI Emoji" w:cs="Segoe UI Emoji"/>
          <w:color w:val="5D7A38"/>
          <w:sz w:val="24"/>
          <w:szCs w:val="24"/>
          <w:lang w:eastAsia="en-AU"/>
        </w:rPr>
        <w:t>📌</w:t>
      </w:r>
      <w:r w:rsidRPr="006851E3">
        <w:rPr>
          <w:color w:val="5D7A38"/>
        </w:rPr>
        <w:t xml:space="preserve"> Actions for </w:t>
      </w:r>
      <w:r w:rsidR="0069799B">
        <w:rPr>
          <w:color w:val="5D7A38"/>
        </w:rPr>
        <w:t>Relevant entities</w:t>
      </w:r>
      <w:bookmarkEnd w:id="40"/>
      <w:r w:rsidRPr="006851E3">
        <w:rPr>
          <w:color w:val="5D7A38"/>
        </w:rPr>
        <w:t xml:space="preserve"> </w:t>
      </w:r>
    </w:p>
    <w:p w14:paraId="54CB6F17" w14:textId="2B335CB9" w:rsidR="00421450" w:rsidRDefault="0069799B" w:rsidP="00A6427E">
      <w:pPr>
        <w:spacing w:after="0"/>
      </w:pPr>
      <w:r>
        <w:t>Relevant entities</w:t>
      </w:r>
      <w:r w:rsidR="00460631" w:rsidRPr="00421450">
        <w:t xml:space="preserve"> are required to</w:t>
      </w:r>
      <w:r w:rsidR="00421450">
        <w:t>:</w:t>
      </w:r>
    </w:p>
    <w:p w14:paraId="4FC5C632" w14:textId="37BF2F83" w:rsidR="00421450" w:rsidRDefault="003A2A17" w:rsidP="00EC2F22">
      <w:pPr>
        <w:pStyle w:val="ListParagraph"/>
        <w:numPr>
          <w:ilvl w:val="0"/>
          <w:numId w:val="11"/>
        </w:numPr>
        <w:spacing w:line="276" w:lineRule="auto"/>
      </w:pPr>
      <w:r w:rsidRPr="00421450">
        <w:t xml:space="preserve">monitor Supplier reporting and </w:t>
      </w:r>
      <w:r w:rsidR="00E303AB">
        <w:t>address Supplier non-</w:t>
      </w:r>
      <w:r w:rsidRPr="00421450">
        <w:t xml:space="preserve">compliance </w:t>
      </w:r>
      <w:r w:rsidR="00E303AB">
        <w:t xml:space="preserve">(where necessary) </w:t>
      </w:r>
      <w:r w:rsidR="00DB53FA" w:rsidRPr="00421450">
        <w:t xml:space="preserve">over the life of the </w:t>
      </w:r>
      <w:r w:rsidR="00B25623">
        <w:t>c</w:t>
      </w:r>
      <w:r w:rsidR="00420C32" w:rsidRPr="00421450">
        <w:t>ontract</w:t>
      </w:r>
      <w:r w:rsidR="00EC2F22">
        <w:t>,</w:t>
      </w:r>
    </w:p>
    <w:p w14:paraId="15595B13" w14:textId="012AB034" w:rsidR="00421450" w:rsidRDefault="00420C32" w:rsidP="00EC2F22">
      <w:pPr>
        <w:pStyle w:val="ListParagraph"/>
        <w:numPr>
          <w:ilvl w:val="0"/>
          <w:numId w:val="11"/>
        </w:numPr>
        <w:spacing w:line="276" w:lineRule="auto"/>
      </w:pPr>
      <w:r>
        <w:t>undertake appropriate assurance activities</w:t>
      </w:r>
      <w:r w:rsidR="00A6427E">
        <w:t>, as required</w:t>
      </w:r>
      <w:r w:rsidR="00EC2F22">
        <w:t>,</w:t>
      </w:r>
    </w:p>
    <w:p w14:paraId="381B6211" w14:textId="3A394362" w:rsidR="00EF6E2B" w:rsidRDefault="00EF6E2B" w:rsidP="00EC2F22">
      <w:pPr>
        <w:pStyle w:val="ListParagraph"/>
        <w:numPr>
          <w:ilvl w:val="0"/>
          <w:numId w:val="11"/>
        </w:numPr>
        <w:spacing w:line="276" w:lineRule="auto"/>
      </w:pPr>
      <w:r>
        <w:t>complete compliance assessments for each quarterly reporting period in ADMS (this data will be sent through to DEWR every six months</w:t>
      </w:r>
      <w:r w:rsidR="00E43274">
        <w:t>)</w:t>
      </w:r>
      <w:r w:rsidR="00EC2F22">
        <w:t>,</w:t>
      </w:r>
    </w:p>
    <w:p w14:paraId="718092E7" w14:textId="7B6317ED" w:rsidR="00A27F38" w:rsidRDefault="00A27F38" w:rsidP="00EC2F22">
      <w:pPr>
        <w:pStyle w:val="ListParagraph"/>
        <w:numPr>
          <w:ilvl w:val="0"/>
          <w:numId w:val="11"/>
        </w:numPr>
        <w:spacing w:line="276" w:lineRule="auto"/>
      </w:pPr>
      <w:r w:rsidRPr="00963841">
        <w:t xml:space="preserve">assess the </w:t>
      </w:r>
      <w:r>
        <w:t>S</w:t>
      </w:r>
      <w:r w:rsidRPr="00963841">
        <w:t xml:space="preserve">upplier’s performance against targets for </w:t>
      </w:r>
      <w:r w:rsidR="000B2A26">
        <w:t>w</w:t>
      </w:r>
      <w:r w:rsidRPr="00963841">
        <w:t>omen</w:t>
      </w:r>
      <w:r>
        <w:t xml:space="preserve"> in ADMS</w:t>
      </w:r>
      <w:r w:rsidRPr="00963841">
        <w:t xml:space="preserve"> </w:t>
      </w:r>
      <w:r>
        <w:t>at the end of each financial year</w:t>
      </w:r>
      <w:r w:rsidR="00EC2F22">
        <w:t>,</w:t>
      </w:r>
    </w:p>
    <w:p w14:paraId="4D156B18" w14:textId="1D75E032" w:rsidR="00B713BE" w:rsidRDefault="00CD2265" w:rsidP="00EC2F22">
      <w:pPr>
        <w:pStyle w:val="ListParagraph"/>
        <w:numPr>
          <w:ilvl w:val="0"/>
          <w:numId w:val="11"/>
        </w:numPr>
        <w:spacing w:line="276" w:lineRule="auto"/>
      </w:pPr>
      <w:r>
        <w:t xml:space="preserve">provide an end of project </w:t>
      </w:r>
      <w:r w:rsidR="00B713BE">
        <w:t xml:space="preserve">report to DEWR in ADMS </w:t>
      </w:r>
      <w:r>
        <w:t xml:space="preserve">at the end of each </w:t>
      </w:r>
      <w:r w:rsidR="00B25623">
        <w:t>c</w:t>
      </w:r>
      <w:r>
        <w:t>ontract.</w:t>
      </w:r>
    </w:p>
    <w:p w14:paraId="7A4C3DB8" w14:textId="784831DE" w:rsidR="007C364E" w:rsidRDefault="006A4529" w:rsidP="00A91606">
      <w:r>
        <w:t xml:space="preserve">Please refer to </w:t>
      </w:r>
      <w:r w:rsidR="00ED2125">
        <w:t xml:space="preserve">the </w:t>
      </w:r>
      <w:r w:rsidR="00ED2125" w:rsidRPr="0035478F">
        <w:t xml:space="preserve">further </w:t>
      </w:r>
      <w:hyperlink r:id="rId27" w:history="1">
        <w:r w:rsidR="00ED2125" w:rsidRPr="0035478F">
          <w:rPr>
            <w:rStyle w:val="Hyperlink"/>
          </w:rPr>
          <w:t>reporting guidance on GovTEAMS</w:t>
        </w:r>
      </w:hyperlink>
      <w:r w:rsidR="00ED2125" w:rsidRPr="0035478F">
        <w:t xml:space="preserve"> for more</w:t>
      </w:r>
      <w:r w:rsidR="00ED2125">
        <w:t xml:space="preserve"> information. </w:t>
      </w:r>
    </w:p>
    <w:p w14:paraId="00871275" w14:textId="0E9A0E13" w:rsidR="006A4529" w:rsidRDefault="007C364E" w:rsidP="007C364E">
      <w:pPr>
        <w:spacing w:after="160" w:line="259" w:lineRule="auto"/>
      </w:pPr>
      <w:r>
        <w:br w:type="page"/>
      </w:r>
    </w:p>
    <w:p w14:paraId="29B3EA1B" w14:textId="5CE3536D" w:rsidR="00B9776B" w:rsidRDefault="00B9776B" w:rsidP="00535C6B">
      <w:pPr>
        <w:pStyle w:val="Heading1"/>
      </w:pPr>
      <w:bookmarkStart w:id="41" w:name="_Toc210109824"/>
      <w:r>
        <w:lastRenderedPageBreak/>
        <w:t>Frequently Asked Questions</w:t>
      </w:r>
      <w:bookmarkEnd w:id="41"/>
    </w:p>
    <w:p w14:paraId="6C35D4FE" w14:textId="0E152FFA" w:rsidR="00182A3F" w:rsidRPr="000A7A4C" w:rsidRDefault="00807BA9" w:rsidP="00535C6B">
      <w:pPr>
        <w:pStyle w:val="Heading3"/>
      </w:pPr>
      <w:bookmarkStart w:id="42" w:name="_Toc209603147"/>
      <w:bookmarkStart w:id="43" w:name="_Toc209797331"/>
      <w:bookmarkStart w:id="44" w:name="_Toc210037805"/>
      <w:bookmarkStart w:id="45" w:name="_Toc210050129"/>
      <w:bookmarkStart w:id="46" w:name="_Toc210109825"/>
      <w:r>
        <w:t>Eligible project</w:t>
      </w:r>
      <w:r w:rsidR="00182A3F">
        <w:rPr>
          <w:bCs/>
        </w:rPr>
        <w:t>s</w:t>
      </w:r>
      <w:bookmarkEnd w:id="42"/>
      <w:bookmarkEnd w:id="43"/>
      <w:bookmarkEnd w:id="44"/>
      <w:bookmarkEnd w:id="45"/>
      <w:bookmarkEnd w:id="46"/>
    </w:p>
    <w:p w14:paraId="683911ED" w14:textId="1807DE0E" w:rsidR="00182A3F" w:rsidRPr="00535C6B" w:rsidRDefault="00182A3F" w:rsidP="00182A3F">
      <w:pPr>
        <w:pStyle w:val="Heading3"/>
        <w:rPr>
          <w:rStyle w:val="Heading5Char"/>
          <w:b w:val="0"/>
          <w:bCs/>
          <w:sz w:val="22"/>
          <w:szCs w:val="22"/>
        </w:rPr>
      </w:pPr>
      <w:bookmarkStart w:id="47" w:name="_Toc210109826"/>
      <w:r w:rsidRPr="00535C6B">
        <w:rPr>
          <w:rStyle w:val="Heading5Char"/>
          <w:b w:val="0"/>
          <w:bCs/>
          <w:sz w:val="22"/>
          <w:szCs w:val="22"/>
        </w:rPr>
        <w:t xml:space="preserve">Do </w:t>
      </w:r>
      <w:r w:rsidR="009A640B" w:rsidRPr="00535C6B">
        <w:rPr>
          <w:rStyle w:val="Heading5Char"/>
          <w:b w:val="0"/>
          <w:bCs/>
          <w:sz w:val="22"/>
          <w:szCs w:val="22"/>
        </w:rPr>
        <w:t>PCP</w:t>
      </w:r>
      <w:r w:rsidRPr="00535C6B">
        <w:rPr>
          <w:rStyle w:val="Heading5Char"/>
          <w:b w:val="0"/>
          <w:bCs/>
          <w:sz w:val="22"/>
          <w:szCs w:val="22"/>
        </w:rPr>
        <w:t xml:space="preserve"> thresholds apply to projects as a whole or individual procurements?</w:t>
      </w:r>
      <w:bookmarkEnd w:id="47"/>
    </w:p>
    <w:p w14:paraId="7071A276" w14:textId="5A44833B" w:rsidR="00182A3F" w:rsidRPr="00AF3AD6" w:rsidRDefault="00182A3F" w:rsidP="00636F72">
      <w:pPr>
        <w:pStyle w:val="ListBullet"/>
        <w:tabs>
          <w:tab w:val="left" w:pos="284"/>
        </w:tabs>
        <w:spacing w:after="0" w:line="276" w:lineRule="auto"/>
        <w:ind w:left="284" w:hanging="284"/>
      </w:pPr>
      <w:r w:rsidRPr="00AF3AD6">
        <w:t xml:space="preserve">The </w:t>
      </w:r>
      <w:r w:rsidR="009A640B">
        <w:t>PCP</w:t>
      </w:r>
      <w:r w:rsidRPr="00AF3AD6">
        <w:t xml:space="preserve"> financial thresholds apply to </w:t>
      </w:r>
      <w:r>
        <w:t xml:space="preserve">each </w:t>
      </w:r>
      <w:r w:rsidRPr="00AF3AD6">
        <w:t>individual procurement.</w:t>
      </w:r>
    </w:p>
    <w:p w14:paraId="320F81E2" w14:textId="5C66A5CE" w:rsidR="00182A3F" w:rsidRPr="00535C6B" w:rsidRDefault="00182A3F" w:rsidP="00EE64ED">
      <w:pPr>
        <w:pStyle w:val="Heading3"/>
        <w:rPr>
          <w:rStyle w:val="Heading5Char"/>
          <w:b w:val="0"/>
          <w:bCs/>
          <w:sz w:val="22"/>
          <w:szCs w:val="22"/>
        </w:rPr>
      </w:pPr>
      <w:bookmarkStart w:id="48" w:name="_Toc210109827"/>
      <w:r w:rsidRPr="00535C6B">
        <w:rPr>
          <w:rStyle w:val="Heading5Char"/>
          <w:b w:val="0"/>
          <w:bCs/>
          <w:sz w:val="22"/>
          <w:szCs w:val="22"/>
        </w:rPr>
        <w:t>Does the PCP apply to Sub-contractors?</w:t>
      </w:r>
      <w:bookmarkEnd w:id="48"/>
    </w:p>
    <w:p w14:paraId="17F67925" w14:textId="130E9DB5" w:rsidR="00182A3F" w:rsidRPr="007D3119" w:rsidRDefault="00182A3F" w:rsidP="00636F72">
      <w:pPr>
        <w:pStyle w:val="ListBullet"/>
        <w:spacing w:line="276" w:lineRule="auto"/>
        <w:ind w:left="284" w:hanging="284"/>
      </w:pPr>
      <w:r>
        <w:t xml:space="preserve">The PCP applies to the </w:t>
      </w:r>
      <w:r w:rsidR="00B25623">
        <w:t>c</w:t>
      </w:r>
      <w:r>
        <w:t xml:space="preserve">ontract between the Relevant </w:t>
      </w:r>
      <w:r w:rsidR="001C68A6">
        <w:t>e</w:t>
      </w:r>
      <w:r>
        <w:t xml:space="preserve">ntity and the lead contractor (the Supplier). </w:t>
      </w:r>
    </w:p>
    <w:p w14:paraId="65924333" w14:textId="5F9D3FCA" w:rsidR="00182A3F" w:rsidRDefault="00182A3F" w:rsidP="00080B9F">
      <w:pPr>
        <w:pStyle w:val="ListBullet"/>
        <w:spacing w:line="276" w:lineRule="auto"/>
        <w:ind w:left="284" w:hanging="284"/>
      </w:pPr>
      <w:r>
        <w:t xml:space="preserve">This means that while it does not apply to Sub-contractors directly, Suppliers are expected to report on all </w:t>
      </w:r>
      <w:r w:rsidR="00CD5E0D">
        <w:t>Labour hours</w:t>
      </w:r>
      <w:r>
        <w:t xml:space="preserve"> on the </w:t>
      </w:r>
      <w:r w:rsidR="00807BA9">
        <w:t>Eligible project</w:t>
      </w:r>
      <w:r>
        <w:t xml:space="preserve">. However, Suppliers and </w:t>
      </w:r>
      <w:r w:rsidR="0069799B">
        <w:t>Relevant entities</w:t>
      </w:r>
      <w:r>
        <w:t xml:space="preserve"> can enable Sub-contractors to report </w:t>
      </w:r>
      <w:r w:rsidR="00CD5E0D">
        <w:t>Labour hours</w:t>
      </w:r>
      <w:r>
        <w:t xml:space="preserve"> directly into ADMS. </w:t>
      </w:r>
      <w:r w:rsidR="00080B9F">
        <w:t>If Relevant entities or Suppliers inten</w:t>
      </w:r>
      <w:r w:rsidR="008C554B">
        <w:t>d</w:t>
      </w:r>
      <w:r w:rsidR="00080B9F">
        <w:t xml:space="preserve"> to permit Sub-contractors to submit data for a project, they will need to enable Sub-contractor access when the project is created in ADMS. </w:t>
      </w:r>
    </w:p>
    <w:p w14:paraId="3728F5A9" w14:textId="4F590B77" w:rsidR="00182A3F" w:rsidRDefault="00182A3F" w:rsidP="00636F72">
      <w:pPr>
        <w:pStyle w:val="ListBullet"/>
        <w:spacing w:line="276" w:lineRule="auto"/>
        <w:ind w:left="284" w:hanging="284"/>
      </w:pPr>
      <w:r>
        <w:t xml:space="preserve">Suppliers will need to ensure Sub-contractors have access to </w:t>
      </w:r>
      <w:r w:rsidR="0064295E">
        <w:t>ADMS</w:t>
      </w:r>
      <w:r>
        <w:t xml:space="preserve"> and provide accurate and timely reporting against the targets to the Supplier, to enable the Supplier to meet their reporting obligations to the Relevant Entity.</w:t>
      </w:r>
    </w:p>
    <w:p w14:paraId="39653115" w14:textId="19D35B6A" w:rsidR="00182A3F" w:rsidRPr="00535C6B" w:rsidRDefault="00182A3F" w:rsidP="00EE64ED">
      <w:pPr>
        <w:pStyle w:val="Heading3"/>
        <w:rPr>
          <w:rStyle w:val="Heading5Char"/>
          <w:b w:val="0"/>
          <w:bCs/>
          <w:sz w:val="22"/>
          <w:szCs w:val="22"/>
        </w:rPr>
      </w:pPr>
      <w:bookmarkStart w:id="49" w:name="_Toc210109828"/>
      <w:r w:rsidRPr="00535C6B">
        <w:rPr>
          <w:rStyle w:val="Heading5Char"/>
          <w:b w:val="0"/>
          <w:bCs/>
          <w:sz w:val="22"/>
          <w:szCs w:val="22"/>
        </w:rPr>
        <w:t xml:space="preserve">How do I calculate the estimated individual value of a procurement to determine whether my procurement is subject to the </w:t>
      </w:r>
      <w:r w:rsidR="009A640B" w:rsidRPr="00535C6B">
        <w:rPr>
          <w:rStyle w:val="Heading5Char"/>
          <w:b w:val="0"/>
          <w:bCs/>
          <w:sz w:val="22"/>
          <w:szCs w:val="22"/>
        </w:rPr>
        <w:t>PCP</w:t>
      </w:r>
      <w:r w:rsidRPr="00535C6B">
        <w:rPr>
          <w:rStyle w:val="Heading5Char"/>
          <w:b w:val="0"/>
          <w:bCs/>
          <w:sz w:val="22"/>
          <w:szCs w:val="22"/>
        </w:rPr>
        <w:t>?</w:t>
      </w:r>
      <w:bookmarkEnd w:id="49"/>
    </w:p>
    <w:p w14:paraId="7A18C08D" w14:textId="596F4F1A" w:rsidR="00182A3F" w:rsidRPr="00D93FE3" w:rsidRDefault="00F325F9" w:rsidP="00636F72">
      <w:pPr>
        <w:pStyle w:val="ListBullet"/>
        <w:spacing w:line="276" w:lineRule="auto"/>
        <w:ind w:left="284" w:hanging="284"/>
      </w:pPr>
      <w:r>
        <w:t>A</w:t>
      </w:r>
      <w:r w:rsidR="00182A3F">
        <w:t xml:space="preserve"> Relevant Entity will need to determine the ‘estimated individual value’ of the procurement. </w:t>
      </w:r>
    </w:p>
    <w:p w14:paraId="229FDDD5" w14:textId="0046651D" w:rsidR="00182A3F" w:rsidRPr="00D93FE3" w:rsidRDefault="00182A3F" w:rsidP="00636F72">
      <w:pPr>
        <w:pStyle w:val="ListBullet"/>
        <w:spacing w:line="276" w:lineRule="auto"/>
        <w:ind w:left="284" w:hanging="284"/>
      </w:pPr>
      <w:r>
        <w:t xml:space="preserve">This should include options, extensions, renewals or other mechanisms that may be executed over the life of the </w:t>
      </w:r>
      <w:r w:rsidR="007C30E8">
        <w:t>c</w:t>
      </w:r>
      <w:r>
        <w:t xml:space="preserve">ontract, in line with </w:t>
      </w:r>
      <w:r w:rsidRPr="7629484D">
        <w:rPr>
          <w:b/>
          <w:bCs/>
        </w:rPr>
        <w:t>Section 9.2</w:t>
      </w:r>
      <w:r>
        <w:t xml:space="preserve"> of the Commonwealth Procurement Rules (CPRs) definition of ‘expected value of a procurement’. </w:t>
      </w:r>
    </w:p>
    <w:p w14:paraId="6A0DEA8D" w14:textId="0CD442CD" w:rsidR="00182A3F" w:rsidRPr="00D93FE3" w:rsidRDefault="00182A3F" w:rsidP="00636F72">
      <w:pPr>
        <w:pStyle w:val="ListBullet"/>
        <w:spacing w:line="276" w:lineRule="auto"/>
        <w:ind w:left="284" w:hanging="284"/>
      </w:pPr>
      <w:r>
        <w:t xml:space="preserve">For example, where the initial </w:t>
      </w:r>
      <w:r w:rsidR="007C30E8">
        <w:t>c</w:t>
      </w:r>
      <w:r>
        <w:t xml:space="preserve">ontract for a procurement has a value of $9 million but includes an option to extend the </w:t>
      </w:r>
      <w:r w:rsidR="007C30E8">
        <w:t>c</w:t>
      </w:r>
      <w:r>
        <w:t xml:space="preserve">ontract, worth an additional $1.5 million, the estimated individual value of the procurement would be $10.5 million. Therefore, this procurement would meet the $10 million threshold for Major </w:t>
      </w:r>
      <w:r w:rsidR="001C68A6">
        <w:t>c</w:t>
      </w:r>
      <w:r>
        <w:t xml:space="preserve">onstruction </w:t>
      </w:r>
      <w:r w:rsidR="001C68A6">
        <w:t>p</w:t>
      </w:r>
      <w:r>
        <w:t xml:space="preserve">rojects and Major ICT </w:t>
      </w:r>
      <w:r w:rsidR="001C68A6">
        <w:t>p</w:t>
      </w:r>
      <w:r>
        <w:t xml:space="preserve">rojects.  </w:t>
      </w:r>
    </w:p>
    <w:p w14:paraId="1B42A232" w14:textId="46204FE0" w:rsidR="00182A3F" w:rsidRPr="00535C6B" w:rsidRDefault="00182A3F" w:rsidP="00EE64ED">
      <w:pPr>
        <w:pStyle w:val="Heading3"/>
        <w:rPr>
          <w:rStyle w:val="Heading5Char"/>
          <w:b w:val="0"/>
          <w:bCs/>
          <w:sz w:val="22"/>
          <w:szCs w:val="22"/>
        </w:rPr>
      </w:pPr>
      <w:bookmarkStart w:id="50" w:name="_Toc210109829"/>
      <w:r w:rsidRPr="00535C6B">
        <w:rPr>
          <w:rStyle w:val="Heading5Char"/>
          <w:b w:val="0"/>
          <w:bCs/>
          <w:sz w:val="22"/>
          <w:szCs w:val="22"/>
        </w:rPr>
        <w:t>Does the PCP apply to a procurement where the estimated individual value is less than $10 million but the successful Submission is $10 million</w:t>
      </w:r>
      <w:r w:rsidR="00017A86">
        <w:rPr>
          <w:rStyle w:val="Heading5Char"/>
          <w:b w:val="0"/>
          <w:bCs/>
          <w:sz w:val="22"/>
          <w:szCs w:val="22"/>
        </w:rPr>
        <w:t xml:space="preserve"> or more</w:t>
      </w:r>
      <w:r w:rsidRPr="00535C6B">
        <w:rPr>
          <w:rStyle w:val="Heading5Char"/>
          <w:b w:val="0"/>
          <w:bCs/>
          <w:sz w:val="22"/>
          <w:szCs w:val="22"/>
        </w:rPr>
        <w:t>?</w:t>
      </w:r>
      <w:bookmarkEnd w:id="50"/>
    </w:p>
    <w:p w14:paraId="6655189A" w14:textId="6C35BB3B" w:rsidR="00182A3F" w:rsidRDefault="00182A3F" w:rsidP="00BE61CA">
      <w:pPr>
        <w:pStyle w:val="ListBullet"/>
        <w:spacing w:line="276" w:lineRule="auto"/>
        <w:ind w:left="284" w:hanging="284"/>
      </w:pPr>
      <w:r>
        <w:t>The PCP applies to eligible procurements with an estimated individual value of $10 million or more (</w:t>
      </w:r>
      <w:r w:rsidRPr="0011672F">
        <w:t>includ</w:t>
      </w:r>
      <w:r>
        <w:t>ing</w:t>
      </w:r>
      <w:r w:rsidRPr="0011672F">
        <w:t xml:space="preserve"> options, extensions, renewals or other mechanisms that may be executed over the life of the </w:t>
      </w:r>
      <w:r w:rsidR="007C30E8">
        <w:t>c</w:t>
      </w:r>
      <w:r w:rsidRPr="0011672F">
        <w:t>ontract</w:t>
      </w:r>
      <w:r>
        <w:t>).</w:t>
      </w:r>
    </w:p>
    <w:p w14:paraId="699DADE0" w14:textId="15575510" w:rsidR="00182A3F" w:rsidRDefault="00182A3F" w:rsidP="00BE61CA">
      <w:pPr>
        <w:pStyle w:val="ListBullet"/>
        <w:spacing w:line="276" w:lineRule="auto"/>
        <w:ind w:left="284" w:hanging="284"/>
      </w:pPr>
      <w:r>
        <w:t xml:space="preserve">Where a procurements estimated individual value is less than $10 million, </w:t>
      </w:r>
      <w:r w:rsidR="0069799B">
        <w:t>Relevant entities</w:t>
      </w:r>
      <w:r>
        <w:t xml:space="preserve"> are not required to include Skills Guarantee requirements in the </w:t>
      </w:r>
      <w:r w:rsidR="00C53466">
        <w:t>ATM</w:t>
      </w:r>
      <w:r>
        <w:t xml:space="preserve">. </w:t>
      </w:r>
    </w:p>
    <w:p w14:paraId="612453B9" w14:textId="52ACEB94" w:rsidR="00182A3F" w:rsidRDefault="00182A3F" w:rsidP="00BE61CA">
      <w:pPr>
        <w:pStyle w:val="ListBullet"/>
        <w:spacing w:line="276" w:lineRule="auto"/>
        <w:ind w:left="284" w:hanging="284"/>
      </w:pPr>
      <w:r>
        <w:t xml:space="preserve">However, if the successful </w:t>
      </w:r>
      <w:r w:rsidR="007C30E8">
        <w:t>c</w:t>
      </w:r>
      <w:r>
        <w:t xml:space="preserve">ontract value is $10 million or more, the </w:t>
      </w:r>
      <w:r w:rsidR="0069799B">
        <w:t>Relevant entities</w:t>
      </w:r>
      <w:r>
        <w:t xml:space="preserve"> can negotiate with the successful Supplier to include the PCP requirements in the </w:t>
      </w:r>
      <w:r w:rsidR="007C30E8">
        <w:t>c</w:t>
      </w:r>
      <w:r>
        <w:t xml:space="preserve">ontract. </w:t>
      </w:r>
    </w:p>
    <w:p w14:paraId="49ACC8E2" w14:textId="3AD60112" w:rsidR="00182A3F" w:rsidRPr="00535C6B" w:rsidRDefault="00182A3F" w:rsidP="00EE64ED">
      <w:pPr>
        <w:pStyle w:val="Heading3"/>
        <w:rPr>
          <w:rStyle w:val="Heading5Char"/>
          <w:b w:val="0"/>
          <w:bCs/>
          <w:sz w:val="22"/>
          <w:szCs w:val="22"/>
        </w:rPr>
      </w:pPr>
      <w:bookmarkStart w:id="51" w:name="_Toc210109830"/>
      <w:r w:rsidRPr="00535C6B">
        <w:rPr>
          <w:rStyle w:val="Heading5Char"/>
          <w:b w:val="0"/>
          <w:bCs/>
          <w:sz w:val="22"/>
          <w:szCs w:val="22"/>
        </w:rPr>
        <w:t xml:space="preserve">Does the PCP apply to a procurement where the estimated individual value is $10 million </w:t>
      </w:r>
      <w:r w:rsidR="00017A86">
        <w:rPr>
          <w:rStyle w:val="Heading5Char"/>
          <w:b w:val="0"/>
          <w:bCs/>
          <w:sz w:val="22"/>
          <w:szCs w:val="22"/>
        </w:rPr>
        <w:t xml:space="preserve">or more </w:t>
      </w:r>
      <w:r w:rsidRPr="00535C6B">
        <w:rPr>
          <w:rStyle w:val="Heading5Char"/>
          <w:b w:val="0"/>
          <w:bCs/>
          <w:sz w:val="22"/>
          <w:szCs w:val="22"/>
        </w:rPr>
        <w:t>but the successful Submission is less than $10 million?</w:t>
      </w:r>
      <w:bookmarkEnd w:id="51"/>
    </w:p>
    <w:p w14:paraId="04A3566E" w14:textId="1F75293A" w:rsidR="00182A3F" w:rsidRDefault="00182A3F" w:rsidP="002375A0">
      <w:pPr>
        <w:pStyle w:val="ListBullet"/>
        <w:spacing w:line="276" w:lineRule="auto"/>
        <w:ind w:left="284" w:hanging="284"/>
      </w:pPr>
      <w:r>
        <w:t>If the procurements estimated individual value is $10 million</w:t>
      </w:r>
      <w:r w:rsidR="00017A86">
        <w:t xml:space="preserve"> or more</w:t>
      </w:r>
      <w:r>
        <w:t xml:space="preserve">, </w:t>
      </w:r>
      <w:r w:rsidR="002375A0">
        <w:t>PCP</w:t>
      </w:r>
      <w:r>
        <w:t xml:space="preserve"> requirements must be included in the </w:t>
      </w:r>
      <w:r w:rsidR="00C53466">
        <w:t>ATM</w:t>
      </w:r>
      <w:r>
        <w:t>.</w:t>
      </w:r>
    </w:p>
    <w:p w14:paraId="2CD045FC" w14:textId="1A02E408" w:rsidR="00182A3F" w:rsidRPr="00A36FB5" w:rsidRDefault="00182A3F" w:rsidP="002375A0">
      <w:pPr>
        <w:pStyle w:val="ListBullet"/>
        <w:spacing w:line="276" w:lineRule="auto"/>
        <w:ind w:left="284" w:hanging="284"/>
      </w:pPr>
      <w:r>
        <w:lastRenderedPageBreak/>
        <w:t xml:space="preserve">As the requirements are in the </w:t>
      </w:r>
      <w:r w:rsidR="00C53466">
        <w:t>ATM</w:t>
      </w:r>
      <w:r>
        <w:t xml:space="preserve">, the final </w:t>
      </w:r>
      <w:r w:rsidR="007C30E8">
        <w:t>c</w:t>
      </w:r>
      <w:r>
        <w:t xml:space="preserve">ontract should also contain </w:t>
      </w:r>
      <w:r w:rsidR="00966D9C">
        <w:t xml:space="preserve">PCP </w:t>
      </w:r>
      <w:r>
        <w:t xml:space="preserve">requirements, even if the successful </w:t>
      </w:r>
      <w:r w:rsidR="007C30E8">
        <w:t>c</w:t>
      </w:r>
      <w:r>
        <w:t xml:space="preserve">ontract value is under $10 million. </w:t>
      </w:r>
    </w:p>
    <w:p w14:paraId="4D19998E" w14:textId="4AC97C92" w:rsidR="00182A3F" w:rsidRPr="00975CE0" w:rsidRDefault="00182A3F" w:rsidP="00535C6B">
      <w:pPr>
        <w:pStyle w:val="Heading3"/>
      </w:pPr>
      <w:bookmarkStart w:id="52" w:name="_Toc209603153"/>
      <w:bookmarkStart w:id="53" w:name="_Toc209797337"/>
      <w:bookmarkStart w:id="54" w:name="_Toc210037811"/>
      <w:bookmarkStart w:id="55" w:name="_Toc210050135"/>
      <w:bookmarkStart w:id="56" w:name="_Toc210109831"/>
      <w:r w:rsidRPr="7629484D">
        <w:t>Apprentices</w:t>
      </w:r>
      <w:r w:rsidRPr="7629484D">
        <w:rPr>
          <w:rStyle w:val="normaltextrun"/>
        </w:rPr>
        <w:t xml:space="preserve"> </w:t>
      </w:r>
      <w:r w:rsidRPr="00975CE0">
        <w:rPr>
          <w:rFonts w:asciiTheme="minorHAnsi" w:hAnsiTheme="minorHAnsi"/>
        </w:rPr>
        <w:t xml:space="preserve">and </w:t>
      </w:r>
      <w:r w:rsidR="00690A32">
        <w:rPr>
          <w:rFonts w:asciiTheme="minorHAnsi" w:hAnsiTheme="minorHAnsi"/>
        </w:rPr>
        <w:t>ICT cadet</w:t>
      </w:r>
      <w:r w:rsidRPr="00975CE0">
        <w:rPr>
          <w:rFonts w:asciiTheme="minorHAnsi" w:hAnsiTheme="minorHAnsi"/>
        </w:rPr>
        <w:t>s</w:t>
      </w:r>
      <w:bookmarkEnd w:id="52"/>
      <w:bookmarkEnd w:id="53"/>
      <w:bookmarkEnd w:id="54"/>
      <w:bookmarkEnd w:id="55"/>
      <w:bookmarkEnd w:id="56"/>
    </w:p>
    <w:p w14:paraId="6A24C196" w14:textId="77777777" w:rsidR="00182A3F" w:rsidRPr="00535C6B" w:rsidRDefault="00182A3F" w:rsidP="00EE64ED">
      <w:pPr>
        <w:pStyle w:val="Heading3"/>
        <w:rPr>
          <w:rStyle w:val="Heading5Char"/>
          <w:b w:val="0"/>
          <w:bCs/>
          <w:sz w:val="22"/>
          <w:szCs w:val="22"/>
        </w:rPr>
      </w:pPr>
      <w:bookmarkStart w:id="57" w:name="_Toc210109832"/>
      <w:r w:rsidRPr="00535C6B">
        <w:rPr>
          <w:rStyle w:val="Heading5Char"/>
          <w:b w:val="0"/>
          <w:bCs/>
          <w:sz w:val="22"/>
          <w:szCs w:val="22"/>
        </w:rPr>
        <w:t>What is an Apprentice?</w:t>
      </w:r>
      <w:bookmarkEnd w:id="57"/>
    </w:p>
    <w:p w14:paraId="1F239201" w14:textId="6EE714E3" w:rsidR="00182A3F" w:rsidRPr="00076A83" w:rsidRDefault="00182A3F" w:rsidP="004A32C7">
      <w:pPr>
        <w:pStyle w:val="ListBullet"/>
        <w:spacing w:after="0" w:line="276" w:lineRule="auto"/>
        <w:ind w:left="284" w:hanging="284"/>
        <w:rPr>
          <w:rStyle w:val="eop"/>
        </w:rPr>
      </w:pPr>
      <w:r w:rsidRPr="00076A83">
        <w:rPr>
          <w:rStyle w:val="normaltextrun"/>
          <w:rFonts w:cs="Calibri"/>
          <w:color w:val="000000" w:themeColor="text1"/>
        </w:rPr>
        <w:t xml:space="preserve">An Apprentice </w:t>
      </w:r>
      <w:r w:rsidRPr="00076A83">
        <w:rPr>
          <w:rStyle w:val="normaltextrun"/>
          <w:rFonts w:cs="Calibri"/>
          <w:color w:val="000000"/>
          <w:shd w:val="clear" w:color="auto" w:fill="FFFFFF"/>
        </w:rPr>
        <w:t xml:space="preserve">(also known as a </w:t>
      </w:r>
      <w:r w:rsidRPr="7629484D">
        <w:rPr>
          <w:rStyle w:val="normaltextrun"/>
          <w:rFonts w:cs="Calibri"/>
          <w:i/>
          <w:iCs/>
          <w:color w:val="000000"/>
          <w:shd w:val="clear" w:color="auto" w:fill="FFFFFF"/>
        </w:rPr>
        <w:t xml:space="preserve">trainee or Australian </w:t>
      </w:r>
      <w:r w:rsidRPr="00076A83">
        <w:rPr>
          <w:rStyle w:val="normaltextrun"/>
          <w:rFonts w:cs="Calibri"/>
          <w:color w:val="000000"/>
          <w:shd w:val="clear" w:color="auto" w:fill="FFFFFF"/>
        </w:rPr>
        <w:t>Apprentice) as a person who is:</w:t>
      </w:r>
      <w:r w:rsidRPr="00076A83">
        <w:rPr>
          <w:rStyle w:val="eop"/>
          <w:rFonts w:cs="Calibri"/>
          <w:color w:val="000000"/>
          <w:shd w:val="clear" w:color="auto" w:fill="FFFFFF"/>
        </w:rPr>
        <w:t> </w:t>
      </w:r>
    </w:p>
    <w:p w14:paraId="32A4E32A" w14:textId="4B4F4089" w:rsidR="00182A3F" w:rsidRPr="00F164EE" w:rsidRDefault="00182A3F" w:rsidP="004A32C7">
      <w:pPr>
        <w:pStyle w:val="ListBullet"/>
        <w:numPr>
          <w:ilvl w:val="1"/>
          <w:numId w:val="2"/>
        </w:numPr>
        <w:spacing w:line="276" w:lineRule="auto"/>
        <w:ind w:left="709" w:hanging="283"/>
        <w:rPr>
          <w:bCs/>
        </w:rPr>
      </w:pPr>
      <w:r w:rsidRPr="00F164EE">
        <w:rPr>
          <w:bCs/>
        </w:rPr>
        <w:t>employed under a Training Contract that has been registered with, and validated by, their State/Territory Training Authority</w:t>
      </w:r>
    </w:p>
    <w:p w14:paraId="7AABA1F0" w14:textId="4FA1FE25" w:rsidR="00182A3F" w:rsidRPr="00F164EE" w:rsidRDefault="00182A3F" w:rsidP="004A32C7">
      <w:pPr>
        <w:pStyle w:val="ListBullet"/>
        <w:numPr>
          <w:ilvl w:val="1"/>
          <w:numId w:val="2"/>
        </w:numPr>
        <w:spacing w:line="276" w:lineRule="auto"/>
        <w:ind w:left="709" w:hanging="283"/>
        <w:rPr>
          <w:bCs/>
        </w:rPr>
      </w:pPr>
      <w:r w:rsidRPr="00F164EE">
        <w:rPr>
          <w:bCs/>
        </w:rPr>
        <w:t>undertaking paid work and structured training which comprises both on and off the job training</w:t>
      </w:r>
    </w:p>
    <w:p w14:paraId="257072AB" w14:textId="4AC2EE9D" w:rsidR="00182A3F" w:rsidRPr="00F164EE" w:rsidRDefault="00182A3F" w:rsidP="004A32C7">
      <w:pPr>
        <w:pStyle w:val="ListBullet"/>
        <w:numPr>
          <w:ilvl w:val="1"/>
          <w:numId w:val="2"/>
        </w:numPr>
        <w:spacing w:line="276" w:lineRule="auto"/>
        <w:ind w:left="709" w:hanging="283"/>
        <w:rPr>
          <w:bCs/>
        </w:rPr>
      </w:pPr>
      <w:r w:rsidRPr="00F164EE">
        <w:rPr>
          <w:bCs/>
        </w:rPr>
        <w:t>undertaking a negotiated training program that involves obtaining a nationally recognised qualification</w:t>
      </w:r>
      <w:r w:rsidR="004A32C7">
        <w:rPr>
          <w:bCs/>
        </w:rPr>
        <w:t>,</w:t>
      </w:r>
      <w:r w:rsidRPr="00F164EE">
        <w:rPr>
          <w:bCs/>
        </w:rPr>
        <w:t xml:space="preserve"> and</w:t>
      </w:r>
    </w:p>
    <w:p w14:paraId="65EBD4F9" w14:textId="3B2D7AB6" w:rsidR="00182A3F" w:rsidRPr="00F164EE" w:rsidRDefault="00182A3F" w:rsidP="004A32C7">
      <w:pPr>
        <w:pStyle w:val="ListBullet"/>
        <w:numPr>
          <w:ilvl w:val="1"/>
          <w:numId w:val="2"/>
        </w:numPr>
        <w:spacing w:line="276" w:lineRule="auto"/>
        <w:ind w:left="709" w:hanging="283"/>
        <w:rPr>
          <w:bCs/>
        </w:rPr>
      </w:pPr>
      <w:r w:rsidRPr="00F164EE">
        <w:rPr>
          <w:bCs/>
        </w:rPr>
        <w:t xml:space="preserve">either directly employed by the Supplier or Sub-contractors or indirectly employed through a Group Training Organisation to work on an </w:t>
      </w:r>
      <w:r w:rsidR="00807BA9">
        <w:rPr>
          <w:bCs/>
        </w:rPr>
        <w:t>Eligible project</w:t>
      </w:r>
      <w:r w:rsidRPr="00F164EE">
        <w:rPr>
          <w:bCs/>
        </w:rPr>
        <w:t>.</w:t>
      </w:r>
    </w:p>
    <w:p w14:paraId="2CAA1BDB" w14:textId="5AA3E631" w:rsidR="00182A3F" w:rsidRDefault="00182A3F" w:rsidP="00690A32">
      <w:pPr>
        <w:pStyle w:val="Heading3"/>
        <w:rPr>
          <w:rStyle w:val="Heading5Char"/>
          <w:b w:val="0"/>
          <w:bCs/>
          <w:sz w:val="22"/>
          <w:szCs w:val="22"/>
        </w:rPr>
      </w:pPr>
      <w:bookmarkStart w:id="58" w:name="_Toc210109833"/>
      <w:r w:rsidRPr="00535C6B">
        <w:rPr>
          <w:rStyle w:val="Heading5Char"/>
          <w:b w:val="0"/>
          <w:bCs/>
          <w:sz w:val="22"/>
          <w:szCs w:val="22"/>
        </w:rPr>
        <w:t>What is a</w:t>
      </w:r>
      <w:r w:rsidR="00817853">
        <w:rPr>
          <w:rStyle w:val="Heading5Char"/>
          <w:b w:val="0"/>
          <w:bCs/>
          <w:sz w:val="22"/>
          <w:szCs w:val="22"/>
        </w:rPr>
        <w:t>n</w:t>
      </w:r>
      <w:r w:rsidRPr="00535C6B">
        <w:rPr>
          <w:rStyle w:val="Heading5Char"/>
          <w:b w:val="0"/>
          <w:bCs/>
          <w:sz w:val="22"/>
          <w:szCs w:val="22"/>
        </w:rPr>
        <w:t xml:space="preserve"> </w:t>
      </w:r>
      <w:r w:rsidR="00690A32">
        <w:rPr>
          <w:rStyle w:val="Heading5Char"/>
          <w:b w:val="0"/>
          <w:bCs/>
          <w:sz w:val="22"/>
          <w:szCs w:val="22"/>
        </w:rPr>
        <w:t>ICT cadet?</w:t>
      </w:r>
      <w:bookmarkEnd w:id="58"/>
    </w:p>
    <w:p w14:paraId="16C7C049" w14:textId="10AFE2E4" w:rsidR="00690A32" w:rsidRPr="00690A32" w:rsidRDefault="000D381E" w:rsidP="00913D43">
      <w:pPr>
        <w:pStyle w:val="ListParagraph"/>
        <w:numPr>
          <w:ilvl w:val="0"/>
          <w:numId w:val="20"/>
        </w:numPr>
        <w:spacing w:line="276" w:lineRule="auto"/>
        <w:ind w:left="284" w:hanging="284"/>
      </w:pPr>
      <w:r>
        <w:t>An</w:t>
      </w:r>
      <w:r w:rsidR="00476946">
        <w:t xml:space="preserve"> ICT cadet is a paid employee who is working on a </w:t>
      </w:r>
      <w:r>
        <w:t>M</w:t>
      </w:r>
      <w:r w:rsidR="00476946">
        <w:t>ajor ICT project and who is employed in an entry-level role and undertaking academic study through either the VET or higher education system towards a qualification under the Australian Qualification Framework, where the employer has formally committed to providing the employee with on-the-job training and support to complete the specific course of academic study.</w:t>
      </w:r>
    </w:p>
    <w:p w14:paraId="14FB7AC6" w14:textId="68089198" w:rsidR="00182A3F" w:rsidRPr="006A1E97" w:rsidRDefault="0089639F" w:rsidP="00535C6B">
      <w:pPr>
        <w:pStyle w:val="Heading3"/>
      </w:pPr>
      <w:bookmarkStart w:id="59" w:name="_Toc209603156"/>
      <w:bookmarkStart w:id="60" w:name="_Toc209797340"/>
      <w:bookmarkStart w:id="61" w:name="_Toc210037814"/>
      <w:bookmarkStart w:id="62" w:name="_Toc210050138"/>
      <w:bookmarkStart w:id="63" w:name="_Toc210109834"/>
      <w:r>
        <w:t>PCP</w:t>
      </w:r>
      <w:r w:rsidR="00182A3F" w:rsidDel="00DA00F6">
        <w:t xml:space="preserve"> </w:t>
      </w:r>
      <w:r w:rsidR="00182A3F">
        <w:t>targets</w:t>
      </w:r>
      <w:bookmarkEnd w:id="59"/>
      <w:bookmarkEnd w:id="60"/>
      <w:bookmarkEnd w:id="61"/>
      <w:bookmarkEnd w:id="62"/>
      <w:bookmarkEnd w:id="63"/>
    </w:p>
    <w:p w14:paraId="0EA1CC15" w14:textId="0AAC9727" w:rsidR="00182A3F" w:rsidRPr="00535C6B" w:rsidRDefault="00182A3F" w:rsidP="00EE64ED">
      <w:pPr>
        <w:pStyle w:val="Heading3"/>
        <w:rPr>
          <w:rStyle w:val="Heading5Char"/>
          <w:b w:val="0"/>
          <w:bCs/>
          <w:sz w:val="22"/>
          <w:szCs w:val="22"/>
        </w:rPr>
      </w:pPr>
      <w:bookmarkStart w:id="64" w:name="_Toc210109835"/>
      <w:r w:rsidRPr="00535C6B">
        <w:rPr>
          <w:rStyle w:val="Heading5Char"/>
          <w:b w:val="0"/>
          <w:bCs/>
          <w:sz w:val="22"/>
          <w:szCs w:val="22"/>
        </w:rPr>
        <w:t xml:space="preserve">How are Apprentice or </w:t>
      </w:r>
      <w:r w:rsidR="00690A32">
        <w:rPr>
          <w:rStyle w:val="Heading5Char"/>
          <w:b w:val="0"/>
          <w:bCs/>
          <w:sz w:val="22"/>
          <w:szCs w:val="22"/>
        </w:rPr>
        <w:t>ICT cadet</w:t>
      </w:r>
      <w:r w:rsidRPr="00535C6B">
        <w:rPr>
          <w:rStyle w:val="Heading5Char"/>
          <w:b w:val="0"/>
          <w:bCs/>
          <w:sz w:val="22"/>
          <w:szCs w:val="22"/>
        </w:rPr>
        <w:t xml:space="preserve"> </w:t>
      </w:r>
      <w:r w:rsidR="00C07798">
        <w:rPr>
          <w:rStyle w:val="Heading5Char"/>
          <w:b w:val="0"/>
          <w:bCs/>
          <w:sz w:val="22"/>
          <w:szCs w:val="22"/>
        </w:rPr>
        <w:t>o</w:t>
      </w:r>
      <w:r w:rsidRPr="00535C6B">
        <w:rPr>
          <w:rStyle w:val="Heading5Char"/>
          <w:b w:val="0"/>
          <w:bCs/>
          <w:sz w:val="22"/>
          <w:szCs w:val="22"/>
        </w:rPr>
        <w:t>ff-</w:t>
      </w:r>
      <w:r w:rsidR="00C07798">
        <w:rPr>
          <w:rStyle w:val="Heading5Char"/>
          <w:b w:val="0"/>
          <w:bCs/>
          <w:sz w:val="22"/>
          <w:szCs w:val="22"/>
        </w:rPr>
        <w:t>s</w:t>
      </w:r>
      <w:r w:rsidRPr="00535C6B">
        <w:rPr>
          <w:rStyle w:val="Heading5Char"/>
          <w:b w:val="0"/>
          <w:bCs/>
          <w:sz w:val="22"/>
          <w:szCs w:val="22"/>
        </w:rPr>
        <w:t xml:space="preserve">ite </w:t>
      </w:r>
      <w:r w:rsidR="00CD5E0D">
        <w:rPr>
          <w:rStyle w:val="Heading5Char"/>
          <w:b w:val="0"/>
          <w:bCs/>
          <w:sz w:val="22"/>
          <w:szCs w:val="22"/>
        </w:rPr>
        <w:t>Labour hours</w:t>
      </w:r>
      <w:r w:rsidRPr="00535C6B">
        <w:rPr>
          <w:rStyle w:val="Heading5Char"/>
          <w:b w:val="0"/>
          <w:bCs/>
          <w:sz w:val="22"/>
          <w:szCs w:val="22"/>
        </w:rPr>
        <w:t xml:space="preserve"> treated to calculate meeting the targets under the PCP?</w:t>
      </w:r>
      <w:bookmarkEnd w:id="64"/>
    </w:p>
    <w:p w14:paraId="701F0669" w14:textId="3F253BF6" w:rsidR="00182A3F" w:rsidRDefault="00182A3F" w:rsidP="0038262F">
      <w:pPr>
        <w:pStyle w:val="ListBullet"/>
        <w:spacing w:line="276" w:lineRule="auto"/>
        <w:ind w:left="284" w:hanging="284"/>
      </w:pPr>
      <w:r>
        <w:t>Off-</w:t>
      </w:r>
      <w:r w:rsidR="00C07798">
        <w:t>s</w:t>
      </w:r>
      <w:r>
        <w:t xml:space="preserve">ite </w:t>
      </w:r>
      <w:r w:rsidR="0060596E">
        <w:t>refers to</w:t>
      </w:r>
      <w:r>
        <w:t xml:space="preserve"> </w:t>
      </w:r>
      <w:r w:rsidR="00CD5E0D">
        <w:t>Labour hours</w:t>
      </w:r>
      <w:r>
        <w:t xml:space="preserve"> undertaken not at the physical location/s of the </w:t>
      </w:r>
      <w:r w:rsidR="00807BA9">
        <w:t>Eligible project</w:t>
      </w:r>
      <w:r>
        <w:t xml:space="preserve"> to deliver inputs for the </w:t>
      </w:r>
      <w:r w:rsidR="00807BA9">
        <w:t>Eligible project</w:t>
      </w:r>
      <w:r>
        <w:t xml:space="preserve">, or to undertake Apprentice or </w:t>
      </w:r>
      <w:r w:rsidR="00690A32">
        <w:t>ICT cadet</w:t>
      </w:r>
      <w:r>
        <w:t xml:space="preserve"> education and training contributing to their qualification and the </w:t>
      </w:r>
      <w:r w:rsidR="00807BA9">
        <w:t>Eligible project</w:t>
      </w:r>
      <w:r>
        <w:t xml:space="preserve">. </w:t>
      </w:r>
    </w:p>
    <w:p w14:paraId="7145E09A" w14:textId="6A2E8057" w:rsidR="00182A3F" w:rsidRPr="006A1E97" w:rsidRDefault="00CD5E0D" w:rsidP="0038262F">
      <w:pPr>
        <w:pStyle w:val="ListBullet"/>
        <w:spacing w:line="276" w:lineRule="auto"/>
        <w:ind w:left="284" w:hanging="284"/>
      </w:pPr>
      <w:r>
        <w:t>Labour hours</w:t>
      </w:r>
      <w:r w:rsidR="00182A3F">
        <w:t xml:space="preserve"> worked </w:t>
      </w:r>
      <w:r w:rsidR="00C07798">
        <w:t>o</w:t>
      </w:r>
      <w:r w:rsidR="00182A3F">
        <w:t>ff-</w:t>
      </w:r>
      <w:r w:rsidR="00C07798">
        <w:t>s</w:t>
      </w:r>
      <w:r w:rsidR="00182A3F">
        <w:t xml:space="preserve">ite to deliver inputs for an </w:t>
      </w:r>
      <w:r w:rsidR="00807BA9">
        <w:t>Eligible project</w:t>
      </w:r>
      <w:r w:rsidR="00182A3F">
        <w:t xml:space="preserve"> to count towards meeting the target could be for example the hours worked by a cabinet maker to manufacture cabinets for use on an </w:t>
      </w:r>
      <w:r w:rsidR="00807BA9">
        <w:t>Eligible project</w:t>
      </w:r>
      <w:r w:rsidR="00182A3F">
        <w:t>.</w:t>
      </w:r>
    </w:p>
    <w:p w14:paraId="20C67AE5" w14:textId="2C8EF8D7" w:rsidR="00182A3F" w:rsidRPr="0052109D" w:rsidRDefault="00182A3F" w:rsidP="0038262F">
      <w:pPr>
        <w:pStyle w:val="ListBullet"/>
        <w:numPr>
          <w:ilvl w:val="0"/>
          <w:numId w:val="8"/>
        </w:numPr>
        <w:spacing w:after="0" w:line="276" w:lineRule="auto"/>
        <w:ind w:left="284" w:hanging="284"/>
      </w:pPr>
      <w:r>
        <w:t xml:space="preserve">Hours spent </w:t>
      </w:r>
      <w:r w:rsidR="00C07798">
        <w:t>o</w:t>
      </w:r>
      <w:r>
        <w:t>ff-</w:t>
      </w:r>
      <w:r w:rsidR="00C07798">
        <w:t>s</w:t>
      </w:r>
      <w:r>
        <w:t xml:space="preserve">ite for formal Apprentice or </w:t>
      </w:r>
      <w:r w:rsidR="00690A32">
        <w:t>ICT cadet</w:t>
      </w:r>
      <w:r>
        <w:t xml:space="preserve"> training and education, including hours spent at a Registered Training Organisation or university, can be counted towards the </w:t>
      </w:r>
      <w:r w:rsidR="005515E3">
        <w:t>PCP</w:t>
      </w:r>
      <w:r>
        <w:t xml:space="preserve"> targets. However, these hours can only be counted once towards the </w:t>
      </w:r>
      <w:r w:rsidR="00807BA9">
        <w:t>Eligible project</w:t>
      </w:r>
      <w:r>
        <w:t xml:space="preserve">. For example, if an Apprentice spends 10 hours in training, the total claimed hours must not exceed the actual hours spent </w:t>
      </w:r>
      <w:r w:rsidR="00780037">
        <w:t>o</w:t>
      </w:r>
      <w:r>
        <w:t>ff-</w:t>
      </w:r>
      <w:r w:rsidR="00780037">
        <w:t>s</w:t>
      </w:r>
      <w:r>
        <w:t xml:space="preserve">ite. </w:t>
      </w:r>
      <w:r w:rsidRPr="0052109D">
        <w:t xml:space="preserve">If these hours are split between multiple projects, the sum of the reported </w:t>
      </w:r>
      <w:r w:rsidR="00CD5E0D">
        <w:t>Labour hours</w:t>
      </w:r>
      <w:r w:rsidRPr="0052109D">
        <w:t xml:space="preserve"> must not be greater than the total hours the Apprentice or </w:t>
      </w:r>
      <w:r w:rsidR="00690A32">
        <w:t>ICT cadet</w:t>
      </w:r>
      <w:r w:rsidRPr="0052109D">
        <w:t xml:space="preserve"> has worked </w:t>
      </w:r>
      <w:r w:rsidR="00780037">
        <w:t>o</w:t>
      </w:r>
      <w:r w:rsidRPr="0052109D">
        <w:t>ff-</w:t>
      </w:r>
      <w:r w:rsidR="00780037">
        <w:t>s</w:t>
      </w:r>
      <w:r w:rsidRPr="0052109D">
        <w:t>ite.</w:t>
      </w:r>
      <w:r>
        <w:t xml:space="preserve"> For example, if the </w:t>
      </w:r>
      <w:r w:rsidR="007E25BA">
        <w:t>A</w:t>
      </w:r>
      <w:r>
        <w:t xml:space="preserve">pprentice did 10 hours of training and 5 hours are allocated to Project A and 5 hours to Project B, that’s allowable. You would not be able to claim more than 10 hours in total across all projects. </w:t>
      </w:r>
    </w:p>
    <w:p w14:paraId="79655BE9" w14:textId="1D08A70A" w:rsidR="00182A3F" w:rsidRPr="00535C6B" w:rsidRDefault="00182A3F" w:rsidP="00EE64ED">
      <w:pPr>
        <w:pStyle w:val="Heading3"/>
        <w:rPr>
          <w:rStyle w:val="Heading5Char"/>
          <w:b w:val="0"/>
          <w:bCs/>
          <w:sz w:val="22"/>
          <w:szCs w:val="22"/>
        </w:rPr>
      </w:pPr>
      <w:bookmarkStart w:id="65" w:name="_Toc210109836"/>
      <w:r w:rsidRPr="00535C6B">
        <w:rPr>
          <w:rStyle w:val="Heading5Char"/>
          <w:b w:val="0"/>
          <w:bCs/>
          <w:sz w:val="22"/>
          <w:szCs w:val="22"/>
        </w:rPr>
        <w:lastRenderedPageBreak/>
        <w:t>How are part-time hours treated under the PCP?</w:t>
      </w:r>
      <w:bookmarkEnd w:id="65"/>
    </w:p>
    <w:p w14:paraId="4083E6BE" w14:textId="18579F19" w:rsidR="00182A3F" w:rsidRPr="006A1E97" w:rsidRDefault="00182A3F" w:rsidP="009B26E5">
      <w:pPr>
        <w:pStyle w:val="ListBullet"/>
        <w:spacing w:line="276" w:lineRule="auto"/>
        <w:ind w:left="284" w:hanging="284"/>
      </w:pPr>
      <w:r>
        <w:t xml:space="preserve">All </w:t>
      </w:r>
      <w:r w:rsidR="00CD5E0D">
        <w:t>Labour hours</w:t>
      </w:r>
      <w:r>
        <w:t xml:space="preserve">, including part-time </w:t>
      </w:r>
      <w:r w:rsidR="00CD5E0D">
        <w:t>Labour hours</w:t>
      </w:r>
      <w:r>
        <w:t xml:space="preserve">, that an Apprentice or </w:t>
      </w:r>
      <w:r w:rsidR="00690A32">
        <w:t>ICT cadet</w:t>
      </w:r>
      <w:r>
        <w:t xml:space="preserve"> has worked on an </w:t>
      </w:r>
      <w:r w:rsidR="00807BA9">
        <w:t>Eligible project</w:t>
      </w:r>
      <w:r>
        <w:t xml:space="preserve"> will count towards PCP targets.</w:t>
      </w:r>
    </w:p>
    <w:p w14:paraId="1F37CC7C" w14:textId="20D06115" w:rsidR="00182A3F" w:rsidRPr="00535C6B" w:rsidRDefault="00182A3F" w:rsidP="00EE64ED">
      <w:pPr>
        <w:pStyle w:val="Heading3"/>
        <w:rPr>
          <w:rStyle w:val="Heading5Char"/>
          <w:b w:val="0"/>
          <w:bCs/>
          <w:sz w:val="22"/>
          <w:szCs w:val="22"/>
        </w:rPr>
      </w:pPr>
      <w:bookmarkStart w:id="66" w:name="_Toc210109837"/>
      <w:r w:rsidRPr="00535C6B">
        <w:rPr>
          <w:rStyle w:val="Heading5Char"/>
          <w:b w:val="0"/>
          <w:bCs/>
          <w:sz w:val="22"/>
          <w:szCs w:val="22"/>
        </w:rPr>
        <w:t>Can more than one Apprentice</w:t>
      </w:r>
      <w:r w:rsidR="009B5FDC">
        <w:rPr>
          <w:rStyle w:val="Heading5Char"/>
          <w:b w:val="0"/>
          <w:bCs/>
          <w:sz w:val="22"/>
          <w:szCs w:val="22"/>
        </w:rPr>
        <w:t xml:space="preserve"> </w:t>
      </w:r>
      <w:r w:rsidRPr="00535C6B">
        <w:rPr>
          <w:rStyle w:val="Heading5Char"/>
          <w:b w:val="0"/>
          <w:bCs/>
          <w:sz w:val="22"/>
          <w:szCs w:val="22"/>
        </w:rPr>
        <w:t xml:space="preserve">or </w:t>
      </w:r>
      <w:r w:rsidR="00690A32">
        <w:rPr>
          <w:rStyle w:val="Heading5Char"/>
          <w:b w:val="0"/>
          <w:bCs/>
          <w:sz w:val="22"/>
          <w:szCs w:val="22"/>
        </w:rPr>
        <w:t>ICT cadet</w:t>
      </w:r>
      <w:r w:rsidRPr="00535C6B">
        <w:rPr>
          <w:rStyle w:val="Heading5Char"/>
          <w:b w:val="0"/>
          <w:bCs/>
          <w:sz w:val="22"/>
          <w:szCs w:val="22"/>
        </w:rPr>
        <w:t xml:space="preserve"> contribute to the Labour </w:t>
      </w:r>
      <w:r w:rsidR="00074186">
        <w:rPr>
          <w:rStyle w:val="Heading5Char"/>
          <w:b w:val="0"/>
          <w:bCs/>
          <w:sz w:val="22"/>
          <w:szCs w:val="22"/>
        </w:rPr>
        <w:t>h</w:t>
      </w:r>
      <w:r w:rsidRPr="00535C6B">
        <w:rPr>
          <w:rStyle w:val="Heading5Char"/>
          <w:b w:val="0"/>
          <w:bCs/>
          <w:sz w:val="22"/>
          <w:szCs w:val="22"/>
        </w:rPr>
        <w:t>our targets?</w:t>
      </w:r>
      <w:bookmarkEnd w:id="66"/>
    </w:p>
    <w:p w14:paraId="3AAC7322" w14:textId="60520682" w:rsidR="00182A3F" w:rsidRPr="006A1E97" w:rsidRDefault="00182A3F" w:rsidP="009B26E5">
      <w:pPr>
        <w:pStyle w:val="ListBullet"/>
        <w:spacing w:line="276" w:lineRule="auto"/>
        <w:ind w:left="284" w:hanging="284"/>
      </w:pPr>
      <w:r>
        <w:t xml:space="preserve">It does not matter how many different employees contribute to the targets, as the targets are based on </w:t>
      </w:r>
      <w:r w:rsidR="00CD5E0D">
        <w:t>Labour hours</w:t>
      </w:r>
      <w:r>
        <w:t xml:space="preserve">, rather than head count. Suppliers will be asked to </w:t>
      </w:r>
      <w:r w:rsidR="002F07FB">
        <w:t>provide the</w:t>
      </w:r>
      <w:r>
        <w:t xml:space="preserve"> total </w:t>
      </w:r>
      <w:r w:rsidR="00CD5E0D">
        <w:t>Labour hours</w:t>
      </w:r>
      <w:r>
        <w:t xml:space="preserve"> worked on the </w:t>
      </w:r>
      <w:r w:rsidR="00807BA9">
        <w:t>Eligible project</w:t>
      </w:r>
      <w:r w:rsidR="002F07FB">
        <w:t xml:space="preserve"> in ADMS</w:t>
      </w:r>
      <w:r>
        <w:t xml:space="preserve">, rather than the number of employees that are working on the </w:t>
      </w:r>
      <w:r w:rsidR="00807BA9">
        <w:t>Eligible project</w:t>
      </w:r>
      <w:r>
        <w:t>.</w:t>
      </w:r>
    </w:p>
    <w:p w14:paraId="47C063D1" w14:textId="77777777" w:rsidR="00182A3F" w:rsidRPr="005C762F" w:rsidRDefault="00182A3F" w:rsidP="00535C6B">
      <w:pPr>
        <w:pStyle w:val="Heading3"/>
      </w:pPr>
      <w:bookmarkStart w:id="67" w:name="_Toc209603160"/>
      <w:bookmarkStart w:id="68" w:name="_Toc209797344"/>
      <w:bookmarkStart w:id="69" w:name="_Toc210037818"/>
      <w:bookmarkStart w:id="70" w:name="_Toc210050142"/>
      <w:bookmarkStart w:id="71" w:name="_Toc210109838"/>
      <w:r w:rsidDel="00DA00F6">
        <w:t xml:space="preserve">Reporting and </w:t>
      </w:r>
      <w:r w:rsidRPr="00535C6B">
        <w:t>compliance</w:t>
      </w:r>
      <w:bookmarkEnd w:id="67"/>
      <w:bookmarkEnd w:id="68"/>
      <w:bookmarkEnd w:id="69"/>
      <w:bookmarkEnd w:id="70"/>
      <w:bookmarkEnd w:id="71"/>
    </w:p>
    <w:p w14:paraId="667083FE" w14:textId="64CC2CF9" w:rsidR="00182A3F" w:rsidRPr="00535C6B" w:rsidRDefault="00182A3F" w:rsidP="00EE64ED">
      <w:pPr>
        <w:pStyle w:val="Heading3"/>
        <w:rPr>
          <w:rStyle w:val="Heading5Char"/>
          <w:b w:val="0"/>
          <w:bCs/>
          <w:sz w:val="22"/>
          <w:szCs w:val="22"/>
        </w:rPr>
      </w:pPr>
      <w:bookmarkStart w:id="72" w:name="_Toc210109839"/>
      <w:r w:rsidRPr="00535C6B">
        <w:rPr>
          <w:rStyle w:val="Heading5Char"/>
          <w:b w:val="0"/>
          <w:bCs/>
          <w:sz w:val="22"/>
          <w:szCs w:val="22"/>
        </w:rPr>
        <w:t xml:space="preserve">How will Suppliers report on </w:t>
      </w:r>
      <w:r w:rsidR="00DD16F6" w:rsidRPr="00535C6B">
        <w:rPr>
          <w:rStyle w:val="Heading5Char"/>
          <w:b w:val="0"/>
          <w:bCs/>
          <w:sz w:val="22"/>
          <w:szCs w:val="22"/>
        </w:rPr>
        <w:t>PCP</w:t>
      </w:r>
      <w:r w:rsidRPr="00535C6B">
        <w:rPr>
          <w:rStyle w:val="Heading5Char"/>
          <w:b w:val="0"/>
          <w:bCs/>
          <w:sz w:val="22"/>
          <w:szCs w:val="22"/>
        </w:rPr>
        <w:t xml:space="preserve"> targets?</w:t>
      </w:r>
      <w:bookmarkEnd w:id="72"/>
    </w:p>
    <w:p w14:paraId="05849D97" w14:textId="4D831588" w:rsidR="00182A3F" w:rsidRPr="005C762F" w:rsidRDefault="00182A3F" w:rsidP="00195FD6">
      <w:pPr>
        <w:pStyle w:val="ListBullet"/>
        <w:spacing w:line="276" w:lineRule="auto"/>
        <w:ind w:left="284" w:hanging="284"/>
      </w:pPr>
      <w:r>
        <w:t xml:space="preserve">Suppliers must submit quarterly reports in ADMS to </w:t>
      </w:r>
      <w:r w:rsidR="0069799B">
        <w:t>Relevant entities</w:t>
      </w:r>
      <w:r>
        <w:t xml:space="preserve">.    </w:t>
      </w:r>
    </w:p>
    <w:p w14:paraId="4B9E5610" w14:textId="03FE902E" w:rsidR="00182A3F" w:rsidRDefault="00182A3F" w:rsidP="00195FD6">
      <w:pPr>
        <w:pStyle w:val="ListBullet"/>
        <w:spacing w:line="276" w:lineRule="auto"/>
        <w:ind w:left="284" w:hanging="284"/>
      </w:pPr>
      <w:r>
        <w:t xml:space="preserve">Further guidance </w:t>
      </w:r>
      <w:r w:rsidR="00B65B23">
        <w:t xml:space="preserve">for </w:t>
      </w:r>
      <w:r w:rsidR="006D61B7">
        <w:t>S</w:t>
      </w:r>
      <w:r w:rsidR="00B65B23">
        <w:t>uppliers</w:t>
      </w:r>
      <w:r>
        <w:t xml:space="preserve"> on this process is available on the Apprenticeships.gov.au website: </w:t>
      </w:r>
      <w:hyperlink r:id="rId28" w:history="1">
        <w:r w:rsidRPr="02CA8379">
          <w:rPr>
            <w:rStyle w:val="Hyperlink"/>
          </w:rPr>
          <w:t>Australian Skills Guarantee reporting for suppliers and subcontractors | Australian Apprenticeships</w:t>
        </w:r>
      </w:hyperlink>
      <w:r>
        <w:t>.</w:t>
      </w:r>
    </w:p>
    <w:p w14:paraId="14588419" w14:textId="6CD5C0B1" w:rsidR="00182A3F" w:rsidRPr="00535C6B" w:rsidRDefault="00182A3F" w:rsidP="00EE64ED">
      <w:pPr>
        <w:pStyle w:val="Heading3"/>
        <w:rPr>
          <w:rStyle w:val="Heading5Char"/>
          <w:b w:val="0"/>
          <w:bCs/>
          <w:sz w:val="22"/>
          <w:szCs w:val="22"/>
        </w:rPr>
      </w:pPr>
      <w:bookmarkStart w:id="73" w:name="_Toc210109840"/>
      <w:r w:rsidRPr="00535C6B">
        <w:rPr>
          <w:rStyle w:val="Heading5Char"/>
          <w:b w:val="0"/>
          <w:bCs/>
          <w:sz w:val="22"/>
          <w:szCs w:val="22"/>
        </w:rPr>
        <w:t xml:space="preserve">Will a </w:t>
      </w:r>
      <w:r w:rsidRPr="69FF557D">
        <w:rPr>
          <w:rStyle w:val="Heading5Char"/>
          <w:b w:val="0"/>
          <w:sz w:val="22"/>
          <w:szCs w:val="22"/>
        </w:rPr>
        <w:t>Supplier</w:t>
      </w:r>
      <w:r w:rsidR="00206BCB">
        <w:rPr>
          <w:rStyle w:val="Heading5Char"/>
          <w:b w:val="0"/>
          <w:sz w:val="22"/>
          <w:szCs w:val="22"/>
        </w:rPr>
        <w:t>’</w:t>
      </w:r>
      <w:r w:rsidRPr="69FF557D">
        <w:rPr>
          <w:rStyle w:val="Heading5Char"/>
          <w:b w:val="0"/>
          <w:sz w:val="22"/>
          <w:szCs w:val="22"/>
        </w:rPr>
        <w:t>s</w:t>
      </w:r>
      <w:r w:rsidRPr="00535C6B">
        <w:rPr>
          <w:rStyle w:val="Heading5Char"/>
          <w:b w:val="0"/>
          <w:bCs/>
          <w:sz w:val="22"/>
          <w:szCs w:val="22"/>
        </w:rPr>
        <w:t xml:space="preserve"> performance be publicly available?</w:t>
      </w:r>
      <w:bookmarkEnd w:id="73"/>
    </w:p>
    <w:p w14:paraId="22D07638" w14:textId="01650E5F" w:rsidR="00182A3F" w:rsidRPr="0048107D" w:rsidRDefault="00182A3F" w:rsidP="00966D9C">
      <w:pPr>
        <w:pStyle w:val="ListParagraph"/>
        <w:numPr>
          <w:ilvl w:val="0"/>
          <w:numId w:val="7"/>
        </w:numPr>
        <w:spacing w:line="276" w:lineRule="auto"/>
        <w:ind w:left="284" w:hanging="284"/>
      </w:pPr>
      <w:r w:rsidRPr="009F247D">
        <w:t xml:space="preserve">Suppliers' performance history with the PCP will be available for </w:t>
      </w:r>
      <w:r w:rsidR="0069799B">
        <w:t>Relevant entities</w:t>
      </w:r>
      <w:r w:rsidRPr="009F247D">
        <w:t xml:space="preserve"> to</w:t>
      </w:r>
      <w:r w:rsidRPr="00576FFD">
        <w:t xml:space="preserve"> view after an </w:t>
      </w:r>
      <w:r w:rsidR="00807BA9">
        <w:t>Eligible project</w:t>
      </w:r>
      <w:r w:rsidRPr="00576FFD">
        <w:t xml:space="preserve"> has been completed. Supplier reports will not be shared publicly.</w:t>
      </w:r>
    </w:p>
    <w:p w14:paraId="32541298" w14:textId="2C3E68F4" w:rsidR="00182A3F" w:rsidRPr="00535C6B" w:rsidRDefault="00182A3F" w:rsidP="00EE64ED">
      <w:pPr>
        <w:pStyle w:val="Heading3"/>
        <w:rPr>
          <w:rStyle w:val="Heading5Char"/>
          <w:b w:val="0"/>
          <w:bCs/>
          <w:sz w:val="22"/>
          <w:szCs w:val="22"/>
        </w:rPr>
      </w:pPr>
      <w:bookmarkStart w:id="74" w:name="_Toc210109841"/>
      <w:r w:rsidRPr="00535C6B">
        <w:rPr>
          <w:rStyle w:val="Heading5Char"/>
          <w:b w:val="0"/>
          <w:bCs/>
          <w:sz w:val="22"/>
          <w:szCs w:val="22"/>
        </w:rPr>
        <w:t>How will compliance be monitored under the PCP?</w:t>
      </w:r>
      <w:bookmarkEnd w:id="74"/>
    </w:p>
    <w:p w14:paraId="5E5A194C" w14:textId="67D1BB4D" w:rsidR="00182A3F" w:rsidRDefault="0069799B" w:rsidP="004F195D">
      <w:pPr>
        <w:pStyle w:val="ListBullet"/>
        <w:spacing w:line="276" w:lineRule="auto"/>
        <w:ind w:left="284" w:hanging="284"/>
      </w:pPr>
      <w:r>
        <w:t>Relevant entities</w:t>
      </w:r>
      <w:r w:rsidR="00182A3F" w:rsidRPr="005C762F">
        <w:t xml:space="preserve"> are required to monitor </w:t>
      </w:r>
      <w:r w:rsidR="00182A3F">
        <w:t>S</w:t>
      </w:r>
      <w:r w:rsidR="00182A3F" w:rsidRPr="005C762F">
        <w:t xml:space="preserve">upplier performance based on their quarterly reporting. When required, </w:t>
      </w:r>
      <w:r>
        <w:t>Relevant entities</w:t>
      </w:r>
      <w:r w:rsidR="00182A3F" w:rsidRPr="005C762F">
        <w:t xml:space="preserve"> will need to address non-compliance with </w:t>
      </w:r>
      <w:r w:rsidR="00182A3F">
        <w:t>Suppliers</w:t>
      </w:r>
      <w:r w:rsidR="00182A3F" w:rsidRPr="005C762F">
        <w:t xml:space="preserve"> in accordance with the streams of non-compliance detailed in the PCP. </w:t>
      </w:r>
    </w:p>
    <w:p w14:paraId="41896EC6" w14:textId="736BD099" w:rsidR="00182A3F" w:rsidRPr="005C762F" w:rsidRDefault="00182A3F" w:rsidP="004F195D">
      <w:pPr>
        <w:pStyle w:val="ListBullet"/>
        <w:spacing w:line="276" w:lineRule="auto"/>
        <w:ind w:left="284" w:hanging="284"/>
      </w:pPr>
      <w:r w:rsidRPr="005C762F">
        <w:t xml:space="preserve">It is expected that </w:t>
      </w:r>
      <w:r w:rsidR="0069799B">
        <w:t>Relevant entities</w:t>
      </w:r>
      <w:r w:rsidRPr="005C762F">
        <w:t xml:space="preserve"> will</w:t>
      </w:r>
      <w:r>
        <w:t xml:space="preserve"> utilise their own</w:t>
      </w:r>
      <w:r w:rsidRPr="005C762F">
        <w:t xml:space="preserve"> </w:t>
      </w:r>
      <w:r>
        <w:t xml:space="preserve">procurement processes and contract management </w:t>
      </w:r>
      <w:r w:rsidRPr="005C762F">
        <w:t xml:space="preserve">mechanisms to discuss performance with </w:t>
      </w:r>
      <w:r>
        <w:t>S</w:t>
      </w:r>
      <w:r w:rsidRPr="005C762F">
        <w:t>uppliers.</w:t>
      </w:r>
    </w:p>
    <w:p w14:paraId="7AFAE510" w14:textId="379C811E" w:rsidR="00182A3F" w:rsidRPr="00535C6B" w:rsidRDefault="00182A3F" w:rsidP="00EE64ED">
      <w:pPr>
        <w:pStyle w:val="Heading3"/>
        <w:rPr>
          <w:rStyle w:val="Heading5Char"/>
          <w:b w:val="0"/>
          <w:bCs/>
          <w:sz w:val="22"/>
          <w:szCs w:val="22"/>
        </w:rPr>
      </w:pPr>
      <w:bookmarkStart w:id="75" w:name="_Toc210109842"/>
      <w:r w:rsidRPr="00535C6B">
        <w:rPr>
          <w:rStyle w:val="Heading5Char"/>
          <w:b w:val="0"/>
          <w:bCs/>
          <w:sz w:val="22"/>
          <w:szCs w:val="22"/>
        </w:rPr>
        <w:t>Are there financial penalties for non-compliance with PCP targets?</w:t>
      </w:r>
      <w:bookmarkEnd w:id="75"/>
    </w:p>
    <w:p w14:paraId="0632881C" w14:textId="4D24A381" w:rsidR="00182A3F" w:rsidRPr="005C762F" w:rsidRDefault="00182A3F" w:rsidP="004F195D">
      <w:pPr>
        <w:pStyle w:val="ListBullet"/>
        <w:spacing w:line="276" w:lineRule="auto"/>
        <w:ind w:left="284" w:hanging="284"/>
      </w:pPr>
      <w:r w:rsidRPr="005C762F">
        <w:t xml:space="preserve">No, there is no requirement for financial penalties to be imposed under the </w:t>
      </w:r>
      <w:r w:rsidR="009F247D">
        <w:t>PCP</w:t>
      </w:r>
      <w:r w:rsidRPr="005C762F">
        <w:t xml:space="preserve">. However, this does not preclude </w:t>
      </w:r>
      <w:r w:rsidR="0069799B">
        <w:t>Relevant entities</w:t>
      </w:r>
      <w:r w:rsidRPr="005C762F">
        <w:t xml:space="preserve"> from imposing financial penalties for non-compliance where these have been agreed under the relevant </w:t>
      </w:r>
      <w:r w:rsidR="00780037">
        <w:t>c</w:t>
      </w:r>
      <w:r w:rsidRPr="005C762F">
        <w:t>ontract.</w:t>
      </w:r>
    </w:p>
    <w:p w14:paraId="5B9C3FDC" w14:textId="77777777" w:rsidR="00182A3F" w:rsidRPr="00535C6B" w:rsidRDefault="00182A3F" w:rsidP="00EE64ED">
      <w:pPr>
        <w:pStyle w:val="Heading3"/>
        <w:rPr>
          <w:rStyle w:val="Heading5Char"/>
          <w:b w:val="0"/>
          <w:bCs/>
          <w:sz w:val="22"/>
          <w:szCs w:val="22"/>
        </w:rPr>
      </w:pPr>
      <w:bookmarkStart w:id="76" w:name="_Toc210109843"/>
      <w:r w:rsidRPr="00535C6B">
        <w:rPr>
          <w:rStyle w:val="Heading5Char"/>
          <w:b w:val="0"/>
          <w:bCs/>
          <w:sz w:val="22"/>
          <w:szCs w:val="22"/>
        </w:rPr>
        <w:t>Will mitigating factors be considered when assessing a Supplier's compliance with the Skills Guarantee?</w:t>
      </w:r>
      <w:bookmarkEnd w:id="76"/>
    </w:p>
    <w:p w14:paraId="144AC2C7" w14:textId="4F117D8C" w:rsidR="00182A3F" w:rsidRPr="005C762F" w:rsidRDefault="00182A3F" w:rsidP="00506DCB">
      <w:pPr>
        <w:pStyle w:val="ListBullet"/>
        <w:spacing w:line="276" w:lineRule="auto"/>
        <w:ind w:left="284" w:hanging="284"/>
      </w:pPr>
      <w:r w:rsidRPr="005C762F">
        <w:t>Where performance is below expectations</w:t>
      </w:r>
      <w:r>
        <w:t>,</w:t>
      </w:r>
      <w:r w:rsidRPr="005C762F">
        <w:t xml:space="preserve"> mitigating factors should be considered by </w:t>
      </w:r>
      <w:r w:rsidR="0069799B">
        <w:t>Relevant entities</w:t>
      </w:r>
      <w:r w:rsidRPr="005C762F">
        <w:t xml:space="preserve">. There </w:t>
      </w:r>
      <w:r w:rsidR="001702D4">
        <w:t>are fields</w:t>
      </w:r>
      <w:r w:rsidRPr="005C762F">
        <w:t xml:space="preserve"> in </w:t>
      </w:r>
      <w:r>
        <w:t>ADMS</w:t>
      </w:r>
      <w:r w:rsidRPr="005C762F">
        <w:t xml:space="preserve"> for </w:t>
      </w:r>
      <w:r w:rsidR="001702D4">
        <w:t>S</w:t>
      </w:r>
      <w:r w:rsidRPr="005C762F">
        <w:t>uppliers to provide reasons for non-compliance.</w:t>
      </w:r>
    </w:p>
    <w:p w14:paraId="131EF655" w14:textId="0C23ECBF" w:rsidR="00182A3F" w:rsidRDefault="00182A3F" w:rsidP="00506DCB">
      <w:pPr>
        <w:pStyle w:val="ListBullet"/>
        <w:spacing w:line="276" w:lineRule="auto"/>
        <w:ind w:left="284" w:hanging="284"/>
      </w:pPr>
      <w:r w:rsidRPr="005C762F">
        <w:t xml:space="preserve">For example, if the </w:t>
      </w:r>
      <w:r w:rsidR="00807BA9">
        <w:t>Eligible project</w:t>
      </w:r>
      <w:r w:rsidRPr="005C762F">
        <w:t xml:space="preserve"> is being delivered in a regional or remote area, and the </w:t>
      </w:r>
      <w:r w:rsidR="001702D4">
        <w:t>S</w:t>
      </w:r>
      <w:r w:rsidRPr="005C762F">
        <w:t xml:space="preserve">upplier has not met </w:t>
      </w:r>
      <w:r w:rsidR="00506DCB">
        <w:t>PCP</w:t>
      </w:r>
      <w:r w:rsidRPr="005C762F">
        <w:t xml:space="preserve"> targets despite demonstrating reasonable efforts to do so, </w:t>
      </w:r>
      <w:r w:rsidR="00254FE9">
        <w:t>S</w:t>
      </w:r>
      <w:r w:rsidRPr="005C762F">
        <w:t xml:space="preserve">uppliers could indicate this as a mitigating factor in reporting. </w:t>
      </w:r>
      <w:r w:rsidR="0069799B">
        <w:t>Relevant entities</w:t>
      </w:r>
      <w:r w:rsidRPr="005C762F">
        <w:t xml:space="preserve"> should consider these factors when determining the appropriate compliance action to undertake, noting that </w:t>
      </w:r>
      <w:r w:rsidR="00254FE9">
        <w:t>S</w:t>
      </w:r>
      <w:r w:rsidRPr="005C762F">
        <w:t xml:space="preserve">uppliers are expected to continue working with </w:t>
      </w:r>
      <w:r>
        <w:t>S</w:t>
      </w:r>
      <w:r w:rsidRPr="005C762F">
        <w:t xml:space="preserve">ub-contractors in regional and remote areas who may have limited access to </w:t>
      </w:r>
      <w:r w:rsidR="00CA3BA0">
        <w:t>A</w:t>
      </w:r>
      <w:r w:rsidRPr="005C762F">
        <w:t xml:space="preserve">pprentices as per </w:t>
      </w:r>
      <w:r>
        <w:rPr>
          <w:b/>
        </w:rPr>
        <w:t>S</w:t>
      </w:r>
      <w:r w:rsidRPr="006B0E23">
        <w:rPr>
          <w:b/>
        </w:rPr>
        <w:t xml:space="preserve">ection 4.1.4 </w:t>
      </w:r>
      <w:r w:rsidRPr="006B0E23">
        <w:t>of the PCP.</w:t>
      </w:r>
    </w:p>
    <w:p w14:paraId="5A6AF9AE" w14:textId="12D1D367" w:rsidR="005C6CF3" w:rsidRDefault="005C6CF3">
      <w:pPr>
        <w:spacing w:after="160" w:line="259" w:lineRule="auto"/>
      </w:pPr>
      <w:r>
        <w:br w:type="page"/>
      </w:r>
    </w:p>
    <w:p w14:paraId="5330B8EA" w14:textId="4733F476" w:rsidR="00B9776B" w:rsidRDefault="00B9776B" w:rsidP="00857714">
      <w:pPr>
        <w:pStyle w:val="Heading1"/>
      </w:pPr>
      <w:bookmarkStart w:id="77" w:name="_Toc210109844"/>
      <w:r>
        <w:lastRenderedPageBreak/>
        <w:t>Further resources</w:t>
      </w:r>
      <w:bookmarkEnd w:id="77"/>
    </w:p>
    <w:p w14:paraId="12EEFB51" w14:textId="77777777" w:rsidR="008C6435" w:rsidRDefault="008C6435" w:rsidP="00966D9C">
      <w:pPr>
        <w:pStyle w:val="ListBullet"/>
        <w:numPr>
          <w:ilvl w:val="0"/>
          <w:numId w:val="7"/>
        </w:numPr>
        <w:ind w:left="284" w:hanging="284"/>
      </w:pPr>
      <w:r w:rsidRPr="00F603E3">
        <w:t xml:space="preserve">Australian Government Contract Management Guide, Sections 2.12-2.13 </w:t>
      </w:r>
      <w:r>
        <w:t xml:space="preserve">– </w:t>
      </w:r>
      <w:hyperlink r:id="rId29" w:history="1">
        <w:r w:rsidRPr="00A55EB3">
          <w:rPr>
            <w:rStyle w:val="Hyperlink"/>
          </w:rPr>
          <w:t>https://www.finance.gov.au/sites/default/files/2023-07/australian-government-contract-management-guide-july-2023.pdf</w:t>
        </w:r>
      </w:hyperlink>
    </w:p>
    <w:p w14:paraId="752BFEC8" w14:textId="77777777" w:rsidR="008C6435" w:rsidRDefault="008C6435" w:rsidP="00966D9C">
      <w:pPr>
        <w:pStyle w:val="ListBullet"/>
        <w:numPr>
          <w:ilvl w:val="0"/>
          <w:numId w:val="7"/>
        </w:numPr>
        <w:ind w:left="284" w:hanging="284"/>
      </w:pPr>
      <w:r>
        <w:t xml:space="preserve">Australian Government Procurement BuyRight, Contract Variations – </w:t>
      </w:r>
      <w:hyperlink r:id="rId30">
        <w:r w:rsidRPr="0AE5CBBF">
          <w:rPr>
            <w:rStyle w:val="Hyperlink"/>
          </w:rPr>
          <w:t>https://www.finance.gov.au/government/procurement/buyright/contract-variations</w:t>
        </w:r>
      </w:hyperlink>
      <w:r>
        <w:t xml:space="preserve">. </w:t>
      </w:r>
    </w:p>
    <w:p w14:paraId="64011697" w14:textId="77777777" w:rsidR="00231A8B" w:rsidRPr="004503E7" w:rsidRDefault="00231A8B" w:rsidP="00231A8B">
      <w:pPr>
        <w:pStyle w:val="ListBullet"/>
      </w:pPr>
      <w:r w:rsidRPr="004503E7">
        <w:t xml:space="preserve">WGEA Action Planning Tool – </w:t>
      </w:r>
      <w:hyperlink r:id="rId31" w:history="1">
        <w:r w:rsidRPr="004503E7">
          <w:rPr>
            <w:rStyle w:val="Hyperlink"/>
          </w:rPr>
          <w:t>https://www.wgea.gov.au/take-action/action-planning-tool</w:t>
        </w:r>
      </w:hyperlink>
      <w:r w:rsidRPr="004503E7">
        <w:t xml:space="preserve"> </w:t>
      </w:r>
    </w:p>
    <w:p w14:paraId="18CC9B04" w14:textId="77777777" w:rsidR="00231A8B" w:rsidRPr="004503E7" w:rsidRDefault="00231A8B" w:rsidP="00231A8B">
      <w:pPr>
        <w:pStyle w:val="ListBullet"/>
      </w:pPr>
      <w:r w:rsidRPr="004503E7">
        <w:t xml:space="preserve">WGEA Employer guidance on developing policies and strategies for the six Gender Equality Indicators – </w:t>
      </w:r>
      <w:hyperlink r:id="rId32" w:history="1">
        <w:r w:rsidRPr="004503E7">
          <w:rPr>
            <w:rStyle w:val="Hyperlink"/>
          </w:rPr>
          <w:t>https://www.wgea.gov.au/take-action/policy-and-strategy-guidance</w:t>
        </w:r>
      </w:hyperlink>
      <w:r w:rsidRPr="004503E7">
        <w:t xml:space="preserve"> </w:t>
      </w:r>
    </w:p>
    <w:p w14:paraId="7C639B1A" w14:textId="77777777" w:rsidR="00231A8B" w:rsidRPr="004503E7" w:rsidRDefault="00231A8B" w:rsidP="00231A8B">
      <w:pPr>
        <w:pStyle w:val="ListBullet"/>
      </w:pPr>
      <w:r w:rsidRPr="004503E7">
        <w:t xml:space="preserve">WGEA Policy and strategy guidance: Gender composition of the workforce – </w:t>
      </w:r>
      <w:hyperlink r:id="rId33" w:history="1">
        <w:r w:rsidRPr="004503E7">
          <w:rPr>
            <w:rStyle w:val="Hyperlink"/>
          </w:rPr>
          <w:t>https://www.wgea.gov.au/sites/default/files/documents/Policy-and-strategy-guidance-gender-composition-of-the-workforce.pdf</w:t>
        </w:r>
      </w:hyperlink>
    </w:p>
    <w:p w14:paraId="14422C8F" w14:textId="77777777" w:rsidR="00231A8B" w:rsidRPr="004503E7" w:rsidRDefault="00231A8B" w:rsidP="00231A8B">
      <w:pPr>
        <w:pStyle w:val="ListBullet"/>
      </w:pPr>
      <w:r w:rsidRPr="004503E7">
        <w:t xml:space="preserve">WGEA Policy and strategy guidance: Sexual harassment, harassment on the grounds of sex or discrimination – </w:t>
      </w:r>
      <w:hyperlink r:id="rId34" w:history="1">
        <w:r w:rsidRPr="004503E7">
          <w:rPr>
            <w:rStyle w:val="Hyperlink"/>
          </w:rPr>
          <w:t>https://www.wgea.gov.au/sites/default/files/documents/6-Policy-and-strategy-guidance-Sexual-harassment-harassment-on-the-ground-of-sex-and-discrimination.pdf</w:t>
        </w:r>
      </w:hyperlink>
    </w:p>
    <w:p w14:paraId="49B42405" w14:textId="77777777" w:rsidR="00231A8B" w:rsidRPr="004503E7" w:rsidRDefault="00231A8B" w:rsidP="00231A8B">
      <w:pPr>
        <w:pStyle w:val="ListBullet"/>
      </w:pPr>
      <w:r w:rsidRPr="004503E7">
        <w:t xml:space="preserve">WGEA Gender Pay Gap Analysis Guide – </w:t>
      </w:r>
      <w:hyperlink r:id="rId35" w:history="1">
        <w:r w:rsidRPr="004503E7">
          <w:rPr>
            <w:rStyle w:val="Hyperlink"/>
          </w:rPr>
          <w:t>https://www.wgea.gov.au/take-action/gender-pay-gap/employer-gender-pay-gap-analysis-guide</w:t>
        </w:r>
      </w:hyperlink>
      <w:r w:rsidRPr="004503E7">
        <w:t xml:space="preserve"> </w:t>
      </w:r>
    </w:p>
    <w:p w14:paraId="1ED6A4E4" w14:textId="77777777" w:rsidR="00231A8B" w:rsidRPr="004503E7" w:rsidRDefault="00231A8B" w:rsidP="00231A8B">
      <w:pPr>
        <w:pStyle w:val="ListBullet"/>
      </w:pPr>
      <w:r w:rsidRPr="004503E7">
        <w:t xml:space="preserve">WGEA Gender equitable recruitment and promotion guide - </w:t>
      </w:r>
      <w:hyperlink r:id="rId36" w:history="1">
        <w:r w:rsidRPr="004503E7">
          <w:rPr>
            <w:rStyle w:val="Hyperlink"/>
          </w:rPr>
          <w:t>https://www.wgea.gov.au/tools/recruitment-and-promotion-guide</w:t>
        </w:r>
      </w:hyperlink>
      <w:r w:rsidRPr="004503E7">
        <w:t xml:space="preserve"> </w:t>
      </w:r>
    </w:p>
    <w:p w14:paraId="3898D9A6" w14:textId="0467B5D1" w:rsidR="00C77D8F" w:rsidRDefault="00231A8B" w:rsidP="00D73151">
      <w:pPr>
        <w:pStyle w:val="ListBullet"/>
      </w:pPr>
      <w:r w:rsidRPr="004503E7">
        <w:t xml:space="preserve">Prime Minister and Cabinet (PM&amp;C), Office for Women - </w:t>
      </w:r>
      <w:hyperlink r:id="rId37" w:history="1">
        <w:r w:rsidRPr="004503E7">
          <w:rPr>
            <w:rStyle w:val="Hyperlink"/>
          </w:rPr>
          <w:t>Working for Women: A Strategy for Gender Equality</w:t>
        </w:r>
      </w:hyperlink>
      <w:r w:rsidRPr="004503E7">
        <w:t xml:space="preserve"> - </w:t>
      </w:r>
      <w:hyperlink r:id="rId38" w:history="1">
        <w:r w:rsidR="00257FD2" w:rsidRPr="001F3D3C">
          <w:rPr>
            <w:rStyle w:val="Hyperlink"/>
          </w:rPr>
          <w:t>https://genderequality.gov.au/sites/default/files/2024-03/working-for-women-a-strategy-for-gender-equality.pdf</w:t>
        </w:r>
      </w:hyperlink>
    </w:p>
    <w:sectPr w:rsidR="00C77D8F" w:rsidSect="005C3B4D">
      <w:type w:val="continuous"/>
      <w:pgSz w:w="11906" w:h="16838"/>
      <w:pgMar w:top="1418" w:right="1418" w:bottom="156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28BF6" w14:textId="77777777" w:rsidR="0076232F" w:rsidRDefault="0076232F" w:rsidP="0051352E">
      <w:pPr>
        <w:spacing w:after="0" w:line="240" w:lineRule="auto"/>
      </w:pPr>
      <w:r>
        <w:separator/>
      </w:r>
    </w:p>
  </w:endnote>
  <w:endnote w:type="continuationSeparator" w:id="0">
    <w:p w14:paraId="3E608005" w14:textId="77777777" w:rsidR="0076232F" w:rsidRDefault="0076232F" w:rsidP="0051352E">
      <w:pPr>
        <w:spacing w:after="0" w:line="240" w:lineRule="auto"/>
      </w:pPr>
      <w:r>
        <w:continuationSeparator/>
      </w:r>
    </w:p>
  </w:endnote>
  <w:endnote w:type="continuationNotice" w:id="1">
    <w:p w14:paraId="2D6CE40E" w14:textId="77777777" w:rsidR="0076232F" w:rsidRDefault="007623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5199F" w14:textId="6C872196" w:rsidR="00187B72" w:rsidRPr="00C14D4D" w:rsidRDefault="00007C4C" w:rsidP="00D96AC7">
    <w:pPr>
      <w:pStyle w:val="Footer"/>
      <w:tabs>
        <w:tab w:val="clear" w:pos="4513"/>
        <w:tab w:val="clear" w:pos="9026"/>
        <w:tab w:val="right" w:pos="9070"/>
      </w:tabs>
    </w:pPr>
    <w:r w:rsidRPr="002C6B33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82E1EEA" wp14:editId="4B0F0277">
              <wp:simplePos x="0" y="0"/>
              <wp:positionH relativeFrom="page">
                <wp:posOffset>0</wp:posOffset>
              </wp:positionH>
              <wp:positionV relativeFrom="paragraph">
                <wp:posOffset>413121</wp:posOffset>
              </wp:positionV>
              <wp:extent cx="7559675" cy="197485"/>
              <wp:effectExtent l="0" t="0" r="3175" b="0"/>
              <wp:wrapNone/>
              <wp:docPr id="864815804" name="Rectangle 86481580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1FE0C4" id="Rectangle 864815804" o:spid="_x0000_s1026" alt="&quot;&quot;" style="position:absolute;margin-left:0;margin-top:32.55pt;width:595.25pt;height:15.5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" fillcolor="#404246" stroked="f" strokeweight="1pt">
              <w10:wrap anchorx="page"/>
            </v:rect>
          </w:pict>
        </mc:Fallback>
      </mc:AlternateContent>
    </w:r>
    <w:r w:rsidR="00C77D8F">
      <w:t xml:space="preserve">Supplementary Guidance </w:t>
    </w:r>
    <w:r w:rsidR="00557AD7">
      <w:t xml:space="preserve">for </w:t>
    </w:r>
    <w:r w:rsidR="00C77D8F">
      <w:t>the Skills Guarantee PCP Version 1</w:t>
    </w:r>
    <w:r w:rsidR="00557AD7">
      <w:t xml:space="preserve">   </w:t>
    </w:r>
    <w:r w:rsidR="004B0A03">
      <w:t xml:space="preserve">- Relevant </w:t>
    </w:r>
    <w:r w:rsidR="008F6A2F">
      <w:t>e</w:t>
    </w:r>
    <w:r w:rsidR="004B0A03">
      <w:t>ntities</w:t>
    </w:r>
    <w:r w:rsidR="00557AD7">
      <w:t xml:space="preserve">                        </w:t>
    </w:r>
    <w:r w:rsidR="00D96AC7" w:rsidRPr="00C14D4D">
      <w:t xml:space="preserve"> </w:t>
    </w:r>
    <w:sdt>
      <w:sdtPr>
        <w:id w:val="-17503416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87B72" w:rsidRPr="00C14D4D">
          <w:fldChar w:fldCharType="begin"/>
        </w:r>
        <w:r w:rsidR="00187B72" w:rsidRPr="00C14D4D">
          <w:instrText xml:space="preserve"> PAGE   \* MERGEFORMAT </w:instrText>
        </w:r>
        <w:r w:rsidR="00187B72" w:rsidRPr="00C14D4D">
          <w:fldChar w:fldCharType="separate"/>
        </w:r>
        <w:r w:rsidR="00187B72" w:rsidRPr="00C14D4D">
          <w:rPr>
            <w:noProof/>
          </w:rPr>
          <w:t>2</w:t>
        </w:r>
        <w:r w:rsidR="00187B72" w:rsidRPr="00C14D4D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A6251" w14:textId="6426CE5E" w:rsidR="00662A42" w:rsidRDefault="00D24028" w:rsidP="00DA3680">
    <w:pPr>
      <w:pStyle w:val="Footer"/>
      <w:tabs>
        <w:tab w:val="clear" w:pos="4513"/>
        <w:tab w:val="clear" w:pos="9026"/>
        <w:tab w:val="right" w:pos="9070"/>
      </w:tabs>
    </w:pPr>
    <w:fldSimple w:instr="FILENAME \* MERGEFORMAT">
      <w:r w:rsidR="00BD2DFD">
        <w:rPr>
          <w:noProof/>
        </w:rPr>
        <w:t>Supplementary Guidance for the Skills Guarantee PCP Version 1 - Relevant entities.docx</w:t>
      </w:r>
    </w:fldSimple>
    <w:r w:rsidR="00662A4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BBAD60" id="Rectangle 4" o:spid="_x0000_s1026" alt="&quot;&quot;" style="position:absolute;margin-left:0;margin-top:32.75pt;width:595.3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DU/P99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  <w:r w:rsidR="000655CD">
      <w:tab/>
      <w:t>v0.1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49BCA" w14:textId="77777777" w:rsidR="0076232F" w:rsidRDefault="0076232F" w:rsidP="0051352E">
      <w:pPr>
        <w:spacing w:after="0" w:line="240" w:lineRule="auto"/>
      </w:pPr>
      <w:r>
        <w:separator/>
      </w:r>
    </w:p>
  </w:footnote>
  <w:footnote w:type="continuationSeparator" w:id="0">
    <w:p w14:paraId="0D462B46" w14:textId="77777777" w:rsidR="0076232F" w:rsidRDefault="0076232F" w:rsidP="0051352E">
      <w:pPr>
        <w:spacing w:after="0" w:line="240" w:lineRule="auto"/>
      </w:pPr>
      <w:r>
        <w:continuationSeparator/>
      </w:r>
    </w:p>
  </w:footnote>
  <w:footnote w:type="continuationNotice" w:id="1">
    <w:p w14:paraId="33815E38" w14:textId="77777777" w:rsidR="0076232F" w:rsidRDefault="007623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C38F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2D2334"/>
    <w:multiLevelType w:val="hybridMultilevel"/>
    <w:tmpl w:val="89786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57457"/>
    <w:multiLevelType w:val="multilevel"/>
    <w:tmpl w:val="3AECE86E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2002D3B"/>
    <w:multiLevelType w:val="multilevel"/>
    <w:tmpl w:val="37A2B0EA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51902D5"/>
    <w:multiLevelType w:val="hybridMultilevel"/>
    <w:tmpl w:val="CC2E8BB6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DF021A"/>
    <w:multiLevelType w:val="hybridMultilevel"/>
    <w:tmpl w:val="79C4D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A259A"/>
    <w:multiLevelType w:val="multilevel"/>
    <w:tmpl w:val="37A2B0EA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A53E4C"/>
    <w:multiLevelType w:val="multilevel"/>
    <w:tmpl w:val="F1481754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1217F24"/>
    <w:multiLevelType w:val="hybridMultilevel"/>
    <w:tmpl w:val="DA86C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36B22"/>
    <w:multiLevelType w:val="hybridMultilevel"/>
    <w:tmpl w:val="FFFFFFFF"/>
    <w:lvl w:ilvl="0" w:tplc="34F61B4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66C02BC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3DE00BC8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6FA0DF14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ADE7242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C5142AC4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E682C5F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D80A9744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B08EE0E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E8B0AB8"/>
    <w:multiLevelType w:val="multilevel"/>
    <w:tmpl w:val="D0E8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995AF8"/>
    <w:multiLevelType w:val="hybridMultilevel"/>
    <w:tmpl w:val="383E1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32181"/>
    <w:multiLevelType w:val="multilevel"/>
    <w:tmpl w:val="CAF4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"/>
      <w:lvlJc w:val="left"/>
      <w:pPr>
        <w:ind w:left="1520" w:hanging="44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360" w:hanging="5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9342CE"/>
    <w:multiLevelType w:val="multilevel"/>
    <w:tmpl w:val="8C5E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1"/>
      <w:numFmt w:val="decimal"/>
      <w:lvlText w:val="%4."/>
      <w:lvlJc w:val="left"/>
      <w:pPr>
        <w:ind w:left="3080" w:hanging="5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9A0B81"/>
    <w:multiLevelType w:val="multilevel"/>
    <w:tmpl w:val="9B9E68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9730C64"/>
    <w:multiLevelType w:val="hybridMultilevel"/>
    <w:tmpl w:val="DFB49800"/>
    <w:lvl w:ilvl="0" w:tplc="03F89CC2">
      <w:start w:val="1"/>
      <w:numFmt w:val="bullet"/>
      <w:pStyle w:val="Bulletpointslvl1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78C2052E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2848DBD4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29AFD20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44F4B818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E7228066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5EEE28B6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59FCAD3A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33E8B9C4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7ABF4A3C"/>
    <w:multiLevelType w:val="hybridMultilevel"/>
    <w:tmpl w:val="5D3E8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77158">
    <w:abstractNumId w:val="3"/>
  </w:num>
  <w:num w:numId="2" w16cid:durableId="1523323380">
    <w:abstractNumId w:val="8"/>
  </w:num>
  <w:num w:numId="3" w16cid:durableId="933829800">
    <w:abstractNumId w:val="11"/>
  </w:num>
  <w:num w:numId="4" w16cid:durableId="419758977">
    <w:abstractNumId w:val="17"/>
  </w:num>
  <w:num w:numId="5" w16cid:durableId="1536842745">
    <w:abstractNumId w:val="10"/>
  </w:num>
  <w:num w:numId="6" w16cid:durableId="434137667">
    <w:abstractNumId w:val="15"/>
  </w:num>
  <w:num w:numId="7" w16cid:durableId="442506234">
    <w:abstractNumId w:val="2"/>
  </w:num>
  <w:num w:numId="8" w16cid:durableId="1952666306">
    <w:abstractNumId w:val="5"/>
  </w:num>
  <w:num w:numId="9" w16cid:durableId="1704356634">
    <w:abstractNumId w:val="6"/>
  </w:num>
  <w:num w:numId="10" w16cid:durableId="1288391879">
    <w:abstractNumId w:val="14"/>
  </w:num>
  <w:num w:numId="11" w16cid:durableId="1395734687">
    <w:abstractNumId w:val="18"/>
  </w:num>
  <w:num w:numId="12" w16cid:durableId="1654719744">
    <w:abstractNumId w:val="8"/>
  </w:num>
  <w:num w:numId="13" w16cid:durableId="1200701106">
    <w:abstractNumId w:val="1"/>
  </w:num>
  <w:num w:numId="14" w16cid:durableId="1855146576">
    <w:abstractNumId w:val="4"/>
  </w:num>
  <w:num w:numId="15" w16cid:durableId="1070494261">
    <w:abstractNumId w:val="7"/>
  </w:num>
  <w:num w:numId="16" w16cid:durableId="1438258481">
    <w:abstractNumId w:val="8"/>
  </w:num>
  <w:num w:numId="17" w16cid:durableId="342510552">
    <w:abstractNumId w:val="0"/>
  </w:num>
  <w:num w:numId="18" w16cid:durableId="2131435475">
    <w:abstractNumId w:val="12"/>
  </w:num>
  <w:num w:numId="19" w16cid:durableId="583219664">
    <w:abstractNumId w:val="9"/>
  </w:num>
  <w:num w:numId="20" w16cid:durableId="639504022">
    <w:abstractNumId w:val="13"/>
  </w:num>
  <w:num w:numId="21" w16cid:durableId="317807119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0330"/>
    <w:rsid w:val="00001800"/>
    <w:rsid w:val="000019C2"/>
    <w:rsid w:val="00003F0C"/>
    <w:rsid w:val="00005101"/>
    <w:rsid w:val="000051CB"/>
    <w:rsid w:val="00005C72"/>
    <w:rsid w:val="0000634B"/>
    <w:rsid w:val="00006DA9"/>
    <w:rsid w:val="00007C4C"/>
    <w:rsid w:val="000105BF"/>
    <w:rsid w:val="00011A0F"/>
    <w:rsid w:val="00013CBA"/>
    <w:rsid w:val="0001446F"/>
    <w:rsid w:val="00014A1E"/>
    <w:rsid w:val="00015EF3"/>
    <w:rsid w:val="00017A86"/>
    <w:rsid w:val="00017D69"/>
    <w:rsid w:val="00017E94"/>
    <w:rsid w:val="00020B0E"/>
    <w:rsid w:val="0002779D"/>
    <w:rsid w:val="000321B5"/>
    <w:rsid w:val="000330F3"/>
    <w:rsid w:val="00036E01"/>
    <w:rsid w:val="000401D7"/>
    <w:rsid w:val="0004045E"/>
    <w:rsid w:val="00041677"/>
    <w:rsid w:val="0004173A"/>
    <w:rsid w:val="000426E1"/>
    <w:rsid w:val="000437AA"/>
    <w:rsid w:val="00043FFC"/>
    <w:rsid w:val="00044E4A"/>
    <w:rsid w:val="00045002"/>
    <w:rsid w:val="000451D1"/>
    <w:rsid w:val="00045670"/>
    <w:rsid w:val="0004700A"/>
    <w:rsid w:val="00051453"/>
    <w:rsid w:val="00051573"/>
    <w:rsid w:val="000522AF"/>
    <w:rsid w:val="000528F7"/>
    <w:rsid w:val="00052AAD"/>
    <w:rsid w:val="00052BBC"/>
    <w:rsid w:val="00053A9E"/>
    <w:rsid w:val="000543D4"/>
    <w:rsid w:val="00057B49"/>
    <w:rsid w:val="00057BAB"/>
    <w:rsid w:val="00060F23"/>
    <w:rsid w:val="000612F1"/>
    <w:rsid w:val="0006308D"/>
    <w:rsid w:val="00063786"/>
    <w:rsid w:val="000638B2"/>
    <w:rsid w:val="00064EB6"/>
    <w:rsid w:val="000655CD"/>
    <w:rsid w:val="0006591B"/>
    <w:rsid w:val="00067075"/>
    <w:rsid w:val="00070007"/>
    <w:rsid w:val="00071E6C"/>
    <w:rsid w:val="00072AD0"/>
    <w:rsid w:val="000739C1"/>
    <w:rsid w:val="00073B6A"/>
    <w:rsid w:val="00073BDD"/>
    <w:rsid w:val="00074186"/>
    <w:rsid w:val="00076807"/>
    <w:rsid w:val="000779DB"/>
    <w:rsid w:val="00077F2F"/>
    <w:rsid w:val="00080B9F"/>
    <w:rsid w:val="00081024"/>
    <w:rsid w:val="000838A2"/>
    <w:rsid w:val="00084C37"/>
    <w:rsid w:val="000853A1"/>
    <w:rsid w:val="00085714"/>
    <w:rsid w:val="0008581A"/>
    <w:rsid w:val="00086061"/>
    <w:rsid w:val="0008654E"/>
    <w:rsid w:val="00086E25"/>
    <w:rsid w:val="00087FBC"/>
    <w:rsid w:val="000909C7"/>
    <w:rsid w:val="00090A6A"/>
    <w:rsid w:val="00090FBA"/>
    <w:rsid w:val="000962CC"/>
    <w:rsid w:val="00097627"/>
    <w:rsid w:val="000A12AF"/>
    <w:rsid w:val="000A2725"/>
    <w:rsid w:val="000A2C59"/>
    <w:rsid w:val="000A35D8"/>
    <w:rsid w:val="000A362D"/>
    <w:rsid w:val="000A453D"/>
    <w:rsid w:val="000A4931"/>
    <w:rsid w:val="000A5374"/>
    <w:rsid w:val="000A67AB"/>
    <w:rsid w:val="000A7517"/>
    <w:rsid w:val="000B168F"/>
    <w:rsid w:val="000B171B"/>
    <w:rsid w:val="000B1720"/>
    <w:rsid w:val="000B21B7"/>
    <w:rsid w:val="000B2A26"/>
    <w:rsid w:val="000B3BC8"/>
    <w:rsid w:val="000B3CCB"/>
    <w:rsid w:val="000B428F"/>
    <w:rsid w:val="000B49B3"/>
    <w:rsid w:val="000B4F0C"/>
    <w:rsid w:val="000B5884"/>
    <w:rsid w:val="000B6D99"/>
    <w:rsid w:val="000B7EF6"/>
    <w:rsid w:val="000C02C3"/>
    <w:rsid w:val="000C0DD6"/>
    <w:rsid w:val="000C18E7"/>
    <w:rsid w:val="000C209D"/>
    <w:rsid w:val="000C4183"/>
    <w:rsid w:val="000C5A05"/>
    <w:rsid w:val="000D381E"/>
    <w:rsid w:val="000D445E"/>
    <w:rsid w:val="000D4FCE"/>
    <w:rsid w:val="000D6316"/>
    <w:rsid w:val="000D75DF"/>
    <w:rsid w:val="000E3C85"/>
    <w:rsid w:val="000E4C31"/>
    <w:rsid w:val="000E671D"/>
    <w:rsid w:val="000E760E"/>
    <w:rsid w:val="000E7F8A"/>
    <w:rsid w:val="000F17E8"/>
    <w:rsid w:val="000F2C6C"/>
    <w:rsid w:val="000F4486"/>
    <w:rsid w:val="000F4993"/>
    <w:rsid w:val="000F575F"/>
    <w:rsid w:val="000F622A"/>
    <w:rsid w:val="000F6759"/>
    <w:rsid w:val="000F6D3D"/>
    <w:rsid w:val="000F7E91"/>
    <w:rsid w:val="00102FBE"/>
    <w:rsid w:val="001038F1"/>
    <w:rsid w:val="00103FE3"/>
    <w:rsid w:val="001051C1"/>
    <w:rsid w:val="001060E7"/>
    <w:rsid w:val="00106F14"/>
    <w:rsid w:val="00107304"/>
    <w:rsid w:val="001103E8"/>
    <w:rsid w:val="00110607"/>
    <w:rsid w:val="00110FCF"/>
    <w:rsid w:val="00111085"/>
    <w:rsid w:val="00111D30"/>
    <w:rsid w:val="001136F3"/>
    <w:rsid w:val="00115E27"/>
    <w:rsid w:val="00115FBA"/>
    <w:rsid w:val="001167FA"/>
    <w:rsid w:val="00116F7B"/>
    <w:rsid w:val="00117CAC"/>
    <w:rsid w:val="00117CFA"/>
    <w:rsid w:val="001242F8"/>
    <w:rsid w:val="00125FCE"/>
    <w:rsid w:val="001263AD"/>
    <w:rsid w:val="001265AF"/>
    <w:rsid w:val="00127448"/>
    <w:rsid w:val="001328A4"/>
    <w:rsid w:val="00133372"/>
    <w:rsid w:val="001336D2"/>
    <w:rsid w:val="001337C5"/>
    <w:rsid w:val="001339CC"/>
    <w:rsid w:val="001350BB"/>
    <w:rsid w:val="001358A4"/>
    <w:rsid w:val="0013632C"/>
    <w:rsid w:val="00136ED9"/>
    <w:rsid w:val="00137CA2"/>
    <w:rsid w:val="00141014"/>
    <w:rsid w:val="0014343E"/>
    <w:rsid w:val="00144693"/>
    <w:rsid w:val="00144D2D"/>
    <w:rsid w:val="001462ED"/>
    <w:rsid w:val="00146459"/>
    <w:rsid w:val="0014760E"/>
    <w:rsid w:val="001477A6"/>
    <w:rsid w:val="00147A78"/>
    <w:rsid w:val="00147C41"/>
    <w:rsid w:val="00151676"/>
    <w:rsid w:val="001530D8"/>
    <w:rsid w:val="00154531"/>
    <w:rsid w:val="00156E75"/>
    <w:rsid w:val="00157086"/>
    <w:rsid w:val="00157864"/>
    <w:rsid w:val="00157EFF"/>
    <w:rsid w:val="00157F35"/>
    <w:rsid w:val="00160338"/>
    <w:rsid w:val="0016166F"/>
    <w:rsid w:val="00161A7B"/>
    <w:rsid w:val="00161EBA"/>
    <w:rsid w:val="001638AF"/>
    <w:rsid w:val="00164A41"/>
    <w:rsid w:val="00165EAE"/>
    <w:rsid w:val="00166BEE"/>
    <w:rsid w:val="00166FCF"/>
    <w:rsid w:val="00167E17"/>
    <w:rsid w:val="001702D4"/>
    <w:rsid w:val="00170641"/>
    <w:rsid w:val="0017183A"/>
    <w:rsid w:val="0017199C"/>
    <w:rsid w:val="001732A8"/>
    <w:rsid w:val="001747AC"/>
    <w:rsid w:val="0017707B"/>
    <w:rsid w:val="00177381"/>
    <w:rsid w:val="0018292E"/>
    <w:rsid w:val="00182A3F"/>
    <w:rsid w:val="00182EC8"/>
    <w:rsid w:val="001830D7"/>
    <w:rsid w:val="00183450"/>
    <w:rsid w:val="00183A75"/>
    <w:rsid w:val="00185897"/>
    <w:rsid w:val="00185984"/>
    <w:rsid w:val="00187647"/>
    <w:rsid w:val="00187B72"/>
    <w:rsid w:val="00187EA0"/>
    <w:rsid w:val="00190904"/>
    <w:rsid w:val="00191B84"/>
    <w:rsid w:val="00193CAA"/>
    <w:rsid w:val="001941D8"/>
    <w:rsid w:val="00194B56"/>
    <w:rsid w:val="00194DFA"/>
    <w:rsid w:val="00195FD6"/>
    <w:rsid w:val="00196C37"/>
    <w:rsid w:val="001A4B61"/>
    <w:rsid w:val="001A4E52"/>
    <w:rsid w:val="001A53F8"/>
    <w:rsid w:val="001A56A2"/>
    <w:rsid w:val="001A5B24"/>
    <w:rsid w:val="001A5F75"/>
    <w:rsid w:val="001A63F9"/>
    <w:rsid w:val="001B0A83"/>
    <w:rsid w:val="001B32A8"/>
    <w:rsid w:val="001B33B8"/>
    <w:rsid w:val="001B4596"/>
    <w:rsid w:val="001B4631"/>
    <w:rsid w:val="001B5311"/>
    <w:rsid w:val="001B5C77"/>
    <w:rsid w:val="001B6312"/>
    <w:rsid w:val="001B665C"/>
    <w:rsid w:val="001C169C"/>
    <w:rsid w:val="001C33FF"/>
    <w:rsid w:val="001C471D"/>
    <w:rsid w:val="001C478D"/>
    <w:rsid w:val="001C5A51"/>
    <w:rsid w:val="001C5B55"/>
    <w:rsid w:val="001C6080"/>
    <w:rsid w:val="001C68A6"/>
    <w:rsid w:val="001C7DDF"/>
    <w:rsid w:val="001D2874"/>
    <w:rsid w:val="001D2964"/>
    <w:rsid w:val="001D4952"/>
    <w:rsid w:val="001D707E"/>
    <w:rsid w:val="001D767F"/>
    <w:rsid w:val="001D7C07"/>
    <w:rsid w:val="001D7F2C"/>
    <w:rsid w:val="001E0671"/>
    <w:rsid w:val="001E16FA"/>
    <w:rsid w:val="001E1A91"/>
    <w:rsid w:val="001E41A5"/>
    <w:rsid w:val="001E49B1"/>
    <w:rsid w:val="001E536B"/>
    <w:rsid w:val="001E56C2"/>
    <w:rsid w:val="001E7FEC"/>
    <w:rsid w:val="001F1051"/>
    <w:rsid w:val="001F17E7"/>
    <w:rsid w:val="001F327E"/>
    <w:rsid w:val="001F4560"/>
    <w:rsid w:val="001F55EA"/>
    <w:rsid w:val="001F77A1"/>
    <w:rsid w:val="001F7E05"/>
    <w:rsid w:val="00201A8E"/>
    <w:rsid w:val="002021FA"/>
    <w:rsid w:val="002022F8"/>
    <w:rsid w:val="00202429"/>
    <w:rsid w:val="002036CB"/>
    <w:rsid w:val="00203F55"/>
    <w:rsid w:val="00204287"/>
    <w:rsid w:val="002048B0"/>
    <w:rsid w:val="0020600A"/>
    <w:rsid w:val="00206BCB"/>
    <w:rsid w:val="00206D88"/>
    <w:rsid w:val="00207D12"/>
    <w:rsid w:val="00210A2D"/>
    <w:rsid w:val="00211C93"/>
    <w:rsid w:val="00212239"/>
    <w:rsid w:val="0021397B"/>
    <w:rsid w:val="002139A2"/>
    <w:rsid w:val="0021521E"/>
    <w:rsid w:val="002169E6"/>
    <w:rsid w:val="00216FB8"/>
    <w:rsid w:val="00217EAB"/>
    <w:rsid w:val="00220725"/>
    <w:rsid w:val="00222701"/>
    <w:rsid w:val="00222889"/>
    <w:rsid w:val="00222BCA"/>
    <w:rsid w:val="00222D75"/>
    <w:rsid w:val="00223477"/>
    <w:rsid w:val="002246DA"/>
    <w:rsid w:val="0022498C"/>
    <w:rsid w:val="00225FE4"/>
    <w:rsid w:val="0022626C"/>
    <w:rsid w:val="00230964"/>
    <w:rsid w:val="00231268"/>
    <w:rsid w:val="002315FB"/>
    <w:rsid w:val="00231A8B"/>
    <w:rsid w:val="00231D9F"/>
    <w:rsid w:val="00232AEA"/>
    <w:rsid w:val="00234744"/>
    <w:rsid w:val="00235050"/>
    <w:rsid w:val="002357FA"/>
    <w:rsid w:val="00236555"/>
    <w:rsid w:val="002375A0"/>
    <w:rsid w:val="00237AA6"/>
    <w:rsid w:val="00237CB9"/>
    <w:rsid w:val="00242E43"/>
    <w:rsid w:val="00243C56"/>
    <w:rsid w:val="00243F1A"/>
    <w:rsid w:val="00244D6E"/>
    <w:rsid w:val="00244F53"/>
    <w:rsid w:val="002452F5"/>
    <w:rsid w:val="002466FD"/>
    <w:rsid w:val="00246C98"/>
    <w:rsid w:val="00246EAD"/>
    <w:rsid w:val="00250764"/>
    <w:rsid w:val="00252AC3"/>
    <w:rsid w:val="002536FC"/>
    <w:rsid w:val="00253A57"/>
    <w:rsid w:val="00253C5F"/>
    <w:rsid w:val="00254C2A"/>
    <w:rsid w:val="00254FE9"/>
    <w:rsid w:val="00255C72"/>
    <w:rsid w:val="00255D24"/>
    <w:rsid w:val="0025649C"/>
    <w:rsid w:val="00257FD2"/>
    <w:rsid w:val="00257FF2"/>
    <w:rsid w:val="00260D88"/>
    <w:rsid w:val="00261B59"/>
    <w:rsid w:val="00262394"/>
    <w:rsid w:val="002637AC"/>
    <w:rsid w:val="00264775"/>
    <w:rsid w:val="00265857"/>
    <w:rsid w:val="002668A3"/>
    <w:rsid w:val="00267FD8"/>
    <w:rsid w:val="002724D0"/>
    <w:rsid w:val="002734E5"/>
    <w:rsid w:val="002736ED"/>
    <w:rsid w:val="00274180"/>
    <w:rsid w:val="0027420A"/>
    <w:rsid w:val="00274E93"/>
    <w:rsid w:val="00277AB2"/>
    <w:rsid w:val="0028045E"/>
    <w:rsid w:val="00280F54"/>
    <w:rsid w:val="00280FBA"/>
    <w:rsid w:val="0028120A"/>
    <w:rsid w:val="002812EA"/>
    <w:rsid w:val="00281CAE"/>
    <w:rsid w:val="002821B9"/>
    <w:rsid w:val="0028301A"/>
    <w:rsid w:val="00283050"/>
    <w:rsid w:val="00283052"/>
    <w:rsid w:val="0028439F"/>
    <w:rsid w:val="002853D0"/>
    <w:rsid w:val="0028678A"/>
    <w:rsid w:val="00286C74"/>
    <w:rsid w:val="00286CBA"/>
    <w:rsid w:val="00286DA8"/>
    <w:rsid w:val="00287216"/>
    <w:rsid w:val="00290790"/>
    <w:rsid w:val="00290B1A"/>
    <w:rsid w:val="002918E1"/>
    <w:rsid w:val="00293C57"/>
    <w:rsid w:val="0029502E"/>
    <w:rsid w:val="00296803"/>
    <w:rsid w:val="002A0B07"/>
    <w:rsid w:val="002A3471"/>
    <w:rsid w:val="002A359A"/>
    <w:rsid w:val="002A41A6"/>
    <w:rsid w:val="002A50C1"/>
    <w:rsid w:val="002A527E"/>
    <w:rsid w:val="002A5B13"/>
    <w:rsid w:val="002A727F"/>
    <w:rsid w:val="002A7606"/>
    <w:rsid w:val="002A7840"/>
    <w:rsid w:val="002B149D"/>
    <w:rsid w:val="002B16ED"/>
    <w:rsid w:val="002B1CE5"/>
    <w:rsid w:val="002B28B7"/>
    <w:rsid w:val="002B4174"/>
    <w:rsid w:val="002B4257"/>
    <w:rsid w:val="002B442D"/>
    <w:rsid w:val="002B49F2"/>
    <w:rsid w:val="002B4C88"/>
    <w:rsid w:val="002B5011"/>
    <w:rsid w:val="002B57A0"/>
    <w:rsid w:val="002B647A"/>
    <w:rsid w:val="002B7FFA"/>
    <w:rsid w:val="002C1052"/>
    <w:rsid w:val="002C2312"/>
    <w:rsid w:val="002C2A34"/>
    <w:rsid w:val="002C2C1A"/>
    <w:rsid w:val="002C4243"/>
    <w:rsid w:val="002C4DAA"/>
    <w:rsid w:val="002C50CF"/>
    <w:rsid w:val="002C525E"/>
    <w:rsid w:val="002C5B4E"/>
    <w:rsid w:val="002C6784"/>
    <w:rsid w:val="002C6A47"/>
    <w:rsid w:val="002C6B33"/>
    <w:rsid w:val="002D1D03"/>
    <w:rsid w:val="002D2D8F"/>
    <w:rsid w:val="002D3783"/>
    <w:rsid w:val="002D47CE"/>
    <w:rsid w:val="002D483C"/>
    <w:rsid w:val="002D4A62"/>
    <w:rsid w:val="002D5127"/>
    <w:rsid w:val="002D545F"/>
    <w:rsid w:val="002D5504"/>
    <w:rsid w:val="002D594F"/>
    <w:rsid w:val="002D5A2E"/>
    <w:rsid w:val="002D60EC"/>
    <w:rsid w:val="002D746E"/>
    <w:rsid w:val="002D7BA6"/>
    <w:rsid w:val="002D7CD7"/>
    <w:rsid w:val="002E088C"/>
    <w:rsid w:val="002E113E"/>
    <w:rsid w:val="002E13F2"/>
    <w:rsid w:val="002E6D58"/>
    <w:rsid w:val="002E70C5"/>
    <w:rsid w:val="002E799C"/>
    <w:rsid w:val="002F07FB"/>
    <w:rsid w:val="002F0D9A"/>
    <w:rsid w:val="002F1D29"/>
    <w:rsid w:val="002F2813"/>
    <w:rsid w:val="002F2942"/>
    <w:rsid w:val="002F36DC"/>
    <w:rsid w:val="002F4308"/>
    <w:rsid w:val="002F4DB3"/>
    <w:rsid w:val="002F592C"/>
    <w:rsid w:val="002F5BCD"/>
    <w:rsid w:val="002F63C1"/>
    <w:rsid w:val="002F69F9"/>
    <w:rsid w:val="002F7C57"/>
    <w:rsid w:val="003024B8"/>
    <w:rsid w:val="0030292E"/>
    <w:rsid w:val="00303926"/>
    <w:rsid w:val="00303BAF"/>
    <w:rsid w:val="0030458F"/>
    <w:rsid w:val="003054E5"/>
    <w:rsid w:val="0030695A"/>
    <w:rsid w:val="00306A58"/>
    <w:rsid w:val="00306AE1"/>
    <w:rsid w:val="00310606"/>
    <w:rsid w:val="00311A8D"/>
    <w:rsid w:val="00311D32"/>
    <w:rsid w:val="00314F92"/>
    <w:rsid w:val="00316011"/>
    <w:rsid w:val="00317A79"/>
    <w:rsid w:val="00317BFE"/>
    <w:rsid w:val="0032041D"/>
    <w:rsid w:val="003207FC"/>
    <w:rsid w:val="00320AB6"/>
    <w:rsid w:val="00321BA9"/>
    <w:rsid w:val="00321CFA"/>
    <w:rsid w:val="003248BA"/>
    <w:rsid w:val="0032552F"/>
    <w:rsid w:val="0032726E"/>
    <w:rsid w:val="00327398"/>
    <w:rsid w:val="0033114A"/>
    <w:rsid w:val="0033130D"/>
    <w:rsid w:val="0033207B"/>
    <w:rsid w:val="00332BDC"/>
    <w:rsid w:val="003339C1"/>
    <w:rsid w:val="0033418A"/>
    <w:rsid w:val="003341E6"/>
    <w:rsid w:val="0033457E"/>
    <w:rsid w:val="0033546D"/>
    <w:rsid w:val="003415A4"/>
    <w:rsid w:val="00341A8B"/>
    <w:rsid w:val="00342137"/>
    <w:rsid w:val="00342429"/>
    <w:rsid w:val="00342DDD"/>
    <w:rsid w:val="003460BB"/>
    <w:rsid w:val="0034659D"/>
    <w:rsid w:val="00347BB3"/>
    <w:rsid w:val="00350C90"/>
    <w:rsid w:val="00350FFA"/>
    <w:rsid w:val="003511F8"/>
    <w:rsid w:val="00351692"/>
    <w:rsid w:val="003518C6"/>
    <w:rsid w:val="00352A11"/>
    <w:rsid w:val="00352EE8"/>
    <w:rsid w:val="00353DBF"/>
    <w:rsid w:val="0035478F"/>
    <w:rsid w:val="00354DAF"/>
    <w:rsid w:val="003556EE"/>
    <w:rsid w:val="00355D22"/>
    <w:rsid w:val="00356ED1"/>
    <w:rsid w:val="003572CD"/>
    <w:rsid w:val="00357F93"/>
    <w:rsid w:val="00360AD4"/>
    <w:rsid w:val="003622C6"/>
    <w:rsid w:val="00363571"/>
    <w:rsid w:val="00365541"/>
    <w:rsid w:val="00370BCE"/>
    <w:rsid w:val="00370D5A"/>
    <w:rsid w:val="00371010"/>
    <w:rsid w:val="003723A6"/>
    <w:rsid w:val="00374895"/>
    <w:rsid w:val="00374E29"/>
    <w:rsid w:val="00375AB5"/>
    <w:rsid w:val="00377333"/>
    <w:rsid w:val="003773FF"/>
    <w:rsid w:val="00380052"/>
    <w:rsid w:val="00380981"/>
    <w:rsid w:val="00380FC1"/>
    <w:rsid w:val="0038111D"/>
    <w:rsid w:val="00381184"/>
    <w:rsid w:val="0038262F"/>
    <w:rsid w:val="0038286F"/>
    <w:rsid w:val="00382CC9"/>
    <w:rsid w:val="00382DD6"/>
    <w:rsid w:val="00382F07"/>
    <w:rsid w:val="00383F05"/>
    <w:rsid w:val="00387ADC"/>
    <w:rsid w:val="003923E9"/>
    <w:rsid w:val="003932EB"/>
    <w:rsid w:val="00394ADB"/>
    <w:rsid w:val="00394B64"/>
    <w:rsid w:val="003951EC"/>
    <w:rsid w:val="00397549"/>
    <w:rsid w:val="003A043D"/>
    <w:rsid w:val="003A0DA2"/>
    <w:rsid w:val="003A0F28"/>
    <w:rsid w:val="003A1388"/>
    <w:rsid w:val="003A1D28"/>
    <w:rsid w:val="003A2A17"/>
    <w:rsid w:val="003A2EFF"/>
    <w:rsid w:val="003A4021"/>
    <w:rsid w:val="003A4FB1"/>
    <w:rsid w:val="003A5C47"/>
    <w:rsid w:val="003A6360"/>
    <w:rsid w:val="003A7DBB"/>
    <w:rsid w:val="003B0245"/>
    <w:rsid w:val="003B072D"/>
    <w:rsid w:val="003B1EEA"/>
    <w:rsid w:val="003B20CE"/>
    <w:rsid w:val="003B4299"/>
    <w:rsid w:val="003B5183"/>
    <w:rsid w:val="003B6795"/>
    <w:rsid w:val="003B7147"/>
    <w:rsid w:val="003B734E"/>
    <w:rsid w:val="003C34F3"/>
    <w:rsid w:val="003C3CE9"/>
    <w:rsid w:val="003C4D30"/>
    <w:rsid w:val="003C58BC"/>
    <w:rsid w:val="003C64E5"/>
    <w:rsid w:val="003D09A9"/>
    <w:rsid w:val="003D101C"/>
    <w:rsid w:val="003D1DCA"/>
    <w:rsid w:val="003D1F55"/>
    <w:rsid w:val="003D3232"/>
    <w:rsid w:val="003D42FE"/>
    <w:rsid w:val="003D55AA"/>
    <w:rsid w:val="003D60F6"/>
    <w:rsid w:val="003D66F2"/>
    <w:rsid w:val="003D7048"/>
    <w:rsid w:val="003E0793"/>
    <w:rsid w:val="003E21A4"/>
    <w:rsid w:val="003E28C0"/>
    <w:rsid w:val="003E2E12"/>
    <w:rsid w:val="003E45AB"/>
    <w:rsid w:val="003E605F"/>
    <w:rsid w:val="003E63EA"/>
    <w:rsid w:val="003E6797"/>
    <w:rsid w:val="003E6E7B"/>
    <w:rsid w:val="003F0196"/>
    <w:rsid w:val="003F03A2"/>
    <w:rsid w:val="003F03BE"/>
    <w:rsid w:val="003F161D"/>
    <w:rsid w:val="003F326B"/>
    <w:rsid w:val="003F3AB7"/>
    <w:rsid w:val="003F5207"/>
    <w:rsid w:val="003F526E"/>
    <w:rsid w:val="003F5593"/>
    <w:rsid w:val="003F602B"/>
    <w:rsid w:val="003F6400"/>
    <w:rsid w:val="004004AF"/>
    <w:rsid w:val="004004E1"/>
    <w:rsid w:val="00400BD5"/>
    <w:rsid w:val="0040213C"/>
    <w:rsid w:val="0040390B"/>
    <w:rsid w:val="00403ECE"/>
    <w:rsid w:val="0040517A"/>
    <w:rsid w:val="0040532C"/>
    <w:rsid w:val="004058C2"/>
    <w:rsid w:val="0040639E"/>
    <w:rsid w:val="0040705E"/>
    <w:rsid w:val="0040758A"/>
    <w:rsid w:val="00413AB8"/>
    <w:rsid w:val="00414677"/>
    <w:rsid w:val="00415A39"/>
    <w:rsid w:val="004203FE"/>
    <w:rsid w:val="00420C32"/>
    <w:rsid w:val="00421450"/>
    <w:rsid w:val="0042195F"/>
    <w:rsid w:val="00422A3D"/>
    <w:rsid w:val="00423A91"/>
    <w:rsid w:val="0042499D"/>
    <w:rsid w:val="004250B6"/>
    <w:rsid w:val="004261CF"/>
    <w:rsid w:val="0042645E"/>
    <w:rsid w:val="00426A6A"/>
    <w:rsid w:val="00426F57"/>
    <w:rsid w:val="004272E9"/>
    <w:rsid w:val="00427E00"/>
    <w:rsid w:val="00427F88"/>
    <w:rsid w:val="00430C1C"/>
    <w:rsid w:val="00430E43"/>
    <w:rsid w:val="0043454E"/>
    <w:rsid w:val="00435441"/>
    <w:rsid w:val="00435713"/>
    <w:rsid w:val="004365B3"/>
    <w:rsid w:val="00436E37"/>
    <w:rsid w:val="00440EE7"/>
    <w:rsid w:val="00441106"/>
    <w:rsid w:val="00441472"/>
    <w:rsid w:val="004414E6"/>
    <w:rsid w:val="004420F0"/>
    <w:rsid w:val="004421ED"/>
    <w:rsid w:val="00442502"/>
    <w:rsid w:val="00442DA5"/>
    <w:rsid w:val="004430C8"/>
    <w:rsid w:val="004437B4"/>
    <w:rsid w:val="00444710"/>
    <w:rsid w:val="00446B8E"/>
    <w:rsid w:val="00446CC2"/>
    <w:rsid w:val="004470CC"/>
    <w:rsid w:val="00447E2A"/>
    <w:rsid w:val="00453C04"/>
    <w:rsid w:val="00454387"/>
    <w:rsid w:val="00454EC7"/>
    <w:rsid w:val="00457C81"/>
    <w:rsid w:val="00460631"/>
    <w:rsid w:val="00462805"/>
    <w:rsid w:val="00464BC0"/>
    <w:rsid w:val="004656F1"/>
    <w:rsid w:val="00465DA6"/>
    <w:rsid w:val="00466451"/>
    <w:rsid w:val="00466E40"/>
    <w:rsid w:val="00470F2D"/>
    <w:rsid w:val="00473442"/>
    <w:rsid w:val="0047403A"/>
    <w:rsid w:val="0047515C"/>
    <w:rsid w:val="00476037"/>
    <w:rsid w:val="00476144"/>
    <w:rsid w:val="00476946"/>
    <w:rsid w:val="00483105"/>
    <w:rsid w:val="0048336E"/>
    <w:rsid w:val="00490071"/>
    <w:rsid w:val="0049044E"/>
    <w:rsid w:val="00490752"/>
    <w:rsid w:val="00490E8E"/>
    <w:rsid w:val="004949D9"/>
    <w:rsid w:val="00495361"/>
    <w:rsid w:val="004958CE"/>
    <w:rsid w:val="00495BD4"/>
    <w:rsid w:val="00497764"/>
    <w:rsid w:val="004A12B0"/>
    <w:rsid w:val="004A32C7"/>
    <w:rsid w:val="004A5A3E"/>
    <w:rsid w:val="004A5F3A"/>
    <w:rsid w:val="004A674F"/>
    <w:rsid w:val="004A74F4"/>
    <w:rsid w:val="004A7A4A"/>
    <w:rsid w:val="004B07BB"/>
    <w:rsid w:val="004B0A03"/>
    <w:rsid w:val="004B0A59"/>
    <w:rsid w:val="004B23F2"/>
    <w:rsid w:val="004B41E5"/>
    <w:rsid w:val="004B6AA1"/>
    <w:rsid w:val="004B7931"/>
    <w:rsid w:val="004B7A9F"/>
    <w:rsid w:val="004C04EE"/>
    <w:rsid w:val="004C3C80"/>
    <w:rsid w:val="004C5B47"/>
    <w:rsid w:val="004C5EDD"/>
    <w:rsid w:val="004C7A01"/>
    <w:rsid w:val="004D41D8"/>
    <w:rsid w:val="004D4F10"/>
    <w:rsid w:val="004D65E7"/>
    <w:rsid w:val="004D6695"/>
    <w:rsid w:val="004D7A10"/>
    <w:rsid w:val="004D7C34"/>
    <w:rsid w:val="004E06CE"/>
    <w:rsid w:val="004E1E53"/>
    <w:rsid w:val="004E1FD8"/>
    <w:rsid w:val="004E4C64"/>
    <w:rsid w:val="004E5FE2"/>
    <w:rsid w:val="004E6485"/>
    <w:rsid w:val="004E68C3"/>
    <w:rsid w:val="004E7CD5"/>
    <w:rsid w:val="004F07DE"/>
    <w:rsid w:val="004F11A8"/>
    <w:rsid w:val="004F195D"/>
    <w:rsid w:val="004F4305"/>
    <w:rsid w:val="004F5258"/>
    <w:rsid w:val="005009E8"/>
    <w:rsid w:val="00503CB7"/>
    <w:rsid w:val="0050585A"/>
    <w:rsid w:val="00505AD5"/>
    <w:rsid w:val="00506DCB"/>
    <w:rsid w:val="00507CB8"/>
    <w:rsid w:val="00507D46"/>
    <w:rsid w:val="00507D94"/>
    <w:rsid w:val="0051034A"/>
    <w:rsid w:val="00510D46"/>
    <w:rsid w:val="005114AA"/>
    <w:rsid w:val="005114F9"/>
    <w:rsid w:val="005117A2"/>
    <w:rsid w:val="005124E6"/>
    <w:rsid w:val="00512818"/>
    <w:rsid w:val="005132A9"/>
    <w:rsid w:val="0051352E"/>
    <w:rsid w:val="00513C0F"/>
    <w:rsid w:val="00516FCB"/>
    <w:rsid w:val="00517DA7"/>
    <w:rsid w:val="00517E7C"/>
    <w:rsid w:val="00520645"/>
    <w:rsid w:val="00520A33"/>
    <w:rsid w:val="00524836"/>
    <w:rsid w:val="00525CFD"/>
    <w:rsid w:val="00526473"/>
    <w:rsid w:val="00526E05"/>
    <w:rsid w:val="005271E7"/>
    <w:rsid w:val="00527AE4"/>
    <w:rsid w:val="00530917"/>
    <w:rsid w:val="00531797"/>
    <w:rsid w:val="00531E58"/>
    <w:rsid w:val="0053208D"/>
    <w:rsid w:val="0053260D"/>
    <w:rsid w:val="00532937"/>
    <w:rsid w:val="00532C8C"/>
    <w:rsid w:val="00533B84"/>
    <w:rsid w:val="00534780"/>
    <w:rsid w:val="005347BB"/>
    <w:rsid w:val="00534B26"/>
    <w:rsid w:val="00534F07"/>
    <w:rsid w:val="00535104"/>
    <w:rsid w:val="00535C6B"/>
    <w:rsid w:val="005363BB"/>
    <w:rsid w:val="00536CF1"/>
    <w:rsid w:val="005370B4"/>
    <w:rsid w:val="00541360"/>
    <w:rsid w:val="00541964"/>
    <w:rsid w:val="00542B8A"/>
    <w:rsid w:val="00542C14"/>
    <w:rsid w:val="005431F9"/>
    <w:rsid w:val="005439BF"/>
    <w:rsid w:val="00544A0B"/>
    <w:rsid w:val="0054755E"/>
    <w:rsid w:val="005503C0"/>
    <w:rsid w:val="00550DC4"/>
    <w:rsid w:val="005515E3"/>
    <w:rsid w:val="00552179"/>
    <w:rsid w:val="00552C35"/>
    <w:rsid w:val="005545EA"/>
    <w:rsid w:val="005550B7"/>
    <w:rsid w:val="0055569D"/>
    <w:rsid w:val="005558B3"/>
    <w:rsid w:val="00557AD7"/>
    <w:rsid w:val="00557C52"/>
    <w:rsid w:val="005607F2"/>
    <w:rsid w:val="00560E3E"/>
    <w:rsid w:val="00562086"/>
    <w:rsid w:val="00563C60"/>
    <w:rsid w:val="005641D4"/>
    <w:rsid w:val="0056492D"/>
    <w:rsid w:val="00570777"/>
    <w:rsid w:val="00571BDB"/>
    <w:rsid w:val="00574065"/>
    <w:rsid w:val="00574531"/>
    <w:rsid w:val="00574F44"/>
    <w:rsid w:val="00575015"/>
    <w:rsid w:val="00576A0A"/>
    <w:rsid w:val="0058002F"/>
    <w:rsid w:val="005800E3"/>
    <w:rsid w:val="00581A92"/>
    <w:rsid w:val="00581D8E"/>
    <w:rsid w:val="00582216"/>
    <w:rsid w:val="00582680"/>
    <w:rsid w:val="00584302"/>
    <w:rsid w:val="00585E1A"/>
    <w:rsid w:val="00591A92"/>
    <w:rsid w:val="00591C6A"/>
    <w:rsid w:val="0059279F"/>
    <w:rsid w:val="00592981"/>
    <w:rsid w:val="005941D8"/>
    <w:rsid w:val="00594472"/>
    <w:rsid w:val="00596A48"/>
    <w:rsid w:val="00596A88"/>
    <w:rsid w:val="00597953"/>
    <w:rsid w:val="005A188B"/>
    <w:rsid w:val="005A30EA"/>
    <w:rsid w:val="005A37A7"/>
    <w:rsid w:val="005A57C2"/>
    <w:rsid w:val="005A5A1D"/>
    <w:rsid w:val="005A5D2E"/>
    <w:rsid w:val="005B050C"/>
    <w:rsid w:val="005B12E2"/>
    <w:rsid w:val="005B1C6A"/>
    <w:rsid w:val="005B236B"/>
    <w:rsid w:val="005B2918"/>
    <w:rsid w:val="005B2A06"/>
    <w:rsid w:val="005B42EC"/>
    <w:rsid w:val="005C3B4D"/>
    <w:rsid w:val="005C3D3E"/>
    <w:rsid w:val="005C4106"/>
    <w:rsid w:val="005C4652"/>
    <w:rsid w:val="005C4AFB"/>
    <w:rsid w:val="005C4B6E"/>
    <w:rsid w:val="005C50B4"/>
    <w:rsid w:val="005C6306"/>
    <w:rsid w:val="005C6660"/>
    <w:rsid w:val="005C675A"/>
    <w:rsid w:val="005C6CF3"/>
    <w:rsid w:val="005C7BF5"/>
    <w:rsid w:val="005D06E4"/>
    <w:rsid w:val="005D0DF8"/>
    <w:rsid w:val="005D12EE"/>
    <w:rsid w:val="005D132E"/>
    <w:rsid w:val="005D146C"/>
    <w:rsid w:val="005D2B31"/>
    <w:rsid w:val="005D76AF"/>
    <w:rsid w:val="005D792D"/>
    <w:rsid w:val="005D7A30"/>
    <w:rsid w:val="005D7CE7"/>
    <w:rsid w:val="005E179D"/>
    <w:rsid w:val="005E26BB"/>
    <w:rsid w:val="005E3ACB"/>
    <w:rsid w:val="005E4F8E"/>
    <w:rsid w:val="005F2F2B"/>
    <w:rsid w:val="005F3831"/>
    <w:rsid w:val="005F3B19"/>
    <w:rsid w:val="005F3E64"/>
    <w:rsid w:val="005F52EA"/>
    <w:rsid w:val="005F5476"/>
    <w:rsid w:val="005F5A22"/>
    <w:rsid w:val="005F5C12"/>
    <w:rsid w:val="005F5DA6"/>
    <w:rsid w:val="005F6FF0"/>
    <w:rsid w:val="005F709F"/>
    <w:rsid w:val="005F710E"/>
    <w:rsid w:val="005F79BE"/>
    <w:rsid w:val="005F7BBC"/>
    <w:rsid w:val="00602C9D"/>
    <w:rsid w:val="006036E7"/>
    <w:rsid w:val="00603A2D"/>
    <w:rsid w:val="00605000"/>
    <w:rsid w:val="0060596E"/>
    <w:rsid w:val="006065A3"/>
    <w:rsid w:val="00606F4B"/>
    <w:rsid w:val="006077D3"/>
    <w:rsid w:val="00607943"/>
    <w:rsid w:val="00607A4E"/>
    <w:rsid w:val="00607A82"/>
    <w:rsid w:val="00607B0F"/>
    <w:rsid w:val="00610753"/>
    <w:rsid w:val="00610A38"/>
    <w:rsid w:val="00610A78"/>
    <w:rsid w:val="00610C61"/>
    <w:rsid w:val="00612509"/>
    <w:rsid w:val="006136F0"/>
    <w:rsid w:val="00613A16"/>
    <w:rsid w:val="00613C78"/>
    <w:rsid w:val="0061469A"/>
    <w:rsid w:val="00615947"/>
    <w:rsid w:val="0062072F"/>
    <w:rsid w:val="0062107C"/>
    <w:rsid w:val="00622192"/>
    <w:rsid w:val="006233FF"/>
    <w:rsid w:val="00624940"/>
    <w:rsid w:val="00624FB5"/>
    <w:rsid w:val="0062618A"/>
    <w:rsid w:val="00630DDF"/>
    <w:rsid w:val="00631A12"/>
    <w:rsid w:val="006320D9"/>
    <w:rsid w:val="00633E1C"/>
    <w:rsid w:val="00633EB9"/>
    <w:rsid w:val="0063469E"/>
    <w:rsid w:val="00635025"/>
    <w:rsid w:val="00635766"/>
    <w:rsid w:val="00635B17"/>
    <w:rsid w:val="006361ED"/>
    <w:rsid w:val="00636F72"/>
    <w:rsid w:val="006378B6"/>
    <w:rsid w:val="006418E9"/>
    <w:rsid w:val="006420BB"/>
    <w:rsid w:val="00642768"/>
    <w:rsid w:val="0064295E"/>
    <w:rsid w:val="00642A27"/>
    <w:rsid w:val="006434C3"/>
    <w:rsid w:val="00644EBE"/>
    <w:rsid w:val="006458CD"/>
    <w:rsid w:val="00645C98"/>
    <w:rsid w:val="006465D5"/>
    <w:rsid w:val="0064694F"/>
    <w:rsid w:val="0064757C"/>
    <w:rsid w:val="006509C5"/>
    <w:rsid w:val="00650B6D"/>
    <w:rsid w:val="00657A60"/>
    <w:rsid w:val="00661E1F"/>
    <w:rsid w:val="00662A42"/>
    <w:rsid w:val="00662E24"/>
    <w:rsid w:val="00662E3E"/>
    <w:rsid w:val="006634D1"/>
    <w:rsid w:val="0066588C"/>
    <w:rsid w:val="00666040"/>
    <w:rsid w:val="00670626"/>
    <w:rsid w:val="00670FDC"/>
    <w:rsid w:val="006710F6"/>
    <w:rsid w:val="00674440"/>
    <w:rsid w:val="0067514D"/>
    <w:rsid w:val="00676A81"/>
    <w:rsid w:val="0067759D"/>
    <w:rsid w:val="00681214"/>
    <w:rsid w:val="0068337F"/>
    <w:rsid w:val="00683A24"/>
    <w:rsid w:val="006848C1"/>
    <w:rsid w:val="00684F76"/>
    <w:rsid w:val="006851E3"/>
    <w:rsid w:val="00685D83"/>
    <w:rsid w:val="00685FB6"/>
    <w:rsid w:val="0068612B"/>
    <w:rsid w:val="00686785"/>
    <w:rsid w:val="00687D67"/>
    <w:rsid w:val="006902A0"/>
    <w:rsid w:val="00690A32"/>
    <w:rsid w:val="00690F4B"/>
    <w:rsid w:val="006926AD"/>
    <w:rsid w:val="00692719"/>
    <w:rsid w:val="00693573"/>
    <w:rsid w:val="0069492E"/>
    <w:rsid w:val="00694C73"/>
    <w:rsid w:val="006959A2"/>
    <w:rsid w:val="00696BDB"/>
    <w:rsid w:val="00697369"/>
    <w:rsid w:val="0069799B"/>
    <w:rsid w:val="006A0EDC"/>
    <w:rsid w:val="006A16A4"/>
    <w:rsid w:val="006A4529"/>
    <w:rsid w:val="006A4612"/>
    <w:rsid w:val="006A64AB"/>
    <w:rsid w:val="006B0B39"/>
    <w:rsid w:val="006B1179"/>
    <w:rsid w:val="006B175E"/>
    <w:rsid w:val="006B24CA"/>
    <w:rsid w:val="006B674A"/>
    <w:rsid w:val="006B7854"/>
    <w:rsid w:val="006C17B3"/>
    <w:rsid w:val="006C2B74"/>
    <w:rsid w:val="006C30D7"/>
    <w:rsid w:val="006C3AE7"/>
    <w:rsid w:val="006C3D50"/>
    <w:rsid w:val="006C5157"/>
    <w:rsid w:val="006C5834"/>
    <w:rsid w:val="006D0F77"/>
    <w:rsid w:val="006D154E"/>
    <w:rsid w:val="006D1721"/>
    <w:rsid w:val="006D457D"/>
    <w:rsid w:val="006D46AC"/>
    <w:rsid w:val="006D4B6E"/>
    <w:rsid w:val="006D509C"/>
    <w:rsid w:val="006D56C9"/>
    <w:rsid w:val="006D5902"/>
    <w:rsid w:val="006D61B7"/>
    <w:rsid w:val="006D712E"/>
    <w:rsid w:val="006D7A56"/>
    <w:rsid w:val="006E08F2"/>
    <w:rsid w:val="006E166E"/>
    <w:rsid w:val="006E3322"/>
    <w:rsid w:val="006E41EC"/>
    <w:rsid w:val="006E5617"/>
    <w:rsid w:val="006E593D"/>
    <w:rsid w:val="006E5D6E"/>
    <w:rsid w:val="006F02BA"/>
    <w:rsid w:val="006F1371"/>
    <w:rsid w:val="006F37B2"/>
    <w:rsid w:val="006F5729"/>
    <w:rsid w:val="006F6AB9"/>
    <w:rsid w:val="006F6F21"/>
    <w:rsid w:val="007004AF"/>
    <w:rsid w:val="00702A7C"/>
    <w:rsid w:val="00702D9C"/>
    <w:rsid w:val="00704620"/>
    <w:rsid w:val="00707496"/>
    <w:rsid w:val="00707828"/>
    <w:rsid w:val="00710515"/>
    <w:rsid w:val="0071099D"/>
    <w:rsid w:val="00711798"/>
    <w:rsid w:val="00711879"/>
    <w:rsid w:val="00713F74"/>
    <w:rsid w:val="00714836"/>
    <w:rsid w:val="007150D8"/>
    <w:rsid w:val="007153C4"/>
    <w:rsid w:val="00715B40"/>
    <w:rsid w:val="00717728"/>
    <w:rsid w:val="007178AC"/>
    <w:rsid w:val="00720BFF"/>
    <w:rsid w:val="00721579"/>
    <w:rsid w:val="00721B03"/>
    <w:rsid w:val="007233A8"/>
    <w:rsid w:val="00724DC9"/>
    <w:rsid w:val="00725ECC"/>
    <w:rsid w:val="0072660B"/>
    <w:rsid w:val="0072796B"/>
    <w:rsid w:val="00730FEE"/>
    <w:rsid w:val="00731048"/>
    <w:rsid w:val="0073204C"/>
    <w:rsid w:val="007323E1"/>
    <w:rsid w:val="00734BC5"/>
    <w:rsid w:val="007353BD"/>
    <w:rsid w:val="00735BEC"/>
    <w:rsid w:val="00735E2F"/>
    <w:rsid w:val="00736050"/>
    <w:rsid w:val="007369A0"/>
    <w:rsid w:val="00736E0A"/>
    <w:rsid w:val="007412AE"/>
    <w:rsid w:val="007416A7"/>
    <w:rsid w:val="007436FA"/>
    <w:rsid w:val="007439CB"/>
    <w:rsid w:val="00746EC5"/>
    <w:rsid w:val="00754DA8"/>
    <w:rsid w:val="00755635"/>
    <w:rsid w:val="007570DC"/>
    <w:rsid w:val="0076033D"/>
    <w:rsid w:val="007606A6"/>
    <w:rsid w:val="00761565"/>
    <w:rsid w:val="0076232F"/>
    <w:rsid w:val="00763192"/>
    <w:rsid w:val="0076603A"/>
    <w:rsid w:val="00766D4F"/>
    <w:rsid w:val="00767D67"/>
    <w:rsid w:val="007701F2"/>
    <w:rsid w:val="0077045A"/>
    <w:rsid w:val="007709BF"/>
    <w:rsid w:val="007722BC"/>
    <w:rsid w:val="00772FFA"/>
    <w:rsid w:val="0077364E"/>
    <w:rsid w:val="00776BEF"/>
    <w:rsid w:val="007770FA"/>
    <w:rsid w:val="00777345"/>
    <w:rsid w:val="00780037"/>
    <w:rsid w:val="0078078D"/>
    <w:rsid w:val="00781066"/>
    <w:rsid w:val="00781882"/>
    <w:rsid w:val="00781CF9"/>
    <w:rsid w:val="007836AC"/>
    <w:rsid w:val="00783EB7"/>
    <w:rsid w:val="007852F0"/>
    <w:rsid w:val="007863C0"/>
    <w:rsid w:val="00787D76"/>
    <w:rsid w:val="00787E68"/>
    <w:rsid w:val="007902A0"/>
    <w:rsid w:val="0079042B"/>
    <w:rsid w:val="00791A42"/>
    <w:rsid w:val="00792D3E"/>
    <w:rsid w:val="007930B7"/>
    <w:rsid w:val="007949CE"/>
    <w:rsid w:val="00795C3A"/>
    <w:rsid w:val="007A0070"/>
    <w:rsid w:val="007A075C"/>
    <w:rsid w:val="007A16A8"/>
    <w:rsid w:val="007A1E70"/>
    <w:rsid w:val="007A40D5"/>
    <w:rsid w:val="007A5C68"/>
    <w:rsid w:val="007A5E0D"/>
    <w:rsid w:val="007A613F"/>
    <w:rsid w:val="007A6B90"/>
    <w:rsid w:val="007A6C14"/>
    <w:rsid w:val="007B1056"/>
    <w:rsid w:val="007B1ABA"/>
    <w:rsid w:val="007B2662"/>
    <w:rsid w:val="007B2ECC"/>
    <w:rsid w:val="007B336F"/>
    <w:rsid w:val="007B71D5"/>
    <w:rsid w:val="007B74C5"/>
    <w:rsid w:val="007C10C0"/>
    <w:rsid w:val="007C19C2"/>
    <w:rsid w:val="007C26CD"/>
    <w:rsid w:val="007C30E8"/>
    <w:rsid w:val="007C364E"/>
    <w:rsid w:val="007C489E"/>
    <w:rsid w:val="007C5C14"/>
    <w:rsid w:val="007C7A6C"/>
    <w:rsid w:val="007D01B5"/>
    <w:rsid w:val="007D08CE"/>
    <w:rsid w:val="007D0AB8"/>
    <w:rsid w:val="007D1699"/>
    <w:rsid w:val="007D49BA"/>
    <w:rsid w:val="007D686F"/>
    <w:rsid w:val="007D7208"/>
    <w:rsid w:val="007D747B"/>
    <w:rsid w:val="007D7A47"/>
    <w:rsid w:val="007D7B19"/>
    <w:rsid w:val="007E1550"/>
    <w:rsid w:val="007E25BA"/>
    <w:rsid w:val="007E2ADB"/>
    <w:rsid w:val="007E3C69"/>
    <w:rsid w:val="007E40EB"/>
    <w:rsid w:val="007E596E"/>
    <w:rsid w:val="007E5B27"/>
    <w:rsid w:val="007E6194"/>
    <w:rsid w:val="007E70C2"/>
    <w:rsid w:val="007E7CEC"/>
    <w:rsid w:val="007E7EA4"/>
    <w:rsid w:val="007F1B9C"/>
    <w:rsid w:val="007F2923"/>
    <w:rsid w:val="007F3C22"/>
    <w:rsid w:val="007F41E5"/>
    <w:rsid w:val="007F570F"/>
    <w:rsid w:val="007F5FA5"/>
    <w:rsid w:val="007F7B27"/>
    <w:rsid w:val="00800312"/>
    <w:rsid w:val="0080190C"/>
    <w:rsid w:val="0080547B"/>
    <w:rsid w:val="00805D3C"/>
    <w:rsid w:val="00806AFF"/>
    <w:rsid w:val="008073B4"/>
    <w:rsid w:val="00807BA9"/>
    <w:rsid w:val="0081244E"/>
    <w:rsid w:val="008130E7"/>
    <w:rsid w:val="008136D5"/>
    <w:rsid w:val="0081409C"/>
    <w:rsid w:val="00815CA5"/>
    <w:rsid w:val="00817853"/>
    <w:rsid w:val="00817CEC"/>
    <w:rsid w:val="00817E6E"/>
    <w:rsid w:val="008222C0"/>
    <w:rsid w:val="0082287E"/>
    <w:rsid w:val="00823316"/>
    <w:rsid w:val="00824B16"/>
    <w:rsid w:val="00824FFC"/>
    <w:rsid w:val="00825174"/>
    <w:rsid w:val="008260C7"/>
    <w:rsid w:val="00827EF5"/>
    <w:rsid w:val="008302C6"/>
    <w:rsid w:val="00830CF9"/>
    <w:rsid w:val="00831632"/>
    <w:rsid w:val="00831667"/>
    <w:rsid w:val="00831A68"/>
    <w:rsid w:val="00832C83"/>
    <w:rsid w:val="0083552F"/>
    <w:rsid w:val="008365D6"/>
    <w:rsid w:val="00837393"/>
    <w:rsid w:val="008378B0"/>
    <w:rsid w:val="008401AA"/>
    <w:rsid w:val="0084093F"/>
    <w:rsid w:val="00841299"/>
    <w:rsid w:val="00841B31"/>
    <w:rsid w:val="00841D71"/>
    <w:rsid w:val="008424BE"/>
    <w:rsid w:val="00842C50"/>
    <w:rsid w:val="00843CC4"/>
    <w:rsid w:val="00844F37"/>
    <w:rsid w:val="00845C50"/>
    <w:rsid w:val="00845C98"/>
    <w:rsid w:val="0084683E"/>
    <w:rsid w:val="00847D00"/>
    <w:rsid w:val="008507C1"/>
    <w:rsid w:val="00852146"/>
    <w:rsid w:val="008524EB"/>
    <w:rsid w:val="008552A7"/>
    <w:rsid w:val="0085536B"/>
    <w:rsid w:val="00855AA6"/>
    <w:rsid w:val="00856479"/>
    <w:rsid w:val="00857714"/>
    <w:rsid w:val="00861253"/>
    <w:rsid w:val="008618FD"/>
    <w:rsid w:val="00861934"/>
    <w:rsid w:val="00861A8D"/>
    <w:rsid w:val="00862044"/>
    <w:rsid w:val="00862D96"/>
    <w:rsid w:val="00862F31"/>
    <w:rsid w:val="00865C02"/>
    <w:rsid w:val="00865CAF"/>
    <w:rsid w:val="00866F5D"/>
    <w:rsid w:val="008704D1"/>
    <w:rsid w:val="00871B20"/>
    <w:rsid w:val="00872351"/>
    <w:rsid w:val="00873D64"/>
    <w:rsid w:val="00873F62"/>
    <w:rsid w:val="00875E13"/>
    <w:rsid w:val="00880CCF"/>
    <w:rsid w:val="008812D6"/>
    <w:rsid w:val="00881BD3"/>
    <w:rsid w:val="00883414"/>
    <w:rsid w:val="00883B0A"/>
    <w:rsid w:val="0088550F"/>
    <w:rsid w:val="008857F6"/>
    <w:rsid w:val="0088623B"/>
    <w:rsid w:val="008864DD"/>
    <w:rsid w:val="00886FBB"/>
    <w:rsid w:val="00890CB6"/>
    <w:rsid w:val="00891973"/>
    <w:rsid w:val="008919EE"/>
    <w:rsid w:val="00892984"/>
    <w:rsid w:val="008929B3"/>
    <w:rsid w:val="00894EF6"/>
    <w:rsid w:val="0089561C"/>
    <w:rsid w:val="00895B9C"/>
    <w:rsid w:val="00895CA2"/>
    <w:rsid w:val="0089639F"/>
    <w:rsid w:val="0089743D"/>
    <w:rsid w:val="00897736"/>
    <w:rsid w:val="008978DE"/>
    <w:rsid w:val="008A04D1"/>
    <w:rsid w:val="008A2CE2"/>
    <w:rsid w:val="008A4240"/>
    <w:rsid w:val="008A42F8"/>
    <w:rsid w:val="008A5602"/>
    <w:rsid w:val="008A6E8C"/>
    <w:rsid w:val="008A6EA6"/>
    <w:rsid w:val="008B019F"/>
    <w:rsid w:val="008B0786"/>
    <w:rsid w:val="008B13C4"/>
    <w:rsid w:val="008B2ABB"/>
    <w:rsid w:val="008B38FC"/>
    <w:rsid w:val="008B3B29"/>
    <w:rsid w:val="008B4E29"/>
    <w:rsid w:val="008B4ED9"/>
    <w:rsid w:val="008B66F7"/>
    <w:rsid w:val="008B6F69"/>
    <w:rsid w:val="008B73D5"/>
    <w:rsid w:val="008C1414"/>
    <w:rsid w:val="008C1646"/>
    <w:rsid w:val="008C1E4B"/>
    <w:rsid w:val="008C2FAB"/>
    <w:rsid w:val="008C3426"/>
    <w:rsid w:val="008C554B"/>
    <w:rsid w:val="008C63A4"/>
    <w:rsid w:val="008C6435"/>
    <w:rsid w:val="008C6440"/>
    <w:rsid w:val="008C7856"/>
    <w:rsid w:val="008C7FD7"/>
    <w:rsid w:val="008D076C"/>
    <w:rsid w:val="008D0DA7"/>
    <w:rsid w:val="008D2393"/>
    <w:rsid w:val="008D2561"/>
    <w:rsid w:val="008D2EB4"/>
    <w:rsid w:val="008D3BF9"/>
    <w:rsid w:val="008D6D9A"/>
    <w:rsid w:val="008E1FA7"/>
    <w:rsid w:val="008E22BA"/>
    <w:rsid w:val="008E2958"/>
    <w:rsid w:val="008E48D3"/>
    <w:rsid w:val="008E558D"/>
    <w:rsid w:val="008E560E"/>
    <w:rsid w:val="008E6064"/>
    <w:rsid w:val="008E7F0C"/>
    <w:rsid w:val="008F0AC9"/>
    <w:rsid w:val="008F3694"/>
    <w:rsid w:val="008F6A2F"/>
    <w:rsid w:val="008F7332"/>
    <w:rsid w:val="00900CCE"/>
    <w:rsid w:val="00900F7F"/>
    <w:rsid w:val="00901825"/>
    <w:rsid w:val="00901903"/>
    <w:rsid w:val="00903B36"/>
    <w:rsid w:val="00905752"/>
    <w:rsid w:val="0090600F"/>
    <w:rsid w:val="00906C68"/>
    <w:rsid w:val="00907F94"/>
    <w:rsid w:val="00910FF3"/>
    <w:rsid w:val="00911C4D"/>
    <w:rsid w:val="009122FC"/>
    <w:rsid w:val="00913D43"/>
    <w:rsid w:val="00913E97"/>
    <w:rsid w:val="00914950"/>
    <w:rsid w:val="00915443"/>
    <w:rsid w:val="00915D60"/>
    <w:rsid w:val="00920438"/>
    <w:rsid w:val="00921DC7"/>
    <w:rsid w:val="00923D49"/>
    <w:rsid w:val="00924A40"/>
    <w:rsid w:val="009252EB"/>
    <w:rsid w:val="00926126"/>
    <w:rsid w:val="00927402"/>
    <w:rsid w:val="00931C0D"/>
    <w:rsid w:val="00934228"/>
    <w:rsid w:val="00934584"/>
    <w:rsid w:val="0093473D"/>
    <w:rsid w:val="009351F1"/>
    <w:rsid w:val="00936429"/>
    <w:rsid w:val="00936EC3"/>
    <w:rsid w:val="00941ACB"/>
    <w:rsid w:val="00944161"/>
    <w:rsid w:val="00944ECC"/>
    <w:rsid w:val="00947CD9"/>
    <w:rsid w:val="00951DB6"/>
    <w:rsid w:val="00951F39"/>
    <w:rsid w:val="00952E68"/>
    <w:rsid w:val="00954259"/>
    <w:rsid w:val="009563BD"/>
    <w:rsid w:val="009569C3"/>
    <w:rsid w:val="00960F0A"/>
    <w:rsid w:val="00961154"/>
    <w:rsid w:val="00962A27"/>
    <w:rsid w:val="00962D89"/>
    <w:rsid w:val="0096348D"/>
    <w:rsid w:val="00966A29"/>
    <w:rsid w:val="00966D9C"/>
    <w:rsid w:val="009675C2"/>
    <w:rsid w:val="00967848"/>
    <w:rsid w:val="00971FCD"/>
    <w:rsid w:val="009722B6"/>
    <w:rsid w:val="00972F57"/>
    <w:rsid w:val="009739AF"/>
    <w:rsid w:val="009772AE"/>
    <w:rsid w:val="0098035A"/>
    <w:rsid w:val="00980424"/>
    <w:rsid w:val="00981A73"/>
    <w:rsid w:val="0098394D"/>
    <w:rsid w:val="00983EF7"/>
    <w:rsid w:val="00986C8D"/>
    <w:rsid w:val="009870F9"/>
    <w:rsid w:val="00990393"/>
    <w:rsid w:val="00991B9A"/>
    <w:rsid w:val="009928D3"/>
    <w:rsid w:val="00992A94"/>
    <w:rsid w:val="00993A99"/>
    <w:rsid w:val="00995280"/>
    <w:rsid w:val="0099766A"/>
    <w:rsid w:val="0099789A"/>
    <w:rsid w:val="009A1353"/>
    <w:rsid w:val="009A1360"/>
    <w:rsid w:val="009A26A9"/>
    <w:rsid w:val="009A3D32"/>
    <w:rsid w:val="009A4005"/>
    <w:rsid w:val="009A44E3"/>
    <w:rsid w:val="009A4A90"/>
    <w:rsid w:val="009A640B"/>
    <w:rsid w:val="009A6612"/>
    <w:rsid w:val="009A76B9"/>
    <w:rsid w:val="009B0A4D"/>
    <w:rsid w:val="009B124C"/>
    <w:rsid w:val="009B197C"/>
    <w:rsid w:val="009B26E5"/>
    <w:rsid w:val="009B29B8"/>
    <w:rsid w:val="009B2D2A"/>
    <w:rsid w:val="009B32C9"/>
    <w:rsid w:val="009B452D"/>
    <w:rsid w:val="009B4DFD"/>
    <w:rsid w:val="009B4EB3"/>
    <w:rsid w:val="009B5DDB"/>
    <w:rsid w:val="009B5FDC"/>
    <w:rsid w:val="009B69BA"/>
    <w:rsid w:val="009B6F86"/>
    <w:rsid w:val="009C0494"/>
    <w:rsid w:val="009C113B"/>
    <w:rsid w:val="009C30D1"/>
    <w:rsid w:val="009C39C3"/>
    <w:rsid w:val="009C50F3"/>
    <w:rsid w:val="009C62C9"/>
    <w:rsid w:val="009C7597"/>
    <w:rsid w:val="009D3386"/>
    <w:rsid w:val="009D3CE8"/>
    <w:rsid w:val="009D4023"/>
    <w:rsid w:val="009D461E"/>
    <w:rsid w:val="009D7049"/>
    <w:rsid w:val="009E0263"/>
    <w:rsid w:val="009E07B2"/>
    <w:rsid w:val="009E40AF"/>
    <w:rsid w:val="009E48BF"/>
    <w:rsid w:val="009E735E"/>
    <w:rsid w:val="009E77D9"/>
    <w:rsid w:val="009F0414"/>
    <w:rsid w:val="009F0740"/>
    <w:rsid w:val="009F08DD"/>
    <w:rsid w:val="009F1D04"/>
    <w:rsid w:val="009F247D"/>
    <w:rsid w:val="009F32C5"/>
    <w:rsid w:val="009F37BC"/>
    <w:rsid w:val="009F39AA"/>
    <w:rsid w:val="009F4A64"/>
    <w:rsid w:val="009F6347"/>
    <w:rsid w:val="009F7CD4"/>
    <w:rsid w:val="009F7CEE"/>
    <w:rsid w:val="00A01436"/>
    <w:rsid w:val="00A02B41"/>
    <w:rsid w:val="00A04CE2"/>
    <w:rsid w:val="00A0610D"/>
    <w:rsid w:val="00A062F9"/>
    <w:rsid w:val="00A07055"/>
    <w:rsid w:val="00A07132"/>
    <w:rsid w:val="00A071D7"/>
    <w:rsid w:val="00A07AD0"/>
    <w:rsid w:val="00A10AF0"/>
    <w:rsid w:val="00A10D69"/>
    <w:rsid w:val="00A11672"/>
    <w:rsid w:val="00A12C34"/>
    <w:rsid w:val="00A14382"/>
    <w:rsid w:val="00A14BC9"/>
    <w:rsid w:val="00A14D5E"/>
    <w:rsid w:val="00A1592D"/>
    <w:rsid w:val="00A15AA1"/>
    <w:rsid w:val="00A16B2E"/>
    <w:rsid w:val="00A172B0"/>
    <w:rsid w:val="00A20B8F"/>
    <w:rsid w:val="00A216BB"/>
    <w:rsid w:val="00A21D0E"/>
    <w:rsid w:val="00A21D74"/>
    <w:rsid w:val="00A22B15"/>
    <w:rsid w:val="00A22BC9"/>
    <w:rsid w:val="00A23A7B"/>
    <w:rsid w:val="00A24076"/>
    <w:rsid w:val="00A24E6E"/>
    <w:rsid w:val="00A262D9"/>
    <w:rsid w:val="00A27F38"/>
    <w:rsid w:val="00A27F9E"/>
    <w:rsid w:val="00A3040C"/>
    <w:rsid w:val="00A319C7"/>
    <w:rsid w:val="00A33EF9"/>
    <w:rsid w:val="00A3422C"/>
    <w:rsid w:val="00A354E7"/>
    <w:rsid w:val="00A35604"/>
    <w:rsid w:val="00A36091"/>
    <w:rsid w:val="00A3639E"/>
    <w:rsid w:val="00A37571"/>
    <w:rsid w:val="00A41185"/>
    <w:rsid w:val="00A4244A"/>
    <w:rsid w:val="00A4289B"/>
    <w:rsid w:val="00A43694"/>
    <w:rsid w:val="00A443FE"/>
    <w:rsid w:val="00A44637"/>
    <w:rsid w:val="00A44AC3"/>
    <w:rsid w:val="00A479EE"/>
    <w:rsid w:val="00A50465"/>
    <w:rsid w:val="00A54473"/>
    <w:rsid w:val="00A5499D"/>
    <w:rsid w:val="00A56103"/>
    <w:rsid w:val="00A56FC7"/>
    <w:rsid w:val="00A57183"/>
    <w:rsid w:val="00A5723A"/>
    <w:rsid w:val="00A57C39"/>
    <w:rsid w:val="00A605F1"/>
    <w:rsid w:val="00A60874"/>
    <w:rsid w:val="00A617A1"/>
    <w:rsid w:val="00A61F4E"/>
    <w:rsid w:val="00A631B0"/>
    <w:rsid w:val="00A6427E"/>
    <w:rsid w:val="00A64630"/>
    <w:rsid w:val="00A6488F"/>
    <w:rsid w:val="00A65ED6"/>
    <w:rsid w:val="00A668BF"/>
    <w:rsid w:val="00A6760B"/>
    <w:rsid w:val="00A711F5"/>
    <w:rsid w:val="00A72575"/>
    <w:rsid w:val="00A72C10"/>
    <w:rsid w:val="00A7367B"/>
    <w:rsid w:val="00A74071"/>
    <w:rsid w:val="00A74486"/>
    <w:rsid w:val="00A7470B"/>
    <w:rsid w:val="00A754E4"/>
    <w:rsid w:val="00A7708A"/>
    <w:rsid w:val="00A77879"/>
    <w:rsid w:val="00A77F49"/>
    <w:rsid w:val="00A80624"/>
    <w:rsid w:val="00A8169A"/>
    <w:rsid w:val="00A821CE"/>
    <w:rsid w:val="00A833CE"/>
    <w:rsid w:val="00A836EF"/>
    <w:rsid w:val="00A84B9F"/>
    <w:rsid w:val="00A85913"/>
    <w:rsid w:val="00A85ACA"/>
    <w:rsid w:val="00A87E7D"/>
    <w:rsid w:val="00A90139"/>
    <w:rsid w:val="00A912FA"/>
    <w:rsid w:val="00A91606"/>
    <w:rsid w:val="00A91B09"/>
    <w:rsid w:val="00A92F19"/>
    <w:rsid w:val="00A938F5"/>
    <w:rsid w:val="00A94579"/>
    <w:rsid w:val="00A95559"/>
    <w:rsid w:val="00AA0658"/>
    <w:rsid w:val="00AA124A"/>
    <w:rsid w:val="00AA1EA6"/>
    <w:rsid w:val="00AA2A96"/>
    <w:rsid w:val="00AA3596"/>
    <w:rsid w:val="00AA3DE2"/>
    <w:rsid w:val="00AA7FF8"/>
    <w:rsid w:val="00AB0B36"/>
    <w:rsid w:val="00AB0B9F"/>
    <w:rsid w:val="00AB14CA"/>
    <w:rsid w:val="00AB3BE9"/>
    <w:rsid w:val="00AB4A7B"/>
    <w:rsid w:val="00AB4B02"/>
    <w:rsid w:val="00AB583E"/>
    <w:rsid w:val="00AB6E6F"/>
    <w:rsid w:val="00AB6EA6"/>
    <w:rsid w:val="00AC3D04"/>
    <w:rsid w:val="00AC4C9E"/>
    <w:rsid w:val="00AC63D2"/>
    <w:rsid w:val="00AC7A68"/>
    <w:rsid w:val="00AC7D1B"/>
    <w:rsid w:val="00AD05C4"/>
    <w:rsid w:val="00AD1996"/>
    <w:rsid w:val="00AD2561"/>
    <w:rsid w:val="00AD5AF5"/>
    <w:rsid w:val="00AD68C2"/>
    <w:rsid w:val="00AD6B65"/>
    <w:rsid w:val="00AD79A6"/>
    <w:rsid w:val="00AE030C"/>
    <w:rsid w:val="00AE0B17"/>
    <w:rsid w:val="00AE17F1"/>
    <w:rsid w:val="00AE1BC3"/>
    <w:rsid w:val="00AE1DAD"/>
    <w:rsid w:val="00AE4AD8"/>
    <w:rsid w:val="00AE559A"/>
    <w:rsid w:val="00AE5813"/>
    <w:rsid w:val="00AE72A5"/>
    <w:rsid w:val="00AF0525"/>
    <w:rsid w:val="00AF0661"/>
    <w:rsid w:val="00AF08D2"/>
    <w:rsid w:val="00AF09D9"/>
    <w:rsid w:val="00AF0E89"/>
    <w:rsid w:val="00AF10BB"/>
    <w:rsid w:val="00AF1801"/>
    <w:rsid w:val="00AF1FCE"/>
    <w:rsid w:val="00AF3E5A"/>
    <w:rsid w:val="00AF619E"/>
    <w:rsid w:val="00AF74BB"/>
    <w:rsid w:val="00B008D9"/>
    <w:rsid w:val="00B00FC1"/>
    <w:rsid w:val="00B01106"/>
    <w:rsid w:val="00B022C8"/>
    <w:rsid w:val="00B034C0"/>
    <w:rsid w:val="00B03FDE"/>
    <w:rsid w:val="00B053FA"/>
    <w:rsid w:val="00B05F01"/>
    <w:rsid w:val="00B060C4"/>
    <w:rsid w:val="00B070EE"/>
    <w:rsid w:val="00B07C4E"/>
    <w:rsid w:val="00B100CC"/>
    <w:rsid w:val="00B10753"/>
    <w:rsid w:val="00B119BE"/>
    <w:rsid w:val="00B12002"/>
    <w:rsid w:val="00B15470"/>
    <w:rsid w:val="00B16E7D"/>
    <w:rsid w:val="00B17AF8"/>
    <w:rsid w:val="00B202AB"/>
    <w:rsid w:val="00B23833"/>
    <w:rsid w:val="00B23B52"/>
    <w:rsid w:val="00B2432C"/>
    <w:rsid w:val="00B24DCE"/>
    <w:rsid w:val="00B254E1"/>
    <w:rsid w:val="00B25623"/>
    <w:rsid w:val="00B26FA8"/>
    <w:rsid w:val="00B27C6A"/>
    <w:rsid w:val="00B31151"/>
    <w:rsid w:val="00B31F24"/>
    <w:rsid w:val="00B32841"/>
    <w:rsid w:val="00B32AFF"/>
    <w:rsid w:val="00B333BA"/>
    <w:rsid w:val="00B34C65"/>
    <w:rsid w:val="00B34D10"/>
    <w:rsid w:val="00B36146"/>
    <w:rsid w:val="00B36DE9"/>
    <w:rsid w:val="00B37511"/>
    <w:rsid w:val="00B407FC"/>
    <w:rsid w:val="00B40D7B"/>
    <w:rsid w:val="00B40FC6"/>
    <w:rsid w:val="00B41C59"/>
    <w:rsid w:val="00B43CC9"/>
    <w:rsid w:val="00B43F26"/>
    <w:rsid w:val="00B454E4"/>
    <w:rsid w:val="00B45539"/>
    <w:rsid w:val="00B456C5"/>
    <w:rsid w:val="00B458F7"/>
    <w:rsid w:val="00B45CCF"/>
    <w:rsid w:val="00B5113A"/>
    <w:rsid w:val="00B51394"/>
    <w:rsid w:val="00B51D40"/>
    <w:rsid w:val="00B56EBD"/>
    <w:rsid w:val="00B579BE"/>
    <w:rsid w:val="00B606AD"/>
    <w:rsid w:val="00B61C0A"/>
    <w:rsid w:val="00B61F23"/>
    <w:rsid w:val="00B65B23"/>
    <w:rsid w:val="00B65C06"/>
    <w:rsid w:val="00B66314"/>
    <w:rsid w:val="00B6649D"/>
    <w:rsid w:val="00B6689D"/>
    <w:rsid w:val="00B66C35"/>
    <w:rsid w:val="00B67F7D"/>
    <w:rsid w:val="00B70167"/>
    <w:rsid w:val="00B70FB5"/>
    <w:rsid w:val="00B713BE"/>
    <w:rsid w:val="00B72368"/>
    <w:rsid w:val="00B72A28"/>
    <w:rsid w:val="00B7312B"/>
    <w:rsid w:val="00B73822"/>
    <w:rsid w:val="00B73AA2"/>
    <w:rsid w:val="00B74784"/>
    <w:rsid w:val="00B75742"/>
    <w:rsid w:val="00B7600D"/>
    <w:rsid w:val="00B769A8"/>
    <w:rsid w:val="00B83405"/>
    <w:rsid w:val="00B83440"/>
    <w:rsid w:val="00B834CB"/>
    <w:rsid w:val="00B838FF"/>
    <w:rsid w:val="00B84707"/>
    <w:rsid w:val="00B848E2"/>
    <w:rsid w:val="00B85EAC"/>
    <w:rsid w:val="00B86803"/>
    <w:rsid w:val="00B876AE"/>
    <w:rsid w:val="00B87919"/>
    <w:rsid w:val="00B87E9E"/>
    <w:rsid w:val="00B91CB8"/>
    <w:rsid w:val="00B932B6"/>
    <w:rsid w:val="00B95D81"/>
    <w:rsid w:val="00B9776B"/>
    <w:rsid w:val="00BA1686"/>
    <w:rsid w:val="00BA2CFD"/>
    <w:rsid w:val="00BA2DBC"/>
    <w:rsid w:val="00BA3247"/>
    <w:rsid w:val="00BA33E5"/>
    <w:rsid w:val="00BA45FB"/>
    <w:rsid w:val="00BA5A62"/>
    <w:rsid w:val="00BA5B40"/>
    <w:rsid w:val="00BA5DEF"/>
    <w:rsid w:val="00BA6B0E"/>
    <w:rsid w:val="00BB0485"/>
    <w:rsid w:val="00BB0792"/>
    <w:rsid w:val="00BB1BE6"/>
    <w:rsid w:val="00BB23C8"/>
    <w:rsid w:val="00BB3A1A"/>
    <w:rsid w:val="00BB53C4"/>
    <w:rsid w:val="00BB5B4C"/>
    <w:rsid w:val="00BB64BB"/>
    <w:rsid w:val="00BB66F2"/>
    <w:rsid w:val="00BB7B3A"/>
    <w:rsid w:val="00BC3205"/>
    <w:rsid w:val="00BC46CE"/>
    <w:rsid w:val="00BC5D7A"/>
    <w:rsid w:val="00BC6F33"/>
    <w:rsid w:val="00BD14A5"/>
    <w:rsid w:val="00BD231C"/>
    <w:rsid w:val="00BD2DFD"/>
    <w:rsid w:val="00BD3738"/>
    <w:rsid w:val="00BD3EBA"/>
    <w:rsid w:val="00BD5E34"/>
    <w:rsid w:val="00BE0356"/>
    <w:rsid w:val="00BE0B03"/>
    <w:rsid w:val="00BE1F6E"/>
    <w:rsid w:val="00BE3087"/>
    <w:rsid w:val="00BE3103"/>
    <w:rsid w:val="00BE3705"/>
    <w:rsid w:val="00BE40B9"/>
    <w:rsid w:val="00BE61CA"/>
    <w:rsid w:val="00BE6D64"/>
    <w:rsid w:val="00BE7977"/>
    <w:rsid w:val="00BF2BE1"/>
    <w:rsid w:val="00BF5D41"/>
    <w:rsid w:val="00BF6336"/>
    <w:rsid w:val="00BF6542"/>
    <w:rsid w:val="00C00140"/>
    <w:rsid w:val="00C040E3"/>
    <w:rsid w:val="00C04EE9"/>
    <w:rsid w:val="00C07798"/>
    <w:rsid w:val="00C10C86"/>
    <w:rsid w:val="00C10EB8"/>
    <w:rsid w:val="00C11BD8"/>
    <w:rsid w:val="00C12294"/>
    <w:rsid w:val="00C1261C"/>
    <w:rsid w:val="00C12E76"/>
    <w:rsid w:val="00C13271"/>
    <w:rsid w:val="00C13CEE"/>
    <w:rsid w:val="00C144E7"/>
    <w:rsid w:val="00C14D4D"/>
    <w:rsid w:val="00C166BC"/>
    <w:rsid w:val="00C20A68"/>
    <w:rsid w:val="00C21771"/>
    <w:rsid w:val="00C241F0"/>
    <w:rsid w:val="00C24924"/>
    <w:rsid w:val="00C256D5"/>
    <w:rsid w:val="00C27E42"/>
    <w:rsid w:val="00C31AE6"/>
    <w:rsid w:val="00C31FB4"/>
    <w:rsid w:val="00C32E1A"/>
    <w:rsid w:val="00C3456D"/>
    <w:rsid w:val="00C34EFF"/>
    <w:rsid w:val="00C358F2"/>
    <w:rsid w:val="00C35A76"/>
    <w:rsid w:val="00C362E3"/>
    <w:rsid w:val="00C367FA"/>
    <w:rsid w:val="00C36F14"/>
    <w:rsid w:val="00C37D9A"/>
    <w:rsid w:val="00C4024C"/>
    <w:rsid w:val="00C41F05"/>
    <w:rsid w:val="00C4225A"/>
    <w:rsid w:val="00C4293D"/>
    <w:rsid w:val="00C44FEF"/>
    <w:rsid w:val="00C46C18"/>
    <w:rsid w:val="00C47E90"/>
    <w:rsid w:val="00C50DDE"/>
    <w:rsid w:val="00C50F5E"/>
    <w:rsid w:val="00C51BE4"/>
    <w:rsid w:val="00C52A8A"/>
    <w:rsid w:val="00C53466"/>
    <w:rsid w:val="00C53776"/>
    <w:rsid w:val="00C546A9"/>
    <w:rsid w:val="00C54770"/>
    <w:rsid w:val="00C54D58"/>
    <w:rsid w:val="00C55593"/>
    <w:rsid w:val="00C560B0"/>
    <w:rsid w:val="00C56A92"/>
    <w:rsid w:val="00C573E1"/>
    <w:rsid w:val="00C579D7"/>
    <w:rsid w:val="00C57EAC"/>
    <w:rsid w:val="00C60222"/>
    <w:rsid w:val="00C61665"/>
    <w:rsid w:val="00C619EB"/>
    <w:rsid w:val="00C619FA"/>
    <w:rsid w:val="00C62708"/>
    <w:rsid w:val="00C62AB8"/>
    <w:rsid w:val="00C63AD2"/>
    <w:rsid w:val="00C64675"/>
    <w:rsid w:val="00C64A54"/>
    <w:rsid w:val="00C64B4C"/>
    <w:rsid w:val="00C64CA7"/>
    <w:rsid w:val="00C651C0"/>
    <w:rsid w:val="00C65553"/>
    <w:rsid w:val="00C66092"/>
    <w:rsid w:val="00C670A0"/>
    <w:rsid w:val="00C676D0"/>
    <w:rsid w:val="00C67705"/>
    <w:rsid w:val="00C70253"/>
    <w:rsid w:val="00C714BD"/>
    <w:rsid w:val="00C72A34"/>
    <w:rsid w:val="00C72E31"/>
    <w:rsid w:val="00C73085"/>
    <w:rsid w:val="00C734BE"/>
    <w:rsid w:val="00C736D3"/>
    <w:rsid w:val="00C74A19"/>
    <w:rsid w:val="00C75C33"/>
    <w:rsid w:val="00C75D88"/>
    <w:rsid w:val="00C768DC"/>
    <w:rsid w:val="00C77211"/>
    <w:rsid w:val="00C772BB"/>
    <w:rsid w:val="00C77D8F"/>
    <w:rsid w:val="00C81029"/>
    <w:rsid w:val="00C81E8F"/>
    <w:rsid w:val="00C82588"/>
    <w:rsid w:val="00C8308B"/>
    <w:rsid w:val="00C8526A"/>
    <w:rsid w:val="00C863A8"/>
    <w:rsid w:val="00C87ADF"/>
    <w:rsid w:val="00C90AB5"/>
    <w:rsid w:val="00C91721"/>
    <w:rsid w:val="00C926FF"/>
    <w:rsid w:val="00C9294D"/>
    <w:rsid w:val="00C93CC8"/>
    <w:rsid w:val="00C93FC6"/>
    <w:rsid w:val="00C94764"/>
    <w:rsid w:val="00C94A2D"/>
    <w:rsid w:val="00C95DF6"/>
    <w:rsid w:val="00C96194"/>
    <w:rsid w:val="00C964D6"/>
    <w:rsid w:val="00C97ADD"/>
    <w:rsid w:val="00CA2721"/>
    <w:rsid w:val="00CA343E"/>
    <w:rsid w:val="00CA3BA0"/>
    <w:rsid w:val="00CA5D36"/>
    <w:rsid w:val="00CA613A"/>
    <w:rsid w:val="00CA6F14"/>
    <w:rsid w:val="00CA7CA9"/>
    <w:rsid w:val="00CB1660"/>
    <w:rsid w:val="00CB1724"/>
    <w:rsid w:val="00CB3C16"/>
    <w:rsid w:val="00CB5713"/>
    <w:rsid w:val="00CB6567"/>
    <w:rsid w:val="00CB673F"/>
    <w:rsid w:val="00CB6A9A"/>
    <w:rsid w:val="00CB6BEE"/>
    <w:rsid w:val="00CC3BA4"/>
    <w:rsid w:val="00CC62D2"/>
    <w:rsid w:val="00CC6ED7"/>
    <w:rsid w:val="00CC71D4"/>
    <w:rsid w:val="00CD2265"/>
    <w:rsid w:val="00CD39DE"/>
    <w:rsid w:val="00CD3E5C"/>
    <w:rsid w:val="00CD5522"/>
    <w:rsid w:val="00CD5C50"/>
    <w:rsid w:val="00CD5E0D"/>
    <w:rsid w:val="00CD71FC"/>
    <w:rsid w:val="00CD77AD"/>
    <w:rsid w:val="00CE24FE"/>
    <w:rsid w:val="00CE2651"/>
    <w:rsid w:val="00CE5C65"/>
    <w:rsid w:val="00CE5DF0"/>
    <w:rsid w:val="00CE65DE"/>
    <w:rsid w:val="00CE7376"/>
    <w:rsid w:val="00CE759B"/>
    <w:rsid w:val="00CE7B2F"/>
    <w:rsid w:val="00CF0B84"/>
    <w:rsid w:val="00CF1641"/>
    <w:rsid w:val="00CF2EF9"/>
    <w:rsid w:val="00CF3779"/>
    <w:rsid w:val="00CF6525"/>
    <w:rsid w:val="00D0073E"/>
    <w:rsid w:val="00D020E2"/>
    <w:rsid w:val="00D040CE"/>
    <w:rsid w:val="00D05082"/>
    <w:rsid w:val="00D05CBD"/>
    <w:rsid w:val="00D06048"/>
    <w:rsid w:val="00D0617E"/>
    <w:rsid w:val="00D063D9"/>
    <w:rsid w:val="00D0783E"/>
    <w:rsid w:val="00D07C06"/>
    <w:rsid w:val="00D07F55"/>
    <w:rsid w:val="00D12E15"/>
    <w:rsid w:val="00D13254"/>
    <w:rsid w:val="00D1366D"/>
    <w:rsid w:val="00D14354"/>
    <w:rsid w:val="00D1694C"/>
    <w:rsid w:val="00D174FB"/>
    <w:rsid w:val="00D20221"/>
    <w:rsid w:val="00D2039D"/>
    <w:rsid w:val="00D20CDA"/>
    <w:rsid w:val="00D214E8"/>
    <w:rsid w:val="00D22135"/>
    <w:rsid w:val="00D24028"/>
    <w:rsid w:val="00D251D6"/>
    <w:rsid w:val="00D25AAF"/>
    <w:rsid w:val="00D25C60"/>
    <w:rsid w:val="00D25D0F"/>
    <w:rsid w:val="00D25D74"/>
    <w:rsid w:val="00D2783B"/>
    <w:rsid w:val="00D32F01"/>
    <w:rsid w:val="00D334EE"/>
    <w:rsid w:val="00D33794"/>
    <w:rsid w:val="00D343C5"/>
    <w:rsid w:val="00D34879"/>
    <w:rsid w:val="00D34D34"/>
    <w:rsid w:val="00D354D4"/>
    <w:rsid w:val="00D362D2"/>
    <w:rsid w:val="00D36B0C"/>
    <w:rsid w:val="00D44E5A"/>
    <w:rsid w:val="00D45ACE"/>
    <w:rsid w:val="00D46105"/>
    <w:rsid w:val="00D46405"/>
    <w:rsid w:val="00D46B4D"/>
    <w:rsid w:val="00D46F52"/>
    <w:rsid w:val="00D47CD8"/>
    <w:rsid w:val="00D47CFD"/>
    <w:rsid w:val="00D524A6"/>
    <w:rsid w:val="00D529CD"/>
    <w:rsid w:val="00D52C95"/>
    <w:rsid w:val="00D55CAE"/>
    <w:rsid w:val="00D55F24"/>
    <w:rsid w:val="00D5752E"/>
    <w:rsid w:val="00D579D1"/>
    <w:rsid w:val="00D60A2D"/>
    <w:rsid w:val="00D62D3D"/>
    <w:rsid w:val="00D644F7"/>
    <w:rsid w:val="00D646FE"/>
    <w:rsid w:val="00D64A79"/>
    <w:rsid w:val="00D651C2"/>
    <w:rsid w:val="00D67C03"/>
    <w:rsid w:val="00D72B8F"/>
    <w:rsid w:val="00D73151"/>
    <w:rsid w:val="00D73955"/>
    <w:rsid w:val="00D75A7A"/>
    <w:rsid w:val="00D76C27"/>
    <w:rsid w:val="00D76C5E"/>
    <w:rsid w:val="00D76D10"/>
    <w:rsid w:val="00D81D14"/>
    <w:rsid w:val="00D823E6"/>
    <w:rsid w:val="00D83053"/>
    <w:rsid w:val="00D83362"/>
    <w:rsid w:val="00D83E18"/>
    <w:rsid w:val="00D84A61"/>
    <w:rsid w:val="00D84C65"/>
    <w:rsid w:val="00D84CF4"/>
    <w:rsid w:val="00D86A27"/>
    <w:rsid w:val="00D87FC3"/>
    <w:rsid w:val="00D9016B"/>
    <w:rsid w:val="00D915DF"/>
    <w:rsid w:val="00D923BB"/>
    <w:rsid w:val="00D92771"/>
    <w:rsid w:val="00D93F59"/>
    <w:rsid w:val="00D95F0A"/>
    <w:rsid w:val="00D96AC7"/>
    <w:rsid w:val="00D96F9D"/>
    <w:rsid w:val="00D97721"/>
    <w:rsid w:val="00DA1B7B"/>
    <w:rsid w:val="00DA204F"/>
    <w:rsid w:val="00DA311E"/>
    <w:rsid w:val="00DA3378"/>
    <w:rsid w:val="00DA352E"/>
    <w:rsid w:val="00DA3680"/>
    <w:rsid w:val="00DB0043"/>
    <w:rsid w:val="00DB11F9"/>
    <w:rsid w:val="00DB4248"/>
    <w:rsid w:val="00DB43A7"/>
    <w:rsid w:val="00DB4D6C"/>
    <w:rsid w:val="00DB53FA"/>
    <w:rsid w:val="00DB53FB"/>
    <w:rsid w:val="00DB56C9"/>
    <w:rsid w:val="00DB626C"/>
    <w:rsid w:val="00DB6347"/>
    <w:rsid w:val="00DB6842"/>
    <w:rsid w:val="00DB721D"/>
    <w:rsid w:val="00DB79DF"/>
    <w:rsid w:val="00DB7F7C"/>
    <w:rsid w:val="00DC0898"/>
    <w:rsid w:val="00DC205E"/>
    <w:rsid w:val="00DC25FD"/>
    <w:rsid w:val="00DC2CE4"/>
    <w:rsid w:val="00DC479D"/>
    <w:rsid w:val="00DC61F8"/>
    <w:rsid w:val="00DC7EFE"/>
    <w:rsid w:val="00DD13D4"/>
    <w:rsid w:val="00DD16F6"/>
    <w:rsid w:val="00DD1787"/>
    <w:rsid w:val="00DD1AED"/>
    <w:rsid w:val="00DD449F"/>
    <w:rsid w:val="00DD4822"/>
    <w:rsid w:val="00DD4B02"/>
    <w:rsid w:val="00DD5426"/>
    <w:rsid w:val="00DD5BD1"/>
    <w:rsid w:val="00DD64B6"/>
    <w:rsid w:val="00DD6720"/>
    <w:rsid w:val="00DE0402"/>
    <w:rsid w:val="00DE12A0"/>
    <w:rsid w:val="00DE1D12"/>
    <w:rsid w:val="00DE24E5"/>
    <w:rsid w:val="00DE25A9"/>
    <w:rsid w:val="00DE276F"/>
    <w:rsid w:val="00DE3187"/>
    <w:rsid w:val="00DE370B"/>
    <w:rsid w:val="00DE3E06"/>
    <w:rsid w:val="00DE4E25"/>
    <w:rsid w:val="00DE50A7"/>
    <w:rsid w:val="00DE5750"/>
    <w:rsid w:val="00DE5979"/>
    <w:rsid w:val="00DE5A74"/>
    <w:rsid w:val="00DF18F3"/>
    <w:rsid w:val="00DF42CE"/>
    <w:rsid w:val="00DF56C9"/>
    <w:rsid w:val="00DF5F4A"/>
    <w:rsid w:val="00E015AB"/>
    <w:rsid w:val="00E02099"/>
    <w:rsid w:val="00E02B21"/>
    <w:rsid w:val="00E03263"/>
    <w:rsid w:val="00E03840"/>
    <w:rsid w:val="00E04410"/>
    <w:rsid w:val="00E06910"/>
    <w:rsid w:val="00E11426"/>
    <w:rsid w:val="00E11BFC"/>
    <w:rsid w:val="00E12C47"/>
    <w:rsid w:val="00E13155"/>
    <w:rsid w:val="00E158FE"/>
    <w:rsid w:val="00E168CC"/>
    <w:rsid w:val="00E17A18"/>
    <w:rsid w:val="00E17A56"/>
    <w:rsid w:val="00E21C04"/>
    <w:rsid w:val="00E228EE"/>
    <w:rsid w:val="00E24703"/>
    <w:rsid w:val="00E24BF7"/>
    <w:rsid w:val="00E2501D"/>
    <w:rsid w:val="00E25EF4"/>
    <w:rsid w:val="00E26D68"/>
    <w:rsid w:val="00E303AB"/>
    <w:rsid w:val="00E314B2"/>
    <w:rsid w:val="00E32175"/>
    <w:rsid w:val="00E3277C"/>
    <w:rsid w:val="00E32CD6"/>
    <w:rsid w:val="00E33B3D"/>
    <w:rsid w:val="00E33CA4"/>
    <w:rsid w:val="00E33E0E"/>
    <w:rsid w:val="00E36A93"/>
    <w:rsid w:val="00E36EF8"/>
    <w:rsid w:val="00E36F4A"/>
    <w:rsid w:val="00E3776A"/>
    <w:rsid w:val="00E403D0"/>
    <w:rsid w:val="00E43274"/>
    <w:rsid w:val="00E447C9"/>
    <w:rsid w:val="00E50FCD"/>
    <w:rsid w:val="00E51716"/>
    <w:rsid w:val="00E53905"/>
    <w:rsid w:val="00E55228"/>
    <w:rsid w:val="00E55C79"/>
    <w:rsid w:val="00E5752D"/>
    <w:rsid w:val="00E575CF"/>
    <w:rsid w:val="00E57927"/>
    <w:rsid w:val="00E604A6"/>
    <w:rsid w:val="00E60E8C"/>
    <w:rsid w:val="00E62ECD"/>
    <w:rsid w:val="00E6359B"/>
    <w:rsid w:val="00E654B4"/>
    <w:rsid w:val="00E65E43"/>
    <w:rsid w:val="00E67289"/>
    <w:rsid w:val="00E705AA"/>
    <w:rsid w:val="00E70A41"/>
    <w:rsid w:val="00E71022"/>
    <w:rsid w:val="00E71214"/>
    <w:rsid w:val="00E723C1"/>
    <w:rsid w:val="00E743F6"/>
    <w:rsid w:val="00E74A39"/>
    <w:rsid w:val="00E76522"/>
    <w:rsid w:val="00E76F09"/>
    <w:rsid w:val="00E77169"/>
    <w:rsid w:val="00E77C39"/>
    <w:rsid w:val="00E82077"/>
    <w:rsid w:val="00E84A4B"/>
    <w:rsid w:val="00E851F3"/>
    <w:rsid w:val="00E85761"/>
    <w:rsid w:val="00E860FD"/>
    <w:rsid w:val="00E861E0"/>
    <w:rsid w:val="00E8667F"/>
    <w:rsid w:val="00E86C9F"/>
    <w:rsid w:val="00E8743E"/>
    <w:rsid w:val="00E87470"/>
    <w:rsid w:val="00E91CD9"/>
    <w:rsid w:val="00E91E30"/>
    <w:rsid w:val="00E9216D"/>
    <w:rsid w:val="00E94655"/>
    <w:rsid w:val="00E946D6"/>
    <w:rsid w:val="00E94D0B"/>
    <w:rsid w:val="00E953C2"/>
    <w:rsid w:val="00E96A51"/>
    <w:rsid w:val="00E96AC3"/>
    <w:rsid w:val="00E973B3"/>
    <w:rsid w:val="00EA15F0"/>
    <w:rsid w:val="00EA1906"/>
    <w:rsid w:val="00EA1B40"/>
    <w:rsid w:val="00EA1B55"/>
    <w:rsid w:val="00EA2C43"/>
    <w:rsid w:val="00EA32F7"/>
    <w:rsid w:val="00EA3640"/>
    <w:rsid w:val="00EA5DB2"/>
    <w:rsid w:val="00EA6200"/>
    <w:rsid w:val="00EA65CF"/>
    <w:rsid w:val="00EA6608"/>
    <w:rsid w:val="00EA759C"/>
    <w:rsid w:val="00EB00B5"/>
    <w:rsid w:val="00EB1113"/>
    <w:rsid w:val="00EB15BF"/>
    <w:rsid w:val="00EB20E7"/>
    <w:rsid w:val="00EB3188"/>
    <w:rsid w:val="00EB3B29"/>
    <w:rsid w:val="00EB6B69"/>
    <w:rsid w:val="00EB7937"/>
    <w:rsid w:val="00EC0C82"/>
    <w:rsid w:val="00EC14D8"/>
    <w:rsid w:val="00EC24B4"/>
    <w:rsid w:val="00EC2F22"/>
    <w:rsid w:val="00EC41A9"/>
    <w:rsid w:val="00EC6A53"/>
    <w:rsid w:val="00EC6FD8"/>
    <w:rsid w:val="00ED06B8"/>
    <w:rsid w:val="00ED0B65"/>
    <w:rsid w:val="00ED1658"/>
    <w:rsid w:val="00ED1E89"/>
    <w:rsid w:val="00ED2125"/>
    <w:rsid w:val="00ED4E3B"/>
    <w:rsid w:val="00ED7139"/>
    <w:rsid w:val="00EE032A"/>
    <w:rsid w:val="00EE05D9"/>
    <w:rsid w:val="00EE0826"/>
    <w:rsid w:val="00EE1A62"/>
    <w:rsid w:val="00EE20A8"/>
    <w:rsid w:val="00EE3546"/>
    <w:rsid w:val="00EE3660"/>
    <w:rsid w:val="00EE37FB"/>
    <w:rsid w:val="00EE3868"/>
    <w:rsid w:val="00EE3E15"/>
    <w:rsid w:val="00EE4678"/>
    <w:rsid w:val="00EE58F0"/>
    <w:rsid w:val="00EE5EEB"/>
    <w:rsid w:val="00EE64ED"/>
    <w:rsid w:val="00EF010C"/>
    <w:rsid w:val="00EF0E28"/>
    <w:rsid w:val="00EF13AF"/>
    <w:rsid w:val="00EF1576"/>
    <w:rsid w:val="00EF3306"/>
    <w:rsid w:val="00EF39B9"/>
    <w:rsid w:val="00EF3C70"/>
    <w:rsid w:val="00EF4171"/>
    <w:rsid w:val="00EF47A4"/>
    <w:rsid w:val="00EF4EA2"/>
    <w:rsid w:val="00EF5A12"/>
    <w:rsid w:val="00EF5A78"/>
    <w:rsid w:val="00EF613D"/>
    <w:rsid w:val="00EF63DD"/>
    <w:rsid w:val="00EF6E2B"/>
    <w:rsid w:val="00EF71EC"/>
    <w:rsid w:val="00EF79A7"/>
    <w:rsid w:val="00F00A78"/>
    <w:rsid w:val="00F02FF2"/>
    <w:rsid w:val="00F03C0A"/>
    <w:rsid w:val="00F044E7"/>
    <w:rsid w:val="00F049E1"/>
    <w:rsid w:val="00F10C6E"/>
    <w:rsid w:val="00F11A01"/>
    <w:rsid w:val="00F12EB1"/>
    <w:rsid w:val="00F1349E"/>
    <w:rsid w:val="00F13C1A"/>
    <w:rsid w:val="00F14F74"/>
    <w:rsid w:val="00F15F7F"/>
    <w:rsid w:val="00F162A1"/>
    <w:rsid w:val="00F164EE"/>
    <w:rsid w:val="00F218B2"/>
    <w:rsid w:val="00F21E4D"/>
    <w:rsid w:val="00F22209"/>
    <w:rsid w:val="00F22C2D"/>
    <w:rsid w:val="00F22D5C"/>
    <w:rsid w:val="00F230CD"/>
    <w:rsid w:val="00F23AC7"/>
    <w:rsid w:val="00F24911"/>
    <w:rsid w:val="00F24FEC"/>
    <w:rsid w:val="00F25B09"/>
    <w:rsid w:val="00F26702"/>
    <w:rsid w:val="00F26B04"/>
    <w:rsid w:val="00F271D0"/>
    <w:rsid w:val="00F30211"/>
    <w:rsid w:val="00F31BC1"/>
    <w:rsid w:val="00F320F3"/>
    <w:rsid w:val="00F325F9"/>
    <w:rsid w:val="00F32D18"/>
    <w:rsid w:val="00F40C92"/>
    <w:rsid w:val="00F41985"/>
    <w:rsid w:val="00F41E29"/>
    <w:rsid w:val="00F4365E"/>
    <w:rsid w:val="00F44113"/>
    <w:rsid w:val="00F4446D"/>
    <w:rsid w:val="00F44B04"/>
    <w:rsid w:val="00F453CA"/>
    <w:rsid w:val="00F46F79"/>
    <w:rsid w:val="00F4769F"/>
    <w:rsid w:val="00F4798D"/>
    <w:rsid w:val="00F51C18"/>
    <w:rsid w:val="00F52444"/>
    <w:rsid w:val="00F53E4D"/>
    <w:rsid w:val="00F53FC6"/>
    <w:rsid w:val="00F54347"/>
    <w:rsid w:val="00F5443B"/>
    <w:rsid w:val="00F55687"/>
    <w:rsid w:val="00F55E34"/>
    <w:rsid w:val="00F60768"/>
    <w:rsid w:val="00F611F9"/>
    <w:rsid w:val="00F614F2"/>
    <w:rsid w:val="00F62D32"/>
    <w:rsid w:val="00F654CE"/>
    <w:rsid w:val="00F65D2D"/>
    <w:rsid w:val="00F661D1"/>
    <w:rsid w:val="00F66403"/>
    <w:rsid w:val="00F67007"/>
    <w:rsid w:val="00F70960"/>
    <w:rsid w:val="00F70B17"/>
    <w:rsid w:val="00F71C2D"/>
    <w:rsid w:val="00F72C45"/>
    <w:rsid w:val="00F7386A"/>
    <w:rsid w:val="00F7524F"/>
    <w:rsid w:val="00F7663D"/>
    <w:rsid w:val="00F7741F"/>
    <w:rsid w:val="00F8225D"/>
    <w:rsid w:val="00F82D02"/>
    <w:rsid w:val="00F84262"/>
    <w:rsid w:val="00F842B5"/>
    <w:rsid w:val="00F855BD"/>
    <w:rsid w:val="00F857C7"/>
    <w:rsid w:val="00F86A20"/>
    <w:rsid w:val="00F86D24"/>
    <w:rsid w:val="00F8731D"/>
    <w:rsid w:val="00F87963"/>
    <w:rsid w:val="00F9043C"/>
    <w:rsid w:val="00F918BE"/>
    <w:rsid w:val="00F91E6D"/>
    <w:rsid w:val="00F925F1"/>
    <w:rsid w:val="00F928F7"/>
    <w:rsid w:val="00F92C0D"/>
    <w:rsid w:val="00F930EB"/>
    <w:rsid w:val="00F94DB5"/>
    <w:rsid w:val="00F94E96"/>
    <w:rsid w:val="00F955B4"/>
    <w:rsid w:val="00F96265"/>
    <w:rsid w:val="00FA133D"/>
    <w:rsid w:val="00FA31E2"/>
    <w:rsid w:val="00FA426C"/>
    <w:rsid w:val="00FA4A3C"/>
    <w:rsid w:val="00FA4D04"/>
    <w:rsid w:val="00FB07C3"/>
    <w:rsid w:val="00FB1FF6"/>
    <w:rsid w:val="00FB426D"/>
    <w:rsid w:val="00FB479C"/>
    <w:rsid w:val="00FB47B2"/>
    <w:rsid w:val="00FB6477"/>
    <w:rsid w:val="00FB6A75"/>
    <w:rsid w:val="00FC0006"/>
    <w:rsid w:val="00FC0260"/>
    <w:rsid w:val="00FC4F67"/>
    <w:rsid w:val="00FC5E88"/>
    <w:rsid w:val="00FC6290"/>
    <w:rsid w:val="00FC701B"/>
    <w:rsid w:val="00FC72D3"/>
    <w:rsid w:val="00FC7A60"/>
    <w:rsid w:val="00FD097E"/>
    <w:rsid w:val="00FD0E40"/>
    <w:rsid w:val="00FD14F1"/>
    <w:rsid w:val="00FD2EE4"/>
    <w:rsid w:val="00FD3C0D"/>
    <w:rsid w:val="00FD3CED"/>
    <w:rsid w:val="00FD463B"/>
    <w:rsid w:val="00FD53EE"/>
    <w:rsid w:val="00FD5CDC"/>
    <w:rsid w:val="00FD6ED9"/>
    <w:rsid w:val="00FE1026"/>
    <w:rsid w:val="00FE2464"/>
    <w:rsid w:val="00FE3E3B"/>
    <w:rsid w:val="00FE45D5"/>
    <w:rsid w:val="00FE52FF"/>
    <w:rsid w:val="00FE71C4"/>
    <w:rsid w:val="00FF06C0"/>
    <w:rsid w:val="00FF0BDC"/>
    <w:rsid w:val="00FF28F5"/>
    <w:rsid w:val="00FF3C5A"/>
    <w:rsid w:val="00FF4405"/>
    <w:rsid w:val="00FF4A13"/>
    <w:rsid w:val="00FF584A"/>
    <w:rsid w:val="00FF5B70"/>
    <w:rsid w:val="00FF5BB9"/>
    <w:rsid w:val="00FF7634"/>
    <w:rsid w:val="05634B20"/>
    <w:rsid w:val="0598240A"/>
    <w:rsid w:val="05B49085"/>
    <w:rsid w:val="07599182"/>
    <w:rsid w:val="0D5CABCB"/>
    <w:rsid w:val="0F73E02B"/>
    <w:rsid w:val="10FAAEFA"/>
    <w:rsid w:val="1383E107"/>
    <w:rsid w:val="14472536"/>
    <w:rsid w:val="15B3225F"/>
    <w:rsid w:val="1F6D262B"/>
    <w:rsid w:val="227CF1A7"/>
    <w:rsid w:val="2935CD39"/>
    <w:rsid w:val="2EDA6EF5"/>
    <w:rsid w:val="35A1B8F2"/>
    <w:rsid w:val="3D094FC2"/>
    <w:rsid w:val="3E053687"/>
    <w:rsid w:val="41521C77"/>
    <w:rsid w:val="48D96DC8"/>
    <w:rsid w:val="4C1B8CB6"/>
    <w:rsid w:val="4E14F4E7"/>
    <w:rsid w:val="57A49419"/>
    <w:rsid w:val="5EC6E7CB"/>
    <w:rsid w:val="6052EA58"/>
    <w:rsid w:val="626D63A2"/>
    <w:rsid w:val="674B07B6"/>
    <w:rsid w:val="69FF557D"/>
    <w:rsid w:val="77153805"/>
    <w:rsid w:val="7A475016"/>
    <w:rsid w:val="7CE901FC"/>
    <w:rsid w:val="7FB2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  <w15:docId w15:val="{45C56B12-6AF3-4C1A-B54C-B82B4C19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2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6FA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00161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6FA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6FA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402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aliases w:val="Recommendation,List Paragraph1,List Paragraph11,Bullet point,List Paragraph Number,Bullet Point,L,Bullet points,Content descriptions,Use Case List Paragraph,List Paragraph - bullets,standard lewis,Numbered Para 1,Dot pt,No Spacing1,B1,列出段"/>
    <w:basedOn w:val="Normal"/>
    <w:link w:val="ListParagraphChar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A66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E6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67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67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71D"/>
    <w:rPr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6FA"/>
    <w:rPr>
      <w:rFonts w:asciiTheme="majorHAnsi" w:eastAsiaTheme="majorEastAsia" w:hAnsiTheme="majorHAnsi" w:cstheme="majorBidi"/>
      <w:i/>
      <w:iCs/>
      <w:color w:val="00161F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6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6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paragraphs">
    <w:name w:val="Numbered paragraphs"/>
    <w:basedOn w:val="Normal"/>
    <w:link w:val="NumberedparagraphsChar"/>
    <w:qFormat/>
    <w:rsid w:val="007436FA"/>
    <w:pPr>
      <w:ind w:left="720" w:hanging="720"/>
      <w:outlineLvl w:val="2"/>
    </w:pPr>
    <w:rPr>
      <w:rFonts w:ascii="Calibri" w:eastAsiaTheme="majorEastAsia" w:hAnsi="Calibri" w:cstheme="majorBidi"/>
      <w:color w:val="000000" w:themeColor="text1"/>
    </w:rPr>
  </w:style>
  <w:style w:type="character" w:customStyle="1" w:styleId="NumberedparagraphsChar">
    <w:name w:val="Numbered paragraphs Char"/>
    <w:basedOn w:val="DefaultParagraphFont"/>
    <w:link w:val="Numberedparagraphs"/>
    <w:rsid w:val="007436FA"/>
    <w:rPr>
      <w:rFonts w:ascii="Calibri" w:eastAsiaTheme="majorEastAsia" w:hAnsi="Calibri" w:cstheme="majorBidi"/>
      <w:color w:val="000000" w:themeColor="text1"/>
    </w:rPr>
  </w:style>
  <w:style w:type="paragraph" w:styleId="Revision">
    <w:name w:val="Revision"/>
    <w:hidden/>
    <w:uiPriority w:val="99"/>
    <w:semiHidden/>
    <w:rsid w:val="0043454E"/>
    <w:pPr>
      <w:spacing w:after="0" w:line="240" w:lineRule="auto"/>
    </w:pPr>
  </w:style>
  <w:style w:type="paragraph" w:customStyle="1" w:styleId="pf1">
    <w:name w:val="pf1"/>
    <w:basedOn w:val="Normal"/>
    <w:rsid w:val="004E7CD5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f0">
    <w:name w:val="pf0"/>
    <w:basedOn w:val="Normal"/>
    <w:rsid w:val="004E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4E7CD5"/>
    <w:rPr>
      <w:rFonts w:ascii="Segoe UI" w:hAnsi="Segoe UI" w:cs="Segoe UI" w:hint="default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024B8"/>
    <w:rPr>
      <w:color w:val="666666"/>
    </w:rPr>
  </w:style>
  <w:style w:type="character" w:styleId="Mention">
    <w:name w:val="Mention"/>
    <w:basedOn w:val="DefaultParagraphFont"/>
    <w:uiPriority w:val="99"/>
    <w:unhideWhenUsed/>
    <w:rsid w:val="00645C98"/>
    <w:rPr>
      <w:color w:val="2B579A"/>
      <w:shd w:val="clear" w:color="auto" w:fill="E1DFDD"/>
    </w:rPr>
  </w:style>
  <w:style w:type="paragraph" w:customStyle="1" w:styleId="Bulletpointslvl1">
    <w:name w:val="Bullet points lvl 1"/>
    <w:basedOn w:val="Normal"/>
    <w:link w:val="Bulletpointslvl1Char"/>
    <w:qFormat/>
    <w:rsid w:val="00167E17"/>
    <w:pPr>
      <w:numPr>
        <w:numId w:val="4"/>
      </w:numPr>
      <w:spacing w:after="120"/>
      <w:outlineLvl w:val="2"/>
    </w:pPr>
    <w:rPr>
      <w:rFonts w:ascii="Calibri" w:eastAsiaTheme="majorEastAsia" w:hAnsi="Calibri" w:cstheme="majorBidi"/>
      <w:color w:val="000000" w:themeColor="text1"/>
    </w:rPr>
  </w:style>
  <w:style w:type="character" w:customStyle="1" w:styleId="Bulletpointslvl1Char">
    <w:name w:val="Bullet points lvl 1 Char"/>
    <w:basedOn w:val="DefaultParagraphFont"/>
    <w:link w:val="Bulletpointslvl1"/>
    <w:rsid w:val="00167E17"/>
    <w:rPr>
      <w:rFonts w:ascii="Calibri" w:eastAsiaTheme="majorEastAsia" w:hAnsi="Calibri" w:cstheme="majorBidi"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D20221"/>
    <w:rPr>
      <w:color w:val="002D3F" w:themeColor="followedHyperlink"/>
      <w:u w:val="single"/>
    </w:rPr>
  </w:style>
  <w:style w:type="character" w:customStyle="1" w:styleId="normaltextrun">
    <w:name w:val="normaltextrun"/>
    <w:basedOn w:val="DefaultParagraphFont"/>
    <w:rsid w:val="008C6435"/>
  </w:style>
  <w:style w:type="character" w:customStyle="1" w:styleId="ListParagraphChar">
    <w:name w:val="List Paragraph Char"/>
    <w:aliases w:val="Recommendation Char,List Paragraph1 Char,List Paragraph11 Char,Bullet point Char,List Paragraph Number Char,Bullet Point Char,L Char,Bullet points Char,Content descriptions Char,Use Case List Paragraph Char,standard lewis Char"/>
    <w:basedOn w:val="DefaultParagraphFont"/>
    <w:link w:val="ListParagraph"/>
    <w:uiPriority w:val="34"/>
    <w:qFormat/>
    <w:locked/>
    <w:rsid w:val="00182A3F"/>
  </w:style>
  <w:style w:type="character" w:customStyle="1" w:styleId="eop">
    <w:name w:val="eop"/>
    <w:basedOn w:val="DefaultParagraphFont"/>
    <w:rsid w:val="00182A3F"/>
  </w:style>
  <w:style w:type="character" w:styleId="FootnoteReference">
    <w:name w:val="footnote reference"/>
    <w:basedOn w:val="DefaultParagraphFont"/>
    <w:uiPriority w:val="99"/>
    <w:semiHidden/>
    <w:unhideWhenUsed/>
    <w:rsid w:val="00D93F5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F5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26" Type="http://schemas.openxmlformats.org/officeDocument/2006/relationships/hyperlink" Target="https://govteams.sharepoint.com/:w:/r/sites/australianskillsguaranteeoperationalresourcesandstakeholderengag/Shared%20Documents/Assessing%20Submissions%20Guidance%20for%20Commonwealth%20Contracting%20Agencies%20Version%201.2.docx?d=wb6cead12f4ae46ae8d32a22fd28fcfa9&amp;csf=1&amp;web=1&amp;e=cysdJA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govteams.sharepoint.com/sites/australianskillsguaranteeoperationalresourcesandstakeholderengag/SitePages/Home.aspx" TargetMode="External"/><Relationship Id="rId34" Type="http://schemas.openxmlformats.org/officeDocument/2006/relationships/hyperlink" Target="https://www.wgea.gov.au/sites/default/files/documents/6-Policy-and-strategy-guidance-Sexual-harassment-harassment-on-the-ground-of-sex-and-discrimination.pdf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yperlink" Target="https://www.dewr.gov.au/resources/australian-skills-guarantee" TargetMode="External"/><Relationship Id="rId25" Type="http://schemas.openxmlformats.org/officeDocument/2006/relationships/hyperlink" Target="https://govteams.sharepoint.com/sites/australianskillsguaranteeoperationalresourcesandstakeholderengag/SitePages/Home.aspx" TargetMode="External"/><Relationship Id="rId33" Type="http://schemas.openxmlformats.org/officeDocument/2006/relationships/hyperlink" Target="https://www.wgea.gov.au/sites/default/files/documents/Policy-and-strategy-guidance-gender-composition-of-the-workforce.pdf" TargetMode="External"/><Relationship Id="rId38" Type="http://schemas.openxmlformats.org/officeDocument/2006/relationships/hyperlink" Target="https://genderequality.gov.au/sites/default/files/2024-03/working-for-women-a-strategy-for-gender-equality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www.dewr.gov.au/resources/australian-skills-guarantee" TargetMode="External"/><Relationship Id="rId29" Type="http://schemas.openxmlformats.org/officeDocument/2006/relationships/hyperlink" Target="https://www.finance.gov.au/sites/default/files/2023-07/australian-government-contract-management-guide-july-2023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govteams.sharepoint.com/sites/australianskillsguaranteeoperationalresourcesandstakeholderengag/SitePages/Home.aspx" TargetMode="External"/><Relationship Id="rId32" Type="http://schemas.openxmlformats.org/officeDocument/2006/relationships/hyperlink" Target="https://www.wgea.gov.au/take-action/policy-and-strategy-guidance" TargetMode="External"/><Relationship Id="rId37" Type="http://schemas.openxmlformats.org/officeDocument/2006/relationships/hyperlink" Target="https://genderequality.gov.au/sites/default/files/2024-03/working-for-women-a-strategy-for-gender-equality.pdf" TargetMode="Externa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dewr.gov.au/resources/australian-skills-guarantee" TargetMode="External"/><Relationship Id="rId28" Type="http://schemas.openxmlformats.org/officeDocument/2006/relationships/hyperlink" Target="https://www.apprenticeships.gov.au/about-apprenticeships/using-apprenticeships-data-management-system/ASG-suppliers-subcontractors" TargetMode="External"/><Relationship Id="rId36" Type="http://schemas.openxmlformats.org/officeDocument/2006/relationships/hyperlink" Target="https://www.wgea.gov.au/tools/recruitment-and-promotion-guid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govteams.sharepoint.com/sites/australianskillsguaranteeoperationalresourcesandstakeholderengag/SitePages/Home.aspx" TargetMode="External"/><Relationship Id="rId31" Type="http://schemas.openxmlformats.org/officeDocument/2006/relationships/hyperlink" Target="https://www.wgea.gov.au/take-action/action-planning-too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dewr.gov.au/resources/australian-skills-guarantee" TargetMode="External"/><Relationship Id="rId27" Type="http://schemas.openxmlformats.org/officeDocument/2006/relationships/hyperlink" Target="https://govteams.sharepoint.com/sites/australianskillsguaranteeoperationalresourcesandstakeholderengag/SitePages/Home.aspx" TargetMode="External"/><Relationship Id="rId30" Type="http://schemas.openxmlformats.org/officeDocument/2006/relationships/hyperlink" Target="https://www.finance.gov.au/government/procurement/buyright/contract-variations" TargetMode="External"/><Relationship Id="rId35" Type="http://schemas.openxmlformats.org/officeDocument/2006/relationships/hyperlink" Target="https://www.wgea.gov.au/take-action/gender-pay-gap/employer-gender-pay-gap-analysis-guide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025033DE46047828D88018635091B" ma:contentTypeVersion="26" ma:contentTypeDescription="Create a new document." ma:contentTypeScope="" ma:versionID="aa86e518b624894a8f0e571255fd7350">
  <xsd:schema xmlns:xsd="http://www.w3.org/2001/XMLSchema" xmlns:xs="http://www.w3.org/2001/XMLSchema" xmlns:p="http://schemas.microsoft.com/office/2006/metadata/properties" xmlns:ns2="409f8594-b164-455e-aca0-53614ef5b7c1" xmlns:ns3="469d646d-0fe8-4876-8896-a85182c8c4b5" targetNamespace="http://schemas.microsoft.com/office/2006/metadata/properties" ma:root="true" ma:fieldsID="31486a4f4045805438d8fd7236733da9" ns2:_="" ns3:_="">
    <xsd:import namespace="409f8594-b164-455e-aca0-53614ef5b7c1"/>
    <xsd:import namespace="469d646d-0fe8-4876-8896-a85182c8c4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ocation" minOccurs="0"/>
                <xsd:element ref="ns2:ac32b987-56ab-4177-9673-f26ed9159544CountryOrRegion" minOccurs="0"/>
                <xsd:element ref="ns2:ac32b987-56ab-4177-9673-f26ed9159544State" minOccurs="0"/>
                <xsd:element ref="ns2:ac32b987-56ab-4177-9673-f26ed9159544City" minOccurs="0"/>
                <xsd:element ref="ns2:ac32b987-56ab-4177-9673-f26ed9159544PostalCode" minOccurs="0"/>
                <xsd:element ref="ns2:ac32b987-56ab-4177-9673-f26ed9159544Street" minOccurs="0"/>
                <xsd:element ref="ns2:ac32b987-56ab-4177-9673-f26ed9159544GeoLoc" minOccurs="0"/>
                <xsd:element ref="ns2:ac32b987-56ab-4177-9673-f26ed9159544DispName" minOccurs="0"/>
                <xsd:element ref="ns2:MediaServiceSearchProperties" minOccurs="0"/>
                <xsd:element ref="ns2:Versionnot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f8594-b164-455e-aca0-53614ef5b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ocation" ma:index="23" nillable="true" ma:displayName="Location" ma:format="Dropdown" ma:internalName="Location">
      <xsd:simpleType>
        <xsd:restriction base="dms:Unknown"/>
      </xsd:simpleType>
    </xsd:element>
    <xsd:element name="ac32b987-56ab-4177-9673-f26ed9159544CountryOrRegion" ma:index="24" nillable="true" ma:displayName="Location: Country/Region" ma:internalName="CountryOrRegion" ma:readOnly="true">
      <xsd:simpleType>
        <xsd:restriction base="dms:Text"/>
      </xsd:simpleType>
    </xsd:element>
    <xsd:element name="ac32b987-56ab-4177-9673-f26ed9159544State" ma:index="25" nillable="true" ma:displayName="Location: State" ma:internalName="State" ma:readOnly="true">
      <xsd:simpleType>
        <xsd:restriction base="dms:Text"/>
      </xsd:simpleType>
    </xsd:element>
    <xsd:element name="ac32b987-56ab-4177-9673-f26ed9159544City" ma:index="26" nillable="true" ma:displayName="Location: City" ma:internalName="City" ma:readOnly="true">
      <xsd:simpleType>
        <xsd:restriction base="dms:Text"/>
      </xsd:simpleType>
    </xsd:element>
    <xsd:element name="ac32b987-56ab-4177-9673-f26ed9159544PostalCode" ma:index="27" nillable="true" ma:displayName="Location: Postal Code" ma:internalName="PostalCode" ma:readOnly="true">
      <xsd:simpleType>
        <xsd:restriction base="dms:Text"/>
      </xsd:simpleType>
    </xsd:element>
    <xsd:element name="ac32b987-56ab-4177-9673-f26ed9159544Street" ma:index="28" nillable="true" ma:displayName="Location: Street" ma:internalName="Street" ma:readOnly="true">
      <xsd:simpleType>
        <xsd:restriction base="dms:Text"/>
      </xsd:simpleType>
    </xsd:element>
    <xsd:element name="ac32b987-56ab-4177-9673-f26ed9159544GeoLoc" ma:index="29" nillable="true" ma:displayName="Location: Coordinates" ma:internalName="GeoLoc" ma:readOnly="true">
      <xsd:simpleType>
        <xsd:restriction base="dms:Unknown"/>
      </xsd:simpleType>
    </xsd:element>
    <xsd:element name="ac32b987-56ab-4177-9673-f26ed9159544DispName" ma:index="30" nillable="true" ma:displayName="Location: Name" ma:internalName="DispName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ersionnotes" ma:index="32" nillable="true" ma:displayName="Version notes" ma:format="Dropdown" ma:internalName="Versionnotes">
      <xsd:simpleType>
        <xsd:restriction base="dms:Note">
          <xsd:maxLength value="255"/>
        </xsd:restriction>
      </xsd:simpleType>
    </xsd:element>
    <xsd:element name="MediaServiceLocation" ma:index="3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d646d-0fe8-4876-8896-a85182c8c4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04f870d-0731-45b1-afd8-7abc9af48d8f}" ma:internalName="TaxCatchAll" ma:showField="CatchAllData" ma:web="469d646d-0fe8-4876-8896-a85182c8c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9d646d-0fe8-4876-8896-a85182c8c4b5" xsi:nil="true"/>
    <lcf76f155ced4ddcb4097134ff3c332f xmlns="409f8594-b164-455e-aca0-53614ef5b7c1">
      <Terms xmlns="http://schemas.microsoft.com/office/infopath/2007/PartnerControls"/>
    </lcf76f155ced4ddcb4097134ff3c332f>
    <Location xmlns="409f8594-b164-455e-aca0-53614ef5b7c1" xsi:nil="true"/>
    <Versionnotes xmlns="409f8594-b164-455e-aca0-53614ef5b7c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1152F-12DD-4BC0-BB38-0B14E6414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9f8594-b164-455e-aca0-53614ef5b7c1"/>
    <ds:schemaRef ds:uri="469d646d-0fe8-4876-8896-a85182c8c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469d646d-0fe8-4876-8896-a85182c8c4b5"/>
    <ds:schemaRef ds:uri="409f8594-b164-455e-aca0-53614ef5b7c1"/>
  </ds:schemaRefs>
</ds:datastoreItem>
</file>

<file path=customXml/itemProps4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5908</Words>
  <Characters>37757</Characters>
  <Application>Microsoft Office Word</Application>
  <DocSecurity>0</DocSecurity>
  <Lines>993</Lines>
  <Paragraphs>970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DEWR A4 Factsheet Template - Portrait</vt:lpstr>
    </vt:vector>
  </TitlesOfParts>
  <Company/>
  <LinksUpToDate>false</LinksUpToDate>
  <CharactersWithSpaces>42695</CharactersWithSpaces>
  <SharedDoc>false</SharedDoc>
  <HLinks>
    <vt:vector size="456" baseType="variant">
      <vt:variant>
        <vt:i4>2359400</vt:i4>
      </vt:variant>
      <vt:variant>
        <vt:i4>381</vt:i4>
      </vt:variant>
      <vt:variant>
        <vt:i4>0</vt:i4>
      </vt:variant>
      <vt:variant>
        <vt:i4>5</vt:i4>
      </vt:variant>
      <vt:variant>
        <vt:lpwstr>https://genderequality.gov.au/sites/default/files/2024-03/working-for-women-a-strategy-for-gender-equality.pdf</vt:lpwstr>
      </vt:variant>
      <vt:variant>
        <vt:lpwstr/>
      </vt:variant>
      <vt:variant>
        <vt:i4>2359400</vt:i4>
      </vt:variant>
      <vt:variant>
        <vt:i4>378</vt:i4>
      </vt:variant>
      <vt:variant>
        <vt:i4>0</vt:i4>
      </vt:variant>
      <vt:variant>
        <vt:i4>5</vt:i4>
      </vt:variant>
      <vt:variant>
        <vt:lpwstr>https://genderequality.gov.au/sites/default/files/2024-03/working-for-women-a-strategy-for-gender-equality.pdf</vt:lpwstr>
      </vt:variant>
      <vt:variant>
        <vt:lpwstr/>
      </vt:variant>
      <vt:variant>
        <vt:i4>1441885</vt:i4>
      </vt:variant>
      <vt:variant>
        <vt:i4>375</vt:i4>
      </vt:variant>
      <vt:variant>
        <vt:i4>0</vt:i4>
      </vt:variant>
      <vt:variant>
        <vt:i4>5</vt:i4>
      </vt:variant>
      <vt:variant>
        <vt:lpwstr>https://www.wgea.gov.au/tools/recruitment-and-promotion-guide</vt:lpwstr>
      </vt:variant>
      <vt:variant>
        <vt:lpwstr/>
      </vt:variant>
      <vt:variant>
        <vt:i4>6160410</vt:i4>
      </vt:variant>
      <vt:variant>
        <vt:i4>372</vt:i4>
      </vt:variant>
      <vt:variant>
        <vt:i4>0</vt:i4>
      </vt:variant>
      <vt:variant>
        <vt:i4>5</vt:i4>
      </vt:variant>
      <vt:variant>
        <vt:lpwstr>https://www.wgea.gov.au/take-action/gender-pay-gap/employer-gender-pay-gap-analysis-guide</vt:lpwstr>
      </vt:variant>
      <vt:variant>
        <vt:lpwstr/>
      </vt:variant>
      <vt:variant>
        <vt:i4>589910</vt:i4>
      </vt:variant>
      <vt:variant>
        <vt:i4>369</vt:i4>
      </vt:variant>
      <vt:variant>
        <vt:i4>0</vt:i4>
      </vt:variant>
      <vt:variant>
        <vt:i4>5</vt:i4>
      </vt:variant>
      <vt:variant>
        <vt:lpwstr>https://www.wgea.gov.au/sites/default/files/documents/6-Policy-and-strategy-guidance-Sexual-harassment-harassment-on-the-ground-of-sex-and-discrimination.pdf</vt:lpwstr>
      </vt:variant>
      <vt:variant>
        <vt:lpwstr/>
      </vt:variant>
      <vt:variant>
        <vt:i4>2293809</vt:i4>
      </vt:variant>
      <vt:variant>
        <vt:i4>366</vt:i4>
      </vt:variant>
      <vt:variant>
        <vt:i4>0</vt:i4>
      </vt:variant>
      <vt:variant>
        <vt:i4>5</vt:i4>
      </vt:variant>
      <vt:variant>
        <vt:lpwstr>https://www.wgea.gov.au/sites/default/files/documents/Policy-and-strategy-guidance-gender-composition-of-the-workforce.pdf</vt:lpwstr>
      </vt:variant>
      <vt:variant>
        <vt:lpwstr/>
      </vt:variant>
      <vt:variant>
        <vt:i4>2031626</vt:i4>
      </vt:variant>
      <vt:variant>
        <vt:i4>363</vt:i4>
      </vt:variant>
      <vt:variant>
        <vt:i4>0</vt:i4>
      </vt:variant>
      <vt:variant>
        <vt:i4>5</vt:i4>
      </vt:variant>
      <vt:variant>
        <vt:lpwstr>https://www.wgea.gov.au/take-action/policy-and-strategy-guidance</vt:lpwstr>
      </vt:variant>
      <vt:variant>
        <vt:lpwstr/>
      </vt:variant>
      <vt:variant>
        <vt:i4>1769566</vt:i4>
      </vt:variant>
      <vt:variant>
        <vt:i4>360</vt:i4>
      </vt:variant>
      <vt:variant>
        <vt:i4>0</vt:i4>
      </vt:variant>
      <vt:variant>
        <vt:i4>5</vt:i4>
      </vt:variant>
      <vt:variant>
        <vt:lpwstr>https://www.wgea.gov.au/take-action/action-planning-tool</vt:lpwstr>
      </vt:variant>
      <vt:variant>
        <vt:lpwstr/>
      </vt:variant>
      <vt:variant>
        <vt:i4>8126510</vt:i4>
      </vt:variant>
      <vt:variant>
        <vt:i4>357</vt:i4>
      </vt:variant>
      <vt:variant>
        <vt:i4>0</vt:i4>
      </vt:variant>
      <vt:variant>
        <vt:i4>5</vt:i4>
      </vt:variant>
      <vt:variant>
        <vt:lpwstr>https://www.finance.gov.au/government/procurement/buyright/contract-variations</vt:lpwstr>
      </vt:variant>
      <vt:variant>
        <vt:lpwstr/>
      </vt:variant>
      <vt:variant>
        <vt:i4>524371</vt:i4>
      </vt:variant>
      <vt:variant>
        <vt:i4>354</vt:i4>
      </vt:variant>
      <vt:variant>
        <vt:i4>0</vt:i4>
      </vt:variant>
      <vt:variant>
        <vt:i4>5</vt:i4>
      </vt:variant>
      <vt:variant>
        <vt:lpwstr>https://www.finance.gov.au/sites/default/files/2023-07/australian-government-contract-management-guide-july-2023.pdf</vt:lpwstr>
      </vt:variant>
      <vt:variant>
        <vt:lpwstr/>
      </vt:variant>
      <vt:variant>
        <vt:i4>3145765</vt:i4>
      </vt:variant>
      <vt:variant>
        <vt:i4>351</vt:i4>
      </vt:variant>
      <vt:variant>
        <vt:i4>0</vt:i4>
      </vt:variant>
      <vt:variant>
        <vt:i4>5</vt:i4>
      </vt:variant>
      <vt:variant>
        <vt:lpwstr>https://www.apprenticeships.gov.au/about-apprenticeships/using-apprenticeships-data-management-system/ASG-suppliers-subcontractors</vt:lpwstr>
      </vt:variant>
      <vt:variant>
        <vt:lpwstr/>
      </vt:variant>
      <vt:variant>
        <vt:i4>8126583</vt:i4>
      </vt:variant>
      <vt:variant>
        <vt:i4>348</vt:i4>
      </vt:variant>
      <vt:variant>
        <vt:i4>0</vt:i4>
      </vt:variant>
      <vt:variant>
        <vt:i4>5</vt:i4>
      </vt:variant>
      <vt:variant>
        <vt:lpwstr>https://govteams.sharepoint.com/sites/australianskillsguaranteeoperationalresourcesandstakeholderengag/SitePages/Home.aspx</vt:lpwstr>
      </vt:variant>
      <vt:variant>
        <vt:lpwstr/>
      </vt:variant>
      <vt:variant>
        <vt:i4>7078001</vt:i4>
      </vt:variant>
      <vt:variant>
        <vt:i4>345</vt:i4>
      </vt:variant>
      <vt:variant>
        <vt:i4>0</vt:i4>
      </vt:variant>
      <vt:variant>
        <vt:i4>5</vt:i4>
      </vt:variant>
      <vt:variant>
        <vt:lpwstr>https://govteams.sharepoint.com/:w:/r/sites/australianskillsguaranteeoperationalresourcesandstakeholderengag/Shared Documents/Assessing Submissions Guidance for Commonwealth Contracting Agencies Version 1.2.docx?d=wb6cead12f4ae46ae8d32a22fd28fcfa9&amp;csf=1&amp;web=1&amp;e=cysdJA</vt:lpwstr>
      </vt:variant>
      <vt:variant>
        <vt:lpwstr/>
      </vt:variant>
      <vt:variant>
        <vt:i4>7143506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_Table_3_-</vt:lpwstr>
      </vt:variant>
      <vt:variant>
        <vt:i4>8126583</vt:i4>
      </vt:variant>
      <vt:variant>
        <vt:i4>339</vt:i4>
      </vt:variant>
      <vt:variant>
        <vt:i4>0</vt:i4>
      </vt:variant>
      <vt:variant>
        <vt:i4>5</vt:i4>
      </vt:variant>
      <vt:variant>
        <vt:lpwstr>https://govteams.sharepoint.com/sites/australianskillsguaranteeoperationalresourcesandstakeholderengag/SitePages/Home.aspx</vt:lpwstr>
      </vt:variant>
      <vt:variant>
        <vt:lpwstr/>
      </vt:variant>
      <vt:variant>
        <vt:i4>8126583</vt:i4>
      </vt:variant>
      <vt:variant>
        <vt:i4>336</vt:i4>
      </vt:variant>
      <vt:variant>
        <vt:i4>0</vt:i4>
      </vt:variant>
      <vt:variant>
        <vt:i4>5</vt:i4>
      </vt:variant>
      <vt:variant>
        <vt:lpwstr>https://govteams.sharepoint.com/sites/australianskillsguaranteeoperationalresourcesandstakeholderengag/SitePages/Home.aspx</vt:lpwstr>
      </vt:variant>
      <vt:variant>
        <vt:lpwstr/>
      </vt:variant>
      <vt:variant>
        <vt:i4>7012446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_ADMS_notifications_and</vt:lpwstr>
      </vt:variant>
      <vt:variant>
        <vt:i4>131082</vt:i4>
      </vt:variant>
      <vt:variant>
        <vt:i4>330</vt:i4>
      </vt:variant>
      <vt:variant>
        <vt:i4>0</vt:i4>
      </vt:variant>
      <vt:variant>
        <vt:i4>5</vt:i4>
      </vt:variant>
      <vt:variant>
        <vt:lpwstr>https://www.dewr.gov.au/resources/australian-skills-guarantee</vt:lpwstr>
      </vt:variant>
      <vt:variant>
        <vt:lpwstr/>
      </vt:variant>
      <vt:variant>
        <vt:i4>131082</vt:i4>
      </vt:variant>
      <vt:variant>
        <vt:i4>327</vt:i4>
      </vt:variant>
      <vt:variant>
        <vt:i4>0</vt:i4>
      </vt:variant>
      <vt:variant>
        <vt:i4>5</vt:i4>
      </vt:variant>
      <vt:variant>
        <vt:lpwstr>https://www.dewr.gov.au/resources/australian-skills-guarantee</vt:lpwstr>
      </vt:variant>
      <vt:variant>
        <vt:lpwstr/>
      </vt:variant>
      <vt:variant>
        <vt:i4>8126583</vt:i4>
      </vt:variant>
      <vt:variant>
        <vt:i4>324</vt:i4>
      </vt:variant>
      <vt:variant>
        <vt:i4>0</vt:i4>
      </vt:variant>
      <vt:variant>
        <vt:i4>5</vt:i4>
      </vt:variant>
      <vt:variant>
        <vt:lpwstr>https://govteams.sharepoint.com/sites/australianskillsguaranteeoperationalresourcesandstakeholderengag/SitePages/Home.aspx</vt:lpwstr>
      </vt:variant>
      <vt:variant>
        <vt:lpwstr/>
      </vt:variant>
      <vt:variant>
        <vt:i4>7143506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_Table_3_-</vt:lpwstr>
      </vt:variant>
      <vt:variant>
        <vt:i4>131082</vt:i4>
      </vt:variant>
      <vt:variant>
        <vt:i4>318</vt:i4>
      </vt:variant>
      <vt:variant>
        <vt:i4>0</vt:i4>
      </vt:variant>
      <vt:variant>
        <vt:i4>5</vt:i4>
      </vt:variant>
      <vt:variant>
        <vt:lpwstr>https://www.dewr.gov.au/resources/australian-skills-guarantee</vt:lpwstr>
      </vt:variant>
      <vt:variant>
        <vt:lpwstr/>
      </vt:variant>
      <vt:variant>
        <vt:i4>8126583</vt:i4>
      </vt:variant>
      <vt:variant>
        <vt:i4>315</vt:i4>
      </vt:variant>
      <vt:variant>
        <vt:i4>0</vt:i4>
      </vt:variant>
      <vt:variant>
        <vt:i4>5</vt:i4>
      </vt:variant>
      <vt:variant>
        <vt:lpwstr>https://govteams.sharepoint.com/sites/australianskillsguaranteeoperationalresourcesandstakeholderengag/SitePages/Home.aspx</vt:lpwstr>
      </vt:variant>
      <vt:variant>
        <vt:lpwstr/>
      </vt:variant>
      <vt:variant>
        <vt:i4>5701702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_Formal_exemptions</vt:lpwstr>
      </vt:variant>
      <vt:variant>
        <vt:i4>131082</vt:i4>
      </vt:variant>
      <vt:variant>
        <vt:i4>309</vt:i4>
      </vt:variant>
      <vt:variant>
        <vt:i4>0</vt:i4>
      </vt:variant>
      <vt:variant>
        <vt:i4>5</vt:i4>
      </vt:variant>
      <vt:variant>
        <vt:lpwstr>https://www.dewr.gov.au/resources/australian-skills-guarantee</vt:lpwstr>
      </vt:variant>
      <vt:variant>
        <vt:lpwstr/>
      </vt:variant>
      <vt:variant>
        <vt:i4>1179697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_Toc209797350</vt:lpwstr>
      </vt:variant>
      <vt:variant>
        <vt:i4>1245233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_Toc209797349</vt:lpwstr>
      </vt:variant>
      <vt:variant>
        <vt:i4>1245233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_Toc209797348</vt:lpwstr>
      </vt:variant>
      <vt:variant>
        <vt:i4>1245233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_Toc209797347</vt:lpwstr>
      </vt:variant>
      <vt:variant>
        <vt:i4>1245233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_Toc209797346</vt:lpwstr>
      </vt:variant>
      <vt:variant>
        <vt:i4>1245233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_Toc209797345</vt:lpwstr>
      </vt:variant>
      <vt:variant>
        <vt:i4>1245233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_Toc209797343</vt:lpwstr>
      </vt:variant>
      <vt:variant>
        <vt:i4>1245233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_Toc209797342</vt:lpwstr>
      </vt:variant>
      <vt:variant>
        <vt:i4>1245233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_Toc209797341</vt:lpwstr>
      </vt:variant>
      <vt:variant>
        <vt:i4>1310769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_Toc209797339</vt:lpwstr>
      </vt:variant>
      <vt:variant>
        <vt:i4>1310769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_Toc209797338</vt:lpwstr>
      </vt:variant>
      <vt:variant>
        <vt:i4>1310769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_Toc209797336</vt:lpwstr>
      </vt:variant>
      <vt:variant>
        <vt:i4>1310769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_Toc209797335</vt:lpwstr>
      </vt:variant>
      <vt:variant>
        <vt:i4>1310769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_Toc209797334</vt:lpwstr>
      </vt:variant>
      <vt:variant>
        <vt:i4>1310769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_Toc209797333</vt:lpwstr>
      </vt:variant>
      <vt:variant>
        <vt:i4>1310769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_Toc209797332</vt:lpwstr>
      </vt:variant>
      <vt:variant>
        <vt:i4>1310769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_Toc209797330</vt:lpwstr>
      </vt:variant>
      <vt:variant>
        <vt:i4>1376305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_Toc209797329</vt:lpwstr>
      </vt:variant>
      <vt:variant>
        <vt:i4>1376305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_Toc209797328</vt:lpwstr>
      </vt:variant>
      <vt:variant>
        <vt:i4>1376305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_Toc209797327</vt:lpwstr>
      </vt:variant>
      <vt:variant>
        <vt:i4>1376305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_Toc209797326</vt:lpwstr>
      </vt:variant>
      <vt:variant>
        <vt:i4>1376305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_Toc209797325</vt:lpwstr>
      </vt:variant>
      <vt:variant>
        <vt:i4>1376305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_Toc209797324</vt:lpwstr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_Toc209797323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_Toc209797322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_Toc209797321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_Toc209797320</vt:lpwstr>
      </vt:variant>
      <vt:variant>
        <vt:i4>1441841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_Toc209797319</vt:lpwstr>
      </vt:variant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_Toc209797318</vt:lpwstr>
      </vt:variant>
      <vt:variant>
        <vt:i4>1441841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_Toc209797317</vt:lpwstr>
      </vt:variant>
      <vt:variant>
        <vt:i4>1441841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_Toc209797316</vt:lpwstr>
      </vt:variant>
      <vt:variant>
        <vt:i4>1441841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_Toc209797315</vt:lpwstr>
      </vt:variant>
      <vt:variant>
        <vt:i4>1441841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_Toc209797314</vt:lpwstr>
      </vt:variant>
      <vt:variant>
        <vt:i4>1441841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_Toc209797313</vt:lpwstr>
      </vt:variant>
      <vt:variant>
        <vt:i4>1441841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_Toc209797312</vt:lpwstr>
      </vt:variant>
      <vt:variant>
        <vt:i4>1441841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_Toc209797311</vt:lpwstr>
      </vt:variant>
      <vt:variant>
        <vt:i4>1441841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_Toc209797310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_Toc209797309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_Toc209797308</vt:lpwstr>
      </vt:variant>
      <vt:variant>
        <vt:i4>1507377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_Toc209797307</vt:lpwstr>
      </vt:variant>
      <vt:variant>
        <vt:i4>1507377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_Toc209797306</vt:lpwstr>
      </vt:variant>
      <vt:variant>
        <vt:i4>1507377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_Toc209797305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_Toc209797304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_Toc209797303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_Toc209797302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_Toc209797301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_Toc209797300</vt:lpwstr>
      </vt:variant>
      <vt:variant>
        <vt:i4>1966128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_Toc209797299</vt:lpwstr>
      </vt:variant>
      <vt:variant>
        <vt:i4>1966128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_Toc209797298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_Toc209797297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_Toc209797296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DEWR A4 Factsheet Template - Portrait</dc:title>
  <dc:subject/>
  <dc:creator>PARDEW,Rebecca</dc:creator>
  <cp:keywords>DEWR A4 Factsheet Template - Portrait</cp:keywords>
  <dc:description/>
  <cp:lastModifiedBy>PARDEW,Rebecca</cp:lastModifiedBy>
  <cp:revision>6</cp:revision>
  <cp:lastPrinted>2025-09-30T05:15:00Z</cp:lastPrinted>
  <dcterms:created xsi:type="dcterms:W3CDTF">2025-09-30T05:13:00Z</dcterms:created>
  <dcterms:modified xsi:type="dcterms:W3CDTF">2025-09-30T05:15:00Z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0x010100066025033DE46047828D88018635091B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Order">
    <vt:r8>203500</vt:r8>
  </property>
  <property fmtid="{D5CDD505-2E9C-101B-9397-08002B2CF9AE}" pid="14" name="_ExtendedDescription">
    <vt:lpwstr>DEWR A4 Factsheet Template - Portrait</vt:lpwstr>
  </property>
  <property fmtid="{D5CDD505-2E9C-101B-9397-08002B2CF9AE}" pid="15" name="IntranetKeywords">
    <vt:lpwstr/>
  </property>
  <property fmtid="{D5CDD505-2E9C-101B-9397-08002B2CF9AE}" pid="16" name="DocumentType">
    <vt:lpwstr>40;#Template|53a221cc-9320-4def-8306-8b4e731f6e2e</vt:lpwstr>
  </property>
  <property fmtid="{D5CDD505-2E9C-101B-9397-08002B2CF9AE}" pid="17" name="Stream">
    <vt:lpwstr>41;#Corporate|7bb9040f-4cd9-44c7-bbc0-0be84bb7e1f8;#3;# Communication|e33a97c0-aa3b-4cc8-bf05-e9cabbeb225f</vt:lpwstr>
  </property>
  <property fmtid="{D5CDD505-2E9C-101B-9397-08002B2CF9AE}" pid="18" name="MediaServiceImageTags">
    <vt:lpwstr/>
  </property>
</Properties>
</file>