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7708D" w14:textId="17368A1C" w:rsidR="0073643C" w:rsidRDefault="00823449" w:rsidP="007574A3">
      <w:pPr>
        <w:pStyle w:val="ListParagraph"/>
        <w:rPr>
          <w:color w:val="9CACC4" w:themeColor="accent1" w:themeTint="66"/>
          <w:sz w:val="32"/>
          <w:szCs w:val="32"/>
        </w:rPr>
      </w:pPr>
      <w:r>
        <w:rPr>
          <w:noProof/>
        </w:rPr>
        <w:drawing>
          <wp:anchor distT="0" distB="0" distL="114300" distR="114300" simplePos="0" relativeHeight="251657216" behindDoc="1" locked="0" layoutInCell="1" allowOverlap="1" wp14:anchorId="13E5CBFD" wp14:editId="7B3165A5">
            <wp:simplePos x="0" y="0"/>
            <wp:positionH relativeFrom="margin">
              <wp:posOffset>-900430</wp:posOffset>
            </wp:positionH>
            <wp:positionV relativeFrom="page">
              <wp:posOffset>-4445</wp:posOffset>
            </wp:positionV>
            <wp:extent cx="7570470" cy="10708640"/>
            <wp:effectExtent l="0" t="0" r="0" b="0"/>
            <wp:wrapNone/>
            <wp:docPr id="4" name="Picture 4" descr="The Australian Centre for Evaluation in Commonwealth Treasury published this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he Australian Centre for Evaluation in Commonwealth Treasury published this repor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0470" cy="10708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43CFB">
        <w:rPr>
          <w:color w:val="9CACC4" w:themeColor="accent1" w:themeTint="66"/>
          <w:sz w:val="32"/>
          <w:szCs w:val="32"/>
        </w:rPr>
        <w:tab/>
      </w:r>
    </w:p>
    <w:sdt>
      <w:sdtPr>
        <w:rPr>
          <w:color w:val="9CACC4" w:themeColor="accent1" w:themeTint="66"/>
          <w:sz w:val="32"/>
          <w:szCs w:val="32"/>
        </w:rPr>
        <w:id w:val="-1442289537"/>
        <w:docPartObj>
          <w:docPartGallery w:val="Cover Pages"/>
          <w:docPartUnique/>
        </w:docPartObj>
      </w:sdtPr>
      <w:sdtEndPr>
        <w:rPr>
          <w:color w:val="8CB59F" w:themeColor="accent2" w:themeTint="99"/>
          <w:sz w:val="28"/>
          <w:szCs w:val="28"/>
        </w:rPr>
      </w:sdtEndPr>
      <w:sdtContent>
        <w:p w14:paraId="0587A771" w14:textId="03800725" w:rsidR="005D1899" w:rsidRDefault="005D1899" w:rsidP="006C7676"/>
        <w:p w14:paraId="2CCEB42E" w14:textId="4321363A" w:rsidR="00741C18" w:rsidRPr="00F84A6E" w:rsidRDefault="00C37841" w:rsidP="00F84A6E">
          <w:pPr>
            <w:pStyle w:val="Title"/>
          </w:pPr>
          <w:r w:rsidRPr="00F84A6E">
            <w:t>Rapid e</w:t>
          </w:r>
          <w:r w:rsidR="00F34E87" w:rsidRPr="00F84A6E">
            <w:t>valuation of a COVID-era apprentice wage subsidy program</w:t>
          </w:r>
        </w:p>
        <w:p w14:paraId="02212F05" w14:textId="77777777" w:rsidR="00B77B7C" w:rsidRPr="00B91F90" w:rsidRDefault="00B77B7C" w:rsidP="00B91F90">
          <w:pPr>
            <w:spacing w:after="0"/>
            <w:rPr>
              <w:sz w:val="28"/>
              <w:szCs w:val="28"/>
            </w:rPr>
          </w:pPr>
        </w:p>
        <w:p w14:paraId="63FA4305" w14:textId="56022EEA" w:rsidR="001C6492" w:rsidRPr="002316D9" w:rsidRDefault="00E35B30" w:rsidP="00823449">
          <w:pPr>
            <w:pStyle w:val="Subtitle"/>
            <w:spacing w:before="0" w:after="0"/>
            <w:contextualSpacing/>
            <w:rPr>
              <w:sz w:val="36"/>
              <w:szCs w:val="36"/>
            </w:rPr>
          </w:pPr>
          <w:r w:rsidRPr="002316D9">
            <w:rPr>
              <w:sz w:val="36"/>
              <w:szCs w:val="36"/>
            </w:rPr>
            <w:t>The</w:t>
          </w:r>
          <w:r w:rsidR="00F34E87" w:rsidRPr="002316D9">
            <w:rPr>
              <w:sz w:val="36"/>
              <w:szCs w:val="36"/>
            </w:rPr>
            <w:t xml:space="preserve"> Boosting Apprenticeship Commencements (BAC) and </w:t>
          </w:r>
          <w:r w:rsidR="00F34E87" w:rsidRPr="002316D9">
            <w:rPr>
              <w:spacing w:val="-2"/>
              <w:sz w:val="36"/>
              <w:szCs w:val="36"/>
            </w:rPr>
            <w:t>Completing Apprenticeship Commencements (CAC) programs</w:t>
          </w:r>
        </w:p>
        <w:p w14:paraId="45DA1E53" w14:textId="77777777" w:rsidR="00823449" w:rsidRPr="00B91F90" w:rsidRDefault="00823449" w:rsidP="00823449">
          <w:pPr>
            <w:pStyle w:val="ReportDate"/>
            <w:spacing w:after="0"/>
            <w:contextualSpacing/>
            <w:rPr>
              <w:rStyle w:val="ReportDateChar"/>
              <w:sz w:val="28"/>
              <w:szCs w:val="28"/>
            </w:rPr>
          </w:pPr>
        </w:p>
        <w:p w14:paraId="1F4CEE2C" w14:textId="439F0045" w:rsidR="00A97160" w:rsidRPr="00380D27" w:rsidRDefault="00A81498" w:rsidP="00823449">
          <w:pPr>
            <w:pStyle w:val="ReportDate"/>
            <w:spacing w:after="0"/>
            <w:contextualSpacing/>
            <w:rPr>
              <w:sz w:val="28"/>
              <w:szCs w:val="18"/>
            </w:rPr>
          </w:pPr>
          <w:r>
            <w:rPr>
              <w:rStyle w:val="ReportDateChar"/>
            </w:rPr>
            <w:t>August</w:t>
          </w:r>
          <w:r w:rsidR="000F04F7">
            <w:rPr>
              <w:rStyle w:val="ReportDateChar"/>
            </w:rPr>
            <w:t xml:space="preserve"> 2024</w:t>
          </w:r>
          <w:r w:rsidR="00A97160" w:rsidRPr="00380D27">
            <w:rPr>
              <w:sz w:val="28"/>
              <w:szCs w:val="18"/>
            </w:rPr>
            <w:br w:type="page"/>
          </w:r>
        </w:p>
      </w:sdtContent>
    </w:sdt>
    <w:p w14:paraId="4203525A" w14:textId="2BEB43E1" w:rsidR="005B238D" w:rsidRDefault="005B238D" w:rsidP="007574A3">
      <w:pPr>
        <w:spacing w:before="0" w:after="160"/>
      </w:pPr>
      <w:bookmarkStart w:id="0" w:name="_Toc111026801"/>
      <w:bookmarkStart w:id="1" w:name="_Toc160809118"/>
      <w:bookmarkStart w:id="2" w:name="_Toc160810150"/>
      <w:bookmarkStart w:id="3" w:name="_Toc161241665"/>
      <w:r w:rsidRPr="00661BF0">
        <w:lastRenderedPageBreak/>
        <w:t xml:space="preserve">© Commonwealth of Australia </w:t>
      </w:r>
      <w:r w:rsidRPr="00E73D8F">
        <w:t>202</w:t>
      </w:r>
      <w:r w:rsidR="008707F7">
        <w:t>4</w:t>
      </w:r>
    </w:p>
    <w:p w14:paraId="147B17FF" w14:textId="4E04C7E3" w:rsidR="005B238D" w:rsidRDefault="005B238D" w:rsidP="00E7038C">
      <w:pPr>
        <w:rPr>
          <w:noProof/>
        </w:rPr>
      </w:pPr>
      <w:r>
        <w:t>ISBN:</w:t>
      </w:r>
      <w:r w:rsidR="000E75D2">
        <w:t xml:space="preserve"> </w:t>
      </w:r>
      <w:r w:rsidR="000E75D2" w:rsidRPr="000E75D2">
        <w:t>978-1-923278-03-5</w:t>
      </w:r>
    </w:p>
    <w:p w14:paraId="5154482F" w14:textId="082C5F73" w:rsidR="005B238D" w:rsidRPr="00086F82" w:rsidRDefault="005B238D" w:rsidP="007574A3">
      <w:pPr>
        <w:tabs>
          <w:tab w:val="left" w:pos="1650"/>
        </w:tabs>
        <w:spacing w:before="240"/>
        <w:rPr>
          <w:rFonts w:cstheme="minorBidi"/>
          <w:sz w:val="24"/>
          <w:szCs w:val="24"/>
        </w:rPr>
      </w:pPr>
      <w:r w:rsidRPr="002F1BC2">
        <w:t>This publication is available for your use under a</w:t>
      </w:r>
      <w:r w:rsidRPr="00476F09">
        <w:rPr>
          <w:rFonts w:cstheme="minorHAnsi"/>
          <w:sz w:val="24"/>
          <w:szCs w:val="24"/>
        </w:rPr>
        <w:t xml:space="preserve"> </w:t>
      </w:r>
      <w:hyperlink r:id="rId9" w:history="1">
        <w:r w:rsidRPr="006627B4">
          <w:rPr>
            <w:rStyle w:val="Hyperlink"/>
          </w:rPr>
          <w:t>Creative Commons Attribution 3.0 Australia</w:t>
        </w:r>
      </w:hyperlink>
      <w:r w:rsidRPr="00476F09">
        <w:rPr>
          <w:rFonts w:cstheme="minorHAnsi"/>
          <w:sz w:val="24"/>
          <w:szCs w:val="24"/>
        </w:rPr>
        <w:t xml:space="preserve"> </w:t>
      </w:r>
      <w:r w:rsidRPr="002F1BC2">
        <w:t>licence, with the exception of the Commonwealth Coat of Arms, the Treasury logo</w:t>
      </w:r>
      <w:r>
        <w:t xml:space="preserve">, photographs, images, signatures </w:t>
      </w:r>
      <w:r w:rsidRPr="002F1BC2">
        <w:t>and where otherwise stated. The full licence terms are available from</w:t>
      </w:r>
      <w:r w:rsidRPr="00476F09">
        <w:rPr>
          <w:rFonts w:cstheme="minorHAnsi"/>
          <w:sz w:val="24"/>
          <w:szCs w:val="24"/>
        </w:rPr>
        <w:t xml:space="preserve"> </w:t>
      </w:r>
      <w:hyperlink r:id="rId10" w:history="1">
        <w:r w:rsidRPr="001F1B27">
          <w:rPr>
            <w:rStyle w:val="Hyperlink"/>
          </w:rPr>
          <w:t>http://creativecommons.org/licenses/by/3.0/au/legalcode</w:t>
        </w:r>
      </w:hyperlink>
      <w:r w:rsidRPr="006627B4">
        <w:rPr>
          <w:rStyle w:val="Hyperlink"/>
        </w:rPr>
        <w:t>.</w:t>
      </w:r>
      <w:r w:rsidRPr="00D06A21">
        <w:rPr>
          <w:sz w:val="24"/>
          <w:szCs w:val="24"/>
        </w:rPr>
        <w:t xml:space="preserve"> </w:t>
      </w:r>
    </w:p>
    <w:p w14:paraId="296215E8" w14:textId="77777777" w:rsidR="005B238D" w:rsidRDefault="005B238D" w:rsidP="007574A3">
      <w:pPr>
        <w:pStyle w:val="ChartGraphic"/>
        <w:jc w:val="left"/>
      </w:pPr>
      <w:r w:rsidRPr="00E56DFB">
        <w:rPr>
          <w:noProof/>
        </w:rPr>
        <w:drawing>
          <wp:inline distT="0" distB="0" distL="0" distR="0" wp14:anchorId="77A5534E" wp14:editId="1C79C8EE">
            <wp:extent cx="809625" cy="285750"/>
            <wp:effectExtent l="0" t="0" r="9525" b="0"/>
            <wp:docPr id="391718646" name="Picture 391718646" descr="Creative Commons attribution licence 3.0 icon. " title="Creative Common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 by_gre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9625" cy="285750"/>
                    </a:xfrm>
                    <a:prstGeom prst="rect">
                      <a:avLst/>
                    </a:prstGeom>
                    <a:noFill/>
                    <a:ln w="9525">
                      <a:noFill/>
                      <a:miter lim="800000"/>
                      <a:headEnd/>
                      <a:tailEnd/>
                    </a:ln>
                  </pic:spPr>
                </pic:pic>
              </a:graphicData>
            </a:graphic>
          </wp:inline>
        </w:drawing>
      </w:r>
    </w:p>
    <w:p w14:paraId="32EF2F29" w14:textId="77777777" w:rsidR="005B238D" w:rsidRPr="006627B4" w:rsidRDefault="005B238D" w:rsidP="007574A3">
      <w:pPr>
        <w:tabs>
          <w:tab w:val="left" w:pos="1650"/>
        </w:tabs>
        <w:spacing w:before="240"/>
      </w:pPr>
      <w:r w:rsidRPr="006627B4">
        <w:t>Use of Treasury material under a</w:t>
      </w:r>
      <w:r w:rsidRPr="00476F09">
        <w:rPr>
          <w:rFonts w:cstheme="minorHAnsi"/>
          <w:sz w:val="24"/>
          <w:szCs w:val="24"/>
        </w:rPr>
        <w:t xml:space="preserve"> </w:t>
      </w:r>
      <w:hyperlink r:id="rId12" w:history="1">
        <w:r w:rsidRPr="002F1BC2">
          <w:rPr>
            <w:rStyle w:val="Hyperlink"/>
          </w:rPr>
          <w:t>Creative Commons Attribution 3.0 Australia</w:t>
        </w:r>
      </w:hyperlink>
      <w:r>
        <w:t xml:space="preserve"> l</w:t>
      </w:r>
      <w:r w:rsidRPr="006627B4">
        <w:t>icence requires you to attribute the work (but not in any way that suggests that the Treasury endorse</w:t>
      </w:r>
      <w:r>
        <w:t>s you or your use of the work).</w:t>
      </w:r>
    </w:p>
    <w:p w14:paraId="1CF1157C" w14:textId="77777777" w:rsidR="005B238D" w:rsidRPr="006469CC" w:rsidRDefault="005B238D" w:rsidP="007574A3">
      <w:pPr>
        <w:spacing w:before="240"/>
        <w:rPr>
          <w:b/>
        </w:rPr>
      </w:pPr>
      <w:r w:rsidRPr="006469CC">
        <w:rPr>
          <w:b/>
        </w:rPr>
        <w:t>Treasury material used ‘as supplied’</w:t>
      </w:r>
    </w:p>
    <w:p w14:paraId="67D1E480" w14:textId="77777777" w:rsidR="005B238D" w:rsidRPr="00476F09" w:rsidRDefault="005B238D" w:rsidP="007574A3">
      <w:r w:rsidRPr="00476F09">
        <w:t>Provided you have not modified or transformed Treasury material in any way including, for example, by</w:t>
      </w:r>
      <w:r>
        <w:t xml:space="preserve"> </w:t>
      </w:r>
      <w:r w:rsidRPr="0096692D">
        <w:t>changing the Treasury text; calculating percentage changes; graphing or charting data</w:t>
      </w:r>
      <w:r>
        <w:t>;</w:t>
      </w:r>
      <w:r w:rsidRPr="0096692D">
        <w:t xml:space="preserve"> or deriving new statistics from published Treasury statistics</w:t>
      </w:r>
      <w:r>
        <w:t xml:space="preserve"> — then Treasury prefers t</w:t>
      </w:r>
      <w:r w:rsidRPr="00476F09">
        <w:t xml:space="preserve">he following attribution: </w:t>
      </w:r>
    </w:p>
    <w:p w14:paraId="7A37F403" w14:textId="7B9D562B" w:rsidR="005B238D" w:rsidRPr="00A13A11" w:rsidRDefault="005B238D" w:rsidP="007574A3">
      <w:pPr>
        <w:ind w:firstLine="720"/>
      </w:pPr>
      <w:r w:rsidRPr="002F1BC2">
        <w:rPr>
          <w:i/>
        </w:rPr>
        <w:t xml:space="preserve">Source: The </w:t>
      </w:r>
      <w:r w:rsidRPr="002F1BC2">
        <w:rPr>
          <w:i/>
          <w:iCs/>
        </w:rPr>
        <w:t>Australian Government the Treasury</w:t>
      </w:r>
      <w:r>
        <w:t>.</w:t>
      </w:r>
    </w:p>
    <w:p w14:paraId="4F991E69" w14:textId="77777777" w:rsidR="005B238D" w:rsidRPr="006627B4" w:rsidRDefault="005B238D" w:rsidP="007574A3">
      <w:pPr>
        <w:spacing w:before="240"/>
      </w:pPr>
      <w:r w:rsidRPr="00CC63CC">
        <w:rPr>
          <w:b/>
        </w:rPr>
        <w:t>Derivative</w:t>
      </w:r>
      <w:r w:rsidRPr="006627B4">
        <w:t xml:space="preserve"> </w:t>
      </w:r>
      <w:r w:rsidRPr="00CC63CC">
        <w:rPr>
          <w:b/>
        </w:rPr>
        <w:t>material</w:t>
      </w:r>
    </w:p>
    <w:p w14:paraId="40307DC8" w14:textId="77777777" w:rsidR="005B238D" w:rsidRPr="006627B4" w:rsidRDefault="005B238D" w:rsidP="007574A3">
      <w:r w:rsidRPr="006627B4">
        <w:t xml:space="preserve">If you have modified or transformed Treasury material, or derived new material from those of the Treasury in any way, then Treasury prefers the following attribution: </w:t>
      </w:r>
    </w:p>
    <w:p w14:paraId="1F56411E" w14:textId="55D813EA" w:rsidR="005B238D" w:rsidRPr="006627B4" w:rsidRDefault="005B238D" w:rsidP="007574A3">
      <w:pPr>
        <w:ind w:firstLine="720"/>
      </w:pPr>
      <w:r w:rsidRPr="002F1BC2">
        <w:rPr>
          <w:i/>
        </w:rPr>
        <w:t>Based on The Australian Government the Treasury data</w:t>
      </w:r>
      <w:r>
        <w:t>.</w:t>
      </w:r>
    </w:p>
    <w:p w14:paraId="4B0CDF1C" w14:textId="77777777" w:rsidR="005B238D" w:rsidRPr="006627B4" w:rsidRDefault="005B238D" w:rsidP="007574A3">
      <w:pPr>
        <w:spacing w:before="240"/>
        <w:rPr>
          <w:b/>
        </w:rPr>
      </w:pPr>
      <w:r w:rsidRPr="006627B4">
        <w:rPr>
          <w:b/>
        </w:rPr>
        <w:t>Use of the Coat of Arms</w:t>
      </w:r>
    </w:p>
    <w:p w14:paraId="47D80C63" w14:textId="77777777" w:rsidR="005B238D" w:rsidRPr="005C503A" w:rsidRDefault="005B238D" w:rsidP="007574A3">
      <w:pPr>
        <w:spacing w:before="240"/>
      </w:pPr>
      <w:r w:rsidRPr="005C503A">
        <w:t xml:space="preserve">The terms under which the Coat of Arms can be used are set out on the Department of the Prime Minister and Cabinet website (see </w:t>
      </w:r>
      <w:hyperlink r:id="rId13" w:history="1">
        <w:r>
          <w:rPr>
            <w:rStyle w:val="Hyperlink"/>
          </w:rPr>
          <w:t>https://www.pmc.gov.au/honours-and-symbols/commonwealth-coat-arms</w:t>
        </w:r>
      </w:hyperlink>
      <w:r w:rsidRPr="005C503A">
        <w:t>).</w:t>
      </w:r>
    </w:p>
    <w:p w14:paraId="46601C4A" w14:textId="77777777" w:rsidR="005B238D" w:rsidRPr="006627B4" w:rsidRDefault="005B238D" w:rsidP="007574A3">
      <w:pPr>
        <w:spacing w:before="240"/>
        <w:rPr>
          <w:b/>
        </w:rPr>
      </w:pPr>
      <w:r>
        <w:rPr>
          <w:b/>
        </w:rPr>
        <w:t>Other u</w:t>
      </w:r>
      <w:r w:rsidRPr="006627B4">
        <w:rPr>
          <w:b/>
        </w:rPr>
        <w:t>ses</w:t>
      </w:r>
    </w:p>
    <w:p w14:paraId="702A130E" w14:textId="77777777" w:rsidR="005B238D" w:rsidRPr="006627B4" w:rsidRDefault="005B238D" w:rsidP="007574A3">
      <w:r>
        <w:t>E</w:t>
      </w:r>
      <w:r w:rsidRPr="006627B4">
        <w:t>nquiries regarding this licence and any other use of this document are welcome at:</w:t>
      </w:r>
    </w:p>
    <w:p w14:paraId="1929E791" w14:textId="3AF9770D" w:rsidR="005B238D" w:rsidRPr="002F1BC2" w:rsidRDefault="005B238D" w:rsidP="007574A3">
      <w:pPr>
        <w:ind w:left="720"/>
        <w:rPr>
          <w:rStyle w:val="Hyperlink"/>
        </w:rPr>
      </w:pPr>
      <w:r w:rsidRPr="006627B4">
        <w:t>Manager</w:t>
      </w:r>
      <w:r>
        <w:br/>
        <w:t>Media Unit</w:t>
      </w:r>
      <w:r>
        <w:br/>
      </w:r>
      <w:r w:rsidRPr="006627B4">
        <w:t>The Treasury</w:t>
      </w:r>
      <w:r>
        <w:br/>
      </w:r>
      <w:r w:rsidRPr="006627B4">
        <w:t xml:space="preserve">Langton Crescent </w:t>
      </w:r>
      <w:r>
        <w:br/>
      </w:r>
      <w:r w:rsidRPr="006627B4">
        <w:t>Parkes ACT</w:t>
      </w:r>
      <w:r>
        <w:t xml:space="preserve"> </w:t>
      </w:r>
      <w:r w:rsidRPr="006627B4">
        <w:t>2600</w:t>
      </w:r>
      <w:r>
        <w:br/>
      </w:r>
      <w:r w:rsidRPr="006627B4">
        <w:t xml:space="preserve">Email: </w:t>
      </w:r>
      <w:hyperlink r:id="rId14" w:history="1">
        <w:r>
          <w:rPr>
            <w:rStyle w:val="Hyperlink"/>
          </w:rPr>
          <w:t>media@treasury.gov.au</w:t>
        </w:r>
      </w:hyperlink>
    </w:p>
    <w:p w14:paraId="441E8CDA" w14:textId="77777777" w:rsidR="007279E5" w:rsidRDefault="007279E5" w:rsidP="007574A3">
      <w:pPr>
        <w:spacing w:before="0" w:after="160"/>
        <w:rPr>
          <w:rFonts w:ascii="Calibri" w:hAnsi="Calibri" w:cs="Arial"/>
          <w:b/>
          <w:color w:val="4D7861" w:themeColor="accent2"/>
          <w:kern w:val="32"/>
          <w:sz w:val="44"/>
          <w:szCs w:val="36"/>
        </w:rPr>
      </w:pPr>
      <w:r>
        <w:br w:type="page"/>
      </w:r>
    </w:p>
    <w:p w14:paraId="4441EFCD" w14:textId="77777777" w:rsidR="00BB37C5" w:rsidRDefault="00BB37C5" w:rsidP="007574A3">
      <w:pPr>
        <w:pStyle w:val="Heading1"/>
        <w:spacing w:line="240" w:lineRule="auto"/>
      </w:pPr>
      <w:bookmarkStart w:id="4" w:name="_Toc175130940"/>
      <w:bookmarkStart w:id="5" w:name="_Toc176782338"/>
      <w:r>
        <w:lastRenderedPageBreak/>
        <w:t>Acknowledgements</w:t>
      </w:r>
      <w:bookmarkEnd w:id="4"/>
      <w:bookmarkEnd w:id="5"/>
    </w:p>
    <w:p w14:paraId="0E334D8D" w14:textId="77777777" w:rsidR="009527E8" w:rsidRDefault="00301602" w:rsidP="007574A3">
      <w:r>
        <w:t xml:space="preserve">This rapid evaluation of the Boosting Apprenticeship Commencements (BAC) and Completing Apprenticeship Commencements (CAC) programs </w:t>
      </w:r>
      <w:r w:rsidR="00B94B7B">
        <w:t xml:space="preserve">was prepared </w:t>
      </w:r>
      <w:r w:rsidR="003A6229">
        <w:t>by</w:t>
      </w:r>
      <w:r w:rsidR="00B94B7B">
        <w:t xml:space="preserve"> the </w:t>
      </w:r>
      <w:r w:rsidR="003A6229">
        <w:t xml:space="preserve">Department of the Treasury </w:t>
      </w:r>
      <w:r w:rsidR="00B94B7B">
        <w:t>for the</w:t>
      </w:r>
      <w:r w:rsidR="009527E8">
        <w:t xml:space="preserve"> Strategic Review of the Australian Apprenticeship Incentive System led by </w:t>
      </w:r>
      <w:r w:rsidR="0079668F">
        <w:t>the Honourable Justice Iain Ross AO and Ms Lisa Paul AO PSM.</w:t>
      </w:r>
      <w:r w:rsidR="009527E8">
        <w:t xml:space="preserve"> </w:t>
      </w:r>
    </w:p>
    <w:p w14:paraId="6132C754" w14:textId="4358312E" w:rsidR="003A6229" w:rsidRDefault="00AA7AE3" w:rsidP="007574A3">
      <w:r w:rsidRPr="00AA7AE3">
        <w:t>The evaluation team comprised: Peter Bowers, Ethan Slaven and Harry Greenwell from the Australian Centre for Evaluation (ACE) and Will Mackey from the Data and Structural Analysis Branch (DASA).</w:t>
      </w:r>
      <w:r w:rsidR="00757045">
        <w:t xml:space="preserve"> </w:t>
      </w:r>
      <w:r w:rsidR="00C912EE">
        <w:t xml:space="preserve">Staff in Treasury’s Data and Structural Analysis Branch </w:t>
      </w:r>
      <w:r w:rsidR="0004443A">
        <w:t xml:space="preserve">were responsible for </w:t>
      </w:r>
      <w:r w:rsidR="00292505">
        <w:t xml:space="preserve">the </w:t>
      </w:r>
      <w:r w:rsidR="00C912EE">
        <w:t xml:space="preserve">quality assurance of the econometric modelling </w:t>
      </w:r>
      <w:r w:rsidR="00292505">
        <w:t>used</w:t>
      </w:r>
      <w:r w:rsidR="00C912EE">
        <w:t xml:space="preserve"> in this report.</w:t>
      </w:r>
    </w:p>
    <w:p w14:paraId="7415C8B0" w14:textId="2B5E1F02" w:rsidR="006123E6" w:rsidRDefault="00A0744D" w:rsidP="007574A3">
      <w:r>
        <w:t xml:space="preserve">This evaluation was undertaken in partnership with the Department of Employment and Workplace Relations (DEWR). </w:t>
      </w:r>
      <w:r w:rsidR="00D2480E">
        <w:t xml:space="preserve">We thank </w:t>
      </w:r>
      <w:r w:rsidR="005D709F">
        <w:t>DEWR’s</w:t>
      </w:r>
      <w:r w:rsidR="00D2480E">
        <w:t xml:space="preserve"> </w:t>
      </w:r>
      <w:r w:rsidR="007D41B9">
        <w:t xml:space="preserve">Apprenticeships and Foundation Skills Division </w:t>
      </w:r>
      <w:r w:rsidR="00E53023">
        <w:t>for the</w:t>
      </w:r>
      <w:r w:rsidR="003F6BA2">
        <w:t xml:space="preserve"> provision of </w:t>
      </w:r>
      <w:r w:rsidR="00E20589">
        <w:t>data</w:t>
      </w:r>
      <w:r w:rsidR="003F6BA2">
        <w:t xml:space="preserve"> and </w:t>
      </w:r>
      <w:r w:rsidR="00391E0F">
        <w:t>sharing their insights into</w:t>
      </w:r>
      <w:r w:rsidR="003F6BA2">
        <w:t xml:space="preserve"> the </w:t>
      </w:r>
      <w:r w:rsidR="00567E1A">
        <w:t>Australian</w:t>
      </w:r>
      <w:r w:rsidR="003F6BA2">
        <w:t xml:space="preserve"> </w:t>
      </w:r>
      <w:r w:rsidR="00567E1A">
        <w:t>A</w:t>
      </w:r>
      <w:r w:rsidR="003F6BA2">
        <w:t xml:space="preserve">pprenticeship </w:t>
      </w:r>
      <w:r w:rsidR="00567E1A">
        <w:t>Incentive System</w:t>
      </w:r>
      <w:r w:rsidR="00716365">
        <w:t>.</w:t>
      </w:r>
    </w:p>
    <w:p w14:paraId="02C10CB7" w14:textId="77777777" w:rsidR="008551E2" w:rsidRDefault="004E74CB" w:rsidP="007574A3">
      <w:r>
        <w:t xml:space="preserve">We thank </w:t>
      </w:r>
      <w:r w:rsidR="00BE2592">
        <w:t xml:space="preserve">participants </w:t>
      </w:r>
      <w:r w:rsidR="00BA6C4F">
        <w:t>at a</w:t>
      </w:r>
      <w:r>
        <w:t xml:space="preserve"> </w:t>
      </w:r>
      <w:r w:rsidR="00292505">
        <w:t xml:space="preserve">seminar of the Tax and Transfer Policy Institute at the Australian National University </w:t>
      </w:r>
      <w:r w:rsidR="00C3207D">
        <w:t xml:space="preserve">for </w:t>
      </w:r>
      <w:r w:rsidR="00541C3A">
        <w:t xml:space="preserve">their feedback on </w:t>
      </w:r>
      <w:r w:rsidR="000D7B3E">
        <w:t>our data, methods and results.</w:t>
      </w:r>
      <w:r w:rsidR="00532930">
        <w:t xml:space="preserve"> A special thanks to </w:t>
      </w:r>
      <w:r w:rsidR="00BA7CDF">
        <w:t xml:space="preserve">Professor </w:t>
      </w:r>
      <w:r w:rsidR="00532930">
        <w:t>Robert B</w:t>
      </w:r>
      <w:r w:rsidR="00491801">
        <w:t xml:space="preserve">reunig </w:t>
      </w:r>
      <w:r w:rsidR="00813188">
        <w:t xml:space="preserve">for </w:t>
      </w:r>
      <w:r w:rsidR="001023B4">
        <w:t>facilitating t</w:t>
      </w:r>
      <w:r w:rsidR="002F05F6">
        <w:t>he TTPI seminar.</w:t>
      </w:r>
      <w:r w:rsidR="00FD09FC">
        <w:t xml:space="preserve"> </w:t>
      </w:r>
    </w:p>
    <w:p w14:paraId="34888576" w14:textId="127A0DF7" w:rsidR="0052326A" w:rsidRDefault="0079668F" w:rsidP="007574A3">
      <w:r>
        <w:t xml:space="preserve">Lastly, we acknowledge the </w:t>
      </w:r>
      <w:r w:rsidR="005A72CD">
        <w:t>following organisations</w:t>
      </w:r>
      <w:r w:rsidR="00FE4BC8">
        <w:t xml:space="preserve"> </w:t>
      </w:r>
      <w:r w:rsidR="00862D56">
        <w:t xml:space="preserve">that </w:t>
      </w:r>
      <w:r w:rsidR="00C33D05">
        <w:t>engaged</w:t>
      </w:r>
      <w:r w:rsidR="00FE4BC8">
        <w:t xml:space="preserve"> in our interviews</w:t>
      </w:r>
      <w:r w:rsidR="00FF2A54">
        <w:t xml:space="preserve"> and provided </w:t>
      </w:r>
      <w:r w:rsidR="00682083">
        <w:t>valuable insights</w:t>
      </w:r>
      <w:r w:rsidR="00256095">
        <w:t xml:space="preserve"> into </w:t>
      </w:r>
      <w:r w:rsidR="003D5170">
        <w:t xml:space="preserve">the </w:t>
      </w:r>
      <w:r w:rsidR="00AB084E">
        <w:t xml:space="preserve">operation </w:t>
      </w:r>
      <w:r w:rsidR="00A206D5">
        <w:t xml:space="preserve">of </w:t>
      </w:r>
      <w:r w:rsidR="00C253F4">
        <w:t xml:space="preserve">the </w:t>
      </w:r>
      <w:r w:rsidR="003D5170">
        <w:t>BAC and CAC programs</w:t>
      </w:r>
      <w:r w:rsidR="005A72CD">
        <w:t xml:space="preserve">: </w:t>
      </w:r>
      <w:r w:rsidR="0052326A">
        <w:t xml:space="preserve">Group Training Organisations and one of their peak bodies, Australian Apprenticeship Support Services </w:t>
      </w:r>
      <w:r w:rsidR="00517574">
        <w:t>p</w:t>
      </w:r>
      <w:r w:rsidR="00856270">
        <w:t xml:space="preserve">roviders </w:t>
      </w:r>
      <w:r w:rsidR="0052326A">
        <w:t>and their peak body, state regulators</w:t>
      </w:r>
      <w:r w:rsidR="005A72CD">
        <w:t xml:space="preserve"> and </w:t>
      </w:r>
      <w:r w:rsidR="0052326A">
        <w:t>TAFE Directors Australia</w:t>
      </w:r>
      <w:r w:rsidR="005A72CD">
        <w:t>.</w:t>
      </w:r>
    </w:p>
    <w:p w14:paraId="51A81272" w14:textId="6118A788" w:rsidR="00BB37C5" w:rsidRDefault="00B14600" w:rsidP="007574A3">
      <w:r>
        <w:t xml:space="preserve">The views expressed in this </w:t>
      </w:r>
      <w:r w:rsidR="00054E23">
        <w:t xml:space="preserve">evaluation report </w:t>
      </w:r>
      <w:r w:rsidR="00CB590A">
        <w:t xml:space="preserve">do not necessarily reflect those of the Australian Government. </w:t>
      </w:r>
      <w:r w:rsidR="00BB37C5">
        <w:br w:type="page"/>
      </w:r>
    </w:p>
    <w:p w14:paraId="3FA7F7B9" w14:textId="77777777" w:rsidR="008C3632" w:rsidRDefault="000E0B74" w:rsidP="00670E3C">
      <w:pPr>
        <w:pStyle w:val="Heading1"/>
        <w:keepNext w:val="0"/>
        <w:spacing w:line="240" w:lineRule="auto"/>
        <w:rPr>
          <w:noProof/>
        </w:rPr>
      </w:pPr>
      <w:bookmarkStart w:id="6" w:name="_Toc175130941"/>
      <w:bookmarkStart w:id="7" w:name="_Toc176782339"/>
      <w:r w:rsidRPr="001F1B27">
        <w:lastRenderedPageBreak/>
        <w:t>Contents</w:t>
      </w:r>
      <w:bookmarkEnd w:id="6"/>
      <w:bookmarkEnd w:id="7"/>
      <w:r>
        <w:rPr>
          <w:noProof/>
          <w:color w:val="004A7F"/>
          <w:szCs w:val="22"/>
        </w:rPr>
        <w:fldChar w:fldCharType="begin"/>
      </w:r>
      <w:r w:rsidRPr="0025652F">
        <w:instrText xml:space="preserve"> TOC \o "1-3" \h \z \u </w:instrText>
      </w:r>
      <w:r>
        <w:rPr>
          <w:noProof/>
          <w:color w:val="004A7F"/>
          <w:szCs w:val="22"/>
        </w:rPr>
        <w:fldChar w:fldCharType="separate"/>
      </w:r>
    </w:p>
    <w:p w14:paraId="29D73B77" w14:textId="59ABF6BE"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338" w:history="1">
        <w:r w:rsidRPr="00A72674">
          <w:rPr>
            <w:rStyle w:val="Hyperlink"/>
          </w:rPr>
          <w:t>Acknowledgements</w:t>
        </w:r>
        <w:r>
          <w:rPr>
            <w:webHidden/>
          </w:rPr>
          <w:tab/>
        </w:r>
        <w:r>
          <w:rPr>
            <w:webHidden/>
          </w:rPr>
          <w:fldChar w:fldCharType="begin"/>
        </w:r>
        <w:r>
          <w:rPr>
            <w:webHidden/>
          </w:rPr>
          <w:instrText xml:space="preserve"> PAGEREF _Toc176782338 \h </w:instrText>
        </w:r>
        <w:r>
          <w:rPr>
            <w:webHidden/>
          </w:rPr>
        </w:r>
        <w:r>
          <w:rPr>
            <w:webHidden/>
          </w:rPr>
          <w:fldChar w:fldCharType="separate"/>
        </w:r>
        <w:r w:rsidR="0073396C">
          <w:rPr>
            <w:webHidden/>
          </w:rPr>
          <w:t>ii</w:t>
        </w:r>
        <w:r>
          <w:rPr>
            <w:webHidden/>
          </w:rPr>
          <w:fldChar w:fldCharType="end"/>
        </w:r>
      </w:hyperlink>
    </w:p>
    <w:p w14:paraId="4111141B" w14:textId="0840D28B"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339" w:history="1">
        <w:r w:rsidRPr="00A72674">
          <w:rPr>
            <w:rStyle w:val="Hyperlink"/>
          </w:rPr>
          <w:t>Contents</w:t>
        </w:r>
        <w:r>
          <w:rPr>
            <w:webHidden/>
          </w:rPr>
          <w:tab/>
        </w:r>
        <w:r>
          <w:rPr>
            <w:webHidden/>
          </w:rPr>
          <w:fldChar w:fldCharType="begin"/>
        </w:r>
        <w:r>
          <w:rPr>
            <w:webHidden/>
          </w:rPr>
          <w:instrText xml:space="preserve"> PAGEREF _Toc176782339 \h </w:instrText>
        </w:r>
        <w:r>
          <w:rPr>
            <w:webHidden/>
          </w:rPr>
        </w:r>
        <w:r>
          <w:rPr>
            <w:webHidden/>
          </w:rPr>
          <w:fldChar w:fldCharType="separate"/>
        </w:r>
        <w:r w:rsidR="0073396C">
          <w:rPr>
            <w:webHidden/>
          </w:rPr>
          <w:t>iii</w:t>
        </w:r>
        <w:r>
          <w:rPr>
            <w:webHidden/>
          </w:rPr>
          <w:fldChar w:fldCharType="end"/>
        </w:r>
      </w:hyperlink>
    </w:p>
    <w:p w14:paraId="473D1B69" w14:textId="751106D9"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340" w:history="1">
        <w:r w:rsidRPr="00A72674">
          <w:rPr>
            <w:rStyle w:val="Hyperlink"/>
          </w:rPr>
          <w:t>Executive summary</w:t>
        </w:r>
        <w:r>
          <w:rPr>
            <w:webHidden/>
          </w:rPr>
          <w:tab/>
        </w:r>
        <w:r>
          <w:rPr>
            <w:webHidden/>
          </w:rPr>
          <w:fldChar w:fldCharType="begin"/>
        </w:r>
        <w:r>
          <w:rPr>
            <w:webHidden/>
          </w:rPr>
          <w:instrText xml:space="preserve"> PAGEREF _Toc176782340 \h </w:instrText>
        </w:r>
        <w:r>
          <w:rPr>
            <w:webHidden/>
          </w:rPr>
        </w:r>
        <w:r>
          <w:rPr>
            <w:webHidden/>
          </w:rPr>
          <w:fldChar w:fldCharType="separate"/>
        </w:r>
        <w:r w:rsidR="0073396C">
          <w:rPr>
            <w:webHidden/>
          </w:rPr>
          <w:t>1</w:t>
        </w:r>
        <w:r>
          <w:rPr>
            <w:webHidden/>
          </w:rPr>
          <w:fldChar w:fldCharType="end"/>
        </w:r>
      </w:hyperlink>
    </w:p>
    <w:p w14:paraId="0E516F8D" w14:textId="32C7EA84"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341" w:history="1">
        <w:r w:rsidRPr="00A72674">
          <w:rPr>
            <w:rStyle w:val="Hyperlink"/>
          </w:rPr>
          <w:t>Background and policy context</w:t>
        </w:r>
        <w:r>
          <w:rPr>
            <w:webHidden/>
          </w:rPr>
          <w:tab/>
        </w:r>
        <w:r>
          <w:rPr>
            <w:webHidden/>
          </w:rPr>
          <w:fldChar w:fldCharType="begin"/>
        </w:r>
        <w:r>
          <w:rPr>
            <w:webHidden/>
          </w:rPr>
          <w:instrText xml:space="preserve"> PAGEREF _Toc176782341 \h </w:instrText>
        </w:r>
        <w:r>
          <w:rPr>
            <w:webHidden/>
          </w:rPr>
        </w:r>
        <w:r>
          <w:rPr>
            <w:webHidden/>
          </w:rPr>
          <w:fldChar w:fldCharType="separate"/>
        </w:r>
        <w:r w:rsidR="0073396C">
          <w:rPr>
            <w:webHidden/>
          </w:rPr>
          <w:t>3</w:t>
        </w:r>
        <w:r>
          <w:rPr>
            <w:webHidden/>
          </w:rPr>
          <w:fldChar w:fldCharType="end"/>
        </w:r>
      </w:hyperlink>
    </w:p>
    <w:p w14:paraId="653136FB" w14:textId="5A4B586D"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42" w:history="1">
        <w:r w:rsidRPr="00A72674">
          <w:rPr>
            <w:rStyle w:val="Hyperlink"/>
          </w:rPr>
          <w:t>The BAC and CAC programs</w:t>
        </w:r>
        <w:r>
          <w:rPr>
            <w:webHidden/>
          </w:rPr>
          <w:tab/>
        </w:r>
        <w:r>
          <w:rPr>
            <w:webHidden/>
          </w:rPr>
          <w:fldChar w:fldCharType="begin"/>
        </w:r>
        <w:r>
          <w:rPr>
            <w:webHidden/>
          </w:rPr>
          <w:instrText xml:space="preserve"> PAGEREF _Toc176782342 \h </w:instrText>
        </w:r>
        <w:r>
          <w:rPr>
            <w:webHidden/>
          </w:rPr>
        </w:r>
        <w:r>
          <w:rPr>
            <w:webHidden/>
          </w:rPr>
          <w:fldChar w:fldCharType="separate"/>
        </w:r>
        <w:r w:rsidR="0073396C">
          <w:rPr>
            <w:webHidden/>
          </w:rPr>
          <w:t>3</w:t>
        </w:r>
        <w:r>
          <w:rPr>
            <w:webHidden/>
          </w:rPr>
          <w:fldChar w:fldCharType="end"/>
        </w:r>
      </w:hyperlink>
    </w:p>
    <w:p w14:paraId="2C173551" w14:textId="78A65047"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43" w:history="1">
        <w:r w:rsidRPr="00A72674">
          <w:rPr>
            <w:rStyle w:val="Hyperlink"/>
          </w:rPr>
          <w:t>Objectives of the BAC and CAC programs</w:t>
        </w:r>
        <w:r>
          <w:rPr>
            <w:webHidden/>
          </w:rPr>
          <w:tab/>
        </w:r>
        <w:r>
          <w:rPr>
            <w:webHidden/>
          </w:rPr>
          <w:fldChar w:fldCharType="begin"/>
        </w:r>
        <w:r>
          <w:rPr>
            <w:webHidden/>
          </w:rPr>
          <w:instrText xml:space="preserve"> PAGEREF _Toc176782343 \h </w:instrText>
        </w:r>
        <w:r>
          <w:rPr>
            <w:webHidden/>
          </w:rPr>
        </w:r>
        <w:r>
          <w:rPr>
            <w:webHidden/>
          </w:rPr>
          <w:fldChar w:fldCharType="separate"/>
        </w:r>
        <w:r w:rsidR="0073396C">
          <w:rPr>
            <w:webHidden/>
          </w:rPr>
          <w:t>3</w:t>
        </w:r>
        <w:r>
          <w:rPr>
            <w:webHidden/>
          </w:rPr>
          <w:fldChar w:fldCharType="end"/>
        </w:r>
      </w:hyperlink>
    </w:p>
    <w:p w14:paraId="1165411E" w14:textId="25A091D7"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44" w:history="1">
        <w:r w:rsidRPr="00A72674">
          <w:rPr>
            <w:rStyle w:val="Hyperlink"/>
          </w:rPr>
          <w:t>Timeline: key policy events and apprentice commencements</w:t>
        </w:r>
        <w:r>
          <w:rPr>
            <w:webHidden/>
          </w:rPr>
          <w:tab/>
        </w:r>
        <w:r>
          <w:rPr>
            <w:webHidden/>
          </w:rPr>
          <w:fldChar w:fldCharType="begin"/>
        </w:r>
        <w:r>
          <w:rPr>
            <w:webHidden/>
          </w:rPr>
          <w:instrText xml:space="preserve"> PAGEREF _Toc176782344 \h </w:instrText>
        </w:r>
        <w:r>
          <w:rPr>
            <w:webHidden/>
          </w:rPr>
        </w:r>
        <w:r>
          <w:rPr>
            <w:webHidden/>
          </w:rPr>
          <w:fldChar w:fldCharType="separate"/>
        </w:r>
        <w:r w:rsidR="0073396C">
          <w:rPr>
            <w:webHidden/>
          </w:rPr>
          <w:t>3</w:t>
        </w:r>
        <w:r>
          <w:rPr>
            <w:webHidden/>
          </w:rPr>
          <w:fldChar w:fldCharType="end"/>
        </w:r>
      </w:hyperlink>
    </w:p>
    <w:p w14:paraId="747FC375" w14:textId="6E4F5171"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45" w:history="1">
        <w:r w:rsidRPr="00A72674">
          <w:rPr>
            <w:rStyle w:val="Hyperlink"/>
          </w:rPr>
          <w:t>Structure of this report</w:t>
        </w:r>
        <w:r>
          <w:rPr>
            <w:webHidden/>
          </w:rPr>
          <w:tab/>
        </w:r>
        <w:r>
          <w:rPr>
            <w:webHidden/>
          </w:rPr>
          <w:fldChar w:fldCharType="begin"/>
        </w:r>
        <w:r>
          <w:rPr>
            <w:webHidden/>
          </w:rPr>
          <w:instrText xml:space="preserve"> PAGEREF _Toc176782345 \h </w:instrText>
        </w:r>
        <w:r>
          <w:rPr>
            <w:webHidden/>
          </w:rPr>
        </w:r>
        <w:r>
          <w:rPr>
            <w:webHidden/>
          </w:rPr>
          <w:fldChar w:fldCharType="separate"/>
        </w:r>
        <w:r w:rsidR="0073396C">
          <w:rPr>
            <w:webHidden/>
          </w:rPr>
          <w:t>4</w:t>
        </w:r>
        <w:r>
          <w:rPr>
            <w:webHidden/>
          </w:rPr>
          <w:fldChar w:fldCharType="end"/>
        </w:r>
      </w:hyperlink>
    </w:p>
    <w:p w14:paraId="647A5C1C" w14:textId="7B96140E"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346" w:history="1">
        <w:r w:rsidRPr="00A72674">
          <w:rPr>
            <w:rStyle w:val="Hyperlink"/>
          </w:rPr>
          <w:t>Evaluation overview</w:t>
        </w:r>
        <w:r>
          <w:rPr>
            <w:webHidden/>
          </w:rPr>
          <w:tab/>
        </w:r>
        <w:r>
          <w:rPr>
            <w:webHidden/>
          </w:rPr>
          <w:fldChar w:fldCharType="begin"/>
        </w:r>
        <w:r>
          <w:rPr>
            <w:webHidden/>
          </w:rPr>
          <w:instrText xml:space="preserve"> PAGEREF _Toc176782346 \h </w:instrText>
        </w:r>
        <w:r>
          <w:rPr>
            <w:webHidden/>
          </w:rPr>
        </w:r>
        <w:r>
          <w:rPr>
            <w:webHidden/>
          </w:rPr>
          <w:fldChar w:fldCharType="separate"/>
        </w:r>
        <w:r w:rsidR="0073396C">
          <w:rPr>
            <w:webHidden/>
          </w:rPr>
          <w:t>5</w:t>
        </w:r>
        <w:r>
          <w:rPr>
            <w:webHidden/>
          </w:rPr>
          <w:fldChar w:fldCharType="end"/>
        </w:r>
      </w:hyperlink>
    </w:p>
    <w:p w14:paraId="452C7AB5" w14:textId="6FBE27CC"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47" w:history="1">
        <w:r w:rsidRPr="00A72674">
          <w:rPr>
            <w:rStyle w:val="Hyperlink"/>
          </w:rPr>
          <w:t>Evaluation questions</w:t>
        </w:r>
        <w:r>
          <w:rPr>
            <w:webHidden/>
          </w:rPr>
          <w:tab/>
        </w:r>
        <w:r>
          <w:rPr>
            <w:webHidden/>
          </w:rPr>
          <w:fldChar w:fldCharType="begin"/>
        </w:r>
        <w:r>
          <w:rPr>
            <w:webHidden/>
          </w:rPr>
          <w:instrText xml:space="preserve"> PAGEREF _Toc176782347 \h </w:instrText>
        </w:r>
        <w:r>
          <w:rPr>
            <w:webHidden/>
          </w:rPr>
        </w:r>
        <w:r>
          <w:rPr>
            <w:webHidden/>
          </w:rPr>
          <w:fldChar w:fldCharType="separate"/>
        </w:r>
        <w:r w:rsidR="0073396C">
          <w:rPr>
            <w:webHidden/>
          </w:rPr>
          <w:t>5</w:t>
        </w:r>
        <w:r>
          <w:rPr>
            <w:webHidden/>
          </w:rPr>
          <w:fldChar w:fldCharType="end"/>
        </w:r>
      </w:hyperlink>
    </w:p>
    <w:p w14:paraId="3669C76F" w14:textId="29B9177F"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51" w:history="1">
        <w:r w:rsidRPr="00A72674">
          <w:rPr>
            <w:rStyle w:val="Hyperlink"/>
          </w:rPr>
          <w:t>Methods</w:t>
        </w:r>
        <w:r>
          <w:rPr>
            <w:webHidden/>
          </w:rPr>
          <w:tab/>
        </w:r>
        <w:r>
          <w:rPr>
            <w:webHidden/>
          </w:rPr>
          <w:fldChar w:fldCharType="begin"/>
        </w:r>
        <w:r>
          <w:rPr>
            <w:webHidden/>
          </w:rPr>
          <w:instrText xml:space="preserve"> PAGEREF _Toc176782351 \h </w:instrText>
        </w:r>
        <w:r>
          <w:rPr>
            <w:webHidden/>
          </w:rPr>
        </w:r>
        <w:r>
          <w:rPr>
            <w:webHidden/>
          </w:rPr>
          <w:fldChar w:fldCharType="separate"/>
        </w:r>
        <w:r w:rsidR="0073396C">
          <w:rPr>
            <w:webHidden/>
          </w:rPr>
          <w:t>5</w:t>
        </w:r>
        <w:r>
          <w:rPr>
            <w:webHidden/>
          </w:rPr>
          <w:fldChar w:fldCharType="end"/>
        </w:r>
      </w:hyperlink>
    </w:p>
    <w:p w14:paraId="1314AC7E" w14:textId="42A9126C"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52" w:history="1">
        <w:r w:rsidRPr="00A72674">
          <w:rPr>
            <w:rStyle w:val="Hyperlink"/>
          </w:rPr>
          <w:t>Data</w:t>
        </w:r>
        <w:r>
          <w:rPr>
            <w:webHidden/>
          </w:rPr>
          <w:tab/>
        </w:r>
        <w:r>
          <w:rPr>
            <w:webHidden/>
          </w:rPr>
          <w:fldChar w:fldCharType="begin"/>
        </w:r>
        <w:r>
          <w:rPr>
            <w:webHidden/>
          </w:rPr>
          <w:instrText xml:space="preserve"> PAGEREF _Toc176782352 \h </w:instrText>
        </w:r>
        <w:r>
          <w:rPr>
            <w:webHidden/>
          </w:rPr>
        </w:r>
        <w:r>
          <w:rPr>
            <w:webHidden/>
          </w:rPr>
          <w:fldChar w:fldCharType="separate"/>
        </w:r>
        <w:r w:rsidR="0073396C">
          <w:rPr>
            <w:webHidden/>
          </w:rPr>
          <w:t>6</w:t>
        </w:r>
        <w:r>
          <w:rPr>
            <w:webHidden/>
          </w:rPr>
          <w:fldChar w:fldCharType="end"/>
        </w:r>
      </w:hyperlink>
    </w:p>
    <w:p w14:paraId="1B2A15F9" w14:textId="5C87BFBA"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53" w:history="1">
        <w:r w:rsidRPr="00A72674">
          <w:rPr>
            <w:rStyle w:val="Hyperlink"/>
          </w:rPr>
          <w:t>Terminology</w:t>
        </w:r>
        <w:r>
          <w:rPr>
            <w:webHidden/>
          </w:rPr>
          <w:tab/>
        </w:r>
        <w:r>
          <w:rPr>
            <w:webHidden/>
          </w:rPr>
          <w:fldChar w:fldCharType="begin"/>
        </w:r>
        <w:r>
          <w:rPr>
            <w:webHidden/>
          </w:rPr>
          <w:instrText xml:space="preserve"> PAGEREF _Toc176782353 \h </w:instrText>
        </w:r>
        <w:r>
          <w:rPr>
            <w:webHidden/>
          </w:rPr>
        </w:r>
        <w:r>
          <w:rPr>
            <w:webHidden/>
          </w:rPr>
          <w:fldChar w:fldCharType="separate"/>
        </w:r>
        <w:r w:rsidR="0073396C">
          <w:rPr>
            <w:webHidden/>
          </w:rPr>
          <w:t>6</w:t>
        </w:r>
        <w:r>
          <w:rPr>
            <w:webHidden/>
          </w:rPr>
          <w:fldChar w:fldCharType="end"/>
        </w:r>
      </w:hyperlink>
    </w:p>
    <w:p w14:paraId="3899ADC6" w14:textId="64E72EF3"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354" w:history="1">
        <w:r w:rsidRPr="00A72674">
          <w:rPr>
            <w:rStyle w:val="Hyperlink"/>
          </w:rPr>
          <w:t>BAC’s effects on commencements</w:t>
        </w:r>
        <w:r>
          <w:rPr>
            <w:webHidden/>
          </w:rPr>
          <w:tab/>
        </w:r>
        <w:r>
          <w:rPr>
            <w:webHidden/>
          </w:rPr>
          <w:fldChar w:fldCharType="begin"/>
        </w:r>
        <w:r>
          <w:rPr>
            <w:webHidden/>
          </w:rPr>
          <w:instrText xml:space="preserve"> PAGEREF _Toc176782354 \h </w:instrText>
        </w:r>
        <w:r>
          <w:rPr>
            <w:webHidden/>
          </w:rPr>
        </w:r>
        <w:r>
          <w:rPr>
            <w:webHidden/>
          </w:rPr>
          <w:fldChar w:fldCharType="separate"/>
        </w:r>
        <w:r w:rsidR="0073396C">
          <w:rPr>
            <w:webHidden/>
          </w:rPr>
          <w:t>7</w:t>
        </w:r>
        <w:r>
          <w:rPr>
            <w:webHidden/>
          </w:rPr>
          <w:fldChar w:fldCharType="end"/>
        </w:r>
      </w:hyperlink>
    </w:p>
    <w:p w14:paraId="7AAC673B" w14:textId="0A1422B0"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55" w:history="1">
        <w:r w:rsidRPr="00A72674">
          <w:rPr>
            <w:rStyle w:val="Hyperlink"/>
          </w:rPr>
          <w:t>Econometric model</w:t>
        </w:r>
        <w:r>
          <w:rPr>
            <w:webHidden/>
          </w:rPr>
          <w:tab/>
        </w:r>
        <w:r>
          <w:rPr>
            <w:webHidden/>
          </w:rPr>
          <w:fldChar w:fldCharType="begin"/>
        </w:r>
        <w:r>
          <w:rPr>
            <w:webHidden/>
          </w:rPr>
          <w:instrText xml:space="preserve"> PAGEREF _Toc176782355 \h </w:instrText>
        </w:r>
        <w:r>
          <w:rPr>
            <w:webHidden/>
          </w:rPr>
        </w:r>
        <w:r>
          <w:rPr>
            <w:webHidden/>
          </w:rPr>
          <w:fldChar w:fldCharType="separate"/>
        </w:r>
        <w:r w:rsidR="0073396C">
          <w:rPr>
            <w:webHidden/>
          </w:rPr>
          <w:t>7</w:t>
        </w:r>
        <w:r>
          <w:rPr>
            <w:webHidden/>
          </w:rPr>
          <w:fldChar w:fldCharType="end"/>
        </w:r>
      </w:hyperlink>
    </w:p>
    <w:p w14:paraId="43014EA0" w14:textId="6996525A"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56" w:history="1">
        <w:r w:rsidRPr="00A72674">
          <w:rPr>
            <w:rStyle w:val="Hyperlink"/>
          </w:rPr>
          <w:t>Results</w:t>
        </w:r>
        <w:r>
          <w:rPr>
            <w:webHidden/>
          </w:rPr>
          <w:tab/>
        </w:r>
        <w:r>
          <w:rPr>
            <w:webHidden/>
          </w:rPr>
          <w:fldChar w:fldCharType="begin"/>
        </w:r>
        <w:r>
          <w:rPr>
            <w:webHidden/>
          </w:rPr>
          <w:instrText xml:space="preserve"> PAGEREF _Toc176782356 \h </w:instrText>
        </w:r>
        <w:r>
          <w:rPr>
            <w:webHidden/>
          </w:rPr>
        </w:r>
        <w:r>
          <w:rPr>
            <w:webHidden/>
          </w:rPr>
          <w:fldChar w:fldCharType="separate"/>
        </w:r>
        <w:r w:rsidR="0073396C">
          <w:rPr>
            <w:webHidden/>
          </w:rPr>
          <w:t>7</w:t>
        </w:r>
        <w:r>
          <w:rPr>
            <w:webHidden/>
          </w:rPr>
          <w:fldChar w:fldCharType="end"/>
        </w:r>
      </w:hyperlink>
    </w:p>
    <w:p w14:paraId="6BDE3603" w14:textId="6DAAA68F"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60" w:history="1">
        <w:r w:rsidRPr="00A72674">
          <w:rPr>
            <w:rStyle w:val="Hyperlink"/>
          </w:rPr>
          <w:t>Discussion of causality and generalisability</w:t>
        </w:r>
        <w:r>
          <w:rPr>
            <w:webHidden/>
          </w:rPr>
          <w:tab/>
        </w:r>
        <w:r>
          <w:rPr>
            <w:webHidden/>
          </w:rPr>
          <w:fldChar w:fldCharType="begin"/>
        </w:r>
        <w:r>
          <w:rPr>
            <w:webHidden/>
          </w:rPr>
          <w:instrText xml:space="preserve"> PAGEREF _Toc176782360 \h </w:instrText>
        </w:r>
        <w:r>
          <w:rPr>
            <w:webHidden/>
          </w:rPr>
        </w:r>
        <w:r>
          <w:rPr>
            <w:webHidden/>
          </w:rPr>
          <w:fldChar w:fldCharType="separate"/>
        </w:r>
        <w:r w:rsidR="0073396C">
          <w:rPr>
            <w:webHidden/>
          </w:rPr>
          <w:t>10</w:t>
        </w:r>
        <w:r>
          <w:rPr>
            <w:webHidden/>
          </w:rPr>
          <w:fldChar w:fldCharType="end"/>
        </w:r>
      </w:hyperlink>
    </w:p>
    <w:p w14:paraId="0DFEA581" w14:textId="0073A3F5" w:rsidR="008C3632" w:rsidRDefault="008C3632" w:rsidP="00177E43">
      <w:pPr>
        <w:pStyle w:val="TOC1"/>
        <w:rPr>
          <w:rFonts w:asciiTheme="minorHAnsi" w:eastAsiaTheme="minorEastAsia" w:hAnsiTheme="minorHAnsi" w:cstheme="minorBidi"/>
          <w:b w:val="0"/>
          <w:color w:val="auto"/>
          <w:kern w:val="2"/>
          <w:sz w:val="24"/>
          <w:szCs w:val="24"/>
          <w14:ligatures w14:val="standardContextual"/>
        </w:rPr>
      </w:pPr>
      <w:hyperlink w:anchor="_Toc176782363" w:history="1">
        <w:r w:rsidRPr="00A72674">
          <w:rPr>
            <w:rStyle w:val="Hyperlink"/>
          </w:rPr>
          <w:t>BAC’s effects on completions</w:t>
        </w:r>
        <w:r>
          <w:rPr>
            <w:webHidden/>
          </w:rPr>
          <w:tab/>
        </w:r>
        <w:r>
          <w:rPr>
            <w:webHidden/>
          </w:rPr>
          <w:fldChar w:fldCharType="begin"/>
        </w:r>
        <w:r>
          <w:rPr>
            <w:webHidden/>
          </w:rPr>
          <w:instrText xml:space="preserve"> PAGEREF _Toc176782363 \h </w:instrText>
        </w:r>
        <w:r>
          <w:rPr>
            <w:webHidden/>
          </w:rPr>
        </w:r>
        <w:r>
          <w:rPr>
            <w:webHidden/>
          </w:rPr>
          <w:fldChar w:fldCharType="separate"/>
        </w:r>
        <w:r w:rsidR="0073396C">
          <w:rPr>
            <w:webHidden/>
          </w:rPr>
          <w:t>11</w:t>
        </w:r>
        <w:r>
          <w:rPr>
            <w:webHidden/>
          </w:rPr>
          <w:fldChar w:fldCharType="end"/>
        </w:r>
      </w:hyperlink>
    </w:p>
    <w:p w14:paraId="4C9C6813" w14:textId="2B4F4212"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65" w:history="1">
        <w:r w:rsidRPr="00A72674">
          <w:rPr>
            <w:rStyle w:val="Hyperlink"/>
          </w:rPr>
          <w:t>Australian Apprenticeship cancellation and retention rates</w:t>
        </w:r>
        <w:r>
          <w:rPr>
            <w:webHidden/>
          </w:rPr>
          <w:tab/>
        </w:r>
        <w:r>
          <w:rPr>
            <w:webHidden/>
          </w:rPr>
          <w:fldChar w:fldCharType="begin"/>
        </w:r>
        <w:r>
          <w:rPr>
            <w:webHidden/>
          </w:rPr>
          <w:instrText xml:space="preserve"> PAGEREF _Toc176782365 \h </w:instrText>
        </w:r>
        <w:r>
          <w:rPr>
            <w:webHidden/>
          </w:rPr>
        </w:r>
        <w:r>
          <w:rPr>
            <w:webHidden/>
          </w:rPr>
          <w:fldChar w:fldCharType="separate"/>
        </w:r>
        <w:r w:rsidR="0073396C">
          <w:rPr>
            <w:webHidden/>
          </w:rPr>
          <w:t>11</w:t>
        </w:r>
        <w:r>
          <w:rPr>
            <w:webHidden/>
          </w:rPr>
          <w:fldChar w:fldCharType="end"/>
        </w:r>
      </w:hyperlink>
    </w:p>
    <w:p w14:paraId="310609FC" w14:textId="7F5621BD" w:rsidR="00C75E1B" w:rsidRPr="00177E43" w:rsidRDefault="008C3632" w:rsidP="00177E43">
      <w:pPr>
        <w:pStyle w:val="TOC2"/>
        <w:rPr>
          <w:color w:val="3A6FAF"/>
        </w:rPr>
      </w:pPr>
      <w:hyperlink w:anchor="_Toc176782366" w:history="1">
        <w:r w:rsidRPr="00A72674">
          <w:rPr>
            <w:rStyle w:val="Hyperlink"/>
          </w:rPr>
          <w:t>Econometric modelling of individual-level cancellations</w:t>
        </w:r>
        <w:r>
          <w:rPr>
            <w:webHidden/>
          </w:rPr>
          <w:tab/>
        </w:r>
        <w:r>
          <w:rPr>
            <w:webHidden/>
          </w:rPr>
          <w:fldChar w:fldCharType="begin"/>
        </w:r>
        <w:r>
          <w:rPr>
            <w:webHidden/>
          </w:rPr>
          <w:instrText xml:space="preserve"> PAGEREF _Toc176782366 \h </w:instrText>
        </w:r>
        <w:r>
          <w:rPr>
            <w:webHidden/>
          </w:rPr>
        </w:r>
        <w:r>
          <w:rPr>
            <w:webHidden/>
          </w:rPr>
          <w:fldChar w:fldCharType="separate"/>
        </w:r>
        <w:r w:rsidR="0073396C">
          <w:rPr>
            <w:webHidden/>
          </w:rPr>
          <w:t>13</w:t>
        </w:r>
        <w:r>
          <w:rPr>
            <w:webHidden/>
          </w:rPr>
          <w:fldChar w:fldCharType="end"/>
        </w:r>
      </w:hyperlink>
    </w:p>
    <w:p w14:paraId="3C4C383E" w14:textId="49207CA3" w:rsidR="008C3632" w:rsidRDefault="008C3632" w:rsidP="00177E43">
      <w:pPr>
        <w:pStyle w:val="TOC1"/>
        <w:rPr>
          <w:rFonts w:asciiTheme="minorHAnsi" w:eastAsiaTheme="minorEastAsia" w:hAnsiTheme="minorHAnsi" w:cstheme="minorBidi"/>
          <w:b w:val="0"/>
          <w:color w:val="auto"/>
          <w:kern w:val="2"/>
          <w:sz w:val="24"/>
          <w:szCs w:val="24"/>
          <w14:ligatures w14:val="standardContextual"/>
        </w:rPr>
      </w:pPr>
      <w:hyperlink w:anchor="_Toc176782369" w:history="1">
        <w:r w:rsidRPr="00A72674">
          <w:rPr>
            <w:rStyle w:val="Hyperlink"/>
          </w:rPr>
          <w:t>Apprentice characteristics</w:t>
        </w:r>
        <w:r>
          <w:rPr>
            <w:webHidden/>
          </w:rPr>
          <w:tab/>
        </w:r>
        <w:r>
          <w:rPr>
            <w:webHidden/>
          </w:rPr>
          <w:fldChar w:fldCharType="begin"/>
        </w:r>
        <w:r>
          <w:rPr>
            <w:webHidden/>
          </w:rPr>
          <w:instrText xml:space="preserve"> PAGEREF _Toc176782369 \h </w:instrText>
        </w:r>
        <w:r>
          <w:rPr>
            <w:webHidden/>
          </w:rPr>
        </w:r>
        <w:r>
          <w:rPr>
            <w:webHidden/>
          </w:rPr>
          <w:fldChar w:fldCharType="separate"/>
        </w:r>
        <w:r w:rsidR="0073396C">
          <w:rPr>
            <w:webHidden/>
          </w:rPr>
          <w:t>15</w:t>
        </w:r>
        <w:r>
          <w:rPr>
            <w:webHidden/>
          </w:rPr>
          <w:fldChar w:fldCharType="end"/>
        </w:r>
      </w:hyperlink>
    </w:p>
    <w:p w14:paraId="531683EE" w14:textId="6CB7D4A8"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70" w:history="1">
        <w:r w:rsidRPr="00A72674">
          <w:rPr>
            <w:rStyle w:val="Hyperlink"/>
          </w:rPr>
          <w:t>Non-priority occupations experienced the strongest growth</w:t>
        </w:r>
        <w:r>
          <w:rPr>
            <w:webHidden/>
          </w:rPr>
          <w:tab/>
        </w:r>
        <w:r>
          <w:rPr>
            <w:webHidden/>
          </w:rPr>
          <w:fldChar w:fldCharType="begin"/>
        </w:r>
        <w:r>
          <w:rPr>
            <w:webHidden/>
          </w:rPr>
          <w:instrText xml:space="preserve"> PAGEREF _Toc176782370 \h </w:instrText>
        </w:r>
        <w:r>
          <w:rPr>
            <w:webHidden/>
          </w:rPr>
        </w:r>
        <w:r>
          <w:rPr>
            <w:webHidden/>
          </w:rPr>
          <w:fldChar w:fldCharType="separate"/>
        </w:r>
        <w:r w:rsidR="0073396C">
          <w:rPr>
            <w:webHidden/>
          </w:rPr>
          <w:t>15</w:t>
        </w:r>
        <w:r>
          <w:rPr>
            <w:webHidden/>
          </w:rPr>
          <w:fldChar w:fldCharType="end"/>
        </w:r>
      </w:hyperlink>
    </w:p>
    <w:p w14:paraId="21D02066" w14:textId="61732871"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71" w:history="1">
        <w:r w:rsidRPr="00A72674">
          <w:rPr>
            <w:rStyle w:val="Hyperlink"/>
          </w:rPr>
          <w:t>A small number of occupations dominated commencements</w:t>
        </w:r>
        <w:r>
          <w:rPr>
            <w:webHidden/>
          </w:rPr>
          <w:tab/>
        </w:r>
        <w:r>
          <w:rPr>
            <w:webHidden/>
          </w:rPr>
          <w:fldChar w:fldCharType="begin"/>
        </w:r>
        <w:r>
          <w:rPr>
            <w:webHidden/>
          </w:rPr>
          <w:instrText xml:space="preserve"> PAGEREF _Toc176782371 \h </w:instrText>
        </w:r>
        <w:r>
          <w:rPr>
            <w:webHidden/>
          </w:rPr>
        </w:r>
        <w:r>
          <w:rPr>
            <w:webHidden/>
          </w:rPr>
          <w:fldChar w:fldCharType="separate"/>
        </w:r>
        <w:r w:rsidR="0073396C">
          <w:rPr>
            <w:webHidden/>
          </w:rPr>
          <w:t>15</w:t>
        </w:r>
        <w:r>
          <w:rPr>
            <w:webHidden/>
          </w:rPr>
          <w:fldChar w:fldCharType="end"/>
        </w:r>
      </w:hyperlink>
    </w:p>
    <w:p w14:paraId="4877A1DA" w14:textId="40F0A902"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72" w:history="1">
        <w:r w:rsidRPr="00A72674">
          <w:rPr>
            <w:rStyle w:val="Hyperlink"/>
          </w:rPr>
          <w:t>Effects on key demographic cohorts</w:t>
        </w:r>
        <w:r>
          <w:rPr>
            <w:webHidden/>
          </w:rPr>
          <w:tab/>
        </w:r>
        <w:r>
          <w:rPr>
            <w:webHidden/>
          </w:rPr>
          <w:fldChar w:fldCharType="begin"/>
        </w:r>
        <w:r>
          <w:rPr>
            <w:webHidden/>
          </w:rPr>
          <w:instrText xml:space="preserve"> PAGEREF _Toc176782372 \h </w:instrText>
        </w:r>
        <w:r>
          <w:rPr>
            <w:webHidden/>
          </w:rPr>
        </w:r>
        <w:r>
          <w:rPr>
            <w:webHidden/>
          </w:rPr>
          <w:fldChar w:fldCharType="separate"/>
        </w:r>
        <w:r w:rsidR="0073396C">
          <w:rPr>
            <w:webHidden/>
          </w:rPr>
          <w:t>16</w:t>
        </w:r>
        <w:r>
          <w:rPr>
            <w:webHidden/>
          </w:rPr>
          <w:fldChar w:fldCharType="end"/>
        </w:r>
      </w:hyperlink>
    </w:p>
    <w:p w14:paraId="114E39E5" w14:textId="23C86588" w:rsidR="008C3632" w:rsidRDefault="008C3632" w:rsidP="00177E43">
      <w:pPr>
        <w:pStyle w:val="TOC1"/>
        <w:rPr>
          <w:rFonts w:asciiTheme="minorHAnsi" w:eastAsiaTheme="minorEastAsia" w:hAnsiTheme="minorHAnsi" w:cstheme="minorBidi"/>
          <w:b w:val="0"/>
          <w:color w:val="auto"/>
          <w:kern w:val="2"/>
          <w:sz w:val="24"/>
          <w:szCs w:val="24"/>
          <w14:ligatures w14:val="standardContextual"/>
        </w:rPr>
      </w:pPr>
      <w:hyperlink w:anchor="_Toc176782374" w:history="1">
        <w:r w:rsidRPr="00A72674">
          <w:rPr>
            <w:rStyle w:val="Hyperlink"/>
          </w:rPr>
          <w:t>Employer characteristics</w:t>
        </w:r>
        <w:r>
          <w:rPr>
            <w:webHidden/>
          </w:rPr>
          <w:tab/>
        </w:r>
        <w:r>
          <w:rPr>
            <w:webHidden/>
          </w:rPr>
          <w:fldChar w:fldCharType="begin"/>
        </w:r>
        <w:r>
          <w:rPr>
            <w:webHidden/>
          </w:rPr>
          <w:instrText xml:space="preserve"> PAGEREF _Toc176782374 \h </w:instrText>
        </w:r>
        <w:r>
          <w:rPr>
            <w:webHidden/>
          </w:rPr>
        </w:r>
        <w:r>
          <w:rPr>
            <w:webHidden/>
          </w:rPr>
          <w:fldChar w:fldCharType="separate"/>
        </w:r>
        <w:r w:rsidR="0073396C">
          <w:rPr>
            <w:webHidden/>
          </w:rPr>
          <w:t>19</w:t>
        </w:r>
        <w:r>
          <w:rPr>
            <w:webHidden/>
          </w:rPr>
          <w:fldChar w:fldCharType="end"/>
        </w:r>
      </w:hyperlink>
    </w:p>
    <w:p w14:paraId="010FC8A8" w14:textId="45F9366D"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75" w:history="1">
        <w:r w:rsidRPr="00A72674">
          <w:rPr>
            <w:rStyle w:val="Hyperlink"/>
          </w:rPr>
          <w:t>Commencements grew particularly strongly for small and medium businesses</w:t>
        </w:r>
        <w:r>
          <w:rPr>
            <w:webHidden/>
          </w:rPr>
          <w:tab/>
        </w:r>
        <w:r>
          <w:rPr>
            <w:webHidden/>
          </w:rPr>
          <w:fldChar w:fldCharType="begin"/>
        </w:r>
        <w:r>
          <w:rPr>
            <w:webHidden/>
          </w:rPr>
          <w:instrText xml:space="preserve"> PAGEREF _Toc176782375 \h </w:instrText>
        </w:r>
        <w:r>
          <w:rPr>
            <w:webHidden/>
          </w:rPr>
        </w:r>
        <w:r>
          <w:rPr>
            <w:webHidden/>
          </w:rPr>
          <w:fldChar w:fldCharType="separate"/>
        </w:r>
        <w:r w:rsidR="0073396C">
          <w:rPr>
            <w:webHidden/>
          </w:rPr>
          <w:t>19</w:t>
        </w:r>
        <w:r>
          <w:rPr>
            <w:webHidden/>
          </w:rPr>
          <w:fldChar w:fldCharType="end"/>
        </w:r>
      </w:hyperlink>
    </w:p>
    <w:p w14:paraId="2BC7A748" w14:textId="037FB93D" w:rsidR="00177E43" w:rsidRPr="00B10CED" w:rsidRDefault="008C3632" w:rsidP="00B10CED">
      <w:pPr>
        <w:pStyle w:val="TOC2"/>
        <w:rPr>
          <w:color w:val="3A6FAF"/>
        </w:rPr>
      </w:pPr>
      <w:hyperlink w:anchor="_Toc176782376" w:history="1">
        <w:r w:rsidRPr="00A72674">
          <w:rPr>
            <w:rStyle w:val="Hyperlink"/>
          </w:rPr>
          <w:t>Increase in employers hiring an apprentice for the first time</w:t>
        </w:r>
        <w:r>
          <w:rPr>
            <w:webHidden/>
          </w:rPr>
          <w:tab/>
        </w:r>
        <w:r>
          <w:rPr>
            <w:webHidden/>
          </w:rPr>
          <w:fldChar w:fldCharType="begin"/>
        </w:r>
        <w:r>
          <w:rPr>
            <w:webHidden/>
          </w:rPr>
          <w:instrText xml:space="preserve"> PAGEREF _Toc176782376 \h </w:instrText>
        </w:r>
        <w:r>
          <w:rPr>
            <w:webHidden/>
          </w:rPr>
        </w:r>
        <w:r>
          <w:rPr>
            <w:webHidden/>
          </w:rPr>
          <w:fldChar w:fldCharType="separate"/>
        </w:r>
        <w:r w:rsidR="0073396C">
          <w:rPr>
            <w:webHidden/>
          </w:rPr>
          <w:t>19</w:t>
        </w:r>
        <w:r>
          <w:rPr>
            <w:webHidden/>
          </w:rPr>
          <w:fldChar w:fldCharType="end"/>
        </w:r>
      </w:hyperlink>
    </w:p>
    <w:p w14:paraId="4BD84D45" w14:textId="438507BF"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377" w:history="1">
        <w:r w:rsidRPr="00A72674">
          <w:rPr>
            <w:rStyle w:val="Hyperlink"/>
          </w:rPr>
          <w:t>Cost effectiveness</w:t>
        </w:r>
        <w:r>
          <w:rPr>
            <w:webHidden/>
          </w:rPr>
          <w:tab/>
        </w:r>
        <w:r>
          <w:rPr>
            <w:webHidden/>
          </w:rPr>
          <w:fldChar w:fldCharType="begin"/>
        </w:r>
        <w:r>
          <w:rPr>
            <w:webHidden/>
          </w:rPr>
          <w:instrText xml:space="preserve"> PAGEREF _Toc176782377 \h </w:instrText>
        </w:r>
        <w:r>
          <w:rPr>
            <w:webHidden/>
          </w:rPr>
        </w:r>
        <w:r>
          <w:rPr>
            <w:webHidden/>
          </w:rPr>
          <w:fldChar w:fldCharType="separate"/>
        </w:r>
        <w:r w:rsidR="0073396C">
          <w:rPr>
            <w:webHidden/>
          </w:rPr>
          <w:t>21</w:t>
        </w:r>
        <w:r>
          <w:rPr>
            <w:webHidden/>
          </w:rPr>
          <w:fldChar w:fldCharType="end"/>
        </w:r>
      </w:hyperlink>
    </w:p>
    <w:p w14:paraId="441927F5" w14:textId="143E30CC"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78" w:history="1">
        <w:r w:rsidRPr="00A72674">
          <w:rPr>
            <w:rStyle w:val="Hyperlink"/>
          </w:rPr>
          <w:t>Method</w:t>
        </w:r>
        <w:r>
          <w:rPr>
            <w:webHidden/>
          </w:rPr>
          <w:tab/>
        </w:r>
        <w:r>
          <w:rPr>
            <w:webHidden/>
          </w:rPr>
          <w:fldChar w:fldCharType="begin"/>
        </w:r>
        <w:r>
          <w:rPr>
            <w:webHidden/>
          </w:rPr>
          <w:instrText xml:space="preserve"> PAGEREF _Toc176782378 \h </w:instrText>
        </w:r>
        <w:r>
          <w:rPr>
            <w:webHidden/>
          </w:rPr>
        </w:r>
        <w:r>
          <w:rPr>
            <w:webHidden/>
          </w:rPr>
          <w:fldChar w:fldCharType="separate"/>
        </w:r>
        <w:r w:rsidR="0073396C">
          <w:rPr>
            <w:webHidden/>
          </w:rPr>
          <w:t>21</w:t>
        </w:r>
        <w:r>
          <w:rPr>
            <w:webHidden/>
          </w:rPr>
          <w:fldChar w:fldCharType="end"/>
        </w:r>
      </w:hyperlink>
    </w:p>
    <w:p w14:paraId="141EBE52" w14:textId="04A20A10"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79" w:history="1">
        <w:r w:rsidRPr="00A72674">
          <w:rPr>
            <w:rStyle w:val="Hyperlink"/>
          </w:rPr>
          <w:t>Results</w:t>
        </w:r>
        <w:r>
          <w:rPr>
            <w:webHidden/>
          </w:rPr>
          <w:tab/>
        </w:r>
        <w:r>
          <w:rPr>
            <w:webHidden/>
          </w:rPr>
          <w:fldChar w:fldCharType="begin"/>
        </w:r>
        <w:r>
          <w:rPr>
            <w:webHidden/>
          </w:rPr>
          <w:instrText xml:space="preserve"> PAGEREF _Toc176782379 \h </w:instrText>
        </w:r>
        <w:r>
          <w:rPr>
            <w:webHidden/>
          </w:rPr>
        </w:r>
        <w:r>
          <w:rPr>
            <w:webHidden/>
          </w:rPr>
          <w:fldChar w:fldCharType="separate"/>
        </w:r>
        <w:r w:rsidR="0073396C">
          <w:rPr>
            <w:webHidden/>
          </w:rPr>
          <w:t>22</w:t>
        </w:r>
        <w:r>
          <w:rPr>
            <w:webHidden/>
          </w:rPr>
          <w:fldChar w:fldCharType="end"/>
        </w:r>
      </w:hyperlink>
    </w:p>
    <w:p w14:paraId="7D91FD7C" w14:textId="6A417C65" w:rsidR="00177E43" w:rsidRDefault="008C3632" w:rsidP="00177E43">
      <w:pPr>
        <w:pStyle w:val="TOC2"/>
        <w:rPr>
          <w:rStyle w:val="Hyperlink"/>
        </w:rPr>
      </w:pPr>
      <w:hyperlink w:anchor="_Toc176782380" w:history="1">
        <w:r w:rsidRPr="00A72674">
          <w:rPr>
            <w:rStyle w:val="Hyperlink"/>
          </w:rPr>
          <w:t>Discussion of cost effectiveness</w:t>
        </w:r>
        <w:r>
          <w:rPr>
            <w:webHidden/>
          </w:rPr>
          <w:tab/>
        </w:r>
        <w:r>
          <w:rPr>
            <w:webHidden/>
          </w:rPr>
          <w:fldChar w:fldCharType="begin"/>
        </w:r>
        <w:r>
          <w:rPr>
            <w:webHidden/>
          </w:rPr>
          <w:instrText xml:space="preserve"> PAGEREF _Toc176782380 \h </w:instrText>
        </w:r>
        <w:r>
          <w:rPr>
            <w:webHidden/>
          </w:rPr>
        </w:r>
        <w:r>
          <w:rPr>
            <w:webHidden/>
          </w:rPr>
          <w:fldChar w:fldCharType="separate"/>
        </w:r>
        <w:r w:rsidR="0073396C">
          <w:rPr>
            <w:webHidden/>
          </w:rPr>
          <w:t>22</w:t>
        </w:r>
        <w:r>
          <w:rPr>
            <w:webHidden/>
          </w:rPr>
          <w:fldChar w:fldCharType="end"/>
        </w:r>
      </w:hyperlink>
    </w:p>
    <w:p w14:paraId="13DDDBA1" w14:textId="77777777" w:rsidR="00B10CED" w:rsidRPr="00B10CED" w:rsidRDefault="00B10CED" w:rsidP="00B10CED">
      <w:pPr>
        <w:rPr>
          <w:rFonts w:eastAsiaTheme="minorEastAsia"/>
          <w:noProof/>
        </w:rPr>
      </w:pPr>
    </w:p>
    <w:p w14:paraId="67E027DB" w14:textId="68227EA0"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381" w:history="1">
        <w:r w:rsidRPr="00A72674">
          <w:rPr>
            <w:rStyle w:val="Hyperlink"/>
          </w:rPr>
          <w:t>Sharp practice in non-trades occupations</w:t>
        </w:r>
        <w:r>
          <w:rPr>
            <w:webHidden/>
          </w:rPr>
          <w:tab/>
        </w:r>
        <w:r>
          <w:rPr>
            <w:webHidden/>
          </w:rPr>
          <w:fldChar w:fldCharType="begin"/>
        </w:r>
        <w:r>
          <w:rPr>
            <w:webHidden/>
          </w:rPr>
          <w:instrText xml:space="preserve"> PAGEREF _Toc176782381 \h </w:instrText>
        </w:r>
        <w:r>
          <w:rPr>
            <w:webHidden/>
          </w:rPr>
        </w:r>
        <w:r>
          <w:rPr>
            <w:webHidden/>
          </w:rPr>
          <w:fldChar w:fldCharType="separate"/>
        </w:r>
        <w:r w:rsidR="0073396C">
          <w:rPr>
            <w:webHidden/>
          </w:rPr>
          <w:t>24</w:t>
        </w:r>
        <w:r>
          <w:rPr>
            <w:webHidden/>
          </w:rPr>
          <w:fldChar w:fldCharType="end"/>
        </w:r>
      </w:hyperlink>
    </w:p>
    <w:p w14:paraId="1D65FDAA" w14:textId="2D10529C"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82" w:history="1">
        <w:r w:rsidRPr="00A72674">
          <w:rPr>
            <w:rStyle w:val="Hyperlink"/>
          </w:rPr>
          <w:t>Sharp practice largely an issue with non-trades existing workers</w:t>
        </w:r>
        <w:r>
          <w:rPr>
            <w:webHidden/>
          </w:rPr>
          <w:tab/>
        </w:r>
        <w:r>
          <w:rPr>
            <w:webHidden/>
          </w:rPr>
          <w:fldChar w:fldCharType="begin"/>
        </w:r>
        <w:r>
          <w:rPr>
            <w:webHidden/>
          </w:rPr>
          <w:instrText xml:space="preserve"> PAGEREF _Toc176782382 \h </w:instrText>
        </w:r>
        <w:r>
          <w:rPr>
            <w:webHidden/>
          </w:rPr>
        </w:r>
        <w:r>
          <w:rPr>
            <w:webHidden/>
          </w:rPr>
          <w:fldChar w:fldCharType="separate"/>
        </w:r>
        <w:r w:rsidR="0073396C">
          <w:rPr>
            <w:webHidden/>
          </w:rPr>
          <w:t>24</w:t>
        </w:r>
        <w:r>
          <w:rPr>
            <w:webHidden/>
          </w:rPr>
          <w:fldChar w:fldCharType="end"/>
        </w:r>
      </w:hyperlink>
    </w:p>
    <w:p w14:paraId="6CC114F5" w14:textId="6FC7DABB"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83" w:history="1">
        <w:r w:rsidRPr="00A72674">
          <w:rPr>
            <w:rStyle w:val="Hyperlink"/>
          </w:rPr>
          <w:t>Eligibility criteria updated swiftly to address sharp practice</w:t>
        </w:r>
        <w:r>
          <w:rPr>
            <w:webHidden/>
          </w:rPr>
          <w:tab/>
        </w:r>
        <w:r>
          <w:rPr>
            <w:webHidden/>
          </w:rPr>
          <w:fldChar w:fldCharType="begin"/>
        </w:r>
        <w:r>
          <w:rPr>
            <w:webHidden/>
          </w:rPr>
          <w:instrText xml:space="preserve"> PAGEREF _Toc176782383 \h </w:instrText>
        </w:r>
        <w:r>
          <w:rPr>
            <w:webHidden/>
          </w:rPr>
        </w:r>
        <w:r>
          <w:rPr>
            <w:webHidden/>
          </w:rPr>
          <w:fldChar w:fldCharType="separate"/>
        </w:r>
        <w:r w:rsidR="0073396C">
          <w:rPr>
            <w:webHidden/>
          </w:rPr>
          <w:t>25</w:t>
        </w:r>
        <w:r>
          <w:rPr>
            <w:webHidden/>
          </w:rPr>
          <w:fldChar w:fldCharType="end"/>
        </w:r>
      </w:hyperlink>
    </w:p>
    <w:p w14:paraId="464DEFAB" w14:textId="043DF989"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84" w:history="1">
        <w:r w:rsidRPr="00A72674">
          <w:rPr>
            <w:rStyle w:val="Hyperlink"/>
          </w:rPr>
          <w:t>Some RTOs and third-party brokers drove sharp practice</w:t>
        </w:r>
        <w:r>
          <w:rPr>
            <w:webHidden/>
          </w:rPr>
          <w:tab/>
        </w:r>
        <w:r>
          <w:rPr>
            <w:webHidden/>
          </w:rPr>
          <w:fldChar w:fldCharType="begin"/>
        </w:r>
        <w:r>
          <w:rPr>
            <w:webHidden/>
          </w:rPr>
          <w:instrText xml:space="preserve"> PAGEREF _Toc176782384 \h </w:instrText>
        </w:r>
        <w:r>
          <w:rPr>
            <w:webHidden/>
          </w:rPr>
        </w:r>
        <w:r>
          <w:rPr>
            <w:webHidden/>
          </w:rPr>
          <w:fldChar w:fldCharType="separate"/>
        </w:r>
        <w:r w:rsidR="0073396C">
          <w:rPr>
            <w:webHidden/>
          </w:rPr>
          <w:t>26</w:t>
        </w:r>
        <w:r>
          <w:rPr>
            <w:webHidden/>
          </w:rPr>
          <w:fldChar w:fldCharType="end"/>
        </w:r>
      </w:hyperlink>
    </w:p>
    <w:p w14:paraId="33BA2FED" w14:textId="436ABB69" w:rsidR="00B10CED" w:rsidRPr="00B10CED" w:rsidRDefault="008C3632" w:rsidP="00B10CED">
      <w:pPr>
        <w:pStyle w:val="TOC2"/>
        <w:rPr>
          <w:color w:val="3A6FAF"/>
        </w:rPr>
      </w:pPr>
      <w:hyperlink w:anchor="_Toc176782385" w:history="1">
        <w:r w:rsidRPr="00A72674">
          <w:rPr>
            <w:rStyle w:val="Hyperlink"/>
          </w:rPr>
          <w:t>Service providers, under pressure, struggled to mitigate sharp practice</w:t>
        </w:r>
        <w:r>
          <w:rPr>
            <w:webHidden/>
          </w:rPr>
          <w:tab/>
        </w:r>
        <w:r>
          <w:rPr>
            <w:webHidden/>
          </w:rPr>
          <w:fldChar w:fldCharType="begin"/>
        </w:r>
        <w:r>
          <w:rPr>
            <w:webHidden/>
          </w:rPr>
          <w:instrText xml:space="preserve"> PAGEREF _Toc176782385 \h </w:instrText>
        </w:r>
        <w:r>
          <w:rPr>
            <w:webHidden/>
          </w:rPr>
        </w:r>
        <w:r>
          <w:rPr>
            <w:webHidden/>
          </w:rPr>
          <w:fldChar w:fldCharType="separate"/>
        </w:r>
        <w:r w:rsidR="0073396C">
          <w:rPr>
            <w:webHidden/>
          </w:rPr>
          <w:t>27</w:t>
        </w:r>
        <w:r>
          <w:rPr>
            <w:webHidden/>
          </w:rPr>
          <w:fldChar w:fldCharType="end"/>
        </w:r>
      </w:hyperlink>
    </w:p>
    <w:p w14:paraId="3AB71732" w14:textId="712CF920"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386" w:history="1">
        <w:r w:rsidRPr="00A72674">
          <w:rPr>
            <w:rStyle w:val="Hyperlink"/>
          </w:rPr>
          <w:t>Discussion and conclusion</w:t>
        </w:r>
        <w:r>
          <w:rPr>
            <w:webHidden/>
          </w:rPr>
          <w:tab/>
        </w:r>
        <w:r>
          <w:rPr>
            <w:webHidden/>
          </w:rPr>
          <w:fldChar w:fldCharType="begin"/>
        </w:r>
        <w:r>
          <w:rPr>
            <w:webHidden/>
          </w:rPr>
          <w:instrText xml:space="preserve"> PAGEREF _Toc176782386 \h </w:instrText>
        </w:r>
        <w:r>
          <w:rPr>
            <w:webHidden/>
          </w:rPr>
        </w:r>
        <w:r>
          <w:rPr>
            <w:webHidden/>
          </w:rPr>
          <w:fldChar w:fldCharType="separate"/>
        </w:r>
        <w:r w:rsidR="0073396C">
          <w:rPr>
            <w:webHidden/>
          </w:rPr>
          <w:t>28</w:t>
        </w:r>
        <w:r>
          <w:rPr>
            <w:webHidden/>
          </w:rPr>
          <w:fldChar w:fldCharType="end"/>
        </w:r>
      </w:hyperlink>
    </w:p>
    <w:p w14:paraId="1D01B64D" w14:textId="67550B86"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87" w:history="1">
        <w:r w:rsidRPr="00A72674">
          <w:rPr>
            <w:rStyle w:val="Hyperlink"/>
          </w:rPr>
          <w:t>Findings</w:t>
        </w:r>
        <w:r>
          <w:rPr>
            <w:webHidden/>
          </w:rPr>
          <w:tab/>
        </w:r>
        <w:r>
          <w:rPr>
            <w:webHidden/>
          </w:rPr>
          <w:fldChar w:fldCharType="begin"/>
        </w:r>
        <w:r>
          <w:rPr>
            <w:webHidden/>
          </w:rPr>
          <w:instrText xml:space="preserve"> PAGEREF _Toc176782387 \h </w:instrText>
        </w:r>
        <w:r>
          <w:rPr>
            <w:webHidden/>
          </w:rPr>
        </w:r>
        <w:r>
          <w:rPr>
            <w:webHidden/>
          </w:rPr>
          <w:fldChar w:fldCharType="separate"/>
        </w:r>
        <w:r w:rsidR="0073396C">
          <w:rPr>
            <w:webHidden/>
          </w:rPr>
          <w:t>28</w:t>
        </w:r>
        <w:r>
          <w:rPr>
            <w:webHidden/>
          </w:rPr>
          <w:fldChar w:fldCharType="end"/>
        </w:r>
      </w:hyperlink>
    </w:p>
    <w:p w14:paraId="65BB7958" w14:textId="7F0CB6E6"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88" w:history="1">
        <w:r w:rsidRPr="00A72674">
          <w:rPr>
            <w:rStyle w:val="Hyperlink"/>
          </w:rPr>
          <w:t>Lessons for the design of future policies</w:t>
        </w:r>
        <w:r>
          <w:rPr>
            <w:webHidden/>
          </w:rPr>
          <w:tab/>
        </w:r>
        <w:r>
          <w:rPr>
            <w:webHidden/>
          </w:rPr>
          <w:fldChar w:fldCharType="begin"/>
        </w:r>
        <w:r>
          <w:rPr>
            <w:webHidden/>
          </w:rPr>
          <w:instrText xml:space="preserve"> PAGEREF _Toc176782388 \h </w:instrText>
        </w:r>
        <w:r>
          <w:rPr>
            <w:webHidden/>
          </w:rPr>
        </w:r>
        <w:r>
          <w:rPr>
            <w:webHidden/>
          </w:rPr>
          <w:fldChar w:fldCharType="separate"/>
        </w:r>
        <w:r w:rsidR="0073396C">
          <w:rPr>
            <w:webHidden/>
          </w:rPr>
          <w:t>28</w:t>
        </w:r>
        <w:r>
          <w:rPr>
            <w:webHidden/>
          </w:rPr>
          <w:fldChar w:fldCharType="end"/>
        </w:r>
      </w:hyperlink>
    </w:p>
    <w:p w14:paraId="2ECD7915" w14:textId="74F7DECF"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396" w:history="1">
        <w:r w:rsidRPr="00A72674">
          <w:rPr>
            <w:rStyle w:val="Hyperlink"/>
          </w:rPr>
          <w:t>Appendix A: Commencements—further modelling results</w:t>
        </w:r>
        <w:r>
          <w:rPr>
            <w:webHidden/>
          </w:rPr>
          <w:tab/>
        </w:r>
        <w:r>
          <w:rPr>
            <w:webHidden/>
          </w:rPr>
          <w:fldChar w:fldCharType="begin"/>
        </w:r>
        <w:r>
          <w:rPr>
            <w:webHidden/>
          </w:rPr>
          <w:instrText xml:space="preserve"> PAGEREF _Toc176782396 \h </w:instrText>
        </w:r>
        <w:r>
          <w:rPr>
            <w:webHidden/>
          </w:rPr>
        </w:r>
        <w:r>
          <w:rPr>
            <w:webHidden/>
          </w:rPr>
          <w:fldChar w:fldCharType="separate"/>
        </w:r>
        <w:r w:rsidR="0073396C">
          <w:rPr>
            <w:webHidden/>
          </w:rPr>
          <w:t>33</w:t>
        </w:r>
        <w:r>
          <w:rPr>
            <w:webHidden/>
          </w:rPr>
          <w:fldChar w:fldCharType="end"/>
        </w:r>
      </w:hyperlink>
    </w:p>
    <w:p w14:paraId="1BAAF585" w14:textId="78C61279"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397" w:history="1">
        <w:r w:rsidRPr="00A72674">
          <w:rPr>
            <w:rStyle w:val="Hyperlink"/>
          </w:rPr>
          <w:t>Effects by occupation</w:t>
        </w:r>
        <w:r>
          <w:rPr>
            <w:webHidden/>
          </w:rPr>
          <w:tab/>
        </w:r>
        <w:r>
          <w:rPr>
            <w:webHidden/>
          </w:rPr>
          <w:fldChar w:fldCharType="begin"/>
        </w:r>
        <w:r>
          <w:rPr>
            <w:webHidden/>
          </w:rPr>
          <w:instrText xml:space="preserve"> PAGEREF _Toc176782397 \h </w:instrText>
        </w:r>
        <w:r>
          <w:rPr>
            <w:webHidden/>
          </w:rPr>
        </w:r>
        <w:r>
          <w:rPr>
            <w:webHidden/>
          </w:rPr>
          <w:fldChar w:fldCharType="separate"/>
        </w:r>
        <w:r w:rsidR="0073396C">
          <w:rPr>
            <w:webHidden/>
          </w:rPr>
          <w:t>33</w:t>
        </w:r>
        <w:r>
          <w:rPr>
            <w:webHidden/>
          </w:rPr>
          <w:fldChar w:fldCharType="end"/>
        </w:r>
      </w:hyperlink>
    </w:p>
    <w:p w14:paraId="3C9624C8" w14:textId="0E59B3F5"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400" w:history="1">
        <w:r w:rsidRPr="00A72674">
          <w:rPr>
            <w:rStyle w:val="Hyperlink"/>
          </w:rPr>
          <w:t>Effects by jurisdiction</w:t>
        </w:r>
        <w:r>
          <w:rPr>
            <w:webHidden/>
          </w:rPr>
          <w:tab/>
        </w:r>
        <w:r>
          <w:rPr>
            <w:webHidden/>
          </w:rPr>
          <w:fldChar w:fldCharType="begin"/>
        </w:r>
        <w:r>
          <w:rPr>
            <w:webHidden/>
          </w:rPr>
          <w:instrText xml:space="preserve"> PAGEREF _Toc176782400 \h </w:instrText>
        </w:r>
        <w:r>
          <w:rPr>
            <w:webHidden/>
          </w:rPr>
        </w:r>
        <w:r>
          <w:rPr>
            <w:webHidden/>
          </w:rPr>
          <w:fldChar w:fldCharType="separate"/>
        </w:r>
        <w:r w:rsidR="0073396C">
          <w:rPr>
            <w:webHidden/>
          </w:rPr>
          <w:t>34</w:t>
        </w:r>
        <w:r>
          <w:rPr>
            <w:webHidden/>
          </w:rPr>
          <w:fldChar w:fldCharType="end"/>
        </w:r>
      </w:hyperlink>
    </w:p>
    <w:p w14:paraId="1D5010CA" w14:textId="5C26F012"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402" w:history="1">
        <w:r w:rsidRPr="00A72674">
          <w:rPr>
            <w:rStyle w:val="Hyperlink"/>
          </w:rPr>
          <w:t>Appendix B: Technical note on econometric modelling</w:t>
        </w:r>
        <w:r>
          <w:rPr>
            <w:webHidden/>
          </w:rPr>
          <w:tab/>
        </w:r>
        <w:r>
          <w:rPr>
            <w:webHidden/>
          </w:rPr>
          <w:fldChar w:fldCharType="begin"/>
        </w:r>
        <w:r>
          <w:rPr>
            <w:webHidden/>
          </w:rPr>
          <w:instrText xml:space="preserve"> PAGEREF _Toc176782402 \h </w:instrText>
        </w:r>
        <w:r>
          <w:rPr>
            <w:webHidden/>
          </w:rPr>
        </w:r>
        <w:r>
          <w:rPr>
            <w:webHidden/>
          </w:rPr>
          <w:fldChar w:fldCharType="separate"/>
        </w:r>
        <w:r w:rsidR="0073396C">
          <w:rPr>
            <w:webHidden/>
          </w:rPr>
          <w:t>37</w:t>
        </w:r>
        <w:r>
          <w:rPr>
            <w:webHidden/>
          </w:rPr>
          <w:fldChar w:fldCharType="end"/>
        </w:r>
      </w:hyperlink>
    </w:p>
    <w:p w14:paraId="23A0EA21" w14:textId="69B2F6BE"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403" w:history="1">
        <w:r w:rsidRPr="00A72674">
          <w:rPr>
            <w:rStyle w:val="Hyperlink"/>
          </w:rPr>
          <w:t>Data</w:t>
        </w:r>
        <w:r>
          <w:rPr>
            <w:webHidden/>
          </w:rPr>
          <w:tab/>
        </w:r>
        <w:r>
          <w:rPr>
            <w:webHidden/>
          </w:rPr>
          <w:fldChar w:fldCharType="begin"/>
        </w:r>
        <w:r>
          <w:rPr>
            <w:webHidden/>
          </w:rPr>
          <w:instrText xml:space="preserve"> PAGEREF _Toc176782403 \h </w:instrText>
        </w:r>
        <w:r>
          <w:rPr>
            <w:webHidden/>
          </w:rPr>
        </w:r>
        <w:r>
          <w:rPr>
            <w:webHidden/>
          </w:rPr>
          <w:fldChar w:fldCharType="separate"/>
        </w:r>
        <w:r w:rsidR="0073396C">
          <w:rPr>
            <w:webHidden/>
          </w:rPr>
          <w:t>37</w:t>
        </w:r>
        <w:r>
          <w:rPr>
            <w:webHidden/>
          </w:rPr>
          <w:fldChar w:fldCharType="end"/>
        </w:r>
      </w:hyperlink>
    </w:p>
    <w:p w14:paraId="6F42B82C" w14:textId="45B6DAD7"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404" w:history="1">
        <w:r w:rsidRPr="00A72674">
          <w:rPr>
            <w:rStyle w:val="Hyperlink"/>
          </w:rPr>
          <w:t>Econometric model of apprenticeship commencements</w:t>
        </w:r>
        <w:r>
          <w:rPr>
            <w:webHidden/>
          </w:rPr>
          <w:tab/>
        </w:r>
        <w:r>
          <w:rPr>
            <w:webHidden/>
          </w:rPr>
          <w:fldChar w:fldCharType="begin"/>
        </w:r>
        <w:r>
          <w:rPr>
            <w:webHidden/>
          </w:rPr>
          <w:instrText xml:space="preserve"> PAGEREF _Toc176782404 \h </w:instrText>
        </w:r>
        <w:r>
          <w:rPr>
            <w:webHidden/>
          </w:rPr>
        </w:r>
        <w:r>
          <w:rPr>
            <w:webHidden/>
          </w:rPr>
          <w:fldChar w:fldCharType="separate"/>
        </w:r>
        <w:r w:rsidR="0073396C">
          <w:rPr>
            <w:webHidden/>
          </w:rPr>
          <w:t>37</w:t>
        </w:r>
        <w:r>
          <w:rPr>
            <w:webHidden/>
          </w:rPr>
          <w:fldChar w:fldCharType="end"/>
        </w:r>
      </w:hyperlink>
    </w:p>
    <w:p w14:paraId="08445F4C" w14:textId="0D82421D"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411" w:history="1">
        <w:r w:rsidRPr="00A72674">
          <w:rPr>
            <w:rStyle w:val="Hyperlink"/>
          </w:rPr>
          <w:t>Econometric model of individual-level cancellations</w:t>
        </w:r>
        <w:r>
          <w:rPr>
            <w:webHidden/>
          </w:rPr>
          <w:tab/>
        </w:r>
        <w:r>
          <w:rPr>
            <w:webHidden/>
          </w:rPr>
          <w:fldChar w:fldCharType="begin"/>
        </w:r>
        <w:r>
          <w:rPr>
            <w:webHidden/>
          </w:rPr>
          <w:instrText xml:space="preserve"> PAGEREF _Toc176782411 \h </w:instrText>
        </w:r>
        <w:r>
          <w:rPr>
            <w:webHidden/>
          </w:rPr>
        </w:r>
        <w:r>
          <w:rPr>
            <w:webHidden/>
          </w:rPr>
          <w:fldChar w:fldCharType="separate"/>
        </w:r>
        <w:r w:rsidR="0073396C">
          <w:rPr>
            <w:webHidden/>
          </w:rPr>
          <w:t>40</w:t>
        </w:r>
        <w:r>
          <w:rPr>
            <w:webHidden/>
          </w:rPr>
          <w:fldChar w:fldCharType="end"/>
        </w:r>
      </w:hyperlink>
    </w:p>
    <w:p w14:paraId="4CBF0ABC" w14:textId="7DACFFBF"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414" w:history="1">
        <w:r w:rsidRPr="00A72674">
          <w:rPr>
            <w:rStyle w:val="Hyperlink"/>
            <w:spacing w:val="-4"/>
          </w:rPr>
          <w:t>Appendix C: Australian Apprentice and employer characteristics—additional results</w:t>
        </w:r>
        <w:r>
          <w:rPr>
            <w:webHidden/>
          </w:rPr>
          <w:tab/>
        </w:r>
        <w:r>
          <w:rPr>
            <w:webHidden/>
          </w:rPr>
          <w:fldChar w:fldCharType="begin"/>
        </w:r>
        <w:r>
          <w:rPr>
            <w:webHidden/>
          </w:rPr>
          <w:instrText xml:space="preserve"> PAGEREF _Toc176782414 \h </w:instrText>
        </w:r>
        <w:r>
          <w:rPr>
            <w:webHidden/>
          </w:rPr>
        </w:r>
        <w:r>
          <w:rPr>
            <w:webHidden/>
          </w:rPr>
          <w:fldChar w:fldCharType="separate"/>
        </w:r>
        <w:r w:rsidR="0073396C">
          <w:rPr>
            <w:webHidden/>
          </w:rPr>
          <w:t>41</w:t>
        </w:r>
        <w:r>
          <w:rPr>
            <w:webHidden/>
          </w:rPr>
          <w:fldChar w:fldCharType="end"/>
        </w:r>
      </w:hyperlink>
    </w:p>
    <w:p w14:paraId="580BB493" w14:textId="4E15BF77"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415" w:history="1">
        <w:r w:rsidRPr="00A72674">
          <w:rPr>
            <w:rStyle w:val="Hyperlink"/>
          </w:rPr>
          <w:t>Further demographic analysis of BAC Australian Apprentices</w:t>
        </w:r>
        <w:r>
          <w:rPr>
            <w:webHidden/>
          </w:rPr>
          <w:tab/>
        </w:r>
        <w:r>
          <w:rPr>
            <w:webHidden/>
          </w:rPr>
          <w:fldChar w:fldCharType="begin"/>
        </w:r>
        <w:r>
          <w:rPr>
            <w:webHidden/>
          </w:rPr>
          <w:instrText xml:space="preserve"> PAGEREF _Toc176782415 \h </w:instrText>
        </w:r>
        <w:r>
          <w:rPr>
            <w:webHidden/>
          </w:rPr>
        </w:r>
        <w:r>
          <w:rPr>
            <w:webHidden/>
          </w:rPr>
          <w:fldChar w:fldCharType="separate"/>
        </w:r>
        <w:r w:rsidR="0073396C">
          <w:rPr>
            <w:webHidden/>
          </w:rPr>
          <w:t>41</w:t>
        </w:r>
        <w:r>
          <w:rPr>
            <w:webHidden/>
          </w:rPr>
          <w:fldChar w:fldCharType="end"/>
        </w:r>
      </w:hyperlink>
    </w:p>
    <w:p w14:paraId="541B42EB" w14:textId="621404E6"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416" w:history="1">
        <w:r w:rsidRPr="00A72674">
          <w:rPr>
            <w:rStyle w:val="Hyperlink"/>
          </w:rPr>
          <w:t>Change in commencements by industry</w:t>
        </w:r>
        <w:r>
          <w:rPr>
            <w:webHidden/>
          </w:rPr>
          <w:tab/>
        </w:r>
        <w:r>
          <w:rPr>
            <w:webHidden/>
          </w:rPr>
          <w:fldChar w:fldCharType="begin"/>
        </w:r>
        <w:r>
          <w:rPr>
            <w:webHidden/>
          </w:rPr>
          <w:instrText xml:space="preserve"> PAGEREF _Toc176782416 \h </w:instrText>
        </w:r>
        <w:r>
          <w:rPr>
            <w:webHidden/>
          </w:rPr>
        </w:r>
        <w:r>
          <w:rPr>
            <w:webHidden/>
          </w:rPr>
          <w:fldChar w:fldCharType="separate"/>
        </w:r>
        <w:r w:rsidR="0073396C">
          <w:rPr>
            <w:webHidden/>
          </w:rPr>
          <w:t>43</w:t>
        </w:r>
        <w:r>
          <w:rPr>
            <w:webHidden/>
          </w:rPr>
          <w:fldChar w:fldCharType="end"/>
        </w:r>
      </w:hyperlink>
    </w:p>
    <w:p w14:paraId="34E31135" w14:textId="4773348D"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417" w:history="1">
        <w:r w:rsidRPr="00A72674">
          <w:rPr>
            <w:rStyle w:val="Hyperlink"/>
          </w:rPr>
          <w:t>Appendix D: Progressed commencements</w:t>
        </w:r>
        <w:r>
          <w:rPr>
            <w:webHidden/>
          </w:rPr>
          <w:tab/>
        </w:r>
        <w:r>
          <w:rPr>
            <w:webHidden/>
          </w:rPr>
          <w:fldChar w:fldCharType="begin"/>
        </w:r>
        <w:r>
          <w:rPr>
            <w:webHidden/>
          </w:rPr>
          <w:instrText xml:space="preserve"> PAGEREF _Toc176782417 \h </w:instrText>
        </w:r>
        <w:r>
          <w:rPr>
            <w:webHidden/>
          </w:rPr>
        </w:r>
        <w:r>
          <w:rPr>
            <w:webHidden/>
          </w:rPr>
          <w:fldChar w:fldCharType="separate"/>
        </w:r>
        <w:r w:rsidR="0073396C">
          <w:rPr>
            <w:webHidden/>
          </w:rPr>
          <w:t>44</w:t>
        </w:r>
        <w:r>
          <w:rPr>
            <w:webHidden/>
          </w:rPr>
          <w:fldChar w:fldCharType="end"/>
        </w:r>
      </w:hyperlink>
    </w:p>
    <w:p w14:paraId="0617DDF2" w14:textId="74A3B8EE"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418" w:history="1">
        <w:r w:rsidRPr="00A72674">
          <w:rPr>
            <w:rStyle w:val="Hyperlink"/>
          </w:rPr>
          <w:t>Descriptive statistics of progressed commencements</w:t>
        </w:r>
        <w:r>
          <w:rPr>
            <w:webHidden/>
          </w:rPr>
          <w:tab/>
        </w:r>
        <w:r>
          <w:rPr>
            <w:webHidden/>
          </w:rPr>
          <w:fldChar w:fldCharType="begin"/>
        </w:r>
        <w:r>
          <w:rPr>
            <w:webHidden/>
          </w:rPr>
          <w:instrText xml:space="preserve"> PAGEREF _Toc176782418 \h </w:instrText>
        </w:r>
        <w:r>
          <w:rPr>
            <w:webHidden/>
          </w:rPr>
        </w:r>
        <w:r>
          <w:rPr>
            <w:webHidden/>
          </w:rPr>
          <w:fldChar w:fldCharType="separate"/>
        </w:r>
        <w:r w:rsidR="0073396C">
          <w:rPr>
            <w:webHidden/>
          </w:rPr>
          <w:t>44</w:t>
        </w:r>
        <w:r>
          <w:rPr>
            <w:webHidden/>
          </w:rPr>
          <w:fldChar w:fldCharType="end"/>
        </w:r>
      </w:hyperlink>
    </w:p>
    <w:p w14:paraId="5CAA4F86" w14:textId="6EB8D96B" w:rsidR="008C3632" w:rsidRDefault="008C3632">
      <w:pPr>
        <w:pStyle w:val="TOC2"/>
        <w:rPr>
          <w:rFonts w:asciiTheme="minorHAnsi" w:eastAsiaTheme="minorEastAsia" w:hAnsiTheme="minorHAnsi" w:cstheme="minorBidi"/>
          <w:color w:val="auto"/>
          <w:kern w:val="2"/>
          <w:sz w:val="24"/>
          <w:szCs w:val="24"/>
          <w14:ligatures w14:val="standardContextual"/>
        </w:rPr>
      </w:pPr>
      <w:hyperlink w:anchor="_Toc176782419" w:history="1">
        <w:r w:rsidRPr="00A72674">
          <w:rPr>
            <w:rStyle w:val="Hyperlink"/>
          </w:rPr>
          <w:t>Econometric modelling of progressed commencements</w:t>
        </w:r>
        <w:r>
          <w:rPr>
            <w:webHidden/>
          </w:rPr>
          <w:tab/>
        </w:r>
        <w:r>
          <w:rPr>
            <w:webHidden/>
          </w:rPr>
          <w:fldChar w:fldCharType="begin"/>
        </w:r>
        <w:r>
          <w:rPr>
            <w:webHidden/>
          </w:rPr>
          <w:instrText xml:space="preserve"> PAGEREF _Toc176782419 \h </w:instrText>
        </w:r>
        <w:r>
          <w:rPr>
            <w:webHidden/>
          </w:rPr>
        </w:r>
        <w:r>
          <w:rPr>
            <w:webHidden/>
          </w:rPr>
          <w:fldChar w:fldCharType="separate"/>
        </w:r>
        <w:r w:rsidR="0073396C">
          <w:rPr>
            <w:webHidden/>
          </w:rPr>
          <w:t>44</w:t>
        </w:r>
        <w:r>
          <w:rPr>
            <w:webHidden/>
          </w:rPr>
          <w:fldChar w:fldCharType="end"/>
        </w:r>
      </w:hyperlink>
    </w:p>
    <w:p w14:paraId="0471E684" w14:textId="10A2C397"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422" w:history="1">
        <w:r w:rsidRPr="00A72674">
          <w:rPr>
            <w:rStyle w:val="Hyperlink"/>
            <w:spacing w:val="-4"/>
          </w:rPr>
          <w:t>Appendix E: Review of previous evaluations of apprentice wage subsidy programs</w:t>
        </w:r>
        <w:r>
          <w:rPr>
            <w:webHidden/>
          </w:rPr>
          <w:tab/>
        </w:r>
        <w:r>
          <w:rPr>
            <w:webHidden/>
          </w:rPr>
          <w:fldChar w:fldCharType="begin"/>
        </w:r>
        <w:r>
          <w:rPr>
            <w:webHidden/>
          </w:rPr>
          <w:instrText xml:space="preserve"> PAGEREF _Toc176782422 \h </w:instrText>
        </w:r>
        <w:r>
          <w:rPr>
            <w:webHidden/>
          </w:rPr>
        </w:r>
        <w:r>
          <w:rPr>
            <w:webHidden/>
          </w:rPr>
          <w:fldChar w:fldCharType="separate"/>
        </w:r>
        <w:r w:rsidR="0073396C">
          <w:rPr>
            <w:webHidden/>
          </w:rPr>
          <w:t>47</w:t>
        </w:r>
        <w:r>
          <w:rPr>
            <w:webHidden/>
          </w:rPr>
          <w:fldChar w:fldCharType="end"/>
        </w:r>
      </w:hyperlink>
    </w:p>
    <w:p w14:paraId="20A50CE1" w14:textId="6AE45C2A" w:rsidR="008C3632" w:rsidRDefault="008C3632">
      <w:pPr>
        <w:pStyle w:val="TOC1"/>
        <w:rPr>
          <w:rFonts w:asciiTheme="minorHAnsi" w:eastAsiaTheme="minorEastAsia" w:hAnsiTheme="minorHAnsi" w:cstheme="minorBidi"/>
          <w:b w:val="0"/>
          <w:color w:val="auto"/>
          <w:kern w:val="2"/>
          <w:sz w:val="24"/>
          <w:szCs w:val="24"/>
          <w14:ligatures w14:val="standardContextual"/>
        </w:rPr>
      </w:pPr>
      <w:hyperlink w:anchor="_Toc176782423" w:history="1">
        <w:r w:rsidRPr="00A72674">
          <w:rPr>
            <w:rStyle w:val="Hyperlink"/>
          </w:rPr>
          <w:t>References</w:t>
        </w:r>
        <w:r>
          <w:rPr>
            <w:webHidden/>
          </w:rPr>
          <w:tab/>
        </w:r>
        <w:r>
          <w:rPr>
            <w:webHidden/>
          </w:rPr>
          <w:fldChar w:fldCharType="begin"/>
        </w:r>
        <w:r>
          <w:rPr>
            <w:webHidden/>
          </w:rPr>
          <w:instrText xml:space="preserve"> PAGEREF _Toc176782423 \h </w:instrText>
        </w:r>
        <w:r>
          <w:rPr>
            <w:webHidden/>
          </w:rPr>
        </w:r>
        <w:r>
          <w:rPr>
            <w:webHidden/>
          </w:rPr>
          <w:fldChar w:fldCharType="separate"/>
        </w:r>
        <w:r w:rsidR="0073396C">
          <w:rPr>
            <w:webHidden/>
          </w:rPr>
          <w:t>49</w:t>
        </w:r>
        <w:r>
          <w:rPr>
            <w:webHidden/>
          </w:rPr>
          <w:fldChar w:fldCharType="end"/>
        </w:r>
      </w:hyperlink>
    </w:p>
    <w:p w14:paraId="492B2251" w14:textId="2662F9A9" w:rsidR="00F836F9" w:rsidRDefault="000E0B74" w:rsidP="007574A3">
      <w:pPr>
        <w:pStyle w:val="SingleParagraph"/>
        <w:ind w:right="-2"/>
      </w:pPr>
      <w:r>
        <w:fldChar w:fldCharType="end"/>
      </w:r>
      <w:bookmarkStart w:id="8" w:name="_Toc432067103"/>
      <w:bookmarkStart w:id="9" w:name="_Toc452635030"/>
      <w:bookmarkEnd w:id="0"/>
      <w:bookmarkEnd w:id="1"/>
      <w:bookmarkEnd w:id="2"/>
      <w:bookmarkEnd w:id="3"/>
    </w:p>
    <w:p w14:paraId="07C9670F" w14:textId="7355E65F" w:rsidR="00B775EE" w:rsidRPr="00347CAA" w:rsidRDefault="00B775EE" w:rsidP="007574A3">
      <w:pPr>
        <w:pStyle w:val="Instructions"/>
        <w:ind w:left="0" w:firstLine="0"/>
        <w:sectPr w:rsidR="00B775EE" w:rsidRPr="00347CAA" w:rsidSect="006B3A76">
          <w:footerReference w:type="even" r:id="rId15"/>
          <w:footerReference w:type="default" r:id="rId16"/>
          <w:headerReference w:type="first" r:id="rId17"/>
          <w:footerReference w:type="first" r:id="rId18"/>
          <w:pgSz w:w="11906" w:h="16838" w:code="9"/>
          <w:pgMar w:top="1843" w:right="1418" w:bottom="1418" w:left="1418" w:header="709" w:footer="709" w:gutter="0"/>
          <w:pgNumType w:fmt="lowerRoman" w:start="0"/>
          <w:cols w:space="708"/>
          <w:titlePg/>
          <w:docGrid w:linePitch="360"/>
        </w:sectPr>
      </w:pPr>
    </w:p>
    <w:p w14:paraId="7D83B141" w14:textId="675C145B" w:rsidR="001B6394" w:rsidRDefault="00027213" w:rsidP="00E7038C">
      <w:pPr>
        <w:pStyle w:val="Heading1"/>
        <w:spacing w:before="0" w:line="240" w:lineRule="auto"/>
      </w:pPr>
      <w:bookmarkStart w:id="10" w:name="_Toc176782340"/>
      <w:bookmarkStart w:id="11" w:name="abstract"/>
      <w:bookmarkEnd w:id="8"/>
      <w:bookmarkEnd w:id="9"/>
      <w:r>
        <w:lastRenderedPageBreak/>
        <w:t>Executive summary</w:t>
      </w:r>
      <w:bookmarkEnd w:id="10"/>
    </w:p>
    <w:p w14:paraId="3AA7F5C7" w14:textId="04E1016E" w:rsidR="00C758F2" w:rsidRDefault="00C758F2" w:rsidP="007574A3">
      <w:pPr>
        <w:rPr>
          <w:rStyle w:val="Emphasis"/>
          <w:rFonts w:cs="Calibri Light"/>
          <w:i w:val="0"/>
          <w:szCs w:val="22"/>
        </w:rPr>
      </w:pPr>
      <w:r w:rsidRPr="00EE38D8">
        <w:rPr>
          <w:b/>
          <w:bCs/>
        </w:rPr>
        <w:t>Program background:</w:t>
      </w:r>
      <w:r>
        <w:t xml:space="preserve"> The Boosting Apprenticeship Commencements (BAC) program was introduced in October 2020 </w:t>
      </w:r>
      <w:r w:rsidRPr="00F4176D">
        <w:rPr>
          <w:rFonts w:cs="Calibri Light"/>
        </w:rPr>
        <w:t>to support</w:t>
      </w:r>
      <w:r>
        <w:t xml:space="preserve"> businesses </w:t>
      </w:r>
      <w:r w:rsidR="00571E5D">
        <w:t xml:space="preserve">to </w:t>
      </w:r>
      <w:r>
        <w:t xml:space="preserve">take on Australian Apprentices during the COVID-19 pandemic. The BAC program provided a 50 per cent wage </w:t>
      </w:r>
      <w:r w:rsidRPr="00253984">
        <w:rPr>
          <w:rFonts w:cs="Calibri Light"/>
        </w:rPr>
        <w:t xml:space="preserve">subsidy </w:t>
      </w:r>
      <w:r>
        <w:rPr>
          <w:rFonts w:cs="Calibri Light"/>
        </w:rPr>
        <w:t xml:space="preserve">over 12 months from the date of commencement up to </w:t>
      </w:r>
      <w:r w:rsidRPr="0053291D">
        <w:rPr>
          <w:rStyle w:val="Emphasis"/>
          <w:rFonts w:cs="Calibri Light"/>
          <w:i w:val="0"/>
          <w:szCs w:val="22"/>
        </w:rPr>
        <w:t xml:space="preserve">a maximum of $7,000 per eligible </w:t>
      </w:r>
      <w:r>
        <w:rPr>
          <w:rStyle w:val="Emphasis"/>
          <w:rFonts w:cs="Calibri Light"/>
          <w:i w:val="0"/>
          <w:szCs w:val="22"/>
        </w:rPr>
        <w:t>apprentice or trainee (</w:t>
      </w:r>
      <w:r w:rsidRPr="0053291D">
        <w:rPr>
          <w:rStyle w:val="Emphasis"/>
          <w:rFonts w:cs="Calibri Light"/>
          <w:i w:val="0"/>
          <w:szCs w:val="22"/>
        </w:rPr>
        <w:t>Australian Apprentice</w:t>
      </w:r>
      <w:r>
        <w:rPr>
          <w:rStyle w:val="Emphasis"/>
          <w:rFonts w:cs="Calibri Light"/>
          <w:i w:val="0"/>
          <w:szCs w:val="22"/>
        </w:rPr>
        <w:t>)</w:t>
      </w:r>
      <w:r w:rsidRPr="0053291D">
        <w:rPr>
          <w:rStyle w:val="Emphasis"/>
          <w:rFonts w:cs="Calibri Light"/>
          <w:i w:val="0"/>
          <w:szCs w:val="22"/>
        </w:rPr>
        <w:t xml:space="preserve"> per quarter</w:t>
      </w:r>
      <w:r w:rsidR="00AB75D5">
        <w:rPr>
          <w:rStyle w:val="Emphasis"/>
          <w:rFonts w:cs="Calibri Light"/>
          <w:i w:val="0"/>
          <w:szCs w:val="22"/>
        </w:rPr>
        <w:t>. Th</w:t>
      </w:r>
      <w:r w:rsidR="00BE1E9B">
        <w:rPr>
          <w:rStyle w:val="Emphasis"/>
          <w:rFonts w:cs="Calibri Light"/>
          <w:i w:val="0"/>
          <w:szCs w:val="22"/>
        </w:rPr>
        <w:t>is wage</w:t>
      </w:r>
      <w:r w:rsidR="00AB75D5">
        <w:rPr>
          <w:rStyle w:val="Emphasis"/>
          <w:rFonts w:cs="Calibri Light"/>
          <w:i w:val="0"/>
          <w:szCs w:val="22"/>
        </w:rPr>
        <w:t xml:space="preserve"> subsidy</w:t>
      </w:r>
      <w:r w:rsidR="00BE1E9B">
        <w:rPr>
          <w:rStyle w:val="Emphasis"/>
          <w:rFonts w:cs="Calibri Light"/>
          <w:i w:val="0"/>
          <w:szCs w:val="22"/>
        </w:rPr>
        <w:t xml:space="preserve"> was applied</w:t>
      </w:r>
      <w:r w:rsidRPr="00D9470A">
        <w:rPr>
          <w:rFonts w:cs="Calibri Light"/>
        </w:rPr>
        <w:t xml:space="preserve"> </w:t>
      </w:r>
      <w:r>
        <w:rPr>
          <w:rFonts w:cs="Calibri Light"/>
        </w:rPr>
        <w:t>for employers of Australian Apprentices engaged between 5 October 2020 and 30 June 2022</w:t>
      </w:r>
      <w:r>
        <w:rPr>
          <w:rStyle w:val="Emphasis"/>
          <w:rFonts w:cs="Calibri Light"/>
          <w:i w:val="0"/>
          <w:szCs w:val="22"/>
        </w:rPr>
        <w:t>. The Completing Apprenticeships Commencements (CAC</w:t>
      </w:r>
      <w:r w:rsidR="00E70AFF">
        <w:rPr>
          <w:rStyle w:val="Emphasis"/>
          <w:rFonts w:cs="Calibri Light"/>
          <w:i w:val="0"/>
          <w:szCs w:val="22"/>
        </w:rPr>
        <w:t>)</w:t>
      </w:r>
      <w:r>
        <w:rPr>
          <w:rStyle w:val="Emphasis"/>
          <w:rFonts w:cs="Calibri Light"/>
          <w:i w:val="0"/>
          <w:szCs w:val="22"/>
        </w:rPr>
        <w:t xml:space="preserve"> program was announced as part of the </w:t>
      </w:r>
      <w:r w:rsidRPr="00E314E4">
        <w:rPr>
          <w:rStyle w:val="Emphasis"/>
          <w:rFonts w:cs="Calibri Light"/>
          <w:i w:val="0"/>
          <w:szCs w:val="22"/>
        </w:rPr>
        <w:t xml:space="preserve">2021-22 </w:t>
      </w:r>
      <w:r w:rsidR="005E3A95">
        <w:rPr>
          <w:rStyle w:val="Emphasis"/>
          <w:rFonts w:cs="Calibri Light"/>
          <w:i w:val="0"/>
          <w:szCs w:val="22"/>
        </w:rPr>
        <w:t>Mid-Year Economic and Fiscal Outlook</w:t>
      </w:r>
      <w:r w:rsidR="005E3A95" w:rsidRPr="00E314E4">
        <w:rPr>
          <w:rStyle w:val="Emphasis"/>
          <w:rFonts w:cs="Calibri Light"/>
          <w:i w:val="0"/>
          <w:szCs w:val="22"/>
        </w:rPr>
        <w:t xml:space="preserve"> </w:t>
      </w:r>
      <w:r>
        <w:rPr>
          <w:rStyle w:val="Emphasis"/>
          <w:rFonts w:cs="Calibri Light"/>
          <w:i w:val="0"/>
          <w:szCs w:val="22"/>
        </w:rPr>
        <w:t>and provided a tapered wage subsidy of 10 per cent for the period 12-24 months from the date of commencement, and 5 per cent for the period 24-36 months from the date of commencement.</w:t>
      </w:r>
    </w:p>
    <w:p w14:paraId="262154DE" w14:textId="2AF03D14" w:rsidR="000775F2" w:rsidRDefault="005017FC" w:rsidP="007574A3">
      <w:r>
        <w:t xml:space="preserve">This rapid evaluation of the </w:t>
      </w:r>
      <w:r w:rsidR="00C758F2">
        <w:t xml:space="preserve">BAC and </w:t>
      </w:r>
      <w:r>
        <w:t xml:space="preserve">CAC programs was prepared by the Department of the Treasury for the Strategic Review of the Australian Apprenticeship Incentive System led by </w:t>
      </w:r>
      <w:r w:rsidR="00C758F2">
        <w:t xml:space="preserve">the Honourable </w:t>
      </w:r>
      <w:r>
        <w:t xml:space="preserve">Justice Iain Ross AO and </w:t>
      </w:r>
      <w:r w:rsidR="00C758F2">
        <w:t xml:space="preserve">Ms </w:t>
      </w:r>
      <w:r>
        <w:t xml:space="preserve">Lisa Paul AO PSM. </w:t>
      </w:r>
      <w:r w:rsidR="008B75D5">
        <w:t xml:space="preserve">The </w:t>
      </w:r>
      <w:r w:rsidR="00634EE2">
        <w:t>evaluatio</w:t>
      </w:r>
      <w:r w:rsidR="00AF174B">
        <w:t xml:space="preserve">n sought to answer </w:t>
      </w:r>
      <w:r w:rsidR="00AB000E">
        <w:t xml:space="preserve">8 </w:t>
      </w:r>
      <w:r w:rsidR="00AF174B">
        <w:t xml:space="preserve">key questions related to </w:t>
      </w:r>
      <w:r w:rsidR="00E0281C">
        <w:t>the programs</w:t>
      </w:r>
      <w:r w:rsidR="00E4482E">
        <w:t>’</w:t>
      </w:r>
      <w:r w:rsidR="00E0281C">
        <w:t xml:space="preserve"> impact on commencements and completions, the characteristics of the apprentices and employers that took part in the program, and the cost effectiveness of the </w:t>
      </w:r>
      <w:r w:rsidR="00C758F2">
        <w:t>programs.</w:t>
      </w:r>
      <w:r w:rsidR="00E0281C">
        <w:t xml:space="preserve"> </w:t>
      </w:r>
      <w:r w:rsidR="008B75D5">
        <w:t xml:space="preserve">The evaluation was undertaken between April and July 2024. </w:t>
      </w:r>
    </w:p>
    <w:p w14:paraId="6BB08911" w14:textId="7E3FA809" w:rsidR="001C46D1" w:rsidRDefault="00A9278C" w:rsidP="007574A3">
      <w:r>
        <w:rPr>
          <w:b/>
          <w:bCs/>
        </w:rPr>
        <w:t>Evaluation approach</w:t>
      </w:r>
      <w:r w:rsidR="00F50260">
        <w:rPr>
          <w:b/>
          <w:bCs/>
        </w:rPr>
        <w:t xml:space="preserve">: </w:t>
      </w:r>
      <w:r w:rsidR="00F50260">
        <w:t>This evaluation took a mixed-methods approach</w:t>
      </w:r>
      <w:r w:rsidR="001B44E3">
        <w:t xml:space="preserve">. </w:t>
      </w:r>
      <w:r w:rsidR="002A548F">
        <w:t>The evaluation team</w:t>
      </w:r>
      <w:r w:rsidR="003226EA">
        <w:t xml:space="preserve"> </w:t>
      </w:r>
      <w:r w:rsidR="005244A6">
        <w:t>analysed</w:t>
      </w:r>
      <w:r w:rsidR="001B44E3">
        <w:t xml:space="preserve"> administrative data, built</w:t>
      </w:r>
      <w:r w:rsidR="00F50260">
        <w:t xml:space="preserve"> </w:t>
      </w:r>
      <w:r w:rsidR="00D800E6">
        <w:t>a time-series event study model of quarterly commencement</w:t>
      </w:r>
      <w:r w:rsidR="005177CA">
        <w:t>s</w:t>
      </w:r>
      <w:r w:rsidR="001C46D1">
        <w:t xml:space="preserve">, </w:t>
      </w:r>
      <w:r w:rsidR="0028612C">
        <w:t>and built a</w:t>
      </w:r>
      <w:r w:rsidR="001C46D1">
        <w:t xml:space="preserve"> probit model of an individual’s likelihood of </w:t>
      </w:r>
      <w:r w:rsidR="00AD62C0">
        <w:t>c</w:t>
      </w:r>
      <w:r w:rsidR="000A2E34">
        <w:t>ontinuing their training.</w:t>
      </w:r>
      <w:r w:rsidR="007D42E1">
        <w:t xml:space="preserve"> </w:t>
      </w:r>
      <w:r w:rsidR="00B40B7F">
        <w:t xml:space="preserve">A time-series event study model of quarterly ‘progressed commencements’ was used to </w:t>
      </w:r>
      <w:proofErr w:type="gramStart"/>
      <w:r w:rsidR="00B40B7F">
        <w:t>take into account</w:t>
      </w:r>
      <w:proofErr w:type="gramEnd"/>
      <w:r w:rsidR="00B40B7F">
        <w:t xml:space="preserve"> the effects of cancellations (</w:t>
      </w:r>
      <w:r w:rsidR="009D46C4">
        <w:t>included in appendices)</w:t>
      </w:r>
      <w:r w:rsidR="00B40B7F">
        <w:t xml:space="preserve">. </w:t>
      </w:r>
      <w:r w:rsidR="00435FA5">
        <w:t xml:space="preserve">This analysis was supported by a review of the existing literature on wage subsidies for apprenticeships, and interviews with selected stakeholders. </w:t>
      </w:r>
    </w:p>
    <w:p w14:paraId="37CDE05D" w14:textId="77777777" w:rsidR="00BB03D8" w:rsidRDefault="00EE38D8" w:rsidP="007574A3">
      <w:r w:rsidRPr="00EE38D8">
        <w:rPr>
          <w:b/>
          <w:bCs/>
        </w:rPr>
        <w:t>Effects o</w:t>
      </w:r>
      <w:r w:rsidR="00F65F30">
        <w:rPr>
          <w:b/>
          <w:bCs/>
        </w:rPr>
        <w:t xml:space="preserve">n </w:t>
      </w:r>
      <w:r w:rsidR="009C45A1">
        <w:rPr>
          <w:b/>
          <w:bCs/>
        </w:rPr>
        <w:t>Australian A</w:t>
      </w:r>
      <w:r w:rsidR="00FC13D0">
        <w:rPr>
          <w:b/>
          <w:bCs/>
        </w:rPr>
        <w:t>pprentice</w:t>
      </w:r>
      <w:r w:rsidR="009C45A1">
        <w:rPr>
          <w:b/>
          <w:bCs/>
        </w:rPr>
        <w:t>ship</w:t>
      </w:r>
      <w:r w:rsidR="00F65F30">
        <w:rPr>
          <w:b/>
          <w:bCs/>
        </w:rPr>
        <w:t xml:space="preserve"> commencements</w:t>
      </w:r>
      <w:r w:rsidRPr="00EE38D8">
        <w:rPr>
          <w:b/>
          <w:bCs/>
        </w:rPr>
        <w:t>:</w:t>
      </w:r>
      <w:r>
        <w:t xml:space="preserve"> </w:t>
      </w:r>
      <w:r w:rsidR="00E80CE8">
        <w:t>Overall, t</w:t>
      </w:r>
      <w:r w:rsidR="001B6394">
        <w:t>he BAC program had a large positive effect on apprenticeship and traineeship</w:t>
      </w:r>
      <w:r w:rsidR="006C1EC4">
        <w:t xml:space="preserve"> (Australian Apprenticeship)</w:t>
      </w:r>
      <w:r w:rsidR="001B6394">
        <w:t xml:space="preserve"> </w:t>
      </w:r>
      <w:r w:rsidR="001B6394" w:rsidRPr="00F65F30">
        <w:t xml:space="preserve">commencements. </w:t>
      </w:r>
      <w:r w:rsidR="004201EE" w:rsidRPr="00F65F30">
        <w:t>There were about 19</w:t>
      </w:r>
      <w:r w:rsidR="004201EE">
        <w:t>1</w:t>
      </w:r>
      <w:r w:rsidR="001B6394" w:rsidRPr="00F65F30">
        <w:t>,000 (between 1</w:t>
      </w:r>
      <w:r w:rsidR="001860D1" w:rsidRPr="00F65F30">
        <w:t>60</w:t>
      </w:r>
      <w:r w:rsidR="001B6394" w:rsidRPr="00F65F30">
        <w:t xml:space="preserve">,000-220,000) additional commencements </w:t>
      </w:r>
      <w:r w:rsidR="006031E4" w:rsidRPr="00F65F30">
        <w:t xml:space="preserve">during </w:t>
      </w:r>
      <w:r w:rsidR="001B6394" w:rsidRPr="00F65F30">
        <w:t>the 7</w:t>
      </w:r>
      <w:r w:rsidR="006031E4" w:rsidRPr="00F65F30">
        <w:t xml:space="preserve"> calendar </w:t>
      </w:r>
      <w:r w:rsidR="001B6394" w:rsidRPr="00F65F30">
        <w:t>quarter</w:t>
      </w:r>
      <w:r w:rsidR="006031E4" w:rsidRPr="00F65F30">
        <w:t>s that the</w:t>
      </w:r>
      <w:r w:rsidR="001B6394" w:rsidRPr="00F65F30">
        <w:t xml:space="preserve"> BAC </w:t>
      </w:r>
      <w:r w:rsidR="6E00BB72" w:rsidRPr="00F65F30">
        <w:t xml:space="preserve">program </w:t>
      </w:r>
      <w:r w:rsidR="006031E4" w:rsidRPr="00F65F30">
        <w:t>was open to entrants</w:t>
      </w:r>
      <w:r w:rsidR="00375395" w:rsidRPr="00F65F30">
        <w:t xml:space="preserve">, compared to what </w:t>
      </w:r>
      <w:r w:rsidR="00BA4284">
        <w:t xml:space="preserve">modelling suggests </w:t>
      </w:r>
      <w:r w:rsidR="00375395" w:rsidRPr="00F65F30">
        <w:t xml:space="preserve">would have been expected without </w:t>
      </w:r>
      <w:r w:rsidR="000F3D49">
        <w:t>BAC</w:t>
      </w:r>
      <w:r w:rsidR="00375395" w:rsidRPr="00F65F30">
        <w:t>.</w:t>
      </w:r>
      <w:r w:rsidR="00212526" w:rsidRPr="00F65F30">
        <w:t xml:space="preserve"> </w:t>
      </w:r>
      <w:r w:rsidR="00E2142C" w:rsidRPr="00F65F30">
        <w:t xml:space="preserve">This was an increase of about </w:t>
      </w:r>
      <w:r w:rsidR="000C1084" w:rsidRPr="00F65F30">
        <w:t>70</w:t>
      </w:r>
      <w:r w:rsidR="00E2142C" w:rsidRPr="00F65F30">
        <w:t xml:space="preserve"> per cent on the level of commencements that</w:t>
      </w:r>
      <w:r w:rsidR="00D527C9" w:rsidRPr="00F65F30">
        <w:t xml:space="preserve"> modelling suggests would have occurred in the absence of the BAC.</w:t>
      </w:r>
      <w:r w:rsidR="00E2142C" w:rsidRPr="00F65F30">
        <w:t xml:space="preserve"> </w:t>
      </w:r>
    </w:p>
    <w:p w14:paraId="702510F8" w14:textId="77777777" w:rsidR="00027213" w:rsidRPr="00027213" w:rsidRDefault="00B125F8" w:rsidP="007574A3">
      <w:r w:rsidRPr="00F65F30">
        <w:t xml:space="preserve">The </w:t>
      </w:r>
      <w:r>
        <w:t>increase in commencements was especially pronounced amongst non</w:t>
      </w:r>
      <w:r w:rsidR="143E356A">
        <w:t>-</w:t>
      </w:r>
      <w:r>
        <w:t>trade occupations (</w:t>
      </w:r>
      <w:r w:rsidR="004201EE">
        <w:t>114,000) but was also observed in trade occupations (77,000).</w:t>
      </w:r>
      <w:r w:rsidR="003E614D">
        <w:t xml:space="preserve"> </w:t>
      </w:r>
      <w:r w:rsidR="00C758F2">
        <w:t xml:space="preserve">Since </w:t>
      </w:r>
      <w:proofErr w:type="gramStart"/>
      <w:r w:rsidR="00C758F2">
        <w:t>a majority of</w:t>
      </w:r>
      <w:proofErr w:type="gramEnd"/>
      <w:r w:rsidR="00C758F2">
        <w:t xml:space="preserve"> priority occupations are trade occupations, the increase in commencements were also greater in non-priority occupations than priority occupations.</w:t>
      </w:r>
      <w:r w:rsidR="009C50FE">
        <w:t xml:space="preserve"> The</w:t>
      </w:r>
      <w:r w:rsidR="00C758F2">
        <w:t xml:space="preserve"> program also led to increased commencements</w:t>
      </w:r>
      <w:r w:rsidR="00633747">
        <w:t xml:space="preserve"> among </w:t>
      </w:r>
      <w:r w:rsidR="005637E1">
        <w:t xml:space="preserve">the key cohorts of </w:t>
      </w:r>
      <w:r w:rsidR="00633747">
        <w:t xml:space="preserve">women, </w:t>
      </w:r>
      <w:r w:rsidR="00DA1C84">
        <w:t>First Nations</w:t>
      </w:r>
      <w:r w:rsidR="006D53EE">
        <w:t xml:space="preserve"> people,</w:t>
      </w:r>
      <w:r w:rsidR="00DA1C84">
        <w:t xml:space="preserve"> culturally diverse people, </w:t>
      </w:r>
      <w:r w:rsidR="00633747">
        <w:t xml:space="preserve">people with a disability, </w:t>
      </w:r>
      <w:r w:rsidR="00DA1C84">
        <w:t xml:space="preserve">and </w:t>
      </w:r>
      <w:r w:rsidR="006D53EE">
        <w:t>people over the age of 21</w:t>
      </w:r>
      <w:r w:rsidR="00C758F2">
        <w:t>.</w:t>
      </w:r>
      <w:r w:rsidR="008063D4">
        <w:t xml:space="preserve"> </w:t>
      </w:r>
      <w:r w:rsidR="001B6394">
        <w:t xml:space="preserve">Additional commencements were higher in the first and last quarters of the BAC program. </w:t>
      </w:r>
      <w:r w:rsidR="00CC7C80">
        <w:t xml:space="preserve">These patterns were </w:t>
      </w:r>
      <w:r w:rsidR="001B6394">
        <w:t xml:space="preserve">broadly consistent across states. </w:t>
      </w:r>
    </w:p>
    <w:p w14:paraId="1536B07F" w14:textId="5908FB58" w:rsidR="00F4646E" w:rsidRDefault="00F65F30" w:rsidP="007574A3">
      <w:r w:rsidRPr="00F65F30">
        <w:rPr>
          <w:b/>
          <w:bCs/>
        </w:rPr>
        <w:t>Effects on completion rates:</w:t>
      </w:r>
      <w:r>
        <w:t xml:space="preserve"> </w:t>
      </w:r>
      <w:r w:rsidR="00B25550">
        <w:t>It is too soon to m</w:t>
      </w:r>
      <w:r w:rsidR="00B25550" w:rsidRPr="00F65F30">
        <w:t xml:space="preserve">easure completion rates for </w:t>
      </w:r>
      <w:r w:rsidRPr="00F65F30">
        <w:t>the</w:t>
      </w:r>
      <w:r w:rsidR="00E26CD9">
        <w:t xml:space="preserve"> </w:t>
      </w:r>
      <w:r w:rsidRPr="00F65F30">
        <w:t xml:space="preserve">entire </w:t>
      </w:r>
      <w:r w:rsidR="003C2362">
        <w:t xml:space="preserve">training program </w:t>
      </w:r>
      <w:r w:rsidR="00E26CD9">
        <w:t xml:space="preserve">of </w:t>
      </w:r>
      <w:r w:rsidRPr="00F65F30">
        <w:t xml:space="preserve">the </w:t>
      </w:r>
      <w:r w:rsidR="00B25550" w:rsidRPr="00F65F30">
        <w:t>BAC</w:t>
      </w:r>
      <w:r w:rsidR="00B26343" w:rsidRPr="00F65F30">
        <w:t>/CAC</w:t>
      </w:r>
      <w:r w:rsidR="000E765C" w:rsidRPr="00F65F30">
        <w:t xml:space="preserve"> Australian</w:t>
      </w:r>
      <w:r w:rsidR="007506EA" w:rsidRPr="00F65F30">
        <w:t xml:space="preserve"> </w:t>
      </w:r>
      <w:r w:rsidR="000E765C" w:rsidRPr="00F65F30">
        <w:t>A</w:t>
      </w:r>
      <w:r w:rsidR="007506EA" w:rsidRPr="00F65F30">
        <w:t>pprentices</w:t>
      </w:r>
      <w:r w:rsidR="00262E74" w:rsidRPr="00F65F30">
        <w:t>,</w:t>
      </w:r>
      <w:r w:rsidR="007506EA" w:rsidRPr="00F65F30">
        <w:t xml:space="preserve"> but </w:t>
      </w:r>
      <w:r w:rsidR="009E3FD7" w:rsidRPr="00F65F30">
        <w:t>ca</w:t>
      </w:r>
      <w:r w:rsidR="009E3FD7">
        <w:t xml:space="preserve">ncellation rates </w:t>
      </w:r>
      <w:r w:rsidR="00C758F2">
        <w:t xml:space="preserve">at 18 months </w:t>
      </w:r>
      <w:r w:rsidR="009E3FD7">
        <w:t>provide a proxy measure</w:t>
      </w:r>
      <w:r w:rsidR="007506EA">
        <w:t>.</w:t>
      </w:r>
      <w:r w:rsidR="00911669">
        <w:t xml:space="preserve"> Cancellation rates</w:t>
      </w:r>
      <w:r w:rsidR="00911669" w:rsidRPr="0B5B3ADB">
        <w:rPr>
          <w:b/>
          <w:bCs/>
        </w:rPr>
        <w:t xml:space="preserve"> </w:t>
      </w:r>
      <w:r w:rsidR="00911669">
        <w:t xml:space="preserve">were higher for </w:t>
      </w:r>
      <w:r w:rsidR="00911669" w:rsidRPr="0B5B3ADB">
        <w:rPr>
          <w:i/>
          <w:iCs/>
        </w:rPr>
        <w:t>non-trade</w:t>
      </w:r>
      <w:r w:rsidR="00911669">
        <w:t xml:space="preserve"> commencements (7%</w:t>
      </w:r>
      <w:r w:rsidR="00DD1320">
        <w:t xml:space="preserve"> increase</w:t>
      </w:r>
      <w:r w:rsidR="00911669">
        <w:t xml:space="preserve">) during BAC, but slightly lower for trade commencements </w:t>
      </w:r>
      <w:r w:rsidR="00B73740">
        <w:t>(</w:t>
      </w:r>
      <w:r w:rsidR="002F6DAB">
        <w:t>0.7</w:t>
      </w:r>
      <w:r w:rsidR="00B73740">
        <w:t>%</w:t>
      </w:r>
      <w:r w:rsidR="00DD1320">
        <w:t xml:space="preserve"> decrease</w:t>
      </w:r>
      <w:r w:rsidR="00B73740">
        <w:t>)</w:t>
      </w:r>
      <w:r w:rsidR="00911669">
        <w:t>.</w:t>
      </w:r>
      <w:r w:rsidR="00C36B4C">
        <w:t xml:space="preserve"> </w:t>
      </w:r>
    </w:p>
    <w:p w14:paraId="12F9D667" w14:textId="4E5C4FBD" w:rsidR="003426EB" w:rsidRDefault="001E607A" w:rsidP="007574A3">
      <w:r>
        <w:rPr>
          <w:b/>
          <w:bCs/>
        </w:rPr>
        <w:t xml:space="preserve">Evidence of </w:t>
      </w:r>
      <w:r w:rsidR="007C61BC">
        <w:rPr>
          <w:b/>
          <w:bCs/>
        </w:rPr>
        <w:t>‘</w:t>
      </w:r>
      <w:r>
        <w:rPr>
          <w:b/>
          <w:bCs/>
        </w:rPr>
        <w:t>sharp practice</w:t>
      </w:r>
      <w:r w:rsidR="007C61BC">
        <w:rPr>
          <w:b/>
          <w:bCs/>
        </w:rPr>
        <w:t>’</w:t>
      </w:r>
      <w:r>
        <w:rPr>
          <w:b/>
          <w:bCs/>
        </w:rPr>
        <w:t xml:space="preserve">: </w:t>
      </w:r>
      <w:r>
        <w:t xml:space="preserve">A </w:t>
      </w:r>
      <w:r w:rsidR="00787AF0">
        <w:t xml:space="preserve">likely explanation </w:t>
      </w:r>
      <w:r>
        <w:t>for the elevated cancellation rates in non-trade</w:t>
      </w:r>
      <w:r w:rsidR="0097362E">
        <w:t xml:space="preserve"> apprenticeship</w:t>
      </w:r>
      <w:r>
        <w:t xml:space="preserve">s was </w:t>
      </w:r>
      <w:r w:rsidR="00AA7DD3">
        <w:t xml:space="preserve">that many of these commencements </w:t>
      </w:r>
      <w:r w:rsidR="00C758F2">
        <w:t>may have been opportunistic, motivated more by the 50% wage subsidy than by</w:t>
      </w:r>
      <w:r w:rsidR="00384D9A">
        <w:t xml:space="preserve"> a genuine</w:t>
      </w:r>
      <w:r w:rsidR="00AA7DD3">
        <w:t xml:space="preserve"> </w:t>
      </w:r>
      <w:r w:rsidR="00C758F2">
        <w:t>commitment from the employer and Australian Apprentice to pursue an Australian Apprenticeship. Interview</w:t>
      </w:r>
      <w:r w:rsidR="00E5081F">
        <w:t xml:space="preserve"> participants reported </w:t>
      </w:r>
      <w:r w:rsidR="001A247B">
        <w:t>that</w:t>
      </w:r>
      <w:r w:rsidR="00AA7DD3">
        <w:t xml:space="preserve"> there was </w:t>
      </w:r>
      <w:r w:rsidR="00DE687F">
        <w:t>substantial</w:t>
      </w:r>
      <w:r w:rsidR="00073C84">
        <w:t xml:space="preserve"> </w:t>
      </w:r>
      <w:r w:rsidR="006B5D45">
        <w:t>‘</w:t>
      </w:r>
      <w:r w:rsidR="00073C84">
        <w:t>sharp practice</w:t>
      </w:r>
      <w:r w:rsidR="006B5D45">
        <w:t>’</w:t>
      </w:r>
      <w:r w:rsidR="00AA7DD3">
        <w:t xml:space="preserve"> where businesses </w:t>
      </w:r>
      <w:r w:rsidR="009925F1">
        <w:t xml:space="preserve">converted existing workers to </w:t>
      </w:r>
      <w:r w:rsidR="00C758F2">
        <w:t>Australian Apprenticeships</w:t>
      </w:r>
      <w:r w:rsidR="00384D9A">
        <w:t xml:space="preserve"> for the purpose of receiving the wage subsidy. </w:t>
      </w:r>
      <w:r w:rsidR="00C758F2">
        <w:t>Some of the observed</w:t>
      </w:r>
      <w:r w:rsidR="00B4713D">
        <w:t xml:space="preserve"> sh</w:t>
      </w:r>
      <w:r w:rsidR="004152FE">
        <w:t xml:space="preserve">arp practice </w:t>
      </w:r>
      <w:r w:rsidR="00C758F2">
        <w:t xml:space="preserve">went far enough </w:t>
      </w:r>
      <w:r w:rsidR="00C758F2">
        <w:lastRenderedPageBreak/>
        <w:t xml:space="preserve">for some </w:t>
      </w:r>
      <w:r w:rsidR="004152FE">
        <w:t xml:space="preserve">stakeholders </w:t>
      </w:r>
      <w:r w:rsidR="00C758F2">
        <w:t>to describe</w:t>
      </w:r>
      <w:r w:rsidR="004152FE">
        <w:t xml:space="preserve"> it at as </w:t>
      </w:r>
      <w:r w:rsidR="0019044F">
        <w:t>‘</w:t>
      </w:r>
      <w:r w:rsidR="004152FE">
        <w:t>rorting</w:t>
      </w:r>
      <w:r w:rsidR="0019044F">
        <w:t>’</w:t>
      </w:r>
      <w:r w:rsidR="004152FE">
        <w:t xml:space="preserve">. </w:t>
      </w:r>
      <w:r w:rsidR="00D703A7">
        <w:t>In response</w:t>
      </w:r>
      <w:r w:rsidR="001D2A67">
        <w:t xml:space="preserve"> to</w:t>
      </w:r>
      <w:r w:rsidR="00BE0EFF">
        <w:t xml:space="preserve"> </w:t>
      </w:r>
      <w:r w:rsidR="001D2A67">
        <w:t>these practices</w:t>
      </w:r>
      <w:r w:rsidR="00D703A7">
        <w:t xml:space="preserve">, </w:t>
      </w:r>
      <w:r w:rsidR="001D2A67">
        <w:t xml:space="preserve">the </w:t>
      </w:r>
      <w:r w:rsidR="00D703A7">
        <w:t xml:space="preserve">eligibility criteria </w:t>
      </w:r>
      <w:r w:rsidR="00205870">
        <w:t xml:space="preserve">were </w:t>
      </w:r>
      <w:r w:rsidR="009D5E7F">
        <w:t>tightened for non-trade</w:t>
      </w:r>
      <w:r w:rsidR="00D703A7">
        <w:t xml:space="preserve"> </w:t>
      </w:r>
      <w:r w:rsidR="000E3858">
        <w:t>existing workers</w:t>
      </w:r>
      <w:r w:rsidR="00123535">
        <w:t xml:space="preserve"> within the first few weeks of the program</w:t>
      </w:r>
      <w:r w:rsidR="003426EB">
        <w:t>.</w:t>
      </w:r>
    </w:p>
    <w:p w14:paraId="03A67741" w14:textId="0F802B15" w:rsidR="009D3EB3" w:rsidRPr="00BE3E57" w:rsidRDefault="00A54593" w:rsidP="007574A3">
      <w:pPr>
        <w:rPr>
          <w:b/>
        </w:rPr>
      </w:pPr>
      <w:r w:rsidRPr="00A54593">
        <w:rPr>
          <w:b/>
          <w:bCs/>
        </w:rPr>
        <w:t>Costs and</w:t>
      </w:r>
      <w:r w:rsidR="00FF046C">
        <w:rPr>
          <w:b/>
          <w:bCs/>
        </w:rPr>
        <w:t xml:space="preserve"> </w:t>
      </w:r>
      <w:r w:rsidRPr="00A54593">
        <w:rPr>
          <w:b/>
          <w:bCs/>
        </w:rPr>
        <w:t>cost effectiveness</w:t>
      </w:r>
      <w:r>
        <w:t xml:space="preserve">: </w:t>
      </w:r>
      <w:r w:rsidR="00911557">
        <w:t xml:space="preserve">While the program achieved its intended outcome of </w:t>
      </w:r>
      <w:r w:rsidR="006031E4">
        <w:t xml:space="preserve">increasing </w:t>
      </w:r>
      <w:r w:rsidR="00911557">
        <w:t>commencements, it did so at a significant cost</w:t>
      </w:r>
      <w:r w:rsidR="006031E4">
        <w:t xml:space="preserve">. As </w:t>
      </w:r>
      <w:r w:rsidR="007F5329">
        <w:t>of</w:t>
      </w:r>
      <w:r w:rsidR="006031E4">
        <w:t xml:space="preserve"> 31 </w:t>
      </w:r>
      <w:r w:rsidR="000E765C">
        <w:t>March</w:t>
      </w:r>
      <w:r w:rsidR="006031E4">
        <w:t xml:space="preserve"> 202</w:t>
      </w:r>
      <w:r w:rsidR="000E765C">
        <w:t>4</w:t>
      </w:r>
      <w:r w:rsidR="006031E4">
        <w:t>,</w:t>
      </w:r>
      <w:r w:rsidR="00911557">
        <w:t xml:space="preserve"> </w:t>
      </w:r>
      <w:r w:rsidR="00801B29">
        <w:t xml:space="preserve">over $7.5 billion </w:t>
      </w:r>
      <w:r w:rsidR="006031E4">
        <w:t>in BAC and CAC wage subsidies had been paid. T</w:t>
      </w:r>
      <w:r w:rsidR="00801B29">
        <w:t>he full cost</w:t>
      </w:r>
      <w:r w:rsidR="000E765C">
        <w:t xml:space="preserve"> of these interventions</w:t>
      </w:r>
      <w:r w:rsidR="00801B29">
        <w:t xml:space="preserve"> is currently unknown as CAC payments </w:t>
      </w:r>
      <w:r w:rsidR="003C7B1E">
        <w:t xml:space="preserve">will continue </w:t>
      </w:r>
      <w:r w:rsidR="006C1EC4">
        <w:t>beyond</w:t>
      </w:r>
      <w:r w:rsidR="003C7B1E">
        <w:t xml:space="preserve"> June 202</w:t>
      </w:r>
      <w:r w:rsidR="007932B8">
        <w:t>5</w:t>
      </w:r>
      <w:r w:rsidR="00801B29">
        <w:t xml:space="preserve">. This </w:t>
      </w:r>
      <w:r w:rsidR="00D07DE0">
        <w:t>represents a cost of approximately $40,000 per additional commencement</w:t>
      </w:r>
      <w:r w:rsidR="00C758F2">
        <w:t>,</w:t>
      </w:r>
      <w:r w:rsidR="00D07DE0">
        <w:t xml:space="preserve"> and </w:t>
      </w:r>
      <w:r w:rsidR="009D4A2E">
        <w:t xml:space="preserve">a forecast cost of </w:t>
      </w:r>
      <w:r w:rsidR="00D07DE0" w:rsidRPr="00FC7027">
        <w:t xml:space="preserve">approximately </w:t>
      </w:r>
      <w:r w:rsidR="005041BD" w:rsidRPr="00FC7027">
        <w:t>$</w:t>
      </w:r>
      <w:r w:rsidR="00FC7027" w:rsidRPr="00FC7027">
        <w:t>8</w:t>
      </w:r>
      <w:r w:rsidR="005041BD" w:rsidRPr="00FC7027">
        <w:t xml:space="preserve">0,000 </w:t>
      </w:r>
      <w:r w:rsidR="005041BD">
        <w:t>per additional completion</w:t>
      </w:r>
      <w:r w:rsidR="00C758F2">
        <w:t>.</w:t>
      </w:r>
    </w:p>
    <w:p w14:paraId="6CACDB67" w14:textId="77777777" w:rsidR="004A567D" w:rsidRDefault="004A567D" w:rsidP="007574A3">
      <w:r>
        <w:rPr>
          <w:b/>
          <w:bCs/>
        </w:rPr>
        <w:t>Limitations</w:t>
      </w:r>
      <w:r>
        <w:t>: The evaluation teams’ estimates of the effects of the program on commencements and cancellation rates are based on econometric modelling that attempts to estimate what would have happened in the absence of the BAC and CAC programs. Inevitably, this modelling will not have captured all factors that influence the commencement or retention decisions of employers and Australian Apprentices. However, we are confident that the model gives a good approximation, and the remaining ‘</w:t>
      </w:r>
      <w:proofErr w:type="spellStart"/>
      <w:r>
        <w:t>bias’</w:t>
      </w:r>
      <w:proofErr w:type="spellEnd"/>
      <w:r>
        <w:t xml:space="preserve"> in our estimates is small. </w:t>
      </w:r>
    </w:p>
    <w:p w14:paraId="72B2F5DF" w14:textId="09F8FB12" w:rsidR="004A567D" w:rsidRDefault="004A567D" w:rsidP="007574A3">
      <w:r>
        <w:t xml:space="preserve">Another key caveat relates to the generalisability of </w:t>
      </w:r>
      <w:r w:rsidR="00147578">
        <w:t>the</w:t>
      </w:r>
      <w:r>
        <w:t xml:space="preserve"> results. The BAC and CAC programs were implemented during a time of distinct uncertainty and tight labour market conditions, which may have acted to amplify or reduce the impact of these interventions. This means estimates of the effects might not be accurate in the context of a weaker labour market.</w:t>
      </w:r>
    </w:p>
    <w:p w14:paraId="50078786" w14:textId="15764B04" w:rsidR="008B1A5A" w:rsidRDefault="00067D81" w:rsidP="007574A3">
      <w:r>
        <w:rPr>
          <w:b/>
          <w:bCs/>
        </w:rPr>
        <w:t xml:space="preserve">Lessons for </w:t>
      </w:r>
      <w:r w:rsidR="00C37A11">
        <w:rPr>
          <w:b/>
          <w:bCs/>
        </w:rPr>
        <w:t xml:space="preserve">the design of future policies: </w:t>
      </w:r>
      <w:r w:rsidR="001F1391">
        <w:t xml:space="preserve">There are </w:t>
      </w:r>
      <w:r w:rsidR="00393429">
        <w:t>several lessons from the BAC and CAC program</w:t>
      </w:r>
      <w:r w:rsidR="001F1391">
        <w:t>s</w:t>
      </w:r>
      <w:r w:rsidR="00393429">
        <w:t xml:space="preserve"> that may be </w:t>
      </w:r>
      <w:r w:rsidR="001F1391">
        <w:t>valuable for the design of future policies</w:t>
      </w:r>
      <w:r w:rsidR="00315721">
        <w:t xml:space="preserve">. </w:t>
      </w:r>
      <w:r w:rsidR="00DE6590">
        <w:t>T</w:t>
      </w:r>
      <w:r w:rsidR="00C03DDA">
        <w:t>he</w:t>
      </w:r>
      <w:r w:rsidR="00315721" w:rsidRPr="007D077C">
        <w:t xml:space="preserve"> BAC program was implemented under tight timeframes during a time of distinct economic uncertainty</w:t>
      </w:r>
      <w:r w:rsidR="00C03DDA">
        <w:t>, and so m</w:t>
      </w:r>
      <w:r w:rsidR="00315721" w:rsidRPr="007D077C">
        <w:t>any of these lessons w</w:t>
      </w:r>
      <w:r w:rsidR="00C03DDA">
        <w:t>ould</w:t>
      </w:r>
      <w:r w:rsidR="00315721" w:rsidRPr="007D077C">
        <w:t xml:space="preserve"> not </w:t>
      </w:r>
      <w:r w:rsidR="00C03DDA">
        <w:t xml:space="preserve">have been </w:t>
      </w:r>
      <w:r w:rsidR="00315721" w:rsidRPr="007D077C">
        <w:t>apparent at the time the BAC program was first designed and implemented</w:t>
      </w:r>
      <w:r w:rsidR="00C03DDA">
        <w:t>. Given this context, it is p</w:t>
      </w:r>
      <w:r w:rsidR="00F970B9">
        <w:t xml:space="preserve">articularly important that future policymakers learn from the BAC experience. </w:t>
      </w:r>
    </w:p>
    <w:p w14:paraId="762706E0" w14:textId="08B9C506" w:rsidR="00A07F4D" w:rsidRPr="00C37A11" w:rsidRDefault="00067D81" w:rsidP="00BB7265">
      <w:pPr>
        <w:pStyle w:val="Bullet"/>
      </w:pPr>
      <w:r w:rsidRPr="00BB7265">
        <w:rPr>
          <w:rStyle w:val="Strong"/>
        </w:rPr>
        <w:t xml:space="preserve">Lesson </w:t>
      </w:r>
      <w:r w:rsidR="00D72AA1" w:rsidRPr="00BB7265">
        <w:rPr>
          <w:rStyle w:val="Strong"/>
        </w:rPr>
        <w:t>1</w:t>
      </w:r>
      <w:r w:rsidRPr="00BB7265">
        <w:rPr>
          <w:rStyle w:val="Strong"/>
        </w:rPr>
        <w:t>:</w:t>
      </w:r>
      <w:r w:rsidR="00CA0BEA" w:rsidRPr="00BB7265">
        <w:t xml:space="preserve"> </w:t>
      </w:r>
      <w:r w:rsidR="00A07F4D">
        <w:t xml:space="preserve">If incentive payments are increased substantially, anticipate the risk of sharp practice—behaviour that might be technically within the rules but either unethical or inconsistent with the program’s goals—and design eligibility criteria accordingly. </w:t>
      </w:r>
    </w:p>
    <w:p w14:paraId="523FBD2E" w14:textId="4D86412B" w:rsidR="00A07F4D" w:rsidRPr="00C37A11" w:rsidRDefault="00A07F4D" w:rsidP="00BB7265">
      <w:pPr>
        <w:pStyle w:val="Bullet"/>
      </w:pPr>
      <w:r w:rsidRPr="00BB7265">
        <w:rPr>
          <w:rStyle w:val="Strong"/>
        </w:rPr>
        <w:t>Lesson 2:</w:t>
      </w:r>
      <w:r w:rsidRPr="00BB7265">
        <w:t xml:space="preserve"> </w:t>
      </w:r>
      <w:r>
        <w:t>Recognise the risk of ‘growing pains’ for Service Providers, Registered Training Organisations (RTOs) and Regulators from a rapid, substantial increase in incentive payments.</w:t>
      </w:r>
    </w:p>
    <w:p w14:paraId="12D33276" w14:textId="4597744F" w:rsidR="00D72AA1" w:rsidRPr="00D72AA1" w:rsidRDefault="00067D81" w:rsidP="00BB7265">
      <w:pPr>
        <w:pStyle w:val="Bullet"/>
      </w:pPr>
      <w:r w:rsidRPr="00BB7265">
        <w:rPr>
          <w:rStyle w:val="Strong"/>
        </w:rPr>
        <w:t xml:space="preserve">Lesson </w:t>
      </w:r>
      <w:r w:rsidR="00A07F4D" w:rsidRPr="00BB7265">
        <w:rPr>
          <w:rStyle w:val="Strong"/>
        </w:rPr>
        <w:t>3</w:t>
      </w:r>
      <w:r w:rsidRPr="00BB7265">
        <w:rPr>
          <w:rStyle w:val="Strong"/>
        </w:rPr>
        <w:t>:</w:t>
      </w:r>
      <w:r w:rsidR="00CA0BEA">
        <w:t xml:space="preserve"> Consider targeting incentives at specific occupations if doing so would help </w:t>
      </w:r>
      <w:r w:rsidR="000F1722">
        <w:t>support</w:t>
      </w:r>
      <w:r w:rsidR="00CA0BEA" w:rsidDel="000F1722">
        <w:t xml:space="preserve"> </w:t>
      </w:r>
      <w:r w:rsidR="00CA0BEA">
        <w:t>the policy goals of the incentive program.</w:t>
      </w:r>
      <w:r w:rsidR="00164295">
        <w:t xml:space="preserve"> </w:t>
      </w:r>
    </w:p>
    <w:p w14:paraId="01CF64C0" w14:textId="11F4AC9B" w:rsidR="00067D81" w:rsidRPr="00C37A11" w:rsidRDefault="00D72AA1" w:rsidP="00BB7265">
      <w:pPr>
        <w:pStyle w:val="Bullet"/>
      </w:pPr>
      <w:r w:rsidRPr="00BB7265">
        <w:rPr>
          <w:rStyle w:val="Strong"/>
        </w:rPr>
        <w:t xml:space="preserve">Lesson </w:t>
      </w:r>
      <w:r w:rsidR="00A07F4D" w:rsidRPr="00BB7265">
        <w:rPr>
          <w:rStyle w:val="Strong"/>
        </w:rPr>
        <w:t>4</w:t>
      </w:r>
      <w:r w:rsidRPr="00BB7265">
        <w:rPr>
          <w:rStyle w:val="Strong"/>
        </w:rPr>
        <w:t>:</w:t>
      </w:r>
      <w:r w:rsidRPr="001C71AD">
        <w:t xml:space="preserve"> </w:t>
      </w:r>
      <w:r w:rsidR="00B00D37" w:rsidRPr="00B00D37">
        <w:t xml:space="preserve">Incentive payments are likely to be more effective if they are </w:t>
      </w:r>
      <w:r w:rsidR="00B00D37">
        <w:t xml:space="preserve">regular and </w:t>
      </w:r>
      <w:r w:rsidR="00B00D37" w:rsidRPr="00B00D37">
        <w:t>front-loaded in the early years of an Australian Apprentice’s training</w:t>
      </w:r>
      <w:r w:rsidR="00BD2D10">
        <w:t>.</w:t>
      </w:r>
      <w:r w:rsidR="00B00D37">
        <w:t xml:space="preserve">     </w:t>
      </w:r>
    </w:p>
    <w:p w14:paraId="421C05EF" w14:textId="353C524A" w:rsidR="00067D81" w:rsidRPr="00C37A11" w:rsidRDefault="00067D81" w:rsidP="00BB7265">
      <w:pPr>
        <w:pStyle w:val="Bullet"/>
      </w:pPr>
      <w:r w:rsidRPr="00BB7265">
        <w:rPr>
          <w:rStyle w:val="Strong"/>
        </w:rPr>
        <w:t>Lesson 5:</w:t>
      </w:r>
      <w:r w:rsidRPr="00BB7265">
        <w:t xml:space="preserve"> </w:t>
      </w:r>
      <w:r w:rsidR="00B06E29">
        <w:t>Even in times of crisis, rapid, targeted consultations can be valuable</w:t>
      </w:r>
      <w:r w:rsidRPr="00C37A11">
        <w:t xml:space="preserve"> </w:t>
      </w:r>
      <w:r w:rsidR="0005302C">
        <w:t xml:space="preserve">for </w:t>
      </w:r>
      <w:r w:rsidR="00A15386">
        <w:t>finding an effective</w:t>
      </w:r>
      <w:r w:rsidR="0042689D">
        <w:t xml:space="preserve"> </w:t>
      </w:r>
      <w:r w:rsidR="00BE5ABD">
        <w:t xml:space="preserve">program design. </w:t>
      </w:r>
    </w:p>
    <w:p w14:paraId="0389F84C" w14:textId="140D1224" w:rsidR="007A2EED" w:rsidRDefault="00067D81" w:rsidP="00BB7265">
      <w:pPr>
        <w:pStyle w:val="Bullet"/>
      </w:pPr>
      <w:r w:rsidRPr="00BB7265">
        <w:rPr>
          <w:rStyle w:val="Strong"/>
        </w:rPr>
        <w:t>Lesson 6:</w:t>
      </w:r>
      <w:r w:rsidRPr="00BB7265">
        <w:t xml:space="preserve"> </w:t>
      </w:r>
      <w:r w:rsidR="00D07754" w:rsidRPr="007A2EED">
        <w:t>Be careful with placing a ‘cap’ on participation</w:t>
      </w:r>
      <w:r w:rsidR="009E6140">
        <w:t xml:space="preserve"> as </w:t>
      </w:r>
      <w:r w:rsidR="002E292C">
        <w:t>caps</w:t>
      </w:r>
      <w:r w:rsidR="00065D3C">
        <w:t xml:space="preserve"> are logistically difficult to administer a</w:t>
      </w:r>
      <w:r w:rsidR="001D48E7">
        <w:t xml:space="preserve">nd </w:t>
      </w:r>
      <w:r w:rsidR="004D53FD">
        <w:t>can cause a</w:t>
      </w:r>
      <w:r w:rsidR="004E4DEC">
        <w:t xml:space="preserve"> </w:t>
      </w:r>
      <w:r w:rsidR="008D45EF">
        <w:t>rush o</w:t>
      </w:r>
      <w:r w:rsidR="00855AAD">
        <w:t xml:space="preserve">f </w:t>
      </w:r>
      <w:r w:rsidR="000A5350">
        <w:t xml:space="preserve">businesses </w:t>
      </w:r>
      <w:r w:rsidR="00855AAD">
        <w:t xml:space="preserve">trying to </w:t>
      </w:r>
      <w:r w:rsidR="00CC60D1">
        <w:t>secure capped place</w:t>
      </w:r>
      <w:r w:rsidR="004E4DEC">
        <w:t>s</w:t>
      </w:r>
      <w:r w:rsidR="004D53FD">
        <w:t>.</w:t>
      </w:r>
    </w:p>
    <w:p w14:paraId="1FF2E514" w14:textId="4CCDC4DE" w:rsidR="001E254B" w:rsidRPr="004C4897" w:rsidRDefault="00067D81" w:rsidP="00BB7265">
      <w:pPr>
        <w:pStyle w:val="Bullet"/>
      </w:pPr>
      <w:r w:rsidRPr="00BB7265">
        <w:rPr>
          <w:rStyle w:val="Strong"/>
        </w:rPr>
        <w:t>Lesson 7:</w:t>
      </w:r>
      <w:r w:rsidR="00062CAA" w:rsidRPr="00431194">
        <w:t xml:space="preserve"> </w:t>
      </w:r>
      <w:r w:rsidR="00062CAA">
        <w:t>C</w:t>
      </w:r>
      <w:r w:rsidR="00062CAA" w:rsidRPr="00431194">
        <w:t>larify the program’s objectives as much as possibl</w:t>
      </w:r>
      <w:r w:rsidR="0063076B">
        <w:t xml:space="preserve">e from the </w:t>
      </w:r>
      <w:proofErr w:type="gramStart"/>
      <w:r w:rsidR="0063076B">
        <w:t>beginning</w:t>
      </w:r>
      <w:r w:rsidR="00062CAA" w:rsidRPr="00431194">
        <w:t>, and</w:t>
      </w:r>
      <w:proofErr w:type="gramEnd"/>
      <w:r w:rsidR="00062CAA" w:rsidRPr="00431194">
        <w:t xml:space="preserve"> use these objectives to help guide program design and implementation</w:t>
      </w:r>
      <w:r w:rsidR="001E254B">
        <w:t>, external communication</w:t>
      </w:r>
      <w:r w:rsidR="00E86DCB">
        <w:t>, and evaluation</w:t>
      </w:r>
      <w:r w:rsidR="00062CAA" w:rsidRPr="00431194">
        <w:t xml:space="preserve">.    </w:t>
      </w:r>
      <w:r w:rsidRPr="00431194">
        <w:t xml:space="preserve"> </w:t>
      </w:r>
      <w:bookmarkEnd w:id="11"/>
      <w:r w:rsidR="003C3E0E">
        <w:br w:type="page"/>
      </w:r>
    </w:p>
    <w:p w14:paraId="10DECA3E" w14:textId="09D8ADE8" w:rsidR="00362BD0" w:rsidRDefault="004E23CC" w:rsidP="007574A3">
      <w:pPr>
        <w:pStyle w:val="Heading1"/>
        <w:spacing w:line="240" w:lineRule="auto"/>
      </w:pPr>
      <w:bookmarkStart w:id="12" w:name="_Toc176782341"/>
      <w:r>
        <w:lastRenderedPageBreak/>
        <w:t>Background</w:t>
      </w:r>
      <w:r w:rsidR="00362BD0">
        <w:t xml:space="preserve"> and policy context</w:t>
      </w:r>
      <w:bookmarkEnd w:id="12"/>
    </w:p>
    <w:p w14:paraId="59D54E15" w14:textId="77777777" w:rsidR="00DD4C4B" w:rsidRDefault="00DD4C4B" w:rsidP="007574A3">
      <w:pPr>
        <w:pStyle w:val="Heading2"/>
        <w:spacing w:line="240" w:lineRule="auto"/>
      </w:pPr>
      <w:bookmarkStart w:id="13" w:name="_Toc172721964"/>
      <w:bookmarkStart w:id="14" w:name="_Toc176782342"/>
      <w:r>
        <w:t>The BAC and CAC programs</w:t>
      </w:r>
      <w:bookmarkEnd w:id="13"/>
      <w:bookmarkEnd w:id="14"/>
    </w:p>
    <w:p w14:paraId="672168B9" w14:textId="5F9D24FC" w:rsidR="00DD4C4B" w:rsidRDefault="00DD4C4B" w:rsidP="007574A3">
      <w:r w:rsidRPr="00F4176D">
        <w:rPr>
          <w:rFonts w:cs="Calibri Light"/>
        </w:rPr>
        <w:t>The </w:t>
      </w:r>
      <w:r w:rsidRPr="0095784E" w:rsidDel="00AC4DF7">
        <w:rPr>
          <w:rStyle w:val="Emphasis"/>
          <w:rFonts w:cs="Calibri Light"/>
          <w:color w:val="333333"/>
          <w:szCs w:val="22"/>
        </w:rPr>
        <w:t>Boosting Apprenticeship Commencements</w:t>
      </w:r>
      <w:r w:rsidRPr="00F4176D" w:rsidDel="00AC4DF7">
        <w:rPr>
          <w:rFonts w:cs="Calibri Light"/>
        </w:rPr>
        <w:t> (</w:t>
      </w:r>
      <w:r w:rsidRPr="00F4176D">
        <w:rPr>
          <w:rFonts w:cs="Calibri Light"/>
        </w:rPr>
        <w:t>BAC</w:t>
      </w:r>
      <w:r w:rsidRPr="00F4176D" w:rsidDel="00AC4DF7">
        <w:rPr>
          <w:rFonts w:cs="Calibri Light"/>
        </w:rPr>
        <w:t>)</w:t>
      </w:r>
      <w:r w:rsidRPr="00F4176D">
        <w:rPr>
          <w:rFonts w:cs="Calibri Light"/>
        </w:rPr>
        <w:t xml:space="preserve"> program, and the accompanying </w:t>
      </w:r>
      <w:r w:rsidRPr="0095784E" w:rsidDel="00AC4DF7">
        <w:rPr>
          <w:rStyle w:val="Emphasis"/>
          <w:rFonts w:cs="Calibri Light"/>
          <w:color w:val="333333"/>
          <w:szCs w:val="22"/>
        </w:rPr>
        <w:t>Completing Apprenticeship Commencements</w:t>
      </w:r>
      <w:r w:rsidRPr="00F4176D" w:rsidDel="00AC4DF7">
        <w:rPr>
          <w:rFonts w:cs="Calibri Light"/>
        </w:rPr>
        <w:t> (</w:t>
      </w:r>
      <w:r w:rsidRPr="00F4176D">
        <w:rPr>
          <w:rFonts w:cs="Calibri Light"/>
        </w:rPr>
        <w:t>CAC</w:t>
      </w:r>
      <w:r w:rsidRPr="00F4176D" w:rsidDel="00AC4DF7">
        <w:rPr>
          <w:rFonts w:cs="Calibri Light"/>
        </w:rPr>
        <w:t>)</w:t>
      </w:r>
      <w:r w:rsidRPr="00F4176D">
        <w:rPr>
          <w:rFonts w:cs="Calibri Light"/>
        </w:rPr>
        <w:t xml:space="preserve"> program, were time-limited interventions that aimed to support</w:t>
      </w:r>
      <w:r>
        <w:t xml:space="preserve"> businesses to take on new Australian Apprentices during the COVID-19 pandemic. The BAC program was announced on 4 October 2020, and was subject to several extensions and </w:t>
      </w:r>
      <w:proofErr w:type="gramStart"/>
      <w:r>
        <w:t>variations</w:t>
      </w:r>
      <w:proofErr w:type="gramEnd"/>
      <w:r>
        <w:t xml:space="preserve"> thereafter, including the addition of the CAC program</w:t>
      </w:r>
      <w:r w:rsidR="00EE3ABF">
        <w:t xml:space="preserve"> that was announced in the </w:t>
      </w:r>
      <w:r w:rsidR="00EE3ABF" w:rsidRPr="00E314E4">
        <w:rPr>
          <w:rStyle w:val="Emphasis"/>
          <w:rFonts w:cs="Calibri Light"/>
          <w:i w:val="0"/>
          <w:szCs w:val="22"/>
        </w:rPr>
        <w:t xml:space="preserve">2021-22 </w:t>
      </w:r>
      <w:r w:rsidR="00EE3ABF">
        <w:rPr>
          <w:rStyle w:val="Emphasis"/>
          <w:rFonts w:cs="Calibri Light"/>
          <w:i w:val="0"/>
          <w:szCs w:val="22"/>
        </w:rPr>
        <w:t>Mid-Year Economic and Fiscal Outlook</w:t>
      </w:r>
      <w:r>
        <w:t xml:space="preserve">. Ultimately, the programs were open to people who commenced as an Australian Apprentice between 5 October 2020 and 30 June 2022. </w:t>
      </w:r>
    </w:p>
    <w:p w14:paraId="07BB6D08" w14:textId="5F60C31D" w:rsidR="00DD4C4B" w:rsidRDefault="00DD4C4B" w:rsidP="007574A3">
      <w:r>
        <w:t>These programs are detailed in the</w:t>
      </w:r>
      <w:r w:rsidDel="00AC4DF7">
        <w:t xml:space="preserve"> </w:t>
      </w:r>
      <w:r>
        <w:t>DEWR’s </w:t>
      </w:r>
      <w:hyperlink r:id="rId19" w:history="1">
        <w:r w:rsidRPr="00253984">
          <w:rPr>
            <w:rStyle w:val="Hyperlink"/>
            <w:rFonts w:cs="Calibri Light"/>
            <w:color w:val="2780E3"/>
            <w:szCs w:val="22"/>
          </w:rPr>
          <w:t>Australian Apprenticeships Incentives Program Guidelines</w:t>
        </w:r>
      </w:hyperlink>
      <w:r>
        <w:t xml:space="preserve"> (DEWR 2023a, pp62-69). </w:t>
      </w:r>
    </w:p>
    <w:p w14:paraId="3C528DFE" w14:textId="77777777" w:rsidR="00DD4C4B" w:rsidRPr="008D73EB" w:rsidRDefault="00DD4C4B" w:rsidP="007574A3">
      <w:pPr>
        <w:rPr>
          <w:rFonts w:cs="Calibri Light"/>
        </w:rPr>
      </w:pPr>
      <w:r>
        <w:t xml:space="preserve">The BAC program provided a wage </w:t>
      </w:r>
      <w:r w:rsidRPr="00253984">
        <w:rPr>
          <w:rFonts w:cs="Calibri Light"/>
        </w:rPr>
        <w:t>subsidy for the</w:t>
      </w:r>
      <w:r w:rsidRPr="008D73EB">
        <w:rPr>
          <w:rFonts w:cs="Calibri Light"/>
        </w:rPr>
        <w:t xml:space="preserve"> first year of an </w:t>
      </w:r>
      <w:r>
        <w:rPr>
          <w:rFonts w:cs="Calibri Light"/>
        </w:rPr>
        <w:t>Australian A</w:t>
      </w:r>
      <w:r w:rsidRPr="008D73EB">
        <w:rPr>
          <w:rFonts w:cs="Calibri Light"/>
        </w:rPr>
        <w:t>pprenticeship, covering:</w:t>
      </w:r>
    </w:p>
    <w:p w14:paraId="461E2B0E" w14:textId="31698E34" w:rsidR="00DD4C4B" w:rsidRPr="00900B1F" w:rsidRDefault="00DD4C4B" w:rsidP="007574A3">
      <w:pPr>
        <w:pStyle w:val="Bullet"/>
        <w:tabs>
          <w:tab w:val="clear" w:pos="720"/>
          <w:tab w:val="left" w:pos="851"/>
        </w:tabs>
        <w:spacing w:line="240" w:lineRule="auto"/>
      </w:pPr>
      <w:r w:rsidRPr="0053291D">
        <w:rPr>
          <w:rStyle w:val="Emphasis"/>
          <w:rFonts w:cs="Calibri Light"/>
          <w:i w:val="0"/>
          <w:szCs w:val="22"/>
        </w:rPr>
        <w:t>50 per cent of an Australian Apprentice’s gross wage for the 12-month period from the date of commencement; up to a maximum of $7,000 per eligible Australian Apprentice per quarter (which equates to $28,000 for the 12-month period)</w:t>
      </w:r>
    </w:p>
    <w:p w14:paraId="0E669380" w14:textId="613B2CDF" w:rsidR="00DD4C4B" w:rsidRPr="008D73EB" w:rsidRDefault="00DD4C4B" w:rsidP="007574A3">
      <w:pPr>
        <w:rPr>
          <w:rFonts w:cs="Calibri Light"/>
        </w:rPr>
      </w:pPr>
      <w:r w:rsidRPr="0B5B3ADB">
        <w:rPr>
          <w:rFonts w:cs="Calibri Light"/>
        </w:rPr>
        <w:t>The CAC program provide</w:t>
      </w:r>
      <w:r>
        <w:rPr>
          <w:rFonts w:cs="Calibri Light"/>
        </w:rPr>
        <w:t>d</w:t>
      </w:r>
      <w:r w:rsidRPr="0B5B3ADB">
        <w:rPr>
          <w:rFonts w:cs="Calibri Light"/>
        </w:rPr>
        <w:t xml:space="preserve"> a tapered wage subsidy over the second and third year of the Australian Apprenticeship</w:t>
      </w:r>
      <w:r w:rsidR="00843788">
        <w:rPr>
          <w:rFonts w:cs="Calibri Light"/>
        </w:rPr>
        <w:t xml:space="preserve"> (only for those eligible for BAC in the first year)</w:t>
      </w:r>
      <w:r w:rsidRPr="0B5B3ADB">
        <w:rPr>
          <w:rFonts w:cs="Calibri Light"/>
        </w:rPr>
        <w:t>:</w:t>
      </w:r>
    </w:p>
    <w:p w14:paraId="1035600F" w14:textId="7274E2A7" w:rsidR="00DD4C4B" w:rsidRPr="008D73EB" w:rsidRDefault="00DD4C4B" w:rsidP="007574A3">
      <w:pPr>
        <w:pStyle w:val="Bullet"/>
        <w:tabs>
          <w:tab w:val="clear" w:pos="720"/>
          <w:tab w:val="left" w:pos="851"/>
        </w:tabs>
        <w:spacing w:line="240" w:lineRule="auto"/>
        <w:rPr>
          <w:rStyle w:val="Emphasis"/>
          <w:rFonts w:cs="Calibri Light"/>
          <w:i w:val="0"/>
          <w:iCs w:val="0"/>
        </w:rPr>
      </w:pPr>
      <w:r w:rsidRPr="0053291D">
        <w:rPr>
          <w:rStyle w:val="Emphasis"/>
          <w:rFonts w:cs="Calibri Light"/>
          <w:i w:val="0"/>
          <w:szCs w:val="22"/>
        </w:rPr>
        <w:t>10 per cent of an Australian Apprentice’s gross wage</w:t>
      </w:r>
      <w:r>
        <w:rPr>
          <w:rStyle w:val="Emphasis"/>
          <w:rFonts w:cs="Calibri Light"/>
          <w:i w:val="0"/>
          <w:szCs w:val="22"/>
        </w:rPr>
        <w:t xml:space="preserve"> for the period from 12 to 24 months from the date of commencement;</w:t>
      </w:r>
      <w:r w:rsidRPr="0053291D">
        <w:rPr>
          <w:rStyle w:val="Emphasis"/>
          <w:rFonts w:cs="Calibri Light"/>
          <w:i w:val="0"/>
          <w:szCs w:val="22"/>
        </w:rPr>
        <w:t xml:space="preserve"> up to a maximum of $1,500 per quarter (which equates to $6,000 for the 12-month period)</w:t>
      </w:r>
    </w:p>
    <w:p w14:paraId="6AB2C8A8" w14:textId="7823A3B0" w:rsidR="00DD4C4B" w:rsidRPr="0053291D" w:rsidRDefault="00DD4C4B" w:rsidP="007574A3">
      <w:pPr>
        <w:pStyle w:val="Bullet"/>
        <w:tabs>
          <w:tab w:val="clear" w:pos="720"/>
          <w:tab w:val="left" w:pos="993"/>
        </w:tabs>
        <w:spacing w:line="240" w:lineRule="auto"/>
        <w:rPr>
          <w:rStyle w:val="Emphasis"/>
          <w:rFonts w:cs="Calibri Light"/>
          <w:i w:val="0"/>
        </w:rPr>
      </w:pPr>
      <w:r w:rsidRPr="0053291D">
        <w:rPr>
          <w:rStyle w:val="Emphasis"/>
          <w:rFonts w:cs="Calibri Light"/>
          <w:i w:val="0"/>
          <w:szCs w:val="22"/>
        </w:rPr>
        <w:t xml:space="preserve">5 per cent of an Australian Apprentice’s gross wage </w:t>
      </w:r>
      <w:r>
        <w:rPr>
          <w:rStyle w:val="Emphasis"/>
          <w:rFonts w:cs="Calibri Light"/>
          <w:i w:val="0"/>
          <w:szCs w:val="22"/>
        </w:rPr>
        <w:t xml:space="preserve">for the period from 24 to 36 months from the date of commencement; </w:t>
      </w:r>
      <w:r w:rsidRPr="0053291D">
        <w:rPr>
          <w:rStyle w:val="Emphasis"/>
          <w:rFonts w:cs="Calibri Light"/>
          <w:i w:val="0"/>
          <w:szCs w:val="22"/>
        </w:rPr>
        <w:t>up to a maximum of $750 per quarter (which equates to $3,000 for the 12-month period)</w:t>
      </w:r>
    </w:p>
    <w:p w14:paraId="67C8D17C" w14:textId="77777777" w:rsidR="00DD4C4B" w:rsidRDefault="00DD4C4B" w:rsidP="007574A3">
      <w:pPr>
        <w:pStyle w:val="Heading2"/>
        <w:spacing w:line="240" w:lineRule="auto"/>
      </w:pPr>
      <w:bookmarkStart w:id="15" w:name="_Toc172721965"/>
      <w:bookmarkStart w:id="16" w:name="_Toc176782343"/>
      <w:r>
        <w:t>Objectives of the BAC and CAC programs</w:t>
      </w:r>
      <w:bookmarkEnd w:id="15"/>
      <w:bookmarkEnd w:id="16"/>
      <w:r>
        <w:t xml:space="preserve"> </w:t>
      </w:r>
    </w:p>
    <w:p w14:paraId="1E1976F0" w14:textId="77777777" w:rsidR="00DD4C4B" w:rsidRDefault="00DD4C4B" w:rsidP="007574A3">
      <w:pPr>
        <w:pStyle w:val="BodyText"/>
      </w:pPr>
      <w:r>
        <w:t>The objectives of the BAC and CAC programs were to:</w:t>
      </w:r>
    </w:p>
    <w:p w14:paraId="51F49673" w14:textId="77777777" w:rsidR="00DD4C4B" w:rsidRDefault="00DD4C4B" w:rsidP="00BB7265">
      <w:pPr>
        <w:pStyle w:val="OutlineNumbered1"/>
        <w:numPr>
          <w:ilvl w:val="0"/>
          <w:numId w:val="12"/>
        </w:numPr>
        <w:ind w:left="284" w:hanging="284"/>
      </w:pPr>
      <w:r>
        <w:t>encourage employers to take on an Australian Apprentice during the economic recovery from the COVID-19 pandemic and retain them through to a second and third year of training</w:t>
      </w:r>
    </w:p>
    <w:p w14:paraId="2F3C9BA3" w14:textId="77777777" w:rsidR="00DD4C4B" w:rsidRDefault="00DD4C4B" w:rsidP="00BB7265">
      <w:pPr>
        <w:pStyle w:val="OutlineNumbered1"/>
        <w:numPr>
          <w:ilvl w:val="0"/>
          <w:numId w:val="12"/>
        </w:numPr>
        <w:ind w:left="284" w:hanging="284"/>
      </w:pPr>
      <w:r>
        <w:t>support the Government’s response to the COVID-19 pandemic</w:t>
      </w:r>
    </w:p>
    <w:p w14:paraId="432B783C" w14:textId="0EEFABAC" w:rsidR="00DD4C4B" w:rsidRDefault="00DD4C4B" w:rsidP="00BB7265">
      <w:pPr>
        <w:pStyle w:val="OutlineNumbered1"/>
        <w:numPr>
          <w:ilvl w:val="0"/>
          <w:numId w:val="12"/>
        </w:numPr>
        <w:ind w:left="284" w:hanging="284"/>
      </w:pPr>
      <w:r>
        <w:t>contribute to the development of a highly skilled and relevant Australian workforce that supports economic sustainability and competitiveness.</w:t>
      </w:r>
    </w:p>
    <w:p w14:paraId="75B05C3A" w14:textId="77777777" w:rsidR="00DD4C4B" w:rsidRPr="00ED46CB" w:rsidRDefault="00DD4C4B" w:rsidP="007574A3">
      <w:pPr>
        <w:pStyle w:val="Heading2"/>
        <w:spacing w:line="240" w:lineRule="auto"/>
      </w:pPr>
      <w:bookmarkStart w:id="17" w:name="_Toc172721966"/>
      <w:bookmarkStart w:id="18" w:name="_Toc176782344"/>
      <w:r>
        <w:t>Timeline: key policy events and apprentice commencements</w:t>
      </w:r>
      <w:bookmarkEnd w:id="17"/>
      <w:bookmarkEnd w:id="18"/>
    </w:p>
    <w:p w14:paraId="09CF1363" w14:textId="6F8BE2F0" w:rsidR="00DD4C4B" w:rsidRDefault="00DD4C4B" w:rsidP="007574A3">
      <w:r w:rsidRPr="008D73EB">
        <w:rPr>
          <w:rFonts w:cs="Calibri Light"/>
        </w:rPr>
        <w:t xml:space="preserve">The following chart shows the quarterly number of commencements from 2015 to 2023. </w:t>
      </w:r>
      <w:r>
        <w:rPr>
          <w:rFonts w:cs="Calibri Light"/>
        </w:rPr>
        <w:t xml:space="preserve">Up until the end of </w:t>
      </w:r>
      <w:r w:rsidRPr="008D73EB">
        <w:rPr>
          <w:rFonts w:cs="Calibri Light"/>
        </w:rPr>
        <w:t xml:space="preserve">2019 there </w:t>
      </w:r>
      <w:r>
        <w:rPr>
          <w:rFonts w:cs="Calibri Light"/>
        </w:rPr>
        <w:t>was</w:t>
      </w:r>
      <w:r w:rsidRPr="008D73EB">
        <w:rPr>
          <w:rFonts w:cs="Calibri Light"/>
        </w:rPr>
        <w:t xml:space="preserve"> a relatively consistent seasonal </w:t>
      </w:r>
      <w:r>
        <w:rPr>
          <w:rFonts w:cs="Calibri Light"/>
        </w:rPr>
        <w:t xml:space="preserve">pattern </w:t>
      </w:r>
      <w:r w:rsidRPr="008D73EB">
        <w:rPr>
          <w:rFonts w:cs="Calibri Light"/>
        </w:rPr>
        <w:t xml:space="preserve">in the number of </w:t>
      </w:r>
      <w:r w:rsidRPr="00E26576">
        <w:t xml:space="preserve">commencements. The first confirmed case of COVID-19 in Australia was announced on 25 January 2020, </w:t>
      </w:r>
      <w:r>
        <w:t>and a nationwide lockdown commenced in late-March 2020.</w:t>
      </w:r>
      <w:r w:rsidRPr="00E26576">
        <w:t xml:space="preserve"> </w:t>
      </w:r>
      <w:r>
        <w:t>C</w:t>
      </w:r>
      <w:r w:rsidRPr="00E26576">
        <w:t xml:space="preserve">ommencements </w:t>
      </w:r>
      <w:r>
        <w:t xml:space="preserve">for the first 3 quarters of 2020, prior to the introduction of the BAC program, were lower than commencements in corresponding quarters for 2015-2019. </w:t>
      </w:r>
      <w:r w:rsidRPr="005A6211">
        <w:t xml:space="preserve">This </w:t>
      </w:r>
      <w:r>
        <w:t>was</w:t>
      </w:r>
      <w:r w:rsidRPr="005A6211">
        <w:t xml:space="preserve"> likely due to</w:t>
      </w:r>
      <w:r>
        <w:t xml:space="preserve"> falling business confidence</w:t>
      </w:r>
      <w:r w:rsidRPr="005A6211">
        <w:t xml:space="preserve"> </w:t>
      </w:r>
      <w:r>
        <w:t xml:space="preserve">lowering employer </w:t>
      </w:r>
      <w:r w:rsidRPr="005A6211">
        <w:t xml:space="preserve">demand for </w:t>
      </w:r>
      <w:r>
        <w:t>Australian A</w:t>
      </w:r>
      <w:r w:rsidRPr="005A6211">
        <w:t>pprentices.</w:t>
      </w:r>
      <w:r>
        <w:t xml:space="preserve"> </w:t>
      </w:r>
    </w:p>
    <w:p w14:paraId="6827693F" w14:textId="323B324E" w:rsidR="00DD4C4B" w:rsidRDefault="00DD4C4B" w:rsidP="007574A3">
      <w:r>
        <w:lastRenderedPageBreak/>
        <w:t>Over the period that the BAC program was open to entrants (5 October 2020 to 30 June 2022), there was a sustained increase in the number of commencements relative to the preceding period. Once the BAC program closed to new entrants, headline commencement numbers returned to similar levels to the pre-BAC period.</w:t>
      </w:r>
    </w:p>
    <w:p w14:paraId="4AFD7D23" w14:textId="72B29325" w:rsidR="00DD4C4B" w:rsidRDefault="00DD4C4B" w:rsidP="007574A3">
      <w:r>
        <w:t>Eligibility for BAC payments continued until 30 June 2023 (</w:t>
      </w:r>
      <w:r w:rsidR="00BC3143">
        <w:t>that is,</w:t>
      </w:r>
      <w:r>
        <w:t xml:space="preserve"> 12 months from 30 June 2022), with eligibility for CAC payments continuing until June 2025 (</w:t>
      </w:r>
      <w:r w:rsidR="00BC3143">
        <w:t>that is,</w:t>
      </w:r>
      <w:r>
        <w:t xml:space="preserve"> 36 months from 30 June 2022).   </w:t>
      </w:r>
    </w:p>
    <w:p w14:paraId="79B68D17" w14:textId="77777777" w:rsidR="00DD4C4B" w:rsidRPr="00E26576" w:rsidRDefault="00DD4C4B" w:rsidP="00396C06">
      <w:pPr>
        <w:pStyle w:val="Chartheading"/>
        <w:spacing w:line="240" w:lineRule="auto"/>
        <w:outlineLvl w:val="9"/>
      </w:pPr>
      <w:r>
        <w:t xml:space="preserve">Figure 1: Key policy events and number of apprenticeship commencements by quarter </w:t>
      </w:r>
    </w:p>
    <w:p w14:paraId="6B4FA257" w14:textId="50CD6092" w:rsidR="00DD4C4B" w:rsidRDefault="00AE53B6" w:rsidP="007574A3">
      <w:pPr>
        <w:keepNext/>
      </w:pPr>
      <w:r>
        <w:rPr>
          <w:noProof/>
        </w:rPr>
        <w:drawing>
          <wp:inline distT="0" distB="0" distL="0" distR="0" wp14:anchorId="5C3341EE" wp14:editId="2184780D">
            <wp:extent cx="5753735" cy="3504015"/>
            <wp:effectExtent l="0" t="0" r="0" b="1270"/>
            <wp:docPr id="152816428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4415"/>
                    <a:stretch/>
                  </pic:blipFill>
                  <pic:spPr bwMode="auto">
                    <a:xfrm>
                      <a:off x="0" y="0"/>
                      <a:ext cx="5753735" cy="3504015"/>
                    </a:xfrm>
                    <a:prstGeom prst="rect">
                      <a:avLst/>
                    </a:prstGeom>
                    <a:noFill/>
                    <a:ln>
                      <a:noFill/>
                    </a:ln>
                    <a:extLst>
                      <a:ext uri="{53640926-AAD7-44D8-BBD7-CCE9431645EC}">
                        <a14:shadowObscured xmlns:a14="http://schemas.microsoft.com/office/drawing/2010/main"/>
                      </a:ext>
                    </a:extLst>
                  </pic:spPr>
                </pic:pic>
              </a:graphicData>
            </a:graphic>
          </wp:inline>
        </w:drawing>
      </w:r>
    </w:p>
    <w:p w14:paraId="6913CE87" w14:textId="3AC7BDF8" w:rsidR="00DD4C4B" w:rsidRPr="00580999" w:rsidRDefault="00DD4C4B" w:rsidP="007574A3">
      <w:pPr>
        <w:rPr>
          <w:sz w:val="18"/>
          <w:szCs w:val="18"/>
        </w:rPr>
      </w:pPr>
      <w:r w:rsidRPr="00580999">
        <w:rPr>
          <w:sz w:val="18"/>
          <w:szCs w:val="18"/>
        </w:rPr>
        <w:t>Source: DEWR admin data 20</w:t>
      </w:r>
      <w:r w:rsidR="00741EBF">
        <w:rPr>
          <w:sz w:val="18"/>
          <w:szCs w:val="18"/>
        </w:rPr>
        <w:t>15</w:t>
      </w:r>
      <w:r w:rsidRPr="00580999">
        <w:rPr>
          <w:sz w:val="18"/>
          <w:szCs w:val="18"/>
        </w:rPr>
        <w:t>-2023</w:t>
      </w:r>
      <w:r>
        <w:rPr>
          <w:sz w:val="18"/>
          <w:szCs w:val="18"/>
        </w:rPr>
        <w:t>.</w:t>
      </w:r>
    </w:p>
    <w:p w14:paraId="383409C6" w14:textId="6CDBCD2B" w:rsidR="009A40E9" w:rsidRPr="009A40E9" w:rsidRDefault="00DD4C4B" w:rsidP="008968A4">
      <w:pPr>
        <w:pStyle w:val="Heading2"/>
        <w:spacing w:line="240" w:lineRule="auto"/>
      </w:pPr>
      <w:bookmarkStart w:id="19" w:name="_Toc172721967"/>
      <w:bookmarkStart w:id="20" w:name="_Toc176782345"/>
      <w:r>
        <w:t>Structure of this report</w:t>
      </w:r>
      <w:bookmarkEnd w:id="19"/>
      <w:bookmarkEnd w:id="20"/>
      <w:r>
        <w:t xml:space="preserve"> </w:t>
      </w:r>
    </w:p>
    <w:p w14:paraId="31F8A453" w14:textId="26826270" w:rsidR="00DD4C4B" w:rsidRDefault="00DD4C4B" w:rsidP="007574A3">
      <w:pPr>
        <w:pStyle w:val="Bullet"/>
        <w:numPr>
          <w:ilvl w:val="0"/>
          <w:numId w:val="0"/>
        </w:numPr>
        <w:spacing w:line="240" w:lineRule="auto"/>
      </w:pPr>
      <w:r>
        <w:t>The remainder of this report is structured as follows. The</w:t>
      </w:r>
      <w:r w:rsidDel="00AB6122">
        <w:t xml:space="preserve"> </w:t>
      </w:r>
      <w:r>
        <w:t xml:space="preserve">first section outlines </w:t>
      </w:r>
      <w:r w:rsidR="001253F6">
        <w:t>the</w:t>
      </w:r>
      <w:r>
        <w:t xml:space="preserve"> evaluation questions, methods and data used. The next two sections </w:t>
      </w:r>
      <w:r w:rsidR="00591AB7">
        <w:t xml:space="preserve">report </w:t>
      </w:r>
      <w:r w:rsidR="00867522">
        <w:t>the evaluation team’s</w:t>
      </w:r>
      <w:r w:rsidR="00CA6697">
        <w:t xml:space="preserve"> findings on </w:t>
      </w:r>
      <w:r>
        <w:t xml:space="preserve">the </w:t>
      </w:r>
      <w:r w:rsidR="00AE2130">
        <w:t xml:space="preserve">of the </w:t>
      </w:r>
      <w:r>
        <w:t>BAC program</w:t>
      </w:r>
      <w:r w:rsidR="00AE2130">
        <w:t xml:space="preserve"> </w:t>
      </w:r>
      <w:r>
        <w:t>on apprenticeship commencements</w:t>
      </w:r>
      <w:r w:rsidR="00CA6697">
        <w:t xml:space="preserve"> and </w:t>
      </w:r>
      <w:r>
        <w:t xml:space="preserve">completions. </w:t>
      </w:r>
    </w:p>
    <w:p w14:paraId="2AC4D6F3" w14:textId="0956AA14" w:rsidR="00DD4C4B" w:rsidRDefault="00DD4C4B" w:rsidP="007574A3">
      <w:pPr>
        <w:pStyle w:val="Bullet"/>
        <w:numPr>
          <w:ilvl w:val="0"/>
          <w:numId w:val="0"/>
        </w:numPr>
        <w:spacing w:line="240" w:lineRule="auto"/>
      </w:pPr>
      <w:r>
        <w:t xml:space="preserve">The two </w:t>
      </w:r>
      <w:r w:rsidR="00846727">
        <w:t xml:space="preserve">subsequent </w:t>
      </w:r>
      <w:r>
        <w:t xml:space="preserve">sections examine the characteristics of apprentices and employers that took part in the program. </w:t>
      </w:r>
      <w:r w:rsidR="000F77FF">
        <w:t>This is followed by a discussion of the BAC program’s</w:t>
      </w:r>
      <w:r w:rsidR="00F8220D">
        <w:t xml:space="preserve"> cost effectiveness</w:t>
      </w:r>
      <w:r w:rsidR="00066ECA">
        <w:t xml:space="preserve">. The penultimate section </w:t>
      </w:r>
      <w:r>
        <w:t>descri</w:t>
      </w:r>
      <w:r w:rsidR="00A35D6A">
        <w:t>bes the ‘</w:t>
      </w:r>
      <w:r>
        <w:t>sharp practice</w:t>
      </w:r>
      <w:r w:rsidR="00A35D6A">
        <w:t>s’</w:t>
      </w:r>
      <w:r>
        <w:t xml:space="preserve"> that occurred in non-trade occupations. To conclude</w:t>
      </w:r>
      <w:r w:rsidR="00066ECA">
        <w:t>,</w:t>
      </w:r>
      <w:r>
        <w:t xml:space="preserve"> we discuss the implications of this evaluation for the design of similar policies in future. </w:t>
      </w:r>
    </w:p>
    <w:p w14:paraId="5C76F71A" w14:textId="77777777" w:rsidR="00DD4C4B" w:rsidRDefault="00DD4C4B" w:rsidP="007574A3">
      <w:pPr>
        <w:tabs>
          <w:tab w:val="center" w:pos="4536"/>
        </w:tabs>
        <w:spacing w:before="0" w:after="160"/>
        <w:rPr>
          <w:rFonts w:ascii="Calibri" w:hAnsi="Calibri" w:cs="Arial"/>
          <w:b/>
          <w:color w:val="4D7861" w:themeColor="accent2"/>
          <w:kern w:val="32"/>
          <w:sz w:val="44"/>
          <w:szCs w:val="36"/>
        </w:rPr>
      </w:pPr>
      <w:r>
        <w:br w:type="page"/>
      </w:r>
    </w:p>
    <w:p w14:paraId="5AF27D94" w14:textId="77777777" w:rsidR="00DD4C4B" w:rsidRDefault="00DD4C4B" w:rsidP="007574A3">
      <w:pPr>
        <w:pStyle w:val="Heading1"/>
        <w:spacing w:line="240" w:lineRule="auto"/>
      </w:pPr>
      <w:bookmarkStart w:id="21" w:name="_Toc172721968"/>
      <w:bookmarkStart w:id="22" w:name="_Toc176782346"/>
      <w:r>
        <w:lastRenderedPageBreak/>
        <w:t>Evaluation overview</w:t>
      </w:r>
      <w:bookmarkEnd w:id="21"/>
      <w:bookmarkEnd w:id="22"/>
    </w:p>
    <w:p w14:paraId="23C88E81" w14:textId="45CBEDDB" w:rsidR="00DD4C4B" w:rsidRDefault="00DD4C4B" w:rsidP="007574A3">
      <w:r>
        <w:t xml:space="preserve">This rapid evaluation was </w:t>
      </w:r>
      <w:r w:rsidR="00AE76BA">
        <w:t xml:space="preserve">prepared </w:t>
      </w:r>
      <w:r w:rsidR="00066ECA">
        <w:t xml:space="preserve">by the Australian Centre for Evaluation in the Australian Treasury. </w:t>
      </w:r>
      <w:r w:rsidR="00AE76BA">
        <w:t xml:space="preserve">The evaluation was undertaken </w:t>
      </w:r>
      <w:r w:rsidR="00066ECA">
        <w:t xml:space="preserve">between </w:t>
      </w:r>
      <w:r>
        <w:t>April</w:t>
      </w:r>
      <w:r w:rsidR="00066ECA">
        <w:t xml:space="preserve"> and </w:t>
      </w:r>
      <w:r>
        <w:t xml:space="preserve">July 2024, as an input to the </w:t>
      </w:r>
      <w:hyperlink r:id="rId21" w:history="1">
        <w:r w:rsidRPr="00E71C97">
          <w:rPr>
            <w:rStyle w:val="Hyperlink"/>
            <w:i/>
            <w:iCs/>
          </w:rPr>
          <w:t>Strategic Review of the Australian Apprenticeships Incentive System</w:t>
        </w:r>
      </w:hyperlink>
      <w:r>
        <w:t xml:space="preserve"> (DEWR 2024a). This section summarises our evaluation approach, specifically the evaluation questions, and the data and methods used to answer them.</w:t>
      </w:r>
    </w:p>
    <w:p w14:paraId="600FA861" w14:textId="77777777" w:rsidR="00DD4C4B" w:rsidRDefault="00DD4C4B" w:rsidP="007574A3">
      <w:pPr>
        <w:pStyle w:val="Heading2"/>
        <w:spacing w:line="240" w:lineRule="auto"/>
      </w:pPr>
      <w:bookmarkStart w:id="23" w:name="_Toc172721969"/>
      <w:bookmarkStart w:id="24" w:name="_Toc176782347"/>
      <w:r>
        <w:t>Evaluation questions</w:t>
      </w:r>
      <w:bookmarkEnd w:id="23"/>
      <w:bookmarkEnd w:id="24"/>
    </w:p>
    <w:p w14:paraId="53BB6FF2" w14:textId="51F57F96" w:rsidR="00DD4C4B" w:rsidRDefault="00DD4C4B" w:rsidP="007574A3">
      <w:pPr>
        <w:pStyle w:val="BodyText"/>
      </w:pPr>
      <w:bookmarkStart w:id="25" w:name="_Hlk160454679"/>
      <w:r>
        <w:t xml:space="preserve">This evaluation sought to answer the following questions, relating to the BAC program’s first objective (to encourage employers to take on and retain Australian Apprentices) and third objective (to contribute to a highly skilled workforce). </w:t>
      </w:r>
    </w:p>
    <w:p w14:paraId="58C28788" w14:textId="77777777" w:rsidR="00DD4C4B" w:rsidRPr="00F90582" w:rsidRDefault="00DD4C4B" w:rsidP="00F90582">
      <w:pPr>
        <w:pStyle w:val="Heading3"/>
      </w:pPr>
      <w:bookmarkStart w:id="26" w:name="_Toc176782348"/>
      <w:r w:rsidRPr="00F90582">
        <w:t>Apprentice commencements and completions</w:t>
      </w:r>
      <w:bookmarkEnd w:id="26"/>
      <w:r w:rsidRPr="00F90582">
        <w:t xml:space="preserve"> </w:t>
      </w:r>
    </w:p>
    <w:p w14:paraId="39D64679" w14:textId="77777777" w:rsidR="00DD4C4B" w:rsidRPr="005E7164" w:rsidRDefault="00DD4C4B" w:rsidP="00BB7265">
      <w:pPr>
        <w:pStyle w:val="OutlineNumbered1"/>
        <w:numPr>
          <w:ilvl w:val="0"/>
          <w:numId w:val="11"/>
        </w:numPr>
        <w:suppressAutoHyphens/>
        <w:spacing w:before="180" w:after="60"/>
        <w:ind w:left="284" w:hanging="284"/>
        <w:rPr>
          <w:rFonts w:cs="Calibri Light"/>
        </w:rPr>
      </w:pPr>
      <w:bookmarkStart w:id="27" w:name="_Hlk160772508"/>
      <w:bookmarkEnd w:id="25"/>
      <w:r w:rsidRPr="005E7164">
        <w:rPr>
          <w:rFonts w:cs="Calibri Light"/>
        </w:rPr>
        <w:t>Did BAC achieve its intended objective of increasing commencements? Did CAC achieve its intended objective increasing retention and completion</w:t>
      </w:r>
      <w:r>
        <w:rPr>
          <w:rFonts w:cs="Calibri Light"/>
        </w:rPr>
        <w:t xml:space="preserve"> rate</w:t>
      </w:r>
      <w:r w:rsidRPr="005E7164">
        <w:rPr>
          <w:rFonts w:cs="Calibri Light"/>
        </w:rPr>
        <w:t xml:space="preserve">s? </w:t>
      </w:r>
    </w:p>
    <w:bookmarkEnd w:id="27"/>
    <w:p w14:paraId="6C5A502B" w14:textId="77777777" w:rsidR="00DD4C4B" w:rsidRPr="005E7164" w:rsidRDefault="00DD4C4B" w:rsidP="00BB7265">
      <w:pPr>
        <w:pStyle w:val="OutlineNumbered1"/>
        <w:numPr>
          <w:ilvl w:val="0"/>
          <w:numId w:val="11"/>
        </w:numPr>
        <w:suppressAutoHyphens/>
        <w:spacing w:before="180" w:after="60"/>
        <w:ind w:left="284" w:hanging="284"/>
        <w:rPr>
          <w:rFonts w:cs="Calibri Light"/>
        </w:rPr>
      </w:pPr>
      <w:r w:rsidRPr="005E7164">
        <w:rPr>
          <w:rFonts w:cs="Calibri Light"/>
        </w:rPr>
        <w:t>Did BAC stimulate commencements in</w:t>
      </w:r>
      <w:r>
        <w:rPr>
          <w:rFonts w:cs="Calibri Light"/>
        </w:rPr>
        <w:t xml:space="preserve"> </w:t>
      </w:r>
      <w:r w:rsidRPr="005E7164">
        <w:rPr>
          <w:rFonts w:cs="Calibri Light"/>
        </w:rPr>
        <w:t>occupations</w:t>
      </w:r>
      <w:r>
        <w:rPr>
          <w:rFonts w:cs="Calibri Light"/>
        </w:rPr>
        <w:t xml:space="preserve"> identified as experiencing skills shortages (priority occupations)</w:t>
      </w:r>
      <w:r w:rsidRPr="005E7164">
        <w:rPr>
          <w:rFonts w:cs="Calibri Light"/>
        </w:rPr>
        <w:t>?</w:t>
      </w:r>
    </w:p>
    <w:p w14:paraId="5FC27502" w14:textId="77777777" w:rsidR="00DD4C4B" w:rsidRPr="00AA5905" w:rsidRDefault="00DD4C4B" w:rsidP="00BB7265">
      <w:pPr>
        <w:pStyle w:val="OutlineNumbered1"/>
        <w:numPr>
          <w:ilvl w:val="0"/>
          <w:numId w:val="11"/>
        </w:numPr>
        <w:suppressAutoHyphens/>
        <w:spacing w:before="180" w:after="60"/>
        <w:ind w:left="284" w:hanging="284"/>
        <w:rPr>
          <w:color w:val="000000" w:themeColor="text1"/>
        </w:rPr>
      </w:pPr>
      <w:r>
        <w:rPr>
          <w:color w:val="000000" w:themeColor="text1"/>
        </w:rPr>
        <w:t>W</w:t>
      </w:r>
      <w:r w:rsidRPr="00C32627">
        <w:rPr>
          <w:color w:val="000000" w:themeColor="text1"/>
        </w:rPr>
        <w:t>hat impact, if any, did the BAC and CAC schemes have on</w:t>
      </w:r>
      <w:r>
        <w:rPr>
          <w:color w:val="000000" w:themeColor="text1"/>
        </w:rPr>
        <w:t xml:space="preserve"> </w:t>
      </w:r>
      <w:r w:rsidRPr="00C32627">
        <w:rPr>
          <w:color w:val="000000" w:themeColor="text1"/>
        </w:rPr>
        <w:t>retention and completion rates?</w:t>
      </w:r>
    </w:p>
    <w:p w14:paraId="420FC370" w14:textId="77777777" w:rsidR="00DD4C4B" w:rsidRPr="005E7164" w:rsidRDefault="00DD4C4B" w:rsidP="00F90582">
      <w:pPr>
        <w:pStyle w:val="Heading3"/>
      </w:pPr>
      <w:bookmarkStart w:id="28" w:name="_Toc176782349"/>
      <w:r w:rsidRPr="005E7164">
        <w:t xml:space="preserve">Apprentice and </w:t>
      </w:r>
      <w:r>
        <w:t>e</w:t>
      </w:r>
      <w:r w:rsidRPr="005E7164">
        <w:t>mployer characteristics</w:t>
      </w:r>
      <w:bookmarkEnd w:id="28"/>
    </w:p>
    <w:p w14:paraId="71C9873C" w14:textId="77777777" w:rsidR="00DD4C4B" w:rsidRPr="005E7164" w:rsidRDefault="00DD4C4B" w:rsidP="00BB7265">
      <w:pPr>
        <w:pStyle w:val="OutlineNumbered1"/>
        <w:numPr>
          <w:ilvl w:val="0"/>
          <w:numId w:val="11"/>
        </w:numPr>
        <w:suppressAutoHyphens/>
        <w:spacing w:before="180" w:after="60"/>
        <w:ind w:left="284" w:hanging="284"/>
        <w:rPr>
          <w:rFonts w:cs="Calibri Light"/>
        </w:rPr>
      </w:pPr>
      <w:r w:rsidRPr="005E7164">
        <w:rPr>
          <w:rFonts w:cs="Calibri Light"/>
        </w:rPr>
        <w:t>Did the characteristics of BAC</w:t>
      </w:r>
      <w:r>
        <w:rPr>
          <w:rFonts w:cs="Calibri Light"/>
        </w:rPr>
        <w:t>/</w:t>
      </w:r>
      <w:r w:rsidRPr="005E7164">
        <w:rPr>
          <w:rFonts w:cs="Calibri Light"/>
        </w:rPr>
        <w:t>CAC</w:t>
      </w:r>
      <w:r>
        <w:rPr>
          <w:rFonts w:cs="Calibri Light"/>
        </w:rPr>
        <w:t xml:space="preserve"> Australian Apprentices</w:t>
      </w:r>
      <w:r w:rsidRPr="005E7164">
        <w:rPr>
          <w:rFonts w:cs="Calibri Light"/>
        </w:rPr>
        <w:t xml:space="preserve"> differ from past cohorts of </w:t>
      </w:r>
      <w:r>
        <w:rPr>
          <w:rFonts w:cs="Calibri Light"/>
        </w:rPr>
        <w:t>Australian A</w:t>
      </w:r>
      <w:r w:rsidRPr="005E7164">
        <w:rPr>
          <w:rFonts w:cs="Calibri Light"/>
        </w:rPr>
        <w:t xml:space="preserve">pprentices? </w:t>
      </w:r>
    </w:p>
    <w:p w14:paraId="5B560A0C" w14:textId="77777777" w:rsidR="00DD4C4B" w:rsidRPr="005E7164" w:rsidRDefault="00DD4C4B" w:rsidP="00BB7265">
      <w:pPr>
        <w:pStyle w:val="OutlineNumbered1"/>
        <w:numPr>
          <w:ilvl w:val="0"/>
          <w:numId w:val="11"/>
        </w:numPr>
        <w:suppressAutoHyphens/>
        <w:spacing w:before="180" w:after="60"/>
        <w:ind w:left="284" w:hanging="284"/>
        <w:rPr>
          <w:rFonts w:cs="Calibri Light"/>
        </w:rPr>
      </w:pPr>
      <w:r w:rsidRPr="005E7164">
        <w:rPr>
          <w:rFonts w:cs="Calibri Light"/>
        </w:rPr>
        <w:t xml:space="preserve">Did the characteristics of employers who employed BAC/CAC </w:t>
      </w:r>
      <w:r>
        <w:rPr>
          <w:rFonts w:cs="Calibri Light"/>
        </w:rPr>
        <w:t>Australian A</w:t>
      </w:r>
      <w:r w:rsidRPr="005E7164">
        <w:rPr>
          <w:rFonts w:cs="Calibri Light"/>
        </w:rPr>
        <w:t>pprentices differ from past cohorts of employers?</w:t>
      </w:r>
    </w:p>
    <w:p w14:paraId="0ECC54F1" w14:textId="77777777" w:rsidR="00DD4C4B" w:rsidRPr="005E7164" w:rsidRDefault="00DD4C4B" w:rsidP="00BB7265">
      <w:pPr>
        <w:pStyle w:val="OutlineNumbered1"/>
        <w:numPr>
          <w:ilvl w:val="0"/>
          <w:numId w:val="11"/>
        </w:numPr>
        <w:suppressAutoHyphens/>
        <w:spacing w:before="180" w:after="60"/>
        <w:ind w:left="284" w:hanging="284"/>
        <w:rPr>
          <w:rFonts w:cs="Calibri Light"/>
        </w:rPr>
      </w:pPr>
      <w:r>
        <w:rPr>
          <w:rFonts w:cs="Calibri Light"/>
        </w:rPr>
        <w:t>What proportion of</w:t>
      </w:r>
      <w:r w:rsidRPr="005E7164">
        <w:rPr>
          <w:rFonts w:cs="Calibri Light"/>
        </w:rPr>
        <w:t xml:space="preserve"> employers of BAC</w:t>
      </w:r>
      <w:r>
        <w:rPr>
          <w:rFonts w:cs="Calibri Light"/>
        </w:rPr>
        <w:t>/CAC</w:t>
      </w:r>
      <w:r w:rsidRPr="005E7164">
        <w:rPr>
          <w:rFonts w:cs="Calibri Light"/>
        </w:rPr>
        <w:t xml:space="preserve"> </w:t>
      </w:r>
      <w:r>
        <w:rPr>
          <w:rFonts w:cs="Calibri Light"/>
        </w:rPr>
        <w:t>Australian A</w:t>
      </w:r>
      <w:r w:rsidRPr="005E7164">
        <w:rPr>
          <w:rFonts w:cs="Calibri Light"/>
        </w:rPr>
        <w:t xml:space="preserve">pprentices </w:t>
      </w:r>
      <w:r>
        <w:rPr>
          <w:rFonts w:cs="Calibri Light"/>
        </w:rPr>
        <w:t xml:space="preserve">were </w:t>
      </w:r>
      <w:r w:rsidRPr="005E7164">
        <w:rPr>
          <w:rFonts w:cs="Calibri Light"/>
        </w:rPr>
        <w:t xml:space="preserve">employing </w:t>
      </w:r>
      <w:r>
        <w:rPr>
          <w:rFonts w:cs="Calibri Light"/>
        </w:rPr>
        <w:t>an Australian A</w:t>
      </w:r>
      <w:r w:rsidRPr="005E7164">
        <w:rPr>
          <w:rFonts w:cs="Calibri Light"/>
        </w:rPr>
        <w:t xml:space="preserve">pprentice for the first time (or the first time after a break)? Did these employers continue to employ </w:t>
      </w:r>
      <w:r>
        <w:rPr>
          <w:rFonts w:cs="Calibri Light"/>
        </w:rPr>
        <w:t>Australian A</w:t>
      </w:r>
      <w:r w:rsidRPr="005E7164">
        <w:rPr>
          <w:rFonts w:cs="Calibri Light"/>
        </w:rPr>
        <w:t xml:space="preserve">pprentices </w:t>
      </w:r>
      <w:r>
        <w:rPr>
          <w:rFonts w:cs="Calibri Light"/>
        </w:rPr>
        <w:t>after the</w:t>
      </w:r>
      <w:r w:rsidRPr="005E7164">
        <w:rPr>
          <w:rFonts w:cs="Calibri Light"/>
        </w:rPr>
        <w:t xml:space="preserve"> BAC and CAC </w:t>
      </w:r>
      <w:r>
        <w:rPr>
          <w:rFonts w:cs="Calibri Light"/>
        </w:rPr>
        <w:t>closed to entrants</w:t>
      </w:r>
      <w:r w:rsidRPr="005E7164">
        <w:rPr>
          <w:rFonts w:cs="Calibri Light"/>
        </w:rPr>
        <w:t>?</w:t>
      </w:r>
    </w:p>
    <w:p w14:paraId="4FE34837" w14:textId="77777777" w:rsidR="00DD4C4B" w:rsidRPr="005E7164" w:rsidRDefault="00DD4C4B" w:rsidP="00F90582">
      <w:pPr>
        <w:pStyle w:val="Heading3"/>
      </w:pPr>
      <w:bookmarkStart w:id="29" w:name="_Toc176782350"/>
      <w:r>
        <w:t>Cost effectiveness</w:t>
      </w:r>
      <w:bookmarkEnd w:id="29"/>
    </w:p>
    <w:p w14:paraId="5D563554" w14:textId="77777777" w:rsidR="00DD4C4B" w:rsidRPr="005E7164" w:rsidRDefault="00DD4C4B" w:rsidP="00BB7265">
      <w:pPr>
        <w:pStyle w:val="OutlineNumbered1"/>
        <w:numPr>
          <w:ilvl w:val="0"/>
          <w:numId w:val="11"/>
        </w:numPr>
        <w:suppressAutoHyphens/>
        <w:spacing w:before="180" w:after="60"/>
        <w:ind w:left="284" w:hanging="284"/>
        <w:rPr>
          <w:rFonts w:cs="Calibri Light"/>
        </w:rPr>
      </w:pPr>
      <w:r w:rsidRPr="005E7164">
        <w:rPr>
          <w:rFonts w:cs="Calibri Light"/>
        </w:rPr>
        <w:t xml:space="preserve">What was the cost per </w:t>
      </w:r>
      <w:r>
        <w:rPr>
          <w:rFonts w:cs="Calibri Light"/>
        </w:rPr>
        <w:t>additional</w:t>
      </w:r>
      <w:r w:rsidRPr="005E7164">
        <w:rPr>
          <w:rFonts w:cs="Calibri Light"/>
        </w:rPr>
        <w:t xml:space="preserve"> commencement and </w:t>
      </w:r>
      <w:r>
        <w:rPr>
          <w:rFonts w:cs="Calibri Light"/>
        </w:rPr>
        <w:t>additional</w:t>
      </w:r>
      <w:r w:rsidRPr="005E7164">
        <w:rPr>
          <w:rFonts w:cs="Calibri Light"/>
        </w:rPr>
        <w:t xml:space="preserve"> completion? </w:t>
      </w:r>
    </w:p>
    <w:p w14:paraId="4F48BF11" w14:textId="77777777" w:rsidR="00DD4C4B" w:rsidRDefault="00DD4C4B" w:rsidP="00BB7265">
      <w:pPr>
        <w:pStyle w:val="OutlineNumbered1"/>
        <w:numPr>
          <w:ilvl w:val="0"/>
          <w:numId w:val="11"/>
        </w:numPr>
        <w:suppressAutoHyphens/>
        <w:spacing w:before="180" w:after="60"/>
        <w:ind w:left="284" w:hanging="284"/>
        <w:rPr>
          <w:rFonts w:cs="Calibri Light"/>
        </w:rPr>
      </w:pPr>
      <w:r>
        <w:rPr>
          <w:rFonts w:cs="Calibri Light"/>
        </w:rPr>
        <w:t>To the extent possible, comment on the cost effectiveness of the program in achieving their intended objectives?</w:t>
      </w:r>
    </w:p>
    <w:p w14:paraId="34D6CA11" w14:textId="77777777" w:rsidR="00DD4C4B" w:rsidRDefault="00DD4C4B" w:rsidP="007574A3">
      <w:pPr>
        <w:pStyle w:val="Heading2"/>
        <w:spacing w:line="240" w:lineRule="auto"/>
      </w:pPr>
      <w:bookmarkStart w:id="30" w:name="_Toc172721970"/>
      <w:bookmarkStart w:id="31" w:name="_Toc176782351"/>
      <w:r>
        <w:t>Methods</w:t>
      </w:r>
      <w:bookmarkEnd w:id="30"/>
      <w:bookmarkEnd w:id="31"/>
    </w:p>
    <w:p w14:paraId="155BA568" w14:textId="7228DA19" w:rsidR="00D96777" w:rsidRDefault="00DD4C4B" w:rsidP="007574A3">
      <w:r>
        <w:t xml:space="preserve">This evaluation took a mixed-methods approach. </w:t>
      </w:r>
      <w:r w:rsidR="00B93C16">
        <w:t>The evaluation team</w:t>
      </w:r>
      <w:r w:rsidR="00D96777">
        <w:t xml:space="preserve"> analysed administrative data, built a time-series event study </w:t>
      </w:r>
      <w:r w:rsidR="00BB4CBF">
        <w:t xml:space="preserve">econometric </w:t>
      </w:r>
      <w:r w:rsidR="00D96777">
        <w:t xml:space="preserve">model of quarterly commencements, and built a probit </w:t>
      </w:r>
      <w:r w:rsidR="00BB4CBF">
        <w:t xml:space="preserve">econometric </w:t>
      </w:r>
      <w:r w:rsidR="00D96777">
        <w:t xml:space="preserve">model of an individual’s likelihood of continuing their training. In the Appendix D, we also include results for a time-series event study model of quarterly ‘progressed commencements’ to </w:t>
      </w:r>
      <w:proofErr w:type="gramStart"/>
      <w:r w:rsidR="00D96777">
        <w:t>take into account</w:t>
      </w:r>
      <w:proofErr w:type="gramEnd"/>
      <w:r w:rsidR="00D96777">
        <w:t xml:space="preserve"> the effects of cancellations.</w:t>
      </w:r>
    </w:p>
    <w:p w14:paraId="054E312F" w14:textId="77E55441" w:rsidR="00D96777" w:rsidRDefault="00D96777" w:rsidP="007574A3"/>
    <w:p w14:paraId="50B69AFE" w14:textId="54396C02" w:rsidR="00AB000E" w:rsidRDefault="00B93C16" w:rsidP="007574A3">
      <w:r>
        <w:lastRenderedPageBreak/>
        <w:t xml:space="preserve">We also </w:t>
      </w:r>
      <w:r w:rsidR="00DD4C4B">
        <w:t xml:space="preserve">reviewed the existing literature on wage subsidies </w:t>
      </w:r>
      <w:r w:rsidR="00CB4321">
        <w:t xml:space="preserve">for </w:t>
      </w:r>
      <w:r w:rsidR="00517A43">
        <w:t>Australian A</w:t>
      </w:r>
      <w:r w:rsidR="00DD4C4B">
        <w:t xml:space="preserve">pprenticeships (see Appendix </w:t>
      </w:r>
      <w:r w:rsidR="00A83270">
        <w:t>E</w:t>
      </w:r>
      <w:r w:rsidR="00DD4C4B">
        <w:t xml:space="preserve">), </w:t>
      </w:r>
      <w:r w:rsidR="00575C0D">
        <w:t xml:space="preserve">reviewed </w:t>
      </w:r>
      <w:r w:rsidR="00874665">
        <w:t>mentions of the BAC program in</w:t>
      </w:r>
      <w:r w:rsidR="00575C0D">
        <w:t xml:space="preserve"> submissions to the </w:t>
      </w:r>
      <w:r w:rsidR="00874665">
        <w:t>Strategic Review of the Australian Apprenticeship Incentive System</w:t>
      </w:r>
      <w:r w:rsidR="00F14555">
        <w:t xml:space="preserve">, </w:t>
      </w:r>
      <w:r w:rsidR="00DD4C4B">
        <w:t xml:space="preserve">and </w:t>
      </w:r>
      <w:r w:rsidR="007A4181">
        <w:t>interviewed</w:t>
      </w:r>
      <w:r w:rsidR="00DD4C4B">
        <w:t xml:space="preserve"> selected stakeholders.</w:t>
      </w:r>
    </w:p>
    <w:p w14:paraId="6EDE8E77" w14:textId="1F88EDAA" w:rsidR="00AB000E" w:rsidRDefault="007A4181" w:rsidP="007574A3">
      <w:r>
        <w:t>The stakeholders we interviewed</w:t>
      </w:r>
      <w:r w:rsidR="003B276F">
        <w:t xml:space="preserve"> </w:t>
      </w:r>
      <w:r w:rsidR="00902049">
        <w:t>included</w:t>
      </w:r>
      <w:r w:rsidR="001C619B">
        <w:t xml:space="preserve"> </w:t>
      </w:r>
      <w:r w:rsidR="003B276F">
        <w:t>Group Training Organisations</w:t>
      </w:r>
      <w:r w:rsidR="00BA3C96">
        <w:t xml:space="preserve"> and </w:t>
      </w:r>
      <w:r w:rsidR="00434CD9">
        <w:t>one of their</w:t>
      </w:r>
      <w:r w:rsidR="00BA3C96">
        <w:t xml:space="preserve"> peak bod</w:t>
      </w:r>
      <w:r w:rsidR="00434CD9">
        <w:t>ies</w:t>
      </w:r>
      <w:r w:rsidR="003B276F">
        <w:t xml:space="preserve">, </w:t>
      </w:r>
      <w:r w:rsidR="00A61687">
        <w:t>Australian</w:t>
      </w:r>
      <w:r w:rsidR="00094244">
        <w:t xml:space="preserve"> Apprenticeship Support Services</w:t>
      </w:r>
      <w:r w:rsidR="00132796">
        <w:t xml:space="preserve"> </w:t>
      </w:r>
      <w:r w:rsidR="00EE130E">
        <w:t xml:space="preserve">providers </w:t>
      </w:r>
      <w:r w:rsidR="000C0692">
        <w:t>and their peak body</w:t>
      </w:r>
      <w:r w:rsidR="00D20DCB">
        <w:t xml:space="preserve">, </w:t>
      </w:r>
      <w:r w:rsidR="001C619B">
        <w:t xml:space="preserve">state regulators, </w:t>
      </w:r>
      <w:r w:rsidR="00F229F5">
        <w:t>TAFE Directors Australia</w:t>
      </w:r>
      <w:r w:rsidR="004A547C">
        <w:t>,</w:t>
      </w:r>
      <w:r w:rsidR="00202038">
        <w:t xml:space="preserve"> </w:t>
      </w:r>
      <w:r w:rsidR="00462387">
        <w:t>and</w:t>
      </w:r>
      <w:r w:rsidR="00EF4163">
        <w:t xml:space="preserve"> </w:t>
      </w:r>
      <w:r w:rsidR="004A547C">
        <w:t>the federal Department of Employment</w:t>
      </w:r>
      <w:r w:rsidR="00202038">
        <w:t xml:space="preserve"> </w:t>
      </w:r>
      <w:r w:rsidR="00462387">
        <w:t>and</w:t>
      </w:r>
      <w:r w:rsidR="001C619B">
        <w:t xml:space="preserve"> </w:t>
      </w:r>
      <w:r w:rsidR="004A547C">
        <w:t>Workplace Relations</w:t>
      </w:r>
      <w:r w:rsidR="00230A6A">
        <w:t xml:space="preserve"> (DEWR)</w:t>
      </w:r>
      <w:r w:rsidR="004A547C">
        <w:t>.</w:t>
      </w:r>
    </w:p>
    <w:p w14:paraId="37E2AB85" w14:textId="77777777" w:rsidR="00DD4C4B" w:rsidRDefault="00DD4C4B" w:rsidP="007574A3">
      <w:pPr>
        <w:pStyle w:val="Heading2"/>
        <w:spacing w:line="240" w:lineRule="auto"/>
      </w:pPr>
      <w:bookmarkStart w:id="32" w:name="_Toc172721971"/>
      <w:bookmarkStart w:id="33" w:name="_Toc176782352"/>
      <w:r>
        <w:t>Data</w:t>
      </w:r>
      <w:bookmarkEnd w:id="32"/>
      <w:bookmarkEnd w:id="33"/>
    </w:p>
    <w:p w14:paraId="0DDACE48" w14:textId="68877F35" w:rsidR="00DD4C4B" w:rsidRDefault="00DD4C4B" w:rsidP="007574A3">
      <w:r>
        <w:t xml:space="preserve">Most of the analysis in this evaluation used administrative data from </w:t>
      </w:r>
      <w:r w:rsidR="00230A6A">
        <w:t>DEWR</w:t>
      </w:r>
      <w:r w:rsidRPr="00037187">
        <w:t>. This data covers every Australian Appren</w:t>
      </w:r>
      <w:r>
        <w:t xml:space="preserve">ticeship from 2006-2023. </w:t>
      </w:r>
    </w:p>
    <w:p w14:paraId="1E286624" w14:textId="79DB995D" w:rsidR="00DD4C4B" w:rsidRDefault="00DD4C4B" w:rsidP="007574A3">
      <w:r>
        <w:t xml:space="preserve">The econometric modelling was supplemented with data from the Australian Bureau of Statistics’ </w:t>
      </w:r>
      <w:hyperlink r:id="rId22">
        <w:r w:rsidRPr="0B5B3ADB">
          <w:rPr>
            <w:rStyle w:val="Hyperlink"/>
            <w:i/>
            <w:iCs/>
          </w:rPr>
          <w:t>Labour Force Survey</w:t>
        </w:r>
      </w:hyperlink>
      <w:r w:rsidRPr="0B5B3ADB">
        <w:rPr>
          <w:rStyle w:val="Hyperlink"/>
          <w:i/>
          <w:iCs/>
        </w:rPr>
        <w:t xml:space="preserve">, </w:t>
      </w:r>
      <w:r>
        <w:t>Jobs and Skills Australia’s </w:t>
      </w:r>
      <w:hyperlink r:id="rId23">
        <w:r w:rsidRPr="0B5B3ADB">
          <w:rPr>
            <w:rStyle w:val="Hyperlink"/>
          </w:rPr>
          <w:t>Internet Vacancy Index (IVI)</w:t>
        </w:r>
      </w:hyperlink>
      <w:r>
        <w:t>,</w:t>
      </w:r>
      <w:r w:rsidR="00E70D9C">
        <w:t xml:space="preserve"> </w:t>
      </w:r>
      <w:r>
        <w:t xml:space="preserve">and the </w:t>
      </w:r>
      <w:hyperlink r:id="rId24">
        <w:r w:rsidRPr="0B5B3ADB">
          <w:rPr>
            <w:rStyle w:val="Hyperlink"/>
            <w:i/>
            <w:iCs/>
          </w:rPr>
          <w:t>NAB Monthly Business Survey</w:t>
        </w:r>
      </w:hyperlink>
      <w:r>
        <w:t xml:space="preserve"> (ABS 2024; JSA 2024; NAB 2024). See the section ‘BAC’s effects on commencements’ for more details.</w:t>
      </w:r>
    </w:p>
    <w:p w14:paraId="0EE33F95" w14:textId="77777777" w:rsidR="00DD4C4B" w:rsidRDefault="00DD4C4B" w:rsidP="007574A3">
      <w:r>
        <w:t xml:space="preserve">The cost effectiveness section also used data from the </w:t>
      </w:r>
      <w:r>
        <w:rPr>
          <w:i/>
          <w:iCs/>
        </w:rPr>
        <w:t>D</w:t>
      </w:r>
      <w:r w:rsidRPr="000B3F3D">
        <w:rPr>
          <w:i/>
          <w:iCs/>
        </w:rPr>
        <w:t>epartment of Employment and Workplace Relations</w:t>
      </w:r>
      <w:r w:rsidRPr="00E36A85">
        <w:t xml:space="preserve"> on g</w:t>
      </w:r>
      <w:r>
        <w:t xml:space="preserve">overnment spending on apprenticeships. </w:t>
      </w:r>
    </w:p>
    <w:p w14:paraId="709E89F7" w14:textId="389AC53E" w:rsidR="005F0AA6" w:rsidRDefault="00DD4C4B" w:rsidP="007574A3">
      <w:r>
        <w:t xml:space="preserve">For analysis of priority occupations </w:t>
      </w:r>
      <w:r w:rsidR="00082B1E">
        <w:t>the evaluation team</w:t>
      </w:r>
      <w:r>
        <w:t xml:space="preserve"> used priority occupations from the </w:t>
      </w:r>
      <w:hyperlink r:id="rId25" w:anchor="toc-australian-apprenticeship-priority-list" w:history="1">
        <w:r>
          <w:rPr>
            <w:rStyle w:val="Hyperlink"/>
          </w:rPr>
          <w:t>Australian Apprenticeships Priority List</w:t>
        </w:r>
      </w:hyperlink>
      <w:r>
        <w:t xml:space="preserve"> (DEWR 2024b), which replaced the </w:t>
      </w:r>
      <w:hyperlink r:id="rId26" w:history="1">
        <w:r w:rsidRPr="00583DE5">
          <w:rPr>
            <w:rStyle w:val="Hyperlink"/>
          </w:rPr>
          <w:t>National Skills Needs List</w:t>
        </w:r>
      </w:hyperlink>
      <w:r>
        <w:t xml:space="preserve"> (DEWR 2023b). </w:t>
      </w:r>
    </w:p>
    <w:p w14:paraId="771558BE" w14:textId="77777777" w:rsidR="00C71CF1" w:rsidRDefault="00C71CF1" w:rsidP="007574A3">
      <w:pPr>
        <w:pStyle w:val="Heading2"/>
        <w:spacing w:line="240" w:lineRule="auto"/>
      </w:pPr>
      <w:bookmarkStart w:id="34" w:name="_Toc176782353"/>
      <w:r>
        <w:t>Terminology</w:t>
      </w:r>
      <w:bookmarkEnd w:id="34"/>
    </w:p>
    <w:p w14:paraId="0F6A3594" w14:textId="04A758B1" w:rsidR="00094DCB" w:rsidRDefault="00DC2CB1" w:rsidP="007574A3">
      <w:pPr>
        <w:pStyle w:val="Bullet"/>
        <w:numPr>
          <w:ilvl w:val="0"/>
          <w:numId w:val="0"/>
        </w:numPr>
        <w:tabs>
          <w:tab w:val="clear" w:pos="720"/>
          <w:tab w:val="left" w:pos="851"/>
        </w:tabs>
        <w:spacing w:line="240" w:lineRule="auto"/>
      </w:pPr>
      <w:r>
        <w:t>This report</w:t>
      </w:r>
      <w:r w:rsidR="00094DCB">
        <w:t xml:space="preserve"> </w:t>
      </w:r>
      <w:r w:rsidR="00164EC0">
        <w:t>follow</w:t>
      </w:r>
      <w:r>
        <w:t>s</w:t>
      </w:r>
      <w:r w:rsidR="00094DCB">
        <w:t xml:space="preserve"> </w:t>
      </w:r>
      <w:r w:rsidR="00164EC0">
        <w:t xml:space="preserve">DEWR’s </w:t>
      </w:r>
      <w:r w:rsidR="00094DCB">
        <w:t xml:space="preserve">terminology </w:t>
      </w:r>
      <w:r w:rsidR="00164EC0">
        <w:t xml:space="preserve">of using the phrase </w:t>
      </w:r>
      <w:r w:rsidR="00094DCB">
        <w:t>‘</w:t>
      </w:r>
      <w:r w:rsidR="00710CBE">
        <w:t>Australian Apprenticeship</w:t>
      </w:r>
      <w:r w:rsidR="00164EC0">
        <w:t>s</w:t>
      </w:r>
      <w:r w:rsidR="00094DCB">
        <w:t>’ to</w:t>
      </w:r>
      <w:r w:rsidR="00710CBE">
        <w:t xml:space="preserve"> refer to both apprenticeship</w:t>
      </w:r>
      <w:r w:rsidR="00164EC0">
        <w:t>s</w:t>
      </w:r>
      <w:r w:rsidR="00710CBE">
        <w:t xml:space="preserve"> and traineeships</w:t>
      </w:r>
      <w:r w:rsidR="00164EC0">
        <w:t xml:space="preserve">. </w:t>
      </w:r>
    </w:p>
    <w:p w14:paraId="792FE918" w14:textId="756FC2BA" w:rsidR="00175F9F" w:rsidRDefault="00175F9F" w:rsidP="007574A3">
      <w:pPr>
        <w:pStyle w:val="Bullet"/>
        <w:numPr>
          <w:ilvl w:val="0"/>
          <w:numId w:val="0"/>
        </w:numPr>
        <w:tabs>
          <w:tab w:val="clear" w:pos="720"/>
          <w:tab w:val="left" w:pos="851"/>
        </w:tabs>
        <w:spacing w:line="240" w:lineRule="auto"/>
      </w:pPr>
      <w:r>
        <w:t xml:space="preserve">For ease of reference, throughout this report, </w:t>
      </w:r>
      <w:r w:rsidR="009D1215">
        <w:t>the</w:t>
      </w:r>
      <w:r>
        <w:t xml:space="preserve"> phrase ‘the BAC program’ refer</w:t>
      </w:r>
      <w:r w:rsidR="009D1215">
        <w:t>s</w:t>
      </w:r>
      <w:r>
        <w:t xml:space="preserve"> to both the </w:t>
      </w:r>
      <w:r w:rsidRPr="00F5641C">
        <w:rPr>
          <w:i/>
          <w:iCs/>
        </w:rPr>
        <w:t>Boosting Apprenticeship Commencements (BAC)</w:t>
      </w:r>
      <w:r>
        <w:t xml:space="preserve"> and the </w:t>
      </w:r>
      <w:r w:rsidRPr="00F5641C">
        <w:rPr>
          <w:i/>
          <w:iCs/>
        </w:rPr>
        <w:t>Completing Apprenticeship Commencements (CAC)</w:t>
      </w:r>
      <w:r>
        <w:t xml:space="preserve"> programs unless explicitly stated otherwise. </w:t>
      </w:r>
      <w:r w:rsidR="005D0D84">
        <w:t>Employers of</w:t>
      </w:r>
      <w:r>
        <w:t xml:space="preserve"> Australian Apprentice</w:t>
      </w:r>
      <w:r w:rsidR="005D0D84">
        <w:t>s who were eligible for the BAC wage subsidy in their first year of training, were also eligible for the CAC subsidies in their second and third year (and no one was eligible for CAC who was</w:t>
      </w:r>
      <w:r w:rsidR="001046E2">
        <w:t xml:space="preserve"> not</w:t>
      </w:r>
      <w:r w:rsidR="005D0D84">
        <w:t xml:space="preserve"> also eligible for BAC)</w:t>
      </w:r>
      <w:r w:rsidR="006A60A9">
        <w:t xml:space="preserve">, so the programs </w:t>
      </w:r>
      <w:r w:rsidR="00144048">
        <w:t xml:space="preserve">effectively formed part of </w:t>
      </w:r>
      <w:r w:rsidR="006A60A9">
        <w:t xml:space="preserve">the same </w:t>
      </w:r>
      <w:r w:rsidR="008E3259">
        <w:t>package.</w:t>
      </w:r>
    </w:p>
    <w:p w14:paraId="0A7E0215" w14:textId="7502146F" w:rsidR="00366135" w:rsidRDefault="00366135" w:rsidP="007574A3">
      <w:pPr>
        <w:pStyle w:val="Bullet"/>
        <w:numPr>
          <w:ilvl w:val="0"/>
          <w:numId w:val="0"/>
        </w:numPr>
        <w:tabs>
          <w:tab w:val="clear" w:pos="720"/>
          <w:tab w:val="left" w:pos="851"/>
        </w:tabs>
        <w:spacing w:line="240" w:lineRule="auto"/>
      </w:pPr>
      <w:r>
        <w:t xml:space="preserve">To avoid confusion, the department responsible for the BAC program </w:t>
      </w:r>
      <w:r w:rsidR="00144048">
        <w:t xml:space="preserve">is referred to </w:t>
      </w:r>
      <w:r>
        <w:t xml:space="preserve">as the ‘Department of Employment and Workplace Relations (DEWR)’, though we acknowledge that for part of the period the BAC program existed, </w:t>
      </w:r>
      <w:r w:rsidR="008E3259">
        <w:t>Australian Apprenticeships</w:t>
      </w:r>
      <w:r>
        <w:t xml:space="preserve"> were </w:t>
      </w:r>
      <w:r w:rsidR="008E3259">
        <w:t>managed at the federal level</w:t>
      </w:r>
      <w:r>
        <w:t xml:space="preserve"> by the ‘Department of Education, Skills and Employment (DESE)</w:t>
      </w:r>
      <w:r w:rsidR="00175F9F">
        <w:t>.’</w:t>
      </w:r>
    </w:p>
    <w:p w14:paraId="2374CFD9" w14:textId="16260A9B" w:rsidR="00DD4C4B" w:rsidRDefault="00DD4C4B" w:rsidP="007574A3">
      <w:r>
        <w:br w:type="page"/>
      </w:r>
    </w:p>
    <w:p w14:paraId="53569019" w14:textId="77777777" w:rsidR="00DD4C4B" w:rsidRDefault="00DD4C4B" w:rsidP="007574A3">
      <w:pPr>
        <w:pStyle w:val="Heading1"/>
        <w:spacing w:line="240" w:lineRule="auto"/>
      </w:pPr>
      <w:bookmarkStart w:id="35" w:name="_Toc172721972"/>
      <w:bookmarkStart w:id="36" w:name="_Toc176782354"/>
      <w:r>
        <w:lastRenderedPageBreak/>
        <w:t>BAC’s effects on commencements</w:t>
      </w:r>
      <w:bookmarkEnd w:id="35"/>
      <w:bookmarkEnd w:id="36"/>
    </w:p>
    <w:p w14:paraId="3AE2E7DF" w14:textId="0109F576" w:rsidR="00DD4C4B" w:rsidRPr="00B35BF2" w:rsidRDefault="00DD4C4B" w:rsidP="007574A3">
      <w:r>
        <w:t>To understand the effect of the BAC program on commencements,</w:t>
      </w:r>
      <w:r w:rsidR="00CD5DD3">
        <w:t xml:space="preserve"> the evaluation team</w:t>
      </w:r>
      <w:r>
        <w:t xml:space="preserve"> sought to develop a ‘counterfactual’, that is, an estimate of what commencements would have been without the program. In this section we explain the econometric model of the counterfactual </w:t>
      </w:r>
      <w:r w:rsidR="00BF2F6A">
        <w:t>that was</w:t>
      </w:r>
      <w:r>
        <w:t xml:space="preserve"> developed, and the consequent results.  </w:t>
      </w:r>
    </w:p>
    <w:p w14:paraId="2DE63938" w14:textId="77777777" w:rsidR="00DD4C4B" w:rsidRDefault="00DD4C4B" w:rsidP="007574A3">
      <w:pPr>
        <w:pStyle w:val="Heading2"/>
        <w:spacing w:line="240" w:lineRule="auto"/>
      </w:pPr>
      <w:bookmarkStart w:id="37" w:name="_Toc172721973"/>
      <w:bookmarkStart w:id="38" w:name="_Toc176782355"/>
      <w:r>
        <w:t>Econometric model</w:t>
      </w:r>
      <w:bookmarkEnd w:id="37"/>
      <w:bookmarkEnd w:id="38"/>
    </w:p>
    <w:p w14:paraId="742DDFB3" w14:textId="390FBB05" w:rsidR="00DD4C4B" w:rsidRDefault="00BF2F6A" w:rsidP="007574A3">
      <w:r>
        <w:t>A</w:t>
      </w:r>
      <w:r w:rsidR="00DD4C4B" w:rsidRPr="00A470BC">
        <w:t xml:space="preserve"> time series event study model </w:t>
      </w:r>
      <w:r>
        <w:t xml:space="preserve">was used </w:t>
      </w:r>
      <w:r w:rsidR="00DD4C4B" w:rsidRPr="00A470BC">
        <w:t>to assess the effect of the BAC program on commencements.</w:t>
      </w:r>
      <w:r w:rsidR="00DD4C4B">
        <w:t xml:space="preserve"> See Appendix B for the technical details of the model, but in broad terms, the model draws on historical data from 2006 to 2019. It then seeks to model the key drivers of commencements, namely: </w:t>
      </w:r>
    </w:p>
    <w:p w14:paraId="1EEBC560" w14:textId="77777777" w:rsidR="00DD4C4B" w:rsidRDefault="00DD4C4B" w:rsidP="00BB7265">
      <w:pPr>
        <w:pStyle w:val="Bullet"/>
      </w:pPr>
      <w:r>
        <w:t xml:space="preserve">Seasonality (there are always higher commencements in the first quarter of the year), </w:t>
      </w:r>
    </w:p>
    <w:p w14:paraId="55FFA45A" w14:textId="77777777" w:rsidR="00DD4C4B" w:rsidRDefault="00DD4C4B" w:rsidP="00BB7265">
      <w:pPr>
        <w:pStyle w:val="Bullet"/>
      </w:pPr>
      <w:r>
        <w:t xml:space="preserve">Policy changes in mid-2012, and </w:t>
      </w:r>
    </w:p>
    <w:p w14:paraId="4B50FE8A" w14:textId="77777777" w:rsidR="00DD4C4B" w:rsidRDefault="00DD4C4B" w:rsidP="00BB7265">
      <w:pPr>
        <w:pStyle w:val="Bullet"/>
      </w:pPr>
      <w:r>
        <w:t>Several variables reflecting economic and labour market conditions</w:t>
      </w:r>
    </w:p>
    <w:p w14:paraId="7D41D8E8" w14:textId="0EC9B0F4" w:rsidR="00DD4C4B" w:rsidRDefault="00DD4C4B" w:rsidP="007574A3">
      <w:r>
        <w:t xml:space="preserve">The underlying theory supporting the choice of these economic variables is that commencements depend on employer demand. When a business is going well then it is more likely to </w:t>
      </w:r>
      <w:r w:rsidR="00ED0B37">
        <w:t>need</w:t>
      </w:r>
      <w:r>
        <w:t xml:space="preserve"> additional staff, and more willing to make an investment to train an Australian Apprentice. The specific economic and labour market variables used in the model are: </w:t>
      </w:r>
    </w:p>
    <w:p w14:paraId="622B483F" w14:textId="59CBBF43" w:rsidR="00DD4C4B" w:rsidRDefault="00DD4C4B" w:rsidP="00BB7265">
      <w:pPr>
        <w:pStyle w:val="Bullet"/>
      </w:pPr>
      <w:r>
        <w:t xml:space="preserve">Hours </w:t>
      </w:r>
      <w:proofErr w:type="gramStart"/>
      <w:r>
        <w:t>actually worked</w:t>
      </w:r>
      <w:proofErr w:type="gramEnd"/>
      <w:r>
        <w:t xml:space="preserve"> by occupation and state</w:t>
      </w:r>
    </w:p>
    <w:p w14:paraId="317F7E6A" w14:textId="705E0A44" w:rsidR="00DD4C4B" w:rsidRDefault="00DD4C4B" w:rsidP="00BB7265">
      <w:pPr>
        <w:pStyle w:val="Bullet"/>
      </w:pPr>
      <w:r>
        <w:t>Unemployment rates by occupation and state</w:t>
      </w:r>
    </w:p>
    <w:p w14:paraId="03218712" w14:textId="45361B77" w:rsidR="00DD4C4B" w:rsidRDefault="00DD4C4B" w:rsidP="00BB7265">
      <w:pPr>
        <w:pStyle w:val="Bullet"/>
      </w:pPr>
      <w:r>
        <w:t xml:space="preserve">Vacancy levels by occupation and state </w:t>
      </w:r>
    </w:p>
    <w:p w14:paraId="384779DB" w14:textId="3A6E1403" w:rsidR="00DD4C4B" w:rsidRDefault="00DD4C4B" w:rsidP="00BB7265">
      <w:pPr>
        <w:pStyle w:val="Bullet"/>
      </w:pPr>
      <w:r>
        <w:t>Business confidence</w:t>
      </w:r>
    </w:p>
    <w:p w14:paraId="291AA8DE" w14:textId="2037B6EB" w:rsidR="00DD4C4B" w:rsidRDefault="00DD4C4B" w:rsidP="007574A3">
      <w:r>
        <w:t xml:space="preserve">At the end of this chapter, </w:t>
      </w:r>
      <w:r w:rsidR="00B11004">
        <w:t>the</w:t>
      </w:r>
      <w:r>
        <w:t xml:space="preserve"> sub-section titled ‘Discussion of causality’ </w:t>
      </w:r>
      <w:r w:rsidR="00B11004">
        <w:t>discusses</w:t>
      </w:r>
      <w:r>
        <w:t xml:space="preserve"> how well these variables capture the main drivers of apprenticeship commencements.</w:t>
      </w:r>
    </w:p>
    <w:p w14:paraId="7ECD231D" w14:textId="77777777" w:rsidR="00DD4C4B" w:rsidRDefault="00DD4C4B" w:rsidP="007574A3">
      <w:pPr>
        <w:pStyle w:val="Heading2"/>
        <w:spacing w:line="240" w:lineRule="auto"/>
      </w:pPr>
      <w:bookmarkStart w:id="39" w:name="_Toc172721974"/>
      <w:bookmarkStart w:id="40" w:name="_Toc176782356"/>
      <w:r>
        <w:t>Results</w:t>
      </w:r>
      <w:bookmarkEnd w:id="39"/>
      <w:bookmarkEnd w:id="40"/>
    </w:p>
    <w:p w14:paraId="1EC900E7" w14:textId="15F22583" w:rsidR="00DD4C4B" w:rsidRDefault="00DD4C4B" w:rsidP="00F90582">
      <w:pPr>
        <w:pStyle w:val="Heading3"/>
      </w:pPr>
      <w:bookmarkStart w:id="41" w:name="_Toc172721975"/>
      <w:bookmarkStart w:id="42" w:name="_Toc176782357"/>
      <w:r w:rsidRPr="006E694F">
        <w:rPr>
          <w:rFonts w:asciiTheme="majorHAnsi" w:hAnsiTheme="majorHAnsi" w:cstheme="majorHAnsi"/>
          <w:b/>
          <w:bCs/>
          <w:sz w:val="28"/>
          <w:szCs w:val="28"/>
        </w:rPr>
        <w:t>Substantial</w:t>
      </w:r>
      <w:r>
        <w:t xml:space="preserve"> </w:t>
      </w:r>
      <w:r w:rsidRPr="006E694F">
        <w:rPr>
          <w:rFonts w:asciiTheme="majorHAnsi" w:hAnsiTheme="majorHAnsi" w:cstheme="majorHAnsi"/>
          <w:b/>
          <w:bCs/>
          <w:sz w:val="28"/>
          <w:szCs w:val="28"/>
        </w:rPr>
        <w:t>increase in commencements, particularly for non-</w:t>
      </w:r>
      <w:bookmarkEnd w:id="41"/>
      <w:r w:rsidR="00F61BE9" w:rsidRPr="006E694F">
        <w:rPr>
          <w:rFonts w:asciiTheme="majorHAnsi" w:hAnsiTheme="majorHAnsi" w:cstheme="majorHAnsi"/>
          <w:b/>
          <w:bCs/>
          <w:sz w:val="28"/>
          <w:szCs w:val="28"/>
        </w:rPr>
        <w:t>trade</w:t>
      </w:r>
      <w:r w:rsidR="00944A29" w:rsidRPr="006E694F">
        <w:rPr>
          <w:rFonts w:asciiTheme="majorHAnsi" w:hAnsiTheme="majorHAnsi" w:cstheme="majorHAnsi"/>
          <w:b/>
          <w:bCs/>
          <w:sz w:val="28"/>
          <w:szCs w:val="28"/>
        </w:rPr>
        <w:t>s</w:t>
      </w:r>
      <w:bookmarkEnd w:id="42"/>
    </w:p>
    <w:p w14:paraId="20347104" w14:textId="55BB2258" w:rsidR="00DD4C4B" w:rsidRDefault="00DD4C4B" w:rsidP="007574A3">
      <w:r>
        <w:rPr>
          <w:rFonts w:cs="Calibri Light"/>
        </w:rPr>
        <w:t xml:space="preserve">Over its 7-quarters, the BAC program resulted in a 70% increase in </w:t>
      </w:r>
      <w:r>
        <w:t xml:space="preserve">commencements compared </w:t>
      </w:r>
      <w:r>
        <w:rPr>
          <w:rFonts w:cs="Calibri Light"/>
        </w:rPr>
        <w:t xml:space="preserve">to the modelled counterfactual of what </w:t>
      </w:r>
      <w:r>
        <w:t>would have occurred in the absence of the program (</w:t>
      </w:r>
      <w:r w:rsidR="001E6463">
        <w:t>Figure</w:t>
      </w:r>
      <w:r w:rsidR="00560F4A">
        <w:t>s</w:t>
      </w:r>
      <w:r w:rsidR="001E6463">
        <w:t xml:space="preserve"> 2</w:t>
      </w:r>
      <w:r w:rsidR="00560F4A">
        <w:t xml:space="preserve"> and 3</w:t>
      </w:r>
      <w:r w:rsidR="001E6463">
        <w:t>)</w:t>
      </w:r>
      <w:r>
        <w:t xml:space="preserve">. </w:t>
      </w:r>
      <w:r>
        <w:rPr>
          <w:rFonts w:cs="Calibri Light"/>
        </w:rPr>
        <w:t xml:space="preserve">This represents </w:t>
      </w:r>
      <w:r>
        <w:t xml:space="preserve">191,000 additional commencements (95% confidence interval of 154,000 to 222,000).  (Note that this confidence interval is not symmetric around the point estimate due to the use of bootstrapping – see the technical </w:t>
      </w:r>
      <w:r w:rsidR="009008E4">
        <w:t>A</w:t>
      </w:r>
      <w:r>
        <w:t>ppendix</w:t>
      </w:r>
      <w:r w:rsidR="009008E4">
        <w:t xml:space="preserve"> </w:t>
      </w:r>
      <w:r w:rsidR="002467DA">
        <w:t>B</w:t>
      </w:r>
      <w:r>
        <w:t xml:space="preserve"> for an explanation </w:t>
      </w:r>
      <w:r w:rsidR="001E6463">
        <w:t>and further details</w:t>
      </w:r>
      <w:r>
        <w:t>.)</w:t>
      </w:r>
    </w:p>
    <w:p w14:paraId="3A6D9409" w14:textId="2A934C0E" w:rsidR="00DD4C4B" w:rsidRDefault="00DD4C4B" w:rsidP="007574A3">
      <w:r>
        <w:t>The effect was particularly strong for non-</w:t>
      </w:r>
      <w:r w:rsidR="00AE122B">
        <w:t>trade</w:t>
      </w:r>
      <w:r w:rsidR="002A469A">
        <w:t>s</w:t>
      </w:r>
      <w:r>
        <w:t>, where t</w:t>
      </w:r>
      <w:r w:rsidRPr="005F39EC">
        <w:t>here were 267,</w:t>
      </w:r>
      <w:r w:rsidRPr="001724D7">
        <w:t>000 commencements during the BAC period</w:t>
      </w:r>
      <w:r>
        <w:t xml:space="preserve">. This represented </w:t>
      </w:r>
      <w:r w:rsidRPr="001724D7">
        <w:t>an increase of 114,000</w:t>
      </w:r>
      <w:r>
        <w:t>, or 75%,</w:t>
      </w:r>
      <w:r w:rsidRPr="001724D7">
        <w:t xml:space="preserve"> compared to what would have been expected in the absence of the program</w:t>
      </w:r>
      <w:r>
        <w:t xml:space="preserve"> </w:t>
      </w:r>
      <w:r w:rsidRPr="001724D7">
        <w:t>(95% confidence interval of 94,000 to 131,000).</w:t>
      </w:r>
      <w:r w:rsidRPr="00AE76BA">
        <w:rPr>
          <w:rStyle w:val="FootnoteReference"/>
          <w:vertAlign w:val="superscript"/>
        </w:rPr>
        <w:footnoteReference w:id="2"/>
      </w:r>
      <w:r w:rsidR="00560F4A">
        <w:t xml:space="preserve"> </w:t>
      </w:r>
    </w:p>
    <w:p w14:paraId="535B0082" w14:textId="7015411C" w:rsidR="007B117D" w:rsidRDefault="00DD4C4B" w:rsidP="00F90582">
      <w:pPr>
        <w:pStyle w:val="Chartheading"/>
        <w:spacing w:line="240" w:lineRule="auto"/>
        <w:outlineLvl w:val="9"/>
      </w:pPr>
      <w:r>
        <w:lastRenderedPageBreak/>
        <w:t>Figure 2: Comparison of commencements and forecasted commencements without BAC, by quarter</w:t>
      </w:r>
    </w:p>
    <w:p w14:paraId="22E99B4C" w14:textId="4F6169A6" w:rsidR="008D1BFA" w:rsidRPr="008D1BFA" w:rsidRDefault="000559F6" w:rsidP="007574A3">
      <w:r>
        <w:rPr>
          <w:noProof/>
        </w:rPr>
        <w:drawing>
          <wp:inline distT="0" distB="0" distL="0" distR="0" wp14:anchorId="134D2357" wp14:editId="50652307">
            <wp:extent cx="5767070" cy="3797935"/>
            <wp:effectExtent l="0" t="0" r="5080" b="0"/>
            <wp:docPr id="11433435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67070" cy="3797935"/>
                    </a:xfrm>
                    <a:prstGeom prst="rect">
                      <a:avLst/>
                    </a:prstGeom>
                    <a:noFill/>
                  </pic:spPr>
                </pic:pic>
              </a:graphicData>
            </a:graphic>
          </wp:inline>
        </w:drawing>
      </w:r>
    </w:p>
    <w:p w14:paraId="69C9C606" w14:textId="1E7F2393" w:rsidR="00DD4C4B" w:rsidRPr="00893BF0" w:rsidRDefault="00DD4C4B" w:rsidP="007574A3">
      <w:pPr>
        <w:rPr>
          <w:sz w:val="18"/>
          <w:szCs w:val="18"/>
        </w:rPr>
      </w:pPr>
      <w:r w:rsidRPr="00580999">
        <w:rPr>
          <w:sz w:val="18"/>
          <w:szCs w:val="18"/>
        </w:rPr>
        <w:t xml:space="preserve">Source: </w:t>
      </w:r>
      <w:r>
        <w:rPr>
          <w:sz w:val="18"/>
          <w:szCs w:val="18"/>
        </w:rPr>
        <w:t xml:space="preserve">Treasury modelling, see Appendix </w:t>
      </w:r>
      <w:r w:rsidR="002467DA">
        <w:rPr>
          <w:sz w:val="18"/>
          <w:szCs w:val="18"/>
        </w:rPr>
        <w:t>B</w:t>
      </w:r>
      <w:r>
        <w:rPr>
          <w:sz w:val="18"/>
          <w:szCs w:val="18"/>
        </w:rPr>
        <w:t xml:space="preserve"> for details.</w:t>
      </w:r>
    </w:p>
    <w:p w14:paraId="4E5A5E6D" w14:textId="6883EDAA" w:rsidR="002154DD" w:rsidRDefault="00DD4C4B" w:rsidP="00F90582">
      <w:pPr>
        <w:pStyle w:val="Chartheading"/>
        <w:spacing w:line="240" w:lineRule="auto"/>
        <w:outlineLvl w:val="9"/>
      </w:pPr>
      <w:r>
        <w:t>Figure 3: Effect of BAC on the number of commencements by trade and non-trade</w:t>
      </w:r>
    </w:p>
    <w:p w14:paraId="7BB5D2F5" w14:textId="3BDD605D" w:rsidR="00470236" w:rsidRDefault="00470236" w:rsidP="007574A3">
      <w:pPr>
        <w:keepNext/>
        <w:jc w:val="center"/>
      </w:pPr>
      <w:r>
        <w:rPr>
          <w:noProof/>
        </w:rPr>
        <w:drawing>
          <wp:inline distT="0" distB="0" distL="0" distR="0" wp14:anchorId="17A35D27" wp14:editId="3F17E062">
            <wp:extent cx="4425950" cy="2487168"/>
            <wp:effectExtent l="0" t="0" r="0" b="8890"/>
            <wp:docPr id="5883123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1305"/>
                    <a:stretch/>
                  </pic:blipFill>
                  <pic:spPr bwMode="auto">
                    <a:xfrm>
                      <a:off x="0" y="0"/>
                      <a:ext cx="4425950" cy="2487168"/>
                    </a:xfrm>
                    <a:prstGeom prst="rect">
                      <a:avLst/>
                    </a:prstGeom>
                    <a:noFill/>
                    <a:ln>
                      <a:noFill/>
                    </a:ln>
                    <a:extLst>
                      <a:ext uri="{53640926-AAD7-44D8-BBD7-CCE9431645EC}">
                        <a14:shadowObscured xmlns:a14="http://schemas.microsoft.com/office/drawing/2010/main"/>
                      </a:ext>
                    </a:extLst>
                  </pic:spPr>
                </pic:pic>
              </a:graphicData>
            </a:graphic>
          </wp:inline>
        </w:drawing>
      </w:r>
    </w:p>
    <w:p w14:paraId="03DEFBC8" w14:textId="35DE51E4" w:rsidR="00DD4C4B" w:rsidRPr="00645839" w:rsidRDefault="00DD4C4B" w:rsidP="007574A3">
      <w:pPr>
        <w:spacing w:after="0"/>
      </w:pPr>
      <w:r w:rsidRPr="00580999">
        <w:rPr>
          <w:sz w:val="18"/>
          <w:szCs w:val="18"/>
        </w:rPr>
        <w:t xml:space="preserve">Source: </w:t>
      </w:r>
      <w:r>
        <w:rPr>
          <w:sz w:val="18"/>
          <w:szCs w:val="18"/>
        </w:rPr>
        <w:t xml:space="preserve">Treasury modelling, see Appendix </w:t>
      </w:r>
      <w:r w:rsidR="002467DA">
        <w:rPr>
          <w:sz w:val="18"/>
          <w:szCs w:val="18"/>
        </w:rPr>
        <w:t>B</w:t>
      </w:r>
      <w:r>
        <w:rPr>
          <w:sz w:val="18"/>
          <w:szCs w:val="18"/>
        </w:rPr>
        <w:t xml:space="preserve"> for details.</w:t>
      </w:r>
    </w:p>
    <w:p w14:paraId="1C6DDB5C" w14:textId="77777777" w:rsidR="00DD4C4B" w:rsidRPr="00FB4753" w:rsidRDefault="00DD4C4B" w:rsidP="007574A3">
      <w:pPr>
        <w:spacing w:before="0"/>
        <w:rPr>
          <w:sz w:val="18"/>
          <w:szCs w:val="18"/>
        </w:rPr>
      </w:pPr>
      <w:r>
        <w:rPr>
          <w:sz w:val="18"/>
          <w:szCs w:val="18"/>
        </w:rPr>
        <w:t xml:space="preserve">Note: This chart shows the estimated increase in commencements due to BAC. Overall, commencements increased by about 191,000: an increase of 114,000 in non-trades, and 77,000 in trades. Error bars represent the 95% confidence interval. </w:t>
      </w:r>
    </w:p>
    <w:p w14:paraId="24736423" w14:textId="4E6F1239" w:rsidR="00560F4A" w:rsidRDefault="00560F4A" w:rsidP="007574A3">
      <w:bookmarkStart w:id="43" w:name="_Toc172721976"/>
      <w:r>
        <w:t>For trades, by contrast, there</w:t>
      </w:r>
      <w:r w:rsidRPr="001724D7">
        <w:t xml:space="preserve"> were 199,000 commencements during the BAC period, an increase of about 77,000</w:t>
      </w:r>
      <w:r>
        <w:t xml:space="preserve">, or 63% compared to what would have been expected in the absence of the program </w:t>
      </w:r>
      <w:r w:rsidRPr="001724D7">
        <w:t xml:space="preserve">(95% confidence interval of 60,000 </w:t>
      </w:r>
      <w:r>
        <w:t>to</w:t>
      </w:r>
      <w:r w:rsidRPr="001724D7">
        <w:t xml:space="preserve"> 92,</w:t>
      </w:r>
      <w:r>
        <w:t>000).</w:t>
      </w:r>
    </w:p>
    <w:p w14:paraId="3D8518A3" w14:textId="77777777" w:rsidR="00DD4C4B" w:rsidRPr="00BA1315" w:rsidRDefault="00DD4C4B" w:rsidP="00F90582">
      <w:pPr>
        <w:pStyle w:val="Heading3"/>
        <w:rPr>
          <w:rFonts w:asciiTheme="majorHAnsi" w:hAnsiTheme="majorHAnsi" w:cstheme="majorHAnsi"/>
          <w:b/>
          <w:bCs/>
          <w:sz w:val="28"/>
          <w:szCs w:val="28"/>
        </w:rPr>
      </w:pPr>
      <w:bookmarkStart w:id="44" w:name="_Toc176782358"/>
      <w:r w:rsidRPr="00BA1315">
        <w:rPr>
          <w:rFonts w:asciiTheme="majorHAnsi" w:hAnsiTheme="majorHAnsi" w:cstheme="majorHAnsi"/>
          <w:b/>
          <w:bCs/>
          <w:sz w:val="28"/>
          <w:szCs w:val="28"/>
        </w:rPr>
        <w:lastRenderedPageBreak/>
        <w:t>Strong effects across duration of the program</w:t>
      </w:r>
      <w:bookmarkEnd w:id="43"/>
      <w:bookmarkEnd w:id="44"/>
    </w:p>
    <w:p w14:paraId="360EF23E" w14:textId="77777777" w:rsidR="00DD4C4B" w:rsidRDefault="00DD4C4B" w:rsidP="007574A3">
      <w:pPr>
        <w:rPr>
          <w:rFonts w:cs="Calibri Light"/>
        </w:rPr>
      </w:pPr>
      <w:r>
        <w:rPr>
          <w:rFonts w:cs="Calibri Light"/>
        </w:rPr>
        <w:t xml:space="preserve">The BAC program resulted in a significant increase in commencements in all quarters, but particularly in the first and final quarters of the program. </w:t>
      </w:r>
    </w:p>
    <w:p w14:paraId="767003DF" w14:textId="77777777" w:rsidR="00DD4C4B" w:rsidRDefault="00DD4C4B" w:rsidP="007574A3">
      <w:pPr>
        <w:rPr>
          <w:rFonts w:cs="Calibri Light"/>
        </w:rPr>
      </w:pPr>
      <w:r>
        <w:rPr>
          <w:rFonts w:cs="Calibri Light"/>
        </w:rPr>
        <w:t xml:space="preserve">For trades, </w:t>
      </w:r>
      <w:r w:rsidRPr="00B73A92">
        <w:rPr>
          <w:rFonts w:cs="Calibri Light"/>
        </w:rPr>
        <w:t xml:space="preserve">commencements increased by </w:t>
      </w:r>
      <w:r>
        <w:rPr>
          <w:rFonts w:cs="Calibri Light"/>
        </w:rPr>
        <w:t>around</w:t>
      </w:r>
      <w:r w:rsidRPr="00B73A92">
        <w:rPr>
          <w:rFonts w:cs="Calibri Light"/>
        </w:rPr>
        <w:t xml:space="preserve"> 100 per cent </w:t>
      </w:r>
      <w:r>
        <w:rPr>
          <w:rFonts w:cs="Calibri Light"/>
        </w:rPr>
        <w:t xml:space="preserve">for the first and final quarters of BAC, </w:t>
      </w:r>
      <w:r w:rsidRPr="00B73A92">
        <w:rPr>
          <w:rFonts w:cs="Calibri Light"/>
        </w:rPr>
        <w:t>compared to the number of commencements expected without BAC</w:t>
      </w:r>
      <w:r>
        <w:rPr>
          <w:rFonts w:cs="Calibri Light"/>
        </w:rPr>
        <w:t xml:space="preserve">. Between these quarters, commencements were lower but still around 50 percent higher than modelling suggests would be expected without the BAC. </w:t>
      </w:r>
    </w:p>
    <w:p w14:paraId="42516990" w14:textId="77777777" w:rsidR="00DD4C4B" w:rsidRDefault="00DD4C4B" w:rsidP="007574A3">
      <w:pPr>
        <w:rPr>
          <w:rFonts w:cs="Calibri Light"/>
        </w:rPr>
      </w:pPr>
      <w:r>
        <w:rPr>
          <w:rFonts w:cs="Calibri Light"/>
        </w:rPr>
        <w:t xml:space="preserve">For non-trades, the effect was even stronger. In the first and final quarters of the BAC, non-trade commencements were almost 150 per cent higher and 135% higher, respectively, than would have been expected without BAC. Between these periods, quarterly effects ranged from 30 per cent to 100%. </w:t>
      </w:r>
    </w:p>
    <w:p w14:paraId="484B945A" w14:textId="3714387B" w:rsidR="00DD4C4B" w:rsidRDefault="00DD4C4B" w:rsidP="007574A3">
      <w:pPr>
        <w:rPr>
          <w:rFonts w:cs="Calibri Light"/>
        </w:rPr>
      </w:pPr>
      <w:r>
        <w:rPr>
          <w:rFonts w:cs="Calibri Light"/>
        </w:rPr>
        <w:t xml:space="preserve">For the first quarter, this was </w:t>
      </w:r>
      <w:r w:rsidR="004913D6">
        <w:rPr>
          <w:rFonts w:cs="Calibri Light"/>
        </w:rPr>
        <w:t>partly d</w:t>
      </w:r>
      <w:r>
        <w:rPr>
          <w:rFonts w:cs="Calibri Light"/>
        </w:rPr>
        <w:t xml:space="preserve">ue to the program initially having a funding cap of 100,000 places, which resulted in employers rushing to commence new Australian Apprenticeships before all places were used up. For the final quarters, this </w:t>
      </w:r>
      <w:r w:rsidR="00125C4B">
        <w:rPr>
          <w:rFonts w:cs="Calibri Light"/>
        </w:rPr>
        <w:t>was partly due to a</w:t>
      </w:r>
      <w:r>
        <w:rPr>
          <w:rFonts w:cs="Calibri Light"/>
        </w:rPr>
        <w:t xml:space="preserve"> “pull-forward effect” where employers sought to commence Australian Apprentices before the program closed to new entrants. </w:t>
      </w:r>
    </w:p>
    <w:p w14:paraId="564E7FBF" w14:textId="1254E6BA" w:rsidR="00DD4C4B" w:rsidRPr="003B408E" w:rsidRDefault="00DD4C4B" w:rsidP="000E62FB">
      <w:pPr>
        <w:pStyle w:val="Chartheading"/>
        <w:spacing w:line="240" w:lineRule="auto"/>
        <w:outlineLvl w:val="9"/>
      </w:pPr>
      <w:r>
        <w:t>Figure 4: BAC quarterly effects on apprenticeship commencements, with seasonal and economic controls</w:t>
      </w:r>
    </w:p>
    <w:p w14:paraId="7EEC8A62" w14:textId="78276324" w:rsidR="003057BE" w:rsidRDefault="00BB7E7B" w:rsidP="007574A3">
      <w:pPr>
        <w:pStyle w:val="NormalWeb"/>
        <w:shd w:val="clear" w:color="auto" w:fill="FFFFFF"/>
        <w:spacing w:before="0" w:beforeAutospacing="0" w:after="158" w:afterAutospacing="0"/>
        <w:jc w:val="center"/>
        <w:rPr>
          <w:rFonts w:ascii="Source Sans Pro" w:hAnsi="Source Sans Pro"/>
          <w:color w:val="333333"/>
          <w:sz w:val="22"/>
          <w:szCs w:val="22"/>
        </w:rPr>
      </w:pPr>
      <w:r>
        <w:rPr>
          <w:rFonts w:ascii="Source Sans Pro" w:hAnsi="Source Sans Pro"/>
          <w:noProof/>
          <w:color w:val="333333"/>
          <w:sz w:val="22"/>
          <w:szCs w:val="22"/>
        </w:rPr>
        <w:drawing>
          <wp:inline distT="0" distB="0" distL="0" distR="0" wp14:anchorId="52A6B395" wp14:editId="491C079E">
            <wp:extent cx="5753735" cy="3908346"/>
            <wp:effectExtent l="0" t="0" r="0" b="0"/>
            <wp:docPr id="160328463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3785"/>
                    <a:stretch/>
                  </pic:blipFill>
                  <pic:spPr bwMode="auto">
                    <a:xfrm>
                      <a:off x="0" y="0"/>
                      <a:ext cx="5753735" cy="3908346"/>
                    </a:xfrm>
                    <a:prstGeom prst="rect">
                      <a:avLst/>
                    </a:prstGeom>
                    <a:noFill/>
                    <a:ln>
                      <a:noFill/>
                    </a:ln>
                    <a:extLst>
                      <a:ext uri="{53640926-AAD7-44D8-BBD7-CCE9431645EC}">
                        <a14:shadowObscured xmlns:a14="http://schemas.microsoft.com/office/drawing/2010/main"/>
                      </a:ext>
                    </a:extLst>
                  </pic:spPr>
                </pic:pic>
              </a:graphicData>
            </a:graphic>
          </wp:inline>
        </w:drawing>
      </w:r>
    </w:p>
    <w:p w14:paraId="1C87969C" w14:textId="0100769F" w:rsidR="00DD4C4B" w:rsidRPr="000C3D11" w:rsidRDefault="00DD4C4B" w:rsidP="007574A3">
      <w:pPr>
        <w:spacing w:after="0"/>
        <w:rPr>
          <w:sz w:val="18"/>
          <w:szCs w:val="18"/>
        </w:rPr>
      </w:pPr>
      <w:r w:rsidRPr="00580999">
        <w:rPr>
          <w:sz w:val="18"/>
          <w:szCs w:val="18"/>
        </w:rPr>
        <w:t xml:space="preserve">Source: </w:t>
      </w:r>
      <w:r>
        <w:rPr>
          <w:sz w:val="18"/>
          <w:szCs w:val="18"/>
        </w:rPr>
        <w:t xml:space="preserve">Treasury modelling, see Appendix </w:t>
      </w:r>
      <w:r w:rsidR="002467DA">
        <w:rPr>
          <w:sz w:val="18"/>
          <w:szCs w:val="18"/>
        </w:rPr>
        <w:t>B</w:t>
      </w:r>
      <w:r>
        <w:rPr>
          <w:sz w:val="18"/>
          <w:szCs w:val="18"/>
        </w:rPr>
        <w:t xml:space="preserve"> for details.</w:t>
      </w:r>
    </w:p>
    <w:p w14:paraId="18A99872" w14:textId="77777777" w:rsidR="00DD4C4B" w:rsidRPr="000C3D11" w:rsidRDefault="00DD4C4B" w:rsidP="007574A3">
      <w:pPr>
        <w:spacing w:before="0"/>
        <w:rPr>
          <w:rFonts w:cs="Calibri Light"/>
          <w:sz w:val="18"/>
          <w:szCs w:val="18"/>
        </w:rPr>
      </w:pPr>
      <w:r w:rsidRPr="000C3D11">
        <w:rPr>
          <w:rFonts w:cs="Calibri Light"/>
          <w:sz w:val="18"/>
          <w:szCs w:val="18"/>
        </w:rPr>
        <w:t xml:space="preserve">Note: The point is the model estimate, and the line represents the 99 per cent confidence interval derived from the model.  </w:t>
      </w:r>
    </w:p>
    <w:p w14:paraId="3D4A029D" w14:textId="77777777" w:rsidR="00DD4C4B" w:rsidRPr="00441441" w:rsidRDefault="00DD4C4B" w:rsidP="00F90582">
      <w:pPr>
        <w:pStyle w:val="Heading3"/>
        <w:rPr>
          <w:rFonts w:asciiTheme="majorHAnsi" w:hAnsiTheme="majorHAnsi" w:cstheme="majorHAnsi"/>
          <w:b/>
          <w:bCs/>
          <w:sz w:val="28"/>
          <w:szCs w:val="28"/>
        </w:rPr>
      </w:pPr>
      <w:bookmarkStart w:id="45" w:name="_Toc176782359"/>
      <w:bookmarkStart w:id="46" w:name="_Toc172721977"/>
      <w:r w:rsidRPr="00441441">
        <w:rPr>
          <w:rFonts w:asciiTheme="majorHAnsi" w:hAnsiTheme="majorHAnsi" w:cstheme="majorHAnsi"/>
          <w:b/>
          <w:bCs/>
          <w:sz w:val="28"/>
          <w:szCs w:val="28"/>
        </w:rPr>
        <w:t>Other results</w:t>
      </w:r>
      <w:bookmarkEnd w:id="45"/>
      <w:r w:rsidRPr="00441441">
        <w:rPr>
          <w:rFonts w:asciiTheme="majorHAnsi" w:hAnsiTheme="majorHAnsi" w:cstheme="majorHAnsi"/>
          <w:b/>
          <w:bCs/>
          <w:sz w:val="28"/>
          <w:szCs w:val="28"/>
        </w:rPr>
        <w:t xml:space="preserve"> </w:t>
      </w:r>
    </w:p>
    <w:p w14:paraId="5B531986" w14:textId="4979D7D6" w:rsidR="00DD4C4B" w:rsidRDefault="007B1C3D" w:rsidP="007574A3">
      <w:r>
        <w:t>The evaluation team</w:t>
      </w:r>
      <w:r w:rsidR="00DD4C4B">
        <w:t xml:space="preserve"> also looked at variation in the impacts of BAC across the states and territories, and across different occupation types</w:t>
      </w:r>
      <w:r w:rsidR="00EF6B91">
        <w:t xml:space="preserve"> as summarised </w:t>
      </w:r>
      <w:r w:rsidR="00DD4C4B">
        <w:t xml:space="preserve">below – for details, see Appendix A. </w:t>
      </w:r>
    </w:p>
    <w:p w14:paraId="1E071761" w14:textId="65479EA8" w:rsidR="00DD4C4B" w:rsidRDefault="00DD4C4B" w:rsidP="007574A3">
      <w:r>
        <w:lastRenderedPageBreak/>
        <w:t xml:space="preserve">Overall, results in individual states were broadly consistent with the national aggregate findings in terms of effects being sizeable and statistically significant, and greater for non-trades. However, there were some possible differences that are discussed in </w:t>
      </w:r>
      <w:r w:rsidR="003E1AB2">
        <w:t>A</w:t>
      </w:r>
      <w:r>
        <w:t>ppendix</w:t>
      </w:r>
      <w:r w:rsidR="0096437E">
        <w:t xml:space="preserve"> A</w:t>
      </w:r>
      <w:r>
        <w:t xml:space="preserve">. </w:t>
      </w:r>
    </w:p>
    <w:p w14:paraId="111894B8" w14:textId="77777777" w:rsidR="00DD4C4B" w:rsidRDefault="00DD4C4B" w:rsidP="007574A3">
      <w:pPr>
        <w:rPr>
          <w:szCs w:val="22"/>
        </w:rPr>
      </w:pPr>
      <w:r>
        <w:t>The effect of BAC on c</w:t>
      </w:r>
      <w:r w:rsidRPr="00597904">
        <w:t xml:space="preserve">ommencement </w:t>
      </w:r>
      <w:r>
        <w:t xml:space="preserve">was </w:t>
      </w:r>
      <w:r w:rsidRPr="00597904">
        <w:t xml:space="preserve">consistently positive across all </w:t>
      </w:r>
      <w:r w:rsidRPr="00B67D99">
        <w:rPr>
          <w:i/>
          <w:iCs/>
        </w:rPr>
        <w:t>trade</w:t>
      </w:r>
      <w:r w:rsidRPr="00597904">
        <w:t xml:space="preserve"> occupations</w:t>
      </w:r>
      <w:r>
        <w:t>. For example, t</w:t>
      </w:r>
      <w:r w:rsidRPr="00597904">
        <w:t xml:space="preserve">he three trade </w:t>
      </w:r>
      <w:r w:rsidRPr="00701BB5">
        <w:rPr>
          <w:szCs w:val="22"/>
        </w:rPr>
        <w:t xml:space="preserve">occupations </w:t>
      </w:r>
      <w:r>
        <w:rPr>
          <w:szCs w:val="22"/>
        </w:rPr>
        <w:t xml:space="preserve">with the largest number of commencements </w:t>
      </w:r>
      <w:r w:rsidRPr="00701BB5">
        <w:rPr>
          <w:szCs w:val="22"/>
        </w:rPr>
        <w:t xml:space="preserve">– carpenters, electricians and automotive electricians – saw </w:t>
      </w:r>
      <w:r>
        <w:rPr>
          <w:szCs w:val="22"/>
        </w:rPr>
        <w:t xml:space="preserve">an </w:t>
      </w:r>
      <w:r w:rsidRPr="00701BB5">
        <w:rPr>
          <w:szCs w:val="22"/>
        </w:rPr>
        <w:t xml:space="preserve">average effect over the BAC period of about 40%. </w:t>
      </w:r>
    </w:p>
    <w:p w14:paraId="770E1E53" w14:textId="0C18FE50" w:rsidR="00DD4C4B" w:rsidRPr="002D153D" w:rsidRDefault="00DD4C4B" w:rsidP="007574A3">
      <w:pPr>
        <w:rPr>
          <w:szCs w:val="22"/>
        </w:rPr>
      </w:pPr>
      <w:r>
        <w:rPr>
          <w:szCs w:val="22"/>
        </w:rPr>
        <w:t xml:space="preserve">For the </w:t>
      </w:r>
      <w:r w:rsidRPr="00EF74E0">
        <w:rPr>
          <w:i/>
          <w:iCs/>
          <w:szCs w:val="22"/>
        </w:rPr>
        <w:t>non-trade</w:t>
      </w:r>
      <w:r>
        <w:t xml:space="preserve"> occupations</w:t>
      </w:r>
      <w:r>
        <w:rPr>
          <w:szCs w:val="22"/>
        </w:rPr>
        <w:t>, the effects were larger and more varied.</w:t>
      </w:r>
      <w:r w:rsidRPr="00C833F6">
        <w:rPr>
          <w:szCs w:val="22"/>
        </w:rPr>
        <w:t xml:space="preserve"> </w:t>
      </w:r>
      <w:r>
        <w:rPr>
          <w:szCs w:val="22"/>
        </w:rPr>
        <w:t>For t</w:t>
      </w:r>
      <w:r w:rsidRPr="003D208C">
        <w:rPr>
          <w:szCs w:val="22"/>
        </w:rPr>
        <w:t xml:space="preserve">he three </w:t>
      </w:r>
      <w:r>
        <w:rPr>
          <w:szCs w:val="22"/>
        </w:rPr>
        <w:t xml:space="preserve">largest </w:t>
      </w:r>
      <w:r w:rsidRPr="003D208C">
        <w:rPr>
          <w:szCs w:val="22"/>
        </w:rPr>
        <w:t xml:space="preserve">non-trade </w:t>
      </w:r>
      <w:r>
        <w:rPr>
          <w:szCs w:val="22"/>
        </w:rPr>
        <w:t>occupations, the BAC program caused commencements to more than double (that is, increase by more than 100%). Australian Apprenticeships amongst o</w:t>
      </w:r>
      <w:r w:rsidRPr="00597904">
        <w:rPr>
          <w:szCs w:val="22"/>
        </w:rPr>
        <w:t xml:space="preserve">ffice managers </w:t>
      </w:r>
      <w:r>
        <w:rPr>
          <w:szCs w:val="22"/>
        </w:rPr>
        <w:t xml:space="preserve">grew more than six-fold. </w:t>
      </w:r>
      <w:bookmarkEnd w:id="46"/>
    </w:p>
    <w:p w14:paraId="73AE3AEE" w14:textId="02C00FC4" w:rsidR="00DD4C4B" w:rsidRDefault="00DD4C4B" w:rsidP="0009133E">
      <w:pPr>
        <w:pStyle w:val="Heading2"/>
        <w:rPr>
          <w:rStyle w:val="header-section-number"/>
        </w:rPr>
      </w:pPr>
      <w:bookmarkStart w:id="47" w:name="_Toc172721979"/>
      <w:bookmarkStart w:id="48" w:name="_Toc176782360"/>
      <w:r>
        <w:rPr>
          <w:rStyle w:val="header-section-number"/>
        </w:rPr>
        <w:t>Discussion of causality</w:t>
      </w:r>
      <w:bookmarkEnd w:id="47"/>
      <w:r w:rsidR="003352B1">
        <w:rPr>
          <w:rStyle w:val="header-section-number"/>
        </w:rPr>
        <w:t xml:space="preserve"> and generalisability</w:t>
      </w:r>
      <w:bookmarkEnd w:id="48"/>
    </w:p>
    <w:p w14:paraId="0A774C74" w14:textId="739EBBAF" w:rsidR="003352B1" w:rsidRPr="006657CE" w:rsidRDefault="003352B1" w:rsidP="0009133E">
      <w:pPr>
        <w:pStyle w:val="Heading3"/>
        <w:rPr>
          <w:rFonts w:asciiTheme="majorHAnsi" w:hAnsiTheme="majorHAnsi" w:cstheme="majorHAnsi"/>
          <w:b/>
          <w:bCs/>
        </w:rPr>
      </w:pPr>
      <w:bookmarkStart w:id="49" w:name="_Toc176782361"/>
      <w:r w:rsidRPr="006657CE">
        <w:rPr>
          <w:rFonts w:asciiTheme="majorHAnsi" w:hAnsiTheme="majorHAnsi" w:cstheme="majorHAnsi"/>
          <w:b/>
          <w:bCs/>
        </w:rPr>
        <w:t>Discussion of causality</w:t>
      </w:r>
      <w:bookmarkEnd w:id="49"/>
    </w:p>
    <w:p w14:paraId="7E17A223" w14:textId="7EDD4A46" w:rsidR="00DD4C4B" w:rsidRDefault="00DD4C4B" w:rsidP="007574A3">
      <w:r>
        <w:t xml:space="preserve">In the </w:t>
      </w:r>
      <w:r w:rsidR="00E376EE">
        <w:t xml:space="preserve">econometric </w:t>
      </w:r>
      <w:r>
        <w:t>modelling above</w:t>
      </w:r>
      <w:r w:rsidR="00E376EE">
        <w:t xml:space="preserve"> and throughout this report</w:t>
      </w:r>
      <w:r>
        <w:t xml:space="preserve">, </w:t>
      </w:r>
      <w:r w:rsidR="00882487">
        <w:t>the evaluation teams</w:t>
      </w:r>
      <w:r>
        <w:t xml:space="preserve"> </w:t>
      </w:r>
      <w:r w:rsidR="00882487">
        <w:t>have</w:t>
      </w:r>
      <w:r>
        <w:t xml:space="preserve"> attempted to identify the causal impact of the BAC program by creating a counterfactual. That is, an estimate of what commencements would have been in the absence of the BAC program. </w:t>
      </w:r>
      <w:r w:rsidR="00800EBA">
        <w:t>These</w:t>
      </w:r>
      <w:r>
        <w:t xml:space="preserve"> estimate</w:t>
      </w:r>
      <w:r w:rsidR="00800EBA">
        <w:t>s were then compared</w:t>
      </w:r>
      <w:r>
        <w:t xml:space="preserve"> with actual commencements to find the additional commencements </w:t>
      </w:r>
      <w:r w:rsidRPr="00077131">
        <w:rPr>
          <w:i/>
          <w:iCs/>
        </w:rPr>
        <w:t>caused</w:t>
      </w:r>
      <w:r>
        <w:t xml:space="preserve"> by the program. </w:t>
      </w:r>
    </w:p>
    <w:p w14:paraId="10893A82" w14:textId="77777777" w:rsidR="003C5D33" w:rsidRDefault="00DD4C4B" w:rsidP="007574A3">
      <w:r>
        <w:t xml:space="preserve">The accuracy of </w:t>
      </w:r>
      <w:r w:rsidR="0077478E">
        <w:t xml:space="preserve">the </w:t>
      </w:r>
      <w:r>
        <w:t xml:space="preserve">estimates – and </w:t>
      </w:r>
      <w:r w:rsidR="0077478E">
        <w:t>the</w:t>
      </w:r>
      <w:r>
        <w:t xml:space="preserve"> causal claims – depends on how well </w:t>
      </w:r>
      <w:r w:rsidR="0077478E">
        <w:t>the</w:t>
      </w:r>
      <w:r>
        <w:t xml:space="preserve"> econometric model captured the key drivers of commencements. </w:t>
      </w:r>
    </w:p>
    <w:p w14:paraId="743BA300" w14:textId="5A99403A" w:rsidR="00DD4C4B" w:rsidRDefault="00DD4C4B" w:rsidP="007574A3">
      <w:r>
        <w:t xml:space="preserve">It is not possible to be certain </w:t>
      </w:r>
      <w:r w:rsidR="00223A2C">
        <w:t>this</w:t>
      </w:r>
      <w:r>
        <w:t xml:space="preserve"> model has captured </w:t>
      </w:r>
      <w:r w:rsidRPr="00615CDA">
        <w:rPr>
          <w:i/>
          <w:iCs/>
        </w:rPr>
        <w:t>all</w:t>
      </w:r>
      <w:r>
        <w:t xml:space="preserve"> potentially relevant factors. For example, in the period immediately prior to BAC (Q</w:t>
      </w:r>
      <w:r w:rsidR="00996066">
        <w:t xml:space="preserve">uarter </w:t>
      </w:r>
      <w:r>
        <w:t>2 and Q</w:t>
      </w:r>
      <w:r w:rsidR="00996066">
        <w:t xml:space="preserve">uarter </w:t>
      </w:r>
      <w:r>
        <w:t xml:space="preserve">3 2020), Victoria had significantly fewer commencements than predicted by the model, </w:t>
      </w:r>
      <w:r w:rsidR="00000728">
        <w:t xml:space="preserve">which may </w:t>
      </w:r>
      <w:r>
        <w:t>indicat</w:t>
      </w:r>
      <w:r w:rsidR="00000728">
        <w:t>e</w:t>
      </w:r>
      <w:r>
        <w:t xml:space="preserve"> that the model is not completely capturing the effect of extended lockdowns in that state. </w:t>
      </w:r>
    </w:p>
    <w:p w14:paraId="51D9C7A5" w14:textId="60390BC8" w:rsidR="00B77EA8" w:rsidRDefault="000D45E5" w:rsidP="007574A3">
      <w:r>
        <w:rPr>
          <w:rFonts w:cs="Calibri Light"/>
        </w:rPr>
        <w:t xml:space="preserve">However, </w:t>
      </w:r>
      <w:r>
        <w:t xml:space="preserve">drawing on previous research undertaken by DEWR, we can be confident the model captures most of the important drivers (see Appendix B for details). The evaluation team is therefore confident that the model gives a good approximation, and the remaining bias in our estimates is likely to be small. </w:t>
      </w:r>
    </w:p>
    <w:p w14:paraId="5F40F955" w14:textId="17095FDC" w:rsidR="009C6A59" w:rsidRPr="006657CE" w:rsidRDefault="003352B1" w:rsidP="0009133E">
      <w:pPr>
        <w:pStyle w:val="Heading3"/>
        <w:rPr>
          <w:rFonts w:asciiTheme="majorHAnsi" w:hAnsiTheme="majorHAnsi" w:cstheme="majorHAnsi"/>
          <w:b/>
          <w:bCs/>
        </w:rPr>
      </w:pPr>
      <w:bookmarkStart w:id="50" w:name="_Toc176782362"/>
      <w:r w:rsidRPr="006657CE">
        <w:rPr>
          <w:rFonts w:asciiTheme="majorHAnsi" w:hAnsiTheme="majorHAnsi" w:cstheme="majorHAnsi"/>
          <w:b/>
          <w:bCs/>
        </w:rPr>
        <w:t>Discussion of generalisability</w:t>
      </w:r>
      <w:bookmarkEnd w:id="50"/>
    </w:p>
    <w:p w14:paraId="38BD9703" w14:textId="77777777" w:rsidR="006936F6" w:rsidRDefault="009C6A59" w:rsidP="009C6A59">
      <w:pPr>
        <w:rPr>
          <w:rFonts w:cs="Calibri Light"/>
        </w:rPr>
      </w:pPr>
      <w:r w:rsidRPr="0B5B3ADB">
        <w:rPr>
          <w:rFonts w:cs="Calibri Light"/>
        </w:rPr>
        <w:t>Another key consideration in interpreting these results</w:t>
      </w:r>
      <w:r w:rsidR="006936F6">
        <w:rPr>
          <w:rFonts w:cs="Calibri Light"/>
        </w:rPr>
        <w:t>, and all results in this report, i</w:t>
      </w:r>
      <w:r w:rsidRPr="0B5B3ADB">
        <w:rPr>
          <w:rFonts w:cs="Calibri Light"/>
        </w:rPr>
        <w:t xml:space="preserve">s their generalisability (or ‘external validity’). The BAC and CAC programs were broad-based interventions implemented during </w:t>
      </w:r>
      <w:r>
        <w:rPr>
          <w:rFonts w:cs="Calibri Light"/>
        </w:rPr>
        <w:t xml:space="preserve">the height of the COVID-19 pandemic. This was </w:t>
      </w:r>
      <w:r w:rsidRPr="0B5B3ADB">
        <w:rPr>
          <w:rFonts w:cs="Calibri Light"/>
        </w:rPr>
        <w:t xml:space="preserve">a time of distinct uncertainty and, subsequently, of tight labour market conditions. </w:t>
      </w:r>
    </w:p>
    <w:p w14:paraId="182852D4" w14:textId="79B683FC" w:rsidR="004927A9" w:rsidRPr="002C4F34" w:rsidRDefault="009C6A59" w:rsidP="002C4F34">
      <w:pPr>
        <w:rPr>
          <w:rFonts w:cs="Calibri Light"/>
        </w:rPr>
      </w:pPr>
      <w:r w:rsidRPr="0B5B3ADB">
        <w:rPr>
          <w:rFonts w:cs="Calibri Light"/>
        </w:rPr>
        <w:t xml:space="preserve">This may have acted to amplify the impact of these interventions, as labour demand was strong, and employers </w:t>
      </w:r>
      <w:r>
        <w:rPr>
          <w:rFonts w:cs="Calibri Light"/>
        </w:rPr>
        <w:t xml:space="preserve">likely </w:t>
      </w:r>
      <w:r w:rsidRPr="0B5B3ADB">
        <w:rPr>
          <w:rFonts w:cs="Calibri Light"/>
        </w:rPr>
        <w:t xml:space="preserve">sought workers through alternative means. Consequently, the results in this paper reflect the impact of the BAC and CAC programs </w:t>
      </w:r>
      <w:r w:rsidRPr="0B5B3ADB">
        <w:rPr>
          <w:rFonts w:cs="Calibri Light"/>
          <w:i/>
          <w:iCs/>
        </w:rPr>
        <w:t>during a tight labour market</w:t>
      </w:r>
      <w:r w:rsidRPr="0B5B3ADB">
        <w:rPr>
          <w:rFonts w:cs="Calibri Light"/>
        </w:rPr>
        <w:t xml:space="preserve">. This study </w:t>
      </w:r>
      <w:r>
        <w:rPr>
          <w:rFonts w:cs="Calibri Light"/>
        </w:rPr>
        <w:t xml:space="preserve">did not try to assess </w:t>
      </w:r>
      <w:r w:rsidRPr="0B5B3ADB">
        <w:rPr>
          <w:rFonts w:cs="Calibri Light"/>
        </w:rPr>
        <w:t>whether a similar intervention in different labour market conditions (such as a period of low labour demand) would generate similar impacts on commencement and retention rates.</w:t>
      </w:r>
      <w:bookmarkStart w:id="51" w:name="_Toc172721980"/>
      <w:r w:rsidR="004927A9">
        <w:br w:type="page"/>
      </w:r>
    </w:p>
    <w:p w14:paraId="400984E7" w14:textId="0CD9BCB0" w:rsidR="00DD4C4B" w:rsidRDefault="00DD4C4B" w:rsidP="007574A3">
      <w:pPr>
        <w:pStyle w:val="Heading1"/>
        <w:spacing w:line="240" w:lineRule="auto"/>
      </w:pPr>
      <w:bookmarkStart w:id="52" w:name="_Toc176782363"/>
      <w:r>
        <w:lastRenderedPageBreak/>
        <w:t>BA</w:t>
      </w:r>
      <w:r w:rsidR="00921DCB">
        <w:t>C</w:t>
      </w:r>
      <w:r>
        <w:t>’s effects on completions</w:t>
      </w:r>
      <w:bookmarkEnd w:id="51"/>
      <w:bookmarkEnd w:id="52"/>
    </w:p>
    <w:p w14:paraId="483C62D7" w14:textId="615F30FC" w:rsidR="00DD4C4B" w:rsidRPr="000A420C" w:rsidRDefault="00DD4C4B" w:rsidP="007574A3">
      <w:r w:rsidRPr="000A420C">
        <w:t xml:space="preserve">This section </w:t>
      </w:r>
      <w:r>
        <w:t>analyses</w:t>
      </w:r>
      <w:r w:rsidRPr="000A420C">
        <w:t xml:space="preserve"> </w:t>
      </w:r>
      <w:r>
        <w:t xml:space="preserve">the reported </w:t>
      </w:r>
      <w:r w:rsidRPr="000A420C">
        <w:t>completions and cancellations for BAC</w:t>
      </w:r>
      <w:r w:rsidR="00C04922">
        <w:t xml:space="preserve"> </w:t>
      </w:r>
      <w:r>
        <w:t>Australian Apprenticeships</w:t>
      </w:r>
      <w:r w:rsidRPr="000A420C">
        <w:t xml:space="preserve"> compared to </w:t>
      </w:r>
      <w:r>
        <w:t>previous cohorts</w:t>
      </w:r>
      <w:r w:rsidRPr="000A420C">
        <w:t>.</w:t>
      </w:r>
    </w:p>
    <w:p w14:paraId="7873B431" w14:textId="059E8100" w:rsidR="00A97414" w:rsidRDefault="005725AF" w:rsidP="007574A3">
      <w:r>
        <w:t>One difficulty with analysing completions is that f</w:t>
      </w:r>
      <w:r w:rsidR="00DD4C4B">
        <w:t>ew BAC commencements could be expected to have</w:t>
      </w:r>
      <w:r w:rsidR="00523EC8">
        <w:t xml:space="preserve"> had enough time to</w:t>
      </w:r>
      <w:r w:rsidR="00DD4C4B">
        <w:t xml:space="preserve"> record a completion</w:t>
      </w:r>
      <w:r w:rsidR="00EC46CF">
        <w:t xml:space="preserve">. </w:t>
      </w:r>
      <w:r w:rsidR="00DD4C4B">
        <w:t xml:space="preserve">For Australian Apprenticeships in trade occupations, most complete within 3-4 years, and in non-trades within 1-2 years. </w:t>
      </w:r>
      <w:r w:rsidR="00EC46CF">
        <w:t xml:space="preserve">However, </w:t>
      </w:r>
      <w:r w:rsidR="00523EC8">
        <w:t>the</w:t>
      </w:r>
      <w:r w:rsidR="00EC46CF">
        <w:t xml:space="preserve"> admin data</w:t>
      </w:r>
      <w:r w:rsidR="00523EC8">
        <w:t xml:space="preserve"> used for this evaluation</w:t>
      </w:r>
      <w:r w:rsidR="00EC46CF">
        <w:t xml:space="preserve"> </w:t>
      </w:r>
      <w:r w:rsidR="005821D3">
        <w:t>only goes to 1.5 years after the end of the period where commencements were eligible for BAC</w:t>
      </w:r>
      <w:r w:rsidR="009E2F92">
        <w:t xml:space="preserve"> (</w:t>
      </w:r>
      <w:r w:rsidR="00A876B0">
        <w:t>BAC closed to new entrants June 2022, and admin data goes to December 2023).</w:t>
      </w:r>
      <w:r w:rsidR="00B7356C">
        <w:t xml:space="preserve"> </w:t>
      </w:r>
      <w:r w:rsidR="00D40F69">
        <w:t>Further</w:t>
      </w:r>
      <w:r w:rsidR="00DD4C4B">
        <w:t xml:space="preserve">, an Australian Apprenticeship may be suspended for a period and resumed </w:t>
      </w:r>
      <w:r w:rsidR="00D40F69">
        <w:t>later</w:t>
      </w:r>
      <w:r w:rsidR="00523EC8">
        <w:t>, and</w:t>
      </w:r>
      <w:r w:rsidR="00DD4C4B">
        <w:t xml:space="preserve"> there is typically a time lag between a suspension, completion, or cancellation event occurring, and the employer reporting that event </w:t>
      </w:r>
      <w:r w:rsidR="001E41BD">
        <w:t xml:space="preserve">and it </w:t>
      </w:r>
      <w:proofErr w:type="gramStart"/>
      <w:r w:rsidR="001E41BD">
        <w:t>appearing</w:t>
      </w:r>
      <w:proofErr w:type="gramEnd"/>
      <w:r w:rsidR="001E41BD">
        <w:t xml:space="preserve"> in the data.</w:t>
      </w:r>
    </w:p>
    <w:p w14:paraId="79705452" w14:textId="7C1004B1" w:rsidR="000733C3" w:rsidRDefault="009429C2" w:rsidP="00B25B48">
      <w:r>
        <w:t>To get around these issues, i</w:t>
      </w:r>
      <w:r w:rsidR="00B25B48">
        <w:t xml:space="preserve">n the following sections each </w:t>
      </w:r>
      <w:r w:rsidR="00DD4C4B">
        <w:t>BAC Australian</w:t>
      </w:r>
      <w:r w:rsidR="00DD4C4B" w:rsidRPr="00695970">
        <w:t xml:space="preserve"> </w:t>
      </w:r>
      <w:r w:rsidR="00DD4C4B">
        <w:t>A</w:t>
      </w:r>
      <w:r w:rsidR="00DD4C4B" w:rsidRPr="00695970">
        <w:t xml:space="preserve">pprenticeship </w:t>
      </w:r>
      <w:r w:rsidR="00DD4C4B">
        <w:t>has been grouped into</w:t>
      </w:r>
      <w:r w:rsidR="00DD4C4B" w:rsidRPr="00695970">
        <w:t xml:space="preserve"> </w:t>
      </w:r>
      <w:r w:rsidR="00DD4C4B">
        <w:t>quarterly ‘</w:t>
      </w:r>
      <w:r w:rsidR="00DD4C4B" w:rsidRPr="00695970">
        <w:t xml:space="preserve">commencing </w:t>
      </w:r>
      <w:proofErr w:type="gramStart"/>
      <w:r w:rsidR="00DD4C4B" w:rsidRPr="00695970">
        <w:t>cohort</w:t>
      </w:r>
      <w:r w:rsidR="00DD4C4B">
        <w:t>s’, and</w:t>
      </w:r>
      <w:proofErr w:type="gramEnd"/>
      <w:r w:rsidR="00DD4C4B">
        <w:t xml:space="preserve"> categorised as having </w:t>
      </w:r>
      <w:r w:rsidR="00DD4C4B" w:rsidRPr="00695970">
        <w:t xml:space="preserve">either </w:t>
      </w:r>
      <w:r w:rsidR="00DD4C4B">
        <w:t>‘</w:t>
      </w:r>
      <w:r w:rsidR="00DD4C4B" w:rsidRPr="00695970">
        <w:t>progressed</w:t>
      </w:r>
      <w:r w:rsidR="00DD4C4B">
        <w:t>’</w:t>
      </w:r>
      <w:r w:rsidR="00DD4C4B" w:rsidRPr="00695970">
        <w:t xml:space="preserve"> or </w:t>
      </w:r>
      <w:r w:rsidR="00BE4EC5">
        <w:t>‘</w:t>
      </w:r>
      <w:r w:rsidR="00DD4C4B" w:rsidRPr="00695970">
        <w:t>cancelled</w:t>
      </w:r>
      <w:r w:rsidR="00BE4EC5">
        <w:t>’</w:t>
      </w:r>
      <w:r w:rsidR="00DD4C4B" w:rsidRPr="00695970">
        <w:t xml:space="preserve"> at </w:t>
      </w:r>
      <w:r w:rsidR="00DD4C4B">
        <w:t>the 18-month mark</w:t>
      </w:r>
      <w:r w:rsidR="00DD4C4B" w:rsidRPr="00695970">
        <w:t xml:space="preserve">. For example, there could be 15,000 apprenticeships in </w:t>
      </w:r>
      <w:r w:rsidR="00DD4C4B">
        <w:t xml:space="preserve">the </w:t>
      </w:r>
      <w:r w:rsidR="00DD4C4B" w:rsidRPr="00695970">
        <w:t>Q</w:t>
      </w:r>
      <w:r w:rsidR="00E5709B">
        <w:t xml:space="preserve">uarter </w:t>
      </w:r>
      <w:r w:rsidR="00DD4C4B" w:rsidRPr="00695970">
        <w:t xml:space="preserve">1 2014 commencing cohort, 9,000 of which progressed </w:t>
      </w:r>
      <w:r w:rsidR="00DD4C4B">
        <w:t>after</w:t>
      </w:r>
      <w:r w:rsidR="00DD4C4B" w:rsidRPr="00695970">
        <w:t xml:space="preserve"> 6 quarters and the remainder – 6,000 – cancelled.</w:t>
      </w:r>
      <w:r w:rsidR="00DD4C4B">
        <w:t xml:space="preserve"> The definitions of the ‘commencing cohort’, ‘progressed commencements’ and ‘cancelled commencements’ are provided in the Box below.</w:t>
      </w:r>
    </w:p>
    <w:p w14:paraId="3EA5C22E" w14:textId="77777777" w:rsidR="00C42446" w:rsidRDefault="00C42446" w:rsidP="00D64CEC">
      <w:pPr>
        <w:pStyle w:val="SingleParagraph"/>
      </w:pPr>
    </w:p>
    <w:tbl>
      <w:tblPr>
        <w:tblStyle w:val="TableGrid"/>
        <w:tblW w:w="5000" w:type="pct"/>
        <w:shd w:val="clear" w:color="auto" w:fill="FCEEE5" w:themeFill="accent6" w:themeFillTint="33"/>
        <w:tblCellMar>
          <w:top w:w="227" w:type="dxa"/>
          <w:left w:w="227" w:type="dxa"/>
          <w:bottom w:w="227" w:type="dxa"/>
          <w:right w:w="227" w:type="dxa"/>
        </w:tblCellMar>
        <w:tblLook w:val="0600" w:firstRow="0" w:lastRow="0" w:firstColumn="0" w:lastColumn="0" w:noHBand="1" w:noVBand="1"/>
      </w:tblPr>
      <w:tblGrid>
        <w:gridCol w:w="9072"/>
      </w:tblGrid>
      <w:tr w:rsidR="00C42446" w14:paraId="388EA0E4" w14:textId="77777777" w:rsidTr="00D64CEC">
        <w:tc>
          <w:tcPr>
            <w:tcW w:w="5000" w:type="pct"/>
            <w:shd w:val="clear" w:color="auto" w:fill="FCEEE5" w:themeFill="accent6" w:themeFillTint="33"/>
          </w:tcPr>
          <w:p w14:paraId="781735DA" w14:textId="40DF5A3B" w:rsidR="00C42446" w:rsidRPr="00640A60" w:rsidRDefault="00326AEB" w:rsidP="00640A60">
            <w:pPr>
              <w:pStyle w:val="Heading2"/>
              <w:spacing w:before="0" w:after="240"/>
              <w:rPr>
                <w:rFonts w:ascii="Calibri Light" w:hAnsi="Calibri Light" w:cs="Calibri Light"/>
                <w:b/>
                <w:bCs/>
                <w:sz w:val="28"/>
              </w:rPr>
            </w:pPr>
            <w:bookmarkStart w:id="53" w:name="_Toc176782364"/>
            <w:r w:rsidRPr="00640A60">
              <w:rPr>
                <w:rFonts w:ascii="Calibri Light" w:hAnsi="Calibri Light" w:cs="Calibri Light"/>
                <w:b/>
                <w:bCs/>
                <w:sz w:val="28"/>
              </w:rPr>
              <w:t>Key terms for understanding cancellations</w:t>
            </w:r>
            <w:bookmarkEnd w:id="53"/>
          </w:p>
          <w:p w14:paraId="6412ADE6" w14:textId="77777777" w:rsidR="00C42446" w:rsidRPr="000733C3" w:rsidRDefault="004A082E" w:rsidP="004A082E">
            <w:pPr>
              <w:pStyle w:val="Bullet"/>
              <w:rPr>
                <w:sz w:val="22"/>
                <w:szCs w:val="22"/>
              </w:rPr>
            </w:pPr>
            <w:r w:rsidRPr="000733C3">
              <w:rPr>
                <w:sz w:val="22"/>
                <w:szCs w:val="22"/>
              </w:rPr>
              <w:t>‘</w:t>
            </w:r>
            <w:r w:rsidRPr="000733C3">
              <w:rPr>
                <w:b/>
                <w:bCs/>
                <w:sz w:val="22"/>
                <w:szCs w:val="22"/>
              </w:rPr>
              <w:t>Commencing cohort</w:t>
            </w:r>
            <w:r w:rsidRPr="000733C3">
              <w:rPr>
                <w:sz w:val="22"/>
                <w:szCs w:val="22"/>
              </w:rPr>
              <w:t xml:space="preserve">’ refers </w:t>
            </w:r>
            <w:r w:rsidR="00350E73" w:rsidRPr="000733C3">
              <w:rPr>
                <w:sz w:val="22"/>
                <w:szCs w:val="22"/>
              </w:rPr>
              <w:t xml:space="preserve">to the Australian </w:t>
            </w:r>
            <w:r w:rsidR="00E50E75" w:rsidRPr="000733C3">
              <w:rPr>
                <w:sz w:val="22"/>
                <w:szCs w:val="22"/>
              </w:rPr>
              <w:t xml:space="preserve">Apprenticeships that commenced </w:t>
            </w:r>
            <w:proofErr w:type="gramStart"/>
            <w:r w:rsidR="00E50E75" w:rsidRPr="000733C3">
              <w:rPr>
                <w:sz w:val="22"/>
                <w:szCs w:val="22"/>
              </w:rPr>
              <w:t>in a given</w:t>
            </w:r>
            <w:proofErr w:type="gramEnd"/>
            <w:r w:rsidR="00E50E75" w:rsidRPr="000733C3">
              <w:rPr>
                <w:sz w:val="22"/>
                <w:szCs w:val="22"/>
              </w:rPr>
              <w:t xml:space="preserve"> quarter</w:t>
            </w:r>
          </w:p>
          <w:p w14:paraId="4E0E70FD" w14:textId="77777777" w:rsidR="00E50E75" w:rsidRPr="000733C3" w:rsidRDefault="000733C3" w:rsidP="004A082E">
            <w:pPr>
              <w:pStyle w:val="Bullet"/>
              <w:rPr>
                <w:sz w:val="22"/>
                <w:szCs w:val="22"/>
              </w:rPr>
            </w:pPr>
            <w:r w:rsidRPr="000733C3">
              <w:rPr>
                <w:sz w:val="22"/>
                <w:szCs w:val="22"/>
              </w:rPr>
              <w:t>‘</w:t>
            </w:r>
            <w:r w:rsidRPr="000733C3">
              <w:rPr>
                <w:b/>
                <w:bCs/>
                <w:sz w:val="22"/>
                <w:szCs w:val="22"/>
              </w:rPr>
              <w:t>Progressed commencements</w:t>
            </w:r>
            <w:r w:rsidRPr="000733C3">
              <w:rPr>
                <w:sz w:val="22"/>
                <w:szCs w:val="22"/>
              </w:rPr>
              <w:t>’ refers to the number of Australian Apprenticeships in a commencing cohort that had either reported a completion or had not cancelled (that is, remained in-training) 6 quarters after commencement</w:t>
            </w:r>
          </w:p>
          <w:p w14:paraId="5BE6BFB9" w14:textId="77777777" w:rsidR="000733C3" w:rsidRDefault="000733C3" w:rsidP="004A082E">
            <w:pPr>
              <w:pStyle w:val="Bullet"/>
              <w:rPr>
                <w:sz w:val="22"/>
                <w:szCs w:val="22"/>
              </w:rPr>
            </w:pPr>
            <w:r w:rsidRPr="000733C3">
              <w:rPr>
                <w:sz w:val="22"/>
                <w:szCs w:val="22"/>
              </w:rPr>
              <w:t>‘</w:t>
            </w:r>
            <w:r w:rsidRPr="000733C3">
              <w:rPr>
                <w:b/>
                <w:bCs/>
                <w:sz w:val="22"/>
                <w:szCs w:val="22"/>
              </w:rPr>
              <w:t>Retention rate</w:t>
            </w:r>
            <w:r w:rsidRPr="000733C3">
              <w:rPr>
                <w:sz w:val="22"/>
                <w:szCs w:val="22"/>
              </w:rPr>
              <w:t xml:space="preserve">’ refers to the share of a </w:t>
            </w:r>
            <w:r w:rsidRPr="000733C3">
              <w:rPr>
                <w:i/>
                <w:iCs/>
                <w:sz w:val="22"/>
                <w:szCs w:val="22"/>
              </w:rPr>
              <w:t>commencing cohort</w:t>
            </w:r>
            <w:r w:rsidRPr="000733C3">
              <w:rPr>
                <w:sz w:val="22"/>
                <w:szCs w:val="22"/>
              </w:rPr>
              <w:t xml:space="preserve"> that were </w:t>
            </w:r>
            <w:r w:rsidRPr="000733C3">
              <w:rPr>
                <w:i/>
                <w:iCs/>
                <w:sz w:val="22"/>
                <w:szCs w:val="22"/>
              </w:rPr>
              <w:t>progressed commencements</w:t>
            </w:r>
            <w:r w:rsidRPr="000733C3">
              <w:rPr>
                <w:sz w:val="22"/>
                <w:szCs w:val="22"/>
              </w:rPr>
              <w:t xml:space="preserve"> at the 18-month mark</w:t>
            </w:r>
          </w:p>
          <w:p w14:paraId="6D22DD55" w14:textId="77777777" w:rsidR="000733C3" w:rsidRDefault="000733C3" w:rsidP="004A082E">
            <w:pPr>
              <w:pStyle w:val="Bullet"/>
              <w:rPr>
                <w:sz w:val="22"/>
                <w:szCs w:val="22"/>
              </w:rPr>
            </w:pPr>
            <w:r>
              <w:rPr>
                <w:sz w:val="22"/>
                <w:szCs w:val="22"/>
              </w:rPr>
              <w:t>‘</w:t>
            </w:r>
            <w:r w:rsidRPr="000733C3">
              <w:rPr>
                <w:b/>
                <w:bCs/>
                <w:sz w:val="22"/>
                <w:szCs w:val="22"/>
              </w:rPr>
              <w:t>Cancelled commencements</w:t>
            </w:r>
            <w:r w:rsidRPr="000733C3">
              <w:rPr>
                <w:sz w:val="22"/>
                <w:szCs w:val="22"/>
              </w:rPr>
              <w:t xml:space="preserve">’ refers to the number of Australian Apprenticeships in a </w:t>
            </w:r>
            <w:r w:rsidRPr="000733C3">
              <w:rPr>
                <w:i/>
                <w:iCs/>
                <w:sz w:val="22"/>
                <w:szCs w:val="22"/>
              </w:rPr>
              <w:t>commencing cohort</w:t>
            </w:r>
            <w:r w:rsidRPr="000733C3">
              <w:rPr>
                <w:sz w:val="22"/>
                <w:szCs w:val="22"/>
              </w:rPr>
              <w:t xml:space="preserve"> that had reported a cancellation 18 months after commencement</w:t>
            </w:r>
          </w:p>
          <w:p w14:paraId="2D79E68E" w14:textId="1E69237A" w:rsidR="000733C3" w:rsidRPr="000733C3" w:rsidRDefault="000733C3" w:rsidP="000733C3">
            <w:pPr>
              <w:pStyle w:val="Bullet"/>
              <w:rPr>
                <w:sz w:val="22"/>
                <w:szCs w:val="22"/>
              </w:rPr>
            </w:pPr>
            <w:r w:rsidRPr="000733C3">
              <w:rPr>
                <w:sz w:val="22"/>
                <w:szCs w:val="22"/>
              </w:rPr>
              <w:t>‘</w:t>
            </w:r>
            <w:r w:rsidRPr="000733C3">
              <w:rPr>
                <w:b/>
                <w:bCs/>
                <w:sz w:val="22"/>
                <w:szCs w:val="22"/>
              </w:rPr>
              <w:t>Cancellation rate</w:t>
            </w:r>
            <w:r w:rsidRPr="000733C3">
              <w:rPr>
                <w:sz w:val="22"/>
                <w:szCs w:val="22"/>
              </w:rPr>
              <w:t xml:space="preserve">’ refers to the share of a </w:t>
            </w:r>
            <w:r w:rsidRPr="000733C3">
              <w:rPr>
                <w:i/>
                <w:iCs/>
                <w:sz w:val="22"/>
                <w:szCs w:val="22"/>
              </w:rPr>
              <w:t>commencing cohort</w:t>
            </w:r>
            <w:r w:rsidRPr="000733C3">
              <w:rPr>
                <w:sz w:val="22"/>
                <w:szCs w:val="22"/>
              </w:rPr>
              <w:t xml:space="preserve"> that were </w:t>
            </w:r>
            <w:r w:rsidRPr="000733C3">
              <w:rPr>
                <w:i/>
                <w:iCs/>
                <w:sz w:val="22"/>
                <w:szCs w:val="22"/>
              </w:rPr>
              <w:t>cancelled commencements</w:t>
            </w:r>
            <w:r w:rsidRPr="000733C3">
              <w:rPr>
                <w:sz w:val="22"/>
                <w:szCs w:val="22"/>
              </w:rPr>
              <w:t xml:space="preserve"> at the 18-month mark. The </w:t>
            </w:r>
            <w:r w:rsidRPr="000733C3">
              <w:rPr>
                <w:i/>
                <w:iCs/>
                <w:sz w:val="22"/>
                <w:szCs w:val="22"/>
              </w:rPr>
              <w:t xml:space="preserve">retention rate </w:t>
            </w:r>
            <w:r w:rsidRPr="000733C3">
              <w:rPr>
                <w:sz w:val="22"/>
                <w:szCs w:val="22"/>
              </w:rPr>
              <w:t xml:space="preserve">plus the </w:t>
            </w:r>
            <w:r w:rsidRPr="000733C3">
              <w:rPr>
                <w:i/>
                <w:iCs/>
                <w:sz w:val="22"/>
                <w:szCs w:val="22"/>
              </w:rPr>
              <w:t>cancellation rate</w:t>
            </w:r>
            <w:r w:rsidRPr="000733C3">
              <w:rPr>
                <w:sz w:val="22"/>
                <w:szCs w:val="22"/>
              </w:rPr>
              <w:t xml:space="preserve"> equal 100%</w:t>
            </w:r>
          </w:p>
        </w:tc>
      </w:tr>
    </w:tbl>
    <w:p w14:paraId="64C1ED2C" w14:textId="09FB5BCF" w:rsidR="00634162" w:rsidRDefault="00BE303B" w:rsidP="007574A3">
      <w:pPr>
        <w:pStyle w:val="Heading2"/>
        <w:spacing w:line="240" w:lineRule="auto"/>
      </w:pPr>
      <w:bookmarkStart w:id="54" w:name="_Toc176782365"/>
      <w:r>
        <w:t>A</w:t>
      </w:r>
      <w:r w:rsidR="00DA77F1">
        <w:t>ustralian A</w:t>
      </w:r>
      <w:r>
        <w:t xml:space="preserve">pprenticeship </w:t>
      </w:r>
      <w:r w:rsidR="00634162">
        <w:t xml:space="preserve">cancellation </w:t>
      </w:r>
      <w:r w:rsidR="005B3F20">
        <w:t xml:space="preserve">and retention </w:t>
      </w:r>
      <w:r w:rsidR="00634162">
        <w:t>rates</w:t>
      </w:r>
      <w:bookmarkEnd w:id="54"/>
    </w:p>
    <w:p w14:paraId="62B7965A" w14:textId="6E456CE7" w:rsidR="00B83845" w:rsidRDefault="005B3F20" w:rsidP="007574A3">
      <w:r>
        <w:t xml:space="preserve">BAC cancellation rates were </w:t>
      </w:r>
      <w:r w:rsidR="00DD46D9">
        <w:t xml:space="preserve">7% </w:t>
      </w:r>
      <w:r>
        <w:t xml:space="preserve">higher </w:t>
      </w:r>
      <w:r w:rsidR="00404342">
        <w:t>than their historical levels</w:t>
      </w:r>
      <w:r>
        <w:t xml:space="preserve"> for non-trades, but </w:t>
      </w:r>
      <w:r w:rsidR="00DD46D9">
        <w:t xml:space="preserve">0.7% lower for </w:t>
      </w:r>
      <w:r>
        <w:t>trades</w:t>
      </w:r>
      <w:r w:rsidR="0092162B">
        <w:t>.</w:t>
      </w:r>
      <w:r>
        <w:t xml:space="preserve"> </w:t>
      </w:r>
      <w:r w:rsidR="00701BD5">
        <w:t>For non-trades, at</w:t>
      </w:r>
      <w:r w:rsidR="00C3011A">
        <w:t xml:space="preserve"> 6 quarters after commencement, cancellation rates for all-but-one of the</w:t>
      </w:r>
      <w:r w:rsidR="00701BD5">
        <w:t xml:space="preserve"> </w:t>
      </w:r>
      <w:r w:rsidR="00C3011A">
        <w:t>BAC cohorts were higher than previous cohorts</w:t>
      </w:r>
      <w:r w:rsidR="0092162B">
        <w:t xml:space="preserve"> (Figure 5).</w:t>
      </w:r>
      <w:r w:rsidR="00A23306">
        <w:t xml:space="preserve"> </w:t>
      </w:r>
      <w:r w:rsidR="00695970">
        <w:t xml:space="preserve">For trade </w:t>
      </w:r>
      <w:r w:rsidR="00B26343">
        <w:t>commencements</w:t>
      </w:r>
      <w:r w:rsidR="00695970">
        <w:t xml:space="preserve">, the cancellation rates for BAC cohorts </w:t>
      </w:r>
      <w:r w:rsidR="00306CF3">
        <w:t>were</w:t>
      </w:r>
      <w:r w:rsidR="00695970">
        <w:t xml:space="preserve"> within the historical range, with between 25-30 per cent of apprenticeships cancelled 6 quarters (18 months) after commencement.</w:t>
      </w:r>
    </w:p>
    <w:p w14:paraId="29BD9A5D" w14:textId="317E7956" w:rsidR="00B83845" w:rsidRDefault="007D7E0A" w:rsidP="00BB7265">
      <w:pPr>
        <w:pStyle w:val="Chartheading"/>
      </w:pPr>
      <w:r>
        <w:lastRenderedPageBreak/>
        <w:t xml:space="preserve">Figure </w:t>
      </w:r>
      <w:r w:rsidR="008E078B">
        <w:t>5</w:t>
      </w:r>
      <w:r>
        <w:t xml:space="preserve">: </w:t>
      </w:r>
      <w:r w:rsidR="00B83845">
        <w:t>Cancellation rate by commencement cohort</w:t>
      </w:r>
    </w:p>
    <w:p w14:paraId="674B968C" w14:textId="32FD15F0" w:rsidR="00555DB9" w:rsidRDefault="00F34D51" w:rsidP="007574A3">
      <w:r>
        <w:rPr>
          <w:noProof/>
        </w:rPr>
        <w:drawing>
          <wp:inline distT="0" distB="0" distL="0" distR="0" wp14:anchorId="16B8A95E" wp14:editId="5C7CEC03">
            <wp:extent cx="5714365" cy="361950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4722" b="5565"/>
                    <a:stretch/>
                  </pic:blipFill>
                  <pic:spPr bwMode="auto">
                    <a:xfrm>
                      <a:off x="0" y="0"/>
                      <a:ext cx="5715000" cy="3619902"/>
                    </a:xfrm>
                    <a:prstGeom prst="rect">
                      <a:avLst/>
                    </a:prstGeom>
                    <a:noFill/>
                    <a:ln>
                      <a:noFill/>
                    </a:ln>
                    <a:extLst>
                      <a:ext uri="{53640926-AAD7-44D8-BBD7-CCE9431645EC}">
                        <a14:shadowObscured xmlns:a14="http://schemas.microsoft.com/office/drawing/2010/main"/>
                      </a:ext>
                    </a:extLst>
                  </pic:spPr>
                </pic:pic>
              </a:graphicData>
            </a:graphic>
          </wp:inline>
        </w:drawing>
      </w:r>
    </w:p>
    <w:p w14:paraId="3EEA1610" w14:textId="77777777" w:rsidR="00744C21" w:rsidRDefault="00F64978" w:rsidP="00BB7265">
      <w:pPr>
        <w:pStyle w:val="ChartorTableNote"/>
        <w:rPr>
          <w:szCs w:val="18"/>
        </w:rPr>
      </w:pPr>
      <w:r w:rsidRPr="00580999">
        <w:t xml:space="preserve">Source: </w:t>
      </w:r>
      <w:r w:rsidR="00EC03C8">
        <w:rPr>
          <w:szCs w:val="18"/>
        </w:rPr>
        <w:t>DEWR administrative data</w:t>
      </w:r>
      <w:r w:rsidR="00E006E9" w:rsidRPr="00580999">
        <w:rPr>
          <w:szCs w:val="18"/>
        </w:rPr>
        <w:t xml:space="preserve"> 2006-2023</w:t>
      </w:r>
      <w:r w:rsidR="00E006E9">
        <w:rPr>
          <w:szCs w:val="18"/>
        </w:rPr>
        <w:t>.</w:t>
      </w:r>
    </w:p>
    <w:p w14:paraId="2F7EC589" w14:textId="46EAF5F2" w:rsidR="00634162" w:rsidRDefault="00B83845" w:rsidP="00BB7265">
      <w:pPr>
        <w:pStyle w:val="ChartorTableNote"/>
        <w:rPr>
          <w:szCs w:val="18"/>
        </w:rPr>
      </w:pPr>
      <w:r w:rsidRPr="00B83845">
        <w:t>Note:</w:t>
      </w:r>
      <w:r>
        <w:rPr>
          <w:szCs w:val="18"/>
        </w:rPr>
        <w:t xml:space="preserve"> </w:t>
      </w:r>
      <w:r w:rsidR="00E52E4E">
        <w:rPr>
          <w:szCs w:val="18"/>
        </w:rPr>
        <w:t>Commencement cohorts are the quarter an apprentice started.</w:t>
      </w:r>
    </w:p>
    <w:p w14:paraId="681E1BFB" w14:textId="03743203" w:rsidR="00555DB9" w:rsidRDefault="008A34C4" w:rsidP="00BB7265">
      <w:pPr>
        <w:pStyle w:val="Chartheading"/>
      </w:pPr>
      <w:r>
        <w:t xml:space="preserve">Figure </w:t>
      </w:r>
      <w:r w:rsidR="0063266F">
        <w:t>6</w:t>
      </w:r>
      <w:r>
        <w:t xml:space="preserve">: </w:t>
      </w:r>
      <w:r w:rsidR="00C14834">
        <w:t xml:space="preserve">18-month retention </w:t>
      </w:r>
      <w:r w:rsidR="008E7C14">
        <w:t xml:space="preserve">rate </w:t>
      </w:r>
      <w:r w:rsidR="00C14834">
        <w:t xml:space="preserve">by </w:t>
      </w:r>
      <w:r w:rsidR="00374EA1">
        <w:t>commencement cohort</w:t>
      </w:r>
    </w:p>
    <w:p w14:paraId="22492678" w14:textId="3284EFCC" w:rsidR="00CC7E2C" w:rsidRDefault="00E133F5" w:rsidP="00BB7265">
      <w:pPr>
        <w:pStyle w:val="ChartGraphic"/>
      </w:pPr>
      <w:r>
        <w:rPr>
          <w:noProof/>
        </w:rPr>
        <w:drawing>
          <wp:inline distT="0" distB="0" distL="0" distR="0" wp14:anchorId="44AA7CBC" wp14:editId="3D7AFE92">
            <wp:extent cx="5182235" cy="3493135"/>
            <wp:effectExtent l="0" t="0" r="0" b="0"/>
            <wp:docPr id="148328885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82235" cy="3493135"/>
                    </a:xfrm>
                    <a:prstGeom prst="rect">
                      <a:avLst/>
                    </a:prstGeom>
                    <a:noFill/>
                  </pic:spPr>
                </pic:pic>
              </a:graphicData>
            </a:graphic>
          </wp:inline>
        </w:drawing>
      </w:r>
    </w:p>
    <w:p w14:paraId="0169B4BE" w14:textId="1B39D931" w:rsidR="00425473" w:rsidRDefault="00425473" w:rsidP="00BB7265">
      <w:pPr>
        <w:pStyle w:val="ChartorTableNote"/>
        <w:rPr>
          <w:szCs w:val="18"/>
        </w:rPr>
      </w:pPr>
      <w:r w:rsidRPr="00580999">
        <w:t xml:space="preserve">Source: </w:t>
      </w:r>
      <w:r>
        <w:rPr>
          <w:szCs w:val="18"/>
        </w:rPr>
        <w:t xml:space="preserve">Treasury modelling, see Appendix </w:t>
      </w:r>
      <w:r w:rsidR="0096437E">
        <w:rPr>
          <w:szCs w:val="18"/>
        </w:rPr>
        <w:t>B</w:t>
      </w:r>
      <w:r>
        <w:rPr>
          <w:szCs w:val="18"/>
        </w:rPr>
        <w:t xml:space="preserve"> for details.</w:t>
      </w:r>
    </w:p>
    <w:p w14:paraId="5157BB06" w14:textId="310C2729" w:rsidR="00B61D46" w:rsidRPr="00425473" w:rsidRDefault="00B61D46" w:rsidP="00BB7265">
      <w:pPr>
        <w:pStyle w:val="ChartorTableNote"/>
        <w:rPr>
          <w:szCs w:val="18"/>
        </w:rPr>
      </w:pPr>
      <w:r>
        <w:t xml:space="preserve">Note: </w:t>
      </w:r>
      <w:r w:rsidR="009D32E5">
        <w:rPr>
          <w:szCs w:val="18"/>
        </w:rPr>
        <w:t>The vertical axis is truncated at 55</w:t>
      </w:r>
      <w:r w:rsidR="009C0E74">
        <w:rPr>
          <w:szCs w:val="18"/>
        </w:rPr>
        <w:t>% to make it easier to see changes in the retention rate.</w:t>
      </w:r>
      <w:r w:rsidR="009D32E5">
        <w:rPr>
          <w:szCs w:val="18"/>
        </w:rPr>
        <w:t xml:space="preserve"> </w:t>
      </w:r>
    </w:p>
    <w:p w14:paraId="48F81B59" w14:textId="77777777" w:rsidR="001F52A8" w:rsidRDefault="001F52A8" w:rsidP="001F52A8">
      <w:r>
        <w:lastRenderedPageBreak/>
        <w:t xml:space="preserve">The </w:t>
      </w:r>
      <w:proofErr w:type="gramStart"/>
      <w:r>
        <w:t>flip-side</w:t>
      </w:r>
      <w:proofErr w:type="gramEnd"/>
      <w:r>
        <w:t xml:space="preserve"> of the cancellation rate is the retention rate. Retention rates are defined as the share of commencements that have </w:t>
      </w:r>
      <w:r w:rsidRPr="00F931EC">
        <w:rPr>
          <w:i/>
          <w:iCs/>
        </w:rPr>
        <w:t>not reported</w:t>
      </w:r>
      <w:r>
        <w:t xml:space="preserve"> cancelling their Australian Apprenticeship contract at the 6</w:t>
      </w:r>
      <w:r>
        <w:rPr>
          <w:vertAlign w:val="superscript"/>
        </w:rPr>
        <w:t>-</w:t>
      </w:r>
      <w:r>
        <w:t>quarter (18-month) mark. There can often be a time lag between when an Australian Apprenticeship is cancelled and when this cancellation is recorded on the Training Contract, so the actual retention rate may be lower than the rate as defined (based on reporting).</w:t>
      </w:r>
    </w:p>
    <w:p w14:paraId="713E08AF" w14:textId="77777777" w:rsidR="001F52A8" w:rsidRDefault="001F52A8" w:rsidP="001F52A8">
      <w:r>
        <w:t xml:space="preserve">The retention rates showed a similar pattern to the completion rates, as expected (Figure 6). </w:t>
      </w:r>
      <w:r w:rsidDel="00947781">
        <w:t>During the BAC program</w:t>
      </w:r>
      <w:r>
        <w:t xml:space="preserve"> </w:t>
      </w:r>
      <w:r w:rsidDel="00947781">
        <w:t>(shaded orange)</w:t>
      </w:r>
      <w:r>
        <w:t xml:space="preserve">, </w:t>
      </w:r>
      <w:r w:rsidDel="00947781">
        <w:t>the trade retention rate remained in-line with historic</w:t>
      </w:r>
      <w:r>
        <w:t xml:space="preserve"> levels. By contrast, the retention rate for </w:t>
      </w:r>
      <w:r w:rsidRPr="003D3D16">
        <w:rPr>
          <w:i/>
          <w:iCs/>
        </w:rPr>
        <w:t xml:space="preserve">non-trade </w:t>
      </w:r>
      <w:r>
        <w:t>apprentices declined to historically low levels.</w:t>
      </w:r>
    </w:p>
    <w:p w14:paraId="73E01C3B" w14:textId="77777777" w:rsidR="001F52A8" w:rsidRDefault="001F52A8" w:rsidP="001F52A8">
      <w:r>
        <w:t xml:space="preserve">For a discussion of some of the potential drivers of low retention rates (and high cancellation rates) during the program, see the discussion of ‘sharp practice’ further below. </w:t>
      </w:r>
    </w:p>
    <w:p w14:paraId="77A7EA9B" w14:textId="77777777" w:rsidR="00854E1E" w:rsidRDefault="001B6D85" w:rsidP="007574A3">
      <w:pPr>
        <w:pStyle w:val="Bullet"/>
        <w:numPr>
          <w:ilvl w:val="0"/>
          <w:numId w:val="0"/>
        </w:numPr>
        <w:spacing w:line="240" w:lineRule="auto"/>
        <w:rPr>
          <w:i/>
        </w:rPr>
      </w:pPr>
      <w:r>
        <w:t xml:space="preserve">Appendix </w:t>
      </w:r>
      <w:r w:rsidR="009C22D2">
        <w:t>D</w:t>
      </w:r>
      <w:r w:rsidR="000D11BB">
        <w:t xml:space="preserve"> includes </w:t>
      </w:r>
      <w:r w:rsidR="000C5018">
        <w:t xml:space="preserve">further analysis </w:t>
      </w:r>
      <w:r w:rsidR="00B55AC9">
        <w:t>on</w:t>
      </w:r>
      <w:r w:rsidR="00F909CE">
        <w:t xml:space="preserve"> the</w:t>
      </w:r>
      <w:r w:rsidR="00017FF3">
        <w:t xml:space="preserve"> </w:t>
      </w:r>
      <w:r w:rsidR="00017FF3" w:rsidRPr="00F4762B">
        <w:t>number</w:t>
      </w:r>
      <w:r w:rsidR="00017FF3">
        <w:rPr>
          <w:i/>
          <w:iCs/>
        </w:rPr>
        <w:t xml:space="preserve"> </w:t>
      </w:r>
      <w:r w:rsidR="00017FF3">
        <w:t>of</w:t>
      </w:r>
      <w:r w:rsidR="000C5018">
        <w:t xml:space="preserve"> </w:t>
      </w:r>
      <w:r w:rsidR="00910EC7">
        <w:t>‘</w:t>
      </w:r>
      <w:r>
        <w:t>progressed commencements</w:t>
      </w:r>
      <w:r w:rsidR="00910EC7">
        <w:t>’</w:t>
      </w:r>
      <w:r w:rsidR="000D11BB">
        <w:t xml:space="preserve">, which is defined </w:t>
      </w:r>
      <w:r w:rsidR="0061663B">
        <w:t xml:space="preserve">as </w:t>
      </w:r>
      <w:r w:rsidR="00EA5328">
        <w:t xml:space="preserve">the </w:t>
      </w:r>
      <w:r w:rsidR="00EA5328" w:rsidRPr="00F4762B">
        <w:t>number</w:t>
      </w:r>
      <w:r w:rsidR="00EA5328">
        <w:t xml:space="preserve"> of </w:t>
      </w:r>
      <w:r w:rsidR="00065357">
        <w:t xml:space="preserve">commencing apprentices who continue or complete their apprenticeship </w:t>
      </w:r>
      <w:r w:rsidR="00DC0697">
        <w:t>within 6 quarters (18 months)</w:t>
      </w:r>
      <w:r w:rsidR="00017FF3">
        <w:t xml:space="preserve">. This </w:t>
      </w:r>
      <w:r w:rsidR="00854E1E">
        <w:t xml:space="preserve">analysis differs from the above because it </w:t>
      </w:r>
      <w:r w:rsidR="00212471">
        <w:t xml:space="preserve">focuses on a </w:t>
      </w:r>
      <w:r w:rsidR="00212471">
        <w:rPr>
          <w:i/>
          <w:iCs/>
        </w:rPr>
        <w:t>number</w:t>
      </w:r>
      <w:r w:rsidR="00212471">
        <w:t xml:space="preserve">, rather than a </w:t>
      </w:r>
      <w:r w:rsidR="00212471">
        <w:rPr>
          <w:i/>
          <w:iCs/>
        </w:rPr>
        <w:t>rate.</w:t>
      </w:r>
    </w:p>
    <w:p w14:paraId="7FE04127" w14:textId="77777777" w:rsidR="00C23694" w:rsidRDefault="00CA7B8E" w:rsidP="007574A3">
      <w:pPr>
        <w:pStyle w:val="Heading2"/>
        <w:spacing w:line="240" w:lineRule="auto"/>
      </w:pPr>
      <w:bookmarkStart w:id="55" w:name="_Toc176782366"/>
      <w:r>
        <w:t>Econometric modelling of</w:t>
      </w:r>
      <w:r w:rsidR="00C23694">
        <w:t xml:space="preserve"> </w:t>
      </w:r>
      <w:r w:rsidR="00203C5D">
        <w:t xml:space="preserve">individual-level </w:t>
      </w:r>
      <w:r w:rsidR="00201D9D">
        <w:t>cancellation</w:t>
      </w:r>
      <w:r>
        <w:t>s</w:t>
      </w:r>
      <w:bookmarkEnd w:id="55"/>
    </w:p>
    <w:p w14:paraId="59307751" w14:textId="77777777" w:rsidR="00201D9D" w:rsidRPr="00623F49" w:rsidRDefault="00201D9D" w:rsidP="00F90582">
      <w:pPr>
        <w:pStyle w:val="Heading3"/>
        <w:rPr>
          <w:rFonts w:ascii="Calibri" w:hAnsi="Calibri" w:cs="Calibri"/>
          <w:b/>
          <w:bCs/>
          <w:sz w:val="28"/>
          <w:szCs w:val="28"/>
        </w:rPr>
      </w:pPr>
      <w:bookmarkStart w:id="56" w:name="_Toc176782367"/>
      <w:r w:rsidRPr="00623F49">
        <w:rPr>
          <w:rFonts w:ascii="Calibri" w:hAnsi="Calibri" w:cs="Calibri"/>
          <w:b/>
          <w:bCs/>
          <w:sz w:val="28"/>
          <w:szCs w:val="28"/>
        </w:rPr>
        <w:t>Model</w:t>
      </w:r>
      <w:r w:rsidR="00B0480F" w:rsidRPr="00623F49">
        <w:rPr>
          <w:rFonts w:ascii="Calibri" w:hAnsi="Calibri" w:cs="Calibri"/>
          <w:b/>
          <w:bCs/>
          <w:sz w:val="28"/>
          <w:szCs w:val="28"/>
        </w:rPr>
        <w:t xml:space="preserve"> and data</w:t>
      </w:r>
      <w:bookmarkEnd w:id="56"/>
    </w:p>
    <w:p w14:paraId="335E4BE6" w14:textId="77777777" w:rsidR="00F16D61" w:rsidRDefault="00C025F8" w:rsidP="007574A3">
      <w:r>
        <w:t>An</w:t>
      </w:r>
      <w:r w:rsidR="00411BF6" w:rsidRPr="00411BF6">
        <w:t xml:space="preserve"> econometric model </w:t>
      </w:r>
      <w:r>
        <w:t xml:space="preserve">was used </w:t>
      </w:r>
      <w:r w:rsidR="00411BF6" w:rsidRPr="00411BF6">
        <w:t>to analyse how cancellation rates differed between different states, and across different occupations. The model estimate</w:t>
      </w:r>
      <w:r w:rsidR="002501CD">
        <w:t>d</w:t>
      </w:r>
      <w:r w:rsidR="00411BF6" w:rsidRPr="00411BF6">
        <w:t xml:space="preserve"> how cancellation rates differed for individuals who commenced during the BAC program compared to previous cohorts. The model predicted the likelihood that an individual apprenticeship was cancelled 18 months after commencement, controlling for compositional changes in commencements and changes in economic conditions. </w:t>
      </w:r>
    </w:p>
    <w:p w14:paraId="4392787E" w14:textId="77777777" w:rsidR="00BE6EC7" w:rsidRPr="00BE6EC7" w:rsidRDefault="000E441A" w:rsidP="007574A3">
      <w:r>
        <w:t xml:space="preserve">The approach </w:t>
      </w:r>
      <w:r w:rsidR="00BC092D">
        <w:t xml:space="preserve">used </w:t>
      </w:r>
      <w:r w:rsidR="00E502CB">
        <w:t>an individual-level probit model</w:t>
      </w:r>
      <w:r w:rsidR="00BC092D">
        <w:t xml:space="preserve">, which </w:t>
      </w:r>
      <w:r>
        <w:t>was r</w:t>
      </w:r>
      <w:r w:rsidR="00343125">
        <w:t>a</w:t>
      </w:r>
      <w:r>
        <w:t>n</w:t>
      </w:r>
      <w:r w:rsidR="00BC092D">
        <w:t xml:space="preserve"> on </w:t>
      </w:r>
      <w:r w:rsidR="00E502CB">
        <w:t xml:space="preserve">the 4 million individual apprenticeship commencements in </w:t>
      </w:r>
      <w:r w:rsidR="00DE4D5C">
        <w:t xml:space="preserve">the </w:t>
      </w:r>
      <w:r w:rsidR="00E502CB">
        <w:t xml:space="preserve">data set between 2006 and 2023. </w:t>
      </w:r>
      <w:r w:rsidR="00BE6EC7">
        <w:t xml:space="preserve">See Appendix </w:t>
      </w:r>
      <w:r w:rsidR="00B37E96">
        <w:t>D</w:t>
      </w:r>
      <w:r w:rsidR="00BE6EC7">
        <w:t xml:space="preserve"> for technical details.</w:t>
      </w:r>
    </w:p>
    <w:p w14:paraId="118D2B7E" w14:textId="5B3969D9" w:rsidR="00E6196C" w:rsidRPr="00623F49" w:rsidRDefault="00E6196C" w:rsidP="00F90582">
      <w:pPr>
        <w:pStyle w:val="Heading3"/>
        <w:rPr>
          <w:rFonts w:ascii="Calibri" w:hAnsi="Calibri" w:cs="Calibri"/>
          <w:b/>
          <w:bCs/>
          <w:sz w:val="28"/>
          <w:szCs w:val="28"/>
        </w:rPr>
      </w:pPr>
      <w:bookmarkStart w:id="57" w:name="_Toc176782368"/>
      <w:r w:rsidRPr="00623F49">
        <w:rPr>
          <w:rFonts w:ascii="Calibri" w:hAnsi="Calibri" w:cs="Calibri"/>
          <w:b/>
          <w:bCs/>
          <w:sz w:val="28"/>
          <w:szCs w:val="28"/>
        </w:rPr>
        <w:t>Results</w:t>
      </w:r>
      <w:bookmarkEnd w:id="57"/>
    </w:p>
    <w:p w14:paraId="3F39E296" w14:textId="4723D576" w:rsidR="00B71B8C" w:rsidRDefault="00917A77" w:rsidP="007574A3">
      <w:r>
        <w:t>At the national level</w:t>
      </w:r>
      <w:r w:rsidR="00A20F09">
        <w:t xml:space="preserve">, the cancellation </w:t>
      </w:r>
      <w:r>
        <w:t xml:space="preserve">rate </w:t>
      </w:r>
      <w:r w:rsidR="00B408C0">
        <w:t>for t</w:t>
      </w:r>
      <w:r w:rsidR="00A20F09">
        <w:t xml:space="preserve">rades </w:t>
      </w:r>
      <w:r w:rsidR="00B408C0">
        <w:t xml:space="preserve">was </w:t>
      </w:r>
      <w:r w:rsidR="00A20F09">
        <w:t>slightly lower</w:t>
      </w:r>
      <w:r w:rsidR="00B408C0">
        <w:t xml:space="preserve">, </w:t>
      </w:r>
      <w:r>
        <w:t xml:space="preserve">while for </w:t>
      </w:r>
      <w:r w:rsidR="00A20F09">
        <w:t xml:space="preserve">non-trades </w:t>
      </w:r>
      <w:r>
        <w:t xml:space="preserve">it was </w:t>
      </w:r>
      <w:r w:rsidR="00A20F09">
        <w:t xml:space="preserve">substantially higher. </w:t>
      </w:r>
      <w:r>
        <w:t>This is consistent with the descriptive statistics shown in the previous sections but</w:t>
      </w:r>
      <w:r w:rsidR="00070B40">
        <w:t xml:space="preserve"> has the advantage of </w:t>
      </w:r>
      <w:r w:rsidR="00201D9D" w:rsidRPr="008C2848">
        <w:t>controlling for compositional changes</w:t>
      </w:r>
      <w:r w:rsidR="00070B40">
        <w:t xml:space="preserve"> in commencements</w:t>
      </w:r>
      <w:r w:rsidR="00FA5F5F">
        <w:t>,</w:t>
      </w:r>
      <w:r w:rsidR="00201D9D" w:rsidRPr="008C2848">
        <w:t xml:space="preserve"> and </w:t>
      </w:r>
      <w:r w:rsidR="00070B40">
        <w:t xml:space="preserve">changes in </w:t>
      </w:r>
      <w:r w:rsidR="00201D9D" w:rsidRPr="008C2848">
        <w:t>labour market conditions</w:t>
      </w:r>
      <w:r w:rsidR="00070B40">
        <w:t>.</w:t>
      </w:r>
    </w:p>
    <w:p w14:paraId="5B230D10" w14:textId="4506AE43" w:rsidR="001F52A8" w:rsidRDefault="001F52A8" w:rsidP="007574A3">
      <w:r>
        <w:t>T</w:t>
      </w:r>
      <w:r w:rsidRPr="008C2848">
        <w:t xml:space="preserve">rade commencements </w:t>
      </w:r>
      <w:r>
        <w:t xml:space="preserve">during the BAC program </w:t>
      </w:r>
      <w:r w:rsidRPr="008C2848">
        <w:t>were 0.7 per</w:t>
      </w:r>
      <w:r>
        <w:t>centage points</w:t>
      </w:r>
      <w:r w:rsidRPr="008C2848">
        <w:t> less likely to be cancelled </w:t>
      </w:r>
      <w:r>
        <w:t>within the first 18 months</w:t>
      </w:r>
      <w:r w:rsidRPr="008C2848">
        <w:t>.</w:t>
      </w:r>
      <w:r>
        <w:t xml:space="preserve"> N</w:t>
      </w:r>
      <w:r w:rsidRPr="008C2848">
        <w:t xml:space="preserve">on-trade </w:t>
      </w:r>
      <w:r>
        <w:t xml:space="preserve">BAC </w:t>
      </w:r>
      <w:r w:rsidRPr="008C2848">
        <w:t>commencements</w:t>
      </w:r>
      <w:r>
        <w:t xml:space="preserve">, however, </w:t>
      </w:r>
      <w:r w:rsidRPr="008C2848">
        <w:t xml:space="preserve">were about 7 </w:t>
      </w:r>
      <w:r>
        <w:t>percentage points</w:t>
      </w:r>
      <w:r w:rsidRPr="008C2848">
        <w:t xml:space="preserve"> more likely to be cancelled. This is </w:t>
      </w:r>
      <w:r>
        <w:t xml:space="preserve">a material shift when compared to the previous </w:t>
      </w:r>
      <w:r w:rsidRPr="008C2848">
        <w:t>6-quarter cancellation rate of 30-40 per cent for non-trades.</w:t>
      </w:r>
      <w:r>
        <w:t xml:space="preserve"> These results were consistent across all states and territories (Figure 7).</w:t>
      </w:r>
    </w:p>
    <w:p w14:paraId="4A2038A6" w14:textId="776E5257" w:rsidR="001F52A8" w:rsidRDefault="001F52A8" w:rsidP="007574A3">
      <w:r>
        <w:t xml:space="preserve">Occupations with higher BAC commencements tended to also have higher cancellation rates (Figure 7). In particular, the following occupations all had high commencements during BAC, </w:t>
      </w:r>
      <w:proofErr w:type="gramStart"/>
      <w:r>
        <w:t>and also</w:t>
      </w:r>
      <w:proofErr w:type="gramEnd"/>
      <w:r>
        <w:t xml:space="preserve"> had some of the highest cancellation rates: Office and Practice Managers; Chief Executive, General Managers and Legislators; General Clerks; and Logistics Clerks. However, some occupations that did not experience a large increase in commencements due to the BAC program also had high cancellation rates, for example Truck Drivers and Storepersons.</w:t>
      </w:r>
    </w:p>
    <w:p w14:paraId="75B8A071" w14:textId="344E1586" w:rsidR="0066449E" w:rsidRDefault="008A34C4" w:rsidP="0009133E">
      <w:pPr>
        <w:pStyle w:val="Chartheading"/>
        <w:spacing w:line="240" w:lineRule="auto"/>
        <w:outlineLvl w:val="9"/>
      </w:pPr>
      <w:r>
        <w:lastRenderedPageBreak/>
        <w:t xml:space="preserve">Figure </w:t>
      </w:r>
      <w:r w:rsidR="0063266F">
        <w:t>7</w:t>
      </w:r>
      <w:r>
        <w:t xml:space="preserve">: </w:t>
      </w:r>
      <w:r w:rsidR="0066449E">
        <w:t xml:space="preserve">Effect of BAC on cancellation rate </w:t>
      </w:r>
      <w:r w:rsidR="00754E3E">
        <w:t>by jurisdiction and occupation</w:t>
      </w:r>
    </w:p>
    <w:p w14:paraId="467167A4" w14:textId="39833205" w:rsidR="001A2C05" w:rsidRDefault="001A2C05" w:rsidP="007574A3">
      <w:r>
        <w:rPr>
          <w:noProof/>
        </w:rPr>
        <w:drawing>
          <wp:inline distT="0" distB="0" distL="0" distR="0" wp14:anchorId="0E8EE18C" wp14:editId="58A7C21F">
            <wp:extent cx="5909095" cy="6968369"/>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1724"/>
                    <a:stretch/>
                  </pic:blipFill>
                  <pic:spPr bwMode="auto">
                    <a:xfrm>
                      <a:off x="0" y="0"/>
                      <a:ext cx="5947380" cy="7013517"/>
                    </a:xfrm>
                    <a:prstGeom prst="rect">
                      <a:avLst/>
                    </a:prstGeom>
                    <a:noFill/>
                    <a:ln>
                      <a:noFill/>
                    </a:ln>
                    <a:extLst>
                      <a:ext uri="{53640926-AAD7-44D8-BBD7-CCE9431645EC}">
                        <a14:shadowObscured xmlns:a14="http://schemas.microsoft.com/office/drawing/2010/main"/>
                      </a:ext>
                    </a:extLst>
                  </pic:spPr>
                </pic:pic>
              </a:graphicData>
            </a:graphic>
          </wp:inline>
        </w:drawing>
      </w:r>
    </w:p>
    <w:p w14:paraId="4E503599" w14:textId="52B940F2" w:rsidR="00744C21" w:rsidRPr="001F52A8" w:rsidRDefault="006A3AF3" w:rsidP="007574A3">
      <w:pPr>
        <w:rPr>
          <w:sz w:val="18"/>
          <w:szCs w:val="18"/>
        </w:rPr>
      </w:pPr>
      <w:r w:rsidRPr="00580999">
        <w:rPr>
          <w:sz w:val="18"/>
          <w:szCs w:val="18"/>
        </w:rPr>
        <w:t xml:space="preserve">Source: </w:t>
      </w:r>
      <w:r>
        <w:rPr>
          <w:sz w:val="18"/>
          <w:szCs w:val="18"/>
        </w:rPr>
        <w:t xml:space="preserve">Treasury modelling, see Appendix </w:t>
      </w:r>
      <w:r w:rsidR="00B37E96">
        <w:rPr>
          <w:sz w:val="18"/>
          <w:szCs w:val="18"/>
        </w:rPr>
        <w:t>B</w:t>
      </w:r>
      <w:r>
        <w:rPr>
          <w:sz w:val="18"/>
          <w:szCs w:val="18"/>
        </w:rPr>
        <w:t xml:space="preserve"> for details.</w:t>
      </w:r>
      <w:r w:rsidR="00744C21">
        <w:br w:type="page"/>
      </w:r>
    </w:p>
    <w:p w14:paraId="176AC442" w14:textId="07E0E889" w:rsidR="00F266C1" w:rsidRDefault="00F266C1" w:rsidP="007574A3">
      <w:pPr>
        <w:pStyle w:val="Heading1"/>
        <w:spacing w:line="240" w:lineRule="auto"/>
      </w:pPr>
      <w:bookmarkStart w:id="58" w:name="_Toc176782369"/>
      <w:r>
        <w:lastRenderedPageBreak/>
        <w:t>Apprentice characteristics</w:t>
      </w:r>
      <w:bookmarkEnd w:id="58"/>
    </w:p>
    <w:p w14:paraId="09B24305" w14:textId="2E7E9F31" w:rsidR="005D0181" w:rsidRDefault="005D57EA" w:rsidP="007574A3">
      <w:r>
        <w:t>Th</w:t>
      </w:r>
      <w:r w:rsidR="006B4B4B">
        <w:t>is</w:t>
      </w:r>
      <w:r>
        <w:t xml:space="preserve"> section outlines</w:t>
      </w:r>
      <w:r w:rsidR="006C4F2B">
        <w:t xml:space="preserve"> the </w:t>
      </w:r>
      <w:r w:rsidR="00311AAC">
        <w:t>char</w:t>
      </w:r>
      <w:r w:rsidR="006B4B4B">
        <w:t xml:space="preserve">acteristics </w:t>
      </w:r>
      <w:r w:rsidR="00512D27">
        <w:t xml:space="preserve">of commencing apprentices </w:t>
      </w:r>
      <w:r w:rsidR="002636E1">
        <w:t>in three aspects</w:t>
      </w:r>
      <w:r w:rsidR="00DE55BA">
        <w:t>:</w:t>
      </w:r>
    </w:p>
    <w:p w14:paraId="25B2D667" w14:textId="2477EF61" w:rsidR="00DE55BA" w:rsidRDefault="0099338B" w:rsidP="007574A3">
      <w:pPr>
        <w:pStyle w:val="Bullet"/>
        <w:spacing w:line="240" w:lineRule="auto"/>
      </w:pPr>
      <w:r>
        <w:t xml:space="preserve">The </w:t>
      </w:r>
      <w:r w:rsidR="00E20652">
        <w:t>share</w:t>
      </w:r>
      <w:r w:rsidR="00DE55BA">
        <w:t xml:space="preserve"> </w:t>
      </w:r>
      <w:r>
        <w:t>of</w:t>
      </w:r>
      <w:r w:rsidR="00DE55BA">
        <w:t xml:space="preserve"> </w:t>
      </w:r>
      <w:r w:rsidR="007F24B9">
        <w:t xml:space="preserve">BAC apprentices </w:t>
      </w:r>
      <w:r w:rsidR="00E20652">
        <w:t>in</w:t>
      </w:r>
      <w:r w:rsidR="00DE55BA">
        <w:t xml:space="preserve"> priority </w:t>
      </w:r>
      <w:r w:rsidR="009063C6">
        <w:t xml:space="preserve">occupations </w:t>
      </w:r>
    </w:p>
    <w:p w14:paraId="5C5CF72B" w14:textId="0EE48FC7" w:rsidR="009063C6" w:rsidRDefault="007F24B9" w:rsidP="007574A3">
      <w:pPr>
        <w:pStyle w:val="Bullet"/>
        <w:spacing w:line="240" w:lineRule="auto"/>
      </w:pPr>
      <w:r>
        <w:t>Which o</w:t>
      </w:r>
      <w:r w:rsidR="004C513C">
        <w:t>ccupation</w:t>
      </w:r>
      <w:r>
        <w:t>s saw the strongest growth in apprenticeships during the BAC period</w:t>
      </w:r>
      <w:r w:rsidR="004C513C">
        <w:t xml:space="preserve"> </w:t>
      </w:r>
    </w:p>
    <w:p w14:paraId="3B502E74" w14:textId="33894550" w:rsidR="004C513C" w:rsidRPr="005D0181" w:rsidRDefault="007F24B9" w:rsidP="007574A3">
      <w:pPr>
        <w:pStyle w:val="Bullet"/>
        <w:spacing w:after="0" w:line="240" w:lineRule="auto"/>
      </w:pPr>
      <w:r>
        <w:t xml:space="preserve">The </w:t>
      </w:r>
      <w:r w:rsidR="00CA0B0D">
        <w:t xml:space="preserve">demographic </w:t>
      </w:r>
      <w:r>
        <w:t xml:space="preserve">characteristics of </w:t>
      </w:r>
      <w:r w:rsidR="00200E48">
        <w:t xml:space="preserve">BAC </w:t>
      </w:r>
      <w:r>
        <w:t>apprenticeship commencements</w:t>
      </w:r>
    </w:p>
    <w:p w14:paraId="75F7E23A" w14:textId="2C0A316B" w:rsidR="00F266C1" w:rsidRDefault="00BC64E4" w:rsidP="007574A3">
      <w:pPr>
        <w:pStyle w:val="Heading2"/>
        <w:spacing w:line="240" w:lineRule="auto"/>
      </w:pPr>
      <w:bookmarkStart w:id="59" w:name="_Toc176782370"/>
      <w:r>
        <w:t xml:space="preserve">Non-priority occupations experienced </w:t>
      </w:r>
      <w:r w:rsidR="00871FDE">
        <w:t xml:space="preserve">the </w:t>
      </w:r>
      <w:r>
        <w:t>strongest growth</w:t>
      </w:r>
      <w:bookmarkEnd w:id="59"/>
    </w:p>
    <w:p w14:paraId="26E725C5" w14:textId="6F27B559" w:rsidR="00BC64E4" w:rsidRDefault="00442B7D" w:rsidP="007574A3">
      <w:pPr>
        <w:pStyle w:val="BodyText"/>
      </w:pPr>
      <w:r>
        <w:t>P</w:t>
      </w:r>
      <w:r w:rsidR="00BC64E4" w:rsidRPr="004C7851">
        <w:rPr>
          <w:iCs/>
        </w:rPr>
        <w:t xml:space="preserve">riority occupations </w:t>
      </w:r>
      <w:r>
        <w:rPr>
          <w:iCs/>
        </w:rPr>
        <w:t xml:space="preserve">refer to </w:t>
      </w:r>
      <w:r w:rsidR="00BC64E4" w:rsidRPr="001E08E8">
        <w:rPr>
          <w:szCs w:val="22"/>
        </w:rPr>
        <w:t xml:space="preserve">apprenticeships </w:t>
      </w:r>
      <w:r w:rsidR="00EC32A7">
        <w:rPr>
          <w:szCs w:val="22"/>
        </w:rPr>
        <w:t xml:space="preserve">in occupations </w:t>
      </w:r>
      <w:r w:rsidR="00BC64E4" w:rsidRPr="001E08E8">
        <w:rPr>
          <w:szCs w:val="22"/>
        </w:rPr>
        <w:t xml:space="preserve">on the </w:t>
      </w:r>
      <w:hyperlink r:id="rId33" w:anchor="toc-australian-apprenticeship-priority-list" w:history="1">
        <w:r w:rsidR="00BC64E4">
          <w:rPr>
            <w:rStyle w:val="Hyperlink"/>
          </w:rPr>
          <w:t>Australian Apprenticeships Priority List</w:t>
        </w:r>
      </w:hyperlink>
      <w:r w:rsidR="00067C71">
        <w:t>, and p</w:t>
      </w:r>
      <w:r w:rsidR="00BC64E4">
        <w:t xml:space="preserve">reviously </w:t>
      </w:r>
      <w:r w:rsidR="00BC64E4" w:rsidRPr="003237DA">
        <w:t xml:space="preserve">the </w:t>
      </w:r>
      <w:hyperlink r:id="rId34" w:history="1">
        <w:r w:rsidR="00BC64E4" w:rsidRPr="003F262D">
          <w:rPr>
            <w:rStyle w:val="Hyperlink"/>
          </w:rPr>
          <w:t>National Skills Needs List</w:t>
        </w:r>
      </w:hyperlink>
      <w:r w:rsidR="00BC64E4">
        <w:t xml:space="preserve"> (</w:t>
      </w:r>
      <w:r w:rsidR="00E83D20">
        <w:t>DEWR</w:t>
      </w:r>
      <w:r w:rsidR="00A71883">
        <w:t xml:space="preserve"> 20</w:t>
      </w:r>
      <w:r w:rsidR="000A1416">
        <w:t xml:space="preserve">24b; </w:t>
      </w:r>
      <w:r w:rsidR="00BC64E4">
        <w:t>DEWR</w:t>
      </w:r>
      <w:r w:rsidR="00261A07">
        <w:t xml:space="preserve"> 2023b</w:t>
      </w:r>
      <w:r w:rsidR="00BC64E4">
        <w:t>).</w:t>
      </w:r>
    </w:p>
    <w:p w14:paraId="01C739B2" w14:textId="0B4F0CBB" w:rsidR="000F1829" w:rsidRDefault="0049249B" w:rsidP="007574A3">
      <w:r>
        <w:t>T</w:t>
      </w:r>
      <w:r w:rsidR="000F1829">
        <w:t>he share of commencements in priority occupations</w:t>
      </w:r>
      <w:r>
        <w:t xml:space="preserve"> </w:t>
      </w:r>
      <w:r w:rsidR="00F53651">
        <w:t xml:space="preserve">fell </w:t>
      </w:r>
      <w:r w:rsidR="00E06156">
        <w:t xml:space="preserve">slightly </w:t>
      </w:r>
      <w:r w:rsidR="00F53651">
        <w:t>during the BAC period (</w:t>
      </w:r>
      <w:r w:rsidR="009D2FED">
        <w:t xml:space="preserve">Figure </w:t>
      </w:r>
      <w:r w:rsidR="0063266F">
        <w:t>8</w:t>
      </w:r>
      <w:r w:rsidR="00F53651">
        <w:t>)</w:t>
      </w:r>
      <w:r w:rsidR="008C3F74">
        <w:t xml:space="preserve">. </w:t>
      </w:r>
      <w:r w:rsidR="00F36B87">
        <w:t>P</w:t>
      </w:r>
      <w:r w:rsidR="00573BE4">
        <w:t>riority occupations are predominantly trades-based</w:t>
      </w:r>
      <w:r w:rsidR="00F36B87">
        <w:t xml:space="preserve"> so these results are consistent with our earlier finding that</w:t>
      </w:r>
      <w:r w:rsidR="00573BE4">
        <w:t xml:space="preserve"> the BAC program had a </w:t>
      </w:r>
      <w:r w:rsidR="00F4393A">
        <w:t>greater impact in increasing</w:t>
      </w:r>
      <w:r w:rsidR="008C3F74">
        <w:t xml:space="preserve"> non-trade commencements than trade commencements.</w:t>
      </w:r>
    </w:p>
    <w:p w14:paraId="1C08B33F" w14:textId="322E35A1" w:rsidR="00F266C1" w:rsidRDefault="00347485" w:rsidP="0009133E">
      <w:pPr>
        <w:pStyle w:val="Chartheading"/>
        <w:spacing w:line="240" w:lineRule="auto"/>
        <w:outlineLvl w:val="9"/>
      </w:pPr>
      <w:r>
        <w:t xml:space="preserve">Figure </w:t>
      </w:r>
      <w:r w:rsidR="0063266F">
        <w:t>8</w:t>
      </w:r>
      <w:r>
        <w:t xml:space="preserve">: </w:t>
      </w:r>
      <w:r w:rsidR="00F266C1">
        <w:t>Proportion of apprenticeship commencements in priority occupations quarterly</w:t>
      </w:r>
    </w:p>
    <w:p w14:paraId="1DE4C7F5" w14:textId="0FC3CC05" w:rsidR="00536D4E" w:rsidRDefault="00D04B24" w:rsidP="007574A3">
      <w:r>
        <w:rPr>
          <w:noProof/>
        </w:rPr>
        <w:drawing>
          <wp:inline distT="0" distB="0" distL="0" distR="0" wp14:anchorId="381EF972" wp14:editId="24595A48">
            <wp:extent cx="5506278" cy="3096260"/>
            <wp:effectExtent l="0" t="0" r="0" b="8890"/>
            <wp:docPr id="84133054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5506474" cy="3096370"/>
                    </a:xfrm>
                    <a:prstGeom prst="rect">
                      <a:avLst/>
                    </a:prstGeom>
                    <a:noFill/>
                    <a:ln>
                      <a:noFill/>
                    </a:ln>
                    <a:extLst>
                      <a:ext uri="{53640926-AAD7-44D8-BBD7-CCE9431645EC}">
                        <a14:shadowObscured xmlns:a14="http://schemas.microsoft.com/office/drawing/2010/main"/>
                      </a:ext>
                    </a:extLst>
                  </pic:spPr>
                </pic:pic>
              </a:graphicData>
            </a:graphic>
          </wp:inline>
        </w:drawing>
      </w:r>
    </w:p>
    <w:p w14:paraId="02C504E0" w14:textId="59907729" w:rsidR="00FA0A82" w:rsidRPr="00FA0A82" w:rsidRDefault="00FA0A82" w:rsidP="00BB7265">
      <w:pPr>
        <w:pStyle w:val="ChartorTableNote"/>
        <w:rPr>
          <w:szCs w:val="18"/>
        </w:rPr>
      </w:pPr>
      <w:r w:rsidRPr="00580999">
        <w:t xml:space="preserve">Source: </w:t>
      </w:r>
      <w:r w:rsidR="00EC03C8">
        <w:rPr>
          <w:szCs w:val="18"/>
        </w:rPr>
        <w:t>DEWR administrative data</w:t>
      </w:r>
      <w:r w:rsidRPr="00580999">
        <w:rPr>
          <w:szCs w:val="18"/>
        </w:rPr>
        <w:t xml:space="preserve"> 2006-2023</w:t>
      </w:r>
      <w:r>
        <w:rPr>
          <w:szCs w:val="18"/>
        </w:rPr>
        <w:t>.</w:t>
      </w:r>
    </w:p>
    <w:p w14:paraId="35B8DB76" w14:textId="6DCDBA4E" w:rsidR="004D29E1" w:rsidRDefault="000874AC" w:rsidP="007574A3">
      <w:pPr>
        <w:pStyle w:val="Heading2"/>
        <w:spacing w:line="240" w:lineRule="auto"/>
      </w:pPr>
      <w:bookmarkStart w:id="60" w:name="_Toc176782371"/>
      <w:r>
        <w:t>A s</w:t>
      </w:r>
      <w:r w:rsidR="004E1E7E">
        <w:t>mall number of occupations dominate</w:t>
      </w:r>
      <w:r w:rsidR="00970581">
        <w:t xml:space="preserve">d </w:t>
      </w:r>
      <w:r w:rsidR="00871FDE">
        <w:t>commencements</w:t>
      </w:r>
      <w:bookmarkEnd w:id="60"/>
    </w:p>
    <w:p w14:paraId="79BF2117" w14:textId="2AE01B86" w:rsidR="00095F62" w:rsidRDefault="00B964E0" w:rsidP="007574A3">
      <w:pPr>
        <w:pStyle w:val="Bullet"/>
        <w:numPr>
          <w:ilvl w:val="0"/>
          <w:numId w:val="0"/>
        </w:numPr>
        <w:spacing w:line="240" w:lineRule="auto"/>
      </w:pPr>
      <w:r>
        <w:t xml:space="preserve">The occupations with the largest increases in commencement numbers under the BAC program </w:t>
      </w:r>
      <w:proofErr w:type="gramStart"/>
      <w:r>
        <w:t>were</w:t>
      </w:r>
      <w:r w:rsidR="00E462E3">
        <w:t>:</w:t>
      </w:r>
      <w:proofErr w:type="gramEnd"/>
      <w:r>
        <w:t xml:space="preserve"> office </w:t>
      </w:r>
      <w:r w:rsidR="00E462E3">
        <w:t>administration</w:t>
      </w:r>
      <w:r>
        <w:t xml:space="preserve"> (General Clerk and Office Manager), carpenters, logistics-related workers (Production Clerk), and hospitality workers. </w:t>
      </w:r>
      <w:r w:rsidR="00AB74C1">
        <w:t xml:space="preserve">Of the </w:t>
      </w:r>
      <w:r w:rsidR="00FE38CC">
        <w:t>4</w:t>
      </w:r>
      <w:r w:rsidR="00AB74C1">
        <w:t xml:space="preserve">0 occupations </w:t>
      </w:r>
      <w:r w:rsidR="00B06EFA">
        <w:t>that saw the largest increase in the number of commencements under the BAC</w:t>
      </w:r>
      <w:r w:rsidR="00FE38CC">
        <w:t xml:space="preserve"> program</w:t>
      </w:r>
      <w:r w:rsidR="00B06EFA">
        <w:t xml:space="preserve">, </w:t>
      </w:r>
      <w:r w:rsidR="0060585D">
        <w:t xml:space="preserve">only </w:t>
      </w:r>
      <w:r w:rsidR="00FE38CC">
        <w:t>12</w:t>
      </w:r>
      <w:r w:rsidR="00176105">
        <w:t xml:space="preserve"> were</w:t>
      </w:r>
      <w:r w:rsidR="00FE38CC">
        <w:t xml:space="preserve"> in</w:t>
      </w:r>
      <w:r w:rsidR="00176105">
        <w:t xml:space="preserve"> priority occupations. </w:t>
      </w:r>
    </w:p>
    <w:p w14:paraId="28DF6B69" w14:textId="4FAE95F3" w:rsidR="00095F62" w:rsidRDefault="00095F62" w:rsidP="007574A3">
      <w:pPr>
        <w:pStyle w:val="Bullet"/>
        <w:numPr>
          <w:ilvl w:val="0"/>
          <w:numId w:val="0"/>
        </w:numPr>
        <w:spacing w:line="240" w:lineRule="auto"/>
      </w:pPr>
      <w:r w:rsidRPr="00095F62">
        <w:t xml:space="preserve">In this section </w:t>
      </w:r>
      <w:r w:rsidR="0008069B">
        <w:t>the evaluation team</w:t>
      </w:r>
      <w:r w:rsidRPr="00095F62">
        <w:t xml:space="preserve"> </w:t>
      </w:r>
      <w:r w:rsidR="00DC06E4">
        <w:t>look</w:t>
      </w:r>
      <w:r w:rsidR="0008069B">
        <w:t>ed</w:t>
      </w:r>
      <w:r w:rsidR="00DC06E4">
        <w:t xml:space="preserve"> at the difference</w:t>
      </w:r>
      <w:r w:rsidRPr="00095F62">
        <w:t xml:space="preserve"> between the calendar years 2019 (pre-BAC)</w:t>
      </w:r>
      <w:r w:rsidR="00DC06E4">
        <w:t xml:space="preserve"> and </w:t>
      </w:r>
      <w:r w:rsidRPr="00095F62">
        <w:t xml:space="preserve">2021 (during BAC). </w:t>
      </w:r>
      <w:r w:rsidR="009C4E86">
        <w:t>F</w:t>
      </w:r>
      <w:r w:rsidRPr="00095F62">
        <w:t xml:space="preserve">ull calendar years </w:t>
      </w:r>
      <w:r w:rsidR="009C4E86">
        <w:t xml:space="preserve">were analysed </w:t>
      </w:r>
      <w:r w:rsidRPr="00095F62">
        <w:t xml:space="preserve">rather than the exact BAC period (5 </w:t>
      </w:r>
      <w:r w:rsidRPr="00095F62">
        <w:lastRenderedPageBreak/>
        <w:t xml:space="preserve">October 2020 to 30 June 2022) to avoid </w:t>
      </w:r>
      <w:r w:rsidR="00F05D4E" w:rsidRPr="00095F62">
        <w:t>seasonality</w:t>
      </w:r>
      <w:r w:rsidR="00F05D4E">
        <w:t xml:space="preserve"> </w:t>
      </w:r>
      <w:r w:rsidRPr="00095F62">
        <w:t>effects</w:t>
      </w:r>
      <w:r w:rsidR="00873C2A">
        <w:t>.</w:t>
      </w:r>
      <w:r w:rsidR="006C26E7">
        <w:t xml:space="preserve"> However, this comparison does not distinguish between changes attributable to BAC and </w:t>
      </w:r>
      <w:r w:rsidR="0085188F">
        <w:t>those</w:t>
      </w:r>
      <w:r w:rsidR="006C26E7">
        <w:t xml:space="preserve"> attributable to the pandemic.</w:t>
      </w:r>
    </w:p>
    <w:p w14:paraId="66048280" w14:textId="7EC8C297" w:rsidR="00F266C1" w:rsidRPr="00F97E13" w:rsidRDefault="00F97991" w:rsidP="00313C15">
      <w:pPr>
        <w:pStyle w:val="Chartheading"/>
        <w:outlineLvl w:val="9"/>
      </w:pPr>
      <w:r w:rsidRPr="00F97E13">
        <w:t xml:space="preserve">Figure </w:t>
      </w:r>
      <w:r w:rsidR="0063266F" w:rsidRPr="00F97E13">
        <w:t>9</w:t>
      </w:r>
      <w:r w:rsidRPr="00F97E13">
        <w:t xml:space="preserve">: </w:t>
      </w:r>
      <w:r w:rsidR="00F266C1" w:rsidRPr="00F97E13">
        <w:t>Top 40 occupations with largest increase in apprenticeship commencements between 2019 and 2021</w:t>
      </w:r>
    </w:p>
    <w:p w14:paraId="264AC8EC" w14:textId="2A363049" w:rsidR="00F266C1" w:rsidRDefault="00F266C1" w:rsidP="007574A3">
      <w:pPr>
        <w:pStyle w:val="Bullet"/>
        <w:numPr>
          <w:ilvl w:val="0"/>
          <w:numId w:val="0"/>
        </w:numPr>
        <w:spacing w:line="240" w:lineRule="auto"/>
      </w:pPr>
      <w:r w:rsidRPr="00955CDA">
        <w:rPr>
          <w:noProof/>
        </w:rPr>
        <w:drawing>
          <wp:inline distT="0" distB="0" distL="0" distR="0" wp14:anchorId="4B7F2F94" wp14:editId="6951276A">
            <wp:extent cx="5760720" cy="3665220"/>
            <wp:effectExtent l="0" t="0" r="0" b="0"/>
            <wp:docPr id="658476119" name="Picture 658476119" descr="A graph of a number of graduates&#10;&#10;Description automatically generated">
              <a:extLst xmlns:a="http://schemas.openxmlformats.org/drawingml/2006/main">
                <a:ext uri="{FF2B5EF4-FFF2-40B4-BE49-F238E27FC236}">
                  <a16:creationId xmlns:a16="http://schemas.microsoft.com/office/drawing/2014/main" id="{570D09B9-722C-691C-CFF4-FCCE6515BD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aph of a number of graduates&#10;&#10;Description automatically generated">
                      <a:extLst>
                        <a:ext uri="{FF2B5EF4-FFF2-40B4-BE49-F238E27FC236}">
                          <a16:creationId xmlns:a16="http://schemas.microsoft.com/office/drawing/2014/main" id="{570D09B9-722C-691C-CFF4-FCCE6515BD77}"/>
                        </a:ext>
                      </a:extLst>
                    </pic:cNvPr>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760720" cy="3665220"/>
                    </a:xfrm>
                    <a:prstGeom prst="rect">
                      <a:avLst/>
                    </a:prstGeom>
                  </pic:spPr>
                </pic:pic>
              </a:graphicData>
            </a:graphic>
          </wp:inline>
        </w:drawing>
      </w:r>
    </w:p>
    <w:p w14:paraId="3ED0E666" w14:textId="68451522" w:rsidR="00FA0A82" w:rsidRPr="005C2D68" w:rsidRDefault="005C2D68" w:rsidP="00BB7265">
      <w:pPr>
        <w:pStyle w:val="ChartorTableNote"/>
        <w:rPr>
          <w:szCs w:val="18"/>
        </w:rPr>
      </w:pPr>
      <w:r w:rsidRPr="00580999">
        <w:t xml:space="preserve">Source: </w:t>
      </w:r>
      <w:r w:rsidR="00EC03C8">
        <w:rPr>
          <w:szCs w:val="18"/>
        </w:rPr>
        <w:t>DEWR administrative data</w:t>
      </w:r>
      <w:r w:rsidRPr="00580999">
        <w:rPr>
          <w:szCs w:val="18"/>
        </w:rPr>
        <w:t xml:space="preserve"> 2006-2023</w:t>
      </w:r>
      <w:r>
        <w:rPr>
          <w:szCs w:val="18"/>
        </w:rPr>
        <w:t>.</w:t>
      </w:r>
    </w:p>
    <w:p w14:paraId="4B2A282B" w14:textId="68DA1CFD" w:rsidR="00F266C1" w:rsidRDefault="00F266C1" w:rsidP="007574A3">
      <w:pPr>
        <w:pStyle w:val="Heading2"/>
        <w:spacing w:line="240" w:lineRule="auto"/>
      </w:pPr>
      <w:bookmarkStart w:id="61" w:name="_Toc176782372"/>
      <w:r>
        <w:t xml:space="preserve">Effects on </w:t>
      </w:r>
      <w:r w:rsidR="001C65E5">
        <w:t>key</w:t>
      </w:r>
      <w:r>
        <w:t xml:space="preserve"> demographic cohorts</w:t>
      </w:r>
      <w:bookmarkEnd w:id="61"/>
    </w:p>
    <w:p w14:paraId="48715839" w14:textId="33C391CA" w:rsidR="00F266C1" w:rsidRDefault="005762A5" w:rsidP="007574A3">
      <w:pPr>
        <w:pStyle w:val="OutlineNumbered1"/>
        <w:numPr>
          <w:ilvl w:val="0"/>
          <w:numId w:val="0"/>
        </w:numPr>
      </w:pPr>
      <w:r>
        <w:t>This section</w:t>
      </w:r>
      <w:r w:rsidR="00F266C1">
        <w:t xml:space="preserve"> explore</w:t>
      </w:r>
      <w:r>
        <w:t>s</w:t>
      </w:r>
      <w:r w:rsidR="00F266C1">
        <w:t xml:space="preserve"> the demographic characteristics of BAC</w:t>
      </w:r>
      <w:r w:rsidR="00203990">
        <w:t xml:space="preserve"> </w:t>
      </w:r>
      <w:r w:rsidR="00EB5DD0">
        <w:t>Australian Apprentices</w:t>
      </w:r>
      <w:r w:rsidR="00F266C1">
        <w:t xml:space="preserve"> to better understand whether the program supported key demographics of interest</w:t>
      </w:r>
      <w:r w:rsidR="00602A19">
        <w:t>.</w:t>
      </w:r>
      <w:r w:rsidR="00457E05">
        <w:t xml:space="preserve"> </w:t>
      </w:r>
      <w:bookmarkStart w:id="62" w:name="_Hlk172305943"/>
      <w:r w:rsidR="00EB00F7">
        <w:t>T</w:t>
      </w:r>
      <w:r w:rsidR="00457E05">
        <w:t>hree calendar years</w:t>
      </w:r>
      <w:r w:rsidR="00EB00F7">
        <w:t xml:space="preserve"> are compared</w:t>
      </w:r>
      <w:r w:rsidR="00457E05">
        <w:t xml:space="preserve">: 2019 (pre-BAC), 2021 (during BAC) and 2023 (post-BAC). </w:t>
      </w:r>
      <w:r w:rsidR="00BC074F">
        <w:t xml:space="preserve">As above, </w:t>
      </w:r>
      <w:r w:rsidR="00457E05">
        <w:t xml:space="preserve">full calendar years </w:t>
      </w:r>
      <w:r w:rsidR="006C557D">
        <w:t xml:space="preserve">are analysed </w:t>
      </w:r>
      <w:r w:rsidR="00457E05">
        <w:t xml:space="preserve">rather than the exact BAC period to avoid seasonality effects. </w:t>
      </w:r>
      <w:r w:rsidR="00992511">
        <w:t>T</w:t>
      </w:r>
      <w:r w:rsidR="00457E05">
        <w:t xml:space="preserve">his comparison does not distinguish between demographic changes attributable to BAC and </w:t>
      </w:r>
      <w:r w:rsidR="0085188F">
        <w:t>those</w:t>
      </w:r>
      <w:r w:rsidR="00457E05">
        <w:t xml:space="preserve"> attributable to the pandemic</w:t>
      </w:r>
      <w:r w:rsidR="00436958">
        <w:t xml:space="preserve"> or other </w:t>
      </w:r>
      <w:r w:rsidR="00CE6345">
        <w:t xml:space="preserve">trends </w:t>
      </w:r>
      <w:r w:rsidR="00992511">
        <w:t>at</w:t>
      </w:r>
      <w:r w:rsidR="00CE6345">
        <w:t xml:space="preserve"> the time</w:t>
      </w:r>
      <w:r w:rsidR="001C71AD">
        <w:t>,</w:t>
      </w:r>
      <w:r w:rsidR="00992511">
        <w:t xml:space="preserve"> so</w:t>
      </w:r>
      <w:r w:rsidR="001B2A3B">
        <w:t xml:space="preserve"> results </w:t>
      </w:r>
      <w:bookmarkEnd w:id="62"/>
      <w:r w:rsidR="001B2A3B">
        <w:t>can</w:t>
      </w:r>
      <w:r w:rsidR="00BE7233">
        <w:t xml:space="preserve">not be </w:t>
      </w:r>
      <w:r w:rsidR="00AE2430">
        <w:t>interpreted as the causal effect of the BAC program.</w:t>
      </w:r>
    </w:p>
    <w:p w14:paraId="3F5256A1" w14:textId="6BE1D002" w:rsidR="00F266C1" w:rsidRDefault="00A3254B" w:rsidP="00313C15">
      <w:pPr>
        <w:pStyle w:val="Heading3"/>
      </w:pPr>
      <w:bookmarkStart w:id="63" w:name="_Toc176782373"/>
      <w:r>
        <w:t xml:space="preserve">BAC </w:t>
      </w:r>
      <w:r w:rsidR="00034F92">
        <w:t xml:space="preserve">increased </w:t>
      </w:r>
      <w:r w:rsidR="00E97D6B">
        <w:t xml:space="preserve">the number of </w:t>
      </w:r>
      <w:r w:rsidR="00034F92">
        <w:t xml:space="preserve">commencements </w:t>
      </w:r>
      <w:r w:rsidR="006B6CB1">
        <w:t>for</w:t>
      </w:r>
      <w:r w:rsidR="00E927BF">
        <w:t xml:space="preserve"> all</w:t>
      </w:r>
      <w:r w:rsidR="009A7721">
        <w:t xml:space="preserve"> </w:t>
      </w:r>
      <w:r w:rsidR="001C65E5">
        <w:t>key</w:t>
      </w:r>
      <w:r w:rsidR="009A7721">
        <w:t xml:space="preserve"> demographic </w:t>
      </w:r>
      <w:r w:rsidR="001A067A">
        <w:t>cohorts</w:t>
      </w:r>
      <w:bookmarkEnd w:id="63"/>
      <w:r w:rsidR="001A067A">
        <w:t xml:space="preserve"> </w:t>
      </w:r>
    </w:p>
    <w:p w14:paraId="3055A81B" w14:textId="2B178933" w:rsidR="00725C67" w:rsidRDefault="00725C67" w:rsidP="007574A3">
      <w:pPr>
        <w:pStyle w:val="OutlineNumbered1"/>
        <w:numPr>
          <w:ilvl w:val="0"/>
          <w:numId w:val="0"/>
        </w:numPr>
      </w:pPr>
      <w:r>
        <w:t xml:space="preserve">The BAC program </w:t>
      </w:r>
      <w:r w:rsidR="0091699C">
        <w:t>was associated with</w:t>
      </w:r>
      <w:r>
        <w:t xml:space="preserve"> an increase in the </w:t>
      </w:r>
      <w:r w:rsidRPr="00F11C4D">
        <w:rPr>
          <w:i/>
          <w:iCs/>
        </w:rPr>
        <w:t>number</w:t>
      </w:r>
      <w:r>
        <w:t xml:space="preserve"> of </w:t>
      </w:r>
      <w:r w:rsidR="005F4417">
        <w:t>apprenticeship commencements</w:t>
      </w:r>
      <w:r>
        <w:t xml:space="preserve"> in </w:t>
      </w:r>
      <w:r w:rsidR="007F3430">
        <w:t xml:space="preserve">each of </w:t>
      </w:r>
      <w:r w:rsidR="00E927BF">
        <w:t xml:space="preserve">the </w:t>
      </w:r>
      <w:r w:rsidR="00F84753">
        <w:t xml:space="preserve">following </w:t>
      </w:r>
      <w:r>
        <w:t xml:space="preserve">demographic cohorts: </w:t>
      </w:r>
    </w:p>
    <w:p w14:paraId="611ED7B1" w14:textId="29E0B87F" w:rsidR="00725C67" w:rsidRDefault="0091699C" w:rsidP="007574A3">
      <w:pPr>
        <w:pStyle w:val="Bullet"/>
        <w:spacing w:line="240" w:lineRule="auto"/>
      </w:pPr>
      <w:r>
        <w:t>Gender</w:t>
      </w:r>
    </w:p>
    <w:p w14:paraId="774590DE" w14:textId="3768CC9E" w:rsidR="00725C67" w:rsidRDefault="003347A2" w:rsidP="007574A3">
      <w:pPr>
        <w:pStyle w:val="Bullet"/>
        <w:spacing w:line="240" w:lineRule="auto"/>
      </w:pPr>
      <w:r>
        <w:t>Age</w:t>
      </w:r>
    </w:p>
    <w:p w14:paraId="42D3803F" w14:textId="0C058D22" w:rsidR="00725C67" w:rsidRDefault="00F46C79" w:rsidP="007574A3">
      <w:pPr>
        <w:pStyle w:val="Bullet"/>
        <w:spacing w:line="240" w:lineRule="auto"/>
      </w:pPr>
      <w:r>
        <w:t>People with</w:t>
      </w:r>
      <w:r w:rsidR="00725C67">
        <w:t xml:space="preserve"> a disability</w:t>
      </w:r>
    </w:p>
    <w:p w14:paraId="46EBC46F" w14:textId="77716B05" w:rsidR="00725C67" w:rsidRDefault="00E303E0" w:rsidP="007574A3">
      <w:pPr>
        <w:pStyle w:val="Bullet"/>
        <w:spacing w:line="240" w:lineRule="auto"/>
      </w:pPr>
      <w:r>
        <w:t>People from c</w:t>
      </w:r>
      <w:r w:rsidR="00725C67">
        <w:t xml:space="preserve">ulturally </w:t>
      </w:r>
      <w:r w:rsidR="007579B5">
        <w:t>and</w:t>
      </w:r>
      <w:r w:rsidR="00725C67">
        <w:t xml:space="preserve"> linguistically diverse </w:t>
      </w:r>
      <w:r>
        <w:t>backgrounds</w:t>
      </w:r>
    </w:p>
    <w:p w14:paraId="2E691DBD" w14:textId="6F1C79CB" w:rsidR="00E927BF" w:rsidRDefault="00725C67" w:rsidP="007574A3">
      <w:pPr>
        <w:pStyle w:val="Bullet"/>
        <w:spacing w:line="240" w:lineRule="auto"/>
      </w:pPr>
      <w:r w:rsidRPr="00F12D40">
        <w:t>First Nations</w:t>
      </w:r>
      <w:r w:rsidR="00D62595">
        <w:t xml:space="preserve"> people</w:t>
      </w:r>
    </w:p>
    <w:p w14:paraId="4B022257" w14:textId="43A176E5" w:rsidR="00024102" w:rsidRDefault="00024102" w:rsidP="007574A3">
      <w:pPr>
        <w:pStyle w:val="OutlineNumbered1"/>
        <w:numPr>
          <w:ilvl w:val="0"/>
          <w:numId w:val="0"/>
        </w:numPr>
      </w:pPr>
      <w:r>
        <w:lastRenderedPageBreak/>
        <w:t xml:space="preserve">The </w:t>
      </w:r>
      <w:r>
        <w:rPr>
          <w:i/>
          <w:iCs/>
        </w:rPr>
        <w:t>share</w:t>
      </w:r>
      <w:r>
        <w:t xml:space="preserve"> of commencements was </w:t>
      </w:r>
      <w:proofErr w:type="gramStart"/>
      <w:r>
        <w:t>similar to</w:t>
      </w:r>
      <w:proofErr w:type="gramEnd"/>
      <w:r>
        <w:t xml:space="preserve"> pre-BAC levels for gender, people with a disability, and people from culturally and linguistically diverse backgrounds</w:t>
      </w:r>
      <w:r w:rsidR="00D655BE">
        <w:t xml:space="preserve"> </w:t>
      </w:r>
      <w:r>
        <w:t xml:space="preserve">(See Appendix </w:t>
      </w:r>
      <w:r w:rsidR="00B37E96">
        <w:t>C</w:t>
      </w:r>
      <w:r>
        <w:t xml:space="preserve"> for more details on these cohorts)</w:t>
      </w:r>
      <w:r w:rsidR="00D655BE">
        <w:t>.</w:t>
      </w:r>
      <w:r>
        <w:t xml:space="preserve"> Th</w:t>
      </w:r>
      <w:r w:rsidR="007934B9">
        <w:t xml:space="preserve">is </w:t>
      </w:r>
      <w:r>
        <w:t>section discuss</w:t>
      </w:r>
      <w:r w:rsidR="007934B9">
        <w:t>es</w:t>
      </w:r>
      <w:r>
        <w:t xml:space="preserve"> the two </w:t>
      </w:r>
      <w:r w:rsidR="007934B9">
        <w:t xml:space="preserve">groups </w:t>
      </w:r>
      <w:r>
        <w:t xml:space="preserve">for which the share of </w:t>
      </w:r>
      <w:r w:rsidR="007934B9">
        <w:t xml:space="preserve">BAC </w:t>
      </w:r>
      <w:r>
        <w:t xml:space="preserve">commencements differed from pre-BAC levels: age and First Nations </w:t>
      </w:r>
      <w:r w:rsidR="00241E36">
        <w:t>people</w:t>
      </w:r>
      <w:r>
        <w:t>.</w:t>
      </w:r>
    </w:p>
    <w:p w14:paraId="5D2F11BD" w14:textId="0AA1446F" w:rsidR="00067FC7" w:rsidRPr="00E10B46" w:rsidRDefault="00067FC7" w:rsidP="00313C15">
      <w:pPr>
        <w:pStyle w:val="Heading4"/>
        <w:rPr>
          <w:b/>
          <w:bCs/>
          <w:color w:val="auto"/>
          <w:sz w:val="22"/>
          <w:szCs w:val="24"/>
        </w:rPr>
      </w:pPr>
      <w:r w:rsidRPr="00E10B46">
        <w:rPr>
          <w:b/>
          <w:bCs/>
          <w:color w:val="auto"/>
          <w:sz w:val="22"/>
          <w:szCs w:val="24"/>
        </w:rPr>
        <w:t>Age</w:t>
      </w:r>
    </w:p>
    <w:p w14:paraId="00058268" w14:textId="481F1A6E" w:rsidR="00423093" w:rsidRDefault="00F266C1" w:rsidP="007574A3">
      <w:pPr>
        <w:pStyle w:val="OutlineNumbered1"/>
        <w:numPr>
          <w:ilvl w:val="0"/>
          <w:numId w:val="0"/>
        </w:numPr>
      </w:pPr>
      <w:r>
        <w:t>BAC</w:t>
      </w:r>
      <w:r w:rsidR="000238BC">
        <w:t xml:space="preserve"> </w:t>
      </w:r>
      <w:r w:rsidR="008F09BD">
        <w:t>commencements</w:t>
      </w:r>
      <w:r>
        <w:t xml:space="preserve"> were more likely to be </w:t>
      </w:r>
      <w:r w:rsidR="00633F4D">
        <w:t xml:space="preserve">aged 21 years or </w:t>
      </w:r>
      <w:r>
        <w:t>older</w:t>
      </w:r>
      <w:r w:rsidR="00384477">
        <w:t xml:space="preserve"> than previously</w:t>
      </w:r>
      <w:r w:rsidR="00EF25E6">
        <w:t xml:space="preserve"> (</w:t>
      </w:r>
      <w:r w:rsidR="00F61BE8">
        <w:t>Figure 1</w:t>
      </w:r>
      <w:r w:rsidR="008C4D97">
        <w:t>0</w:t>
      </w:r>
      <w:r w:rsidR="00EF25E6">
        <w:t>)</w:t>
      </w:r>
      <w:r w:rsidR="007C3748">
        <w:t>.</w:t>
      </w:r>
      <w:r w:rsidR="00AC4EAD">
        <w:t xml:space="preserve"> </w:t>
      </w:r>
      <w:r w:rsidR="00BA742E">
        <w:t>During interviews, stakeholders mentioned th</w:t>
      </w:r>
      <w:r w:rsidR="0015234F">
        <w:t>at</w:t>
      </w:r>
      <w:r w:rsidR="00BA742E">
        <w:t xml:space="preserve"> e</w:t>
      </w:r>
      <w:r w:rsidR="00B01035">
        <w:t>mployers</w:t>
      </w:r>
      <w:r w:rsidR="00AC4EAD">
        <w:t xml:space="preserve"> often </w:t>
      </w:r>
      <w:r w:rsidR="00B01035">
        <w:t xml:space="preserve">prefer </w:t>
      </w:r>
      <w:r w:rsidR="00546C1B">
        <w:t>‘</w:t>
      </w:r>
      <w:r w:rsidR="00B01035">
        <w:t>older</w:t>
      </w:r>
      <w:r w:rsidR="00546C1B">
        <w:t>’</w:t>
      </w:r>
      <w:r w:rsidR="00B01035">
        <w:t xml:space="preserve"> apprentices because they </w:t>
      </w:r>
      <w:r w:rsidR="00DF6E07">
        <w:t>are seen as having</w:t>
      </w:r>
      <w:r w:rsidR="00B01035">
        <w:t xml:space="preserve"> more </w:t>
      </w:r>
      <w:r w:rsidR="00DF6E07">
        <w:t>life skills</w:t>
      </w:r>
      <w:r w:rsidR="007D2D01">
        <w:t xml:space="preserve"> and </w:t>
      </w:r>
      <w:r w:rsidR="00546C1B">
        <w:t xml:space="preserve">being </w:t>
      </w:r>
      <w:r w:rsidR="00117D25">
        <w:t xml:space="preserve">more </w:t>
      </w:r>
      <w:r w:rsidR="001945CC">
        <w:t xml:space="preserve">reliable. </w:t>
      </w:r>
      <w:r w:rsidR="00DF6E07">
        <w:t xml:space="preserve">However, older </w:t>
      </w:r>
      <w:r w:rsidR="00423093">
        <w:t>Australian Apprentices must receive a higher wage by law.</w:t>
      </w:r>
    </w:p>
    <w:p w14:paraId="6E99DA6B" w14:textId="3E1EF5E6" w:rsidR="00B01035" w:rsidRDefault="00423093" w:rsidP="007574A3">
      <w:pPr>
        <w:pStyle w:val="OutlineNumbered1"/>
        <w:numPr>
          <w:ilvl w:val="0"/>
          <w:numId w:val="0"/>
        </w:numPr>
      </w:pPr>
      <w:r>
        <w:t xml:space="preserve">There are </w:t>
      </w:r>
      <w:r w:rsidR="00914A28">
        <w:t>three</w:t>
      </w:r>
      <w:r w:rsidR="007D2D01">
        <w:t xml:space="preserve"> </w:t>
      </w:r>
      <w:r w:rsidR="00243C50">
        <w:t>factors</w:t>
      </w:r>
      <w:r>
        <w:t xml:space="preserve"> that may explain the increase in apprenticeships</w:t>
      </w:r>
      <w:r w:rsidR="00546C1B">
        <w:t xml:space="preserve"> aged 21 or older</w:t>
      </w:r>
      <w:r w:rsidR="00B01035">
        <w:t>. First,</w:t>
      </w:r>
      <w:r w:rsidR="00117D25">
        <w:t xml:space="preserve"> the </w:t>
      </w:r>
      <w:r w:rsidR="00DA10B7">
        <w:t>BAC</w:t>
      </w:r>
      <w:r w:rsidR="00117D25">
        <w:t xml:space="preserve"> wage subsidy reduced the </w:t>
      </w:r>
      <w:r w:rsidR="003534F3">
        <w:t xml:space="preserve">additional cost of an older apprenticeship. </w:t>
      </w:r>
      <w:r w:rsidR="00914A28">
        <w:t>Second</w:t>
      </w:r>
      <w:r w:rsidR="00D74BF9">
        <w:t xml:space="preserve">, </w:t>
      </w:r>
      <w:r w:rsidR="00FB783F">
        <w:t>in non-trade occupations</w:t>
      </w:r>
      <w:r w:rsidR="00D74BF9">
        <w:t xml:space="preserve">, the BAC </w:t>
      </w:r>
      <w:r w:rsidR="00ED309C">
        <w:t xml:space="preserve">program </w:t>
      </w:r>
      <w:r w:rsidR="00682853">
        <w:t>led to a substantial increase in workers</w:t>
      </w:r>
      <w:r w:rsidR="006D49DA">
        <w:t xml:space="preserve"> </w:t>
      </w:r>
      <w:r w:rsidR="00AA5867">
        <w:t>undertak</w:t>
      </w:r>
      <w:r w:rsidR="002A7484">
        <w:t>ing</w:t>
      </w:r>
      <w:r w:rsidR="006D49DA">
        <w:t xml:space="preserve"> an </w:t>
      </w:r>
      <w:r w:rsidR="00AA5867">
        <w:t>apprenticeship</w:t>
      </w:r>
      <w:r w:rsidR="00984DDF">
        <w:t xml:space="preserve"> with their existing employer. (In some cases, this may have reflected ‘sharp practice’, as discussed in a later section of this report.)</w:t>
      </w:r>
    </w:p>
    <w:p w14:paraId="28BA9D69" w14:textId="09C1A4BF" w:rsidR="001A4C1B" w:rsidRDefault="00984DDF" w:rsidP="007574A3">
      <w:pPr>
        <w:pStyle w:val="OutlineNumbered1"/>
        <w:numPr>
          <w:ilvl w:val="0"/>
          <w:numId w:val="0"/>
        </w:numPr>
      </w:pPr>
      <w:r>
        <w:t xml:space="preserve">Finally, the increase in older apprenticeships may have been partly due to </w:t>
      </w:r>
      <w:r w:rsidR="000556F4">
        <w:t xml:space="preserve">broader impacts of the pandemic, rather than </w:t>
      </w:r>
      <w:r w:rsidR="00F163F3">
        <w:t xml:space="preserve">the </w:t>
      </w:r>
      <w:r>
        <w:t>BAC</w:t>
      </w:r>
      <w:r w:rsidR="00F163F3">
        <w:t xml:space="preserve"> program</w:t>
      </w:r>
      <w:r w:rsidR="000556F4">
        <w:t xml:space="preserve">. Specifically, the pandemic led to substantial disruption in the labour market that </w:t>
      </w:r>
      <w:r w:rsidR="001A4C1B">
        <w:t>may have caused older workers to look for further qualifications.</w:t>
      </w:r>
    </w:p>
    <w:p w14:paraId="32D6131B" w14:textId="2EC92D54" w:rsidR="00F266C1" w:rsidRDefault="00F61BE8" w:rsidP="00E10B46">
      <w:pPr>
        <w:pStyle w:val="Chartheading"/>
        <w:spacing w:line="240" w:lineRule="auto"/>
        <w:outlineLvl w:val="9"/>
      </w:pPr>
      <w:r>
        <w:t>Figure 1</w:t>
      </w:r>
      <w:r w:rsidR="0063266F">
        <w:t>0</w:t>
      </w:r>
      <w:r>
        <w:t xml:space="preserve">: </w:t>
      </w:r>
      <w:r w:rsidR="00F266C1" w:rsidRPr="00270EC6">
        <w:t>Share of apprentice commencements by age group in 2019, 2021 and 2023</w:t>
      </w:r>
    </w:p>
    <w:p w14:paraId="23DDE562" w14:textId="77777777" w:rsidR="00AF7A63" w:rsidRDefault="00AF7A63" w:rsidP="007574A3">
      <w:pPr>
        <w:jc w:val="center"/>
        <w:rPr>
          <w:sz w:val="18"/>
          <w:szCs w:val="18"/>
        </w:rPr>
      </w:pPr>
      <w:r>
        <w:rPr>
          <w:noProof/>
          <w:sz w:val="18"/>
          <w:szCs w:val="18"/>
        </w:rPr>
        <w:drawing>
          <wp:inline distT="0" distB="0" distL="0" distR="0" wp14:anchorId="38A61F04" wp14:editId="15FCD6E2">
            <wp:extent cx="4607560" cy="2124710"/>
            <wp:effectExtent l="0" t="0" r="2540" b="8890"/>
            <wp:docPr id="5085983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607560" cy="2124710"/>
                    </a:xfrm>
                    <a:prstGeom prst="rect">
                      <a:avLst/>
                    </a:prstGeom>
                    <a:noFill/>
                    <a:ln>
                      <a:noFill/>
                    </a:ln>
                  </pic:spPr>
                </pic:pic>
              </a:graphicData>
            </a:graphic>
          </wp:inline>
        </w:drawing>
      </w:r>
    </w:p>
    <w:p w14:paraId="572B077C" w14:textId="053D832C" w:rsidR="00067FC7" w:rsidRPr="005477D8" w:rsidRDefault="005477D8" w:rsidP="00BB7265">
      <w:pPr>
        <w:pStyle w:val="ChartorTableNote"/>
        <w:rPr>
          <w:szCs w:val="18"/>
        </w:rPr>
      </w:pPr>
      <w:r w:rsidRPr="00580999">
        <w:t xml:space="preserve">Source: </w:t>
      </w:r>
      <w:r w:rsidR="00EC03C8">
        <w:rPr>
          <w:szCs w:val="18"/>
        </w:rPr>
        <w:t>DEWR administrative data</w:t>
      </w:r>
      <w:r w:rsidRPr="00580999">
        <w:rPr>
          <w:szCs w:val="18"/>
        </w:rPr>
        <w:t xml:space="preserve"> 2006-2023</w:t>
      </w:r>
      <w:r>
        <w:rPr>
          <w:szCs w:val="18"/>
        </w:rPr>
        <w:t>.</w:t>
      </w:r>
    </w:p>
    <w:p w14:paraId="1D6C8A02" w14:textId="378615D8" w:rsidR="00067FC7" w:rsidRPr="00E10B46" w:rsidRDefault="00067FC7" w:rsidP="00E10B46">
      <w:pPr>
        <w:pStyle w:val="Heading4"/>
        <w:rPr>
          <w:b/>
          <w:bCs/>
          <w:color w:val="auto"/>
          <w:sz w:val="22"/>
          <w:szCs w:val="24"/>
        </w:rPr>
      </w:pPr>
      <w:r w:rsidRPr="00E10B46">
        <w:rPr>
          <w:b/>
          <w:bCs/>
          <w:color w:val="auto"/>
          <w:sz w:val="22"/>
          <w:szCs w:val="24"/>
        </w:rPr>
        <w:t>First Nations people</w:t>
      </w:r>
    </w:p>
    <w:p w14:paraId="709B0E8C" w14:textId="483C5893" w:rsidR="00EF6362" w:rsidRDefault="007F24B9" w:rsidP="007574A3">
      <w:r>
        <w:t>While t</w:t>
      </w:r>
      <w:r w:rsidR="00D92517">
        <w:t xml:space="preserve">he BAC program </w:t>
      </w:r>
      <w:r w:rsidR="004266D8">
        <w:t>wa</w:t>
      </w:r>
      <w:r w:rsidR="005C399D">
        <w:t>s</w:t>
      </w:r>
      <w:r w:rsidR="001B2A3B">
        <w:t xml:space="preserve"> </w:t>
      </w:r>
      <w:r w:rsidR="005747CE">
        <w:t>associated</w:t>
      </w:r>
      <w:r w:rsidR="00FD1F59">
        <w:t xml:space="preserve"> with a</w:t>
      </w:r>
      <w:r w:rsidR="005B449A">
        <w:t xml:space="preserve"> large</w:t>
      </w:r>
      <w:r w:rsidR="00FD1F59">
        <w:t xml:space="preserve"> </w:t>
      </w:r>
      <w:r w:rsidR="00D92517">
        <w:t xml:space="preserve">increase </w:t>
      </w:r>
      <w:r w:rsidR="00FD1F59">
        <w:t xml:space="preserve">in </w:t>
      </w:r>
      <w:r w:rsidR="00D92517">
        <w:t xml:space="preserve">the </w:t>
      </w:r>
      <w:r w:rsidR="00D92517" w:rsidRPr="00131B37">
        <w:rPr>
          <w:i/>
          <w:iCs/>
        </w:rPr>
        <w:t>number</w:t>
      </w:r>
      <w:r w:rsidR="00D92517">
        <w:t xml:space="preserve"> of First Nations people undertaking an Australian Apprenticeship</w:t>
      </w:r>
      <w:r w:rsidR="00A26A91">
        <w:t xml:space="preserve">, </w:t>
      </w:r>
      <w:r w:rsidR="001857DE">
        <w:t>it</w:t>
      </w:r>
      <w:r w:rsidR="005747CE">
        <w:t xml:space="preserve"> </w:t>
      </w:r>
      <w:r w:rsidR="004266D8">
        <w:t>wa</w:t>
      </w:r>
      <w:r w:rsidR="005747CE">
        <w:t xml:space="preserve">s also associated with </w:t>
      </w:r>
      <w:r w:rsidR="009B1F1D">
        <w:t xml:space="preserve">a lower </w:t>
      </w:r>
      <w:r w:rsidR="00A26A91" w:rsidRPr="00131B37">
        <w:rPr>
          <w:i/>
          <w:iCs/>
        </w:rPr>
        <w:t>share</w:t>
      </w:r>
      <w:r w:rsidR="00A26A91">
        <w:t xml:space="preserve"> of commencements </w:t>
      </w:r>
      <w:r w:rsidR="00373E96">
        <w:t>being First Nations people than either before or after the BAC program (Figure 11)</w:t>
      </w:r>
      <w:r w:rsidR="00373E96" w:rsidDel="0094242E">
        <w:t>.</w:t>
      </w:r>
      <w:r w:rsidR="00D92517">
        <w:t xml:space="preserve"> </w:t>
      </w:r>
      <w:r w:rsidR="00AF3891">
        <w:t>Th</w:t>
      </w:r>
      <w:r w:rsidR="006B702C">
        <w:t xml:space="preserve">is lower share of First Nations </w:t>
      </w:r>
      <w:r w:rsidR="0042517A">
        <w:t xml:space="preserve">commencements </w:t>
      </w:r>
      <w:r w:rsidR="00E72BB9">
        <w:t xml:space="preserve">during the BAC program </w:t>
      </w:r>
      <w:r w:rsidR="000D0E5C">
        <w:t>mainly occur</w:t>
      </w:r>
      <w:r w:rsidR="004564E6">
        <w:t>red</w:t>
      </w:r>
      <w:r w:rsidR="000D0E5C">
        <w:t xml:space="preserve"> </w:t>
      </w:r>
      <w:r w:rsidR="00315762">
        <w:t>within the non-trade occupations</w:t>
      </w:r>
      <w:r w:rsidR="00DA064E">
        <w:t xml:space="preserve"> (Figure </w:t>
      </w:r>
      <w:r w:rsidR="00D22337">
        <w:t>12</w:t>
      </w:r>
      <w:r w:rsidR="00DA064E">
        <w:t>)</w:t>
      </w:r>
      <w:r w:rsidR="00315762">
        <w:t xml:space="preserve">. </w:t>
      </w:r>
    </w:p>
    <w:p w14:paraId="578D261D" w14:textId="2F9E51B8" w:rsidR="004275CB" w:rsidRDefault="00D43D33" w:rsidP="007574A3">
      <w:r w:rsidRPr="001C71AD">
        <w:rPr>
          <w:rFonts w:cs="Calibri Light"/>
          <w:szCs w:val="22"/>
        </w:rPr>
        <w:t>Examining</w:t>
      </w:r>
      <w:r w:rsidR="0079238E" w:rsidRPr="0039494D">
        <w:rPr>
          <w:rFonts w:cs="Calibri Light"/>
          <w:szCs w:val="22"/>
        </w:rPr>
        <w:t xml:space="preserve"> the </w:t>
      </w:r>
      <w:r w:rsidRPr="001C71AD">
        <w:rPr>
          <w:rFonts w:cs="Calibri Light"/>
          <w:szCs w:val="22"/>
        </w:rPr>
        <w:t>possible explanations for this was beyond the scope</w:t>
      </w:r>
      <w:r w:rsidR="0079238E" w:rsidRPr="0039494D">
        <w:rPr>
          <w:rFonts w:cs="Calibri Light"/>
          <w:szCs w:val="22"/>
        </w:rPr>
        <w:t xml:space="preserve"> of </w:t>
      </w:r>
      <w:r w:rsidRPr="001C71AD">
        <w:rPr>
          <w:rFonts w:cs="Calibri Light"/>
          <w:szCs w:val="22"/>
        </w:rPr>
        <w:t>this evaluation</w:t>
      </w:r>
      <w:r w:rsidR="00A57DE9" w:rsidRPr="001C71AD">
        <w:rPr>
          <w:rFonts w:cs="Calibri Light"/>
          <w:szCs w:val="22"/>
        </w:rPr>
        <w:t>.</w:t>
      </w:r>
      <w:r w:rsidR="0079238E" w:rsidRPr="0039494D">
        <w:rPr>
          <w:rFonts w:cs="Calibri Light"/>
          <w:szCs w:val="22"/>
        </w:rPr>
        <w:t xml:space="preserve"> </w:t>
      </w:r>
      <w:r w:rsidR="0079238E">
        <w:t>However, a</w:t>
      </w:r>
      <w:r w:rsidR="007D41EB">
        <w:t xml:space="preserve"> potential explanation</w:t>
      </w:r>
      <w:r w:rsidR="00AE1662">
        <w:t xml:space="preserve">, proposed by </w:t>
      </w:r>
      <w:r w:rsidR="00EA006F">
        <w:t xml:space="preserve">one </w:t>
      </w:r>
      <w:r w:rsidR="00AE1662">
        <w:t xml:space="preserve">interviewed </w:t>
      </w:r>
      <w:r w:rsidR="00EA006F">
        <w:t>stakeholder</w:t>
      </w:r>
      <w:r w:rsidR="00AE1662">
        <w:t>,</w:t>
      </w:r>
      <w:r w:rsidR="00EA006F">
        <w:t xml:space="preserve"> </w:t>
      </w:r>
      <w:r w:rsidR="00036F63">
        <w:t>is</w:t>
      </w:r>
      <w:r w:rsidR="00EA006F">
        <w:t xml:space="preserve"> that </w:t>
      </w:r>
      <w:r w:rsidR="00E76E7C">
        <w:t>Australian Apprentices</w:t>
      </w:r>
      <w:r w:rsidR="00900685">
        <w:t>hip commencements</w:t>
      </w:r>
      <w:r w:rsidR="00E76E7C">
        <w:t xml:space="preserve"> may become more representative of the population </w:t>
      </w:r>
      <w:r w:rsidR="0048078E">
        <w:t xml:space="preserve">as the number of people </w:t>
      </w:r>
      <w:r w:rsidR="00E76E7C">
        <w:t xml:space="preserve">commencing an Australian Apprenticeship </w:t>
      </w:r>
      <w:r w:rsidR="00900685">
        <w:t>increases</w:t>
      </w:r>
      <w:r w:rsidR="00E76E7C">
        <w:t>. T</w:t>
      </w:r>
      <w:r w:rsidR="007C1D9B">
        <w:t>he share of Australian Apprenticeship</w:t>
      </w:r>
      <w:r w:rsidR="003E6CE4">
        <w:t xml:space="preserve"> commencements that were </w:t>
      </w:r>
      <w:r w:rsidR="007C1D9B">
        <w:t xml:space="preserve">First Nations people </w:t>
      </w:r>
      <w:r w:rsidR="003E6CE4">
        <w:t>prior to BAC was</w:t>
      </w:r>
      <w:r w:rsidR="007C1D9B">
        <w:t xml:space="preserve"> approximately 8% </w:t>
      </w:r>
      <w:r w:rsidR="003E6CE4">
        <w:t xml:space="preserve">while the share of </w:t>
      </w:r>
      <w:r w:rsidR="003E6CE4">
        <w:lastRenderedPageBreak/>
        <w:t xml:space="preserve">the overall population </w:t>
      </w:r>
      <w:r w:rsidR="00E76E7C">
        <w:t>is approximately</w:t>
      </w:r>
      <w:r w:rsidR="003E6CE4">
        <w:t xml:space="preserve"> 3%</w:t>
      </w:r>
      <w:r w:rsidR="00E76E7C">
        <w:t>.</w:t>
      </w:r>
      <w:r w:rsidR="003E6CE4">
        <w:t xml:space="preserve"> </w:t>
      </w:r>
      <w:r w:rsidR="000C37D6">
        <w:t xml:space="preserve">Another possible explanation is that the </w:t>
      </w:r>
      <w:r w:rsidR="00E0171B">
        <w:t xml:space="preserve">change </w:t>
      </w:r>
      <w:r w:rsidR="007F24B9">
        <w:t>wa</w:t>
      </w:r>
      <w:r w:rsidR="00E0171B">
        <w:t>s due to other factors related to the pandemic, rather than the BAC program</w:t>
      </w:r>
      <w:r w:rsidR="00E022B3">
        <w:t xml:space="preserve"> itself</w:t>
      </w:r>
      <w:r w:rsidR="00E0171B">
        <w:t xml:space="preserve">. </w:t>
      </w:r>
    </w:p>
    <w:p w14:paraId="59A7C980" w14:textId="50E5477E" w:rsidR="00F266C1" w:rsidRDefault="005A6771" w:rsidP="00E10B46">
      <w:pPr>
        <w:pStyle w:val="Chartheading"/>
        <w:spacing w:line="240" w:lineRule="auto"/>
        <w:outlineLvl w:val="9"/>
      </w:pPr>
      <w:r>
        <w:t>Figure 1</w:t>
      </w:r>
      <w:r w:rsidR="0063266F">
        <w:t>1</w:t>
      </w:r>
      <w:r>
        <w:t xml:space="preserve">: </w:t>
      </w:r>
      <w:r w:rsidR="00F266C1" w:rsidRPr="004746A8">
        <w:t xml:space="preserve">Share of apprenticeship commencements that are </w:t>
      </w:r>
      <w:r w:rsidR="004F642E">
        <w:t>First Nations</w:t>
      </w:r>
      <w:r w:rsidR="00390D41">
        <w:t xml:space="preserve"> people</w:t>
      </w:r>
    </w:p>
    <w:p w14:paraId="14EA1369" w14:textId="7BB1B65B" w:rsidR="00F266C1" w:rsidRDefault="00F266C1" w:rsidP="007574A3">
      <w:pPr>
        <w:pStyle w:val="Bullet"/>
        <w:numPr>
          <w:ilvl w:val="0"/>
          <w:numId w:val="0"/>
        </w:numPr>
        <w:spacing w:line="240" w:lineRule="auto"/>
      </w:pPr>
      <w:r>
        <w:rPr>
          <w:noProof/>
        </w:rPr>
        <w:drawing>
          <wp:inline distT="0" distB="0" distL="0" distR="0" wp14:anchorId="39A6FB60" wp14:editId="6BADC887">
            <wp:extent cx="2828925" cy="1647825"/>
            <wp:effectExtent l="0" t="0" r="9525" b="9525"/>
            <wp:docPr id="443348846" name="Picture 443348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8465"/>
                    <a:stretch/>
                  </pic:blipFill>
                  <pic:spPr bwMode="auto">
                    <a:xfrm>
                      <a:off x="0" y="0"/>
                      <a:ext cx="2828925" cy="1647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C12032C" wp14:editId="6A109EB3">
            <wp:extent cx="2828925" cy="1647825"/>
            <wp:effectExtent l="0" t="0" r="9525" b="9525"/>
            <wp:docPr id="732931114" name="Picture 732931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8465"/>
                    <a:stretch/>
                  </pic:blipFill>
                  <pic:spPr bwMode="auto">
                    <a:xfrm>
                      <a:off x="0" y="0"/>
                      <a:ext cx="2828925" cy="1647825"/>
                    </a:xfrm>
                    <a:prstGeom prst="rect">
                      <a:avLst/>
                    </a:prstGeom>
                    <a:noFill/>
                    <a:ln>
                      <a:noFill/>
                    </a:ln>
                    <a:extLst>
                      <a:ext uri="{53640926-AAD7-44D8-BBD7-CCE9431645EC}">
                        <a14:shadowObscured xmlns:a14="http://schemas.microsoft.com/office/drawing/2010/main"/>
                      </a:ext>
                    </a:extLst>
                  </pic:spPr>
                </pic:pic>
              </a:graphicData>
            </a:graphic>
          </wp:inline>
        </w:drawing>
      </w:r>
    </w:p>
    <w:p w14:paraId="30DCD25C" w14:textId="266DB273" w:rsidR="005477D8" w:rsidRDefault="005477D8" w:rsidP="007574A3">
      <w:pPr>
        <w:rPr>
          <w:sz w:val="18"/>
          <w:szCs w:val="18"/>
        </w:rPr>
      </w:pPr>
      <w:r w:rsidRPr="00580999">
        <w:rPr>
          <w:sz w:val="18"/>
          <w:szCs w:val="18"/>
        </w:rPr>
        <w:t xml:space="preserve">Source: </w:t>
      </w:r>
      <w:r w:rsidR="00EC03C8">
        <w:rPr>
          <w:sz w:val="18"/>
          <w:szCs w:val="18"/>
        </w:rPr>
        <w:t>DEWR administrative data</w:t>
      </w:r>
      <w:r w:rsidRPr="00580999">
        <w:rPr>
          <w:sz w:val="18"/>
          <w:szCs w:val="18"/>
        </w:rPr>
        <w:t xml:space="preserve"> 2006-2023</w:t>
      </w:r>
      <w:r>
        <w:rPr>
          <w:sz w:val="18"/>
          <w:szCs w:val="18"/>
        </w:rPr>
        <w:t>.</w:t>
      </w:r>
    </w:p>
    <w:p w14:paraId="2BF1AB0F" w14:textId="49E9694A" w:rsidR="00681E21" w:rsidRPr="00F17018" w:rsidRDefault="00F17018" w:rsidP="00E10B46">
      <w:pPr>
        <w:pStyle w:val="Chartheading"/>
        <w:outlineLvl w:val="9"/>
      </w:pPr>
      <w:r w:rsidRPr="00915F08">
        <w:t>Figure</w:t>
      </w:r>
      <w:r w:rsidR="00030BE4" w:rsidRPr="00915F08">
        <w:t xml:space="preserve"> </w:t>
      </w:r>
      <w:r w:rsidR="00915F08">
        <w:t>12</w:t>
      </w:r>
      <w:r w:rsidR="00030BE4" w:rsidRPr="00915F08">
        <w:t>:</w:t>
      </w:r>
      <w:r w:rsidR="00030BE4">
        <w:t xml:space="preserve"> </w:t>
      </w:r>
      <w:r w:rsidR="0039619C">
        <w:t xml:space="preserve">Share of apprenticeship commencements that are </w:t>
      </w:r>
      <w:r w:rsidR="00C3644E">
        <w:t>First Nations people by Trade and Non-trade</w:t>
      </w:r>
    </w:p>
    <w:p w14:paraId="6EE6C5F4" w14:textId="77777777" w:rsidR="002D3A9A" w:rsidRDefault="0040149D" w:rsidP="007574A3">
      <w:pPr>
        <w:spacing w:before="0" w:after="160"/>
      </w:pPr>
      <w:r>
        <w:rPr>
          <w:noProof/>
        </w:rPr>
        <w:drawing>
          <wp:inline distT="0" distB="0" distL="0" distR="0" wp14:anchorId="04EF4703" wp14:editId="6E600E85">
            <wp:extent cx="2830830" cy="1799590"/>
            <wp:effectExtent l="0" t="0" r="7620" b="0"/>
            <wp:docPr id="1082516502"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30830" cy="1799590"/>
                    </a:xfrm>
                    <a:prstGeom prst="rect">
                      <a:avLst/>
                    </a:prstGeom>
                    <a:noFill/>
                    <a:ln>
                      <a:noFill/>
                    </a:ln>
                  </pic:spPr>
                </pic:pic>
              </a:graphicData>
            </a:graphic>
          </wp:inline>
        </w:drawing>
      </w:r>
      <w:r w:rsidR="00ED0671">
        <w:rPr>
          <w:noProof/>
        </w:rPr>
        <w:drawing>
          <wp:inline distT="0" distB="0" distL="0" distR="0" wp14:anchorId="1B7FA4A7" wp14:editId="774D23D3">
            <wp:extent cx="2830830" cy="1799590"/>
            <wp:effectExtent l="0" t="0" r="7620" b="0"/>
            <wp:docPr id="1825791575"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30830" cy="1799590"/>
                    </a:xfrm>
                    <a:prstGeom prst="rect">
                      <a:avLst/>
                    </a:prstGeom>
                    <a:noFill/>
                    <a:ln>
                      <a:noFill/>
                    </a:ln>
                  </pic:spPr>
                </pic:pic>
              </a:graphicData>
            </a:graphic>
          </wp:inline>
        </w:drawing>
      </w:r>
    </w:p>
    <w:p w14:paraId="4F434F2A" w14:textId="08CA0013" w:rsidR="0045305F" w:rsidRPr="00E57E41" w:rsidRDefault="002D3A9A" w:rsidP="00E57E41">
      <w:pPr>
        <w:rPr>
          <w:sz w:val="18"/>
          <w:szCs w:val="18"/>
        </w:rPr>
      </w:pPr>
      <w:r w:rsidRPr="00580999">
        <w:rPr>
          <w:sz w:val="18"/>
          <w:szCs w:val="18"/>
        </w:rPr>
        <w:t xml:space="preserve">Source: </w:t>
      </w:r>
      <w:r>
        <w:rPr>
          <w:sz w:val="18"/>
          <w:szCs w:val="18"/>
        </w:rPr>
        <w:t>DEWR administrative data</w:t>
      </w:r>
      <w:r w:rsidRPr="00580999">
        <w:rPr>
          <w:sz w:val="18"/>
          <w:szCs w:val="18"/>
        </w:rPr>
        <w:t xml:space="preserve"> 2006-2023</w:t>
      </w:r>
      <w:r>
        <w:rPr>
          <w:sz w:val="18"/>
          <w:szCs w:val="18"/>
        </w:rPr>
        <w:t>.</w:t>
      </w:r>
      <w:r w:rsidR="0045305F">
        <w:br w:type="page"/>
      </w:r>
    </w:p>
    <w:p w14:paraId="3B9AFE0D" w14:textId="37DC75AE" w:rsidR="00FE0D8F" w:rsidRDefault="0033068A" w:rsidP="007574A3">
      <w:pPr>
        <w:pStyle w:val="Heading1"/>
        <w:spacing w:line="240" w:lineRule="auto"/>
      </w:pPr>
      <w:bookmarkStart w:id="64" w:name="_Toc176782374"/>
      <w:r>
        <w:lastRenderedPageBreak/>
        <w:t>Employ</w:t>
      </w:r>
      <w:r w:rsidR="00CB19E5">
        <w:t>er</w:t>
      </w:r>
      <w:r w:rsidR="00AB18B3">
        <w:t xml:space="preserve"> </w:t>
      </w:r>
      <w:r w:rsidR="000701F8">
        <w:t>characteristics</w:t>
      </w:r>
      <w:bookmarkEnd w:id="64"/>
    </w:p>
    <w:p w14:paraId="6F771DD3" w14:textId="32FF312B" w:rsidR="00FE0D8F" w:rsidRDefault="00800C49" w:rsidP="007574A3">
      <w:pPr>
        <w:pStyle w:val="Heading2"/>
        <w:spacing w:line="240" w:lineRule="auto"/>
      </w:pPr>
      <w:bookmarkStart w:id="65" w:name="_Toc176782375"/>
      <w:r>
        <w:t xml:space="preserve">Commencements grew particularly strongly for small and medium </w:t>
      </w:r>
      <w:r w:rsidR="007A1F12" w:rsidDel="00800C49">
        <w:t>businesses</w:t>
      </w:r>
      <w:bookmarkEnd w:id="65"/>
    </w:p>
    <w:p w14:paraId="56E44D88" w14:textId="36E67D31" w:rsidR="00833156" w:rsidRDefault="00DA5B4E" w:rsidP="007574A3">
      <w:r>
        <w:t>Over the BAC period, the</w:t>
      </w:r>
      <w:r w:rsidR="00F157B5">
        <w:t xml:space="preserve"> average </w:t>
      </w:r>
      <w:r w:rsidR="004D0428">
        <w:t xml:space="preserve">number of </w:t>
      </w:r>
      <w:r w:rsidR="00F157B5">
        <w:t xml:space="preserve">apprenticeship commencements per quarter </w:t>
      </w:r>
      <w:r w:rsidR="004D0428">
        <w:t>grew</w:t>
      </w:r>
      <w:r w:rsidR="00F157B5">
        <w:t xml:space="preserve"> by </w:t>
      </w:r>
      <w:r w:rsidR="00406E9D">
        <w:t xml:space="preserve">98% for </w:t>
      </w:r>
      <w:r w:rsidR="00F659D1">
        <w:t xml:space="preserve">small businesses </w:t>
      </w:r>
      <w:r w:rsidR="002E70BF">
        <w:t>(0-19 employees)</w:t>
      </w:r>
      <w:r w:rsidR="004D0428">
        <w:t xml:space="preserve"> and 95% for medium businesses (20-199 employees), significantly larger than 29% for large employers (</w:t>
      </w:r>
      <w:r w:rsidR="00435EC1">
        <w:t xml:space="preserve">over </w:t>
      </w:r>
      <w:r w:rsidR="00E42631">
        <w:t>200 employees)</w:t>
      </w:r>
      <w:r w:rsidR="00266EBB">
        <w:t xml:space="preserve"> (Figure 1</w:t>
      </w:r>
      <w:r w:rsidR="00D22337">
        <w:t>3</w:t>
      </w:r>
      <w:r w:rsidR="00266EBB">
        <w:t>)</w:t>
      </w:r>
      <w:r w:rsidR="00E42631">
        <w:t xml:space="preserve">. This resulted in small businesses eclipsing large businesses for having the largest number of commencements per quarter. </w:t>
      </w:r>
    </w:p>
    <w:p w14:paraId="4EF75BDE" w14:textId="2BCEFFA9" w:rsidR="00396FD9" w:rsidRDefault="009C01BA" w:rsidP="007574A3">
      <w:r>
        <w:t xml:space="preserve">This </w:t>
      </w:r>
      <w:r w:rsidR="00940C9C">
        <w:t>was</w:t>
      </w:r>
      <w:r>
        <w:t xml:space="preserve"> partly be driven by the fact that</w:t>
      </w:r>
      <w:r w:rsidR="00750607">
        <w:t xml:space="preserve"> </w:t>
      </w:r>
      <w:r w:rsidR="00EE6EB8">
        <w:t xml:space="preserve">the </w:t>
      </w:r>
      <w:r w:rsidR="00791346">
        <w:t>program eligibility criteria were</w:t>
      </w:r>
      <w:r w:rsidR="00EE6EB8">
        <w:t xml:space="preserve"> updated within the first few weeks </w:t>
      </w:r>
      <w:r w:rsidR="00791346">
        <w:t xml:space="preserve">to only allow a maximum of 30 </w:t>
      </w:r>
      <w:r w:rsidR="0058604D">
        <w:t xml:space="preserve">existing worker </w:t>
      </w:r>
      <w:r w:rsidR="00791346">
        <w:t xml:space="preserve">commencements </w:t>
      </w:r>
      <w:r w:rsidR="0058604D">
        <w:t>in non-trade occupations</w:t>
      </w:r>
      <w:r w:rsidR="00791346">
        <w:t xml:space="preserve"> per employer</w:t>
      </w:r>
      <w:r w:rsidR="00657C14">
        <w:t xml:space="preserve"> (see </w:t>
      </w:r>
      <w:r w:rsidR="00985FD6">
        <w:t>our later</w:t>
      </w:r>
      <w:r w:rsidR="00657C14">
        <w:t xml:space="preserve"> discussion of ‘sharp practice’</w:t>
      </w:r>
      <w:r w:rsidR="00750607">
        <w:t>)</w:t>
      </w:r>
      <w:r w:rsidR="00791346">
        <w:t>.</w:t>
      </w:r>
    </w:p>
    <w:p w14:paraId="4E856B0C" w14:textId="1E5D3AF6" w:rsidR="008F337B" w:rsidRDefault="00155C2E" w:rsidP="00E10B46">
      <w:pPr>
        <w:pStyle w:val="Chartheading"/>
        <w:spacing w:line="240" w:lineRule="auto"/>
        <w:outlineLvl w:val="9"/>
      </w:pPr>
      <w:r>
        <w:t>Figure 1</w:t>
      </w:r>
      <w:r w:rsidR="00D22337">
        <w:t>3</w:t>
      </w:r>
      <w:r>
        <w:t xml:space="preserve">: </w:t>
      </w:r>
      <w:r w:rsidR="006D6AAD">
        <w:t>Effect of BAC on c</w:t>
      </w:r>
      <w:r w:rsidR="00A84AE2">
        <w:t xml:space="preserve">ommencements by </w:t>
      </w:r>
      <w:r w:rsidR="00AB04AC">
        <w:t>employer</w:t>
      </w:r>
      <w:r w:rsidR="00A84AE2">
        <w:t xml:space="preserve"> </w:t>
      </w:r>
      <w:r w:rsidR="00882445">
        <w:t>size</w:t>
      </w:r>
    </w:p>
    <w:p w14:paraId="43415A9E" w14:textId="200E0E62" w:rsidR="00765F4B" w:rsidRDefault="00124E82" w:rsidP="007574A3">
      <w:pPr>
        <w:pStyle w:val="BodyText"/>
        <w:keepNext/>
      </w:pPr>
      <w:r>
        <w:rPr>
          <w:noProof/>
        </w:rPr>
        <w:drawing>
          <wp:inline distT="0" distB="0" distL="0" distR="0" wp14:anchorId="75E6F87D" wp14:editId="6D9D1764">
            <wp:extent cx="5400040" cy="2708466"/>
            <wp:effectExtent l="0" t="0" r="0" b="0"/>
            <wp:docPr id="16613670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5989"/>
                    <a:stretch/>
                  </pic:blipFill>
                  <pic:spPr bwMode="auto">
                    <a:xfrm>
                      <a:off x="0" y="0"/>
                      <a:ext cx="5400040" cy="2708466"/>
                    </a:xfrm>
                    <a:prstGeom prst="rect">
                      <a:avLst/>
                    </a:prstGeom>
                    <a:noFill/>
                    <a:ln>
                      <a:noFill/>
                    </a:ln>
                    <a:extLst>
                      <a:ext uri="{53640926-AAD7-44D8-BBD7-CCE9431645EC}">
                        <a14:shadowObscured xmlns:a14="http://schemas.microsoft.com/office/drawing/2010/main"/>
                      </a:ext>
                    </a:extLst>
                  </pic:spPr>
                </pic:pic>
              </a:graphicData>
            </a:graphic>
          </wp:inline>
        </w:drawing>
      </w:r>
    </w:p>
    <w:p w14:paraId="2777E214" w14:textId="67C68906" w:rsidR="00024DD8" w:rsidRPr="00024DD8" w:rsidRDefault="00024DD8" w:rsidP="007574A3">
      <w:pPr>
        <w:spacing w:before="0" w:after="0"/>
        <w:rPr>
          <w:sz w:val="18"/>
          <w:szCs w:val="18"/>
        </w:rPr>
      </w:pPr>
      <w:r w:rsidRPr="00580999">
        <w:rPr>
          <w:sz w:val="18"/>
          <w:szCs w:val="18"/>
        </w:rPr>
        <w:t xml:space="preserve">Source: </w:t>
      </w:r>
      <w:r w:rsidR="00EC03C8">
        <w:rPr>
          <w:sz w:val="18"/>
          <w:szCs w:val="18"/>
        </w:rPr>
        <w:t>DEWR administrative data</w:t>
      </w:r>
      <w:r w:rsidRPr="00580999">
        <w:rPr>
          <w:sz w:val="18"/>
          <w:szCs w:val="18"/>
        </w:rPr>
        <w:t xml:space="preserve"> 2006-2023</w:t>
      </w:r>
      <w:r>
        <w:rPr>
          <w:sz w:val="18"/>
          <w:szCs w:val="18"/>
        </w:rPr>
        <w:t>.</w:t>
      </w:r>
    </w:p>
    <w:p w14:paraId="7BB8633F" w14:textId="37E30861" w:rsidR="00FE0D8F" w:rsidRPr="00024DD8" w:rsidRDefault="006A5500" w:rsidP="007574A3">
      <w:pPr>
        <w:pStyle w:val="BodyText"/>
        <w:rPr>
          <w:sz w:val="18"/>
          <w:szCs w:val="16"/>
        </w:rPr>
      </w:pPr>
      <w:r>
        <w:rPr>
          <w:sz w:val="18"/>
          <w:szCs w:val="16"/>
        </w:rPr>
        <w:t>N</w:t>
      </w:r>
      <w:r w:rsidR="00FE0D8F" w:rsidRPr="00024DD8">
        <w:rPr>
          <w:sz w:val="18"/>
          <w:szCs w:val="16"/>
        </w:rPr>
        <w:t xml:space="preserve">ote: </w:t>
      </w:r>
      <w:r>
        <w:rPr>
          <w:sz w:val="18"/>
          <w:szCs w:val="16"/>
        </w:rPr>
        <w:t>‘</w:t>
      </w:r>
      <w:r w:rsidR="00FE0D8F" w:rsidRPr="00024DD8">
        <w:rPr>
          <w:sz w:val="18"/>
          <w:szCs w:val="16"/>
        </w:rPr>
        <w:t>BAC</w:t>
      </w:r>
      <w:r>
        <w:rPr>
          <w:sz w:val="18"/>
          <w:szCs w:val="16"/>
        </w:rPr>
        <w:t>’</w:t>
      </w:r>
      <w:r w:rsidR="00FE0D8F" w:rsidRPr="00024DD8">
        <w:rPr>
          <w:sz w:val="18"/>
          <w:szCs w:val="16"/>
        </w:rPr>
        <w:t xml:space="preserve"> period refers to </w:t>
      </w:r>
      <w:r w:rsidR="00CD3810">
        <w:rPr>
          <w:sz w:val="18"/>
          <w:szCs w:val="16"/>
        </w:rPr>
        <w:t xml:space="preserve">Quarter 4 </w:t>
      </w:r>
      <w:r w:rsidR="00FE0D8F" w:rsidRPr="00024DD8">
        <w:rPr>
          <w:sz w:val="18"/>
          <w:szCs w:val="16"/>
        </w:rPr>
        <w:t xml:space="preserve">2020 to </w:t>
      </w:r>
      <w:r w:rsidR="00A90FE3">
        <w:rPr>
          <w:sz w:val="18"/>
          <w:szCs w:val="16"/>
        </w:rPr>
        <w:t xml:space="preserve">Quarter 2 </w:t>
      </w:r>
      <w:r w:rsidR="00FE0D8F" w:rsidRPr="00024DD8">
        <w:rPr>
          <w:sz w:val="18"/>
          <w:szCs w:val="16"/>
        </w:rPr>
        <w:t xml:space="preserve">2022. ‘Previous’ period refers to </w:t>
      </w:r>
      <w:r w:rsidR="00880C54">
        <w:rPr>
          <w:sz w:val="18"/>
          <w:szCs w:val="16"/>
        </w:rPr>
        <w:t xml:space="preserve">Quarter 4 </w:t>
      </w:r>
      <w:r w:rsidR="00FE0D8F" w:rsidRPr="00024DD8">
        <w:rPr>
          <w:sz w:val="18"/>
          <w:szCs w:val="16"/>
        </w:rPr>
        <w:t xml:space="preserve">2017 to </w:t>
      </w:r>
      <w:r w:rsidR="00880C54">
        <w:rPr>
          <w:sz w:val="18"/>
          <w:szCs w:val="16"/>
        </w:rPr>
        <w:t xml:space="preserve">Quarter 2 </w:t>
      </w:r>
      <w:r w:rsidR="00FE0D8F" w:rsidRPr="00024DD8">
        <w:rPr>
          <w:sz w:val="18"/>
          <w:szCs w:val="16"/>
        </w:rPr>
        <w:t xml:space="preserve">2019. </w:t>
      </w:r>
    </w:p>
    <w:p w14:paraId="2BC04AC9" w14:textId="2A5CCD26" w:rsidR="003D0AC0" w:rsidRPr="00480D74" w:rsidRDefault="004D4CDA" w:rsidP="007574A3">
      <w:pPr>
        <w:pStyle w:val="Heading2"/>
        <w:spacing w:line="240" w:lineRule="auto"/>
      </w:pPr>
      <w:bookmarkStart w:id="66" w:name="_Toc176782376"/>
      <w:r>
        <w:t>Increase in</w:t>
      </w:r>
      <w:r w:rsidR="00511CFE">
        <w:t xml:space="preserve"> </w:t>
      </w:r>
      <w:r w:rsidR="00E2527F">
        <w:t xml:space="preserve">employers hiring </w:t>
      </w:r>
      <w:r w:rsidR="00511CFE">
        <w:t>an apprentice for the first time</w:t>
      </w:r>
      <w:bookmarkEnd w:id="66"/>
    </w:p>
    <w:p w14:paraId="13DADCA1" w14:textId="475C7AF4" w:rsidR="00935764" w:rsidRDefault="00577FBF" w:rsidP="007574A3">
      <w:r>
        <w:t xml:space="preserve">The number of employers </w:t>
      </w:r>
      <w:r w:rsidR="00485D93">
        <w:t xml:space="preserve">hiring an </w:t>
      </w:r>
      <w:r w:rsidR="00B26343">
        <w:t>Australian A</w:t>
      </w:r>
      <w:r w:rsidR="00485D93">
        <w:t xml:space="preserve">pprentice </w:t>
      </w:r>
      <w:r w:rsidR="000F12D1">
        <w:t xml:space="preserve">for the first-time </w:t>
      </w:r>
      <w:r w:rsidR="00485D93">
        <w:t xml:space="preserve">rose during the BAC period. </w:t>
      </w:r>
      <w:r w:rsidR="007207F3">
        <w:t xml:space="preserve">This rise was driven by </w:t>
      </w:r>
      <w:r w:rsidR="009B45EE">
        <w:t xml:space="preserve">small, </w:t>
      </w:r>
      <w:r w:rsidR="007207F3">
        <w:t>new employers – those who had not commenc</w:t>
      </w:r>
      <w:r w:rsidR="000238BC">
        <w:t>ed an Australian</w:t>
      </w:r>
      <w:r w:rsidR="007207F3">
        <w:t xml:space="preserve"> </w:t>
      </w:r>
      <w:r w:rsidR="000238BC">
        <w:t>A</w:t>
      </w:r>
      <w:r w:rsidR="007207F3">
        <w:t xml:space="preserve">pprentice </w:t>
      </w:r>
      <w:r w:rsidR="005303F2">
        <w:t xml:space="preserve">in the previous 12 months. </w:t>
      </w:r>
      <w:r w:rsidR="00BB7C27">
        <w:t xml:space="preserve">The number of new employers </w:t>
      </w:r>
      <w:r w:rsidR="00017BCB">
        <w:t xml:space="preserve">remained above-trend </w:t>
      </w:r>
      <w:r w:rsidR="007F78D7">
        <w:t xml:space="preserve">during the whole BAC period, </w:t>
      </w:r>
      <w:r w:rsidR="00751E79">
        <w:t xml:space="preserve">reaching </w:t>
      </w:r>
      <w:r w:rsidR="000238BC">
        <w:t xml:space="preserve">a </w:t>
      </w:r>
      <w:r w:rsidR="00751E79">
        <w:t>peak in the final months</w:t>
      </w:r>
      <w:r w:rsidR="00BD1448">
        <w:t xml:space="preserve">, indicating that </w:t>
      </w:r>
      <w:r w:rsidR="000238BC">
        <w:t xml:space="preserve">the BAC continued to attract new </w:t>
      </w:r>
      <w:r w:rsidR="000930AC">
        <w:t xml:space="preserve">employers </w:t>
      </w:r>
      <w:r w:rsidR="000238BC">
        <w:t>through to</w:t>
      </w:r>
      <w:r w:rsidR="00730058">
        <w:t xml:space="preserve"> the end of the BAC period</w:t>
      </w:r>
      <w:r w:rsidR="00E80472">
        <w:t xml:space="preserve"> </w:t>
      </w:r>
      <w:r w:rsidR="002966BF">
        <w:t>(Figure 1</w:t>
      </w:r>
      <w:r w:rsidR="00052563">
        <w:t>4</w:t>
      </w:r>
      <w:r w:rsidR="002966BF">
        <w:t>)</w:t>
      </w:r>
      <w:r w:rsidR="00751E79">
        <w:t xml:space="preserve">. </w:t>
      </w:r>
    </w:p>
    <w:p w14:paraId="73711B31" w14:textId="4D4FFFAD" w:rsidR="000D6DA7" w:rsidRDefault="0061475F" w:rsidP="007574A3">
      <w:r>
        <w:t xml:space="preserve">There was also a </w:t>
      </w:r>
      <w:r w:rsidR="00C81B73">
        <w:t xml:space="preserve">significant rise in </w:t>
      </w:r>
      <w:r w:rsidR="00651EF0">
        <w:t>existing</w:t>
      </w:r>
      <w:r w:rsidR="00D10977">
        <w:t xml:space="preserve"> employers – those who had</w:t>
      </w:r>
      <w:r w:rsidR="00F7632B">
        <w:t xml:space="preserve"> commenc</w:t>
      </w:r>
      <w:r w:rsidR="000238BC">
        <w:t>ed an Australian</w:t>
      </w:r>
      <w:r w:rsidR="00F7632B">
        <w:t xml:space="preserve"> </w:t>
      </w:r>
      <w:r w:rsidR="000238BC">
        <w:t>A</w:t>
      </w:r>
      <w:r w:rsidR="00AE2EBF">
        <w:t xml:space="preserve">pprentice in the previous 12 months </w:t>
      </w:r>
      <w:r w:rsidR="003E7795">
        <w:t>–</w:t>
      </w:r>
      <w:r w:rsidR="00AE2EBF">
        <w:t xml:space="preserve"> </w:t>
      </w:r>
      <w:r w:rsidR="003E7795">
        <w:t xml:space="preserve">in the </w:t>
      </w:r>
      <w:r w:rsidR="00565828">
        <w:t>final months of the program</w:t>
      </w:r>
      <w:r w:rsidR="00A258FB">
        <w:t xml:space="preserve">. This </w:t>
      </w:r>
      <w:r w:rsidR="00220CBC">
        <w:t xml:space="preserve">includes both employers who regularly </w:t>
      </w:r>
      <w:r w:rsidR="00473997">
        <w:t xml:space="preserve">hire </w:t>
      </w:r>
      <w:r w:rsidR="000238BC">
        <w:t>Australian A</w:t>
      </w:r>
      <w:r w:rsidR="00473997">
        <w:t>pprentices, and</w:t>
      </w:r>
      <w:r w:rsidR="008E7054">
        <w:t xml:space="preserve"> employers </w:t>
      </w:r>
      <w:r w:rsidR="00067B28">
        <w:t xml:space="preserve">that were </w:t>
      </w:r>
      <w:r w:rsidR="008E7054">
        <w:t xml:space="preserve">new to </w:t>
      </w:r>
      <w:r w:rsidR="00067B28">
        <w:t xml:space="preserve">hiring </w:t>
      </w:r>
      <w:r w:rsidR="000238BC">
        <w:t>Australian A</w:t>
      </w:r>
      <w:r w:rsidR="00067B28">
        <w:t>pprentices</w:t>
      </w:r>
      <w:r w:rsidR="00220CBC">
        <w:t xml:space="preserve"> </w:t>
      </w:r>
      <w:r w:rsidR="00067B28">
        <w:t>at the beginning of the program</w:t>
      </w:r>
      <w:r w:rsidR="005D6D81">
        <w:t xml:space="preserve"> and that </w:t>
      </w:r>
      <w:r w:rsidR="00032F42">
        <w:t xml:space="preserve">brought on more </w:t>
      </w:r>
      <w:r w:rsidR="000238BC">
        <w:t>Australian A</w:t>
      </w:r>
      <w:r w:rsidR="00032F42">
        <w:t>pprentices towards the end of the program.</w:t>
      </w:r>
      <w:r w:rsidR="00220CBC">
        <w:t xml:space="preserve"> </w:t>
      </w:r>
    </w:p>
    <w:p w14:paraId="0C912960" w14:textId="66F27982" w:rsidR="00610AD3" w:rsidRDefault="008A630C" w:rsidP="007574A3">
      <w:r>
        <w:lastRenderedPageBreak/>
        <w:t>Of</w:t>
      </w:r>
      <w:r w:rsidR="00D30D96">
        <w:t xml:space="preserve"> those that took </w:t>
      </w:r>
      <w:r w:rsidR="005B6EF9">
        <w:t xml:space="preserve">on </w:t>
      </w:r>
      <w:r w:rsidR="00D30D96">
        <w:t xml:space="preserve">an </w:t>
      </w:r>
      <w:r w:rsidR="00B01227">
        <w:t>Australian A</w:t>
      </w:r>
      <w:r w:rsidR="00FE344C">
        <w:t xml:space="preserve">pprentice </w:t>
      </w:r>
      <w:r w:rsidR="007A2254">
        <w:t>for the first time during</w:t>
      </w:r>
      <w:r w:rsidR="00FE344C">
        <w:t xml:space="preserve"> the BAC period</w:t>
      </w:r>
      <w:r w:rsidR="007A2254">
        <w:t xml:space="preserve"> (</w:t>
      </w:r>
      <w:r w:rsidR="00703F65">
        <w:t>that is</w:t>
      </w:r>
      <w:r w:rsidR="007A2254">
        <w:t>, ‘New employers’</w:t>
      </w:r>
      <w:r w:rsidR="007D383B">
        <w:t xml:space="preserve"> </w:t>
      </w:r>
      <w:r w:rsidR="007A2254">
        <w:t>in the chart below)</w:t>
      </w:r>
      <w:r w:rsidR="00FE344C">
        <w:t xml:space="preserve">, </w:t>
      </w:r>
      <w:r w:rsidR="00F50B80">
        <w:t>some continued to hire apprentices afterward (red), while others did not (blue).</w:t>
      </w:r>
      <w:r w:rsidR="00C05A5B">
        <w:t xml:space="preserve"> The split </w:t>
      </w:r>
      <w:r w:rsidR="000E40F0">
        <w:t>between these groups was broadly</w:t>
      </w:r>
      <w:r w:rsidR="00C05A5B">
        <w:t xml:space="preserve"> </w:t>
      </w:r>
      <w:proofErr w:type="gramStart"/>
      <w:r w:rsidR="00C05A5B">
        <w:t>similar to</w:t>
      </w:r>
      <w:proofErr w:type="gramEnd"/>
      <w:r w:rsidR="00C05A5B">
        <w:t xml:space="preserve"> </w:t>
      </w:r>
      <w:r w:rsidR="000E40F0">
        <w:t>non-BAC periods</w:t>
      </w:r>
      <w:r w:rsidR="000F78AC">
        <w:t>.</w:t>
      </w:r>
    </w:p>
    <w:p w14:paraId="426E42AF" w14:textId="6E5FE6F5" w:rsidR="000D6DA7" w:rsidRDefault="00941CC8" w:rsidP="00E10B46">
      <w:pPr>
        <w:pStyle w:val="Chartheading"/>
        <w:spacing w:line="240" w:lineRule="auto"/>
        <w:outlineLvl w:val="9"/>
      </w:pPr>
      <w:r>
        <w:t>Figure 1</w:t>
      </w:r>
      <w:r w:rsidR="00052563">
        <w:t>4</w:t>
      </w:r>
      <w:r>
        <w:t xml:space="preserve">: </w:t>
      </w:r>
      <w:r w:rsidR="00FC1092">
        <w:t>Number of employers by prior and future status</w:t>
      </w:r>
    </w:p>
    <w:p w14:paraId="4523B1BC" w14:textId="45926B21" w:rsidR="00C85FBA" w:rsidRPr="00480D74" w:rsidRDefault="00C85FBA" w:rsidP="00BB7265">
      <w:pPr>
        <w:pStyle w:val="ChartGraphic"/>
      </w:pPr>
      <w:r>
        <w:rPr>
          <w:noProof/>
        </w:rPr>
        <w:drawing>
          <wp:inline distT="0" distB="0" distL="0" distR="0" wp14:anchorId="4F4CD4DA" wp14:editId="4297681D">
            <wp:extent cx="5760720" cy="3848735"/>
            <wp:effectExtent l="0" t="0" r="0" b="0"/>
            <wp:docPr id="1889381657" name="Picture 1889381657" descr="A graph of different occupa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81657" name="Picture 3" descr="A graph of different occupations&#10;&#10;Description automatically generated with medium confidence"/>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t="5385"/>
                    <a:stretch/>
                  </pic:blipFill>
                  <pic:spPr bwMode="auto">
                    <a:xfrm>
                      <a:off x="0" y="0"/>
                      <a:ext cx="5760720" cy="3848735"/>
                    </a:xfrm>
                    <a:prstGeom prst="rect">
                      <a:avLst/>
                    </a:prstGeom>
                    <a:noFill/>
                    <a:ln>
                      <a:noFill/>
                    </a:ln>
                    <a:extLst>
                      <a:ext uri="{53640926-AAD7-44D8-BBD7-CCE9431645EC}">
                        <a14:shadowObscured xmlns:a14="http://schemas.microsoft.com/office/drawing/2010/main"/>
                      </a:ext>
                    </a:extLst>
                  </pic:spPr>
                </pic:pic>
              </a:graphicData>
            </a:graphic>
          </wp:inline>
        </w:drawing>
      </w:r>
    </w:p>
    <w:p w14:paraId="2284D399" w14:textId="77777777" w:rsidR="00BB7265" w:rsidRDefault="00BB7265" w:rsidP="00BB7265">
      <w:pPr>
        <w:pStyle w:val="ChartorTableNote"/>
      </w:pPr>
    </w:p>
    <w:p w14:paraId="03561815" w14:textId="44058324" w:rsidR="000B2967" w:rsidRPr="00EE3CC1" w:rsidRDefault="00EE3CC1" w:rsidP="00BB7265">
      <w:pPr>
        <w:pStyle w:val="ChartorTableNote"/>
        <w:rPr>
          <w:szCs w:val="18"/>
        </w:rPr>
      </w:pPr>
      <w:r w:rsidRPr="00580999">
        <w:t xml:space="preserve">Source: </w:t>
      </w:r>
      <w:r w:rsidR="00EC03C8">
        <w:rPr>
          <w:szCs w:val="18"/>
        </w:rPr>
        <w:t>DEWR administrative data</w:t>
      </w:r>
      <w:r w:rsidRPr="00580999">
        <w:rPr>
          <w:szCs w:val="18"/>
        </w:rPr>
        <w:t xml:space="preserve"> 2006-2023</w:t>
      </w:r>
      <w:r>
        <w:rPr>
          <w:szCs w:val="18"/>
        </w:rPr>
        <w:t>.</w:t>
      </w:r>
    </w:p>
    <w:p w14:paraId="635E6D3A" w14:textId="783960EF" w:rsidR="00401E7B" w:rsidRPr="003152AD" w:rsidRDefault="00EE3CC1" w:rsidP="00BB7265">
      <w:pPr>
        <w:pStyle w:val="ChartorTableNote"/>
        <w:rPr>
          <w:szCs w:val="16"/>
        </w:rPr>
      </w:pPr>
      <w:r>
        <w:rPr>
          <w:szCs w:val="16"/>
        </w:rPr>
        <w:t>N</w:t>
      </w:r>
      <w:r w:rsidR="00D30D96" w:rsidRPr="00EE3CC1">
        <w:rPr>
          <w:szCs w:val="16"/>
        </w:rPr>
        <w:t>ote</w:t>
      </w:r>
      <w:r w:rsidR="00815227" w:rsidRPr="00EE3CC1">
        <w:rPr>
          <w:szCs w:val="16"/>
        </w:rPr>
        <w:t>:</w:t>
      </w:r>
      <w:r w:rsidR="009D5882" w:rsidRPr="00EE3CC1">
        <w:rPr>
          <w:szCs w:val="16"/>
        </w:rPr>
        <w:t xml:space="preserve"> Each quarter the number of employers who hired an apprentice in that quarter is counted. They are sorted into their past and future hiring behaviour</w:t>
      </w:r>
      <w:r w:rsidR="00BE12B4" w:rsidRPr="00EE3CC1">
        <w:rPr>
          <w:szCs w:val="16"/>
        </w:rPr>
        <w:t xml:space="preserve"> in the following way: </w:t>
      </w:r>
      <w:proofErr w:type="spellStart"/>
      <w:r w:rsidR="0040479D" w:rsidRPr="00EE3CC1">
        <w:rPr>
          <w:szCs w:val="16"/>
        </w:rPr>
        <w:t>i</w:t>
      </w:r>
      <w:proofErr w:type="spellEnd"/>
      <w:r w:rsidR="0040479D" w:rsidRPr="00EE3CC1">
        <w:rPr>
          <w:szCs w:val="16"/>
        </w:rPr>
        <w:t xml:space="preserve">) </w:t>
      </w:r>
      <w:r w:rsidR="00815227" w:rsidRPr="00EE3CC1">
        <w:rPr>
          <w:szCs w:val="16"/>
        </w:rPr>
        <w:t>‘New employers’ are employers who had not hired an apprentice in the past 12 months</w:t>
      </w:r>
      <w:r w:rsidR="0040479D" w:rsidRPr="00EE3CC1">
        <w:rPr>
          <w:szCs w:val="16"/>
        </w:rPr>
        <w:t>, then ‘Existing employers’ are those who had, ii)</w:t>
      </w:r>
      <w:r w:rsidR="00815227" w:rsidRPr="00EE3CC1">
        <w:rPr>
          <w:szCs w:val="16"/>
        </w:rPr>
        <w:t xml:space="preserve"> </w:t>
      </w:r>
      <w:r w:rsidR="0040479D" w:rsidRPr="00EE3CC1">
        <w:rPr>
          <w:szCs w:val="16"/>
        </w:rPr>
        <w:t>‘</w:t>
      </w:r>
      <w:r w:rsidR="00815227" w:rsidRPr="00EE3CC1">
        <w:rPr>
          <w:szCs w:val="16"/>
        </w:rPr>
        <w:t>Hired apprentice</w:t>
      </w:r>
      <w:r w:rsidR="00876068" w:rsidRPr="00EE3CC1">
        <w:rPr>
          <w:szCs w:val="16"/>
        </w:rPr>
        <w:t xml:space="preserve"> after</w:t>
      </w:r>
      <w:r w:rsidR="0040479D" w:rsidRPr="00EE3CC1">
        <w:rPr>
          <w:szCs w:val="16"/>
        </w:rPr>
        <w:t xml:space="preserve">’ </w:t>
      </w:r>
      <w:r w:rsidR="009A5B03" w:rsidRPr="00EE3CC1">
        <w:rPr>
          <w:szCs w:val="16"/>
        </w:rPr>
        <w:t>means the apprentice hired another apprentice in the next 12 months, whereas ‘</w:t>
      </w:r>
      <w:r w:rsidR="00876068" w:rsidRPr="00EE3CC1">
        <w:rPr>
          <w:szCs w:val="16"/>
        </w:rPr>
        <w:t>Do not hire apprentices</w:t>
      </w:r>
      <w:r w:rsidR="00F92A44" w:rsidRPr="00EE3CC1">
        <w:rPr>
          <w:szCs w:val="16"/>
        </w:rPr>
        <w:t xml:space="preserve"> after’ means they did not. </w:t>
      </w:r>
      <w:r w:rsidR="00401E7B">
        <w:br w:type="page"/>
      </w:r>
    </w:p>
    <w:p w14:paraId="5D97BB3C" w14:textId="40CBBEAB" w:rsidR="00CB19E5" w:rsidRDefault="00352E0D" w:rsidP="007574A3">
      <w:pPr>
        <w:pStyle w:val="Heading1"/>
        <w:spacing w:line="240" w:lineRule="auto"/>
      </w:pPr>
      <w:bookmarkStart w:id="67" w:name="_Toc176782377"/>
      <w:r>
        <w:lastRenderedPageBreak/>
        <w:t>Cost effectiveness</w:t>
      </w:r>
      <w:bookmarkEnd w:id="67"/>
    </w:p>
    <w:p w14:paraId="42AED353" w14:textId="1518E60C" w:rsidR="00EA05A7" w:rsidRDefault="00100AB6" w:rsidP="007574A3">
      <w:pPr>
        <w:pStyle w:val="Heading2"/>
        <w:spacing w:line="240" w:lineRule="auto"/>
      </w:pPr>
      <w:bookmarkStart w:id="68" w:name="_Toc176782378"/>
      <w:r>
        <w:t>Method</w:t>
      </w:r>
      <w:bookmarkEnd w:id="68"/>
    </w:p>
    <w:p w14:paraId="634A816A" w14:textId="5BC7211D" w:rsidR="00100AB6" w:rsidRDefault="000865AC" w:rsidP="007574A3">
      <w:r>
        <w:t xml:space="preserve">While the </w:t>
      </w:r>
      <w:r w:rsidR="002131EF">
        <w:t>BAC program</w:t>
      </w:r>
      <w:r w:rsidR="00DE389F">
        <w:t xml:space="preserve"> </w:t>
      </w:r>
      <w:r w:rsidR="004A3192">
        <w:t>was</w:t>
      </w:r>
      <w:r w:rsidR="002131EF">
        <w:t xml:space="preserve"> successful in </w:t>
      </w:r>
      <w:r w:rsidR="000238BC">
        <w:t>increasing</w:t>
      </w:r>
      <w:r w:rsidR="002131EF">
        <w:t xml:space="preserve"> commencements, </w:t>
      </w:r>
      <w:r w:rsidR="004A3192">
        <w:t>it</w:t>
      </w:r>
      <w:r w:rsidR="003427AF">
        <w:t xml:space="preserve"> </w:t>
      </w:r>
      <w:r w:rsidR="002131EF">
        <w:t>did so at a cost of over $7.5 billion</w:t>
      </w:r>
      <w:r w:rsidR="00A14133">
        <w:t xml:space="preserve"> </w:t>
      </w:r>
      <w:r w:rsidR="00BC0FD2">
        <w:t>(</w:t>
      </w:r>
      <w:r w:rsidR="00FB21C0">
        <w:t>through to</w:t>
      </w:r>
      <w:r w:rsidR="00BC0FD2">
        <w:t xml:space="preserve"> 31 March 2024)</w:t>
      </w:r>
      <w:r w:rsidR="002131EF">
        <w:t>.</w:t>
      </w:r>
      <w:r w:rsidR="008A57B4">
        <w:t xml:space="preserve"> </w:t>
      </w:r>
    </w:p>
    <w:p w14:paraId="31F5C641" w14:textId="1742D801" w:rsidR="00C118CA" w:rsidRDefault="00C65847" w:rsidP="007574A3">
      <w:r>
        <w:t>The evaluation team</w:t>
      </w:r>
      <w:r w:rsidR="008A57B4">
        <w:t xml:space="preserve"> calculated the overall cost of each ‘</w:t>
      </w:r>
      <w:r w:rsidR="00F175DF">
        <w:t>additional</w:t>
      </w:r>
      <w:r w:rsidR="008A57B4">
        <w:t>’ commencement and completion by dividing the overall cost of the program by the number of ‘additional’ commencements</w:t>
      </w:r>
      <w:r w:rsidR="000C40EC">
        <w:t xml:space="preserve"> or completions</w:t>
      </w:r>
      <w:r w:rsidR="000728B3">
        <w:t>.</w:t>
      </w:r>
      <w:r w:rsidR="003A281B" w:rsidRPr="00E57E41">
        <w:rPr>
          <w:rStyle w:val="FootnoteReference"/>
          <w:vertAlign w:val="superscript"/>
        </w:rPr>
        <w:footnoteReference w:id="3"/>
      </w:r>
      <w:r w:rsidR="000728B3">
        <w:t xml:space="preserve"> </w:t>
      </w:r>
      <w:r w:rsidR="003C248A">
        <w:t xml:space="preserve">For commencements, we </w:t>
      </w:r>
      <w:r w:rsidR="00C118CA">
        <w:t>used</w:t>
      </w:r>
      <w:r w:rsidR="00F90F78">
        <w:t xml:space="preserve"> the </w:t>
      </w:r>
      <w:r w:rsidR="00E53948">
        <w:t>‘</w:t>
      </w:r>
      <w:r w:rsidR="00F90F78">
        <w:t>additional</w:t>
      </w:r>
      <w:r w:rsidR="00E53948">
        <w:t>’</w:t>
      </w:r>
      <w:r w:rsidR="00F90F78">
        <w:t xml:space="preserve"> commencements </w:t>
      </w:r>
      <w:r w:rsidR="00C118CA">
        <w:t xml:space="preserve">numbers from the modelling described in the commencements section. </w:t>
      </w:r>
    </w:p>
    <w:p w14:paraId="1A405940" w14:textId="338BE3B5" w:rsidR="00A355E0" w:rsidRDefault="00012C32" w:rsidP="007574A3">
      <w:r>
        <w:t xml:space="preserve">For completions, we had to </w:t>
      </w:r>
      <w:proofErr w:type="gramStart"/>
      <w:r>
        <w:t>take into account</w:t>
      </w:r>
      <w:proofErr w:type="gramEnd"/>
      <w:r>
        <w:t xml:space="preserve"> the fact </w:t>
      </w:r>
      <w:r w:rsidR="006350D1">
        <w:t xml:space="preserve">our econometric </w:t>
      </w:r>
      <w:r>
        <w:t>modelling</w:t>
      </w:r>
      <w:r w:rsidR="006350D1">
        <w:t xml:space="preserve"> was of cancellations at the 18-month mark</w:t>
      </w:r>
      <w:r w:rsidR="00776B39">
        <w:t xml:space="preserve">, not the end of the Australian Apprenticeship. </w:t>
      </w:r>
      <w:r w:rsidR="009640DF">
        <w:t>The evaluation team</w:t>
      </w:r>
      <w:r w:rsidR="00776B39">
        <w:t xml:space="preserve"> took a conservative approach of using the </w:t>
      </w:r>
      <w:r w:rsidR="005819B8">
        <w:t xml:space="preserve">completion rate for the most recent cohort for which the NCVER report completion </w:t>
      </w:r>
      <w:proofErr w:type="gramStart"/>
      <w:r w:rsidR="005819B8">
        <w:t>rates</w:t>
      </w:r>
      <w:r w:rsidR="00B369EC">
        <w:t>, and</w:t>
      </w:r>
      <w:proofErr w:type="gramEnd"/>
      <w:r w:rsidR="00B369EC">
        <w:t xml:space="preserve"> then adjusting </w:t>
      </w:r>
      <w:r w:rsidR="00DB72F9">
        <w:t xml:space="preserve">it using the 18-month cancellation rate from </w:t>
      </w:r>
      <w:r w:rsidR="009640DF">
        <w:t xml:space="preserve">the </w:t>
      </w:r>
      <w:r w:rsidR="00DB72F9">
        <w:t xml:space="preserve">modelling. </w:t>
      </w:r>
      <w:r w:rsidR="00572CEC">
        <w:t>For example,</w:t>
      </w:r>
      <w:r w:rsidR="00DB72F9">
        <w:t xml:space="preserve"> for trades the most recent report</w:t>
      </w:r>
      <w:r w:rsidR="00572CEC">
        <w:t>ed</w:t>
      </w:r>
      <w:r w:rsidR="00DB72F9">
        <w:t xml:space="preserve"> completion rate </w:t>
      </w:r>
      <w:r w:rsidR="00572CEC">
        <w:t>from the NCVER</w:t>
      </w:r>
      <w:r w:rsidR="00DB72F9">
        <w:t xml:space="preserve"> was 53.4%, so </w:t>
      </w:r>
      <w:r w:rsidR="009640DF">
        <w:t xml:space="preserve">this figure was </w:t>
      </w:r>
      <w:r w:rsidR="00DB72F9">
        <w:t xml:space="preserve">increased by 0.7% </w:t>
      </w:r>
      <w:r w:rsidR="007F0CD3">
        <w:t xml:space="preserve">to assume 54.1% </w:t>
      </w:r>
      <w:r w:rsidR="004A117D">
        <w:t xml:space="preserve">of trades commencements </w:t>
      </w:r>
      <w:r w:rsidR="00873DB5">
        <w:t>under BAC</w:t>
      </w:r>
      <w:r w:rsidR="004A117D">
        <w:t xml:space="preserve"> completed</w:t>
      </w:r>
      <w:r w:rsidR="00BB4EA2">
        <w:t xml:space="preserve"> their training</w:t>
      </w:r>
      <w:r w:rsidR="004A117D">
        <w:t xml:space="preserve">. </w:t>
      </w:r>
    </w:p>
    <w:p w14:paraId="175F8655" w14:textId="4CC96618" w:rsidR="00896621" w:rsidRPr="00F012CD" w:rsidRDefault="00A7368B" w:rsidP="00E10B46">
      <w:pPr>
        <w:pStyle w:val="Chartheading"/>
        <w:spacing w:line="240" w:lineRule="auto"/>
        <w:outlineLvl w:val="9"/>
      </w:pPr>
      <w:r>
        <w:t>Figure 1</w:t>
      </w:r>
      <w:r w:rsidR="000352AE">
        <w:t>5</w:t>
      </w:r>
      <w:r>
        <w:t xml:space="preserve">: </w:t>
      </w:r>
      <w:r w:rsidR="00600597">
        <w:t>Government funding per ‘additional’ apprentice commencement and completion (AUD)</w:t>
      </w:r>
    </w:p>
    <w:p w14:paraId="34338874" w14:textId="16DFB695" w:rsidR="007B6B56" w:rsidRDefault="00661DEC" w:rsidP="00BB7265">
      <w:pPr>
        <w:pStyle w:val="ChartGraphic"/>
      </w:pPr>
      <w:r>
        <w:rPr>
          <w:noProof/>
        </w:rPr>
        <w:drawing>
          <wp:inline distT="0" distB="0" distL="0" distR="0" wp14:anchorId="13A7F2D2" wp14:editId="04D34AB3">
            <wp:extent cx="5401310" cy="2999105"/>
            <wp:effectExtent l="0" t="0" r="8890" b="0"/>
            <wp:docPr id="21112160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7519"/>
                    <a:stretch/>
                  </pic:blipFill>
                  <pic:spPr bwMode="auto">
                    <a:xfrm>
                      <a:off x="0" y="0"/>
                      <a:ext cx="5401310" cy="2999105"/>
                    </a:xfrm>
                    <a:prstGeom prst="rect">
                      <a:avLst/>
                    </a:prstGeom>
                    <a:noFill/>
                    <a:ln>
                      <a:noFill/>
                    </a:ln>
                    <a:extLst>
                      <a:ext uri="{53640926-AAD7-44D8-BBD7-CCE9431645EC}">
                        <a14:shadowObscured xmlns:a14="http://schemas.microsoft.com/office/drawing/2010/main"/>
                      </a:ext>
                    </a:extLst>
                  </pic:spPr>
                </pic:pic>
              </a:graphicData>
            </a:graphic>
          </wp:inline>
        </w:drawing>
      </w:r>
    </w:p>
    <w:p w14:paraId="5157FDFD" w14:textId="77777777" w:rsidR="00BB7265" w:rsidRDefault="00BB7265" w:rsidP="00BB7265">
      <w:pPr>
        <w:pStyle w:val="ChartorTableNote"/>
      </w:pPr>
    </w:p>
    <w:p w14:paraId="0713B0B2" w14:textId="0B6C35C8" w:rsidR="00BC7763" w:rsidRPr="005045A8" w:rsidRDefault="00BC7763" w:rsidP="00BB7265">
      <w:pPr>
        <w:pStyle w:val="ChartorTableNote"/>
        <w:rPr>
          <w:szCs w:val="18"/>
        </w:rPr>
      </w:pPr>
      <w:r w:rsidRPr="00580999">
        <w:t xml:space="preserve">Source: </w:t>
      </w:r>
      <w:r w:rsidR="00EC03C8">
        <w:rPr>
          <w:szCs w:val="18"/>
        </w:rPr>
        <w:t>DEWR administrative data</w:t>
      </w:r>
      <w:r w:rsidRPr="00580999">
        <w:rPr>
          <w:szCs w:val="18"/>
        </w:rPr>
        <w:t xml:space="preserve"> 2006-2023</w:t>
      </w:r>
      <w:r>
        <w:rPr>
          <w:szCs w:val="18"/>
        </w:rPr>
        <w:t xml:space="preserve"> and DEWR internal expense data</w:t>
      </w:r>
    </w:p>
    <w:p w14:paraId="68424D0A" w14:textId="77777777" w:rsidR="00E34129" w:rsidRDefault="00E34129" w:rsidP="007574A3">
      <w:pPr>
        <w:pStyle w:val="Heading2"/>
        <w:spacing w:line="240" w:lineRule="auto"/>
      </w:pPr>
      <w:bookmarkStart w:id="69" w:name="_Toc176782379"/>
      <w:r>
        <w:lastRenderedPageBreak/>
        <w:t>Results</w:t>
      </w:r>
      <w:bookmarkEnd w:id="69"/>
    </w:p>
    <w:p w14:paraId="69DF7F5C" w14:textId="6A061AEA" w:rsidR="00047CE4" w:rsidRDefault="00B91302" w:rsidP="007574A3">
      <w:r>
        <w:t>The analysis found that the BAC</w:t>
      </w:r>
      <w:r w:rsidR="00E34129">
        <w:t xml:space="preserve"> program cost approximately $40,000 per additional commencement ranging from $30,000 to $50,000, and the cost of an additional Australian Apprentice completion was approximately $80,000 ranging from $60,000 to $90,000 (Figure 1</w:t>
      </w:r>
      <w:r w:rsidR="002617CE">
        <w:t>5</w:t>
      </w:r>
      <w:r w:rsidR="00E34129">
        <w:t>).</w:t>
      </w:r>
      <w:r w:rsidR="00E34129" w:rsidRPr="001C71AD">
        <w:rPr>
          <w:rStyle w:val="FootnoteReference"/>
          <w:sz w:val="20"/>
          <w:szCs w:val="22"/>
          <w:vertAlign w:val="superscript"/>
        </w:rPr>
        <w:footnoteReference w:id="4"/>
      </w:r>
      <w:r w:rsidR="009C2035">
        <w:t xml:space="preserve"> </w:t>
      </w:r>
    </w:p>
    <w:p w14:paraId="579182A8" w14:textId="13BA4C76" w:rsidR="00E34129" w:rsidRDefault="00E34129" w:rsidP="007574A3">
      <w:r>
        <w:t xml:space="preserve">While this tells us the cost of an ‘additional’ commencement, another relevant data point is the cost to the government per Australian Apprentice in-training. </w:t>
      </w:r>
      <w:r w:rsidR="00F37B97">
        <w:t xml:space="preserve">The analysis </w:t>
      </w:r>
      <w:r>
        <w:t>calculate</w:t>
      </w:r>
      <w:r w:rsidR="00F37B97">
        <w:t>d</w:t>
      </w:r>
      <w:r>
        <w:t xml:space="preserve"> that the BAC and CAC programs resulted in this cost increasing by a factor of 5 compared to the pre-BAC period (Figure 1</w:t>
      </w:r>
      <w:r w:rsidR="002617CE">
        <w:t>6</w:t>
      </w:r>
      <w:r>
        <w:t>)</w:t>
      </w:r>
      <w:r w:rsidR="00CF183F" w:rsidRPr="00CE75DD">
        <w:rPr>
          <w:rStyle w:val="FootnoteReference"/>
          <w:vertAlign w:val="superscript"/>
        </w:rPr>
        <w:footnoteReference w:id="5"/>
      </w:r>
      <w:r>
        <w:t>.</w:t>
      </w:r>
    </w:p>
    <w:p w14:paraId="63A8CC19" w14:textId="2A337F3E" w:rsidR="00565D1A" w:rsidRPr="00A11A06" w:rsidRDefault="004D2028" w:rsidP="00E10B46">
      <w:pPr>
        <w:pStyle w:val="Chartheading"/>
        <w:spacing w:line="240" w:lineRule="auto"/>
        <w:outlineLvl w:val="9"/>
      </w:pPr>
      <w:r>
        <w:t>Figure 1</w:t>
      </w:r>
      <w:r w:rsidR="002617CE">
        <w:t>6</w:t>
      </w:r>
      <w:r>
        <w:t xml:space="preserve">: </w:t>
      </w:r>
      <w:r w:rsidR="004E6C2B">
        <w:t>Federal government funding</w:t>
      </w:r>
      <w:r w:rsidR="001A1B97">
        <w:t xml:space="preserve"> </w:t>
      </w:r>
      <w:r w:rsidR="00C90FB5">
        <w:t xml:space="preserve">of </w:t>
      </w:r>
      <w:r w:rsidR="00D46552">
        <w:t>Australian Apprentices</w:t>
      </w:r>
      <w:r w:rsidR="001A1B97">
        <w:t xml:space="preserve"> per </w:t>
      </w:r>
      <w:r w:rsidR="00D46552">
        <w:t>person</w:t>
      </w:r>
      <w:r w:rsidR="001A1B97">
        <w:t xml:space="preserve"> in-training (AUD)</w:t>
      </w:r>
    </w:p>
    <w:p w14:paraId="6B810943" w14:textId="34929A4A" w:rsidR="002C305E" w:rsidRPr="00565D1A" w:rsidRDefault="002C305E" w:rsidP="00BB7265">
      <w:pPr>
        <w:pStyle w:val="ChartGraphic"/>
      </w:pPr>
      <w:r>
        <w:rPr>
          <w:noProof/>
        </w:rPr>
        <w:drawing>
          <wp:inline distT="0" distB="0" distL="0" distR="0" wp14:anchorId="200F9F13" wp14:editId="7CED9770">
            <wp:extent cx="5396865" cy="2993913"/>
            <wp:effectExtent l="0" t="0" r="0" b="0"/>
            <wp:docPr id="61447828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7480"/>
                    <a:stretch/>
                  </pic:blipFill>
                  <pic:spPr bwMode="auto">
                    <a:xfrm>
                      <a:off x="0" y="0"/>
                      <a:ext cx="5396865" cy="2993913"/>
                    </a:xfrm>
                    <a:prstGeom prst="rect">
                      <a:avLst/>
                    </a:prstGeom>
                    <a:noFill/>
                    <a:ln>
                      <a:noFill/>
                    </a:ln>
                    <a:extLst>
                      <a:ext uri="{53640926-AAD7-44D8-BBD7-CCE9431645EC}">
                        <a14:shadowObscured xmlns:a14="http://schemas.microsoft.com/office/drawing/2010/main"/>
                      </a:ext>
                    </a:extLst>
                  </pic:spPr>
                </pic:pic>
              </a:graphicData>
            </a:graphic>
          </wp:inline>
        </w:drawing>
      </w:r>
    </w:p>
    <w:p w14:paraId="2D0D2556" w14:textId="77777777" w:rsidR="00BB7265" w:rsidRDefault="00BB7265" w:rsidP="00BB7265">
      <w:pPr>
        <w:pStyle w:val="ChartorTableNote"/>
      </w:pPr>
    </w:p>
    <w:p w14:paraId="31746C46" w14:textId="21FE1F8D" w:rsidR="005045A8" w:rsidRPr="005045A8" w:rsidRDefault="005045A8" w:rsidP="00BB7265">
      <w:pPr>
        <w:pStyle w:val="ChartorTableNote"/>
        <w:rPr>
          <w:szCs w:val="18"/>
        </w:rPr>
      </w:pPr>
      <w:r w:rsidRPr="00580999">
        <w:t xml:space="preserve">Source: </w:t>
      </w:r>
      <w:r w:rsidR="00EC03C8">
        <w:rPr>
          <w:szCs w:val="18"/>
        </w:rPr>
        <w:t>DEWR administrative data</w:t>
      </w:r>
      <w:r w:rsidRPr="00580999">
        <w:rPr>
          <w:szCs w:val="18"/>
        </w:rPr>
        <w:t xml:space="preserve"> 2006-2023</w:t>
      </w:r>
      <w:r>
        <w:rPr>
          <w:szCs w:val="18"/>
        </w:rPr>
        <w:t xml:space="preserve"> and </w:t>
      </w:r>
      <w:r w:rsidR="00814BF6">
        <w:rPr>
          <w:szCs w:val="18"/>
        </w:rPr>
        <w:t xml:space="preserve">DEWR </w:t>
      </w:r>
      <w:r w:rsidR="00626884">
        <w:rPr>
          <w:szCs w:val="18"/>
        </w:rPr>
        <w:t xml:space="preserve">internal </w:t>
      </w:r>
      <w:r w:rsidR="00BC7763">
        <w:rPr>
          <w:szCs w:val="18"/>
        </w:rPr>
        <w:t>expense</w:t>
      </w:r>
      <w:r>
        <w:rPr>
          <w:szCs w:val="18"/>
        </w:rPr>
        <w:t xml:space="preserve"> data</w:t>
      </w:r>
      <w:r w:rsidR="001D15C4">
        <w:rPr>
          <w:szCs w:val="18"/>
        </w:rPr>
        <w:t>.</w:t>
      </w:r>
    </w:p>
    <w:p w14:paraId="3EF2ED2A" w14:textId="6F332F76" w:rsidR="00E34129" w:rsidRDefault="00E34129" w:rsidP="007574A3">
      <w:pPr>
        <w:pStyle w:val="Heading2"/>
        <w:spacing w:line="240" w:lineRule="auto"/>
      </w:pPr>
      <w:bookmarkStart w:id="70" w:name="_Toc176782380"/>
      <w:r>
        <w:t>Discussion of cost effectiveness</w:t>
      </w:r>
      <w:bookmarkEnd w:id="70"/>
    </w:p>
    <w:p w14:paraId="239C708D" w14:textId="0675BC68" w:rsidR="00CD5A0E" w:rsidRDefault="00E34129" w:rsidP="007574A3">
      <w:pPr>
        <w:rPr>
          <w:rStyle w:val="FootnoteReference"/>
          <w:vertAlign w:val="superscript"/>
        </w:rPr>
      </w:pPr>
      <w:r>
        <w:t>BAC achieved its goal of increasing commencements and increasing the number of employers taking on an Australian Apprentice for the first time. However, it did so at a cost of approximately $40,000 per additional commencement and approximately $80,000 per additional completio</w:t>
      </w:r>
      <w:r w:rsidR="00CD5A0E">
        <w:t>n.</w:t>
      </w:r>
    </w:p>
    <w:p w14:paraId="4BB8ACF2" w14:textId="2C18244C" w:rsidR="00E34129" w:rsidRDefault="00E34129" w:rsidP="007574A3">
      <w:r>
        <w:t xml:space="preserve">Whether such costs are justified depend on a range of factors. This includes the value of an individual receiving training to the Australian economy and the personal long-term skill benefits of training to the individual. These questions in turn depend on what the </w:t>
      </w:r>
      <w:r w:rsidR="00C04922">
        <w:t>BAC</w:t>
      </w:r>
      <w:r>
        <w:t xml:space="preserve"> Australian Apprentice would have </w:t>
      </w:r>
      <w:r>
        <w:lastRenderedPageBreak/>
        <w:t xml:space="preserve">done if they had not taken part in the program. Giving a quantitative answer to these questions would require a formal cost-benefit analysis, which was beyond the scope of this evaluation. </w:t>
      </w:r>
    </w:p>
    <w:p w14:paraId="020B812C" w14:textId="7185897D" w:rsidR="00EF7093" w:rsidRDefault="0031486D" w:rsidP="007574A3">
      <w:r>
        <w:t>I</w:t>
      </w:r>
      <w:r w:rsidR="00914A75">
        <w:t>t could be argued</w:t>
      </w:r>
      <w:r>
        <w:t>, however,</w:t>
      </w:r>
      <w:r w:rsidR="00914A75">
        <w:t xml:space="preserve"> that the BAC and CAC programs were </w:t>
      </w:r>
      <w:r w:rsidR="00DA0961">
        <w:t xml:space="preserve">greater </w:t>
      </w:r>
      <w:r w:rsidR="00914A75">
        <w:t xml:space="preserve">value for money </w:t>
      </w:r>
      <w:r w:rsidR="00364EE2">
        <w:t>for trades occupations</w:t>
      </w:r>
      <w:r w:rsidR="00264C6C">
        <w:t xml:space="preserve"> </w:t>
      </w:r>
      <w:r w:rsidR="00DA0961">
        <w:t>than</w:t>
      </w:r>
      <w:r w:rsidR="008511FC">
        <w:t xml:space="preserve"> </w:t>
      </w:r>
      <w:r w:rsidR="00364EE2">
        <w:t xml:space="preserve">for non-trade </w:t>
      </w:r>
      <w:r w:rsidR="00103C88">
        <w:t>occupations</w:t>
      </w:r>
      <w:r w:rsidR="00DA0961">
        <w:t xml:space="preserve">, for </w:t>
      </w:r>
      <w:r w:rsidR="00364EE2">
        <w:t xml:space="preserve">several reasons: </w:t>
      </w:r>
    </w:p>
    <w:p w14:paraId="5DB1F9DE" w14:textId="77777777" w:rsidR="008D7006" w:rsidRDefault="009E42BF" w:rsidP="007574A3">
      <w:pPr>
        <w:pStyle w:val="Bullet"/>
        <w:tabs>
          <w:tab w:val="clear" w:pos="720"/>
          <w:tab w:val="left" w:pos="851"/>
        </w:tabs>
        <w:spacing w:line="240" w:lineRule="auto"/>
      </w:pPr>
      <w:r>
        <w:t>A</w:t>
      </w:r>
      <w:r w:rsidR="00B53376" w:rsidRPr="00B53376">
        <w:t xml:space="preserve">n </w:t>
      </w:r>
      <w:r w:rsidR="000238BC">
        <w:t>Australian Apprenticeship</w:t>
      </w:r>
      <w:r>
        <w:t xml:space="preserve"> is not generally required in </w:t>
      </w:r>
      <w:r w:rsidR="003C2BD9">
        <w:t xml:space="preserve">many </w:t>
      </w:r>
      <w:r>
        <w:t>non-</w:t>
      </w:r>
      <w:proofErr w:type="gramStart"/>
      <w:r>
        <w:t>trades</w:t>
      </w:r>
      <w:proofErr w:type="gramEnd"/>
      <w:r>
        <w:t xml:space="preserve"> </w:t>
      </w:r>
      <w:r w:rsidR="000238BC">
        <w:t>occupations</w:t>
      </w:r>
      <w:r w:rsidR="00B519AB">
        <w:t>—such as retail or hospitality</w:t>
      </w:r>
      <w:r w:rsidR="003C2BD9">
        <w:t>—</w:t>
      </w:r>
      <w:r>
        <w:t xml:space="preserve">to be job-ready or to </w:t>
      </w:r>
      <w:r w:rsidR="005E5800">
        <w:t>satisfying the licensing requirements needed to</w:t>
      </w:r>
      <w:r>
        <w:t xml:space="preserve"> practice in the profession.</w:t>
      </w:r>
      <w:r w:rsidR="000235ED">
        <w:t xml:space="preserve"> </w:t>
      </w:r>
      <w:r w:rsidR="006F35E0">
        <w:t>Yet t</w:t>
      </w:r>
      <w:r w:rsidR="001D6B83">
        <w:t>hese n</w:t>
      </w:r>
      <w:r w:rsidR="003C2BD9">
        <w:t>on-trade</w:t>
      </w:r>
      <w:r w:rsidR="00DB45AD">
        <w:t xml:space="preserve"> occupations </w:t>
      </w:r>
      <w:r w:rsidR="008D7006">
        <w:t xml:space="preserve">were much more responsive to the BAC and CAC programs. </w:t>
      </w:r>
    </w:p>
    <w:p w14:paraId="4E64E98D" w14:textId="0197F427" w:rsidR="007F5E26" w:rsidRPr="00B53376" w:rsidRDefault="00B53376" w:rsidP="007574A3">
      <w:pPr>
        <w:pStyle w:val="Bullet"/>
        <w:tabs>
          <w:tab w:val="clear" w:pos="720"/>
          <w:tab w:val="left" w:pos="851"/>
        </w:tabs>
        <w:spacing w:line="240" w:lineRule="auto"/>
      </w:pPr>
      <w:r w:rsidRPr="00B53376">
        <w:t>Completion rates for non-trades</w:t>
      </w:r>
      <w:r w:rsidR="000238BC">
        <w:t xml:space="preserve"> occupations</w:t>
      </w:r>
      <w:r w:rsidRPr="00B53376">
        <w:t xml:space="preserve"> were </w:t>
      </w:r>
      <w:r w:rsidR="00F8522C">
        <w:t xml:space="preserve">lower than </w:t>
      </w:r>
      <w:r w:rsidRPr="00B53376">
        <w:t>their usual low rates</w:t>
      </w:r>
      <w:r w:rsidR="00B90D42">
        <w:t>. T</w:t>
      </w:r>
      <w:r w:rsidR="00977829">
        <w:t>his</w:t>
      </w:r>
      <w:r w:rsidR="0063203E">
        <w:t xml:space="preserve"> was</w:t>
      </w:r>
      <w:r w:rsidR="009E42BF">
        <w:t xml:space="preserve"> </w:t>
      </w:r>
      <w:r w:rsidR="00977829">
        <w:t>not the case for trades</w:t>
      </w:r>
      <w:r w:rsidR="00B90D42">
        <w:t>.</w:t>
      </w:r>
    </w:p>
    <w:p w14:paraId="578755AA" w14:textId="4F0FCBF6" w:rsidR="0088574E" w:rsidRDefault="00B53376" w:rsidP="007574A3">
      <w:pPr>
        <w:pStyle w:val="Bullet"/>
        <w:tabs>
          <w:tab w:val="clear" w:pos="720"/>
          <w:tab w:val="left" w:pos="851"/>
        </w:tabs>
        <w:spacing w:line="240" w:lineRule="auto"/>
      </w:pPr>
      <w:r w:rsidRPr="00B53376">
        <w:t xml:space="preserve">A high share of commencements </w:t>
      </w:r>
      <w:r w:rsidR="005B7592">
        <w:t xml:space="preserve">in non-trades </w:t>
      </w:r>
      <w:r w:rsidRPr="00B53376">
        <w:t xml:space="preserve">were in occupations that were not </w:t>
      </w:r>
      <w:r w:rsidR="0088574E">
        <w:t>priority occupations</w:t>
      </w:r>
      <w:r w:rsidR="00C24A73">
        <w:t>.</w:t>
      </w:r>
    </w:p>
    <w:p w14:paraId="7122BF2B" w14:textId="34794300" w:rsidR="00E34129" w:rsidRPr="005B7C17" w:rsidRDefault="00013DD2" w:rsidP="005B7C17">
      <w:pPr>
        <w:pStyle w:val="Bullet"/>
        <w:tabs>
          <w:tab w:val="clear" w:pos="720"/>
          <w:tab w:val="left" w:pos="851"/>
        </w:tabs>
        <w:spacing w:line="240" w:lineRule="auto"/>
      </w:pPr>
      <w:r>
        <w:t>As discussed in the following section, t</w:t>
      </w:r>
      <w:r w:rsidR="0088574E">
        <w:t>he</w:t>
      </w:r>
      <w:r w:rsidR="002727D2">
        <w:t xml:space="preserve">re was </w:t>
      </w:r>
      <w:r w:rsidR="00B20E21">
        <w:t xml:space="preserve">evidence of </w:t>
      </w:r>
      <w:r w:rsidR="003661E3">
        <w:t xml:space="preserve">potential </w:t>
      </w:r>
      <w:r w:rsidR="00C24A73">
        <w:t>‘</w:t>
      </w:r>
      <w:r w:rsidR="00B20E21">
        <w:t>sharp practice</w:t>
      </w:r>
      <w:r w:rsidR="00C24A73">
        <w:t>’</w:t>
      </w:r>
      <w:r w:rsidR="00246856">
        <w:t xml:space="preserve"> in</w:t>
      </w:r>
      <w:r w:rsidR="001D3006">
        <w:t xml:space="preserve"> non-trade occupations</w:t>
      </w:r>
      <w:r w:rsidR="002F792D">
        <w:t>.</w:t>
      </w:r>
      <w:bookmarkStart w:id="71" w:name="_Toc172722001"/>
      <w:r w:rsidR="00E34129">
        <w:br w:type="page"/>
      </w:r>
    </w:p>
    <w:p w14:paraId="391DDBB1" w14:textId="50E15124" w:rsidR="004B3910" w:rsidRDefault="004B3910" w:rsidP="007574A3">
      <w:pPr>
        <w:pStyle w:val="Heading1"/>
        <w:spacing w:line="240" w:lineRule="auto"/>
      </w:pPr>
      <w:bookmarkStart w:id="72" w:name="_Toc176782381"/>
      <w:r>
        <w:lastRenderedPageBreak/>
        <w:t>Sharp practice in non-trades occupations</w:t>
      </w:r>
      <w:bookmarkEnd w:id="71"/>
      <w:bookmarkEnd w:id="72"/>
    </w:p>
    <w:p w14:paraId="6A1F6F42" w14:textId="4F0CE3E8" w:rsidR="00456BE9" w:rsidRDefault="00BC7999" w:rsidP="007574A3">
      <w:r>
        <w:t xml:space="preserve">During interviews, </w:t>
      </w:r>
      <w:r w:rsidR="00C14F2B">
        <w:t xml:space="preserve">some </w:t>
      </w:r>
      <w:r>
        <w:t xml:space="preserve">stakeholders </w:t>
      </w:r>
      <w:r w:rsidR="00C14F2B">
        <w:t xml:space="preserve">reported there was </w:t>
      </w:r>
      <w:r w:rsidR="002069DE">
        <w:t>substantial</w:t>
      </w:r>
      <w:r w:rsidR="00C14F2B">
        <w:t xml:space="preserve"> </w:t>
      </w:r>
      <w:r w:rsidR="000F0DD1">
        <w:t>‘</w:t>
      </w:r>
      <w:r w:rsidR="00A511D9">
        <w:t>s</w:t>
      </w:r>
      <w:r w:rsidR="000F0DD1">
        <w:t>harp practice’</w:t>
      </w:r>
      <w:r w:rsidR="00DD661A">
        <w:t xml:space="preserve">, generally </w:t>
      </w:r>
      <w:r w:rsidR="00B70FD5">
        <w:t>involving</w:t>
      </w:r>
      <w:r w:rsidR="008D6C3F">
        <w:t xml:space="preserve"> </w:t>
      </w:r>
      <w:r w:rsidR="00DD661A">
        <w:t>existing workers in</w:t>
      </w:r>
      <w:r w:rsidR="008D6C3F">
        <w:t xml:space="preserve"> </w:t>
      </w:r>
      <w:r w:rsidR="000D4C27">
        <w:t xml:space="preserve">non-trade occupations. </w:t>
      </w:r>
      <w:r w:rsidR="00456BE9">
        <w:t xml:space="preserve">Multiple stakeholders went to the extent of describing this as </w:t>
      </w:r>
      <w:r w:rsidR="000C7890">
        <w:t>‘</w:t>
      </w:r>
      <w:r w:rsidR="00456BE9">
        <w:t>rorting</w:t>
      </w:r>
      <w:r w:rsidR="000C7890">
        <w:t>’</w:t>
      </w:r>
      <w:r w:rsidR="00456BE9">
        <w:t>.</w:t>
      </w:r>
    </w:p>
    <w:p w14:paraId="77EA9335" w14:textId="40F74BB0" w:rsidR="008C177F" w:rsidRDefault="000D4C27" w:rsidP="007574A3">
      <w:r>
        <w:t>Th</w:t>
      </w:r>
      <w:r w:rsidR="000C70EE">
        <w:t>e</w:t>
      </w:r>
      <w:r w:rsidR="00AE2117">
        <w:t xml:space="preserve"> sharp practice</w:t>
      </w:r>
      <w:r w:rsidR="000C70EE">
        <w:t xml:space="preserve"> usually</w:t>
      </w:r>
      <w:r>
        <w:t xml:space="preserve"> involved</w:t>
      </w:r>
      <w:r w:rsidR="000F0DD1">
        <w:t xml:space="preserve"> businesses </w:t>
      </w:r>
      <w:r w:rsidR="009D5BFC">
        <w:t>transfer</w:t>
      </w:r>
      <w:r w:rsidR="00076B68">
        <w:t>ring</w:t>
      </w:r>
      <w:r w:rsidR="000F0DD1">
        <w:t xml:space="preserve"> existing workers </w:t>
      </w:r>
      <w:r w:rsidR="00144580">
        <w:t>on</w:t>
      </w:r>
      <w:r w:rsidR="000F0DD1">
        <w:t>to an Australian Apprenticeship for the primary purpose of receiving the wage subsidy, rather than pursuing a training opportunity.</w:t>
      </w:r>
      <w:r w:rsidR="002F4A7C">
        <w:t xml:space="preserve"> </w:t>
      </w:r>
      <w:r w:rsidR="00514DAF">
        <w:t>In some cases, workers were informed of the arrangement but not necessarily consulted on whether they were interested in commencing training.</w:t>
      </w:r>
      <w:r w:rsidR="002006B3">
        <w:t xml:space="preserve"> </w:t>
      </w:r>
      <w:r w:rsidR="008C177F">
        <w:t xml:space="preserve">For example, </w:t>
      </w:r>
      <w:r w:rsidR="005E2EB9">
        <w:t xml:space="preserve">in </w:t>
      </w:r>
      <w:r w:rsidR="008C177F">
        <w:t>a</w:t>
      </w:r>
      <w:r w:rsidR="00082208">
        <w:t>n</w:t>
      </w:r>
      <w:r w:rsidR="008C177F">
        <w:t xml:space="preserve"> </w:t>
      </w:r>
      <w:r w:rsidR="008C177F" w:rsidRPr="00D7406F">
        <w:t>accounting firm</w:t>
      </w:r>
      <w:r w:rsidR="005E2EB9">
        <w:t xml:space="preserve">, all-but-one </w:t>
      </w:r>
      <w:r w:rsidR="008C177F">
        <w:t xml:space="preserve">of its employees </w:t>
      </w:r>
      <w:r w:rsidR="007F65CE">
        <w:t xml:space="preserve">commenced </w:t>
      </w:r>
      <w:r w:rsidR="008C177F" w:rsidRPr="00D7406F">
        <w:t>a</w:t>
      </w:r>
      <w:r w:rsidR="008C177F">
        <w:t>n Australian Apprenticeship in</w:t>
      </w:r>
      <w:r w:rsidR="008C177F" w:rsidRPr="00D7406F">
        <w:t xml:space="preserve"> work, health and safety</w:t>
      </w:r>
      <w:r w:rsidR="008C177F">
        <w:t xml:space="preserve">. While it may have been appropriate, during a pandemic, for one or two staff to undertake such training, </w:t>
      </w:r>
      <w:r w:rsidR="00983F14">
        <w:t>it seems unlikely that this training was required across the firm</w:t>
      </w:r>
      <w:r w:rsidR="008C177F">
        <w:t>.</w:t>
      </w:r>
    </w:p>
    <w:p w14:paraId="2D219207" w14:textId="4718E697" w:rsidR="002A54CA" w:rsidRDefault="003B5225" w:rsidP="007574A3">
      <w:r>
        <w:t xml:space="preserve">In </w:t>
      </w:r>
      <w:r w:rsidR="00514DAF">
        <w:t>many</w:t>
      </w:r>
      <w:r>
        <w:t xml:space="preserve"> cases, this problematic behaviour did not breach relevant program guidelines or constitute fraudulent activity. Accordingly, we refer to this as ‘sharp practice’, as distinct from non-compliant behaviour.</w:t>
      </w:r>
    </w:p>
    <w:p w14:paraId="6C3ABF3A" w14:textId="122117FC" w:rsidR="00C570FD" w:rsidRDefault="00AD5B99" w:rsidP="007574A3">
      <w:r>
        <w:t>S</w:t>
      </w:r>
      <w:r w:rsidR="005D5B56">
        <w:t>takeholders also</w:t>
      </w:r>
      <w:r w:rsidR="00D54437">
        <w:t xml:space="preserve"> </w:t>
      </w:r>
      <w:r w:rsidR="00AE1B55">
        <w:t>described</w:t>
      </w:r>
      <w:r w:rsidR="00944FD7">
        <w:t xml:space="preserve"> behaviour</w:t>
      </w:r>
      <w:r w:rsidR="005D5B56">
        <w:t xml:space="preserve"> that went beyond sharp practice</w:t>
      </w:r>
      <w:r w:rsidR="00944FD7">
        <w:t xml:space="preserve"> </w:t>
      </w:r>
      <w:r w:rsidR="000D6A85">
        <w:t>and constituted</w:t>
      </w:r>
      <w:r w:rsidR="00944FD7">
        <w:t xml:space="preserve"> a breach</w:t>
      </w:r>
      <w:r w:rsidR="005D5B56">
        <w:t xml:space="preserve"> of the </w:t>
      </w:r>
      <w:r w:rsidR="00AE1B55">
        <w:t>Training Contract</w:t>
      </w:r>
      <w:r w:rsidR="005D5B56">
        <w:t xml:space="preserve"> </w:t>
      </w:r>
      <w:r w:rsidR="00944FD7">
        <w:t>and</w:t>
      </w:r>
      <w:r w:rsidR="005D5B56">
        <w:t xml:space="preserve"> relevant </w:t>
      </w:r>
      <w:r w:rsidR="000D6A85">
        <w:t xml:space="preserve">state or territory legislation. </w:t>
      </w:r>
      <w:r w:rsidR="00DE2D6F">
        <w:t xml:space="preserve">Such breaches </w:t>
      </w:r>
      <w:r w:rsidR="00BC78A4">
        <w:t>would technically warrant regulatory action by the relevant State Training Authority (STA)</w:t>
      </w:r>
      <w:r w:rsidR="00DE2D6F">
        <w:t xml:space="preserve">, however </w:t>
      </w:r>
      <w:r w:rsidR="00046248">
        <w:t>over the BAC period</w:t>
      </w:r>
      <w:r w:rsidR="00DE2D6F">
        <w:t xml:space="preserve"> </w:t>
      </w:r>
      <w:r w:rsidR="00BC78A4">
        <w:t xml:space="preserve">many STAs were too </w:t>
      </w:r>
      <w:r w:rsidR="00046248">
        <w:t xml:space="preserve">overwhelmed </w:t>
      </w:r>
      <w:r w:rsidR="00DE2D6F">
        <w:t xml:space="preserve">for all potential breaches to be </w:t>
      </w:r>
      <w:r w:rsidR="00CA350D">
        <w:t xml:space="preserve">fully </w:t>
      </w:r>
      <w:r w:rsidR="00DE2D6F">
        <w:t xml:space="preserve">investigated. </w:t>
      </w:r>
      <w:r w:rsidR="00EA3EA3">
        <w:t xml:space="preserve">A common breach of the Training Contract was </w:t>
      </w:r>
      <w:r w:rsidR="00B70FD5">
        <w:t>failing to</w:t>
      </w:r>
      <w:r w:rsidR="00EA3EA3">
        <w:t xml:space="preserve"> releas</w:t>
      </w:r>
      <w:r w:rsidR="00991704">
        <w:t>e</w:t>
      </w:r>
      <w:r w:rsidR="00EA3EA3">
        <w:t xml:space="preserve"> workers to attend training</w:t>
      </w:r>
      <w:r w:rsidR="00C570FD">
        <w:t xml:space="preserve"> (with payment</w:t>
      </w:r>
      <w:r w:rsidR="00EA3EA3">
        <w:t xml:space="preserve"> for time spen</w:t>
      </w:r>
      <w:r w:rsidR="00A92FFC">
        <w:t>t</w:t>
      </w:r>
      <w:r w:rsidR="00EA3EA3">
        <w:t xml:space="preserve"> </w:t>
      </w:r>
      <w:r w:rsidR="00C570FD">
        <w:t>traini</w:t>
      </w:r>
      <w:r w:rsidR="00DB357B">
        <w:t>n</w:t>
      </w:r>
      <w:r w:rsidR="00C570FD">
        <w:t>g).</w:t>
      </w:r>
      <w:r w:rsidR="002006B3">
        <w:t xml:space="preserve"> In extreme cases, existing workers were not informed they were being commenced in a qualification. </w:t>
      </w:r>
    </w:p>
    <w:p w14:paraId="728270DA" w14:textId="3B2767A6" w:rsidR="00DE1F96" w:rsidRDefault="00DC2A8B" w:rsidP="007574A3">
      <w:r>
        <w:t>The remainder of this section summarises</w:t>
      </w:r>
      <w:r w:rsidR="00BE1FD5">
        <w:t xml:space="preserve"> </w:t>
      </w:r>
      <w:r w:rsidR="00332E9F">
        <w:t xml:space="preserve">selected </w:t>
      </w:r>
      <w:r>
        <w:t>stakeholders’ observations.</w:t>
      </w:r>
      <w:r w:rsidR="001C27B5">
        <w:t xml:space="preserve"> </w:t>
      </w:r>
      <w:r w:rsidR="00FA7D80">
        <w:t>The</w:t>
      </w:r>
      <w:r w:rsidR="00886D56">
        <w:t xml:space="preserve"> next subsection </w:t>
      </w:r>
      <w:r w:rsidR="00DE1F96">
        <w:t>explain</w:t>
      </w:r>
      <w:r w:rsidR="00FA7D80">
        <w:t>s</w:t>
      </w:r>
      <w:r w:rsidR="00DE1F96">
        <w:t xml:space="preserve"> why issues with sharp practice were </w:t>
      </w:r>
      <w:r w:rsidR="002B381E">
        <w:t>particularly evident for</w:t>
      </w:r>
      <w:r w:rsidR="00DE1F96">
        <w:t xml:space="preserve"> existing workers in non-trade occupations</w:t>
      </w:r>
      <w:r w:rsidR="00FA7D80">
        <w:t>. It</w:t>
      </w:r>
      <w:r w:rsidR="00DE1F96">
        <w:t xml:space="preserve"> then describe</w:t>
      </w:r>
      <w:r w:rsidR="002B381E">
        <w:t>s</w:t>
      </w:r>
      <w:r w:rsidR="00DE1F96">
        <w:t xml:space="preserve"> the changes to eligibility criteria in the first few weeks of the program that helped mitigate </w:t>
      </w:r>
      <w:r w:rsidR="00FA7D80">
        <w:t xml:space="preserve">these </w:t>
      </w:r>
      <w:r w:rsidR="00DE1F96">
        <w:t xml:space="preserve">sharp practices. </w:t>
      </w:r>
      <w:r w:rsidR="00886D56">
        <w:t xml:space="preserve">In the final two subsections we describe the role of </w:t>
      </w:r>
      <w:r w:rsidR="00F32542">
        <w:t xml:space="preserve">certain RTOs and third-party brokers in </w:t>
      </w:r>
      <w:r w:rsidR="000A37BC">
        <w:t xml:space="preserve">driving the sharp practice, and then why under pressure service providers struggled to mitigate the issues. </w:t>
      </w:r>
    </w:p>
    <w:p w14:paraId="34DA6804" w14:textId="0C89E72A" w:rsidR="00220F5E" w:rsidRDefault="00115568" w:rsidP="007574A3">
      <w:r>
        <w:t xml:space="preserve">This summary should not be seen as attributable to any </w:t>
      </w:r>
      <w:proofErr w:type="gramStart"/>
      <w:r>
        <w:t>particular stakeholder</w:t>
      </w:r>
      <w:proofErr w:type="gramEnd"/>
      <w:r>
        <w:t xml:space="preserve"> </w:t>
      </w:r>
      <w:r w:rsidR="003C4B53">
        <w:t>as it</w:t>
      </w:r>
      <w:r>
        <w:t xml:space="preserve"> </w:t>
      </w:r>
      <w:r w:rsidR="00701D33">
        <w:t xml:space="preserve">represents our interpretation </w:t>
      </w:r>
      <w:r>
        <w:t xml:space="preserve">and synthesis of </w:t>
      </w:r>
      <w:r w:rsidR="00701D33">
        <w:t>interviews</w:t>
      </w:r>
      <w:r w:rsidR="001965EE">
        <w:t xml:space="preserve"> with </w:t>
      </w:r>
      <w:r w:rsidR="00170334">
        <w:t>selected</w:t>
      </w:r>
      <w:r w:rsidR="003C4B53">
        <w:t xml:space="preserve"> stakeholders</w:t>
      </w:r>
      <w:r w:rsidR="00701D33">
        <w:t xml:space="preserve">, complemented by our </w:t>
      </w:r>
      <w:r w:rsidR="009473E6">
        <w:t>own</w:t>
      </w:r>
      <w:r w:rsidR="00701D33">
        <w:t xml:space="preserve"> research</w:t>
      </w:r>
      <w:r w:rsidR="00F82B1D">
        <w:t xml:space="preserve"> and analysis</w:t>
      </w:r>
      <w:r w:rsidR="00701D33">
        <w:t>.</w:t>
      </w:r>
    </w:p>
    <w:p w14:paraId="4ABB2559" w14:textId="63F2AAC3" w:rsidR="00AA6DCD" w:rsidRDefault="00AA6DCD" w:rsidP="007574A3">
      <w:pPr>
        <w:pStyle w:val="Heading2"/>
        <w:spacing w:line="240" w:lineRule="auto"/>
      </w:pPr>
      <w:bookmarkStart w:id="73" w:name="_Toc176782382"/>
      <w:r>
        <w:t>Sharp practice largely an issue with</w:t>
      </w:r>
      <w:r w:rsidR="004B3910">
        <w:t xml:space="preserve"> non-trades existing workers</w:t>
      </w:r>
      <w:bookmarkEnd w:id="73"/>
    </w:p>
    <w:p w14:paraId="4BD1F145" w14:textId="6A3817AA" w:rsidR="004B3910" w:rsidRDefault="00AA6DCD" w:rsidP="007574A3">
      <w:r>
        <w:t xml:space="preserve">Stakeholders reported </w:t>
      </w:r>
      <w:r w:rsidR="00DE1F96">
        <w:t>the issues with sharp practice were particularly an issue with existing workers in non-trade occupations. This is likely a contributing reason to</w:t>
      </w:r>
      <w:r w:rsidR="004B3910">
        <w:t xml:space="preserve"> why cancellation rates for non-trades Australian Apprentices were higher under the BAC program than </w:t>
      </w:r>
      <w:r w:rsidR="00DE1F96">
        <w:t>their usual rates, which was not the case for trades occupations</w:t>
      </w:r>
      <w:r w:rsidR="004B3910">
        <w:t xml:space="preserve">. </w:t>
      </w:r>
      <w:r w:rsidR="007D31E6">
        <w:t>H</w:t>
      </w:r>
      <w:r w:rsidR="004B3910">
        <w:t>owever, cancellations may also have increased due to other factors like the tight labour market (</w:t>
      </w:r>
      <w:r w:rsidR="00BC3718">
        <w:t xml:space="preserve">Nelms </w:t>
      </w:r>
      <w:r w:rsidR="004B3910">
        <w:t>2017</w:t>
      </w:r>
      <w:r w:rsidR="00BC3718">
        <w:t>, pp28-30</w:t>
      </w:r>
      <w:r w:rsidR="004B3910">
        <w:t xml:space="preserve">). </w:t>
      </w:r>
    </w:p>
    <w:p w14:paraId="5021CDDD" w14:textId="5A66C811" w:rsidR="004B3910" w:rsidRDefault="004B3910" w:rsidP="007574A3">
      <w:r>
        <w:t>To illustrate the dynamic described, the chart below shows how the share of commencements that were existing workers was elevated during the BAC program</w:t>
      </w:r>
      <w:r w:rsidR="00322DEC">
        <w:t xml:space="preserve"> (Figure 1</w:t>
      </w:r>
      <w:r w:rsidR="00E74370">
        <w:t>7</w:t>
      </w:r>
      <w:r w:rsidR="00322DEC">
        <w:t>)</w:t>
      </w:r>
      <w:r w:rsidR="00FC0EF3">
        <w:t xml:space="preserve">. This was </w:t>
      </w:r>
      <w:r>
        <w:t>particular</w:t>
      </w:r>
      <w:r w:rsidR="00DE1F96">
        <w:t>ly</w:t>
      </w:r>
      <w:r w:rsidR="00FC0EF3">
        <w:t xml:space="preserve"> evident</w:t>
      </w:r>
      <w:r>
        <w:t xml:space="preserve"> for non-trades during the early </w:t>
      </w:r>
      <w:r w:rsidR="004E05EE">
        <w:t xml:space="preserve">stages </w:t>
      </w:r>
      <w:r>
        <w:t xml:space="preserve">of the </w:t>
      </w:r>
      <w:proofErr w:type="gramStart"/>
      <w:r>
        <w:t>program</w:t>
      </w:r>
      <w:r w:rsidR="00DE1F96">
        <w:t>, and</w:t>
      </w:r>
      <w:proofErr w:type="gramEnd"/>
      <w:r>
        <w:t xml:space="preserve"> resulted in an increase in the share of non-trade cancellations that were existing workers. </w:t>
      </w:r>
    </w:p>
    <w:p w14:paraId="3F98C8A3" w14:textId="67DCF78B" w:rsidR="007D3EDA" w:rsidRPr="00641184" w:rsidRDefault="00553C2E" w:rsidP="00E10B46">
      <w:pPr>
        <w:pStyle w:val="Chartheading"/>
        <w:spacing w:line="240" w:lineRule="auto"/>
        <w:outlineLvl w:val="9"/>
        <w:rPr>
          <w:noProof/>
        </w:rPr>
      </w:pPr>
      <w:r>
        <w:rPr>
          <w:noProof/>
        </w:rPr>
        <w:lastRenderedPageBreak/>
        <w:t>Figure 1</w:t>
      </w:r>
      <w:r w:rsidR="00E74370">
        <w:rPr>
          <w:noProof/>
        </w:rPr>
        <w:t>7</w:t>
      </w:r>
      <w:r>
        <w:rPr>
          <w:noProof/>
        </w:rPr>
        <w:t xml:space="preserve">: </w:t>
      </w:r>
      <w:r w:rsidR="00C87D27">
        <w:rPr>
          <w:noProof/>
        </w:rPr>
        <w:t>S</w:t>
      </w:r>
      <w:r w:rsidR="00156041">
        <w:rPr>
          <w:noProof/>
        </w:rPr>
        <w:t xml:space="preserve">hare of </w:t>
      </w:r>
      <w:r w:rsidR="005867A5">
        <w:rPr>
          <w:noProof/>
        </w:rPr>
        <w:t xml:space="preserve">commencements and cancellations </w:t>
      </w:r>
      <w:r w:rsidR="00C87D27">
        <w:rPr>
          <w:noProof/>
        </w:rPr>
        <w:t>that are existing workers,</w:t>
      </w:r>
      <w:r w:rsidR="005867A5">
        <w:rPr>
          <w:noProof/>
        </w:rPr>
        <w:t xml:space="preserve"> by </w:t>
      </w:r>
      <w:r w:rsidR="00C87D27">
        <w:rPr>
          <w:noProof/>
        </w:rPr>
        <w:t>trade and non-trade</w:t>
      </w:r>
    </w:p>
    <w:p w14:paraId="4E1E749E" w14:textId="1D2A7B3A" w:rsidR="00641184" w:rsidRDefault="00641184" w:rsidP="007574A3">
      <w:pPr>
        <w:rPr>
          <w:sz w:val="18"/>
          <w:szCs w:val="18"/>
        </w:rPr>
      </w:pPr>
      <w:r>
        <w:rPr>
          <w:noProof/>
          <w:sz w:val="18"/>
          <w:szCs w:val="18"/>
        </w:rPr>
        <w:drawing>
          <wp:inline distT="0" distB="0" distL="0" distR="0" wp14:anchorId="7D730E21" wp14:editId="19CB0924">
            <wp:extent cx="5767070" cy="3108960"/>
            <wp:effectExtent l="0" t="0" r="5080" b="0"/>
            <wp:docPr id="1531732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7070" cy="3108960"/>
                    </a:xfrm>
                    <a:prstGeom prst="rect">
                      <a:avLst/>
                    </a:prstGeom>
                    <a:noFill/>
                  </pic:spPr>
                </pic:pic>
              </a:graphicData>
            </a:graphic>
          </wp:inline>
        </w:drawing>
      </w:r>
    </w:p>
    <w:p w14:paraId="67E9EC52" w14:textId="59DB537B" w:rsidR="004B3910" w:rsidRPr="00D41ACD" w:rsidRDefault="004B3910" w:rsidP="00BB7265">
      <w:pPr>
        <w:pStyle w:val="ChartorTableNote"/>
        <w:rPr>
          <w:szCs w:val="18"/>
        </w:rPr>
      </w:pPr>
      <w:r w:rsidRPr="00580999">
        <w:t xml:space="preserve">Source: </w:t>
      </w:r>
      <w:r>
        <w:rPr>
          <w:szCs w:val="18"/>
        </w:rPr>
        <w:t>NCVER data 2024.</w:t>
      </w:r>
    </w:p>
    <w:p w14:paraId="141BE2B4" w14:textId="364D1F3E" w:rsidR="004B3910" w:rsidRDefault="004B3910" w:rsidP="007574A3">
      <w:r>
        <w:t xml:space="preserve">One of the </w:t>
      </w:r>
      <w:r w:rsidR="000A5885">
        <w:t>li</w:t>
      </w:r>
      <w:r w:rsidR="001C3CA6">
        <w:t xml:space="preserve">kely </w:t>
      </w:r>
      <w:r>
        <w:t>reasons for the particularly large spike in commencements in the quarter BAC was announced was, at that time, the program was capped at 100,000 places. This cap was later removed as part of the 2021-22 Budget. While the cap was intended to limit the overall financial commitment, it inadvertently benefited employers with existing workers that could more rapidly commence in an Australian Apprenticeship, relative to employers that had not yet identified a suitable Australian Apprentice.</w:t>
      </w:r>
    </w:p>
    <w:p w14:paraId="5F2B3A38" w14:textId="77777777" w:rsidR="00DE1F96" w:rsidRDefault="00FD2FA7" w:rsidP="007574A3">
      <w:r>
        <w:t>There are a few reasons sharp practice</w:t>
      </w:r>
      <w:r w:rsidR="00DE1F96">
        <w:t xml:space="preserve">s related to existing workers </w:t>
      </w:r>
      <w:r>
        <w:t>was predominantly seen in relation to non-trades rather than trades</w:t>
      </w:r>
      <w:r w:rsidR="00DE1F96">
        <w:t xml:space="preserve"> occupations: </w:t>
      </w:r>
    </w:p>
    <w:p w14:paraId="542ABCF1" w14:textId="2DB8F2A6" w:rsidR="00FD2FA7" w:rsidRDefault="00FD2FA7" w:rsidP="007574A3">
      <w:pPr>
        <w:pStyle w:val="Bullet"/>
        <w:spacing w:line="240" w:lineRule="auto"/>
      </w:pPr>
      <w:r>
        <w:t xml:space="preserve">Trades training is usually undertaken in-person at a TAFE or other training provider, which requires an employee to be paid to attend classes off-site often for </w:t>
      </w:r>
      <w:r w:rsidR="007E382F">
        <w:t>one</w:t>
      </w:r>
      <w:r>
        <w:t>-day per week. This meant shifting existing workers onto a trades Australian Apprenticeship</w:t>
      </w:r>
      <w:r w:rsidR="001A6039">
        <w:t>—</w:t>
      </w:r>
      <w:r>
        <w:t>but keeping their job roles and responsibilities the same</w:t>
      </w:r>
      <w:r w:rsidR="001A6039">
        <w:t>—</w:t>
      </w:r>
      <w:r>
        <w:t>would</w:t>
      </w:r>
      <w:r w:rsidR="001C3CA6">
        <w:t xml:space="preserve"> be</w:t>
      </w:r>
      <w:r>
        <w:t xml:space="preserve"> </w:t>
      </w:r>
      <w:r w:rsidR="004C6A28">
        <w:t>difficult or im</w:t>
      </w:r>
      <w:r>
        <w:t>possible.</w:t>
      </w:r>
      <w:r w:rsidR="00887DF3">
        <w:t xml:space="preserve"> By contrast, </w:t>
      </w:r>
      <w:r w:rsidR="0004740A">
        <w:t xml:space="preserve">there is greater flexibility in how non-trades training </w:t>
      </w:r>
      <w:r w:rsidR="00887DF3">
        <w:t>is delivered (for example, remotely or on-line rather than in-person).</w:t>
      </w:r>
    </w:p>
    <w:p w14:paraId="069F486A" w14:textId="1C14347E" w:rsidR="00FD2FA7" w:rsidRDefault="00FD2FA7" w:rsidP="007574A3">
      <w:pPr>
        <w:pStyle w:val="Bullet"/>
        <w:spacing w:line="240" w:lineRule="auto"/>
      </w:pPr>
      <w:r>
        <w:t xml:space="preserve">In non-trades occupations like hospitality and office administration (both of which experienced large increases in commencements), there was a greater likelihood of an existing worker being available to commence a qualification than was the case for trades-based industries like, for example, carpentry and plumbing. </w:t>
      </w:r>
    </w:p>
    <w:p w14:paraId="38E09312" w14:textId="7266B607" w:rsidR="005C1C0B" w:rsidRDefault="005C1C0B" w:rsidP="007574A3">
      <w:pPr>
        <w:pStyle w:val="Bullet"/>
        <w:spacing w:line="240" w:lineRule="auto"/>
      </w:pPr>
      <w:r>
        <w:t>The bulk of trades training is delivered by state-government funded TAFEs, whereas a significant share of non-trades training is delivered by for-profit RTOs. The latter may have had a stronger incentive to participate in sharp practices.</w:t>
      </w:r>
    </w:p>
    <w:p w14:paraId="4274D585" w14:textId="77777777" w:rsidR="00FD2FA7" w:rsidRPr="00344C4F" w:rsidRDefault="00FD2FA7" w:rsidP="007574A3">
      <w:pPr>
        <w:pStyle w:val="Heading2"/>
        <w:spacing w:line="240" w:lineRule="auto"/>
      </w:pPr>
      <w:bookmarkStart w:id="74" w:name="_Toc176782383"/>
      <w:r>
        <w:t>Eligibility criteria updated swiftly to address sharp practice</w:t>
      </w:r>
      <w:bookmarkEnd w:id="74"/>
    </w:p>
    <w:p w14:paraId="17302F27" w14:textId="48D65B05" w:rsidR="00FD2FA7" w:rsidRDefault="00FD2FA7" w:rsidP="007574A3">
      <w:r>
        <w:t>Within days of BAC</w:t>
      </w:r>
      <w:r w:rsidR="00D23C3F">
        <w:t xml:space="preserve">’s </w:t>
      </w:r>
      <w:r>
        <w:t xml:space="preserve">launch, the Department </w:t>
      </w:r>
      <w:r w:rsidR="00D23C3F">
        <w:t>of Employment and Workplace Relations</w:t>
      </w:r>
      <w:r w:rsidR="00BD2CDC">
        <w:t xml:space="preserve"> (DEWR) </w:t>
      </w:r>
      <w:r>
        <w:t xml:space="preserve">became aware of the sharp practice issues outlined above due to market intelligence suggesting high numbers of existing worker </w:t>
      </w:r>
      <w:proofErr w:type="spellStart"/>
      <w:r>
        <w:t>sign ups</w:t>
      </w:r>
      <w:proofErr w:type="spellEnd"/>
      <w:r>
        <w:t>. The eligibility criteria were tightened</w:t>
      </w:r>
      <w:r w:rsidR="00764C5B">
        <w:t xml:space="preserve"> </w:t>
      </w:r>
      <w:r>
        <w:t>3 weeks after launch (</w:t>
      </w:r>
      <w:r w:rsidR="00764C5B">
        <w:t xml:space="preserve">the </w:t>
      </w:r>
      <w:r>
        <w:t xml:space="preserve">program launched 5 October 2020, criteria were tightened 28 October). The policy changes were: </w:t>
      </w:r>
    </w:p>
    <w:p w14:paraId="2E8DAADC" w14:textId="177C2F8D" w:rsidR="00FD2FA7" w:rsidRDefault="00FD2FA7" w:rsidP="007574A3">
      <w:pPr>
        <w:pStyle w:val="Bullet"/>
        <w:spacing w:line="240" w:lineRule="auto"/>
      </w:pPr>
      <w:r>
        <w:lastRenderedPageBreak/>
        <w:t>For non-trades occupations, existing workers would only be eligible if they were being transferred from a less secure to more secure form of employment (</w:t>
      </w:r>
      <w:r w:rsidR="00E075BB">
        <w:t>that is</w:t>
      </w:r>
      <w:r>
        <w:t>, from casual to part-time, or from part-time to full-time)</w:t>
      </w:r>
    </w:p>
    <w:p w14:paraId="0BE07C89" w14:textId="77777777" w:rsidR="00FD2FA7" w:rsidRDefault="00FD2FA7" w:rsidP="007574A3">
      <w:pPr>
        <w:pStyle w:val="Bullet"/>
        <w:spacing w:line="240" w:lineRule="auto"/>
      </w:pPr>
      <w:r>
        <w:t xml:space="preserve">Employers could only access the BAC for up to 30 existing workers commencing in a non-trade Australian Apprenticeships. </w:t>
      </w:r>
    </w:p>
    <w:p w14:paraId="3E16599A" w14:textId="0A76D3BA" w:rsidR="00FD2FA7" w:rsidRDefault="00FD2FA7" w:rsidP="007574A3">
      <w:r>
        <w:t>Most stakeholders agreed that these changes limited the frequency of sharp practice, though there was some disagreement on the extent of their impact. Some believed the changes ended sharp practice entirely, others said it substantially curtailed it but did</w:t>
      </w:r>
      <w:r w:rsidR="001046E2">
        <w:t xml:space="preserve"> not</w:t>
      </w:r>
      <w:r>
        <w:t xml:space="preserve"> limit it entirely, while others believed the changes had only a small effect on decreasing sharp practice. This final group argued that existing workers should have been excluded from program eligibility entirely.</w:t>
      </w:r>
    </w:p>
    <w:p w14:paraId="7A784DDF" w14:textId="77777777" w:rsidR="00FD2FA7" w:rsidRDefault="00FD2FA7" w:rsidP="007574A3">
      <w:r>
        <w:t>Stakeholders pointed to a few ways that sharp practice was still possible after the changes.</w:t>
      </w:r>
    </w:p>
    <w:p w14:paraId="7450578C" w14:textId="68C4CD95" w:rsidR="00FD2FA7" w:rsidRDefault="00FD2FA7" w:rsidP="007574A3">
      <w:r>
        <w:t>First, t</w:t>
      </w:r>
      <w:r w:rsidRPr="00B42605">
        <w:t xml:space="preserve">raining </w:t>
      </w:r>
      <w:r>
        <w:t>c</w:t>
      </w:r>
      <w:r w:rsidRPr="00B42605">
        <w:t xml:space="preserve">ontracts were sometimes </w:t>
      </w:r>
      <w:proofErr w:type="gramStart"/>
      <w:r w:rsidRPr="00B42605">
        <w:t>back-dated</w:t>
      </w:r>
      <w:proofErr w:type="gramEnd"/>
      <w:r w:rsidRPr="00B42605">
        <w:t xml:space="preserve"> to start prior to the new eligibility criteria</w:t>
      </w:r>
      <w:r>
        <w:rPr>
          <w:bCs/>
          <w:iCs/>
        </w:rPr>
        <w:t xml:space="preserve">. </w:t>
      </w:r>
      <w:r>
        <w:t>The launch of BAC resulted in such an increase in demand for signing up to an Australian Apprenticeship that the service providers that are responsible for setting up training contracts were overwhelmed with demand. This was used as justification for backdating</w:t>
      </w:r>
      <w:r w:rsidR="003A2487">
        <w:t>—</w:t>
      </w:r>
      <w:r>
        <w:t>for example, if a business had reached out to a service provider prior to the new eligibility criteria but was</w:t>
      </w:r>
      <w:r w:rsidR="004C1FD8">
        <w:t xml:space="preserve"> not</w:t>
      </w:r>
      <w:r>
        <w:t xml:space="preserve"> signed up because the service provider was at capacity and sign-ups were delayed. Backdating of Training Contracts is typically a matter that is regulated by State Training Authorities, with </w:t>
      </w:r>
      <w:r w:rsidR="009D6F1B">
        <w:t xml:space="preserve">DEWR’s </w:t>
      </w:r>
      <w:r>
        <w:t xml:space="preserve">eligibility determination made on the commencement date as approved by the State Training Authority. </w:t>
      </w:r>
      <w:r w:rsidR="009D6F1B">
        <w:t>So,</w:t>
      </w:r>
      <w:r>
        <w:t xml:space="preserve"> this factor would have been more relevant in some states than others.</w:t>
      </w:r>
    </w:p>
    <w:p w14:paraId="493B99A8" w14:textId="28AA0F3B" w:rsidR="00FD2FA7" w:rsidRDefault="00FD2FA7" w:rsidP="007574A3">
      <w:r>
        <w:t>Second, b</w:t>
      </w:r>
      <w:r w:rsidRPr="00373C89">
        <w:t xml:space="preserve">usinesses with more than one </w:t>
      </w:r>
      <w:r w:rsidR="00C71E7A">
        <w:t>Australian Business Number (</w:t>
      </w:r>
      <w:r w:rsidRPr="00373C89">
        <w:t>ABN</w:t>
      </w:r>
      <w:r w:rsidR="00C71E7A">
        <w:t>)</w:t>
      </w:r>
      <w:r w:rsidRPr="00373C89">
        <w:t xml:space="preserve"> could shift non-trades workers over to a different ABN</w:t>
      </w:r>
      <w:r>
        <w:rPr>
          <w:bCs/>
          <w:iCs/>
        </w:rPr>
        <w:t xml:space="preserve">. </w:t>
      </w:r>
      <w:r>
        <w:t xml:space="preserve">This meant the employees became a ‘new worker’ and so restrictions on ‘existing workers’ did not apply. </w:t>
      </w:r>
    </w:p>
    <w:p w14:paraId="0E82AF5B" w14:textId="7E7C7083" w:rsidR="00FD2FA7" w:rsidRDefault="00FD2FA7" w:rsidP="007574A3">
      <w:bookmarkStart w:id="75" w:name="_Hlk173246200"/>
      <w:bookmarkStart w:id="76" w:name="_Hlk173342621"/>
      <w:r>
        <w:t xml:space="preserve">Finally, casual and part-time staff who had been employed for less than 12 months </w:t>
      </w:r>
      <w:proofErr w:type="gramStart"/>
      <w:r w:rsidR="00364D16">
        <w:t>wer</w:t>
      </w:r>
      <w:r>
        <w:t xml:space="preserve">e considered </w:t>
      </w:r>
      <w:r w:rsidR="00364D16">
        <w:t>to be</w:t>
      </w:r>
      <w:proofErr w:type="gramEnd"/>
      <w:r w:rsidR="00364D16">
        <w:t xml:space="preserve"> </w:t>
      </w:r>
      <w:r>
        <w:t xml:space="preserve">‘new </w:t>
      </w:r>
      <w:proofErr w:type="gramStart"/>
      <w:r>
        <w:t>worker</w:t>
      </w:r>
      <w:r w:rsidR="00364D16">
        <w:t>s</w:t>
      </w:r>
      <w:r>
        <w:t>’</w:t>
      </w:r>
      <w:proofErr w:type="gramEnd"/>
      <w:r w:rsidR="00273A60">
        <w:t xml:space="preserve">. Consequently, </w:t>
      </w:r>
      <w:r>
        <w:t>restrictions on the eligibility of ‘existing workers’ to the BAC program d</w:t>
      </w:r>
      <w:r w:rsidR="00364D16">
        <w:t>id</w:t>
      </w:r>
      <w:r>
        <w:t xml:space="preserve"> not apply</w:t>
      </w:r>
      <w:bookmarkEnd w:id="75"/>
      <w:r w:rsidR="00273A60">
        <w:t xml:space="preserve"> to them</w:t>
      </w:r>
      <w:r>
        <w:t>.</w:t>
      </w:r>
      <w:r w:rsidR="007209B0" w:rsidRPr="007209B0">
        <w:rPr>
          <w:rStyle w:val="FootnoteReference"/>
          <w:vertAlign w:val="superscript"/>
        </w:rPr>
        <w:footnoteReference w:id="6"/>
      </w:r>
      <w:r>
        <w:t xml:space="preserve"> </w:t>
      </w:r>
      <w:bookmarkEnd w:id="76"/>
      <w:r w:rsidR="00C732E9">
        <w:t>Some stakeholder</w:t>
      </w:r>
      <w:r w:rsidR="00ED234B">
        <w:t>s</w:t>
      </w:r>
      <w:r w:rsidR="00C732E9">
        <w:t xml:space="preserve"> </w:t>
      </w:r>
      <w:r w:rsidR="00ED234B">
        <w:t>suggested</w:t>
      </w:r>
      <w:r w:rsidR="001F3904">
        <w:t xml:space="preserve"> i</w:t>
      </w:r>
      <w:r>
        <w:t xml:space="preserve">t could be worth modifying </w:t>
      </w:r>
      <w:r w:rsidR="00C57ABA">
        <w:t xml:space="preserve">this definition since </w:t>
      </w:r>
      <w:r>
        <w:t xml:space="preserve">a casual/part-time employee who has been at </w:t>
      </w:r>
      <w:r w:rsidR="00C366B6">
        <w:t xml:space="preserve">a </w:t>
      </w:r>
      <w:r>
        <w:t>company for 11 months would probably be better considered an existing employee.</w:t>
      </w:r>
    </w:p>
    <w:p w14:paraId="0CD4CFDC" w14:textId="77777777" w:rsidR="004B3910" w:rsidRPr="009E66DB" w:rsidRDefault="004B3910" w:rsidP="007574A3">
      <w:pPr>
        <w:pStyle w:val="Heading2"/>
        <w:spacing w:line="240" w:lineRule="auto"/>
      </w:pPr>
      <w:bookmarkStart w:id="77" w:name="_Toc176782384"/>
      <w:r>
        <w:t>Some RTOs and third-party brokers drove sharp practice</w:t>
      </w:r>
      <w:bookmarkEnd w:id="77"/>
    </w:p>
    <w:p w14:paraId="5B36F4CD" w14:textId="394C3D9C" w:rsidR="004B3910" w:rsidRDefault="00CC170F" w:rsidP="007574A3">
      <w:r>
        <w:t>Interview</w:t>
      </w:r>
      <w:r w:rsidR="0085668F">
        <w:t>ed stakeholders</w:t>
      </w:r>
      <w:r>
        <w:t xml:space="preserve"> reported that s</w:t>
      </w:r>
      <w:r w:rsidR="004B3910">
        <w:t>harp practice was enabled and driven by some Registered Training Organisations (RTOs) and third-party brokers seeking a financial benefit from the program. These organisations would advertise to employers that they could assist the employer get a 50% wage subsidy in exchange for some proportion of the wage subsidy amount. For example, some said their fee was the first BAC quarterly payment (</w:t>
      </w:r>
      <w:r w:rsidR="008D5566">
        <w:t>that is</w:t>
      </w:r>
      <w:r w:rsidR="004B3910">
        <w:t xml:space="preserve">, </w:t>
      </w:r>
      <w:r w:rsidR="008D5566">
        <w:t xml:space="preserve">a </w:t>
      </w:r>
      <w:r w:rsidR="004B3910">
        <w:t>max</w:t>
      </w:r>
      <w:r w:rsidR="008D5566">
        <w:t>imum</w:t>
      </w:r>
      <w:r w:rsidR="004B3910">
        <w:t xml:space="preserve"> of $7,000 per employee), and that the business would receive all payments thereafter. Stakeholders reported that many of the RTOs involved in these practices were </w:t>
      </w:r>
      <w:proofErr w:type="gramStart"/>
      <w:r w:rsidR="004B3910">
        <w:t>similar to</w:t>
      </w:r>
      <w:proofErr w:type="gramEnd"/>
      <w:r w:rsidR="004B3910">
        <w:t xml:space="preserve"> those involved in fraudulent or sharp practices targeting international students. </w:t>
      </w:r>
    </w:p>
    <w:p w14:paraId="665A3A0E" w14:textId="0BEDBB01" w:rsidR="004B3910" w:rsidRDefault="004B3910" w:rsidP="007574A3">
      <w:r>
        <w:lastRenderedPageBreak/>
        <w:t xml:space="preserve">The third-party brokers played the same role as the RTOs but in completing administrative functions around claiming payments, but linked employers up with an RTO to deliver training (rather than delivering the training themselves). Interestingly, some stakeholders commented that these third-party brokers had not previously existed in the </w:t>
      </w:r>
      <w:r w:rsidR="00FB0611">
        <w:t xml:space="preserve">vocational </w:t>
      </w:r>
      <w:r w:rsidR="00C8097E">
        <w:t>education sys</w:t>
      </w:r>
      <w:r>
        <w:t xml:space="preserve">tem in Australia but emerged following the launch of the BAC program when there was opportunity to benefit from the large quantity of funding available. </w:t>
      </w:r>
    </w:p>
    <w:p w14:paraId="2E722645" w14:textId="1235A875" w:rsidR="004B3910" w:rsidRDefault="00115568" w:rsidP="007574A3">
      <w:r>
        <w:t xml:space="preserve">In some cases, </w:t>
      </w:r>
      <w:r w:rsidR="004B3910">
        <w:t xml:space="preserve">employers </w:t>
      </w:r>
      <w:r w:rsidR="00D171F0">
        <w:t>may</w:t>
      </w:r>
      <w:r w:rsidR="00EF3038">
        <w:t xml:space="preserve"> not have </w:t>
      </w:r>
      <w:r w:rsidR="004B3910" w:rsidRPr="00115568">
        <w:rPr>
          <w:i/>
          <w:iCs/>
        </w:rPr>
        <w:t>intentionally</w:t>
      </w:r>
      <w:r w:rsidR="004B3910">
        <w:t xml:space="preserve"> engag</w:t>
      </w:r>
      <w:r w:rsidR="00EF3038">
        <w:t>ed</w:t>
      </w:r>
      <w:r w:rsidR="004B3910">
        <w:t xml:space="preserve"> in sharp </w:t>
      </w:r>
      <w:proofErr w:type="gramStart"/>
      <w:r w:rsidR="004B3910">
        <w:t>practice, but</w:t>
      </w:r>
      <w:proofErr w:type="gramEnd"/>
      <w:r w:rsidR="004B3910">
        <w:t xml:space="preserve"> </w:t>
      </w:r>
      <w:r w:rsidR="00D171F0">
        <w:t>were</w:t>
      </w:r>
      <w:r w:rsidR="004B3910">
        <w:t xml:space="preserve"> </w:t>
      </w:r>
      <w:r w:rsidR="00830BC2">
        <w:t>misled</w:t>
      </w:r>
      <w:r w:rsidR="004B3910">
        <w:t xml:space="preserve"> by the RTOs and third-party brokers</w:t>
      </w:r>
      <w:r w:rsidR="001915EA">
        <w:t>.</w:t>
      </w:r>
      <w:r w:rsidR="004B3910">
        <w:t xml:space="preserve"> For example, </w:t>
      </w:r>
      <w:r w:rsidR="003E2993">
        <w:t xml:space="preserve">interview participants suggested that </w:t>
      </w:r>
      <w:r w:rsidR="004B3910">
        <w:t>some RTOs and third-party brokers did not properly inform businesses about their responsibilities under the Training Contract</w:t>
      </w:r>
      <w:r w:rsidR="00FE0A37">
        <w:t>—</w:t>
      </w:r>
      <w:r w:rsidR="004B3910">
        <w:t xml:space="preserve">including the need to monitor and support the Australian Apprentice’s development, release them from work to complete the study components of their training, and pay employees for time spent studying. In some cases, such businesses were later investigated by regulators for whether they were fulfilling their responsibilities under the Training Contract. </w:t>
      </w:r>
      <w:r w:rsidR="00431AC7">
        <w:t>T</w:t>
      </w:r>
      <w:r w:rsidR="004B3910">
        <w:t xml:space="preserve">his resulted in some employers having an overall negative experience of taking part in the Australian Apprenticeships systems and being less likely to engage again in future because they were investigated for not fulfilling obligations </w:t>
      </w:r>
      <w:r w:rsidR="00396A11">
        <w:t xml:space="preserve">of </w:t>
      </w:r>
      <w:r w:rsidR="004B3910">
        <w:t xml:space="preserve">which they were </w:t>
      </w:r>
      <w:r w:rsidR="00396A11">
        <w:t>un</w:t>
      </w:r>
      <w:r w:rsidR="004B3910">
        <w:t>aware.</w:t>
      </w:r>
    </w:p>
    <w:p w14:paraId="6C32F038" w14:textId="75B4E2DD" w:rsidR="004B3910" w:rsidRPr="002248EB" w:rsidRDefault="00760AF0" w:rsidP="007574A3">
      <w:pPr>
        <w:pStyle w:val="Heading2"/>
        <w:spacing w:line="240" w:lineRule="auto"/>
      </w:pPr>
      <w:bookmarkStart w:id="78" w:name="_Toc176782385"/>
      <w:r>
        <w:t>S</w:t>
      </w:r>
      <w:r w:rsidR="004B3910">
        <w:t>ervice providers</w:t>
      </w:r>
      <w:r>
        <w:t xml:space="preserve">, under pressure, </w:t>
      </w:r>
      <w:r w:rsidR="004B3910">
        <w:t>struggled to mitigate sharp practice</w:t>
      </w:r>
      <w:bookmarkEnd w:id="78"/>
    </w:p>
    <w:p w14:paraId="7936754C" w14:textId="1081E053" w:rsidR="004B3910" w:rsidRDefault="004B3910" w:rsidP="007574A3">
      <w:proofErr w:type="gramStart"/>
      <w:r>
        <w:t>In order for</w:t>
      </w:r>
      <w:proofErr w:type="gramEnd"/>
      <w:r>
        <w:t xml:space="preserve"> an employee to undertake an Australian Apprenticeship, they must enter a Training Contract. DEWR</w:t>
      </w:r>
      <w:r w:rsidR="00144006">
        <w:t xml:space="preserve"> contracts primary responsibility for </w:t>
      </w:r>
      <w:r w:rsidR="00ED5196">
        <w:t xml:space="preserve">conducting Training Contract sign-ups to </w:t>
      </w:r>
      <w:r>
        <w:t>Australian Apprenticeship Support Services providers</w:t>
      </w:r>
      <w:r w:rsidR="004C7B81">
        <w:t xml:space="preserve"> (‘service providers’</w:t>
      </w:r>
      <w:r w:rsidR="00067F4B">
        <w:t>).</w:t>
      </w:r>
    </w:p>
    <w:p w14:paraId="393EE69C" w14:textId="6F893483" w:rsidR="004B3910" w:rsidRDefault="004B3910" w:rsidP="007574A3">
      <w:r>
        <w:t xml:space="preserve">Some stakeholders argued that the problems outlined above were exacerbated because not all service providers were diligent in </w:t>
      </w:r>
      <w:r w:rsidR="00F80906">
        <w:t xml:space="preserve">their duties. </w:t>
      </w:r>
      <w:r w:rsidR="00847B29">
        <w:t>For example, service providers could have probed whether the individual was a good fit for the training they were being signed up to</w:t>
      </w:r>
      <w:r w:rsidR="00CA4DE6">
        <w:t xml:space="preserve">. This </w:t>
      </w:r>
      <w:r w:rsidR="00221888">
        <w:t xml:space="preserve">provides an indication of whether the </w:t>
      </w:r>
      <w:r w:rsidR="00CA4DE6">
        <w:t xml:space="preserve">sign up was being undertaken for the primary purpose of accessing the wage subsidy, </w:t>
      </w:r>
      <w:r w:rsidR="00221888">
        <w:t xml:space="preserve">rather than </w:t>
      </w:r>
      <w:r w:rsidR="00CA4DE6">
        <w:t xml:space="preserve">skill development. </w:t>
      </w:r>
      <w:r w:rsidR="00EA45F1">
        <w:t xml:space="preserve">In some cases, service providers could also have more clearly explained </w:t>
      </w:r>
      <w:r w:rsidR="00336C4E">
        <w:t xml:space="preserve">to businesses their </w:t>
      </w:r>
      <w:r w:rsidR="00EA45F1">
        <w:t xml:space="preserve">obligations </w:t>
      </w:r>
      <w:r w:rsidR="00336C4E">
        <w:t>as</w:t>
      </w:r>
      <w:r w:rsidR="00EA45F1">
        <w:t xml:space="preserve"> employers </w:t>
      </w:r>
      <w:r w:rsidR="00336C4E">
        <w:t xml:space="preserve">of an </w:t>
      </w:r>
      <w:r w:rsidR="00471AE0">
        <w:t>Australian A</w:t>
      </w:r>
      <w:r w:rsidR="00336C4E">
        <w:t>pprentice</w:t>
      </w:r>
      <w:r w:rsidR="00471AE0">
        <w:t xml:space="preserve"> </w:t>
      </w:r>
      <w:r w:rsidR="00512124">
        <w:t>(for example, to</w:t>
      </w:r>
      <w:r w:rsidR="00471AE0">
        <w:t xml:space="preserve"> </w:t>
      </w:r>
      <w:r w:rsidR="00512124">
        <w:t>pay Australian Apprentices for</w:t>
      </w:r>
      <w:r w:rsidR="00336C4E">
        <w:t xml:space="preserve"> </w:t>
      </w:r>
      <w:r w:rsidR="00D261E8">
        <w:t>the off-the-job study components</w:t>
      </w:r>
      <w:r w:rsidR="00512124">
        <w:t xml:space="preserve"> of their training)</w:t>
      </w:r>
      <w:r w:rsidR="00D261E8">
        <w:t>.</w:t>
      </w:r>
    </w:p>
    <w:p w14:paraId="3D21CE35" w14:textId="73CDBFAC" w:rsidR="004B3910" w:rsidRDefault="004B3910" w:rsidP="007574A3">
      <w:r>
        <w:t xml:space="preserve">Some of these issues are understandable. Service providers were experiencing staffing and resourcing pressures </w:t>
      </w:r>
      <w:proofErr w:type="gramStart"/>
      <w:r>
        <w:t>similar to</w:t>
      </w:r>
      <w:proofErr w:type="gramEnd"/>
      <w:r>
        <w:t xml:space="preserve"> other businesses during the early stages of the COVID-19 pandemic. These pressures were exacerbated by the sudden and significant increase in demand for sign-up activities (typically undertaken in person) due to the BAC program It is not unexpected that there was an overall decrease in the level of rigour around sign-ups during this period.</w:t>
      </w:r>
    </w:p>
    <w:p w14:paraId="54F0916F" w14:textId="4440E362" w:rsidR="004B3910" w:rsidRDefault="004B3910" w:rsidP="007574A3">
      <w:r>
        <w:t xml:space="preserve">On the other hand, government pays service providers a set fee per </w:t>
      </w:r>
      <w:r w:rsidR="00F3136A">
        <w:t xml:space="preserve">trainee they </w:t>
      </w:r>
      <w:r>
        <w:t xml:space="preserve">sign up. </w:t>
      </w:r>
      <w:r w:rsidR="00F3136A">
        <w:t>Some stakeholders argued that this means service providers have a financial incentive to sign up as many trainees as possible without applying the due diligence expected of them</w:t>
      </w:r>
      <w:r w:rsidR="007C571C">
        <w:t>, and this became a particular issue with the higher levels of sharp practice under the BAC program</w:t>
      </w:r>
      <w:r>
        <w:t>.</w:t>
      </w:r>
    </w:p>
    <w:p w14:paraId="682DD654" w14:textId="3C5CDBAE" w:rsidR="009A1C39" w:rsidRPr="00A07E6E" w:rsidRDefault="00F4231B" w:rsidP="007574A3">
      <w:pPr>
        <w:pStyle w:val="Heading1"/>
        <w:spacing w:line="240" w:lineRule="auto"/>
      </w:pPr>
      <w:bookmarkStart w:id="79" w:name="_Toc176782386"/>
      <w:r>
        <w:lastRenderedPageBreak/>
        <w:t>Discussion and conclusion</w:t>
      </w:r>
      <w:bookmarkEnd w:id="79"/>
    </w:p>
    <w:p w14:paraId="78AD11C2" w14:textId="49CB38EE" w:rsidR="002151E4" w:rsidRDefault="002151E4" w:rsidP="007574A3">
      <w:pPr>
        <w:pStyle w:val="Heading2"/>
        <w:spacing w:line="240" w:lineRule="auto"/>
      </w:pPr>
      <w:bookmarkStart w:id="80" w:name="_Toc176782387"/>
      <w:r>
        <w:t>Findings</w:t>
      </w:r>
      <w:bookmarkEnd w:id="80"/>
    </w:p>
    <w:p w14:paraId="63F2B6E5" w14:textId="77777777" w:rsidR="00D2197F" w:rsidRDefault="00D2197F" w:rsidP="007574A3">
      <w:r>
        <w:t xml:space="preserve">Overall, the BAC program had a large positive effect on Australian Apprenticeship </w:t>
      </w:r>
      <w:r w:rsidRPr="00F52FD3">
        <w:t>commencements</w:t>
      </w:r>
      <w:r w:rsidRPr="00F65F30">
        <w:t xml:space="preserve">. There were about </w:t>
      </w:r>
      <w:r w:rsidR="005D4E58" w:rsidRPr="00F65F30">
        <w:t>19</w:t>
      </w:r>
      <w:r w:rsidR="005D4E58">
        <w:t>1</w:t>
      </w:r>
      <w:r w:rsidRPr="00F65F30">
        <w:t xml:space="preserve">,000 (between 160,000-220,000) additional commencements during the 7 calendar quarters that the BAC program was open to entrants, compared to what </w:t>
      </w:r>
      <w:r>
        <w:t xml:space="preserve">modelling suggests </w:t>
      </w:r>
      <w:r w:rsidRPr="00F65F30">
        <w:t xml:space="preserve">would have been expected without </w:t>
      </w:r>
      <w:r>
        <w:t>BAC</w:t>
      </w:r>
      <w:r w:rsidRPr="00F65F30">
        <w:t xml:space="preserve">. This </w:t>
      </w:r>
      <w:r w:rsidR="00DB7269">
        <w:t xml:space="preserve">represents </w:t>
      </w:r>
      <w:r w:rsidRPr="00F65F30">
        <w:t xml:space="preserve">an increase of about 70 per cent on the level of commencements that would </w:t>
      </w:r>
      <w:r w:rsidR="00682697">
        <w:t xml:space="preserve">likely </w:t>
      </w:r>
      <w:r w:rsidRPr="00F65F30">
        <w:t xml:space="preserve">have occurred in the absence of the BAC. </w:t>
      </w:r>
    </w:p>
    <w:p w14:paraId="715F4F19" w14:textId="77777777" w:rsidR="00D2197F" w:rsidRPr="00027213" w:rsidRDefault="00D2197F" w:rsidP="007574A3">
      <w:r w:rsidRPr="00F65F30">
        <w:t xml:space="preserve">The </w:t>
      </w:r>
      <w:r>
        <w:t xml:space="preserve">increase in commencements was especially pronounced </w:t>
      </w:r>
      <w:r w:rsidR="00A07E6E">
        <w:t>in</w:t>
      </w:r>
      <w:r>
        <w:t xml:space="preserve"> non-trade occupations (</w:t>
      </w:r>
      <w:r w:rsidR="005D4E58">
        <w:t>114,000) but was also observed in trade occupations (77,000).</w:t>
      </w:r>
      <w:r>
        <w:t xml:space="preserve"> Additional commencements were higher in the first and last quarters of the BAC program. These patterns were broadly consistent across states. </w:t>
      </w:r>
    </w:p>
    <w:p w14:paraId="706A5F1A" w14:textId="77777777" w:rsidR="0084110E" w:rsidRDefault="003E1218" w:rsidP="007574A3">
      <w:r>
        <w:t>Cancellation rates</w:t>
      </w:r>
      <w:r w:rsidRPr="0B5B3ADB">
        <w:rPr>
          <w:b/>
          <w:bCs/>
        </w:rPr>
        <w:t xml:space="preserve"> </w:t>
      </w:r>
      <w:r>
        <w:t xml:space="preserve">were higher for </w:t>
      </w:r>
      <w:r w:rsidRPr="0B5B3ADB">
        <w:rPr>
          <w:i/>
          <w:iCs/>
        </w:rPr>
        <w:t>non-trade</w:t>
      </w:r>
      <w:r>
        <w:t xml:space="preserve"> commencements (7%</w:t>
      </w:r>
      <w:r w:rsidR="00922F07">
        <w:t xml:space="preserve"> increase</w:t>
      </w:r>
      <w:r>
        <w:t>) during BAC, but slightly lower for trade commencements (0.7%</w:t>
      </w:r>
      <w:r w:rsidR="00922F07">
        <w:t xml:space="preserve"> decrease</w:t>
      </w:r>
      <w:r>
        <w:t xml:space="preserve">). </w:t>
      </w:r>
      <w:r w:rsidR="00004181">
        <w:t>Cancellation rates were particularly high for occupations that experienced a strong growth in commencements due to the BAC program</w:t>
      </w:r>
      <w:r w:rsidR="0084110E">
        <w:t xml:space="preserve">. </w:t>
      </w:r>
    </w:p>
    <w:p w14:paraId="3BCF4D60" w14:textId="77777777" w:rsidR="002E5AC7" w:rsidRDefault="00EC6B1E" w:rsidP="007574A3">
      <w:r>
        <w:t>During interviews, some</w:t>
      </w:r>
      <w:r w:rsidR="00F4056D">
        <w:t xml:space="preserve"> </w:t>
      </w:r>
      <w:r>
        <w:t>stakeholders</w:t>
      </w:r>
      <w:r w:rsidR="0011110E">
        <w:t xml:space="preserve"> </w:t>
      </w:r>
      <w:r w:rsidR="0000675C">
        <w:t xml:space="preserve">reported </w:t>
      </w:r>
      <w:r w:rsidR="003E7CCE">
        <w:t xml:space="preserve">there was </w:t>
      </w:r>
      <w:r w:rsidR="002A6DFA">
        <w:t xml:space="preserve">substantial </w:t>
      </w:r>
      <w:r w:rsidR="009774C1">
        <w:t xml:space="preserve">sharp practice </w:t>
      </w:r>
      <w:r w:rsidR="0006605C">
        <w:t xml:space="preserve">in non-trade occupations </w:t>
      </w:r>
      <w:r w:rsidR="009774C1">
        <w:t xml:space="preserve">where </w:t>
      </w:r>
      <w:r w:rsidR="0006605C">
        <w:t xml:space="preserve">businesses converted existing workers </w:t>
      </w:r>
      <w:r w:rsidR="00181650">
        <w:t xml:space="preserve">to </w:t>
      </w:r>
      <w:r w:rsidR="00357979">
        <w:t xml:space="preserve">Australian Apprenticeships </w:t>
      </w:r>
      <w:r w:rsidR="00181650">
        <w:t>for the purpose of receiving the wage subsidy rather than for the purpose of training</w:t>
      </w:r>
      <w:r w:rsidR="00A07E6E">
        <w:t>.</w:t>
      </w:r>
      <w:r w:rsidR="00181650">
        <w:t xml:space="preserve"> </w:t>
      </w:r>
      <w:r w:rsidR="003049A4">
        <w:t>This was likely one of the key drivers of the higher cancellation rates for non-trade occupat</w:t>
      </w:r>
      <w:r w:rsidR="00C3632A">
        <w:t>ions</w:t>
      </w:r>
      <w:r w:rsidR="001B3071">
        <w:t xml:space="preserve"> as employees who</w:t>
      </w:r>
      <w:r w:rsidR="00C3632A">
        <w:t xml:space="preserve"> </w:t>
      </w:r>
      <w:r w:rsidR="00C20025">
        <w:t xml:space="preserve">were </w:t>
      </w:r>
      <w:r w:rsidR="001F6994">
        <w:t xml:space="preserve">not actually interested in training </w:t>
      </w:r>
      <w:r w:rsidR="00B53450">
        <w:t>cancelled their training once their employers had received the wage subsidy.</w:t>
      </w:r>
      <w:r w:rsidR="001F6994">
        <w:t xml:space="preserve"> </w:t>
      </w:r>
    </w:p>
    <w:p w14:paraId="1AD82921" w14:textId="77777777" w:rsidR="005C5019" w:rsidRPr="009A1810" w:rsidRDefault="009935F0" w:rsidP="007574A3">
      <w:pPr>
        <w:rPr>
          <w:rFonts w:cs="Calibri Light"/>
        </w:rPr>
      </w:pPr>
      <w:r>
        <w:t>While the program was successful in boosting both commencement and completions</w:t>
      </w:r>
      <w:r w:rsidR="005C5019">
        <w:t>, it did so at a substantial cost of approximately $40,000 per additional commencement and approximately $</w:t>
      </w:r>
      <w:r w:rsidR="00125C38">
        <w:t>8</w:t>
      </w:r>
      <w:r w:rsidR="005C5019">
        <w:t xml:space="preserve">0,000 per additional completion. </w:t>
      </w:r>
    </w:p>
    <w:p w14:paraId="3CF87C43" w14:textId="77777777" w:rsidR="006B213A" w:rsidRPr="00FB156E" w:rsidRDefault="00AC4A6B" w:rsidP="007574A3">
      <w:pPr>
        <w:pStyle w:val="Heading2"/>
        <w:spacing w:line="240" w:lineRule="auto"/>
      </w:pPr>
      <w:bookmarkStart w:id="81" w:name="_Toc172722005"/>
      <w:bookmarkStart w:id="82" w:name="_Toc176782388"/>
      <w:r>
        <w:t xml:space="preserve">Lessons </w:t>
      </w:r>
      <w:r w:rsidR="006B213A">
        <w:t xml:space="preserve">for the design of </w:t>
      </w:r>
      <w:bookmarkStart w:id="83" w:name="_Hlk171610969"/>
      <w:r w:rsidR="006B213A">
        <w:t xml:space="preserve">future </w:t>
      </w:r>
      <w:bookmarkEnd w:id="83"/>
      <w:r w:rsidR="006B213A">
        <w:t>policies</w:t>
      </w:r>
      <w:bookmarkEnd w:id="81"/>
      <w:bookmarkEnd w:id="82"/>
    </w:p>
    <w:p w14:paraId="0D7279DC" w14:textId="5CA06761" w:rsidR="008C4A3B" w:rsidRDefault="008C4A3B" w:rsidP="007574A3">
      <w:r>
        <w:t xml:space="preserve">In this section, we summarise </w:t>
      </w:r>
      <w:r w:rsidR="00B3362A">
        <w:t>l</w:t>
      </w:r>
      <w:r>
        <w:t xml:space="preserve">essons from the </w:t>
      </w:r>
      <w:r w:rsidR="00F7541D">
        <w:t xml:space="preserve">BAC </w:t>
      </w:r>
      <w:r>
        <w:t>program</w:t>
      </w:r>
      <w:r w:rsidR="00A9396F">
        <w:t xml:space="preserve"> for the design of </w:t>
      </w:r>
      <w:r w:rsidR="00C944EA">
        <w:t xml:space="preserve">similar </w:t>
      </w:r>
      <w:r w:rsidR="00400F1F">
        <w:t xml:space="preserve">apprenticeship incentives </w:t>
      </w:r>
      <w:r w:rsidR="00C944EA">
        <w:t xml:space="preserve">in </w:t>
      </w:r>
      <w:r w:rsidR="00A9396F">
        <w:t>future.</w:t>
      </w:r>
      <w:r w:rsidR="007E2FAE">
        <w:t xml:space="preserve"> These lessons are </w:t>
      </w:r>
      <w:r w:rsidR="00A4673E">
        <w:t xml:space="preserve">distilled from </w:t>
      </w:r>
      <w:r w:rsidR="00AC25A0">
        <w:t xml:space="preserve">our </w:t>
      </w:r>
      <w:r w:rsidR="00A4673E">
        <w:t xml:space="preserve">quantitative analysis, interviews with </w:t>
      </w:r>
      <w:r w:rsidR="00B44F68">
        <w:t>selected stakeholders</w:t>
      </w:r>
      <w:r w:rsidR="00A4673E">
        <w:t>, and desktop research.</w:t>
      </w:r>
    </w:p>
    <w:p w14:paraId="5FD093EC" w14:textId="7DA4C9C0" w:rsidR="007D5BA6" w:rsidRDefault="00CF4206" w:rsidP="007574A3">
      <w:r>
        <w:t>The</w:t>
      </w:r>
      <w:r w:rsidRPr="007D077C">
        <w:t xml:space="preserve"> BAC program was implemented under tight timeframes during a time of distinct economic uncertainty</w:t>
      </w:r>
      <w:r>
        <w:t>, and so m</w:t>
      </w:r>
      <w:r w:rsidRPr="007D077C">
        <w:t>any of these lessons w</w:t>
      </w:r>
      <w:r>
        <w:t>ould</w:t>
      </w:r>
      <w:r w:rsidRPr="007D077C">
        <w:t xml:space="preserve"> not </w:t>
      </w:r>
      <w:r>
        <w:t xml:space="preserve">have been </w:t>
      </w:r>
      <w:r w:rsidRPr="007D077C">
        <w:t>apparent at the time the BAC program was first designed and implemented</w:t>
      </w:r>
      <w:r>
        <w:t xml:space="preserve">. </w:t>
      </w:r>
      <w:r w:rsidR="007D5BA6">
        <w:t>This provides a particularly valuable opportunity for future policymakers to learn from the</w:t>
      </w:r>
      <w:r w:rsidR="00BF70F5">
        <w:t xml:space="preserve"> BAC experience</w:t>
      </w:r>
      <w:r w:rsidR="007D5BA6">
        <w:t>.</w:t>
      </w:r>
    </w:p>
    <w:p w14:paraId="70C24ADA" w14:textId="5CEE7452" w:rsidR="00750F6E" w:rsidRDefault="00750F6E" w:rsidP="00E10B46">
      <w:pPr>
        <w:pStyle w:val="Heading3"/>
      </w:pPr>
      <w:bookmarkStart w:id="84" w:name="_Toc176782389"/>
      <w:r>
        <w:t>Lesson 1: Eligibility criteria for apprenticeship incentives should anticipate the risk of sharp practice</w:t>
      </w:r>
      <w:bookmarkEnd w:id="84"/>
    </w:p>
    <w:p w14:paraId="68BE7006" w14:textId="77777777" w:rsidR="00750F6E" w:rsidRDefault="00750F6E" w:rsidP="00750F6E">
      <w:r>
        <w:t>The substantial increase in funding for apprenticeships provided through the BAC program created incentives for ‘sharp practice’. This was particularly evident for existing workers in non-trades occupations. That is, some firms transferred existing workers onto an Australian Apprenticeship for the purpose of receiving the wage subsidy, rather than to pursue training.</w:t>
      </w:r>
    </w:p>
    <w:p w14:paraId="6CDC867F" w14:textId="77777777" w:rsidR="00750F6E" w:rsidRDefault="00750F6E" w:rsidP="00750F6E">
      <w:r>
        <w:t>The eligibility criteria for existing workers were tightened within the first few weeks of the BAC program’s launch. The change reduced the prevalence of sharp practice. In future, eligibility criteria for existing workers to access apprenticeship incentives should build on this experience.</w:t>
      </w:r>
    </w:p>
    <w:p w14:paraId="63209AB0" w14:textId="0A37C079" w:rsidR="00750F6E" w:rsidRPr="00E27D7B" w:rsidRDefault="00750F6E" w:rsidP="00E10B46">
      <w:pPr>
        <w:pStyle w:val="Heading3"/>
      </w:pPr>
      <w:bookmarkStart w:id="85" w:name="_Toc176782390"/>
      <w:r>
        <w:lastRenderedPageBreak/>
        <w:t>Lesson 2: Recognise the risks associated with a rapid, substantial increase in funding</w:t>
      </w:r>
      <w:bookmarkEnd w:id="85"/>
    </w:p>
    <w:p w14:paraId="445F4456" w14:textId="77777777" w:rsidR="00750F6E" w:rsidRDefault="00750F6E" w:rsidP="00750F6E">
      <w:r>
        <w:t xml:space="preserve">A further lesson is just to recognise the risks arising from the sheer size of the BAC program. Annual government payments to employers with an Australian Apprenticeship increased by approximately ten-fold from pre-COVID to the height of the BAC program ($360 million for FY2018-19 to $3.8 billion in FY2021-22). </w:t>
      </w:r>
    </w:p>
    <w:p w14:paraId="15CD6000" w14:textId="77777777" w:rsidR="00750F6E" w:rsidRDefault="00750F6E" w:rsidP="00750F6E">
      <w:r>
        <w:t xml:space="preserve">Had the subsidy been smaller, there would have been less incentive for a minority of RTOs and third-party brokers to encourage sharp practice, or for businesses to engage in it. Similarly, there would have been less risk that service providers, regulators and training providers were overwhelmed by the surge in demand. </w:t>
      </w:r>
    </w:p>
    <w:p w14:paraId="02E8A1CB" w14:textId="77777777" w:rsidR="00750F6E" w:rsidRDefault="00750F6E" w:rsidP="00750F6E">
      <w:pPr>
        <w:rPr>
          <w:rFonts w:cs="Calibri Light"/>
        </w:rPr>
      </w:pPr>
      <w:r>
        <w:rPr>
          <w:rFonts w:cs="Calibri Light"/>
        </w:rPr>
        <w:t xml:space="preserve">Future apprenticeship incentive programs should consider these potential </w:t>
      </w:r>
      <w:r w:rsidRPr="0B5B3ADB">
        <w:rPr>
          <w:rFonts w:cs="Calibri Light"/>
        </w:rPr>
        <w:t xml:space="preserve">‘growing pains’ and </w:t>
      </w:r>
      <w:r>
        <w:rPr>
          <w:rFonts w:cs="Calibri Light"/>
        </w:rPr>
        <w:t xml:space="preserve">adapt the program design and implementation accordingly. </w:t>
      </w:r>
      <w:r w:rsidR="003F4B1D">
        <w:rPr>
          <w:rFonts w:cs="Calibri Light"/>
        </w:rPr>
        <w:t xml:space="preserve">For example, if possible, it may help if the incentive program starts </w:t>
      </w:r>
      <w:proofErr w:type="gramStart"/>
      <w:r w:rsidR="003F4B1D">
        <w:rPr>
          <w:rFonts w:cs="Calibri Light"/>
        </w:rPr>
        <w:t>small, and</w:t>
      </w:r>
      <w:proofErr w:type="gramEnd"/>
      <w:r w:rsidR="003F4B1D">
        <w:rPr>
          <w:rFonts w:cs="Calibri Light"/>
        </w:rPr>
        <w:t xml:space="preserve"> then is expanded over time.</w:t>
      </w:r>
      <w:r w:rsidR="003F4B1D" w:rsidRPr="0B5B3ADB">
        <w:rPr>
          <w:rFonts w:cs="Calibri Light"/>
        </w:rPr>
        <w:t xml:space="preserve"> This could </w:t>
      </w:r>
      <w:r w:rsidR="003F4B1D">
        <w:rPr>
          <w:rFonts w:cs="Calibri Light"/>
        </w:rPr>
        <w:t>be achieved by</w:t>
      </w:r>
      <w:r w:rsidR="003F4B1D" w:rsidRPr="0B5B3ADB">
        <w:rPr>
          <w:rFonts w:cs="Calibri Light"/>
        </w:rPr>
        <w:t xml:space="preserve"> initially </w:t>
      </w:r>
      <w:r w:rsidR="003F4B1D">
        <w:rPr>
          <w:rFonts w:cs="Calibri Light"/>
        </w:rPr>
        <w:t>restricting</w:t>
      </w:r>
      <w:r w:rsidR="003F4B1D" w:rsidRPr="0B5B3ADB">
        <w:rPr>
          <w:rFonts w:cs="Calibri Light"/>
        </w:rPr>
        <w:t xml:space="preserve"> the program for the highest priority occupations and then </w:t>
      </w:r>
      <w:r w:rsidR="003F4B1D">
        <w:rPr>
          <w:rFonts w:cs="Calibri Light"/>
        </w:rPr>
        <w:t xml:space="preserve">later </w:t>
      </w:r>
      <w:r w:rsidR="003F4B1D" w:rsidRPr="0B5B3ADB">
        <w:rPr>
          <w:rFonts w:cs="Calibri Light"/>
        </w:rPr>
        <w:t xml:space="preserve">expanding to </w:t>
      </w:r>
      <w:r w:rsidR="003F4B1D">
        <w:rPr>
          <w:rFonts w:cs="Calibri Light"/>
        </w:rPr>
        <w:t>eligibility. Alternatively,</w:t>
      </w:r>
      <w:r w:rsidR="003F4B1D" w:rsidRPr="0B5B3ADB">
        <w:rPr>
          <w:rFonts w:cs="Calibri Light"/>
        </w:rPr>
        <w:t xml:space="preserve"> </w:t>
      </w:r>
      <w:r w:rsidR="003F4B1D">
        <w:rPr>
          <w:rFonts w:cs="Calibri Light"/>
        </w:rPr>
        <w:t>it could mean</w:t>
      </w:r>
      <w:r w:rsidR="003F4B1D" w:rsidRPr="0B5B3ADB">
        <w:rPr>
          <w:rFonts w:cs="Calibri Light"/>
        </w:rPr>
        <w:t xml:space="preserve"> introducing a smaller subsidy </w:t>
      </w:r>
      <w:r w:rsidR="003F4B1D" w:rsidRPr="004536FF">
        <w:rPr>
          <w:rFonts w:cs="Calibri Light"/>
        </w:rPr>
        <w:t>initially</w:t>
      </w:r>
      <w:r w:rsidR="003F4B1D">
        <w:rPr>
          <w:rFonts w:cs="Calibri Light"/>
        </w:rPr>
        <w:t>,</w:t>
      </w:r>
      <w:r w:rsidR="003F4B1D" w:rsidRPr="004536FF">
        <w:rPr>
          <w:rFonts w:cs="Calibri Light"/>
        </w:rPr>
        <w:t xml:space="preserve"> and </w:t>
      </w:r>
      <w:r w:rsidR="003F4B1D">
        <w:rPr>
          <w:rFonts w:cs="Calibri Light"/>
        </w:rPr>
        <w:t xml:space="preserve">then </w:t>
      </w:r>
      <w:r w:rsidR="003F4B1D" w:rsidRPr="004536FF">
        <w:rPr>
          <w:rFonts w:cs="Calibri Light"/>
        </w:rPr>
        <w:t xml:space="preserve">gradually increasing the subsidy over </w:t>
      </w:r>
      <w:r w:rsidR="003F4B1D">
        <w:rPr>
          <w:rFonts w:cs="Calibri Light"/>
        </w:rPr>
        <w:t>time</w:t>
      </w:r>
      <w:r w:rsidR="003F4B1D" w:rsidRPr="004536FF">
        <w:rPr>
          <w:rFonts w:cs="Calibri Light"/>
        </w:rPr>
        <w:t>.</w:t>
      </w:r>
      <w:r w:rsidR="003F4B1D">
        <w:rPr>
          <w:rFonts w:cs="Calibri Light"/>
        </w:rPr>
        <w:t xml:space="preserve"> Another approach would be to provide sufficient funding—and time—to other parts of the training system that are likely to come under pressure due to increased commencements</w:t>
      </w:r>
      <w:r w:rsidRPr="002E12CD">
        <w:rPr>
          <w:rFonts w:cs="Calibri Light"/>
        </w:rPr>
        <w:t>.</w:t>
      </w:r>
    </w:p>
    <w:p w14:paraId="3193884B" w14:textId="77777777" w:rsidR="00750F6E" w:rsidRDefault="00750F6E" w:rsidP="00750F6E">
      <w:r>
        <w:t>Here are further details on the ‘growing pains’ that resulted from the</w:t>
      </w:r>
      <w:r w:rsidRPr="008649A4">
        <w:rPr>
          <w:rFonts w:cs="Calibri Light"/>
        </w:rPr>
        <w:t xml:space="preserve"> </w:t>
      </w:r>
      <w:r>
        <w:rPr>
          <w:rFonts w:cs="Calibri Light"/>
        </w:rPr>
        <w:t>BAC program’s surge in apprenticeship commencements.</w:t>
      </w:r>
    </w:p>
    <w:p w14:paraId="03E06AC9" w14:textId="77777777" w:rsidR="00750F6E" w:rsidRDefault="00750F6E" w:rsidP="00750F6E">
      <w:pPr>
        <w:pStyle w:val="Bullet"/>
        <w:spacing w:line="240" w:lineRule="auto"/>
      </w:pPr>
      <w:r w:rsidRPr="004536FF">
        <w:rPr>
          <w:rFonts w:eastAsiaTheme="minorEastAsia" w:cs="Calibri Light"/>
          <w:b/>
          <w:bCs/>
          <w:szCs w:val="22"/>
        </w:rPr>
        <w:t xml:space="preserve">Service Providers </w:t>
      </w:r>
      <w:r w:rsidRPr="004536FF">
        <w:rPr>
          <w:rFonts w:eastAsiaTheme="minorEastAsia" w:cs="Calibri Light"/>
          <w:szCs w:val="22"/>
        </w:rPr>
        <w:t xml:space="preserve">– </w:t>
      </w:r>
      <w:r>
        <w:t>A</w:t>
      </w:r>
      <w:r w:rsidRPr="00C26AC2">
        <w:t xml:space="preserve">ll </w:t>
      </w:r>
      <w:r>
        <w:t>Australian Apprenticeships are underpinned by an approved Training Contract. DEWR’s contracted Australian Apprenticeship Support Services providers are responsible for conducting sign-up meetings and progressing the Training Contract to the relevant state or territory regulator for approval. Due to the significant increase in commencements, Australian Apprenticeship Support Services providers reported delays in conducting sign-ups and processing claims for payment.</w:t>
      </w:r>
    </w:p>
    <w:p w14:paraId="536D5AB7" w14:textId="77777777" w:rsidR="00750F6E" w:rsidRDefault="00750F6E" w:rsidP="00750F6E">
      <w:pPr>
        <w:pStyle w:val="Bullet"/>
        <w:spacing w:line="240" w:lineRule="auto"/>
      </w:pPr>
      <w:r w:rsidRPr="0B5B3ADB">
        <w:rPr>
          <w:b/>
          <w:bCs/>
        </w:rPr>
        <w:t xml:space="preserve">Registered Training Organisations (RTOs) </w:t>
      </w:r>
      <w:r>
        <w:t xml:space="preserve">– An Australian Apprenticeship consists of on-the-job training, and off-the-job training at a TAFE or private Registered Training Organisation (RTO). BAC contributed to a significant increase in commencements over a period where the off-the-job training system was already struggling to meet demand. This was due to </w:t>
      </w:r>
      <w:proofErr w:type="gramStart"/>
      <w:r>
        <w:t>a number of</w:t>
      </w:r>
      <w:proofErr w:type="gramEnd"/>
      <w:r>
        <w:t xml:space="preserve"> factors including: Fee Free training programs increasing demand; teacher shortages; and stricter limits on class sizes due to social distancing regulations. This meant some Australian Apprentices experienced longer than usual delays in commencing the classroom component of their training, and so they were being paid a discounted training wage without receiving off-the-job training. This also created issues for employers, who were unable to claim payments until the Australian Apprentice commenced formal training.</w:t>
      </w:r>
    </w:p>
    <w:p w14:paraId="253DF314" w14:textId="77777777" w:rsidR="00750F6E" w:rsidRPr="00F64C12" w:rsidRDefault="00750F6E" w:rsidP="00750F6E">
      <w:pPr>
        <w:pStyle w:val="Bullet"/>
        <w:spacing w:line="240" w:lineRule="auto"/>
      </w:pPr>
      <w:r w:rsidRPr="0B5B3ADB">
        <w:rPr>
          <w:b/>
          <w:bCs/>
        </w:rPr>
        <w:t>Regulators</w:t>
      </w:r>
      <w:r>
        <w:rPr>
          <w:b/>
          <w:bCs/>
        </w:rPr>
        <w:t xml:space="preserve"> </w:t>
      </w:r>
      <w:r>
        <w:t>– The vocational education sector is regulated at both the federal level (for example, determining if an RTO can be registered), and at the state level (for example, State Training Authorities responsible for approving the Training Contract and monitoring the delivery of training). BAC caused a sudden increase in in-training numbers, putting pressure on regulators’ ability monitor the system.</w:t>
      </w:r>
    </w:p>
    <w:p w14:paraId="7BB9AFFB" w14:textId="754A8CCF" w:rsidR="009C7AC2" w:rsidRPr="00AC4A6B" w:rsidRDefault="00C8569C" w:rsidP="00E10B46">
      <w:pPr>
        <w:pStyle w:val="Heading3"/>
      </w:pPr>
      <w:bookmarkStart w:id="86" w:name="_Toc176782391"/>
      <w:r w:rsidRPr="00AC4A6B">
        <w:t xml:space="preserve">Lesson </w:t>
      </w:r>
      <w:r w:rsidR="00750F6E">
        <w:t>3</w:t>
      </w:r>
      <w:r w:rsidRPr="00AC4A6B">
        <w:t xml:space="preserve">: </w:t>
      </w:r>
      <w:r w:rsidR="004527EE">
        <w:t>Consider targeting</w:t>
      </w:r>
      <w:r w:rsidR="007F7526">
        <w:t xml:space="preserve"> incentives </w:t>
      </w:r>
      <w:r w:rsidR="00D7700F">
        <w:t xml:space="preserve">at specific </w:t>
      </w:r>
      <w:r w:rsidR="00351822">
        <w:t>occupations</w:t>
      </w:r>
      <w:r w:rsidR="007F7526">
        <w:t xml:space="preserve"> </w:t>
      </w:r>
      <w:r w:rsidR="001945EA">
        <w:t xml:space="preserve">if </w:t>
      </w:r>
      <w:r w:rsidR="00893391">
        <w:t>doing so</w:t>
      </w:r>
      <w:r w:rsidR="001945EA">
        <w:t xml:space="preserve"> would</w:t>
      </w:r>
      <w:r w:rsidR="007F7526">
        <w:t xml:space="preserve"> </w:t>
      </w:r>
      <w:r w:rsidR="00143D5A">
        <w:t xml:space="preserve">help </w:t>
      </w:r>
      <w:r w:rsidR="00B64B19">
        <w:t>support</w:t>
      </w:r>
      <w:r w:rsidR="00143D5A">
        <w:t xml:space="preserve"> </w:t>
      </w:r>
      <w:r w:rsidR="00580E19">
        <w:t xml:space="preserve">the </w:t>
      </w:r>
      <w:r w:rsidR="00143D5A">
        <w:t>policy goals</w:t>
      </w:r>
      <w:r w:rsidR="00EC54BC">
        <w:t xml:space="preserve"> of the incentive program</w:t>
      </w:r>
      <w:bookmarkEnd w:id="86"/>
      <w:r w:rsidR="007F7526">
        <w:t xml:space="preserve"> </w:t>
      </w:r>
      <w:r w:rsidR="00663320">
        <w:t xml:space="preserve">     </w:t>
      </w:r>
    </w:p>
    <w:p w14:paraId="09A52CA1" w14:textId="17AB4EEC" w:rsidR="00F225D8" w:rsidRDefault="003A3095" w:rsidP="007574A3">
      <w:r>
        <w:t xml:space="preserve">The BAC program was </w:t>
      </w:r>
      <w:r w:rsidR="00EA24B7">
        <w:t>a broad-based incentive program</w:t>
      </w:r>
      <w:r w:rsidR="00296B91">
        <w:t xml:space="preserve"> </w:t>
      </w:r>
      <w:r w:rsidR="005C7326">
        <w:t xml:space="preserve">that </w:t>
      </w:r>
      <w:r w:rsidR="007C08AB">
        <w:t xml:space="preserve">provided the same incentives </w:t>
      </w:r>
      <w:r w:rsidR="002F3660">
        <w:t xml:space="preserve">regardless of industry or occupation. </w:t>
      </w:r>
      <w:r w:rsidR="00191F1A">
        <w:t>Multiple stakeholders we interviewed mentioned that</w:t>
      </w:r>
      <w:r w:rsidR="002F3660">
        <w:t xml:space="preserve"> it may be worth considering targeting </w:t>
      </w:r>
      <w:r w:rsidR="00A32829">
        <w:t xml:space="preserve">future incentive programs at, for example, areas of the economy where </w:t>
      </w:r>
      <w:r w:rsidR="00242832">
        <w:t>Australian Apprenticeships are necessary to meet licensing requirements</w:t>
      </w:r>
      <w:r w:rsidR="00A32829">
        <w:t xml:space="preserve"> for that </w:t>
      </w:r>
      <w:r w:rsidR="00242832">
        <w:t>occupation</w:t>
      </w:r>
      <w:r w:rsidR="00A32829">
        <w:t>.</w:t>
      </w:r>
      <w:r w:rsidR="00F84A05">
        <w:t xml:space="preserve"> </w:t>
      </w:r>
      <w:r w:rsidR="00773D50">
        <w:t xml:space="preserve">For </w:t>
      </w:r>
      <w:r w:rsidR="00773D50">
        <w:lastRenderedPageBreak/>
        <w:t xml:space="preserve">example, a program could </w:t>
      </w:r>
      <w:r w:rsidR="00127FB9">
        <w:t>be restricted to just trades or priority occupations, or a larger subsidy provided to these occupations.</w:t>
      </w:r>
      <w:r w:rsidR="00F225D8">
        <w:t xml:space="preserve"> </w:t>
      </w:r>
    </w:p>
    <w:p w14:paraId="494ED45E" w14:textId="7E003956" w:rsidR="00E27D7B" w:rsidRDefault="00454A4F" w:rsidP="007574A3">
      <w:r>
        <w:t>Depending on the policy goals of the incentive program, there are a several reasons why a more targeted approach may be worth considering.</w:t>
      </w:r>
      <w:r w:rsidR="00196A5E">
        <w:t xml:space="preserve"> </w:t>
      </w:r>
      <w:r w:rsidR="00E27D7B">
        <w:t xml:space="preserve">First, an Australian Apprenticeship pathway is not required to enter the workforce in all fields. For example, </w:t>
      </w:r>
      <w:r w:rsidR="009B67BB">
        <w:t xml:space="preserve">in the trades, </w:t>
      </w:r>
      <w:r w:rsidR="00E27D7B">
        <w:t>Australian Apprenticeships are necessary to gain the skills required to fulfil the role</w:t>
      </w:r>
      <w:r w:rsidR="0034435C">
        <w:t xml:space="preserve"> and, in addition, </w:t>
      </w:r>
      <w:r w:rsidR="00E27D7B">
        <w:t xml:space="preserve">to satisfy licensing requirements </w:t>
      </w:r>
      <w:r w:rsidR="00357979">
        <w:t>necessary to participate in the workforce</w:t>
      </w:r>
      <w:r w:rsidR="00E27D7B">
        <w:t>. However, in other industries like hospitality and office admin</w:t>
      </w:r>
      <w:r w:rsidR="00D617F1">
        <w:t>istration</w:t>
      </w:r>
      <w:r w:rsidR="00E27D7B">
        <w:t xml:space="preserve">, </w:t>
      </w:r>
      <w:r w:rsidR="00357979">
        <w:t xml:space="preserve">a qualification </w:t>
      </w:r>
      <w:r w:rsidR="00383472">
        <w:t>may in some cases be</w:t>
      </w:r>
      <w:r w:rsidR="00357979" w:rsidDel="00367842">
        <w:t xml:space="preserve"> </w:t>
      </w:r>
      <w:r w:rsidR="00357979">
        <w:t xml:space="preserve">valuable but </w:t>
      </w:r>
      <w:r w:rsidR="00383472">
        <w:t>are</w:t>
      </w:r>
      <w:r w:rsidR="00357979">
        <w:t xml:space="preserve"> not essential to be job-ready or to satisfy the licensing requirements needed to participate in the workforce</w:t>
      </w:r>
      <w:r w:rsidR="00E27D7B">
        <w:t xml:space="preserve">. It is arguable that apprenticeship incentives supporting these industries carry a less clear economic benefit. </w:t>
      </w:r>
    </w:p>
    <w:p w14:paraId="72F568CC" w14:textId="712D1044" w:rsidR="00F84BAD" w:rsidRDefault="00357979" w:rsidP="007574A3">
      <w:r>
        <w:t xml:space="preserve">Second, cancellation rates for non-trades, but not trades, were significantly higher under the BAC program than is usually observed. </w:t>
      </w:r>
      <w:r w:rsidR="0090346A">
        <w:t xml:space="preserve">A </w:t>
      </w:r>
      <w:r>
        <w:t xml:space="preserve">cancellation </w:t>
      </w:r>
      <w:r w:rsidR="00CB5428">
        <w:t xml:space="preserve">may not always represent a </w:t>
      </w:r>
      <w:r>
        <w:t>‘bad’ outcome</w:t>
      </w:r>
      <w:r w:rsidR="00D51DD7">
        <w:t>,</w:t>
      </w:r>
      <w:r>
        <w:t xml:space="preserve"> </w:t>
      </w:r>
      <w:r w:rsidR="00C81264">
        <w:t xml:space="preserve">as </w:t>
      </w:r>
      <w:r>
        <w:t>many of these Australian Apprentice</w:t>
      </w:r>
      <w:r w:rsidR="006B2831">
        <w:t>s</w:t>
      </w:r>
      <w:r>
        <w:t xml:space="preserve"> </w:t>
      </w:r>
      <w:r w:rsidR="009F3435">
        <w:t xml:space="preserve">will still </w:t>
      </w:r>
      <w:r>
        <w:t>have gained some job-relevant skills.</w:t>
      </w:r>
      <w:r w:rsidR="009F3435">
        <w:t xml:space="preserve"> In addition, a cancellation decision may reflect a</w:t>
      </w:r>
      <w:r w:rsidR="007626E3">
        <w:t>n individual’s preference to pursue a different career path.</w:t>
      </w:r>
      <w:r>
        <w:t xml:space="preserve"> Nevertheless, the significantly higher cancellation rates</w:t>
      </w:r>
      <w:r w:rsidDel="00A51F2D">
        <w:t xml:space="preserve"> </w:t>
      </w:r>
      <w:r>
        <w:t xml:space="preserve">suggest government funding may not have been as cost-effective for these qualifications. </w:t>
      </w:r>
      <w:r w:rsidR="00A50060">
        <w:t xml:space="preserve">In particular, the </w:t>
      </w:r>
      <w:r w:rsidR="006478C4">
        <w:t xml:space="preserve">unusually </w:t>
      </w:r>
      <w:r w:rsidR="00F84BAD">
        <w:t xml:space="preserve">high cancellation rates </w:t>
      </w:r>
      <w:r w:rsidR="006478C4">
        <w:t xml:space="preserve">in non-trade occupations </w:t>
      </w:r>
      <w:r w:rsidR="00F84BAD">
        <w:t>suggest these Australian Apprentices may not have seen value in continuing their training through to completion.</w:t>
      </w:r>
    </w:p>
    <w:p w14:paraId="7F035873" w14:textId="1094D4E2" w:rsidR="00E27D7B" w:rsidRDefault="00480779" w:rsidP="007574A3">
      <w:r>
        <w:t>Third</w:t>
      </w:r>
      <w:r w:rsidR="00E27D7B">
        <w:t xml:space="preserve">, as described </w:t>
      </w:r>
      <w:r w:rsidR="006E7236">
        <w:t>earlier</w:t>
      </w:r>
      <w:r w:rsidR="00E27D7B">
        <w:t xml:space="preserve">, there were issues with sharp practice in non-trade occupations, </w:t>
      </w:r>
      <w:r w:rsidR="0010635E">
        <w:t>which were far less pronounced</w:t>
      </w:r>
      <w:r w:rsidR="00E27D7B">
        <w:t xml:space="preserve"> in trade occupations. </w:t>
      </w:r>
    </w:p>
    <w:p w14:paraId="56C75F5A" w14:textId="72906730" w:rsidR="00480779" w:rsidRDefault="00EA24B7" w:rsidP="007574A3">
      <w:r>
        <w:t>Finally,</w:t>
      </w:r>
      <w:r w:rsidR="00B4069A">
        <w:t xml:space="preserve"> as </w:t>
      </w:r>
      <w:r w:rsidR="006E7236">
        <w:t xml:space="preserve">described </w:t>
      </w:r>
      <w:r w:rsidR="00E922DB">
        <w:t>earlier</w:t>
      </w:r>
      <w:r w:rsidR="00D86D37">
        <w:t xml:space="preserve">, Australian Apprentices </w:t>
      </w:r>
      <w:r w:rsidR="008C770E">
        <w:t xml:space="preserve">who </w:t>
      </w:r>
      <w:r w:rsidR="00D86D37">
        <w:t xml:space="preserve">commenced during the </w:t>
      </w:r>
      <w:r w:rsidR="00BD693E">
        <w:t xml:space="preserve">BAC program were less likely to </w:t>
      </w:r>
      <w:r w:rsidR="00002CE8">
        <w:t>be</w:t>
      </w:r>
      <w:r w:rsidR="00BD693E">
        <w:t xml:space="preserve"> in priority occupations than </w:t>
      </w:r>
      <w:r w:rsidR="00002CE8">
        <w:t>those that commenced prior to</w:t>
      </w:r>
      <w:r w:rsidR="00BD693E">
        <w:t xml:space="preserve"> the BAC </w:t>
      </w:r>
      <w:r w:rsidR="00002CE8">
        <w:t xml:space="preserve">program. </w:t>
      </w:r>
    </w:p>
    <w:p w14:paraId="3E6540F1" w14:textId="7BB71C07" w:rsidR="00E27D7B" w:rsidRDefault="00E27D7B" w:rsidP="00E10B46">
      <w:pPr>
        <w:pStyle w:val="Heading3"/>
      </w:pPr>
      <w:bookmarkStart w:id="87" w:name="_Toc176782392"/>
      <w:r w:rsidRPr="009A4DDD">
        <w:t xml:space="preserve">Lesson </w:t>
      </w:r>
      <w:r w:rsidR="00D51DD7">
        <w:t>4</w:t>
      </w:r>
      <w:r w:rsidRPr="009A4DDD">
        <w:t xml:space="preserve">: </w:t>
      </w:r>
      <w:r>
        <w:t>Regular</w:t>
      </w:r>
      <w:r w:rsidR="003254E7">
        <w:t>,</w:t>
      </w:r>
      <w:r>
        <w:t xml:space="preserve"> front-loaded</w:t>
      </w:r>
      <w:r w:rsidR="003254E7">
        <w:t xml:space="preserve"> incentive payments</w:t>
      </w:r>
      <w:r>
        <w:t xml:space="preserve"> can be beneficial</w:t>
      </w:r>
      <w:bookmarkEnd w:id="87"/>
      <w:r>
        <w:t xml:space="preserve"> </w:t>
      </w:r>
    </w:p>
    <w:p w14:paraId="4D793F7B" w14:textId="22D0B4C6" w:rsidR="00952752" w:rsidRDefault="00C03E03" w:rsidP="007574A3">
      <w:r>
        <w:t xml:space="preserve">Some stakeholders noted that employers appreciated the </w:t>
      </w:r>
      <w:r w:rsidR="005F7608" w:rsidRPr="00F76E2C">
        <w:rPr>
          <w:i/>
          <w:iCs/>
        </w:rPr>
        <w:t>timing</w:t>
      </w:r>
      <w:r w:rsidR="005F7608">
        <w:t xml:space="preserve"> of </w:t>
      </w:r>
      <w:r>
        <w:t xml:space="preserve">BAC program </w:t>
      </w:r>
      <w:r w:rsidR="005F7608">
        <w:t>payments</w:t>
      </w:r>
      <w:r>
        <w:t>—in addition to the much larger payment size</w:t>
      </w:r>
      <w:r w:rsidR="005F7608">
        <w:t xml:space="preserve">. </w:t>
      </w:r>
      <w:r w:rsidR="00371357">
        <w:t>Th</w:t>
      </w:r>
      <w:r w:rsidR="005F7608">
        <w:t xml:space="preserve">e payment structure </w:t>
      </w:r>
      <w:r w:rsidR="00371357">
        <w:t xml:space="preserve">differed </w:t>
      </w:r>
      <w:r w:rsidR="00046564">
        <w:t xml:space="preserve">from </w:t>
      </w:r>
      <w:r w:rsidR="00952752">
        <w:t>the usual appre</w:t>
      </w:r>
      <w:r w:rsidR="00952752" w:rsidRPr="00E00F0B">
        <w:t xml:space="preserve">nticeship </w:t>
      </w:r>
      <w:r w:rsidR="006660E4">
        <w:t xml:space="preserve">employer payments </w:t>
      </w:r>
      <w:r w:rsidR="00952752" w:rsidRPr="00E00F0B">
        <w:t>in two ways</w:t>
      </w:r>
      <w:r w:rsidR="00B75540">
        <w:t>.</w:t>
      </w:r>
    </w:p>
    <w:p w14:paraId="3F853B08" w14:textId="246EB0BD" w:rsidR="00B67818" w:rsidRPr="00E00F0B" w:rsidRDefault="00B67818" w:rsidP="007574A3">
      <w:r w:rsidRPr="00FC75E0">
        <w:t>First, BAC</w:t>
      </w:r>
      <w:r w:rsidR="005F7608" w:rsidRPr="00FC75E0">
        <w:t>/CAC</w:t>
      </w:r>
      <w:r w:rsidRPr="00FC75E0">
        <w:t xml:space="preserve"> payments were </w:t>
      </w:r>
      <w:r w:rsidR="005F7608" w:rsidRPr="00FC75E0">
        <w:t xml:space="preserve">almost entirely </w:t>
      </w:r>
      <w:r w:rsidRPr="00FC75E0">
        <w:t>front-loaded in the first year of the apprenticeship.</w:t>
      </w:r>
      <w:r w:rsidRPr="006E2620">
        <w:t xml:space="preserve"> The program provided a wage subsidy of 50% in the first year, 10% in the second year, and 5% in the third year. </w:t>
      </w:r>
      <w:r w:rsidR="005C0D0F">
        <w:t xml:space="preserve">This approach reflects </w:t>
      </w:r>
      <w:r w:rsidR="00370EE6">
        <w:t>an Australian A</w:t>
      </w:r>
      <w:r w:rsidR="00370EE6" w:rsidRPr="006E2620">
        <w:t>pprentice</w:t>
      </w:r>
      <w:r w:rsidR="00370EE6">
        <w:t xml:space="preserve">’s productivity over time: they are </w:t>
      </w:r>
      <w:r w:rsidR="00CC112F">
        <w:t xml:space="preserve">likely to be least </w:t>
      </w:r>
      <w:r w:rsidRPr="006E2620">
        <w:t>productive in the</w:t>
      </w:r>
      <w:r w:rsidR="00FC75E0">
        <w:t>ir</w:t>
      </w:r>
      <w:r w:rsidRPr="006E2620">
        <w:t xml:space="preserve"> first year</w:t>
      </w:r>
      <w:r w:rsidR="00FC75E0">
        <w:t xml:space="preserve">, </w:t>
      </w:r>
      <w:r w:rsidRPr="006E2620">
        <w:t xml:space="preserve">and then gradually </w:t>
      </w:r>
      <w:r w:rsidR="00FC75E0" w:rsidRPr="006E2620">
        <w:t>become</w:t>
      </w:r>
      <w:r w:rsidR="00FC75E0">
        <w:t xml:space="preserve"> </w:t>
      </w:r>
      <w:r w:rsidRPr="006E2620">
        <w:t>more productive thereafter. One stakeholder pointed out that a business has a strong incen</w:t>
      </w:r>
      <w:r>
        <w:t xml:space="preserve">tive to keep on a third- or fourth-year apprentice because at that point they are making the business money. </w:t>
      </w:r>
    </w:p>
    <w:p w14:paraId="5D4B42C3" w14:textId="77777777" w:rsidR="00B5176D" w:rsidRDefault="00B67818" w:rsidP="007574A3">
      <w:r w:rsidRPr="00370EE6">
        <w:t>Second</w:t>
      </w:r>
      <w:r w:rsidR="00E00F0B" w:rsidRPr="00370EE6">
        <w:t xml:space="preserve">, </w:t>
      </w:r>
      <w:r w:rsidR="003E38A5" w:rsidRPr="00370EE6">
        <w:t xml:space="preserve">BAC payments were </w:t>
      </w:r>
      <w:r w:rsidR="00140A3F" w:rsidRPr="00370EE6">
        <w:t xml:space="preserve">made </w:t>
      </w:r>
      <w:r w:rsidR="005037D3" w:rsidRPr="00370EE6">
        <w:t>quarter</w:t>
      </w:r>
      <w:r w:rsidR="00370EE6">
        <w:t>ly</w:t>
      </w:r>
      <w:r w:rsidR="001A5DF1" w:rsidRPr="00370EE6">
        <w:t xml:space="preserve">, which </w:t>
      </w:r>
      <w:r w:rsidR="005037D3" w:rsidRPr="00370EE6">
        <w:t>is</w:t>
      </w:r>
      <w:r w:rsidR="00052BE9" w:rsidRPr="00370EE6">
        <w:t xml:space="preserve"> more regular than </w:t>
      </w:r>
      <w:r w:rsidR="00045AF8" w:rsidRPr="00370EE6">
        <w:t xml:space="preserve">employer </w:t>
      </w:r>
      <w:r w:rsidR="00FB4545">
        <w:t xml:space="preserve">apprenticeship </w:t>
      </w:r>
      <w:r w:rsidR="00045AF8" w:rsidRPr="00370EE6">
        <w:t>payments either before or after the BAC program.</w:t>
      </w:r>
      <w:r w:rsidR="00045AF8">
        <w:t xml:space="preserve"> For example, </w:t>
      </w:r>
      <w:r w:rsidR="009D2F44">
        <w:t xml:space="preserve">the </w:t>
      </w:r>
      <w:r w:rsidR="00357979">
        <w:t xml:space="preserve">typical </w:t>
      </w:r>
      <w:r w:rsidR="009D2F44">
        <w:t xml:space="preserve">employer </w:t>
      </w:r>
      <w:r w:rsidR="00357979">
        <w:t xml:space="preserve">incentive available </w:t>
      </w:r>
      <w:r w:rsidR="009D2F44">
        <w:t>for an</w:t>
      </w:r>
      <w:r w:rsidR="00045AF8">
        <w:t xml:space="preserve"> electrical apprenticeship</w:t>
      </w:r>
      <w:r w:rsidR="00023561">
        <w:t xml:space="preserve"> </w:t>
      </w:r>
      <w:r w:rsidR="00357979">
        <w:t>commenced</w:t>
      </w:r>
      <w:r w:rsidR="00A45645">
        <w:t xml:space="preserve"> anytime in</w:t>
      </w:r>
      <w:r w:rsidR="00764821">
        <w:t xml:space="preserve"> </w:t>
      </w:r>
      <w:r w:rsidR="00361C6A">
        <w:t>FY</w:t>
      </w:r>
      <w:r w:rsidR="00A45645">
        <w:t>2015-</w:t>
      </w:r>
      <w:r w:rsidR="00361C6A">
        <w:t xml:space="preserve">2019 </w:t>
      </w:r>
      <w:r w:rsidR="00357979">
        <w:t>was</w:t>
      </w:r>
      <w:r w:rsidR="00A74CE5">
        <w:t xml:space="preserve"> </w:t>
      </w:r>
      <w:r w:rsidR="00A45645">
        <w:t>a single payment of $1</w:t>
      </w:r>
      <w:r w:rsidR="00357979">
        <w:t>,</w:t>
      </w:r>
      <w:r w:rsidR="00A45645">
        <w:t xml:space="preserve">500 at </w:t>
      </w:r>
      <w:r w:rsidR="00357979">
        <w:t>six months</w:t>
      </w:r>
      <w:r w:rsidR="00A45645">
        <w:t xml:space="preserve">, </w:t>
      </w:r>
      <w:r w:rsidR="00371357">
        <w:t>and $2,500 at completion.</w:t>
      </w:r>
      <w:r w:rsidR="00A74CE5">
        <w:t xml:space="preserve"> </w:t>
      </w:r>
    </w:p>
    <w:p w14:paraId="305DE67B" w14:textId="1A9DF54A" w:rsidR="009E179F" w:rsidRDefault="00357979" w:rsidP="007574A3">
      <w:r>
        <w:t xml:space="preserve">DEWR has sought to leverage this </w:t>
      </w:r>
      <w:r w:rsidR="00B5176D">
        <w:t xml:space="preserve">lesson </w:t>
      </w:r>
      <w:r>
        <w:t xml:space="preserve">in the design of the Australian Apprenticeships Incentive System. </w:t>
      </w:r>
      <w:r w:rsidR="0098681B">
        <w:t>T</w:t>
      </w:r>
      <w:r w:rsidR="004A68F4">
        <w:t>here is</w:t>
      </w:r>
      <w:r w:rsidR="0098681B">
        <w:t>, however,</w:t>
      </w:r>
      <w:r w:rsidR="004A68F4">
        <w:t xml:space="preserve"> an </w:t>
      </w:r>
      <w:r w:rsidR="0098681B">
        <w:t xml:space="preserve">additional </w:t>
      </w:r>
      <w:r w:rsidR="004A68F4">
        <w:t xml:space="preserve">administrative burden for businesses in submitting forms </w:t>
      </w:r>
      <w:proofErr w:type="gramStart"/>
      <w:r w:rsidR="004A68F4">
        <w:t>in order to</w:t>
      </w:r>
      <w:proofErr w:type="gramEnd"/>
      <w:r w:rsidR="004A68F4">
        <w:t xml:space="preserve"> receive a payme</w:t>
      </w:r>
      <w:r w:rsidR="004E6073">
        <w:t>nt</w:t>
      </w:r>
      <w:r w:rsidR="00606EE6">
        <w:t xml:space="preserve">. </w:t>
      </w:r>
      <w:r w:rsidR="00390F47">
        <w:t>This</w:t>
      </w:r>
      <w:r w:rsidR="00E2749C">
        <w:t xml:space="preserve"> should also be </w:t>
      </w:r>
      <w:r w:rsidR="00390F47">
        <w:t>considered</w:t>
      </w:r>
      <w:r w:rsidR="00E2749C">
        <w:t xml:space="preserve"> in determining whether more regular payments would overall be beneficial to businesses</w:t>
      </w:r>
      <w:r w:rsidR="00390F47">
        <w:t xml:space="preserve">, </w:t>
      </w:r>
      <w:r w:rsidR="00E0610B">
        <w:t xml:space="preserve">potentially through further </w:t>
      </w:r>
      <w:r w:rsidR="00390F47">
        <w:t>consultation</w:t>
      </w:r>
      <w:r w:rsidR="00E0610B">
        <w:t>s</w:t>
      </w:r>
      <w:r w:rsidR="00390F47">
        <w:t xml:space="preserve"> with empl</w:t>
      </w:r>
      <w:r w:rsidR="00D55010">
        <w:t>oyers.</w:t>
      </w:r>
    </w:p>
    <w:p w14:paraId="058C8084" w14:textId="7A1BC02A" w:rsidR="00E27D7B" w:rsidRDefault="00E27D7B" w:rsidP="00E10B46">
      <w:pPr>
        <w:pStyle w:val="Heading3"/>
      </w:pPr>
      <w:bookmarkStart w:id="88" w:name="_Toc176782393"/>
      <w:r w:rsidRPr="00EF517D">
        <w:lastRenderedPageBreak/>
        <w:t xml:space="preserve">Lesson </w:t>
      </w:r>
      <w:r w:rsidR="00C12B1E">
        <w:t>5</w:t>
      </w:r>
      <w:r w:rsidRPr="00EF517D">
        <w:t xml:space="preserve">: </w:t>
      </w:r>
      <w:r w:rsidR="00BB4A70">
        <w:t>Even in</w:t>
      </w:r>
      <w:r>
        <w:t xml:space="preserve"> time</w:t>
      </w:r>
      <w:r w:rsidR="00BB4A70">
        <w:t>s</w:t>
      </w:r>
      <w:r>
        <w:t xml:space="preserve"> of crisis, </w:t>
      </w:r>
      <w:r w:rsidR="00BB4A70">
        <w:t xml:space="preserve">rapid, targeted </w:t>
      </w:r>
      <w:r>
        <w:t xml:space="preserve">consultations </w:t>
      </w:r>
      <w:r w:rsidR="00BB4A70">
        <w:t>can still be valuable</w:t>
      </w:r>
      <w:bookmarkEnd w:id="88"/>
    </w:p>
    <w:p w14:paraId="7EB1385C" w14:textId="17987609" w:rsidR="00454166" w:rsidRDefault="00454166" w:rsidP="007574A3">
      <w:pPr>
        <w:rPr>
          <w:rFonts w:cs="Calibri Light"/>
          <w:szCs w:val="22"/>
        </w:rPr>
      </w:pPr>
      <w:r>
        <w:rPr>
          <w:rFonts w:cs="Calibri Light"/>
          <w:szCs w:val="22"/>
        </w:rPr>
        <w:t>Some stakeholders we spoke to stated they foresaw the issues with sharp practice when the eligibility criteria were first announced. If it had been possible to consult these stakeholders and incorporate their feedback into the design of the program, it is possible that hundreds of millions of dollars could have been saved.</w:t>
      </w:r>
    </w:p>
    <w:p w14:paraId="1791DC7F" w14:textId="3D45A57D" w:rsidR="00E27D7B" w:rsidRDefault="00E27D7B" w:rsidP="007574A3">
      <w:pPr>
        <w:rPr>
          <w:rFonts w:cs="Calibri Light"/>
          <w:szCs w:val="22"/>
        </w:rPr>
      </w:pPr>
      <w:r>
        <w:rPr>
          <w:rFonts w:cs="Calibri Light"/>
          <w:szCs w:val="22"/>
        </w:rPr>
        <w:t xml:space="preserve">Of course, in the context of a global pandemic and the consequent emergency time pressures, </w:t>
      </w:r>
      <w:r w:rsidR="000234E3">
        <w:rPr>
          <w:rFonts w:cs="Calibri Light"/>
          <w:szCs w:val="22"/>
        </w:rPr>
        <w:t xml:space="preserve">conducting </w:t>
      </w:r>
      <w:r w:rsidR="009B49B7">
        <w:rPr>
          <w:rFonts w:cs="Calibri Light"/>
          <w:szCs w:val="22"/>
        </w:rPr>
        <w:t xml:space="preserve">a </w:t>
      </w:r>
      <w:r>
        <w:rPr>
          <w:rFonts w:cs="Calibri Light"/>
          <w:szCs w:val="22"/>
        </w:rPr>
        <w:t>consultation</w:t>
      </w:r>
      <w:r w:rsidR="000234E3">
        <w:rPr>
          <w:rFonts w:cs="Calibri Light"/>
          <w:szCs w:val="22"/>
        </w:rPr>
        <w:t>s</w:t>
      </w:r>
      <w:r>
        <w:rPr>
          <w:rFonts w:cs="Calibri Light"/>
          <w:szCs w:val="22"/>
        </w:rPr>
        <w:t xml:space="preserve"> process </w:t>
      </w:r>
      <w:r w:rsidR="009B49B7">
        <w:rPr>
          <w:rFonts w:cs="Calibri Light"/>
          <w:szCs w:val="22"/>
        </w:rPr>
        <w:t xml:space="preserve">was especially challenging. </w:t>
      </w:r>
      <w:r w:rsidR="00030CDB">
        <w:rPr>
          <w:rFonts w:cs="Calibri Light"/>
          <w:szCs w:val="22"/>
        </w:rPr>
        <w:t xml:space="preserve">Instead, </w:t>
      </w:r>
      <w:r>
        <w:rPr>
          <w:rFonts w:cs="Calibri Light"/>
          <w:szCs w:val="22"/>
        </w:rPr>
        <w:t>an agile policy development process was adopted (</w:t>
      </w:r>
      <w:r w:rsidR="00E075BB">
        <w:rPr>
          <w:rFonts w:cs="Calibri Light"/>
          <w:szCs w:val="22"/>
        </w:rPr>
        <w:t>that is</w:t>
      </w:r>
      <w:r>
        <w:rPr>
          <w:rFonts w:cs="Calibri Light"/>
          <w:szCs w:val="22"/>
        </w:rPr>
        <w:t xml:space="preserve">, launch the program quickly and </w:t>
      </w:r>
      <w:r w:rsidR="005953B9">
        <w:rPr>
          <w:rFonts w:cs="Calibri Light"/>
          <w:szCs w:val="22"/>
        </w:rPr>
        <w:t xml:space="preserve">then </w:t>
      </w:r>
      <w:r>
        <w:rPr>
          <w:rFonts w:cs="Calibri Light"/>
          <w:szCs w:val="22"/>
        </w:rPr>
        <w:t xml:space="preserve">modify </w:t>
      </w:r>
      <w:r w:rsidR="005953B9">
        <w:rPr>
          <w:rFonts w:cs="Calibri Light"/>
          <w:szCs w:val="22"/>
        </w:rPr>
        <w:t xml:space="preserve">it </w:t>
      </w:r>
      <w:r>
        <w:rPr>
          <w:rFonts w:cs="Calibri Light"/>
          <w:szCs w:val="22"/>
        </w:rPr>
        <w:t>as issues emerge)</w:t>
      </w:r>
      <w:r w:rsidR="00030CDB">
        <w:rPr>
          <w:rFonts w:cs="Calibri Light"/>
          <w:szCs w:val="22"/>
        </w:rPr>
        <w:t xml:space="preserve">, which proved </w:t>
      </w:r>
      <w:r w:rsidR="005953B9">
        <w:rPr>
          <w:rFonts w:cs="Calibri Light"/>
          <w:szCs w:val="22"/>
        </w:rPr>
        <w:t>effective at mitigating at least some issues</w:t>
      </w:r>
      <w:r>
        <w:rPr>
          <w:rFonts w:cs="Calibri Light"/>
          <w:szCs w:val="22"/>
        </w:rPr>
        <w:t>.</w:t>
      </w:r>
      <w:r w:rsidR="006E53A9">
        <w:rPr>
          <w:rFonts w:cs="Calibri Light"/>
          <w:szCs w:val="22"/>
        </w:rPr>
        <w:t xml:space="preserve"> </w:t>
      </w:r>
      <w:r w:rsidR="005953B9">
        <w:rPr>
          <w:rFonts w:cs="Calibri Light"/>
          <w:szCs w:val="22"/>
        </w:rPr>
        <w:t xml:space="preserve">Nonetheless, </w:t>
      </w:r>
      <w:r w:rsidR="004F5D64">
        <w:rPr>
          <w:rFonts w:cs="Calibri Light"/>
          <w:szCs w:val="22"/>
        </w:rPr>
        <w:t>even in a time of crisis</w:t>
      </w:r>
      <w:r w:rsidR="005953B9">
        <w:rPr>
          <w:rFonts w:cs="Calibri Light"/>
          <w:szCs w:val="22"/>
        </w:rPr>
        <w:t xml:space="preserve">, </w:t>
      </w:r>
      <w:r>
        <w:rPr>
          <w:rFonts w:cs="Calibri Light"/>
          <w:szCs w:val="22"/>
        </w:rPr>
        <w:t xml:space="preserve">a small number of </w:t>
      </w:r>
      <w:r w:rsidR="005953B9">
        <w:rPr>
          <w:rFonts w:cs="Calibri Light"/>
          <w:szCs w:val="22"/>
        </w:rPr>
        <w:t xml:space="preserve">targeted </w:t>
      </w:r>
      <w:r>
        <w:rPr>
          <w:rFonts w:cs="Calibri Light"/>
          <w:szCs w:val="22"/>
        </w:rPr>
        <w:t xml:space="preserve">consultations would have been valuable. </w:t>
      </w:r>
    </w:p>
    <w:p w14:paraId="1D2AA7A7" w14:textId="73229486" w:rsidR="00357979" w:rsidRPr="00216724" w:rsidRDefault="00D939C7" w:rsidP="007574A3">
      <w:r>
        <w:t xml:space="preserve">Any consultation plan must, however, also </w:t>
      </w:r>
      <w:proofErr w:type="gramStart"/>
      <w:r>
        <w:t>take into account</w:t>
      </w:r>
      <w:proofErr w:type="gramEnd"/>
      <w:r>
        <w:t xml:space="preserve"> </w:t>
      </w:r>
      <w:r w:rsidR="00357979">
        <w:t xml:space="preserve">the need </w:t>
      </w:r>
      <w:r w:rsidR="00E71ACC">
        <w:t xml:space="preserve">for </w:t>
      </w:r>
      <w:r w:rsidR="00D81B7A">
        <w:t xml:space="preserve">confidentiality </w:t>
      </w:r>
      <w:r w:rsidR="00BD16C9">
        <w:t>around the announcement of significant government programs</w:t>
      </w:r>
      <w:r w:rsidR="00357979">
        <w:t xml:space="preserve">. For example, in implementing the </w:t>
      </w:r>
      <w:r w:rsidR="00357979" w:rsidRPr="0090369F">
        <w:rPr>
          <w:rFonts w:cs="Calibri Light"/>
          <w:i/>
          <w:iCs/>
          <w:szCs w:val="22"/>
        </w:rPr>
        <w:t>Australian Apprenticeship Wage Subsidy (AAWS)</w:t>
      </w:r>
      <w:r w:rsidR="00357979" w:rsidRPr="0090369F">
        <w:rPr>
          <w:rFonts w:cs="Calibri Light"/>
          <w:szCs w:val="22"/>
        </w:rPr>
        <w:t xml:space="preserve"> </w:t>
      </w:r>
      <w:r w:rsidR="00357979">
        <w:t xml:space="preserve">program in 2019, evidence emerged of employers delaying </w:t>
      </w:r>
      <w:r w:rsidR="00773ACF">
        <w:t>taking on an apprentice</w:t>
      </w:r>
      <w:r w:rsidR="00357979">
        <w:t xml:space="preserve"> on the expectation that more generous incentives may be on the horizon</w:t>
      </w:r>
      <w:r w:rsidR="00357979" w:rsidDel="008F3624">
        <w:t xml:space="preserve"> </w:t>
      </w:r>
      <w:r w:rsidR="00357979">
        <w:t>(Deloitte</w:t>
      </w:r>
      <w:r w:rsidR="00357979">
        <w:rPr>
          <w:rFonts w:cs="Calibri Light"/>
          <w:szCs w:val="22"/>
        </w:rPr>
        <w:t xml:space="preserve"> 2022a).</w:t>
      </w:r>
    </w:p>
    <w:p w14:paraId="33B5F4EE" w14:textId="661B0203" w:rsidR="00E27D7B" w:rsidRPr="00E27D7B" w:rsidRDefault="00E27D7B" w:rsidP="00E10B46">
      <w:pPr>
        <w:pStyle w:val="Heading3"/>
      </w:pPr>
      <w:bookmarkStart w:id="89" w:name="_Toc176782394"/>
      <w:r w:rsidRPr="00EF517D">
        <w:t xml:space="preserve">Lesson </w:t>
      </w:r>
      <w:r w:rsidR="00C12B1E">
        <w:t>6</w:t>
      </w:r>
      <w:r w:rsidRPr="00EF517D">
        <w:t xml:space="preserve">: </w:t>
      </w:r>
      <w:r>
        <w:t>Be careful with placing a ‘cap’ on participation</w:t>
      </w:r>
      <w:bookmarkEnd w:id="89"/>
      <w:r>
        <w:t xml:space="preserve"> </w:t>
      </w:r>
    </w:p>
    <w:p w14:paraId="3331E5B2" w14:textId="176B3E4F" w:rsidR="00290F3E" w:rsidRPr="00E32956" w:rsidRDefault="00290F3E" w:rsidP="007574A3">
      <w:pPr>
        <w:textAlignment w:val="center"/>
        <w:rPr>
          <w:rFonts w:ascii="Calibri" w:hAnsi="Calibri"/>
        </w:rPr>
      </w:pPr>
      <w:r>
        <w:t xml:space="preserve">When the program was first announced, there was a cap of 100,000 places. Following strong uptake over </w:t>
      </w:r>
      <w:r w:rsidR="00082793">
        <w:t>t</w:t>
      </w:r>
      <w:r>
        <w:t xml:space="preserve">he first few months of the Program, the cap was removed in March 2021. While the cap was intended to limit the overall financial commitment, it inadvertently created several issues that should be considered when designing future public policies. </w:t>
      </w:r>
    </w:p>
    <w:p w14:paraId="3A7AF794" w14:textId="750F624A" w:rsidR="00290F3E" w:rsidRDefault="00290F3E" w:rsidP="007574A3">
      <w:pPr>
        <w:textAlignment w:val="center"/>
      </w:pPr>
      <w:r>
        <w:t xml:space="preserve">First, </w:t>
      </w:r>
      <w:r w:rsidR="008B0843">
        <w:t>the cap</w:t>
      </w:r>
      <w:r>
        <w:t xml:space="preserve"> created a rush of businesses trying to get their employees onto the program before the </w:t>
      </w:r>
      <w:r w:rsidR="00C01EC5">
        <w:t>limit</w:t>
      </w:r>
      <w:r>
        <w:t xml:space="preserve"> was reached. Some stakeholders said this encouraged some unusual behaviour, such as businesses signing up more apprentices than they had the capacity to supervise simply for the purposes of securing one of the capped places. </w:t>
      </w:r>
    </w:p>
    <w:p w14:paraId="242DB8BC" w14:textId="498028A7" w:rsidR="00290F3E" w:rsidRDefault="00290F3E" w:rsidP="007574A3">
      <w:pPr>
        <w:textAlignment w:val="center"/>
      </w:pPr>
      <w:r>
        <w:t>Second, caps are logistically difficult to administer. A typical sign</w:t>
      </w:r>
      <w:r w:rsidR="00961001">
        <w:t>-</w:t>
      </w:r>
      <w:r>
        <w:t>up process</w:t>
      </w:r>
      <w:r w:rsidR="000721D6">
        <w:t xml:space="preserve"> can </w:t>
      </w:r>
      <w:r w:rsidR="00B61277">
        <w:t>take up to 8 weeks a</w:t>
      </w:r>
      <w:r w:rsidR="002D7EB0">
        <w:t xml:space="preserve">s it </w:t>
      </w:r>
      <w:r w:rsidR="00357979">
        <w:t>includes</w:t>
      </w:r>
      <w:r w:rsidR="000A1C24">
        <w:t>:</w:t>
      </w:r>
      <w:r w:rsidR="000721D6">
        <w:t xml:space="preserve"> </w:t>
      </w:r>
      <w:r>
        <w:t>identification of a suitable employer</w:t>
      </w:r>
      <w:r w:rsidR="00611413">
        <w:t xml:space="preserve"> and </w:t>
      </w:r>
      <w:r>
        <w:t xml:space="preserve">apprentice, a sign-up meeting, the </w:t>
      </w:r>
      <w:r w:rsidR="000A1C24">
        <w:t>T</w:t>
      </w:r>
      <w:r>
        <w:t xml:space="preserve">raining </w:t>
      </w:r>
      <w:r w:rsidR="000A1C24">
        <w:t>C</w:t>
      </w:r>
      <w:r>
        <w:t>ontract being approved by the relevant State Training Authority, and eligibility for apprenticeship incentives being finally determined. BAC</w:t>
      </w:r>
      <w:r w:rsidR="004F6945">
        <w:t xml:space="preserve"> were</w:t>
      </w:r>
      <w:r>
        <w:t xml:space="preserve"> allocated </w:t>
      </w:r>
      <w:proofErr w:type="gramStart"/>
      <w:r>
        <w:t>on the basis of</w:t>
      </w:r>
      <w:proofErr w:type="gramEnd"/>
      <w:r>
        <w:t xml:space="preserve"> the sign-up date. </w:t>
      </w:r>
      <w:r w:rsidR="00626904">
        <w:t xml:space="preserve">Employers were required to complete an additional </w:t>
      </w:r>
      <w:r>
        <w:t xml:space="preserve">registration process to give effect to this (where failure to </w:t>
      </w:r>
      <w:r w:rsidR="00626904">
        <w:t>register</w:t>
      </w:r>
      <w:r>
        <w:t xml:space="preserve"> would prevent the employer meeting eligibility criteria)</w:t>
      </w:r>
      <w:r w:rsidR="00140733">
        <w:t xml:space="preserve">. </w:t>
      </w:r>
      <w:r w:rsidR="00CF39A5">
        <w:t>However, this process</w:t>
      </w:r>
      <w:r>
        <w:t xml:space="preserve"> did not fully resolve concerns about employers missing out, or uncertainty about exactly when the cap would be reached.</w:t>
      </w:r>
    </w:p>
    <w:p w14:paraId="4A1F80B5" w14:textId="1057C522" w:rsidR="008A1622" w:rsidRDefault="00C008A5" w:rsidP="007574A3">
      <w:r>
        <w:t xml:space="preserve">Third, employers’ sense of urgency generated criticism </w:t>
      </w:r>
      <w:r w:rsidR="0000444B">
        <w:t>of other</w:t>
      </w:r>
      <w:r w:rsidR="005C00C4">
        <w:t xml:space="preserve"> actor</w:t>
      </w:r>
      <w:r w:rsidR="00B265AF">
        <w:t xml:space="preserve">s </w:t>
      </w:r>
      <w:r w:rsidR="001B0871">
        <w:t xml:space="preserve">in the system. </w:t>
      </w:r>
      <w:r w:rsidR="00236C67">
        <w:t>These c</w:t>
      </w:r>
      <w:r w:rsidR="001B0871">
        <w:t xml:space="preserve">riticisms related to </w:t>
      </w:r>
      <w:r>
        <w:t>the timeliness of sign-ups</w:t>
      </w:r>
      <w:r w:rsidR="008D7B1F">
        <w:t xml:space="preserve"> </w:t>
      </w:r>
      <w:r w:rsidR="0044309D">
        <w:t>managed by</w:t>
      </w:r>
      <w:r>
        <w:t xml:space="preserve"> Australian Apprenticeship Support Services providers, </w:t>
      </w:r>
      <w:r w:rsidR="005C00C4">
        <w:t xml:space="preserve">delays in </w:t>
      </w:r>
      <w:r w:rsidR="008D7B1F">
        <w:t>T</w:t>
      </w:r>
      <w:r>
        <w:t xml:space="preserve">raining </w:t>
      </w:r>
      <w:r w:rsidR="008D7B1F">
        <w:t>C</w:t>
      </w:r>
      <w:r>
        <w:t>ontract approv</w:t>
      </w:r>
      <w:r w:rsidR="0044309D">
        <w:t>als</w:t>
      </w:r>
      <w:r>
        <w:t xml:space="preserve"> </w:t>
      </w:r>
      <w:r w:rsidR="005C00C4">
        <w:t xml:space="preserve">from </w:t>
      </w:r>
      <w:r>
        <w:t>State Training Authorities, and the availability of training through TAFEs/RTOs.</w:t>
      </w:r>
      <w:r w:rsidR="00357979">
        <w:t xml:space="preserve"> </w:t>
      </w:r>
      <w:r w:rsidR="008A199F">
        <w:t xml:space="preserve">These actors </w:t>
      </w:r>
      <w:r w:rsidR="00F4517D">
        <w:t>responded to the pressure in different ways.</w:t>
      </w:r>
      <w:r w:rsidR="008A199F">
        <w:t xml:space="preserve"> </w:t>
      </w:r>
      <w:r w:rsidR="00357979">
        <w:t>For example,</w:t>
      </w:r>
      <w:r w:rsidR="00357979" w:rsidDel="00F01AD0">
        <w:t xml:space="preserve"> </w:t>
      </w:r>
      <w:r w:rsidR="00CE1287">
        <w:t>some se</w:t>
      </w:r>
      <w:r w:rsidR="00357979">
        <w:t xml:space="preserve">rvice providers and State Training Authorities conceded that they applied less rigour to </w:t>
      </w:r>
      <w:r w:rsidR="00C85DB8">
        <w:t xml:space="preserve">the </w:t>
      </w:r>
      <w:r w:rsidR="00357979">
        <w:t xml:space="preserve">sign-up and </w:t>
      </w:r>
      <w:r w:rsidR="00B3323A">
        <w:t>T</w:t>
      </w:r>
      <w:r w:rsidR="00357979">
        <w:t xml:space="preserve">raining </w:t>
      </w:r>
      <w:r w:rsidR="00B3323A">
        <w:t>C</w:t>
      </w:r>
      <w:r w:rsidR="00357979">
        <w:t>ontract approval processes during this period</w:t>
      </w:r>
      <w:r w:rsidR="00C85DB8">
        <w:t xml:space="preserve">. </w:t>
      </w:r>
      <w:r w:rsidR="00541241">
        <w:t>Interviewed stakeholders a</w:t>
      </w:r>
      <w:r w:rsidR="00444002">
        <w:t xml:space="preserve">lso reported that </w:t>
      </w:r>
      <w:r w:rsidR="00357979">
        <w:t>RTOs enroll</w:t>
      </w:r>
      <w:r w:rsidR="00444002">
        <w:t>ed</w:t>
      </w:r>
      <w:r w:rsidR="00357979">
        <w:t xml:space="preserve"> apprentices in coursework that did not have training places available for 6-12 months. </w:t>
      </w:r>
      <w:r w:rsidR="00F4517D">
        <w:t>Finally, o</w:t>
      </w:r>
      <w:r w:rsidR="00357979">
        <w:t xml:space="preserve">ne service provider indicated that they chose not to hire more staff because they </w:t>
      </w:r>
      <w:r w:rsidR="00F4517D">
        <w:t>expected</w:t>
      </w:r>
      <w:r w:rsidR="00357979">
        <w:t xml:space="preserve"> the cap would be reached quickly, at which point demand would decrease. This </w:t>
      </w:r>
      <w:r w:rsidR="00DD3816">
        <w:t xml:space="preserve">left them ill-placed </w:t>
      </w:r>
      <w:r w:rsidR="00357979">
        <w:t>when the cap was removed.</w:t>
      </w:r>
    </w:p>
    <w:p w14:paraId="4C06B29C" w14:textId="14FB8D3E" w:rsidR="00F348EB" w:rsidRPr="00E27D7B" w:rsidRDefault="00F348EB" w:rsidP="00E10B46">
      <w:pPr>
        <w:pStyle w:val="Heading3"/>
      </w:pPr>
      <w:bookmarkStart w:id="90" w:name="_Toc176782395"/>
      <w:r w:rsidRPr="00EF517D">
        <w:lastRenderedPageBreak/>
        <w:t xml:space="preserve">Lesson </w:t>
      </w:r>
      <w:r>
        <w:t>7</w:t>
      </w:r>
      <w:r w:rsidRPr="00EF517D">
        <w:t xml:space="preserve">: </w:t>
      </w:r>
      <w:r w:rsidR="00072887">
        <w:t>Clarify</w:t>
      </w:r>
      <w:r w:rsidR="000B442C">
        <w:t xml:space="preserve"> </w:t>
      </w:r>
      <w:r w:rsidR="00E9523F">
        <w:t>the</w:t>
      </w:r>
      <w:r w:rsidR="000B442C">
        <w:t xml:space="preserve"> program</w:t>
      </w:r>
      <w:r w:rsidR="00E9523F">
        <w:t>’s</w:t>
      </w:r>
      <w:r w:rsidR="000B442C">
        <w:t xml:space="preserve"> objec</w:t>
      </w:r>
      <w:r w:rsidR="00A00224">
        <w:t>tive</w:t>
      </w:r>
      <w:r w:rsidR="00072887">
        <w:t xml:space="preserve"> from the beginning</w:t>
      </w:r>
      <w:r w:rsidR="00F95F1A" w:rsidRPr="00431194">
        <w:t>, and use these to help guide program design</w:t>
      </w:r>
      <w:r w:rsidR="00632879">
        <w:t xml:space="preserve">, </w:t>
      </w:r>
      <w:r w:rsidR="00F95F1A" w:rsidRPr="00431194">
        <w:t>implementation</w:t>
      </w:r>
      <w:r w:rsidR="00F95F1A">
        <w:t>, communication</w:t>
      </w:r>
      <w:r w:rsidR="00201FDA">
        <w:t xml:space="preserve"> and evaluation</w:t>
      </w:r>
      <w:bookmarkEnd w:id="90"/>
    </w:p>
    <w:p w14:paraId="0809EFAB" w14:textId="1BAD49DD" w:rsidR="003731B9" w:rsidRDefault="003731B9" w:rsidP="007574A3">
      <w:pPr>
        <w:spacing w:before="0" w:after="160"/>
      </w:pPr>
      <w:r>
        <w:t>A final lesson for future policymakers is to clarify the program’s objectives as much as possible</w:t>
      </w:r>
      <w:r w:rsidR="00AB3F1C">
        <w:t xml:space="preserve"> from the </w:t>
      </w:r>
      <w:proofErr w:type="gramStart"/>
      <w:r w:rsidR="00AB3F1C">
        <w:t>beginning</w:t>
      </w:r>
      <w:r>
        <w:t>, and</w:t>
      </w:r>
      <w:proofErr w:type="gramEnd"/>
      <w:r>
        <w:t xml:space="preserve"> use these objectives to help guide program design and implementation. </w:t>
      </w:r>
    </w:p>
    <w:p w14:paraId="003C2B65" w14:textId="77777777" w:rsidR="003731B9" w:rsidRDefault="003731B9" w:rsidP="007574A3">
      <w:r>
        <w:t>The BAC program had 3 objectives:</w:t>
      </w:r>
    </w:p>
    <w:p w14:paraId="1F5984FB" w14:textId="67DB99B7" w:rsidR="003731B9" w:rsidRDefault="003731B9" w:rsidP="007574A3">
      <w:pPr>
        <w:ind w:left="720"/>
      </w:pPr>
      <w:r>
        <w:t xml:space="preserve">A. </w:t>
      </w:r>
      <w:r w:rsidR="006360C5">
        <w:t>E</w:t>
      </w:r>
      <w:r>
        <w:t>ncourage employers to take on an Australian Apprentice during the economic recovery from the COVID-19 pandemic and retain them through to a second and third year of training</w:t>
      </w:r>
      <w:r w:rsidR="004F0FC1">
        <w:t xml:space="preserve"> </w:t>
      </w:r>
    </w:p>
    <w:p w14:paraId="484F4902" w14:textId="54E0534B" w:rsidR="003731B9" w:rsidRDefault="003731B9" w:rsidP="007574A3">
      <w:pPr>
        <w:ind w:left="720"/>
      </w:pPr>
      <w:r>
        <w:t xml:space="preserve">B. </w:t>
      </w:r>
      <w:r w:rsidR="006360C5">
        <w:t>S</w:t>
      </w:r>
      <w:r>
        <w:t>upport the Government’s response to the COVID-19 pandemic</w:t>
      </w:r>
    </w:p>
    <w:p w14:paraId="24B09FF4" w14:textId="64D6674F" w:rsidR="003731B9" w:rsidRDefault="003731B9" w:rsidP="007574A3">
      <w:pPr>
        <w:ind w:left="720"/>
      </w:pPr>
      <w:r>
        <w:t xml:space="preserve">C. </w:t>
      </w:r>
      <w:r w:rsidR="006360C5">
        <w:t>C</w:t>
      </w:r>
      <w:r>
        <w:t>ontribute to the development of a highly skilled and relevant Australian workforce that supports economic sustainability and competitiveness.</w:t>
      </w:r>
    </w:p>
    <w:p w14:paraId="26F51F65" w14:textId="77777777" w:rsidR="003731B9" w:rsidRDefault="003731B9" w:rsidP="007574A3">
      <w:pPr>
        <w:spacing w:before="0" w:after="160"/>
      </w:pPr>
      <w:r>
        <w:t xml:space="preserve">Despite this, our interviews with stakeholders revealed a range of different perspectives on the purpose of the BAC program. Some believed it was intended to support skill-building during economic recovery, others that it was also intended to maintain employment during economic uncertainty, and still others saw it as supporting industries particularly hard hit by the pandemic. </w:t>
      </w:r>
    </w:p>
    <w:p w14:paraId="572A3A1B" w14:textId="0575AD33" w:rsidR="002F2A81" w:rsidRPr="00910E00" w:rsidRDefault="003731B9" w:rsidP="007574A3">
      <w:pPr>
        <w:spacing w:before="0" w:after="160"/>
      </w:pPr>
      <w:r>
        <w:t xml:space="preserve">For future programs, it may be helpful to specify how the program is expected to contribute to a skilled workforce (for example, by addressing gaps in priority occupations, or by addressing a general fall in the number of apprenticeships). Similarly, if a similar program is introduced during another </w:t>
      </w:r>
      <w:proofErr w:type="gramStart"/>
      <w:r>
        <w:t>crisis situation</w:t>
      </w:r>
      <w:proofErr w:type="gramEnd"/>
      <w:r>
        <w:t xml:space="preserve"> (comparable to the pandemic), it would help to set out how the program would support the government's crisis response. This additional detail should help with program design, as well as communication with stakeholders about the program's intent</w:t>
      </w:r>
      <w:r w:rsidR="00040605">
        <w:t>, and subsequent evaluation</w:t>
      </w:r>
      <w:r>
        <w:t>.</w:t>
      </w:r>
      <w:r w:rsidR="002F2A81">
        <w:br w:type="page"/>
      </w:r>
    </w:p>
    <w:p w14:paraId="6C8A3887" w14:textId="167EC05A" w:rsidR="00DD0D25" w:rsidRDefault="00DD0D25" w:rsidP="007574A3">
      <w:pPr>
        <w:pStyle w:val="Heading1"/>
        <w:spacing w:line="240" w:lineRule="auto"/>
      </w:pPr>
      <w:bookmarkStart w:id="91" w:name="_Toc176782396"/>
      <w:r>
        <w:lastRenderedPageBreak/>
        <w:t xml:space="preserve">Appendix A: </w:t>
      </w:r>
      <w:r w:rsidR="00116E0E">
        <w:t>C</w:t>
      </w:r>
      <w:r>
        <w:t>ommencements</w:t>
      </w:r>
      <w:r w:rsidR="00116E0E">
        <w:t>—further</w:t>
      </w:r>
      <w:r>
        <w:t xml:space="preserve"> modelling results</w:t>
      </w:r>
      <w:bookmarkEnd w:id="91"/>
    </w:p>
    <w:p w14:paraId="025F8460" w14:textId="4E5FF90C" w:rsidR="0040307C" w:rsidRPr="0040307C" w:rsidRDefault="0040307C" w:rsidP="00506E04">
      <w:r>
        <w:t xml:space="preserve">This appendix </w:t>
      </w:r>
      <w:r w:rsidR="00856FC7">
        <w:t xml:space="preserve">provides further results on </w:t>
      </w:r>
      <w:r w:rsidR="00D6049B">
        <w:t>apprenticeship commencements</w:t>
      </w:r>
      <w:r w:rsidR="00BB135B">
        <w:t xml:space="preserve">. It </w:t>
      </w:r>
      <w:r w:rsidR="00506E04">
        <w:t xml:space="preserve">provides disaggregated estimates of </w:t>
      </w:r>
      <w:r w:rsidR="00BB135B">
        <w:t xml:space="preserve">the effect of the BAC program on </w:t>
      </w:r>
      <w:r w:rsidR="00506E04">
        <w:t>commencements by occupation type, and by jurisdiction.</w:t>
      </w:r>
    </w:p>
    <w:p w14:paraId="75244F8D" w14:textId="37A75F5A" w:rsidR="00E4460F" w:rsidRDefault="00F5202F" w:rsidP="007574A3">
      <w:pPr>
        <w:pStyle w:val="Heading2"/>
        <w:spacing w:line="240" w:lineRule="auto"/>
      </w:pPr>
      <w:bookmarkStart w:id="92" w:name="_Toc176782397"/>
      <w:r>
        <w:t>Effects by occupation</w:t>
      </w:r>
      <w:bookmarkEnd w:id="92"/>
    </w:p>
    <w:p w14:paraId="0D0CD5ED" w14:textId="2872952C" w:rsidR="00E4460F" w:rsidRDefault="001C3D7B" w:rsidP="007574A3">
      <w:r>
        <w:t>The effect of the BAC program on c</w:t>
      </w:r>
      <w:r w:rsidR="006146EA" w:rsidRPr="00597904">
        <w:t>ommencement</w:t>
      </w:r>
      <w:r w:rsidR="00CE5931">
        <w:t>s</w:t>
      </w:r>
      <w:r w:rsidR="006146EA" w:rsidRPr="00597904">
        <w:t xml:space="preserve"> </w:t>
      </w:r>
      <w:r>
        <w:t xml:space="preserve">was </w:t>
      </w:r>
      <w:proofErr w:type="gramStart"/>
      <w:r>
        <w:t xml:space="preserve">fairly </w:t>
      </w:r>
      <w:r w:rsidR="006146EA" w:rsidRPr="00597904">
        <w:t>consistent</w:t>
      </w:r>
      <w:proofErr w:type="gramEnd"/>
      <w:r>
        <w:t xml:space="preserve"> </w:t>
      </w:r>
      <w:r w:rsidR="006146EA" w:rsidRPr="00597904">
        <w:t>across trade occupations</w:t>
      </w:r>
      <w:r>
        <w:t>, however it varied more widely for non-trades</w:t>
      </w:r>
      <w:r w:rsidR="004E033A">
        <w:t xml:space="preserve"> (Figure 1</w:t>
      </w:r>
      <w:r w:rsidR="00AF5A2F">
        <w:t>8</w:t>
      </w:r>
      <w:r w:rsidR="004E033A">
        <w:t>)</w:t>
      </w:r>
      <w:r>
        <w:t xml:space="preserve">. </w:t>
      </w:r>
      <w:r w:rsidR="004E033A">
        <w:t xml:space="preserve">Occupations were analysed using </w:t>
      </w:r>
      <w:r w:rsidR="007367CF">
        <w:t xml:space="preserve">the 97 </w:t>
      </w:r>
      <w:r w:rsidR="004E033A">
        <w:t>ANZSCO (Australia</w:t>
      </w:r>
      <w:r w:rsidR="0015128A">
        <w:t xml:space="preserve"> and</w:t>
      </w:r>
      <w:r w:rsidR="004E033A">
        <w:t xml:space="preserve"> New Zealand Standard Classification of Occupations) Minor Groups</w:t>
      </w:r>
      <w:r w:rsidR="00236B60">
        <w:t xml:space="preserve">. </w:t>
      </w:r>
      <w:r w:rsidR="007367CF">
        <w:t>F</w:t>
      </w:r>
      <w:r w:rsidR="00697988">
        <w:t>or example</w:t>
      </w:r>
      <w:r w:rsidR="00E1631F">
        <w:t xml:space="preserve">, </w:t>
      </w:r>
      <w:r w:rsidR="00C7610E">
        <w:t xml:space="preserve">‘Automotive </w:t>
      </w:r>
      <w:r w:rsidR="00D61B30">
        <w:t xml:space="preserve">Electricians and Mechanics’ </w:t>
      </w:r>
      <w:r w:rsidR="00236B60">
        <w:t>is an ANZ</w:t>
      </w:r>
      <w:r w:rsidR="007B0D20">
        <w:t>S</w:t>
      </w:r>
      <w:r w:rsidR="00236B60">
        <w:t>CO Minor Group that belongs to the ‘Technicians and Trades Workers’ ANZ</w:t>
      </w:r>
      <w:r w:rsidR="007B0D20">
        <w:t>S</w:t>
      </w:r>
      <w:r w:rsidR="00236B60">
        <w:t xml:space="preserve">CO Major Group. </w:t>
      </w:r>
      <w:r w:rsidR="00896610">
        <w:t>T</w:t>
      </w:r>
      <w:r w:rsidR="008D3365">
        <w:t xml:space="preserve">he following results should be treated with </w:t>
      </w:r>
      <w:r w:rsidR="00896610">
        <w:t xml:space="preserve">some </w:t>
      </w:r>
      <w:r w:rsidR="008D3365">
        <w:t xml:space="preserve">caution given the smaller sample sizes for individual occupations, and the </w:t>
      </w:r>
      <w:r w:rsidR="00896610">
        <w:t>potential for random variation in the data.</w:t>
      </w:r>
      <w:r w:rsidR="008D3365">
        <w:t xml:space="preserve"> </w:t>
      </w:r>
    </w:p>
    <w:p w14:paraId="4077A8C2" w14:textId="77777777" w:rsidR="00E4460F" w:rsidRPr="00597904" w:rsidRDefault="00E4460F" w:rsidP="00E10B46">
      <w:pPr>
        <w:pStyle w:val="Heading3"/>
      </w:pPr>
      <w:bookmarkStart w:id="93" w:name="_Toc176782398"/>
      <w:r>
        <w:t xml:space="preserve">Trade </w:t>
      </w:r>
      <w:r w:rsidRPr="00597904">
        <w:t>occupations</w:t>
      </w:r>
      <w:bookmarkEnd w:id="93"/>
    </w:p>
    <w:p w14:paraId="4991F524" w14:textId="77777777" w:rsidR="00E4460F" w:rsidRDefault="00E4460F" w:rsidP="007574A3">
      <w:r w:rsidRPr="00597904">
        <w:t>Commencement effects were consistently positive across all trade occupations</w:t>
      </w:r>
      <w:r>
        <w:t>:</w:t>
      </w:r>
      <w:r w:rsidRPr="002D616C">
        <w:rPr>
          <w:rStyle w:val="FootnoteReference"/>
          <w:vertAlign w:val="superscript"/>
        </w:rPr>
        <w:footnoteReference w:id="7"/>
      </w:r>
    </w:p>
    <w:p w14:paraId="7F7637AC" w14:textId="04AE4E9B" w:rsidR="00E4460F" w:rsidRPr="00701BB5" w:rsidRDefault="00E4460F" w:rsidP="007574A3">
      <w:pPr>
        <w:pStyle w:val="Bullet"/>
        <w:tabs>
          <w:tab w:val="clear" w:pos="720"/>
        </w:tabs>
        <w:spacing w:line="240" w:lineRule="auto"/>
        <w:rPr>
          <w:szCs w:val="22"/>
        </w:rPr>
      </w:pPr>
      <w:r w:rsidRPr="00597904">
        <w:t xml:space="preserve">The three largest trade </w:t>
      </w:r>
      <w:r w:rsidRPr="00701BB5">
        <w:rPr>
          <w:szCs w:val="22"/>
        </w:rPr>
        <w:t>occupations – carpenters, electricians and automotive electricians – saw average commencement</w:t>
      </w:r>
      <w:r w:rsidR="00FC5D29">
        <w:rPr>
          <w:szCs w:val="22"/>
        </w:rPr>
        <w:t>s</w:t>
      </w:r>
      <w:r w:rsidRPr="00701BB5">
        <w:rPr>
          <w:szCs w:val="22"/>
        </w:rPr>
        <w:t xml:space="preserve"> over the BAC period of </w:t>
      </w:r>
      <w:r w:rsidR="00412676">
        <w:rPr>
          <w:szCs w:val="22"/>
        </w:rPr>
        <w:t xml:space="preserve">around </w:t>
      </w:r>
      <w:r w:rsidRPr="00701BB5">
        <w:rPr>
          <w:szCs w:val="22"/>
        </w:rPr>
        <w:t>40%</w:t>
      </w:r>
      <w:r w:rsidR="00B875F1">
        <w:rPr>
          <w:szCs w:val="22"/>
        </w:rPr>
        <w:t xml:space="preserve"> </w:t>
      </w:r>
      <w:r w:rsidR="0028029A">
        <w:rPr>
          <w:szCs w:val="22"/>
        </w:rPr>
        <w:t>more</w:t>
      </w:r>
      <w:r w:rsidR="00412676">
        <w:rPr>
          <w:szCs w:val="22"/>
        </w:rPr>
        <w:t xml:space="preserve"> than would</w:t>
      </w:r>
      <w:r w:rsidR="004968A3">
        <w:rPr>
          <w:szCs w:val="22"/>
        </w:rPr>
        <w:t xml:space="preserve"> have been expected without BAC</w:t>
      </w:r>
      <w:r w:rsidRPr="00701BB5">
        <w:rPr>
          <w:szCs w:val="22"/>
        </w:rPr>
        <w:t xml:space="preserve">. </w:t>
      </w:r>
      <w:r w:rsidR="00D53D79" w:rsidRPr="00701BB5">
        <w:rPr>
          <w:szCs w:val="22"/>
        </w:rPr>
        <w:t>Hairdressers’</w:t>
      </w:r>
      <w:r w:rsidRPr="00701BB5">
        <w:rPr>
          <w:szCs w:val="22"/>
        </w:rPr>
        <w:t xml:space="preserve"> </w:t>
      </w:r>
      <w:r w:rsidR="00A626B1">
        <w:rPr>
          <w:szCs w:val="22"/>
        </w:rPr>
        <w:t>commencements increase</w:t>
      </w:r>
      <w:r w:rsidR="00B875F1">
        <w:rPr>
          <w:szCs w:val="22"/>
        </w:rPr>
        <w:t>d</w:t>
      </w:r>
      <w:r w:rsidR="00A626B1">
        <w:rPr>
          <w:szCs w:val="22"/>
        </w:rPr>
        <w:t xml:space="preserve"> by </w:t>
      </w:r>
      <w:r w:rsidRPr="00701BB5">
        <w:rPr>
          <w:szCs w:val="22"/>
        </w:rPr>
        <w:t>39% and wood trades workers had similar effects</w:t>
      </w:r>
      <w:r w:rsidR="009A0C48">
        <w:rPr>
          <w:szCs w:val="22"/>
        </w:rPr>
        <w:t xml:space="preserve"> with a 53% increase</w:t>
      </w:r>
      <w:r w:rsidRPr="00701BB5">
        <w:rPr>
          <w:szCs w:val="22"/>
        </w:rPr>
        <w:t>.</w:t>
      </w:r>
    </w:p>
    <w:p w14:paraId="7542BA44" w14:textId="3DD53691" w:rsidR="00E4460F" w:rsidRPr="00597904" w:rsidRDefault="00E4460F" w:rsidP="007574A3">
      <w:pPr>
        <w:pStyle w:val="Bullet"/>
        <w:tabs>
          <w:tab w:val="clear" w:pos="720"/>
          <w:tab w:val="left" w:pos="567"/>
        </w:tabs>
        <w:spacing w:line="240" w:lineRule="auto"/>
      </w:pPr>
      <w:r>
        <w:t>By comparison, p</w:t>
      </w:r>
      <w:r w:rsidRPr="00597904">
        <w:t xml:space="preserve">lumbers </w:t>
      </w:r>
      <w:r w:rsidR="009C255C">
        <w:t>(</w:t>
      </w:r>
      <w:r w:rsidR="002E46A1">
        <w:t>increase</w:t>
      </w:r>
      <w:r w:rsidR="009C255C">
        <w:t xml:space="preserve"> of</w:t>
      </w:r>
      <w:r w:rsidR="002E46A1">
        <w:t xml:space="preserve"> </w:t>
      </w:r>
      <w:r w:rsidRPr="00597904">
        <w:t>30%</w:t>
      </w:r>
      <w:r w:rsidR="009C255C">
        <w:t>)</w:t>
      </w:r>
      <w:r w:rsidRPr="00597904">
        <w:t xml:space="preserve">, mechanical engineers </w:t>
      </w:r>
      <w:r w:rsidR="009C255C">
        <w:t>(</w:t>
      </w:r>
      <w:r w:rsidR="002E46A1">
        <w:t>increase</w:t>
      </w:r>
      <w:r w:rsidR="009C255C">
        <w:t xml:space="preserve"> of</w:t>
      </w:r>
      <w:r w:rsidR="002E46A1">
        <w:t xml:space="preserve"> </w:t>
      </w:r>
      <w:r w:rsidRPr="00597904">
        <w:t>25%</w:t>
      </w:r>
      <w:r w:rsidR="009C255C">
        <w:t>)</w:t>
      </w:r>
      <w:r w:rsidRPr="00597904">
        <w:t>, and panel beaters (</w:t>
      </w:r>
      <w:r w:rsidR="009C255C">
        <w:t xml:space="preserve">increase of </w:t>
      </w:r>
      <w:r w:rsidRPr="00597904">
        <w:t xml:space="preserve">34%) had </w:t>
      </w:r>
      <w:r>
        <w:t xml:space="preserve">somewhat </w:t>
      </w:r>
      <w:r w:rsidRPr="00597904">
        <w:t>subdued effect</w:t>
      </w:r>
      <w:r>
        <w:t>s</w:t>
      </w:r>
      <w:r w:rsidR="00BC4600">
        <w:t>.</w:t>
      </w:r>
      <w:r>
        <w:t xml:space="preserve"> </w:t>
      </w:r>
    </w:p>
    <w:p w14:paraId="1BF0BB6A" w14:textId="77777777" w:rsidR="00E4460F" w:rsidRPr="00597904" w:rsidRDefault="00E4460F" w:rsidP="007574A3">
      <w:pPr>
        <w:pStyle w:val="Bullet"/>
        <w:tabs>
          <w:tab w:val="clear" w:pos="720"/>
          <w:tab w:val="left" w:pos="567"/>
        </w:tabs>
        <w:spacing w:line="240" w:lineRule="auto"/>
      </w:pPr>
      <w:r w:rsidRPr="00597904">
        <w:rPr>
          <w:szCs w:val="22"/>
        </w:rPr>
        <w:t>Food trades workers – which includes chefs, cooks, bakers and butchers – had commencements that were 60% higher than would have been</w:t>
      </w:r>
      <w:r w:rsidRPr="00597904">
        <w:t xml:space="preserve"> expected without the BAC.</w:t>
      </w:r>
    </w:p>
    <w:p w14:paraId="7D529CF5" w14:textId="77777777" w:rsidR="00E4460F" w:rsidRPr="00597904" w:rsidRDefault="00E4460F" w:rsidP="00DC4277">
      <w:pPr>
        <w:pStyle w:val="Heading3"/>
      </w:pPr>
      <w:bookmarkStart w:id="94" w:name="_Toc176782399"/>
      <w:r w:rsidRPr="00597904">
        <w:t>Non-trade occupations</w:t>
      </w:r>
      <w:bookmarkEnd w:id="94"/>
    </w:p>
    <w:p w14:paraId="655C5FD5" w14:textId="77777777" w:rsidR="00E4460F" w:rsidRPr="003D208C" w:rsidRDefault="00E4460F" w:rsidP="007574A3">
      <w:r>
        <w:t>Effects for non-trade occupations were even greater than trades, with some occupations having particularly extreme growth in commencements:</w:t>
      </w:r>
      <w:r w:rsidRPr="002D616C">
        <w:rPr>
          <w:szCs w:val="22"/>
          <w:vertAlign w:val="superscript"/>
        </w:rPr>
        <w:t xml:space="preserve"> </w:t>
      </w:r>
      <w:r w:rsidRPr="003D208C">
        <w:rPr>
          <w:szCs w:val="22"/>
          <w:vertAlign w:val="superscript"/>
        </w:rPr>
        <w:footnoteReference w:id="8"/>
      </w:r>
    </w:p>
    <w:p w14:paraId="23D55FE6" w14:textId="567B4A40" w:rsidR="00E4460F" w:rsidRDefault="00E4460F" w:rsidP="007574A3">
      <w:pPr>
        <w:pStyle w:val="Bullet"/>
        <w:tabs>
          <w:tab w:val="clear" w:pos="720"/>
        </w:tabs>
        <w:spacing w:line="240" w:lineRule="auto"/>
        <w:rPr>
          <w:szCs w:val="22"/>
        </w:rPr>
      </w:pPr>
      <w:r>
        <w:rPr>
          <w:szCs w:val="22"/>
        </w:rPr>
        <w:t>T</w:t>
      </w:r>
      <w:r w:rsidRPr="003D208C">
        <w:rPr>
          <w:szCs w:val="22"/>
        </w:rPr>
        <w:t>he three non-trade Australian Apprenticeships</w:t>
      </w:r>
      <w:r>
        <w:rPr>
          <w:szCs w:val="22"/>
        </w:rPr>
        <w:t xml:space="preserve"> with the largest number of commencements all had strong increases due to the BAC program: </w:t>
      </w:r>
      <w:r w:rsidRPr="00E9484C">
        <w:rPr>
          <w:szCs w:val="22"/>
        </w:rPr>
        <w:t>general clerks (150%</w:t>
      </w:r>
      <w:r w:rsidR="00DD5B13">
        <w:rPr>
          <w:szCs w:val="22"/>
        </w:rPr>
        <w:t xml:space="preserve"> increase</w:t>
      </w:r>
      <w:r w:rsidRPr="00E9484C">
        <w:rPr>
          <w:szCs w:val="22"/>
        </w:rPr>
        <w:t>), salespersons (123%</w:t>
      </w:r>
      <w:r w:rsidR="00DD5B13">
        <w:rPr>
          <w:szCs w:val="22"/>
        </w:rPr>
        <w:t xml:space="preserve"> increase</w:t>
      </w:r>
      <w:r w:rsidRPr="00E9484C">
        <w:rPr>
          <w:szCs w:val="22"/>
        </w:rPr>
        <w:t>), and hospitality workers (110%</w:t>
      </w:r>
      <w:r w:rsidR="00DD5B13">
        <w:rPr>
          <w:szCs w:val="22"/>
        </w:rPr>
        <w:t xml:space="preserve"> increase</w:t>
      </w:r>
      <w:r w:rsidRPr="00E9484C">
        <w:rPr>
          <w:szCs w:val="22"/>
        </w:rPr>
        <w:t xml:space="preserve">). </w:t>
      </w:r>
    </w:p>
    <w:p w14:paraId="4BCCB526" w14:textId="05D6AACD" w:rsidR="00E4460F" w:rsidRDefault="00E4460F" w:rsidP="007574A3">
      <w:pPr>
        <w:pStyle w:val="Bullet"/>
        <w:tabs>
          <w:tab w:val="clear" w:pos="720"/>
          <w:tab w:val="left" w:pos="851"/>
        </w:tabs>
        <w:spacing w:line="240" w:lineRule="auto"/>
      </w:pPr>
      <w:r w:rsidRPr="00597904">
        <w:t>Office managers had commencement growth far exceeding other occupations</w:t>
      </w:r>
      <w:r w:rsidR="00E673A7">
        <w:t>, with commencements</w:t>
      </w:r>
      <w:r>
        <w:t xml:space="preserve"> </w:t>
      </w:r>
      <w:r w:rsidRPr="00597904">
        <w:t>588% higher during the BAC period than would have been expected without the program.</w:t>
      </w:r>
    </w:p>
    <w:p w14:paraId="074E4E4C" w14:textId="17F40B74" w:rsidR="00E4460F" w:rsidRPr="003B7278" w:rsidRDefault="00E4460F" w:rsidP="007574A3">
      <w:pPr>
        <w:pStyle w:val="Bullet"/>
        <w:tabs>
          <w:tab w:val="clear" w:pos="720"/>
          <w:tab w:val="left" w:pos="851"/>
        </w:tabs>
        <w:spacing w:line="240" w:lineRule="auto"/>
      </w:pPr>
      <w:r w:rsidRPr="003B7278">
        <w:lastRenderedPageBreak/>
        <w:t xml:space="preserve">Child carers had a smaller effect </w:t>
      </w:r>
      <w:r w:rsidR="003C0229">
        <w:t xml:space="preserve">(12% increase) </w:t>
      </w:r>
      <w:r w:rsidRPr="003B7278">
        <w:t xml:space="preserve">that was not statistically significant. Discussions with stakeholders suggested this may have been due to changes in licensing requirements prior to the BAC period, already elevating these </w:t>
      </w:r>
      <w:r w:rsidR="007F2DD2">
        <w:t>Australian Apprenticeship</w:t>
      </w:r>
      <w:r w:rsidRPr="003B7278">
        <w:t xml:space="preserve"> numbers to high levels. </w:t>
      </w:r>
    </w:p>
    <w:p w14:paraId="430CA505" w14:textId="69D9E292" w:rsidR="00E4460F" w:rsidRDefault="00E4460F" w:rsidP="007574A3">
      <w:pPr>
        <w:pStyle w:val="Bullet"/>
        <w:numPr>
          <w:ilvl w:val="0"/>
          <w:numId w:val="0"/>
        </w:numPr>
        <w:spacing w:line="240" w:lineRule="auto"/>
      </w:pPr>
      <w:r w:rsidRPr="00597904">
        <w:rPr>
          <w:szCs w:val="22"/>
        </w:rPr>
        <w:t>Some non-trade occupations were significantly lower than the counter</w:t>
      </w:r>
      <w:r w:rsidRPr="009406DD">
        <w:t xml:space="preserve">factual without the BAC program. </w:t>
      </w:r>
      <w:r>
        <w:t>We do not interpret this as the BAC program ‘backfiring’ by discouraging new commencements. Instead, this reflects other factors influencing commencements that were not captured in our model. For instance,</w:t>
      </w:r>
      <w:r w:rsidRPr="009406DD">
        <w:t xml:space="preserve"> </w:t>
      </w:r>
      <w:r>
        <w:t>p</w:t>
      </w:r>
      <w:r w:rsidRPr="009406DD">
        <w:t xml:space="preserve">ersonal service and travel workers </w:t>
      </w:r>
      <w:r w:rsidR="00881791">
        <w:t xml:space="preserve">occupations </w:t>
      </w:r>
      <w:r w:rsidRPr="009406DD">
        <w:t>were greatly affected by border closures during the BAC period and saw a significant decrease</w:t>
      </w:r>
      <w:r w:rsidR="001573CD">
        <w:t xml:space="preserve"> </w:t>
      </w:r>
      <w:r w:rsidR="00E64562">
        <w:t>of 39%</w:t>
      </w:r>
      <w:r w:rsidRPr="009406DD">
        <w:t xml:space="preserve"> in commencements</w:t>
      </w:r>
      <w:r>
        <w:t xml:space="preserve"> despite the BAC</w:t>
      </w:r>
      <w:r w:rsidRPr="009406DD">
        <w:t>.</w:t>
      </w:r>
      <w:r>
        <w:t xml:space="preserve"> Many travel agents had to find alternative </w:t>
      </w:r>
      <w:r w:rsidR="001C1B59">
        <w:t>employment,</w:t>
      </w:r>
      <w:r>
        <w:t xml:space="preserve"> so employers were not taking new apprentices. </w:t>
      </w:r>
    </w:p>
    <w:p w14:paraId="0909C687" w14:textId="3644BBA7" w:rsidR="00E4460F" w:rsidRPr="00767E41" w:rsidRDefault="00B37B33" w:rsidP="00E10B46">
      <w:pPr>
        <w:pStyle w:val="Chartheading"/>
        <w:spacing w:line="240" w:lineRule="auto"/>
        <w:outlineLvl w:val="9"/>
      </w:pPr>
      <w:r>
        <w:t>Figure 1</w:t>
      </w:r>
      <w:r w:rsidR="00AF5A2F">
        <w:t>8</w:t>
      </w:r>
      <w:r>
        <w:t xml:space="preserve">: </w:t>
      </w:r>
      <w:r w:rsidR="00E4460F">
        <w:t xml:space="preserve">BAC's effect on the percentage change in commencements by occupation, trade and non-trade </w:t>
      </w:r>
    </w:p>
    <w:p w14:paraId="767B074D" w14:textId="2E883462" w:rsidR="00767E41" w:rsidRDefault="00767E41" w:rsidP="00BB7265">
      <w:pPr>
        <w:pStyle w:val="ChartGraphic"/>
      </w:pPr>
      <w:r>
        <w:rPr>
          <w:noProof/>
        </w:rPr>
        <w:drawing>
          <wp:inline distT="0" distB="0" distL="0" distR="0" wp14:anchorId="04FFF3D8" wp14:editId="1BEE69B1">
            <wp:extent cx="5761355" cy="4244897"/>
            <wp:effectExtent l="0" t="0" r="0" b="3810"/>
            <wp:docPr id="13783506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5761355" cy="4244897"/>
                    </a:xfrm>
                    <a:prstGeom prst="rect">
                      <a:avLst/>
                    </a:prstGeom>
                    <a:noFill/>
                    <a:ln>
                      <a:noFill/>
                    </a:ln>
                    <a:extLst>
                      <a:ext uri="{53640926-AAD7-44D8-BBD7-CCE9431645EC}">
                        <a14:shadowObscured xmlns:a14="http://schemas.microsoft.com/office/drawing/2010/main"/>
                      </a:ext>
                    </a:extLst>
                  </pic:spPr>
                </pic:pic>
              </a:graphicData>
            </a:graphic>
          </wp:inline>
        </w:drawing>
      </w:r>
    </w:p>
    <w:p w14:paraId="47CBF7B4" w14:textId="77777777" w:rsidR="00BB7265" w:rsidRDefault="00BB7265" w:rsidP="00BB7265">
      <w:pPr>
        <w:pStyle w:val="ChartorTableNote"/>
      </w:pPr>
    </w:p>
    <w:p w14:paraId="35ADA709" w14:textId="467669F7" w:rsidR="00410E5D" w:rsidRPr="006A3AF3" w:rsidRDefault="00410E5D" w:rsidP="00BB7265">
      <w:pPr>
        <w:pStyle w:val="ChartorTableNote"/>
        <w:rPr>
          <w:szCs w:val="18"/>
        </w:rPr>
      </w:pPr>
      <w:r w:rsidRPr="00580999">
        <w:t xml:space="preserve">Source: </w:t>
      </w:r>
      <w:r>
        <w:rPr>
          <w:szCs w:val="18"/>
        </w:rPr>
        <w:t xml:space="preserve">Treasury modelling, see Appendix </w:t>
      </w:r>
      <w:r w:rsidR="000111A8">
        <w:rPr>
          <w:szCs w:val="18"/>
        </w:rPr>
        <w:t>B</w:t>
      </w:r>
      <w:r>
        <w:rPr>
          <w:szCs w:val="18"/>
        </w:rPr>
        <w:t xml:space="preserve"> for details.</w:t>
      </w:r>
    </w:p>
    <w:p w14:paraId="60F83909" w14:textId="5E0CE1D4" w:rsidR="000A10E6" w:rsidRPr="004E30B4" w:rsidRDefault="000A10E6" w:rsidP="007574A3">
      <w:pPr>
        <w:pStyle w:val="Heading2"/>
        <w:spacing w:line="240" w:lineRule="auto"/>
      </w:pPr>
      <w:bookmarkStart w:id="95" w:name="_Toc176782400"/>
      <w:r>
        <w:t>Effects by jurisdiction</w:t>
      </w:r>
      <w:bookmarkEnd w:id="95"/>
    </w:p>
    <w:p w14:paraId="2DB0FBF7" w14:textId="682F1826" w:rsidR="00DD0D25" w:rsidRDefault="00DD0D25" w:rsidP="007574A3">
      <w:r>
        <w:t xml:space="preserve">Overall, </w:t>
      </w:r>
      <w:r w:rsidR="00F94876">
        <w:t xml:space="preserve">the effect of the BAC program on commencements </w:t>
      </w:r>
      <w:r>
        <w:t xml:space="preserve">in individual states </w:t>
      </w:r>
      <w:r w:rsidR="00F94876">
        <w:t xml:space="preserve">was </w:t>
      </w:r>
      <w:r>
        <w:t>broadly consistent with the national aggregate findings in terms of effects being sizeable and statistically significant, and greater for non-trades. There were</w:t>
      </w:r>
      <w:r w:rsidR="00F94876">
        <w:t>, however,</w:t>
      </w:r>
      <w:r>
        <w:t xml:space="preserve"> some </w:t>
      </w:r>
      <w:r w:rsidR="008A4DEF">
        <w:t xml:space="preserve">apparent </w:t>
      </w:r>
      <w:r>
        <w:t xml:space="preserve">differences to the aggregate findings at </w:t>
      </w:r>
      <w:r>
        <w:lastRenderedPageBreak/>
        <w:t>the state level</w:t>
      </w:r>
      <w:r w:rsidR="00896610">
        <w:t>. Again, the following results should be treated with some caution given the smaller sample sizes for some jurisdictions.</w:t>
      </w:r>
      <w:r w:rsidR="002045CC" w:rsidRPr="001F20D2">
        <w:rPr>
          <w:rStyle w:val="FootnoteReference"/>
          <w:vertAlign w:val="superscript"/>
        </w:rPr>
        <w:footnoteReference w:id="9"/>
      </w:r>
    </w:p>
    <w:p w14:paraId="79BF0992" w14:textId="2F9A2C0F" w:rsidR="00DD0D25" w:rsidRDefault="00DD0D25" w:rsidP="007574A3">
      <w:pPr>
        <w:pStyle w:val="Bullet"/>
        <w:tabs>
          <w:tab w:val="clear" w:pos="720"/>
          <w:tab w:val="left" w:pos="851"/>
        </w:tabs>
        <w:spacing w:line="240" w:lineRule="auto"/>
      </w:pPr>
      <w:r>
        <w:t xml:space="preserve">Trade commencements in </w:t>
      </w:r>
      <w:r w:rsidR="006057B5">
        <w:t>New South Wales (</w:t>
      </w:r>
      <w:r>
        <w:t>NSW</w:t>
      </w:r>
      <w:r w:rsidR="006057B5">
        <w:t>)</w:t>
      </w:r>
      <w:r>
        <w:t xml:space="preserve"> saw a muted effect during the middle periods of the BAC program. Non-trade commencements in NSW saw consistently higher growth than the national average during the BAC period.</w:t>
      </w:r>
    </w:p>
    <w:p w14:paraId="30DF13E3" w14:textId="50F55454" w:rsidR="00DD0D25" w:rsidRDefault="00DD0D25" w:rsidP="007574A3">
      <w:pPr>
        <w:pStyle w:val="Bullet"/>
        <w:tabs>
          <w:tab w:val="clear" w:pos="720"/>
          <w:tab w:val="left" w:pos="851"/>
        </w:tabs>
        <w:spacing w:line="240" w:lineRule="auto"/>
      </w:pPr>
      <w:r>
        <w:t xml:space="preserve">In </w:t>
      </w:r>
      <w:r w:rsidR="00AF7B4D">
        <w:t>the period immediately prior to the introduction of the BAC program</w:t>
      </w:r>
      <w:r>
        <w:t>, Victoria had significantly fewer commencements than expected</w:t>
      </w:r>
      <w:r w:rsidR="001D3F27">
        <w:t xml:space="preserve">. This </w:t>
      </w:r>
      <w:r>
        <w:t>indicat</w:t>
      </w:r>
      <w:r w:rsidR="001D3F27">
        <w:t>es</w:t>
      </w:r>
      <w:r>
        <w:t xml:space="preserve"> that the model is not completely capturing the effect of extended lockdowns in that state</w:t>
      </w:r>
      <w:r w:rsidR="00A5475E">
        <w:t xml:space="preserve"> in </w:t>
      </w:r>
      <w:r w:rsidR="00F2197F">
        <w:t>Quarter 2 and Quarter 3 2020</w:t>
      </w:r>
      <w:r>
        <w:t xml:space="preserve">. </w:t>
      </w:r>
      <w:r w:rsidR="00F9029E">
        <w:t>T</w:t>
      </w:r>
      <w:r>
        <w:t xml:space="preserve">his suggests the extended lockdowns in Victoria may </w:t>
      </w:r>
      <w:proofErr w:type="gramStart"/>
      <w:r>
        <w:t>actually bias</w:t>
      </w:r>
      <w:proofErr w:type="gramEnd"/>
      <w:r>
        <w:t xml:space="preserve"> our estimates downwards and so the true effects of BAC in Victoria in later periods may </w:t>
      </w:r>
      <w:proofErr w:type="gramStart"/>
      <w:r>
        <w:t>actually be</w:t>
      </w:r>
      <w:proofErr w:type="gramEnd"/>
      <w:r>
        <w:t xml:space="preserve"> larger than estimated. </w:t>
      </w:r>
    </w:p>
    <w:p w14:paraId="790AAA07" w14:textId="77777777" w:rsidR="00DD0D25" w:rsidRDefault="00DD0D25" w:rsidP="007574A3">
      <w:pPr>
        <w:pStyle w:val="Bullet"/>
        <w:tabs>
          <w:tab w:val="clear" w:pos="720"/>
          <w:tab w:val="left" w:pos="851"/>
        </w:tabs>
        <w:spacing w:line="240" w:lineRule="auto"/>
      </w:pPr>
      <w:r>
        <w:t>Non-trade commencements in South Australia were particularly high in the last two quarters of the BAC period, being 200-230 per cent higher than expected without BAC.</w:t>
      </w:r>
    </w:p>
    <w:p w14:paraId="2929C216" w14:textId="211F1BD4" w:rsidR="00DD0D25" w:rsidRDefault="00DD0D25" w:rsidP="007574A3">
      <w:r>
        <w:t xml:space="preserve">These results were estimated by repeating the model outlined in the </w:t>
      </w:r>
      <w:r w:rsidR="00B12413">
        <w:t>‘</w:t>
      </w:r>
      <w:r w:rsidR="00DA06AD">
        <w:t>BAC’s effects on</w:t>
      </w:r>
      <w:r w:rsidR="00740326">
        <w:t xml:space="preserve"> </w:t>
      </w:r>
      <w:r w:rsidR="00DA06AD">
        <w:t>commencements’</w:t>
      </w:r>
      <w:r w:rsidR="00740326">
        <w:t xml:space="preserve"> section </w:t>
      </w:r>
      <w:r>
        <w:t xml:space="preserve">at the state trade/non-trade level. </w:t>
      </w:r>
    </w:p>
    <w:p w14:paraId="42077D11" w14:textId="77777777" w:rsidR="00DD0D25" w:rsidRDefault="00DD0D25" w:rsidP="00E10B46">
      <w:pPr>
        <w:pStyle w:val="Heading3"/>
      </w:pPr>
      <w:bookmarkStart w:id="96" w:name="_Toc176782401"/>
      <w:r>
        <w:t>Western Australia as a quasi ‘control group’ for not experiencing COVID-19</w:t>
      </w:r>
      <w:bookmarkEnd w:id="96"/>
    </w:p>
    <w:p w14:paraId="3455BC0F" w14:textId="477B9CBF" w:rsidR="00DD0D25" w:rsidRDefault="00DD0D25" w:rsidP="007574A3">
      <w:r>
        <w:t>A state of interest is Western Australia</w:t>
      </w:r>
      <w:r w:rsidR="006057B5">
        <w:t xml:space="preserve"> (WA)</w:t>
      </w:r>
      <w:r>
        <w:t xml:space="preserve">, which was less affected by COVID-19 infections and restrictions, yet had the same access to the BAC and CAC programs as other </w:t>
      </w:r>
      <w:r w:rsidR="002045CC">
        <w:t>jurisdictions</w:t>
      </w:r>
      <w:r>
        <w:t xml:space="preserve">. </w:t>
      </w:r>
    </w:p>
    <w:p w14:paraId="581C5ED8" w14:textId="77777777" w:rsidR="00DD0D25" w:rsidRDefault="00DD0D25" w:rsidP="007574A3">
      <w:r>
        <w:t xml:space="preserve">Like the rest of Australia, economic activity in WA was interrupted by national restrictions in March 2020. But it saw strong and </w:t>
      </w:r>
      <w:r>
        <w:rPr>
          <w:i/>
          <w:iCs/>
        </w:rPr>
        <w:t>relatively</w:t>
      </w:r>
      <w:r>
        <w:t xml:space="preserve"> consistent growth in hours worked in trade and non-trade occupations in the subsequent periods. However, WA was still affected by global supply constraints, state and international border closures, and by uncertainty that surrounded the COVID-19 pandemic.</w:t>
      </w:r>
    </w:p>
    <w:p w14:paraId="536F64AD" w14:textId="4674F40F" w:rsidR="00DD0D25" w:rsidRDefault="00DD0D25" w:rsidP="007574A3">
      <w:r>
        <w:t>BAC commencement effects in WA were consistent with the national average. Both trade and non-trade commencements were about 100 per cent higher than expected in the first quarter of BAC, then subsided (but were still positive</w:t>
      </w:r>
      <w:r w:rsidR="001F20D2">
        <w:t xml:space="preserve"> and statistically significant</w:t>
      </w:r>
      <w:r>
        <w:t>) in the middle 5 quarters, before rising again at the end of the BAC period in 2022.</w:t>
      </w:r>
    </w:p>
    <w:p w14:paraId="73762360" w14:textId="77777777" w:rsidR="00DD0D25" w:rsidRDefault="00DD0D25" w:rsidP="007574A3">
      <w:r>
        <w:t>These WA results, combined with the relatively consistent patterns across the states, indicate that the positive effect the BAC program had on commencements was not a ‘COVID effect’ due to an individual state’s responses to the COVID-19 pandemic.</w:t>
      </w:r>
    </w:p>
    <w:p w14:paraId="0CFB0C1A" w14:textId="6F2EE51E" w:rsidR="00FF794C" w:rsidRPr="00FF794C" w:rsidRDefault="00B37B33" w:rsidP="00E10B46">
      <w:pPr>
        <w:pStyle w:val="Chartheading"/>
        <w:spacing w:line="240" w:lineRule="auto"/>
        <w:outlineLvl w:val="9"/>
      </w:pPr>
      <w:r>
        <w:lastRenderedPageBreak/>
        <w:t>Figur</w:t>
      </w:r>
      <w:r w:rsidR="00776D6D">
        <w:t>e 1</w:t>
      </w:r>
      <w:r w:rsidR="006F1DFD">
        <w:t>9</w:t>
      </w:r>
      <w:r w:rsidR="00776D6D">
        <w:t xml:space="preserve">: </w:t>
      </w:r>
      <w:r w:rsidR="00DD0D25">
        <w:t>Comparison of commencements and forecasted commencements without BAC by state</w:t>
      </w:r>
    </w:p>
    <w:p w14:paraId="6A792408" w14:textId="1E7E9338" w:rsidR="00FF794C" w:rsidRDefault="00FF794C" w:rsidP="007574A3">
      <w:pPr>
        <w:rPr>
          <w:sz w:val="18"/>
          <w:szCs w:val="18"/>
        </w:rPr>
      </w:pPr>
      <w:r>
        <w:rPr>
          <w:noProof/>
          <w:sz w:val="18"/>
          <w:szCs w:val="18"/>
        </w:rPr>
        <w:drawing>
          <wp:inline distT="0" distB="0" distL="0" distR="0" wp14:anchorId="790522C2" wp14:editId="2BD827E0">
            <wp:extent cx="5755005" cy="7766685"/>
            <wp:effectExtent l="0" t="0" r="0" b="5715"/>
            <wp:docPr id="104520018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55005" cy="7766685"/>
                    </a:xfrm>
                    <a:prstGeom prst="rect">
                      <a:avLst/>
                    </a:prstGeom>
                    <a:noFill/>
                  </pic:spPr>
                </pic:pic>
              </a:graphicData>
            </a:graphic>
          </wp:inline>
        </w:drawing>
      </w:r>
    </w:p>
    <w:p w14:paraId="557ED194" w14:textId="33E6AD7B" w:rsidR="008D03D8" w:rsidRDefault="00410E5D" w:rsidP="002C3B30">
      <w:pPr>
        <w:rPr>
          <w:sz w:val="18"/>
          <w:szCs w:val="18"/>
        </w:rPr>
      </w:pPr>
      <w:r w:rsidRPr="00580999">
        <w:rPr>
          <w:sz w:val="18"/>
          <w:szCs w:val="18"/>
        </w:rPr>
        <w:t xml:space="preserve">Source: </w:t>
      </w:r>
      <w:r>
        <w:rPr>
          <w:sz w:val="18"/>
          <w:szCs w:val="18"/>
        </w:rPr>
        <w:t xml:space="preserve">Treasury modelling, see Appendix </w:t>
      </w:r>
      <w:r w:rsidR="000111A8">
        <w:rPr>
          <w:sz w:val="18"/>
          <w:szCs w:val="18"/>
        </w:rPr>
        <w:t>B</w:t>
      </w:r>
      <w:r>
        <w:rPr>
          <w:sz w:val="18"/>
          <w:szCs w:val="18"/>
        </w:rPr>
        <w:t xml:space="preserve"> for details.</w:t>
      </w:r>
      <w:r w:rsidR="008D03D8">
        <w:rPr>
          <w:sz w:val="18"/>
          <w:szCs w:val="18"/>
        </w:rPr>
        <w:br w:type="page"/>
      </w:r>
    </w:p>
    <w:p w14:paraId="0CFEBC7F" w14:textId="6C572379" w:rsidR="00894315" w:rsidRDefault="00894315" w:rsidP="007574A3">
      <w:pPr>
        <w:pStyle w:val="Heading1"/>
        <w:spacing w:line="240" w:lineRule="auto"/>
      </w:pPr>
      <w:bookmarkStart w:id="97" w:name="_Toc176782402"/>
      <w:r>
        <w:lastRenderedPageBreak/>
        <w:t>Appendix B: Technical note on econometric modelling</w:t>
      </w:r>
      <w:bookmarkEnd w:id="97"/>
    </w:p>
    <w:p w14:paraId="23920B83" w14:textId="77777777" w:rsidR="00894315" w:rsidRDefault="00894315" w:rsidP="007574A3">
      <w:pPr>
        <w:pStyle w:val="Heading2"/>
        <w:spacing w:line="240" w:lineRule="auto"/>
      </w:pPr>
      <w:bookmarkStart w:id="98" w:name="_Toc176782403"/>
      <w:r>
        <w:t>Data</w:t>
      </w:r>
      <w:bookmarkEnd w:id="98"/>
    </w:p>
    <w:p w14:paraId="34D05CFC" w14:textId="77777777" w:rsidR="00894315" w:rsidRDefault="00894315" w:rsidP="007574A3">
      <w:r>
        <w:t xml:space="preserve">Most of the analysis in this evaluation used administrative data from the </w:t>
      </w:r>
      <w:r w:rsidRPr="006F1DFD">
        <w:t>Department of Employment and Workplace Relations (DEWR).</w:t>
      </w:r>
      <w:r>
        <w:t xml:space="preserve"> This data covers every Australian Apprenticeship from 2006-2023. </w:t>
      </w:r>
    </w:p>
    <w:p w14:paraId="388BF275" w14:textId="34A2694C" w:rsidR="00894315" w:rsidRDefault="00894315" w:rsidP="007574A3">
      <w:r>
        <w:t xml:space="preserve">The econometric modelling was supplemented with data from the Australian Bureau of Statistics’ </w:t>
      </w:r>
      <w:hyperlink r:id="rId49">
        <w:r w:rsidRPr="0B5B3ADB">
          <w:rPr>
            <w:rStyle w:val="Hyperlink"/>
            <w:i/>
            <w:iCs/>
          </w:rPr>
          <w:t>Labour Force Survey</w:t>
        </w:r>
      </w:hyperlink>
      <w:r w:rsidRPr="0B5B3ADB">
        <w:rPr>
          <w:rStyle w:val="Hyperlink"/>
          <w:i/>
          <w:iCs/>
        </w:rPr>
        <w:t xml:space="preserve">, </w:t>
      </w:r>
      <w:r>
        <w:t>Jobs and Skills Australia’s </w:t>
      </w:r>
      <w:hyperlink r:id="rId50">
        <w:r w:rsidRPr="0B5B3ADB">
          <w:rPr>
            <w:rStyle w:val="Hyperlink"/>
          </w:rPr>
          <w:t>Internet Vacancy Index (IVI)</w:t>
        </w:r>
      </w:hyperlink>
      <w:r>
        <w:t>,</w:t>
      </w:r>
      <w:r w:rsidR="005D3AA3">
        <w:t xml:space="preserve"> </w:t>
      </w:r>
      <w:r>
        <w:t xml:space="preserve">and the </w:t>
      </w:r>
      <w:hyperlink r:id="rId51">
        <w:r w:rsidRPr="0B5B3ADB">
          <w:rPr>
            <w:rStyle w:val="Hyperlink"/>
            <w:i/>
            <w:iCs/>
          </w:rPr>
          <w:t>NAB Monthly Business Survey</w:t>
        </w:r>
      </w:hyperlink>
      <w:r>
        <w:t xml:space="preserve"> (ABS 2024; JSA 2024; NAB 2024). See the </w:t>
      </w:r>
      <w:r w:rsidR="00AE4AA1">
        <w:t>‘Econometric model</w:t>
      </w:r>
      <w:r w:rsidR="00842D38">
        <w:t>’</w:t>
      </w:r>
      <w:r w:rsidR="00AE4AA1">
        <w:t xml:space="preserve"> sub-</w:t>
      </w:r>
      <w:r>
        <w:t xml:space="preserve">section </w:t>
      </w:r>
      <w:r w:rsidR="00842D38">
        <w:t>of</w:t>
      </w:r>
      <w:r w:rsidR="003F54D0">
        <w:t xml:space="preserve"> </w:t>
      </w:r>
      <w:proofErr w:type="spellStart"/>
      <w:r w:rsidR="003F54D0">
        <w:t>the</w:t>
      </w:r>
      <w:r>
        <w:t>‘BAC’s</w:t>
      </w:r>
      <w:proofErr w:type="spellEnd"/>
      <w:r>
        <w:t xml:space="preserve"> effects on commencements’ </w:t>
      </w:r>
      <w:r w:rsidR="003F54D0">
        <w:t>section</w:t>
      </w:r>
      <w:r>
        <w:t xml:space="preserve"> for more details</w:t>
      </w:r>
      <w:r w:rsidR="003F54D0">
        <w:t xml:space="preserve"> on how this data is used</w:t>
      </w:r>
      <w:r>
        <w:t>.</w:t>
      </w:r>
    </w:p>
    <w:p w14:paraId="6BE15435" w14:textId="6DB69F74" w:rsidR="00894315" w:rsidRDefault="00894315" w:rsidP="007574A3">
      <w:r>
        <w:t xml:space="preserve">The </w:t>
      </w:r>
      <w:r w:rsidR="00527DF1">
        <w:t xml:space="preserve">‘Cost </w:t>
      </w:r>
      <w:r>
        <w:t>effectiveness</w:t>
      </w:r>
      <w:r w:rsidR="00527DF1">
        <w:t>’</w:t>
      </w:r>
      <w:r>
        <w:t xml:space="preserve"> section also used data from the </w:t>
      </w:r>
      <w:r w:rsidRPr="007613AF">
        <w:t>Department of Employment and Workplace Relations</w:t>
      </w:r>
      <w:r w:rsidRPr="00E36A85">
        <w:t xml:space="preserve"> on g</w:t>
      </w:r>
      <w:r>
        <w:t xml:space="preserve">overnment spending on apprenticeships. </w:t>
      </w:r>
    </w:p>
    <w:p w14:paraId="3E687010" w14:textId="1ADF5E90" w:rsidR="00894315" w:rsidRPr="008D1A4A" w:rsidRDefault="00894315" w:rsidP="007574A3">
      <w:r>
        <w:t xml:space="preserve">For analysis of priority occupations we used the </w:t>
      </w:r>
      <w:hyperlink r:id="rId52" w:anchor="toc-australian-apprenticeship-priority-list" w:history="1">
        <w:r>
          <w:rPr>
            <w:rStyle w:val="Hyperlink"/>
          </w:rPr>
          <w:t>Australian Apprenticeships Priority List</w:t>
        </w:r>
      </w:hyperlink>
      <w:r>
        <w:t xml:space="preserve"> (DEWR 2024b), which replaced the </w:t>
      </w:r>
      <w:hyperlink r:id="rId53" w:history="1">
        <w:r w:rsidRPr="00583DE5">
          <w:rPr>
            <w:rStyle w:val="Hyperlink"/>
          </w:rPr>
          <w:t>National Skills Needs List</w:t>
        </w:r>
      </w:hyperlink>
      <w:r>
        <w:t xml:space="preserve"> (DEWR 2023b). </w:t>
      </w:r>
    </w:p>
    <w:p w14:paraId="479FE490" w14:textId="77777777" w:rsidR="00894315" w:rsidRDefault="00894315" w:rsidP="007574A3">
      <w:pPr>
        <w:pStyle w:val="Heading2"/>
        <w:spacing w:line="240" w:lineRule="auto"/>
      </w:pPr>
      <w:bookmarkStart w:id="99" w:name="_Toc176782404"/>
      <w:r>
        <w:t>Econometric model of apprenticeship commencements</w:t>
      </w:r>
      <w:bookmarkEnd w:id="99"/>
    </w:p>
    <w:p w14:paraId="5C103E7B" w14:textId="77777777" w:rsidR="00894315" w:rsidRDefault="00894315" w:rsidP="007574A3">
      <w:r w:rsidRPr="00A470BC">
        <w:t xml:space="preserve">A time series event study model </w:t>
      </w:r>
      <w:r>
        <w:t>was</w:t>
      </w:r>
      <w:r w:rsidRPr="00A470BC">
        <w:t xml:space="preserve"> used to assess the effect of the BAC program on commencements.</w:t>
      </w:r>
      <w:r>
        <w:t xml:space="preserve"> In broad terms, the model draws on historical data from 2006 to 2019. It then seeks to model the key drivers of commencements, namely: </w:t>
      </w:r>
    </w:p>
    <w:p w14:paraId="7639CA2C" w14:textId="77777777" w:rsidR="00894315" w:rsidRDefault="00894315" w:rsidP="007574A3">
      <w:pPr>
        <w:pStyle w:val="Bullet"/>
        <w:spacing w:line="240" w:lineRule="auto"/>
      </w:pPr>
      <w:r>
        <w:t xml:space="preserve">seasonality (there are always higher commencements in the first quarter of the year), </w:t>
      </w:r>
    </w:p>
    <w:p w14:paraId="220E03DB" w14:textId="77777777" w:rsidR="00894315" w:rsidRDefault="00894315" w:rsidP="007574A3">
      <w:pPr>
        <w:pStyle w:val="Bullet"/>
        <w:spacing w:line="240" w:lineRule="auto"/>
      </w:pPr>
      <w:r>
        <w:t xml:space="preserve">policy changes in mid-2012, and </w:t>
      </w:r>
    </w:p>
    <w:p w14:paraId="0EB6A46E" w14:textId="77777777" w:rsidR="00894315" w:rsidRDefault="00894315" w:rsidP="007574A3">
      <w:pPr>
        <w:pStyle w:val="Bullet"/>
        <w:spacing w:line="240" w:lineRule="auto"/>
      </w:pPr>
      <w:r>
        <w:t xml:space="preserve">several variables reflecting economic and labour market conditions. </w:t>
      </w:r>
    </w:p>
    <w:p w14:paraId="0FCEC876" w14:textId="46E82D17" w:rsidR="00894315" w:rsidRDefault="00894315" w:rsidP="007574A3">
      <w:r>
        <w:t xml:space="preserve">The underlying theory supporting the choice of these economic variables is that commencements depend on employer demand. </w:t>
      </w:r>
      <w:r w:rsidR="00D21E5C">
        <w:t xml:space="preserve">This, in turn, depends on </w:t>
      </w:r>
      <w:r w:rsidR="00671150">
        <w:t xml:space="preserve">economic and labour market </w:t>
      </w:r>
      <w:r w:rsidR="00A62E02">
        <w:t xml:space="preserve">conditions that affect </w:t>
      </w:r>
      <w:r w:rsidR="00F76691">
        <w:t xml:space="preserve">business performance. </w:t>
      </w:r>
      <w:r>
        <w:t xml:space="preserve">When </w:t>
      </w:r>
      <w:r w:rsidR="00253F34">
        <w:t xml:space="preserve">these conditions are strong and </w:t>
      </w:r>
      <w:r>
        <w:t>a business is going well</w:t>
      </w:r>
      <w:r w:rsidR="00F76691">
        <w:t xml:space="preserve">, </w:t>
      </w:r>
      <w:r>
        <w:t xml:space="preserve">it is more likely to need additional staff, and more willing to make an investment to train an Australian Apprentice. The specific economic and labour market variables used in the model are: </w:t>
      </w:r>
    </w:p>
    <w:p w14:paraId="0AED08B3" w14:textId="77777777" w:rsidR="00894315" w:rsidRDefault="00894315" w:rsidP="007574A3">
      <w:pPr>
        <w:pStyle w:val="Bullet"/>
        <w:spacing w:line="240" w:lineRule="auto"/>
      </w:pPr>
      <w:r>
        <w:t xml:space="preserve">Hours </w:t>
      </w:r>
      <w:proofErr w:type="gramStart"/>
      <w:r>
        <w:t>actually worked</w:t>
      </w:r>
      <w:proofErr w:type="gramEnd"/>
      <w:r>
        <w:t xml:space="preserve"> by occupation and state</w:t>
      </w:r>
    </w:p>
    <w:p w14:paraId="4273667C" w14:textId="77777777" w:rsidR="00894315" w:rsidRDefault="00894315" w:rsidP="007574A3">
      <w:pPr>
        <w:pStyle w:val="Bullet"/>
        <w:spacing w:line="240" w:lineRule="auto"/>
      </w:pPr>
      <w:r>
        <w:t>Unemployment rates by occupation and state</w:t>
      </w:r>
    </w:p>
    <w:p w14:paraId="602F8A5F" w14:textId="77777777" w:rsidR="00894315" w:rsidRDefault="00894315" w:rsidP="007574A3">
      <w:pPr>
        <w:pStyle w:val="Bullet"/>
        <w:spacing w:line="240" w:lineRule="auto"/>
      </w:pPr>
      <w:r>
        <w:t xml:space="preserve">Vacancy levels by occupation and state </w:t>
      </w:r>
    </w:p>
    <w:p w14:paraId="11D7C433" w14:textId="08841E87" w:rsidR="00894315" w:rsidRPr="00A470BC" w:rsidRDefault="00894315" w:rsidP="007574A3">
      <w:pPr>
        <w:pStyle w:val="Bullet"/>
        <w:spacing w:line="240" w:lineRule="auto"/>
      </w:pPr>
      <w:r>
        <w:t>Business confidence</w:t>
      </w:r>
    </w:p>
    <w:p w14:paraId="1030A66D" w14:textId="77777777" w:rsidR="00894315" w:rsidRDefault="00894315" w:rsidP="00E10B46">
      <w:pPr>
        <w:pStyle w:val="Heading3"/>
      </w:pPr>
      <w:bookmarkStart w:id="100" w:name="_Toc176782405"/>
      <w:r>
        <w:t>Model</w:t>
      </w:r>
      <w:bookmarkEnd w:id="100"/>
    </w:p>
    <w:p w14:paraId="356D6888" w14:textId="1F978346" w:rsidR="00894315" w:rsidRPr="00A470BC" w:rsidRDefault="00894315" w:rsidP="007574A3">
      <w:r w:rsidRPr="00A470BC">
        <w:t xml:space="preserve">For each quarter </w:t>
      </w:r>
      <m:oMath>
        <m:r>
          <w:rPr>
            <w:rFonts w:ascii="Cambria Math" w:hAnsi="Cambria Math"/>
          </w:rPr>
          <m:t>q</m:t>
        </m:r>
      </m:oMath>
      <w:r w:rsidRPr="00A470BC">
        <w:t xml:space="preserve"> at event time </w:t>
      </w:r>
      <m:oMath>
        <m:r>
          <w:rPr>
            <w:rFonts w:ascii="Cambria Math" w:hAnsi="Cambria Math"/>
          </w:rPr>
          <m:t>t</m:t>
        </m:r>
      </m:oMath>
      <w:r w:rsidRPr="00A470BC">
        <w:t xml:space="preserve"> (</w:t>
      </w:r>
      <m:oMath>
        <m:r>
          <w:rPr>
            <w:rFonts w:ascii="Cambria Math" w:hAnsi="Cambria Math"/>
          </w:rPr>
          <m:t>t=0</m:t>
        </m:r>
      </m:oMath>
      <w:r w:rsidRPr="00A470BC">
        <w:t xml:space="preserve"> at BAC introduction):</w:t>
      </w:r>
    </w:p>
    <w:p w14:paraId="41500771" w14:textId="6911EA80" w:rsidR="00894315" w:rsidRPr="00A470BC" w:rsidRDefault="00000000" w:rsidP="007574A3">
      <m:oMathPara>
        <m:oMathParaPr>
          <m:jc m:val="centerGroup"/>
        </m:oMathParaPr>
        <m:oMath>
          <m:sSub>
            <m:sSubPr>
              <m:ctrlPr>
                <w:rPr>
                  <w:rFonts w:ascii="Cambria Math" w:hAnsi="Cambria Math"/>
                  <w:i/>
                  <w:iCs/>
                  <w:lang w:val="en-US"/>
                </w:rPr>
              </m:ctrlPr>
            </m:sSubPr>
            <m:e>
              <m:r>
                <w:rPr>
                  <w:rFonts w:ascii="Cambria Math" w:hAnsi="Cambria Math"/>
                  <w:lang w:val="en-US"/>
                </w:rPr>
                <m:t>y</m:t>
              </m:r>
            </m:e>
            <m:sub>
              <m:r>
                <w:rPr>
                  <w:rFonts w:ascii="Cambria Math" w:hAnsi="Cambria Math"/>
                  <w:lang w:val="en-US"/>
                </w:rPr>
                <m:t>tq</m:t>
              </m:r>
            </m:sub>
          </m:sSub>
          <m:r>
            <w:rPr>
              <w:rFonts w:ascii="Cambria Math" w:hAnsi="Cambria Math"/>
              <w:lang w:val="en-US"/>
            </w:rPr>
            <m:t> =α +</m:t>
          </m:r>
          <m:nary>
            <m:naryPr>
              <m:chr m:val="∑"/>
              <m:ctrlPr>
                <w:rPr>
                  <w:rFonts w:ascii="Cambria Math" w:hAnsi="Cambria Math"/>
                  <w:i/>
                  <w:iCs/>
                </w:rPr>
              </m:ctrlPr>
            </m:naryPr>
            <m:sub>
              <m:r>
                <w:rPr>
                  <w:rFonts w:ascii="Cambria Math" w:hAnsi="Cambria Math"/>
                </w:rPr>
                <m:t>j≥-4</m:t>
              </m:r>
            </m:sub>
            <m:sup>
              <m:r>
                <w:rPr>
                  <w:rFonts w:ascii="Cambria Math" w:hAnsi="Cambria Math"/>
                </w:rPr>
                <m:t>10</m:t>
              </m:r>
            </m:sup>
            <m:e>
              <m:sSub>
                <m:sSubPr>
                  <m:ctrlPr>
                    <w:rPr>
                      <w:rFonts w:ascii="Cambria Math" w:hAnsi="Cambria Math"/>
                      <w:i/>
                      <w:iCs/>
                    </w:rPr>
                  </m:ctrlPr>
                </m:sSubPr>
                <m:e>
                  <m:r>
                    <w:rPr>
                      <w:rFonts w:ascii="Cambria Math" w:hAnsi="Cambria Math"/>
                    </w:rPr>
                    <m:t>δ</m:t>
                  </m:r>
                </m:e>
                <m:sub>
                  <m:r>
                    <w:rPr>
                      <w:rFonts w:ascii="Cambria Math" w:hAnsi="Cambria Math"/>
                    </w:rPr>
                    <m:t>j</m:t>
                  </m:r>
                </m:sub>
              </m:sSub>
              <m:r>
                <w:rPr>
                  <w:rFonts w:ascii="Cambria Math" w:hAnsi="Cambria Math"/>
                  <w:lang w:val="en-US"/>
                </w:rPr>
                <m:t> I[</m:t>
              </m:r>
              <m:r>
                <w:rPr>
                  <w:rFonts w:ascii="Cambria Math" w:hAnsi="Cambria Math"/>
                </w:rPr>
                <m:t>t</m:t>
              </m:r>
              <m:r>
                <w:rPr>
                  <w:rFonts w:ascii="Cambria Math" w:hAnsi="Cambria Math"/>
                  <w:lang w:val="en-US"/>
                </w:rPr>
                <m:t>=</m:t>
              </m:r>
              <m:r>
                <w:rPr>
                  <w:rFonts w:ascii="Cambria Math" w:hAnsi="Cambria Math"/>
                </w:rPr>
                <m:t>j</m:t>
              </m:r>
              <m:r>
                <w:rPr>
                  <w:rFonts w:ascii="Cambria Math" w:hAnsi="Cambria Math"/>
                  <w:lang w:val="en-US"/>
                </w:rPr>
                <m:t>]</m:t>
              </m:r>
            </m:e>
          </m:nary>
          <m:r>
            <w:rPr>
              <w:rFonts w:ascii="Cambria Math" w:hAnsi="Cambria Math"/>
              <w:lang w:val="en-US"/>
            </w:rPr>
            <m:t>+β</m:t>
          </m:r>
          <m:sSub>
            <m:sSubPr>
              <m:ctrlPr>
                <w:rPr>
                  <w:rFonts w:ascii="Cambria Math" w:hAnsi="Cambria Math"/>
                  <w:i/>
                  <w:iCs/>
                  <w:lang w:val="en-US"/>
                </w:rPr>
              </m:ctrlPr>
            </m:sSubPr>
            <m:e>
              <m:r>
                <m:rPr>
                  <m:sty m:val="bi"/>
                </m:rPr>
                <w:rPr>
                  <w:rFonts w:ascii="Cambria Math" w:hAnsi="Cambria Math"/>
                  <w:lang w:val="en-US"/>
                </w:rPr>
                <m:t>T</m:t>
              </m:r>
            </m:e>
            <m:sub>
              <m:r>
                <w:rPr>
                  <w:rFonts w:ascii="Cambria Math" w:hAnsi="Cambria Math"/>
                  <w:lang w:val="en-US"/>
                </w:rPr>
                <m:t>tq</m:t>
              </m:r>
            </m:sub>
          </m:sSub>
          <m:r>
            <w:rPr>
              <w:rFonts w:ascii="Cambria Math" w:hAnsi="Cambria Math"/>
              <w:lang w:val="en-US"/>
            </w:rPr>
            <m:t> +</m:t>
          </m:r>
          <m:r>
            <w:rPr>
              <w:rFonts w:ascii="Cambria Math" w:hAnsi="Cambria Math"/>
            </w:rPr>
            <m:t> </m:t>
          </m:r>
          <m:nary>
            <m:naryPr>
              <m:chr m:val="∑"/>
              <m:ctrlPr>
                <w:rPr>
                  <w:rFonts w:ascii="Cambria Math" w:hAnsi="Cambria Math"/>
                  <w:i/>
                  <w:iCs/>
                </w:rPr>
              </m:ctrlPr>
            </m:naryPr>
            <m:sub>
              <m:r>
                <w:rPr>
                  <w:rFonts w:ascii="Cambria Math" w:hAnsi="Cambria Math"/>
                </w:rPr>
                <m:t>i=1</m:t>
              </m:r>
            </m:sub>
            <m:sup>
              <m:r>
                <w:rPr>
                  <w:rFonts w:ascii="Cambria Math" w:hAnsi="Cambria Math"/>
                </w:rPr>
                <m:t>4</m:t>
              </m:r>
            </m:sup>
            <m:e>
              <m:sSub>
                <m:sSubPr>
                  <m:ctrlPr>
                    <w:rPr>
                      <w:rFonts w:ascii="Cambria Math" w:hAnsi="Cambria Math"/>
                      <w:i/>
                      <w:iCs/>
                    </w:rPr>
                  </m:ctrlPr>
                </m:sSubPr>
                <m:e>
                  <m:r>
                    <w:rPr>
                      <w:rFonts w:ascii="Cambria Math" w:hAnsi="Cambria Math"/>
                      <w:lang w:val="en-US"/>
                    </w:rPr>
                    <m:t>γ</m:t>
                  </m:r>
                </m:e>
                <m:sub>
                  <m:r>
                    <w:rPr>
                      <w:rFonts w:ascii="Cambria Math" w:hAnsi="Cambria Math"/>
                    </w:rPr>
                    <m:t>i</m:t>
                  </m:r>
                </m:sub>
              </m:sSub>
              <m:r>
                <w:rPr>
                  <w:rFonts w:ascii="Cambria Math" w:hAnsi="Cambria Math"/>
                  <w:lang w:val="en-US"/>
                </w:rPr>
                <m:t> I[q=i]</m:t>
              </m:r>
            </m:e>
          </m:nary>
          <m:r>
            <w:rPr>
              <w:rFonts w:ascii="Cambria Math" w:hAnsi="Cambria Math"/>
              <w:lang w:val="en-US"/>
            </w:rPr>
            <m:t> +ω </m:t>
          </m:r>
          <m:sSub>
            <m:sSubPr>
              <m:ctrlPr>
                <w:rPr>
                  <w:rFonts w:ascii="Cambria Math" w:hAnsi="Cambria Math"/>
                  <w:b/>
                  <w:bCs/>
                  <w:i/>
                  <w:iCs/>
                </w:rPr>
              </m:ctrlPr>
            </m:sSubPr>
            <m:e>
              <m:r>
                <m:rPr>
                  <m:sty m:val="bi"/>
                </m:rPr>
                <w:rPr>
                  <w:rFonts w:ascii="Cambria Math" w:hAnsi="Cambria Math"/>
                  <w:lang w:val="en-US"/>
                </w:rPr>
                <m:t>X</m:t>
              </m:r>
            </m:e>
            <m:sub>
              <m:r>
                <m:rPr>
                  <m:sty m:val="bi"/>
                </m:rPr>
                <w:rPr>
                  <w:rFonts w:ascii="Cambria Math" w:hAnsi="Cambria Math"/>
                </w:rPr>
                <m:t>tq</m:t>
              </m:r>
            </m:sub>
          </m:sSub>
          <m:r>
            <w:rPr>
              <w:rFonts w:ascii="Cambria Math" w:hAnsi="Cambria Math"/>
              <w:lang w:val="en-US"/>
            </w:rPr>
            <m:t> +</m:t>
          </m:r>
          <m:sSub>
            <m:sSubPr>
              <m:ctrlPr>
                <w:rPr>
                  <w:rFonts w:ascii="Cambria Math" w:hAnsi="Cambria Math"/>
                  <w:i/>
                  <w:iCs/>
                </w:rPr>
              </m:ctrlPr>
            </m:sSubPr>
            <m:e>
              <m:r>
                <w:rPr>
                  <w:rFonts w:ascii="Cambria Math" w:hAnsi="Cambria Math"/>
                  <w:lang w:val="en-US"/>
                </w:rPr>
                <m:t>ε</m:t>
              </m:r>
            </m:e>
            <m:sub>
              <m:r>
                <w:rPr>
                  <w:rFonts w:ascii="Cambria Math" w:hAnsi="Cambria Math"/>
                </w:rPr>
                <m:t>tq</m:t>
              </m:r>
            </m:sub>
          </m:sSub>
        </m:oMath>
      </m:oMathPara>
    </w:p>
    <w:p w14:paraId="363A5251" w14:textId="77777777" w:rsidR="00894315" w:rsidRPr="00A470BC" w:rsidRDefault="00894315" w:rsidP="007574A3">
      <w:r w:rsidRPr="00A470BC">
        <w:t>where:</w:t>
      </w:r>
    </w:p>
    <w:p w14:paraId="7674C636" w14:textId="77777777" w:rsidR="00894315" w:rsidRPr="00D33F46" w:rsidRDefault="00000000" w:rsidP="007574A3">
      <w:pPr>
        <w:pStyle w:val="Bullet"/>
        <w:spacing w:line="240" w:lineRule="auto"/>
        <w:rPr>
          <w:i/>
          <w:iCs/>
        </w:rPr>
      </w:pPr>
      <m:oMath>
        <m:sSub>
          <m:sSubPr>
            <m:ctrlPr>
              <w:rPr>
                <w:rFonts w:ascii="Cambria Math" w:hAnsi="Cambria Math"/>
                <w:i/>
                <w:iCs/>
              </w:rPr>
            </m:ctrlPr>
          </m:sSubPr>
          <m:e>
            <m:r>
              <w:rPr>
                <w:rFonts w:ascii="Cambria Math" w:hAnsi="Cambria Math"/>
                <w:lang w:val="en-US"/>
              </w:rPr>
              <m:t>y</m:t>
            </m:r>
          </m:e>
          <m:sub>
            <m:r>
              <w:rPr>
                <w:rFonts w:ascii="Cambria Math" w:hAnsi="Cambria Math"/>
              </w:rPr>
              <m:t>tq</m:t>
            </m:r>
          </m:sub>
        </m:sSub>
      </m:oMath>
      <w:r w:rsidR="00894315" w:rsidRPr="00A470BC">
        <w:rPr>
          <w:lang w:val="en-US"/>
        </w:rPr>
        <w:t xml:space="preserve"> is log </w:t>
      </w:r>
      <w:r w:rsidR="00894315" w:rsidRPr="0B5B3ADB">
        <w:rPr>
          <w:lang w:val="en-US"/>
        </w:rPr>
        <w:t xml:space="preserve">apprenticeship </w:t>
      </w:r>
      <w:r w:rsidR="00894315" w:rsidRPr="00B70887">
        <w:rPr>
          <w:lang w:val="en-US"/>
        </w:rPr>
        <w:t xml:space="preserve">commencements at </w:t>
      </w:r>
      <w:proofErr w:type="gramStart"/>
      <w:r w:rsidR="00894315" w:rsidRPr="00B70887">
        <w:rPr>
          <w:lang w:val="en-US"/>
        </w:rPr>
        <w:t>time </w:t>
      </w:r>
      <w:r w:rsidR="00894315" w:rsidRPr="00B70887">
        <w:rPr>
          <w:rFonts w:ascii="Cambria Math" w:hAnsi="Cambria Math" w:cs="Cambria Math"/>
          <w:lang w:val="en-US"/>
        </w:rPr>
        <w:t>𝑡</w:t>
      </w:r>
      <w:proofErr w:type="gramEnd"/>
      <w:r w:rsidR="00894315" w:rsidRPr="00B70887">
        <w:rPr>
          <w:lang w:val="en-US"/>
        </w:rPr>
        <w:t>.</w:t>
      </w:r>
    </w:p>
    <w:p w14:paraId="78E50F2F" w14:textId="77777777" w:rsidR="00894315" w:rsidRPr="00B1798E" w:rsidRDefault="00000000" w:rsidP="007574A3">
      <w:pPr>
        <w:pStyle w:val="Bullet"/>
        <w:spacing w:line="240" w:lineRule="auto"/>
      </w:pPr>
      <m:oMath>
        <m:sSub>
          <m:sSubPr>
            <m:ctrlPr>
              <w:rPr>
                <w:rFonts w:ascii="Cambria Math" w:hAnsi="Cambria Math"/>
                <w:i/>
                <w:iCs/>
              </w:rPr>
            </m:ctrlPr>
          </m:sSubPr>
          <m:e>
            <m:r>
              <w:rPr>
                <w:rFonts w:ascii="Cambria Math" w:hAnsi="Cambria Math"/>
                <w:lang w:val="en-US"/>
              </w:rPr>
              <m:t>δ</m:t>
            </m:r>
          </m:e>
          <m:sub>
            <m:r>
              <w:rPr>
                <w:rFonts w:ascii="Cambria Math" w:hAnsi="Cambria Math"/>
              </w:rPr>
              <m:t>j</m:t>
            </m:r>
          </m:sub>
        </m:sSub>
      </m:oMath>
      <w:r w:rsidR="00894315" w:rsidRPr="00D33F46">
        <w:rPr>
          <w:i/>
          <w:iCs/>
          <w:lang w:val="en-US"/>
        </w:rPr>
        <w:t> </w:t>
      </w:r>
      <w:r w:rsidR="00894315" w:rsidRPr="00B70887">
        <w:rPr>
          <w:lang w:val="en-US"/>
        </w:rPr>
        <w:t>are the coefficients of interest that give the effect of a quarter being during BAC (or just before or just after BAC), on commencements</w:t>
      </w:r>
      <w:r w:rsidR="00894315" w:rsidRPr="00B1798E">
        <w:rPr>
          <w:lang w:val="en-US"/>
        </w:rPr>
        <w:t>. Note that</w:t>
      </w:r>
      <w:r w:rsidR="00894315">
        <w:rPr>
          <w:i/>
          <w:iCs/>
          <w:lang w:val="en-US"/>
        </w:rPr>
        <w:t xml:space="preserve"> </w:t>
      </w:r>
      <m:oMath>
        <m:r>
          <w:rPr>
            <w:rFonts w:ascii="Cambria Math" w:hAnsi="Cambria Math"/>
            <w:lang w:val="en-US"/>
          </w:rPr>
          <m:t>I[t=j]</m:t>
        </m:r>
      </m:oMath>
      <w:r w:rsidR="00894315" w:rsidRPr="00B97B02">
        <w:rPr>
          <w:i/>
          <w:iCs/>
          <w:lang w:val="en-US"/>
        </w:rPr>
        <w:t xml:space="preserve">  is </w:t>
      </w:r>
      <w:r w:rsidR="00894315" w:rsidRPr="00B1798E">
        <w:rPr>
          <w:lang w:val="en-US"/>
        </w:rPr>
        <w:t>a set of BAC variables for the 4 quarters before BAC, 7 quarters during BAC, and 4 quarters after BAC.</w:t>
      </w:r>
    </w:p>
    <w:p w14:paraId="06846ACD" w14:textId="782480F6" w:rsidR="00894315" w:rsidRPr="00A470BC" w:rsidRDefault="00000000" w:rsidP="007574A3">
      <w:pPr>
        <w:pStyle w:val="Bullet"/>
        <w:spacing w:line="240" w:lineRule="auto"/>
      </w:pPr>
      <m:oMath>
        <m:sSub>
          <m:sSubPr>
            <m:ctrlPr>
              <w:rPr>
                <w:rFonts w:ascii="Cambria Math" w:hAnsi="Cambria Math"/>
                <w:b/>
                <w:bCs/>
                <w:i/>
                <w:iCs/>
              </w:rPr>
            </m:ctrlPr>
          </m:sSubPr>
          <m:e>
            <m:r>
              <m:rPr>
                <m:sty m:val="bi"/>
              </m:rPr>
              <w:rPr>
                <w:rFonts w:ascii="Cambria Math" w:hAnsi="Cambria Math"/>
                <w:lang w:val="en-US"/>
              </w:rPr>
              <m:t>T</m:t>
            </m:r>
          </m:e>
          <m:sub>
            <m:r>
              <w:rPr>
                <w:rFonts w:ascii="Cambria Math" w:hAnsi="Cambria Math"/>
                <w:lang w:val="en-US"/>
              </w:rPr>
              <m:t>t</m:t>
            </m:r>
            <m:r>
              <w:rPr>
                <w:rFonts w:ascii="Cambria Math" w:hAnsi="Cambria Math"/>
              </w:rPr>
              <m:t>q</m:t>
            </m:r>
          </m:sub>
        </m:sSub>
      </m:oMath>
      <w:r w:rsidR="00894315" w:rsidRPr="00A470BC">
        <w:rPr>
          <w:lang w:val="en-US"/>
        </w:rPr>
        <w:t xml:space="preserve"> is a vector of time variables, including a linear time trend with a break at </w:t>
      </w:r>
      <w:r w:rsidR="00894315">
        <w:rPr>
          <w:lang w:val="en-US"/>
        </w:rPr>
        <w:t xml:space="preserve">Quarter 2 </w:t>
      </w:r>
      <w:r w:rsidR="00894315" w:rsidRPr="00A470BC">
        <w:rPr>
          <w:lang w:val="en-US"/>
        </w:rPr>
        <w:t>2012 to reflect structural changes in non-trade commencements</w:t>
      </w:r>
      <w:r w:rsidR="00894315">
        <w:rPr>
          <w:lang w:val="en-US"/>
        </w:rPr>
        <w:t xml:space="preserve"> due to a policy change</w:t>
      </w:r>
      <w:r w:rsidR="00894315" w:rsidRPr="00A470BC">
        <w:rPr>
          <w:lang w:val="en-US"/>
        </w:rPr>
        <w:t xml:space="preserve">. Time dummy variables are also added for </w:t>
      </w:r>
      <w:r w:rsidR="00894315" w:rsidRPr="00A470BC" w:rsidDel="004324DF">
        <w:rPr>
          <w:lang w:val="en-US"/>
        </w:rPr>
        <w:t>Q</w:t>
      </w:r>
      <w:r w:rsidR="00894315" w:rsidDel="004324DF">
        <w:rPr>
          <w:lang w:val="en-US"/>
        </w:rPr>
        <w:t xml:space="preserve">uarter </w:t>
      </w:r>
      <w:r w:rsidR="00894315" w:rsidRPr="00A470BC" w:rsidDel="004324DF">
        <w:rPr>
          <w:lang w:val="en-US"/>
        </w:rPr>
        <w:t>2</w:t>
      </w:r>
      <w:r w:rsidR="00894315" w:rsidDel="004324DF">
        <w:rPr>
          <w:lang w:val="en-US"/>
        </w:rPr>
        <w:t xml:space="preserve"> 2012</w:t>
      </w:r>
      <w:r w:rsidR="00894315" w:rsidRPr="00A470BC" w:rsidDel="004324DF">
        <w:rPr>
          <w:lang w:val="en-US"/>
        </w:rPr>
        <w:t xml:space="preserve">, </w:t>
      </w:r>
      <w:r w:rsidR="00894315" w:rsidRPr="00A470BC">
        <w:rPr>
          <w:lang w:val="en-US"/>
        </w:rPr>
        <w:t>Q</w:t>
      </w:r>
      <w:r w:rsidR="00894315">
        <w:rPr>
          <w:lang w:val="en-US"/>
        </w:rPr>
        <w:t xml:space="preserve">uarter </w:t>
      </w:r>
      <w:r w:rsidR="00894315" w:rsidRPr="00A470BC">
        <w:rPr>
          <w:lang w:val="en-US"/>
        </w:rPr>
        <w:t>2</w:t>
      </w:r>
      <w:r w:rsidR="00894315">
        <w:rPr>
          <w:lang w:val="en-US"/>
        </w:rPr>
        <w:t xml:space="preserve"> 2013</w:t>
      </w:r>
      <w:r w:rsidR="00894315" w:rsidRPr="00A470BC">
        <w:rPr>
          <w:lang w:val="en-US"/>
        </w:rPr>
        <w:t xml:space="preserve"> and Q</w:t>
      </w:r>
      <w:r w:rsidR="00894315">
        <w:rPr>
          <w:lang w:val="en-US"/>
        </w:rPr>
        <w:t xml:space="preserve">uarter </w:t>
      </w:r>
      <w:r w:rsidR="00894315" w:rsidRPr="00A470BC">
        <w:rPr>
          <w:lang w:val="en-US"/>
        </w:rPr>
        <w:t>3</w:t>
      </w:r>
      <w:r w:rsidR="00894315">
        <w:rPr>
          <w:lang w:val="en-US"/>
        </w:rPr>
        <w:t xml:space="preserve"> </w:t>
      </w:r>
      <w:r w:rsidR="00894315" w:rsidRPr="00A470BC">
        <w:rPr>
          <w:lang w:val="en-US"/>
        </w:rPr>
        <w:t>2013 to reflect sudden and temporary spikes in non-trade commencements.</w:t>
      </w:r>
    </w:p>
    <w:p w14:paraId="2101DD2B" w14:textId="77777777" w:rsidR="00894315" w:rsidRPr="00A470BC" w:rsidRDefault="00894315" w:rsidP="007574A3">
      <w:pPr>
        <w:pStyle w:val="Bullet"/>
        <w:spacing w:line="240" w:lineRule="auto"/>
      </w:pPr>
      <m:oMath>
        <m:r>
          <w:rPr>
            <w:rFonts w:ascii="Cambria Math" w:hAnsi="Cambria Math"/>
            <w:lang w:val="en-US"/>
          </w:rPr>
          <m:t>I[q=i]</m:t>
        </m:r>
      </m:oMath>
      <w:r w:rsidRPr="00A470BC">
        <w:rPr>
          <w:lang w:val="en-US"/>
        </w:rPr>
        <w:t xml:space="preserve">  is a set of variables to control for quarterly seasonal effects.</w:t>
      </w:r>
    </w:p>
    <w:p w14:paraId="5F8E71EB" w14:textId="5DBCEFE9" w:rsidR="00894315" w:rsidRDefault="00000000" w:rsidP="007574A3">
      <w:pPr>
        <w:pStyle w:val="Bullet"/>
        <w:spacing w:line="240" w:lineRule="auto"/>
      </w:pPr>
      <m:oMath>
        <m:sSub>
          <m:sSubPr>
            <m:ctrlPr>
              <w:rPr>
                <w:rFonts w:ascii="Cambria Math" w:hAnsi="Cambria Math"/>
                <w:i/>
                <w:iCs/>
              </w:rPr>
            </m:ctrlPr>
          </m:sSubPr>
          <m:e>
            <m:r>
              <m:rPr>
                <m:sty m:val="bi"/>
              </m:rPr>
              <w:rPr>
                <w:rFonts w:ascii="Cambria Math" w:hAnsi="Cambria Math"/>
                <w:lang w:val="en-US"/>
              </w:rPr>
              <m:t>X</m:t>
            </m:r>
          </m:e>
          <m:sub>
            <m:r>
              <w:rPr>
                <w:rFonts w:ascii="Cambria Math" w:hAnsi="Cambria Math"/>
              </w:rPr>
              <m:t>tq</m:t>
            </m:r>
          </m:sub>
        </m:sSub>
      </m:oMath>
      <w:r w:rsidR="00894315" w:rsidRPr="00A470BC">
        <w:rPr>
          <w:lang w:val="en-US"/>
        </w:rPr>
        <w:t xml:space="preserve"> is a set of time-varying economic and labour market </w:t>
      </w:r>
      <w:r w:rsidR="00894315">
        <w:rPr>
          <w:lang w:val="en-US"/>
        </w:rPr>
        <w:t xml:space="preserve">control </w:t>
      </w:r>
      <w:r w:rsidR="00894315" w:rsidRPr="00A470BC">
        <w:rPr>
          <w:lang w:val="en-US"/>
        </w:rPr>
        <w:t>variables</w:t>
      </w:r>
      <w:r w:rsidR="00044669">
        <w:rPr>
          <w:lang w:val="en-US"/>
        </w:rPr>
        <w:t xml:space="preserve"> </w:t>
      </w:r>
      <w:r w:rsidR="00E66485">
        <w:rPr>
          <w:lang w:val="en-US"/>
        </w:rPr>
        <w:t xml:space="preserve">detailed </w:t>
      </w:r>
      <w:r w:rsidR="00044669">
        <w:rPr>
          <w:lang w:val="en-US"/>
        </w:rPr>
        <w:t>immediate</w:t>
      </w:r>
      <w:r w:rsidR="00E66485">
        <w:rPr>
          <w:lang w:val="en-US"/>
        </w:rPr>
        <w:t xml:space="preserve">ly </w:t>
      </w:r>
      <w:r w:rsidR="00044669">
        <w:rPr>
          <w:lang w:val="en-US"/>
        </w:rPr>
        <w:t>below</w:t>
      </w:r>
      <w:r w:rsidR="00894315" w:rsidRPr="00A470BC">
        <w:rPr>
          <w:lang w:val="en-US"/>
        </w:rPr>
        <w:t>.</w:t>
      </w:r>
    </w:p>
    <w:p w14:paraId="5899FBDB" w14:textId="7A638455" w:rsidR="00351664" w:rsidRDefault="00AC6FB9" w:rsidP="00E10B46">
      <w:pPr>
        <w:pStyle w:val="Heading3"/>
      </w:pPr>
      <w:bookmarkStart w:id="101" w:name="_Toc176782406"/>
      <w:r>
        <w:t>State</w:t>
      </w:r>
      <w:r w:rsidR="00351664">
        <w:t xml:space="preserve"> and occupation</w:t>
      </w:r>
      <w:r w:rsidR="001C7CAD">
        <w:t xml:space="preserve"> estimation</w:t>
      </w:r>
      <w:bookmarkEnd w:id="101"/>
    </w:p>
    <w:p w14:paraId="37135854" w14:textId="5AAD3911" w:rsidR="00351664" w:rsidRDefault="00351664" w:rsidP="00351664">
      <w:r>
        <w:t>We also include commencements modelling results at the state and occupation</w:t>
      </w:r>
      <w:r w:rsidR="00117180">
        <w:t xml:space="preserve"> </w:t>
      </w:r>
      <w:r>
        <w:t xml:space="preserve">level. These are calculated by running the model above on data that is specific to the state (for state results), or specific to the occupation (for occupation-level results). </w:t>
      </w:r>
    </w:p>
    <w:p w14:paraId="76B52028" w14:textId="77777777" w:rsidR="00894315" w:rsidRDefault="00894315" w:rsidP="00E10B46">
      <w:pPr>
        <w:pStyle w:val="Heading3"/>
      </w:pPr>
      <w:bookmarkStart w:id="102" w:name="_Toc176782407"/>
      <w:r>
        <w:t>Data</w:t>
      </w:r>
      <w:bookmarkEnd w:id="102"/>
    </w:p>
    <w:p w14:paraId="1D9F8BEE" w14:textId="77777777" w:rsidR="00894315" w:rsidRPr="00CF703D" w:rsidRDefault="00894315" w:rsidP="007574A3">
      <w:r>
        <w:t xml:space="preserve">The time-varying economic and labour market control variables are: </w:t>
      </w:r>
    </w:p>
    <w:p w14:paraId="0CC7E46F" w14:textId="77777777" w:rsidR="00894315" w:rsidRPr="00CF703D" w:rsidRDefault="00894315" w:rsidP="007574A3">
      <w:pPr>
        <w:pStyle w:val="Bullet"/>
        <w:spacing w:line="240" w:lineRule="auto"/>
      </w:pPr>
      <w:r w:rsidRPr="00CF703D">
        <w:rPr>
          <w:b/>
          <w:bCs/>
        </w:rPr>
        <w:t>Hours actually worked</w:t>
      </w:r>
      <w:r w:rsidRPr="00CF703D">
        <w:t> by occupation (ANZSCO unit) and state are sourced from</w:t>
      </w:r>
      <w:r>
        <w:t xml:space="preserve"> </w:t>
      </w:r>
      <w:r w:rsidRPr="00CF703D">
        <w:t>Table </w:t>
      </w:r>
      <w:r w:rsidRPr="00CF703D">
        <w:rPr>
          <w:i/>
          <w:iCs/>
        </w:rPr>
        <w:t>EQ08</w:t>
      </w:r>
      <w:r>
        <w:rPr>
          <w:i/>
          <w:iCs/>
        </w:rPr>
        <w:t>,</w:t>
      </w:r>
      <w:r w:rsidRPr="00CF703D">
        <w:t> </w:t>
      </w:r>
      <w:hyperlink r:id="rId54" w:history="1">
        <w:r w:rsidRPr="00CF703D">
          <w:rPr>
            <w:rStyle w:val="Hyperlink"/>
            <w:i/>
            <w:iCs/>
          </w:rPr>
          <w:t>ABS LFS Detailed</w:t>
        </w:r>
      </w:hyperlink>
      <w:r w:rsidRPr="00CF703D">
        <w:t> </w:t>
      </w:r>
      <w:r>
        <w:t>(ABS, 2024)</w:t>
      </w:r>
      <w:r w:rsidRPr="00CF703D">
        <w:t>.</w:t>
      </w:r>
    </w:p>
    <w:p w14:paraId="6B9327ED" w14:textId="77777777" w:rsidR="00894315" w:rsidRPr="00CF703D" w:rsidRDefault="00894315" w:rsidP="007574A3">
      <w:pPr>
        <w:pStyle w:val="Bullet"/>
        <w:spacing w:line="240" w:lineRule="auto"/>
      </w:pPr>
      <w:r w:rsidRPr="00CF703D">
        <w:rPr>
          <w:b/>
          <w:bCs/>
        </w:rPr>
        <w:t>Unemployment rates</w:t>
      </w:r>
      <w:r w:rsidRPr="00CF703D">
        <w:t> by occupation (ANZSCO major) and state are sourced from Table </w:t>
      </w:r>
      <w:r w:rsidRPr="00CF703D">
        <w:rPr>
          <w:i/>
          <w:iCs/>
        </w:rPr>
        <w:t>UQB3</w:t>
      </w:r>
      <w:r>
        <w:rPr>
          <w:i/>
          <w:iCs/>
        </w:rPr>
        <w:t xml:space="preserve">, </w:t>
      </w:r>
      <w:hyperlink r:id="rId55" w:history="1">
        <w:r w:rsidRPr="00CF703D">
          <w:rPr>
            <w:rStyle w:val="Hyperlink"/>
            <w:i/>
            <w:iCs/>
          </w:rPr>
          <w:t>ABS LFS Detailed</w:t>
        </w:r>
      </w:hyperlink>
      <w:r w:rsidRPr="00CF703D">
        <w:t> </w:t>
      </w:r>
      <w:r>
        <w:t>(ABS, 2024)</w:t>
      </w:r>
      <w:r w:rsidRPr="00CF703D">
        <w:t>.</w:t>
      </w:r>
    </w:p>
    <w:p w14:paraId="076F9262" w14:textId="77777777" w:rsidR="00894315" w:rsidRPr="00CF703D" w:rsidRDefault="00894315" w:rsidP="007574A3">
      <w:pPr>
        <w:pStyle w:val="Bullet"/>
        <w:spacing w:line="240" w:lineRule="auto"/>
      </w:pPr>
      <w:r w:rsidRPr="00CF703D">
        <w:rPr>
          <w:b/>
          <w:bCs/>
        </w:rPr>
        <w:t>Vacancy levels</w:t>
      </w:r>
      <w:r w:rsidRPr="00CF703D">
        <w:t xml:space="preserve"> by occupation (ANZSCO unit) and state are </w:t>
      </w:r>
      <w:r>
        <w:t xml:space="preserve">sourced </w:t>
      </w:r>
      <w:r w:rsidRPr="00CF703D">
        <w:t>from J</w:t>
      </w:r>
      <w:r>
        <w:t xml:space="preserve">obs and </w:t>
      </w:r>
      <w:r w:rsidRPr="00CF703D">
        <w:t>S</w:t>
      </w:r>
      <w:r>
        <w:t xml:space="preserve">kills </w:t>
      </w:r>
      <w:r w:rsidRPr="00CF703D">
        <w:t>A</w:t>
      </w:r>
      <w:r>
        <w:t>ustralia’s</w:t>
      </w:r>
      <w:r w:rsidRPr="00CF703D">
        <w:t xml:space="preserve"> </w:t>
      </w:r>
      <w:hyperlink r:id="rId56" w:history="1">
        <w:r w:rsidRPr="00CF703D">
          <w:rPr>
            <w:rStyle w:val="Hyperlink"/>
          </w:rPr>
          <w:t>Internet Vacancy Index (IVI)</w:t>
        </w:r>
      </w:hyperlink>
      <w:r>
        <w:rPr>
          <w:rStyle w:val="Hyperlink"/>
        </w:rPr>
        <w:t>,</w:t>
      </w:r>
      <w:r w:rsidRPr="00CF703D">
        <w:t xml:space="preserve"> Table </w:t>
      </w:r>
      <w:r w:rsidRPr="00CF703D">
        <w:rPr>
          <w:i/>
          <w:iCs/>
        </w:rPr>
        <w:t>ANZSCO4 Occupations, States and Territories</w:t>
      </w:r>
      <w:r>
        <w:rPr>
          <w:i/>
          <w:iCs/>
        </w:rPr>
        <w:t xml:space="preserve"> </w:t>
      </w:r>
      <w:r>
        <w:t>(JSA, 2024).</w:t>
      </w:r>
      <w:r w:rsidRPr="00CF703D">
        <w:t xml:space="preserve"> JSA’s </w:t>
      </w:r>
      <w:r w:rsidRPr="00692D0A">
        <w:t>Internet Vacancy Index (IVI)</w:t>
      </w:r>
      <w:r w:rsidRPr="00CF703D">
        <w:t xml:space="preserve">, largely made up of SEEK job ad data, is used as a measure of labour demand. The series contains job ad data by ANZSCO unit (4-digit) level and state </w:t>
      </w:r>
      <w:r>
        <w:t>which</w:t>
      </w:r>
      <w:r w:rsidRPr="00CF703D">
        <w:t xml:space="preserve"> is aggregated up to the relevant occupation and geography level used in each model.</w:t>
      </w:r>
    </w:p>
    <w:p w14:paraId="5E4F60A3" w14:textId="77777777" w:rsidR="00894315" w:rsidRDefault="00894315" w:rsidP="007574A3">
      <w:pPr>
        <w:pStyle w:val="Bullet"/>
        <w:spacing w:line="240" w:lineRule="auto"/>
      </w:pPr>
      <w:r w:rsidRPr="00CF703D">
        <w:rPr>
          <w:b/>
          <w:bCs/>
        </w:rPr>
        <w:t>Business confidence</w:t>
      </w:r>
      <w:r w:rsidRPr="00CF703D">
        <w:t xml:space="preserve"> by industry (ANZSIC division) </w:t>
      </w:r>
      <w:r>
        <w:t xml:space="preserve">is sourced </w:t>
      </w:r>
      <w:r w:rsidRPr="00CF703D">
        <w:t>from the </w:t>
      </w:r>
      <w:hyperlink r:id="rId57" w:history="1">
        <w:r w:rsidRPr="00CF703D">
          <w:rPr>
            <w:rStyle w:val="Hyperlink"/>
          </w:rPr>
          <w:t>NAB Monthly Business Survey</w:t>
        </w:r>
      </w:hyperlink>
      <w:r w:rsidRPr="00CF703D">
        <w:t> which is provided to Treasury</w:t>
      </w:r>
      <w:r>
        <w:t xml:space="preserve"> (NAB, 2024)</w:t>
      </w:r>
      <w:r w:rsidRPr="00CF703D">
        <w:t>.</w:t>
      </w:r>
    </w:p>
    <w:p w14:paraId="263B3F68" w14:textId="77777777" w:rsidR="00894315" w:rsidRDefault="00894315" w:rsidP="00E10B46">
      <w:pPr>
        <w:pStyle w:val="Heading3"/>
      </w:pPr>
      <w:bookmarkStart w:id="103" w:name="_Toc176782408"/>
      <w:r>
        <w:t>Calculation of confidence intervals</w:t>
      </w:r>
      <w:bookmarkEnd w:id="103"/>
    </w:p>
    <w:p w14:paraId="49FC4BBA" w14:textId="7AD8A322" w:rsidR="00894315" w:rsidRDefault="00894315" w:rsidP="007574A3">
      <w:r>
        <w:t xml:space="preserve">For our econometric modelling, confidence intervals were calculated using bootstrapping. This approach to calculating confidence intervals avoids making restrictive assumptions about the distribution of the estimator for the parameter of interest. Note that this can result in confidence intervals not being symmetric around the point estimate because the distribution of the estimator is </w:t>
      </w:r>
      <w:r w:rsidR="00F5043F">
        <w:t xml:space="preserve">also </w:t>
      </w:r>
      <w:r>
        <w:t>allowed to not be symmetric.</w:t>
      </w:r>
    </w:p>
    <w:p w14:paraId="6EF1FB54" w14:textId="77777777" w:rsidR="00894315" w:rsidRDefault="00894315" w:rsidP="00E10B46">
      <w:pPr>
        <w:pStyle w:val="Heading3"/>
      </w:pPr>
      <w:bookmarkStart w:id="104" w:name="_Toc176782409"/>
      <w:r>
        <w:rPr>
          <w:rStyle w:val="header-section-number"/>
        </w:rPr>
        <w:t>Discussion of causality</w:t>
      </w:r>
      <w:bookmarkEnd w:id="104"/>
    </w:p>
    <w:p w14:paraId="5443C0C6" w14:textId="6D252167" w:rsidR="00894315" w:rsidRDefault="00894315" w:rsidP="007574A3">
      <w:r>
        <w:t>DEWR has conducted extensive research</w:t>
      </w:r>
      <w:r w:rsidR="00F5043F">
        <w:t xml:space="preserve">, including </w:t>
      </w:r>
      <w:r>
        <w:t>a literature review</w:t>
      </w:r>
      <w:r w:rsidR="00F5043F">
        <w:t>,</w:t>
      </w:r>
      <w:r>
        <w:t xml:space="preserve"> of the factors driving </w:t>
      </w:r>
      <w:r w:rsidR="00AC238E">
        <w:t xml:space="preserve">Australian Apprenticeship </w:t>
      </w:r>
      <w:r>
        <w:t>commencements</w:t>
      </w:r>
      <w:r w:rsidR="00AC238E">
        <w:t>. T</w:t>
      </w:r>
      <w:r>
        <w:t xml:space="preserve">he key factors </w:t>
      </w:r>
      <w:r w:rsidR="00AC238E">
        <w:t xml:space="preserve">are </w:t>
      </w:r>
      <w:r>
        <w:t xml:space="preserve">summarised in the table below. </w:t>
      </w:r>
    </w:p>
    <w:p w14:paraId="46473E20" w14:textId="6B618E32" w:rsidR="00894315" w:rsidRDefault="00894315" w:rsidP="007574A3">
      <w:r>
        <w:t xml:space="preserve">Many of the identified factors are captured in </w:t>
      </w:r>
      <w:r w:rsidR="005C224F">
        <w:t xml:space="preserve">the </w:t>
      </w:r>
      <w:r>
        <w:t xml:space="preserve">econometric model. For example, ‘Industry of occupation growing and positive outlook’ is captured by the hours worked by industry data included. </w:t>
      </w:r>
    </w:p>
    <w:p w14:paraId="3627356E" w14:textId="611EC479" w:rsidR="00894315" w:rsidRDefault="00894315" w:rsidP="007574A3">
      <w:r>
        <w:lastRenderedPageBreak/>
        <w:t>Many other factors are structural and only change slowly over time – this includes employer-side factors (</w:t>
      </w:r>
      <w:r w:rsidR="004E56C4">
        <w:t xml:space="preserve">for </w:t>
      </w:r>
      <w:r>
        <w:t>example, licensing requirements,</w:t>
      </w:r>
      <w:r w:rsidR="004E56C4">
        <w:t xml:space="preserve"> or</w:t>
      </w:r>
      <w:r>
        <w:t xml:space="preserve"> productivity of an apprentice) and apprentice-side factors (</w:t>
      </w:r>
      <w:r w:rsidR="004E56C4">
        <w:t xml:space="preserve">for </w:t>
      </w:r>
      <w:r>
        <w:t>example</w:t>
      </w:r>
      <w:r w:rsidR="004E56C4">
        <w:t xml:space="preserve">, </w:t>
      </w:r>
      <w:r>
        <w:t xml:space="preserve">sex, </w:t>
      </w:r>
      <w:r w:rsidR="004E56C4">
        <w:t xml:space="preserve">or </w:t>
      </w:r>
      <w:r>
        <w:t xml:space="preserve">socio-economic status). Since the BAC period was relatively short (less than 2 years) and there were no known dramatic changes in these factors during the BAC period, </w:t>
      </w:r>
      <w:r w:rsidR="00625857">
        <w:t xml:space="preserve">we did not attempt to add them to the </w:t>
      </w:r>
      <w:r>
        <w:t xml:space="preserve">econometric model. </w:t>
      </w:r>
    </w:p>
    <w:p w14:paraId="193994B4" w14:textId="2B64DF00" w:rsidR="00894315" w:rsidRPr="006B3D05" w:rsidRDefault="00894315" w:rsidP="007574A3">
      <w:pPr>
        <w:rPr>
          <w:rStyle w:val="Strong"/>
          <w:b w:val="0"/>
          <w:bCs w:val="0"/>
          <w:color w:val="333333"/>
        </w:rPr>
      </w:pPr>
      <w:r>
        <w:t xml:space="preserve">This rationale for </w:t>
      </w:r>
      <w:r w:rsidR="00625857">
        <w:t xml:space="preserve">the </w:t>
      </w:r>
      <w:r>
        <w:t xml:space="preserve">econometric model </w:t>
      </w:r>
      <w:r w:rsidR="00625857">
        <w:t xml:space="preserve">also </w:t>
      </w:r>
      <w:r>
        <w:t xml:space="preserve">applies to </w:t>
      </w:r>
      <w:r w:rsidR="00625857">
        <w:t xml:space="preserve">the </w:t>
      </w:r>
      <w:r>
        <w:t xml:space="preserve">modelling of ‘cancellations’ </w:t>
      </w:r>
      <w:r w:rsidR="002518C0">
        <w:t xml:space="preserve">immediately </w:t>
      </w:r>
      <w:r>
        <w:t xml:space="preserve">below, as well as </w:t>
      </w:r>
      <w:r w:rsidR="0032072E">
        <w:t xml:space="preserve">the </w:t>
      </w:r>
      <w:r w:rsidR="002518C0">
        <w:t xml:space="preserve">modelling </w:t>
      </w:r>
      <w:r w:rsidR="0032072E">
        <w:t xml:space="preserve">of </w:t>
      </w:r>
      <w:r>
        <w:t xml:space="preserve">‘progressed commencements’ </w:t>
      </w:r>
      <w:r w:rsidR="002518C0">
        <w:t xml:space="preserve">discussed </w:t>
      </w:r>
      <w:r>
        <w:t xml:space="preserve">in Appendix </w:t>
      </w:r>
      <w:r w:rsidR="00794935">
        <w:t>D</w:t>
      </w:r>
      <w:r>
        <w:t>.</w:t>
      </w:r>
    </w:p>
    <w:p w14:paraId="510A8BC4" w14:textId="77777777" w:rsidR="00894315" w:rsidRPr="007E1922" w:rsidRDefault="00894315" w:rsidP="00E10B46">
      <w:pPr>
        <w:pStyle w:val="Heading3"/>
      </w:pPr>
      <w:bookmarkStart w:id="105" w:name="_Toc176782410"/>
      <w:r>
        <w:rPr>
          <w:rStyle w:val="Strong"/>
          <w:b w:val="0"/>
          <w:bCs w:val="0"/>
        </w:rPr>
        <w:t>Summary of the drivers of apprenticeship commencements (prepared by DEWR)</w:t>
      </w:r>
      <w:bookmarkEnd w:id="105"/>
    </w:p>
    <w:tbl>
      <w:tblPr>
        <w:tblStyle w:val="TableGrid"/>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691"/>
        <w:gridCol w:w="2268"/>
        <w:gridCol w:w="5093"/>
      </w:tblGrid>
      <w:tr w:rsidR="00894315" w:rsidRPr="00190312" w14:paraId="2391CB69" w14:textId="77777777" w:rsidTr="00BB7265">
        <w:trPr>
          <w:cnfStyle w:val="100000000000" w:firstRow="1" w:lastRow="0" w:firstColumn="0" w:lastColumn="0" w:oddVBand="0" w:evenVBand="0" w:oddHBand="0" w:evenHBand="0" w:firstRowFirstColumn="0" w:firstRowLastColumn="0" w:lastRowFirstColumn="0" w:lastRowLastColumn="0"/>
          <w:trHeight w:val="703"/>
        </w:trPr>
        <w:tc>
          <w:tcPr>
            <w:tcW w:w="1691" w:type="dxa"/>
            <w:tcBorders>
              <w:bottom w:val="single" w:sz="8" w:space="0" w:color="auto"/>
            </w:tcBorders>
            <w:shd w:val="clear" w:color="auto" w:fill="5D779D" w:themeFill="accent3"/>
          </w:tcPr>
          <w:p w14:paraId="1CA0B7E5" w14:textId="77777777" w:rsidR="00894315" w:rsidRPr="00190312" w:rsidRDefault="00894315" w:rsidP="007574A3">
            <w:pPr>
              <w:rPr>
                <w:rStyle w:val="Strong"/>
                <w:rFonts w:cs="Calibri Light"/>
                <w:b/>
                <w:bCs w:val="0"/>
                <w:color w:val="FFFFFF" w:themeColor="background1"/>
                <w:sz w:val="22"/>
                <w:szCs w:val="22"/>
              </w:rPr>
            </w:pPr>
            <w:r w:rsidRPr="00190312">
              <w:rPr>
                <w:rStyle w:val="Strong"/>
                <w:rFonts w:cs="Calibri Light"/>
                <w:b/>
                <w:bCs w:val="0"/>
                <w:color w:val="FFFFFF" w:themeColor="background1"/>
                <w:sz w:val="22"/>
                <w:szCs w:val="22"/>
              </w:rPr>
              <w:t>Employer vs Apprentice-side</w:t>
            </w:r>
          </w:p>
        </w:tc>
        <w:tc>
          <w:tcPr>
            <w:tcW w:w="2268" w:type="dxa"/>
            <w:shd w:val="clear" w:color="auto" w:fill="5D779D" w:themeFill="accent3"/>
          </w:tcPr>
          <w:p w14:paraId="5CBB8FED" w14:textId="77777777" w:rsidR="00894315" w:rsidRPr="00190312" w:rsidRDefault="00894315" w:rsidP="007574A3">
            <w:pPr>
              <w:rPr>
                <w:rStyle w:val="Strong"/>
                <w:rFonts w:cs="Calibri Light"/>
                <w:b/>
                <w:bCs w:val="0"/>
                <w:color w:val="FFFFFF" w:themeColor="background1"/>
                <w:sz w:val="22"/>
                <w:szCs w:val="22"/>
              </w:rPr>
            </w:pPr>
            <w:r w:rsidRPr="00190312">
              <w:rPr>
                <w:rStyle w:val="Strong"/>
                <w:rFonts w:cs="Calibri Light"/>
                <w:b/>
                <w:bCs w:val="0"/>
                <w:color w:val="FFFFFF" w:themeColor="background1"/>
                <w:sz w:val="22"/>
                <w:szCs w:val="22"/>
              </w:rPr>
              <w:t>Category</w:t>
            </w:r>
          </w:p>
        </w:tc>
        <w:tc>
          <w:tcPr>
            <w:tcW w:w="5093" w:type="dxa"/>
            <w:shd w:val="clear" w:color="auto" w:fill="5D779D" w:themeFill="accent3"/>
          </w:tcPr>
          <w:p w14:paraId="228D58BB" w14:textId="77777777" w:rsidR="00894315" w:rsidRPr="00190312" w:rsidRDefault="00894315" w:rsidP="007574A3">
            <w:pPr>
              <w:rPr>
                <w:rStyle w:val="Strong"/>
                <w:rFonts w:cs="Calibri Light"/>
                <w:b/>
                <w:bCs w:val="0"/>
                <w:color w:val="FFFFFF" w:themeColor="background1"/>
                <w:sz w:val="22"/>
                <w:szCs w:val="22"/>
              </w:rPr>
            </w:pPr>
            <w:r w:rsidRPr="00190312">
              <w:rPr>
                <w:rStyle w:val="Strong"/>
                <w:rFonts w:cs="Calibri Light"/>
                <w:b/>
                <w:bCs w:val="0"/>
                <w:color w:val="FFFFFF" w:themeColor="background1"/>
                <w:sz w:val="22"/>
                <w:szCs w:val="22"/>
              </w:rPr>
              <w:t>Factor</w:t>
            </w:r>
          </w:p>
        </w:tc>
      </w:tr>
      <w:tr w:rsidR="00894315" w14:paraId="5E2ABC37" w14:textId="77777777" w:rsidTr="00BB7265">
        <w:tc>
          <w:tcPr>
            <w:tcW w:w="1691" w:type="dxa"/>
            <w:tcBorders>
              <w:bottom w:val="nil"/>
            </w:tcBorders>
          </w:tcPr>
          <w:p w14:paraId="2B354DF1" w14:textId="77777777" w:rsidR="00894315" w:rsidRPr="00004A0A" w:rsidRDefault="00894315" w:rsidP="007574A3">
            <w:pPr>
              <w:spacing w:after="0"/>
              <w:rPr>
                <w:rStyle w:val="Strong"/>
                <w:rFonts w:cs="Calibri Light"/>
                <w:color w:val="333333"/>
                <w:sz w:val="20"/>
              </w:rPr>
            </w:pPr>
            <w:r w:rsidRPr="00004A0A">
              <w:rPr>
                <w:rStyle w:val="Strong"/>
                <w:rFonts w:cs="Calibri Light"/>
                <w:color w:val="333333"/>
                <w:sz w:val="20"/>
              </w:rPr>
              <w:t xml:space="preserve">Employer-side factors </w:t>
            </w:r>
            <w:r w:rsidRPr="00004A0A">
              <w:rPr>
                <w:rStyle w:val="Strong"/>
                <w:rFonts w:cs="Calibri Light"/>
                <w:b w:val="0"/>
                <w:bCs w:val="0"/>
                <w:color w:val="333333"/>
                <w:sz w:val="20"/>
              </w:rPr>
              <w:t>affecting the supply of apprenticeship places</w:t>
            </w:r>
          </w:p>
        </w:tc>
        <w:tc>
          <w:tcPr>
            <w:tcW w:w="2268" w:type="dxa"/>
          </w:tcPr>
          <w:p w14:paraId="36FBE560" w14:textId="77777777" w:rsidR="00894315" w:rsidRDefault="00894315" w:rsidP="007574A3">
            <w:pPr>
              <w:spacing w:after="0"/>
              <w:rPr>
                <w:rFonts w:cs="Calibri Light"/>
                <w:sz w:val="20"/>
              </w:rPr>
            </w:pPr>
            <w:r w:rsidRPr="00004A0A">
              <w:rPr>
                <w:rStyle w:val="Strong"/>
                <w:rFonts w:cs="Calibri Light"/>
                <w:color w:val="333333"/>
                <w:sz w:val="20"/>
              </w:rPr>
              <w:t>Industry/occupation specific factors affecting employers</w:t>
            </w:r>
            <w:r w:rsidRPr="00004A0A">
              <w:rPr>
                <w:rFonts w:cs="Calibri Light"/>
                <w:sz w:val="20"/>
              </w:rPr>
              <w:t> </w:t>
            </w:r>
          </w:p>
          <w:p w14:paraId="789B7102" w14:textId="77777777" w:rsidR="00894315" w:rsidRPr="00615CDA" w:rsidRDefault="00894315" w:rsidP="007574A3">
            <w:pPr>
              <w:spacing w:after="0"/>
              <w:rPr>
                <w:rStyle w:val="Strong"/>
                <w:rFonts w:cs="Calibri Light"/>
                <w:b w:val="0"/>
                <w:bCs w:val="0"/>
                <w:sz w:val="20"/>
              </w:rPr>
            </w:pPr>
            <w:r>
              <w:rPr>
                <w:rFonts w:cs="Calibri Light"/>
                <w:sz w:val="20"/>
              </w:rPr>
              <w:t>(Nelms et al. 2017; Karmel 2017;</w:t>
            </w:r>
            <w:r w:rsidRPr="00004A0A">
              <w:rPr>
                <w:rFonts w:cs="Calibri Light"/>
                <w:sz w:val="20"/>
              </w:rPr>
              <w:t xml:space="preserve"> Deloitte </w:t>
            </w:r>
            <w:r>
              <w:rPr>
                <w:rFonts w:cs="Calibri Light"/>
                <w:sz w:val="20"/>
              </w:rPr>
              <w:t>Access Economics</w:t>
            </w:r>
            <w:r w:rsidRPr="00004A0A">
              <w:rPr>
                <w:rFonts w:cs="Calibri Light"/>
                <w:sz w:val="20"/>
              </w:rPr>
              <w:t xml:space="preserve"> 2020</w:t>
            </w:r>
            <w:r>
              <w:rPr>
                <w:rFonts w:cs="Calibri Light"/>
                <w:sz w:val="20"/>
              </w:rPr>
              <w:t>;</w:t>
            </w:r>
            <w:r w:rsidRPr="00004A0A" w:rsidDel="00010395">
              <w:rPr>
                <w:rFonts w:cs="Calibri Light"/>
                <w:sz w:val="20"/>
              </w:rPr>
              <w:t xml:space="preserve"> </w:t>
            </w:r>
            <w:proofErr w:type="spellStart"/>
            <w:r w:rsidRPr="00004A0A">
              <w:rPr>
                <w:rFonts w:cs="Calibri Light"/>
                <w:sz w:val="20"/>
              </w:rPr>
              <w:t>Nechvoglod</w:t>
            </w:r>
            <w:proofErr w:type="spellEnd"/>
            <w:r w:rsidRPr="00004A0A">
              <w:rPr>
                <w:rFonts w:cs="Calibri Light"/>
                <w:sz w:val="20"/>
              </w:rPr>
              <w:t xml:space="preserve"> </w:t>
            </w:r>
            <w:r w:rsidRPr="006E2F4B">
              <w:rPr>
                <w:rFonts w:cs="Calibri Light"/>
                <w:i/>
                <w:iCs/>
                <w:sz w:val="20"/>
              </w:rPr>
              <w:t>et al</w:t>
            </w:r>
            <w:r>
              <w:rPr>
                <w:rFonts w:cs="Calibri Light"/>
                <w:sz w:val="20"/>
              </w:rPr>
              <w:t>.</w:t>
            </w:r>
            <w:r w:rsidRPr="00004A0A">
              <w:rPr>
                <w:rFonts w:cs="Calibri Light"/>
                <w:sz w:val="20"/>
              </w:rPr>
              <w:t xml:space="preserve"> 2009)</w:t>
            </w:r>
          </w:p>
        </w:tc>
        <w:tc>
          <w:tcPr>
            <w:tcW w:w="5093" w:type="dxa"/>
          </w:tcPr>
          <w:p w14:paraId="7E4B5175" w14:textId="77777777" w:rsidR="00894315" w:rsidRPr="00004A0A" w:rsidRDefault="00894315" w:rsidP="007574A3">
            <w:pPr>
              <w:pStyle w:val="Bullet"/>
              <w:spacing w:after="0" w:line="240" w:lineRule="auto"/>
              <w:rPr>
                <w:rFonts w:cs="Calibri Light"/>
                <w:sz w:val="20"/>
              </w:rPr>
            </w:pPr>
            <w:r w:rsidRPr="00004A0A">
              <w:rPr>
                <w:rFonts w:cs="Calibri Light"/>
                <w:sz w:val="20"/>
              </w:rPr>
              <w:t>Industry or occupation growing and positive outlook.</w:t>
            </w:r>
          </w:p>
          <w:p w14:paraId="2A80FFE6" w14:textId="77777777" w:rsidR="00894315" w:rsidRPr="00004A0A" w:rsidRDefault="00894315" w:rsidP="007574A3">
            <w:pPr>
              <w:pStyle w:val="Bullet"/>
              <w:spacing w:after="0" w:line="240" w:lineRule="auto"/>
              <w:rPr>
                <w:rFonts w:cs="Calibri Light"/>
                <w:sz w:val="20"/>
              </w:rPr>
            </w:pPr>
            <w:r w:rsidRPr="00004A0A">
              <w:rPr>
                <w:rFonts w:cs="Calibri Light"/>
                <w:sz w:val="20"/>
              </w:rPr>
              <w:t>Occupation is licensed requiring an apprenticeship.</w:t>
            </w:r>
          </w:p>
          <w:p w14:paraId="31E5E0EA" w14:textId="77777777" w:rsidR="00894315" w:rsidRPr="00004A0A" w:rsidRDefault="00894315" w:rsidP="007574A3">
            <w:pPr>
              <w:pStyle w:val="Bullet"/>
              <w:spacing w:after="0" w:line="240" w:lineRule="auto"/>
              <w:rPr>
                <w:rFonts w:cs="Calibri Light"/>
                <w:sz w:val="20"/>
              </w:rPr>
            </w:pPr>
            <w:r w:rsidRPr="00004A0A">
              <w:rPr>
                <w:rFonts w:cs="Calibri Light"/>
                <w:sz w:val="20"/>
              </w:rPr>
              <w:t>Desire to ‘give back to industry’.</w:t>
            </w:r>
          </w:p>
          <w:p w14:paraId="5AF239FD" w14:textId="77777777" w:rsidR="00894315" w:rsidRPr="00004A0A" w:rsidRDefault="00894315" w:rsidP="007574A3">
            <w:pPr>
              <w:pStyle w:val="Bullet"/>
              <w:spacing w:after="0" w:line="240" w:lineRule="auto"/>
              <w:rPr>
                <w:rFonts w:cs="Calibri Light"/>
                <w:sz w:val="20"/>
              </w:rPr>
            </w:pPr>
            <w:r w:rsidRPr="00004A0A">
              <w:rPr>
                <w:rFonts w:cs="Calibri Light"/>
                <w:sz w:val="20"/>
              </w:rPr>
              <w:t>Productivity of apprentice compared to apprentice wages deemed good.</w:t>
            </w:r>
          </w:p>
          <w:p w14:paraId="19A7759B" w14:textId="77777777" w:rsidR="00894315" w:rsidRPr="00004A0A" w:rsidRDefault="00894315" w:rsidP="007574A3">
            <w:pPr>
              <w:pStyle w:val="Bullet"/>
              <w:spacing w:after="0" w:line="240" w:lineRule="auto"/>
              <w:rPr>
                <w:rFonts w:cs="Calibri Light"/>
                <w:sz w:val="20"/>
              </w:rPr>
            </w:pPr>
            <w:r w:rsidRPr="00004A0A">
              <w:rPr>
                <w:rFonts w:cs="Calibri Light"/>
                <w:sz w:val="20"/>
              </w:rPr>
              <w:t>Perceived benefit of future qualified worker to the business</w:t>
            </w:r>
          </w:p>
          <w:p w14:paraId="485774DA" w14:textId="77777777" w:rsidR="00894315" w:rsidRPr="00004A0A" w:rsidRDefault="00894315" w:rsidP="007574A3">
            <w:pPr>
              <w:pStyle w:val="Bullet"/>
              <w:spacing w:after="0" w:line="240" w:lineRule="auto"/>
              <w:rPr>
                <w:rStyle w:val="Strong"/>
                <w:rFonts w:cs="Calibri Light"/>
                <w:b w:val="0"/>
                <w:bCs w:val="0"/>
                <w:color w:val="333333"/>
                <w:sz w:val="20"/>
              </w:rPr>
            </w:pPr>
            <w:r w:rsidRPr="00004A0A">
              <w:rPr>
                <w:rFonts w:cs="Calibri Light"/>
                <w:sz w:val="20"/>
              </w:rPr>
              <w:t>Historical industry/employer experience with apprentices</w:t>
            </w:r>
          </w:p>
        </w:tc>
      </w:tr>
      <w:tr w:rsidR="00894315" w14:paraId="7D937C4D" w14:textId="77777777" w:rsidTr="00BB7265">
        <w:tc>
          <w:tcPr>
            <w:tcW w:w="1691" w:type="dxa"/>
            <w:tcBorders>
              <w:top w:val="nil"/>
              <w:bottom w:val="single" w:sz="8" w:space="0" w:color="auto"/>
            </w:tcBorders>
          </w:tcPr>
          <w:p w14:paraId="28836ED6" w14:textId="77777777" w:rsidR="00894315" w:rsidRPr="00004A0A" w:rsidRDefault="00894315" w:rsidP="007574A3">
            <w:pPr>
              <w:spacing w:after="0"/>
              <w:rPr>
                <w:rStyle w:val="Strong"/>
                <w:rFonts w:cs="Calibri Light"/>
                <w:color w:val="333333"/>
                <w:sz w:val="20"/>
              </w:rPr>
            </w:pPr>
          </w:p>
        </w:tc>
        <w:tc>
          <w:tcPr>
            <w:tcW w:w="2268" w:type="dxa"/>
          </w:tcPr>
          <w:p w14:paraId="553FCDF3" w14:textId="77777777" w:rsidR="00894315" w:rsidRDefault="00894315" w:rsidP="007574A3">
            <w:pPr>
              <w:spacing w:after="0"/>
              <w:rPr>
                <w:rFonts w:cs="Calibri Light"/>
                <w:sz w:val="20"/>
              </w:rPr>
            </w:pPr>
            <w:r w:rsidRPr="00004A0A">
              <w:rPr>
                <w:rStyle w:val="Strong"/>
                <w:rFonts w:cs="Calibri Light"/>
                <w:color w:val="333333"/>
                <w:sz w:val="20"/>
              </w:rPr>
              <w:t>Other factors affecting employers</w:t>
            </w:r>
            <w:r w:rsidRPr="00004A0A">
              <w:rPr>
                <w:rFonts w:cs="Calibri Light"/>
                <w:sz w:val="20"/>
              </w:rPr>
              <w:t> </w:t>
            </w:r>
          </w:p>
          <w:p w14:paraId="0BCCC4B0" w14:textId="77777777" w:rsidR="00894315" w:rsidRPr="00004A0A" w:rsidRDefault="00894315" w:rsidP="007574A3">
            <w:pPr>
              <w:spacing w:after="0"/>
              <w:rPr>
                <w:rStyle w:val="Strong"/>
                <w:rFonts w:cs="Calibri Light"/>
                <w:b w:val="0"/>
                <w:bCs w:val="0"/>
                <w:color w:val="333333"/>
                <w:sz w:val="20"/>
              </w:rPr>
            </w:pPr>
            <w:r>
              <w:rPr>
                <w:rFonts w:cs="Calibri Light"/>
                <w:sz w:val="20"/>
              </w:rPr>
              <w:t>(</w:t>
            </w:r>
            <w:r w:rsidRPr="00004A0A">
              <w:rPr>
                <w:rFonts w:cs="Calibri Light"/>
                <w:sz w:val="20"/>
              </w:rPr>
              <w:t>Deloitte</w:t>
            </w:r>
            <w:r>
              <w:rPr>
                <w:rFonts w:cs="Calibri Light"/>
                <w:sz w:val="20"/>
              </w:rPr>
              <w:t xml:space="preserve"> Access Economics</w:t>
            </w:r>
            <w:r w:rsidRPr="00004A0A">
              <w:rPr>
                <w:rFonts w:cs="Calibri Light"/>
                <w:sz w:val="20"/>
              </w:rPr>
              <w:t xml:space="preserve"> 2012</w:t>
            </w:r>
            <w:r>
              <w:rPr>
                <w:rFonts w:cs="Calibri Light"/>
                <w:sz w:val="20"/>
              </w:rPr>
              <w:t>;</w:t>
            </w:r>
            <w:r w:rsidRPr="00004A0A" w:rsidDel="002B1BD0">
              <w:rPr>
                <w:rFonts w:cs="Calibri Light"/>
                <w:sz w:val="20"/>
              </w:rPr>
              <w:t xml:space="preserve"> </w:t>
            </w:r>
            <w:r>
              <w:rPr>
                <w:rFonts w:cs="Calibri Light"/>
                <w:sz w:val="20"/>
              </w:rPr>
              <w:t xml:space="preserve">Deloitte Access Economics </w:t>
            </w:r>
            <w:r w:rsidRPr="00004A0A">
              <w:rPr>
                <w:rFonts w:cs="Calibri Light"/>
                <w:sz w:val="20"/>
              </w:rPr>
              <w:t>2021)</w:t>
            </w:r>
          </w:p>
        </w:tc>
        <w:tc>
          <w:tcPr>
            <w:tcW w:w="5093" w:type="dxa"/>
          </w:tcPr>
          <w:p w14:paraId="49A24C82" w14:textId="77777777" w:rsidR="00894315" w:rsidRPr="00004A0A" w:rsidRDefault="00894315" w:rsidP="007574A3">
            <w:pPr>
              <w:pStyle w:val="Bullet"/>
              <w:spacing w:after="0" w:line="240" w:lineRule="auto"/>
              <w:rPr>
                <w:rFonts w:cs="Calibri Light"/>
                <w:sz w:val="20"/>
              </w:rPr>
            </w:pPr>
            <w:r w:rsidRPr="00004A0A">
              <w:rPr>
                <w:rFonts w:cs="Calibri Light"/>
                <w:sz w:val="20"/>
              </w:rPr>
              <w:t>Incentive for trade apprentices (moderately effective)</w:t>
            </w:r>
          </w:p>
          <w:p w14:paraId="725DF662" w14:textId="77777777" w:rsidR="00894315" w:rsidRPr="00004A0A" w:rsidRDefault="00894315" w:rsidP="007574A3">
            <w:pPr>
              <w:pStyle w:val="Bullet"/>
              <w:spacing w:after="0" w:line="240" w:lineRule="auto"/>
              <w:rPr>
                <w:rFonts w:cs="Calibri Light"/>
                <w:sz w:val="20"/>
              </w:rPr>
            </w:pPr>
            <w:r w:rsidRPr="00004A0A">
              <w:rPr>
                <w:rFonts w:cs="Calibri Light"/>
                <w:sz w:val="20"/>
              </w:rPr>
              <w:t>Incentive for non-trade apprentices (highly effective)</w:t>
            </w:r>
          </w:p>
          <w:p w14:paraId="19C201AB" w14:textId="77777777" w:rsidR="00894315" w:rsidRPr="00004A0A" w:rsidRDefault="00894315" w:rsidP="007574A3">
            <w:pPr>
              <w:pStyle w:val="Bullet"/>
              <w:spacing w:after="0" w:line="240" w:lineRule="auto"/>
              <w:rPr>
                <w:rFonts w:cs="Calibri Light"/>
                <w:sz w:val="20"/>
              </w:rPr>
            </w:pPr>
            <w:r w:rsidRPr="00004A0A">
              <w:rPr>
                <w:rFonts w:cs="Calibri Light"/>
                <w:sz w:val="20"/>
              </w:rPr>
              <w:t>Incentives timed to coincide with peak apprentice hiring period.</w:t>
            </w:r>
          </w:p>
          <w:p w14:paraId="42C6BE89" w14:textId="77777777" w:rsidR="00894315" w:rsidRPr="00004A0A" w:rsidRDefault="00894315" w:rsidP="007574A3">
            <w:pPr>
              <w:pStyle w:val="Bullet"/>
              <w:spacing w:after="0" w:line="240" w:lineRule="auto"/>
              <w:rPr>
                <w:rFonts w:cs="Calibri Light"/>
                <w:sz w:val="20"/>
              </w:rPr>
            </w:pPr>
            <w:r w:rsidRPr="5D3FEF6A">
              <w:rPr>
                <w:rFonts w:cs="Calibri Light"/>
                <w:sz w:val="20"/>
              </w:rPr>
              <w:t>Incentive for existing worker apprentices (highly effective in non-trades, potentially subject to sharp practice)</w:t>
            </w:r>
          </w:p>
          <w:p w14:paraId="5D885733" w14:textId="77777777" w:rsidR="00894315" w:rsidRPr="00004A0A" w:rsidRDefault="00894315" w:rsidP="007574A3">
            <w:pPr>
              <w:pStyle w:val="Bullet"/>
              <w:spacing w:after="0" w:line="240" w:lineRule="auto"/>
              <w:rPr>
                <w:rFonts w:cs="Calibri Light"/>
                <w:sz w:val="20"/>
              </w:rPr>
            </w:pPr>
            <w:r w:rsidRPr="00004A0A">
              <w:rPr>
                <w:rFonts w:cs="Calibri Light"/>
                <w:sz w:val="20"/>
              </w:rPr>
              <w:t>Incentives to engage businesses new to apprenticeships (very low effectiveness)</w:t>
            </w:r>
          </w:p>
          <w:p w14:paraId="528619AA" w14:textId="77777777" w:rsidR="00894315" w:rsidRPr="00004A0A" w:rsidRDefault="00894315" w:rsidP="007574A3">
            <w:pPr>
              <w:pStyle w:val="Bullet"/>
              <w:spacing w:after="0" w:line="240" w:lineRule="auto"/>
              <w:rPr>
                <w:rStyle w:val="Strong"/>
                <w:rFonts w:cs="Calibri Light"/>
                <w:b w:val="0"/>
                <w:bCs w:val="0"/>
                <w:color w:val="333333"/>
                <w:sz w:val="20"/>
              </w:rPr>
            </w:pPr>
            <w:r w:rsidRPr="00004A0A">
              <w:rPr>
                <w:rFonts w:cs="Calibri Light"/>
                <w:sz w:val="20"/>
              </w:rPr>
              <w:t>Incentive for businesses already with apprentices to hire more (highly effective)</w:t>
            </w:r>
          </w:p>
        </w:tc>
      </w:tr>
      <w:tr w:rsidR="00894315" w14:paraId="2257C301" w14:textId="77777777" w:rsidTr="00BB7265">
        <w:tc>
          <w:tcPr>
            <w:tcW w:w="1691" w:type="dxa"/>
            <w:tcBorders>
              <w:bottom w:val="nil"/>
            </w:tcBorders>
          </w:tcPr>
          <w:p w14:paraId="1E14853E" w14:textId="77777777" w:rsidR="00894315" w:rsidRPr="00004A0A" w:rsidRDefault="00894315" w:rsidP="007574A3">
            <w:pPr>
              <w:spacing w:after="0"/>
              <w:rPr>
                <w:rStyle w:val="Strong"/>
                <w:rFonts w:cs="Calibri Light"/>
                <w:color w:val="333333"/>
                <w:sz w:val="20"/>
              </w:rPr>
            </w:pPr>
            <w:r w:rsidRPr="00004A0A">
              <w:rPr>
                <w:rStyle w:val="Strong"/>
                <w:rFonts w:cs="Calibri Light"/>
                <w:color w:val="333333"/>
                <w:sz w:val="20"/>
              </w:rPr>
              <w:t xml:space="preserve">Apprentice-side factors </w:t>
            </w:r>
            <w:r w:rsidRPr="00004A0A">
              <w:rPr>
                <w:rStyle w:val="Strong"/>
                <w:rFonts w:cs="Calibri Light"/>
                <w:b w:val="0"/>
                <w:bCs w:val="0"/>
                <w:color w:val="333333"/>
                <w:sz w:val="20"/>
              </w:rPr>
              <w:t>affecting the demand for apprenticeship places</w:t>
            </w:r>
          </w:p>
        </w:tc>
        <w:tc>
          <w:tcPr>
            <w:tcW w:w="2268" w:type="dxa"/>
          </w:tcPr>
          <w:p w14:paraId="14486B53" w14:textId="77777777" w:rsidR="00894315" w:rsidRDefault="00894315" w:rsidP="007574A3">
            <w:pPr>
              <w:pStyle w:val="NormalWeb"/>
              <w:shd w:val="clear" w:color="auto" w:fill="FFFFFF"/>
              <w:spacing w:before="0" w:beforeAutospacing="0" w:after="0" w:afterAutospacing="0"/>
              <w:rPr>
                <w:rFonts w:ascii="Calibri Light" w:hAnsi="Calibri Light" w:cs="Calibri Light"/>
                <w:color w:val="333333"/>
                <w:sz w:val="20"/>
                <w:szCs w:val="20"/>
              </w:rPr>
            </w:pPr>
            <w:r w:rsidRPr="00004A0A">
              <w:rPr>
                <w:rStyle w:val="Strong"/>
                <w:rFonts w:ascii="Calibri Light" w:hAnsi="Calibri Light" w:cs="Calibri Light"/>
                <w:color w:val="333333"/>
                <w:sz w:val="20"/>
                <w:szCs w:val="20"/>
              </w:rPr>
              <w:t>Individual-level factors intrinsic to potential apprentices</w:t>
            </w:r>
            <w:r w:rsidRPr="00004A0A">
              <w:rPr>
                <w:rFonts w:ascii="Calibri Light" w:hAnsi="Calibri Light" w:cs="Calibri Light"/>
                <w:color w:val="333333"/>
                <w:sz w:val="20"/>
                <w:szCs w:val="20"/>
              </w:rPr>
              <w:t> </w:t>
            </w:r>
          </w:p>
          <w:p w14:paraId="394A13CA" w14:textId="77777777" w:rsidR="00894315" w:rsidRPr="00615CDA" w:rsidRDefault="00894315" w:rsidP="007574A3">
            <w:pPr>
              <w:pStyle w:val="NormalWeb"/>
              <w:shd w:val="clear" w:color="auto" w:fill="FFFFFF"/>
              <w:spacing w:before="0" w:beforeAutospacing="0" w:after="0" w:afterAutospacing="0"/>
              <w:rPr>
                <w:rStyle w:val="Strong"/>
                <w:rFonts w:ascii="Calibri Light" w:hAnsi="Calibri Light" w:cs="Calibri Light"/>
                <w:b w:val="0"/>
                <w:bCs w:val="0"/>
                <w:color w:val="333333"/>
                <w:sz w:val="20"/>
                <w:szCs w:val="20"/>
              </w:rPr>
            </w:pPr>
            <w:r>
              <w:rPr>
                <w:rFonts w:ascii="Calibri Light" w:hAnsi="Calibri Light" w:cs="Calibri Light"/>
                <w:color w:val="333333"/>
                <w:sz w:val="20"/>
                <w:szCs w:val="20"/>
              </w:rPr>
              <w:t>(</w:t>
            </w:r>
            <w:r w:rsidRPr="00D858EC">
              <w:rPr>
                <w:rFonts w:ascii="Calibri Light" w:hAnsi="Calibri Light" w:cs="Calibri Light"/>
                <w:color w:val="333333"/>
                <w:sz w:val="20"/>
                <w:szCs w:val="20"/>
              </w:rPr>
              <w:t>Nelms et al. 2017; Karmel</w:t>
            </w:r>
            <w:r w:rsidRPr="00004A0A">
              <w:rPr>
                <w:rFonts w:ascii="Calibri Light" w:hAnsi="Calibri Light" w:cs="Calibri Light"/>
                <w:color w:val="333333"/>
                <w:sz w:val="20"/>
                <w:szCs w:val="20"/>
              </w:rPr>
              <w:t xml:space="preserve"> 2017</w:t>
            </w:r>
            <w:r>
              <w:rPr>
                <w:rFonts w:ascii="Calibri Light" w:hAnsi="Calibri Light" w:cs="Calibri Light"/>
                <w:color w:val="333333"/>
                <w:sz w:val="20"/>
                <w:szCs w:val="20"/>
              </w:rPr>
              <w:t>;</w:t>
            </w:r>
            <w:r w:rsidRPr="00004A0A">
              <w:rPr>
                <w:rFonts w:ascii="Calibri Light" w:hAnsi="Calibri Light" w:cs="Calibri Light"/>
                <w:color w:val="333333"/>
                <w:sz w:val="20"/>
                <w:szCs w:val="20"/>
              </w:rPr>
              <w:t xml:space="preserve"> Deloitte</w:t>
            </w:r>
            <w:r>
              <w:rPr>
                <w:rFonts w:ascii="Calibri Light" w:hAnsi="Calibri Light" w:cs="Calibri Light"/>
                <w:color w:val="333333"/>
                <w:sz w:val="20"/>
                <w:szCs w:val="20"/>
              </w:rPr>
              <w:t xml:space="preserve"> Access Economics</w:t>
            </w:r>
            <w:r w:rsidRPr="00004A0A">
              <w:rPr>
                <w:rFonts w:ascii="Calibri Light" w:hAnsi="Calibri Light" w:cs="Calibri Light"/>
                <w:color w:val="333333"/>
                <w:sz w:val="20"/>
                <w:szCs w:val="20"/>
              </w:rPr>
              <w:t xml:space="preserve"> 2020</w:t>
            </w:r>
            <w:r>
              <w:rPr>
                <w:rFonts w:ascii="Calibri Light" w:hAnsi="Calibri Light" w:cs="Calibri Light"/>
                <w:color w:val="333333"/>
                <w:sz w:val="20"/>
                <w:szCs w:val="20"/>
              </w:rPr>
              <w:t>;</w:t>
            </w:r>
            <w:r w:rsidRPr="00004A0A">
              <w:rPr>
                <w:rFonts w:ascii="Calibri Light" w:hAnsi="Calibri Light" w:cs="Calibri Light"/>
                <w:color w:val="333333"/>
                <w:sz w:val="20"/>
                <w:szCs w:val="20"/>
              </w:rPr>
              <w:t xml:space="preserve"> Dickie </w:t>
            </w:r>
            <w:r w:rsidRPr="006E2F4B">
              <w:rPr>
                <w:rFonts w:ascii="Calibri Light" w:hAnsi="Calibri Light" w:cs="Calibri Light"/>
                <w:i/>
                <w:iCs/>
                <w:color w:val="333333"/>
                <w:sz w:val="20"/>
                <w:szCs w:val="20"/>
              </w:rPr>
              <w:t>et al</w:t>
            </w:r>
            <w:r w:rsidRPr="00004A0A">
              <w:rPr>
                <w:rFonts w:ascii="Calibri Light" w:hAnsi="Calibri Light" w:cs="Calibri Light"/>
                <w:color w:val="333333"/>
                <w:sz w:val="20"/>
                <w:szCs w:val="20"/>
              </w:rPr>
              <w:t>. 2011</w:t>
            </w:r>
            <w:r>
              <w:rPr>
                <w:rFonts w:ascii="Calibri Light" w:hAnsi="Calibri Light" w:cs="Calibri Light"/>
                <w:color w:val="333333"/>
                <w:sz w:val="20"/>
                <w:szCs w:val="20"/>
              </w:rPr>
              <w:t>;</w:t>
            </w:r>
            <w:r w:rsidRPr="00004A0A">
              <w:rPr>
                <w:rFonts w:ascii="Calibri Light" w:hAnsi="Calibri Light" w:cs="Calibri Light"/>
                <w:color w:val="333333"/>
                <w:sz w:val="20"/>
                <w:szCs w:val="20"/>
              </w:rPr>
              <w:t xml:space="preserve"> Powers 2021</w:t>
            </w:r>
            <w:r>
              <w:rPr>
                <w:rFonts w:ascii="Calibri Light" w:hAnsi="Calibri Light" w:cs="Calibri Light"/>
                <w:color w:val="333333"/>
                <w:sz w:val="20"/>
                <w:szCs w:val="20"/>
              </w:rPr>
              <w:t>)</w:t>
            </w:r>
          </w:p>
        </w:tc>
        <w:tc>
          <w:tcPr>
            <w:tcW w:w="5093" w:type="dxa"/>
          </w:tcPr>
          <w:p w14:paraId="69E5EE8B" w14:textId="77777777" w:rsidR="00894315" w:rsidRPr="00004A0A" w:rsidRDefault="00894315" w:rsidP="007574A3">
            <w:pPr>
              <w:pStyle w:val="Bullet"/>
              <w:spacing w:after="0" w:line="240" w:lineRule="auto"/>
              <w:rPr>
                <w:rFonts w:cs="Calibri Light"/>
                <w:sz w:val="20"/>
              </w:rPr>
            </w:pPr>
            <w:r w:rsidRPr="00004A0A">
              <w:rPr>
                <w:rFonts w:cs="Calibri Light"/>
                <w:sz w:val="20"/>
              </w:rPr>
              <w:t>Interested in the occupation</w:t>
            </w:r>
          </w:p>
          <w:p w14:paraId="34FD333F" w14:textId="77777777" w:rsidR="00894315" w:rsidRPr="00004A0A" w:rsidRDefault="00894315" w:rsidP="007574A3">
            <w:pPr>
              <w:pStyle w:val="Bullet"/>
              <w:spacing w:after="0" w:line="240" w:lineRule="auto"/>
              <w:rPr>
                <w:rFonts w:cs="Calibri Light"/>
                <w:sz w:val="20"/>
              </w:rPr>
            </w:pPr>
            <w:r w:rsidRPr="00004A0A">
              <w:rPr>
                <w:rFonts w:cs="Calibri Light"/>
                <w:sz w:val="20"/>
              </w:rPr>
              <w:t>Lower academic ability or left school before completing Year 12</w:t>
            </w:r>
          </w:p>
          <w:p w14:paraId="70A3CF2D" w14:textId="77777777" w:rsidR="00894315" w:rsidRPr="00004A0A" w:rsidRDefault="00894315" w:rsidP="007574A3">
            <w:pPr>
              <w:pStyle w:val="Bullet"/>
              <w:spacing w:after="0" w:line="240" w:lineRule="auto"/>
              <w:rPr>
                <w:rFonts w:cs="Calibri Light"/>
                <w:sz w:val="20"/>
              </w:rPr>
            </w:pPr>
            <w:r w:rsidRPr="00004A0A">
              <w:rPr>
                <w:rFonts w:cs="Calibri Light"/>
                <w:sz w:val="20"/>
              </w:rPr>
              <w:t>From an English-speaking background or First Nations</w:t>
            </w:r>
          </w:p>
          <w:p w14:paraId="574FE2A3" w14:textId="77777777" w:rsidR="00894315" w:rsidRPr="00004A0A" w:rsidRDefault="00894315" w:rsidP="007574A3">
            <w:pPr>
              <w:pStyle w:val="Bullet"/>
              <w:spacing w:after="0" w:line="240" w:lineRule="auto"/>
              <w:rPr>
                <w:rFonts w:cs="Calibri Light"/>
                <w:sz w:val="20"/>
              </w:rPr>
            </w:pPr>
            <w:r w:rsidRPr="00004A0A">
              <w:rPr>
                <w:rFonts w:cs="Calibri Light"/>
                <w:sz w:val="20"/>
              </w:rPr>
              <w:t>Likes ‘working with their hands’ or ‘outdoors’</w:t>
            </w:r>
          </w:p>
          <w:p w14:paraId="2EB679A2" w14:textId="77777777" w:rsidR="00894315" w:rsidRPr="00004A0A" w:rsidRDefault="00894315" w:rsidP="007574A3">
            <w:pPr>
              <w:pStyle w:val="Bullet"/>
              <w:spacing w:after="0" w:line="240" w:lineRule="auto"/>
              <w:rPr>
                <w:rFonts w:cs="Calibri Light"/>
                <w:sz w:val="20"/>
              </w:rPr>
            </w:pPr>
            <w:r w:rsidRPr="00004A0A">
              <w:rPr>
                <w:rFonts w:cs="Calibri Light"/>
                <w:sz w:val="20"/>
              </w:rPr>
              <w:t>Male, younger</w:t>
            </w:r>
          </w:p>
          <w:p w14:paraId="2964FD57" w14:textId="77777777" w:rsidR="00894315" w:rsidRPr="00004A0A" w:rsidRDefault="00894315" w:rsidP="007574A3">
            <w:pPr>
              <w:pStyle w:val="Bullet"/>
              <w:spacing w:after="0" w:line="240" w:lineRule="auto"/>
              <w:rPr>
                <w:rStyle w:val="Strong"/>
                <w:rFonts w:cs="Calibri Light"/>
                <w:b w:val="0"/>
                <w:bCs w:val="0"/>
                <w:sz w:val="20"/>
              </w:rPr>
            </w:pPr>
            <w:r w:rsidRPr="00004A0A">
              <w:rPr>
                <w:rFonts w:cs="Calibri Light"/>
                <w:sz w:val="20"/>
              </w:rPr>
              <w:t>Likes idea of own business / independence (especially for trades)</w:t>
            </w:r>
          </w:p>
        </w:tc>
      </w:tr>
      <w:tr w:rsidR="00894315" w14:paraId="5BC72FED" w14:textId="77777777" w:rsidTr="00BB7265">
        <w:tc>
          <w:tcPr>
            <w:tcW w:w="1691" w:type="dxa"/>
            <w:tcBorders>
              <w:top w:val="nil"/>
            </w:tcBorders>
          </w:tcPr>
          <w:p w14:paraId="1BE0D362" w14:textId="77777777" w:rsidR="00894315" w:rsidRPr="00004A0A" w:rsidRDefault="00894315" w:rsidP="007574A3">
            <w:pPr>
              <w:rPr>
                <w:rStyle w:val="Strong"/>
                <w:rFonts w:cs="Calibri Light"/>
                <w:color w:val="333333"/>
                <w:sz w:val="20"/>
              </w:rPr>
            </w:pPr>
          </w:p>
        </w:tc>
        <w:tc>
          <w:tcPr>
            <w:tcW w:w="2268" w:type="dxa"/>
          </w:tcPr>
          <w:p w14:paraId="1B1A1E29" w14:textId="77777777" w:rsidR="00894315" w:rsidRDefault="00894315" w:rsidP="007574A3">
            <w:pPr>
              <w:pStyle w:val="NormalWeb"/>
              <w:shd w:val="clear" w:color="auto" w:fill="FFFFFF"/>
              <w:spacing w:before="0" w:beforeAutospacing="0" w:after="158" w:afterAutospacing="0"/>
              <w:rPr>
                <w:rFonts w:ascii="Calibri Light" w:hAnsi="Calibri Light" w:cs="Calibri Light"/>
                <w:color w:val="333333"/>
                <w:sz w:val="20"/>
                <w:szCs w:val="20"/>
              </w:rPr>
            </w:pPr>
            <w:r w:rsidRPr="00004A0A">
              <w:rPr>
                <w:rStyle w:val="Strong"/>
                <w:rFonts w:ascii="Calibri Light" w:hAnsi="Calibri Light" w:cs="Calibri Light"/>
                <w:color w:val="333333"/>
                <w:sz w:val="20"/>
                <w:szCs w:val="20"/>
              </w:rPr>
              <w:t>Environmental factors affecting potential apprentices</w:t>
            </w:r>
            <w:r w:rsidRPr="00004A0A">
              <w:rPr>
                <w:rFonts w:ascii="Calibri Light" w:hAnsi="Calibri Light" w:cs="Calibri Light"/>
                <w:color w:val="333333"/>
                <w:sz w:val="20"/>
                <w:szCs w:val="20"/>
              </w:rPr>
              <w:t> </w:t>
            </w:r>
          </w:p>
          <w:p w14:paraId="5403D047" w14:textId="77777777" w:rsidR="00894315" w:rsidRPr="00615CDA" w:rsidRDefault="00894315" w:rsidP="007574A3">
            <w:pPr>
              <w:pStyle w:val="NormalWeb"/>
              <w:shd w:val="clear" w:color="auto" w:fill="FFFFFF"/>
              <w:spacing w:before="0" w:beforeAutospacing="0" w:after="158" w:afterAutospacing="0"/>
              <w:rPr>
                <w:rStyle w:val="Strong"/>
                <w:rFonts w:ascii="Calibri Light" w:hAnsi="Calibri Light" w:cs="Calibri Light"/>
                <w:b w:val="0"/>
                <w:bCs w:val="0"/>
                <w:color w:val="333333"/>
                <w:sz w:val="20"/>
                <w:szCs w:val="20"/>
              </w:rPr>
            </w:pPr>
            <w:r>
              <w:rPr>
                <w:rFonts w:ascii="Calibri Light" w:hAnsi="Calibri Light" w:cs="Calibri Light"/>
                <w:color w:val="333333"/>
                <w:sz w:val="20"/>
                <w:szCs w:val="20"/>
              </w:rPr>
              <w:t>(</w:t>
            </w:r>
            <w:r w:rsidRPr="00D858EC">
              <w:rPr>
                <w:rFonts w:ascii="Calibri Light" w:hAnsi="Calibri Light" w:cs="Calibri Light"/>
                <w:color w:val="333333"/>
                <w:sz w:val="20"/>
                <w:szCs w:val="20"/>
              </w:rPr>
              <w:t>Nelms et al. 2017; Karmel</w:t>
            </w:r>
            <w:r w:rsidRPr="00004A0A">
              <w:rPr>
                <w:rFonts w:ascii="Calibri Light" w:hAnsi="Calibri Light" w:cs="Calibri Light"/>
                <w:color w:val="333333"/>
                <w:sz w:val="20"/>
                <w:szCs w:val="20"/>
              </w:rPr>
              <w:t xml:space="preserve"> 2017</w:t>
            </w:r>
            <w:r>
              <w:rPr>
                <w:rFonts w:ascii="Calibri Light" w:hAnsi="Calibri Light" w:cs="Calibri Light"/>
                <w:color w:val="333333"/>
                <w:sz w:val="20"/>
                <w:szCs w:val="20"/>
              </w:rPr>
              <w:t>;</w:t>
            </w:r>
            <w:r w:rsidRPr="00004A0A">
              <w:rPr>
                <w:rFonts w:ascii="Calibri Light" w:hAnsi="Calibri Light" w:cs="Calibri Light"/>
                <w:color w:val="333333"/>
                <w:sz w:val="20"/>
                <w:szCs w:val="20"/>
              </w:rPr>
              <w:t xml:space="preserve"> Deloitte</w:t>
            </w:r>
            <w:r>
              <w:rPr>
                <w:rFonts w:ascii="Calibri Light" w:hAnsi="Calibri Light" w:cs="Calibri Light"/>
                <w:color w:val="333333"/>
                <w:sz w:val="20"/>
                <w:szCs w:val="20"/>
              </w:rPr>
              <w:t xml:space="preserve"> Access Economics</w:t>
            </w:r>
            <w:r w:rsidRPr="00004A0A">
              <w:rPr>
                <w:rFonts w:ascii="Calibri Light" w:hAnsi="Calibri Light" w:cs="Calibri Light"/>
                <w:color w:val="333333"/>
                <w:sz w:val="20"/>
                <w:szCs w:val="20"/>
              </w:rPr>
              <w:t xml:space="preserve"> 2021</w:t>
            </w:r>
            <w:r>
              <w:rPr>
                <w:rFonts w:ascii="Calibri Light" w:hAnsi="Calibri Light" w:cs="Calibri Light"/>
                <w:color w:val="333333"/>
                <w:sz w:val="20"/>
                <w:szCs w:val="20"/>
              </w:rPr>
              <w:t>;</w:t>
            </w:r>
            <w:r w:rsidRPr="00004A0A">
              <w:rPr>
                <w:rFonts w:ascii="Calibri Light" w:hAnsi="Calibri Light" w:cs="Calibri Light"/>
                <w:color w:val="333333"/>
                <w:sz w:val="20"/>
                <w:szCs w:val="20"/>
              </w:rPr>
              <w:t xml:space="preserve"> Dickie </w:t>
            </w:r>
            <w:r w:rsidRPr="006E2F4B">
              <w:rPr>
                <w:rFonts w:ascii="Calibri Light" w:hAnsi="Calibri Light" w:cs="Calibri Light"/>
                <w:i/>
                <w:iCs/>
                <w:color w:val="333333"/>
                <w:sz w:val="20"/>
                <w:szCs w:val="20"/>
              </w:rPr>
              <w:t>et al</w:t>
            </w:r>
            <w:r>
              <w:rPr>
                <w:rFonts w:ascii="Calibri Light" w:hAnsi="Calibri Light" w:cs="Calibri Light"/>
                <w:color w:val="333333"/>
                <w:sz w:val="20"/>
                <w:szCs w:val="20"/>
              </w:rPr>
              <w:t>.</w:t>
            </w:r>
            <w:r w:rsidRPr="00004A0A">
              <w:rPr>
                <w:rFonts w:ascii="Calibri Light" w:hAnsi="Calibri Light" w:cs="Calibri Light"/>
                <w:color w:val="333333"/>
                <w:sz w:val="20"/>
                <w:szCs w:val="20"/>
              </w:rPr>
              <w:t xml:space="preserve"> 2011</w:t>
            </w:r>
            <w:r>
              <w:rPr>
                <w:rFonts w:ascii="Calibri Light" w:hAnsi="Calibri Light" w:cs="Calibri Light"/>
                <w:color w:val="333333"/>
                <w:sz w:val="20"/>
                <w:szCs w:val="20"/>
              </w:rPr>
              <w:t>;</w:t>
            </w:r>
            <w:r w:rsidRPr="00004A0A">
              <w:rPr>
                <w:rFonts w:ascii="Calibri Light" w:hAnsi="Calibri Light" w:cs="Calibri Light"/>
                <w:color w:val="333333"/>
                <w:sz w:val="20"/>
                <w:szCs w:val="20"/>
              </w:rPr>
              <w:t xml:space="preserve"> Powers</w:t>
            </w:r>
            <w:r>
              <w:rPr>
                <w:rFonts w:ascii="Calibri Light" w:hAnsi="Calibri Light" w:cs="Calibri Light"/>
                <w:color w:val="333333"/>
                <w:sz w:val="20"/>
                <w:szCs w:val="20"/>
              </w:rPr>
              <w:t xml:space="preserve"> </w:t>
            </w:r>
            <w:r w:rsidRPr="00004A0A">
              <w:rPr>
                <w:rFonts w:ascii="Calibri Light" w:hAnsi="Calibri Light" w:cs="Calibri Light"/>
                <w:color w:val="333333"/>
                <w:sz w:val="20"/>
                <w:szCs w:val="20"/>
              </w:rPr>
              <w:t>2021)</w:t>
            </w:r>
          </w:p>
        </w:tc>
        <w:tc>
          <w:tcPr>
            <w:tcW w:w="5093" w:type="dxa"/>
          </w:tcPr>
          <w:p w14:paraId="315A1547" w14:textId="77777777" w:rsidR="00894315" w:rsidRPr="00004A0A" w:rsidRDefault="00894315" w:rsidP="007574A3">
            <w:pPr>
              <w:pStyle w:val="Bullet"/>
              <w:spacing w:after="0" w:line="240" w:lineRule="auto"/>
              <w:rPr>
                <w:rFonts w:cs="Calibri Light"/>
                <w:sz w:val="20"/>
              </w:rPr>
            </w:pPr>
            <w:r w:rsidRPr="00004A0A">
              <w:rPr>
                <w:rFonts w:cs="Calibri Light"/>
                <w:sz w:val="20"/>
              </w:rPr>
              <w:t>Positive general views of apprenticeship occupations</w:t>
            </w:r>
          </w:p>
          <w:p w14:paraId="67EF0454" w14:textId="77777777" w:rsidR="00894315" w:rsidRPr="00004A0A" w:rsidRDefault="00894315" w:rsidP="007574A3">
            <w:pPr>
              <w:pStyle w:val="Bullet"/>
              <w:spacing w:after="0" w:line="240" w:lineRule="auto"/>
              <w:rPr>
                <w:rFonts w:cs="Calibri Light"/>
                <w:sz w:val="20"/>
              </w:rPr>
            </w:pPr>
            <w:r w:rsidRPr="00004A0A">
              <w:rPr>
                <w:rFonts w:cs="Calibri Light"/>
                <w:sz w:val="20"/>
              </w:rPr>
              <w:t>Lower socio-economic status</w:t>
            </w:r>
          </w:p>
          <w:p w14:paraId="57860BEA" w14:textId="77777777" w:rsidR="00894315" w:rsidRPr="00004A0A" w:rsidRDefault="00894315" w:rsidP="007574A3">
            <w:pPr>
              <w:pStyle w:val="Bullet"/>
              <w:spacing w:after="0" w:line="240" w:lineRule="auto"/>
              <w:rPr>
                <w:rFonts w:cs="Calibri Light"/>
                <w:sz w:val="20"/>
              </w:rPr>
            </w:pPr>
            <w:r w:rsidRPr="00004A0A">
              <w:rPr>
                <w:rFonts w:cs="Calibri Light"/>
                <w:sz w:val="20"/>
              </w:rPr>
              <w:t>Went to a government school</w:t>
            </w:r>
          </w:p>
          <w:p w14:paraId="4C840472" w14:textId="77777777" w:rsidR="00894315" w:rsidRPr="00004A0A" w:rsidRDefault="00894315" w:rsidP="007574A3">
            <w:pPr>
              <w:pStyle w:val="Bullet"/>
              <w:spacing w:after="0" w:line="240" w:lineRule="auto"/>
              <w:rPr>
                <w:rFonts w:cs="Calibri Light"/>
                <w:sz w:val="20"/>
              </w:rPr>
            </w:pPr>
            <w:r w:rsidRPr="00004A0A">
              <w:rPr>
                <w:rFonts w:cs="Calibri Light"/>
                <w:sz w:val="20"/>
              </w:rPr>
              <w:t>Non-metropolitan environment</w:t>
            </w:r>
          </w:p>
          <w:p w14:paraId="7FAB6D97" w14:textId="77777777" w:rsidR="00894315" w:rsidRPr="00004A0A" w:rsidRDefault="00894315" w:rsidP="007574A3">
            <w:pPr>
              <w:pStyle w:val="Bullet"/>
              <w:spacing w:after="0" w:line="240" w:lineRule="auto"/>
              <w:rPr>
                <w:rFonts w:cs="Calibri Light"/>
                <w:sz w:val="20"/>
              </w:rPr>
            </w:pPr>
            <w:r w:rsidRPr="00004A0A">
              <w:rPr>
                <w:rFonts w:cs="Calibri Light"/>
                <w:sz w:val="20"/>
              </w:rPr>
              <w:t>Trade occupations in higher proportion in local community</w:t>
            </w:r>
          </w:p>
          <w:p w14:paraId="6E983470" w14:textId="77777777" w:rsidR="00894315" w:rsidRPr="00004A0A" w:rsidRDefault="00894315" w:rsidP="007574A3">
            <w:pPr>
              <w:pStyle w:val="Bullet"/>
              <w:spacing w:after="0" w:line="240" w:lineRule="auto"/>
              <w:rPr>
                <w:rFonts w:cs="Calibri Light"/>
                <w:sz w:val="20"/>
              </w:rPr>
            </w:pPr>
            <w:r w:rsidRPr="00004A0A">
              <w:rPr>
                <w:rFonts w:cs="Calibri Light"/>
                <w:sz w:val="20"/>
              </w:rPr>
              <w:t>Wage disparity compared to other workers deemed a ‘fair trade’</w:t>
            </w:r>
          </w:p>
          <w:p w14:paraId="60208CD2" w14:textId="77777777" w:rsidR="00894315" w:rsidRPr="003C2B0F" w:rsidRDefault="00894315" w:rsidP="007574A3">
            <w:pPr>
              <w:pStyle w:val="Bullet"/>
              <w:spacing w:after="0" w:line="240" w:lineRule="auto"/>
              <w:rPr>
                <w:rStyle w:val="Strong"/>
                <w:rFonts w:cs="Calibri Light"/>
                <w:b w:val="0"/>
                <w:bCs w:val="0"/>
                <w:sz w:val="20"/>
              </w:rPr>
            </w:pPr>
            <w:r w:rsidRPr="00004A0A">
              <w:rPr>
                <w:rFonts w:cs="Calibri Light"/>
                <w:sz w:val="20"/>
              </w:rPr>
              <w:t>Apprentice incentives (moderately effective)</w:t>
            </w:r>
          </w:p>
        </w:tc>
      </w:tr>
    </w:tbl>
    <w:p w14:paraId="0386768F" w14:textId="77777777" w:rsidR="00894315" w:rsidRDefault="00894315" w:rsidP="007574A3"/>
    <w:p w14:paraId="587F0F29" w14:textId="77777777" w:rsidR="00894315" w:rsidRDefault="00894315" w:rsidP="007574A3">
      <w:pPr>
        <w:pStyle w:val="Heading2"/>
        <w:spacing w:line="240" w:lineRule="auto"/>
      </w:pPr>
      <w:bookmarkStart w:id="106" w:name="_Toc176782411"/>
      <w:r>
        <w:lastRenderedPageBreak/>
        <w:t>Econometric model of individual-level cancellations</w:t>
      </w:r>
      <w:bookmarkEnd w:id="106"/>
    </w:p>
    <w:p w14:paraId="04D81297" w14:textId="7D2E21F1" w:rsidR="000A2CAE" w:rsidRDefault="00F362EA" w:rsidP="000A2CAE">
      <w:r>
        <w:t xml:space="preserve">The </w:t>
      </w:r>
      <w:r w:rsidR="000A2CAE" w:rsidRPr="00A470BC">
        <w:t xml:space="preserve">model </w:t>
      </w:r>
      <w:r>
        <w:t>for individual-level cancellations estimated the</w:t>
      </w:r>
      <w:r w:rsidR="00D47C2A">
        <w:t xml:space="preserve"> probability of cancellation (interpreted as the cancellation rate) using a probit model. It also drew on </w:t>
      </w:r>
      <w:r w:rsidR="000A2CAE">
        <w:t>historical data from 2006 to 2019</w:t>
      </w:r>
      <w:r w:rsidR="002B296D">
        <w:t>.</w:t>
      </w:r>
    </w:p>
    <w:p w14:paraId="1D756F1D" w14:textId="77777777" w:rsidR="00894315" w:rsidRPr="00201D9D" w:rsidRDefault="00894315" w:rsidP="00E10B46">
      <w:pPr>
        <w:pStyle w:val="Heading3"/>
      </w:pPr>
      <w:bookmarkStart w:id="107" w:name="_Toc176782412"/>
      <w:r w:rsidRPr="00201D9D">
        <w:t>Model</w:t>
      </w:r>
      <w:bookmarkEnd w:id="107"/>
    </w:p>
    <w:p w14:paraId="3D346F7F" w14:textId="77777777" w:rsidR="00894315" w:rsidRDefault="00894315" w:rsidP="007574A3">
      <w:r>
        <w:t>The cancellation of an individual apprenticeship, </w:t>
      </w:r>
      <m:oMath>
        <m:sSub>
          <m:sSubPr>
            <m:ctrlPr>
              <w:rPr>
                <w:rFonts w:ascii="Cambria Math" w:hAnsi="Cambria Math"/>
                <w:i/>
                <w:iCs/>
              </w:rPr>
            </m:ctrlPr>
          </m:sSubPr>
          <m:e>
            <m:r>
              <w:rPr>
                <w:rFonts w:ascii="Cambria Math" w:hAnsi="Cambria Math"/>
              </w:rPr>
              <m:t>c</m:t>
            </m:r>
          </m:e>
          <m:sub>
            <m:r>
              <w:rPr>
                <w:rFonts w:ascii="Cambria Math" w:hAnsi="Cambria Math"/>
              </w:rPr>
              <m:t>i</m:t>
            </m:r>
          </m:sub>
        </m:sSub>
      </m:oMath>
      <w:r>
        <w:t>, is described with a probit model:</w:t>
      </w:r>
    </w:p>
    <w:p w14:paraId="1FA62B50" w14:textId="77777777" w:rsidR="00894315" w:rsidRPr="006F20EB" w:rsidRDefault="00000000" w:rsidP="007574A3">
      <m:oMathPara>
        <m:oMathParaPr>
          <m:jc m:val="centerGroup"/>
        </m:oMathParaPr>
        <m:oMath>
          <m:sSub>
            <m:sSubPr>
              <m:ctrlPr>
                <w:rPr>
                  <w:rFonts w:ascii="Cambria Math" w:hAnsi="Cambria Math"/>
                  <w:i/>
                  <w:iCs/>
                </w:rPr>
              </m:ctrlPr>
            </m:sSubPr>
            <m:e>
              <m:r>
                <w:rPr>
                  <w:rFonts w:ascii="Cambria Math" w:hAnsi="Cambria Math"/>
                </w:rPr>
                <m:t>c</m:t>
              </m:r>
            </m:e>
            <m:sub>
              <m:r>
                <w:rPr>
                  <w:rFonts w:ascii="Cambria Math" w:hAnsi="Cambria Math"/>
                </w:rPr>
                <m:t>i</m:t>
              </m:r>
            </m:sub>
          </m:sSub>
          <m:r>
            <w:rPr>
              <w:rFonts w:ascii="Cambria Math" w:hAnsi="Cambria Math"/>
            </w:rPr>
            <m:t>=</m:t>
          </m:r>
          <m:r>
            <m:rPr>
              <m:sty m:val="p"/>
            </m:rPr>
            <w:rPr>
              <w:rFonts w:ascii="Cambria Math" w:hAnsi="Cambria Math"/>
            </w:rPr>
            <m:t>Φ</m:t>
          </m:r>
          <m:r>
            <w:rPr>
              <w:rFonts w:ascii="Cambria Math" w:hAnsi="Cambria Math"/>
            </w:rPr>
            <m:t> (α+δ</m:t>
          </m:r>
          <m:sSub>
            <m:sSubPr>
              <m:ctrlPr>
                <w:rPr>
                  <w:rFonts w:ascii="Cambria Math" w:hAnsi="Cambria Math"/>
                  <w:i/>
                  <w:iCs/>
                </w:rPr>
              </m:ctrlPr>
            </m:sSubPr>
            <m:e>
              <m:r>
                <m:rPr>
                  <m:nor/>
                </m:rPr>
                <m:t>BAC</m:t>
              </m:r>
            </m:e>
            <m:sub>
              <m:r>
                <w:rPr>
                  <w:rFonts w:ascii="Cambria Math" w:hAnsi="Cambria Math"/>
                </w:rPr>
                <m:t>t</m:t>
              </m:r>
            </m:sub>
          </m:sSub>
          <m:r>
            <w:rPr>
              <w:rFonts w:ascii="Cambria Math" w:hAnsi="Cambria Math"/>
            </w:rPr>
            <m:t>×</m:t>
          </m:r>
          <m:sSub>
            <m:sSubPr>
              <m:ctrlPr>
                <w:rPr>
                  <w:rFonts w:ascii="Cambria Math" w:hAnsi="Cambria Math"/>
                  <w:i/>
                  <w:iCs/>
                </w:rPr>
              </m:ctrlPr>
            </m:sSubPr>
            <m:e>
              <m:r>
                <m:rPr>
                  <m:nor/>
                </m:rPr>
                <m:t>trade</m:t>
              </m:r>
            </m:e>
            <m:sub>
              <m:r>
                <w:rPr>
                  <w:rFonts w:ascii="Cambria Math" w:hAnsi="Cambria Math"/>
                </w:rPr>
                <m:t>o</m:t>
              </m:r>
            </m:sub>
          </m:sSub>
          <m:r>
            <w:rPr>
              <w:rFonts w:ascii="Cambria Math" w:hAnsi="Cambria Math"/>
            </w:rPr>
            <m:t>+</m:t>
          </m:r>
          <m:nary>
            <m:naryPr>
              <m:chr m:val="∑"/>
              <m:ctrlPr>
                <w:rPr>
                  <w:rFonts w:ascii="Cambria Math" w:hAnsi="Cambria Math"/>
                  <w:i/>
                  <w:iCs/>
                </w:rPr>
              </m:ctrlPr>
            </m:naryPr>
            <m:sub>
              <m:r>
                <w:rPr>
                  <w:rFonts w:ascii="Cambria Math" w:hAnsi="Cambria Math"/>
                </w:rPr>
                <m:t>j=1</m:t>
              </m:r>
            </m:sub>
            <m:sup>
              <m:r>
                <w:rPr>
                  <w:rFonts w:ascii="Cambria Math" w:hAnsi="Cambria Math"/>
                </w:rPr>
                <m:t>4</m:t>
              </m:r>
            </m:sup>
            <m:e>
              <m:sSub>
                <m:sSubPr>
                  <m:ctrlPr>
                    <w:rPr>
                      <w:rFonts w:ascii="Cambria Math" w:hAnsi="Cambria Math"/>
                      <w:i/>
                      <w:iCs/>
                    </w:rPr>
                  </m:ctrlPr>
                </m:sSubPr>
                <m:e>
                  <m:r>
                    <w:rPr>
                      <w:rFonts w:ascii="Cambria Math" w:hAnsi="Cambria Math"/>
                      <w:lang w:val="en-US"/>
                    </w:rPr>
                    <m:t>γ</m:t>
                  </m:r>
                </m:e>
                <m:sub>
                  <m:r>
                    <w:rPr>
                      <w:rFonts w:ascii="Cambria Math" w:hAnsi="Cambria Math"/>
                    </w:rPr>
                    <m:t>j</m:t>
                  </m:r>
                </m:sub>
              </m:sSub>
              <m:r>
                <w:rPr>
                  <w:rFonts w:ascii="Cambria Math" w:hAnsi="Cambria Math"/>
                  <w:lang w:val="en-US"/>
                </w:rPr>
                <m:t> I</m:t>
              </m:r>
              <m:d>
                <m:dPr>
                  <m:begChr m:val="["/>
                  <m:endChr m:val="]"/>
                  <m:ctrlPr>
                    <w:rPr>
                      <w:rFonts w:ascii="Cambria Math" w:hAnsi="Cambria Math"/>
                      <w:i/>
                      <w:iCs/>
                      <w:lang w:val="en-US"/>
                    </w:rPr>
                  </m:ctrlPr>
                </m:dPr>
                <m:e>
                  <m:r>
                    <w:rPr>
                      <w:rFonts w:ascii="Cambria Math" w:hAnsi="Cambria Math"/>
                      <w:lang w:val="en-US"/>
                    </w:rPr>
                    <m:t>q=j</m:t>
                  </m:r>
                </m:e>
              </m:d>
            </m:e>
          </m:nary>
          <m:r>
            <w:rPr>
              <w:rFonts w:ascii="Cambria Math" w:hAnsi="Cambria Math"/>
            </w:rPr>
            <m:t>+ω</m:t>
          </m:r>
          <m:sSub>
            <m:sSubPr>
              <m:ctrlPr>
                <w:rPr>
                  <w:rFonts w:ascii="Cambria Math" w:hAnsi="Cambria Math"/>
                  <w:i/>
                  <w:iCs/>
                </w:rPr>
              </m:ctrlPr>
            </m:sSubPr>
            <m:e>
              <m:r>
                <m:rPr>
                  <m:sty m:val="bi"/>
                </m:rPr>
                <w:rPr>
                  <w:rFonts w:ascii="Cambria Math" w:hAnsi="Cambria Math"/>
                </w:rPr>
                <m:t>X</m:t>
              </m:r>
            </m:e>
            <m:sub>
              <m:r>
                <w:rPr>
                  <w:rFonts w:ascii="Cambria Math" w:hAnsi="Cambria Math"/>
                </w:rPr>
                <m:t>i</m:t>
              </m:r>
            </m:sub>
          </m:sSub>
          <m:r>
            <w:rPr>
              <w:rFonts w:ascii="Cambria Math" w:hAnsi="Cambria Math"/>
            </w:rPr>
            <m:t>+β</m:t>
          </m:r>
          <m:sSub>
            <m:sSubPr>
              <m:ctrlPr>
                <w:rPr>
                  <w:rFonts w:ascii="Cambria Math" w:hAnsi="Cambria Math"/>
                  <w:i/>
                  <w:iCs/>
                </w:rPr>
              </m:ctrlPr>
            </m:sSubPr>
            <m:e>
              <m:r>
                <m:rPr>
                  <m:sty m:val="bi"/>
                </m:rPr>
                <w:rPr>
                  <w:rFonts w:ascii="Cambria Math" w:hAnsi="Cambria Math"/>
                </w:rPr>
                <m:t>E</m:t>
              </m:r>
            </m:e>
            <m:sub>
              <m:r>
                <w:rPr>
                  <w:rFonts w:ascii="Cambria Math" w:hAnsi="Cambria Math"/>
                </w:rPr>
                <m:t>t,o,s</m:t>
              </m:r>
            </m:sub>
          </m:sSub>
          <m:r>
            <w:rPr>
              <w:rFonts w:ascii="Cambria Math" w:hAnsi="Cambria Math"/>
            </w:rPr>
            <m:t>+</m:t>
          </m:r>
          <m:sSub>
            <m:sSubPr>
              <m:ctrlPr>
                <w:rPr>
                  <w:rFonts w:ascii="Cambria Math" w:hAnsi="Cambria Math"/>
                  <w:i/>
                  <w:iCs/>
                </w:rPr>
              </m:ctrlPr>
            </m:sSubPr>
            <m:e>
              <m:r>
                <w:rPr>
                  <w:rFonts w:ascii="Cambria Math" w:hAnsi="Cambria Math"/>
                </w:rPr>
                <m:t>ε</m:t>
              </m:r>
            </m:e>
            <m:sub>
              <m:r>
                <w:rPr>
                  <w:rFonts w:ascii="Cambria Math" w:hAnsi="Cambria Math"/>
                </w:rPr>
                <m:t>i</m:t>
              </m:r>
            </m:sub>
          </m:sSub>
          <m:r>
            <w:rPr>
              <w:rFonts w:ascii="Cambria Math" w:hAnsi="Cambria Math"/>
            </w:rPr>
            <m:t>)</m:t>
          </m:r>
        </m:oMath>
      </m:oMathPara>
    </w:p>
    <w:p w14:paraId="44D85D2D" w14:textId="77777777" w:rsidR="00894315" w:rsidRPr="006F20EB" w:rsidRDefault="00894315" w:rsidP="007574A3">
      <w:r>
        <w:t>w</w:t>
      </w:r>
      <w:r w:rsidRPr="006F20EB">
        <w:t>here</w:t>
      </w:r>
      <w:r>
        <w:t xml:space="preserve">, for commencing cohort </w:t>
      </w:r>
      <m:oMath>
        <m:r>
          <w:rPr>
            <w:rFonts w:ascii="Cambria Math" w:hAnsi="Cambria Math"/>
          </w:rPr>
          <m:t>t</m:t>
        </m:r>
      </m:oMath>
      <w:r>
        <w:t xml:space="preserve"> in occupation </w:t>
      </w:r>
      <m:oMath>
        <m:r>
          <w:rPr>
            <w:rFonts w:ascii="Cambria Math" w:hAnsi="Cambria Math"/>
          </w:rPr>
          <m:t>o</m:t>
        </m:r>
      </m:oMath>
      <w:r>
        <w:t xml:space="preserve"> and state </w:t>
      </w:r>
      <m:oMath>
        <m:r>
          <w:rPr>
            <w:rFonts w:ascii="Cambria Math" w:hAnsi="Cambria Math"/>
          </w:rPr>
          <m:t>s</m:t>
        </m:r>
      </m:oMath>
      <w:r>
        <w:t>:</w:t>
      </w:r>
    </w:p>
    <w:p w14:paraId="3B7B5B45" w14:textId="1995BFCA" w:rsidR="00894315" w:rsidRPr="006F20EB" w:rsidRDefault="00000000" w:rsidP="007574A3">
      <w:pPr>
        <w:pStyle w:val="Bullet"/>
        <w:spacing w:line="240" w:lineRule="auto"/>
      </w:pPr>
      <m:oMath>
        <m:sSub>
          <m:sSubPr>
            <m:ctrlPr>
              <w:rPr>
                <w:rFonts w:ascii="Cambria Math" w:hAnsi="Cambria Math"/>
                <w:i/>
                <w:iCs/>
              </w:rPr>
            </m:ctrlPr>
          </m:sSubPr>
          <m:e>
            <m:r>
              <w:rPr>
                <w:rFonts w:ascii="Cambria Math" w:hAnsi="Cambria Math"/>
                <w:lang w:val="en-US"/>
              </w:rPr>
              <m:t>c</m:t>
            </m:r>
          </m:e>
          <m:sub>
            <m:r>
              <w:rPr>
                <w:rFonts w:ascii="Cambria Math" w:hAnsi="Cambria Math"/>
                <w:lang w:val="en-US"/>
              </w:rPr>
              <m:t>i</m:t>
            </m:r>
          </m:sub>
        </m:sSub>
      </m:oMath>
      <w:r w:rsidR="00894315" w:rsidRPr="006F20EB">
        <w:rPr>
          <w:lang w:val="en-US"/>
        </w:rPr>
        <w:t xml:space="preserve"> is </w:t>
      </w:r>
      <w:r w:rsidR="00894315">
        <w:rPr>
          <w:lang w:val="en-US"/>
        </w:rPr>
        <w:t xml:space="preserve">the </w:t>
      </w:r>
      <w:r w:rsidR="007E7CEC">
        <w:rPr>
          <w:lang w:val="en-US"/>
        </w:rPr>
        <w:t xml:space="preserve">probability of </w:t>
      </w:r>
      <w:r w:rsidR="00894315">
        <w:rPr>
          <w:lang w:val="en-US"/>
        </w:rPr>
        <w:t xml:space="preserve">cancellation </w:t>
      </w:r>
      <w:r w:rsidR="007E7CEC">
        <w:rPr>
          <w:lang w:val="en-US"/>
        </w:rPr>
        <w:t xml:space="preserve">for </w:t>
      </w:r>
      <w:r w:rsidR="00C40901">
        <w:rPr>
          <w:lang w:val="en-US"/>
        </w:rPr>
        <w:t>an individual</w:t>
      </w:r>
    </w:p>
    <w:p w14:paraId="06692A54" w14:textId="77777777" w:rsidR="00894315" w:rsidRPr="006F20EB" w:rsidRDefault="00000000" w:rsidP="007574A3">
      <w:pPr>
        <w:pStyle w:val="Bullet"/>
        <w:spacing w:line="240" w:lineRule="auto"/>
      </w:pPr>
      <m:oMath>
        <m:sSub>
          <m:sSubPr>
            <m:ctrlPr>
              <w:rPr>
                <w:rFonts w:ascii="Cambria Math" w:hAnsi="Cambria Math" w:cstheme="majorHAnsi"/>
                <w:i/>
              </w:rPr>
            </m:ctrlPr>
          </m:sSubPr>
          <m:e>
            <m:r>
              <m:rPr>
                <m:sty m:val="p"/>
              </m:rPr>
              <w:rPr>
                <w:rFonts w:ascii="Cambria Math" w:hAnsi="Cambria Math" w:cstheme="majorHAnsi"/>
              </w:rPr>
              <m:t>BA</m:t>
            </m:r>
            <m:r>
              <m:rPr>
                <m:sty m:val="p"/>
              </m:rPr>
              <w:rPr>
                <w:rFonts w:ascii="Cambria Math" w:hAnsi="Cambria Math" w:cstheme="majorHAnsi"/>
                <w:lang w:val="en-US"/>
              </w:rPr>
              <m:t>C</m:t>
            </m:r>
          </m:e>
          <m:sub>
            <m:r>
              <w:rPr>
                <w:rFonts w:ascii="Cambria Math" w:hAnsi="Cambria Math" w:cstheme="majorHAnsi"/>
                <w:lang w:val="en-US"/>
              </w:rPr>
              <m:t>t</m:t>
            </m:r>
          </m:sub>
        </m:sSub>
      </m:oMath>
      <w:r w:rsidR="00894315" w:rsidRPr="006F20EB">
        <w:rPr>
          <w:lang w:val="en-US"/>
        </w:rPr>
        <w:t xml:space="preserve">: </w:t>
      </w:r>
      <w:r w:rsidR="00894315" w:rsidRPr="004524D5">
        <w:t xml:space="preserve">indicates whether the </w:t>
      </w:r>
      <w:r w:rsidR="00894315">
        <w:t>Australian A</w:t>
      </w:r>
      <w:r w:rsidR="00894315" w:rsidRPr="004524D5">
        <w:t>pprenticeship was commenced during the BAC period.</w:t>
      </w:r>
    </w:p>
    <w:p w14:paraId="0B899E34" w14:textId="77777777" w:rsidR="00894315" w:rsidRPr="006F20EB" w:rsidRDefault="00000000" w:rsidP="007574A3">
      <w:pPr>
        <w:pStyle w:val="Bullet"/>
        <w:spacing w:line="240" w:lineRule="auto"/>
      </w:pPr>
      <m:oMath>
        <m:sSub>
          <m:sSubPr>
            <m:ctrlPr>
              <w:rPr>
                <w:rFonts w:ascii="Cambria Math" w:hAnsi="Cambria Math"/>
                <w:i/>
                <w:iCs/>
              </w:rPr>
            </m:ctrlPr>
          </m:sSubPr>
          <m:e>
            <m:r>
              <m:rPr>
                <m:sty m:val="p"/>
              </m:rPr>
              <w:rPr>
                <w:rFonts w:ascii="Cambria Math" w:hAnsi="Cambria Math"/>
                <w:lang w:val="en-US"/>
              </w:rPr>
              <m:t>trade</m:t>
            </m:r>
          </m:e>
          <m:sub>
            <m:r>
              <m:rPr>
                <m:sty m:val="p"/>
              </m:rPr>
              <w:rPr>
                <w:rFonts w:ascii="Cambria Math" w:hAnsi="Cambria Math"/>
              </w:rPr>
              <m:t>o</m:t>
            </m:r>
          </m:sub>
        </m:sSub>
      </m:oMath>
      <w:r w:rsidR="00894315" w:rsidRPr="006F20EB">
        <w:rPr>
          <w:lang w:val="en-US"/>
        </w:rPr>
        <w:t xml:space="preserve">: </w:t>
      </w:r>
      <w:r w:rsidR="00894315" w:rsidRPr="004524D5">
        <w:t xml:space="preserve"> indicates whether the </w:t>
      </w:r>
      <w:r w:rsidR="00894315">
        <w:t>Australian A</w:t>
      </w:r>
      <w:r w:rsidR="00894315" w:rsidRPr="004524D5">
        <w:t xml:space="preserve">pprenticeship was </w:t>
      </w:r>
      <w:r w:rsidR="00894315">
        <w:t>in a</w:t>
      </w:r>
      <w:r w:rsidR="00894315" w:rsidRPr="004524D5">
        <w:t xml:space="preserve"> trade or non-trade occupation.</w:t>
      </w:r>
    </w:p>
    <w:p w14:paraId="3986E185" w14:textId="77777777" w:rsidR="00894315" w:rsidRPr="00E211C6" w:rsidRDefault="00000000" w:rsidP="007574A3">
      <w:pPr>
        <w:pStyle w:val="Bullet"/>
        <w:spacing w:line="240" w:lineRule="auto"/>
        <w:rPr>
          <w:lang w:val="en-US"/>
        </w:rPr>
      </w:pPr>
      <m:oMath>
        <m:sSub>
          <m:sSubPr>
            <m:ctrlPr>
              <w:rPr>
                <w:rFonts w:ascii="Cambria Math" w:hAnsi="Cambria Math"/>
                <w:i/>
                <w:iCs/>
              </w:rPr>
            </m:ctrlPr>
          </m:sSubPr>
          <m:e>
            <m:r>
              <m:rPr>
                <m:sty m:val="bi"/>
              </m:rPr>
              <w:rPr>
                <w:rFonts w:ascii="Cambria Math" w:hAnsi="Cambria Math"/>
                <w:lang w:val="en-US"/>
              </w:rPr>
              <m:t>X</m:t>
            </m:r>
          </m:e>
          <m:sub>
            <m:r>
              <w:rPr>
                <w:rFonts w:ascii="Cambria Math" w:hAnsi="Cambria Math"/>
              </w:rPr>
              <m:t>i</m:t>
            </m:r>
          </m:sub>
        </m:sSub>
      </m:oMath>
      <w:r w:rsidR="00894315" w:rsidRPr="00E211C6">
        <w:rPr>
          <w:lang w:val="en-US"/>
        </w:rPr>
        <w:t>: a set of time-invariant demographic variables: sex, age (and age squared), Indigenous status, born in Australia, English spoken at home, and self-assessed disability status; as well as apprentice-level industry fixed effects.</w:t>
      </w:r>
    </w:p>
    <w:p w14:paraId="068680BD" w14:textId="77777777" w:rsidR="00894315" w:rsidRPr="00E211C6" w:rsidRDefault="00000000" w:rsidP="007574A3">
      <w:pPr>
        <w:pStyle w:val="Bullet"/>
        <w:spacing w:line="240" w:lineRule="auto"/>
        <w:rPr>
          <w:lang w:val="en-US"/>
        </w:rPr>
      </w:pPr>
      <m:oMath>
        <m:sSub>
          <m:sSubPr>
            <m:ctrlPr>
              <w:rPr>
                <w:rFonts w:ascii="Cambria Math" w:hAnsi="Cambria Math"/>
                <w:i/>
                <w:iCs/>
              </w:rPr>
            </m:ctrlPr>
          </m:sSubPr>
          <m:e>
            <m:r>
              <m:rPr>
                <m:sty m:val="bi"/>
              </m:rPr>
              <w:rPr>
                <w:rFonts w:ascii="Cambria Math" w:hAnsi="Cambria Math"/>
                <w:lang w:val="en-US"/>
              </w:rPr>
              <m:t>E</m:t>
            </m:r>
          </m:e>
          <m:sub>
            <m:r>
              <w:rPr>
                <w:rFonts w:ascii="Cambria Math" w:hAnsi="Cambria Math"/>
                <w:lang w:val="en-US"/>
              </w:rPr>
              <m:t>t,o,s</m:t>
            </m:r>
          </m:sub>
        </m:sSub>
      </m:oMath>
      <w:proofErr w:type="gramStart"/>
      <w:r w:rsidR="00894315" w:rsidRPr="006F20EB">
        <w:rPr>
          <w:lang w:val="en-US"/>
        </w:rPr>
        <w:t>:  </w:t>
      </w:r>
      <w:r w:rsidR="00894315" w:rsidRPr="00E211C6">
        <w:rPr>
          <w:lang w:val="en-US"/>
        </w:rPr>
        <w:t>are</w:t>
      </w:r>
      <w:proofErr w:type="gramEnd"/>
      <w:r w:rsidR="00894315" w:rsidRPr="00E211C6">
        <w:rPr>
          <w:lang w:val="en-US"/>
        </w:rPr>
        <w:t xml:space="preserve"> time-variant labour market variables, including unemployment rate by major occupation and state and job vacancy rate by detailed occupation level and state. These variables are entered both at the time of commencement and 4 quarters later to allow for economic conditions later in the apprenticeship to affect cancellation </w:t>
      </w:r>
      <w:proofErr w:type="spellStart"/>
      <w:r w:rsidR="00894315" w:rsidRPr="00E211C6">
        <w:rPr>
          <w:lang w:val="en-US"/>
        </w:rPr>
        <w:t>behaviour</w:t>
      </w:r>
      <w:proofErr w:type="spellEnd"/>
      <w:r w:rsidR="00894315" w:rsidRPr="00E211C6">
        <w:rPr>
          <w:lang w:val="en-US"/>
        </w:rPr>
        <w:t>.</w:t>
      </w:r>
    </w:p>
    <w:p w14:paraId="710588D5" w14:textId="77777777" w:rsidR="00894315" w:rsidRPr="005310E0" w:rsidRDefault="00894315" w:rsidP="007574A3">
      <w:pPr>
        <w:pStyle w:val="Bullet"/>
        <w:spacing w:line="240" w:lineRule="auto"/>
      </w:pPr>
      <m:oMath>
        <m:r>
          <w:rPr>
            <w:rFonts w:ascii="Cambria Math" w:hAnsi="Cambria Math"/>
            <w:lang w:val="en-US"/>
          </w:rPr>
          <m:t>I[q=i]</m:t>
        </m:r>
      </m:oMath>
      <w:r w:rsidRPr="006F20EB">
        <w:rPr>
          <w:lang w:val="en-US"/>
        </w:rPr>
        <w:t xml:space="preserve">  is a set of variables to </w:t>
      </w:r>
      <w:proofErr w:type="gramStart"/>
      <w:r w:rsidRPr="006F20EB">
        <w:rPr>
          <w:lang w:val="en-US"/>
        </w:rPr>
        <w:t>control for</w:t>
      </w:r>
      <w:proofErr w:type="gramEnd"/>
      <w:r w:rsidRPr="006F20EB">
        <w:rPr>
          <w:lang w:val="en-US"/>
        </w:rPr>
        <w:t xml:space="preserve"> quarterly seasonal effects in cancellation rates.</w:t>
      </w:r>
    </w:p>
    <w:p w14:paraId="7C5F39BA" w14:textId="77777777" w:rsidR="00894315" w:rsidRPr="00201D9D" w:rsidRDefault="00894315" w:rsidP="00E10B46">
      <w:pPr>
        <w:pStyle w:val="Heading3"/>
      </w:pPr>
      <w:bookmarkStart w:id="108" w:name="_Toc176782413"/>
      <w:r w:rsidRPr="00201D9D">
        <w:t>Data</w:t>
      </w:r>
      <w:bookmarkEnd w:id="108"/>
    </w:p>
    <w:p w14:paraId="6C369991" w14:textId="65251918" w:rsidR="00894315" w:rsidRPr="00670553" w:rsidRDefault="00894315" w:rsidP="007574A3">
      <w:r>
        <w:t>First</w:t>
      </w:r>
      <w:r w:rsidR="00900E5D">
        <w:t>,</w:t>
      </w:r>
      <w:r>
        <w:t xml:space="preserve"> we calculated the 6-quarter cancellation rate for all commencements </w:t>
      </w:r>
      <w:r w:rsidRPr="00A41552">
        <w:rPr>
          <w:rFonts w:cs="Calibri Light"/>
        </w:rPr>
        <w:t xml:space="preserve">between </w:t>
      </w:r>
      <w:r>
        <w:rPr>
          <w:rFonts w:cs="Calibri Light"/>
        </w:rPr>
        <w:t xml:space="preserve">Quarter 1 </w:t>
      </w:r>
      <w:r w:rsidRPr="00A41552">
        <w:rPr>
          <w:rFonts w:cs="Calibri Light"/>
        </w:rPr>
        <w:t>2006</w:t>
      </w:r>
      <w:r>
        <w:rPr>
          <w:rFonts w:cs="Calibri Light"/>
        </w:rPr>
        <w:t xml:space="preserve"> </w:t>
      </w:r>
      <w:r w:rsidRPr="00A41552">
        <w:rPr>
          <w:rFonts w:cs="Calibri Light"/>
        </w:rPr>
        <w:t xml:space="preserve">and </w:t>
      </w:r>
      <w:r>
        <w:rPr>
          <w:rFonts w:cs="Calibri Light"/>
        </w:rPr>
        <w:t>Quarter 2</w:t>
      </w:r>
      <w:r w:rsidRPr="00A41552">
        <w:rPr>
          <w:rFonts w:cs="Calibri Light"/>
        </w:rPr>
        <w:t xml:space="preserve"> 2022. </w:t>
      </w:r>
      <w:r>
        <w:rPr>
          <w:rFonts w:cs="Calibri Light"/>
        </w:rPr>
        <w:t>We then added this data to the</w:t>
      </w:r>
      <w:r>
        <w:t xml:space="preserve"> </w:t>
      </w:r>
      <w:proofErr w:type="gramStart"/>
      <w:r>
        <w:t>commencements</w:t>
      </w:r>
      <w:proofErr w:type="gramEnd"/>
      <w:r>
        <w:t xml:space="preserve"> dataset used for the commencements modelling (and outlined above). </w:t>
      </w:r>
      <w:r w:rsidRPr="00A41552">
        <w:rPr>
          <w:rFonts w:cs="Calibri Light"/>
        </w:rPr>
        <w:t>Apprentice demographic characteristics are also added.</w:t>
      </w:r>
    </w:p>
    <w:p w14:paraId="07DCE349" w14:textId="5DDF6894" w:rsidR="00894315" w:rsidRPr="007D6CEA" w:rsidRDefault="00894315" w:rsidP="007D6CEA">
      <w:r w:rsidRPr="00A41552">
        <w:rPr>
          <w:rFonts w:cs="Calibri Light"/>
        </w:rPr>
        <w:t>Labour market variables are added four quarters after the commencement date to allow for labour market conditions </w:t>
      </w:r>
      <w:r w:rsidRPr="00A41552">
        <w:rPr>
          <w:rStyle w:val="Emphasis"/>
          <w:rFonts w:cs="Calibri Light"/>
          <w:color w:val="333333"/>
          <w:szCs w:val="22"/>
        </w:rPr>
        <w:t>after</w:t>
      </w:r>
      <w:r w:rsidRPr="00A41552">
        <w:rPr>
          <w:rFonts w:cs="Calibri Light"/>
        </w:rPr>
        <w:t> commencement to affect the cancellation rate.</w:t>
      </w:r>
      <w:r>
        <w:br w:type="page"/>
      </w:r>
    </w:p>
    <w:p w14:paraId="4DCB06CB" w14:textId="4C17AF45" w:rsidR="00214E83" w:rsidRPr="00BB7265" w:rsidRDefault="00817DE3" w:rsidP="007574A3">
      <w:pPr>
        <w:pStyle w:val="Heading1"/>
        <w:spacing w:line="240" w:lineRule="auto"/>
        <w:rPr>
          <w:spacing w:val="-4"/>
        </w:rPr>
      </w:pPr>
      <w:bookmarkStart w:id="109" w:name="_Toc176782414"/>
      <w:r w:rsidRPr="00BB7265">
        <w:rPr>
          <w:spacing w:val="-4"/>
        </w:rPr>
        <w:lastRenderedPageBreak/>
        <w:t xml:space="preserve">Appendix </w:t>
      </w:r>
      <w:r w:rsidR="00894315" w:rsidRPr="00BB7265">
        <w:rPr>
          <w:spacing w:val="-4"/>
        </w:rPr>
        <w:t>C</w:t>
      </w:r>
      <w:r w:rsidRPr="00BB7265">
        <w:rPr>
          <w:spacing w:val="-4"/>
        </w:rPr>
        <w:t xml:space="preserve">: </w:t>
      </w:r>
      <w:r w:rsidR="00015BC6" w:rsidRPr="00BB7265">
        <w:rPr>
          <w:spacing w:val="-4"/>
        </w:rPr>
        <w:t xml:space="preserve">Australian </w:t>
      </w:r>
      <w:r w:rsidR="00A31F8F" w:rsidRPr="00BB7265">
        <w:rPr>
          <w:spacing w:val="-4"/>
        </w:rPr>
        <w:t>A</w:t>
      </w:r>
      <w:r w:rsidR="00214E83" w:rsidRPr="00BB7265">
        <w:rPr>
          <w:spacing w:val="-4"/>
        </w:rPr>
        <w:t xml:space="preserve">pprentice </w:t>
      </w:r>
      <w:r w:rsidR="00805576" w:rsidRPr="00BB7265" w:rsidDel="007A623C">
        <w:rPr>
          <w:spacing w:val="-4"/>
        </w:rPr>
        <w:t xml:space="preserve">and employer </w:t>
      </w:r>
      <w:r w:rsidR="00214E83" w:rsidRPr="00BB7265">
        <w:rPr>
          <w:spacing w:val="-4"/>
        </w:rPr>
        <w:t>characteristic</w:t>
      </w:r>
      <w:r w:rsidR="00A31F8F" w:rsidRPr="00BB7265">
        <w:rPr>
          <w:spacing w:val="-4"/>
        </w:rPr>
        <w:t>s—</w:t>
      </w:r>
      <w:r w:rsidR="005A23E3" w:rsidRPr="00BB7265">
        <w:rPr>
          <w:spacing w:val="-4"/>
        </w:rPr>
        <w:t xml:space="preserve">additional </w:t>
      </w:r>
      <w:r w:rsidR="008D03D8" w:rsidRPr="00BB7265">
        <w:rPr>
          <w:spacing w:val="-4"/>
        </w:rPr>
        <w:t>results</w:t>
      </w:r>
      <w:bookmarkEnd w:id="109"/>
    </w:p>
    <w:p w14:paraId="7E64062F" w14:textId="72B77BE3" w:rsidR="00045CB2" w:rsidRDefault="00E45182" w:rsidP="00E45182">
      <w:r>
        <w:t xml:space="preserve">This appendix provides further comparison of the demographic characteristics of Australian Apprentices who commenced prior to, and during, the BAC program. </w:t>
      </w:r>
      <w:r w:rsidR="00045CB2">
        <w:t>It also looks at changes in commencements by industry.</w:t>
      </w:r>
    </w:p>
    <w:p w14:paraId="533BDCAD" w14:textId="16481A75" w:rsidR="00FE5998" w:rsidRDefault="000362FD" w:rsidP="00E45182">
      <w:r>
        <w:t xml:space="preserve">Three calendar years are compared: 2019 (pre-BAC), 2021 (during BAC) and 2023 (post-BAC). </w:t>
      </w:r>
      <w:r w:rsidR="001F267C">
        <w:t>F</w:t>
      </w:r>
      <w:r>
        <w:t>ull calendar years are analysed rather than the exact BAC period to avoid seasonality effects. This comparison does not distinguish between demographic changes attributable to BAC and those attributable to the pandemic or other trends at the time, so results cannot be interpreted as the causal effect of the BAC program.</w:t>
      </w:r>
    </w:p>
    <w:p w14:paraId="27A7EFB1" w14:textId="77777777" w:rsidR="00036881" w:rsidRDefault="00036881" w:rsidP="00036881">
      <w:pPr>
        <w:pStyle w:val="Heading2"/>
        <w:spacing w:line="240" w:lineRule="auto"/>
      </w:pPr>
      <w:bookmarkStart w:id="110" w:name="_Toc176782415"/>
      <w:r>
        <w:t>Further demographic analysis of BAC Australian Apprentices</w:t>
      </w:r>
      <w:bookmarkEnd w:id="110"/>
    </w:p>
    <w:p w14:paraId="653A140A" w14:textId="58D087A0" w:rsidR="00E45182" w:rsidRDefault="00E45182" w:rsidP="00E45182">
      <w:r>
        <w:t xml:space="preserve">The share of </w:t>
      </w:r>
      <w:r w:rsidRPr="00045CB2">
        <w:rPr>
          <w:b/>
        </w:rPr>
        <w:t>female commencements</w:t>
      </w:r>
      <w:r>
        <w:t xml:space="preserve"> appeared to increase between 2019 (pre-BAC) and 2021 (during BAC) (Figure </w:t>
      </w:r>
      <w:r w:rsidR="00063ED5">
        <w:t>20</w:t>
      </w:r>
      <w:r>
        <w:t>). However, there was already a modest upwards trend in the share of female commencements that continued until 2023. Consequently, it is unclear whether there was just a continuation of an underlying trend that was unaffected by BAC (and the pandemic).</w:t>
      </w:r>
    </w:p>
    <w:p w14:paraId="1B4A851A" w14:textId="2C9FDF28" w:rsidR="00EE7250" w:rsidRDefault="00485421" w:rsidP="00E10B46">
      <w:pPr>
        <w:pStyle w:val="Chartheading"/>
        <w:spacing w:line="240" w:lineRule="auto"/>
        <w:outlineLvl w:val="9"/>
      </w:pPr>
      <w:r>
        <w:t xml:space="preserve">Figure </w:t>
      </w:r>
      <w:r w:rsidR="00063ED5">
        <w:t>20</w:t>
      </w:r>
      <w:r>
        <w:t xml:space="preserve">: </w:t>
      </w:r>
      <w:r w:rsidR="00EE7250" w:rsidRPr="000D6654">
        <w:t>Share of apprenticeship commencements that are female</w:t>
      </w:r>
    </w:p>
    <w:p w14:paraId="14E0F803" w14:textId="77777777" w:rsidR="00EE7250" w:rsidRDefault="00EE7250" w:rsidP="007574A3">
      <w:r>
        <w:rPr>
          <w:noProof/>
        </w:rPr>
        <w:drawing>
          <wp:inline distT="0" distB="0" distL="0" distR="0" wp14:anchorId="2024A3C9" wp14:editId="38AC200D">
            <wp:extent cx="2828925" cy="1647825"/>
            <wp:effectExtent l="0" t="0" r="9525" b="9525"/>
            <wp:docPr id="1073297681" name="Picture 1073297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8465"/>
                    <a:stretch/>
                  </pic:blipFill>
                  <pic:spPr bwMode="auto">
                    <a:xfrm>
                      <a:off x="0" y="0"/>
                      <a:ext cx="2828925" cy="1647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E5657E2" wp14:editId="117645AE">
            <wp:extent cx="2828925" cy="1657350"/>
            <wp:effectExtent l="0" t="0" r="9525" b="0"/>
            <wp:docPr id="942130022" name="Picture 94213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7936"/>
                    <a:stretch/>
                  </pic:blipFill>
                  <pic:spPr bwMode="auto">
                    <a:xfrm>
                      <a:off x="0" y="0"/>
                      <a:ext cx="2828925" cy="1657350"/>
                    </a:xfrm>
                    <a:prstGeom prst="rect">
                      <a:avLst/>
                    </a:prstGeom>
                    <a:noFill/>
                    <a:ln>
                      <a:noFill/>
                    </a:ln>
                    <a:extLst>
                      <a:ext uri="{53640926-AAD7-44D8-BBD7-CCE9431645EC}">
                        <a14:shadowObscured xmlns:a14="http://schemas.microsoft.com/office/drawing/2010/main"/>
                      </a:ext>
                    </a:extLst>
                  </pic:spPr>
                </pic:pic>
              </a:graphicData>
            </a:graphic>
          </wp:inline>
        </w:drawing>
      </w:r>
    </w:p>
    <w:p w14:paraId="5C3A1605" w14:textId="1CDB2C14" w:rsidR="00B85BA3" w:rsidRPr="007E283C" w:rsidRDefault="00B85BA3" w:rsidP="007574A3">
      <w:pPr>
        <w:rPr>
          <w:sz w:val="18"/>
          <w:szCs w:val="18"/>
        </w:rPr>
      </w:pPr>
      <w:r w:rsidRPr="00580999">
        <w:rPr>
          <w:sz w:val="18"/>
          <w:szCs w:val="18"/>
        </w:rPr>
        <w:t xml:space="preserve">Source: </w:t>
      </w:r>
      <w:r>
        <w:rPr>
          <w:sz w:val="18"/>
          <w:szCs w:val="18"/>
        </w:rPr>
        <w:t>DEWR administrative data</w:t>
      </w:r>
      <w:r w:rsidRPr="00580999">
        <w:rPr>
          <w:sz w:val="18"/>
          <w:szCs w:val="18"/>
        </w:rPr>
        <w:t xml:space="preserve"> 2006-2023</w:t>
      </w:r>
      <w:r>
        <w:rPr>
          <w:sz w:val="18"/>
          <w:szCs w:val="18"/>
        </w:rPr>
        <w:t>.</w:t>
      </w:r>
    </w:p>
    <w:p w14:paraId="46C70646" w14:textId="3ABA58A9" w:rsidR="00E45182" w:rsidRDefault="00E45182" w:rsidP="00E45182">
      <w:r>
        <w:t xml:space="preserve">The share of Australian Apprenticeship commencements that were </w:t>
      </w:r>
      <w:r w:rsidRPr="00045CB2">
        <w:rPr>
          <w:b/>
        </w:rPr>
        <w:t>living with a disability</w:t>
      </w:r>
      <w:r>
        <w:t xml:space="preserve"> grew </w:t>
      </w:r>
      <w:proofErr w:type="gramStart"/>
      <w:r>
        <w:t>fairly steadily</w:t>
      </w:r>
      <w:proofErr w:type="gramEnd"/>
      <w:r>
        <w:t xml:space="preserve"> from 200</w:t>
      </w:r>
      <w:r w:rsidR="009250F0">
        <w:t>6</w:t>
      </w:r>
      <w:r>
        <w:t xml:space="preserve"> to 2017 (Figure 2</w:t>
      </w:r>
      <w:r w:rsidR="00063ED5">
        <w:t>1</w:t>
      </w:r>
      <w:r>
        <w:t>). The share of commencements stabilised for the next 4 years but then continued to increase in 2022. These changes do not neatly coincide with the timing of the BAC program or the pandemic so it is unclear to what extent they can be attributed to the BAC.</w:t>
      </w:r>
    </w:p>
    <w:p w14:paraId="6AAE3F6E" w14:textId="77777777" w:rsidR="00EC075A" w:rsidRPr="00973AA7" w:rsidRDefault="00EC075A" w:rsidP="00EC075A">
      <w:pPr>
        <w:pStyle w:val="Bullet"/>
        <w:numPr>
          <w:ilvl w:val="0"/>
          <w:numId w:val="0"/>
        </w:numPr>
        <w:tabs>
          <w:tab w:val="left" w:pos="0"/>
        </w:tabs>
        <w:spacing w:line="240" w:lineRule="auto"/>
      </w:pPr>
      <w:r>
        <w:t xml:space="preserve">The share of Australian Apprenticeship commencements that had a </w:t>
      </w:r>
      <w:r w:rsidRPr="0008322F">
        <w:rPr>
          <w:b/>
        </w:rPr>
        <w:t>non-English language</w:t>
      </w:r>
      <w:r w:rsidRPr="00E80FE7">
        <w:rPr>
          <w:b/>
        </w:rPr>
        <w:t xml:space="preserve"> spoken at home</w:t>
      </w:r>
      <w:r>
        <w:t xml:space="preserve"> has declined in most years since its peak in 2016 (Figure 22). This decline was arrested in 2020 and 2021, before continuing subsequently. It is possible that the BAC (or pandemic-related effects) interrupted this decline, or it may be that the various fluctuations were due to other factors. </w:t>
      </w:r>
    </w:p>
    <w:p w14:paraId="208C36B2" w14:textId="783F696C" w:rsidR="00EC075A" w:rsidRDefault="00EC075A" w:rsidP="00E45182">
      <w:r>
        <w:t xml:space="preserve">The share of Australian Apprenticeship commencements who were </w:t>
      </w:r>
      <w:r w:rsidRPr="00E80FE7">
        <w:rPr>
          <w:b/>
        </w:rPr>
        <w:t>born in a non-English speaking country</w:t>
      </w:r>
      <w:r>
        <w:t xml:space="preserve"> experienced a spike during the BAC/pandemic period (2021-22), and then a decline subsequently (Figure 23). Given the coincidence in timing, it is possible the increased share was due to some combination of the BAC and pandemic-related factors.</w:t>
      </w:r>
    </w:p>
    <w:p w14:paraId="15973C19" w14:textId="23B3C6EB" w:rsidR="00EE7250" w:rsidRDefault="00485421" w:rsidP="00E10B46">
      <w:pPr>
        <w:pStyle w:val="Chartheading"/>
        <w:spacing w:line="240" w:lineRule="auto"/>
        <w:outlineLvl w:val="9"/>
      </w:pPr>
      <w:r>
        <w:lastRenderedPageBreak/>
        <w:t>Figure 2</w:t>
      </w:r>
      <w:r w:rsidR="00063ED5">
        <w:t>1</w:t>
      </w:r>
      <w:r>
        <w:t xml:space="preserve">: </w:t>
      </w:r>
      <w:r w:rsidR="00EE7250" w:rsidRPr="004746A8">
        <w:t>Share of apprenticeship</w:t>
      </w:r>
      <w:r w:rsidR="00EE7250">
        <w:t xml:space="preserve"> </w:t>
      </w:r>
      <w:r w:rsidR="00EE7250" w:rsidRPr="00EC4A3F">
        <w:t>commencements with a disability</w:t>
      </w:r>
    </w:p>
    <w:p w14:paraId="65E9369D" w14:textId="77777777" w:rsidR="00EE7250" w:rsidRPr="00973AA7" w:rsidRDefault="00EE7250" w:rsidP="00EC075A">
      <w:pPr>
        <w:pStyle w:val="Bullet"/>
        <w:keepNext/>
        <w:numPr>
          <w:ilvl w:val="0"/>
          <w:numId w:val="0"/>
        </w:numPr>
        <w:spacing w:line="240" w:lineRule="auto"/>
        <w:ind w:left="284" w:hanging="284"/>
      </w:pPr>
      <w:r w:rsidRPr="00973AA7">
        <w:rPr>
          <w:noProof/>
        </w:rPr>
        <w:drawing>
          <wp:inline distT="0" distB="0" distL="0" distR="0" wp14:anchorId="015BF01E" wp14:editId="3F176273">
            <wp:extent cx="2828925" cy="1666875"/>
            <wp:effectExtent l="0" t="0" r="9525" b="9525"/>
            <wp:docPr id="1841846959" name="Picture 1841846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7407"/>
                    <a:stretch/>
                  </pic:blipFill>
                  <pic:spPr bwMode="auto">
                    <a:xfrm>
                      <a:off x="0" y="0"/>
                      <a:ext cx="2828925" cy="1666875"/>
                    </a:xfrm>
                    <a:prstGeom prst="rect">
                      <a:avLst/>
                    </a:prstGeom>
                    <a:noFill/>
                    <a:ln>
                      <a:noFill/>
                    </a:ln>
                    <a:extLst>
                      <a:ext uri="{53640926-AAD7-44D8-BBD7-CCE9431645EC}">
                        <a14:shadowObscured xmlns:a14="http://schemas.microsoft.com/office/drawing/2010/main"/>
                      </a:ext>
                    </a:extLst>
                  </pic:spPr>
                </pic:pic>
              </a:graphicData>
            </a:graphic>
          </wp:inline>
        </w:drawing>
      </w:r>
      <w:r w:rsidRPr="00973AA7">
        <w:rPr>
          <w:noProof/>
        </w:rPr>
        <w:drawing>
          <wp:inline distT="0" distB="0" distL="0" distR="0" wp14:anchorId="7F28AE6A" wp14:editId="56B81F9A">
            <wp:extent cx="2828925" cy="1666875"/>
            <wp:effectExtent l="0" t="0" r="9525" b="9525"/>
            <wp:docPr id="1415483547" name="Picture 1415483547" descr="A graph of a number of individuals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090532" name="Picture 8" descr="A graph of a number of individuals with different colored squares&#10;&#10;Description automatically generated"/>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t="7407"/>
                    <a:stretch/>
                  </pic:blipFill>
                  <pic:spPr bwMode="auto">
                    <a:xfrm>
                      <a:off x="0" y="0"/>
                      <a:ext cx="2828925" cy="1666875"/>
                    </a:xfrm>
                    <a:prstGeom prst="rect">
                      <a:avLst/>
                    </a:prstGeom>
                    <a:noFill/>
                    <a:ln>
                      <a:noFill/>
                    </a:ln>
                    <a:extLst>
                      <a:ext uri="{53640926-AAD7-44D8-BBD7-CCE9431645EC}">
                        <a14:shadowObscured xmlns:a14="http://schemas.microsoft.com/office/drawing/2010/main"/>
                      </a:ext>
                    </a:extLst>
                  </pic:spPr>
                </pic:pic>
              </a:graphicData>
            </a:graphic>
          </wp:inline>
        </w:drawing>
      </w:r>
    </w:p>
    <w:p w14:paraId="5450D56B" w14:textId="77777777" w:rsidR="00F332FA" w:rsidRDefault="00F332FA" w:rsidP="00F332FA">
      <w:pPr>
        <w:rPr>
          <w:sz w:val="18"/>
          <w:szCs w:val="18"/>
        </w:rPr>
      </w:pPr>
      <w:r w:rsidRPr="00580999">
        <w:rPr>
          <w:sz w:val="18"/>
          <w:szCs w:val="18"/>
        </w:rPr>
        <w:t xml:space="preserve">Source: </w:t>
      </w:r>
      <w:r>
        <w:rPr>
          <w:sz w:val="18"/>
          <w:szCs w:val="18"/>
        </w:rPr>
        <w:t>DEWR administrative data</w:t>
      </w:r>
      <w:r w:rsidRPr="00580999">
        <w:rPr>
          <w:sz w:val="18"/>
          <w:szCs w:val="18"/>
        </w:rPr>
        <w:t xml:space="preserve"> 2006-2023</w:t>
      </w:r>
      <w:r>
        <w:rPr>
          <w:sz w:val="18"/>
          <w:szCs w:val="18"/>
        </w:rPr>
        <w:t>.</w:t>
      </w:r>
    </w:p>
    <w:p w14:paraId="3EE11354" w14:textId="7A12D6AD" w:rsidR="00EE7250" w:rsidRDefault="00485421" w:rsidP="00E10B46">
      <w:pPr>
        <w:pStyle w:val="Chartheading"/>
        <w:spacing w:line="240" w:lineRule="auto"/>
        <w:outlineLvl w:val="9"/>
      </w:pPr>
      <w:r>
        <w:t>Figure 2</w:t>
      </w:r>
      <w:r w:rsidR="005F7154">
        <w:t>2</w:t>
      </w:r>
      <w:r>
        <w:t xml:space="preserve">: </w:t>
      </w:r>
      <w:r w:rsidR="00EE7250" w:rsidRPr="00565123">
        <w:t>Share of apprenticeship commencements with a non-English language spoken at home</w:t>
      </w:r>
    </w:p>
    <w:p w14:paraId="5BAF65BD" w14:textId="77777777" w:rsidR="00EE7250" w:rsidRDefault="00EE7250" w:rsidP="007574A3">
      <w:r>
        <w:rPr>
          <w:noProof/>
        </w:rPr>
        <w:drawing>
          <wp:inline distT="0" distB="0" distL="0" distR="0" wp14:anchorId="70A143F7" wp14:editId="75B93F95">
            <wp:extent cx="2828925" cy="1647825"/>
            <wp:effectExtent l="0" t="0" r="9525" b="9525"/>
            <wp:docPr id="898990066" name="Picture 89899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8465"/>
                    <a:stretch/>
                  </pic:blipFill>
                  <pic:spPr bwMode="auto">
                    <a:xfrm>
                      <a:off x="0" y="0"/>
                      <a:ext cx="2828925" cy="164782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EC923D9" wp14:editId="65712B40">
            <wp:extent cx="2828925" cy="1676400"/>
            <wp:effectExtent l="0" t="0" r="9525" b="0"/>
            <wp:docPr id="691055872" name="Picture 691055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6878"/>
                    <a:stretch/>
                  </pic:blipFill>
                  <pic:spPr bwMode="auto">
                    <a:xfrm>
                      <a:off x="0" y="0"/>
                      <a:ext cx="2828925" cy="1676400"/>
                    </a:xfrm>
                    <a:prstGeom prst="rect">
                      <a:avLst/>
                    </a:prstGeom>
                    <a:noFill/>
                    <a:ln>
                      <a:noFill/>
                    </a:ln>
                    <a:extLst>
                      <a:ext uri="{53640926-AAD7-44D8-BBD7-CCE9431645EC}">
                        <a14:shadowObscured xmlns:a14="http://schemas.microsoft.com/office/drawing/2010/main"/>
                      </a:ext>
                    </a:extLst>
                  </pic:spPr>
                </pic:pic>
              </a:graphicData>
            </a:graphic>
          </wp:inline>
        </w:drawing>
      </w:r>
    </w:p>
    <w:p w14:paraId="080E4CBF" w14:textId="77777777" w:rsidR="00A2724E" w:rsidRDefault="00F332FA" w:rsidP="007574A3">
      <w:pPr>
        <w:rPr>
          <w:sz w:val="18"/>
          <w:szCs w:val="18"/>
        </w:rPr>
      </w:pPr>
      <w:r w:rsidRPr="00580999">
        <w:rPr>
          <w:sz w:val="18"/>
          <w:szCs w:val="18"/>
        </w:rPr>
        <w:t xml:space="preserve">Source: </w:t>
      </w:r>
      <w:r>
        <w:rPr>
          <w:sz w:val="18"/>
          <w:szCs w:val="18"/>
        </w:rPr>
        <w:t>DEWR administrative data</w:t>
      </w:r>
      <w:r w:rsidRPr="00580999">
        <w:rPr>
          <w:sz w:val="18"/>
          <w:szCs w:val="18"/>
        </w:rPr>
        <w:t xml:space="preserve"> 2006-2023</w:t>
      </w:r>
      <w:r>
        <w:rPr>
          <w:sz w:val="18"/>
          <w:szCs w:val="18"/>
        </w:rPr>
        <w:t>.</w:t>
      </w:r>
    </w:p>
    <w:p w14:paraId="72DEF6E6" w14:textId="3C475E63" w:rsidR="00EE7250" w:rsidRDefault="00485421" w:rsidP="00E10B46">
      <w:pPr>
        <w:pStyle w:val="Chartheading"/>
        <w:spacing w:line="240" w:lineRule="auto"/>
        <w:outlineLvl w:val="9"/>
      </w:pPr>
      <w:r>
        <w:t>Figure 2</w:t>
      </w:r>
      <w:r w:rsidR="005F7154">
        <w:t>3</w:t>
      </w:r>
      <w:r>
        <w:t xml:space="preserve">: </w:t>
      </w:r>
      <w:r w:rsidR="00EE7250">
        <w:t>Share of apprenticeship commencements who were born in a non-English speaking country</w:t>
      </w:r>
    </w:p>
    <w:p w14:paraId="6EB2BD54" w14:textId="77777777" w:rsidR="00EE7250" w:rsidRDefault="00EE7250" w:rsidP="007574A3">
      <w:r>
        <w:rPr>
          <w:noProof/>
        </w:rPr>
        <w:drawing>
          <wp:inline distT="0" distB="0" distL="0" distR="0" wp14:anchorId="419513E9" wp14:editId="0F29AD6F">
            <wp:extent cx="2828925" cy="1666875"/>
            <wp:effectExtent l="0" t="0" r="9525" b="9525"/>
            <wp:docPr id="1849360956" name="Picture 1849360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7407"/>
                    <a:stretch/>
                  </pic:blipFill>
                  <pic:spPr bwMode="auto">
                    <a:xfrm>
                      <a:off x="0" y="0"/>
                      <a:ext cx="2828925" cy="166687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CEF425B" wp14:editId="11D17E65">
            <wp:extent cx="2828925" cy="1666875"/>
            <wp:effectExtent l="0" t="0" r="9525" b="9525"/>
            <wp:docPr id="595144771" name="Picture 595144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7407"/>
                    <a:stretch/>
                  </pic:blipFill>
                  <pic:spPr bwMode="auto">
                    <a:xfrm>
                      <a:off x="0" y="0"/>
                      <a:ext cx="2828925" cy="1666875"/>
                    </a:xfrm>
                    <a:prstGeom prst="rect">
                      <a:avLst/>
                    </a:prstGeom>
                    <a:noFill/>
                    <a:ln>
                      <a:noFill/>
                    </a:ln>
                    <a:extLst>
                      <a:ext uri="{53640926-AAD7-44D8-BBD7-CCE9431645EC}">
                        <a14:shadowObscured xmlns:a14="http://schemas.microsoft.com/office/drawing/2010/main"/>
                      </a:ext>
                    </a:extLst>
                  </pic:spPr>
                </pic:pic>
              </a:graphicData>
            </a:graphic>
          </wp:inline>
        </w:drawing>
      </w:r>
    </w:p>
    <w:p w14:paraId="10F685DD" w14:textId="5B998AAE" w:rsidR="00F332FA" w:rsidRPr="00F332FA" w:rsidRDefault="00F332FA" w:rsidP="00F332FA">
      <w:pPr>
        <w:spacing w:before="0" w:after="0"/>
        <w:rPr>
          <w:sz w:val="18"/>
          <w:szCs w:val="18"/>
        </w:rPr>
      </w:pPr>
      <w:r w:rsidRPr="00F332FA">
        <w:rPr>
          <w:sz w:val="18"/>
          <w:szCs w:val="18"/>
        </w:rPr>
        <w:t>Source: DEWR administrative data 2006-2023.</w:t>
      </w:r>
    </w:p>
    <w:p w14:paraId="4D9AD12C" w14:textId="263EF423" w:rsidR="00542A33" w:rsidRPr="00F332FA" w:rsidRDefault="00EE7250" w:rsidP="00F332FA">
      <w:pPr>
        <w:spacing w:before="0" w:after="0"/>
        <w:rPr>
          <w:sz w:val="18"/>
          <w:szCs w:val="18"/>
        </w:rPr>
      </w:pPr>
      <w:r w:rsidRPr="00F332FA">
        <w:rPr>
          <w:sz w:val="18"/>
          <w:szCs w:val="18"/>
        </w:rPr>
        <w:t>Note: Non-English-speaking country is defined according to the countries not listed under the ABS standard classification of main English-speaking countries (United Kingdom, Ireland, United States of America, Canada, New Zealand, South Africa and Australia).</w:t>
      </w:r>
    </w:p>
    <w:p w14:paraId="6A30FEEC" w14:textId="4C80786F" w:rsidR="00805576" w:rsidRPr="00FB710E" w:rsidRDefault="00015BC6" w:rsidP="007574A3">
      <w:pPr>
        <w:pStyle w:val="Heading2"/>
        <w:spacing w:line="240" w:lineRule="auto"/>
      </w:pPr>
      <w:bookmarkStart w:id="111" w:name="_Toc176782416"/>
      <w:r>
        <w:lastRenderedPageBreak/>
        <w:t xml:space="preserve">Change in </w:t>
      </w:r>
      <w:r w:rsidR="00045CB2">
        <w:t xml:space="preserve">commencements by </w:t>
      </w:r>
      <w:r>
        <w:t>industry</w:t>
      </w:r>
      <w:bookmarkEnd w:id="111"/>
    </w:p>
    <w:p w14:paraId="57917A23" w14:textId="77777777" w:rsidR="00D01EAD" w:rsidRDefault="00805576" w:rsidP="007574A3">
      <w:pPr>
        <w:pStyle w:val="BodyText"/>
      </w:pPr>
      <w:r>
        <w:t>C</w:t>
      </w:r>
      <w:r w:rsidRPr="00380B5C">
        <w:t>ommencements in the BAC period grew across all industries (ANZSIC division) compared to the previous period.</w:t>
      </w:r>
      <w:r w:rsidR="00D01EAD" w:rsidRPr="00D01EAD">
        <w:rPr>
          <w:rStyle w:val="FootnoteReference"/>
          <w:vertAlign w:val="superscript"/>
        </w:rPr>
        <w:footnoteReference w:id="10"/>
      </w:r>
      <w:r w:rsidR="003303D1">
        <w:t xml:space="preserve"> </w:t>
      </w:r>
    </w:p>
    <w:p w14:paraId="0231F976" w14:textId="5406E919" w:rsidR="00AA0B10" w:rsidRDefault="00EB3187" w:rsidP="007574A3">
      <w:pPr>
        <w:pStyle w:val="BodyText"/>
      </w:pPr>
      <w:r>
        <w:t>The</w:t>
      </w:r>
      <w:r w:rsidR="003303D1">
        <w:t xml:space="preserve"> </w:t>
      </w:r>
      <w:r w:rsidR="00805576" w:rsidRPr="00380B5C">
        <w:t xml:space="preserve">Employers in </w:t>
      </w:r>
      <w:r w:rsidR="00805576" w:rsidRPr="00B500B4">
        <w:rPr>
          <w:i/>
          <w:iCs/>
        </w:rPr>
        <w:t>Construction</w:t>
      </w:r>
      <w:r w:rsidR="00805576" w:rsidRPr="00380B5C">
        <w:t xml:space="preserve"> – the largest employer</w:t>
      </w:r>
      <w:r w:rsidR="00805576">
        <w:t xml:space="preserve"> industry</w:t>
      </w:r>
      <w:r w:rsidR="00805576" w:rsidRPr="00380B5C">
        <w:t xml:space="preserve"> – </w:t>
      </w:r>
      <w:r w:rsidR="00805576">
        <w:t>commenced</w:t>
      </w:r>
      <w:r w:rsidR="00805576" w:rsidRPr="00380B5C">
        <w:t xml:space="preserve"> 66% more </w:t>
      </w:r>
      <w:r w:rsidR="00805576">
        <w:t>Australian A</w:t>
      </w:r>
      <w:r w:rsidR="00805576" w:rsidRPr="00380B5C">
        <w:t>pprentices during the BAC period, increasing from about 8,000 per quarter to 13,000</w:t>
      </w:r>
      <w:r w:rsidR="00805576">
        <w:t xml:space="preserve"> per quarter during BAC (Figure </w:t>
      </w:r>
      <w:r w:rsidR="003D2111">
        <w:t>24</w:t>
      </w:r>
      <w:r w:rsidR="00805576">
        <w:t>)</w:t>
      </w:r>
      <w:r w:rsidR="00805576" w:rsidRPr="00380B5C">
        <w:t>. Employers in</w:t>
      </w:r>
      <w:r w:rsidR="00B500B4">
        <w:t xml:space="preserve"> the next largest industr</w:t>
      </w:r>
      <w:r w:rsidR="001D47BA">
        <w:t>ies</w:t>
      </w:r>
      <w:r w:rsidR="00B500B4">
        <w:t xml:space="preserve"> during the BAC period</w:t>
      </w:r>
      <w:r w:rsidR="004C4EBF">
        <w:t>—</w:t>
      </w:r>
      <w:r w:rsidR="00805576" w:rsidRPr="00B500B4">
        <w:rPr>
          <w:i/>
          <w:iCs/>
        </w:rPr>
        <w:t>Accommodation and Food Services</w:t>
      </w:r>
      <w:r w:rsidR="00805576" w:rsidRPr="00380B5C">
        <w:t xml:space="preserve"> </w:t>
      </w:r>
      <w:r w:rsidR="00B500B4">
        <w:t>and</w:t>
      </w:r>
      <w:r w:rsidR="00B500B4" w:rsidRPr="00B500B4">
        <w:rPr>
          <w:i/>
          <w:iCs/>
        </w:rPr>
        <w:t xml:space="preserve"> Administrative and Support Services</w:t>
      </w:r>
      <w:r w:rsidR="004C4EBF">
        <w:rPr>
          <w:i/>
          <w:iCs/>
        </w:rPr>
        <w:t>—</w:t>
      </w:r>
      <w:r w:rsidR="00B500B4">
        <w:t>had increases of 92% and 37% respectively.</w:t>
      </w:r>
      <w:r w:rsidR="00C05F3A">
        <w:t xml:space="preserve"> </w:t>
      </w:r>
      <w:r w:rsidR="003F7893">
        <w:t>T</w:t>
      </w:r>
      <w:r w:rsidR="00A1137B">
        <w:t>hese</w:t>
      </w:r>
      <w:r w:rsidR="008F3703">
        <w:t xml:space="preserve"> </w:t>
      </w:r>
      <w:r w:rsidR="00A1137B">
        <w:t xml:space="preserve">increases </w:t>
      </w:r>
      <w:r w:rsidR="00476902">
        <w:t xml:space="preserve">may be due to the </w:t>
      </w:r>
      <w:r w:rsidR="00AA0B10">
        <w:t>BAC program</w:t>
      </w:r>
      <w:r w:rsidR="00476902">
        <w:t xml:space="preserve"> but may also be due to </w:t>
      </w:r>
      <w:r w:rsidR="00FD6B3F">
        <w:t>pandemic</w:t>
      </w:r>
      <w:r w:rsidR="00476902">
        <w:t>-related factors</w:t>
      </w:r>
      <w:r w:rsidR="00AA0B10">
        <w:t>.</w:t>
      </w:r>
    </w:p>
    <w:p w14:paraId="013EC7D8" w14:textId="30B61052" w:rsidR="00805576" w:rsidRDefault="00485421" w:rsidP="00E10B46">
      <w:pPr>
        <w:pStyle w:val="Chartheading"/>
        <w:spacing w:line="240" w:lineRule="auto"/>
        <w:outlineLvl w:val="9"/>
      </w:pPr>
      <w:r>
        <w:t xml:space="preserve">Figure 24: </w:t>
      </w:r>
      <w:r w:rsidR="00805576">
        <w:t>Change in average apprenticeship commencements by industry per quarter</w:t>
      </w:r>
    </w:p>
    <w:p w14:paraId="60856017" w14:textId="77777777" w:rsidR="00805576" w:rsidRDefault="00805576" w:rsidP="007574A3">
      <w:pPr>
        <w:pStyle w:val="BodyText"/>
        <w:keepNext/>
      </w:pPr>
      <w:r>
        <w:rPr>
          <w:noProof/>
        </w:rPr>
        <w:drawing>
          <wp:inline distT="0" distB="0" distL="0" distR="0" wp14:anchorId="6918110E" wp14:editId="5B532D09">
            <wp:extent cx="5760720" cy="3896360"/>
            <wp:effectExtent l="0" t="0" r="0" b="8890"/>
            <wp:docPr id="570048623" name="Picture 570048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t="4215"/>
                    <a:stretch/>
                  </pic:blipFill>
                  <pic:spPr bwMode="auto">
                    <a:xfrm>
                      <a:off x="0" y="0"/>
                      <a:ext cx="5760720" cy="3896360"/>
                    </a:xfrm>
                    <a:prstGeom prst="rect">
                      <a:avLst/>
                    </a:prstGeom>
                    <a:noFill/>
                    <a:ln>
                      <a:noFill/>
                    </a:ln>
                    <a:extLst>
                      <a:ext uri="{53640926-AAD7-44D8-BBD7-CCE9431645EC}">
                        <a14:shadowObscured xmlns:a14="http://schemas.microsoft.com/office/drawing/2010/main"/>
                      </a:ext>
                    </a:extLst>
                  </pic:spPr>
                </pic:pic>
              </a:graphicData>
            </a:graphic>
          </wp:inline>
        </w:drawing>
      </w:r>
    </w:p>
    <w:p w14:paraId="77C43C27" w14:textId="77777777" w:rsidR="00805576" w:rsidRPr="00024DD8" w:rsidRDefault="00805576" w:rsidP="00BB7265">
      <w:pPr>
        <w:pStyle w:val="ChartorTableNote"/>
        <w:rPr>
          <w:szCs w:val="18"/>
        </w:rPr>
      </w:pPr>
      <w:r w:rsidRPr="00580999">
        <w:t xml:space="preserve">Source: </w:t>
      </w:r>
      <w:r>
        <w:rPr>
          <w:szCs w:val="18"/>
        </w:rPr>
        <w:t>DEWR administrative data</w:t>
      </w:r>
      <w:r w:rsidRPr="00580999">
        <w:rPr>
          <w:szCs w:val="18"/>
        </w:rPr>
        <w:t xml:space="preserve"> 2006-2023</w:t>
      </w:r>
      <w:r>
        <w:rPr>
          <w:szCs w:val="18"/>
        </w:rPr>
        <w:t>.</w:t>
      </w:r>
    </w:p>
    <w:p w14:paraId="1E9D7E95" w14:textId="3C2C07AB" w:rsidR="008D03D8" w:rsidRPr="00EC075A" w:rsidRDefault="00805576" w:rsidP="00BB7265">
      <w:pPr>
        <w:pStyle w:val="ChartorTableNote"/>
        <w:rPr>
          <w:i/>
          <w:szCs w:val="16"/>
        </w:rPr>
      </w:pPr>
      <w:r w:rsidRPr="00024DD8">
        <w:rPr>
          <w:szCs w:val="16"/>
        </w:rPr>
        <w:t>Note:</w:t>
      </w:r>
      <w:r w:rsidRPr="00FE0D8F">
        <w:rPr>
          <w:i/>
          <w:iCs/>
          <w:szCs w:val="16"/>
        </w:rPr>
        <w:t xml:space="preserve"> </w:t>
      </w:r>
      <w:bookmarkStart w:id="112" w:name="_Hlk175318955"/>
      <w:r>
        <w:rPr>
          <w:szCs w:val="16"/>
        </w:rPr>
        <w:t>‘</w:t>
      </w:r>
      <w:r w:rsidRPr="00E6117B">
        <w:rPr>
          <w:szCs w:val="16"/>
        </w:rPr>
        <w:t>BAC</w:t>
      </w:r>
      <w:r>
        <w:rPr>
          <w:szCs w:val="16"/>
        </w:rPr>
        <w:t>’</w:t>
      </w:r>
      <w:r w:rsidRPr="00E6117B">
        <w:rPr>
          <w:szCs w:val="16"/>
        </w:rPr>
        <w:t xml:space="preserve"> period refers to </w:t>
      </w:r>
      <w:r>
        <w:rPr>
          <w:szCs w:val="16"/>
        </w:rPr>
        <w:t xml:space="preserve">Quarter 4 </w:t>
      </w:r>
      <w:r w:rsidRPr="00E6117B">
        <w:rPr>
          <w:szCs w:val="16"/>
        </w:rPr>
        <w:t xml:space="preserve">2020 to </w:t>
      </w:r>
      <w:r>
        <w:rPr>
          <w:szCs w:val="16"/>
        </w:rPr>
        <w:t xml:space="preserve">Quarter 2 </w:t>
      </w:r>
      <w:r w:rsidRPr="00E6117B">
        <w:rPr>
          <w:szCs w:val="16"/>
        </w:rPr>
        <w:t xml:space="preserve">2022. ‘Previous’ period refers to </w:t>
      </w:r>
      <w:r>
        <w:rPr>
          <w:szCs w:val="16"/>
        </w:rPr>
        <w:t xml:space="preserve">Quarter 4 </w:t>
      </w:r>
      <w:r w:rsidRPr="00E6117B">
        <w:rPr>
          <w:szCs w:val="16"/>
        </w:rPr>
        <w:t xml:space="preserve">2017 to </w:t>
      </w:r>
      <w:r>
        <w:rPr>
          <w:szCs w:val="16"/>
        </w:rPr>
        <w:t xml:space="preserve">Quarter 2 </w:t>
      </w:r>
      <w:r w:rsidRPr="00E6117B">
        <w:rPr>
          <w:szCs w:val="16"/>
        </w:rPr>
        <w:t>2019.</w:t>
      </w:r>
      <w:bookmarkEnd w:id="112"/>
      <w:r w:rsidRPr="00E6117B">
        <w:rPr>
          <w:szCs w:val="16"/>
        </w:rPr>
        <w:t xml:space="preserve"> </w:t>
      </w:r>
      <w:r w:rsidR="008D03D8">
        <w:br w:type="page"/>
      </w:r>
    </w:p>
    <w:p w14:paraId="5527C6F8" w14:textId="4ECB46DE" w:rsidR="00243CF4" w:rsidRDefault="00817DE3" w:rsidP="007574A3">
      <w:pPr>
        <w:pStyle w:val="Heading1"/>
        <w:spacing w:line="240" w:lineRule="auto"/>
      </w:pPr>
      <w:bookmarkStart w:id="113" w:name="_Toc176782417"/>
      <w:r>
        <w:lastRenderedPageBreak/>
        <w:t xml:space="preserve">Appendix </w:t>
      </w:r>
      <w:r w:rsidR="00230DE6">
        <w:t>D</w:t>
      </w:r>
      <w:r w:rsidR="00243CF4">
        <w:t>: Progressed comm</w:t>
      </w:r>
      <w:r w:rsidR="00893088">
        <w:t>e</w:t>
      </w:r>
      <w:r w:rsidR="00243CF4">
        <w:t>ncements</w:t>
      </w:r>
      <w:bookmarkEnd w:id="113"/>
    </w:p>
    <w:p w14:paraId="1289FB7A" w14:textId="6DB7F8A0" w:rsidR="00070900" w:rsidRPr="00070900" w:rsidRDefault="00070900" w:rsidP="007574A3">
      <w:r>
        <w:t>While</w:t>
      </w:r>
      <w:r w:rsidR="0003343F">
        <w:t xml:space="preserve"> the </w:t>
      </w:r>
      <w:r w:rsidR="00A30915">
        <w:t>discussion</w:t>
      </w:r>
      <w:r w:rsidR="00370570">
        <w:t xml:space="preserve"> of completions</w:t>
      </w:r>
      <w:r w:rsidR="0003343F">
        <w:t xml:space="preserve"> in the body of the report</w:t>
      </w:r>
      <w:r w:rsidR="00A30915">
        <w:t xml:space="preserve"> </w:t>
      </w:r>
      <w:r w:rsidR="00893088">
        <w:t xml:space="preserve">focused on </w:t>
      </w:r>
      <w:r w:rsidR="007D6B7F">
        <w:t xml:space="preserve">the </w:t>
      </w:r>
      <w:r w:rsidR="007D6B7F" w:rsidRPr="003E27DF">
        <w:t>retention</w:t>
      </w:r>
      <w:r w:rsidR="007D6B7F">
        <w:t xml:space="preserve"> </w:t>
      </w:r>
      <w:r w:rsidR="007D6B7F" w:rsidRPr="007D6B7F">
        <w:rPr>
          <w:i/>
          <w:iCs/>
        </w:rPr>
        <w:t>rate</w:t>
      </w:r>
      <w:r w:rsidR="007D6B7F">
        <w:t xml:space="preserve">, another important measure is the </w:t>
      </w:r>
      <w:r w:rsidR="007D6B7F" w:rsidRPr="007D6B7F">
        <w:rPr>
          <w:i/>
          <w:iCs/>
        </w:rPr>
        <w:t>number</w:t>
      </w:r>
      <w:r w:rsidR="007D6B7F">
        <w:t xml:space="preserve"> of commencements</w:t>
      </w:r>
      <w:r w:rsidR="00CA7AD9">
        <w:t xml:space="preserve"> that </w:t>
      </w:r>
      <w:r w:rsidR="009C6B03">
        <w:t xml:space="preserve">progress </w:t>
      </w:r>
      <w:r w:rsidR="006E705C">
        <w:t>through</w:t>
      </w:r>
      <w:r w:rsidR="009C6B03">
        <w:t xml:space="preserve"> their training</w:t>
      </w:r>
      <w:r w:rsidR="00A23485">
        <w:t xml:space="preserve"> without cancelling</w:t>
      </w:r>
      <w:r w:rsidR="007D6B7F">
        <w:t xml:space="preserve">. </w:t>
      </w:r>
      <w:r w:rsidR="00CE3AE0">
        <w:t xml:space="preserve">We </w:t>
      </w:r>
      <w:r w:rsidR="00C44905">
        <w:t>refer to this as</w:t>
      </w:r>
      <w:r w:rsidR="00CE3AE0">
        <w:t xml:space="preserve"> </w:t>
      </w:r>
      <w:r w:rsidR="00A23485">
        <w:t>‘</w:t>
      </w:r>
      <w:r w:rsidR="00CE3AE0">
        <w:t>p</w:t>
      </w:r>
      <w:r>
        <w:t>rogressed commencements</w:t>
      </w:r>
      <w:r w:rsidR="00A23485">
        <w:t>’</w:t>
      </w:r>
      <w:r w:rsidR="00C44905">
        <w:t xml:space="preserve"> and </w:t>
      </w:r>
      <w:r w:rsidR="00CE3AE0">
        <w:t xml:space="preserve">define </w:t>
      </w:r>
      <w:r w:rsidR="00C44905">
        <w:t>it</w:t>
      </w:r>
      <w:r>
        <w:t xml:space="preserve"> </w:t>
      </w:r>
      <w:r w:rsidR="00CE3AE0">
        <w:t xml:space="preserve">as </w:t>
      </w:r>
      <w:r>
        <w:t xml:space="preserve">the </w:t>
      </w:r>
      <w:r w:rsidRPr="002834E5">
        <w:t>number</w:t>
      </w:r>
      <w:r>
        <w:t xml:space="preserve"> of commencing apprentices </w:t>
      </w:r>
      <w:r w:rsidR="00133A51">
        <w:t>from</w:t>
      </w:r>
      <w:r w:rsidR="00904EC9">
        <w:t xml:space="preserve"> a given </w:t>
      </w:r>
      <w:r w:rsidR="003A68F4">
        <w:t xml:space="preserve">quarter </w:t>
      </w:r>
      <w:r>
        <w:t xml:space="preserve">who </w:t>
      </w:r>
      <w:r w:rsidR="00133A51">
        <w:t xml:space="preserve">have completed or </w:t>
      </w:r>
      <w:r w:rsidR="00CE3AE0">
        <w:t>ar</w:t>
      </w:r>
      <w:r w:rsidR="00E22A46">
        <w:t xml:space="preserve">e </w:t>
      </w:r>
      <w:r>
        <w:t>continu</w:t>
      </w:r>
      <w:r w:rsidR="00E22A46">
        <w:t>ing</w:t>
      </w:r>
      <w:r>
        <w:t xml:space="preserve"> their apprenticeship </w:t>
      </w:r>
      <w:r w:rsidR="00133A51">
        <w:t>after</w:t>
      </w:r>
      <w:r>
        <w:t xml:space="preserve"> 6 quarters (18 months).</w:t>
      </w:r>
      <w:r w:rsidR="00E22A46">
        <w:t xml:space="preserve"> That is, the number of commencements who have not yet cancelled at the 6</w:t>
      </w:r>
      <w:r w:rsidR="00721703">
        <w:t>-</w:t>
      </w:r>
      <w:r w:rsidR="00E22A46">
        <w:t>quarter</w:t>
      </w:r>
      <w:r w:rsidR="003A68F4">
        <w:t xml:space="preserve"> </w:t>
      </w:r>
      <w:r w:rsidR="00E22A46">
        <w:t xml:space="preserve">mark. </w:t>
      </w:r>
    </w:p>
    <w:p w14:paraId="0355FA36" w14:textId="06F81440" w:rsidR="00070900" w:rsidRDefault="00070900" w:rsidP="007574A3">
      <w:pPr>
        <w:pStyle w:val="Heading2"/>
        <w:spacing w:line="240" w:lineRule="auto"/>
      </w:pPr>
      <w:bookmarkStart w:id="114" w:name="_Toc176782418"/>
      <w:r>
        <w:t>Descriptive statistics of progressed commencements</w:t>
      </w:r>
      <w:bookmarkEnd w:id="114"/>
    </w:p>
    <w:p w14:paraId="0FBF0EA1" w14:textId="6E68BDA9" w:rsidR="003E27DF" w:rsidRDefault="0018274A" w:rsidP="007574A3">
      <w:r>
        <w:t>W</w:t>
      </w:r>
      <w:r w:rsidR="00243CF4" w:rsidRPr="005619A2">
        <w:t xml:space="preserve">hile </w:t>
      </w:r>
      <w:r w:rsidR="00243CF4">
        <w:t xml:space="preserve">the total number of </w:t>
      </w:r>
      <w:r w:rsidR="00243CF4" w:rsidRPr="005619A2">
        <w:t>non-trade commencements during the BAC period were higher than trade</w:t>
      </w:r>
      <w:r w:rsidR="00243CF4">
        <w:t xml:space="preserve"> commencement</w:t>
      </w:r>
      <w:r w:rsidR="00243CF4" w:rsidRPr="005619A2">
        <w:t xml:space="preserve">s, the </w:t>
      </w:r>
      <w:r w:rsidR="00243CF4">
        <w:t xml:space="preserve">total </w:t>
      </w:r>
      <w:r w:rsidR="00243CF4" w:rsidRPr="005619A2">
        <w:t>number of </w:t>
      </w:r>
      <w:r w:rsidR="00243CF4" w:rsidRPr="005619A2">
        <w:rPr>
          <w:i/>
          <w:iCs/>
        </w:rPr>
        <w:t>progressed commencements</w:t>
      </w:r>
      <w:r w:rsidR="00243CF4" w:rsidRPr="005619A2">
        <w:t> were about the same</w:t>
      </w:r>
      <w:r w:rsidR="00243CF4">
        <w:t xml:space="preserve"> across trades and</w:t>
      </w:r>
      <w:r w:rsidR="00243CF4" w:rsidRPr="00B26343">
        <w:t xml:space="preserve"> </w:t>
      </w:r>
      <w:r w:rsidR="00243CF4">
        <w:t>non-trades</w:t>
      </w:r>
      <w:r w:rsidR="008A177B">
        <w:t xml:space="preserve"> </w:t>
      </w:r>
      <w:r w:rsidR="003B21F8">
        <w:t>(</w:t>
      </w:r>
      <w:r w:rsidR="008F3C54">
        <w:t>F</w:t>
      </w:r>
      <w:r w:rsidR="008A177B">
        <w:t xml:space="preserve">igure </w:t>
      </w:r>
      <w:r w:rsidR="008F3C54">
        <w:t>25</w:t>
      </w:r>
      <w:r w:rsidR="003B21F8">
        <w:t>)</w:t>
      </w:r>
      <w:r w:rsidR="008A177B">
        <w:t>.</w:t>
      </w:r>
      <w:r w:rsidR="00C818C2">
        <w:t xml:space="preserve"> This is due to the fact </w:t>
      </w:r>
      <w:r w:rsidR="00472C94">
        <w:t xml:space="preserve">apprentices </w:t>
      </w:r>
      <w:r w:rsidR="00615ED3">
        <w:t>who</w:t>
      </w:r>
      <w:r w:rsidR="00472C94">
        <w:t xml:space="preserve"> commenced a non-trade a</w:t>
      </w:r>
      <w:r w:rsidR="003E27DF">
        <w:t xml:space="preserve">pprenticeship during the program were more likely to cancel. </w:t>
      </w:r>
    </w:p>
    <w:p w14:paraId="5A979D59" w14:textId="1DCF8B78" w:rsidR="00C033A0" w:rsidRDefault="00485421" w:rsidP="00E10B46">
      <w:pPr>
        <w:pStyle w:val="Chartheading"/>
        <w:spacing w:line="240" w:lineRule="auto"/>
        <w:outlineLvl w:val="9"/>
      </w:pPr>
      <w:r>
        <w:t xml:space="preserve">Figure 25: </w:t>
      </w:r>
      <w:r w:rsidR="00243CF4">
        <w:t>Number of progressed commencements, by commencing quarter</w:t>
      </w:r>
    </w:p>
    <w:p w14:paraId="4FF275BF" w14:textId="22FFD5D4" w:rsidR="004E77CA" w:rsidRDefault="004E77CA" w:rsidP="007574A3">
      <w:r>
        <w:rPr>
          <w:noProof/>
        </w:rPr>
        <w:drawing>
          <wp:inline distT="0" distB="0" distL="0" distR="0" wp14:anchorId="251DEBDC" wp14:editId="14CD1D6C">
            <wp:extent cx="5772816" cy="3569286"/>
            <wp:effectExtent l="0" t="0" r="0" b="0"/>
            <wp:docPr id="310758342"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a:stretch/>
                  </pic:blipFill>
                  <pic:spPr bwMode="auto">
                    <a:xfrm>
                      <a:off x="0" y="0"/>
                      <a:ext cx="5773420" cy="3569660"/>
                    </a:xfrm>
                    <a:prstGeom prst="rect">
                      <a:avLst/>
                    </a:prstGeom>
                    <a:noFill/>
                    <a:ln>
                      <a:noFill/>
                    </a:ln>
                    <a:extLst>
                      <a:ext uri="{53640926-AAD7-44D8-BBD7-CCE9431645EC}">
                        <a14:shadowObscured xmlns:a14="http://schemas.microsoft.com/office/drawing/2010/main"/>
                      </a:ext>
                    </a:extLst>
                  </pic:spPr>
                </pic:pic>
              </a:graphicData>
            </a:graphic>
          </wp:inline>
        </w:drawing>
      </w:r>
    </w:p>
    <w:p w14:paraId="4E9F22E1" w14:textId="6AE906B4" w:rsidR="00A629F6" w:rsidRPr="00A629F6" w:rsidRDefault="00A629F6" w:rsidP="00A629F6">
      <w:pPr>
        <w:spacing w:before="0" w:after="0"/>
        <w:rPr>
          <w:sz w:val="18"/>
          <w:szCs w:val="18"/>
        </w:rPr>
      </w:pPr>
      <w:r w:rsidRPr="00580999">
        <w:rPr>
          <w:sz w:val="18"/>
          <w:szCs w:val="18"/>
        </w:rPr>
        <w:t xml:space="preserve">Source: </w:t>
      </w:r>
      <w:r>
        <w:rPr>
          <w:sz w:val="18"/>
          <w:szCs w:val="18"/>
        </w:rPr>
        <w:t>DEWR administrative data</w:t>
      </w:r>
      <w:r w:rsidRPr="00580999">
        <w:rPr>
          <w:sz w:val="18"/>
          <w:szCs w:val="18"/>
        </w:rPr>
        <w:t xml:space="preserve"> 2006-2023</w:t>
      </w:r>
      <w:r>
        <w:rPr>
          <w:sz w:val="18"/>
          <w:szCs w:val="18"/>
        </w:rPr>
        <w:t>.</w:t>
      </w:r>
    </w:p>
    <w:p w14:paraId="190AF343" w14:textId="25095049" w:rsidR="00A11609" w:rsidRDefault="00A11609" w:rsidP="007574A3">
      <w:pPr>
        <w:pStyle w:val="Heading2"/>
        <w:spacing w:line="240" w:lineRule="auto"/>
      </w:pPr>
      <w:bookmarkStart w:id="115" w:name="_Toc176782419"/>
      <w:r>
        <w:t>Econometric modelling of progressed commencements</w:t>
      </w:r>
      <w:bookmarkEnd w:id="115"/>
    </w:p>
    <w:p w14:paraId="5E6B585F" w14:textId="77777777" w:rsidR="00A11609" w:rsidRDefault="00A11609" w:rsidP="00E10B46">
      <w:pPr>
        <w:pStyle w:val="Heading3"/>
      </w:pPr>
      <w:bookmarkStart w:id="116" w:name="_Toc176782420"/>
      <w:r>
        <w:t>Econometric model</w:t>
      </w:r>
      <w:bookmarkEnd w:id="116"/>
    </w:p>
    <w:p w14:paraId="572A26A0" w14:textId="7EB68BD3" w:rsidR="00A11609" w:rsidRDefault="00A11609" w:rsidP="007574A3">
      <w:r>
        <w:t xml:space="preserve">We model ‘progressed commencements’ using a similar time-series model to </w:t>
      </w:r>
      <w:r w:rsidR="003C0737">
        <w:t>that</w:t>
      </w:r>
      <w:r>
        <w:t xml:space="preserve"> used </w:t>
      </w:r>
      <w:r w:rsidR="003C0737">
        <w:t xml:space="preserve">to </w:t>
      </w:r>
      <w:r>
        <w:t>model commencement numbers</w:t>
      </w:r>
      <w:r w:rsidR="00890BF7">
        <w:t xml:space="preserve"> (see Appendix B)</w:t>
      </w:r>
      <w:r w:rsidR="004338CB">
        <w:t>.</w:t>
      </w:r>
    </w:p>
    <w:p w14:paraId="0718BA78" w14:textId="528B6F22" w:rsidR="00A11609" w:rsidRDefault="00A11609" w:rsidP="007574A3">
      <w:r>
        <w:lastRenderedPageBreak/>
        <w:t>This model has the same structure and variables as the commencements model</w:t>
      </w:r>
      <w:r w:rsidR="00890BF7">
        <w:t>. However, it</w:t>
      </w:r>
      <w:r>
        <w:t xml:space="preserve"> adds labour market variables </w:t>
      </w:r>
      <w:r w:rsidR="00890BF7">
        <w:t xml:space="preserve">for </w:t>
      </w:r>
      <w:r>
        <w:t>2-</w:t>
      </w:r>
      <w:r w:rsidR="00890BF7">
        <w:t>quarters</w:t>
      </w:r>
      <w:r>
        <w:t xml:space="preserve"> and 5-quarter</w:t>
      </w:r>
      <w:r w:rsidR="00890BF7">
        <w:t xml:space="preserve">s </w:t>
      </w:r>
      <w:r>
        <w:t xml:space="preserve">ahead to allow for </w:t>
      </w:r>
      <w:r w:rsidR="00582969">
        <w:t xml:space="preserve">changes in </w:t>
      </w:r>
      <w:r>
        <w:t>conditions</w:t>
      </w:r>
      <w:r w:rsidR="00582969">
        <w:t>,</w:t>
      </w:r>
      <w:r>
        <w:t xml:space="preserve"> after commencement</w:t>
      </w:r>
      <w:r w:rsidR="00582969">
        <w:t>, that might</w:t>
      </w:r>
      <w:r>
        <w:t xml:space="preserve"> affect cancellation behaviour. The dependent variable is the log of </w:t>
      </w:r>
      <w:r w:rsidR="00254EFE">
        <w:t xml:space="preserve">progressed </w:t>
      </w:r>
      <w:r>
        <w:t>commencements.</w:t>
      </w:r>
    </w:p>
    <w:p w14:paraId="5AB6481D" w14:textId="560B5509" w:rsidR="00A11609" w:rsidRPr="006F20EB" w:rsidRDefault="00A11609" w:rsidP="007574A3">
      <w:r>
        <w:t>A ‘continuing rate’ variation of the model is also explored. This version adds the (log) number of commencements in a cohort to the model, turning its interpretation into ‘number of continuing apprenticeships for a given number of commencements’ (</w:t>
      </w:r>
      <w:r w:rsidR="00D9645F">
        <w:t>that is,</w:t>
      </w:r>
      <w:r>
        <w:t> the retention rate).</w:t>
      </w:r>
    </w:p>
    <w:p w14:paraId="1DF9550F" w14:textId="77777777" w:rsidR="00A11609" w:rsidRDefault="00A11609" w:rsidP="00E10B46">
      <w:pPr>
        <w:pStyle w:val="Heading3"/>
      </w:pPr>
      <w:bookmarkStart w:id="117" w:name="_Toc176782421"/>
      <w:r>
        <w:t>Results</w:t>
      </w:r>
      <w:bookmarkEnd w:id="117"/>
    </w:p>
    <w:p w14:paraId="0140CFBC" w14:textId="2E371D97" w:rsidR="00A11609" w:rsidRDefault="00FF2FA0" w:rsidP="007574A3">
      <w:r>
        <w:t>F</w:t>
      </w:r>
      <w:r w:rsidR="00A11609">
        <w:t xml:space="preserve">igure </w:t>
      </w:r>
      <w:r>
        <w:t>26</w:t>
      </w:r>
      <w:r w:rsidR="00A11609">
        <w:t xml:space="preserve"> shows the number of progressed commencements in a particular quarter under both the BAC (actual) and non-BAC (counterfactual) scenarios.</w:t>
      </w:r>
    </w:p>
    <w:p w14:paraId="430DDC7D" w14:textId="4C148B99" w:rsidR="009F4C65" w:rsidRDefault="00A11609" w:rsidP="007574A3">
      <w:r>
        <w:t xml:space="preserve">As with the commencements modelling, both trade and non-trade </w:t>
      </w:r>
      <w:r w:rsidRPr="00466210">
        <w:rPr>
          <w:i/>
        </w:rPr>
        <w:t>progressed</w:t>
      </w:r>
      <w:r>
        <w:t xml:space="preserve"> commencements were </w:t>
      </w:r>
      <w:r w:rsidR="00466210">
        <w:t>materially</w:t>
      </w:r>
      <w:r>
        <w:t xml:space="preserve"> higher during the BAC period than would have been expected without the BAC program.</w:t>
      </w:r>
      <w:r w:rsidR="009F4C65">
        <w:t xml:space="preserve"> However, unlike </w:t>
      </w:r>
      <w:r w:rsidR="0005443D">
        <w:t xml:space="preserve">the commencements modelling, the results for trades and non-trades are more similar. This is </w:t>
      </w:r>
      <w:r w:rsidR="000B0152">
        <w:t xml:space="preserve">due to the higher cancellation rates for trades. </w:t>
      </w:r>
    </w:p>
    <w:p w14:paraId="7EE72282" w14:textId="6B9BF954" w:rsidR="00244226" w:rsidRPr="00B57986" w:rsidRDefault="00485421" w:rsidP="00E10B46">
      <w:pPr>
        <w:pStyle w:val="Chartheading"/>
        <w:spacing w:line="240" w:lineRule="auto"/>
        <w:outlineLvl w:val="9"/>
      </w:pPr>
      <w:r>
        <w:t xml:space="preserve">Figure 26: </w:t>
      </w:r>
      <w:r w:rsidR="00A11609">
        <w:t>Additional progressed commencements, by quarter of commencement</w:t>
      </w:r>
    </w:p>
    <w:p w14:paraId="152E5BD1" w14:textId="3484197D" w:rsidR="006759C6" w:rsidRDefault="006759C6" w:rsidP="007574A3">
      <w:pPr>
        <w:rPr>
          <w:sz w:val="18"/>
          <w:szCs w:val="18"/>
        </w:rPr>
      </w:pPr>
      <w:r>
        <w:rPr>
          <w:noProof/>
          <w:sz w:val="18"/>
          <w:szCs w:val="18"/>
        </w:rPr>
        <w:drawing>
          <wp:inline distT="0" distB="0" distL="0" distR="0" wp14:anchorId="1474DF30" wp14:editId="23DA9D31">
            <wp:extent cx="5755005" cy="3867757"/>
            <wp:effectExtent l="0" t="0" r="0" b="0"/>
            <wp:docPr id="190023669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a:stretch/>
                  </pic:blipFill>
                  <pic:spPr bwMode="auto">
                    <a:xfrm>
                      <a:off x="0" y="0"/>
                      <a:ext cx="5755005" cy="3867757"/>
                    </a:xfrm>
                    <a:prstGeom prst="rect">
                      <a:avLst/>
                    </a:prstGeom>
                    <a:noFill/>
                    <a:ln>
                      <a:noFill/>
                    </a:ln>
                    <a:extLst>
                      <a:ext uri="{53640926-AAD7-44D8-BBD7-CCE9431645EC}">
                        <a14:shadowObscured xmlns:a14="http://schemas.microsoft.com/office/drawing/2010/main"/>
                      </a:ext>
                    </a:extLst>
                  </pic:spPr>
                </pic:pic>
              </a:graphicData>
            </a:graphic>
          </wp:inline>
        </w:drawing>
      </w:r>
    </w:p>
    <w:p w14:paraId="762FCDA1" w14:textId="106BDDF3" w:rsidR="00A11609" w:rsidRPr="00DA1F2D" w:rsidRDefault="00DA1F2D" w:rsidP="00BB7265">
      <w:pPr>
        <w:pStyle w:val="ChartorTableNote"/>
        <w:jc w:val="left"/>
        <w:rPr>
          <w:szCs w:val="18"/>
        </w:rPr>
      </w:pPr>
      <w:r w:rsidRPr="00580999">
        <w:t xml:space="preserve">Source: </w:t>
      </w:r>
      <w:r>
        <w:rPr>
          <w:szCs w:val="18"/>
        </w:rPr>
        <w:t>Treasury modelling, see Appendix B for details.</w:t>
      </w:r>
      <w:r w:rsidR="003C0737">
        <w:rPr>
          <w:szCs w:val="18"/>
        </w:rPr>
        <w:br/>
        <w:t xml:space="preserve">Note: </w:t>
      </w:r>
      <w:r w:rsidR="00E855B7">
        <w:rPr>
          <w:szCs w:val="18"/>
        </w:rPr>
        <w:t xml:space="preserve">These charts show </w:t>
      </w:r>
      <w:r w:rsidR="00AC7C79">
        <w:rPr>
          <w:szCs w:val="18"/>
        </w:rPr>
        <w:t xml:space="preserve">number of commencements for a particular quarter </w:t>
      </w:r>
      <w:r w:rsidR="00E51508" w:rsidRPr="00E51508">
        <w:rPr>
          <w:szCs w:val="18"/>
        </w:rPr>
        <w:t>who</w:t>
      </w:r>
      <w:r w:rsidR="00E51508">
        <w:rPr>
          <w:szCs w:val="18"/>
        </w:rPr>
        <w:t xml:space="preserve">, 18 months later, had </w:t>
      </w:r>
      <w:r w:rsidR="00605E43">
        <w:rPr>
          <w:szCs w:val="18"/>
        </w:rPr>
        <w:t>not cancelled their apprenticeship.</w:t>
      </w:r>
    </w:p>
    <w:p w14:paraId="22F09EF0" w14:textId="37B41EA2" w:rsidR="00A11609" w:rsidRPr="004426F8" w:rsidRDefault="00A11609" w:rsidP="007574A3">
      <w:r w:rsidRPr="004426F8">
        <w:t>This model provides a proxy answer to the question of whether more commencing apprentices will complete their qualification. However, there are some inherent issues with this approach</w:t>
      </w:r>
      <w:r w:rsidR="000B0152">
        <w:t xml:space="preserve"> to keep in mind</w:t>
      </w:r>
      <w:r w:rsidRPr="004426F8">
        <w:t>:</w:t>
      </w:r>
    </w:p>
    <w:p w14:paraId="040E2400" w14:textId="4A219263" w:rsidR="00A11609" w:rsidRPr="004426F8" w:rsidRDefault="0091773B" w:rsidP="007574A3">
      <w:pPr>
        <w:pStyle w:val="OutlineNumbered1"/>
      </w:pPr>
      <w:r>
        <w:t xml:space="preserve">This model has a similar structure and variables as the </w:t>
      </w:r>
      <w:r w:rsidR="00144125">
        <w:t xml:space="preserve">commencements </w:t>
      </w:r>
      <w:r w:rsidR="00871A5C">
        <w:t xml:space="preserve">model however </w:t>
      </w:r>
      <w:r w:rsidR="000D0068">
        <w:t xml:space="preserve">it </w:t>
      </w:r>
      <w:r w:rsidR="00A87A11">
        <w:t xml:space="preserve">differs in </w:t>
      </w:r>
      <w:r w:rsidR="00986B72">
        <w:t xml:space="preserve">two ways: </w:t>
      </w:r>
      <w:r w:rsidR="00A62320">
        <w:t xml:space="preserve">it </w:t>
      </w:r>
      <w:r w:rsidR="00BD2FCC">
        <w:t xml:space="preserve">estimates </w:t>
      </w:r>
      <w:r w:rsidR="00BD2FCC" w:rsidRPr="00BC040D">
        <w:rPr>
          <w:i/>
          <w:iCs/>
        </w:rPr>
        <w:t xml:space="preserve">progressed </w:t>
      </w:r>
      <w:r w:rsidR="00BD2FCC">
        <w:t xml:space="preserve">commencements, rather than </w:t>
      </w:r>
      <w:r w:rsidR="00BD2FCC" w:rsidRPr="00BC040D">
        <w:rPr>
          <w:i/>
          <w:iCs/>
        </w:rPr>
        <w:t>total</w:t>
      </w:r>
      <w:r w:rsidR="00BD2FCC">
        <w:t xml:space="preserve"> commencements</w:t>
      </w:r>
      <w:r w:rsidR="00BC040D">
        <w:t xml:space="preserve">, and so it </w:t>
      </w:r>
      <w:r w:rsidR="00AD620E">
        <w:lastRenderedPageBreak/>
        <w:t>includes</w:t>
      </w:r>
      <w:r w:rsidR="00A4507F">
        <w:t xml:space="preserve"> </w:t>
      </w:r>
      <w:r w:rsidR="00A4507F" w:rsidRPr="00A4507F">
        <w:t>2- and 5-quarter-ahead labour market variables</w:t>
      </w:r>
      <w:r w:rsidR="00BC040D">
        <w:t>. Consequently, the results from the two models are not directly comparable.</w:t>
      </w:r>
      <w:r w:rsidR="00BC040D" w:rsidRPr="004426F8" w:rsidDel="00BC040D">
        <w:t xml:space="preserve"> </w:t>
      </w:r>
    </w:p>
    <w:p w14:paraId="2D87BA11" w14:textId="2F655885" w:rsidR="00A11609" w:rsidRPr="004426F8" w:rsidRDefault="00215B26" w:rsidP="007574A3">
      <w:pPr>
        <w:pStyle w:val="OutlineNumbered1"/>
      </w:pPr>
      <w:r>
        <w:t>The m</w:t>
      </w:r>
      <w:r w:rsidR="00A11609">
        <w:t>odel does</w:t>
      </w:r>
      <w:r w:rsidR="002352C8">
        <w:t xml:space="preserve"> not</w:t>
      </w:r>
      <w:r w:rsidR="00A11609">
        <w:t xml:space="preserve"> account for c</w:t>
      </w:r>
      <w:r w:rsidR="00A11609" w:rsidRPr="004426F8">
        <w:t>ompositional change in commence</w:t>
      </w:r>
      <w:r w:rsidR="00A11609">
        <w:t>ment</w:t>
      </w:r>
      <w:r w:rsidR="00A11609" w:rsidRPr="004426F8">
        <w:t xml:space="preserve"> demographics</w:t>
      </w:r>
      <w:r>
        <w:t>.</w:t>
      </w:r>
      <w:r w:rsidR="00F2323A">
        <w:t xml:space="preserve"> For example, </w:t>
      </w:r>
      <w:r w:rsidR="00364A71">
        <w:t xml:space="preserve">the model does not adjust for the </w:t>
      </w:r>
      <w:r w:rsidR="00CD1533">
        <w:t>older age of</w:t>
      </w:r>
      <w:r w:rsidR="00364A71">
        <w:t xml:space="preserve"> </w:t>
      </w:r>
      <w:r w:rsidR="00D77B05">
        <w:t>BAC commencements</w:t>
      </w:r>
      <w:r w:rsidR="00364A71">
        <w:t>.</w:t>
      </w:r>
    </w:p>
    <w:p w14:paraId="4AF9DC24" w14:textId="2CD693F2" w:rsidR="00A11609" w:rsidRPr="004426F8" w:rsidRDefault="00215B26" w:rsidP="007574A3">
      <w:pPr>
        <w:pStyle w:val="OutlineNumbered1"/>
      </w:pPr>
      <w:r>
        <w:t>The m</w:t>
      </w:r>
      <w:r w:rsidR="00A11609">
        <w:t>odel does</w:t>
      </w:r>
      <w:r w:rsidR="002352C8">
        <w:t xml:space="preserve"> not </w:t>
      </w:r>
      <w:r w:rsidR="00A11609">
        <w:t xml:space="preserve">account for </w:t>
      </w:r>
      <w:r w:rsidR="00A11609" w:rsidRPr="004426F8">
        <w:t>compositional change</w:t>
      </w:r>
      <w:r w:rsidR="00A11609">
        <w:t xml:space="preserve"> in a</w:t>
      </w:r>
      <w:r w:rsidR="00A11609" w:rsidRPr="004426F8">
        <w:t>pprenticeship type (occupation, industry)</w:t>
      </w:r>
      <w:r>
        <w:t>.</w:t>
      </w:r>
      <w:r w:rsidR="00CD1533">
        <w:t xml:space="preserve"> For example, the model does not adjust for the </w:t>
      </w:r>
      <w:r w:rsidR="00246869">
        <w:t>shift towards non-trade occupations during BAC.</w:t>
      </w:r>
    </w:p>
    <w:p w14:paraId="6E7F333B" w14:textId="4B2595F0" w:rsidR="00A11609" w:rsidRPr="004426F8" w:rsidRDefault="00215B26" w:rsidP="007574A3">
      <w:pPr>
        <w:pStyle w:val="OutlineNumbered1"/>
      </w:pPr>
      <w:r>
        <w:t>The m</w:t>
      </w:r>
      <w:r w:rsidR="00A11609" w:rsidRPr="004426F8">
        <w:t>odel does</w:t>
      </w:r>
      <w:r w:rsidR="002352C8">
        <w:t xml:space="preserve"> not</w:t>
      </w:r>
      <w:r w:rsidR="00A11609" w:rsidRPr="004426F8">
        <w:t xml:space="preserve"> factor in changes in </w:t>
      </w:r>
      <w:r w:rsidR="00FD5CF6">
        <w:t>the number of people commencing apprenticeships in each quarter</w:t>
      </w:r>
      <w:r>
        <w:t>.</w:t>
      </w:r>
      <w:r w:rsidR="000D333D">
        <w:t xml:space="preserve"> </w:t>
      </w:r>
    </w:p>
    <w:p w14:paraId="68516660" w14:textId="61735E1B" w:rsidR="00243CF4" w:rsidRPr="00721703" w:rsidRDefault="00A11609" w:rsidP="007574A3">
      <w:r w:rsidRPr="004426F8">
        <w:t>Th</w:t>
      </w:r>
      <w:r w:rsidR="00D21414">
        <w:t>e compositional and commencement effects (point 2-4 above)</w:t>
      </w:r>
      <w:r w:rsidR="0051076E">
        <w:t xml:space="preserve"> are addressed by the individual-level probit model reported in the cancellations section. </w:t>
      </w:r>
      <w:r w:rsidR="00243CF4">
        <w:br w:type="page"/>
      </w:r>
    </w:p>
    <w:p w14:paraId="1BDE87D8" w14:textId="29FF3C55" w:rsidR="00EE188B" w:rsidRPr="00BB7265" w:rsidRDefault="00817DE3" w:rsidP="007574A3">
      <w:pPr>
        <w:pStyle w:val="Heading1"/>
        <w:spacing w:line="240" w:lineRule="auto"/>
        <w:rPr>
          <w:spacing w:val="-4"/>
        </w:rPr>
      </w:pPr>
      <w:bookmarkStart w:id="118" w:name="_Toc176782422"/>
      <w:r w:rsidRPr="00BB7265">
        <w:rPr>
          <w:spacing w:val="-4"/>
        </w:rPr>
        <w:lastRenderedPageBreak/>
        <w:t xml:space="preserve">Appendix </w:t>
      </w:r>
      <w:r w:rsidR="00230DE6" w:rsidRPr="00BB7265">
        <w:rPr>
          <w:spacing w:val="-4"/>
        </w:rPr>
        <w:t>E</w:t>
      </w:r>
      <w:r w:rsidRPr="00BB7265">
        <w:rPr>
          <w:spacing w:val="-4"/>
        </w:rPr>
        <w:t xml:space="preserve">: </w:t>
      </w:r>
      <w:r w:rsidR="003F6701" w:rsidRPr="00BB7265">
        <w:rPr>
          <w:spacing w:val="-4"/>
        </w:rPr>
        <w:t>R</w:t>
      </w:r>
      <w:r w:rsidR="00A121A4" w:rsidRPr="00BB7265">
        <w:rPr>
          <w:spacing w:val="-4"/>
        </w:rPr>
        <w:t xml:space="preserve">eview of previous </w:t>
      </w:r>
      <w:r w:rsidR="003F6701" w:rsidRPr="00BB7265">
        <w:rPr>
          <w:spacing w:val="-4"/>
        </w:rPr>
        <w:t xml:space="preserve">evaluations of </w:t>
      </w:r>
      <w:r w:rsidR="00A121A4" w:rsidRPr="00BB7265">
        <w:rPr>
          <w:spacing w:val="-4"/>
        </w:rPr>
        <w:t xml:space="preserve">apprentice </w:t>
      </w:r>
      <w:r w:rsidR="002449F9" w:rsidRPr="00BB7265">
        <w:rPr>
          <w:spacing w:val="-4"/>
        </w:rPr>
        <w:t>wage subsidy programs</w:t>
      </w:r>
      <w:bookmarkEnd w:id="118"/>
    </w:p>
    <w:p w14:paraId="229FF5EA" w14:textId="49D2C008" w:rsidR="003F6701" w:rsidRPr="003F6701" w:rsidRDefault="003F6701" w:rsidP="007574A3">
      <w:r>
        <w:t xml:space="preserve">This appendix summarises the findings from </w:t>
      </w:r>
      <w:r w:rsidR="00097FEB">
        <w:t xml:space="preserve">4 previous evaluations of Australian </w:t>
      </w:r>
      <w:r w:rsidR="00097FEB" w:rsidRPr="00097FEB">
        <w:t>apprentice wage subsidy programs</w:t>
      </w:r>
      <w:r w:rsidR="00097FEB">
        <w:t>.</w:t>
      </w:r>
    </w:p>
    <w:tbl>
      <w:tblPr>
        <w:tblStyle w:val="TableGrid"/>
        <w:tblW w:w="5000" w:type="pct"/>
        <w:tblLook w:val="04A0" w:firstRow="1" w:lastRow="0" w:firstColumn="1" w:lastColumn="0" w:noHBand="0" w:noVBand="1"/>
      </w:tblPr>
      <w:tblGrid>
        <w:gridCol w:w="1311"/>
        <w:gridCol w:w="3161"/>
        <w:gridCol w:w="4570"/>
      </w:tblGrid>
      <w:tr w:rsidR="00D226C8" w14:paraId="3DC049BA" w14:textId="77777777" w:rsidTr="00BB7265">
        <w:trPr>
          <w:cnfStyle w:val="100000000000" w:firstRow="1" w:lastRow="0" w:firstColumn="0" w:lastColumn="0" w:oddVBand="0" w:evenVBand="0" w:oddHBand="0" w:evenHBand="0" w:firstRowFirstColumn="0" w:firstRowLastColumn="0" w:lastRowFirstColumn="0" w:lastRowLastColumn="0"/>
        </w:trPr>
        <w:tc>
          <w:tcPr>
            <w:tcW w:w="1311"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shd w:val="clear" w:color="auto" w:fill="B2CEBF" w:themeFill="accent2" w:themeFillTint="66"/>
          </w:tcPr>
          <w:p w14:paraId="430E27CF" w14:textId="77777777" w:rsidR="00EE188B" w:rsidRPr="004974D2" w:rsidRDefault="00EE188B" w:rsidP="007574A3">
            <w:pPr>
              <w:rPr>
                <w:b w:val="0"/>
                <w:bCs/>
                <w:color w:val="auto"/>
              </w:rPr>
            </w:pPr>
            <w:r w:rsidRPr="004974D2">
              <w:rPr>
                <w:bCs/>
                <w:color w:val="auto"/>
              </w:rPr>
              <w:t>Program</w:t>
            </w:r>
          </w:p>
        </w:tc>
        <w:tc>
          <w:tcPr>
            <w:tcW w:w="3225"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shd w:val="clear" w:color="auto" w:fill="B2CEBF" w:themeFill="accent2" w:themeFillTint="66"/>
          </w:tcPr>
          <w:p w14:paraId="111A0ED6" w14:textId="77777777" w:rsidR="00EE188B" w:rsidRPr="004974D2" w:rsidRDefault="00EE188B" w:rsidP="007574A3">
            <w:pPr>
              <w:rPr>
                <w:b w:val="0"/>
                <w:bCs/>
                <w:color w:val="auto"/>
              </w:rPr>
            </w:pPr>
            <w:r w:rsidRPr="004974D2">
              <w:rPr>
                <w:bCs/>
                <w:color w:val="auto"/>
              </w:rPr>
              <w:t xml:space="preserve">Program details </w:t>
            </w:r>
            <w:r w:rsidRPr="004974D2">
              <w:rPr>
                <w:color w:val="auto"/>
              </w:rPr>
              <w:t xml:space="preserve"> </w:t>
            </w:r>
          </w:p>
        </w:tc>
        <w:tc>
          <w:tcPr>
            <w:tcW w:w="4663"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shd w:val="clear" w:color="auto" w:fill="B2CEBF" w:themeFill="accent2" w:themeFillTint="66"/>
          </w:tcPr>
          <w:p w14:paraId="2FB7EB07" w14:textId="77777777" w:rsidR="00EE188B" w:rsidRPr="004974D2" w:rsidRDefault="00EE188B" w:rsidP="007574A3">
            <w:pPr>
              <w:rPr>
                <w:b w:val="0"/>
                <w:bCs/>
                <w:color w:val="auto"/>
              </w:rPr>
            </w:pPr>
            <w:r w:rsidRPr="004974D2">
              <w:rPr>
                <w:bCs/>
                <w:color w:val="auto"/>
              </w:rPr>
              <w:t>Key findings from previous evaluations</w:t>
            </w:r>
          </w:p>
        </w:tc>
      </w:tr>
      <w:tr w:rsidR="00D226C8" w14:paraId="15CF1372" w14:textId="77777777" w:rsidTr="00BB7265">
        <w:tc>
          <w:tcPr>
            <w:tcW w:w="1311"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tcPr>
          <w:p w14:paraId="14D94AC7" w14:textId="77777777" w:rsidR="00EE188B" w:rsidRPr="00B86D54" w:rsidRDefault="00EE188B" w:rsidP="007574A3">
            <w:pPr>
              <w:rPr>
                <w:b/>
                <w:bCs/>
              </w:rPr>
            </w:pPr>
            <w:r w:rsidRPr="00B86D54">
              <w:rPr>
                <w:b/>
                <w:bCs/>
              </w:rPr>
              <w:t>Australian Apprenticeship Incentives Program (AAIP)</w:t>
            </w:r>
          </w:p>
        </w:tc>
        <w:tc>
          <w:tcPr>
            <w:tcW w:w="3225"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tcPr>
          <w:p w14:paraId="018DF2BC" w14:textId="05DAD93D" w:rsidR="006D36AE" w:rsidRPr="006D36AE" w:rsidRDefault="00754C8E" w:rsidP="007574A3">
            <w:r>
              <w:rPr>
                <w:b/>
                <w:bCs/>
              </w:rPr>
              <w:t xml:space="preserve">Program: </w:t>
            </w:r>
            <w:r w:rsidR="00EE188B">
              <w:t>Payments made to employers, typically $1500 at commencement and $2500 at completion.</w:t>
            </w:r>
          </w:p>
          <w:p w14:paraId="2B4AAA22" w14:textId="6E13B5B0" w:rsidR="00EE188B" w:rsidRDefault="00EE188B" w:rsidP="007574A3">
            <w:r w:rsidRPr="00722879">
              <w:rPr>
                <w:b/>
                <w:bCs/>
              </w:rPr>
              <w:t>Eligibility:</w:t>
            </w:r>
            <w:r>
              <w:t xml:space="preserve"> All apprentices</w:t>
            </w:r>
            <w:r w:rsidR="00B46876">
              <w:t xml:space="preserve"> and trainees</w:t>
            </w:r>
            <w:r w:rsidR="000F5605">
              <w:t>.</w:t>
            </w:r>
          </w:p>
          <w:p w14:paraId="57991F6F" w14:textId="6386AD66" w:rsidR="00EE188B" w:rsidRDefault="00EE188B" w:rsidP="007574A3">
            <w:r w:rsidRPr="00722879">
              <w:rPr>
                <w:b/>
                <w:bCs/>
              </w:rPr>
              <w:t xml:space="preserve">Timing: </w:t>
            </w:r>
            <w:r>
              <w:t xml:space="preserve">Commenced </w:t>
            </w:r>
            <w:r w:rsidR="00F1389F">
              <w:t>in</w:t>
            </w:r>
            <w:r>
              <w:t xml:space="preserve"> 1998</w:t>
            </w:r>
            <w:r w:rsidR="000F5605">
              <w:t>.</w:t>
            </w:r>
          </w:p>
        </w:tc>
        <w:tc>
          <w:tcPr>
            <w:tcW w:w="4663"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tcPr>
          <w:p w14:paraId="6A97DD09" w14:textId="26B42379" w:rsidR="00EE188B" w:rsidRDefault="00EE188B" w:rsidP="007574A3">
            <w:pPr>
              <w:rPr>
                <w:b/>
                <w:bCs/>
              </w:rPr>
            </w:pPr>
            <w:r>
              <w:rPr>
                <w:b/>
                <w:bCs/>
              </w:rPr>
              <w:t xml:space="preserve">Deloitte </w:t>
            </w:r>
            <w:r w:rsidR="00786627">
              <w:rPr>
                <w:b/>
                <w:bCs/>
              </w:rPr>
              <w:t>Access Economics (2020)</w:t>
            </w:r>
            <w:r>
              <w:rPr>
                <w:b/>
                <w:bCs/>
              </w:rPr>
              <w:t xml:space="preserve"> report found:</w:t>
            </w:r>
          </w:p>
          <w:p w14:paraId="5F078F24" w14:textId="4FC77B76" w:rsidR="00EE188B" w:rsidRDefault="00EE188B" w:rsidP="007574A3">
            <w:pPr>
              <w:pStyle w:val="Bullet"/>
              <w:numPr>
                <w:ilvl w:val="0"/>
                <w:numId w:val="14"/>
              </w:numPr>
              <w:tabs>
                <w:tab w:val="clear" w:pos="720"/>
              </w:tabs>
              <w:spacing w:after="0" w:line="240" w:lineRule="auto"/>
            </w:pPr>
            <w:r>
              <w:t>Commencements declined over the decade (from a peak of 330,000 in 2010-11 to around 155,000 in 2018-19), largely due to the withdrawal of incentives for existing workers in occupations not on the National Skills Needs List in 2012-13.</w:t>
            </w:r>
          </w:p>
          <w:p w14:paraId="400B4600" w14:textId="15E4EC99" w:rsidR="00EE188B" w:rsidRDefault="00EE188B" w:rsidP="007574A3">
            <w:pPr>
              <w:pStyle w:val="Bullet"/>
              <w:numPr>
                <w:ilvl w:val="0"/>
                <w:numId w:val="14"/>
              </w:numPr>
              <w:tabs>
                <w:tab w:val="clear" w:pos="720"/>
              </w:tabs>
              <w:spacing w:after="0" w:line="240" w:lineRule="auto"/>
            </w:pPr>
            <w:r>
              <w:t>The drivers of commencements over 2010-2020 appear</w:t>
            </w:r>
            <w:r w:rsidR="006B0764">
              <w:t>ed</w:t>
            </w:r>
            <w:r>
              <w:t xml:space="preserve"> to be specific to individual occupations and specific state and territory economic and policy changes.</w:t>
            </w:r>
          </w:p>
          <w:p w14:paraId="0B893363" w14:textId="25EA6951" w:rsidR="00EE188B" w:rsidRDefault="00EE188B" w:rsidP="007574A3">
            <w:pPr>
              <w:pStyle w:val="Bullet"/>
              <w:numPr>
                <w:ilvl w:val="0"/>
                <w:numId w:val="14"/>
              </w:numPr>
              <w:tabs>
                <w:tab w:val="clear" w:pos="720"/>
              </w:tabs>
              <w:spacing w:after="0" w:line="240" w:lineRule="auto"/>
            </w:pPr>
            <w:r>
              <w:t>Trade-based apprenticeship commencements ha</w:t>
            </w:r>
            <w:r w:rsidR="00DF1D5E">
              <w:t>d</w:t>
            </w:r>
            <w:r>
              <w:t xml:space="preserve"> not grown with population and employment growth as they were largely stable over 2013/14-2018/19.</w:t>
            </w:r>
          </w:p>
          <w:p w14:paraId="29851816" w14:textId="7616530E" w:rsidR="00EE188B" w:rsidRDefault="00EE188B" w:rsidP="007574A3">
            <w:pPr>
              <w:pStyle w:val="Bullet"/>
              <w:numPr>
                <w:ilvl w:val="0"/>
                <w:numId w:val="14"/>
              </w:numPr>
              <w:tabs>
                <w:tab w:val="clear" w:pos="720"/>
              </w:tabs>
              <w:spacing w:after="0" w:line="240" w:lineRule="auto"/>
            </w:pPr>
            <w:r>
              <w:t xml:space="preserve">The implicit training subsidies arising from the AAIP </w:t>
            </w:r>
            <w:r w:rsidR="00695AE1">
              <w:t>we</w:t>
            </w:r>
            <w:r>
              <w:t xml:space="preserve">re much higher for non-trade-based traineeships than trade-based apprenticeships because non-trade-based traineeships </w:t>
            </w:r>
            <w:r w:rsidR="00073027">
              <w:t>we</w:t>
            </w:r>
            <w:r>
              <w:t>re of a much shorter duration.</w:t>
            </w:r>
          </w:p>
          <w:p w14:paraId="71F9C387" w14:textId="6512DCE6" w:rsidR="00EE188B" w:rsidRDefault="00EE188B" w:rsidP="007574A3">
            <w:pPr>
              <w:pStyle w:val="Bullet"/>
              <w:numPr>
                <w:ilvl w:val="0"/>
                <w:numId w:val="14"/>
              </w:numPr>
              <w:tabs>
                <w:tab w:val="clear" w:pos="720"/>
              </w:tabs>
              <w:spacing w:after="0" w:line="240" w:lineRule="auto"/>
            </w:pPr>
            <w:r>
              <w:t xml:space="preserve">Evidence of the effect of incentives on completion rates </w:t>
            </w:r>
            <w:r w:rsidR="00871612">
              <w:t>wa</w:t>
            </w:r>
            <w:r>
              <w:t>s mixed.</w:t>
            </w:r>
          </w:p>
        </w:tc>
      </w:tr>
      <w:tr w:rsidR="00D226C8" w14:paraId="0286AC53" w14:textId="77777777" w:rsidTr="00BB7265">
        <w:tc>
          <w:tcPr>
            <w:tcW w:w="1311"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tcPr>
          <w:p w14:paraId="4429CA90" w14:textId="77777777" w:rsidR="00EE188B" w:rsidRPr="00880B30" w:rsidRDefault="00EE188B" w:rsidP="007574A3">
            <w:pPr>
              <w:rPr>
                <w:b/>
                <w:bCs/>
              </w:rPr>
            </w:pPr>
            <w:r w:rsidRPr="00880B30">
              <w:rPr>
                <w:b/>
                <w:bCs/>
              </w:rPr>
              <w:t>Australian Apprenticeship Wage Subsidy (AAWS)</w:t>
            </w:r>
          </w:p>
          <w:p w14:paraId="124CE177" w14:textId="77777777" w:rsidR="00EE188B" w:rsidRDefault="00EE188B" w:rsidP="007574A3"/>
        </w:tc>
        <w:tc>
          <w:tcPr>
            <w:tcW w:w="3225"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tcPr>
          <w:p w14:paraId="2A723BF8" w14:textId="5654BB1C" w:rsidR="00EE188B" w:rsidRDefault="002A6C14" w:rsidP="007574A3">
            <w:r w:rsidRPr="00754C8E">
              <w:rPr>
                <w:b/>
                <w:bCs/>
              </w:rPr>
              <w:t>Program:</w:t>
            </w:r>
            <w:r>
              <w:t xml:space="preserve"> </w:t>
            </w:r>
            <w:r w:rsidR="00754C8E">
              <w:t xml:space="preserve">The wage subsidy was calibrated to 75% of the award wage in the first year, 50% in the second year and 25% for the third year (and no subsidy in the fourth year). </w:t>
            </w:r>
            <w:r w:rsidR="00EE188B">
              <w:t>For regional employers.</w:t>
            </w:r>
          </w:p>
          <w:p w14:paraId="124D2334" w14:textId="63DA238C" w:rsidR="00EE188B" w:rsidRDefault="002A6C14" w:rsidP="007574A3">
            <w:r w:rsidRPr="002A6C14">
              <w:rPr>
                <w:b/>
                <w:bCs/>
              </w:rPr>
              <w:t>El</w:t>
            </w:r>
            <w:r w:rsidR="000238BC">
              <w:rPr>
                <w:b/>
                <w:bCs/>
              </w:rPr>
              <w:t>i</w:t>
            </w:r>
            <w:r w:rsidRPr="002A6C14">
              <w:rPr>
                <w:b/>
                <w:bCs/>
              </w:rPr>
              <w:t>gib</w:t>
            </w:r>
            <w:r w:rsidR="004F3CFE">
              <w:rPr>
                <w:b/>
                <w:bCs/>
              </w:rPr>
              <w:t>i</w:t>
            </w:r>
            <w:r w:rsidRPr="002A6C14">
              <w:rPr>
                <w:b/>
                <w:bCs/>
              </w:rPr>
              <w:t xml:space="preserve">lity: </w:t>
            </w:r>
            <w:r w:rsidR="00EE188B">
              <w:t>Only apprentices in occupations aligned to the National Skills Needs List (NSNL) were eligible.</w:t>
            </w:r>
          </w:p>
          <w:p w14:paraId="14B5D9A1" w14:textId="43E43D5D" w:rsidR="00EE188B" w:rsidRDefault="00583509" w:rsidP="007574A3">
            <w:r w:rsidRPr="00583509">
              <w:rPr>
                <w:b/>
                <w:bCs/>
              </w:rPr>
              <w:t xml:space="preserve">Timing: </w:t>
            </w:r>
            <w:r w:rsidR="00EE188B">
              <w:t>Introduced as a trial measure in two phases over 2019.</w:t>
            </w:r>
          </w:p>
          <w:p w14:paraId="5900A77D" w14:textId="591AA6FA" w:rsidR="00EE188B" w:rsidRDefault="002A6C14" w:rsidP="007574A3">
            <w:r w:rsidRPr="002A6C14">
              <w:rPr>
                <w:b/>
                <w:bCs/>
              </w:rPr>
              <w:t>Cost:</w:t>
            </w:r>
            <w:r>
              <w:t xml:space="preserve"> </w:t>
            </w:r>
            <w:r w:rsidR="00EE188B">
              <w:t>Overall, $120 million in wage subsidies allocated and supported 2,715 new apprenticeships in 2,715 employers.</w:t>
            </w:r>
          </w:p>
        </w:tc>
        <w:tc>
          <w:tcPr>
            <w:tcW w:w="4663"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tcPr>
          <w:p w14:paraId="09264E57" w14:textId="3ECB5ABE" w:rsidR="00EE188B" w:rsidRPr="00F1389F" w:rsidRDefault="00EE188B" w:rsidP="007574A3">
            <w:pPr>
              <w:rPr>
                <w:b/>
                <w:szCs w:val="18"/>
              </w:rPr>
            </w:pPr>
            <w:r w:rsidRPr="00F1389F">
              <w:rPr>
                <w:b/>
                <w:szCs w:val="18"/>
              </w:rPr>
              <w:t xml:space="preserve">Deloitte </w:t>
            </w:r>
            <w:r w:rsidR="00EA2A91">
              <w:rPr>
                <w:b/>
                <w:szCs w:val="18"/>
              </w:rPr>
              <w:t>Access Economics</w:t>
            </w:r>
            <w:r w:rsidRPr="00F1389F">
              <w:rPr>
                <w:b/>
                <w:szCs w:val="18"/>
              </w:rPr>
              <w:t xml:space="preserve"> </w:t>
            </w:r>
            <w:r w:rsidR="00353085">
              <w:rPr>
                <w:b/>
                <w:szCs w:val="18"/>
              </w:rPr>
              <w:t>(2022</w:t>
            </w:r>
            <w:r w:rsidR="00A5739A">
              <w:rPr>
                <w:b/>
                <w:szCs w:val="18"/>
              </w:rPr>
              <w:t>a</w:t>
            </w:r>
            <w:r w:rsidR="00353085">
              <w:rPr>
                <w:b/>
                <w:szCs w:val="18"/>
              </w:rPr>
              <w:t>)</w:t>
            </w:r>
            <w:r w:rsidRPr="00F1389F">
              <w:rPr>
                <w:b/>
                <w:szCs w:val="18"/>
              </w:rPr>
              <w:t xml:space="preserve"> report found:</w:t>
            </w:r>
          </w:p>
          <w:p w14:paraId="1D98109C" w14:textId="77777777" w:rsidR="00EE188B" w:rsidRPr="00F1389F" w:rsidRDefault="00EE188B" w:rsidP="007574A3">
            <w:pPr>
              <w:pStyle w:val="Bullet"/>
              <w:numPr>
                <w:ilvl w:val="0"/>
                <w:numId w:val="14"/>
              </w:numPr>
              <w:tabs>
                <w:tab w:val="clear" w:pos="720"/>
              </w:tabs>
              <w:spacing w:after="0" w:line="240" w:lineRule="auto"/>
              <w:rPr>
                <w:szCs w:val="18"/>
              </w:rPr>
            </w:pPr>
            <w:r w:rsidRPr="00F1389F">
              <w:rPr>
                <w:szCs w:val="18"/>
              </w:rPr>
              <w:t>These 2,715 rural and regional apprenticeship commencements represented 13% of all rural and regional apprenticeship commencements in skills need occupations in 2019.</w:t>
            </w:r>
          </w:p>
          <w:p w14:paraId="6DC20291" w14:textId="77777777" w:rsidR="00EE188B" w:rsidRPr="00F1389F" w:rsidRDefault="00EE188B" w:rsidP="007574A3">
            <w:pPr>
              <w:pStyle w:val="Bullet"/>
              <w:numPr>
                <w:ilvl w:val="0"/>
                <w:numId w:val="14"/>
              </w:numPr>
              <w:tabs>
                <w:tab w:val="clear" w:pos="720"/>
              </w:tabs>
              <w:spacing w:after="0" w:line="240" w:lineRule="auto"/>
              <w:rPr>
                <w:szCs w:val="18"/>
              </w:rPr>
            </w:pPr>
            <w:r w:rsidRPr="00F1389F">
              <w:rPr>
                <w:szCs w:val="18"/>
              </w:rPr>
              <w:t>Total rural and regional apprentice commencements increased by 1.3% (523) over 2019. From 2015 to 2018, the number of commencements fluctuated around 41,000 but overall declined by 0.3% on average year-on-year.</w:t>
            </w:r>
          </w:p>
          <w:p w14:paraId="2D7A8ADE" w14:textId="77777777" w:rsidR="00EE188B" w:rsidRDefault="00EE188B" w:rsidP="007574A3">
            <w:pPr>
              <w:pStyle w:val="Bullet"/>
              <w:numPr>
                <w:ilvl w:val="0"/>
                <w:numId w:val="14"/>
              </w:numPr>
              <w:tabs>
                <w:tab w:val="clear" w:pos="720"/>
              </w:tabs>
              <w:spacing w:after="0" w:line="240" w:lineRule="auto"/>
              <w:rPr>
                <w:szCs w:val="18"/>
              </w:rPr>
            </w:pPr>
            <w:r w:rsidRPr="00F1389F">
              <w:rPr>
                <w:szCs w:val="18"/>
              </w:rPr>
              <w:t>Total participation by rural and regional employers increased by 2.0% (760) over 2019, after average year-on-year declines of 0.6% from 2015 to 2018.</w:t>
            </w:r>
          </w:p>
          <w:p w14:paraId="46E962F8" w14:textId="77777777" w:rsidR="00EE188B" w:rsidRPr="00F1389F" w:rsidRDefault="00EE188B" w:rsidP="007574A3">
            <w:pPr>
              <w:pStyle w:val="Bullet"/>
              <w:numPr>
                <w:ilvl w:val="0"/>
                <w:numId w:val="0"/>
              </w:numPr>
              <w:tabs>
                <w:tab w:val="clear" w:pos="720"/>
              </w:tabs>
              <w:spacing w:after="0" w:line="240" w:lineRule="auto"/>
              <w:ind w:left="284" w:hanging="284"/>
              <w:rPr>
                <w:szCs w:val="18"/>
              </w:rPr>
            </w:pPr>
          </w:p>
        </w:tc>
      </w:tr>
      <w:tr w:rsidR="00D226C8" w14:paraId="7DB8E081" w14:textId="77777777" w:rsidTr="00BB7265">
        <w:tc>
          <w:tcPr>
            <w:tcW w:w="1311"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tcPr>
          <w:p w14:paraId="038D92AB" w14:textId="77777777" w:rsidR="00EE188B" w:rsidRPr="008D15C8" w:rsidRDefault="00EE188B" w:rsidP="007574A3">
            <w:pPr>
              <w:rPr>
                <w:b/>
                <w:bCs/>
              </w:rPr>
            </w:pPr>
            <w:r w:rsidRPr="008D15C8">
              <w:rPr>
                <w:b/>
                <w:bCs/>
              </w:rPr>
              <w:t xml:space="preserve">Supporting Apprentices and Trainees (SAT) </w:t>
            </w:r>
          </w:p>
          <w:p w14:paraId="676A4731" w14:textId="76CF77D1" w:rsidR="00EE188B" w:rsidRDefault="00E178B7" w:rsidP="007574A3">
            <w:r>
              <w:t>The SAT wage subsidy was introduced a</w:t>
            </w:r>
            <w:r w:rsidR="00EE188B">
              <w:t xml:space="preserve">s part of the Australian Government’s </w:t>
            </w:r>
            <w:r w:rsidR="00EE188B">
              <w:lastRenderedPageBreak/>
              <w:t>response to the COVID-19 pandemic.</w:t>
            </w:r>
          </w:p>
        </w:tc>
        <w:tc>
          <w:tcPr>
            <w:tcW w:w="3225"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tcPr>
          <w:p w14:paraId="733A0AF3" w14:textId="60E88C23" w:rsidR="00EE188B" w:rsidRDefault="001D689B" w:rsidP="007574A3">
            <w:r w:rsidRPr="001D689B">
              <w:rPr>
                <w:b/>
                <w:bCs/>
              </w:rPr>
              <w:lastRenderedPageBreak/>
              <w:t>Program:</w:t>
            </w:r>
            <w:r>
              <w:t xml:space="preserve"> </w:t>
            </w:r>
            <w:r w:rsidR="00616A90">
              <w:t>This wage subsidy</w:t>
            </w:r>
            <w:r w:rsidR="002C4080">
              <w:t xml:space="preserve"> was valued at 50% of apprentice wages to a maximum of $7,000 per quarter per apprentice</w:t>
            </w:r>
            <w:r w:rsidR="00A147EF">
              <w:t>.</w:t>
            </w:r>
            <w:r>
              <w:t xml:space="preserve"> </w:t>
            </w:r>
            <w:r w:rsidR="00355F52">
              <w:t xml:space="preserve">It </w:t>
            </w:r>
            <w:r w:rsidR="00EE188B">
              <w:t>support</w:t>
            </w:r>
            <w:r w:rsidR="00355F52">
              <w:t>ed</w:t>
            </w:r>
            <w:r w:rsidR="00EE188B">
              <w:t xml:space="preserve"> small and medium sized employers retain existing apprentices and trainees, </w:t>
            </w:r>
            <w:r w:rsidR="000641BF">
              <w:t>and</w:t>
            </w:r>
            <w:r w:rsidR="00EE188B">
              <w:t xml:space="preserve"> re-hire apprentices </w:t>
            </w:r>
            <w:r w:rsidR="000641BF">
              <w:t xml:space="preserve">displaced </w:t>
            </w:r>
            <w:r w:rsidR="00EE188B">
              <w:t>during the pandemic.</w:t>
            </w:r>
          </w:p>
          <w:p w14:paraId="16C5FED5" w14:textId="6CB06461" w:rsidR="00EE188B" w:rsidRDefault="00E46B27" w:rsidP="007574A3">
            <w:r w:rsidRPr="00E46B27">
              <w:rPr>
                <w:b/>
                <w:bCs/>
              </w:rPr>
              <w:lastRenderedPageBreak/>
              <w:t>Eligibility</w:t>
            </w:r>
            <w:r>
              <w:rPr>
                <w:b/>
                <w:bCs/>
              </w:rPr>
              <w:t xml:space="preserve"> and timing</w:t>
            </w:r>
            <w:r w:rsidRPr="00E46B27">
              <w:rPr>
                <w:b/>
                <w:bCs/>
              </w:rPr>
              <w:t>:</w:t>
            </w:r>
            <w:r>
              <w:t xml:space="preserve"> </w:t>
            </w:r>
            <w:r w:rsidR="00EE188B">
              <w:t>For apprentices employed between 1 January 2020 and 31 March 2021.</w:t>
            </w:r>
          </w:p>
          <w:p w14:paraId="2E18A5F5" w14:textId="7ABC8E66" w:rsidR="00EE188B" w:rsidRPr="00E46B27" w:rsidRDefault="00E46B27" w:rsidP="007574A3">
            <w:pPr>
              <w:rPr>
                <w:b/>
              </w:rPr>
            </w:pPr>
            <w:r w:rsidRPr="00E46B27">
              <w:rPr>
                <w:b/>
                <w:bCs/>
              </w:rPr>
              <w:t xml:space="preserve">Cost: </w:t>
            </w:r>
            <w:r w:rsidR="00EE188B">
              <w:t>Overall, $1.9 billion in wage subsidies was provided to nearly 75,000 employers supporting over 150,000 apprentices.</w:t>
            </w:r>
          </w:p>
        </w:tc>
        <w:tc>
          <w:tcPr>
            <w:tcW w:w="4663"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tcPr>
          <w:p w14:paraId="53081061" w14:textId="14DAA5AA" w:rsidR="00EE188B" w:rsidRPr="003F2E25" w:rsidRDefault="00EE188B" w:rsidP="0020338C">
            <w:pPr>
              <w:rPr>
                <w:b/>
                <w:szCs w:val="18"/>
              </w:rPr>
            </w:pPr>
            <w:r w:rsidRPr="00DF20F3">
              <w:rPr>
                <w:b/>
                <w:szCs w:val="18"/>
              </w:rPr>
              <w:lastRenderedPageBreak/>
              <w:t xml:space="preserve">Deloitte </w:t>
            </w:r>
            <w:r w:rsidR="00A5739A">
              <w:rPr>
                <w:b/>
                <w:szCs w:val="18"/>
              </w:rPr>
              <w:t xml:space="preserve">Access Economics (2022b) </w:t>
            </w:r>
            <w:r w:rsidRPr="00DF20F3">
              <w:rPr>
                <w:b/>
                <w:szCs w:val="18"/>
              </w:rPr>
              <w:t>report found:</w:t>
            </w:r>
          </w:p>
          <w:p w14:paraId="612A193A" w14:textId="75AF7B30" w:rsidR="00556935" w:rsidRPr="00DF20F3" w:rsidRDefault="00EB29D6" w:rsidP="007574A3">
            <w:pPr>
              <w:pStyle w:val="Bullet"/>
              <w:numPr>
                <w:ilvl w:val="0"/>
                <w:numId w:val="14"/>
              </w:numPr>
              <w:tabs>
                <w:tab w:val="clear" w:pos="720"/>
              </w:tabs>
              <w:spacing w:after="0" w:line="240" w:lineRule="auto"/>
              <w:rPr>
                <w:szCs w:val="18"/>
              </w:rPr>
            </w:pPr>
            <w:r w:rsidRPr="00DF20F3">
              <w:rPr>
                <w:szCs w:val="18"/>
              </w:rPr>
              <w:t>The number of e</w:t>
            </w:r>
            <w:r w:rsidR="00556935" w:rsidRPr="00DF20F3">
              <w:rPr>
                <w:szCs w:val="18"/>
              </w:rPr>
              <w:t>mployer</w:t>
            </w:r>
            <w:r w:rsidRPr="00DF20F3">
              <w:rPr>
                <w:szCs w:val="18"/>
              </w:rPr>
              <w:t>s</w:t>
            </w:r>
            <w:r w:rsidR="00556935" w:rsidRPr="00DF20F3">
              <w:rPr>
                <w:szCs w:val="18"/>
              </w:rPr>
              <w:t xml:space="preserve"> participati</w:t>
            </w:r>
            <w:r w:rsidRPr="00DF20F3">
              <w:rPr>
                <w:szCs w:val="18"/>
              </w:rPr>
              <w:t>ng</w:t>
            </w:r>
            <w:r w:rsidR="00556935" w:rsidRPr="00DF20F3">
              <w:rPr>
                <w:szCs w:val="18"/>
              </w:rPr>
              <w:t xml:space="preserve"> in apprenticeships increased over 2020 </w:t>
            </w:r>
            <w:r w:rsidR="007B4B14" w:rsidRPr="00DF20F3">
              <w:rPr>
                <w:szCs w:val="18"/>
              </w:rPr>
              <w:t xml:space="preserve">(by </w:t>
            </w:r>
            <w:r w:rsidR="00577B06">
              <w:rPr>
                <w:szCs w:val="18"/>
              </w:rPr>
              <w:t>4</w:t>
            </w:r>
            <w:r w:rsidR="007B4B14" w:rsidRPr="00DF20F3">
              <w:rPr>
                <w:szCs w:val="18"/>
              </w:rPr>
              <w:t>%)</w:t>
            </w:r>
            <w:r w:rsidR="00556935" w:rsidRPr="00DF20F3">
              <w:rPr>
                <w:szCs w:val="18"/>
              </w:rPr>
              <w:t xml:space="preserve"> and 2021</w:t>
            </w:r>
            <w:r w:rsidR="007B4B14" w:rsidRPr="00DF20F3">
              <w:rPr>
                <w:szCs w:val="18"/>
              </w:rPr>
              <w:t xml:space="preserve"> (by 16%)</w:t>
            </w:r>
            <w:r w:rsidR="00556935" w:rsidRPr="00DF20F3">
              <w:rPr>
                <w:szCs w:val="18"/>
              </w:rPr>
              <w:t>, after year-on-year declines in the previous five years</w:t>
            </w:r>
          </w:p>
          <w:p w14:paraId="48FBC4C7" w14:textId="03A8CB2F" w:rsidR="00EE188B" w:rsidRPr="006D551D" w:rsidRDefault="003314B1" w:rsidP="007574A3">
            <w:pPr>
              <w:pStyle w:val="Bullet"/>
              <w:numPr>
                <w:ilvl w:val="0"/>
                <w:numId w:val="14"/>
              </w:numPr>
              <w:tabs>
                <w:tab w:val="clear" w:pos="720"/>
              </w:tabs>
              <w:spacing w:after="0" w:line="240" w:lineRule="auto"/>
              <w:rPr>
                <w:szCs w:val="18"/>
              </w:rPr>
            </w:pPr>
            <w:r w:rsidRPr="00F1389F">
              <w:rPr>
                <w:szCs w:val="18"/>
              </w:rPr>
              <w:t xml:space="preserve">Total apprentice volumes and continuing apprentice volumes increased over 2020 </w:t>
            </w:r>
            <w:r w:rsidR="001342C4" w:rsidRPr="00F1389F">
              <w:rPr>
                <w:szCs w:val="18"/>
              </w:rPr>
              <w:t>(</w:t>
            </w:r>
            <w:r w:rsidR="00EB29D6" w:rsidRPr="00F1389F">
              <w:rPr>
                <w:szCs w:val="18"/>
              </w:rPr>
              <w:t xml:space="preserve">by 4%) </w:t>
            </w:r>
            <w:r w:rsidRPr="00F1389F">
              <w:rPr>
                <w:szCs w:val="18"/>
              </w:rPr>
              <w:t>and 2021</w:t>
            </w:r>
            <w:r w:rsidR="00EB29D6" w:rsidRPr="00F1389F">
              <w:rPr>
                <w:szCs w:val="18"/>
              </w:rPr>
              <w:t xml:space="preserve"> </w:t>
            </w:r>
            <w:r w:rsidR="00EB29D6" w:rsidRPr="006D551D">
              <w:rPr>
                <w:szCs w:val="18"/>
              </w:rPr>
              <w:t>(</w:t>
            </w:r>
            <w:r w:rsidR="006D551D" w:rsidRPr="006D551D">
              <w:rPr>
                <w:szCs w:val="18"/>
              </w:rPr>
              <w:t>by 20%)</w:t>
            </w:r>
            <w:r w:rsidRPr="006D551D">
              <w:rPr>
                <w:szCs w:val="18"/>
              </w:rPr>
              <w:t>.</w:t>
            </w:r>
            <w:r w:rsidRPr="00F1389F">
              <w:rPr>
                <w:szCs w:val="18"/>
              </w:rPr>
              <w:t xml:space="preserve"> This was driven by higher apprentice retention rates overall and for SAT apprentices.</w:t>
            </w:r>
          </w:p>
        </w:tc>
      </w:tr>
      <w:tr w:rsidR="00D226C8" w14:paraId="100F0A9F" w14:textId="77777777" w:rsidTr="00BB7265">
        <w:tc>
          <w:tcPr>
            <w:tcW w:w="1311"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tcPr>
          <w:p w14:paraId="3889A961" w14:textId="77777777" w:rsidR="00EE188B" w:rsidRPr="008D15C8" w:rsidRDefault="00EE188B" w:rsidP="007574A3">
            <w:pPr>
              <w:rPr>
                <w:b/>
                <w:bCs/>
              </w:rPr>
            </w:pPr>
            <w:r w:rsidRPr="008D15C8">
              <w:rPr>
                <w:b/>
                <w:bCs/>
              </w:rPr>
              <w:t xml:space="preserve">Wage subsidies provided through the Employment Pathway Fund (EPF) </w:t>
            </w:r>
          </w:p>
        </w:tc>
        <w:tc>
          <w:tcPr>
            <w:tcW w:w="3225"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tcPr>
          <w:p w14:paraId="1433B31A" w14:textId="784B8270" w:rsidR="00EE188B" w:rsidRDefault="00E46B27" w:rsidP="007574A3">
            <w:r w:rsidRPr="00460230">
              <w:rPr>
                <w:b/>
              </w:rPr>
              <w:t>Program:</w:t>
            </w:r>
            <w:r>
              <w:t xml:space="preserve"> </w:t>
            </w:r>
            <w:r w:rsidR="00EE188B">
              <w:t xml:space="preserve">Wage subsidies as an incentive to encourage employers to employ disadvantaged job seekers on an ongoing basis. </w:t>
            </w:r>
          </w:p>
          <w:p w14:paraId="7B1B9730" w14:textId="13A76977" w:rsidR="00EE188B" w:rsidRDefault="00EE188B" w:rsidP="007574A3">
            <w:r>
              <w:t>The paper uses DEWR and Centrelink administrative data to examine short term outcomes achieved by job seekers who received wage subsidy assistance through Job Services Australia (JSA) Stream services.</w:t>
            </w:r>
          </w:p>
        </w:tc>
        <w:tc>
          <w:tcPr>
            <w:tcW w:w="4663" w:type="dxa"/>
            <w:tcBorders>
              <w:top w:val="single" w:sz="12" w:space="0" w:color="4D7861" w:themeColor="accent2"/>
              <w:left w:val="single" w:sz="12" w:space="0" w:color="4D7861" w:themeColor="accent2"/>
              <w:bottom w:val="single" w:sz="12" w:space="0" w:color="4D7861" w:themeColor="accent2"/>
              <w:right w:val="single" w:sz="12" w:space="0" w:color="4D7861" w:themeColor="accent2"/>
            </w:tcBorders>
          </w:tcPr>
          <w:p w14:paraId="6C840B37" w14:textId="04D7B355" w:rsidR="00EE188B" w:rsidRPr="001252B3" w:rsidRDefault="00EE188B" w:rsidP="007574A3">
            <w:pPr>
              <w:pStyle w:val="Bullet"/>
              <w:numPr>
                <w:ilvl w:val="0"/>
                <w:numId w:val="0"/>
              </w:numPr>
              <w:spacing w:line="240" w:lineRule="auto"/>
              <w:rPr>
                <w:b/>
                <w:bCs/>
              </w:rPr>
            </w:pPr>
            <w:r w:rsidRPr="001252B3">
              <w:rPr>
                <w:b/>
                <w:bCs/>
              </w:rPr>
              <w:t xml:space="preserve">DEWR </w:t>
            </w:r>
            <w:r w:rsidR="00384055">
              <w:rPr>
                <w:b/>
                <w:bCs/>
              </w:rPr>
              <w:t xml:space="preserve">(2012) </w:t>
            </w:r>
            <w:r w:rsidRPr="001252B3">
              <w:rPr>
                <w:b/>
                <w:bCs/>
              </w:rPr>
              <w:t>evaluation found:</w:t>
            </w:r>
          </w:p>
          <w:p w14:paraId="79F9B1CA" w14:textId="070F62D2" w:rsidR="00EE188B" w:rsidRDefault="00EE188B" w:rsidP="007574A3">
            <w:pPr>
              <w:pStyle w:val="Bullet"/>
              <w:numPr>
                <w:ilvl w:val="0"/>
                <w:numId w:val="14"/>
              </w:numPr>
              <w:tabs>
                <w:tab w:val="clear" w:pos="720"/>
              </w:tabs>
              <w:spacing w:after="0" w:line="240" w:lineRule="auto"/>
            </w:pPr>
            <w:r>
              <w:t xml:space="preserve">Approximately one quarter of </w:t>
            </w:r>
            <w:r w:rsidR="00465CD7">
              <w:t>Job Services Australia</w:t>
            </w:r>
            <w:r>
              <w:t xml:space="preserve"> wage subsidy job seekers got a job </w:t>
            </w:r>
            <w:r w:rsidR="00254CAB">
              <w:t xml:space="preserve">that </w:t>
            </w:r>
            <w:r>
              <w:t xml:space="preserve">they would not have if not for the wage subsidy. </w:t>
            </w:r>
          </w:p>
          <w:p w14:paraId="7B2686D1" w14:textId="3C93B260" w:rsidR="00EE188B" w:rsidRDefault="533ABE32" w:rsidP="007574A3">
            <w:pPr>
              <w:pStyle w:val="Bullet"/>
              <w:numPr>
                <w:ilvl w:val="0"/>
                <w:numId w:val="14"/>
              </w:numPr>
              <w:tabs>
                <w:tab w:val="clear" w:pos="720"/>
              </w:tabs>
              <w:spacing w:after="0" w:line="240" w:lineRule="auto"/>
            </w:pPr>
            <w:r>
              <w:t>W</w:t>
            </w:r>
            <w:r w:rsidR="00EE188B">
              <w:t xml:space="preserve">hile </w:t>
            </w:r>
            <w:r>
              <w:t>around 15% of wage subsidy placements wen</w:t>
            </w:r>
            <w:r w:rsidR="005E2615">
              <w:t>t</w:t>
            </w:r>
            <w:r w:rsidR="00EE188B">
              <w:t xml:space="preserve"> to job seekers who would have </w:t>
            </w:r>
            <w:r>
              <w:t xml:space="preserve">found a job </w:t>
            </w:r>
            <w:r w:rsidR="00EE188B">
              <w:t xml:space="preserve">anyway, </w:t>
            </w:r>
            <w:r>
              <w:t>the money was</w:t>
            </w:r>
            <w:r w:rsidR="00EE188B">
              <w:t xml:space="preserve"> used to provide the job seekers with better conditions.</w:t>
            </w:r>
          </w:p>
        </w:tc>
      </w:tr>
    </w:tbl>
    <w:p w14:paraId="66289F45" w14:textId="77777777" w:rsidR="00C91C07" w:rsidRDefault="00C91C07" w:rsidP="007574A3">
      <w:pPr>
        <w:spacing w:before="0" w:after="160"/>
        <w:rPr>
          <w:rFonts w:ascii="Calibri" w:hAnsi="Calibri" w:cs="Arial"/>
          <w:b/>
          <w:color w:val="4D7861" w:themeColor="accent2"/>
          <w:kern w:val="32"/>
          <w:sz w:val="44"/>
          <w:szCs w:val="36"/>
        </w:rPr>
      </w:pPr>
      <w:r>
        <w:br w:type="page"/>
      </w:r>
    </w:p>
    <w:p w14:paraId="7EEC01AF" w14:textId="4E8954E8" w:rsidR="009E57EE" w:rsidRDefault="009E57EE" w:rsidP="007574A3">
      <w:pPr>
        <w:pStyle w:val="Heading1"/>
        <w:spacing w:line="240" w:lineRule="auto"/>
      </w:pPr>
      <w:bookmarkStart w:id="119" w:name="_Toc176782423"/>
      <w:r>
        <w:lastRenderedPageBreak/>
        <w:t>References</w:t>
      </w:r>
      <w:bookmarkEnd w:id="119"/>
    </w:p>
    <w:p w14:paraId="7F9D6BA2" w14:textId="213C3FD2" w:rsidR="005B1FF7" w:rsidRPr="00CC4927" w:rsidRDefault="00821871" w:rsidP="007574A3">
      <w:pPr>
        <w:spacing w:before="0" w:after="160"/>
      </w:pPr>
      <w:r>
        <w:t xml:space="preserve">ABS (Australian Bureau of Statistics) (2024) </w:t>
      </w:r>
      <w:hyperlink r:id="rId69">
        <w:r w:rsidRPr="0B5B3ADB">
          <w:rPr>
            <w:rStyle w:val="Hyperlink"/>
            <w:i/>
            <w:iCs/>
          </w:rPr>
          <w:t>Labour Force Survey</w:t>
        </w:r>
      </w:hyperlink>
      <w:r>
        <w:t xml:space="preserve">, ABS, accessed </w:t>
      </w:r>
      <w:r w:rsidR="006758DE">
        <w:t>8 May</w:t>
      </w:r>
      <w:r>
        <w:t xml:space="preserve"> 2024.</w:t>
      </w:r>
    </w:p>
    <w:p w14:paraId="2E04B9D7" w14:textId="77777777" w:rsidR="00C50406" w:rsidRDefault="00747611" w:rsidP="007574A3">
      <w:pPr>
        <w:spacing w:before="0" w:after="160"/>
      </w:pPr>
      <w:r>
        <w:t xml:space="preserve">Deloitte Access Economics </w:t>
      </w:r>
      <w:r w:rsidR="00CD1628">
        <w:t xml:space="preserve">(2012) </w:t>
      </w:r>
      <w:hyperlink r:id="rId70" w:history="1">
        <w:r w:rsidR="00CD1628" w:rsidRPr="00E174DF">
          <w:rPr>
            <w:rStyle w:val="Hyperlink"/>
            <w:i/>
            <w:iCs/>
          </w:rPr>
          <w:t>Econometric analysis of the Australian Apprenticeships Incentives Program</w:t>
        </w:r>
      </w:hyperlink>
      <w:r w:rsidR="00E174DF">
        <w:t>,</w:t>
      </w:r>
      <w:r w:rsidR="00176A80">
        <w:t xml:space="preserve"> </w:t>
      </w:r>
      <w:r w:rsidR="005408E2">
        <w:t xml:space="preserve">report to the Australian </w:t>
      </w:r>
      <w:r w:rsidR="000F6437">
        <w:t xml:space="preserve">Government </w:t>
      </w:r>
      <w:r w:rsidR="00261C64">
        <w:t>Department of Education, Employment and Workplace Relations</w:t>
      </w:r>
      <w:r w:rsidR="00164BC5">
        <w:t>.</w:t>
      </w:r>
    </w:p>
    <w:p w14:paraId="73152594" w14:textId="77777777" w:rsidR="00D77602" w:rsidRDefault="00C50406" w:rsidP="007574A3">
      <w:pPr>
        <w:spacing w:before="0" w:after="160"/>
      </w:pPr>
      <w:r>
        <w:t>Deloitte Access Economics (</w:t>
      </w:r>
      <w:r w:rsidR="0064603C">
        <w:t>2020)</w:t>
      </w:r>
      <w:r w:rsidR="00015795">
        <w:t xml:space="preserve"> </w:t>
      </w:r>
      <w:r w:rsidR="00015795" w:rsidRPr="00D94D37">
        <w:rPr>
          <w:i/>
        </w:rPr>
        <w:t xml:space="preserve">Australian Apprenticeship </w:t>
      </w:r>
      <w:proofErr w:type="spellStart"/>
      <w:r w:rsidR="00015795" w:rsidRPr="00D94D37">
        <w:rPr>
          <w:i/>
        </w:rPr>
        <w:t>Incentices</w:t>
      </w:r>
      <w:proofErr w:type="spellEnd"/>
      <w:r w:rsidR="00015795" w:rsidRPr="00D94D37">
        <w:rPr>
          <w:i/>
        </w:rPr>
        <w:t xml:space="preserve"> Review</w:t>
      </w:r>
      <w:r w:rsidR="00015795">
        <w:t>, report to the National Skills Commission, Deloitte Access Economics.</w:t>
      </w:r>
    </w:p>
    <w:p w14:paraId="130B98E8" w14:textId="00A3770E" w:rsidR="00A9286A" w:rsidRDefault="00D94D37" w:rsidP="007574A3">
      <w:pPr>
        <w:spacing w:before="0" w:after="160"/>
      </w:pPr>
      <w:r>
        <w:t>Deloitte Access Economics (</w:t>
      </w:r>
      <w:r w:rsidR="00863CAD">
        <w:t>2021)</w:t>
      </w:r>
      <w:r w:rsidR="00A9286A">
        <w:t xml:space="preserve"> </w:t>
      </w:r>
      <w:r w:rsidR="00A9286A" w:rsidRPr="00F259BF">
        <w:rPr>
          <w:i/>
        </w:rPr>
        <w:t xml:space="preserve">Apprentice </w:t>
      </w:r>
      <w:r w:rsidR="0020595A" w:rsidRPr="00F259BF">
        <w:rPr>
          <w:i/>
        </w:rPr>
        <w:t>E</w:t>
      </w:r>
      <w:r w:rsidR="00A9286A" w:rsidRPr="00F259BF">
        <w:rPr>
          <w:i/>
        </w:rPr>
        <w:t>l</w:t>
      </w:r>
      <w:r w:rsidR="0020595A" w:rsidRPr="00F259BF">
        <w:rPr>
          <w:i/>
        </w:rPr>
        <w:t>asticity Review</w:t>
      </w:r>
      <w:r w:rsidR="007379B7">
        <w:t>, report to the Department of Education, Skills</w:t>
      </w:r>
      <w:r w:rsidR="00F259BF">
        <w:t xml:space="preserve"> and Employment</w:t>
      </w:r>
      <w:r w:rsidR="00CB27A6">
        <w:t>, Deloitte Access Economics.</w:t>
      </w:r>
    </w:p>
    <w:p w14:paraId="48CBB7B1" w14:textId="5BE3BBB0" w:rsidR="00747611" w:rsidRDefault="00F24629" w:rsidP="007574A3">
      <w:pPr>
        <w:spacing w:before="0" w:after="160"/>
      </w:pPr>
      <w:r>
        <w:t>Deloitte Access Economics (2022</w:t>
      </w:r>
      <w:r w:rsidR="004A736B">
        <w:t>a</w:t>
      </w:r>
      <w:r>
        <w:t xml:space="preserve">) </w:t>
      </w:r>
      <w:r w:rsidR="001C7768" w:rsidRPr="00013D1A">
        <w:rPr>
          <w:i/>
        </w:rPr>
        <w:t xml:space="preserve">Australian Apprenticeship Wage Subsidy (AAWS) </w:t>
      </w:r>
      <w:r w:rsidR="000507E4" w:rsidRPr="00013D1A">
        <w:rPr>
          <w:i/>
        </w:rPr>
        <w:t>E</w:t>
      </w:r>
      <w:r w:rsidR="001C7768" w:rsidRPr="00013D1A">
        <w:rPr>
          <w:i/>
        </w:rPr>
        <w:t>valuation</w:t>
      </w:r>
      <w:r w:rsidR="00234DE0">
        <w:t>, report to the Department of</w:t>
      </w:r>
      <w:r w:rsidR="009805CA">
        <w:t xml:space="preserve"> Employment </w:t>
      </w:r>
      <w:r w:rsidR="007F2D16">
        <w:t>and Workplace Relations</w:t>
      </w:r>
      <w:r w:rsidR="00B01BE3">
        <w:t>.</w:t>
      </w:r>
      <w:r w:rsidR="00234DE0">
        <w:t xml:space="preserve"> </w:t>
      </w:r>
    </w:p>
    <w:p w14:paraId="5C1AE7DF" w14:textId="606BCF90" w:rsidR="004A736B" w:rsidRDefault="004A736B" w:rsidP="007574A3">
      <w:pPr>
        <w:spacing w:before="0" w:after="160"/>
      </w:pPr>
      <w:r>
        <w:t xml:space="preserve">Deloitte Access Economics (2022b) </w:t>
      </w:r>
      <w:r w:rsidR="00E406C8" w:rsidRPr="00573292">
        <w:rPr>
          <w:i/>
        </w:rPr>
        <w:t>S</w:t>
      </w:r>
      <w:r w:rsidRPr="00573292">
        <w:rPr>
          <w:i/>
        </w:rPr>
        <w:t>upp</w:t>
      </w:r>
      <w:r w:rsidR="00E406C8" w:rsidRPr="00573292">
        <w:rPr>
          <w:i/>
        </w:rPr>
        <w:t xml:space="preserve">orting </w:t>
      </w:r>
      <w:r w:rsidR="00BA609C" w:rsidRPr="00573292">
        <w:rPr>
          <w:i/>
        </w:rPr>
        <w:t xml:space="preserve">Apprentices and Trainees (SAT) </w:t>
      </w:r>
      <w:r w:rsidR="0014304A" w:rsidRPr="00573292">
        <w:rPr>
          <w:i/>
        </w:rPr>
        <w:t>Evaluation</w:t>
      </w:r>
      <w:r w:rsidR="0014304A">
        <w:t>, report to the Department of Employment and Workplace Relations</w:t>
      </w:r>
      <w:r w:rsidR="00573292">
        <w:t>.</w:t>
      </w:r>
    </w:p>
    <w:p w14:paraId="6CD50EA8" w14:textId="320E6658" w:rsidR="00F733DA" w:rsidRDefault="00F733DA" w:rsidP="007574A3">
      <w:pPr>
        <w:spacing w:before="0" w:after="160"/>
      </w:pPr>
      <w:r>
        <w:t xml:space="preserve">DEWR (Department of Employment </w:t>
      </w:r>
      <w:r w:rsidR="004F3CA5">
        <w:t>and Wor</w:t>
      </w:r>
      <w:r w:rsidR="00206CD9">
        <w:t xml:space="preserve">kplace Relations) </w:t>
      </w:r>
      <w:r w:rsidR="00C2706C">
        <w:t xml:space="preserve">(2012) </w:t>
      </w:r>
      <w:hyperlink r:id="rId71" w:history="1">
        <w:r w:rsidR="007001B8" w:rsidRPr="002A7150">
          <w:rPr>
            <w:rStyle w:val="Hyperlink"/>
            <w:i/>
            <w:iCs/>
          </w:rPr>
          <w:t>Emplo</w:t>
        </w:r>
        <w:r w:rsidR="00EE54F3" w:rsidRPr="002A7150">
          <w:rPr>
            <w:rStyle w:val="Hyperlink"/>
            <w:i/>
            <w:iCs/>
          </w:rPr>
          <w:t xml:space="preserve">yment Pathway Fund Evaluation </w:t>
        </w:r>
        <w:r w:rsidR="00C963D6" w:rsidRPr="002A7150">
          <w:rPr>
            <w:rStyle w:val="Hyperlink"/>
            <w:i/>
            <w:iCs/>
          </w:rPr>
          <w:t>Chapter 2</w:t>
        </w:r>
        <w:r w:rsidR="00052FBF" w:rsidRPr="002A7150">
          <w:rPr>
            <w:rStyle w:val="Hyperlink"/>
            <w:i/>
            <w:iCs/>
          </w:rPr>
          <w:t>: Wage Subsidies</w:t>
        </w:r>
      </w:hyperlink>
      <w:r w:rsidR="00052FBF">
        <w:t xml:space="preserve">, </w:t>
      </w:r>
      <w:r w:rsidR="00821081">
        <w:t xml:space="preserve">DEWR, accessed </w:t>
      </w:r>
      <w:r w:rsidR="00C077F0">
        <w:t>7 May 2022.</w:t>
      </w:r>
    </w:p>
    <w:p w14:paraId="43174A4C" w14:textId="620083C3" w:rsidR="00A25F4F" w:rsidRDefault="00A42FC1" w:rsidP="007574A3">
      <w:pPr>
        <w:spacing w:before="0" w:after="160"/>
      </w:pPr>
      <w:r>
        <w:t>DEWR (</w:t>
      </w:r>
      <w:r w:rsidR="008E33D8">
        <w:t>Department of Employment and Workplace Relations</w:t>
      </w:r>
      <w:r>
        <w:t xml:space="preserve">) </w:t>
      </w:r>
      <w:r w:rsidR="00652445">
        <w:t>(2023</w:t>
      </w:r>
      <w:r w:rsidR="00BD2043">
        <w:t>a</w:t>
      </w:r>
      <w:r w:rsidR="00652445">
        <w:t xml:space="preserve">) </w:t>
      </w:r>
      <w:hyperlink r:id="rId72" w:history="1">
        <w:r w:rsidR="008E33D8" w:rsidRPr="00CF56F4">
          <w:rPr>
            <w:rStyle w:val="Hyperlink"/>
            <w:rFonts w:cs="Calibri Light"/>
            <w:i/>
            <w:color w:val="2780E3"/>
            <w:szCs w:val="22"/>
          </w:rPr>
          <w:t>Australian Apprenticeships Incentives Program Guidelines</w:t>
        </w:r>
      </w:hyperlink>
      <w:r w:rsidR="00B22F09">
        <w:t>, DEWR,</w:t>
      </w:r>
      <w:r w:rsidR="008A44CC">
        <w:t xml:space="preserve"> accessed 20</w:t>
      </w:r>
      <w:r w:rsidR="00B312D9">
        <w:t xml:space="preserve"> May 2024</w:t>
      </w:r>
      <w:r w:rsidR="007C1AC6">
        <w:t>.</w:t>
      </w:r>
      <w:r w:rsidR="00B22F09">
        <w:t xml:space="preserve"> </w:t>
      </w:r>
    </w:p>
    <w:p w14:paraId="7A0AAF64" w14:textId="074DED88" w:rsidR="00104080" w:rsidRDefault="00104080" w:rsidP="007574A3">
      <w:pPr>
        <w:spacing w:before="0" w:after="160"/>
      </w:pPr>
      <w:r>
        <w:t xml:space="preserve">DEWR (Department of Employment and Workplace Relations) </w:t>
      </w:r>
      <w:r w:rsidR="00BD2043">
        <w:t xml:space="preserve">(2023b) </w:t>
      </w:r>
      <w:hyperlink r:id="rId73" w:history="1">
        <w:r w:rsidR="002010F0" w:rsidRPr="00C6751C">
          <w:rPr>
            <w:rStyle w:val="Hyperlink"/>
            <w:i/>
            <w:iCs/>
          </w:rPr>
          <w:t>National Skills Needs List</w:t>
        </w:r>
      </w:hyperlink>
      <w:r w:rsidR="00D7662A">
        <w:t xml:space="preserve">, ABS, accessed </w:t>
      </w:r>
      <w:r w:rsidR="00FC7C08">
        <w:t>1</w:t>
      </w:r>
      <w:r w:rsidR="00D34B52">
        <w:t>3</w:t>
      </w:r>
      <w:r w:rsidR="00FC7C08">
        <w:t xml:space="preserve"> May 2024</w:t>
      </w:r>
      <w:r w:rsidR="00C6751C">
        <w:t>.</w:t>
      </w:r>
    </w:p>
    <w:p w14:paraId="38DE797E" w14:textId="0073BAD0" w:rsidR="00720DAB" w:rsidRDefault="00720DAB" w:rsidP="007574A3">
      <w:pPr>
        <w:spacing w:before="0" w:after="160"/>
      </w:pPr>
      <w:r>
        <w:t>DEWR</w:t>
      </w:r>
      <w:r w:rsidR="00F77503">
        <w:t xml:space="preserve"> (Department of Employment and Workplace Relations) (2024</w:t>
      </w:r>
      <w:r w:rsidR="00D25335">
        <w:t>a</w:t>
      </w:r>
      <w:r w:rsidR="00F77503">
        <w:t xml:space="preserve">) </w:t>
      </w:r>
      <w:hyperlink r:id="rId74" w:history="1">
        <w:r w:rsidR="006446C1" w:rsidRPr="006446C1">
          <w:rPr>
            <w:rStyle w:val="Hyperlink"/>
            <w:i/>
            <w:iCs/>
          </w:rPr>
          <w:t>Strategic Review of the Australian Apprenticeship Incentive System</w:t>
        </w:r>
      </w:hyperlink>
      <w:r w:rsidR="006446C1">
        <w:t>, DEWR</w:t>
      </w:r>
      <w:r w:rsidR="00CA62C8">
        <w:t xml:space="preserve">, accessed </w:t>
      </w:r>
      <w:r w:rsidR="00032873">
        <w:t>8 May</w:t>
      </w:r>
      <w:r w:rsidR="000519D4">
        <w:t xml:space="preserve"> 2024. </w:t>
      </w:r>
    </w:p>
    <w:p w14:paraId="5E290378" w14:textId="55998839" w:rsidR="000A2992" w:rsidRDefault="000A2992" w:rsidP="007574A3">
      <w:pPr>
        <w:spacing w:before="0" w:after="160"/>
      </w:pPr>
      <w:r>
        <w:t>DEWR</w:t>
      </w:r>
      <w:r w:rsidR="00D25335">
        <w:t xml:space="preserve"> (Department of Employment and Workplace Relations)</w:t>
      </w:r>
      <w:r>
        <w:t xml:space="preserve"> (2024b)</w:t>
      </w:r>
      <w:r w:rsidR="00D25335">
        <w:t xml:space="preserve"> </w:t>
      </w:r>
      <w:hyperlink r:id="rId75" w:anchor="toc-australian-apprenticeship-priority-list" w:history="1">
        <w:r w:rsidR="007273C5" w:rsidRPr="00EE779F">
          <w:rPr>
            <w:rStyle w:val="Hyperlink"/>
            <w:i/>
            <w:iCs/>
          </w:rPr>
          <w:t>Australian Apprenticeship Prior</w:t>
        </w:r>
        <w:r w:rsidR="00EE779F" w:rsidRPr="00EE779F">
          <w:rPr>
            <w:rStyle w:val="Hyperlink"/>
            <w:i/>
            <w:iCs/>
          </w:rPr>
          <w:t>ity List</w:t>
        </w:r>
      </w:hyperlink>
      <w:r w:rsidR="00EE779F">
        <w:t>,</w:t>
      </w:r>
      <w:r w:rsidR="00104080">
        <w:t xml:space="preserve"> DEWR, accessed 1</w:t>
      </w:r>
      <w:r w:rsidR="001A7912">
        <w:t>3</w:t>
      </w:r>
      <w:r w:rsidR="00104080">
        <w:t xml:space="preserve"> May 2024.</w:t>
      </w:r>
    </w:p>
    <w:p w14:paraId="3A97F036" w14:textId="353530EE" w:rsidR="00550324" w:rsidRDefault="00550324" w:rsidP="007574A3">
      <w:pPr>
        <w:spacing w:before="0" w:after="160"/>
      </w:pPr>
      <w:r>
        <w:t xml:space="preserve">Dickie M, McDonald R &amp; Pedic F (2011), </w:t>
      </w:r>
      <w:hyperlink r:id="rId76" w:history="1">
        <w:r w:rsidRPr="00562A3E">
          <w:rPr>
            <w:rStyle w:val="Hyperlink"/>
            <w:i/>
            <w:iCs/>
          </w:rPr>
          <w:t>A fair deal: apprentices and their employers in NSW</w:t>
        </w:r>
      </w:hyperlink>
      <w:r>
        <w:t>, New South Wales Board of Vocational Education and Training Integrated Research Report, Sydney.</w:t>
      </w:r>
    </w:p>
    <w:p w14:paraId="03DEB316" w14:textId="515D9DBB" w:rsidR="00854023" w:rsidRDefault="00854023" w:rsidP="007574A3">
      <w:pPr>
        <w:spacing w:before="0" w:after="160"/>
      </w:pPr>
      <w:r>
        <w:t>JSA (</w:t>
      </w:r>
      <w:r w:rsidR="000D2FE1">
        <w:t>Jobs and Skills Australia</w:t>
      </w:r>
      <w:r>
        <w:t>) (20</w:t>
      </w:r>
      <w:r w:rsidR="00CD1673">
        <w:t>24</w:t>
      </w:r>
      <w:r>
        <w:t>)</w:t>
      </w:r>
      <w:r w:rsidR="000D2FE1">
        <w:t> </w:t>
      </w:r>
      <w:hyperlink r:id="rId77">
        <w:r w:rsidRPr="00F11C79">
          <w:rPr>
            <w:rStyle w:val="Hyperlink"/>
            <w:i/>
          </w:rPr>
          <w:t>Internet Vacancy Index</w:t>
        </w:r>
      </w:hyperlink>
      <w:r>
        <w:t xml:space="preserve">, </w:t>
      </w:r>
      <w:r w:rsidR="00F11C79">
        <w:t>JSA</w:t>
      </w:r>
      <w:r w:rsidR="00844ED4">
        <w:t xml:space="preserve">, accessed </w:t>
      </w:r>
      <w:r w:rsidR="00032873">
        <w:t xml:space="preserve">8 May 2024. </w:t>
      </w:r>
    </w:p>
    <w:p w14:paraId="2201FCCE" w14:textId="50516B3F" w:rsidR="000F4234" w:rsidRPr="000F4234" w:rsidRDefault="000F4234" w:rsidP="007574A3">
      <w:pPr>
        <w:spacing w:before="0" w:after="160"/>
        <w:rPr>
          <w:rFonts w:eastAsiaTheme="minorHAnsi"/>
        </w:rPr>
      </w:pPr>
      <w:r>
        <w:t xml:space="preserve">Karmel T, </w:t>
      </w:r>
      <w:hyperlink r:id="rId78" w:history="1">
        <w:r w:rsidRPr="009B029F">
          <w:rPr>
            <w:rStyle w:val="Hyperlink"/>
            <w:i/>
            <w:iCs/>
          </w:rPr>
          <w:t>Factors affecting apprenticeships and traineeships</w:t>
        </w:r>
      </w:hyperlink>
      <w:r>
        <w:t>, research commissioned by the Fair Work Commission, Research Report 3/2017, Part II, February.</w:t>
      </w:r>
    </w:p>
    <w:p w14:paraId="4C9C0AE6" w14:textId="64C0F290" w:rsidR="00887F50" w:rsidRDefault="00001D82" w:rsidP="007574A3">
      <w:pPr>
        <w:spacing w:before="0" w:after="160"/>
      </w:pPr>
      <w:r>
        <w:t xml:space="preserve">NAB </w:t>
      </w:r>
      <w:r w:rsidR="00887F50">
        <w:t>(National Australia Bank) (20</w:t>
      </w:r>
      <w:r w:rsidR="00FC3AAC">
        <w:t>24</w:t>
      </w:r>
      <w:r w:rsidR="00887F50">
        <w:t>)</w:t>
      </w:r>
      <w:r w:rsidR="000D2FE1">
        <w:t xml:space="preserve"> </w:t>
      </w:r>
      <w:hyperlink r:id="rId79">
        <w:r w:rsidR="000D2FE1" w:rsidRPr="0B5B3ADB">
          <w:rPr>
            <w:rStyle w:val="Hyperlink"/>
            <w:i/>
            <w:iCs/>
          </w:rPr>
          <w:t>NAB Monthly Business Survey</w:t>
        </w:r>
      </w:hyperlink>
      <w:r w:rsidR="00887F50">
        <w:t xml:space="preserve">, </w:t>
      </w:r>
      <w:r w:rsidR="001E4395">
        <w:t>NAB</w:t>
      </w:r>
      <w:r w:rsidR="00626203">
        <w:t>, accessed 8</w:t>
      </w:r>
      <w:r w:rsidR="006F453C">
        <w:t xml:space="preserve"> May 2024.</w:t>
      </w:r>
    </w:p>
    <w:p w14:paraId="7E22C88A" w14:textId="01955636" w:rsidR="000E225C" w:rsidRDefault="000E225C" w:rsidP="007574A3">
      <w:pPr>
        <w:spacing w:before="0" w:after="160"/>
      </w:pPr>
      <w:r>
        <w:t>NCVER (National Centre for Vocational Education Research) (2024)</w:t>
      </w:r>
      <w:r w:rsidR="00B31BD7">
        <w:t xml:space="preserve"> </w:t>
      </w:r>
      <w:hyperlink r:id="rId80" w:history="1">
        <w:proofErr w:type="spellStart"/>
        <w:r w:rsidR="00B31BD7" w:rsidRPr="00FC6A40">
          <w:rPr>
            <w:rStyle w:val="Hyperlink"/>
            <w:i/>
            <w:iCs/>
          </w:rPr>
          <w:t>DataBuilder</w:t>
        </w:r>
        <w:proofErr w:type="spellEnd"/>
      </w:hyperlink>
      <w:r w:rsidR="00B31BD7">
        <w:t xml:space="preserve">, </w:t>
      </w:r>
      <w:r w:rsidR="00A72915">
        <w:t>NCVER</w:t>
      </w:r>
      <w:r w:rsidR="00AA7D48">
        <w:t xml:space="preserve">, accessed </w:t>
      </w:r>
      <w:r w:rsidR="00FC6A40">
        <w:t>16 July 2024.</w:t>
      </w:r>
    </w:p>
    <w:p w14:paraId="6575E1C1" w14:textId="38FDF9C8" w:rsidR="009978E8" w:rsidRDefault="009978E8" w:rsidP="007574A3">
      <w:pPr>
        <w:spacing w:before="0" w:after="160"/>
      </w:pPr>
      <w:proofErr w:type="spellStart"/>
      <w:r>
        <w:t>Nechvo</w:t>
      </w:r>
      <w:r w:rsidR="00437472">
        <w:t>glod</w:t>
      </w:r>
      <w:proofErr w:type="spellEnd"/>
      <w:r w:rsidR="00437472">
        <w:t xml:space="preserve"> L, Karmel T and Saunders J </w:t>
      </w:r>
      <w:r w:rsidR="00163C30">
        <w:t xml:space="preserve">(2009) </w:t>
      </w:r>
      <w:hyperlink r:id="rId81" w:history="1">
        <w:r w:rsidR="00163C30" w:rsidRPr="005708A6">
          <w:rPr>
            <w:rStyle w:val="Hyperlink"/>
            <w:i/>
          </w:rPr>
          <w:t>The cost of training apprentices</w:t>
        </w:r>
      </w:hyperlink>
      <w:r w:rsidR="00EA3BCB">
        <w:t xml:space="preserve">, NCVER, accessed </w:t>
      </w:r>
      <w:r w:rsidR="00CA1A41">
        <w:t>23 April 2024.</w:t>
      </w:r>
    </w:p>
    <w:p w14:paraId="1199D19A" w14:textId="2569A4A6" w:rsidR="009B029F" w:rsidRDefault="009B029F" w:rsidP="007574A3">
      <w:pPr>
        <w:spacing w:before="0" w:after="160"/>
      </w:pPr>
      <w:r>
        <w:t xml:space="preserve">Nelms L, Yuen K, Pung A, Farooqui S &amp; Walsh J (2017), </w:t>
      </w:r>
      <w:hyperlink r:id="rId82" w:history="1">
        <w:r w:rsidRPr="00F15857">
          <w:rPr>
            <w:rStyle w:val="Hyperlink"/>
            <w:i/>
            <w:iCs/>
          </w:rPr>
          <w:t>Factors affecting apprenticeships and traineeships</w:t>
        </w:r>
      </w:hyperlink>
      <w:r>
        <w:t>, Fair Work Commission, Research Report 3/2017, Part I, February.</w:t>
      </w:r>
    </w:p>
    <w:p w14:paraId="4832B255" w14:textId="302A9DA1" w:rsidR="007D61F4" w:rsidRDefault="007D61F4" w:rsidP="007574A3">
      <w:pPr>
        <w:spacing w:before="0" w:after="160"/>
      </w:pPr>
      <w:r>
        <w:t>Powers</w:t>
      </w:r>
      <w:r w:rsidR="009306C2">
        <w:t xml:space="preserve"> T </w:t>
      </w:r>
      <w:r w:rsidR="003C699E">
        <w:t xml:space="preserve">(2020) </w:t>
      </w:r>
      <w:hyperlink r:id="rId83" w:anchor="!" w:history="1">
        <w:r w:rsidR="003C699E" w:rsidRPr="00BE1783">
          <w:rPr>
            <w:rStyle w:val="Hyperlink"/>
            <w:i/>
            <w:iCs/>
          </w:rPr>
          <w:t>Factors Lifting Apprenticeship Retention expectations (</w:t>
        </w:r>
        <w:proofErr w:type="spellStart"/>
        <w:r w:rsidR="003C699E" w:rsidRPr="00BE1783">
          <w:rPr>
            <w:rStyle w:val="Hyperlink"/>
            <w:i/>
            <w:iCs/>
          </w:rPr>
          <w:t>FLARe</w:t>
        </w:r>
        <w:proofErr w:type="spellEnd"/>
        <w:r w:rsidR="003C699E" w:rsidRPr="00BE1783">
          <w:rPr>
            <w:rStyle w:val="Hyperlink"/>
            <w:i/>
            <w:iCs/>
          </w:rPr>
          <w:t>)</w:t>
        </w:r>
      </w:hyperlink>
      <w:r w:rsidR="00A01DC9">
        <w:t>, Monash University</w:t>
      </w:r>
      <w:r w:rsidR="005326FF">
        <w:t xml:space="preserve">, accessed </w:t>
      </w:r>
      <w:r w:rsidR="0067331D">
        <w:t>23 April 2024.</w:t>
      </w:r>
    </w:p>
    <w:p w14:paraId="70EAE086" w14:textId="197EB102" w:rsidR="000D2FE1" w:rsidRPr="00A921BF" w:rsidRDefault="00AE1478" w:rsidP="007574A3">
      <w:pPr>
        <w:spacing w:before="0" w:after="160"/>
        <w:rPr>
          <w:rFonts w:eastAsiaTheme="minorHAnsi"/>
        </w:rPr>
      </w:pPr>
      <w:r>
        <w:lastRenderedPageBreak/>
        <w:t>Treasury</w:t>
      </w:r>
      <w:r w:rsidR="00E650F1">
        <w:t xml:space="preserve"> </w:t>
      </w:r>
      <w:r w:rsidR="00CB1535">
        <w:t>(</w:t>
      </w:r>
      <w:r w:rsidR="00E650F1">
        <w:t>2023</w:t>
      </w:r>
      <w:r w:rsidR="00CB1535">
        <w:t>)</w:t>
      </w:r>
      <w:r w:rsidR="009D4A29">
        <w:t xml:space="preserve"> </w:t>
      </w:r>
      <w:hyperlink r:id="rId84" w:history="1">
        <w:r w:rsidR="00FE7AF7" w:rsidRPr="00FE7AF7">
          <w:rPr>
            <w:rStyle w:val="Hyperlink"/>
            <w:i/>
            <w:iCs/>
          </w:rPr>
          <w:t xml:space="preserve">Independent Evaluation of the </w:t>
        </w:r>
        <w:proofErr w:type="spellStart"/>
        <w:r w:rsidR="00FE7AF7" w:rsidRPr="00FE7AF7">
          <w:rPr>
            <w:rStyle w:val="Hyperlink"/>
            <w:i/>
            <w:iCs/>
          </w:rPr>
          <w:t>JobKeeper</w:t>
        </w:r>
        <w:proofErr w:type="spellEnd"/>
        <w:r w:rsidR="00FE7AF7" w:rsidRPr="00FE7AF7">
          <w:rPr>
            <w:rStyle w:val="Hyperlink"/>
            <w:i/>
            <w:iCs/>
          </w:rPr>
          <w:t xml:space="preserve"> Payment</w:t>
        </w:r>
      </w:hyperlink>
      <w:r w:rsidR="00DE6030">
        <w:t xml:space="preserve">, </w:t>
      </w:r>
      <w:r w:rsidR="00870201">
        <w:t>Treasury</w:t>
      </w:r>
      <w:r w:rsidR="005A37B7">
        <w:t>, accessed</w:t>
      </w:r>
      <w:r w:rsidR="0052357C">
        <w:t xml:space="preserve"> 17 July 2024.</w:t>
      </w:r>
    </w:p>
    <w:sectPr w:rsidR="000D2FE1" w:rsidRPr="00A921BF" w:rsidSect="0055257B">
      <w:headerReference w:type="even" r:id="rId85"/>
      <w:headerReference w:type="default" r:id="rId86"/>
      <w:footerReference w:type="even" r:id="rId87"/>
      <w:footerReference w:type="default" r:id="rId88"/>
      <w:headerReference w:type="first" r:id="rId89"/>
      <w:footerReference w:type="first" r:id="rId90"/>
      <w:pgSz w:w="11906" w:h="16838" w:code="9"/>
      <w:pgMar w:top="1843"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CF61D" w14:textId="77777777" w:rsidR="00125D47" w:rsidRDefault="00125D47">
      <w:pPr>
        <w:spacing w:before="0" w:after="0"/>
      </w:pPr>
      <w:r>
        <w:separator/>
      </w:r>
    </w:p>
  </w:endnote>
  <w:endnote w:type="continuationSeparator" w:id="0">
    <w:p w14:paraId="6FFE32B3" w14:textId="77777777" w:rsidR="00125D47" w:rsidRDefault="00125D47">
      <w:pPr>
        <w:spacing w:before="0" w:after="0"/>
      </w:pPr>
      <w:r>
        <w:continuationSeparator/>
      </w:r>
    </w:p>
  </w:endnote>
  <w:endnote w:type="continuationNotice" w:id="1">
    <w:p w14:paraId="44904988" w14:textId="77777777" w:rsidR="00125D47" w:rsidRDefault="00125D4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yriad Pro Light">
    <w:altName w:val="Corbe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ource Sans Pro">
    <w:charset w:val="00"/>
    <w:family w:val="swiss"/>
    <w:pitch w:val="variable"/>
    <w:sig w:usb0="600002F7" w:usb1="02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FF4E2" w14:textId="50783673" w:rsidR="00B55B04" w:rsidRDefault="00670E3C" w:rsidP="00670E3C">
    <w:pPr>
      <w:pStyle w:val="FooterOdd"/>
    </w:pPr>
    <w:r>
      <w:rPr>
        <w:rStyle w:val="ui-provider"/>
      </w:rPr>
      <w:t>evaluation.treasury.gov.au</w:t>
    </w:r>
    <w:r>
      <w:tab/>
    </w:r>
    <w:fldSimple w:instr="STYLEREF  &quot;Heading 1&quot;  \* MERGEFORMAT">
      <w:r w:rsidR="00991972">
        <w:rPr>
          <w:noProof/>
        </w:rPr>
        <w:t>Contents</w:t>
      </w:r>
    </w:fldSimple>
    <w:r w:rsidR="00B55B04">
      <w:t xml:space="preserve"> | </w:t>
    </w:r>
    <w:r w:rsidR="00B55B04">
      <w:fldChar w:fldCharType="begin"/>
    </w:r>
    <w:r w:rsidR="00B55B04">
      <w:instrText xml:space="preserve"> PAGE   \* MERGEFORMAT </w:instrText>
    </w:r>
    <w:r w:rsidR="00B55B04">
      <w:fldChar w:fldCharType="separate"/>
    </w:r>
    <w:r>
      <w:t>1</w:t>
    </w:r>
    <w:r w:rsidR="00B55B0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25CB1" w14:textId="297A92FD" w:rsidR="00DB74D4" w:rsidRDefault="00670E3C" w:rsidP="00670E3C">
    <w:pPr>
      <w:pStyle w:val="FooterOdd"/>
    </w:pPr>
    <w:r>
      <w:rPr>
        <w:rStyle w:val="ui-provider"/>
      </w:rPr>
      <w:t>evaluation.treasury.gov.au</w:t>
    </w:r>
    <w:r>
      <w:tab/>
    </w:r>
    <w:r w:rsidR="00BD30A6">
      <w:t xml:space="preserve">Contents </w:t>
    </w:r>
    <w:r>
      <w:t xml:space="preserve">| </w:t>
    </w: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77EC2" w14:textId="63AE4B1A" w:rsidR="00B55B04" w:rsidRDefault="00DB74D4" w:rsidP="00962ACF">
    <w:pPr>
      <w:pStyle w:val="FooterOdd"/>
    </w:pPr>
    <w:r>
      <w:rPr>
        <w:noProof/>
      </w:rPr>
      <mc:AlternateContent>
        <mc:Choice Requires="wps">
          <w:drawing>
            <wp:anchor distT="0" distB="0" distL="0" distR="0" simplePos="0" relativeHeight="251660288" behindDoc="0" locked="0" layoutInCell="1" allowOverlap="1" wp14:anchorId="0D2C1B43" wp14:editId="25D674F3">
              <wp:simplePos x="635" y="635"/>
              <wp:positionH relativeFrom="page">
                <wp:align>center</wp:align>
              </wp:positionH>
              <wp:positionV relativeFrom="page">
                <wp:align>bottom</wp:align>
              </wp:positionV>
              <wp:extent cx="551815" cy="452755"/>
              <wp:effectExtent l="0" t="0" r="635" b="0"/>
              <wp:wrapNone/>
              <wp:docPr id="139433729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41D72A08" w14:textId="76745EB4" w:rsidR="00DB74D4" w:rsidRPr="00DB74D4" w:rsidRDefault="00DB74D4" w:rsidP="00DB74D4">
                          <w:pPr>
                            <w:spacing w:after="0"/>
                            <w:rPr>
                              <w:rFonts w:ascii="Calibri" w:eastAsia="Calibri" w:hAnsi="Calibri" w:cs="Calibri"/>
                              <w:noProof/>
                              <w:color w:val="FF0000"/>
                              <w:sz w:val="24"/>
                              <w:szCs w:val="24"/>
                            </w:rPr>
                          </w:pPr>
                          <w:r w:rsidRPr="00DB74D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D2C1B43" id="_x0000_t202" coordsize="21600,21600" o:spt="202" path="m,l,21600r21600,l21600,xe">
              <v:stroke joinstyle="miter"/>
              <v:path gradientshapeok="t" o:connecttype="rect"/>
            </v:shapetype>
            <v:shape id="Text Box 7" o:spid="_x0000_s1027" type="#_x0000_t202" alt="OFFICIAL" style="position:absolute;left:0;text-align:left;margin-left:0;margin-top:0;width:43.45pt;height:35.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" filled="f" stroked="f">
              <v:textbox style="mso-fit-shape-to-text:t" inset="0,0,0,15pt">
                <w:txbxContent>
                  <w:p w14:paraId="41D72A08" w14:textId="76745EB4" w:rsidR="00DB74D4" w:rsidRPr="00DB74D4" w:rsidRDefault="00DB74D4" w:rsidP="00DB74D4">
                    <w:pPr>
                      <w:spacing w:after="0"/>
                      <w:rPr>
                        <w:rFonts w:ascii="Calibri" w:eastAsia="Calibri" w:hAnsi="Calibri" w:cs="Calibri"/>
                        <w:noProof/>
                        <w:color w:val="FF0000"/>
                        <w:sz w:val="24"/>
                        <w:szCs w:val="24"/>
                      </w:rPr>
                    </w:pPr>
                    <w:r w:rsidRPr="00DB74D4">
                      <w:rPr>
                        <w:rFonts w:ascii="Calibri" w:eastAsia="Calibri" w:hAnsi="Calibri" w:cs="Calibri"/>
                        <w:noProof/>
                        <w:color w:val="FF0000"/>
                        <w:sz w:val="24"/>
                        <w:szCs w:val="24"/>
                      </w:rPr>
                      <w:t>OFFICIAL</w:t>
                    </w:r>
                  </w:p>
                </w:txbxContent>
              </v:textbox>
              <w10:wrap anchorx="page" anchory="page"/>
            </v:shape>
          </w:pict>
        </mc:Fallback>
      </mc:AlternateContent>
    </w:r>
    <w:r w:rsidR="007A182A">
      <w:rPr>
        <w:rStyle w:val="ui-provider"/>
      </w:rPr>
      <w:t>evaluation.treasury.gov.au</w:t>
    </w:r>
    <w:r w:rsidR="00103F3C">
      <w:tab/>
    </w:r>
    <w:fldSimple w:instr="STYLEREF  &quot;Heading 1&quot;  \* MERGEFORMAT">
      <w:r w:rsidR="00991972">
        <w:rPr>
          <w:noProof/>
        </w:rPr>
        <w:t>Acknowledgements</w:t>
      </w:r>
    </w:fldSimple>
    <w:r w:rsidR="00B55B04">
      <w:rPr>
        <w:noProof/>
      </w:rPr>
      <w:t xml:space="preserve"> </w:t>
    </w:r>
    <w:r w:rsidR="00B55B04">
      <w:t xml:space="preserve">| </w:t>
    </w:r>
    <w:r w:rsidR="00B55B04">
      <w:fldChar w:fldCharType="begin"/>
    </w:r>
    <w:r w:rsidR="00B55B04">
      <w:instrText xml:space="preserve"> PAGE   \* MERGEFORMAT </w:instrText>
    </w:r>
    <w:r w:rsidR="00B55B04">
      <w:fldChar w:fldCharType="separate"/>
    </w:r>
    <w:r w:rsidR="00B55B04">
      <w:t>2</w:t>
    </w:r>
    <w:r w:rsidR="00B55B04">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5ED89" w14:textId="04CFA7F7" w:rsidR="00672B5D" w:rsidRDefault="00E7038C" w:rsidP="00E7038C">
    <w:pPr>
      <w:pStyle w:val="FooterOdd"/>
    </w:pPr>
    <w:r>
      <w:rPr>
        <w:rStyle w:val="ui-provider"/>
      </w:rPr>
      <w:t>evaluation.treasury.gov.au</w:t>
    </w:r>
    <w:r>
      <w:tab/>
    </w:r>
    <w:fldSimple w:instr=" STYLEREF  &quot;Heading 1&quot;  \* MERGEFORMAT ">
      <w:r w:rsidR="00991972">
        <w:rPr>
          <w:noProof/>
        </w:rPr>
        <w:t>Apprentice characteristics</w:t>
      </w:r>
    </w:fldSimple>
    <w:r>
      <w:t xml:space="preserve"> | </w:t>
    </w:r>
    <w:r>
      <w:fldChar w:fldCharType="begin"/>
    </w:r>
    <w:r>
      <w:instrText xml:space="preserve"> PAGE   \* MERGEFORMAT </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563D6" w14:textId="0C5874C8" w:rsidR="00DB74D4" w:rsidRDefault="00670E3C" w:rsidP="00670E3C">
    <w:pPr>
      <w:pStyle w:val="FooterOdd"/>
    </w:pPr>
    <w:r>
      <w:rPr>
        <w:rStyle w:val="ui-provider"/>
      </w:rPr>
      <w:t>evaluation.treasury.gov.au</w:t>
    </w:r>
    <w:r>
      <w:tab/>
    </w:r>
    <w:fldSimple w:instr=" STYLEREF  &quot;Heading 1&quot;  \* MERGEFORMAT ">
      <w:r w:rsidR="00991972">
        <w:rPr>
          <w:noProof/>
        </w:rPr>
        <w:t>Apprentice characteristics</w:t>
      </w:r>
    </w:fldSimple>
    <w:r>
      <w:t xml:space="preserve"> | </w:t>
    </w:r>
    <w:r>
      <w:fldChar w:fldCharType="begin"/>
    </w:r>
    <w:r>
      <w:instrText xml:space="preserve"> PAGE   \* MERGEFORMAT </w:instrText>
    </w:r>
    <w:r>
      <w:fldChar w:fldCharType="separate"/>
    </w:r>
    <w: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42122" w14:textId="159E57EB" w:rsidR="00095D88" w:rsidRPr="00095D88" w:rsidRDefault="00DB74D4" w:rsidP="00095D88">
    <w:pPr>
      <w:pStyle w:val="Footer"/>
    </w:pPr>
    <w:r>
      <w:rPr>
        <w:noProof/>
      </w:rPr>
      <mc:AlternateContent>
        <mc:Choice Requires="wps">
          <w:drawing>
            <wp:anchor distT="0" distB="0" distL="0" distR="0" simplePos="0" relativeHeight="251658243" behindDoc="0" locked="0" layoutInCell="1" allowOverlap="1" wp14:anchorId="769F9C3F" wp14:editId="6C9856AD">
              <wp:simplePos x="635" y="635"/>
              <wp:positionH relativeFrom="page">
                <wp:align>center</wp:align>
              </wp:positionH>
              <wp:positionV relativeFrom="page">
                <wp:align>bottom</wp:align>
              </wp:positionV>
              <wp:extent cx="551815" cy="452755"/>
              <wp:effectExtent l="0" t="0" r="635" b="0"/>
              <wp:wrapNone/>
              <wp:docPr id="24573644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1FDBED57" w14:textId="532CD914" w:rsidR="00DB74D4" w:rsidRPr="00DB74D4" w:rsidRDefault="00DB74D4" w:rsidP="00DB74D4">
                          <w:pPr>
                            <w:spacing w:after="0"/>
                            <w:rPr>
                              <w:rFonts w:ascii="Calibri" w:eastAsia="Calibri" w:hAnsi="Calibri" w:cs="Calibri"/>
                              <w:noProof/>
                              <w:color w:val="FF0000"/>
                              <w:sz w:val="24"/>
                              <w:szCs w:val="24"/>
                            </w:rPr>
                          </w:pPr>
                          <w:r w:rsidRPr="00DB74D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69F9C3F" id="_x0000_t202" coordsize="21600,21600" o:spt="202" path="m,l,21600r21600,l21600,xe">
              <v:stroke joinstyle="miter"/>
              <v:path gradientshapeok="t" o:connecttype="rect"/>
            </v:shapetype>
            <v:shape id="Text Box 10" o:spid="_x0000_s1029" type="#_x0000_t202" alt="OFFICIAL" style="position:absolute;left:0;text-align:left;margin-left:0;margin-top:0;width:43.45pt;height:35.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" filled="f" stroked="f">
              <v:textbox style="mso-fit-shape-to-text:t" inset="0,0,0,15pt">
                <w:txbxContent>
                  <w:p w14:paraId="1FDBED57" w14:textId="532CD914" w:rsidR="00DB74D4" w:rsidRPr="00DB74D4" w:rsidRDefault="00DB74D4" w:rsidP="00DB74D4">
                    <w:pPr>
                      <w:spacing w:after="0"/>
                      <w:rPr>
                        <w:rFonts w:ascii="Calibri" w:eastAsia="Calibri" w:hAnsi="Calibri" w:cs="Calibri"/>
                        <w:noProof/>
                        <w:color w:val="FF0000"/>
                        <w:sz w:val="24"/>
                        <w:szCs w:val="24"/>
                      </w:rPr>
                    </w:pPr>
                    <w:r w:rsidRPr="00DB74D4">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248A1C" w14:textId="77777777" w:rsidR="00125D47" w:rsidRPr="00ED5A20" w:rsidRDefault="00125D47" w:rsidP="000F6233">
      <w:pPr>
        <w:rPr>
          <w:color w:val="4D7861" w:themeColor="accent2"/>
        </w:rPr>
      </w:pPr>
      <w:r w:rsidRPr="00ED5A20">
        <w:rPr>
          <w:color w:val="4D7861" w:themeColor="accent2"/>
        </w:rPr>
        <w:separator/>
      </w:r>
    </w:p>
  </w:footnote>
  <w:footnote w:type="continuationSeparator" w:id="0">
    <w:p w14:paraId="6B2E9F8B" w14:textId="77777777" w:rsidR="00125D47" w:rsidRPr="00B737EB" w:rsidRDefault="00125D47">
      <w:pPr>
        <w:spacing w:before="0" w:after="0"/>
        <w:rPr>
          <w:color w:val="2C384A" w:themeColor="accent1"/>
        </w:rPr>
      </w:pPr>
      <w:r w:rsidRPr="00B737EB">
        <w:rPr>
          <w:color w:val="2C384A" w:themeColor="accent1"/>
        </w:rPr>
        <w:continuationSeparator/>
      </w:r>
    </w:p>
  </w:footnote>
  <w:footnote w:type="continuationNotice" w:id="1">
    <w:p w14:paraId="2FB0E228" w14:textId="77777777" w:rsidR="00125D47" w:rsidRDefault="00125D47">
      <w:pPr>
        <w:spacing w:before="0" w:after="0"/>
      </w:pPr>
    </w:p>
  </w:footnote>
  <w:footnote w:id="2">
    <w:p w14:paraId="5026BBE3" w14:textId="34BC9D1F" w:rsidR="00DD4C4B" w:rsidRPr="00CE7B72" w:rsidRDefault="00DD4C4B" w:rsidP="00FF0099">
      <w:pPr>
        <w:pStyle w:val="FootnoteText"/>
      </w:pPr>
      <w:r>
        <w:rPr>
          <w:rStyle w:val="FootnoteReference"/>
        </w:rPr>
        <w:footnoteRef/>
      </w:r>
      <w:r>
        <w:t xml:space="preserve"> </w:t>
      </w:r>
      <w:r w:rsidR="00FF0099">
        <w:tab/>
      </w:r>
      <w:r w:rsidRPr="00CE7B72">
        <w:t>We define trades Australian Apprenticeships as those relating to ANZCO Major Group 3: Technicians and Trades Workers</w:t>
      </w:r>
      <w:r w:rsidR="00AE76BA">
        <w:t>. N</w:t>
      </w:r>
      <w:r w:rsidRPr="00CE7B72">
        <w:t xml:space="preserve">on-trades </w:t>
      </w:r>
      <w:r w:rsidR="001E6463" w:rsidRPr="00CE7B72">
        <w:t xml:space="preserve">Australian Apprenticeships </w:t>
      </w:r>
      <w:r w:rsidR="001E6463">
        <w:t xml:space="preserve">refer to </w:t>
      </w:r>
      <w:r w:rsidRPr="00CE7B72">
        <w:t>all other ANZCO Major Groups.</w:t>
      </w:r>
    </w:p>
  </w:footnote>
  <w:footnote w:id="3">
    <w:p w14:paraId="7A655A14" w14:textId="3CA473A1" w:rsidR="003A281B" w:rsidRDefault="003A281B" w:rsidP="00FF0099">
      <w:pPr>
        <w:pStyle w:val="FootnoteText"/>
      </w:pPr>
      <w:r w:rsidRPr="00FF0099">
        <w:footnoteRef/>
      </w:r>
      <w:r>
        <w:t xml:space="preserve"> </w:t>
      </w:r>
      <w:r w:rsidR="00FF0099" w:rsidRPr="00FF0099">
        <w:tab/>
      </w:r>
      <w:r>
        <w:t>These ‘cost effectiveness’ values represent how much government spending is required for an additional commencement or completion, and so can be used</w:t>
      </w:r>
      <w:r w:rsidR="0088777C">
        <w:t xml:space="preserve"> to</w:t>
      </w:r>
      <w:r>
        <w:t xml:space="preserve">, for example, compare the costs of </w:t>
      </w:r>
      <w:r w:rsidR="0088777C">
        <w:t xml:space="preserve">increasing </w:t>
      </w:r>
      <w:r>
        <w:t>completions using a BAC style wage subsidy to the costs of increasing completions using alternative policy measures (</w:t>
      </w:r>
      <w:r w:rsidR="0040496D">
        <w:t>for example</w:t>
      </w:r>
      <w:r>
        <w:t>, employee wage subsidies</w:t>
      </w:r>
      <w:r w:rsidR="0088777C">
        <w:t xml:space="preserve">, apprentice </w:t>
      </w:r>
      <w:r w:rsidR="00145A5E">
        <w:t>mentoring programs, etc</w:t>
      </w:r>
      <w:r w:rsidR="0088777C">
        <w:t xml:space="preserve">). </w:t>
      </w:r>
      <w:r w:rsidR="00145A5E">
        <w:t>This evaluation has not sought to i</w:t>
      </w:r>
      <w:r w:rsidR="0088777C">
        <w:t>dentify such other policy measures and their costs.</w:t>
      </w:r>
    </w:p>
  </w:footnote>
  <w:footnote w:id="4">
    <w:p w14:paraId="20F2AC7F" w14:textId="0EE8F981" w:rsidR="00E34129" w:rsidRDefault="00E34129" w:rsidP="00FF0099">
      <w:pPr>
        <w:pStyle w:val="FootnoteText"/>
      </w:pPr>
      <w:r w:rsidRPr="00FF0099">
        <w:rPr>
          <w:rStyle w:val="FootnoteReference"/>
          <w:sz w:val="20"/>
        </w:rPr>
        <w:footnoteRef/>
      </w:r>
      <w:r>
        <w:t xml:space="preserve"> </w:t>
      </w:r>
      <w:r w:rsidR="00FF0099">
        <w:tab/>
      </w:r>
      <w:r>
        <w:t>Ranges refer to 95% confidence intervals. These were calculated using bootstrapping</w:t>
      </w:r>
      <w:r w:rsidR="003B67DC">
        <w:t xml:space="preserve">, which means the </w:t>
      </w:r>
      <w:r w:rsidR="00995F5B">
        <w:t>confidence interval is</w:t>
      </w:r>
      <w:r w:rsidR="002352C8">
        <w:t xml:space="preserve"> not </w:t>
      </w:r>
      <w:r w:rsidR="00995F5B">
        <w:t xml:space="preserve">always symmetric around the </w:t>
      </w:r>
      <w:r w:rsidR="003B67DC">
        <w:t>point estimate</w:t>
      </w:r>
      <w:r>
        <w:t xml:space="preserve">. See Appendix </w:t>
      </w:r>
      <w:r w:rsidR="00794935">
        <w:t>B</w:t>
      </w:r>
      <w:r>
        <w:t xml:space="preserve"> for details.</w:t>
      </w:r>
    </w:p>
  </w:footnote>
  <w:footnote w:id="5">
    <w:p w14:paraId="4AFBEDF2" w14:textId="3F1AC6FE" w:rsidR="00CF183F" w:rsidRDefault="00CF183F" w:rsidP="00FF0099">
      <w:pPr>
        <w:pStyle w:val="FootnoteText"/>
      </w:pPr>
      <w:r w:rsidRPr="00FF0099">
        <w:rPr>
          <w:rStyle w:val="FootnoteReference"/>
          <w:sz w:val="20"/>
        </w:rPr>
        <w:footnoteRef/>
      </w:r>
      <w:r>
        <w:t xml:space="preserve"> </w:t>
      </w:r>
      <w:r w:rsidR="00FF0099">
        <w:tab/>
      </w:r>
      <w:r w:rsidRPr="00FF0099">
        <w:t>‘</w:t>
      </w:r>
      <w:r w:rsidR="00CE75DD" w:rsidRPr="00FF0099">
        <w:t xml:space="preserve">Federal government funding of Australian Apprentices per person in-training’ </w:t>
      </w:r>
      <w:r w:rsidR="00CE75DD">
        <w:t xml:space="preserve">calculated by </w:t>
      </w:r>
      <w:r w:rsidR="00B46924">
        <w:t xml:space="preserve">taking the total federal government expenditure </w:t>
      </w:r>
      <w:r w:rsidR="00240F75">
        <w:t>in</w:t>
      </w:r>
      <w:r w:rsidR="00B46924">
        <w:t xml:space="preserve"> the Australian Apprenticeships Incentive</w:t>
      </w:r>
      <w:r w:rsidR="00622E85">
        <w:t>s</w:t>
      </w:r>
      <w:r w:rsidR="00B46924">
        <w:t xml:space="preserve"> Program (AAIP)</w:t>
      </w:r>
      <w:r w:rsidR="00F839A1">
        <w:t xml:space="preserve"> for each financial year and dividing by the number of </w:t>
      </w:r>
      <w:r w:rsidR="00A4102C">
        <w:t xml:space="preserve">Australian Apprenticeships in-training in the middle of the financial year (31 December). Note this AAIP </w:t>
      </w:r>
      <w:r w:rsidR="00822A87">
        <w:t xml:space="preserve">funding is largely employer subsidies. For example, in the year prior to BAC it was 99.0% employer subsidies, 0.3% subsidies for apprentices, and 0.8% </w:t>
      </w:r>
      <w:r w:rsidR="001E185F">
        <w:t>for a mentoring and tutorial program.</w:t>
      </w:r>
    </w:p>
  </w:footnote>
  <w:footnote w:id="6">
    <w:p w14:paraId="424D2E74" w14:textId="2E907D7D" w:rsidR="007209B0" w:rsidRDefault="007209B0" w:rsidP="00BB7265">
      <w:pPr>
        <w:pStyle w:val="FootnoteText"/>
      </w:pPr>
      <w:r w:rsidRPr="00BB7265">
        <w:rPr>
          <w:rStyle w:val="FootnoteReference"/>
          <w:sz w:val="20"/>
        </w:rPr>
        <w:footnoteRef/>
      </w:r>
      <w:r>
        <w:t xml:space="preserve"> </w:t>
      </w:r>
      <w:r w:rsidR="00BB7265">
        <w:tab/>
      </w:r>
      <w:r>
        <w:t>For the purposes of determining eligibility for apprenticeship incentives, including the BAC program, an ‘existing worker’ was defined as a person who had been employed for 3 months full-time, or 12-months casual or part-time. (This is the way full-time equivalence is calculated for these employees.) Therefore, casual and part-time staff who had joined, for example 11 months ago, were not subject to the revised eligibility criteria for existing workers.</w:t>
      </w:r>
    </w:p>
  </w:footnote>
  <w:footnote w:id="7">
    <w:p w14:paraId="58715543" w14:textId="69471939" w:rsidR="00E4460F" w:rsidRPr="0059447E" w:rsidRDefault="00E4460F" w:rsidP="00FF0099">
      <w:pPr>
        <w:pStyle w:val="FootnoteText"/>
      </w:pPr>
      <w:r>
        <w:rPr>
          <w:rStyle w:val="FootnoteReference"/>
        </w:rPr>
        <w:footnoteRef/>
      </w:r>
      <w:r>
        <w:t xml:space="preserve"> </w:t>
      </w:r>
      <w:r w:rsidR="00FF0099">
        <w:tab/>
      </w:r>
      <w:r w:rsidRPr="0059447E">
        <w:t>Occupations discussed in this section refer to the following ANZSCO minor codes: carpenters (331), electricians (341), automotive electricians (321), hairdressers (391), wood trades workers (394), plumbers (334), mechanical engineers (323), panel beaters (324), food trades workers (351).</w:t>
      </w:r>
    </w:p>
  </w:footnote>
  <w:footnote w:id="8">
    <w:p w14:paraId="0EE0C7F4" w14:textId="4709507E" w:rsidR="00E4460F" w:rsidRDefault="00E4460F" w:rsidP="00FF0099">
      <w:pPr>
        <w:pStyle w:val="FootnoteText"/>
      </w:pPr>
      <w:r>
        <w:rPr>
          <w:rStyle w:val="FootnoteReference"/>
        </w:rPr>
        <w:footnoteRef/>
      </w:r>
      <w:r w:rsidRPr="0059447E">
        <w:rPr>
          <w:rStyle w:val="FootnoteReference"/>
        </w:rPr>
        <w:t xml:space="preserve"> </w:t>
      </w:r>
      <w:r w:rsidR="00FF0099">
        <w:rPr>
          <w:rStyle w:val="FootnoteReference"/>
        </w:rPr>
        <w:tab/>
      </w:r>
      <w:r w:rsidRPr="0059447E">
        <w:t>Occupations discussed in this section refer to the following ANZSCO minor codes: clerks (531), salespersons (621), hospitality workers (431), personal carers (423), child carers (421), office managers (512), food process workers (831), personal service and travel workers (451)</w:t>
      </w:r>
      <w:r>
        <w:t>.</w:t>
      </w:r>
    </w:p>
  </w:footnote>
  <w:footnote w:id="9">
    <w:p w14:paraId="64888496" w14:textId="7DCCDA96" w:rsidR="002045CC" w:rsidRDefault="002045CC" w:rsidP="00FF0099">
      <w:pPr>
        <w:pStyle w:val="FootnoteText"/>
      </w:pPr>
      <w:r w:rsidRPr="00FF0099">
        <w:rPr>
          <w:rStyle w:val="FootnoteReference"/>
          <w:sz w:val="20"/>
        </w:rPr>
        <w:footnoteRef/>
      </w:r>
      <w:r>
        <w:t xml:space="preserve"> </w:t>
      </w:r>
      <w:r w:rsidR="00FF0099">
        <w:tab/>
      </w:r>
      <w:r w:rsidR="006057B5">
        <w:t>Results are not reported for the Australian Capital Territory or the Northern Territory due to small sample sizes.</w:t>
      </w:r>
    </w:p>
  </w:footnote>
  <w:footnote w:id="10">
    <w:p w14:paraId="6BB000A7" w14:textId="50A6F764" w:rsidR="00D01EAD" w:rsidRDefault="00D01EAD" w:rsidP="00BB7265">
      <w:pPr>
        <w:pStyle w:val="FootnoteText"/>
      </w:pPr>
      <w:r w:rsidRPr="00BB7265">
        <w:rPr>
          <w:rStyle w:val="FootnoteReference"/>
          <w:sz w:val="20"/>
        </w:rPr>
        <w:footnoteRef/>
      </w:r>
      <w:r>
        <w:t xml:space="preserve"> </w:t>
      </w:r>
      <w:r w:rsidR="00BB7265">
        <w:tab/>
      </w:r>
      <w:r>
        <w:t xml:space="preserve">The </w:t>
      </w:r>
      <w:r w:rsidRPr="00EB3187">
        <w:t>‘BAC period</w:t>
      </w:r>
      <w:r>
        <w:t>’</w:t>
      </w:r>
      <w:r w:rsidRPr="00EB3187">
        <w:t xml:space="preserve"> refers to </w:t>
      </w:r>
      <w:r>
        <w:t xml:space="preserve">the 7 quarters between </w:t>
      </w:r>
      <w:r w:rsidRPr="00EB3187">
        <w:t xml:space="preserve">Quarter 4 2020 to Quarter 2 2022. </w:t>
      </w:r>
      <w:r>
        <w:t xml:space="preserve">The </w:t>
      </w:r>
      <w:r w:rsidRPr="00EB3187">
        <w:t>‘</w:t>
      </w:r>
      <w:r>
        <w:t>p</w:t>
      </w:r>
      <w:r w:rsidRPr="00EB3187">
        <w:t>revious</w:t>
      </w:r>
      <w:r>
        <w:t xml:space="preserve"> </w:t>
      </w:r>
      <w:r w:rsidRPr="00EB3187">
        <w:t>period</w:t>
      </w:r>
      <w:r>
        <w:t>’</w:t>
      </w:r>
      <w:r w:rsidRPr="00EB3187">
        <w:t xml:space="preserve"> refers to </w:t>
      </w:r>
      <w:r>
        <w:t xml:space="preserve">the 7 quarters between </w:t>
      </w:r>
      <w:r w:rsidRPr="00EB3187">
        <w:t>Quarter 4 2017 to Quarter 2 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EFCD5" w14:textId="280C7C29" w:rsidR="00DB74D4" w:rsidRDefault="00DB74D4">
    <w:pPr>
      <w:pStyle w:val="Header"/>
    </w:pPr>
    <w:r>
      <w:rPr>
        <w:noProof/>
      </w:rPr>
      <mc:AlternateContent>
        <mc:Choice Requires="wps">
          <w:drawing>
            <wp:anchor distT="0" distB="0" distL="0" distR="0" simplePos="0" relativeHeight="251657216" behindDoc="0" locked="0" layoutInCell="1" allowOverlap="1" wp14:anchorId="02040199" wp14:editId="260E7ABD">
              <wp:simplePos x="635" y="635"/>
              <wp:positionH relativeFrom="page">
                <wp:align>center</wp:align>
              </wp:positionH>
              <wp:positionV relativeFrom="page">
                <wp:align>top</wp:align>
              </wp:positionV>
              <wp:extent cx="551815" cy="452755"/>
              <wp:effectExtent l="0" t="0" r="635" b="4445"/>
              <wp:wrapNone/>
              <wp:docPr id="59854493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1F3A2F8A" w14:textId="163E8B77" w:rsidR="00DB74D4" w:rsidRPr="00DB74D4" w:rsidRDefault="00DB74D4" w:rsidP="00DB74D4">
                          <w:pPr>
                            <w:spacing w:after="0"/>
                            <w:rPr>
                              <w:rFonts w:ascii="Calibri" w:eastAsia="Calibri" w:hAnsi="Calibri" w:cs="Calibri"/>
                              <w:noProof/>
                              <w:color w:val="FF0000"/>
                              <w:sz w:val="24"/>
                              <w:szCs w:val="24"/>
                            </w:rPr>
                          </w:pPr>
                          <w:r w:rsidRPr="00DB74D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040199" id="_x0000_t202" coordsize="21600,21600" o:spt="202" path="m,l,21600r21600,l21600,xe">
              <v:stroke joinstyle="miter"/>
              <v:path gradientshapeok="t" o:connecttype="rect"/>
            </v:shapetype>
            <v:shape id="Text Box 1" o:spid="_x0000_s1026" type="#_x0000_t202" alt="OFFICIAL" style="position:absolute;left:0;text-align:left;margin-left:0;margin-top:0;width:43.45pt;height:35.6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" filled="f" stroked="f">
              <v:textbox style="mso-fit-shape-to-text:t" inset="0,15pt,0,0">
                <w:txbxContent>
                  <w:p w14:paraId="1F3A2F8A" w14:textId="163E8B77" w:rsidR="00DB74D4" w:rsidRPr="00DB74D4" w:rsidRDefault="00DB74D4" w:rsidP="00DB74D4">
                    <w:pPr>
                      <w:spacing w:after="0"/>
                      <w:rPr>
                        <w:rFonts w:ascii="Calibri" w:eastAsia="Calibri" w:hAnsi="Calibri" w:cs="Calibri"/>
                        <w:noProof/>
                        <w:color w:val="FF0000"/>
                        <w:sz w:val="24"/>
                        <w:szCs w:val="24"/>
                      </w:rPr>
                    </w:pPr>
                    <w:r w:rsidRPr="00DB74D4">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A3D65" w14:textId="30B7EED7" w:rsidR="00672B5D" w:rsidRPr="00AC75E2" w:rsidRDefault="00AC75E2" w:rsidP="00AC75E2">
    <w:pPr>
      <w:pStyle w:val="HeaderEven"/>
    </w:pPr>
    <w:r>
      <w:rPr>
        <w:noProof/>
      </w:rPr>
      <w:drawing>
        <wp:anchor distT="0" distB="0" distL="114300" distR="114300" simplePos="0" relativeHeight="251658244" behindDoc="1" locked="1" layoutInCell="1" allowOverlap="1" wp14:anchorId="1806650B" wp14:editId="03770A3D">
          <wp:simplePos x="0" y="0"/>
          <wp:positionH relativeFrom="page">
            <wp:align>center</wp:align>
          </wp:positionH>
          <wp:positionV relativeFrom="page">
            <wp:align>top</wp:align>
          </wp:positionV>
          <wp:extent cx="7527600" cy="1044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extLst>
                      <a:ext uri="{28A0092B-C50C-407E-A947-70E740481C1C}">
                        <a14:useLocalDpi xmlns:a14="http://schemas.microsoft.com/office/drawing/2010/main" val="0"/>
                      </a:ext>
                    </a:extLst>
                  </a:blip>
                  <a:stretch>
                    <a:fillRect/>
                  </a:stretch>
                </pic:blipFill>
                <pic:spPr>
                  <a:xfrm flipH="1">
                    <a:off x="0" y="0"/>
                    <a:ext cx="7527600" cy="1044000"/>
                  </a:xfrm>
                  <a:prstGeom prst="rect">
                    <a:avLst/>
                  </a:prstGeom>
                </pic:spPr>
              </pic:pic>
            </a:graphicData>
          </a:graphic>
          <wp14:sizeRelH relativeFrom="margin">
            <wp14:pctWidth>0</wp14:pctWidth>
          </wp14:sizeRelH>
          <wp14:sizeRelV relativeFrom="margin">
            <wp14:pctHeight>0</wp14:pctHeight>
          </wp14:sizeRelV>
        </wp:anchor>
      </w:drawing>
    </w:r>
    <w:r w:rsidR="008E24D2">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15102" w14:textId="7CF1E871" w:rsidR="00DB74D4" w:rsidRDefault="00F84A6E">
    <w:pPr>
      <w:pStyle w:val="Header"/>
    </w:pPr>
    <w:r>
      <w:rPr>
        <w:noProof/>
      </w:rPr>
      <w:drawing>
        <wp:anchor distT="0" distB="0" distL="114300" distR="114300" simplePos="0" relativeHeight="251658245" behindDoc="1" locked="1" layoutInCell="1" allowOverlap="1" wp14:anchorId="10C56BE9" wp14:editId="03B445E7">
          <wp:simplePos x="0" y="0"/>
          <wp:positionH relativeFrom="page">
            <wp:align>center</wp:align>
          </wp:positionH>
          <wp:positionV relativeFrom="page">
            <wp:align>top</wp:align>
          </wp:positionV>
          <wp:extent cx="7527600" cy="1044000"/>
          <wp:effectExtent l="0" t="0" r="0" b="0"/>
          <wp:wrapNone/>
          <wp:docPr id="311305853" name="Picture 31130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1">
                    <a:extLst>
                      <a:ext uri="{28A0092B-C50C-407E-A947-70E740481C1C}">
                        <a14:useLocalDpi xmlns:a14="http://schemas.microsoft.com/office/drawing/2010/main" val="0"/>
                      </a:ext>
                    </a:extLst>
                  </a:blip>
                  <a:stretch>
                    <a:fillRect/>
                  </a:stretch>
                </pic:blipFill>
                <pic:spPr>
                  <a:xfrm flipH="1">
                    <a:off x="0" y="0"/>
                    <a:ext cx="7527600" cy="104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04415" w14:textId="67C69500" w:rsidR="00095D88" w:rsidRPr="00095D88" w:rsidRDefault="00DB74D4" w:rsidP="00095D88">
    <w:pPr>
      <w:pStyle w:val="Header"/>
    </w:pPr>
    <w:r>
      <w:rPr>
        <w:noProof/>
      </w:rPr>
      <mc:AlternateContent>
        <mc:Choice Requires="wps">
          <w:drawing>
            <wp:anchor distT="0" distB="0" distL="0" distR="0" simplePos="0" relativeHeight="251658241" behindDoc="0" locked="0" layoutInCell="1" allowOverlap="1" wp14:anchorId="484F1477" wp14:editId="6AC05EDB">
              <wp:simplePos x="635" y="635"/>
              <wp:positionH relativeFrom="page">
                <wp:align>center</wp:align>
              </wp:positionH>
              <wp:positionV relativeFrom="page">
                <wp:align>top</wp:align>
              </wp:positionV>
              <wp:extent cx="551815" cy="452755"/>
              <wp:effectExtent l="0" t="0" r="635" b="4445"/>
              <wp:wrapNone/>
              <wp:docPr id="44757723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452755"/>
                      </a:xfrm>
                      <a:prstGeom prst="rect">
                        <a:avLst/>
                      </a:prstGeom>
                      <a:noFill/>
                      <a:ln>
                        <a:noFill/>
                      </a:ln>
                    </wps:spPr>
                    <wps:txbx>
                      <w:txbxContent>
                        <w:p w14:paraId="16ED886B" w14:textId="31974072" w:rsidR="00DB74D4" w:rsidRPr="00DB74D4" w:rsidRDefault="00DB74D4" w:rsidP="00DB74D4">
                          <w:pPr>
                            <w:spacing w:after="0"/>
                            <w:rPr>
                              <w:rFonts w:ascii="Calibri" w:eastAsia="Calibri" w:hAnsi="Calibri" w:cs="Calibri"/>
                              <w:noProof/>
                              <w:color w:val="FF0000"/>
                              <w:sz w:val="24"/>
                              <w:szCs w:val="24"/>
                            </w:rPr>
                          </w:pPr>
                          <w:r w:rsidRPr="00DB74D4">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4F1477" id="_x0000_t202" coordsize="21600,21600" o:spt="202" path="m,l,21600r21600,l21600,xe">
              <v:stroke joinstyle="miter"/>
              <v:path gradientshapeok="t" o:connecttype="rect"/>
            </v:shapetype>
            <v:shape id="Text Box 4" o:spid="_x0000_s1028" type="#_x0000_t202" alt="OFFICIAL" style="position:absolute;left:0;text-align:left;margin-left:0;margin-top:0;width:43.45pt;height:35.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" filled="f" stroked="f">
              <v:textbox style="mso-fit-shape-to-text:t" inset="0,15pt,0,0">
                <w:txbxContent>
                  <w:p w14:paraId="16ED886B" w14:textId="31974072" w:rsidR="00DB74D4" w:rsidRPr="00DB74D4" w:rsidRDefault="00DB74D4" w:rsidP="00DB74D4">
                    <w:pPr>
                      <w:spacing w:after="0"/>
                      <w:rPr>
                        <w:rFonts w:ascii="Calibri" w:eastAsia="Calibri" w:hAnsi="Calibri" w:cs="Calibri"/>
                        <w:noProof/>
                        <w:color w:val="FF0000"/>
                        <w:sz w:val="24"/>
                        <w:szCs w:val="24"/>
                      </w:rPr>
                    </w:pPr>
                    <w:r w:rsidRPr="00DB74D4">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110AFFC"/>
    <w:lvl w:ilvl="0">
      <w:start w:val="1"/>
      <w:numFmt w:val="bullet"/>
      <w:pStyle w:val="ListBullet"/>
      <w:lvlText w:val=""/>
      <w:lvlJc w:val="left"/>
      <w:pPr>
        <w:tabs>
          <w:tab w:val="num" w:pos="284"/>
        </w:tabs>
        <w:ind w:left="284" w:hanging="360"/>
      </w:pPr>
      <w:rPr>
        <w:rFonts w:ascii="Symbol" w:hAnsi="Symbol" w:hint="default"/>
      </w:rPr>
    </w:lvl>
  </w:abstractNum>
  <w:abstractNum w:abstractNumId="1" w15:restartNumberingAfterBreak="0">
    <w:nsid w:val="07ED3FC7"/>
    <w:multiLevelType w:val="multilevel"/>
    <w:tmpl w:val="79E48CD8"/>
    <w:styleLink w:val="Box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sz w:val="20"/>
      </w:rPr>
    </w:lvl>
    <w:lvl w:ilvl="1">
      <w:start w:val="1"/>
      <w:numFmt w:val="bullet"/>
      <w:lvlText w:val="–"/>
      <w:lvlJc w:val="left"/>
      <w:pPr>
        <w:tabs>
          <w:tab w:val="num" w:pos="567"/>
        </w:tabs>
        <w:ind w:left="567" w:hanging="284"/>
      </w:pPr>
      <w:rPr>
        <w:rFonts w:hint="default"/>
        <w:b w:val="0"/>
        <w:i w:val="0"/>
      </w:rPr>
    </w:lvl>
    <w:lvl w:ilvl="2">
      <w:start w:val="1"/>
      <w:numFmt w:val="bullet"/>
      <w:lvlText w:val=":"/>
      <w:lvlJc w:val="left"/>
      <w:pPr>
        <w:tabs>
          <w:tab w:val="num" w:pos="850"/>
        </w:tabs>
        <w:ind w:left="850" w:hanging="283"/>
      </w:pPr>
      <w:rPr>
        <w:rFonts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2" w15:restartNumberingAfterBreak="0">
    <w:nsid w:val="081C3F48"/>
    <w:multiLevelType w:val="multilevel"/>
    <w:tmpl w:val="FA3ECA54"/>
    <w:lvl w:ilvl="0">
      <w:start w:val="1"/>
      <w:numFmt w:val="decimal"/>
      <w:lvlText w:val="%1."/>
      <w:lvlJc w:val="left"/>
      <w:pPr>
        <w:tabs>
          <w:tab w:val="num" w:pos="520"/>
        </w:tabs>
        <w:ind w:left="520" w:hanging="520"/>
      </w:pPr>
    </w:lvl>
    <w:lvl w:ilvl="1">
      <w:start w:val="1"/>
      <w:numFmt w:val="decimal"/>
      <w:lvlText w:val="%1.%2."/>
      <w:lvlJc w:val="left"/>
      <w:pPr>
        <w:tabs>
          <w:tab w:val="num" w:pos="1040"/>
        </w:tabs>
        <w:ind w:left="1040" w:hanging="520"/>
      </w:pPr>
    </w:lvl>
    <w:lvl w:ilvl="2">
      <w:start w:val="1"/>
      <w:numFmt w:val="decimal"/>
      <w:lvlText w:val="%1.%2.%3."/>
      <w:lvlJc w:val="left"/>
      <w:pPr>
        <w:tabs>
          <w:tab w:val="num" w:pos="1560"/>
        </w:tabs>
        <w:ind w:left="1560" w:hanging="52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6B0F86"/>
    <w:multiLevelType w:val="hybridMultilevel"/>
    <w:tmpl w:val="716EEF78"/>
    <w:lvl w:ilvl="0" w:tplc="5ACA5676">
      <w:start w:val="1"/>
      <w:numFmt w:val="decimal"/>
      <w:lvlText w:val="%1."/>
      <w:lvlJc w:val="left"/>
      <w:pPr>
        <w:ind w:left="1020" w:hanging="360"/>
      </w:pPr>
    </w:lvl>
    <w:lvl w:ilvl="1" w:tplc="4740CE24">
      <w:start w:val="1"/>
      <w:numFmt w:val="decimal"/>
      <w:lvlText w:val="%2."/>
      <w:lvlJc w:val="left"/>
      <w:pPr>
        <w:ind w:left="1020" w:hanging="360"/>
      </w:pPr>
    </w:lvl>
    <w:lvl w:ilvl="2" w:tplc="D17E7586">
      <w:start w:val="1"/>
      <w:numFmt w:val="decimal"/>
      <w:lvlText w:val="%3."/>
      <w:lvlJc w:val="left"/>
      <w:pPr>
        <w:ind w:left="1020" w:hanging="360"/>
      </w:pPr>
    </w:lvl>
    <w:lvl w:ilvl="3" w:tplc="22BCF840">
      <w:start w:val="1"/>
      <w:numFmt w:val="decimal"/>
      <w:lvlText w:val="%4."/>
      <w:lvlJc w:val="left"/>
      <w:pPr>
        <w:ind w:left="1020" w:hanging="360"/>
      </w:pPr>
    </w:lvl>
    <w:lvl w:ilvl="4" w:tplc="707A5EFC">
      <w:start w:val="1"/>
      <w:numFmt w:val="decimal"/>
      <w:lvlText w:val="%5."/>
      <w:lvlJc w:val="left"/>
      <w:pPr>
        <w:ind w:left="1020" w:hanging="360"/>
      </w:pPr>
    </w:lvl>
    <w:lvl w:ilvl="5" w:tplc="4F504658">
      <w:start w:val="1"/>
      <w:numFmt w:val="decimal"/>
      <w:lvlText w:val="%6."/>
      <w:lvlJc w:val="left"/>
      <w:pPr>
        <w:ind w:left="1020" w:hanging="360"/>
      </w:pPr>
    </w:lvl>
    <w:lvl w:ilvl="6" w:tplc="E94CBDD2">
      <w:start w:val="1"/>
      <w:numFmt w:val="decimal"/>
      <w:lvlText w:val="%7."/>
      <w:lvlJc w:val="left"/>
      <w:pPr>
        <w:ind w:left="1020" w:hanging="360"/>
      </w:pPr>
    </w:lvl>
    <w:lvl w:ilvl="7" w:tplc="ABB6D67A">
      <w:start w:val="1"/>
      <w:numFmt w:val="decimal"/>
      <w:lvlText w:val="%8."/>
      <w:lvlJc w:val="left"/>
      <w:pPr>
        <w:ind w:left="1020" w:hanging="360"/>
      </w:pPr>
    </w:lvl>
    <w:lvl w:ilvl="8" w:tplc="91C0009A">
      <w:start w:val="1"/>
      <w:numFmt w:val="decimal"/>
      <w:lvlText w:val="%9."/>
      <w:lvlJc w:val="left"/>
      <w:pPr>
        <w:ind w:left="1020" w:hanging="360"/>
      </w:pPr>
    </w:lvl>
  </w:abstractNum>
  <w:abstractNum w:abstractNumId="4" w15:restartNumberingAfterBreak="0">
    <w:nsid w:val="098E3520"/>
    <w:multiLevelType w:val="hybridMultilevel"/>
    <w:tmpl w:val="9DC28A22"/>
    <w:lvl w:ilvl="0" w:tplc="A0849514">
      <w:start w:val="1"/>
      <w:numFmt w:val="decimal"/>
      <w:lvlText w:val="%1."/>
      <w:lvlJc w:val="left"/>
      <w:pPr>
        <w:ind w:left="1020" w:hanging="360"/>
      </w:pPr>
    </w:lvl>
    <w:lvl w:ilvl="1" w:tplc="8EEA2DD2">
      <w:start w:val="1"/>
      <w:numFmt w:val="decimal"/>
      <w:lvlText w:val="%2."/>
      <w:lvlJc w:val="left"/>
      <w:pPr>
        <w:ind w:left="1020" w:hanging="360"/>
      </w:pPr>
    </w:lvl>
    <w:lvl w:ilvl="2" w:tplc="4DD2E286">
      <w:start w:val="1"/>
      <w:numFmt w:val="decimal"/>
      <w:lvlText w:val="%3."/>
      <w:lvlJc w:val="left"/>
      <w:pPr>
        <w:ind w:left="1020" w:hanging="360"/>
      </w:pPr>
    </w:lvl>
    <w:lvl w:ilvl="3" w:tplc="B614C48C">
      <w:start w:val="1"/>
      <w:numFmt w:val="decimal"/>
      <w:lvlText w:val="%4."/>
      <w:lvlJc w:val="left"/>
      <w:pPr>
        <w:ind w:left="1020" w:hanging="360"/>
      </w:pPr>
    </w:lvl>
    <w:lvl w:ilvl="4" w:tplc="EA044E42">
      <w:start w:val="1"/>
      <w:numFmt w:val="decimal"/>
      <w:lvlText w:val="%5."/>
      <w:lvlJc w:val="left"/>
      <w:pPr>
        <w:ind w:left="1020" w:hanging="360"/>
      </w:pPr>
    </w:lvl>
    <w:lvl w:ilvl="5" w:tplc="96EC43DC">
      <w:start w:val="1"/>
      <w:numFmt w:val="decimal"/>
      <w:lvlText w:val="%6."/>
      <w:lvlJc w:val="left"/>
      <w:pPr>
        <w:ind w:left="1020" w:hanging="360"/>
      </w:pPr>
    </w:lvl>
    <w:lvl w:ilvl="6" w:tplc="B2307EC4">
      <w:start w:val="1"/>
      <w:numFmt w:val="decimal"/>
      <w:lvlText w:val="%7."/>
      <w:lvlJc w:val="left"/>
      <w:pPr>
        <w:ind w:left="1020" w:hanging="360"/>
      </w:pPr>
    </w:lvl>
    <w:lvl w:ilvl="7" w:tplc="8F38FB1A">
      <w:start w:val="1"/>
      <w:numFmt w:val="decimal"/>
      <w:lvlText w:val="%8."/>
      <w:lvlJc w:val="left"/>
      <w:pPr>
        <w:ind w:left="1020" w:hanging="360"/>
      </w:pPr>
    </w:lvl>
    <w:lvl w:ilvl="8" w:tplc="A350D726">
      <w:start w:val="1"/>
      <w:numFmt w:val="decimal"/>
      <w:lvlText w:val="%9."/>
      <w:lvlJc w:val="left"/>
      <w:pPr>
        <w:ind w:left="1020" w:hanging="360"/>
      </w:pPr>
    </w:lvl>
  </w:abstractNum>
  <w:abstractNum w:abstractNumId="5" w15:restartNumberingAfterBreak="0">
    <w:nsid w:val="0A970732"/>
    <w:multiLevelType w:val="hybridMultilevel"/>
    <w:tmpl w:val="C56E9314"/>
    <w:lvl w:ilvl="0" w:tplc="9236B992">
      <w:start w:val="2"/>
      <w:numFmt w:val="bullet"/>
      <w:lvlText w:val=""/>
      <w:lvlJc w:val="left"/>
      <w:pPr>
        <w:ind w:left="720" w:hanging="360"/>
      </w:pPr>
      <w:rPr>
        <w:rFonts w:ascii="Symbol" w:eastAsia="Times New Roman" w:hAnsi="Symbol" w:cs="Times New Roman" w:hint="default"/>
        <w:color w:val="333333"/>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10227"/>
    <w:multiLevelType w:val="hybridMultilevel"/>
    <w:tmpl w:val="66820998"/>
    <w:lvl w:ilvl="0" w:tplc="57C20C8A">
      <w:start w:val="1"/>
      <w:numFmt w:val="decimal"/>
      <w:lvlText w:val="%1."/>
      <w:lvlJc w:val="left"/>
      <w:pPr>
        <w:ind w:left="1020" w:hanging="360"/>
      </w:pPr>
    </w:lvl>
    <w:lvl w:ilvl="1" w:tplc="87FA0CBA">
      <w:start w:val="1"/>
      <w:numFmt w:val="decimal"/>
      <w:lvlText w:val="%2."/>
      <w:lvlJc w:val="left"/>
      <w:pPr>
        <w:ind w:left="1020" w:hanging="360"/>
      </w:pPr>
    </w:lvl>
    <w:lvl w:ilvl="2" w:tplc="BF8AB516">
      <w:start w:val="1"/>
      <w:numFmt w:val="decimal"/>
      <w:lvlText w:val="%3."/>
      <w:lvlJc w:val="left"/>
      <w:pPr>
        <w:ind w:left="1020" w:hanging="360"/>
      </w:pPr>
    </w:lvl>
    <w:lvl w:ilvl="3" w:tplc="917228DA">
      <w:start w:val="1"/>
      <w:numFmt w:val="decimal"/>
      <w:lvlText w:val="%4."/>
      <w:lvlJc w:val="left"/>
      <w:pPr>
        <w:ind w:left="1020" w:hanging="360"/>
      </w:pPr>
    </w:lvl>
    <w:lvl w:ilvl="4" w:tplc="C1021EEC">
      <w:start w:val="1"/>
      <w:numFmt w:val="decimal"/>
      <w:lvlText w:val="%5."/>
      <w:lvlJc w:val="left"/>
      <w:pPr>
        <w:ind w:left="1020" w:hanging="360"/>
      </w:pPr>
    </w:lvl>
    <w:lvl w:ilvl="5" w:tplc="96F0F56A">
      <w:start w:val="1"/>
      <w:numFmt w:val="decimal"/>
      <w:lvlText w:val="%6."/>
      <w:lvlJc w:val="left"/>
      <w:pPr>
        <w:ind w:left="1020" w:hanging="360"/>
      </w:pPr>
    </w:lvl>
    <w:lvl w:ilvl="6" w:tplc="9EEA296C">
      <w:start w:val="1"/>
      <w:numFmt w:val="decimal"/>
      <w:lvlText w:val="%7."/>
      <w:lvlJc w:val="left"/>
      <w:pPr>
        <w:ind w:left="1020" w:hanging="360"/>
      </w:pPr>
    </w:lvl>
    <w:lvl w:ilvl="7" w:tplc="999A1BD2">
      <w:start w:val="1"/>
      <w:numFmt w:val="decimal"/>
      <w:lvlText w:val="%8."/>
      <w:lvlJc w:val="left"/>
      <w:pPr>
        <w:ind w:left="1020" w:hanging="360"/>
      </w:pPr>
    </w:lvl>
    <w:lvl w:ilvl="8" w:tplc="C422E2A4">
      <w:start w:val="1"/>
      <w:numFmt w:val="decimal"/>
      <w:lvlText w:val="%9."/>
      <w:lvlJc w:val="left"/>
      <w:pPr>
        <w:ind w:left="1020" w:hanging="360"/>
      </w:pPr>
    </w:lvl>
  </w:abstractNum>
  <w:abstractNum w:abstractNumId="7" w15:restartNumberingAfterBreak="0">
    <w:nsid w:val="10653560"/>
    <w:multiLevelType w:val="multilevel"/>
    <w:tmpl w:val="72F8140E"/>
    <w:styleLink w:val="OutlineList"/>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4093E94"/>
    <w:multiLevelType w:val="multilevel"/>
    <w:tmpl w:val="BD68E60A"/>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8" w:hanging="284"/>
      </w:pPr>
      <w:rPr>
        <w:rFonts w:ascii="Times New Roman" w:hAnsi="Times New Roman" w:cs="Times New Roman"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212" w:hanging="360"/>
      </w:pPr>
      <w:rPr>
        <w:rFonts w:ascii="Symbol" w:hAnsi="Symbol"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9" w15:restartNumberingAfterBreak="0">
    <w:nsid w:val="14564F9D"/>
    <w:multiLevelType w:val="multilevel"/>
    <w:tmpl w:val="B0402706"/>
    <w:lvl w:ilvl="0">
      <w:start w:val="1"/>
      <w:numFmt w:val="bullet"/>
      <w:lvlRestart w:val="0"/>
      <w:pStyle w:val="Boxbullet"/>
      <w:lvlText w:val="•"/>
      <w:lvlJc w:val="left"/>
      <w:pPr>
        <w:tabs>
          <w:tab w:val="num" w:pos="283"/>
        </w:tabs>
        <w:ind w:left="284" w:hanging="284"/>
      </w:pPr>
      <w:rPr>
        <w:rFonts w:ascii="Times New Roman" w:hAnsi="Times New Roman" w:cs="Times New Roman" w:hint="default"/>
        <w:b w:val="0"/>
        <w:i w:val="0"/>
      </w:rPr>
    </w:lvl>
    <w:lvl w:ilvl="1">
      <w:start w:val="1"/>
      <w:numFmt w:val="bullet"/>
      <w:pStyle w:val="Boxdash"/>
      <w:lvlText w:val="–"/>
      <w:lvlJc w:val="left"/>
      <w:pPr>
        <w:tabs>
          <w:tab w:val="num" w:pos="567"/>
        </w:tabs>
        <w:ind w:left="568" w:hanging="284"/>
      </w:pPr>
      <w:rPr>
        <w:rFonts w:ascii="Times New Roman" w:hAnsi="Times New Roman" w:cs="Times New Roman" w:hint="default"/>
        <w:b w:val="0"/>
        <w:i w:val="0"/>
      </w:rPr>
    </w:lvl>
    <w:lvl w:ilvl="2">
      <w:start w:val="1"/>
      <w:numFmt w:val="bullet"/>
      <w:pStyle w:val="Boxdoubledot"/>
      <w:lvlText w:val=":"/>
      <w:lvlJc w:val="left"/>
      <w:pPr>
        <w:tabs>
          <w:tab w:val="num" w:pos="851"/>
        </w:tabs>
        <w:ind w:left="852" w:hanging="284"/>
      </w:pPr>
      <w:rPr>
        <w:rFonts w:ascii="Times New Roman" w:hAnsi="Times New Roman" w:cs="Times New Roman" w:hint="default"/>
        <w:b w:val="0"/>
        <w:i w:val="0"/>
      </w:rPr>
    </w:lvl>
    <w:lvl w:ilvl="3">
      <w:start w:val="1"/>
      <w:numFmt w:val="decimal"/>
      <w:lvlText w:val="(%4)"/>
      <w:lvlJc w:val="left"/>
      <w:pPr>
        <w:tabs>
          <w:tab w:val="num" w:pos="1135"/>
        </w:tabs>
        <w:ind w:left="1136" w:hanging="284"/>
      </w:pPr>
      <w:rPr>
        <w:rFonts w:hint="default"/>
        <w:b w:val="0"/>
        <w:i w:val="0"/>
      </w:rPr>
    </w:lvl>
    <w:lvl w:ilvl="4">
      <w:start w:val="1"/>
      <w:numFmt w:val="lowerLetter"/>
      <w:lvlText w:val="(%5)"/>
      <w:lvlJc w:val="left"/>
      <w:pPr>
        <w:tabs>
          <w:tab w:val="num" w:pos="1419"/>
        </w:tabs>
        <w:ind w:left="1420" w:hanging="284"/>
      </w:pPr>
      <w:rPr>
        <w:rFonts w:hint="default"/>
        <w:b w:val="0"/>
        <w:i w:val="0"/>
      </w:rPr>
    </w:lvl>
    <w:lvl w:ilvl="5">
      <w:start w:val="1"/>
      <w:numFmt w:val="lowerRoman"/>
      <w:lvlText w:val="(%6)"/>
      <w:lvlJc w:val="left"/>
      <w:pPr>
        <w:tabs>
          <w:tab w:val="num" w:pos="1703"/>
        </w:tabs>
        <w:ind w:left="1704" w:hanging="284"/>
      </w:pPr>
      <w:rPr>
        <w:rFonts w:hint="default"/>
        <w:b w:val="0"/>
        <w:i w:val="0"/>
      </w:rPr>
    </w:lvl>
    <w:lvl w:ilvl="6">
      <w:start w:val="1"/>
      <w:numFmt w:val="decimal"/>
      <w:lvlText w:val="%7."/>
      <w:lvlJc w:val="left"/>
      <w:pPr>
        <w:tabs>
          <w:tab w:val="num" w:pos="1987"/>
        </w:tabs>
        <w:ind w:left="1988" w:hanging="284"/>
      </w:pPr>
      <w:rPr>
        <w:rFonts w:hint="default"/>
        <w:b w:val="0"/>
        <w:i w:val="0"/>
      </w:rPr>
    </w:lvl>
    <w:lvl w:ilvl="7">
      <w:start w:val="1"/>
      <w:numFmt w:val="lowerLetter"/>
      <w:lvlText w:val="%8."/>
      <w:lvlJc w:val="left"/>
      <w:pPr>
        <w:tabs>
          <w:tab w:val="num" w:pos="2271"/>
        </w:tabs>
        <w:ind w:left="2272" w:hanging="284"/>
      </w:pPr>
      <w:rPr>
        <w:rFonts w:hint="default"/>
        <w:b w:val="0"/>
        <w:i w:val="0"/>
      </w:rPr>
    </w:lvl>
    <w:lvl w:ilvl="8">
      <w:start w:val="1"/>
      <w:numFmt w:val="lowerRoman"/>
      <w:lvlText w:val="%9."/>
      <w:lvlJc w:val="left"/>
      <w:pPr>
        <w:tabs>
          <w:tab w:val="num" w:pos="2555"/>
        </w:tabs>
        <w:ind w:left="2556" w:hanging="284"/>
      </w:pPr>
      <w:rPr>
        <w:rFonts w:hint="default"/>
        <w:b w:val="0"/>
        <w:i w:val="0"/>
      </w:rPr>
    </w:lvl>
  </w:abstractNum>
  <w:abstractNum w:abstractNumId="10" w15:restartNumberingAfterBreak="0">
    <w:nsid w:val="15E820AB"/>
    <w:multiLevelType w:val="hybridMultilevel"/>
    <w:tmpl w:val="122A4584"/>
    <w:lvl w:ilvl="0" w:tplc="26945A1A">
      <w:start w:val="1"/>
      <w:numFmt w:val="bullet"/>
      <w:lvlText w:val=""/>
      <w:lvlJc w:val="left"/>
      <w:pPr>
        <w:ind w:left="1020" w:hanging="360"/>
      </w:pPr>
      <w:rPr>
        <w:rFonts w:ascii="Symbol" w:hAnsi="Symbol"/>
      </w:rPr>
    </w:lvl>
    <w:lvl w:ilvl="1" w:tplc="22C407D8">
      <w:start w:val="1"/>
      <w:numFmt w:val="bullet"/>
      <w:lvlText w:val=""/>
      <w:lvlJc w:val="left"/>
      <w:pPr>
        <w:ind w:left="1020" w:hanging="360"/>
      </w:pPr>
      <w:rPr>
        <w:rFonts w:ascii="Symbol" w:hAnsi="Symbol"/>
      </w:rPr>
    </w:lvl>
    <w:lvl w:ilvl="2" w:tplc="6E80930E">
      <w:start w:val="1"/>
      <w:numFmt w:val="bullet"/>
      <w:lvlText w:val=""/>
      <w:lvlJc w:val="left"/>
      <w:pPr>
        <w:ind w:left="1020" w:hanging="360"/>
      </w:pPr>
      <w:rPr>
        <w:rFonts w:ascii="Symbol" w:hAnsi="Symbol"/>
      </w:rPr>
    </w:lvl>
    <w:lvl w:ilvl="3" w:tplc="28468892">
      <w:start w:val="1"/>
      <w:numFmt w:val="bullet"/>
      <w:lvlText w:val=""/>
      <w:lvlJc w:val="left"/>
      <w:pPr>
        <w:ind w:left="1020" w:hanging="360"/>
      </w:pPr>
      <w:rPr>
        <w:rFonts w:ascii="Symbol" w:hAnsi="Symbol"/>
      </w:rPr>
    </w:lvl>
    <w:lvl w:ilvl="4" w:tplc="BC24301E">
      <w:start w:val="1"/>
      <w:numFmt w:val="bullet"/>
      <w:lvlText w:val=""/>
      <w:lvlJc w:val="left"/>
      <w:pPr>
        <w:ind w:left="1020" w:hanging="360"/>
      </w:pPr>
      <w:rPr>
        <w:rFonts w:ascii="Symbol" w:hAnsi="Symbol"/>
      </w:rPr>
    </w:lvl>
    <w:lvl w:ilvl="5" w:tplc="60808844">
      <w:start w:val="1"/>
      <w:numFmt w:val="bullet"/>
      <w:lvlText w:val=""/>
      <w:lvlJc w:val="left"/>
      <w:pPr>
        <w:ind w:left="1020" w:hanging="360"/>
      </w:pPr>
      <w:rPr>
        <w:rFonts w:ascii="Symbol" w:hAnsi="Symbol"/>
      </w:rPr>
    </w:lvl>
    <w:lvl w:ilvl="6" w:tplc="1E3C2B96">
      <w:start w:val="1"/>
      <w:numFmt w:val="bullet"/>
      <w:lvlText w:val=""/>
      <w:lvlJc w:val="left"/>
      <w:pPr>
        <w:ind w:left="1020" w:hanging="360"/>
      </w:pPr>
      <w:rPr>
        <w:rFonts w:ascii="Symbol" w:hAnsi="Symbol"/>
      </w:rPr>
    </w:lvl>
    <w:lvl w:ilvl="7" w:tplc="944A7D76">
      <w:start w:val="1"/>
      <w:numFmt w:val="bullet"/>
      <w:lvlText w:val=""/>
      <w:lvlJc w:val="left"/>
      <w:pPr>
        <w:ind w:left="1020" w:hanging="360"/>
      </w:pPr>
      <w:rPr>
        <w:rFonts w:ascii="Symbol" w:hAnsi="Symbol"/>
      </w:rPr>
    </w:lvl>
    <w:lvl w:ilvl="8" w:tplc="A3F2FC7A">
      <w:start w:val="1"/>
      <w:numFmt w:val="bullet"/>
      <w:lvlText w:val=""/>
      <w:lvlJc w:val="left"/>
      <w:pPr>
        <w:ind w:left="1020" w:hanging="360"/>
      </w:pPr>
      <w:rPr>
        <w:rFonts w:ascii="Symbol" w:hAnsi="Symbol"/>
      </w:rPr>
    </w:lvl>
  </w:abstractNum>
  <w:abstractNum w:abstractNumId="11" w15:restartNumberingAfterBreak="0">
    <w:nsid w:val="17DF7717"/>
    <w:multiLevelType w:val="multilevel"/>
    <w:tmpl w:val="B91AC3AC"/>
    <w:lvl w:ilvl="0">
      <w:start w:val="1"/>
      <w:numFmt w:val="decimal"/>
      <w:pStyle w:val="Heading1Numbered"/>
      <w:lvlText w:val="%1."/>
      <w:lvlJc w:val="left"/>
      <w:pPr>
        <w:ind w:left="360" w:hanging="360"/>
      </w:pPr>
      <w:rPr>
        <w:rFonts w:hint="default"/>
      </w:rPr>
    </w:lvl>
    <w:lvl w:ilvl="1">
      <w:start w:val="1"/>
      <w:numFmt w:val="decimal"/>
      <w:pStyle w:val="Heading2Numbered"/>
      <w:lvlText w:val="%1.%2"/>
      <w:lvlJc w:val="left"/>
      <w:pPr>
        <w:ind w:left="720" w:hanging="360"/>
      </w:pPr>
      <w:rPr>
        <w:rFonts w:hint="default"/>
      </w:rPr>
    </w:lvl>
    <w:lvl w:ilvl="2">
      <w:start w:val="1"/>
      <w:numFmt w:val="decimal"/>
      <w:pStyle w:val="Heading3Numbered"/>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B0A7277"/>
    <w:multiLevelType w:val="multilevel"/>
    <w:tmpl w:val="34A2830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11C7314"/>
    <w:multiLevelType w:val="hybridMultilevel"/>
    <w:tmpl w:val="4FC2521E"/>
    <w:lvl w:ilvl="0" w:tplc="E1BA2298">
      <w:start w:val="1"/>
      <w:numFmt w:val="bullet"/>
      <w:lvlText w:val=""/>
      <w:lvlJc w:val="left"/>
      <w:pPr>
        <w:ind w:left="1020" w:hanging="360"/>
      </w:pPr>
      <w:rPr>
        <w:rFonts w:ascii="Symbol" w:hAnsi="Symbol"/>
      </w:rPr>
    </w:lvl>
    <w:lvl w:ilvl="1" w:tplc="808617D0">
      <w:start w:val="1"/>
      <w:numFmt w:val="bullet"/>
      <w:lvlText w:val=""/>
      <w:lvlJc w:val="left"/>
      <w:pPr>
        <w:ind w:left="1020" w:hanging="360"/>
      </w:pPr>
      <w:rPr>
        <w:rFonts w:ascii="Symbol" w:hAnsi="Symbol"/>
      </w:rPr>
    </w:lvl>
    <w:lvl w:ilvl="2" w:tplc="F4B68CA0">
      <w:start w:val="1"/>
      <w:numFmt w:val="bullet"/>
      <w:lvlText w:val=""/>
      <w:lvlJc w:val="left"/>
      <w:pPr>
        <w:ind w:left="1020" w:hanging="360"/>
      </w:pPr>
      <w:rPr>
        <w:rFonts w:ascii="Symbol" w:hAnsi="Symbol"/>
      </w:rPr>
    </w:lvl>
    <w:lvl w:ilvl="3" w:tplc="7660E568">
      <w:start w:val="1"/>
      <w:numFmt w:val="bullet"/>
      <w:lvlText w:val=""/>
      <w:lvlJc w:val="left"/>
      <w:pPr>
        <w:ind w:left="1020" w:hanging="360"/>
      </w:pPr>
      <w:rPr>
        <w:rFonts w:ascii="Symbol" w:hAnsi="Symbol"/>
      </w:rPr>
    </w:lvl>
    <w:lvl w:ilvl="4" w:tplc="4BECFA6A">
      <w:start w:val="1"/>
      <w:numFmt w:val="bullet"/>
      <w:lvlText w:val=""/>
      <w:lvlJc w:val="left"/>
      <w:pPr>
        <w:ind w:left="1020" w:hanging="360"/>
      </w:pPr>
      <w:rPr>
        <w:rFonts w:ascii="Symbol" w:hAnsi="Symbol"/>
      </w:rPr>
    </w:lvl>
    <w:lvl w:ilvl="5" w:tplc="63AC5342">
      <w:start w:val="1"/>
      <w:numFmt w:val="bullet"/>
      <w:lvlText w:val=""/>
      <w:lvlJc w:val="left"/>
      <w:pPr>
        <w:ind w:left="1020" w:hanging="360"/>
      </w:pPr>
      <w:rPr>
        <w:rFonts w:ascii="Symbol" w:hAnsi="Symbol"/>
      </w:rPr>
    </w:lvl>
    <w:lvl w:ilvl="6" w:tplc="A5BEDE3C">
      <w:start w:val="1"/>
      <w:numFmt w:val="bullet"/>
      <w:lvlText w:val=""/>
      <w:lvlJc w:val="left"/>
      <w:pPr>
        <w:ind w:left="1020" w:hanging="360"/>
      </w:pPr>
      <w:rPr>
        <w:rFonts w:ascii="Symbol" w:hAnsi="Symbol"/>
      </w:rPr>
    </w:lvl>
    <w:lvl w:ilvl="7" w:tplc="449C61C0">
      <w:start w:val="1"/>
      <w:numFmt w:val="bullet"/>
      <w:lvlText w:val=""/>
      <w:lvlJc w:val="left"/>
      <w:pPr>
        <w:ind w:left="1020" w:hanging="360"/>
      </w:pPr>
      <w:rPr>
        <w:rFonts w:ascii="Symbol" w:hAnsi="Symbol"/>
      </w:rPr>
    </w:lvl>
    <w:lvl w:ilvl="8" w:tplc="8D4E70D0">
      <w:start w:val="1"/>
      <w:numFmt w:val="bullet"/>
      <w:lvlText w:val=""/>
      <w:lvlJc w:val="left"/>
      <w:pPr>
        <w:ind w:left="1020" w:hanging="360"/>
      </w:pPr>
      <w:rPr>
        <w:rFonts w:ascii="Symbol" w:hAnsi="Symbol"/>
      </w:rPr>
    </w:lvl>
  </w:abstractNum>
  <w:abstractNum w:abstractNumId="14" w15:restartNumberingAfterBreak="0">
    <w:nsid w:val="2530588C"/>
    <w:multiLevelType w:val="hybridMultilevel"/>
    <w:tmpl w:val="699AD9F2"/>
    <w:lvl w:ilvl="0" w:tplc="B4906A9A">
      <w:start w:val="1"/>
      <w:numFmt w:val="bullet"/>
      <w:lvlText w:val=""/>
      <w:lvlJc w:val="left"/>
      <w:pPr>
        <w:ind w:left="1020" w:hanging="360"/>
      </w:pPr>
      <w:rPr>
        <w:rFonts w:ascii="Symbol" w:hAnsi="Symbol"/>
      </w:rPr>
    </w:lvl>
    <w:lvl w:ilvl="1" w:tplc="FDA8B9BE">
      <w:start w:val="1"/>
      <w:numFmt w:val="bullet"/>
      <w:lvlText w:val=""/>
      <w:lvlJc w:val="left"/>
      <w:pPr>
        <w:ind w:left="1020" w:hanging="360"/>
      </w:pPr>
      <w:rPr>
        <w:rFonts w:ascii="Symbol" w:hAnsi="Symbol"/>
      </w:rPr>
    </w:lvl>
    <w:lvl w:ilvl="2" w:tplc="66AE8DEC">
      <w:start w:val="1"/>
      <w:numFmt w:val="bullet"/>
      <w:lvlText w:val=""/>
      <w:lvlJc w:val="left"/>
      <w:pPr>
        <w:ind w:left="1020" w:hanging="360"/>
      </w:pPr>
      <w:rPr>
        <w:rFonts w:ascii="Symbol" w:hAnsi="Symbol"/>
      </w:rPr>
    </w:lvl>
    <w:lvl w:ilvl="3" w:tplc="41F26EF0">
      <w:start w:val="1"/>
      <w:numFmt w:val="bullet"/>
      <w:lvlText w:val=""/>
      <w:lvlJc w:val="left"/>
      <w:pPr>
        <w:ind w:left="1020" w:hanging="360"/>
      </w:pPr>
      <w:rPr>
        <w:rFonts w:ascii="Symbol" w:hAnsi="Symbol"/>
      </w:rPr>
    </w:lvl>
    <w:lvl w:ilvl="4" w:tplc="6D54C348">
      <w:start w:val="1"/>
      <w:numFmt w:val="bullet"/>
      <w:lvlText w:val=""/>
      <w:lvlJc w:val="left"/>
      <w:pPr>
        <w:ind w:left="1020" w:hanging="360"/>
      </w:pPr>
      <w:rPr>
        <w:rFonts w:ascii="Symbol" w:hAnsi="Symbol"/>
      </w:rPr>
    </w:lvl>
    <w:lvl w:ilvl="5" w:tplc="23D6166C">
      <w:start w:val="1"/>
      <w:numFmt w:val="bullet"/>
      <w:lvlText w:val=""/>
      <w:lvlJc w:val="left"/>
      <w:pPr>
        <w:ind w:left="1020" w:hanging="360"/>
      </w:pPr>
      <w:rPr>
        <w:rFonts w:ascii="Symbol" w:hAnsi="Symbol"/>
      </w:rPr>
    </w:lvl>
    <w:lvl w:ilvl="6" w:tplc="8034D05A">
      <w:start w:val="1"/>
      <w:numFmt w:val="bullet"/>
      <w:lvlText w:val=""/>
      <w:lvlJc w:val="left"/>
      <w:pPr>
        <w:ind w:left="1020" w:hanging="360"/>
      </w:pPr>
      <w:rPr>
        <w:rFonts w:ascii="Symbol" w:hAnsi="Symbol"/>
      </w:rPr>
    </w:lvl>
    <w:lvl w:ilvl="7" w:tplc="B7C6B8C6">
      <w:start w:val="1"/>
      <w:numFmt w:val="bullet"/>
      <w:lvlText w:val=""/>
      <w:lvlJc w:val="left"/>
      <w:pPr>
        <w:ind w:left="1020" w:hanging="360"/>
      </w:pPr>
      <w:rPr>
        <w:rFonts w:ascii="Symbol" w:hAnsi="Symbol"/>
      </w:rPr>
    </w:lvl>
    <w:lvl w:ilvl="8" w:tplc="17B61218">
      <w:start w:val="1"/>
      <w:numFmt w:val="bullet"/>
      <w:lvlText w:val=""/>
      <w:lvlJc w:val="left"/>
      <w:pPr>
        <w:ind w:left="1020" w:hanging="360"/>
      </w:pPr>
      <w:rPr>
        <w:rFonts w:ascii="Symbol" w:hAnsi="Symbol"/>
      </w:rPr>
    </w:lvl>
  </w:abstractNum>
  <w:abstractNum w:abstractNumId="15" w15:restartNumberingAfterBreak="0">
    <w:nsid w:val="27826BF0"/>
    <w:multiLevelType w:val="multilevel"/>
    <w:tmpl w:val="6D0AA75C"/>
    <w:lvl w:ilvl="0">
      <w:start w:val="1"/>
      <w:numFmt w:val="lowerRoman"/>
      <w:lvlText w:val="%1."/>
      <w:lvlJc w:val="left"/>
      <w:pPr>
        <w:tabs>
          <w:tab w:val="num" w:pos="720"/>
        </w:tabs>
        <w:ind w:left="720" w:hanging="720"/>
      </w:pPr>
      <w:rPr>
        <w:rFonts w:hint="default"/>
      </w:rPr>
    </w:lvl>
    <w:lvl w:ilvl="1">
      <w:start w:val="1"/>
      <w:numFmt w:val="lowerLetter"/>
      <w:pStyle w:val="AlphaParagraph"/>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B3E31F0"/>
    <w:multiLevelType w:val="multilevel"/>
    <w:tmpl w:val="DF24E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08C2710"/>
    <w:multiLevelType w:val="multilevel"/>
    <w:tmpl w:val="0D723674"/>
    <w:styleLink w:val="BulletedList"/>
    <w:lvl w:ilvl="0">
      <w:start w:val="1"/>
      <w:numFmt w:val="bullet"/>
      <w:lvlRestart w:val="0"/>
      <w:lvlText w:val="•"/>
      <w:lvlJc w:val="left"/>
      <w:pPr>
        <w:tabs>
          <w:tab w:val="num" w:pos="283"/>
        </w:tabs>
        <w:ind w:left="283" w:hanging="283"/>
      </w:pPr>
      <w:rPr>
        <w:rFonts w:ascii="Times New Roman" w:hAnsi="Times New Roman" w:cs="Times New Roman" w:hint="default"/>
        <w:b w:val="0"/>
        <w:i w:val="0"/>
      </w:rPr>
    </w:lvl>
    <w:lvl w:ilvl="1">
      <w:start w:val="1"/>
      <w:numFmt w:val="bullet"/>
      <w:lvlText w:val="–"/>
      <w:lvlJc w:val="left"/>
      <w:pPr>
        <w:tabs>
          <w:tab w:val="num" w:pos="567"/>
        </w:tabs>
        <w:ind w:left="567" w:hanging="284"/>
      </w:pPr>
      <w:rPr>
        <w:rFonts w:ascii="Times New Roman" w:hAnsi="Times New Roman" w:cs="Times New Roman" w:hint="default"/>
        <w:b w:val="0"/>
        <w:i w:val="0"/>
      </w:rPr>
    </w:lvl>
    <w:lvl w:ilvl="2">
      <w:start w:val="1"/>
      <w:numFmt w:val="bullet"/>
      <w:lvlText w:val=":"/>
      <w:lvlJc w:val="left"/>
      <w:pPr>
        <w:tabs>
          <w:tab w:val="num" w:pos="850"/>
        </w:tabs>
        <w:ind w:left="850" w:hanging="283"/>
      </w:pPr>
      <w:rPr>
        <w:rFonts w:ascii="Times New Roman" w:hAnsi="Times New Roman" w:cs="Times New Roman" w:hint="default"/>
        <w:b w:val="0"/>
        <w:i w:val="0"/>
      </w:rPr>
    </w:lvl>
    <w:lvl w:ilvl="3">
      <w:start w:val="1"/>
      <w:numFmt w:val="decimal"/>
      <w:lvlText w:val="(%4)"/>
      <w:lvlJc w:val="left"/>
      <w:pPr>
        <w:tabs>
          <w:tab w:val="num" w:pos="1440"/>
        </w:tabs>
        <w:ind w:left="1440" w:hanging="360"/>
      </w:pPr>
      <w:rPr>
        <w:rFonts w:hint="default"/>
        <w:b w:val="0"/>
        <w:i w:val="0"/>
      </w:rPr>
    </w:lvl>
    <w:lvl w:ilvl="4">
      <w:start w:val="1"/>
      <w:numFmt w:val="lowerLetter"/>
      <w:lvlText w:val="(%5)"/>
      <w:lvlJc w:val="left"/>
      <w:pPr>
        <w:tabs>
          <w:tab w:val="num" w:pos="1800"/>
        </w:tabs>
        <w:ind w:left="1800" w:hanging="360"/>
      </w:pPr>
      <w:rPr>
        <w:rFonts w:hint="default"/>
        <w:b w:val="0"/>
        <w:i w:val="0"/>
      </w:rPr>
    </w:lvl>
    <w:lvl w:ilvl="5">
      <w:start w:val="1"/>
      <w:numFmt w:val="lowerRoman"/>
      <w:lvlText w:val="(%6)"/>
      <w:lvlJc w:val="left"/>
      <w:pPr>
        <w:tabs>
          <w:tab w:val="num" w:pos="2160"/>
        </w:tabs>
        <w:ind w:left="2160" w:hanging="360"/>
      </w:pPr>
      <w:rPr>
        <w:rFonts w:hint="default"/>
        <w:b w:val="0"/>
        <w:i w:val="0"/>
      </w:rPr>
    </w:lvl>
    <w:lvl w:ilvl="6">
      <w:start w:val="1"/>
      <w:numFmt w:val="decimal"/>
      <w:lvlText w:val="%7."/>
      <w:lvlJc w:val="left"/>
      <w:pPr>
        <w:tabs>
          <w:tab w:val="num" w:pos="2520"/>
        </w:tabs>
        <w:ind w:left="2520" w:hanging="360"/>
      </w:pPr>
      <w:rPr>
        <w:rFonts w:hint="default"/>
        <w:b w:val="0"/>
        <w:i w:val="0"/>
      </w:rPr>
    </w:lvl>
    <w:lvl w:ilvl="7">
      <w:start w:val="1"/>
      <w:numFmt w:val="lowerLetter"/>
      <w:lvlText w:val="%8."/>
      <w:lvlJc w:val="left"/>
      <w:pPr>
        <w:tabs>
          <w:tab w:val="num" w:pos="2880"/>
        </w:tabs>
        <w:ind w:left="2880" w:hanging="360"/>
      </w:pPr>
      <w:rPr>
        <w:rFonts w:hint="default"/>
        <w:b w:val="0"/>
        <w:i w:val="0"/>
      </w:rPr>
    </w:lvl>
    <w:lvl w:ilvl="8">
      <w:start w:val="1"/>
      <w:numFmt w:val="lowerRoman"/>
      <w:lvlText w:val="%9."/>
      <w:lvlJc w:val="left"/>
      <w:pPr>
        <w:tabs>
          <w:tab w:val="num" w:pos="3240"/>
        </w:tabs>
        <w:ind w:left="3240" w:hanging="360"/>
      </w:pPr>
      <w:rPr>
        <w:rFonts w:hint="default"/>
        <w:b w:val="0"/>
        <w:i w:val="0"/>
      </w:rPr>
    </w:lvl>
  </w:abstractNum>
  <w:abstractNum w:abstractNumId="18" w15:restartNumberingAfterBreak="0">
    <w:nsid w:val="31583CE1"/>
    <w:multiLevelType w:val="hybridMultilevel"/>
    <w:tmpl w:val="A734FF34"/>
    <w:lvl w:ilvl="0" w:tplc="2CDEC9CC">
      <w:start w:val="1"/>
      <w:numFmt w:val="decimal"/>
      <w:lvlText w:val="%1."/>
      <w:lvlJc w:val="left"/>
      <w:pPr>
        <w:ind w:left="1020" w:hanging="360"/>
      </w:pPr>
    </w:lvl>
    <w:lvl w:ilvl="1" w:tplc="44A831A6">
      <w:start w:val="1"/>
      <w:numFmt w:val="decimal"/>
      <w:lvlText w:val="%2."/>
      <w:lvlJc w:val="left"/>
      <w:pPr>
        <w:ind w:left="1020" w:hanging="360"/>
      </w:pPr>
    </w:lvl>
    <w:lvl w:ilvl="2" w:tplc="1530528E">
      <w:start w:val="1"/>
      <w:numFmt w:val="decimal"/>
      <w:lvlText w:val="%3."/>
      <w:lvlJc w:val="left"/>
      <w:pPr>
        <w:ind w:left="1020" w:hanging="360"/>
      </w:pPr>
    </w:lvl>
    <w:lvl w:ilvl="3" w:tplc="96C0C6EA">
      <w:start w:val="1"/>
      <w:numFmt w:val="decimal"/>
      <w:lvlText w:val="%4."/>
      <w:lvlJc w:val="left"/>
      <w:pPr>
        <w:ind w:left="1020" w:hanging="360"/>
      </w:pPr>
    </w:lvl>
    <w:lvl w:ilvl="4" w:tplc="B61CF8D0">
      <w:start w:val="1"/>
      <w:numFmt w:val="decimal"/>
      <w:lvlText w:val="%5."/>
      <w:lvlJc w:val="left"/>
      <w:pPr>
        <w:ind w:left="1020" w:hanging="360"/>
      </w:pPr>
    </w:lvl>
    <w:lvl w:ilvl="5" w:tplc="C868FBFA">
      <w:start w:val="1"/>
      <w:numFmt w:val="decimal"/>
      <w:lvlText w:val="%6."/>
      <w:lvlJc w:val="left"/>
      <w:pPr>
        <w:ind w:left="1020" w:hanging="360"/>
      </w:pPr>
    </w:lvl>
    <w:lvl w:ilvl="6" w:tplc="582A9E24">
      <w:start w:val="1"/>
      <w:numFmt w:val="decimal"/>
      <w:lvlText w:val="%7."/>
      <w:lvlJc w:val="left"/>
      <w:pPr>
        <w:ind w:left="1020" w:hanging="360"/>
      </w:pPr>
    </w:lvl>
    <w:lvl w:ilvl="7" w:tplc="6D26DCD0">
      <w:start w:val="1"/>
      <w:numFmt w:val="decimal"/>
      <w:lvlText w:val="%8."/>
      <w:lvlJc w:val="left"/>
      <w:pPr>
        <w:ind w:left="1020" w:hanging="360"/>
      </w:pPr>
    </w:lvl>
    <w:lvl w:ilvl="8" w:tplc="93DCEF24">
      <w:start w:val="1"/>
      <w:numFmt w:val="decimal"/>
      <w:lvlText w:val="%9."/>
      <w:lvlJc w:val="left"/>
      <w:pPr>
        <w:ind w:left="1020" w:hanging="360"/>
      </w:pPr>
    </w:lvl>
  </w:abstractNum>
  <w:abstractNum w:abstractNumId="19" w15:restartNumberingAfterBreak="0">
    <w:nsid w:val="3238442C"/>
    <w:multiLevelType w:val="multilevel"/>
    <w:tmpl w:val="20C6D62C"/>
    <w:styleLink w:val="ChartandTableFootnoteAlphaList"/>
    <w:lvl w:ilvl="0">
      <w:start w:val="1"/>
      <w:numFmt w:val="lowerLetter"/>
      <w:pStyle w:val="ChartandTableFootnoteAlpha"/>
      <w:lvlText w:val="(%1)"/>
      <w:lvlJc w:val="left"/>
      <w:pPr>
        <w:tabs>
          <w:tab w:val="num" w:pos="284"/>
        </w:tabs>
        <w:ind w:left="284" w:hanging="284"/>
      </w:pPr>
      <w:rPr>
        <w:rFonts w:ascii="Arial" w:hAnsi="Arial" w:hint="default"/>
        <w:b w:val="0"/>
        <w:i w:val="0"/>
        <w:sz w:val="1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30C16AD"/>
    <w:multiLevelType w:val="multilevel"/>
    <w:tmpl w:val="D10E9CF6"/>
    <w:styleLink w:val="OneLevelList"/>
    <w:lvl w:ilvl="0">
      <w:start w:val="1"/>
      <w:numFmt w:val="decimal"/>
      <w:lvlText w:val="%1."/>
      <w:lvlJc w:val="left"/>
      <w:pPr>
        <w:tabs>
          <w:tab w:val="num" w:pos="284"/>
        </w:tabs>
        <w:ind w:left="284" w:hanging="28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38E0BC3"/>
    <w:multiLevelType w:val="hybridMultilevel"/>
    <w:tmpl w:val="F3FCD4F8"/>
    <w:lvl w:ilvl="0" w:tplc="DC1CA280">
      <w:start w:val="1"/>
      <w:numFmt w:val="bullet"/>
      <w:lvlText w:val=""/>
      <w:lvlJc w:val="left"/>
      <w:pPr>
        <w:ind w:left="1020" w:hanging="360"/>
      </w:pPr>
      <w:rPr>
        <w:rFonts w:ascii="Symbol" w:hAnsi="Symbol"/>
      </w:rPr>
    </w:lvl>
    <w:lvl w:ilvl="1" w:tplc="B5947EB0">
      <w:start w:val="1"/>
      <w:numFmt w:val="bullet"/>
      <w:lvlText w:val=""/>
      <w:lvlJc w:val="left"/>
      <w:pPr>
        <w:ind w:left="1020" w:hanging="360"/>
      </w:pPr>
      <w:rPr>
        <w:rFonts w:ascii="Symbol" w:hAnsi="Symbol"/>
      </w:rPr>
    </w:lvl>
    <w:lvl w:ilvl="2" w:tplc="A1D04A12">
      <w:start w:val="1"/>
      <w:numFmt w:val="bullet"/>
      <w:lvlText w:val=""/>
      <w:lvlJc w:val="left"/>
      <w:pPr>
        <w:ind w:left="1020" w:hanging="360"/>
      </w:pPr>
      <w:rPr>
        <w:rFonts w:ascii="Symbol" w:hAnsi="Symbol"/>
      </w:rPr>
    </w:lvl>
    <w:lvl w:ilvl="3" w:tplc="F752ADE4">
      <w:start w:val="1"/>
      <w:numFmt w:val="bullet"/>
      <w:lvlText w:val=""/>
      <w:lvlJc w:val="left"/>
      <w:pPr>
        <w:ind w:left="1020" w:hanging="360"/>
      </w:pPr>
      <w:rPr>
        <w:rFonts w:ascii="Symbol" w:hAnsi="Symbol"/>
      </w:rPr>
    </w:lvl>
    <w:lvl w:ilvl="4" w:tplc="8B245484">
      <w:start w:val="1"/>
      <w:numFmt w:val="bullet"/>
      <w:lvlText w:val=""/>
      <w:lvlJc w:val="left"/>
      <w:pPr>
        <w:ind w:left="1020" w:hanging="360"/>
      </w:pPr>
      <w:rPr>
        <w:rFonts w:ascii="Symbol" w:hAnsi="Symbol"/>
      </w:rPr>
    </w:lvl>
    <w:lvl w:ilvl="5" w:tplc="D4D8DB30">
      <w:start w:val="1"/>
      <w:numFmt w:val="bullet"/>
      <w:lvlText w:val=""/>
      <w:lvlJc w:val="left"/>
      <w:pPr>
        <w:ind w:left="1020" w:hanging="360"/>
      </w:pPr>
      <w:rPr>
        <w:rFonts w:ascii="Symbol" w:hAnsi="Symbol"/>
      </w:rPr>
    </w:lvl>
    <w:lvl w:ilvl="6" w:tplc="42A0875E">
      <w:start w:val="1"/>
      <w:numFmt w:val="bullet"/>
      <w:lvlText w:val=""/>
      <w:lvlJc w:val="left"/>
      <w:pPr>
        <w:ind w:left="1020" w:hanging="360"/>
      </w:pPr>
      <w:rPr>
        <w:rFonts w:ascii="Symbol" w:hAnsi="Symbol"/>
      </w:rPr>
    </w:lvl>
    <w:lvl w:ilvl="7" w:tplc="A7C23F30">
      <w:start w:val="1"/>
      <w:numFmt w:val="bullet"/>
      <w:lvlText w:val=""/>
      <w:lvlJc w:val="left"/>
      <w:pPr>
        <w:ind w:left="1020" w:hanging="360"/>
      </w:pPr>
      <w:rPr>
        <w:rFonts w:ascii="Symbol" w:hAnsi="Symbol"/>
      </w:rPr>
    </w:lvl>
    <w:lvl w:ilvl="8" w:tplc="7CCE4B16">
      <w:start w:val="1"/>
      <w:numFmt w:val="bullet"/>
      <w:lvlText w:val=""/>
      <w:lvlJc w:val="left"/>
      <w:pPr>
        <w:ind w:left="1020" w:hanging="360"/>
      </w:pPr>
      <w:rPr>
        <w:rFonts w:ascii="Symbol" w:hAnsi="Symbol"/>
      </w:rPr>
    </w:lvl>
  </w:abstractNum>
  <w:abstractNum w:abstractNumId="22" w15:restartNumberingAfterBreak="0">
    <w:nsid w:val="33B2033F"/>
    <w:multiLevelType w:val="multilevel"/>
    <w:tmpl w:val="5FACE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DE2817"/>
    <w:multiLevelType w:val="multilevel"/>
    <w:tmpl w:val="FD60F880"/>
    <w:lvl w:ilvl="0">
      <w:start w:val="1"/>
      <w:numFmt w:val="bullet"/>
      <w:lvlText w:val="•"/>
      <w:lvlJc w:val="left"/>
      <w:pPr>
        <w:tabs>
          <w:tab w:val="num" w:pos="520"/>
        </w:tabs>
        <w:ind w:left="520" w:hanging="520"/>
      </w:pPr>
      <w:rPr>
        <w:rFonts w:ascii="Times New Roman" w:hAnsi="Times New Roman" w:cs="Times New Roman"/>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73E1302"/>
    <w:multiLevelType w:val="multilevel"/>
    <w:tmpl w:val="A4DE818C"/>
    <w:lvl w:ilvl="0">
      <w:start w:val="1"/>
      <w:numFmt w:val="decimal"/>
      <w:pStyle w:val="OutlineNumbered1"/>
      <w:lvlText w:val="%1."/>
      <w:lvlJc w:val="left"/>
      <w:pPr>
        <w:tabs>
          <w:tab w:val="num" w:pos="851"/>
        </w:tabs>
        <w:ind w:left="851" w:hanging="851"/>
      </w:pPr>
      <w:rPr>
        <w:rFonts w:hint="default"/>
      </w:rPr>
    </w:lvl>
    <w:lvl w:ilvl="1">
      <w:start w:val="1"/>
      <w:numFmt w:val="decimal"/>
      <w:pStyle w:val="OutlineNumbered2"/>
      <w:lvlText w:val="%1.%2"/>
      <w:lvlJc w:val="left"/>
      <w:pPr>
        <w:tabs>
          <w:tab w:val="num" w:pos="1134"/>
        </w:tabs>
        <w:ind w:left="1134" w:hanging="1134"/>
      </w:pPr>
      <w:rPr>
        <w:rFonts w:hint="default"/>
      </w:rPr>
    </w:lvl>
    <w:lvl w:ilvl="2">
      <w:start w:val="1"/>
      <w:numFmt w:val="decimal"/>
      <w:pStyle w:val="OutlineNumbered3"/>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74C18C4"/>
    <w:multiLevelType w:val="hybridMultilevel"/>
    <w:tmpl w:val="944A6C10"/>
    <w:lvl w:ilvl="0" w:tplc="11949D50">
      <w:start w:val="1"/>
      <w:numFmt w:val="bullet"/>
      <w:lvlText w:val=""/>
      <w:lvlJc w:val="left"/>
      <w:pPr>
        <w:ind w:left="1020" w:hanging="360"/>
      </w:pPr>
      <w:rPr>
        <w:rFonts w:ascii="Symbol" w:hAnsi="Symbol"/>
      </w:rPr>
    </w:lvl>
    <w:lvl w:ilvl="1" w:tplc="802A4076">
      <w:start w:val="1"/>
      <w:numFmt w:val="bullet"/>
      <w:lvlText w:val=""/>
      <w:lvlJc w:val="left"/>
      <w:pPr>
        <w:ind w:left="1020" w:hanging="360"/>
      </w:pPr>
      <w:rPr>
        <w:rFonts w:ascii="Symbol" w:hAnsi="Symbol"/>
      </w:rPr>
    </w:lvl>
    <w:lvl w:ilvl="2" w:tplc="7212A072">
      <w:start w:val="1"/>
      <w:numFmt w:val="bullet"/>
      <w:lvlText w:val=""/>
      <w:lvlJc w:val="left"/>
      <w:pPr>
        <w:ind w:left="1020" w:hanging="360"/>
      </w:pPr>
      <w:rPr>
        <w:rFonts w:ascii="Symbol" w:hAnsi="Symbol"/>
      </w:rPr>
    </w:lvl>
    <w:lvl w:ilvl="3" w:tplc="9C98FB82">
      <w:start w:val="1"/>
      <w:numFmt w:val="bullet"/>
      <w:lvlText w:val=""/>
      <w:lvlJc w:val="left"/>
      <w:pPr>
        <w:ind w:left="1020" w:hanging="360"/>
      </w:pPr>
      <w:rPr>
        <w:rFonts w:ascii="Symbol" w:hAnsi="Symbol"/>
      </w:rPr>
    </w:lvl>
    <w:lvl w:ilvl="4" w:tplc="4E84AD4C">
      <w:start w:val="1"/>
      <w:numFmt w:val="bullet"/>
      <w:lvlText w:val=""/>
      <w:lvlJc w:val="left"/>
      <w:pPr>
        <w:ind w:left="1020" w:hanging="360"/>
      </w:pPr>
      <w:rPr>
        <w:rFonts w:ascii="Symbol" w:hAnsi="Symbol"/>
      </w:rPr>
    </w:lvl>
    <w:lvl w:ilvl="5" w:tplc="D5E42884">
      <w:start w:val="1"/>
      <w:numFmt w:val="bullet"/>
      <w:lvlText w:val=""/>
      <w:lvlJc w:val="left"/>
      <w:pPr>
        <w:ind w:left="1020" w:hanging="360"/>
      </w:pPr>
      <w:rPr>
        <w:rFonts w:ascii="Symbol" w:hAnsi="Symbol"/>
      </w:rPr>
    </w:lvl>
    <w:lvl w:ilvl="6" w:tplc="A63CFC3A">
      <w:start w:val="1"/>
      <w:numFmt w:val="bullet"/>
      <w:lvlText w:val=""/>
      <w:lvlJc w:val="left"/>
      <w:pPr>
        <w:ind w:left="1020" w:hanging="360"/>
      </w:pPr>
      <w:rPr>
        <w:rFonts w:ascii="Symbol" w:hAnsi="Symbol"/>
      </w:rPr>
    </w:lvl>
    <w:lvl w:ilvl="7" w:tplc="F85CA5FA">
      <w:start w:val="1"/>
      <w:numFmt w:val="bullet"/>
      <w:lvlText w:val=""/>
      <w:lvlJc w:val="left"/>
      <w:pPr>
        <w:ind w:left="1020" w:hanging="360"/>
      </w:pPr>
      <w:rPr>
        <w:rFonts w:ascii="Symbol" w:hAnsi="Symbol"/>
      </w:rPr>
    </w:lvl>
    <w:lvl w:ilvl="8" w:tplc="1BC48966">
      <w:start w:val="1"/>
      <w:numFmt w:val="bullet"/>
      <w:lvlText w:val=""/>
      <w:lvlJc w:val="left"/>
      <w:pPr>
        <w:ind w:left="1020" w:hanging="360"/>
      </w:pPr>
      <w:rPr>
        <w:rFonts w:ascii="Symbol" w:hAnsi="Symbol"/>
      </w:rPr>
    </w:lvl>
  </w:abstractNum>
  <w:abstractNum w:abstractNumId="26" w15:restartNumberingAfterBreak="0">
    <w:nsid w:val="386F2C27"/>
    <w:multiLevelType w:val="multilevel"/>
    <w:tmpl w:val="AC40B1F8"/>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8" w:hanging="284"/>
      </w:pPr>
      <w:rPr>
        <w:rFonts w:ascii="Times New Roman" w:hAnsi="Times New Roman" w:cs="Times New Roman"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212" w:hanging="360"/>
      </w:pPr>
      <w:rPr>
        <w:rFonts w:ascii="Symbol" w:hAnsi="Symbol"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27" w15:restartNumberingAfterBreak="0">
    <w:nsid w:val="3B7A79CB"/>
    <w:multiLevelType w:val="multilevel"/>
    <w:tmpl w:val="55EEF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DB45D9D"/>
    <w:multiLevelType w:val="hybridMultilevel"/>
    <w:tmpl w:val="227A2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4314D74"/>
    <w:multiLevelType w:val="hybridMultilevel"/>
    <w:tmpl w:val="57D02F54"/>
    <w:lvl w:ilvl="0" w:tplc="14488558">
      <w:start w:val="1"/>
      <w:numFmt w:val="bullet"/>
      <w:lvlText w:val=""/>
      <w:lvlJc w:val="left"/>
      <w:pPr>
        <w:ind w:left="1020" w:hanging="360"/>
      </w:pPr>
      <w:rPr>
        <w:rFonts w:ascii="Symbol" w:hAnsi="Symbol"/>
      </w:rPr>
    </w:lvl>
    <w:lvl w:ilvl="1" w:tplc="1DD00080">
      <w:start w:val="1"/>
      <w:numFmt w:val="bullet"/>
      <w:lvlText w:val=""/>
      <w:lvlJc w:val="left"/>
      <w:pPr>
        <w:ind w:left="1020" w:hanging="360"/>
      </w:pPr>
      <w:rPr>
        <w:rFonts w:ascii="Symbol" w:hAnsi="Symbol"/>
      </w:rPr>
    </w:lvl>
    <w:lvl w:ilvl="2" w:tplc="85C2D00C">
      <w:start w:val="1"/>
      <w:numFmt w:val="bullet"/>
      <w:lvlText w:val=""/>
      <w:lvlJc w:val="left"/>
      <w:pPr>
        <w:ind w:left="1020" w:hanging="360"/>
      </w:pPr>
      <w:rPr>
        <w:rFonts w:ascii="Symbol" w:hAnsi="Symbol"/>
      </w:rPr>
    </w:lvl>
    <w:lvl w:ilvl="3" w:tplc="D69CB468">
      <w:start w:val="1"/>
      <w:numFmt w:val="bullet"/>
      <w:lvlText w:val=""/>
      <w:lvlJc w:val="left"/>
      <w:pPr>
        <w:ind w:left="1020" w:hanging="360"/>
      </w:pPr>
      <w:rPr>
        <w:rFonts w:ascii="Symbol" w:hAnsi="Symbol"/>
      </w:rPr>
    </w:lvl>
    <w:lvl w:ilvl="4" w:tplc="7B04A602">
      <w:start w:val="1"/>
      <w:numFmt w:val="bullet"/>
      <w:lvlText w:val=""/>
      <w:lvlJc w:val="left"/>
      <w:pPr>
        <w:ind w:left="1020" w:hanging="360"/>
      </w:pPr>
      <w:rPr>
        <w:rFonts w:ascii="Symbol" w:hAnsi="Symbol"/>
      </w:rPr>
    </w:lvl>
    <w:lvl w:ilvl="5" w:tplc="106091C8">
      <w:start w:val="1"/>
      <w:numFmt w:val="bullet"/>
      <w:lvlText w:val=""/>
      <w:lvlJc w:val="left"/>
      <w:pPr>
        <w:ind w:left="1020" w:hanging="360"/>
      </w:pPr>
      <w:rPr>
        <w:rFonts w:ascii="Symbol" w:hAnsi="Symbol"/>
      </w:rPr>
    </w:lvl>
    <w:lvl w:ilvl="6" w:tplc="37BCAD94">
      <w:start w:val="1"/>
      <w:numFmt w:val="bullet"/>
      <w:lvlText w:val=""/>
      <w:lvlJc w:val="left"/>
      <w:pPr>
        <w:ind w:left="1020" w:hanging="360"/>
      </w:pPr>
      <w:rPr>
        <w:rFonts w:ascii="Symbol" w:hAnsi="Symbol"/>
      </w:rPr>
    </w:lvl>
    <w:lvl w:ilvl="7" w:tplc="9656D76A">
      <w:start w:val="1"/>
      <w:numFmt w:val="bullet"/>
      <w:lvlText w:val=""/>
      <w:lvlJc w:val="left"/>
      <w:pPr>
        <w:ind w:left="1020" w:hanging="360"/>
      </w:pPr>
      <w:rPr>
        <w:rFonts w:ascii="Symbol" w:hAnsi="Symbol"/>
      </w:rPr>
    </w:lvl>
    <w:lvl w:ilvl="8" w:tplc="991C624C">
      <w:start w:val="1"/>
      <w:numFmt w:val="bullet"/>
      <w:lvlText w:val=""/>
      <w:lvlJc w:val="left"/>
      <w:pPr>
        <w:ind w:left="1020" w:hanging="360"/>
      </w:pPr>
      <w:rPr>
        <w:rFonts w:ascii="Symbol" w:hAnsi="Symbol"/>
      </w:rPr>
    </w:lvl>
  </w:abstractNum>
  <w:abstractNum w:abstractNumId="30" w15:restartNumberingAfterBreak="0">
    <w:nsid w:val="52C81506"/>
    <w:multiLevelType w:val="multilevel"/>
    <w:tmpl w:val="C5223CE6"/>
    <w:lvl w:ilvl="0">
      <w:start w:val="1"/>
      <w:numFmt w:val="upperLetter"/>
      <w:lvlText w:val="%1."/>
      <w:lvlJc w:val="left"/>
      <w:pPr>
        <w:tabs>
          <w:tab w:val="num" w:pos="851"/>
        </w:tabs>
        <w:ind w:left="851" w:hanging="851"/>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567D3616"/>
    <w:multiLevelType w:val="hybridMultilevel"/>
    <w:tmpl w:val="6BC4A7EA"/>
    <w:lvl w:ilvl="0" w:tplc="452407DA">
      <w:start w:val="1"/>
      <w:numFmt w:val="bullet"/>
      <w:lvlText w:val=""/>
      <w:lvlJc w:val="left"/>
      <w:pPr>
        <w:ind w:left="1020" w:hanging="360"/>
      </w:pPr>
      <w:rPr>
        <w:rFonts w:ascii="Symbol" w:hAnsi="Symbol"/>
      </w:rPr>
    </w:lvl>
    <w:lvl w:ilvl="1" w:tplc="79866EAC">
      <w:start w:val="1"/>
      <w:numFmt w:val="bullet"/>
      <w:lvlText w:val=""/>
      <w:lvlJc w:val="left"/>
      <w:pPr>
        <w:ind w:left="1020" w:hanging="360"/>
      </w:pPr>
      <w:rPr>
        <w:rFonts w:ascii="Symbol" w:hAnsi="Symbol"/>
      </w:rPr>
    </w:lvl>
    <w:lvl w:ilvl="2" w:tplc="2820CBAA">
      <w:start w:val="1"/>
      <w:numFmt w:val="bullet"/>
      <w:lvlText w:val=""/>
      <w:lvlJc w:val="left"/>
      <w:pPr>
        <w:ind w:left="1020" w:hanging="360"/>
      </w:pPr>
      <w:rPr>
        <w:rFonts w:ascii="Symbol" w:hAnsi="Symbol"/>
      </w:rPr>
    </w:lvl>
    <w:lvl w:ilvl="3" w:tplc="B2A4D85E">
      <w:start w:val="1"/>
      <w:numFmt w:val="bullet"/>
      <w:lvlText w:val=""/>
      <w:lvlJc w:val="left"/>
      <w:pPr>
        <w:ind w:left="1020" w:hanging="360"/>
      </w:pPr>
      <w:rPr>
        <w:rFonts w:ascii="Symbol" w:hAnsi="Symbol"/>
      </w:rPr>
    </w:lvl>
    <w:lvl w:ilvl="4" w:tplc="2CC4DEB6">
      <w:start w:val="1"/>
      <w:numFmt w:val="bullet"/>
      <w:lvlText w:val=""/>
      <w:lvlJc w:val="left"/>
      <w:pPr>
        <w:ind w:left="1020" w:hanging="360"/>
      </w:pPr>
      <w:rPr>
        <w:rFonts w:ascii="Symbol" w:hAnsi="Symbol"/>
      </w:rPr>
    </w:lvl>
    <w:lvl w:ilvl="5" w:tplc="6F6E3BDC">
      <w:start w:val="1"/>
      <w:numFmt w:val="bullet"/>
      <w:lvlText w:val=""/>
      <w:lvlJc w:val="left"/>
      <w:pPr>
        <w:ind w:left="1020" w:hanging="360"/>
      </w:pPr>
      <w:rPr>
        <w:rFonts w:ascii="Symbol" w:hAnsi="Symbol"/>
      </w:rPr>
    </w:lvl>
    <w:lvl w:ilvl="6" w:tplc="E946B9AE">
      <w:start w:val="1"/>
      <w:numFmt w:val="bullet"/>
      <w:lvlText w:val=""/>
      <w:lvlJc w:val="left"/>
      <w:pPr>
        <w:ind w:left="1020" w:hanging="360"/>
      </w:pPr>
      <w:rPr>
        <w:rFonts w:ascii="Symbol" w:hAnsi="Symbol"/>
      </w:rPr>
    </w:lvl>
    <w:lvl w:ilvl="7" w:tplc="BE9ACFC8">
      <w:start w:val="1"/>
      <w:numFmt w:val="bullet"/>
      <w:lvlText w:val=""/>
      <w:lvlJc w:val="left"/>
      <w:pPr>
        <w:ind w:left="1020" w:hanging="360"/>
      </w:pPr>
      <w:rPr>
        <w:rFonts w:ascii="Symbol" w:hAnsi="Symbol"/>
      </w:rPr>
    </w:lvl>
    <w:lvl w:ilvl="8" w:tplc="C37CDCE8">
      <w:start w:val="1"/>
      <w:numFmt w:val="bullet"/>
      <w:lvlText w:val=""/>
      <w:lvlJc w:val="left"/>
      <w:pPr>
        <w:ind w:left="1020" w:hanging="360"/>
      </w:pPr>
      <w:rPr>
        <w:rFonts w:ascii="Symbol" w:hAnsi="Symbol"/>
      </w:rPr>
    </w:lvl>
  </w:abstractNum>
  <w:abstractNum w:abstractNumId="32" w15:restartNumberingAfterBreak="0">
    <w:nsid w:val="57FB0AEF"/>
    <w:multiLevelType w:val="multilevel"/>
    <w:tmpl w:val="2FE6D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A89136C"/>
    <w:multiLevelType w:val="multilevel"/>
    <w:tmpl w:val="BB10E1D0"/>
    <w:lvl w:ilvl="0">
      <w:numFmt w:val="bullet"/>
      <w:lvlText w:val=""/>
      <w:lvlJc w:val="left"/>
      <w:pPr>
        <w:ind w:left="284" w:hanging="284"/>
      </w:pPr>
      <w:rPr>
        <w:rFonts w:ascii="Symbol" w:eastAsia="Times New Roman" w:hAnsi="Symbol" w:cs="Times New Roman" w:hint="default"/>
      </w:rPr>
    </w:lvl>
    <w:lvl w:ilvl="1">
      <w:start w:val="1"/>
      <w:numFmt w:val="bullet"/>
      <w:lvlText w:val="–"/>
      <w:lvlJc w:val="left"/>
      <w:pPr>
        <w:ind w:left="568" w:hanging="284"/>
      </w:pPr>
      <w:rPr>
        <w:rFonts w:ascii="Times New Roman" w:hAnsi="Times New Roman" w:cs="Times New Roman" w:hint="default"/>
      </w:rPr>
    </w:lvl>
    <w:lvl w:ilvl="2">
      <w:start w:val="1"/>
      <w:numFmt w:val="bullet"/>
      <w:lvlText w:val=":"/>
      <w:lvlJc w:val="left"/>
      <w:pPr>
        <w:ind w:left="852" w:hanging="284"/>
      </w:pPr>
      <w:rPr>
        <w:rFonts w:ascii="Calibri" w:hAnsi="Calibri" w:hint="default"/>
      </w:rPr>
    </w:lvl>
    <w:lvl w:ilvl="3">
      <w:start w:val="1"/>
      <w:numFmt w:val="bullet"/>
      <w:lvlText w:val=""/>
      <w:lvlJc w:val="left"/>
      <w:pPr>
        <w:ind w:left="1212" w:hanging="360"/>
      </w:pPr>
      <w:rPr>
        <w:rFonts w:ascii="Symbol" w:hAnsi="Symbol"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34" w15:restartNumberingAfterBreak="0">
    <w:nsid w:val="62D723CD"/>
    <w:multiLevelType w:val="hybridMultilevel"/>
    <w:tmpl w:val="2FC63368"/>
    <w:lvl w:ilvl="0" w:tplc="9C1EB6D2">
      <w:start w:val="1"/>
      <w:numFmt w:val="decimal"/>
      <w:lvlText w:val="%1."/>
      <w:lvlJc w:val="left"/>
      <w:pPr>
        <w:ind w:left="1020" w:hanging="360"/>
      </w:pPr>
    </w:lvl>
    <w:lvl w:ilvl="1" w:tplc="3234526C">
      <w:start w:val="1"/>
      <w:numFmt w:val="decimal"/>
      <w:lvlText w:val="%2."/>
      <w:lvlJc w:val="left"/>
      <w:pPr>
        <w:ind w:left="1020" w:hanging="360"/>
      </w:pPr>
    </w:lvl>
    <w:lvl w:ilvl="2" w:tplc="50507E6E">
      <w:start w:val="1"/>
      <w:numFmt w:val="decimal"/>
      <w:lvlText w:val="%3."/>
      <w:lvlJc w:val="left"/>
      <w:pPr>
        <w:ind w:left="1020" w:hanging="360"/>
      </w:pPr>
    </w:lvl>
    <w:lvl w:ilvl="3" w:tplc="E97842F4">
      <w:start w:val="1"/>
      <w:numFmt w:val="decimal"/>
      <w:lvlText w:val="%4."/>
      <w:lvlJc w:val="left"/>
      <w:pPr>
        <w:ind w:left="1020" w:hanging="360"/>
      </w:pPr>
    </w:lvl>
    <w:lvl w:ilvl="4" w:tplc="0DCEE212">
      <w:start w:val="1"/>
      <w:numFmt w:val="decimal"/>
      <w:lvlText w:val="%5."/>
      <w:lvlJc w:val="left"/>
      <w:pPr>
        <w:ind w:left="1020" w:hanging="360"/>
      </w:pPr>
    </w:lvl>
    <w:lvl w:ilvl="5" w:tplc="4AEA6080">
      <w:start w:val="1"/>
      <w:numFmt w:val="decimal"/>
      <w:lvlText w:val="%6."/>
      <w:lvlJc w:val="left"/>
      <w:pPr>
        <w:ind w:left="1020" w:hanging="360"/>
      </w:pPr>
    </w:lvl>
    <w:lvl w:ilvl="6" w:tplc="8C4824A4">
      <w:start w:val="1"/>
      <w:numFmt w:val="decimal"/>
      <w:lvlText w:val="%7."/>
      <w:lvlJc w:val="left"/>
      <w:pPr>
        <w:ind w:left="1020" w:hanging="360"/>
      </w:pPr>
    </w:lvl>
    <w:lvl w:ilvl="7" w:tplc="1F14B55A">
      <w:start w:val="1"/>
      <w:numFmt w:val="decimal"/>
      <w:lvlText w:val="%8."/>
      <w:lvlJc w:val="left"/>
      <w:pPr>
        <w:ind w:left="1020" w:hanging="360"/>
      </w:pPr>
    </w:lvl>
    <w:lvl w:ilvl="8" w:tplc="EB665548">
      <w:start w:val="1"/>
      <w:numFmt w:val="decimal"/>
      <w:lvlText w:val="%9."/>
      <w:lvlJc w:val="left"/>
      <w:pPr>
        <w:ind w:left="1020" w:hanging="360"/>
      </w:pPr>
    </w:lvl>
  </w:abstractNum>
  <w:abstractNum w:abstractNumId="35" w15:restartNumberingAfterBreak="0">
    <w:nsid w:val="65FE0095"/>
    <w:multiLevelType w:val="multilevel"/>
    <w:tmpl w:val="116EF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EF13FC"/>
    <w:multiLevelType w:val="multilevel"/>
    <w:tmpl w:val="C6D44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181079"/>
    <w:multiLevelType w:val="multilevel"/>
    <w:tmpl w:val="13282996"/>
    <w:lvl w:ilvl="0">
      <w:start w:val="1"/>
      <w:numFmt w:val="bullet"/>
      <w:pStyle w:val="Bullet"/>
      <w:lvlText w:val="•"/>
      <w:lvlJc w:val="left"/>
      <w:pPr>
        <w:ind w:left="284" w:hanging="284"/>
      </w:pPr>
      <w:rPr>
        <w:rFonts w:ascii="Times New Roman" w:hAnsi="Times New Roman" w:cs="Times New Roman" w:hint="default"/>
        <w:b w:val="0"/>
        <w:bCs w:val="0"/>
      </w:rPr>
    </w:lvl>
    <w:lvl w:ilvl="1">
      <w:start w:val="1"/>
      <w:numFmt w:val="bullet"/>
      <w:pStyle w:val="Dash"/>
      <w:lvlText w:val="–"/>
      <w:lvlJc w:val="left"/>
      <w:pPr>
        <w:ind w:left="368" w:hanging="284"/>
      </w:pPr>
      <w:rPr>
        <w:rFonts w:ascii="Times New Roman" w:hAnsi="Times New Roman" w:cs="Times New Roman" w:hint="default"/>
      </w:rPr>
    </w:lvl>
    <w:lvl w:ilvl="2">
      <w:start w:val="1"/>
      <w:numFmt w:val="bullet"/>
      <w:pStyle w:val="DoubleDot"/>
      <w:lvlText w:val=":"/>
      <w:lvlJc w:val="left"/>
      <w:pPr>
        <w:ind w:left="652" w:hanging="284"/>
      </w:pPr>
      <w:rPr>
        <w:rFonts w:ascii="Calibri" w:hAnsi="Calibri" w:hint="default"/>
      </w:rPr>
    </w:lvl>
    <w:lvl w:ilvl="3">
      <w:start w:val="1"/>
      <w:numFmt w:val="bullet"/>
      <w:lvlText w:val=""/>
      <w:lvlJc w:val="left"/>
      <w:pPr>
        <w:ind w:left="1012" w:hanging="360"/>
      </w:pPr>
      <w:rPr>
        <w:rFonts w:ascii="Symbol" w:hAnsi="Symbol" w:hint="default"/>
      </w:rPr>
    </w:lvl>
    <w:lvl w:ilvl="4">
      <w:start w:val="1"/>
      <w:numFmt w:val="none"/>
      <w:lvlText w:val=""/>
      <w:lvlJc w:val="left"/>
      <w:pPr>
        <w:ind w:left="1220" w:hanging="284"/>
      </w:pPr>
      <w:rPr>
        <w:rFonts w:hint="default"/>
      </w:rPr>
    </w:lvl>
    <w:lvl w:ilvl="5">
      <w:start w:val="1"/>
      <w:numFmt w:val="none"/>
      <w:lvlText w:val=""/>
      <w:lvlJc w:val="left"/>
      <w:pPr>
        <w:ind w:left="1504" w:hanging="284"/>
      </w:pPr>
      <w:rPr>
        <w:rFonts w:hint="default"/>
      </w:rPr>
    </w:lvl>
    <w:lvl w:ilvl="6">
      <w:start w:val="1"/>
      <w:numFmt w:val="none"/>
      <w:lvlText w:val=""/>
      <w:lvlJc w:val="left"/>
      <w:pPr>
        <w:ind w:left="1788" w:hanging="284"/>
      </w:pPr>
      <w:rPr>
        <w:rFonts w:hint="default"/>
      </w:rPr>
    </w:lvl>
    <w:lvl w:ilvl="7">
      <w:start w:val="1"/>
      <w:numFmt w:val="none"/>
      <w:lvlText w:val=""/>
      <w:lvlJc w:val="left"/>
      <w:pPr>
        <w:ind w:left="2072" w:hanging="284"/>
      </w:pPr>
      <w:rPr>
        <w:rFonts w:hint="default"/>
      </w:rPr>
    </w:lvl>
    <w:lvl w:ilvl="8">
      <w:start w:val="1"/>
      <w:numFmt w:val="none"/>
      <w:lvlText w:val=""/>
      <w:lvlJc w:val="left"/>
      <w:pPr>
        <w:ind w:left="2356" w:hanging="284"/>
      </w:pPr>
      <w:rPr>
        <w:rFonts w:hint="default"/>
      </w:rPr>
    </w:lvl>
  </w:abstractNum>
  <w:abstractNum w:abstractNumId="38" w15:restartNumberingAfterBreak="0">
    <w:nsid w:val="6D3432D9"/>
    <w:multiLevelType w:val="multilevel"/>
    <w:tmpl w:val="B34AC7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0CA3A10"/>
    <w:multiLevelType w:val="multilevel"/>
    <w:tmpl w:val="9120FC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3025E41"/>
    <w:multiLevelType w:val="hybridMultilevel"/>
    <w:tmpl w:val="4DA66A46"/>
    <w:lvl w:ilvl="0" w:tplc="6464DD48">
      <w:start w:val="1"/>
      <w:numFmt w:val="decimal"/>
      <w:lvlText w:val="%1."/>
      <w:lvlJc w:val="left"/>
      <w:pPr>
        <w:ind w:left="1020" w:hanging="360"/>
      </w:pPr>
    </w:lvl>
    <w:lvl w:ilvl="1" w:tplc="8D7895EA">
      <w:start w:val="1"/>
      <w:numFmt w:val="decimal"/>
      <w:lvlText w:val="%2."/>
      <w:lvlJc w:val="left"/>
      <w:pPr>
        <w:ind w:left="1020" w:hanging="360"/>
      </w:pPr>
    </w:lvl>
    <w:lvl w:ilvl="2" w:tplc="D95296DC">
      <w:start w:val="1"/>
      <w:numFmt w:val="decimal"/>
      <w:lvlText w:val="%3."/>
      <w:lvlJc w:val="left"/>
      <w:pPr>
        <w:ind w:left="1020" w:hanging="360"/>
      </w:pPr>
    </w:lvl>
    <w:lvl w:ilvl="3" w:tplc="14069772">
      <w:start w:val="1"/>
      <w:numFmt w:val="decimal"/>
      <w:lvlText w:val="%4."/>
      <w:lvlJc w:val="left"/>
      <w:pPr>
        <w:ind w:left="1020" w:hanging="360"/>
      </w:pPr>
    </w:lvl>
    <w:lvl w:ilvl="4" w:tplc="8070DBC4">
      <w:start w:val="1"/>
      <w:numFmt w:val="decimal"/>
      <w:lvlText w:val="%5."/>
      <w:lvlJc w:val="left"/>
      <w:pPr>
        <w:ind w:left="1020" w:hanging="360"/>
      </w:pPr>
    </w:lvl>
    <w:lvl w:ilvl="5" w:tplc="8932BE26">
      <w:start w:val="1"/>
      <w:numFmt w:val="decimal"/>
      <w:lvlText w:val="%6."/>
      <w:lvlJc w:val="left"/>
      <w:pPr>
        <w:ind w:left="1020" w:hanging="360"/>
      </w:pPr>
    </w:lvl>
    <w:lvl w:ilvl="6" w:tplc="5268BC56">
      <w:start w:val="1"/>
      <w:numFmt w:val="decimal"/>
      <w:lvlText w:val="%7."/>
      <w:lvlJc w:val="left"/>
      <w:pPr>
        <w:ind w:left="1020" w:hanging="360"/>
      </w:pPr>
    </w:lvl>
    <w:lvl w:ilvl="7" w:tplc="D2328984">
      <w:start w:val="1"/>
      <w:numFmt w:val="decimal"/>
      <w:lvlText w:val="%8."/>
      <w:lvlJc w:val="left"/>
      <w:pPr>
        <w:ind w:left="1020" w:hanging="360"/>
      </w:pPr>
    </w:lvl>
    <w:lvl w:ilvl="8" w:tplc="0164CE56">
      <w:start w:val="1"/>
      <w:numFmt w:val="decimal"/>
      <w:lvlText w:val="%9."/>
      <w:lvlJc w:val="left"/>
      <w:pPr>
        <w:ind w:left="1020" w:hanging="360"/>
      </w:pPr>
    </w:lvl>
  </w:abstractNum>
  <w:abstractNum w:abstractNumId="41" w15:restartNumberingAfterBreak="0">
    <w:nsid w:val="736832F1"/>
    <w:multiLevelType w:val="hybridMultilevel"/>
    <w:tmpl w:val="EA6E2840"/>
    <w:lvl w:ilvl="0" w:tplc="85CA246E">
      <w:start w:val="1"/>
      <w:numFmt w:val="decimal"/>
      <w:lvlText w:val="%1."/>
      <w:lvlJc w:val="left"/>
      <w:pPr>
        <w:ind w:left="1020" w:hanging="360"/>
      </w:pPr>
    </w:lvl>
    <w:lvl w:ilvl="1" w:tplc="0FFA49CA">
      <w:start w:val="1"/>
      <w:numFmt w:val="decimal"/>
      <w:lvlText w:val="%2."/>
      <w:lvlJc w:val="left"/>
      <w:pPr>
        <w:ind w:left="1020" w:hanging="360"/>
      </w:pPr>
    </w:lvl>
    <w:lvl w:ilvl="2" w:tplc="62A0FDB6">
      <w:start w:val="1"/>
      <w:numFmt w:val="decimal"/>
      <w:lvlText w:val="%3."/>
      <w:lvlJc w:val="left"/>
      <w:pPr>
        <w:ind w:left="1020" w:hanging="360"/>
      </w:pPr>
    </w:lvl>
    <w:lvl w:ilvl="3" w:tplc="D8665DC6">
      <w:start w:val="1"/>
      <w:numFmt w:val="decimal"/>
      <w:lvlText w:val="%4."/>
      <w:lvlJc w:val="left"/>
      <w:pPr>
        <w:ind w:left="1020" w:hanging="360"/>
      </w:pPr>
    </w:lvl>
    <w:lvl w:ilvl="4" w:tplc="E12AC088">
      <w:start w:val="1"/>
      <w:numFmt w:val="decimal"/>
      <w:lvlText w:val="%5."/>
      <w:lvlJc w:val="left"/>
      <w:pPr>
        <w:ind w:left="1020" w:hanging="360"/>
      </w:pPr>
    </w:lvl>
    <w:lvl w:ilvl="5" w:tplc="A538C194">
      <w:start w:val="1"/>
      <w:numFmt w:val="decimal"/>
      <w:lvlText w:val="%6."/>
      <w:lvlJc w:val="left"/>
      <w:pPr>
        <w:ind w:left="1020" w:hanging="360"/>
      </w:pPr>
    </w:lvl>
    <w:lvl w:ilvl="6" w:tplc="EDC43D7E">
      <w:start w:val="1"/>
      <w:numFmt w:val="decimal"/>
      <w:lvlText w:val="%7."/>
      <w:lvlJc w:val="left"/>
      <w:pPr>
        <w:ind w:left="1020" w:hanging="360"/>
      </w:pPr>
    </w:lvl>
    <w:lvl w:ilvl="7" w:tplc="8D0EC056">
      <w:start w:val="1"/>
      <w:numFmt w:val="decimal"/>
      <w:lvlText w:val="%8."/>
      <w:lvlJc w:val="left"/>
      <w:pPr>
        <w:ind w:left="1020" w:hanging="360"/>
      </w:pPr>
    </w:lvl>
    <w:lvl w:ilvl="8" w:tplc="330EFBE0">
      <w:start w:val="1"/>
      <w:numFmt w:val="decimal"/>
      <w:lvlText w:val="%9."/>
      <w:lvlJc w:val="left"/>
      <w:pPr>
        <w:ind w:left="1020" w:hanging="360"/>
      </w:pPr>
    </w:lvl>
  </w:abstractNum>
  <w:abstractNum w:abstractNumId="42" w15:restartNumberingAfterBreak="0">
    <w:nsid w:val="77682064"/>
    <w:multiLevelType w:val="hybridMultilevel"/>
    <w:tmpl w:val="8DE04ECA"/>
    <w:lvl w:ilvl="0" w:tplc="0818C0F8">
      <w:start w:val="1"/>
      <w:numFmt w:val="decimal"/>
      <w:lvlText w:val="%1."/>
      <w:lvlJc w:val="left"/>
      <w:pPr>
        <w:ind w:left="1020" w:hanging="360"/>
      </w:pPr>
    </w:lvl>
    <w:lvl w:ilvl="1" w:tplc="67547680">
      <w:start w:val="1"/>
      <w:numFmt w:val="decimal"/>
      <w:lvlText w:val="%2."/>
      <w:lvlJc w:val="left"/>
      <w:pPr>
        <w:ind w:left="1020" w:hanging="360"/>
      </w:pPr>
    </w:lvl>
    <w:lvl w:ilvl="2" w:tplc="90268152">
      <w:start w:val="1"/>
      <w:numFmt w:val="decimal"/>
      <w:lvlText w:val="%3."/>
      <w:lvlJc w:val="left"/>
      <w:pPr>
        <w:ind w:left="1020" w:hanging="360"/>
      </w:pPr>
    </w:lvl>
    <w:lvl w:ilvl="3" w:tplc="CE900084">
      <w:start w:val="1"/>
      <w:numFmt w:val="decimal"/>
      <w:lvlText w:val="%4."/>
      <w:lvlJc w:val="left"/>
      <w:pPr>
        <w:ind w:left="1020" w:hanging="360"/>
      </w:pPr>
    </w:lvl>
    <w:lvl w:ilvl="4" w:tplc="35382A58">
      <w:start w:val="1"/>
      <w:numFmt w:val="decimal"/>
      <w:lvlText w:val="%5."/>
      <w:lvlJc w:val="left"/>
      <w:pPr>
        <w:ind w:left="1020" w:hanging="360"/>
      </w:pPr>
    </w:lvl>
    <w:lvl w:ilvl="5" w:tplc="E820ABA2">
      <w:start w:val="1"/>
      <w:numFmt w:val="decimal"/>
      <w:lvlText w:val="%6."/>
      <w:lvlJc w:val="left"/>
      <w:pPr>
        <w:ind w:left="1020" w:hanging="360"/>
      </w:pPr>
    </w:lvl>
    <w:lvl w:ilvl="6" w:tplc="FC4EC33E">
      <w:start w:val="1"/>
      <w:numFmt w:val="decimal"/>
      <w:lvlText w:val="%7."/>
      <w:lvlJc w:val="left"/>
      <w:pPr>
        <w:ind w:left="1020" w:hanging="360"/>
      </w:pPr>
    </w:lvl>
    <w:lvl w:ilvl="7" w:tplc="AB9C1F9C">
      <w:start w:val="1"/>
      <w:numFmt w:val="decimal"/>
      <w:lvlText w:val="%8."/>
      <w:lvlJc w:val="left"/>
      <w:pPr>
        <w:ind w:left="1020" w:hanging="360"/>
      </w:pPr>
    </w:lvl>
    <w:lvl w:ilvl="8" w:tplc="EF6EE082">
      <w:start w:val="1"/>
      <w:numFmt w:val="decimal"/>
      <w:lvlText w:val="%9."/>
      <w:lvlJc w:val="left"/>
      <w:pPr>
        <w:ind w:left="1020" w:hanging="360"/>
      </w:pPr>
    </w:lvl>
  </w:abstractNum>
  <w:abstractNum w:abstractNumId="43" w15:restartNumberingAfterBreak="0">
    <w:nsid w:val="7CD37FB8"/>
    <w:multiLevelType w:val="hybridMultilevel"/>
    <w:tmpl w:val="2CA40954"/>
    <w:lvl w:ilvl="0" w:tplc="5C8852D8">
      <w:start w:val="1"/>
      <w:numFmt w:val="bullet"/>
      <w:lvlText w:val=""/>
      <w:lvlJc w:val="left"/>
      <w:pPr>
        <w:ind w:left="1020" w:hanging="360"/>
      </w:pPr>
      <w:rPr>
        <w:rFonts w:ascii="Symbol" w:hAnsi="Symbol"/>
      </w:rPr>
    </w:lvl>
    <w:lvl w:ilvl="1" w:tplc="7C08AC0E">
      <w:start w:val="1"/>
      <w:numFmt w:val="bullet"/>
      <w:lvlText w:val=""/>
      <w:lvlJc w:val="left"/>
      <w:pPr>
        <w:ind w:left="1020" w:hanging="360"/>
      </w:pPr>
      <w:rPr>
        <w:rFonts w:ascii="Symbol" w:hAnsi="Symbol"/>
      </w:rPr>
    </w:lvl>
    <w:lvl w:ilvl="2" w:tplc="3FE22720">
      <w:start w:val="1"/>
      <w:numFmt w:val="bullet"/>
      <w:lvlText w:val=""/>
      <w:lvlJc w:val="left"/>
      <w:pPr>
        <w:ind w:left="1020" w:hanging="360"/>
      </w:pPr>
      <w:rPr>
        <w:rFonts w:ascii="Symbol" w:hAnsi="Symbol"/>
      </w:rPr>
    </w:lvl>
    <w:lvl w:ilvl="3" w:tplc="76F65FC0">
      <w:start w:val="1"/>
      <w:numFmt w:val="bullet"/>
      <w:lvlText w:val=""/>
      <w:lvlJc w:val="left"/>
      <w:pPr>
        <w:ind w:left="1020" w:hanging="360"/>
      </w:pPr>
      <w:rPr>
        <w:rFonts w:ascii="Symbol" w:hAnsi="Symbol"/>
      </w:rPr>
    </w:lvl>
    <w:lvl w:ilvl="4" w:tplc="D332AD02">
      <w:start w:val="1"/>
      <w:numFmt w:val="bullet"/>
      <w:lvlText w:val=""/>
      <w:lvlJc w:val="left"/>
      <w:pPr>
        <w:ind w:left="1020" w:hanging="360"/>
      </w:pPr>
      <w:rPr>
        <w:rFonts w:ascii="Symbol" w:hAnsi="Symbol"/>
      </w:rPr>
    </w:lvl>
    <w:lvl w:ilvl="5" w:tplc="ACA6DBB8">
      <w:start w:val="1"/>
      <w:numFmt w:val="bullet"/>
      <w:lvlText w:val=""/>
      <w:lvlJc w:val="left"/>
      <w:pPr>
        <w:ind w:left="1020" w:hanging="360"/>
      </w:pPr>
      <w:rPr>
        <w:rFonts w:ascii="Symbol" w:hAnsi="Symbol"/>
      </w:rPr>
    </w:lvl>
    <w:lvl w:ilvl="6" w:tplc="C4A6B7E8">
      <w:start w:val="1"/>
      <w:numFmt w:val="bullet"/>
      <w:lvlText w:val=""/>
      <w:lvlJc w:val="left"/>
      <w:pPr>
        <w:ind w:left="1020" w:hanging="360"/>
      </w:pPr>
      <w:rPr>
        <w:rFonts w:ascii="Symbol" w:hAnsi="Symbol"/>
      </w:rPr>
    </w:lvl>
    <w:lvl w:ilvl="7" w:tplc="D74AD050">
      <w:start w:val="1"/>
      <w:numFmt w:val="bullet"/>
      <w:lvlText w:val=""/>
      <w:lvlJc w:val="left"/>
      <w:pPr>
        <w:ind w:left="1020" w:hanging="360"/>
      </w:pPr>
      <w:rPr>
        <w:rFonts w:ascii="Symbol" w:hAnsi="Symbol"/>
      </w:rPr>
    </w:lvl>
    <w:lvl w:ilvl="8" w:tplc="2092F612">
      <w:start w:val="1"/>
      <w:numFmt w:val="bullet"/>
      <w:lvlText w:val=""/>
      <w:lvlJc w:val="left"/>
      <w:pPr>
        <w:ind w:left="1020" w:hanging="360"/>
      </w:pPr>
      <w:rPr>
        <w:rFonts w:ascii="Symbol" w:hAnsi="Symbol"/>
      </w:rPr>
    </w:lvl>
  </w:abstractNum>
  <w:abstractNum w:abstractNumId="44" w15:restartNumberingAfterBreak="0">
    <w:nsid w:val="7D6B5224"/>
    <w:multiLevelType w:val="multilevel"/>
    <w:tmpl w:val="91FE60A6"/>
    <w:name w:val="StandardBulletedList"/>
    <w:lvl w:ilvl="0">
      <w:start w:val="1"/>
      <w:numFmt w:val="bullet"/>
      <w:lvlText w:val="•"/>
      <w:lvlJc w:val="left"/>
      <w:pPr>
        <w:tabs>
          <w:tab w:val="num" w:pos="520"/>
        </w:tabs>
        <w:ind w:left="520" w:hanging="520"/>
      </w:pPr>
      <w:rPr>
        <w:rFonts w:ascii="Times New Roman" w:hAnsi="Times New Roman" w:cs="Times New Roman"/>
        <w:color w:val="auto"/>
      </w:r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09446909">
    <w:abstractNumId w:val="17"/>
  </w:num>
  <w:num w:numId="2" w16cid:durableId="230386874">
    <w:abstractNumId w:val="1"/>
  </w:num>
  <w:num w:numId="3" w16cid:durableId="1716855291">
    <w:abstractNumId w:val="20"/>
  </w:num>
  <w:num w:numId="4" w16cid:durableId="797724066">
    <w:abstractNumId w:val="7"/>
  </w:num>
  <w:num w:numId="5" w16cid:durableId="1739129519">
    <w:abstractNumId w:val="19"/>
    <w:lvlOverride w:ilvl="0">
      <w:lvl w:ilvl="0">
        <w:start w:val="1"/>
        <w:numFmt w:val="lowerLetter"/>
        <w:pStyle w:val="ChartandTableFootnoteAlpha"/>
        <w:lvlText w:val="(%1)"/>
        <w:lvlJc w:val="left"/>
        <w:pPr>
          <w:ind w:left="360" w:hanging="360"/>
        </w:pPr>
        <w:rPr>
          <w:rFonts w:ascii="Calibri" w:hAnsi="Calibri" w:hint="default"/>
          <w:b w:val="0"/>
          <w:i w:val="0"/>
          <w:caps w:val="0"/>
          <w:strike w:val="0"/>
          <w:dstrike w:val="0"/>
          <w:vanish w:val="0"/>
          <w:sz w:val="18"/>
          <w:vertAlign w:val="baseline"/>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6" w16cid:durableId="1043020558">
    <w:abstractNumId w:val="11"/>
  </w:num>
  <w:num w:numId="7" w16cid:durableId="832991063">
    <w:abstractNumId w:val="15"/>
  </w:num>
  <w:num w:numId="8" w16cid:durableId="143200778">
    <w:abstractNumId w:val="19"/>
  </w:num>
  <w:num w:numId="9" w16cid:durableId="1017973052">
    <w:abstractNumId w:val="9"/>
  </w:num>
  <w:num w:numId="10" w16cid:durableId="1534227257">
    <w:abstractNumId w:val="37"/>
  </w:num>
  <w:num w:numId="11" w16cid:durableId="1051686446">
    <w:abstractNumId w:val="2"/>
  </w:num>
  <w:num w:numId="12" w16cid:durableId="847476569">
    <w:abstractNumId w:val="30"/>
  </w:num>
  <w:num w:numId="13" w16cid:durableId="541016326">
    <w:abstractNumId w:val="24"/>
  </w:num>
  <w:num w:numId="14" w16cid:durableId="853495768">
    <w:abstractNumId w:val="23"/>
  </w:num>
  <w:num w:numId="15" w16cid:durableId="766383590">
    <w:abstractNumId w:val="27"/>
  </w:num>
  <w:num w:numId="16" w16cid:durableId="77797722">
    <w:abstractNumId w:val="28"/>
  </w:num>
  <w:num w:numId="17" w16cid:durableId="953558560">
    <w:abstractNumId w:val="5"/>
  </w:num>
  <w:num w:numId="18" w16cid:durableId="368922742">
    <w:abstractNumId w:val="35"/>
  </w:num>
  <w:num w:numId="19" w16cid:durableId="1788349623">
    <w:abstractNumId w:val="0"/>
  </w:num>
  <w:num w:numId="20" w16cid:durableId="1418405722">
    <w:abstractNumId w:val="33"/>
  </w:num>
  <w:num w:numId="21" w16cid:durableId="1875538243">
    <w:abstractNumId w:val="12"/>
  </w:num>
  <w:num w:numId="22" w16cid:durableId="365642282">
    <w:abstractNumId w:val="32"/>
  </w:num>
  <w:num w:numId="23" w16cid:durableId="270599698">
    <w:abstractNumId w:val="22"/>
  </w:num>
  <w:num w:numId="24" w16cid:durableId="1219587458">
    <w:abstractNumId w:val="16"/>
  </w:num>
  <w:num w:numId="25" w16cid:durableId="1017855578">
    <w:abstractNumId w:val="38"/>
  </w:num>
  <w:num w:numId="26" w16cid:durableId="367491275">
    <w:abstractNumId w:val="39"/>
  </w:num>
  <w:num w:numId="27" w16cid:durableId="1648514166">
    <w:abstractNumId w:val="36"/>
  </w:num>
  <w:num w:numId="28" w16cid:durableId="265039701">
    <w:abstractNumId w:val="37"/>
  </w:num>
  <w:num w:numId="29" w16cid:durableId="415127757">
    <w:abstractNumId w:val="34"/>
  </w:num>
  <w:num w:numId="30" w16cid:durableId="411201948">
    <w:abstractNumId w:val="40"/>
  </w:num>
  <w:num w:numId="31" w16cid:durableId="365065859">
    <w:abstractNumId w:val="6"/>
  </w:num>
  <w:num w:numId="32" w16cid:durableId="927038522">
    <w:abstractNumId w:val="4"/>
  </w:num>
  <w:num w:numId="33" w16cid:durableId="1011957694">
    <w:abstractNumId w:val="42"/>
  </w:num>
  <w:num w:numId="34" w16cid:durableId="986860493">
    <w:abstractNumId w:val="3"/>
  </w:num>
  <w:num w:numId="35" w16cid:durableId="1149715253">
    <w:abstractNumId w:val="41"/>
  </w:num>
  <w:num w:numId="36" w16cid:durableId="2142187726">
    <w:abstractNumId w:val="18"/>
  </w:num>
  <w:num w:numId="37" w16cid:durableId="1694843717">
    <w:abstractNumId w:val="8"/>
  </w:num>
  <w:num w:numId="38" w16cid:durableId="491916030">
    <w:abstractNumId w:val="26"/>
  </w:num>
  <w:num w:numId="39" w16cid:durableId="1615554073">
    <w:abstractNumId w:val="37"/>
  </w:num>
  <w:num w:numId="40" w16cid:durableId="878396408">
    <w:abstractNumId w:val="37"/>
  </w:num>
  <w:num w:numId="41" w16cid:durableId="1149590565">
    <w:abstractNumId w:val="14"/>
  </w:num>
  <w:num w:numId="42" w16cid:durableId="1212037850">
    <w:abstractNumId w:val="29"/>
  </w:num>
  <w:num w:numId="43" w16cid:durableId="631718636">
    <w:abstractNumId w:val="31"/>
  </w:num>
  <w:num w:numId="44" w16cid:durableId="1932422722">
    <w:abstractNumId w:val="21"/>
  </w:num>
  <w:num w:numId="45" w16cid:durableId="726025409">
    <w:abstractNumId w:val="13"/>
  </w:num>
  <w:num w:numId="46" w16cid:durableId="1189024153">
    <w:abstractNumId w:val="10"/>
  </w:num>
  <w:num w:numId="47" w16cid:durableId="1845590522">
    <w:abstractNumId w:val="43"/>
  </w:num>
  <w:num w:numId="48" w16cid:durableId="1502155603">
    <w:abstractNumId w:val="2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mirrorMargins/>
  <w:proofState w:spelling="clean" w:grammar="clean"/>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28452C"/>
    <w:rsid w:val="000000E2"/>
    <w:rsid w:val="00000111"/>
    <w:rsid w:val="00000126"/>
    <w:rsid w:val="0000021C"/>
    <w:rsid w:val="00000231"/>
    <w:rsid w:val="000002EE"/>
    <w:rsid w:val="00000320"/>
    <w:rsid w:val="000005A7"/>
    <w:rsid w:val="000006E8"/>
    <w:rsid w:val="00000728"/>
    <w:rsid w:val="0000079B"/>
    <w:rsid w:val="00000924"/>
    <w:rsid w:val="00000939"/>
    <w:rsid w:val="00000ABF"/>
    <w:rsid w:val="00000CB8"/>
    <w:rsid w:val="00000CD0"/>
    <w:rsid w:val="00000E40"/>
    <w:rsid w:val="00000E42"/>
    <w:rsid w:val="00000EDC"/>
    <w:rsid w:val="00000EDD"/>
    <w:rsid w:val="00000EFE"/>
    <w:rsid w:val="00000FB1"/>
    <w:rsid w:val="00001095"/>
    <w:rsid w:val="00001110"/>
    <w:rsid w:val="0000119C"/>
    <w:rsid w:val="000011E8"/>
    <w:rsid w:val="00001211"/>
    <w:rsid w:val="0000151F"/>
    <w:rsid w:val="0000163A"/>
    <w:rsid w:val="0000164A"/>
    <w:rsid w:val="000018AF"/>
    <w:rsid w:val="0000199E"/>
    <w:rsid w:val="00001B26"/>
    <w:rsid w:val="00001BA1"/>
    <w:rsid w:val="00001BD4"/>
    <w:rsid w:val="00001D82"/>
    <w:rsid w:val="00001D8A"/>
    <w:rsid w:val="00001F66"/>
    <w:rsid w:val="000020B2"/>
    <w:rsid w:val="000020BB"/>
    <w:rsid w:val="000020BD"/>
    <w:rsid w:val="000021AE"/>
    <w:rsid w:val="00002265"/>
    <w:rsid w:val="00002341"/>
    <w:rsid w:val="00002361"/>
    <w:rsid w:val="00002459"/>
    <w:rsid w:val="0000246D"/>
    <w:rsid w:val="000025DA"/>
    <w:rsid w:val="00002664"/>
    <w:rsid w:val="000027C2"/>
    <w:rsid w:val="00002835"/>
    <w:rsid w:val="0000284D"/>
    <w:rsid w:val="00002969"/>
    <w:rsid w:val="00002A1A"/>
    <w:rsid w:val="00002B14"/>
    <w:rsid w:val="00002C0B"/>
    <w:rsid w:val="00002CE8"/>
    <w:rsid w:val="00002E79"/>
    <w:rsid w:val="00002F31"/>
    <w:rsid w:val="00002F4E"/>
    <w:rsid w:val="00002FFE"/>
    <w:rsid w:val="0000324C"/>
    <w:rsid w:val="000033F0"/>
    <w:rsid w:val="00003432"/>
    <w:rsid w:val="00003445"/>
    <w:rsid w:val="0000344E"/>
    <w:rsid w:val="0000355C"/>
    <w:rsid w:val="00003661"/>
    <w:rsid w:val="00003673"/>
    <w:rsid w:val="0000367F"/>
    <w:rsid w:val="00003828"/>
    <w:rsid w:val="0000382F"/>
    <w:rsid w:val="0000383B"/>
    <w:rsid w:val="00003BD0"/>
    <w:rsid w:val="00003C02"/>
    <w:rsid w:val="00003CFD"/>
    <w:rsid w:val="00003DCD"/>
    <w:rsid w:val="00003FBA"/>
    <w:rsid w:val="000040B5"/>
    <w:rsid w:val="00004181"/>
    <w:rsid w:val="00004224"/>
    <w:rsid w:val="0000428A"/>
    <w:rsid w:val="000042C6"/>
    <w:rsid w:val="00004425"/>
    <w:rsid w:val="0000444B"/>
    <w:rsid w:val="0000445B"/>
    <w:rsid w:val="000044C2"/>
    <w:rsid w:val="000044CC"/>
    <w:rsid w:val="000045C3"/>
    <w:rsid w:val="000046F9"/>
    <w:rsid w:val="00004729"/>
    <w:rsid w:val="00004A0A"/>
    <w:rsid w:val="00004AC4"/>
    <w:rsid w:val="00004B15"/>
    <w:rsid w:val="00004BFE"/>
    <w:rsid w:val="00004C81"/>
    <w:rsid w:val="00004D90"/>
    <w:rsid w:val="00004DB1"/>
    <w:rsid w:val="00004DCD"/>
    <w:rsid w:val="00004F1B"/>
    <w:rsid w:val="00004F2F"/>
    <w:rsid w:val="00004F7F"/>
    <w:rsid w:val="00004FA1"/>
    <w:rsid w:val="0000505B"/>
    <w:rsid w:val="000051E8"/>
    <w:rsid w:val="00005203"/>
    <w:rsid w:val="00005310"/>
    <w:rsid w:val="00005327"/>
    <w:rsid w:val="00005396"/>
    <w:rsid w:val="00005513"/>
    <w:rsid w:val="000056CB"/>
    <w:rsid w:val="000057E1"/>
    <w:rsid w:val="0000598A"/>
    <w:rsid w:val="000059A7"/>
    <w:rsid w:val="00005B07"/>
    <w:rsid w:val="00005C16"/>
    <w:rsid w:val="00005C28"/>
    <w:rsid w:val="00005C7E"/>
    <w:rsid w:val="00005D66"/>
    <w:rsid w:val="00005D8F"/>
    <w:rsid w:val="00005DB1"/>
    <w:rsid w:val="00005DDD"/>
    <w:rsid w:val="00005E7F"/>
    <w:rsid w:val="00005F69"/>
    <w:rsid w:val="00006260"/>
    <w:rsid w:val="00006276"/>
    <w:rsid w:val="00006331"/>
    <w:rsid w:val="00006454"/>
    <w:rsid w:val="0000646F"/>
    <w:rsid w:val="000064C3"/>
    <w:rsid w:val="00006510"/>
    <w:rsid w:val="0000675C"/>
    <w:rsid w:val="00006760"/>
    <w:rsid w:val="0000694F"/>
    <w:rsid w:val="00006A50"/>
    <w:rsid w:val="00006ACC"/>
    <w:rsid w:val="00006B4D"/>
    <w:rsid w:val="00006BAF"/>
    <w:rsid w:val="00006C8E"/>
    <w:rsid w:val="00006D88"/>
    <w:rsid w:val="00006F61"/>
    <w:rsid w:val="0000715B"/>
    <w:rsid w:val="00007163"/>
    <w:rsid w:val="00007195"/>
    <w:rsid w:val="000072C3"/>
    <w:rsid w:val="000073EF"/>
    <w:rsid w:val="000074AD"/>
    <w:rsid w:val="000074C0"/>
    <w:rsid w:val="0000770B"/>
    <w:rsid w:val="0000774C"/>
    <w:rsid w:val="0000785D"/>
    <w:rsid w:val="00007940"/>
    <w:rsid w:val="00007973"/>
    <w:rsid w:val="0000797D"/>
    <w:rsid w:val="000079F5"/>
    <w:rsid w:val="00007B03"/>
    <w:rsid w:val="00007B9D"/>
    <w:rsid w:val="00007DF9"/>
    <w:rsid w:val="00007FE0"/>
    <w:rsid w:val="00010353"/>
    <w:rsid w:val="00010395"/>
    <w:rsid w:val="0001040A"/>
    <w:rsid w:val="00010479"/>
    <w:rsid w:val="0001061D"/>
    <w:rsid w:val="000106CB"/>
    <w:rsid w:val="0001071F"/>
    <w:rsid w:val="00010C86"/>
    <w:rsid w:val="00010D39"/>
    <w:rsid w:val="00010E31"/>
    <w:rsid w:val="00010F59"/>
    <w:rsid w:val="00010FA7"/>
    <w:rsid w:val="000111A8"/>
    <w:rsid w:val="00011238"/>
    <w:rsid w:val="00011595"/>
    <w:rsid w:val="000115E0"/>
    <w:rsid w:val="0001169C"/>
    <w:rsid w:val="00011725"/>
    <w:rsid w:val="000117D0"/>
    <w:rsid w:val="000118AA"/>
    <w:rsid w:val="0001193E"/>
    <w:rsid w:val="00011AF3"/>
    <w:rsid w:val="00011C21"/>
    <w:rsid w:val="00011E0C"/>
    <w:rsid w:val="00012043"/>
    <w:rsid w:val="00012133"/>
    <w:rsid w:val="0001222C"/>
    <w:rsid w:val="0001224F"/>
    <w:rsid w:val="00012261"/>
    <w:rsid w:val="00012373"/>
    <w:rsid w:val="0001239D"/>
    <w:rsid w:val="00012549"/>
    <w:rsid w:val="0001255C"/>
    <w:rsid w:val="00012962"/>
    <w:rsid w:val="00012C32"/>
    <w:rsid w:val="00012C62"/>
    <w:rsid w:val="00012C82"/>
    <w:rsid w:val="00012D3B"/>
    <w:rsid w:val="00012FE5"/>
    <w:rsid w:val="000131F8"/>
    <w:rsid w:val="000135EE"/>
    <w:rsid w:val="00013612"/>
    <w:rsid w:val="000136E4"/>
    <w:rsid w:val="0001379D"/>
    <w:rsid w:val="0001396A"/>
    <w:rsid w:val="000139F8"/>
    <w:rsid w:val="00013B99"/>
    <w:rsid w:val="00013D1A"/>
    <w:rsid w:val="00013DB8"/>
    <w:rsid w:val="00013DD2"/>
    <w:rsid w:val="00013E98"/>
    <w:rsid w:val="00013F7F"/>
    <w:rsid w:val="000140F0"/>
    <w:rsid w:val="00014219"/>
    <w:rsid w:val="00014235"/>
    <w:rsid w:val="0001428C"/>
    <w:rsid w:val="00014315"/>
    <w:rsid w:val="00014434"/>
    <w:rsid w:val="0001476F"/>
    <w:rsid w:val="000147C4"/>
    <w:rsid w:val="00014CAB"/>
    <w:rsid w:val="00014DE4"/>
    <w:rsid w:val="00014F89"/>
    <w:rsid w:val="00014FB8"/>
    <w:rsid w:val="00015167"/>
    <w:rsid w:val="000152E1"/>
    <w:rsid w:val="00015431"/>
    <w:rsid w:val="0001549B"/>
    <w:rsid w:val="00015512"/>
    <w:rsid w:val="00015636"/>
    <w:rsid w:val="00015723"/>
    <w:rsid w:val="00015795"/>
    <w:rsid w:val="000157AA"/>
    <w:rsid w:val="000157E2"/>
    <w:rsid w:val="000157FD"/>
    <w:rsid w:val="00015997"/>
    <w:rsid w:val="000159EC"/>
    <w:rsid w:val="00015AC7"/>
    <w:rsid w:val="00015BC6"/>
    <w:rsid w:val="00015F13"/>
    <w:rsid w:val="00015FDF"/>
    <w:rsid w:val="00016062"/>
    <w:rsid w:val="0001632D"/>
    <w:rsid w:val="00016362"/>
    <w:rsid w:val="00016463"/>
    <w:rsid w:val="000166AF"/>
    <w:rsid w:val="000166CC"/>
    <w:rsid w:val="00016862"/>
    <w:rsid w:val="0001687D"/>
    <w:rsid w:val="000169FF"/>
    <w:rsid w:val="00016A77"/>
    <w:rsid w:val="00016A7D"/>
    <w:rsid w:val="00016C06"/>
    <w:rsid w:val="00016D93"/>
    <w:rsid w:val="00016EA9"/>
    <w:rsid w:val="00016F7C"/>
    <w:rsid w:val="00016F8F"/>
    <w:rsid w:val="00017093"/>
    <w:rsid w:val="000170C9"/>
    <w:rsid w:val="00017124"/>
    <w:rsid w:val="00017222"/>
    <w:rsid w:val="00017286"/>
    <w:rsid w:val="000172AA"/>
    <w:rsid w:val="000172D6"/>
    <w:rsid w:val="00017311"/>
    <w:rsid w:val="0001731F"/>
    <w:rsid w:val="0001745A"/>
    <w:rsid w:val="0001757D"/>
    <w:rsid w:val="000176BB"/>
    <w:rsid w:val="00017773"/>
    <w:rsid w:val="00017878"/>
    <w:rsid w:val="000179E6"/>
    <w:rsid w:val="00017ABA"/>
    <w:rsid w:val="00017BCB"/>
    <w:rsid w:val="00017C72"/>
    <w:rsid w:val="00017DF7"/>
    <w:rsid w:val="00017E25"/>
    <w:rsid w:val="00017F57"/>
    <w:rsid w:val="00017FF3"/>
    <w:rsid w:val="000200DB"/>
    <w:rsid w:val="000200E0"/>
    <w:rsid w:val="0002013E"/>
    <w:rsid w:val="00020231"/>
    <w:rsid w:val="00020259"/>
    <w:rsid w:val="0002028A"/>
    <w:rsid w:val="000202F8"/>
    <w:rsid w:val="0002035A"/>
    <w:rsid w:val="00020373"/>
    <w:rsid w:val="0002058D"/>
    <w:rsid w:val="00020709"/>
    <w:rsid w:val="00020999"/>
    <w:rsid w:val="000209FE"/>
    <w:rsid w:val="00020A43"/>
    <w:rsid w:val="00020A7C"/>
    <w:rsid w:val="00020B09"/>
    <w:rsid w:val="00020B39"/>
    <w:rsid w:val="00020CC5"/>
    <w:rsid w:val="00020E4B"/>
    <w:rsid w:val="00020EBB"/>
    <w:rsid w:val="00020F07"/>
    <w:rsid w:val="00020F9E"/>
    <w:rsid w:val="00021006"/>
    <w:rsid w:val="0002102A"/>
    <w:rsid w:val="0002112A"/>
    <w:rsid w:val="0002118D"/>
    <w:rsid w:val="000211E5"/>
    <w:rsid w:val="0002134F"/>
    <w:rsid w:val="0002137E"/>
    <w:rsid w:val="000213FE"/>
    <w:rsid w:val="00021549"/>
    <w:rsid w:val="000215C2"/>
    <w:rsid w:val="00021609"/>
    <w:rsid w:val="000217DB"/>
    <w:rsid w:val="00021860"/>
    <w:rsid w:val="0002199C"/>
    <w:rsid w:val="00021A6B"/>
    <w:rsid w:val="00021AEE"/>
    <w:rsid w:val="00021B2C"/>
    <w:rsid w:val="00021B4F"/>
    <w:rsid w:val="00021C72"/>
    <w:rsid w:val="00021C9F"/>
    <w:rsid w:val="00021E75"/>
    <w:rsid w:val="0002211C"/>
    <w:rsid w:val="00022188"/>
    <w:rsid w:val="000221F2"/>
    <w:rsid w:val="000221F4"/>
    <w:rsid w:val="00022242"/>
    <w:rsid w:val="00022306"/>
    <w:rsid w:val="0002251B"/>
    <w:rsid w:val="0002252D"/>
    <w:rsid w:val="00022587"/>
    <w:rsid w:val="00022623"/>
    <w:rsid w:val="0002271B"/>
    <w:rsid w:val="00022759"/>
    <w:rsid w:val="00022791"/>
    <w:rsid w:val="0002281A"/>
    <w:rsid w:val="0002287F"/>
    <w:rsid w:val="0002291A"/>
    <w:rsid w:val="00022945"/>
    <w:rsid w:val="00022998"/>
    <w:rsid w:val="00022B47"/>
    <w:rsid w:val="00022D1D"/>
    <w:rsid w:val="00022F0A"/>
    <w:rsid w:val="00023051"/>
    <w:rsid w:val="00023078"/>
    <w:rsid w:val="0002315E"/>
    <w:rsid w:val="00023166"/>
    <w:rsid w:val="0002322D"/>
    <w:rsid w:val="000232E7"/>
    <w:rsid w:val="00023337"/>
    <w:rsid w:val="00023427"/>
    <w:rsid w:val="000234E3"/>
    <w:rsid w:val="00023561"/>
    <w:rsid w:val="000235ED"/>
    <w:rsid w:val="000238BC"/>
    <w:rsid w:val="00023A54"/>
    <w:rsid w:val="00023B1B"/>
    <w:rsid w:val="00023B20"/>
    <w:rsid w:val="00023B24"/>
    <w:rsid w:val="00023BC8"/>
    <w:rsid w:val="00023E86"/>
    <w:rsid w:val="00023E98"/>
    <w:rsid w:val="00024102"/>
    <w:rsid w:val="00024276"/>
    <w:rsid w:val="000242A2"/>
    <w:rsid w:val="0002433B"/>
    <w:rsid w:val="000243E4"/>
    <w:rsid w:val="00024420"/>
    <w:rsid w:val="000246D8"/>
    <w:rsid w:val="000246F0"/>
    <w:rsid w:val="00024871"/>
    <w:rsid w:val="00024AA9"/>
    <w:rsid w:val="00024B2B"/>
    <w:rsid w:val="00024C27"/>
    <w:rsid w:val="00024C6C"/>
    <w:rsid w:val="00024C95"/>
    <w:rsid w:val="00024CE2"/>
    <w:rsid w:val="00024DD8"/>
    <w:rsid w:val="00024EAE"/>
    <w:rsid w:val="0002518D"/>
    <w:rsid w:val="000251C4"/>
    <w:rsid w:val="00025239"/>
    <w:rsid w:val="00025306"/>
    <w:rsid w:val="000253E2"/>
    <w:rsid w:val="00025445"/>
    <w:rsid w:val="0002544D"/>
    <w:rsid w:val="0002553A"/>
    <w:rsid w:val="00025687"/>
    <w:rsid w:val="000256DC"/>
    <w:rsid w:val="0002574E"/>
    <w:rsid w:val="0002575C"/>
    <w:rsid w:val="0002580C"/>
    <w:rsid w:val="0002581D"/>
    <w:rsid w:val="00025A23"/>
    <w:rsid w:val="00025B10"/>
    <w:rsid w:val="00025C65"/>
    <w:rsid w:val="00025CB6"/>
    <w:rsid w:val="00025DC0"/>
    <w:rsid w:val="00025EC6"/>
    <w:rsid w:val="00025FA6"/>
    <w:rsid w:val="000260A9"/>
    <w:rsid w:val="000261DE"/>
    <w:rsid w:val="00026288"/>
    <w:rsid w:val="0002648B"/>
    <w:rsid w:val="00026569"/>
    <w:rsid w:val="0002656E"/>
    <w:rsid w:val="0002658C"/>
    <w:rsid w:val="0002663B"/>
    <w:rsid w:val="00026667"/>
    <w:rsid w:val="0002685B"/>
    <w:rsid w:val="0002692E"/>
    <w:rsid w:val="00026947"/>
    <w:rsid w:val="00026B57"/>
    <w:rsid w:val="00026CD4"/>
    <w:rsid w:val="00026DAF"/>
    <w:rsid w:val="00026F74"/>
    <w:rsid w:val="00027213"/>
    <w:rsid w:val="000275B1"/>
    <w:rsid w:val="0002768D"/>
    <w:rsid w:val="000276A3"/>
    <w:rsid w:val="000276DC"/>
    <w:rsid w:val="00027830"/>
    <w:rsid w:val="0002783B"/>
    <w:rsid w:val="00027893"/>
    <w:rsid w:val="0002795A"/>
    <w:rsid w:val="000279D4"/>
    <w:rsid w:val="00027DD3"/>
    <w:rsid w:val="00027EC8"/>
    <w:rsid w:val="00027F6C"/>
    <w:rsid w:val="00030089"/>
    <w:rsid w:val="00030092"/>
    <w:rsid w:val="00030100"/>
    <w:rsid w:val="0003024C"/>
    <w:rsid w:val="000302B8"/>
    <w:rsid w:val="000302F5"/>
    <w:rsid w:val="00030442"/>
    <w:rsid w:val="000305BC"/>
    <w:rsid w:val="000305E9"/>
    <w:rsid w:val="00030648"/>
    <w:rsid w:val="00030684"/>
    <w:rsid w:val="0003070A"/>
    <w:rsid w:val="000307EF"/>
    <w:rsid w:val="000308FA"/>
    <w:rsid w:val="000309E3"/>
    <w:rsid w:val="00030A3A"/>
    <w:rsid w:val="00030BC0"/>
    <w:rsid w:val="00030BE4"/>
    <w:rsid w:val="00030CDB"/>
    <w:rsid w:val="00030D36"/>
    <w:rsid w:val="00030EC6"/>
    <w:rsid w:val="00030F80"/>
    <w:rsid w:val="00030F81"/>
    <w:rsid w:val="00031065"/>
    <w:rsid w:val="00031182"/>
    <w:rsid w:val="0003122A"/>
    <w:rsid w:val="0003125B"/>
    <w:rsid w:val="00031262"/>
    <w:rsid w:val="00031274"/>
    <w:rsid w:val="00031392"/>
    <w:rsid w:val="00031498"/>
    <w:rsid w:val="0003155A"/>
    <w:rsid w:val="000315D3"/>
    <w:rsid w:val="00031614"/>
    <w:rsid w:val="00031617"/>
    <w:rsid w:val="000316B0"/>
    <w:rsid w:val="0003172E"/>
    <w:rsid w:val="00031B02"/>
    <w:rsid w:val="00031BB8"/>
    <w:rsid w:val="00031BD5"/>
    <w:rsid w:val="00031D44"/>
    <w:rsid w:val="00031DAA"/>
    <w:rsid w:val="00031E3A"/>
    <w:rsid w:val="00031EE1"/>
    <w:rsid w:val="00031FAB"/>
    <w:rsid w:val="00032038"/>
    <w:rsid w:val="000320C3"/>
    <w:rsid w:val="000321B9"/>
    <w:rsid w:val="0003221F"/>
    <w:rsid w:val="00032251"/>
    <w:rsid w:val="000322C5"/>
    <w:rsid w:val="00032343"/>
    <w:rsid w:val="0003240D"/>
    <w:rsid w:val="000324B5"/>
    <w:rsid w:val="00032700"/>
    <w:rsid w:val="0003276B"/>
    <w:rsid w:val="00032873"/>
    <w:rsid w:val="00032BD9"/>
    <w:rsid w:val="00032D0B"/>
    <w:rsid w:val="00032ED5"/>
    <w:rsid w:val="00032F42"/>
    <w:rsid w:val="00033032"/>
    <w:rsid w:val="0003303A"/>
    <w:rsid w:val="00033052"/>
    <w:rsid w:val="0003306C"/>
    <w:rsid w:val="000333C9"/>
    <w:rsid w:val="0003343F"/>
    <w:rsid w:val="000334BF"/>
    <w:rsid w:val="000334DB"/>
    <w:rsid w:val="00033744"/>
    <w:rsid w:val="000337C5"/>
    <w:rsid w:val="000337CF"/>
    <w:rsid w:val="00033931"/>
    <w:rsid w:val="000339DD"/>
    <w:rsid w:val="00033AE7"/>
    <w:rsid w:val="00033C22"/>
    <w:rsid w:val="0003401F"/>
    <w:rsid w:val="000340AC"/>
    <w:rsid w:val="000340AF"/>
    <w:rsid w:val="00034196"/>
    <w:rsid w:val="000343A5"/>
    <w:rsid w:val="000343E1"/>
    <w:rsid w:val="0003442C"/>
    <w:rsid w:val="00034493"/>
    <w:rsid w:val="00034565"/>
    <w:rsid w:val="000345E1"/>
    <w:rsid w:val="000348C9"/>
    <w:rsid w:val="00034905"/>
    <w:rsid w:val="00034944"/>
    <w:rsid w:val="000349DF"/>
    <w:rsid w:val="00034A33"/>
    <w:rsid w:val="00034AD1"/>
    <w:rsid w:val="00034B22"/>
    <w:rsid w:val="00034C56"/>
    <w:rsid w:val="00034D23"/>
    <w:rsid w:val="00034DEE"/>
    <w:rsid w:val="00034EBE"/>
    <w:rsid w:val="00034EE9"/>
    <w:rsid w:val="00034F4C"/>
    <w:rsid w:val="00034F92"/>
    <w:rsid w:val="00035095"/>
    <w:rsid w:val="00035099"/>
    <w:rsid w:val="0003513A"/>
    <w:rsid w:val="00035162"/>
    <w:rsid w:val="000352AE"/>
    <w:rsid w:val="000353CC"/>
    <w:rsid w:val="00035530"/>
    <w:rsid w:val="00035600"/>
    <w:rsid w:val="0003561F"/>
    <w:rsid w:val="000356E0"/>
    <w:rsid w:val="00035825"/>
    <w:rsid w:val="00035B2E"/>
    <w:rsid w:val="00035B89"/>
    <w:rsid w:val="00035DB3"/>
    <w:rsid w:val="00035E09"/>
    <w:rsid w:val="00035EB7"/>
    <w:rsid w:val="00036030"/>
    <w:rsid w:val="0003611D"/>
    <w:rsid w:val="00036172"/>
    <w:rsid w:val="000361F6"/>
    <w:rsid w:val="000362FD"/>
    <w:rsid w:val="00036419"/>
    <w:rsid w:val="00036454"/>
    <w:rsid w:val="0003646F"/>
    <w:rsid w:val="0003650A"/>
    <w:rsid w:val="0003674D"/>
    <w:rsid w:val="0003677E"/>
    <w:rsid w:val="00036881"/>
    <w:rsid w:val="00036B64"/>
    <w:rsid w:val="00036B71"/>
    <w:rsid w:val="00036BAF"/>
    <w:rsid w:val="00036C29"/>
    <w:rsid w:val="00036CB0"/>
    <w:rsid w:val="00036EA7"/>
    <w:rsid w:val="00036F63"/>
    <w:rsid w:val="00037025"/>
    <w:rsid w:val="00037166"/>
    <w:rsid w:val="00037187"/>
    <w:rsid w:val="000371C1"/>
    <w:rsid w:val="00037285"/>
    <w:rsid w:val="0003742B"/>
    <w:rsid w:val="0003748A"/>
    <w:rsid w:val="000376A9"/>
    <w:rsid w:val="0003796F"/>
    <w:rsid w:val="00037A82"/>
    <w:rsid w:val="00037B05"/>
    <w:rsid w:val="00037C1F"/>
    <w:rsid w:val="00037CB9"/>
    <w:rsid w:val="00037D8A"/>
    <w:rsid w:val="00037E15"/>
    <w:rsid w:val="00037F3F"/>
    <w:rsid w:val="000401A5"/>
    <w:rsid w:val="00040252"/>
    <w:rsid w:val="00040264"/>
    <w:rsid w:val="000402C3"/>
    <w:rsid w:val="000402FC"/>
    <w:rsid w:val="000404DF"/>
    <w:rsid w:val="00040605"/>
    <w:rsid w:val="0004071C"/>
    <w:rsid w:val="0004075B"/>
    <w:rsid w:val="000407BD"/>
    <w:rsid w:val="00040826"/>
    <w:rsid w:val="00040A5E"/>
    <w:rsid w:val="00040B25"/>
    <w:rsid w:val="00040CAC"/>
    <w:rsid w:val="00040E0F"/>
    <w:rsid w:val="00040E4B"/>
    <w:rsid w:val="00040FC8"/>
    <w:rsid w:val="00041037"/>
    <w:rsid w:val="00041046"/>
    <w:rsid w:val="00041077"/>
    <w:rsid w:val="000410C8"/>
    <w:rsid w:val="00041153"/>
    <w:rsid w:val="0004119D"/>
    <w:rsid w:val="000415F6"/>
    <w:rsid w:val="000418EF"/>
    <w:rsid w:val="00041916"/>
    <w:rsid w:val="00041A54"/>
    <w:rsid w:val="00041D62"/>
    <w:rsid w:val="00041E37"/>
    <w:rsid w:val="00041FDC"/>
    <w:rsid w:val="00042120"/>
    <w:rsid w:val="000423AE"/>
    <w:rsid w:val="0004242B"/>
    <w:rsid w:val="00042434"/>
    <w:rsid w:val="000424D9"/>
    <w:rsid w:val="00042521"/>
    <w:rsid w:val="000426EA"/>
    <w:rsid w:val="0004274D"/>
    <w:rsid w:val="00042BCA"/>
    <w:rsid w:val="00042DF6"/>
    <w:rsid w:val="00042FEC"/>
    <w:rsid w:val="0004308B"/>
    <w:rsid w:val="000430AB"/>
    <w:rsid w:val="00043154"/>
    <w:rsid w:val="00043231"/>
    <w:rsid w:val="00043337"/>
    <w:rsid w:val="00043348"/>
    <w:rsid w:val="000433AF"/>
    <w:rsid w:val="000434D5"/>
    <w:rsid w:val="0004365A"/>
    <w:rsid w:val="000436E4"/>
    <w:rsid w:val="00043771"/>
    <w:rsid w:val="00043780"/>
    <w:rsid w:val="00043792"/>
    <w:rsid w:val="00043906"/>
    <w:rsid w:val="000439E8"/>
    <w:rsid w:val="00043AA8"/>
    <w:rsid w:val="00043ADF"/>
    <w:rsid w:val="00043B1F"/>
    <w:rsid w:val="00043B57"/>
    <w:rsid w:val="00043C92"/>
    <w:rsid w:val="00043E0E"/>
    <w:rsid w:val="00043EBE"/>
    <w:rsid w:val="0004401F"/>
    <w:rsid w:val="000441F4"/>
    <w:rsid w:val="0004421F"/>
    <w:rsid w:val="00044360"/>
    <w:rsid w:val="0004443A"/>
    <w:rsid w:val="0004446E"/>
    <w:rsid w:val="00044483"/>
    <w:rsid w:val="000444B2"/>
    <w:rsid w:val="000444D3"/>
    <w:rsid w:val="000444D8"/>
    <w:rsid w:val="00044602"/>
    <w:rsid w:val="00044610"/>
    <w:rsid w:val="00044669"/>
    <w:rsid w:val="0004483D"/>
    <w:rsid w:val="0004483F"/>
    <w:rsid w:val="00044881"/>
    <w:rsid w:val="00044E51"/>
    <w:rsid w:val="00044F29"/>
    <w:rsid w:val="00045023"/>
    <w:rsid w:val="00045078"/>
    <w:rsid w:val="000450AE"/>
    <w:rsid w:val="000450E0"/>
    <w:rsid w:val="0004530A"/>
    <w:rsid w:val="000454BE"/>
    <w:rsid w:val="0004561B"/>
    <w:rsid w:val="000456A8"/>
    <w:rsid w:val="000456AF"/>
    <w:rsid w:val="000457CF"/>
    <w:rsid w:val="00045808"/>
    <w:rsid w:val="00045889"/>
    <w:rsid w:val="000459C8"/>
    <w:rsid w:val="00045A95"/>
    <w:rsid w:val="00045AF8"/>
    <w:rsid w:val="00045BA5"/>
    <w:rsid w:val="00045BCB"/>
    <w:rsid w:val="00045CB2"/>
    <w:rsid w:val="00045D3C"/>
    <w:rsid w:val="00045EBC"/>
    <w:rsid w:val="00045EE7"/>
    <w:rsid w:val="0004604D"/>
    <w:rsid w:val="000460F4"/>
    <w:rsid w:val="0004618F"/>
    <w:rsid w:val="000461AF"/>
    <w:rsid w:val="00046248"/>
    <w:rsid w:val="00046383"/>
    <w:rsid w:val="000463F4"/>
    <w:rsid w:val="00046564"/>
    <w:rsid w:val="0004668A"/>
    <w:rsid w:val="00046692"/>
    <w:rsid w:val="0004671B"/>
    <w:rsid w:val="00046839"/>
    <w:rsid w:val="0004693A"/>
    <w:rsid w:val="0004698C"/>
    <w:rsid w:val="00046A66"/>
    <w:rsid w:val="00046CB4"/>
    <w:rsid w:val="00046D94"/>
    <w:rsid w:val="00046DCC"/>
    <w:rsid w:val="00046EFC"/>
    <w:rsid w:val="00046FC8"/>
    <w:rsid w:val="000470BE"/>
    <w:rsid w:val="00047155"/>
    <w:rsid w:val="0004716D"/>
    <w:rsid w:val="000471AC"/>
    <w:rsid w:val="000471F5"/>
    <w:rsid w:val="000472DE"/>
    <w:rsid w:val="0004740A"/>
    <w:rsid w:val="0004741D"/>
    <w:rsid w:val="00047435"/>
    <w:rsid w:val="0004767F"/>
    <w:rsid w:val="00047776"/>
    <w:rsid w:val="00047918"/>
    <w:rsid w:val="00047B6B"/>
    <w:rsid w:val="00047CBA"/>
    <w:rsid w:val="00047CE4"/>
    <w:rsid w:val="00047D62"/>
    <w:rsid w:val="00047E12"/>
    <w:rsid w:val="00047F6E"/>
    <w:rsid w:val="00047FB8"/>
    <w:rsid w:val="00050106"/>
    <w:rsid w:val="00050189"/>
    <w:rsid w:val="000501B9"/>
    <w:rsid w:val="0005026F"/>
    <w:rsid w:val="000502C1"/>
    <w:rsid w:val="00050347"/>
    <w:rsid w:val="000504C3"/>
    <w:rsid w:val="00050521"/>
    <w:rsid w:val="000505A9"/>
    <w:rsid w:val="0005060C"/>
    <w:rsid w:val="00050678"/>
    <w:rsid w:val="000507A8"/>
    <w:rsid w:val="000507E4"/>
    <w:rsid w:val="00050860"/>
    <w:rsid w:val="00050899"/>
    <w:rsid w:val="00050972"/>
    <w:rsid w:val="00050A94"/>
    <w:rsid w:val="00050B39"/>
    <w:rsid w:val="00050BBF"/>
    <w:rsid w:val="00050C9C"/>
    <w:rsid w:val="00050D08"/>
    <w:rsid w:val="00050F7F"/>
    <w:rsid w:val="00051045"/>
    <w:rsid w:val="000510B2"/>
    <w:rsid w:val="000511D0"/>
    <w:rsid w:val="0005121A"/>
    <w:rsid w:val="000512D2"/>
    <w:rsid w:val="0005138B"/>
    <w:rsid w:val="00051418"/>
    <w:rsid w:val="00051433"/>
    <w:rsid w:val="0005151A"/>
    <w:rsid w:val="0005165F"/>
    <w:rsid w:val="000516F4"/>
    <w:rsid w:val="00051746"/>
    <w:rsid w:val="000517D3"/>
    <w:rsid w:val="00051814"/>
    <w:rsid w:val="00051855"/>
    <w:rsid w:val="000519B1"/>
    <w:rsid w:val="000519D4"/>
    <w:rsid w:val="00051BE6"/>
    <w:rsid w:val="00051C35"/>
    <w:rsid w:val="00051D11"/>
    <w:rsid w:val="00051D74"/>
    <w:rsid w:val="00051D86"/>
    <w:rsid w:val="00051D88"/>
    <w:rsid w:val="00051D89"/>
    <w:rsid w:val="00051E6C"/>
    <w:rsid w:val="00051EBB"/>
    <w:rsid w:val="00052055"/>
    <w:rsid w:val="000522B7"/>
    <w:rsid w:val="00052563"/>
    <w:rsid w:val="0005292F"/>
    <w:rsid w:val="000529D0"/>
    <w:rsid w:val="00052A3E"/>
    <w:rsid w:val="00052BE9"/>
    <w:rsid w:val="00052C30"/>
    <w:rsid w:val="00052D22"/>
    <w:rsid w:val="00052D42"/>
    <w:rsid w:val="00052EA4"/>
    <w:rsid w:val="00052ED6"/>
    <w:rsid w:val="00052FBF"/>
    <w:rsid w:val="0005302C"/>
    <w:rsid w:val="000532EB"/>
    <w:rsid w:val="00053351"/>
    <w:rsid w:val="0005341A"/>
    <w:rsid w:val="00053468"/>
    <w:rsid w:val="00053717"/>
    <w:rsid w:val="00053938"/>
    <w:rsid w:val="0005393A"/>
    <w:rsid w:val="00053A4C"/>
    <w:rsid w:val="00053B4C"/>
    <w:rsid w:val="00053B98"/>
    <w:rsid w:val="00053C7D"/>
    <w:rsid w:val="00053D1F"/>
    <w:rsid w:val="00053D71"/>
    <w:rsid w:val="00053F7F"/>
    <w:rsid w:val="00053FEE"/>
    <w:rsid w:val="0005408E"/>
    <w:rsid w:val="0005411D"/>
    <w:rsid w:val="00054177"/>
    <w:rsid w:val="00054266"/>
    <w:rsid w:val="00054421"/>
    <w:rsid w:val="0005443D"/>
    <w:rsid w:val="000544BE"/>
    <w:rsid w:val="000544F0"/>
    <w:rsid w:val="000545CD"/>
    <w:rsid w:val="00054637"/>
    <w:rsid w:val="0005463C"/>
    <w:rsid w:val="0005466D"/>
    <w:rsid w:val="000546FD"/>
    <w:rsid w:val="00054839"/>
    <w:rsid w:val="00054ABD"/>
    <w:rsid w:val="00054B9D"/>
    <w:rsid w:val="00054D37"/>
    <w:rsid w:val="00054DC5"/>
    <w:rsid w:val="00054E02"/>
    <w:rsid w:val="00054E23"/>
    <w:rsid w:val="00054E4B"/>
    <w:rsid w:val="00054FD1"/>
    <w:rsid w:val="0005504B"/>
    <w:rsid w:val="000551AD"/>
    <w:rsid w:val="00055204"/>
    <w:rsid w:val="00055210"/>
    <w:rsid w:val="00055286"/>
    <w:rsid w:val="000554B9"/>
    <w:rsid w:val="000556F4"/>
    <w:rsid w:val="0005577B"/>
    <w:rsid w:val="000557AA"/>
    <w:rsid w:val="000557C3"/>
    <w:rsid w:val="000558D5"/>
    <w:rsid w:val="00055990"/>
    <w:rsid w:val="000559F6"/>
    <w:rsid w:val="00055A53"/>
    <w:rsid w:val="00055C01"/>
    <w:rsid w:val="00055D1D"/>
    <w:rsid w:val="00055D71"/>
    <w:rsid w:val="00055DD7"/>
    <w:rsid w:val="00055E5C"/>
    <w:rsid w:val="00055EA6"/>
    <w:rsid w:val="00056006"/>
    <w:rsid w:val="00056020"/>
    <w:rsid w:val="00056144"/>
    <w:rsid w:val="00056147"/>
    <w:rsid w:val="000561F2"/>
    <w:rsid w:val="000564FC"/>
    <w:rsid w:val="00056587"/>
    <w:rsid w:val="00056633"/>
    <w:rsid w:val="000566AF"/>
    <w:rsid w:val="000566E6"/>
    <w:rsid w:val="00056789"/>
    <w:rsid w:val="00056818"/>
    <w:rsid w:val="00056880"/>
    <w:rsid w:val="00056A2E"/>
    <w:rsid w:val="00056A80"/>
    <w:rsid w:val="00056D48"/>
    <w:rsid w:val="00056DB5"/>
    <w:rsid w:val="00056DC1"/>
    <w:rsid w:val="00056E81"/>
    <w:rsid w:val="0005709F"/>
    <w:rsid w:val="0005725D"/>
    <w:rsid w:val="000572DE"/>
    <w:rsid w:val="000572F9"/>
    <w:rsid w:val="00057373"/>
    <w:rsid w:val="0005761E"/>
    <w:rsid w:val="00057646"/>
    <w:rsid w:val="0005778E"/>
    <w:rsid w:val="000577C4"/>
    <w:rsid w:val="000578A4"/>
    <w:rsid w:val="00057B55"/>
    <w:rsid w:val="00057BCC"/>
    <w:rsid w:val="00057BF2"/>
    <w:rsid w:val="00057DA8"/>
    <w:rsid w:val="00057E16"/>
    <w:rsid w:val="00057F82"/>
    <w:rsid w:val="00057F8F"/>
    <w:rsid w:val="0006019F"/>
    <w:rsid w:val="0006020C"/>
    <w:rsid w:val="00060294"/>
    <w:rsid w:val="000602BD"/>
    <w:rsid w:val="000604DB"/>
    <w:rsid w:val="00060571"/>
    <w:rsid w:val="000605D3"/>
    <w:rsid w:val="00060604"/>
    <w:rsid w:val="0006075C"/>
    <w:rsid w:val="000607A8"/>
    <w:rsid w:val="00060970"/>
    <w:rsid w:val="000609BB"/>
    <w:rsid w:val="00060A1F"/>
    <w:rsid w:val="00060A2D"/>
    <w:rsid w:val="00060A62"/>
    <w:rsid w:val="00060B2D"/>
    <w:rsid w:val="00060D70"/>
    <w:rsid w:val="00060F4A"/>
    <w:rsid w:val="00060F7A"/>
    <w:rsid w:val="00060F86"/>
    <w:rsid w:val="00060FCD"/>
    <w:rsid w:val="0006114B"/>
    <w:rsid w:val="00061206"/>
    <w:rsid w:val="00061222"/>
    <w:rsid w:val="000612F3"/>
    <w:rsid w:val="00061328"/>
    <w:rsid w:val="000613BB"/>
    <w:rsid w:val="0006146B"/>
    <w:rsid w:val="0006146D"/>
    <w:rsid w:val="00061528"/>
    <w:rsid w:val="0006160B"/>
    <w:rsid w:val="000618EB"/>
    <w:rsid w:val="00061A80"/>
    <w:rsid w:val="00061AD8"/>
    <w:rsid w:val="00061B79"/>
    <w:rsid w:val="00061C08"/>
    <w:rsid w:val="00061C6B"/>
    <w:rsid w:val="00061D9A"/>
    <w:rsid w:val="00061E05"/>
    <w:rsid w:val="00061FA3"/>
    <w:rsid w:val="00062017"/>
    <w:rsid w:val="000620A9"/>
    <w:rsid w:val="0006210B"/>
    <w:rsid w:val="0006218E"/>
    <w:rsid w:val="00062197"/>
    <w:rsid w:val="000624E2"/>
    <w:rsid w:val="000625EF"/>
    <w:rsid w:val="00062947"/>
    <w:rsid w:val="000629A5"/>
    <w:rsid w:val="000629C9"/>
    <w:rsid w:val="00062A16"/>
    <w:rsid w:val="00062AB6"/>
    <w:rsid w:val="00062B2D"/>
    <w:rsid w:val="00062B9F"/>
    <w:rsid w:val="00062CAA"/>
    <w:rsid w:val="00062CEC"/>
    <w:rsid w:val="00062DEE"/>
    <w:rsid w:val="00062E74"/>
    <w:rsid w:val="000630FD"/>
    <w:rsid w:val="00063200"/>
    <w:rsid w:val="00063392"/>
    <w:rsid w:val="000633C6"/>
    <w:rsid w:val="00063456"/>
    <w:rsid w:val="0006349E"/>
    <w:rsid w:val="00063542"/>
    <w:rsid w:val="00063629"/>
    <w:rsid w:val="00063939"/>
    <w:rsid w:val="0006399B"/>
    <w:rsid w:val="000639A7"/>
    <w:rsid w:val="000639E2"/>
    <w:rsid w:val="00063ABD"/>
    <w:rsid w:val="00063AD9"/>
    <w:rsid w:val="00063BE3"/>
    <w:rsid w:val="00063C34"/>
    <w:rsid w:val="00063CB4"/>
    <w:rsid w:val="00063ED5"/>
    <w:rsid w:val="00063F68"/>
    <w:rsid w:val="00064055"/>
    <w:rsid w:val="000641BF"/>
    <w:rsid w:val="000641E4"/>
    <w:rsid w:val="00064227"/>
    <w:rsid w:val="00064244"/>
    <w:rsid w:val="0006436A"/>
    <w:rsid w:val="000643F1"/>
    <w:rsid w:val="00064443"/>
    <w:rsid w:val="000644AD"/>
    <w:rsid w:val="000644F9"/>
    <w:rsid w:val="00064500"/>
    <w:rsid w:val="0006459C"/>
    <w:rsid w:val="00064677"/>
    <w:rsid w:val="000646BE"/>
    <w:rsid w:val="00064879"/>
    <w:rsid w:val="00064A5C"/>
    <w:rsid w:val="00064B3E"/>
    <w:rsid w:val="00064BE2"/>
    <w:rsid w:val="00064C12"/>
    <w:rsid w:val="00064C5A"/>
    <w:rsid w:val="00064C60"/>
    <w:rsid w:val="00064E19"/>
    <w:rsid w:val="00064E50"/>
    <w:rsid w:val="00064E9B"/>
    <w:rsid w:val="00064F9D"/>
    <w:rsid w:val="000650C7"/>
    <w:rsid w:val="00065159"/>
    <w:rsid w:val="0006520A"/>
    <w:rsid w:val="00065255"/>
    <w:rsid w:val="000652C4"/>
    <w:rsid w:val="00065357"/>
    <w:rsid w:val="00065361"/>
    <w:rsid w:val="0006540A"/>
    <w:rsid w:val="00065547"/>
    <w:rsid w:val="0006577F"/>
    <w:rsid w:val="000657C1"/>
    <w:rsid w:val="00065913"/>
    <w:rsid w:val="00065D3C"/>
    <w:rsid w:val="00065E26"/>
    <w:rsid w:val="00065E59"/>
    <w:rsid w:val="00065E6D"/>
    <w:rsid w:val="00065F5F"/>
    <w:rsid w:val="0006605C"/>
    <w:rsid w:val="000661D8"/>
    <w:rsid w:val="00066274"/>
    <w:rsid w:val="00066296"/>
    <w:rsid w:val="00066339"/>
    <w:rsid w:val="00066577"/>
    <w:rsid w:val="000665EB"/>
    <w:rsid w:val="00066612"/>
    <w:rsid w:val="000666FB"/>
    <w:rsid w:val="0006676F"/>
    <w:rsid w:val="00066773"/>
    <w:rsid w:val="00066A6D"/>
    <w:rsid w:val="00066A9C"/>
    <w:rsid w:val="00066B02"/>
    <w:rsid w:val="00066BB2"/>
    <w:rsid w:val="00066BF0"/>
    <w:rsid w:val="00066C6F"/>
    <w:rsid w:val="00066CFC"/>
    <w:rsid w:val="00066D21"/>
    <w:rsid w:val="00066D55"/>
    <w:rsid w:val="00066D74"/>
    <w:rsid w:val="00066E48"/>
    <w:rsid w:val="00066ECA"/>
    <w:rsid w:val="00066FCC"/>
    <w:rsid w:val="000671DA"/>
    <w:rsid w:val="000672ED"/>
    <w:rsid w:val="00067424"/>
    <w:rsid w:val="000675D1"/>
    <w:rsid w:val="0006764E"/>
    <w:rsid w:val="00067693"/>
    <w:rsid w:val="00067754"/>
    <w:rsid w:val="00067775"/>
    <w:rsid w:val="00067993"/>
    <w:rsid w:val="00067B28"/>
    <w:rsid w:val="00067C12"/>
    <w:rsid w:val="00067C71"/>
    <w:rsid w:val="00067CD5"/>
    <w:rsid w:val="00067D81"/>
    <w:rsid w:val="00067EA1"/>
    <w:rsid w:val="00067F4B"/>
    <w:rsid w:val="00067FAF"/>
    <w:rsid w:val="00067FC7"/>
    <w:rsid w:val="0007004A"/>
    <w:rsid w:val="000700D7"/>
    <w:rsid w:val="000701F8"/>
    <w:rsid w:val="00070807"/>
    <w:rsid w:val="00070824"/>
    <w:rsid w:val="000708A8"/>
    <w:rsid w:val="00070900"/>
    <w:rsid w:val="000709E6"/>
    <w:rsid w:val="00070A44"/>
    <w:rsid w:val="00070B12"/>
    <w:rsid w:val="00070B40"/>
    <w:rsid w:val="00070C94"/>
    <w:rsid w:val="00070CF9"/>
    <w:rsid w:val="00070D34"/>
    <w:rsid w:val="00070DB1"/>
    <w:rsid w:val="00070DCA"/>
    <w:rsid w:val="00070E59"/>
    <w:rsid w:val="00070E5C"/>
    <w:rsid w:val="00070EBD"/>
    <w:rsid w:val="00070F08"/>
    <w:rsid w:val="00070F5B"/>
    <w:rsid w:val="00070F78"/>
    <w:rsid w:val="0007105D"/>
    <w:rsid w:val="000710D6"/>
    <w:rsid w:val="000711D2"/>
    <w:rsid w:val="000711FD"/>
    <w:rsid w:val="0007120E"/>
    <w:rsid w:val="0007127E"/>
    <w:rsid w:val="00071488"/>
    <w:rsid w:val="00071561"/>
    <w:rsid w:val="000715BB"/>
    <w:rsid w:val="00071881"/>
    <w:rsid w:val="00071A6C"/>
    <w:rsid w:val="00071DE1"/>
    <w:rsid w:val="00071ECB"/>
    <w:rsid w:val="00071F4A"/>
    <w:rsid w:val="00071F5A"/>
    <w:rsid w:val="00071F9E"/>
    <w:rsid w:val="00071FCD"/>
    <w:rsid w:val="000720C3"/>
    <w:rsid w:val="000721D6"/>
    <w:rsid w:val="000721E5"/>
    <w:rsid w:val="00072231"/>
    <w:rsid w:val="000722FC"/>
    <w:rsid w:val="0007238F"/>
    <w:rsid w:val="00072420"/>
    <w:rsid w:val="00072494"/>
    <w:rsid w:val="00072512"/>
    <w:rsid w:val="00072617"/>
    <w:rsid w:val="00072887"/>
    <w:rsid w:val="000728B3"/>
    <w:rsid w:val="0007298A"/>
    <w:rsid w:val="00072A23"/>
    <w:rsid w:val="00072C3C"/>
    <w:rsid w:val="00072E62"/>
    <w:rsid w:val="00072F9C"/>
    <w:rsid w:val="00072FCE"/>
    <w:rsid w:val="00073027"/>
    <w:rsid w:val="0007332B"/>
    <w:rsid w:val="00073397"/>
    <w:rsid w:val="000733C3"/>
    <w:rsid w:val="00073446"/>
    <w:rsid w:val="000734B5"/>
    <w:rsid w:val="000734D5"/>
    <w:rsid w:val="000734ED"/>
    <w:rsid w:val="00073521"/>
    <w:rsid w:val="0007361D"/>
    <w:rsid w:val="0007366B"/>
    <w:rsid w:val="000736DF"/>
    <w:rsid w:val="00073711"/>
    <w:rsid w:val="0007380A"/>
    <w:rsid w:val="00073812"/>
    <w:rsid w:val="0007391B"/>
    <w:rsid w:val="00073A14"/>
    <w:rsid w:val="00073A96"/>
    <w:rsid w:val="00073B75"/>
    <w:rsid w:val="00073C84"/>
    <w:rsid w:val="00073CDB"/>
    <w:rsid w:val="00073E51"/>
    <w:rsid w:val="00073F91"/>
    <w:rsid w:val="0007404C"/>
    <w:rsid w:val="000740BD"/>
    <w:rsid w:val="00074133"/>
    <w:rsid w:val="00074264"/>
    <w:rsid w:val="0007428F"/>
    <w:rsid w:val="000742AF"/>
    <w:rsid w:val="000743E1"/>
    <w:rsid w:val="000743FB"/>
    <w:rsid w:val="00074482"/>
    <w:rsid w:val="000744E7"/>
    <w:rsid w:val="000747B9"/>
    <w:rsid w:val="000747E3"/>
    <w:rsid w:val="00074868"/>
    <w:rsid w:val="0007491D"/>
    <w:rsid w:val="0007498F"/>
    <w:rsid w:val="000749F4"/>
    <w:rsid w:val="00074AF3"/>
    <w:rsid w:val="00074C28"/>
    <w:rsid w:val="00074E94"/>
    <w:rsid w:val="00074E9E"/>
    <w:rsid w:val="0007526F"/>
    <w:rsid w:val="00075319"/>
    <w:rsid w:val="00075379"/>
    <w:rsid w:val="000753C1"/>
    <w:rsid w:val="000753F9"/>
    <w:rsid w:val="0007550E"/>
    <w:rsid w:val="00075603"/>
    <w:rsid w:val="00075695"/>
    <w:rsid w:val="0007594B"/>
    <w:rsid w:val="000759B3"/>
    <w:rsid w:val="00075A11"/>
    <w:rsid w:val="00075AD7"/>
    <w:rsid w:val="00075B3E"/>
    <w:rsid w:val="00075BF0"/>
    <w:rsid w:val="00075D73"/>
    <w:rsid w:val="00075EF0"/>
    <w:rsid w:val="00075EF2"/>
    <w:rsid w:val="00075F57"/>
    <w:rsid w:val="00075FFB"/>
    <w:rsid w:val="00076204"/>
    <w:rsid w:val="00076287"/>
    <w:rsid w:val="000762D4"/>
    <w:rsid w:val="000762F7"/>
    <w:rsid w:val="0007637D"/>
    <w:rsid w:val="00076455"/>
    <w:rsid w:val="000764E7"/>
    <w:rsid w:val="0007655C"/>
    <w:rsid w:val="00076574"/>
    <w:rsid w:val="000766A4"/>
    <w:rsid w:val="00076797"/>
    <w:rsid w:val="000767A9"/>
    <w:rsid w:val="00076991"/>
    <w:rsid w:val="00076B4A"/>
    <w:rsid w:val="00076B50"/>
    <w:rsid w:val="00076B68"/>
    <w:rsid w:val="00076B8A"/>
    <w:rsid w:val="00076BEE"/>
    <w:rsid w:val="00076C86"/>
    <w:rsid w:val="00076D3E"/>
    <w:rsid w:val="00076E11"/>
    <w:rsid w:val="00076E79"/>
    <w:rsid w:val="00077061"/>
    <w:rsid w:val="00077131"/>
    <w:rsid w:val="000772F1"/>
    <w:rsid w:val="00077392"/>
    <w:rsid w:val="000773FF"/>
    <w:rsid w:val="000775DE"/>
    <w:rsid w:val="000775F2"/>
    <w:rsid w:val="00077865"/>
    <w:rsid w:val="0007793A"/>
    <w:rsid w:val="00077E47"/>
    <w:rsid w:val="00077EB8"/>
    <w:rsid w:val="0008006F"/>
    <w:rsid w:val="00080134"/>
    <w:rsid w:val="00080289"/>
    <w:rsid w:val="0008032A"/>
    <w:rsid w:val="000803D1"/>
    <w:rsid w:val="00080427"/>
    <w:rsid w:val="00080486"/>
    <w:rsid w:val="000804A6"/>
    <w:rsid w:val="000805C9"/>
    <w:rsid w:val="0008069B"/>
    <w:rsid w:val="00080707"/>
    <w:rsid w:val="00080793"/>
    <w:rsid w:val="00080A1F"/>
    <w:rsid w:val="00080B01"/>
    <w:rsid w:val="00080B42"/>
    <w:rsid w:val="00080BDC"/>
    <w:rsid w:val="00080CD3"/>
    <w:rsid w:val="000810DF"/>
    <w:rsid w:val="000811A8"/>
    <w:rsid w:val="0008124E"/>
    <w:rsid w:val="000812DB"/>
    <w:rsid w:val="00081532"/>
    <w:rsid w:val="000815B7"/>
    <w:rsid w:val="0008165B"/>
    <w:rsid w:val="0008170C"/>
    <w:rsid w:val="00081835"/>
    <w:rsid w:val="0008197A"/>
    <w:rsid w:val="00081BA5"/>
    <w:rsid w:val="00081BBB"/>
    <w:rsid w:val="00081CE9"/>
    <w:rsid w:val="00081E38"/>
    <w:rsid w:val="00082003"/>
    <w:rsid w:val="000820E9"/>
    <w:rsid w:val="000820F1"/>
    <w:rsid w:val="0008215C"/>
    <w:rsid w:val="00082208"/>
    <w:rsid w:val="0008222A"/>
    <w:rsid w:val="000822A8"/>
    <w:rsid w:val="000823A1"/>
    <w:rsid w:val="00082473"/>
    <w:rsid w:val="00082793"/>
    <w:rsid w:val="0008280E"/>
    <w:rsid w:val="00082866"/>
    <w:rsid w:val="00082A5C"/>
    <w:rsid w:val="00082B1E"/>
    <w:rsid w:val="00082C5C"/>
    <w:rsid w:val="00082CD5"/>
    <w:rsid w:val="00082F43"/>
    <w:rsid w:val="00083027"/>
    <w:rsid w:val="0008322E"/>
    <w:rsid w:val="0008322F"/>
    <w:rsid w:val="00083629"/>
    <w:rsid w:val="00083680"/>
    <w:rsid w:val="0008374A"/>
    <w:rsid w:val="0008377F"/>
    <w:rsid w:val="000837F6"/>
    <w:rsid w:val="00083928"/>
    <w:rsid w:val="00083A65"/>
    <w:rsid w:val="00083AD9"/>
    <w:rsid w:val="00083ADF"/>
    <w:rsid w:val="00083B4B"/>
    <w:rsid w:val="00083B55"/>
    <w:rsid w:val="00083BD0"/>
    <w:rsid w:val="00083D41"/>
    <w:rsid w:val="00083EE8"/>
    <w:rsid w:val="00083F4E"/>
    <w:rsid w:val="00083F61"/>
    <w:rsid w:val="00083F8F"/>
    <w:rsid w:val="00084108"/>
    <w:rsid w:val="00084202"/>
    <w:rsid w:val="00084222"/>
    <w:rsid w:val="0008432B"/>
    <w:rsid w:val="00084487"/>
    <w:rsid w:val="000844BD"/>
    <w:rsid w:val="00084555"/>
    <w:rsid w:val="00084607"/>
    <w:rsid w:val="00084617"/>
    <w:rsid w:val="0008481C"/>
    <w:rsid w:val="0008482E"/>
    <w:rsid w:val="00084858"/>
    <w:rsid w:val="000848E0"/>
    <w:rsid w:val="00084A0B"/>
    <w:rsid w:val="00084B50"/>
    <w:rsid w:val="00084BF3"/>
    <w:rsid w:val="00084ECD"/>
    <w:rsid w:val="00084F26"/>
    <w:rsid w:val="00084F66"/>
    <w:rsid w:val="00085062"/>
    <w:rsid w:val="0008527F"/>
    <w:rsid w:val="0008536D"/>
    <w:rsid w:val="00085393"/>
    <w:rsid w:val="000853B5"/>
    <w:rsid w:val="000854CB"/>
    <w:rsid w:val="00085589"/>
    <w:rsid w:val="00085632"/>
    <w:rsid w:val="00085A14"/>
    <w:rsid w:val="00085B4F"/>
    <w:rsid w:val="00085CED"/>
    <w:rsid w:val="00085D77"/>
    <w:rsid w:val="00085DD4"/>
    <w:rsid w:val="00085ED2"/>
    <w:rsid w:val="0008611B"/>
    <w:rsid w:val="0008615A"/>
    <w:rsid w:val="00086243"/>
    <w:rsid w:val="0008646F"/>
    <w:rsid w:val="000865AC"/>
    <w:rsid w:val="000865FF"/>
    <w:rsid w:val="00086778"/>
    <w:rsid w:val="00086935"/>
    <w:rsid w:val="0008696F"/>
    <w:rsid w:val="0008697E"/>
    <w:rsid w:val="000869E3"/>
    <w:rsid w:val="00086ABA"/>
    <w:rsid w:val="00086ACA"/>
    <w:rsid w:val="00086C8D"/>
    <w:rsid w:val="00086CC1"/>
    <w:rsid w:val="00086DDC"/>
    <w:rsid w:val="00086E12"/>
    <w:rsid w:val="00086E2F"/>
    <w:rsid w:val="00087036"/>
    <w:rsid w:val="00087060"/>
    <w:rsid w:val="00087063"/>
    <w:rsid w:val="00087168"/>
    <w:rsid w:val="000872AF"/>
    <w:rsid w:val="000874AC"/>
    <w:rsid w:val="00087784"/>
    <w:rsid w:val="0008781D"/>
    <w:rsid w:val="0008783D"/>
    <w:rsid w:val="0008797E"/>
    <w:rsid w:val="000879E6"/>
    <w:rsid w:val="00087C0B"/>
    <w:rsid w:val="00087C13"/>
    <w:rsid w:val="00087C29"/>
    <w:rsid w:val="00087C30"/>
    <w:rsid w:val="00087C3D"/>
    <w:rsid w:val="00087D1D"/>
    <w:rsid w:val="00087D8C"/>
    <w:rsid w:val="00087FAF"/>
    <w:rsid w:val="0009012E"/>
    <w:rsid w:val="00090249"/>
    <w:rsid w:val="0009025E"/>
    <w:rsid w:val="00090339"/>
    <w:rsid w:val="00090348"/>
    <w:rsid w:val="000904AC"/>
    <w:rsid w:val="000904F1"/>
    <w:rsid w:val="000905B5"/>
    <w:rsid w:val="0009069C"/>
    <w:rsid w:val="000906AA"/>
    <w:rsid w:val="00090749"/>
    <w:rsid w:val="000909B0"/>
    <w:rsid w:val="00090ACB"/>
    <w:rsid w:val="00090C6D"/>
    <w:rsid w:val="00090CCD"/>
    <w:rsid w:val="00090CF1"/>
    <w:rsid w:val="00090CFA"/>
    <w:rsid w:val="00090D5A"/>
    <w:rsid w:val="00090D73"/>
    <w:rsid w:val="00090DA1"/>
    <w:rsid w:val="00090E40"/>
    <w:rsid w:val="00091082"/>
    <w:rsid w:val="000910D1"/>
    <w:rsid w:val="000910F8"/>
    <w:rsid w:val="000911DC"/>
    <w:rsid w:val="0009125D"/>
    <w:rsid w:val="00091309"/>
    <w:rsid w:val="00091331"/>
    <w:rsid w:val="0009133E"/>
    <w:rsid w:val="0009138E"/>
    <w:rsid w:val="000913BB"/>
    <w:rsid w:val="000913ED"/>
    <w:rsid w:val="000913FC"/>
    <w:rsid w:val="000913FE"/>
    <w:rsid w:val="000914C8"/>
    <w:rsid w:val="000914E1"/>
    <w:rsid w:val="000916CA"/>
    <w:rsid w:val="000919CF"/>
    <w:rsid w:val="00091A1F"/>
    <w:rsid w:val="00091A69"/>
    <w:rsid w:val="00091B32"/>
    <w:rsid w:val="00091C3E"/>
    <w:rsid w:val="00091DF6"/>
    <w:rsid w:val="000920BD"/>
    <w:rsid w:val="0009216A"/>
    <w:rsid w:val="000921C4"/>
    <w:rsid w:val="000922E2"/>
    <w:rsid w:val="0009232F"/>
    <w:rsid w:val="0009256C"/>
    <w:rsid w:val="0009283C"/>
    <w:rsid w:val="00092900"/>
    <w:rsid w:val="00092960"/>
    <w:rsid w:val="00092D1C"/>
    <w:rsid w:val="00092E0B"/>
    <w:rsid w:val="00092E1D"/>
    <w:rsid w:val="000930AC"/>
    <w:rsid w:val="000932FE"/>
    <w:rsid w:val="00093365"/>
    <w:rsid w:val="00093450"/>
    <w:rsid w:val="00093594"/>
    <w:rsid w:val="000935DF"/>
    <w:rsid w:val="000937BC"/>
    <w:rsid w:val="000937CB"/>
    <w:rsid w:val="0009380D"/>
    <w:rsid w:val="00093832"/>
    <w:rsid w:val="0009386F"/>
    <w:rsid w:val="00093BC6"/>
    <w:rsid w:val="00093D2D"/>
    <w:rsid w:val="00093D51"/>
    <w:rsid w:val="00093D8D"/>
    <w:rsid w:val="00093EA2"/>
    <w:rsid w:val="00093EA8"/>
    <w:rsid w:val="00093EFF"/>
    <w:rsid w:val="00093FA8"/>
    <w:rsid w:val="0009411B"/>
    <w:rsid w:val="000941F8"/>
    <w:rsid w:val="00094244"/>
    <w:rsid w:val="000946FE"/>
    <w:rsid w:val="0009472D"/>
    <w:rsid w:val="000948BC"/>
    <w:rsid w:val="00094915"/>
    <w:rsid w:val="0009497B"/>
    <w:rsid w:val="000949AD"/>
    <w:rsid w:val="000949E0"/>
    <w:rsid w:val="00094A0F"/>
    <w:rsid w:val="00094A24"/>
    <w:rsid w:val="00094A3F"/>
    <w:rsid w:val="00094A68"/>
    <w:rsid w:val="00094B28"/>
    <w:rsid w:val="00094C4A"/>
    <w:rsid w:val="00094CF9"/>
    <w:rsid w:val="00094D75"/>
    <w:rsid w:val="00094D7F"/>
    <w:rsid w:val="00094DCB"/>
    <w:rsid w:val="00094DEF"/>
    <w:rsid w:val="00094ED7"/>
    <w:rsid w:val="00094EE0"/>
    <w:rsid w:val="0009516E"/>
    <w:rsid w:val="00095207"/>
    <w:rsid w:val="000952A3"/>
    <w:rsid w:val="000952BC"/>
    <w:rsid w:val="000953BD"/>
    <w:rsid w:val="000953EC"/>
    <w:rsid w:val="0009547C"/>
    <w:rsid w:val="000954F2"/>
    <w:rsid w:val="0009579B"/>
    <w:rsid w:val="000959A2"/>
    <w:rsid w:val="00095A87"/>
    <w:rsid w:val="00095B01"/>
    <w:rsid w:val="00095B32"/>
    <w:rsid w:val="00095B35"/>
    <w:rsid w:val="00095BC2"/>
    <w:rsid w:val="00095C7C"/>
    <w:rsid w:val="00095D87"/>
    <w:rsid w:val="00095D88"/>
    <w:rsid w:val="00095D92"/>
    <w:rsid w:val="00095F62"/>
    <w:rsid w:val="00095F66"/>
    <w:rsid w:val="00095F7E"/>
    <w:rsid w:val="0009606C"/>
    <w:rsid w:val="00096173"/>
    <w:rsid w:val="000962A0"/>
    <w:rsid w:val="000962CE"/>
    <w:rsid w:val="000963A2"/>
    <w:rsid w:val="00096493"/>
    <w:rsid w:val="000964E1"/>
    <w:rsid w:val="00096801"/>
    <w:rsid w:val="00096812"/>
    <w:rsid w:val="00096968"/>
    <w:rsid w:val="00096A00"/>
    <w:rsid w:val="00096A10"/>
    <w:rsid w:val="00096A30"/>
    <w:rsid w:val="00096A7C"/>
    <w:rsid w:val="00096AAB"/>
    <w:rsid w:val="00096DC5"/>
    <w:rsid w:val="00096E8D"/>
    <w:rsid w:val="00096F41"/>
    <w:rsid w:val="00096F52"/>
    <w:rsid w:val="00097103"/>
    <w:rsid w:val="00097180"/>
    <w:rsid w:val="000972B0"/>
    <w:rsid w:val="000972D3"/>
    <w:rsid w:val="000973C4"/>
    <w:rsid w:val="0009761F"/>
    <w:rsid w:val="00097648"/>
    <w:rsid w:val="00097889"/>
    <w:rsid w:val="00097A35"/>
    <w:rsid w:val="00097ADF"/>
    <w:rsid w:val="00097DF2"/>
    <w:rsid w:val="00097ECD"/>
    <w:rsid w:val="00097FEB"/>
    <w:rsid w:val="000A0048"/>
    <w:rsid w:val="000A0085"/>
    <w:rsid w:val="000A0093"/>
    <w:rsid w:val="000A036F"/>
    <w:rsid w:val="000A0392"/>
    <w:rsid w:val="000A0422"/>
    <w:rsid w:val="000A04AB"/>
    <w:rsid w:val="000A05E3"/>
    <w:rsid w:val="000A0735"/>
    <w:rsid w:val="000A0771"/>
    <w:rsid w:val="000A0791"/>
    <w:rsid w:val="000A07E1"/>
    <w:rsid w:val="000A0915"/>
    <w:rsid w:val="000A0945"/>
    <w:rsid w:val="000A0C0A"/>
    <w:rsid w:val="000A0E39"/>
    <w:rsid w:val="000A0E5D"/>
    <w:rsid w:val="000A0E8D"/>
    <w:rsid w:val="000A0EBA"/>
    <w:rsid w:val="000A0FF2"/>
    <w:rsid w:val="000A1049"/>
    <w:rsid w:val="000A1050"/>
    <w:rsid w:val="000A10B7"/>
    <w:rsid w:val="000A10C9"/>
    <w:rsid w:val="000A10D3"/>
    <w:rsid w:val="000A10E6"/>
    <w:rsid w:val="000A110A"/>
    <w:rsid w:val="000A11E1"/>
    <w:rsid w:val="000A1201"/>
    <w:rsid w:val="000A1329"/>
    <w:rsid w:val="000A1416"/>
    <w:rsid w:val="000A1496"/>
    <w:rsid w:val="000A1505"/>
    <w:rsid w:val="000A18CF"/>
    <w:rsid w:val="000A194D"/>
    <w:rsid w:val="000A1A6E"/>
    <w:rsid w:val="000A1B68"/>
    <w:rsid w:val="000A1C24"/>
    <w:rsid w:val="000A1DBB"/>
    <w:rsid w:val="000A1E28"/>
    <w:rsid w:val="000A1E77"/>
    <w:rsid w:val="000A1F35"/>
    <w:rsid w:val="000A1F8B"/>
    <w:rsid w:val="000A211D"/>
    <w:rsid w:val="000A2196"/>
    <w:rsid w:val="000A2356"/>
    <w:rsid w:val="000A2436"/>
    <w:rsid w:val="000A24FF"/>
    <w:rsid w:val="000A2547"/>
    <w:rsid w:val="000A25D3"/>
    <w:rsid w:val="000A277D"/>
    <w:rsid w:val="000A27FE"/>
    <w:rsid w:val="000A2992"/>
    <w:rsid w:val="000A29F8"/>
    <w:rsid w:val="000A2CAE"/>
    <w:rsid w:val="000A2DF2"/>
    <w:rsid w:val="000A2DF8"/>
    <w:rsid w:val="000A2E34"/>
    <w:rsid w:val="000A2FE9"/>
    <w:rsid w:val="000A306D"/>
    <w:rsid w:val="000A30E2"/>
    <w:rsid w:val="000A31DB"/>
    <w:rsid w:val="000A3296"/>
    <w:rsid w:val="000A3329"/>
    <w:rsid w:val="000A33AF"/>
    <w:rsid w:val="000A34BB"/>
    <w:rsid w:val="000A3655"/>
    <w:rsid w:val="000A3715"/>
    <w:rsid w:val="000A37BC"/>
    <w:rsid w:val="000A38F4"/>
    <w:rsid w:val="000A39D6"/>
    <w:rsid w:val="000A3ACC"/>
    <w:rsid w:val="000A3C04"/>
    <w:rsid w:val="000A3DA3"/>
    <w:rsid w:val="000A3DBD"/>
    <w:rsid w:val="000A3E1F"/>
    <w:rsid w:val="000A3EAF"/>
    <w:rsid w:val="000A3F14"/>
    <w:rsid w:val="000A3F5A"/>
    <w:rsid w:val="000A3F78"/>
    <w:rsid w:val="000A4073"/>
    <w:rsid w:val="000A40D6"/>
    <w:rsid w:val="000A420C"/>
    <w:rsid w:val="000A447D"/>
    <w:rsid w:val="000A4576"/>
    <w:rsid w:val="000A4630"/>
    <w:rsid w:val="000A470D"/>
    <w:rsid w:val="000A4714"/>
    <w:rsid w:val="000A47DC"/>
    <w:rsid w:val="000A48EC"/>
    <w:rsid w:val="000A4B23"/>
    <w:rsid w:val="000A4B70"/>
    <w:rsid w:val="000A4BC1"/>
    <w:rsid w:val="000A4C04"/>
    <w:rsid w:val="000A4E42"/>
    <w:rsid w:val="000A5180"/>
    <w:rsid w:val="000A5202"/>
    <w:rsid w:val="000A5213"/>
    <w:rsid w:val="000A5258"/>
    <w:rsid w:val="000A52A4"/>
    <w:rsid w:val="000A5350"/>
    <w:rsid w:val="000A54A7"/>
    <w:rsid w:val="000A54F9"/>
    <w:rsid w:val="000A556F"/>
    <w:rsid w:val="000A55D0"/>
    <w:rsid w:val="000A5644"/>
    <w:rsid w:val="000A56F6"/>
    <w:rsid w:val="000A5885"/>
    <w:rsid w:val="000A5957"/>
    <w:rsid w:val="000A59C2"/>
    <w:rsid w:val="000A59F9"/>
    <w:rsid w:val="000A5BD6"/>
    <w:rsid w:val="000A5C0C"/>
    <w:rsid w:val="000A5C93"/>
    <w:rsid w:val="000A5CA0"/>
    <w:rsid w:val="000A5CA4"/>
    <w:rsid w:val="000A5CAB"/>
    <w:rsid w:val="000A5D82"/>
    <w:rsid w:val="000A5E30"/>
    <w:rsid w:val="000A5FB7"/>
    <w:rsid w:val="000A5FB9"/>
    <w:rsid w:val="000A5FFC"/>
    <w:rsid w:val="000A60F5"/>
    <w:rsid w:val="000A61E9"/>
    <w:rsid w:val="000A6204"/>
    <w:rsid w:val="000A620F"/>
    <w:rsid w:val="000A6289"/>
    <w:rsid w:val="000A62E1"/>
    <w:rsid w:val="000A6432"/>
    <w:rsid w:val="000A6562"/>
    <w:rsid w:val="000A6568"/>
    <w:rsid w:val="000A6647"/>
    <w:rsid w:val="000A67BE"/>
    <w:rsid w:val="000A6984"/>
    <w:rsid w:val="000A6A3E"/>
    <w:rsid w:val="000A6B66"/>
    <w:rsid w:val="000A6B72"/>
    <w:rsid w:val="000A6B80"/>
    <w:rsid w:val="000A6D26"/>
    <w:rsid w:val="000A6DBB"/>
    <w:rsid w:val="000A6DDD"/>
    <w:rsid w:val="000A6F0D"/>
    <w:rsid w:val="000A7116"/>
    <w:rsid w:val="000A715C"/>
    <w:rsid w:val="000A7183"/>
    <w:rsid w:val="000A75D6"/>
    <w:rsid w:val="000A767A"/>
    <w:rsid w:val="000A76B9"/>
    <w:rsid w:val="000A77D4"/>
    <w:rsid w:val="000A799E"/>
    <w:rsid w:val="000A79B5"/>
    <w:rsid w:val="000A7A08"/>
    <w:rsid w:val="000A7B99"/>
    <w:rsid w:val="000A7BB9"/>
    <w:rsid w:val="000A7CD9"/>
    <w:rsid w:val="000A7D39"/>
    <w:rsid w:val="000A7D4B"/>
    <w:rsid w:val="000A7DEB"/>
    <w:rsid w:val="000A7EF6"/>
    <w:rsid w:val="000A7F77"/>
    <w:rsid w:val="000B0096"/>
    <w:rsid w:val="000B0152"/>
    <w:rsid w:val="000B04CF"/>
    <w:rsid w:val="000B0558"/>
    <w:rsid w:val="000B06F7"/>
    <w:rsid w:val="000B07E6"/>
    <w:rsid w:val="000B07FB"/>
    <w:rsid w:val="000B089F"/>
    <w:rsid w:val="000B08B1"/>
    <w:rsid w:val="000B093F"/>
    <w:rsid w:val="000B0A89"/>
    <w:rsid w:val="000B0ACB"/>
    <w:rsid w:val="000B0B4C"/>
    <w:rsid w:val="000B0D94"/>
    <w:rsid w:val="000B0F84"/>
    <w:rsid w:val="000B1070"/>
    <w:rsid w:val="000B10B0"/>
    <w:rsid w:val="000B1167"/>
    <w:rsid w:val="000B11D8"/>
    <w:rsid w:val="000B132E"/>
    <w:rsid w:val="000B1369"/>
    <w:rsid w:val="000B160F"/>
    <w:rsid w:val="000B1725"/>
    <w:rsid w:val="000B180D"/>
    <w:rsid w:val="000B188A"/>
    <w:rsid w:val="000B193B"/>
    <w:rsid w:val="000B1A8B"/>
    <w:rsid w:val="000B1E4A"/>
    <w:rsid w:val="000B1FD3"/>
    <w:rsid w:val="000B20B2"/>
    <w:rsid w:val="000B2219"/>
    <w:rsid w:val="000B2230"/>
    <w:rsid w:val="000B22D8"/>
    <w:rsid w:val="000B23BB"/>
    <w:rsid w:val="000B2687"/>
    <w:rsid w:val="000B26AA"/>
    <w:rsid w:val="000B27BB"/>
    <w:rsid w:val="000B2875"/>
    <w:rsid w:val="000B2947"/>
    <w:rsid w:val="000B2967"/>
    <w:rsid w:val="000B2988"/>
    <w:rsid w:val="000B29B4"/>
    <w:rsid w:val="000B2BA9"/>
    <w:rsid w:val="000B2C20"/>
    <w:rsid w:val="000B2C2E"/>
    <w:rsid w:val="000B2E4D"/>
    <w:rsid w:val="000B2E4F"/>
    <w:rsid w:val="000B2FF7"/>
    <w:rsid w:val="000B302A"/>
    <w:rsid w:val="000B3053"/>
    <w:rsid w:val="000B3056"/>
    <w:rsid w:val="000B30F9"/>
    <w:rsid w:val="000B3136"/>
    <w:rsid w:val="000B3213"/>
    <w:rsid w:val="000B337A"/>
    <w:rsid w:val="000B33D9"/>
    <w:rsid w:val="000B3491"/>
    <w:rsid w:val="000B3533"/>
    <w:rsid w:val="000B35C7"/>
    <w:rsid w:val="000B36B7"/>
    <w:rsid w:val="000B36F6"/>
    <w:rsid w:val="000B3747"/>
    <w:rsid w:val="000B38C4"/>
    <w:rsid w:val="000B3928"/>
    <w:rsid w:val="000B3B96"/>
    <w:rsid w:val="000B3BBD"/>
    <w:rsid w:val="000B3F3D"/>
    <w:rsid w:val="000B4243"/>
    <w:rsid w:val="000B4272"/>
    <w:rsid w:val="000B43DD"/>
    <w:rsid w:val="000B442C"/>
    <w:rsid w:val="000B44F7"/>
    <w:rsid w:val="000B45A2"/>
    <w:rsid w:val="000B45AC"/>
    <w:rsid w:val="000B45C7"/>
    <w:rsid w:val="000B470D"/>
    <w:rsid w:val="000B477B"/>
    <w:rsid w:val="000B478C"/>
    <w:rsid w:val="000B4874"/>
    <w:rsid w:val="000B48AF"/>
    <w:rsid w:val="000B48EB"/>
    <w:rsid w:val="000B4DFC"/>
    <w:rsid w:val="000B4E55"/>
    <w:rsid w:val="000B4EEF"/>
    <w:rsid w:val="000B4FAC"/>
    <w:rsid w:val="000B5295"/>
    <w:rsid w:val="000B54A2"/>
    <w:rsid w:val="000B54A3"/>
    <w:rsid w:val="000B5781"/>
    <w:rsid w:val="000B5799"/>
    <w:rsid w:val="000B587B"/>
    <w:rsid w:val="000B5AEE"/>
    <w:rsid w:val="000B5C3E"/>
    <w:rsid w:val="000B5E22"/>
    <w:rsid w:val="000B5E41"/>
    <w:rsid w:val="000B5EAA"/>
    <w:rsid w:val="000B5F0C"/>
    <w:rsid w:val="000B6068"/>
    <w:rsid w:val="000B614F"/>
    <w:rsid w:val="000B61FF"/>
    <w:rsid w:val="000B6207"/>
    <w:rsid w:val="000B6215"/>
    <w:rsid w:val="000B6229"/>
    <w:rsid w:val="000B6423"/>
    <w:rsid w:val="000B649A"/>
    <w:rsid w:val="000B658D"/>
    <w:rsid w:val="000B6608"/>
    <w:rsid w:val="000B6765"/>
    <w:rsid w:val="000B683A"/>
    <w:rsid w:val="000B6982"/>
    <w:rsid w:val="000B699D"/>
    <w:rsid w:val="000B69DB"/>
    <w:rsid w:val="000B6ACD"/>
    <w:rsid w:val="000B6B54"/>
    <w:rsid w:val="000B6C61"/>
    <w:rsid w:val="000B6F3F"/>
    <w:rsid w:val="000B6F69"/>
    <w:rsid w:val="000B7091"/>
    <w:rsid w:val="000B71AA"/>
    <w:rsid w:val="000B7227"/>
    <w:rsid w:val="000B72DE"/>
    <w:rsid w:val="000B72E4"/>
    <w:rsid w:val="000B767F"/>
    <w:rsid w:val="000B79B8"/>
    <w:rsid w:val="000B7A89"/>
    <w:rsid w:val="000B7B63"/>
    <w:rsid w:val="000B7C86"/>
    <w:rsid w:val="000C017E"/>
    <w:rsid w:val="000C0292"/>
    <w:rsid w:val="000C0321"/>
    <w:rsid w:val="000C03CE"/>
    <w:rsid w:val="000C041A"/>
    <w:rsid w:val="000C0494"/>
    <w:rsid w:val="000C04CA"/>
    <w:rsid w:val="000C0518"/>
    <w:rsid w:val="000C05D0"/>
    <w:rsid w:val="000C0668"/>
    <w:rsid w:val="000C0692"/>
    <w:rsid w:val="000C07CF"/>
    <w:rsid w:val="000C08A5"/>
    <w:rsid w:val="000C08E8"/>
    <w:rsid w:val="000C099F"/>
    <w:rsid w:val="000C09DD"/>
    <w:rsid w:val="000C0A55"/>
    <w:rsid w:val="000C0C64"/>
    <w:rsid w:val="000C0CD5"/>
    <w:rsid w:val="000C0D1C"/>
    <w:rsid w:val="000C0DED"/>
    <w:rsid w:val="000C0EBD"/>
    <w:rsid w:val="000C1084"/>
    <w:rsid w:val="000C10E6"/>
    <w:rsid w:val="000C113D"/>
    <w:rsid w:val="000C1280"/>
    <w:rsid w:val="000C1364"/>
    <w:rsid w:val="000C14AD"/>
    <w:rsid w:val="000C154F"/>
    <w:rsid w:val="000C1577"/>
    <w:rsid w:val="000C15D7"/>
    <w:rsid w:val="000C160D"/>
    <w:rsid w:val="000C1663"/>
    <w:rsid w:val="000C1689"/>
    <w:rsid w:val="000C17F8"/>
    <w:rsid w:val="000C1871"/>
    <w:rsid w:val="000C18C4"/>
    <w:rsid w:val="000C18F7"/>
    <w:rsid w:val="000C1A1D"/>
    <w:rsid w:val="000C1AC0"/>
    <w:rsid w:val="000C1CC8"/>
    <w:rsid w:val="000C1CD9"/>
    <w:rsid w:val="000C1D0C"/>
    <w:rsid w:val="000C1F2E"/>
    <w:rsid w:val="000C1F55"/>
    <w:rsid w:val="000C1FAF"/>
    <w:rsid w:val="000C20CB"/>
    <w:rsid w:val="000C2215"/>
    <w:rsid w:val="000C229E"/>
    <w:rsid w:val="000C2421"/>
    <w:rsid w:val="000C2462"/>
    <w:rsid w:val="000C259C"/>
    <w:rsid w:val="000C27BC"/>
    <w:rsid w:val="000C28A2"/>
    <w:rsid w:val="000C29C6"/>
    <w:rsid w:val="000C2C43"/>
    <w:rsid w:val="000C2E35"/>
    <w:rsid w:val="000C2F17"/>
    <w:rsid w:val="000C300E"/>
    <w:rsid w:val="000C30F4"/>
    <w:rsid w:val="000C3142"/>
    <w:rsid w:val="000C3205"/>
    <w:rsid w:val="000C323F"/>
    <w:rsid w:val="000C33C3"/>
    <w:rsid w:val="000C3408"/>
    <w:rsid w:val="000C3434"/>
    <w:rsid w:val="000C3591"/>
    <w:rsid w:val="000C37D6"/>
    <w:rsid w:val="000C3863"/>
    <w:rsid w:val="000C3997"/>
    <w:rsid w:val="000C3A01"/>
    <w:rsid w:val="000C3A1C"/>
    <w:rsid w:val="000C3A70"/>
    <w:rsid w:val="000C3B44"/>
    <w:rsid w:val="000C3CD6"/>
    <w:rsid w:val="000C3D0C"/>
    <w:rsid w:val="000C3D11"/>
    <w:rsid w:val="000C3DBB"/>
    <w:rsid w:val="000C3FFB"/>
    <w:rsid w:val="000C4045"/>
    <w:rsid w:val="000C406B"/>
    <w:rsid w:val="000C40EC"/>
    <w:rsid w:val="000C40F9"/>
    <w:rsid w:val="000C4338"/>
    <w:rsid w:val="000C43BA"/>
    <w:rsid w:val="000C4470"/>
    <w:rsid w:val="000C44C8"/>
    <w:rsid w:val="000C44F8"/>
    <w:rsid w:val="000C4568"/>
    <w:rsid w:val="000C4659"/>
    <w:rsid w:val="000C466C"/>
    <w:rsid w:val="000C4730"/>
    <w:rsid w:val="000C4A38"/>
    <w:rsid w:val="000C4A3D"/>
    <w:rsid w:val="000C4A4E"/>
    <w:rsid w:val="000C4DF0"/>
    <w:rsid w:val="000C4E28"/>
    <w:rsid w:val="000C4E35"/>
    <w:rsid w:val="000C4EBD"/>
    <w:rsid w:val="000C4FCA"/>
    <w:rsid w:val="000C4FDB"/>
    <w:rsid w:val="000C5018"/>
    <w:rsid w:val="000C513E"/>
    <w:rsid w:val="000C530D"/>
    <w:rsid w:val="000C53F8"/>
    <w:rsid w:val="000C55AB"/>
    <w:rsid w:val="000C571D"/>
    <w:rsid w:val="000C585D"/>
    <w:rsid w:val="000C586E"/>
    <w:rsid w:val="000C5934"/>
    <w:rsid w:val="000C59B1"/>
    <w:rsid w:val="000C59DE"/>
    <w:rsid w:val="000C5D51"/>
    <w:rsid w:val="000C5D78"/>
    <w:rsid w:val="000C5F40"/>
    <w:rsid w:val="000C5F45"/>
    <w:rsid w:val="000C5F47"/>
    <w:rsid w:val="000C6052"/>
    <w:rsid w:val="000C6063"/>
    <w:rsid w:val="000C6073"/>
    <w:rsid w:val="000C6165"/>
    <w:rsid w:val="000C6255"/>
    <w:rsid w:val="000C62BB"/>
    <w:rsid w:val="000C6481"/>
    <w:rsid w:val="000C64FF"/>
    <w:rsid w:val="000C6690"/>
    <w:rsid w:val="000C6696"/>
    <w:rsid w:val="000C66F2"/>
    <w:rsid w:val="000C66F6"/>
    <w:rsid w:val="000C6732"/>
    <w:rsid w:val="000C67BB"/>
    <w:rsid w:val="000C691D"/>
    <w:rsid w:val="000C6AD1"/>
    <w:rsid w:val="000C6B3F"/>
    <w:rsid w:val="000C6D1C"/>
    <w:rsid w:val="000C6F21"/>
    <w:rsid w:val="000C6F4D"/>
    <w:rsid w:val="000C70EE"/>
    <w:rsid w:val="000C7136"/>
    <w:rsid w:val="000C7172"/>
    <w:rsid w:val="000C7315"/>
    <w:rsid w:val="000C738F"/>
    <w:rsid w:val="000C7480"/>
    <w:rsid w:val="000C76DD"/>
    <w:rsid w:val="000C76EB"/>
    <w:rsid w:val="000C7865"/>
    <w:rsid w:val="000C7890"/>
    <w:rsid w:val="000C7943"/>
    <w:rsid w:val="000C795C"/>
    <w:rsid w:val="000C7A10"/>
    <w:rsid w:val="000C7A31"/>
    <w:rsid w:val="000C7DA7"/>
    <w:rsid w:val="000C7DB1"/>
    <w:rsid w:val="000C7F79"/>
    <w:rsid w:val="000D0068"/>
    <w:rsid w:val="000D018F"/>
    <w:rsid w:val="000D0295"/>
    <w:rsid w:val="000D035A"/>
    <w:rsid w:val="000D03E6"/>
    <w:rsid w:val="000D0420"/>
    <w:rsid w:val="000D045D"/>
    <w:rsid w:val="000D08AC"/>
    <w:rsid w:val="000D08EB"/>
    <w:rsid w:val="000D0C83"/>
    <w:rsid w:val="000D0CF1"/>
    <w:rsid w:val="000D0DAE"/>
    <w:rsid w:val="000D0E5C"/>
    <w:rsid w:val="000D10B9"/>
    <w:rsid w:val="000D11BB"/>
    <w:rsid w:val="000D11EA"/>
    <w:rsid w:val="000D1338"/>
    <w:rsid w:val="000D13A8"/>
    <w:rsid w:val="000D1400"/>
    <w:rsid w:val="000D1479"/>
    <w:rsid w:val="000D14B3"/>
    <w:rsid w:val="000D16B9"/>
    <w:rsid w:val="000D174F"/>
    <w:rsid w:val="000D1869"/>
    <w:rsid w:val="000D1AC8"/>
    <w:rsid w:val="000D1B88"/>
    <w:rsid w:val="000D1E08"/>
    <w:rsid w:val="000D1EE0"/>
    <w:rsid w:val="000D1F2F"/>
    <w:rsid w:val="000D1F7D"/>
    <w:rsid w:val="000D1F85"/>
    <w:rsid w:val="000D1FF2"/>
    <w:rsid w:val="000D20A5"/>
    <w:rsid w:val="000D22F1"/>
    <w:rsid w:val="000D23DE"/>
    <w:rsid w:val="000D24B8"/>
    <w:rsid w:val="000D2593"/>
    <w:rsid w:val="000D2737"/>
    <w:rsid w:val="000D275A"/>
    <w:rsid w:val="000D2855"/>
    <w:rsid w:val="000D2969"/>
    <w:rsid w:val="000D2AF7"/>
    <w:rsid w:val="000D2DD3"/>
    <w:rsid w:val="000D2FE1"/>
    <w:rsid w:val="000D301D"/>
    <w:rsid w:val="000D3022"/>
    <w:rsid w:val="000D3235"/>
    <w:rsid w:val="000D32D8"/>
    <w:rsid w:val="000D332C"/>
    <w:rsid w:val="000D333D"/>
    <w:rsid w:val="000D3406"/>
    <w:rsid w:val="000D34A6"/>
    <w:rsid w:val="000D34AD"/>
    <w:rsid w:val="000D365F"/>
    <w:rsid w:val="000D36BD"/>
    <w:rsid w:val="000D37E1"/>
    <w:rsid w:val="000D391B"/>
    <w:rsid w:val="000D39A2"/>
    <w:rsid w:val="000D39DD"/>
    <w:rsid w:val="000D3A14"/>
    <w:rsid w:val="000D3AF6"/>
    <w:rsid w:val="000D3B12"/>
    <w:rsid w:val="000D3BA1"/>
    <w:rsid w:val="000D3BE2"/>
    <w:rsid w:val="000D3C01"/>
    <w:rsid w:val="000D3C29"/>
    <w:rsid w:val="000D3C33"/>
    <w:rsid w:val="000D3C64"/>
    <w:rsid w:val="000D3CC6"/>
    <w:rsid w:val="000D3CE1"/>
    <w:rsid w:val="000D3D98"/>
    <w:rsid w:val="000D3E73"/>
    <w:rsid w:val="000D3F5B"/>
    <w:rsid w:val="000D3F96"/>
    <w:rsid w:val="000D3FFE"/>
    <w:rsid w:val="000D408D"/>
    <w:rsid w:val="000D41B9"/>
    <w:rsid w:val="000D4293"/>
    <w:rsid w:val="000D4402"/>
    <w:rsid w:val="000D45E5"/>
    <w:rsid w:val="000D45F8"/>
    <w:rsid w:val="000D46FB"/>
    <w:rsid w:val="000D472B"/>
    <w:rsid w:val="000D4800"/>
    <w:rsid w:val="000D4807"/>
    <w:rsid w:val="000D4833"/>
    <w:rsid w:val="000D496E"/>
    <w:rsid w:val="000D4B32"/>
    <w:rsid w:val="000D4C27"/>
    <w:rsid w:val="000D4C4D"/>
    <w:rsid w:val="000D4E47"/>
    <w:rsid w:val="000D4E50"/>
    <w:rsid w:val="000D4ECA"/>
    <w:rsid w:val="000D500D"/>
    <w:rsid w:val="000D509D"/>
    <w:rsid w:val="000D50B4"/>
    <w:rsid w:val="000D528E"/>
    <w:rsid w:val="000D531A"/>
    <w:rsid w:val="000D540C"/>
    <w:rsid w:val="000D54DB"/>
    <w:rsid w:val="000D55BB"/>
    <w:rsid w:val="000D56C3"/>
    <w:rsid w:val="000D5902"/>
    <w:rsid w:val="000D5ACA"/>
    <w:rsid w:val="000D5B59"/>
    <w:rsid w:val="000D5DF3"/>
    <w:rsid w:val="000D5E9E"/>
    <w:rsid w:val="000D5EC6"/>
    <w:rsid w:val="000D5F6D"/>
    <w:rsid w:val="000D60BA"/>
    <w:rsid w:val="000D618D"/>
    <w:rsid w:val="000D658E"/>
    <w:rsid w:val="000D65BE"/>
    <w:rsid w:val="000D65C3"/>
    <w:rsid w:val="000D65DB"/>
    <w:rsid w:val="000D6654"/>
    <w:rsid w:val="000D66C5"/>
    <w:rsid w:val="000D6734"/>
    <w:rsid w:val="000D6A85"/>
    <w:rsid w:val="000D6C4A"/>
    <w:rsid w:val="000D6DA7"/>
    <w:rsid w:val="000D6E11"/>
    <w:rsid w:val="000D70C0"/>
    <w:rsid w:val="000D70D6"/>
    <w:rsid w:val="000D752D"/>
    <w:rsid w:val="000D7609"/>
    <w:rsid w:val="000D7647"/>
    <w:rsid w:val="000D783F"/>
    <w:rsid w:val="000D78F8"/>
    <w:rsid w:val="000D793D"/>
    <w:rsid w:val="000D796B"/>
    <w:rsid w:val="000D7B3E"/>
    <w:rsid w:val="000D7F74"/>
    <w:rsid w:val="000E0097"/>
    <w:rsid w:val="000E0150"/>
    <w:rsid w:val="000E02E5"/>
    <w:rsid w:val="000E02EE"/>
    <w:rsid w:val="000E03CA"/>
    <w:rsid w:val="000E044B"/>
    <w:rsid w:val="000E0475"/>
    <w:rsid w:val="000E0492"/>
    <w:rsid w:val="000E0496"/>
    <w:rsid w:val="000E0587"/>
    <w:rsid w:val="000E06D6"/>
    <w:rsid w:val="000E0741"/>
    <w:rsid w:val="000E0852"/>
    <w:rsid w:val="000E08BE"/>
    <w:rsid w:val="000E08D2"/>
    <w:rsid w:val="000E0B74"/>
    <w:rsid w:val="000E0B79"/>
    <w:rsid w:val="000E0BB6"/>
    <w:rsid w:val="000E0D6D"/>
    <w:rsid w:val="000E0DA7"/>
    <w:rsid w:val="000E0DAB"/>
    <w:rsid w:val="000E0E33"/>
    <w:rsid w:val="000E0EA0"/>
    <w:rsid w:val="000E0EDA"/>
    <w:rsid w:val="000E1053"/>
    <w:rsid w:val="000E1091"/>
    <w:rsid w:val="000E123A"/>
    <w:rsid w:val="000E1333"/>
    <w:rsid w:val="000E1469"/>
    <w:rsid w:val="000E15DF"/>
    <w:rsid w:val="000E1734"/>
    <w:rsid w:val="000E1A36"/>
    <w:rsid w:val="000E1B17"/>
    <w:rsid w:val="000E1C70"/>
    <w:rsid w:val="000E2208"/>
    <w:rsid w:val="000E221B"/>
    <w:rsid w:val="000E225C"/>
    <w:rsid w:val="000E22BF"/>
    <w:rsid w:val="000E253E"/>
    <w:rsid w:val="000E2745"/>
    <w:rsid w:val="000E2841"/>
    <w:rsid w:val="000E2968"/>
    <w:rsid w:val="000E29A2"/>
    <w:rsid w:val="000E29F5"/>
    <w:rsid w:val="000E2A14"/>
    <w:rsid w:val="000E2A26"/>
    <w:rsid w:val="000E2A32"/>
    <w:rsid w:val="000E2B4C"/>
    <w:rsid w:val="000E2B69"/>
    <w:rsid w:val="000E2C02"/>
    <w:rsid w:val="000E2C60"/>
    <w:rsid w:val="000E2E7B"/>
    <w:rsid w:val="000E2EAD"/>
    <w:rsid w:val="000E30CD"/>
    <w:rsid w:val="000E30EB"/>
    <w:rsid w:val="000E31E6"/>
    <w:rsid w:val="000E329A"/>
    <w:rsid w:val="000E32E5"/>
    <w:rsid w:val="000E3330"/>
    <w:rsid w:val="000E334A"/>
    <w:rsid w:val="000E33C8"/>
    <w:rsid w:val="000E348C"/>
    <w:rsid w:val="000E35C9"/>
    <w:rsid w:val="000E3621"/>
    <w:rsid w:val="000E3841"/>
    <w:rsid w:val="000E3858"/>
    <w:rsid w:val="000E3A0B"/>
    <w:rsid w:val="000E3A87"/>
    <w:rsid w:val="000E3ADC"/>
    <w:rsid w:val="000E3B02"/>
    <w:rsid w:val="000E3BD9"/>
    <w:rsid w:val="000E3C06"/>
    <w:rsid w:val="000E3CE5"/>
    <w:rsid w:val="000E3DCD"/>
    <w:rsid w:val="000E3F07"/>
    <w:rsid w:val="000E4004"/>
    <w:rsid w:val="000E40B2"/>
    <w:rsid w:val="000E40F0"/>
    <w:rsid w:val="000E441A"/>
    <w:rsid w:val="000E44EE"/>
    <w:rsid w:val="000E4527"/>
    <w:rsid w:val="000E45BE"/>
    <w:rsid w:val="000E46A6"/>
    <w:rsid w:val="000E46CC"/>
    <w:rsid w:val="000E4749"/>
    <w:rsid w:val="000E4901"/>
    <w:rsid w:val="000E491B"/>
    <w:rsid w:val="000E494E"/>
    <w:rsid w:val="000E4A21"/>
    <w:rsid w:val="000E4B83"/>
    <w:rsid w:val="000E4B8D"/>
    <w:rsid w:val="000E4D09"/>
    <w:rsid w:val="000E4DA8"/>
    <w:rsid w:val="000E4EE2"/>
    <w:rsid w:val="000E5163"/>
    <w:rsid w:val="000E51B8"/>
    <w:rsid w:val="000E52EC"/>
    <w:rsid w:val="000E535B"/>
    <w:rsid w:val="000E544E"/>
    <w:rsid w:val="000E5475"/>
    <w:rsid w:val="000E5792"/>
    <w:rsid w:val="000E58B4"/>
    <w:rsid w:val="000E5B9B"/>
    <w:rsid w:val="000E5CB4"/>
    <w:rsid w:val="000E5D06"/>
    <w:rsid w:val="000E5D30"/>
    <w:rsid w:val="000E5D4C"/>
    <w:rsid w:val="000E5EE1"/>
    <w:rsid w:val="000E6121"/>
    <w:rsid w:val="000E62FB"/>
    <w:rsid w:val="000E630F"/>
    <w:rsid w:val="000E647A"/>
    <w:rsid w:val="000E66E1"/>
    <w:rsid w:val="000E66F5"/>
    <w:rsid w:val="000E6710"/>
    <w:rsid w:val="000E67AC"/>
    <w:rsid w:val="000E6817"/>
    <w:rsid w:val="000E689C"/>
    <w:rsid w:val="000E68E9"/>
    <w:rsid w:val="000E6C06"/>
    <w:rsid w:val="000E6C42"/>
    <w:rsid w:val="000E6CA3"/>
    <w:rsid w:val="000E6DD4"/>
    <w:rsid w:val="000E6E72"/>
    <w:rsid w:val="000E6EBE"/>
    <w:rsid w:val="000E701F"/>
    <w:rsid w:val="000E70E2"/>
    <w:rsid w:val="000E7102"/>
    <w:rsid w:val="000E712C"/>
    <w:rsid w:val="000E7289"/>
    <w:rsid w:val="000E72D0"/>
    <w:rsid w:val="000E733F"/>
    <w:rsid w:val="000E75D2"/>
    <w:rsid w:val="000E7619"/>
    <w:rsid w:val="000E7638"/>
    <w:rsid w:val="000E765C"/>
    <w:rsid w:val="000E76B5"/>
    <w:rsid w:val="000E77B7"/>
    <w:rsid w:val="000E782F"/>
    <w:rsid w:val="000E7901"/>
    <w:rsid w:val="000E7933"/>
    <w:rsid w:val="000E7AEA"/>
    <w:rsid w:val="000E7B14"/>
    <w:rsid w:val="000E7C11"/>
    <w:rsid w:val="000E7FE9"/>
    <w:rsid w:val="000F00FB"/>
    <w:rsid w:val="000F02AA"/>
    <w:rsid w:val="000F045F"/>
    <w:rsid w:val="000F04F7"/>
    <w:rsid w:val="000F0604"/>
    <w:rsid w:val="000F065A"/>
    <w:rsid w:val="000F07D5"/>
    <w:rsid w:val="000F08D2"/>
    <w:rsid w:val="000F08E8"/>
    <w:rsid w:val="000F0979"/>
    <w:rsid w:val="000F0B0B"/>
    <w:rsid w:val="000F0DD1"/>
    <w:rsid w:val="000F0E9B"/>
    <w:rsid w:val="000F0F8A"/>
    <w:rsid w:val="000F103F"/>
    <w:rsid w:val="000F109D"/>
    <w:rsid w:val="000F10CB"/>
    <w:rsid w:val="000F115F"/>
    <w:rsid w:val="000F12D1"/>
    <w:rsid w:val="000F1358"/>
    <w:rsid w:val="000F135B"/>
    <w:rsid w:val="000F13F1"/>
    <w:rsid w:val="000F16ED"/>
    <w:rsid w:val="000F1722"/>
    <w:rsid w:val="000F17D2"/>
    <w:rsid w:val="000F1809"/>
    <w:rsid w:val="000F1816"/>
    <w:rsid w:val="000F1829"/>
    <w:rsid w:val="000F1851"/>
    <w:rsid w:val="000F18FA"/>
    <w:rsid w:val="000F1A93"/>
    <w:rsid w:val="000F1BE3"/>
    <w:rsid w:val="000F1C65"/>
    <w:rsid w:val="000F1CA6"/>
    <w:rsid w:val="000F1CDA"/>
    <w:rsid w:val="000F1D1B"/>
    <w:rsid w:val="000F1D50"/>
    <w:rsid w:val="000F1E65"/>
    <w:rsid w:val="000F1EAE"/>
    <w:rsid w:val="000F1FDB"/>
    <w:rsid w:val="000F221E"/>
    <w:rsid w:val="000F22A0"/>
    <w:rsid w:val="000F2330"/>
    <w:rsid w:val="000F27C5"/>
    <w:rsid w:val="000F2891"/>
    <w:rsid w:val="000F2987"/>
    <w:rsid w:val="000F2A65"/>
    <w:rsid w:val="000F2A77"/>
    <w:rsid w:val="000F2C0E"/>
    <w:rsid w:val="000F2CBF"/>
    <w:rsid w:val="000F2EE3"/>
    <w:rsid w:val="000F2F2B"/>
    <w:rsid w:val="000F2F6D"/>
    <w:rsid w:val="000F304C"/>
    <w:rsid w:val="000F304D"/>
    <w:rsid w:val="000F32C2"/>
    <w:rsid w:val="000F3475"/>
    <w:rsid w:val="000F34D8"/>
    <w:rsid w:val="000F3618"/>
    <w:rsid w:val="000F36C7"/>
    <w:rsid w:val="000F399D"/>
    <w:rsid w:val="000F39A4"/>
    <w:rsid w:val="000F3B9D"/>
    <w:rsid w:val="000F3BDF"/>
    <w:rsid w:val="000F3C1A"/>
    <w:rsid w:val="000F3C88"/>
    <w:rsid w:val="000F3D49"/>
    <w:rsid w:val="000F3D62"/>
    <w:rsid w:val="000F3DB0"/>
    <w:rsid w:val="000F3F93"/>
    <w:rsid w:val="000F3FD5"/>
    <w:rsid w:val="000F4054"/>
    <w:rsid w:val="000F413F"/>
    <w:rsid w:val="000F415D"/>
    <w:rsid w:val="000F4234"/>
    <w:rsid w:val="000F425C"/>
    <w:rsid w:val="000F42DA"/>
    <w:rsid w:val="000F4460"/>
    <w:rsid w:val="000F448F"/>
    <w:rsid w:val="000F44E0"/>
    <w:rsid w:val="000F4513"/>
    <w:rsid w:val="000F457D"/>
    <w:rsid w:val="000F462B"/>
    <w:rsid w:val="000F465C"/>
    <w:rsid w:val="000F4871"/>
    <w:rsid w:val="000F48B9"/>
    <w:rsid w:val="000F4A50"/>
    <w:rsid w:val="000F4BAF"/>
    <w:rsid w:val="000F4E4F"/>
    <w:rsid w:val="000F4FD1"/>
    <w:rsid w:val="000F4FF0"/>
    <w:rsid w:val="000F528D"/>
    <w:rsid w:val="000F538C"/>
    <w:rsid w:val="000F53E0"/>
    <w:rsid w:val="000F544B"/>
    <w:rsid w:val="000F54C8"/>
    <w:rsid w:val="000F54E0"/>
    <w:rsid w:val="000F557B"/>
    <w:rsid w:val="000F5605"/>
    <w:rsid w:val="000F5726"/>
    <w:rsid w:val="000F589B"/>
    <w:rsid w:val="000F596E"/>
    <w:rsid w:val="000F5985"/>
    <w:rsid w:val="000F5A65"/>
    <w:rsid w:val="000F5C99"/>
    <w:rsid w:val="000F5CE0"/>
    <w:rsid w:val="000F5DB7"/>
    <w:rsid w:val="000F604F"/>
    <w:rsid w:val="000F6077"/>
    <w:rsid w:val="000F60C1"/>
    <w:rsid w:val="000F617B"/>
    <w:rsid w:val="000F61F5"/>
    <w:rsid w:val="000F6233"/>
    <w:rsid w:val="000F6437"/>
    <w:rsid w:val="000F65B0"/>
    <w:rsid w:val="000F65F2"/>
    <w:rsid w:val="000F668B"/>
    <w:rsid w:val="000F67E9"/>
    <w:rsid w:val="000F68E6"/>
    <w:rsid w:val="000F699D"/>
    <w:rsid w:val="000F6A52"/>
    <w:rsid w:val="000F6E25"/>
    <w:rsid w:val="000F6E55"/>
    <w:rsid w:val="000F6F58"/>
    <w:rsid w:val="000F6FDC"/>
    <w:rsid w:val="000F701B"/>
    <w:rsid w:val="000F7175"/>
    <w:rsid w:val="000F71BC"/>
    <w:rsid w:val="000F72A4"/>
    <w:rsid w:val="000F72CC"/>
    <w:rsid w:val="000F7367"/>
    <w:rsid w:val="000F74D3"/>
    <w:rsid w:val="000F770F"/>
    <w:rsid w:val="000F7733"/>
    <w:rsid w:val="000F7755"/>
    <w:rsid w:val="000F77AA"/>
    <w:rsid w:val="000F77FF"/>
    <w:rsid w:val="000F787F"/>
    <w:rsid w:val="000F78AC"/>
    <w:rsid w:val="000F7959"/>
    <w:rsid w:val="000F7A69"/>
    <w:rsid w:val="000F7B77"/>
    <w:rsid w:val="000F7C06"/>
    <w:rsid w:val="000F7D67"/>
    <w:rsid w:val="000F7D75"/>
    <w:rsid w:val="000F7DF2"/>
    <w:rsid w:val="000F7F1F"/>
    <w:rsid w:val="00100031"/>
    <w:rsid w:val="0010020E"/>
    <w:rsid w:val="00100244"/>
    <w:rsid w:val="0010049E"/>
    <w:rsid w:val="001004F9"/>
    <w:rsid w:val="00100588"/>
    <w:rsid w:val="001006AC"/>
    <w:rsid w:val="00100744"/>
    <w:rsid w:val="00100865"/>
    <w:rsid w:val="001008A4"/>
    <w:rsid w:val="001008DA"/>
    <w:rsid w:val="00100A51"/>
    <w:rsid w:val="00100AB6"/>
    <w:rsid w:val="00100C67"/>
    <w:rsid w:val="00100D27"/>
    <w:rsid w:val="00100D65"/>
    <w:rsid w:val="00100EDC"/>
    <w:rsid w:val="00101103"/>
    <w:rsid w:val="00101182"/>
    <w:rsid w:val="00101464"/>
    <w:rsid w:val="00101700"/>
    <w:rsid w:val="00101704"/>
    <w:rsid w:val="00101741"/>
    <w:rsid w:val="001017FC"/>
    <w:rsid w:val="001018CE"/>
    <w:rsid w:val="00101994"/>
    <w:rsid w:val="001019BA"/>
    <w:rsid w:val="00101AAC"/>
    <w:rsid w:val="00101B0D"/>
    <w:rsid w:val="00101B50"/>
    <w:rsid w:val="00101C93"/>
    <w:rsid w:val="00101D39"/>
    <w:rsid w:val="00101E69"/>
    <w:rsid w:val="00102130"/>
    <w:rsid w:val="00102182"/>
    <w:rsid w:val="001021A0"/>
    <w:rsid w:val="001023B4"/>
    <w:rsid w:val="001023F8"/>
    <w:rsid w:val="001024A4"/>
    <w:rsid w:val="0010250D"/>
    <w:rsid w:val="00102626"/>
    <w:rsid w:val="001026FD"/>
    <w:rsid w:val="001027BA"/>
    <w:rsid w:val="00102825"/>
    <w:rsid w:val="00102B05"/>
    <w:rsid w:val="00102BD6"/>
    <w:rsid w:val="00102DA9"/>
    <w:rsid w:val="00102E8D"/>
    <w:rsid w:val="001030F8"/>
    <w:rsid w:val="0010320F"/>
    <w:rsid w:val="001032A1"/>
    <w:rsid w:val="001032BE"/>
    <w:rsid w:val="0010369A"/>
    <w:rsid w:val="0010375C"/>
    <w:rsid w:val="001037F6"/>
    <w:rsid w:val="0010384E"/>
    <w:rsid w:val="00103A42"/>
    <w:rsid w:val="00103BA0"/>
    <w:rsid w:val="00103BBE"/>
    <w:rsid w:val="00103BCA"/>
    <w:rsid w:val="00103C88"/>
    <w:rsid w:val="00103F3C"/>
    <w:rsid w:val="00103F7F"/>
    <w:rsid w:val="00104001"/>
    <w:rsid w:val="00104080"/>
    <w:rsid w:val="001040B7"/>
    <w:rsid w:val="001040C7"/>
    <w:rsid w:val="0010432C"/>
    <w:rsid w:val="001046E2"/>
    <w:rsid w:val="0010470D"/>
    <w:rsid w:val="00104923"/>
    <w:rsid w:val="00104BB9"/>
    <w:rsid w:val="00104C1A"/>
    <w:rsid w:val="00104D79"/>
    <w:rsid w:val="00104E2A"/>
    <w:rsid w:val="00104FFE"/>
    <w:rsid w:val="00105049"/>
    <w:rsid w:val="00105171"/>
    <w:rsid w:val="0010519C"/>
    <w:rsid w:val="00105270"/>
    <w:rsid w:val="00105349"/>
    <w:rsid w:val="001053B7"/>
    <w:rsid w:val="0010541F"/>
    <w:rsid w:val="00105500"/>
    <w:rsid w:val="0010550C"/>
    <w:rsid w:val="0010561F"/>
    <w:rsid w:val="0010563E"/>
    <w:rsid w:val="00105722"/>
    <w:rsid w:val="0010578D"/>
    <w:rsid w:val="001057FE"/>
    <w:rsid w:val="001058E2"/>
    <w:rsid w:val="001058F1"/>
    <w:rsid w:val="00105947"/>
    <w:rsid w:val="00105951"/>
    <w:rsid w:val="00105D04"/>
    <w:rsid w:val="00105F68"/>
    <w:rsid w:val="00105FBB"/>
    <w:rsid w:val="00105FDC"/>
    <w:rsid w:val="0010630D"/>
    <w:rsid w:val="0010635E"/>
    <w:rsid w:val="0010648C"/>
    <w:rsid w:val="0010660F"/>
    <w:rsid w:val="00106632"/>
    <w:rsid w:val="0010664D"/>
    <w:rsid w:val="0010667A"/>
    <w:rsid w:val="00106687"/>
    <w:rsid w:val="00106745"/>
    <w:rsid w:val="00106A97"/>
    <w:rsid w:val="00106AF8"/>
    <w:rsid w:val="00106B7D"/>
    <w:rsid w:val="00106C2A"/>
    <w:rsid w:val="00106CBF"/>
    <w:rsid w:val="00106E2A"/>
    <w:rsid w:val="0010702D"/>
    <w:rsid w:val="001070D0"/>
    <w:rsid w:val="00107128"/>
    <w:rsid w:val="0010714D"/>
    <w:rsid w:val="001071A0"/>
    <w:rsid w:val="0010735F"/>
    <w:rsid w:val="0010736A"/>
    <w:rsid w:val="00107655"/>
    <w:rsid w:val="00107664"/>
    <w:rsid w:val="0010775C"/>
    <w:rsid w:val="0010778D"/>
    <w:rsid w:val="001077FC"/>
    <w:rsid w:val="001078D7"/>
    <w:rsid w:val="001079B8"/>
    <w:rsid w:val="001079C7"/>
    <w:rsid w:val="00107B0D"/>
    <w:rsid w:val="00107BAA"/>
    <w:rsid w:val="00107CB1"/>
    <w:rsid w:val="00107DB5"/>
    <w:rsid w:val="00107E16"/>
    <w:rsid w:val="00107E25"/>
    <w:rsid w:val="00107E35"/>
    <w:rsid w:val="0011015B"/>
    <w:rsid w:val="001101F9"/>
    <w:rsid w:val="0011022B"/>
    <w:rsid w:val="00110251"/>
    <w:rsid w:val="001102B4"/>
    <w:rsid w:val="001102C2"/>
    <w:rsid w:val="0011032D"/>
    <w:rsid w:val="00110411"/>
    <w:rsid w:val="0011043B"/>
    <w:rsid w:val="001105D5"/>
    <w:rsid w:val="00110610"/>
    <w:rsid w:val="001106C4"/>
    <w:rsid w:val="001107BF"/>
    <w:rsid w:val="0011082C"/>
    <w:rsid w:val="00110852"/>
    <w:rsid w:val="0011091D"/>
    <w:rsid w:val="00110A3E"/>
    <w:rsid w:val="00110A69"/>
    <w:rsid w:val="00110C70"/>
    <w:rsid w:val="00110C7E"/>
    <w:rsid w:val="00110CC3"/>
    <w:rsid w:val="00110CC5"/>
    <w:rsid w:val="00110F24"/>
    <w:rsid w:val="001110B8"/>
    <w:rsid w:val="0011110E"/>
    <w:rsid w:val="00111196"/>
    <w:rsid w:val="001111A8"/>
    <w:rsid w:val="001111FC"/>
    <w:rsid w:val="0011134E"/>
    <w:rsid w:val="001117B5"/>
    <w:rsid w:val="00111815"/>
    <w:rsid w:val="001118CB"/>
    <w:rsid w:val="00111911"/>
    <w:rsid w:val="0011197E"/>
    <w:rsid w:val="001119D4"/>
    <w:rsid w:val="00111B24"/>
    <w:rsid w:val="00111B3E"/>
    <w:rsid w:val="00111C6F"/>
    <w:rsid w:val="00111D42"/>
    <w:rsid w:val="00111D9D"/>
    <w:rsid w:val="00111DA4"/>
    <w:rsid w:val="00111DF3"/>
    <w:rsid w:val="00111EAD"/>
    <w:rsid w:val="00111F31"/>
    <w:rsid w:val="00112044"/>
    <w:rsid w:val="00112232"/>
    <w:rsid w:val="00112284"/>
    <w:rsid w:val="00112298"/>
    <w:rsid w:val="00112370"/>
    <w:rsid w:val="001123AA"/>
    <w:rsid w:val="00112430"/>
    <w:rsid w:val="0011249A"/>
    <w:rsid w:val="00112688"/>
    <w:rsid w:val="0011272F"/>
    <w:rsid w:val="0011275D"/>
    <w:rsid w:val="0011284B"/>
    <w:rsid w:val="00112995"/>
    <w:rsid w:val="0011299A"/>
    <w:rsid w:val="00112B1C"/>
    <w:rsid w:val="00112C08"/>
    <w:rsid w:val="00112C6B"/>
    <w:rsid w:val="00112C93"/>
    <w:rsid w:val="00112CB3"/>
    <w:rsid w:val="00112EB1"/>
    <w:rsid w:val="001130ED"/>
    <w:rsid w:val="00113244"/>
    <w:rsid w:val="001132F1"/>
    <w:rsid w:val="00113395"/>
    <w:rsid w:val="001133A6"/>
    <w:rsid w:val="00113411"/>
    <w:rsid w:val="00113562"/>
    <w:rsid w:val="001135CE"/>
    <w:rsid w:val="001135FC"/>
    <w:rsid w:val="00113717"/>
    <w:rsid w:val="0011397B"/>
    <w:rsid w:val="00113A45"/>
    <w:rsid w:val="00113AD4"/>
    <w:rsid w:val="00113CB5"/>
    <w:rsid w:val="00113D83"/>
    <w:rsid w:val="00113DB0"/>
    <w:rsid w:val="00113DF0"/>
    <w:rsid w:val="00113E88"/>
    <w:rsid w:val="00113EB3"/>
    <w:rsid w:val="00113EBF"/>
    <w:rsid w:val="00113FA6"/>
    <w:rsid w:val="001140A9"/>
    <w:rsid w:val="0011410C"/>
    <w:rsid w:val="0011413D"/>
    <w:rsid w:val="00114184"/>
    <w:rsid w:val="0011419E"/>
    <w:rsid w:val="001141E1"/>
    <w:rsid w:val="001144AF"/>
    <w:rsid w:val="001146A4"/>
    <w:rsid w:val="001146D6"/>
    <w:rsid w:val="001147D5"/>
    <w:rsid w:val="00114D4C"/>
    <w:rsid w:val="00114D76"/>
    <w:rsid w:val="00114FA4"/>
    <w:rsid w:val="001152A1"/>
    <w:rsid w:val="00115441"/>
    <w:rsid w:val="00115449"/>
    <w:rsid w:val="00115555"/>
    <w:rsid w:val="00115566"/>
    <w:rsid w:val="00115568"/>
    <w:rsid w:val="001159D8"/>
    <w:rsid w:val="00115A32"/>
    <w:rsid w:val="00115A70"/>
    <w:rsid w:val="00115B0C"/>
    <w:rsid w:val="00115B94"/>
    <w:rsid w:val="00115E0D"/>
    <w:rsid w:val="001160BA"/>
    <w:rsid w:val="001163B3"/>
    <w:rsid w:val="00116454"/>
    <w:rsid w:val="00116512"/>
    <w:rsid w:val="001165B3"/>
    <w:rsid w:val="0011665F"/>
    <w:rsid w:val="001166E3"/>
    <w:rsid w:val="00116710"/>
    <w:rsid w:val="00116749"/>
    <w:rsid w:val="0011675D"/>
    <w:rsid w:val="00116795"/>
    <w:rsid w:val="001167F3"/>
    <w:rsid w:val="0011684A"/>
    <w:rsid w:val="001168B4"/>
    <w:rsid w:val="001168CC"/>
    <w:rsid w:val="001168EA"/>
    <w:rsid w:val="00116945"/>
    <w:rsid w:val="00116968"/>
    <w:rsid w:val="00116982"/>
    <w:rsid w:val="001169EC"/>
    <w:rsid w:val="00116AE4"/>
    <w:rsid w:val="00116B33"/>
    <w:rsid w:val="00116B97"/>
    <w:rsid w:val="00116CA8"/>
    <w:rsid w:val="00116D02"/>
    <w:rsid w:val="00116D7D"/>
    <w:rsid w:val="00116E0E"/>
    <w:rsid w:val="00116E4D"/>
    <w:rsid w:val="00116F58"/>
    <w:rsid w:val="00116FB8"/>
    <w:rsid w:val="00116FDC"/>
    <w:rsid w:val="00117029"/>
    <w:rsid w:val="0011706F"/>
    <w:rsid w:val="00117180"/>
    <w:rsid w:val="0011734F"/>
    <w:rsid w:val="001173DE"/>
    <w:rsid w:val="0011748D"/>
    <w:rsid w:val="001174AC"/>
    <w:rsid w:val="0011757C"/>
    <w:rsid w:val="00117583"/>
    <w:rsid w:val="0011771E"/>
    <w:rsid w:val="001177C9"/>
    <w:rsid w:val="001177D7"/>
    <w:rsid w:val="00117945"/>
    <w:rsid w:val="00117A29"/>
    <w:rsid w:val="00117A41"/>
    <w:rsid w:val="00117A78"/>
    <w:rsid w:val="00117AF1"/>
    <w:rsid w:val="00117D1A"/>
    <w:rsid w:val="00117D25"/>
    <w:rsid w:val="00117DA0"/>
    <w:rsid w:val="00117DCC"/>
    <w:rsid w:val="00117E2C"/>
    <w:rsid w:val="00117E65"/>
    <w:rsid w:val="00117E9E"/>
    <w:rsid w:val="00117F7E"/>
    <w:rsid w:val="001200D4"/>
    <w:rsid w:val="00120213"/>
    <w:rsid w:val="00120223"/>
    <w:rsid w:val="0012037E"/>
    <w:rsid w:val="00120484"/>
    <w:rsid w:val="0012054B"/>
    <w:rsid w:val="00120612"/>
    <w:rsid w:val="0012062A"/>
    <w:rsid w:val="0012076C"/>
    <w:rsid w:val="00120820"/>
    <w:rsid w:val="00120A10"/>
    <w:rsid w:val="00120A19"/>
    <w:rsid w:val="00120AB9"/>
    <w:rsid w:val="00120AD8"/>
    <w:rsid w:val="00120AEB"/>
    <w:rsid w:val="00120BDF"/>
    <w:rsid w:val="00120DD8"/>
    <w:rsid w:val="00120EC0"/>
    <w:rsid w:val="00120F15"/>
    <w:rsid w:val="001210FE"/>
    <w:rsid w:val="00121167"/>
    <w:rsid w:val="00121239"/>
    <w:rsid w:val="0012124A"/>
    <w:rsid w:val="0012131F"/>
    <w:rsid w:val="001213EF"/>
    <w:rsid w:val="001214FE"/>
    <w:rsid w:val="0012191C"/>
    <w:rsid w:val="00121981"/>
    <w:rsid w:val="00121A18"/>
    <w:rsid w:val="00121A43"/>
    <w:rsid w:val="00121B74"/>
    <w:rsid w:val="00121CB2"/>
    <w:rsid w:val="00121D52"/>
    <w:rsid w:val="00121D68"/>
    <w:rsid w:val="00121FCD"/>
    <w:rsid w:val="001222E5"/>
    <w:rsid w:val="0012238D"/>
    <w:rsid w:val="00122414"/>
    <w:rsid w:val="00122691"/>
    <w:rsid w:val="001226A7"/>
    <w:rsid w:val="001226B8"/>
    <w:rsid w:val="00122708"/>
    <w:rsid w:val="0012273F"/>
    <w:rsid w:val="001227B6"/>
    <w:rsid w:val="0012292B"/>
    <w:rsid w:val="00122B92"/>
    <w:rsid w:val="00122CB3"/>
    <w:rsid w:val="00122D21"/>
    <w:rsid w:val="00122D4A"/>
    <w:rsid w:val="00122EBA"/>
    <w:rsid w:val="001230F3"/>
    <w:rsid w:val="00123163"/>
    <w:rsid w:val="0012322D"/>
    <w:rsid w:val="00123240"/>
    <w:rsid w:val="001232C8"/>
    <w:rsid w:val="00123535"/>
    <w:rsid w:val="00123745"/>
    <w:rsid w:val="001238C7"/>
    <w:rsid w:val="001239FA"/>
    <w:rsid w:val="00123A6B"/>
    <w:rsid w:val="00123AA7"/>
    <w:rsid w:val="00123B20"/>
    <w:rsid w:val="00123C30"/>
    <w:rsid w:val="00123F21"/>
    <w:rsid w:val="0012400F"/>
    <w:rsid w:val="00124077"/>
    <w:rsid w:val="001240C6"/>
    <w:rsid w:val="00124206"/>
    <w:rsid w:val="001242F6"/>
    <w:rsid w:val="0012432F"/>
    <w:rsid w:val="0012437A"/>
    <w:rsid w:val="00124422"/>
    <w:rsid w:val="00124571"/>
    <w:rsid w:val="0012459C"/>
    <w:rsid w:val="001245B5"/>
    <w:rsid w:val="001245C7"/>
    <w:rsid w:val="00124688"/>
    <w:rsid w:val="001247D6"/>
    <w:rsid w:val="00124833"/>
    <w:rsid w:val="0012484D"/>
    <w:rsid w:val="001249DF"/>
    <w:rsid w:val="00124B59"/>
    <w:rsid w:val="00124C16"/>
    <w:rsid w:val="00124C27"/>
    <w:rsid w:val="00124D6A"/>
    <w:rsid w:val="00124E82"/>
    <w:rsid w:val="00124F20"/>
    <w:rsid w:val="00124F9E"/>
    <w:rsid w:val="00125124"/>
    <w:rsid w:val="0012519B"/>
    <w:rsid w:val="001252E9"/>
    <w:rsid w:val="001253F6"/>
    <w:rsid w:val="00125511"/>
    <w:rsid w:val="00125661"/>
    <w:rsid w:val="001257E5"/>
    <w:rsid w:val="001257FA"/>
    <w:rsid w:val="00125887"/>
    <w:rsid w:val="001258C9"/>
    <w:rsid w:val="00125B04"/>
    <w:rsid w:val="00125B29"/>
    <w:rsid w:val="00125B31"/>
    <w:rsid w:val="00125B4A"/>
    <w:rsid w:val="00125C38"/>
    <w:rsid w:val="00125C4B"/>
    <w:rsid w:val="00125D47"/>
    <w:rsid w:val="00125D83"/>
    <w:rsid w:val="00125DA6"/>
    <w:rsid w:val="00125E2F"/>
    <w:rsid w:val="00126167"/>
    <w:rsid w:val="0012631E"/>
    <w:rsid w:val="0012634F"/>
    <w:rsid w:val="001264BF"/>
    <w:rsid w:val="00126563"/>
    <w:rsid w:val="0012663D"/>
    <w:rsid w:val="0012692B"/>
    <w:rsid w:val="00126C3B"/>
    <w:rsid w:val="00126C99"/>
    <w:rsid w:val="00126CA5"/>
    <w:rsid w:val="00126CBE"/>
    <w:rsid w:val="00126E99"/>
    <w:rsid w:val="00126FE5"/>
    <w:rsid w:val="001271C3"/>
    <w:rsid w:val="00127217"/>
    <w:rsid w:val="001272D3"/>
    <w:rsid w:val="00127307"/>
    <w:rsid w:val="00127335"/>
    <w:rsid w:val="0012739C"/>
    <w:rsid w:val="001273C7"/>
    <w:rsid w:val="001273D2"/>
    <w:rsid w:val="001274FD"/>
    <w:rsid w:val="00127982"/>
    <w:rsid w:val="00127A79"/>
    <w:rsid w:val="00127BDE"/>
    <w:rsid w:val="00127D17"/>
    <w:rsid w:val="00127DF7"/>
    <w:rsid w:val="00127E9D"/>
    <w:rsid w:val="00127F52"/>
    <w:rsid w:val="00127F5C"/>
    <w:rsid w:val="00127F69"/>
    <w:rsid w:val="00127F7A"/>
    <w:rsid w:val="00127FB9"/>
    <w:rsid w:val="00130035"/>
    <w:rsid w:val="00130114"/>
    <w:rsid w:val="00130682"/>
    <w:rsid w:val="00130773"/>
    <w:rsid w:val="00130851"/>
    <w:rsid w:val="001309D1"/>
    <w:rsid w:val="00130B2B"/>
    <w:rsid w:val="00130BBE"/>
    <w:rsid w:val="00130D6F"/>
    <w:rsid w:val="00130EF9"/>
    <w:rsid w:val="00130F69"/>
    <w:rsid w:val="00131235"/>
    <w:rsid w:val="00131339"/>
    <w:rsid w:val="00131348"/>
    <w:rsid w:val="001313C9"/>
    <w:rsid w:val="0013155C"/>
    <w:rsid w:val="001315B9"/>
    <w:rsid w:val="0013167C"/>
    <w:rsid w:val="00131762"/>
    <w:rsid w:val="001318F9"/>
    <w:rsid w:val="00131941"/>
    <w:rsid w:val="00131B19"/>
    <w:rsid w:val="00131B25"/>
    <w:rsid w:val="00131B32"/>
    <w:rsid w:val="00131B37"/>
    <w:rsid w:val="00131C6A"/>
    <w:rsid w:val="00131CA1"/>
    <w:rsid w:val="00131D59"/>
    <w:rsid w:val="00131DC3"/>
    <w:rsid w:val="00131EDF"/>
    <w:rsid w:val="00131F8C"/>
    <w:rsid w:val="0013202B"/>
    <w:rsid w:val="0013203A"/>
    <w:rsid w:val="001320CA"/>
    <w:rsid w:val="001321CE"/>
    <w:rsid w:val="001321EC"/>
    <w:rsid w:val="001322A8"/>
    <w:rsid w:val="0013262E"/>
    <w:rsid w:val="00132684"/>
    <w:rsid w:val="00132796"/>
    <w:rsid w:val="001327AC"/>
    <w:rsid w:val="00132B14"/>
    <w:rsid w:val="00132B5C"/>
    <w:rsid w:val="00132BB0"/>
    <w:rsid w:val="00132D49"/>
    <w:rsid w:val="00132DD5"/>
    <w:rsid w:val="00132E30"/>
    <w:rsid w:val="00132EDE"/>
    <w:rsid w:val="00133139"/>
    <w:rsid w:val="0013316F"/>
    <w:rsid w:val="001332D8"/>
    <w:rsid w:val="0013336B"/>
    <w:rsid w:val="00133403"/>
    <w:rsid w:val="0013342F"/>
    <w:rsid w:val="00133455"/>
    <w:rsid w:val="0013348E"/>
    <w:rsid w:val="00133680"/>
    <w:rsid w:val="001336A6"/>
    <w:rsid w:val="001338AB"/>
    <w:rsid w:val="00133983"/>
    <w:rsid w:val="001339D1"/>
    <w:rsid w:val="001339E5"/>
    <w:rsid w:val="001339EA"/>
    <w:rsid w:val="00133A51"/>
    <w:rsid w:val="00133A7A"/>
    <w:rsid w:val="00133BDB"/>
    <w:rsid w:val="00133CDC"/>
    <w:rsid w:val="00133ECE"/>
    <w:rsid w:val="00134107"/>
    <w:rsid w:val="00134191"/>
    <w:rsid w:val="001341A6"/>
    <w:rsid w:val="0013425F"/>
    <w:rsid w:val="00134279"/>
    <w:rsid w:val="001342AC"/>
    <w:rsid w:val="001342C4"/>
    <w:rsid w:val="00134373"/>
    <w:rsid w:val="00134469"/>
    <w:rsid w:val="0013448B"/>
    <w:rsid w:val="001344AE"/>
    <w:rsid w:val="0013486B"/>
    <w:rsid w:val="001348F5"/>
    <w:rsid w:val="00134A23"/>
    <w:rsid w:val="00134BDC"/>
    <w:rsid w:val="00134CF9"/>
    <w:rsid w:val="00134D6A"/>
    <w:rsid w:val="00134F89"/>
    <w:rsid w:val="00134FFE"/>
    <w:rsid w:val="00135064"/>
    <w:rsid w:val="00135065"/>
    <w:rsid w:val="00135085"/>
    <w:rsid w:val="001350A9"/>
    <w:rsid w:val="00135110"/>
    <w:rsid w:val="001352A9"/>
    <w:rsid w:val="00135373"/>
    <w:rsid w:val="00135439"/>
    <w:rsid w:val="001354C8"/>
    <w:rsid w:val="00135528"/>
    <w:rsid w:val="00135546"/>
    <w:rsid w:val="0013566C"/>
    <w:rsid w:val="00135809"/>
    <w:rsid w:val="0013583E"/>
    <w:rsid w:val="0013588D"/>
    <w:rsid w:val="00135930"/>
    <w:rsid w:val="00135A8B"/>
    <w:rsid w:val="00135B37"/>
    <w:rsid w:val="00135B7F"/>
    <w:rsid w:val="00135DB5"/>
    <w:rsid w:val="00135E4C"/>
    <w:rsid w:val="00135E62"/>
    <w:rsid w:val="00135F71"/>
    <w:rsid w:val="00135F98"/>
    <w:rsid w:val="00136042"/>
    <w:rsid w:val="001361B8"/>
    <w:rsid w:val="001361C9"/>
    <w:rsid w:val="001361E4"/>
    <w:rsid w:val="00136357"/>
    <w:rsid w:val="00136377"/>
    <w:rsid w:val="001364E4"/>
    <w:rsid w:val="00136514"/>
    <w:rsid w:val="00136593"/>
    <w:rsid w:val="0013662D"/>
    <w:rsid w:val="001366A9"/>
    <w:rsid w:val="001368F8"/>
    <w:rsid w:val="0013692D"/>
    <w:rsid w:val="00136AB8"/>
    <w:rsid w:val="00136B57"/>
    <w:rsid w:val="00136B7E"/>
    <w:rsid w:val="00136C93"/>
    <w:rsid w:val="00136CE1"/>
    <w:rsid w:val="00136CF5"/>
    <w:rsid w:val="00136E68"/>
    <w:rsid w:val="00136F37"/>
    <w:rsid w:val="00136FE2"/>
    <w:rsid w:val="001370FE"/>
    <w:rsid w:val="00137172"/>
    <w:rsid w:val="001372B9"/>
    <w:rsid w:val="001373C0"/>
    <w:rsid w:val="001373E8"/>
    <w:rsid w:val="001373F5"/>
    <w:rsid w:val="00137528"/>
    <w:rsid w:val="00137681"/>
    <w:rsid w:val="00137689"/>
    <w:rsid w:val="001376E1"/>
    <w:rsid w:val="00137895"/>
    <w:rsid w:val="0013794D"/>
    <w:rsid w:val="001379FA"/>
    <w:rsid w:val="00137CD0"/>
    <w:rsid w:val="00137E23"/>
    <w:rsid w:val="00137EDA"/>
    <w:rsid w:val="00137EE2"/>
    <w:rsid w:val="001400A4"/>
    <w:rsid w:val="0014017B"/>
    <w:rsid w:val="00140186"/>
    <w:rsid w:val="00140272"/>
    <w:rsid w:val="0014033C"/>
    <w:rsid w:val="00140361"/>
    <w:rsid w:val="001405E5"/>
    <w:rsid w:val="00140733"/>
    <w:rsid w:val="00140750"/>
    <w:rsid w:val="00140764"/>
    <w:rsid w:val="001407AD"/>
    <w:rsid w:val="00140937"/>
    <w:rsid w:val="0014096E"/>
    <w:rsid w:val="00140A3F"/>
    <w:rsid w:val="00140AB2"/>
    <w:rsid w:val="00140ACD"/>
    <w:rsid w:val="00140AFA"/>
    <w:rsid w:val="00140CCB"/>
    <w:rsid w:val="00140CE6"/>
    <w:rsid w:val="00140D10"/>
    <w:rsid w:val="00140E08"/>
    <w:rsid w:val="00140F55"/>
    <w:rsid w:val="0014115F"/>
    <w:rsid w:val="00141388"/>
    <w:rsid w:val="001413EE"/>
    <w:rsid w:val="0014144D"/>
    <w:rsid w:val="00141529"/>
    <w:rsid w:val="001416B2"/>
    <w:rsid w:val="001416CC"/>
    <w:rsid w:val="001416EF"/>
    <w:rsid w:val="001416FE"/>
    <w:rsid w:val="001417AE"/>
    <w:rsid w:val="0014188B"/>
    <w:rsid w:val="00141933"/>
    <w:rsid w:val="00141A1D"/>
    <w:rsid w:val="00141D3E"/>
    <w:rsid w:val="00141D4D"/>
    <w:rsid w:val="00141E19"/>
    <w:rsid w:val="00141E6C"/>
    <w:rsid w:val="00141F1A"/>
    <w:rsid w:val="00141F7C"/>
    <w:rsid w:val="00142041"/>
    <w:rsid w:val="001420D6"/>
    <w:rsid w:val="0014220F"/>
    <w:rsid w:val="001422EE"/>
    <w:rsid w:val="00142349"/>
    <w:rsid w:val="001423A7"/>
    <w:rsid w:val="001423F8"/>
    <w:rsid w:val="0014248D"/>
    <w:rsid w:val="001424B5"/>
    <w:rsid w:val="0014258D"/>
    <w:rsid w:val="0014264F"/>
    <w:rsid w:val="001426B5"/>
    <w:rsid w:val="0014270D"/>
    <w:rsid w:val="00142771"/>
    <w:rsid w:val="00142825"/>
    <w:rsid w:val="001428BC"/>
    <w:rsid w:val="00142952"/>
    <w:rsid w:val="00142997"/>
    <w:rsid w:val="00142A17"/>
    <w:rsid w:val="00142DC5"/>
    <w:rsid w:val="00142E25"/>
    <w:rsid w:val="00142E56"/>
    <w:rsid w:val="00142F4F"/>
    <w:rsid w:val="0014304A"/>
    <w:rsid w:val="0014328A"/>
    <w:rsid w:val="001432A4"/>
    <w:rsid w:val="00143546"/>
    <w:rsid w:val="001436FC"/>
    <w:rsid w:val="001438C6"/>
    <w:rsid w:val="001438F3"/>
    <w:rsid w:val="00143903"/>
    <w:rsid w:val="00143980"/>
    <w:rsid w:val="00143D37"/>
    <w:rsid w:val="00143D5A"/>
    <w:rsid w:val="00143DF9"/>
    <w:rsid w:val="00143E1F"/>
    <w:rsid w:val="00143ED8"/>
    <w:rsid w:val="00143FBA"/>
    <w:rsid w:val="00143FE9"/>
    <w:rsid w:val="00143FEA"/>
    <w:rsid w:val="00144006"/>
    <w:rsid w:val="00144048"/>
    <w:rsid w:val="001440E3"/>
    <w:rsid w:val="00144125"/>
    <w:rsid w:val="001443B5"/>
    <w:rsid w:val="00144531"/>
    <w:rsid w:val="00144580"/>
    <w:rsid w:val="00144627"/>
    <w:rsid w:val="0014467B"/>
    <w:rsid w:val="0014473B"/>
    <w:rsid w:val="00144781"/>
    <w:rsid w:val="001447DD"/>
    <w:rsid w:val="00144C8A"/>
    <w:rsid w:val="00144E07"/>
    <w:rsid w:val="00144E49"/>
    <w:rsid w:val="00144F3B"/>
    <w:rsid w:val="00144FDB"/>
    <w:rsid w:val="0014508D"/>
    <w:rsid w:val="001453F4"/>
    <w:rsid w:val="0014541F"/>
    <w:rsid w:val="001455D3"/>
    <w:rsid w:val="001456B1"/>
    <w:rsid w:val="001456DA"/>
    <w:rsid w:val="0014572F"/>
    <w:rsid w:val="0014577E"/>
    <w:rsid w:val="0014583C"/>
    <w:rsid w:val="0014585E"/>
    <w:rsid w:val="001458A3"/>
    <w:rsid w:val="00145952"/>
    <w:rsid w:val="001459E1"/>
    <w:rsid w:val="00145A3D"/>
    <w:rsid w:val="00145A5E"/>
    <w:rsid w:val="00145B45"/>
    <w:rsid w:val="00145F71"/>
    <w:rsid w:val="001460A0"/>
    <w:rsid w:val="00146180"/>
    <w:rsid w:val="001461E0"/>
    <w:rsid w:val="00146254"/>
    <w:rsid w:val="001462E3"/>
    <w:rsid w:val="00146317"/>
    <w:rsid w:val="001463C0"/>
    <w:rsid w:val="00146446"/>
    <w:rsid w:val="0014647C"/>
    <w:rsid w:val="00146489"/>
    <w:rsid w:val="001464DB"/>
    <w:rsid w:val="001465AD"/>
    <w:rsid w:val="001467E1"/>
    <w:rsid w:val="00146873"/>
    <w:rsid w:val="001469CC"/>
    <w:rsid w:val="001469D3"/>
    <w:rsid w:val="00146AAF"/>
    <w:rsid w:val="00146B27"/>
    <w:rsid w:val="00146C4F"/>
    <w:rsid w:val="00146E14"/>
    <w:rsid w:val="00146EA7"/>
    <w:rsid w:val="00146F18"/>
    <w:rsid w:val="00146F4B"/>
    <w:rsid w:val="00147007"/>
    <w:rsid w:val="0014704F"/>
    <w:rsid w:val="001471E5"/>
    <w:rsid w:val="00147234"/>
    <w:rsid w:val="0014731E"/>
    <w:rsid w:val="0014740D"/>
    <w:rsid w:val="001474AB"/>
    <w:rsid w:val="00147507"/>
    <w:rsid w:val="00147529"/>
    <w:rsid w:val="00147531"/>
    <w:rsid w:val="00147578"/>
    <w:rsid w:val="00147693"/>
    <w:rsid w:val="00147703"/>
    <w:rsid w:val="0014774E"/>
    <w:rsid w:val="001477B3"/>
    <w:rsid w:val="0014786B"/>
    <w:rsid w:val="0014794A"/>
    <w:rsid w:val="00147A66"/>
    <w:rsid w:val="00147E57"/>
    <w:rsid w:val="00147E68"/>
    <w:rsid w:val="00147F01"/>
    <w:rsid w:val="00147F1B"/>
    <w:rsid w:val="00147F6C"/>
    <w:rsid w:val="00147FED"/>
    <w:rsid w:val="0015005B"/>
    <w:rsid w:val="00150168"/>
    <w:rsid w:val="00150180"/>
    <w:rsid w:val="001503E8"/>
    <w:rsid w:val="001504DA"/>
    <w:rsid w:val="001505D3"/>
    <w:rsid w:val="001507B7"/>
    <w:rsid w:val="001507E8"/>
    <w:rsid w:val="0015087E"/>
    <w:rsid w:val="00150975"/>
    <w:rsid w:val="001509C0"/>
    <w:rsid w:val="00150AD0"/>
    <w:rsid w:val="00150B01"/>
    <w:rsid w:val="00150C62"/>
    <w:rsid w:val="00150CC3"/>
    <w:rsid w:val="00150CD0"/>
    <w:rsid w:val="00150CDC"/>
    <w:rsid w:val="00150D2A"/>
    <w:rsid w:val="00150E9F"/>
    <w:rsid w:val="00150EC0"/>
    <w:rsid w:val="00150F1A"/>
    <w:rsid w:val="00150F5D"/>
    <w:rsid w:val="00151016"/>
    <w:rsid w:val="00151186"/>
    <w:rsid w:val="00151208"/>
    <w:rsid w:val="0015128A"/>
    <w:rsid w:val="00151496"/>
    <w:rsid w:val="0015174F"/>
    <w:rsid w:val="001518E1"/>
    <w:rsid w:val="00151922"/>
    <w:rsid w:val="00151993"/>
    <w:rsid w:val="00151E27"/>
    <w:rsid w:val="00151E68"/>
    <w:rsid w:val="00151F3F"/>
    <w:rsid w:val="00152024"/>
    <w:rsid w:val="00152058"/>
    <w:rsid w:val="00152090"/>
    <w:rsid w:val="00152148"/>
    <w:rsid w:val="001521D7"/>
    <w:rsid w:val="001522A6"/>
    <w:rsid w:val="0015233B"/>
    <w:rsid w:val="00152340"/>
    <w:rsid w:val="0015234F"/>
    <w:rsid w:val="0015239D"/>
    <w:rsid w:val="001523A0"/>
    <w:rsid w:val="001523A8"/>
    <w:rsid w:val="00152493"/>
    <w:rsid w:val="00152580"/>
    <w:rsid w:val="00152592"/>
    <w:rsid w:val="001527B7"/>
    <w:rsid w:val="001529BE"/>
    <w:rsid w:val="00152B08"/>
    <w:rsid w:val="00152C4B"/>
    <w:rsid w:val="00152CAF"/>
    <w:rsid w:val="00152CED"/>
    <w:rsid w:val="00152E82"/>
    <w:rsid w:val="00153132"/>
    <w:rsid w:val="0015314D"/>
    <w:rsid w:val="001531A1"/>
    <w:rsid w:val="0015326C"/>
    <w:rsid w:val="0015326F"/>
    <w:rsid w:val="0015333D"/>
    <w:rsid w:val="00153352"/>
    <w:rsid w:val="001533A7"/>
    <w:rsid w:val="001533BD"/>
    <w:rsid w:val="001533CB"/>
    <w:rsid w:val="00153408"/>
    <w:rsid w:val="00153506"/>
    <w:rsid w:val="00153532"/>
    <w:rsid w:val="00153560"/>
    <w:rsid w:val="0015367D"/>
    <w:rsid w:val="00153777"/>
    <w:rsid w:val="001538B5"/>
    <w:rsid w:val="00153944"/>
    <w:rsid w:val="00153995"/>
    <w:rsid w:val="00153ADA"/>
    <w:rsid w:val="00153B1C"/>
    <w:rsid w:val="00153DAD"/>
    <w:rsid w:val="00153E8B"/>
    <w:rsid w:val="00153F01"/>
    <w:rsid w:val="00153F32"/>
    <w:rsid w:val="00153FEA"/>
    <w:rsid w:val="001540A4"/>
    <w:rsid w:val="001541C2"/>
    <w:rsid w:val="0015449E"/>
    <w:rsid w:val="00154729"/>
    <w:rsid w:val="00154829"/>
    <w:rsid w:val="00154869"/>
    <w:rsid w:val="0015488E"/>
    <w:rsid w:val="00154890"/>
    <w:rsid w:val="00154922"/>
    <w:rsid w:val="001549C3"/>
    <w:rsid w:val="00154BC0"/>
    <w:rsid w:val="00154C24"/>
    <w:rsid w:val="00154E77"/>
    <w:rsid w:val="00154F4E"/>
    <w:rsid w:val="00155017"/>
    <w:rsid w:val="0015514A"/>
    <w:rsid w:val="0015527E"/>
    <w:rsid w:val="0015527F"/>
    <w:rsid w:val="00155442"/>
    <w:rsid w:val="001556D5"/>
    <w:rsid w:val="00155A06"/>
    <w:rsid w:val="00155BA5"/>
    <w:rsid w:val="00155BC3"/>
    <w:rsid w:val="00155BF4"/>
    <w:rsid w:val="00155C2E"/>
    <w:rsid w:val="00155CB4"/>
    <w:rsid w:val="00155CBF"/>
    <w:rsid w:val="00155E51"/>
    <w:rsid w:val="00155FEA"/>
    <w:rsid w:val="00156041"/>
    <w:rsid w:val="00156123"/>
    <w:rsid w:val="001561A0"/>
    <w:rsid w:val="00156250"/>
    <w:rsid w:val="00156421"/>
    <w:rsid w:val="001564CC"/>
    <w:rsid w:val="0015657B"/>
    <w:rsid w:val="00156598"/>
    <w:rsid w:val="00156804"/>
    <w:rsid w:val="0015682B"/>
    <w:rsid w:val="00156907"/>
    <w:rsid w:val="0015697C"/>
    <w:rsid w:val="001569B1"/>
    <w:rsid w:val="00156B4D"/>
    <w:rsid w:val="00156EF5"/>
    <w:rsid w:val="00156F07"/>
    <w:rsid w:val="0015707B"/>
    <w:rsid w:val="001571F8"/>
    <w:rsid w:val="00157228"/>
    <w:rsid w:val="0015722C"/>
    <w:rsid w:val="001572E1"/>
    <w:rsid w:val="001572E8"/>
    <w:rsid w:val="001573CD"/>
    <w:rsid w:val="00157429"/>
    <w:rsid w:val="00157446"/>
    <w:rsid w:val="001574C0"/>
    <w:rsid w:val="001574C8"/>
    <w:rsid w:val="001574D8"/>
    <w:rsid w:val="00157641"/>
    <w:rsid w:val="0015765E"/>
    <w:rsid w:val="00157697"/>
    <w:rsid w:val="00157850"/>
    <w:rsid w:val="00157872"/>
    <w:rsid w:val="00157C2F"/>
    <w:rsid w:val="00157CE8"/>
    <w:rsid w:val="00160017"/>
    <w:rsid w:val="0016034E"/>
    <w:rsid w:val="001605C1"/>
    <w:rsid w:val="00160604"/>
    <w:rsid w:val="00160698"/>
    <w:rsid w:val="001606B9"/>
    <w:rsid w:val="001606CF"/>
    <w:rsid w:val="0016081A"/>
    <w:rsid w:val="0016089D"/>
    <w:rsid w:val="00160922"/>
    <w:rsid w:val="00160994"/>
    <w:rsid w:val="00160A84"/>
    <w:rsid w:val="00160B97"/>
    <w:rsid w:val="00160C77"/>
    <w:rsid w:val="00160C99"/>
    <w:rsid w:val="00160CC6"/>
    <w:rsid w:val="00160D4A"/>
    <w:rsid w:val="00160D53"/>
    <w:rsid w:val="00160E19"/>
    <w:rsid w:val="00160E1A"/>
    <w:rsid w:val="00160EF9"/>
    <w:rsid w:val="00160F05"/>
    <w:rsid w:val="00160F5B"/>
    <w:rsid w:val="00160FAD"/>
    <w:rsid w:val="00161252"/>
    <w:rsid w:val="0016128D"/>
    <w:rsid w:val="0016154E"/>
    <w:rsid w:val="0016158D"/>
    <w:rsid w:val="00161732"/>
    <w:rsid w:val="001617B0"/>
    <w:rsid w:val="00161858"/>
    <w:rsid w:val="00161879"/>
    <w:rsid w:val="00161905"/>
    <w:rsid w:val="0016199B"/>
    <w:rsid w:val="00161A5B"/>
    <w:rsid w:val="00161B37"/>
    <w:rsid w:val="00161B9C"/>
    <w:rsid w:val="00161C22"/>
    <w:rsid w:val="00161C90"/>
    <w:rsid w:val="00161D75"/>
    <w:rsid w:val="00162122"/>
    <w:rsid w:val="00162144"/>
    <w:rsid w:val="00162252"/>
    <w:rsid w:val="001622CA"/>
    <w:rsid w:val="0016239F"/>
    <w:rsid w:val="001623B6"/>
    <w:rsid w:val="001623D9"/>
    <w:rsid w:val="00162460"/>
    <w:rsid w:val="0016257C"/>
    <w:rsid w:val="001625EC"/>
    <w:rsid w:val="00162860"/>
    <w:rsid w:val="0016290F"/>
    <w:rsid w:val="0016295F"/>
    <w:rsid w:val="001629CC"/>
    <w:rsid w:val="00162A82"/>
    <w:rsid w:val="00162B40"/>
    <w:rsid w:val="00162CCA"/>
    <w:rsid w:val="00162DEF"/>
    <w:rsid w:val="00162E2C"/>
    <w:rsid w:val="00162F6D"/>
    <w:rsid w:val="00162F87"/>
    <w:rsid w:val="00163087"/>
    <w:rsid w:val="0016309D"/>
    <w:rsid w:val="001630C8"/>
    <w:rsid w:val="001630F9"/>
    <w:rsid w:val="001631B0"/>
    <w:rsid w:val="0016324D"/>
    <w:rsid w:val="0016341A"/>
    <w:rsid w:val="00163463"/>
    <w:rsid w:val="00163562"/>
    <w:rsid w:val="0016358D"/>
    <w:rsid w:val="00163632"/>
    <w:rsid w:val="0016368E"/>
    <w:rsid w:val="001636A1"/>
    <w:rsid w:val="001637B0"/>
    <w:rsid w:val="0016395A"/>
    <w:rsid w:val="00163971"/>
    <w:rsid w:val="00163BEE"/>
    <w:rsid w:val="00163C30"/>
    <w:rsid w:val="00163C7C"/>
    <w:rsid w:val="00163D28"/>
    <w:rsid w:val="00163D86"/>
    <w:rsid w:val="00163EF6"/>
    <w:rsid w:val="00163F0F"/>
    <w:rsid w:val="00163FCB"/>
    <w:rsid w:val="0016408C"/>
    <w:rsid w:val="001641ED"/>
    <w:rsid w:val="00164295"/>
    <w:rsid w:val="00164336"/>
    <w:rsid w:val="0016438B"/>
    <w:rsid w:val="00164599"/>
    <w:rsid w:val="001646AF"/>
    <w:rsid w:val="00164916"/>
    <w:rsid w:val="001649BD"/>
    <w:rsid w:val="00164B8D"/>
    <w:rsid w:val="00164BC5"/>
    <w:rsid w:val="00164BC8"/>
    <w:rsid w:val="00164C54"/>
    <w:rsid w:val="00164C66"/>
    <w:rsid w:val="00164D74"/>
    <w:rsid w:val="00164EC0"/>
    <w:rsid w:val="00164F00"/>
    <w:rsid w:val="0016503A"/>
    <w:rsid w:val="0016504A"/>
    <w:rsid w:val="001650E7"/>
    <w:rsid w:val="00165331"/>
    <w:rsid w:val="001653C3"/>
    <w:rsid w:val="001657D9"/>
    <w:rsid w:val="00165805"/>
    <w:rsid w:val="001658D5"/>
    <w:rsid w:val="00165B6F"/>
    <w:rsid w:val="00165BC5"/>
    <w:rsid w:val="00165C17"/>
    <w:rsid w:val="00165D4E"/>
    <w:rsid w:val="00165DB2"/>
    <w:rsid w:val="00165EB2"/>
    <w:rsid w:val="0016605A"/>
    <w:rsid w:val="001661AF"/>
    <w:rsid w:val="0016622D"/>
    <w:rsid w:val="001662DD"/>
    <w:rsid w:val="001664B2"/>
    <w:rsid w:val="001664C6"/>
    <w:rsid w:val="00166532"/>
    <w:rsid w:val="00166618"/>
    <w:rsid w:val="0016676C"/>
    <w:rsid w:val="00166950"/>
    <w:rsid w:val="001669AF"/>
    <w:rsid w:val="001669EE"/>
    <w:rsid w:val="00166A28"/>
    <w:rsid w:val="00166A31"/>
    <w:rsid w:val="00166B55"/>
    <w:rsid w:val="00166C03"/>
    <w:rsid w:val="00166EA9"/>
    <w:rsid w:val="00166EB8"/>
    <w:rsid w:val="00166EE9"/>
    <w:rsid w:val="00166F7D"/>
    <w:rsid w:val="00167052"/>
    <w:rsid w:val="00167123"/>
    <w:rsid w:val="001671FA"/>
    <w:rsid w:val="00167286"/>
    <w:rsid w:val="001672A9"/>
    <w:rsid w:val="00167542"/>
    <w:rsid w:val="001675E2"/>
    <w:rsid w:val="00167627"/>
    <w:rsid w:val="00167650"/>
    <w:rsid w:val="001676CA"/>
    <w:rsid w:val="00167750"/>
    <w:rsid w:val="00167914"/>
    <w:rsid w:val="00167A6C"/>
    <w:rsid w:val="00167B16"/>
    <w:rsid w:val="00167B5B"/>
    <w:rsid w:val="00167B97"/>
    <w:rsid w:val="00167DEB"/>
    <w:rsid w:val="00167EAD"/>
    <w:rsid w:val="00170022"/>
    <w:rsid w:val="00170030"/>
    <w:rsid w:val="0017019E"/>
    <w:rsid w:val="00170334"/>
    <w:rsid w:val="001704A3"/>
    <w:rsid w:val="00170613"/>
    <w:rsid w:val="00170627"/>
    <w:rsid w:val="00170856"/>
    <w:rsid w:val="0017089D"/>
    <w:rsid w:val="00170950"/>
    <w:rsid w:val="001709F6"/>
    <w:rsid w:val="00170A11"/>
    <w:rsid w:val="00170B3A"/>
    <w:rsid w:val="00170C7D"/>
    <w:rsid w:val="00170D85"/>
    <w:rsid w:val="00170DE3"/>
    <w:rsid w:val="00170E69"/>
    <w:rsid w:val="00171007"/>
    <w:rsid w:val="001710D9"/>
    <w:rsid w:val="001710EF"/>
    <w:rsid w:val="00171181"/>
    <w:rsid w:val="00171296"/>
    <w:rsid w:val="001712D0"/>
    <w:rsid w:val="00171315"/>
    <w:rsid w:val="001715B1"/>
    <w:rsid w:val="0017161A"/>
    <w:rsid w:val="00171632"/>
    <w:rsid w:val="0017168B"/>
    <w:rsid w:val="0017172C"/>
    <w:rsid w:val="001717C8"/>
    <w:rsid w:val="00171991"/>
    <w:rsid w:val="001719AB"/>
    <w:rsid w:val="00171AB8"/>
    <w:rsid w:val="00171B4C"/>
    <w:rsid w:val="00171D04"/>
    <w:rsid w:val="00171D17"/>
    <w:rsid w:val="00171D30"/>
    <w:rsid w:val="00171E1F"/>
    <w:rsid w:val="00171F4C"/>
    <w:rsid w:val="00171FA5"/>
    <w:rsid w:val="00172050"/>
    <w:rsid w:val="00172167"/>
    <w:rsid w:val="001721B4"/>
    <w:rsid w:val="00172352"/>
    <w:rsid w:val="0017237A"/>
    <w:rsid w:val="00172384"/>
    <w:rsid w:val="001723C0"/>
    <w:rsid w:val="001724A2"/>
    <w:rsid w:val="001724D7"/>
    <w:rsid w:val="00172697"/>
    <w:rsid w:val="0017274E"/>
    <w:rsid w:val="001728A0"/>
    <w:rsid w:val="001728B3"/>
    <w:rsid w:val="00172966"/>
    <w:rsid w:val="001729AE"/>
    <w:rsid w:val="00172D22"/>
    <w:rsid w:val="00172DEB"/>
    <w:rsid w:val="00172F9E"/>
    <w:rsid w:val="0017314D"/>
    <w:rsid w:val="0017315C"/>
    <w:rsid w:val="001731A1"/>
    <w:rsid w:val="00173215"/>
    <w:rsid w:val="0017327B"/>
    <w:rsid w:val="00173285"/>
    <w:rsid w:val="001733D4"/>
    <w:rsid w:val="001734AC"/>
    <w:rsid w:val="00173526"/>
    <w:rsid w:val="0017360F"/>
    <w:rsid w:val="00173612"/>
    <w:rsid w:val="00173621"/>
    <w:rsid w:val="00173629"/>
    <w:rsid w:val="001736CF"/>
    <w:rsid w:val="001738A3"/>
    <w:rsid w:val="00173B3B"/>
    <w:rsid w:val="00173C11"/>
    <w:rsid w:val="00173E17"/>
    <w:rsid w:val="00173EA6"/>
    <w:rsid w:val="00173F9E"/>
    <w:rsid w:val="00173FC8"/>
    <w:rsid w:val="00173FEF"/>
    <w:rsid w:val="00174054"/>
    <w:rsid w:val="00174064"/>
    <w:rsid w:val="00174115"/>
    <w:rsid w:val="001741F5"/>
    <w:rsid w:val="001743B2"/>
    <w:rsid w:val="00174453"/>
    <w:rsid w:val="00174476"/>
    <w:rsid w:val="001744BE"/>
    <w:rsid w:val="0017451B"/>
    <w:rsid w:val="0017473E"/>
    <w:rsid w:val="001747F5"/>
    <w:rsid w:val="0017487F"/>
    <w:rsid w:val="001749E5"/>
    <w:rsid w:val="00174AEA"/>
    <w:rsid w:val="00174BF4"/>
    <w:rsid w:val="00174D71"/>
    <w:rsid w:val="00174F2F"/>
    <w:rsid w:val="00174FBD"/>
    <w:rsid w:val="00175132"/>
    <w:rsid w:val="00175153"/>
    <w:rsid w:val="00175213"/>
    <w:rsid w:val="00175254"/>
    <w:rsid w:val="001755A5"/>
    <w:rsid w:val="001755FB"/>
    <w:rsid w:val="0017573A"/>
    <w:rsid w:val="00175AF3"/>
    <w:rsid w:val="00175B3A"/>
    <w:rsid w:val="00175B90"/>
    <w:rsid w:val="00175E9E"/>
    <w:rsid w:val="00175F9A"/>
    <w:rsid w:val="00175F9F"/>
    <w:rsid w:val="00175FBA"/>
    <w:rsid w:val="00175FD3"/>
    <w:rsid w:val="001760B7"/>
    <w:rsid w:val="00176105"/>
    <w:rsid w:val="0017614C"/>
    <w:rsid w:val="00176336"/>
    <w:rsid w:val="00176366"/>
    <w:rsid w:val="00176410"/>
    <w:rsid w:val="0017645E"/>
    <w:rsid w:val="001764F8"/>
    <w:rsid w:val="0017650E"/>
    <w:rsid w:val="001765E8"/>
    <w:rsid w:val="00176701"/>
    <w:rsid w:val="001767D5"/>
    <w:rsid w:val="00176805"/>
    <w:rsid w:val="0017685C"/>
    <w:rsid w:val="00176A80"/>
    <w:rsid w:val="00176BCE"/>
    <w:rsid w:val="00176CA1"/>
    <w:rsid w:val="00176CB4"/>
    <w:rsid w:val="00176D25"/>
    <w:rsid w:val="00176DD2"/>
    <w:rsid w:val="00176E28"/>
    <w:rsid w:val="00176EF7"/>
    <w:rsid w:val="00176F9E"/>
    <w:rsid w:val="00176FEC"/>
    <w:rsid w:val="00176FF3"/>
    <w:rsid w:val="001772B7"/>
    <w:rsid w:val="001772B9"/>
    <w:rsid w:val="001772C0"/>
    <w:rsid w:val="001772E3"/>
    <w:rsid w:val="0017749B"/>
    <w:rsid w:val="00177649"/>
    <w:rsid w:val="0017772D"/>
    <w:rsid w:val="00177880"/>
    <w:rsid w:val="001779C5"/>
    <w:rsid w:val="001779EA"/>
    <w:rsid w:val="001779F0"/>
    <w:rsid w:val="00177A57"/>
    <w:rsid w:val="00177BC7"/>
    <w:rsid w:val="00177CD8"/>
    <w:rsid w:val="00177D1A"/>
    <w:rsid w:val="00177DBA"/>
    <w:rsid w:val="00177E11"/>
    <w:rsid w:val="00177E43"/>
    <w:rsid w:val="00177FE3"/>
    <w:rsid w:val="00177FFC"/>
    <w:rsid w:val="0018000C"/>
    <w:rsid w:val="0018001A"/>
    <w:rsid w:val="00180090"/>
    <w:rsid w:val="001800AB"/>
    <w:rsid w:val="0018012F"/>
    <w:rsid w:val="00180151"/>
    <w:rsid w:val="001801DE"/>
    <w:rsid w:val="001801E0"/>
    <w:rsid w:val="00180280"/>
    <w:rsid w:val="001803AA"/>
    <w:rsid w:val="001803F7"/>
    <w:rsid w:val="00180447"/>
    <w:rsid w:val="001804C3"/>
    <w:rsid w:val="00180583"/>
    <w:rsid w:val="001805A8"/>
    <w:rsid w:val="0018073D"/>
    <w:rsid w:val="00180760"/>
    <w:rsid w:val="0018078C"/>
    <w:rsid w:val="0018087A"/>
    <w:rsid w:val="001808AA"/>
    <w:rsid w:val="001808E5"/>
    <w:rsid w:val="00180BCC"/>
    <w:rsid w:val="00180DC9"/>
    <w:rsid w:val="00180E30"/>
    <w:rsid w:val="00180F1B"/>
    <w:rsid w:val="00180F1E"/>
    <w:rsid w:val="00181005"/>
    <w:rsid w:val="0018118A"/>
    <w:rsid w:val="0018128E"/>
    <w:rsid w:val="00181650"/>
    <w:rsid w:val="001817FD"/>
    <w:rsid w:val="00181816"/>
    <w:rsid w:val="0018187A"/>
    <w:rsid w:val="0018192A"/>
    <w:rsid w:val="00181985"/>
    <w:rsid w:val="00181A40"/>
    <w:rsid w:val="00181A6E"/>
    <w:rsid w:val="00181B10"/>
    <w:rsid w:val="00181B58"/>
    <w:rsid w:val="00181B72"/>
    <w:rsid w:val="00181EF4"/>
    <w:rsid w:val="00182461"/>
    <w:rsid w:val="00182544"/>
    <w:rsid w:val="001825AA"/>
    <w:rsid w:val="00182677"/>
    <w:rsid w:val="00182682"/>
    <w:rsid w:val="0018269D"/>
    <w:rsid w:val="001826DF"/>
    <w:rsid w:val="0018274A"/>
    <w:rsid w:val="00182851"/>
    <w:rsid w:val="00182C7F"/>
    <w:rsid w:val="00182CE4"/>
    <w:rsid w:val="00182DBE"/>
    <w:rsid w:val="00182DFE"/>
    <w:rsid w:val="00182E15"/>
    <w:rsid w:val="00182F6F"/>
    <w:rsid w:val="0018306F"/>
    <w:rsid w:val="00183076"/>
    <w:rsid w:val="001830C0"/>
    <w:rsid w:val="001830E1"/>
    <w:rsid w:val="00183225"/>
    <w:rsid w:val="001832CA"/>
    <w:rsid w:val="0018333D"/>
    <w:rsid w:val="001834EC"/>
    <w:rsid w:val="00183536"/>
    <w:rsid w:val="00183594"/>
    <w:rsid w:val="001836F9"/>
    <w:rsid w:val="0018372E"/>
    <w:rsid w:val="001837B2"/>
    <w:rsid w:val="00183A25"/>
    <w:rsid w:val="00183B53"/>
    <w:rsid w:val="00183C17"/>
    <w:rsid w:val="00183C65"/>
    <w:rsid w:val="00183C90"/>
    <w:rsid w:val="00183E33"/>
    <w:rsid w:val="001840A7"/>
    <w:rsid w:val="001840F2"/>
    <w:rsid w:val="0018413F"/>
    <w:rsid w:val="00184169"/>
    <w:rsid w:val="001841F0"/>
    <w:rsid w:val="001842A6"/>
    <w:rsid w:val="001842AD"/>
    <w:rsid w:val="001842C7"/>
    <w:rsid w:val="00184367"/>
    <w:rsid w:val="001845F9"/>
    <w:rsid w:val="00184623"/>
    <w:rsid w:val="00184AE4"/>
    <w:rsid w:val="00184D6C"/>
    <w:rsid w:val="00184DB3"/>
    <w:rsid w:val="00184FFD"/>
    <w:rsid w:val="00185094"/>
    <w:rsid w:val="001850B9"/>
    <w:rsid w:val="0018535D"/>
    <w:rsid w:val="00185504"/>
    <w:rsid w:val="00185536"/>
    <w:rsid w:val="0018556A"/>
    <w:rsid w:val="001855F7"/>
    <w:rsid w:val="0018566D"/>
    <w:rsid w:val="001857B1"/>
    <w:rsid w:val="001857DE"/>
    <w:rsid w:val="0018596B"/>
    <w:rsid w:val="00185AD4"/>
    <w:rsid w:val="00185AD6"/>
    <w:rsid w:val="00185CF5"/>
    <w:rsid w:val="00185CFE"/>
    <w:rsid w:val="00185D44"/>
    <w:rsid w:val="00185D58"/>
    <w:rsid w:val="001860D1"/>
    <w:rsid w:val="001864B9"/>
    <w:rsid w:val="001864FF"/>
    <w:rsid w:val="001865C1"/>
    <w:rsid w:val="00186662"/>
    <w:rsid w:val="00186722"/>
    <w:rsid w:val="001867C1"/>
    <w:rsid w:val="00186880"/>
    <w:rsid w:val="00186922"/>
    <w:rsid w:val="001869CE"/>
    <w:rsid w:val="00186D2A"/>
    <w:rsid w:val="00186D90"/>
    <w:rsid w:val="00186FA3"/>
    <w:rsid w:val="00186FC4"/>
    <w:rsid w:val="001870E2"/>
    <w:rsid w:val="001870EC"/>
    <w:rsid w:val="0018720C"/>
    <w:rsid w:val="0018736F"/>
    <w:rsid w:val="00187481"/>
    <w:rsid w:val="00187496"/>
    <w:rsid w:val="00187562"/>
    <w:rsid w:val="001875F5"/>
    <w:rsid w:val="001877F1"/>
    <w:rsid w:val="00187865"/>
    <w:rsid w:val="001878AD"/>
    <w:rsid w:val="001878BB"/>
    <w:rsid w:val="0018791B"/>
    <w:rsid w:val="00187993"/>
    <w:rsid w:val="00187B3C"/>
    <w:rsid w:val="00187B41"/>
    <w:rsid w:val="00187BD0"/>
    <w:rsid w:val="00187E2A"/>
    <w:rsid w:val="00187E74"/>
    <w:rsid w:val="00187EB0"/>
    <w:rsid w:val="00187F9E"/>
    <w:rsid w:val="00187FCD"/>
    <w:rsid w:val="00187FDE"/>
    <w:rsid w:val="001900BB"/>
    <w:rsid w:val="001902E9"/>
    <w:rsid w:val="00190312"/>
    <w:rsid w:val="0019044F"/>
    <w:rsid w:val="001904B6"/>
    <w:rsid w:val="001906A0"/>
    <w:rsid w:val="00190984"/>
    <w:rsid w:val="00190A59"/>
    <w:rsid w:val="00190B21"/>
    <w:rsid w:val="00190F0F"/>
    <w:rsid w:val="00190F9F"/>
    <w:rsid w:val="00190FF6"/>
    <w:rsid w:val="0019101A"/>
    <w:rsid w:val="00191035"/>
    <w:rsid w:val="001910F1"/>
    <w:rsid w:val="00191118"/>
    <w:rsid w:val="0019113E"/>
    <w:rsid w:val="001911CF"/>
    <w:rsid w:val="001912DB"/>
    <w:rsid w:val="00191347"/>
    <w:rsid w:val="0019142B"/>
    <w:rsid w:val="001915B1"/>
    <w:rsid w:val="001915EA"/>
    <w:rsid w:val="00191661"/>
    <w:rsid w:val="00191841"/>
    <w:rsid w:val="00191865"/>
    <w:rsid w:val="00191AF8"/>
    <w:rsid w:val="00191B12"/>
    <w:rsid w:val="00191B45"/>
    <w:rsid w:val="00191B47"/>
    <w:rsid w:val="00191BB2"/>
    <w:rsid w:val="00191BCD"/>
    <w:rsid w:val="00191CA4"/>
    <w:rsid w:val="00191DCF"/>
    <w:rsid w:val="00191F13"/>
    <w:rsid w:val="00191F1A"/>
    <w:rsid w:val="00191F82"/>
    <w:rsid w:val="00192040"/>
    <w:rsid w:val="0019205A"/>
    <w:rsid w:val="001920A4"/>
    <w:rsid w:val="0019219E"/>
    <w:rsid w:val="001921BC"/>
    <w:rsid w:val="00192223"/>
    <w:rsid w:val="00192246"/>
    <w:rsid w:val="0019226C"/>
    <w:rsid w:val="00192303"/>
    <w:rsid w:val="001923AC"/>
    <w:rsid w:val="001923E9"/>
    <w:rsid w:val="001923EC"/>
    <w:rsid w:val="00192709"/>
    <w:rsid w:val="00192767"/>
    <w:rsid w:val="001927BE"/>
    <w:rsid w:val="001927E3"/>
    <w:rsid w:val="00192818"/>
    <w:rsid w:val="0019283E"/>
    <w:rsid w:val="00192897"/>
    <w:rsid w:val="00192A6B"/>
    <w:rsid w:val="00192DE4"/>
    <w:rsid w:val="00192F9E"/>
    <w:rsid w:val="00193030"/>
    <w:rsid w:val="00193043"/>
    <w:rsid w:val="0019306E"/>
    <w:rsid w:val="00193079"/>
    <w:rsid w:val="001930E0"/>
    <w:rsid w:val="001931D5"/>
    <w:rsid w:val="001932E6"/>
    <w:rsid w:val="001933D5"/>
    <w:rsid w:val="001934C5"/>
    <w:rsid w:val="001935DD"/>
    <w:rsid w:val="0019361D"/>
    <w:rsid w:val="0019396E"/>
    <w:rsid w:val="00193977"/>
    <w:rsid w:val="00193A25"/>
    <w:rsid w:val="00193AF9"/>
    <w:rsid w:val="00193AFD"/>
    <w:rsid w:val="00193B18"/>
    <w:rsid w:val="00193BA0"/>
    <w:rsid w:val="00193BBC"/>
    <w:rsid w:val="00193D2A"/>
    <w:rsid w:val="00194100"/>
    <w:rsid w:val="001942B2"/>
    <w:rsid w:val="0019445A"/>
    <w:rsid w:val="001945A7"/>
    <w:rsid w:val="001945CC"/>
    <w:rsid w:val="001945EA"/>
    <w:rsid w:val="001946C9"/>
    <w:rsid w:val="00194846"/>
    <w:rsid w:val="00194920"/>
    <w:rsid w:val="0019495A"/>
    <w:rsid w:val="001949AC"/>
    <w:rsid w:val="00194B05"/>
    <w:rsid w:val="00194B49"/>
    <w:rsid w:val="00194C64"/>
    <w:rsid w:val="00194DDD"/>
    <w:rsid w:val="00194F2E"/>
    <w:rsid w:val="0019517D"/>
    <w:rsid w:val="00195225"/>
    <w:rsid w:val="00195341"/>
    <w:rsid w:val="00195446"/>
    <w:rsid w:val="001954A8"/>
    <w:rsid w:val="001954AF"/>
    <w:rsid w:val="001954B3"/>
    <w:rsid w:val="001954C0"/>
    <w:rsid w:val="00195501"/>
    <w:rsid w:val="00195596"/>
    <w:rsid w:val="0019565E"/>
    <w:rsid w:val="001956CE"/>
    <w:rsid w:val="0019574D"/>
    <w:rsid w:val="00195751"/>
    <w:rsid w:val="00195817"/>
    <w:rsid w:val="00195831"/>
    <w:rsid w:val="0019588B"/>
    <w:rsid w:val="001958C4"/>
    <w:rsid w:val="00195A5E"/>
    <w:rsid w:val="00195B9D"/>
    <w:rsid w:val="00195BEB"/>
    <w:rsid w:val="00195BF9"/>
    <w:rsid w:val="00195C8E"/>
    <w:rsid w:val="00195D72"/>
    <w:rsid w:val="00195ECC"/>
    <w:rsid w:val="00196019"/>
    <w:rsid w:val="001961F4"/>
    <w:rsid w:val="0019634A"/>
    <w:rsid w:val="0019640A"/>
    <w:rsid w:val="0019655C"/>
    <w:rsid w:val="001965D0"/>
    <w:rsid w:val="001965EE"/>
    <w:rsid w:val="00196749"/>
    <w:rsid w:val="0019689D"/>
    <w:rsid w:val="00196966"/>
    <w:rsid w:val="00196A21"/>
    <w:rsid w:val="00196A5E"/>
    <w:rsid w:val="00196C12"/>
    <w:rsid w:val="00196C17"/>
    <w:rsid w:val="00196C89"/>
    <w:rsid w:val="00196CF7"/>
    <w:rsid w:val="00196EAF"/>
    <w:rsid w:val="00197020"/>
    <w:rsid w:val="001970B7"/>
    <w:rsid w:val="001970F9"/>
    <w:rsid w:val="00197152"/>
    <w:rsid w:val="00197169"/>
    <w:rsid w:val="0019719A"/>
    <w:rsid w:val="001972D2"/>
    <w:rsid w:val="00197477"/>
    <w:rsid w:val="001977B9"/>
    <w:rsid w:val="001977FE"/>
    <w:rsid w:val="00197816"/>
    <w:rsid w:val="00197BAE"/>
    <w:rsid w:val="00197BEC"/>
    <w:rsid w:val="00197C80"/>
    <w:rsid w:val="00197CC0"/>
    <w:rsid w:val="00197D0F"/>
    <w:rsid w:val="00197D96"/>
    <w:rsid w:val="00197E89"/>
    <w:rsid w:val="00197E8B"/>
    <w:rsid w:val="00197F0A"/>
    <w:rsid w:val="00197FA2"/>
    <w:rsid w:val="00197FA3"/>
    <w:rsid w:val="00197FFA"/>
    <w:rsid w:val="001A00C4"/>
    <w:rsid w:val="001A016B"/>
    <w:rsid w:val="001A01D3"/>
    <w:rsid w:val="001A04B9"/>
    <w:rsid w:val="001A04C2"/>
    <w:rsid w:val="001A0563"/>
    <w:rsid w:val="001A0635"/>
    <w:rsid w:val="001A067A"/>
    <w:rsid w:val="001A090D"/>
    <w:rsid w:val="001A0943"/>
    <w:rsid w:val="001A0A2D"/>
    <w:rsid w:val="001A0A33"/>
    <w:rsid w:val="001A0A8F"/>
    <w:rsid w:val="001A0B70"/>
    <w:rsid w:val="001A0BD8"/>
    <w:rsid w:val="001A0ED9"/>
    <w:rsid w:val="001A0EE4"/>
    <w:rsid w:val="001A0F6A"/>
    <w:rsid w:val="001A0FCA"/>
    <w:rsid w:val="001A0FFD"/>
    <w:rsid w:val="001A108B"/>
    <w:rsid w:val="001A1105"/>
    <w:rsid w:val="001A1134"/>
    <w:rsid w:val="001A11C3"/>
    <w:rsid w:val="001A11D5"/>
    <w:rsid w:val="001A12CF"/>
    <w:rsid w:val="001A137F"/>
    <w:rsid w:val="001A13D4"/>
    <w:rsid w:val="001A1403"/>
    <w:rsid w:val="001A1432"/>
    <w:rsid w:val="001A14DE"/>
    <w:rsid w:val="001A1668"/>
    <w:rsid w:val="001A169C"/>
    <w:rsid w:val="001A169D"/>
    <w:rsid w:val="001A1777"/>
    <w:rsid w:val="001A17A6"/>
    <w:rsid w:val="001A18BC"/>
    <w:rsid w:val="001A1A6F"/>
    <w:rsid w:val="001A1B8C"/>
    <w:rsid w:val="001A1B97"/>
    <w:rsid w:val="001A1BA6"/>
    <w:rsid w:val="001A1C12"/>
    <w:rsid w:val="001A1C55"/>
    <w:rsid w:val="001A1CDE"/>
    <w:rsid w:val="001A1E7D"/>
    <w:rsid w:val="001A1F73"/>
    <w:rsid w:val="001A2164"/>
    <w:rsid w:val="001A22EA"/>
    <w:rsid w:val="001A247B"/>
    <w:rsid w:val="001A25A0"/>
    <w:rsid w:val="001A25D1"/>
    <w:rsid w:val="001A2629"/>
    <w:rsid w:val="001A26FF"/>
    <w:rsid w:val="001A27EB"/>
    <w:rsid w:val="001A28A1"/>
    <w:rsid w:val="001A290D"/>
    <w:rsid w:val="001A2964"/>
    <w:rsid w:val="001A2A2F"/>
    <w:rsid w:val="001A2AAB"/>
    <w:rsid w:val="001A2BD9"/>
    <w:rsid w:val="001A2C05"/>
    <w:rsid w:val="001A2C21"/>
    <w:rsid w:val="001A2C30"/>
    <w:rsid w:val="001A2D4B"/>
    <w:rsid w:val="001A2F8A"/>
    <w:rsid w:val="001A2FE9"/>
    <w:rsid w:val="001A3041"/>
    <w:rsid w:val="001A3096"/>
    <w:rsid w:val="001A329E"/>
    <w:rsid w:val="001A32B5"/>
    <w:rsid w:val="001A337B"/>
    <w:rsid w:val="001A342D"/>
    <w:rsid w:val="001A3448"/>
    <w:rsid w:val="001A3458"/>
    <w:rsid w:val="001A3578"/>
    <w:rsid w:val="001A3679"/>
    <w:rsid w:val="001A3748"/>
    <w:rsid w:val="001A3860"/>
    <w:rsid w:val="001A3920"/>
    <w:rsid w:val="001A3A82"/>
    <w:rsid w:val="001A3ADA"/>
    <w:rsid w:val="001A3B7B"/>
    <w:rsid w:val="001A3BE1"/>
    <w:rsid w:val="001A3C02"/>
    <w:rsid w:val="001A3DCB"/>
    <w:rsid w:val="001A3F61"/>
    <w:rsid w:val="001A3F76"/>
    <w:rsid w:val="001A3FF2"/>
    <w:rsid w:val="001A40CD"/>
    <w:rsid w:val="001A416B"/>
    <w:rsid w:val="001A417D"/>
    <w:rsid w:val="001A4290"/>
    <w:rsid w:val="001A42FB"/>
    <w:rsid w:val="001A43C4"/>
    <w:rsid w:val="001A47F6"/>
    <w:rsid w:val="001A4974"/>
    <w:rsid w:val="001A499B"/>
    <w:rsid w:val="001A4A3C"/>
    <w:rsid w:val="001A4AD8"/>
    <w:rsid w:val="001A4B70"/>
    <w:rsid w:val="001A4C1B"/>
    <w:rsid w:val="001A4C83"/>
    <w:rsid w:val="001A4E31"/>
    <w:rsid w:val="001A50C2"/>
    <w:rsid w:val="001A51B0"/>
    <w:rsid w:val="001A5351"/>
    <w:rsid w:val="001A54FE"/>
    <w:rsid w:val="001A55A9"/>
    <w:rsid w:val="001A56CA"/>
    <w:rsid w:val="001A580D"/>
    <w:rsid w:val="001A5879"/>
    <w:rsid w:val="001A5AC4"/>
    <w:rsid w:val="001A5B50"/>
    <w:rsid w:val="001A5DC7"/>
    <w:rsid w:val="001A5DE9"/>
    <w:rsid w:val="001A5DF1"/>
    <w:rsid w:val="001A5E53"/>
    <w:rsid w:val="001A5E67"/>
    <w:rsid w:val="001A5EA4"/>
    <w:rsid w:val="001A5FC0"/>
    <w:rsid w:val="001A5FEE"/>
    <w:rsid w:val="001A6039"/>
    <w:rsid w:val="001A6121"/>
    <w:rsid w:val="001A612A"/>
    <w:rsid w:val="001A612C"/>
    <w:rsid w:val="001A61B8"/>
    <w:rsid w:val="001A6214"/>
    <w:rsid w:val="001A6471"/>
    <w:rsid w:val="001A64D1"/>
    <w:rsid w:val="001A6548"/>
    <w:rsid w:val="001A666A"/>
    <w:rsid w:val="001A6676"/>
    <w:rsid w:val="001A66A7"/>
    <w:rsid w:val="001A674E"/>
    <w:rsid w:val="001A6842"/>
    <w:rsid w:val="001A6860"/>
    <w:rsid w:val="001A6C5F"/>
    <w:rsid w:val="001A6ED6"/>
    <w:rsid w:val="001A6F06"/>
    <w:rsid w:val="001A6F9E"/>
    <w:rsid w:val="001A6FDE"/>
    <w:rsid w:val="001A6FF1"/>
    <w:rsid w:val="001A7128"/>
    <w:rsid w:val="001A727E"/>
    <w:rsid w:val="001A72F4"/>
    <w:rsid w:val="001A7459"/>
    <w:rsid w:val="001A754A"/>
    <w:rsid w:val="001A7563"/>
    <w:rsid w:val="001A75B6"/>
    <w:rsid w:val="001A76A7"/>
    <w:rsid w:val="001A77A9"/>
    <w:rsid w:val="001A77C1"/>
    <w:rsid w:val="001A78A7"/>
    <w:rsid w:val="001A78DB"/>
    <w:rsid w:val="001A7912"/>
    <w:rsid w:val="001A7941"/>
    <w:rsid w:val="001A79AE"/>
    <w:rsid w:val="001A7A0D"/>
    <w:rsid w:val="001A7C0C"/>
    <w:rsid w:val="001A7C7D"/>
    <w:rsid w:val="001A7CCE"/>
    <w:rsid w:val="001A7D5A"/>
    <w:rsid w:val="001A7DED"/>
    <w:rsid w:val="001A7FE2"/>
    <w:rsid w:val="001B006B"/>
    <w:rsid w:val="001B00A1"/>
    <w:rsid w:val="001B01E5"/>
    <w:rsid w:val="001B0348"/>
    <w:rsid w:val="001B04D9"/>
    <w:rsid w:val="001B0580"/>
    <w:rsid w:val="001B0592"/>
    <w:rsid w:val="001B0595"/>
    <w:rsid w:val="001B06CD"/>
    <w:rsid w:val="001B0719"/>
    <w:rsid w:val="001B079C"/>
    <w:rsid w:val="001B0871"/>
    <w:rsid w:val="001B091C"/>
    <w:rsid w:val="001B0A37"/>
    <w:rsid w:val="001B0B68"/>
    <w:rsid w:val="001B0BAF"/>
    <w:rsid w:val="001B0D37"/>
    <w:rsid w:val="001B0DAB"/>
    <w:rsid w:val="001B0E7D"/>
    <w:rsid w:val="001B0F0D"/>
    <w:rsid w:val="001B0F42"/>
    <w:rsid w:val="001B0F71"/>
    <w:rsid w:val="001B0F86"/>
    <w:rsid w:val="001B1117"/>
    <w:rsid w:val="001B11CE"/>
    <w:rsid w:val="001B11DE"/>
    <w:rsid w:val="001B130F"/>
    <w:rsid w:val="001B1321"/>
    <w:rsid w:val="001B132C"/>
    <w:rsid w:val="001B13CC"/>
    <w:rsid w:val="001B1445"/>
    <w:rsid w:val="001B1617"/>
    <w:rsid w:val="001B1678"/>
    <w:rsid w:val="001B1686"/>
    <w:rsid w:val="001B175C"/>
    <w:rsid w:val="001B17C0"/>
    <w:rsid w:val="001B1843"/>
    <w:rsid w:val="001B190E"/>
    <w:rsid w:val="001B199E"/>
    <w:rsid w:val="001B1A25"/>
    <w:rsid w:val="001B1A36"/>
    <w:rsid w:val="001B1A89"/>
    <w:rsid w:val="001B1ABF"/>
    <w:rsid w:val="001B1BF7"/>
    <w:rsid w:val="001B1C1D"/>
    <w:rsid w:val="001B1D01"/>
    <w:rsid w:val="001B1DF2"/>
    <w:rsid w:val="001B1E1B"/>
    <w:rsid w:val="001B1E4D"/>
    <w:rsid w:val="001B20E1"/>
    <w:rsid w:val="001B215A"/>
    <w:rsid w:val="001B222B"/>
    <w:rsid w:val="001B22BA"/>
    <w:rsid w:val="001B22EF"/>
    <w:rsid w:val="001B22FB"/>
    <w:rsid w:val="001B2372"/>
    <w:rsid w:val="001B23A3"/>
    <w:rsid w:val="001B23CC"/>
    <w:rsid w:val="001B262C"/>
    <w:rsid w:val="001B2653"/>
    <w:rsid w:val="001B2662"/>
    <w:rsid w:val="001B2664"/>
    <w:rsid w:val="001B273A"/>
    <w:rsid w:val="001B27D1"/>
    <w:rsid w:val="001B2829"/>
    <w:rsid w:val="001B2A3B"/>
    <w:rsid w:val="001B2BA4"/>
    <w:rsid w:val="001B2DF0"/>
    <w:rsid w:val="001B2E0A"/>
    <w:rsid w:val="001B2E55"/>
    <w:rsid w:val="001B2E8E"/>
    <w:rsid w:val="001B3071"/>
    <w:rsid w:val="001B3083"/>
    <w:rsid w:val="001B3153"/>
    <w:rsid w:val="001B3209"/>
    <w:rsid w:val="001B338A"/>
    <w:rsid w:val="001B33BF"/>
    <w:rsid w:val="001B350A"/>
    <w:rsid w:val="001B3544"/>
    <w:rsid w:val="001B365B"/>
    <w:rsid w:val="001B365E"/>
    <w:rsid w:val="001B367A"/>
    <w:rsid w:val="001B3688"/>
    <w:rsid w:val="001B38A5"/>
    <w:rsid w:val="001B38EE"/>
    <w:rsid w:val="001B3963"/>
    <w:rsid w:val="001B3B29"/>
    <w:rsid w:val="001B3B33"/>
    <w:rsid w:val="001B3B64"/>
    <w:rsid w:val="001B3B8C"/>
    <w:rsid w:val="001B3C14"/>
    <w:rsid w:val="001B3C8A"/>
    <w:rsid w:val="001B3DBC"/>
    <w:rsid w:val="001B3DF0"/>
    <w:rsid w:val="001B3FE0"/>
    <w:rsid w:val="001B402F"/>
    <w:rsid w:val="001B4087"/>
    <w:rsid w:val="001B43BE"/>
    <w:rsid w:val="001B44E3"/>
    <w:rsid w:val="001B450C"/>
    <w:rsid w:val="001B4687"/>
    <w:rsid w:val="001B47D4"/>
    <w:rsid w:val="001B47D8"/>
    <w:rsid w:val="001B485D"/>
    <w:rsid w:val="001B48D8"/>
    <w:rsid w:val="001B4924"/>
    <w:rsid w:val="001B4AEF"/>
    <w:rsid w:val="001B529F"/>
    <w:rsid w:val="001B544C"/>
    <w:rsid w:val="001B5520"/>
    <w:rsid w:val="001B55F8"/>
    <w:rsid w:val="001B56C6"/>
    <w:rsid w:val="001B58D3"/>
    <w:rsid w:val="001B5922"/>
    <w:rsid w:val="001B597C"/>
    <w:rsid w:val="001B59F8"/>
    <w:rsid w:val="001B5B1C"/>
    <w:rsid w:val="001B5B82"/>
    <w:rsid w:val="001B5B92"/>
    <w:rsid w:val="001B5BD5"/>
    <w:rsid w:val="001B5C25"/>
    <w:rsid w:val="001B5CFB"/>
    <w:rsid w:val="001B5D8E"/>
    <w:rsid w:val="001B5DA6"/>
    <w:rsid w:val="001B5F82"/>
    <w:rsid w:val="001B6143"/>
    <w:rsid w:val="001B6189"/>
    <w:rsid w:val="001B61B3"/>
    <w:rsid w:val="001B6394"/>
    <w:rsid w:val="001B64D1"/>
    <w:rsid w:val="001B67EA"/>
    <w:rsid w:val="001B680A"/>
    <w:rsid w:val="001B68CE"/>
    <w:rsid w:val="001B68F2"/>
    <w:rsid w:val="001B6ABC"/>
    <w:rsid w:val="001B6BB0"/>
    <w:rsid w:val="001B6D85"/>
    <w:rsid w:val="001B6DBC"/>
    <w:rsid w:val="001B6F7D"/>
    <w:rsid w:val="001B7092"/>
    <w:rsid w:val="001B7159"/>
    <w:rsid w:val="001B7220"/>
    <w:rsid w:val="001B73B0"/>
    <w:rsid w:val="001B73C8"/>
    <w:rsid w:val="001B7586"/>
    <w:rsid w:val="001B7597"/>
    <w:rsid w:val="001B75C3"/>
    <w:rsid w:val="001B77A8"/>
    <w:rsid w:val="001B7A99"/>
    <w:rsid w:val="001B7BBD"/>
    <w:rsid w:val="001B7C7C"/>
    <w:rsid w:val="001B7DC1"/>
    <w:rsid w:val="001B7E47"/>
    <w:rsid w:val="001B7E63"/>
    <w:rsid w:val="001B7E9B"/>
    <w:rsid w:val="001B7EB3"/>
    <w:rsid w:val="001B7ED4"/>
    <w:rsid w:val="001C00D3"/>
    <w:rsid w:val="001C01F3"/>
    <w:rsid w:val="001C021A"/>
    <w:rsid w:val="001C0249"/>
    <w:rsid w:val="001C032C"/>
    <w:rsid w:val="001C0443"/>
    <w:rsid w:val="001C06B9"/>
    <w:rsid w:val="001C0717"/>
    <w:rsid w:val="001C0788"/>
    <w:rsid w:val="001C08C7"/>
    <w:rsid w:val="001C0A5C"/>
    <w:rsid w:val="001C0AEA"/>
    <w:rsid w:val="001C0B2F"/>
    <w:rsid w:val="001C0C37"/>
    <w:rsid w:val="001C0CEC"/>
    <w:rsid w:val="001C0D2C"/>
    <w:rsid w:val="001C0D71"/>
    <w:rsid w:val="001C0E19"/>
    <w:rsid w:val="001C0F9C"/>
    <w:rsid w:val="001C112C"/>
    <w:rsid w:val="001C119F"/>
    <w:rsid w:val="001C127D"/>
    <w:rsid w:val="001C1377"/>
    <w:rsid w:val="001C13C2"/>
    <w:rsid w:val="001C1486"/>
    <w:rsid w:val="001C14DF"/>
    <w:rsid w:val="001C14E1"/>
    <w:rsid w:val="001C164A"/>
    <w:rsid w:val="001C16CB"/>
    <w:rsid w:val="001C1788"/>
    <w:rsid w:val="001C17F5"/>
    <w:rsid w:val="001C1835"/>
    <w:rsid w:val="001C1A35"/>
    <w:rsid w:val="001C1AB1"/>
    <w:rsid w:val="001C1B59"/>
    <w:rsid w:val="001C1B70"/>
    <w:rsid w:val="001C1D1D"/>
    <w:rsid w:val="001C20B7"/>
    <w:rsid w:val="001C20D0"/>
    <w:rsid w:val="001C225C"/>
    <w:rsid w:val="001C2280"/>
    <w:rsid w:val="001C241C"/>
    <w:rsid w:val="001C27B5"/>
    <w:rsid w:val="001C2963"/>
    <w:rsid w:val="001C2AF9"/>
    <w:rsid w:val="001C2B59"/>
    <w:rsid w:val="001C2B9C"/>
    <w:rsid w:val="001C2BCE"/>
    <w:rsid w:val="001C2D4A"/>
    <w:rsid w:val="001C302F"/>
    <w:rsid w:val="001C306F"/>
    <w:rsid w:val="001C3174"/>
    <w:rsid w:val="001C31D1"/>
    <w:rsid w:val="001C3502"/>
    <w:rsid w:val="001C3581"/>
    <w:rsid w:val="001C358D"/>
    <w:rsid w:val="001C35D3"/>
    <w:rsid w:val="001C35EB"/>
    <w:rsid w:val="001C3642"/>
    <w:rsid w:val="001C3678"/>
    <w:rsid w:val="001C376B"/>
    <w:rsid w:val="001C38A3"/>
    <w:rsid w:val="001C3B89"/>
    <w:rsid w:val="001C3BEE"/>
    <w:rsid w:val="001C3C91"/>
    <w:rsid w:val="001C3CA6"/>
    <w:rsid w:val="001C3D7B"/>
    <w:rsid w:val="001C3E39"/>
    <w:rsid w:val="001C3E97"/>
    <w:rsid w:val="001C3F8E"/>
    <w:rsid w:val="001C4082"/>
    <w:rsid w:val="001C40A0"/>
    <w:rsid w:val="001C44F9"/>
    <w:rsid w:val="001C4501"/>
    <w:rsid w:val="001C4577"/>
    <w:rsid w:val="001C46A7"/>
    <w:rsid w:val="001C46D1"/>
    <w:rsid w:val="001C4AEB"/>
    <w:rsid w:val="001C4E3A"/>
    <w:rsid w:val="001C4F11"/>
    <w:rsid w:val="001C5011"/>
    <w:rsid w:val="001C506C"/>
    <w:rsid w:val="001C51AB"/>
    <w:rsid w:val="001C520C"/>
    <w:rsid w:val="001C5408"/>
    <w:rsid w:val="001C556E"/>
    <w:rsid w:val="001C566F"/>
    <w:rsid w:val="001C5703"/>
    <w:rsid w:val="001C573A"/>
    <w:rsid w:val="001C59DB"/>
    <w:rsid w:val="001C59DE"/>
    <w:rsid w:val="001C5C41"/>
    <w:rsid w:val="001C5E9F"/>
    <w:rsid w:val="001C60B6"/>
    <w:rsid w:val="001C619B"/>
    <w:rsid w:val="001C6286"/>
    <w:rsid w:val="001C62AC"/>
    <w:rsid w:val="001C63FC"/>
    <w:rsid w:val="001C6440"/>
    <w:rsid w:val="001C6492"/>
    <w:rsid w:val="001C64D0"/>
    <w:rsid w:val="001C6552"/>
    <w:rsid w:val="001C6579"/>
    <w:rsid w:val="001C65E5"/>
    <w:rsid w:val="001C6925"/>
    <w:rsid w:val="001C698D"/>
    <w:rsid w:val="001C6B78"/>
    <w:rsid w:val="001C6B88"/>
    <w:rsid w:val="001C6BB3"/>
    <w:rsid w:val="001C6E98"/>
    <w:rsid w:val="001C700E"/>
    <w:rsid w:val="001C71AD"/>
    <w:rsid w:val="001C72DD"/>
    <w:rsid w:val="001C7352"/>
    <w:rsid w:val="001C73FD"/>
    <w:rsid w:val="001C7514"/>
    <w:rsid w:val="001C756E"/>
    <w:rsid w:val="001C7633"/>
    <w:rsid w:val="001C7644"/>
    <w:rsid w:val="001C7768"/>
    <w:rsid w:val="001C77B8"/>
    <w:rsid w:val="001C780F"/>
    <w:rsid w:val="001C7AB1"/>
    <w:rsid w:val="001C7CAD"/>
    <w:rsid w:val="001C7DF5"/>
    <w:rsid w:val="001D010E"/>
    <w:rsid w:val="001D011B"/>
    <w:rsid w:val="001D01AA"/>
    <w:rsid w:val="001D027B"/>
    <w:rsid w:val="001D0647"/>
    <w:rsid w:val="001D0719"/>
    <w:rsid w:val="001D0827"/>
    <w:rsid w:val="001D09CF"/>
    <w:rsid w:val="001D0C00"/>
    <w:rsid w:val="001D0D0B"/>
    <w:rsid w:val="001D0E3F"/>
    <w:rsid w:val="001D0E5F"/>
    <w:rsid w:val="001D112F"/>
    <w:rsid w:val="001D1151"/>
    <w:rsid w:val="001D1265"/>
    <w:rsid w:val="001D12AB"/>
    <w:rsid w:val="001D13BD"/>
    <w:rsid w:val="001D151F"/>
    <w:rsid w:val="001D15C4"/>
    <w:rsid w:val="001D178E"/>
    <w:rsid w:val="001D178F"/>
    <w:rsid w:val="001D1850"/>
    <w:rsid w:val="001D18D8"/>
    <w:rsid w:val="001D1A12"/>
    <w:rsid w:val="001D1A27"/>
    <w:rsid w:val="001D1AE9"/>
    <w:rsid w:val="001D1B09"/>
    <w:rsid w:val="001D1CA2"/>
    <w:rsid w:val="001D1D03"/>
    <w:rsid w:val="001D1D16"/>
    <w:rsid w:val="001D1D89"/>
    <w:rsid w:val="001D21F9"/>
    <w:rsid w:val="001D2207"/>
    <w:rsid w:val="001D2257"/>
    <w:rsid w:val="001D235D"/>
    <w:rsid w:val="001D25A3"/>
    <w:rsid w:val="001D276C"/>
    <w:rsid w:val="001D27C8"/>
    <w:rsid w:val="001D27F7"/>
    <w:rsid w:val="001D2A67"/>
    <w:rsid w:val="001D2ACE"/>
    <w:rsid w:val="001D2CE9"/>
    <w:rsid w:val="001D2D33"/>
    <w:rsid w:val="001D2E42"/>
    <w:rsid w:val="001D2EE0"/>
    <w:rsid w:val="001D3006"/>
    <w:rsid w:val="001D305C"/>
    <w:rsid w:val="001D3125"/>
    <w:rsid w:val="001D31C1"/>
    <w:rsid w:val="001D32E3"/>
    <w:rsid w:val="001D3353"/>
    <w:rsid w:val="001D3469"/>
    <w:rsid w:val="001D3485"/>
    <w:rsid w:val="001D349E"/>
    <w:rsid w:val="001D371C"/>
    <w:rsid w:val="001D3761"/>
    <w:rsid w:val="001D37C7"/>
    <w:rsid w:val="001D38C3"/>
    <w:rsid w:val="001D3A4B"/>
    <w:rsid w:val="001D3AA6"/>
    <w:rsid w:val="001D3B40"/>
    <w:rsid w:val="001D3C62"/>
    <w:rsid w:val="001D3CE7"/>
    <w:rsid w:val="001D3CEB"/>
    <w:rsid w:val="001D3DAA"/>
    <w:rsid w:val="001D3E41"/>
    <w:rsid w:val="001D3F27"/>
    <w:rsid w:val="001D3FD2"/>
    <w:rsid w:val="001D405A"/>
    <w:rsid w:val="001D4067"/>
    <w:rsid w:val="001D415D"/>
    <w:rsid w:val="001D42D5"/>
    <w:rsid w:val="001D431C"/>
    <w:rsid w:val="001D43E6"/>
    <w:rsid w:val="001D442C"/>
    <w:rsid w:val="001D448B"/>
    <w:rsid w:val="001D455A"/>
    <w:rsid w:val="001D4615"/>
    <w:rsid w:val="001D46C6"/>
    <w:rsid w:val="001D4771"/>
    <w:rsid w:val="001D47BA"/>
    <w:rsid w:val="001D48E7"/>
    <w:rsid w:val="001D4A15"/>
    <w:rsid w:val="001D4A89"/>
    <w:rsid w:val="001D4A92"/>
    <w:rsid w:val="001D4DDA"/>
    <w:rsid w:val="001D4E37"/>
    <w:rsid w:val="001D5188"/>
    <w:rsid w:val="001D5235"/>
    <w:rsid w:val="001D523D"/>
    <w:rsid w:val="001D5326"/>
    <w:rsid w:val="001D557B"/>
    <w:rsid w:val="001D57C9"/>
    <w:rsid w:val="001D5829"/>
    <w:rsid w:val="001D596F"/>
    <w:rsid w:val="001D5AE0"/>
    <w:rsid w:val="001D5B6E"/>
    <w:rsid w:val="001D5D51"/>
    <w:rsid w:val="001D5FB4"/>
    <w:rsid w:val="001D5FD9"/>
    <w:rsid w:val="001D609E"/>
    <w:rsid w:val="001D60D3"/>
    <w:rsid w:val="001D62DA"/>
    <w:rsid w:val="001D6324"/>
    <w:rsid w:val="001D6363"/>
    <w:rsid w:val="001D643A"/>
    <w:rsid w:val="001D64F7"/>
    <w:rsid w:val="001D6512"/>
    <w:rsid w:val="001D668E"/>
    <w:rsid w:val="001D6723"/>
    <w:rsid w:val="001D6731"/>
    <w:rsid w:val="001D689B"/>
    <w:rsid w:val="001D697B"/>
    <w:rsid w:val="001D69FB"/>
    <w:rsid w:val="001D6B07"/>
    <w:rsid w:val="001D6B46"/>
    <w:rsid w:val="001D6B83"/>
    <w:rsid w:val="001D6CC5"/>
    <w:rsid w:val="001D6EAC"/>
    <w:rsid w:val="001D6F6B"/>
    <w:rsid w:val="001D7008"/>
    <w:rsid w:val="001D7141"/>
    <w:rsid w:val="001D716F"/>
    <w:rsid w:val="001D71DC"/>
    <w:rsid w:val="001D72DD"/>
    <w:rsid w:val="001D7431"/>
    <w:rsid w:val="001D74FD"/>
    <w:rsid w:val="001D76CF"/>
    <w:rsid w:val="001D78B7"/>
    <w:rsid w:val="001D79A0"/>
    <w:rsid w:val="001D7BB4"/>
    <w:rsid w:val="001D7EB8"/>
    <w:rsid w:val="001D7EE1"/>
    <w:rsid w:val="001D7EE6"/>
    <w:rsid w:val="001D7F2C"/>
    <w:rsid w:val="001D7FE4"/>
    <w:rsid w:val="001E025C"/>
    <w:rsid w:val="001E0488"/>
    <w:rsid w:val="001E058D"/>
    <w:rsid w:val="001E0609"/>
    <w:rsid w:val="001E078E"/>
    <w:rsid w:val="001E07F2"/>
    <w:rsid w:val="001E0802"/>
    <w:rsid w:val="001E08E8"/>
    <w:rsid w:val="001E0C16"/>
    <w:rsid w:val="001E0C91"/>
    <w:rsid w:val="001E0E14"/>
    <w:rsid w:val="001E0E42"/>
    <w:rsid w:val="001E0F06"/>
    <w:rsid w:val="001E0F1C"/>
    <w:rsid w:val="001E0FF4"/>
    <w:rsid w:val="001E10A3"/>
    <w:rsid w:val="001E114D"/>
    <w:rsid w:val="001E1193"/>
    <w:rsid w:val="001E1388"/>
    <w:rsid w:val="001E141A"/>
    <w:rsid w:val="001E141C"/>
    <w:rsid w:val="001E1478"/>
    <w:rsid w:val="001E15BD"/>
    <w:rsid w:val="001E15EC"/>
    <w:rsid w:val="001E16CB"/>
    <w:rsid w:val="001E16FB"/>
    <w:rsid w:val="001E173A"/>
    <w:rsid w:val="001E185F"/>
    <w:rsid w:val="001E186E"/>
    <w:rsid w:val="001E1885"/>
    <w:rsid w:val="001E19F3"/>
    <w:rsid w:val="001E1ADF"/>
    <w:rsid w:val="001E1C8C"/>
    <w:rsid w:val="001E1CB4"/>
    <w:rsid w:val="001E1D7E"/>
    <w:rsid w:val="001E20DD"/>
    <w:rsid w:val="001E21DC"/>
    <w:rsid w:val="001E2212"/>
    <w:rsid w:val="001E2216"/>
    <w:rsid w:val="001E2288"/>
    <w:rsid w:val="001E2376"/>
    <w:rsid w:val="001E254B"/>
    <w:rsid w:val="001E25D5"/>
    <w:rsid w:val="001E25E2"/>
    <w:rsid w:val="001E25F7"/>
    <w:rsid w:val="001E2683"/>
    <w:rsid w:val="001E2718"/>
    <w:rsid w:val="001E283C"/>
    <w:rsid w:val="001E290F"/>
    <w:rsid w:val="001E2A7E"/>
    <w:rsid w:val="001E2DE6"/>
    <w:rsid w:val="001E2E06"/>
    <w:rsid w:val="001E2E60"/>
    <w:rsid w:val="001E2EF3"/>
    <w:rsid w:val="001E2F77"/>
    <w:rsid w:val="001E3061"/>
    <w:rsid w:val="001E307E"/>
    <w:rsid w:val="001E30C3"/>
    <w:rsid w:val="001E3215"/>
    <w:rsid w:val="001E3307"/>
    <w:rsid w:val="001E3393"/>
    <w:rsid w:val="001E37FF"/>
    <w:rsid w:val="001E3D27"/>
    <w:rsid w:val="001E3D2A"/>
    <w:rsid w:val="001E3E1F"/>
    <w:rsid w:val="001E40A6"/>
    <w:rsid w:val="001E41B7"/>
    <w:rsid w:val="001E41BD"/>
    <w:rsid w:val="001E41E1"/>
    <w:rsid w:val="001E4253"/>
    <w:rsid w:val="001E431E"/>
    <w:rsid w:val="001E435A"/>
    <w:rsid w:val="001E4368"/>
    <w:rsid w:val="001E4372"/>
    <w:rsid w:val="001E4391"/>
    <w:rsid w:val="001E4395"/>
    <w:rsid w:val="001E450E"/>
    <w:rsid w:val="001E455E"/>
    <w:rsid w:val="001E46DF"/>
    <w:rsid w:val="001E4748"/>
    <w:rsid w:val="001E49B8"/>
    <w:rsid w:val="001E4A33"/>
    <w:rsid w:val="001E4B5B"/>
    <w:rsid w:val="001E4C45"/>
    <w:rsid w:val="001E4E48"/>
    <w:rsid w:val="001E4FDD"/>
    <w:rsid w:val="001E5001"/>
    <w:rsid w:val="001E5097"/>
    <w:rsid w:val="001E5173"/>
    <w:rsid w:val="001E538D"/>
    <w:rsid w:val="001E53EE"/>
    <w:rsid w:val="001E551C"/>
    <w:rsid w:val="001E5643"/>
    <w:rsid w:val="001E565F"/>
    <w:rsid w:val="001E5774"/>
    <w:rsid w:val="001E57D6"/>
    <w:rsid w:val="001E59C3"/>
    <w:rsid w:val="001E5AB9"/>
    <w:rsid w:val="001E5CB4"/>
    <w:rsid w:val="001E5F1A"/>
    <w:rsid w:val="001E5FFC"/>
    <w:rsid w:val="001E6037"/>
    <w:rsid w:val="001E607A"/>
    <w:rsid w:val="001E6160"/>
    <w:rsid w:val="001E61E1"/>
    <w:rsid w:val="001E6301"/>
    <w:rsid w:val="001E633D"/>
    <w:rsid w:val="001E634E"/>
    <w:rsid w:val="001E6463"/>
    <w:rsid w:val="001E66B0"/>
    <w:rsid w:val="001E6805"/>
    <w:rsid w:val="001E686C"/>
    <w:rsid w:val="001E689F"/>
    <w:rsid w:val="001E68AA"/>
    <w:rsid w:val="001E6AFD"/>
    <w:rsid w:val="001E6BB9"/>
    <w:rsid w:val="001E6C00"/>
    <w:rsid w:val="001E6CF6"/>
    <w:rsid w:val="001E6D60"/>
    <w:rsid w:val="001E6DD9"/>
    <w:rsid w:val="001E6E22"/>
    <w:rsid w:val="001E7027"/>
    <w:rsid w:val="001E7054"/>
    <w:rsid w:val="001E70D2"/>
    <w:rsid w:val="001E7280"/>
    <w:rsid w:val="001E7292"/>
    <w:rsid w:val="001E7307"/>
    <w:rsid w:val="001E73A4"/>
    <w:rsid w:val="001E747F"/>
    <w:rsid w:val="001E7530"/>
    <w:rsid w:val="001E7592"/>
    <w:rsid w:val="001E762A"/>
    <w:rsid w:val="001E790E"/>
    <w:rsid w:val="001E7948"/>
    <w:rsid w:val="001E7963"/>
    <w:rsid w:val="001E79AC"/>
    <w:rsid w:val="001E7A68"/>
    <w:rsid w:val="001E7B96"/>
    <w:rsid w:val="001E7C0B"/>
    <w:rsid w:val="001E7CC7"/>
    <w:rsid w:val="001E7D78"/>
    <w:rsid w:val="001E7D8B"/>
    <w:rsid w:val="001E7DD9"/>
    <w:rsid w:val="001E7F88"/>
    <w:rsid w:val="001F0016"/>
    <w:rsid w:val="001F0033"/>
    <w:rsid w:val="001F0049"/>
    <w:rsid w:val="001F00BD"/>
    <w:rsid w:val="001F03F3"/>
    <w:rsid w:val="001F03F9"/>
    <w:rsid w:val="001F04A4"/>
    <w:rsid w:val="001F05D5"/>
    <w:rsid w:val="001F0784"/>
    <w:rsid w:val="001F07D2"/>
    <w:rsid w:val="001F07EF"/>
    <w:rsid w:val="001F083E"/>
    <w:rsid w:val="001F0921"/>
    <w:rsid w:val="001F0933"/>
    <w:rsid w:val="001F093F"/>
    <w:rsid w:val="001F0976"/>
    <w:rsid w:val="001F09E2"/>
    <w:rsid w:val="001F0A6C"/>
    <w:rsid w:val="001F0B5B"/>
    <w:rsid w:val="001F0C20"/>
    <w:rsid w:val="001F0C34"/>
    <w:rsid w:val="001F0D2F"/>
    <w:rsid w:val="001F0D56"/>
    <w:rsid w:val="001F0D74"/>
    <w:rsid w:val="001F0DEC"/>
    <w:rsid w:val="001F0E18"/>
    <w:rsid w:val="001F1039"/>
    <w:rsid w:val="001F10B5"/>
    <w:rsid w:val="001F10CD"/>
    <w:rsid w:val="001F10EE"/>
    <w:rsid w:val="001F11EA"/>
    <w:rsid w:val="001F1391"/>
    <w:rsid w:val="001F13C7"/>
    <w:rsid w:val="001F151F"/>
    <w:rsid w:val="001F15FC"/>
    <w:rsid w:val="001F1623"/>
    <w:rsid w:val="001F17A3"/>
    <w:rsid w:val="001F1A83"/>
    <w:rsid w:val="001F1AD6"/>
    <w:rsid w:val="001F1B27"/>
    <w:rsid w:val="001F1B47"/>
    <w:rsid w:val="001F1C13"/>
    <w:rsid w:val="001F1CD7"/>
    <w:rsid w:val="001F1E15"/>
    <w:rsid w:val="001F1ECB"/>
    <w:rsid w:val="001F1FA6"/>
    <w:rsid w:val="001F20D2"/>
    <w:rsid w:val="001F21CD"/>
    <w:rsid w:val="001F22BE"/>
    <w:rsid w:val="001F232C"/>
    <w:rsid w:val="001F2370"/>
    <w:rsid w:val="001F25D3"/>
    <w:rsid w:val="001F2615"/>
    <w:rsid w:val="001F264A"/>
    <w:rsid w:val="001F267C"/>
    <w:rsid w:val="001F27E2"/>
    <w:rsid w:val="001F27E9"/>
    <w:rsid w:val="001F2817"/>
    <w:rsid w:val="001F28D6"/>
    <w:rsid w:val="001F295B"/>
    <w:rsid w:val="001F2AB0"/>
    <w:rsid w:val="001F2B4C"/>
    <w:rsid w:val="001F2CD9"/>
    <w:rsid w:val="001F2E48"/>
    <w:rsid w:val="001F2E9E"/>
    <w:rsid w:val="001F2EFC"/>
    <w:rsid w:val="001F2FF1"/>
    <w:rsid w:val="001F3124"/>
    <w:rsid w:val="001F33C1"/>
    <w:rsid w:val="001F3436"/>
    <w:rsid w:val="001F34DD"/>
    <w:rsid w:val="001F3665"/>
    <w:rsid w:val="001F3735"/>
    <w:rsid w:val="001F3803"/>
    <w:rsid w:val="001F38D1"/>
    <w:rsid w:val="001F3904"/>
    <w:rsid w:val="001F3A40"/>
    <w:rsid w:val="001F3AAE"/>
    <w:rsid w:val="001F3B03"/>
    <w:rsid w:val="001F3C3B"/>
    <w:rsid w:val="001F3D3F"/>
    <w:rsid w:val="001F3E9A"/>
    <w:rsid w:val="001F3ED1"/>
    <w:rsid w:val="001F3F57"/>
    <w:rsid w:val="001F4093"/>
    <w:rsid w:val="001F41D1"/>
    <w:rsid w:val="001F42F9"/>
    <w:rsid w:val="001F4575"/>
    <w:rsid w:val="001F45D2"/>
    <w:rsid w:val="001F46C3"/>
    <w:rsid w:val="001F4A22"/>
    <w:rsid w:val="001F4C44"/>
    <w:rsid w:val="001F4D37"/>
    <w:rsid w:val="001F4D9B"/>
    <w:rsid w:val="001F4E01"/>
    <w:rsid w:val="001F4EB8"/>
    <w:rsid w:val="001F4F61"/>
    <w:rsid w:val="001F52A8"/>
    <w:rsid w:val="001F52ED"/>
    <w:rsid w:val="001F5454"/>
    <w:rsid w:val="001F5501"/>
    <w:rsid w:val="001F5691"/>
    <w:rsid w:val="001F56AF"/>
    <w:rsid w:val="001F57B2"/>
    <w:rsid w:val="001F58DF"/>
    <w:rsid w:val="001F5934"/>
    <w:rsid w:val="001F5948"/>
    <w:rsid w:val="001F5BD8"/>
    <w:rsid w:val="001F5BE9"/>
    <w:rsid w:val="001F5CD8"/>
    <w:rsid w:val="001F5D32"/>
    <w:rsid w:val="001F614F"/>
    <w:rsid w:val="001F616E"/>
    <w:rsid w:val="001F63AD"/>
    <w:rsid w:val="001F6486"/>
    <w:rsid w:val="001F64C9"/>
    <w:rsid w:val="001F6531"/>
    <w:rsid w:val="001F67E0"/>
    <w:rsid w:val="001F67F3"/>
    <w:rsid w:val="001F6994"/>
    <w:rsid w:val="001F69FA"/>
    <w:rsid w:val="001F6C8C"/>
    <w:rsid w:val="001F6CB7"/>
    <w:rsid w:val="001F6D11"/>
    <w:rsid w:val="001F6D73"/>
    <w:rsid w:val="001F6D93"/>
    <w:rsid w:val="001F6DA1"/>
    <w:rsid w:val="001F70CF"/>
    <w:rsid w:val="001F7105"/>
    <w:rsid w:val="001F716A"/>
    <w:rsid w:val="001F7187"/>
    <w:rsid w:val="001F71A1"/>
    <w:rsid w:val="001F723C"/>
    <w:rsid w:val="001F72D1"/>
    <w:rsid w:val="001F738B"/>
    <w:rsid w:val="001F7761"/>
    <w:rsid w:val="001F7878"/>
    <w:rsid w:val="001F7880"/>
    <w:rsid w:val="001F78AB"/>
    <w:rsid w:val="001F79ED"/>
    <w:rsid w:val="001F7B48"/>
    <w:rsid w:val="001F7C0D"/>
    <w:rsid w:val="001F7C82"/>
    <w:rsid w:val="001F7CFB"/>
    <w:rsid w:val="001F7E0C"/>
    <w:rsid w:val="001F7E69"/>
    <w:rsid w:val="002000AD"/>
    <w:rsid w:val="00200178"/>
    <w:rsid w:val="002001D4"/>
    <w:rsid w:val="00200293"/>
    <w:rsid w:val="00200375"/>
    <w:rsid w:val="0020041C"/>
    <w:rsid w:val="0020046E"/>
    <w:rsid w:val="002004F6"/>
    <w:rsid w:val="00200557"/>
    <w:rsid w:val="00200626"/>
    <w:rsid w:val="00200692"/>
    <w:rsid w:val="002006B3"/>
    <w:rsid w:val="00200792"/>
    <w:rsid w:val="00200870"/>
    <w:rsid w:val="002008B5"/>
    <w:rsid w:val="002008DD"/>
    <w:rsid w:val="00200E36"/>
    <w:rsid w:val="00200E48"/>
    <w:rsid w:val="00200E91"/>
    <w:rsid w:val="00200EDC"/>
    <w:rsid w:val="0020100B"/>
    <w:rsid w:val="002010F0"/>
    <w:rsid w:val="00201258"/>
    <w:rsid w:val="002014BF"/>
    <w:rsid w:val="0020160C"/>
    <w:rsid w:val="0020165D"/>
    <w:rsid w:val="002016E3"/>
    <w:rsid w:val="0020178F"/>
    <w:rsid w:val="0020196E"/>
    <w:rsid w:val="00201D7E"/>
    <w:rsid w:val="00201D9D"/>
    <w:rsid w:val="00201DDC"/>
    <w:rsid w:val="00201FBE"/>
    <w:rsid w:val="00201FDA"/>
    <w:rsid w:val="00202038"/>
    <w:rsid w:val="0020277A"/>
    <w:rsid w:val="0020281F"/>
    <w:rsid w:val="00202B5E"/>
    <w:rsid w:val="00202B6F"/>
    <w:rsid w:val="00202C39"/>
    <w:rsid w:val="00202D05"/>
    <w:rsid w:val="00202F0D"/>
    <w:rsid w:val="00202F42"/>
    <w:rsid w:val="00202F45"/>
    <w:rsid w:val="00202FE5"/>
    <w:rsid w:val="00203027"/>
    <w:rsid w:val="00203175"/>
    <w:rsid w:val="00203293"/>
    <w:rsid w:val="0020338C"/>
    <w:rsid w:val="0020349C"/>
    <w:rsid w:val="002038D3"/>
    <w:rsid w:val="00203990"/>
    <w:rsid w:val="002039A7"/>
    <w:rsid w:val="002039D4"/>
    <w:rsid w:val="002039E4"/>
    <w:rsid w:val="00203B7D"/>
    <w:rsid w:val="00203BBB"/>
    <w:rsid w:val="00203C5D"/>
    <w:rsid w:val="00203D29"/>
    <w:rsid w:val="00203D9F"/>
    <w:rsid w:val="00203DD1"/>
    <w:rsid w:val="00203E89"/>
    <w:rsid w:val="0020409E"/>
    <w:rsid w:val="002040C3"/>
    <w:rsid w:val="002040DC"/>
    <w:rsid w:val="002041A4"/>
    <w:rsid w:val="00204369"/>
    <w:rsid w:val="00204440"/>
    <w:rsid w:val="002044D2"/>
    <w:rsid w:val="002044EE"/>
    <w:rsid w:val="00204512"/>
    <w:rsid w:val="002045CC"/>
    <w:rsid w:val="0020466C"/>
    <w:rsid w:val="00204749"/>
    <w:rsid w:val="00204768"/>
    <w:rsid w:val="00204785"/>
    <w:rsid w:val="00204800"/>
    <w:rsid w:val="00204811"/>
    <w:rsid w:val="00204879"/>
    <w:rsid w:val="002048DD"/>
    <w:rsid w:val="00204BA0"/>
    <w:rsid w:val="00204CD4"/>
    <w:rsid w:val="00204E6D"/>
    <w:rsid w:val="00204FA9"/>
    <w:rsid w:val="00204FBB"/>
    <w:rsid w:val="0020504F"/>
    <w:rsid w:val="00205094"/>
    <w:rsid w:val="002050D3"/>
    <w:rsid w:val="002051C3"/>
    <w:rsid w:val="002051D9"/>
    <w:rsid w:val="00205350"/>
    <w:rsid w:val="0020540A"/>
    <w:rsid w:val="00205430"/>
    <w:rsid w:val="002054AD"/>
    <w:rsid w:val="002054EE"/>
    <w:rsid w:val="0020555E"/>
    <w:rsid w:val="0020563C"/>
    <w:rsid w:val="00205694"/>
    <w:rsid w:val="002056BF"/>
    <w:rsid w:val="002056D7"/>
    <w:rsid w:val="002056F4"/>
    <w:rsid w:val="002057D9"/>
    <w:rsid w:val="00205870"/>
    <w:rsid w:val="0020589D"/>
    <w:rsid w:val="0020595A"/>
    <w:rsid w:val="00205A44"/>
    <w:rsid w:val="00205ADB"/>
    <w:rsid w:val="00205C08"/>
    <w:rsid w:val="00205D7E"/>
    <w:rsid w:val="00205EAD"/>
    <w:rsid w:val="0020604C"/>
    <w:rsid w:val="0020616E"/>
    <w:rsid w:val="00206287"/>
    <w:rsid w:val="002062CE"/>
    <w:rsid w:val="00206358"/>
    <w:rsid w:val="00206377"/>
    <w:rsid w:val="0020642E"/>
    <w:rsid w:val="00206704"/>
    <w:rsid w:val="00206802"/>
    <w:rsid w:val="002068E4"/>
    <w:rsid w:val="00206913"/>
    <w:rsid w:val="00206981"/>
    <w:rsid w:val="002069DE"/>
    <w:rsid w:val="00206A7F"/>
    <w:rsid w:val="00206AE4"/>
    <w:rsid w:val="00206B9B"/>
    <w:rsid w:val="00206C0F"/>
    <w:rsid w:val="00206C45"/>
    <w:rsid w:val="00206CD9"/>
    <w:rsid w:val="00206DEE"/>
    <w:rsid w:val="00206F13"/>
    <w:rsid w:val="00206FE3"/>
    <w:rsid w:val="00207017"/>
    <w:rsid w:val="00207022"/>
    <w:rsid w:val="0020703A"/>
    <w:rsid w:val="0020711F"/>
    <w:rsid w:val="00207172"/>
    <w:rsid w:val="00207178"/>
    <w:rsid w:val="0020722E"/>
    <w:rsid w:val="002072D5"/>
    <w:rsid w:val="002073E5"/>
    <w:rsid w:val="0020770B"/>
    <w:rsid w:val="0020775C"/>
    <w:rsid w:val="00207791"/>
    <w:rsid w:val="002077CE"/>
    <w:rsid w:val="00207818"/>
    <w:rsid w:val="0020784B"/>
    <w:rsid w:val="0020793A"/>
    <w:rsid w:val="00207946"/>
    <w:rsid w:val="0020795A"/>
    <w:rsid w:val="00207962"/>
    <w:rsid w:val="002079F0"/>
    <w:rsid w:val="00207AC3"/>
    <w:rsid w:val="00207B88"/>
    <w:rsid w:val="00207D93"/>
    <w:rsid w:val="00207DAD"/>
    <w:rsid w:val="00207DDD"/>
    <w:rsid w:val="00207E67"/>
    <w:rsid w:val="00207EF6"/>
    <w:rsid w:val="00207F4B"/>
    <w:rsid w:val="002100D7"/>
    <w:rsid w:val="00210210"/>
    <w:rsid w:val="002103EA"/>
    <w:rsid w:val="0021049D"/>
    <w:rsid w:val="002104F1"/>
    <w:rsid w:val="00210531"/>
    <w:rsid w:val="002105BF"/>
    <w:rsid w:val="00210738"/>
    <w:rsid w:val="002108AC"/>
    <w:rsid w:val="0021098F"/>
    <w:rsid w:val="002109B6"/>
    <w:rsid w:val="002109D9"/>
    <w:rsid w:val="00210D94"/>
    <w:rsid w:val="00210EA1"/>
    <w:rsid w:val="00210EF2"/>
    <w:rsid w:val="00210F78"/>
    <w:rsid w:val="00211108"/>
    <w:rsid w:val="00211221"/>
    <w:rsid w:val="00211582"/>
    <w:rsid w:val="0021174A"/>
    <w:rsid w:val="00211801"/>
    <w:rsid w:val="002118B1"/>
    <w:rsid w:val="002118D2"/>
    <w:rsid w:val="002118DE"/>
    <w:rsid w:val="00211947"/>
    <w:rsid w:val="00211A0D"/>
    <w:rsid w:val="00211B98"/>
    <w:rsid w:val="00211BE1"/>
    <w:rsid w:val="00211CF0"/>
    <w:rsid w:val="00211CF2"/>
    <w:rsid w:val="00211D37"/>
    <w:rsid w:val="00211E18"/>
    <w:rsid w:val="00211E99"/>
    <w:rsid w:val="00211F58"/>
    <w:rsid w:val="0021210C"/>
    <w:rsid w:val="00212148"/>
    <w:rsid w:val="002123BD"/>
    <w:rsid w:val="00212420"/>
    <w:rsid w:val="00212471"/>
    <w:rsid w:val="002124F8"/>
    <w:rsid w:val="00212526"/>
    <w:rsid w:val="0021259E"/>
    <w:rsid w:val="00212712"/>
    <w:rsid w:val="002127ED"/>
    <w:rsid w:val="00212960"/>
    <w:rsid w:val="00212A5E"/>
    <w:rsid w:val="00212AAB"/>
    <w:rsid w:val="00212AE7"/>
    <w:rsid w:val="00212CBF"/>
    <w:rsid w:val="00212CEC"/>
    <w:rsid w:val="00212D72"/>
    <w:rsid w:val="00212DA7"/>
    <w:rsid w:val="00212E92"/>
    <w:rsid w:val="00213050"/>
    <w:rsid w:val="00213193"/>
    <w:rsid w:val="002131E6"/>
    <w:rsid w:val="002131EF"/>
    <w:rsid w:val="0021321B"/>
    <w:rsid w:val="002132CB"/>
    <w:rsid w:val="002132F9"/>
    <w:rsid w:val="002133DE"/>
    <w:rsid w:val="0021340E"/>
    <w:rsid w:val="00213511"/>
    <w:rsid w:val="00213535"/>
    <w:rsid w:val="00213637"/>
    <w:rsid w:val="002137C3"/>
    <w:rsid w:val="002137E6"/>
    <w:rsid w:val="002138B0"/>
    <w:rsid w:val="00213916"/>
    <w:rsid w:val="002139AD"/>
    <w:rsid w:val="002139D0"/>
    <w:rsid w:val="002139F2"/>
    <w:rsid w:val="002139F4"/>
    <w:rsid w:val="00213ACD"/>
    <w:rsid w:val="00213DB0"/>
    <w:rsid w:val="00213E23"/>
    <w:rsid w:val="00213F05"/>
    <w:rsid w:val="00213F9A"/>
    <w:rsid w:val="00214153"/>
    <w:rsid w:val="00214352"/>
    <w:rsid w:val="002143DE"/>
    <w:rsid w:val="002143E7"/>
    <w:rsid w:val="00214583"/>
    <w:rsid w:val="002145AF"/>
    <w:rsid w:val="00214975"/>
    <w:rsid w:val="00214A48"/>
    <w:rsid w:val="00214A6B"/>
    <w:rsid w:val="00214B31"/>
    <w:rsid w:val="00214C1D"/>
    <w:rsid w:val="00214C2D"/>
    <w:rsid w:val="00214D72"/>
    <w:rsid w:val="00214E83"/>
    <w:rsid w:val="002150D0"/>
    <w:rsid w:val="002150D1"/>
    <w:rsid w:val="0021511C"/>
    <w:rsid w:val="002151CB"/>
    <w:rsid w:val="002151E4"/>
    <w:rsid w:val="00215273"/>
    <w:rsid w:val="002152F6"/>
    <w:rsid w:val="0021533A"/>
    <w:rsid w:val="002154DD"/>
    <w:rsid w:val="00215526"/>
    <w:rsid w:val="00215957"/>
    <w:rsid w:val="002159FB"/>
    <w:rsid w:val="00215B26"/>
    <w:rsid w:val="00215B38"/>
    <w:rsid w:val="00215B80"/>
    <w:rsid w:val="00215C28"/>
    <w:rsid w:val="00215C99"/>
    <w:rsid w:val="00215C9A"/>
    <w:rsid w:val="00215D51"/>
    <w:rsid w:val="00215DBA"/>
    <w:rsid w:val="00215E49"/>
    <w:rsid w:val="002160F1"/>
    <w:rsid w:val="0021616A"/>
    <w:rsid w:val="0021617D"/>
    <w:rsid w:val="00216195"/>
    <w:rsid w:val="002161C9"/>
    <w:rsid w:val="002162D7"/>
    <w:rsid w:val="0021645E"/>
    <w:rsid w:val="00216492"/>
    <w:rsid w:val="002164B7"/>
    <w:rsid w:val="002164E6"/>
    <w:rsid w:val="002164F9"/>
    <w:rsid w:val="00216601"/>
    <w:rsid w:val="00216663"/>
    <w:rsid w:val="00216724"/>
    <w:rsid w:val="00216756"/>
    <w:rsid w:val="0021676B"/>
    <w:rsid w:val="00216814"/>
    <w:rsid w:val="0021681E"/>
    <w:rsid w:val="0021687E"/>
    <w:rsid w:val="00216908"/>
    <w:rsid w:val="00216A33"/>
    <w:rsid w:val="00216B0F"/>
    <w:rsid w:val="00216B72"/>
    <w:rsid w:val="00216CA8"/>
    <w:rsid w:val="00216CE7"/>
    <w:rsid w:val="00216EF4"/>
    <w:rsid w:val="00216FC1"/>
    <w:rsid w:val="00216FF0"/>
    <w:rsid w:val="002170F2"/>
    <w:rsid w:val="00217164"/>
    <w:rsid w:val="0021729E"/>
    <w:rsid w:val="0021741B"/>
    <w:rsid w:val="002176E3"/>
    <w:rsid w:val="00217735"/>
    <w:rsid w:val="002179B9"/>
    <w:rsid w:val="002179C1"/>
    <w:rsid w:val="00217C64"/>
    <w:rsid w:val="00217D42"/>
    <w:rsid w:val="00217FAE"/>
    <w:rsid w:val="0022008B"/>
    <w:rsid w:val="002200ED"/>
    <w:rsid w:val="00220105"/>
    <w:rsid w:val="0022012A"/>
    <w:rsid w:val="00220185"/>
    <w:rsid w:val="002201DB"/>
    <w:rsid w:val="00220350"/>
    <w:rsid w:val="00220356"/>
    <w:rsid w:val="002206A8"/>
    <w:rsid w:val="002206B0"/>
    <w:rsid w:val="00220A33"/>
    <w:rsid w:val="00220A6F"/>
    <w:rsid w:val="00220AB7"/>
    <w:rsid w:val="00220AC3"/>
    <w:rsid w:val="00220B54"/>
    <w:rsid w:val="00220B99"/>
    <w:rsid w:val="00220CBC"/>
    <w:rsid w:val="00220D5C"/>
    <w:rsid w:val="00220DEF"/>
    <w:rsid w:val="00220F5E"/>
    <w:rsid w:val="00220FCD"/>
    <w:rsid w:val="00220FDB"/>
    <w:rsid w:val="0022102A"/>
    <w:rsid w:val="0022124A"/>
    <w:rsid w:val="0022141D"/>
    <w:rsid w:val="00221535"/>
    <w:rsid w:val="0022159B"/>
    <w:rsid w:val="0022177B"/>
    <w:rsid w:val="002217AD"/>
    <w:rsid w:val="00221888"/>
    <w:rsid w:val="00221A60"/>
    <w:rsid w:val="00221A72"/>
    <w:rsid w:val="00221A75"/>
    <w:rsid w:val="00221BBC"/>
    <w:rsid w:val="00221BF0"/>
    <w:rsid w:val="00221C32"/>
    <w:rsid w:val="00221C65"/>
    <w:rsid w:val="00221CC9"/>
    <w:rsid w:val="00221D7B"/>
    <w:rsid w:val="00221E4D"/>
    <w:rsid w:val="00221E64"/>
    <w:rsid w:val="00221EC0"/>
    <w:rsid w:val="00221F53"/>
    <w:rsid w:val="00221FDA"/>
    <w:rsid w:val="00221FDB"/>
    <w:rsid w:val="00222094"/>
    <w:rsid w:val="00222136"/>
    <w:rsid w:val="00222224"/>
    <w:rsid w:val="00222407"/>
    <w:rsid w:val="00222414"/>
    <w:rsid w:val="00222531"/>
    <w:rsid w:val="002225D2"/>
    <w:rsid w:val="002225FF"/>
    <w:rsid w:val="002226AA"/>
    <w:rsid w:val="002227F5"/>
    <w:rsid w:val="002228B1"/>
    <w:rsid w:val="002229C8"/>
    <w:rsid w:val="00222A35"/>
    <w:rsid w:val="00222B0D"/>
    <w:rsid w:val="00222BE0"/>
    <w:rsid w:val="00222BF6"/>
    <w:rsid w:val="00222CE9"/>
    <w:rsid w:val="00222D76"/>
    <w:rsid w:val="00223022"/>
    <w:rsid w:val="002230C8"/>
    <w:rsid w:val="0022333C"/>
    <w:rsid w:val="0022337A"/>
    <w:rsid w:val="00223496"/>
    <w:rsid w:val="00223634"/>
    <w:rsid w:val="0022375A"/>
    <w:rsid w:val="0022388F"/>
    <w:rsid w:val="0022394A"/>
    <w:rsid w:val="00223967"/>
    <w:rsid w:val="00223988"/>
    <w:rsid w:val="00223A2C"/>
    <w:rsid w:val="00223B63"/>
    <w:rsid w:val="00223D8E"/>
    <w:rsid w:val="00223DD9"/>
    <w:rsid w:val="00223F20"/>
    <w:rsid w:val="00223FB5"/>
    <w:rsid w:val="00223FFF"/>
    <w:rsid w:val="0022427D"/>
    <w:rsid w:val="0022429A"/>
    <w:rsid w:val="002242FE"/>
    <w:rsid w:val="00224595"/>
    <w:rsid w:val="00224626"/>
    <w:rsid w:val="0022464F"/>
    <w:rsid w:val="002246E5"/>
    <w:rsid w:val="0022475F"/>
    <w:rsid w:val="00224921"/>
    <w:rsid w:val="00224A32"/>
    <w:rsid w:val="00224A79"/>
    <w:rsid w:val="00224ABA"/>
    <w:rsid w:val="00224AD5"/>
    <w:rsid w:val="00224B8F"/>
    <w:rsid w:val="00224C1E"/>
    <w:rsid w:val="00224CA9"/>
    <w:rsid w:val="00224CDB"/>
    <w:rsid w:val="00224E0B"/>
    <w:rsid w:val="00224E9E"/>
    <w:rsid w:val="00224EA4"/>
    <w:rsid w:val="00224F84"/>
    <w:rsid w:val="00225226"/>
    <w:rsid w:val="0022527D"/>
    <w:rsid w:val="00225312"/>
    <w:rsid w:val="0022537F"/>
    <w:rsid w:val="002253AE"/>
    <w:rsid w:val="0022544A"/>
    <w:rsid w:val="00225655"/>
    <w:rsid w:val="002258DE"/>
    <w:rsid w:val="00225927"/>
    <w:rsid w:val="00225A01"/>
    <w:rsid w:val="00225F3E"/>
    <w:rsid w:val="00225FCA"/>
    <w:rsid w:val="00226050"/>
    <w:rsid w:val="002261AB"/>
    <w:rsid w:val="0022624F"/>
    <w:rsid w:val="002262F4"/>
    <w:rsid w:val="002264A0"/>
    <w:rsid w:val="0022654D"/>
    <w:rsid w:val="0022658A"/>
    <w:rsid w:val="002265BE"/>
    <w:rsid w:val="00226713"/>
    <w:rsid w:val="0022683F"/>
    <w:rsid w:val="00226913"/>
    <w:rsid w:val="0022698E"/>
    <w:rsid w:val="00226B3E"/>
    <w:rsid w:val="00226BA6"/>
    <w:rsid w:val="00226C98"/>
    <w:rsid w:val="00226CD4"/>
    <w:rsid w:val="00226D95"/>
    <w:rsid w:val="00226E95"/>
    <w:rsid w:val="00227035"/>
    <w:rsid w:val="0022715B"/>
    <w:rsid w:val="002271BD"/>
    <w:rsid w:val="002272F7"/>
    <w:rsid w:val="0022731F"/>
    <w:rsid w:val="00227365"/>
    <w:rsid w:val="00227397"/>
    <w:rsid w:val="002273B9"/>
    <w:rsid w:val="0022751F"/>
    <w:rsid w:val="00227648"/>
    <w:rsid w:val="00227732"/>
    <w:rsid w:val="0022774F"/>
    <w:rsid w:val="002278DA"/>
    <w:rsid w:val="00227918"/>
    <w:rsid w:val="00227AE4"/>
    <w:rsid w:val="00227B41"/>
    <w:rsid w:val="00227BEB"/>
    <w:rsid w:val="00227D45"/>
    <w:rsid w:val="00227D8B"/>
    <w:rsid w:val="00227ECF"/>
    <w:rsid w:val="00227F12"/>
    <w:rsid w:val="00227F54"/>
    <w:rsid w:val="0023003A"/>
    <w:rsid w:val="0023035D"/>
    <w:rsid w:val="002303BD"/>
    <w:rsid w:val="0023067B"/>
    <w:rsid w:val="0023072C"/>
    <w:rsid w:val="00230803"/>
    <w:rsid w:val="00230895"/>
    <w:rsid w:val="0023093B"/>
    <w:rsid w:val="00230956"/>
    <w:rsid w:val="00230A6A"/>
    <w:rsid w:val="00230B24"/>
    <w:rsid w:val="00230B48"/>
    <w:rsid w:val="00230BFF"/>
    <w:rsid w:val="00230D8E"/>
    <w:rsid w:val="00230DB3"/>
    <w:rsid w:val="00230DE6"/>
    <w:rsid w:val="00230EEE"/>
    <w:rsid w:val="00231049"/>
    <w:rsid w:val="0023106F"/>
    <w:rsid w:val="0023108B"/>
    <w:rsid w:val="00231125"/>
    <w:rsid w:val="0023112E"/>
    <w:rsid w:val="0023121D"/>
    <w:rsid w:val="0023123F"/>
    <w:rsid w:val="002313DB"/>
    <w:rsid w:val="002314D2"/>
    <w:rsid w:val="00231644"/>
    <w:rsid w:val="002316D9"/>
    <w:rsid w:val="0023183F"/>
    <w:rsid w:val="00231AF6"/>
    <w:rsid w:val="00231B39"/>
    <w:rsid w:val="00231C27"/>
    <w:rsid w:val="00231C86"/>
    <w:rsid w:val="00231DF9"/>
    <w:rsid w:val="00231E25"/>
    <w:rsid w:val="00231E7C"/>
    <w:rsid w:val="00232026"/>
    <w:rsid w:val="00232126"/>
    <w:rsid w:val="0023215E"/>
    <w:rsid w:val="00232173"/>
    <w:rsid w:val="00232281"/>
    <w:rsid w:val="0023229B"/>
    <w:rsid w:val="002322B4"/>
    <w:rsid w:val="00232330"/>
    <w:rsid w:val="002324FA"/>
    <w:rsid w:val="0023250B"/>
    <w:rsid w:val="0023254D"/>
    <w:rsid w:val="00232554"/>
    <w:rsid w:val="002325B3"/>
    <w:rsid w:val="002325C3"/>
    <w:rsid w:val="0023286E"/>
    <w:rsid w:val="002329CF"/>
    <w:rsid w:val="00232A37"/>
    <w:rsid w:val="00232A73"/>
    <w:rsid w:val="00232ABF"/>
    <w:rsid w:val="00232D4B"/>
    <w:rsid w:val="00232D98"/>
    <w:rsid w:val="00232EE5"/>
    <w:rsid w:val="00232EF4"/>
    <w:rsid w:val="00232EFB"/>
    <w:rsid w:val="00232FDC"/>
    <w:rsid w:val="00232FF5"/>
    <w:rsid w:val="00233028"/>
    <w:rsid w:val="0023305C"/>
    <w:rsid w:val="00233114"/>
    <w:rsid w:val="0023311D"/>
    <w:rsid w:val="0023313E"/>
    <w:rsid w:val="00233344"/>
    <w:rsid w:val="0023342E"/>
    <w:rsid w:val="00233441"/>
    <w:rsid w:val="002335E2"/>
    <w:rsid w:val="002335EC"/>
    <w:rsid w:val="0023367A"/>
    <w:rsid w:val="00233801"/>
    <w:rsid w:val="002338D2"/>
    <w:rsid w:val="00233A2A"/>
    <w:rsid w:val="00233A56"/>
    <w:rsid w:val="00233AAA"/>
    <w:rsid w:val="00233CFD"/>
    <w:rsid w:val="00233E38"/>
    <w:rsid w:val="00233EA3"/>
    <w:rsid w:val="00233F30"/>
    <w:rsid w:val="00233FD8"/>
    <w:rsid w:val="0023402F"/>
    <w:rsid w:val="0023406E"/>
    <w:rsid w:val="00234150"/>
    <w:rsid w:val="00234285"/>
    <w:rsid w:val="002342A8"/>
    <w:rsid w:val="00234381"/>
    <w:rsid w:val="002344BF"/>
    <w:rsid w:val="002344F0"/>
    <w:rsid w:val="00234693"/>
    <w:rsid w:val="002347F5"/>
    <w:rsid w:val="00234812"/>
    <w:rsid w:val="00234892"/>
    <w:rsid w:val="00234A6B"/>
    <w:rsid w:val="00234A96"/>
    <w:rsid w:val="00234B25"/>
    <w:rsid w:val="00234C2A"/>
    <w:rsid w:val="00234C54"/>
    <w:rsid w:val="00234DE0"/>
    <w:rsid w:val="00234E8D"/>
    <w:rsid w:val="00234EB2"/>
    <w:rsid w:val="00234EBB"/>
    <w:rsid w:val="00234EE4"/>
    <w:rsid w:val="0023509C"/>
    <w:rsid w:val="002350E7"/>
    <w:rsid w:val="0023511A"/>
    <w:rsid w:val="002351BA"/>
    <w:rsid w:val="002352C8"/>
    <w:rsid w:val="0023536B"/>
    <w:rsid w:val="00235505"/>
    <w:rsid w:val="00235548"/>
    <w:rsid w:val="002355A1"/>
    <w:rsid w:val="002355FD"/>
    <w:rsid w:val="002356E0"/>
    <w:rsid w:val="00235722"/>
    <w:rsid w:val="002357A2"/>
    <w:rsid w:val="002358B9"/>
    <w:rsid w:val="002358D1"/>
    <w:rsid w:val="00235BFA"/>
    <w:rsid w:val="00235CE6"/>
    <w:rsid w:val="00235D73"/>
    <w:rsid w:val="00235DF6"/>
    <w:rsid w:val="00235E81"/>
    <w:rsid w:val="00235EBC"/>
    <w:rsid w:val="00235F7B"/>
    <w:rsid w:val="00236222"/>
    <w:rsid w:val="00236443"/>
    <w:rsid w:val="0023651A"/>
    <w:rsid w:val="00236674"/>
    <w:rsid w:val="0023671A"/>
    <w:rsid w:val="002367D9"/>
    <w:rsid w:val="0023680D"/>
    <w:rsid w:val="00236827"/>
    <w:rsid w:val="0023688A"/>
    <w:rsid w:val="002368A7"/>
    <w:rsid w:val="002368DE"/>
    <w:rsid w:val="0023690A"/>
    <w:rsid w:val="00236AA1"/>
    <w:rsid w:val="00236B5E"/>
    <w:rsid w:val="00236B60"/>
    <w:rsid w:val="00236BC3"/>
    <w:rsid w:val="00236C2C"/>
    <w:rsid w:val="00236C67"/>
    <w:rsid w:val="00236F0D"/>
    <w:rsid w:val="00236FF4"/>
    <w:rsid w:val="0023714B"/>
    <w:rsid w:val="002372BD"/>
    <w:rsid w:val="00237628"/>
    <w:rsid w:val="00237763"/>
    <w:rsid w:val="0023783C"/>
    <w:rsid w:val="00237C48"/>
    <w:rsid w:val="00237C87"/>
    <w:rsid w:val="00237CAB"/>
    <w:rsid w:val="00237E11"/>
    <w:rsid w:val="00240072"/>
    <w:rsid w:val="002400E0"/>
    <w:rsid w:val="00240160"/>
    <w:rsid w:val="002402AC"/>
    <w:rsid w:val="002402E7"/>
    <w:rsid w:val="00240418"/>
    <w:rsid w:val="00240420"/>
    <w:rsid w:val="0024052C"/>
    <w:rsid w:val="00240766"/>
    <w:rsid w:val="00240879"/>
    <w:rsid w:val="00240907"/>
    <w:rsid w:val="00240C7B"/>
    <w:rsid w:val="00240CBB"/>
    <w:rsid w:val="00240F02"/>
    <w:rsid w:val="00240F53"/>
    <w:rsid w:val="00240F75"/>
    <w:rsid w:val="00240FD0"/>
    <w:rsid w:val="002410DF"/>
    <w:rsid w:val="002410FD"/>
    <w:rsid w:val="00241197"/>
    <w:rsid w:val="00241354"/>
    <w:rsid w:val="00241401"/>
    <w:rsid w:val="002414AC"/>
    <w:rsid w:val="00241557"/>
    <w:rsid w:val="002415E3"/>
    <w:rsid w:val="002417C7"/>
    <w:rsid w:val="00241881"/>
    <w:rsid w:val="00241B88"/>
    <w:rsid w:val="00241C16"/>
    <w:rsid w:val="00241C24"/>
    <w:rsid w:val="00241CAC"/>
    <w:rsid w:val="00241D65"/>
    <w:rsid w:val="00241E06"/>
    <w:rsid w:val="00241E36"/>
    <w:rsid w:val="00241F54"/>
    <w:rsid w:val="0024205E"/>
    <w:rsid w:val="00242093"/>
    <w:rsid w:val="002421B2"/>
    <w:rsid w:val="0024244F"/>
    <w:rsid w:val="002425E2"/>
    <w:rsid w:val="00242832"/>
    <w:rsid w:val="00242929"/>
    <w:rsid w:val="0024294C"/>
    <w:rsid w:val="00242A07"/>
    <w:rsid w:val="00242A2A"/>
    <w:rsid w:val="00242C66"/>
    <w:rsid w:val="00242E0D"/>
    <w:rsid w:val="00242EB2"/>
    <w:rsid w:val="00242EBF"/>
    <w:rsid w:val="00243028"/>
    <w:rsid w:val="00243111"/>
    <w:rsid w:val="00243170"/>
    <w:rsid w:val="00243246"/>
    <w:rsid w:val="0024329E"/>
    <w:rsid w:val="0024333D"/>
    <w:rsid w:val="00243385"/>
    <w:rsid w:val="002433D7"/>
    <w:rsid w:val="002433E8"/>
    <w:rsid w:val="0024343D"/>
    <w:rsid w:val="00243478"/>
    <w:rsid w:val="00243507"/>
    <w:rsid w:val="002435B4"/>
    <w:rsid w:val="00243816"/>
    <w:rsid w:val="002438BD"/>
    <w:rsid w:val="002438CC"/>
    <w:rsid w:val="002439AB"/>
    <w:rsid w:val="00243A13"/>
    <w:rsid w:val="00243A6F"/>
    <w:rsid w:val="00243B19"/>
    <w:rsid w:val="00243C3A"/>
    <w:rsid w:val="00243C50"/>
    <w:rsid w:val="00243C5C"/>
    <w:rsid w:val="00243C72"/>
    <w:rsid w:val="00243CF4"/>
    <w:rsid w:val="00243D33"/>
    <w:rsid w:val="00243D5E"/>
    <w:rsid w:val="00244176"/>
    <w:rsid w:val="00244226"/>
    <w:rsid w:val="002442C2"/>
    <w:rsid w:val="0024437D"/>
    <w:rsid w:val="002444FC"/>
    <w:rsid w:val="002445D1"/>
    <w:rsid w:val="002445EB"/>
    <w:rsid w:val="0024467C"/>
    <w:rsid w:val="00244753"/>
    <w:rsid w:val="002449DF"/>
    <w:rsid w:val="002449F9"/>
    <w:rsid w:val="00244A01"/>
    <w:rsid w:val="00244A0F"/>
    <w:rsid w:val="00244AD4"/>
    <w:rsid w:val="00244AD5"/>
    <w:rsid w:val="00244AEB"/>
    <w:rsid w:val="00244C9A"/>
    <w:rsid w:val="00244D75"/>
    <w:rsid w:val="00244DE7"/>
    <w:rsid w:val="00244E25"/>
    <w:rsid w:val="00244E51"/>
    <w:rsid w:val="00244EF0"/>
    <w:rsid w:val="00244EF4"/>
    <w:rsid w:val="00244F0B"/>
    <w:rsid w:val="00244F6C"/>
    <w:rsid w:val="00244FD4"/>
    <w:rsid w:val="00245187"/>
    <w:rsid w:val="002452A6"/>
    <w:rsid w:val="0024533E"/>
    <w:rsid w:val="00245356"/>
    <w:rsid w:val="002453BE"/>
    <w:rsid w:val="002453DA"/>
    <w:rsid w:val="002453DC"/>
    <w:rsid w:val="002454E5"/>
    <w:rsid w:val="0024556A"/>
    <w:rsid w:val="0024557D"/>
    <w:rsid w:val="002455ED"/>
    <w:rsid w:val="0024560B"/>
    <w:rsid w:val="00245670"/>
    <w:rsid w:val="002458DE"/>
    <w:rsid w:val="00245907"/>
    <w:rsid w:val="00245993"/>
    <w:rsid w:val="002459F7"/>
    <w:rsid w:val="00245BAA"/>
    <w:rsid w:val="00245CC2"/>
    <w:rsid w:val="00245EAB"/>
    <w:rsid w:val="00245F82"/>
    <w:rsid w:val="00245F9B"/>
    <w:rsid w:val="0024602E"/>
    <w:rsid w:val="002460FE"/>
    <w:rsid w:val="002461BA"/>
    <w:rsid w:val="002461FD"/>
    <w:rsid w:val="00246217"/>
    <w:rsid w:val="002462F7"/>
    <w:rsid w:val="002466C5"/>
    <w:rsid w:val="0024670D"/>
    <w:rsid w:val="002467DA"/>
    <w:rsid w:val="00246830"/>
    <w:rsid w:val="00246854"/>
    <w:rsid w:val="00246856"/>
    <w:rsid w:val="00246869"/>
    <w:rsid w:val="00246968"/>
    <w:rsid w:val="00246B54"/>
    <w:rsid w:val="00246BBF"/>
    <w:rsid w:val="00246C29"/>
    <w:rsid w:val="00246C7F"/>
    <w:rsid w:val="00246F52"/>
    <w:rsid w:val="002471BA"/>
    <w:rsid w:val="00247256"/>
    <w:rsid w:val="002472D6"/>
    <w:rsid w:val="002473A4"/>
    <w:rsid w:val="002473BC"/>
    <w:rsid w:val="0024740B"/>
    <w:rsid w:val="00247415"/>
    <w:rsid w:val="0024748E"/>
    <w:rsid w:val="00247576"/>
    <w:rsid w:val="0024767A"/>
    <w:rsid w:val="002477E3"/>
    <w:rsid w:val="00247B45"/>
    <w:rsid w:val="00247C27"/>
    <w:rsid w:val="00247D5E"/>
    <w:rsid w:val="00247EC1"/>
    <w:rsid w:val="00247F6F"/>
    <w:rsid w:val="0025009A"/>
    <w:rsid w:val="0025015E"/>
    <w:rsid w:val="002501B7"/>
    <w:rsid w:val="002501CD"/>
    <w:rsid w:val="002502F7"/>
    <w:rsid w:val="00250341"/>
    <w:rsid w:val="002503B4"/>
    <w:rsid w:val="0025040B"/>
    <w:rsid w:val="00250431"/>
    <w:rsid w:val="002504EB"/>
    <w:rsid w:val="00250574"/>
    <w:rsid w:val="002506ED"/>
    <w:rsid w:val="002506EE"/>
    <w:rsid w:val="002506FB"/>
    <w:rsid w:val="0025097A"/>
    <w:rsid w:val="00250B4C"/>
    <w:rsid w:val="00250B8C"/>
    <w:rsid w:val="00250BA2"/>
    <w:rsid w:val="00250BB9"/>
    <w:rsid w:val="00250D7D"/>
    <w:rsid w:val="00250F89"/>
    <w:rsid w:val="00250FBC"/>
    <w:rsid w:val="0025108D"/>
    <w:rsid w:val="002512C2"/>
    <w:rsid w:val="002512D0"/>
    <w:rsid w:val="002513DF"/>
    <w:rsid w:val="00251455"/>
    <w:rsid w:val="00251503"/>
    <w:rsid w:val="002515E0"/>
    <w:rsid w:val="002517D2"/>
    <w:rsid w:val="002518C0"/>
    <w:rsid w:val="00251BC2"/>
    <w:rsid w:val="00251C4A"/>
    <w:rsid w:val="00251CF9"/>
    <w:rsid w:val="00251D49"/>
    <w:rsid w:val="00251DBC"/>
    <w:rsid w:val="00251E35"/>
    <w:rsid w:val="00251E57"/>
    <w:rsid w:val="0025206A"/>
    <w:rsid w:val="002523CD"/>
    <w:rsid w:val="002523F0"/>
    <w:rsid w:val="00252548"/>
    <w:rsid w:val="002525EF"/>
    <w:rsid w:val="002526F1"/>
    <w:rsid w:val="002527C3"/>
    <w:rsid w:val="0025284A"/>
    <w:rsid w:val="0025286D"/>
    <w:rsid w:val="00252974"/>
    <w:rsid w:val="00252BCD"/>
    <w:rsid w:val="00252C27"/>
    <w:rsid w:val="00252D2A"/>
    <w:rsid w:val="00252D7F"/>
    <w:rsid w:val="00252DC4"/>
    <w:rsid w:val="00252E96"/>
    <w:rsid w:val="002530E1"/>
    <w:rsid w:val="0025345C"/>
    <w:rsid w:val="002534A7"/>
    <w:rsid w:val="00253673"/>
    <w:rsid w:val="002537DB"/>
    <w:rsid w:val="0025382F"/>
    <w:rsid w:val="00253836"/>
    <w:rsid w:val="00253936"/>
    <w:rsid w:val="00253984"/>
    <w:rsid w:val="00253A03"/>
    <w:rsid w:val="00253AED"/>
    <w:rsid w:val="00253B30"/>
    <w:rsid w:val="00253F34"/>
    <w:rsid w:val="00253F86"/>
    <w:rsid w:val="002543D8"/>
    <w:rsid w:val="00254620"/>
    <w:rsid w:val="002548B0"/>
    <w:rsid w:val="002548E8"/>
    <w:rsid w:val="002548F6"/>
    <w:rsid w:val="002549E9"/>
    <w:rsid w:val="00254A71"/>
    <w:rsid w:val="00254B62"/>
    <w:rsid w:val="00254C1C"/>
    <w:rsid w:val="00254CAB"/>
    <w:rsid w:val="00254CFA"/>
    <w:rsid w:val="00254E4C"/>
    <w:rsid w:val="00254EAE"/>
    <w:rsid w:val="00254EFE"/>
    <w:rsid w:val="002550A1"/>
    <w:rsid w:val="002551A2"/>
    <w:rsid w:val="002552F3"/>
    <w:rsid w:val="002553D7"/>
    <w:rsid w:val="002554E2"/>
    <w:rsid w:val="00255754"/>
    <w:rsid w:val="0025579F"/>
    <w:rsid w:val="002558E9"/>
    <w:rsid w:val="002559AA"/>
    <w:rsid w:val="002559AD"/>
    <w:rsid w:val="002559C0"/>
    <w:rsid w:val="00255BAB"/>
    <w:rsid w:val="00255BD0"/>
    <w:rsid w:val="00255CFD"/>
    <w:rsid w:val="00255FB2"/>
    <w:rsid w:val="00256017"/>
    <w:rsid w:val="0025603C"/>
    <w:rsid w:val="00256095"/>
    <w:rsid w:val="00256192"/>
    <w:rsid w:val="002563A0"/>
    <w:rsid w:val="0025645B"/>
    <w:rsid w:val="002564D4"/>
    <w:rsid w:val="0025652F"/>
    <w:rsid w:val="0025654B"/>
    <w:rsid w:val="002569C6"/>
    <w:rsid w:val="00256A7F"/>
    <w:rsid w:val="00256C10"/>
    <w:rsid w:val="00256C40"/>
    <w:rsid w:val="00256C79"/>
    <w:rsid w:val="00256E01"/>
    <w:rsid w:val="00256E31"/>
    <w:rsid w:val="00256EB6"/>
    <w:rsid w:val="00257070"/>
    <w:rsid w:val="00257274"/>
    <w:rsid w:val="002572F7"/>
    <w:rsid w:val="002575A8"/>
    <w:rsid w:val="002576B5"/>
    <w:rsid w:val="002576DA"/>
    <w:rsid w:val="00257729"/>
    <w:rsid w:val="00257910"/>
    <w:rsid w:val="00257ABA"/>
    <w:rsid w:val="00257B03"/>
    <w:rsid w:val="00257B9F"/>
    <w:rsid w:val="00257C3C"/>
    <w:rsid w:val="00257E0C"/>
    <w:rsid w:val="00257F3E"/>
    <w:rsid w:val="0026001B"/>
    <w:rsid w:val="0026013B"/>
    <w:rsid w:val="002602F3"/>
    <w:rsid w:val="002604B5"/>
    <w:rsid w:val="0026052F"/>
    <w:rsid w:val="0026061F"/>
    <w:rsid w:val="00260644"/>
    <w:rsid w:val="0026064B"/>
    <w:rsid w:val="002606E3"/>
    <w:rsid w:val="002607A4"/>
    <w:rsid w:val="002608FE"/>
    <w:rsid w:val="0026092A"/>
    <w:rsid w:val="00260A01"/>
    <w:rsid w:val="00260B1C"/>
    <w:rsid w:val="00260C59"/>
    <w:rsid w:val="00260C70"/>
    <w:rsid w:val="00260D01"/>
    <w:rsid w:val="00260D9D"/>
    <w:rsid w:val="00260EC9"/>
    <w:rsid w:val="00261125"/>
    <w:rsid w:val="00261143"/>
    <w:rsid w:val="00261162"/>
    <w:rsid w:val="0026123B"/>
    <w:rsid w:val="00261315"/>
    <w:rsid w:val="002613CE"/>
    <w:rsid w:val="002614E1"/>
    <w:rsid w:val="00261515"/>
    <w:rsid w:val="002615CC"/>
    <w:rsid w:val="002615D4"/>
    <w:rsid w:val="00261614"/>
    <w:rsid w:val="00261654"/>
    <w:rsid w:val="00261664"/>
    <w:rsid w:val="00261731"/>
    <w:rsid w:val="002617CE"/>
    <w:rsid w:val="00261827"/>
    <w:rsid w:val="002618A6"/>
    <w:rsid w:val="00261A07"/>
    <w:rsid w:val="00261C64"/>
    <w:rsid w:val="00261D17"/>
    <w:rsid w:val="00261D1A"/>
    <w:rsid w:val="00261EB4"/>
    <w:rsid w:val="00261ED7"/>
    <w:rsid w:val="00261EEC"/>
    <w:rsid w:val="00261F06"/>
    <w:rsid w:val="00261FC9"/>
    <w:rsid w:val="00262097"/>
    <w:rsid w:val="00262151"/>
    <w:rsid w:val="0026223B"/>
    <w:rsid w:val="0026228B"/>
    <w:rsid w:val="002624C1"/>
    <w:rsid w:val="0026261F"/>
    <w:rsid w:val="0026265D"/>
    <w:rsid w:val="00262978"/>
    <w:rsid w:val="00262AE3"/>
    <w:rsid w:val="00262BEC"/>
    <w:rsid w:val="00262BF3"/>
    <w:rsid w:val="00262CD2"/>
    <w:rsid w:val="00262DDE"/>
    <w:rsid w:val="00262E74"/>
    <w:rsid w:val="00262FBC"/>
    <w:rsid w:val="0026300A"/>
    <w:rsid w:val="0026305F"/>
    <w:rsid w:val="00263090"/>
    <w:rsid w:val="002631DC"/>
    <w:rsid w:val="00263225"/>
    <w:rsid w:val="0026330E"/>
    <w:rsid w:val="00263322"/>
    <w:rsid w:val="002633EB"/>
    <w:rsid w:val="002634C3"/>
    <w:rsid w:val="0026353B"/>
    <w:rsid w:val="0026361D"/>
    <w:rsid w:val="002636BD"/>
    <w:rsid w:val="002636E1"/>
    <w:rsid w:val="00263835"/>
    <w:rsid w:val="0026394E"/>
    <w:rsid w:val="002639CB"/>
    <w:rsid w:val="00263AA3"/>
    <w:rsid w:val="00263AE3"/>
    <w:rsid w:val="00263B6C"/>
    <w:rsid w:val="00263B8A"/>
    <w:rsid w:val="00263BEE"/>
    <w:rsid w:val="00263CA9"/>
    <w:rsid w:val="00263D1E"/>
    <w:rsid w:val="00263D44"/>
    <w:rsid w:val="00263E19"/>
    <w:rsid w:val="00263E2F"/>
    <w:rsid w:val="00263EB2"/>
    <w:rsid w:val="00263ED6"/>
    <w:rsid w:val="00263ED7"/>
    <w:rsid w:val="002641D8"/>
    <w:rsid w:val="00264311"/>
    <w:rsid w:val="002644DD"/>
    <w:rsid w:val="00264524"/>
    <w:rsid w:val="0026472E"/>
    <w:rsid w:val="0026485A"/>
    <w:rsid w:val="00264893"/>
    <w:rsid w:val="00264917"/>
    <w:rsid w:val="00264A2B"/>
    <w:rsid w:val="00264BCF"/>
    <w:rsid w:val="00264C18"/>
    <w:rsid w:val="00264C6C"/>
    <w:rsid w:val="00264CFD"/>
    <w:rsid w:val="00264D23"/>
    <w:rsid w:val="00264DA4"/>
    <w:rsid w:val="00264EA0"/>
    <w:rsid w:val="00264F5D"/>
    <w:rsid w:val="0026502E"/>
    <w:rsid w:val="00265115"/>
    <w:rsid w:val="00265364"/>
    <w:rsid w:val="002653ED"/>
    <w:rsid w:val="00265619"/>
    <w:rsid w:val="00265685"/>
    <w:rsid w:val="0026585C"/>
    <w:rsid w:val="0026589C"/>
    <w:rsid w:val="002658A4"/>
    <w:rsid w:val="0026597C"/>
    <w:rsid w:val="00265B96"/>
    <w:rsid w:val="00265C16"/>
    <w:rsid w:val="00265C8A"/>
    <w:rsid w:val="00265D52"/>
    <w:rsid w:val="00265DEE"/>
    <w:rsid w:val="00265E29"/>
    <w:rsid w:val="00265EF4"/>
    <w:rsid w:val="00265F18"/>
    <w:rsid w:val="00265F52"/>
    <w:rsid w:val="002661B4"/>
    <w:rsid w:val="002662EE"/>
    <w:rsid w:val="00266437"/>
    <w:rsid w:val="0026659D"/>
    <w:rsid w:val="002667CD"/>
    <w:rsid w:val="002669C5"/>
    <w:rsid w:val="00266BCC"/>
    <w:rsid w:val="00266D38"/>
    <w:rsid w:val="00266EBB"/>
    <w:rsid w:val="00266EF5"/>
    <w:rsid w:val="0026705E"/>
    <w:rsid w:val="00267115"/>
    <w:rsid w:val="0026721B"/>
    <w:rsid w:val="00267223"/>
    <w:rsid w:val="00267224"/>
    <w:rsid w:val="002672A1"/>
    <w:rsid w:val="0026731C"/>
    <w:rsid w:val="00267333"/>
    <w:rsid w:val="002674AA"/>
    <w:rsid w:val="00267555"/>
    <w:rsid w:val="002675EA"/>
    <w:rsid w:val="002676DA"/>
    <w:rsid w:val="0026773B"/>
    <w:rsid w:val="0026776C"/>
    <w:rsid w:val="002679C4"/>
    <w:rsid w:val="00267AD3"/>
    <w:rsid w:val="00267AFA"/>
    <w:rsid w:val="00267B92"/>
    <w:rsid w:val="00267D3B"/>
    <w:rsid w:val="00267E3E"/>
    <w:rsid w:val="00267F18"/>
    <w:rsid w:val="00270102"/>
    <w:rsid w:val="00270196"/>
    <w:rsid w:val="00270305"/>
    <w:rsid w:val="00270348"/>
    <w:rsid w:val="002703EB"/>
    <w:rsid w:val="002704DD"/>
    <w:rsid w:val="00270508"/>
    <w:rsid w:val="0027075D"/>
    <w:rsid w:val="00270804"/>
    <w:rsid w:val="002708F5"/>
    <w:rsid w:val="002709E2"/>
    <w:rsid w:val="00270A02"/>
    <w:rsid w:val="00270A91"/>
    <w:rsid w:val="00270AEC"/>
    <w:rsid w:val="00270C2B"/>
    <w:rsid w:val="00270C51"/>
    <w:rsid w:val="00270C91"/>
    <w:rsid w:val="00270DED"/>
    <w:rsid w:val="00270DF4"/>
    <w:rsid w:val="00270E2A"/>
    <w:rsid w:val="00270E9D"/>
    <w:rsid w:val="00270EC6"/>
    <w:rsid w:val="00270F6E"/>
    <w:rsid w:val="00270F9C"/>
    <w:rsid w:val="00271263"/>
    <w:rsid w:val="0027129F"/>
    <w:rsid w:val="002712EF"/>
    <w:rsid w:val="00271434"/>
    <w:rsid w:val="00271439"/>
    <w:rsid w:val="00271529"/>
    <w:rsid w:val="002716DF"/>
    <w:rsid w:val="002716EB"/>
    <w:rsid w:val="0027175B"/>
    <w:rsid w:val="002718C5"/>
    <w:rsid w:val="00271A2E"/>
    <w:rsid w:val="00271A9E"/>
    <w:rsid w:val="00271B3C"/>
    <w:rsid w:val="00271B46"/>
    <w:rsid w:val="00271CBD"/>
    <w:rsid w:val="00271F05"/>
    <w:rsid w:val="002720E0"/>
    <w:rsid w:val="002722AD"/>
    <w:rsid w:val="0027235E"/>
    <w:rsid w:val="00272389"/>
    <w:rsid w:val="002723BA"/>
    <w:rsid w:val="00272557"/>
    <w:rsid w:val="002725BB"/>
    <w:rsid w:val="002725F1"/>
    <w:rsid w:val="00272768"/>
    <w:rsid w:val="002727D2"/>
    <w:rsid w:val="00272935"/>
    <w:rsid w:val="00272939"/>
    <w:rsid w:val="00272967"/>
    <w:rsid w:val="00272A1C"/>
    <w:rsid w:val="00272BFC"/>
    <w:rsid w:val="00272C5C"/>
    <w:rsid w:val="00272D73"/>
    <w:rsid w:val="00272F11"/>
    <w:rsid w:val="00272F2A"/>
    <w:rsid w:val="00272F65"/>
    <w:rsid w:val="002730B6"/>
    <w:rsid w:val="0027313C"/>
    <w:rsid w:val="002731CA"/>
    <w:rsid w:val="002731EC"/>
    <w:rsid w:val="00273237"/>
    <w:rsid w:val="002732E0"/>
    <w:rsid w:val="00273544"/>
    <w:rsid w:val="00273634"/>
    <w:rsid w:val="0027365C"/>
    <w:rsid w:val="00273759"/>
    <w:rsid w:val="0027380F"/>
    <w:rsid w:val="00273902"/>
    <w:rsid w:val="0027391B"/>
    <w:rsid w:val="00273936"/>
    <w:rsid w:val="00273994"/>
    <w:rsid w:val="002739C9"/>
    <w:rsid w:val="00273A60"/>
    <w:rsid w:val="00273E11"/>
    <w:rsid w:val="00273E8F"/>
    <w:rsid w:val="00273EAE"/>
    <w:rsid w:val="00273EC6"/>
    <w:rsid w:val="00273EDD"/>
    <w:rsid w:val="00273F09"/>
    <w:rsid w:val="00273F0F"/>
    <w:rsid w:val="002740C7"/>
    <w:rsid w:val="002741B8"/>
    <w:rsid w:val="00274278"/>
    <w:rsid w:val="0027439B"/>
    <w:rsid w:val="00274506"/>
    <w:rsid w:val="00274511"/>
    <w:rsid w:val="002745BA"/>
    <w:rsid w:val="002745D3"/>
    <w:rsid w:val="002746F0"/>
    <w:rsid w:val="00274753"/>
    <w:rsid w:val="00274CC7"/>
    <w:rsid w:val="00274CF6"/>
    <w:rsid w:val="00274E6F"/>
    <w:rsid w:val="00274F45"/>
    <w:rsid w:val="00274FC3"/>
    <w:rsid w:val="002750F9"/>
    <w:rsid w:val="00275181"/>
    <w:rsid w:val="002751F6"/>
    <w:rsid w:val="002752C0"/>
    <w:rsid w:val="0027538C"/>
    <w:rsid w:val="00275409"/>
    <w:rsid w:val="00275446"/>
    <w:rsid w:val="0027544D"/>
    <w:rsid w:val="002754F5"/>
    <w:rsid w:val="00275522"/>
    <w:rsid w:val="002755C8"/>
    <w:rsid w:val="00275600"/>
    <w:rsid w:val="00275624"/>
    <w:rsid w:val="00275755"/>
    <w:rsid w:val="0027578B"/>
    <w:rsid w:val="00275843"/>
    <w:rsid w:val="0027590B"/>
    <w:rsid w:val="002759C7"/>
    <w:rsid w:val="00275B76"/>
    <w:rsid w:val="00275CDE"/>
    <w:rsid w:val="00276001"/>
    <w:rsid w:val="00276268"/>
    <w:rsid w:val="00276286"/>
    <w:rsid w:val="00276384"/>
    <w:rsid w:val="00276386"/>
    <w:rsid w:val="00276508"/>
    <w:rsid w:val="002766EE"/>
    <w:rsid w:val="002767E4"/>
    <w:rsid w:val="0027686D"/>
    <w:rsid w:val="002769A5"/>
    <w:rsid w:val="00276B12"/>
    <w:rsid w:val="00276B38"/>
    <w:rsid w:val="00276B59"/>
    <w:rsid w:val="00276C4D"/>
    <w:rsid w:val="00276C55"/>
    <w:rsid w:val="00276D27"/>
    <w:rsid w:val="00276D81"/>
    <w:rsid w:val="00276DEC"/>
    <w:rsid w:val="00276F14"/>
    <w:rsid w:val="00276F55"/>
    <w:rsid w:val="0027702C"/>
    <w:rsid w:val="00277087"/>
    <w:rsid w:val="002770B8"/>
    <w:rsid w:val="00277122"/>
    <w:rsid w:val="00277296"/>
    <w:rsid w:val="00277379"/>
    <w:rsid w:val="0027740A"/>
    <w:rsid w:val="00277481"/>
    <w:rsid w:val="00277605"/>
    <w:rsid w:val="00277638"/>
    <w:rsid w:val="002776A5"/>
    <w:rsid w:val="002776B1"/>
    <w:rsid w:val="00277707"/>
    <w:rsid w:val="00277712"/>
    <w:rsid w:val="0027776D"/>
    <w:rsid w:val="00277802"/>
    <w:rsid w:val="00277846"/>
    <w:rsid w:val="00277885"/>
    <w:rsid w:val="00277970"/>
    <w:rsid w:val="00277EED"/>
    <w:rsid w:val="00277F0A"/>
    <w:rsid w:val="002800C4"/>
    <w:rsid w:val="00280120"/>
    <w:rsid w:val="0028018A"/>
    <w:rsid w:val="002801DF"/>
    <w:rsid w:val="002801ED"/>
    <w:rsid w:val="00280212"/>
    <w:rsid w:val="0028026A"/>
    <w:rsid w:val="0028029A"/>
    <w:rsid w:val="002804F8"/>
    <w:rsid w:val="0028065E"/>
    <w:rsid w:val="00280714"/>
    <w:rsid w:val="0028085D"/>
    <w:rsid w:val="00280AC6"/>
    <w:rsid w:val="00280BB7"/>
    <w:rsid w:val="00280CFA"/>
    <w:rsid w:val="00280E30"/>
    <w:rsid w:val="00280E3E"/>
    <w:rsid w:val="00280EC7"/>
    <w:rsid w:val="00280F33"/>
    <w:rsid w:val="002810E2"/>
    <w:rsid w:val="0028110E"/>
    <w:rsid w:val="002811F2"/>
    <w:rsid w:val="0028120F"/>
    <w:rsid w:val="00281329"/>
    <w:rsid w:val="002814B8"/>
    <w:rsid w:val="00281515"/>
    <w:rsid w:val="00281717"/>
    <w:rsid w:val="00281739"/>
    <w:rsid w:val="002817BF"/>
    <w:rsid w:val="00281855"/>
    <w:rsid w:val="0028189E"/>
    <w:rsid w:val="00281B76"/>
    <w:rsid w:val="00281BF2"/>
    <w:rsid w:val="00281DA0"/>
    <w:rsid w:val="00281DAC"/>
    <w:rsid w:val="00281E0B"/>
    <w:rsid w:val="00281E41"/>
    <w:rsid w:val="0028213E"/>
    <w:rsid w:val="00282160"/>
    <w:rsid w:val="002822DC"/>
    <w:rsid w:val="002824C6"/>
    <w:rsid w:val="002825A9"/>
    <w:rsid w:val="002826AB"/>
    <w:rsid w:val="0028275F"/>
    <w:rsid w:val="0028279B"/>
    <w:rsid w:val="002827E9"/>
    <w:rsid w:val="002827EC"/>
    <w:rsid w:val="00282946"/>
    <w:rsid w:val="00282AE2"/>
    <w:rsid w:val="00282AE3"/>
    <w:rsid w:val="00282B59"/>
    <w:rsid w:val="00282CB7"/>
    <w:rsid w:val="0028312E"/>
    <w:rsid w:val="00283169"/>
    <w:rsid w:val="00283185"/>
    <w:rsid w:val="0028331A"/>
    <w:rsid w:val="002834E5"/>
    <w:rsid w:val="002835F5"/>
    <w:rsid w:val="002837B0"/>
    <w:rsid w:val="00283884"/>
    <w:rsid w:val="002839D9"/>
    <w:rsid w:val="00283A6B"/>
    <w:rsid w:val="00283ADA"/>
    <w:rsid w:val="00283BA5"/>
    <w:rsid w:val="00283BA9"/>
    <w:rsid w:val="00283BFA"/>
    <w:rsid w:val="00283F59"/>
    <w:rsid w:val="00283FD5"/>
    <w:rsid w:val="00284059"/>
    <w:rsid w:val="0028408E"/>
    <w:rsid w:val="002841F4"/>
    <w:rsid w:val="00284264"/>
    <w:rsid w:val="00284281"/>
    <w:rsid w:val="00284319"/>
    <w:rsid w:val="00284491"/>
    <w:rsid w:val="002844A0"/>
    <w:rsid w:val="0028452C"/>
    <w:rsid w:val="002846BD"/>
    <w:rsid w:val="0028474D"/>
    <w:rsid w:val="002847EF"/>
    <w:rsid w:val="00284824"/>
    <w:rsid w:val="002848C8"/>
    <w:rsid w:val="002848DD"/>
    <w:rsid w:val="00284972"/>
    <w:rsid w:val="002849C0"/>
    <w:rsid w:val="00284C94"/>
    <w:rsid w:val="00284D82"/>
    <w:rsid w:val="00284E79"/>
    <w:rsid w:val="00284ED0"/>
    <w:rsid w:val="00285070"/>
    <w:rsid w:val="002850AB"/>
    <w:rsid w:val="002851D8"/>
    <w:rsid w:val="002852A5"/>
    <w:rsid w:val="0028551A"/>
    <w:rsid w:val="002856E6"/>
    <w:rsid w:val="0028588F"/>
    <w:rsid w:val="00285969"/>
    <w:rsid w:val="002859FF"/>
    <w:rsid w:val="00285A97"/>
    <w:rsid w:val="00285ACE"/>
    <w:rsid w:val="00285B14"/>
    <w:rsid w:val="00285BA4"/>
    <w:rsid w:val="00285C07"/>
    <w:rsid w:val="00285D0F"/>
    <w:rsid w:val="00285EC3"/>
    <w:rsid w:val="0028612C"/>
    <w:rsid w:val="002861A2"/>
    <w:rsid w:val="00286296"/>
    <w:rsid w:val="0028629D"/>
    <w:rsid w:val="00286491"/>
    <w:rsid w:val="002867D9"/>
    <w:rsid w:val="00286828"/>
    <w:rsid w:val="00286906"/>
    <w:rsid w:val="002869C1"/>
    <w:rsid w:val="00286A3E"/>
    <w:rsid w:val="00286D72"/>
    <w:rsid w:val="00286D89"/>
    <w:rsid w:val="00286EF1"/>
    <w:rsid w:val="00286FDD"/>
    <w:rsid w:val="00286FE1"/>
    <w:rsid w:val="00287040"/>
    <w:rsid w:val="00287083"/>
    <w:rsid w:val="0028716F"/>
    <w:rsid w:val="002871CC"/>
    <w:rsid w:val="00287231"/>
    <w:rsid w:val="00287258"/>
    <w:rsid w:val="0028729D"/>
    <w:rsid w:val="00287318"/>
    <w:rsid w:val="0028734A"/>
    <w:rsid w:val="00287374"/>
    <w:rsid w:val="00287401"/>
    <w:rsid w:val="00287590"/>
    <w:rsid w:val="002875B3"/>
    <w:rsid w:val="002878A1"/>
    <w:rsid w:val="00287A4F"/>
    <w:rsid w:val="00287ADF"/>
    <w:rsid w:val="00287AE9"/>
    <w:rsid w:val="00287AF0"/>
    <w:rsid w:val="00287B15"/>
    <w:rsid w:val="00287B50"/>
    <w:rsid w:val="00287B75"/>
    <w:rsid w:val="00287B94"/>
    <w:rsid w:val="00287C27"/>
    <w:rsid w:val="00287CFF"/>
    <w:rsid w:val="00287E90"/>
    <w:rsid w:val="00287F83"/>
    <w:rsid w:val="00290009"/>
    <w:rsid w:val="00290080"/>
    <w:rsid w:val="002900A9"/>
    <w:rsid w:val="00290139"/>
    <w:rsid w:val="00290165"/>
    <w:rsid w:val="00290228"/>
    <w:rsid w:val="00290330"/>
    <w:rsid w:val="00290452"/>
    <w:rsid w:val="00290492"/>
    <w:rsid w:val="00290631"/>
    <w:rsid w:val="00290744"/>
    <w:rsid w:val="00290904"/>
    <w:rsid w:val="0029090B"/>
    <w:rsid w:val="002909A6"/>
    <w:rsid w:val="00290A71"/>
    <w:rsid w:val="00290C6C"/>
    <w:rsid w:val="00290E4A"/>
    <w:rsid w:val="00290E91"/>
    <w:rsid w:val="00290F3E"/>
    <w:rsid w:val="00290F72"/>
    <w:rsid w:val="00291035"/>
    <w:rsid w:val="002910B0"/>
    <w:rsid w:val="00291170"/>
    <w:rsid w:val="002911C8"/>
    <w:rsid w:val="00291396"/>
    <w:rsid w:val="002915BF"/>
    <w:rsid w:val="002915D7"/>
    <w:rsid w:val="002915D9"/>
    <w:rsid w:val="00291819"/>
    <w:rsid w:val="0029188F"/>
    <w:rsid w:val="00291A01"/>
    <w:rsid w:val="00291B0B"/>
    <w:rsid w:val="00291B68"/>
    <w:rsid w:val="00291BC0"/>
    <w:rsid w:val="00291C7E"/>
    <w:rsid w:val="00291D76"/>
    <w:rsid w:val="00291DF0"/>
    <w:rsid w:val="00291E54"/>
    <w:rsid w:val="00291F40"/>
    <w:rsid w:val="00291FCF"/>
    <w:rsid w:val="00292025"/>
    <w:rsid w:val="002920E3"/>
    <w:rsid w:val="00292125"/>
    <w:rsid w:val="00292287"/>
    <w:rsid w:val="002922F4"/>
    <w:rsid w:val="00292389"/>
    <w:rsid w:val="002923EB"/>
    <w:rsid w:val="00292434"/>
    <w:rsid w:val="002924D3"/>
    <w:rsid w:val="00292505"/>
    <w:rsid w:val="00292530"/>
    <w:rsid w:val="0029284D"/>
    <w:rsid w:val="0029297F"/>
    <w:rsid w:val="00292A94"/>
    <w:rsid w:val="00292C9E"/>
    <w:rsid w:val="00292CD9"/>
    <w:rsid w:val="00292D52"/>
    <w:rsid w:val="00292D90"/>
    <w:rsid w:val="00292DFC"/>
    <w:rsid w:val="00292E50"/>
    <w:rsid w:val="00293002"/>
    <w:rsid w:val="0029307C"/>
    <w:rsid w:val="0029311D"/>
    <w:rsid w:val="0029312F"/>
    <w:rsid w:val="002931C5"/>
    <w:rsid w:val="002931E1"/>
    <w:rsid w:val="0029356C"/>
    <w:rsid w:val="0029362E"/>
    <w:rsid w:val="002936A5"/>
    <w:rsid w:val="00293825"/>
    <w:rsid w:val="002938C1"/>
    <w:rsid w:val="0029395C"/>
    <w:rsid w:val="00293A27"/>
    <w:rsid w:val="00293C26"/>
    <w:rsid w:val="00293FE7"/>
    <w:rsid w:val="00294115"/>
    <w:rsid w:val="0029418B"/>
    <w:rsid w:val="00294247"/>
    <w:rsid w:val="0029428D"/>
    <w:rsid w:val="00294415"/>
    <w:rsid w:val="0029453F"/>
    <w:rsid w:val="00294599"/>
    <w:rsid w:val="0029467D"/>
    <w:rsid w:val="0029485A"/>
    <w:rsid w:val="002948FA"/>
    <w:rsid w:val="0029492D"/>
    <w:rsid w:val="0029497B"/>
    <w:rsid w:val="00294B55"/>
    <w:rsid w:val="00294B68"/>
    <w:rsid w:val="00294CC6"/>
    <w:rsid w:val="00294F2F"/>
    <w:rsid w:val="00294F31"/>
    <w:rsid w:val="00294F59"/>
    <w:rsid w:val="00294F96"/>
    <w:rsid w:val="0029514F"/>
    <w:rsid w:val="0029516E"/>
    <w:rsid w:val="00295283"/>
    <w:rsid w:val="002952AB"/>
    <w:rsid w:val="002952E6"/>
    <w:rsid w:val="00295330"/>
    <w:rsid w:val="0029550D"/>
    <w:rsid w:val="00295562"/>
    <w:rsid w:val="002955E8"/>
    <w:rsid w:val="00295674"/>
    <w:rsid w:val="00295727"/>
    <w:rsid w:val="00295887"/>
    <w:rsid w:val="002958CA"/>
    <w:rsid w:val="002958FC"/>
    <w:rsid w:val="00295907"/>
    <w:rsid w:val="00295916"/>
    <w:rsid w:val="0029599F"/>
    <w:rsid w:val="00295B30"/>
    <w:rsid w:val="00295C0E"/>
    <w:rsid w:val="00295CA0"/>
    <w:rsid w:val="00295D88"/>
    <w:rsid w:val="00295E90"/>
    <w:rsid w:val="00295EA4"/>
    <w:rsid w:val="00295F7F"/>
    <w:rsid w:val="0029600B"/>
    <w:rsid w:val="002960C5"/>
    <w:rsid w:val="002960D3"/>
    <w:rsid w:val="00296257"/>
    <w:rsid w:val="00296335"/>
    <w:rsid w:val="002965D1"/>
    <w:rsid w:val="0029660D"/>
    <w:rsid w:val="00296666"/>
    <w:rsid w:val="002966B2"/>
    <w:rsid w:val="002966BF"/>
    <w:rsid w:val="00296846"/>
    <w:rsid w:val="002968A0"/>
    <w:rsid w:val="00296935"/>
    <w:rsid w:val="002969F7"/>
    <w:rsid w:val="00296B91"/>
    <w:rsid w:val="00296BCA"/>
    <w:rsid w:val="00296BFA"/>
    <w:rsid w:val="00296C70"/>
    <w:rsid w:val="00296C98"/>
    <w:rsid w:val="00296E08"/>
    <w:rsid w:val="00296E0B"/>
    <w:rsid w:val="00297134"/>
    <w:rsid w:val="00297320"/>
    <w:rsid w:val="0029736D"/>
    <w:rsid w:val="002975F0"/>
    <w:rsid w:val="0029767A"/>
    <w:rsid w:val="0029775A"/>
    <w:rsid w:val="00297872"/>
    <w:rsid w:val="00297950"/>
    <w:rsid w:val="00297D5D"/>
    <w:rsid w:val="00297E12"/>
    <w:rsid w:val="00297ED8"/>
    <w:rsid w:val="00297F75"/>
    <w:rsid w:val="00297FF5"/>
    <w:rsid w:val="002A00C5"/>
    <w:rsid w:val="002A0234"/>
    <w:rsid w:val="002A0276"/>
    <w:rsid w:val="002A02E3"/>
    <w:rsid w:val="002A0423"/>
    <w:rsid w:val="002A04E1"/>
    <w:rsid w:val="002A0599"/>
    <w:rsid w:val="002A0802"/>
    <w:rsid w:val="002A0827"/>
    <w:rsid w:val="002A0851"/>
    <w:rsid w:val="002A0920"/>
    <w:rsid w:val="002A094E"/>
    <w:rsid w:val="002A0A5A"/>
    <w:rsid w:val="002A0BF0"/>
    <w:rsid w:val="002A0E5F"/>
    <w:rsid w:val="002A0EE6"/>
    <w:rsid w:val="002A1025"/>
    <w:rsid w:val="002A10C8"/>
    <w:rsid w:val="002A1173"/>
    <w:rsid w:val="002A12C9"/>
    <w:rsid w:val="002A12CF"/>
    <w:rsid w:val="002A1353"/>
    <w:rsid w:val="002A15AF"/>
    <w:rsid w:val="002A15ED"/>
    <w:rsid w:val="002A1644"/>
    <w:rsid w:val="002A16A8"/>
    <w:rsid w:val="002A18DD"/>
    <w:rsid w:val="002A1A11"/>
    <w:rsid w:val="002A1C68"/>
    <w:rsid w:val="002A1C72"/>
    <w:rsid w:val="002A1E8F"/>
    <w:rsid w:val="002A1F43"/>
    <w:rsid w:val="002A1FE3"/>
    <w:rsid w:val="002A2163"/>
    <w:rsid w:val="002A23D7"/>
    <w:rsid w:val="002A2487"/>
    <w:rsid w:val="002A2654"/>
    <w:rsid w:val="002A2670"/>
    <w:rsid w:val="002A2683"/>
    <w:rsid w:val="002A274C"/>
    <w:rsid w:val="002A2751"/>
    <w:rsid w:val="002A283F"/>
    <w:rsid w:val="002A2852"/>
    <w:rsid w:val="002A286B"/>
    <w:rsid w:val="002A2ACA"/>
    <w:rsid w:val="002A2D1D"/>
    <w:rsid w:val="002A2D2C"/>
    <w:rsid w:val="002A2D7A"/>
    <w:rsid w:val="002A3050"/>
    <w:rsid w:val="002A3101"/>
    <w:rsid w:val="002A3338"/>
    <w:rsid w:val="002A3525"/>
    <w:rsid w:val="002A3536"/>
    <w:rsid w:val="002A3569"/>
    <w:rsid w:val="002A3583"/>
    <w:rsid w:val="002A35BE"/>
    <w:rsid w:val="002A377F"/>
    <w:rsid w:val="002A3810"/>
    <w:rsid w:val="002A39A9"/>
    <w:rsid w:val="002A3CAD"/>
    <w:rsid w:val="002A3CD3"/>
    <w:rsid w:val="002A3D47"/>
    <w:rsid w:val="002A3D72"/>
    <w:rsid w:val="002A3F49"/>
    <w:rsid w:val="002A4098"/>
    <w:rsid w:val="002A40E6"/>
    <w:rsid w:val="002A41DB"/>
    <w:rsid w:val="002A4481"/>
    <w:rsid w:val="002A448E"/>
    <w:rsid w:val="002A44CF"/>
    <w:rsid w:val="002A44EE"/>
    <w:rsid w:val="002A4525"/>
    <w:rsid w:val="002A4579"/>
    <w:rsid w:val="002A45D6"/>
    <w:rsid w:val="002A469A"/>
    <w:rsid w:val="002A4955"/>
    <w:rsid w:val="002A4957"/>
    <w:rsid w:val="002A4AF2"/>
    <w:rsid w:val="002A4B11"/>
    <w:rsid w:val="002A4D18"/>
    <w:rsid w:val="002A4D4E"/>
    <w:rsid w:val="002A4D93"/>
    <w:rsid w:val="002A4E6A"/>
    <w:rsid w:val="002A5098"/>
    <w:rsid w:val="002A5351"/>
    <w:rsid w:val="002A5466"/>
    <w:rsid w:val="002A5471"/>
    <w:rsid w:val="002A548F"/>
    <w:rsid w:val="002A549C"/>
    <w:rsid w:val="002A54CA"/>
    <w:rsid w:val="002A55C3"/>
    <w:rsid w:val="002A5645"/>
    <w:rsid w:val="002A593D"/>
    <w:rsid w:val="002A5A2A"/>
    <w:rsid w:val="002A5A4C"/>
    <w:rsid w:val="002A5B25"/>
    <w:rsid w:val="002A5B4F"/>
    <w:rsid w:val="002A5C0C"/>
    <w:rsid w:val="002A5C9C"/>
    <w:rsid w:val="002A5E64"/>
    <w:rsid w:val="002A5E6D"/>
    <w:rsid w:val="002A5FC0"/>
    <w:rsid w:val="002A5FCF"/>
    <w:rsid w:val="002A6166"/>
    <w:rsid w:val="002A6870"/>
    <w:rsid w:val="002A6C14"/>
    <w:rsid w:val="002A6DFA"/>
    <w:rsid w:val="002A6E09"/>
    <w:rsid w:val="002A6EF7"/>
    <w:rsid w:val="002A70D3"/>
    <w:rsid w:val="002A70F1"/>
    <w:rsid w:val="002A7150"/>
    <w:rsid w:val="002A71AB"/>
    <w:rsid w:val="002A71AF"/>
    <w:rsid w:val="002A7484"/>
    <w:rsid w:val="002A74EF"/>
    <w:rsid w:val="002A75CE"/>
    <w:rsid w:val="002A7790"/>
    <w:rsid w:val="002A784E"/>
    <w:rsid w:val="002A79D7"/>
    <w:rsid w:val="002A79F5"/>
    <w:rsid w:val="002A7A31"/>
    <w:rsid w:val="002A7AC5"/>
    <w:rsid w:val="002A7E82"/>
    <w:rsid w:val="002B0094"/>
    <w:rsid w:val="002B012A"/>
    <w:rsid w:val="002B01F7"/>
    <w:rsid w:val="002B0344"/>
    <w:rsid w:val="002B03F2"/>
    <w:rsid w:val="002B0565"/>
    <w:rsid w:val="002B0638"/>
    <w:rsid w:val="002B0955"/>
    <w:rsid w:val="002B09EA"/>
    <w:rsid w:val="002B0A69"/>
    <w:rsid w:val="002B0AE1"/>
    <w:rsid w:val="002B0B73"/>
    <w:rsid w:val="002B0BE4"/>
    <w:rsid w:val="002B0D5A"/>
    <w:rsid w:val="002B0E67"/>
    <w:rsid w:val="002B0F13"/>
    <w:rsid w:val="002B1065"/>
    <w:rsid w:val="002B10F2"/>
    <w:rsid w:val="002B1193"/>
    <w:rsid w:val="002B129A"/>
    <w:rsid w:val="002B12F5"/>
    <w:rsid w:val="002B14B2"/>
    <w:rsid w:val="002B14DE"/>
    <w:rsid w:val="002B1660"/>
    <w:rsid w:val="002B1753"/>
    <w:rsid w:val="002B17B9"/>
    <w:rsid w:val="002B17EA"/>
    <w:rsid w:val="002B18B8"/>
    <w:rsid w:val="002B196F"/>
    <w:rsid w:val="002B1A59"/>
    <w:rsid w:val="002B1A77"/>
    <w:rsid w:val="002B1A9C"/>
    <w:rsid w:val="002B1AC8"/>
    <w:rsid w:val="002B1BD0"/>
    <w:rsid w:val="002B1CAF"/>
    <w:rsid w:val="002B1CFC"/>
    <w:rsid w:val="002B1D0B"/>
    <w:rsid w:val="002B1D4D"/>
    <w:rsid w:val="002B1DEC"/>
    <w:rsid w:val="002B1E7B"/>
    <w:rsid w:val="002B1F14"/>
    <w:rsid w:val="002B209E"/>
    <w:rsid w:val="002B211C"/>
    <w:rsid w:val="002B21B1"/>
    <w:rsid w:val="002B243E"/>
    <w:rsid w:val="002B2452"/>
    <w:rsid w:val="002B2463"/>
    <w:rsid w:val="002B25B0"/>
    <w:rsid w:val="002B262C"/>
    <w:rsid w:val="002B2647"/>
    <w:rsid w:val="002B28F6"/>
    <w:rsid w:val="002B296D"/>
    <w:rsid w:val="002B2B8E"/>
    <w:rsid w:val="002B2CB9"/>
    <w:rsid w:val="002B2CDE"/>
    <w:rsid w:val="002B2CF9"/>
    <w:rsid w:val="002B2DBA"/>
    <w:rsid w:val="002B2DCB"/>
    <w:rsid w:val="002B2DD4"/>
    <w:rsid w:val="002B2E37"/>
    <w:rsid w:val="002B2EBB"/>
    <w:rsid w:val="002B2FDD"/>
    <w:rsid w:val="002B3001"/>
    <w:rsid w:val="002B31F3"/>
    <w:rsid w:val="002B3344"/>
    <w:rsid w:val="002B335E"/>
    <w:rsid w:val="002B34DF"/>
    <w:rsid w:val="002B3573"/>
    <w:rsid w:val="002B381E"/>
    <w:rsid w:val="002B3829"/>
    <w:rsid w:val="002B3836"/>
    <w:rsid w:val="002B3AA4"/>
    <w:rsid w:val="002B3B4F"/>
    <w:rsid w:val="002B3BEB"/>
    <w:rsid w:val="002B3CB1"/>
    <w:rsid w:val="002B3DEB"/>
    <w:rsid w:val="002B3FA0"/>
    <w:rsid w:val="002B41C4"/>
    <w:rsid w:val="002B42B0"/>
    <w:rsid w:val="002B438B"/>
    <w:rsid w:val="002B43E2"/>
    <w:rsid w:val="002B45DE"/>
    <w:rsid w:val="002B479E"/>
    <w:rsid w:val="002B4A6F"/>
    <w:rsid w:val="002B4B39"/>
    <w:rsid w:val="002B4BA2"/>
    <w:rsid w:val="002B4D39"/>
    <w:rsid w:val="002B4EA8"/>
    <w:rsid w:val="002B4EF1"/>
    <w:rsid w:val="002B4F86"/>
    <w:rsid w:val="002B4F9D"/>
    <w:rsid w:val="002B532E"/>
    <w:rsid w:val="002B5367"/>
    <w:rsid w:val="002B54C2"/>
    <w:rsid w:val="002B54FF"/>
    <w:rsid w:val="002B5554"/>
    <w:rsid w:val="002B5639"/>
    <w:rsid w:val="002B56F0"/>
    <w:rsid w:val="002B57A0"/>
    <w:rsid w:val="002B57F5"/>
    <w:rsid w:val="002B591F"/>
    <w:rsid w:val="002B5937"/>
    <w:rsid w:val="002B59ED"/>
    <w:rsid w:val="002B5BC2"/>
    <w:rsid w:val="002B5C15"/>
    <w:rsid w:val="002B5E28"/>
    <w:rsid w:val="002B5EDC"/>
    <w:rsid w:val="002B5FC5"/>
    <w:rsid w:val="002B5FE1"/>
    <w:rsid w:val="002B61CA"/>
    <w:rsid w:val="002B61FC"/>
    <w:rsid w:val="002B62BC"/>
    <w:rsid w:val="002B631C"/>
    <w:rsid w:val="002B63AD"/>
    <w:rsid w:val="002B649D"/>
    <w:rsid w:val="002B6503"/>
    <w:rsid w:val="002B65C4"/>
    <w:rsid w:val="002B66C0"/>
    <w:rsid w:val="002B66CF"/>
    <w:rsid w:val="002B6723"/>
    <w:rsid w:val="002B6733"/>
    <w:rsid w:val="002B684C"/>
    <w:rsid w:val="002B6887"/>
    <w:rsid w:val="002B6949"/>
    <w:rsid w:val="002B6959"/>
    <w:rsid w:val="002B6965"/>
    <w:rsid w:val="002B6A0E"/>
    <w:rsid w:val="002B6A4F"/>
    <w:rsid w:val="002B6ABF"/>
    <w:rsid w:val="002B6BB4"/>
    <w:rsid w:val="002B6C18"/>
    <w:rsid w:val="002B6D47"/>
    <w:rsid w:val="002B6D60"/>
    <w:rsid w:val="002B6E48"/>
    <w:rsid w:val="002B6EF4"/>
    <w:rsid w:val="002B6EFF"/>
    <w:rsid w:val="002B6F87"/>
    <w:rsid w:val="002B6FA8"/>
    <w:rsid w:val="002B71B0"/>
    <w:rsid w:val="002B7228"/>
    <w:rsid w:val="002B7253"/>
    <w:rsid w:val="002B73DE"/>
    <w:rsid w:val="002B73EF"/>
    <w:rsid w:val="002B747E"/>
    <w:rsid w:val="002B7599"/>
    <w:rsid w:val="002B791E"/>
    <w:rsid w:val="002B7978"/>
    <w:rsid w:val="002B79C7"/>
    <w:rsid w:val="002B7ACB"/>
    <w:rsid w:val="002B7B69"/>
    <w:rsid w:val="002B7C10"/>
    <w:rsid w:val="002C04CD"/>
    <w:rsid w:val="002C0726"/>
    <w:rsid w:val="002C072E"/>
    <w:rsid w:val="002C078A"/>
    <w:rsid w:val="002C07A6"/>
    <w:rsid w:val="002C07E4"/>
    <w:rsid w:val="002C0869"/>
    <w:rsid w:val="002C0872"/>
    <w:rsid w:val="002C0A30"/>
    <w:rsid w:val="002C0A4A"/>
    <w:rsid w:val="002C0A51"/>
    <w:rsid w:val="002C0AC4"/>
    <w:rsid w:val="002C0BF9"/>
    <w:rsid w:val="002C0D66"/>
    <w:rsid w:val="002C0DB2"/>
    <w:rsid w:val="002C0DBE"/>
    <w:rsid w:val="002C0E40"/>
    <w:rsid w:val="002C123C"/>
    <w:rsid w:val="002C1382"/>
    <w:rsid w:val="002C139A"/>
    <w:rsid w:val="002C13A2"/>
    <w:rsid w:val="002C145A"/>
    <w:rsid w:val="002C147B"/>
    <w:rsid w:val="002C17B2"/>
    <w:rsid w:val="002C18E5"/>
    <w:rsid w:val="002C1A7E"/>
    <w:rsid w:val="002C1AB0"/>
    <w:rsid w:val="002C1B05"/>
    <w:rsid w:val="002C1BDC"/>
    <w:rsid w:val="002C1C66"/>
    <w:rsid w:val="002C1CD8"/>
    <w:rsid w:val="002C1D3A"/>
    <w:rsid w:val="002C1DA9"/>
    <w:rsid w:val="002C1F9D"/>
    <w:rsid w:val="002C1FF9"/>
    <w:rsid w:val="002C207A"/>
    <w:rsid w:val="002C2086"/>
    <w:rsid w:val="002C20B6"/>
    <w:rsid w:val="002C212B"/>
    <w:rsid w:val="002C21AE"/>
    <w:rsid w:val="002C21BB"/>
    <w:rsid w:val="002C22B0"/>
    <w:rsid w:val="002C22EF"/>
    <w:rsid w:val="002C2493"/>
    <w:rsid w:val="002C2535"/>
    <w:rsid w:val="002C25ED"/>
    <w:rsid w:val="002C2776"/>
    <w:rsid w:val="002C28E5"/>
    <w:rsid w:val="002C294C"/>
    <w:rsid w:val="002C2A27"/>
    <w:rsid w:val="002C2ADE"/>
    <w:rsid w:val="002C2C4D"/>
    <w:rsid w:val="002C2CDC"/>
    <w:rsid w:val="002C2D47"/>
    <w:rsid w:val="002C2F5E"/>
    <w:rsid w:val="002C2F73"/>
    <w:rsid w:val="002C305E"/>
    <w:rsid w:val="002C3074"/>
    <w:rsid w:val="002C30EC"/>
    <w:rsid w:val="002C320D"/>
    <w:rsid w:val="002C32A7"/>
    <w:rsid w:val="002C32A9"/>
    <w:rsid w:val="002C32F2"/>
    <w:rsid w:val="002C34A8"/>
    <w:rsid w:val="002C34F2"/>
    <w:rsid w:val="002C361D"/>
    <w:rsid w:val="002C363D"/>
    <w:rsid w:val="002C366C"/>
    <w:rsid w:val="002C3758"/>
    <w:rsid w:val="002C38D0"/>
    <w:rsid w:val="002C3A79"/>
    <w:rsid w:val="002C3B30"/>
    <w:rsid w:val="002C3BD2"/>
    <w:rsid w:val="002C3C7E"/>
    <w:rsid w:val="002C4057"/>
    <w:rsid w:val="002C4080"/>
    <w:rsid w:val="002C408D"/>
    <w:rsid w:val="002C40EB"/>
    <w:rsid w:val="002C411E"/>
    <w:rsid w:val="002C41AA"/>
    <w:rsid w:val="002C41C6"/>
    <w:rsid w:val="002C4218"/>
    <w:rsid w:val="002C42C3"/>
    <w:rsid w:val="002C465C"/>
    <w:rsid w:val="002C46A3"/>
    <w:rsid w:val="002C474B"/>
    <w:rsid w:val="002C48B5"/>
    <w:rsid w:val="002C49E3"/>
    <w:rsid w:val="002C4A41"/>
    <w:rsid w:val="002C4B59"/>
    <w:rsid w:val="002C4DE0"/>
    <w:rsid w:val="002C4F34"/>
    <w:rsid w:val="002C4FF3"/>
    <w:rsid w:val="002C5131"/>
    <w:rsid w:val="002C52EB"/>
    <w:rsid w:val="002C5451"/>
    <w:rsid w:val="002C5512"/>
    <w:rsid w:val="002C5683"/>
    <w:rsid w:val="002C56D9"/>
    <w:rsid w:val="002C5710"/>
    <w:rsid w:val="002C5804"/>
    <w:rsid w:val="002C585F"/>
    <w:rsid w:val="002C5946"/>
    <w:rsid w:val="002C5980"/>
    <w:rsid w:val="002C59BB"/>
    <w:rsid w:val="002C5A19"/>
    <w:rsid w:val="002C5B23"/>
    <w:rsid w:val="002C5B45"/>
    <w:rsid w:val="002C5E41"/>
    <w:rsid w:val="002C5E46"/>
    <w:rsid w:val="002C5FAA"/>
    <w:rsid w:val="002C6134"/>
    <w:rsid w:val="002C6181"/>
    <w:rsid w:val="002C62DB"/>
    <w:rsid w:val="002C6322"/>
    <w:rsid w:val="002C6394"/>
    <w:rsid w:val="002C6398"/>
    <w:rsid w:val="002C63B3"/>
    <w:rsid w:val="002C647A"/>
    <w:rsid w:val="002C6563"/>
    <w:rsid w:val="002C6629"/>
    <w:rsid w:val="002C6692"/>
    <w:rsid w:val="002C66C5"/>
    <w:rsid w:val="002C66C9"/>
    <w:rsid w:val="002C678D"/>
    <w:rsid w:val="002C68C4"/>
    <w:rsid w:val="002C6A8D"/>
    <w:rsid w:val="002C6B1E"/>
    <w:rsid w:val="002C6CFC"/>
    <w:rsid w:val="002C6D60"/>
    <w:rsid w:val="002C6D78"/>
    <w:rsid w:val="002C6E49"/>
    <w:rsid w:val="002C6F86"/>
    <w:rsid w:val="002C704D"/>
    <w:rsid w:val="002C7170"/>
    <w:rsid w:val="002C7254"/>
    <w:rsid w:val="002C7265"/>
    <w:rsid w:val="002C72CA"/>
    <w:rsid w:val="002C733E"/>
    <w:rsid w:val="002C74E9"/>
    <w:rsid w:val="002C76A6"/>
    <w:rsid w:val="002C793C"/>
    <w:rsid w:val="002C797C"/>
    <w:rsid w:val="002C7BDF"/>
    <w:rsid w:val="002D01F0"/>
    <w:rsid w:val="002D027E"/>
    <w:rsid w:val="002D0340"/>
    <w:rsid w:val="002D04D6"/>
    <w:rsid w:val="002D051C"/>
    <w:rsid w:val="002D0587"/>
    <w:rsid w:val="002D059F"/>
    <w:rsid w:val="002D0613"/>
    <w:rsid w:val="002D061A"/>
    <w:rsid w:val="002D079D"/>
    <w:rsid w:val="002D080C"/>
    <w:rsid w:val="002D0A02"/>
    <w:rsid w:val="002D0A10"/>
    <w:rsid w:val="002D0A66"/>
    <w:rsid w:val="002D0D6D"/>
    <w:rsid w:val="002D0D7C"/>
    <w:rsid w:val="002D0EE3"/>
    <w:rsid w:val="002D0EF9"/>
    <w:rsid w:val="002D0FAD"/>
    <w:rsid w:val="002D102C"/>
    <w:rsid w:val="002D104D"/>
    <w:rsid w:val="002D1134"/>
    <w:rsid w:val="002D11D7"/>
    <w:rsid w:val="002D1500"/>
    <w:rsid w:val="002D153D"/>
    <w:rsid w:val="002D166F"/>
    <w:rsid w:val="002D16E5"/>
    <w:rsid w:val="002D18B4"/>
    <w:rsid w:val="002D18CB"/>
    <w:rsid w:val="002D19DA"/>
    <w:rsid w:val="002D1B68"/>
    <w:rsid w:val="002D1CED"/>
    <w:rsid w:val="002D1D20"/>
    <w:rsid w:val="002D1FBE"/>
    <w:rsid w:val="002D2002"/>
    <w:rsid w:val="002D20A6"/>
    <w:rsid w:val="002D20F8"/>
    <w:rsid w:val="002D224C"/>
    <w:rsid w:val="002D225B"/>
    <w:rsid w:val="002D2412"/>
    <w:rsid w:val="002D2523"/>
    <w:rsid w:val="002D25C2"/>
    <w:rsid w:val="002D25F1"/>
    <w:rsid w:val="002D26DD"/>
    <w:rsid w:val="002D2745"/>
    <w:rsid w:val="002D278C"/>
    <w:rsid w:val="002D2998"/>
    <w:rsid w:val="002D29B4"/>
    <w:rsid w:val="002D29F9"/>
    <w:rsid w:val="002D2A90"/>
    <w:rsid w:val="002D2BA7"/>
    <w:rsid w:val="002D2CE1"/>
    <w:rsid w:val="002D2CED"/>
    <w:rsid w:val="002D2D1C"/>
    <w:rsid w:val="002D2D71"/>
    <w:rsid w:val="002D2D90"/>
    <w:rsid w:val="002D2E95"/>
    <w:rsid w:val="002D2EA8"/>
    <w:rsid w:val="002D2FD0"/>
    <w:rsid w:val="002D318B"/>
    <w:rsid w:val="002D31D2"/>
    <w:rsid w:val="002D35F3"/>
    <w:rsid w:val="002D36C3"/>
    <w:rsid w:val="002D375C"/>
    <w:rsid w:val="002D375D"/>
    <w:rsid w:val="002D37AE"/>
    <w:rsid w:val="002D37C9"/>
    <w:rsid w:val="002D380F"/>
    <w:rsid w:val="002D3842"/>
    <w:rsid w:val="002D39C4"/>
    <w:rsid w:val="002D39C6"/>
    <w:rsid w:val="002D3A0F"/>
    <w:rsid w:val="002D3A18"/>
    <w:rsid w:val="002D3A9A"/>
    <w:rsid w:val="002D3AC5"/>
    <w:rsid w:val="002D3DA7"/>
    <w:rsid w:val="002D3DCF"/>
    <w:rsid w:val="002D3E66"/>
    <w:rsid w:val="002D3ED6"/>
    <w:rsid w:val="002D4088"/>
    <w:rsid w:val="002D4097"/>
    <w:rsid w:val="002D40AD"/>
    <w:rsid w:val="002D4104"/>
    <w:rsid w:val="002D4420"/>
    <w:rsid w:val="002D4514"/>
    <w:rsid w:val="002D4685"/>
    <w:rsid w:val="002D4694"/>
    <w:rsid w:val="002D46AA"/>
    <w:rsid w:val="002D4CF4"/>
    <w:rsid w:val="002D4E01"/>
    <w:rsid w:val="002D517D"/>
    <w:rsid w:val="002D5225"/>
    <w:rsid w:val="002D5230"/>
    <w:rsid w:val="002D52C7"/>
    <w:rsid w:val="002D52F0"/>
    <w:rsid w:val="002D54B6"/>
    <w:rsid w:val="002D54EB"/>
    <w:rsid w:val="002D56AD"/>
    <w:rsid w:val="002D5AEC"/>
    <w:rsid w:val="002D5C6D"/>
    <w:rsid w:val="002D5CF9"/>
    <w:rsid w:val="002D5D74"/>
    <w:rsid w:val="002D5FDD"/>
    <w:rsid w:val="002D60BD"/>
    <w:rsid w:val="002D612F"/>
    <w:rsid w:val="002D616C"/>
    <w:rsid w:val="002D6170"/>
    <w:rsid w:val="002D62FD"/>
    <w:rsid w:val="002D63D7"/>
    <w:rsid w:val="002D6467"/>
    <w:rsid w:val="002D6487"/>
    <w:rsid w:val="002D6569"/>
    <w:rsid w:val="002D66FC"/>
    <w:rsid w:val="002D681C"/>
    <w:rsid w:val="002D6878"/>
    <w:rsid w:val="002D6917"/>
    <w:rsid w:val="002D6A26"/>
    <w:rsid w:val="002D6CA4"/>
    <w:rsid w:val="002D7019"/>
    <w:rsid w:val="002D732B"/>
    <w:rsid w:val="002D733E"/>
    <w:rsid w:val="002D756D"/>
    <w:rsid w:val="002D7726"/>
    <w:rsid w:val="002D77B9"/>
    <w:rsid w:val="002D77BD"/>
    <w:rsid w:val="002D7AE9"/>
    <w:rsid w:val="002D7AEF"/>
    <w:rsid w:val="002D7BF6"/>
    <w:rsid w:val="002D7C72"/>
    <w:rsid w:val="002D7E1D"/>
    <w:rsid w:val="002D7E6F"/>
    <w:rsid w:val="002D7E81"/>
    <w:rsid w:val="002D7EB0"/>
    <w:rsid w:val="002E0107"/>
    <w:rsid w:val="002E0187"/>
    <w:rsid w:val="002E018A"/>
    <w:rsid w:val="002E02E6"/>
    <w:rsid w:val="002E02F9"/>
    <w:rsid w:val="002E044F"/>
    <w:rsid w:val="002E04E8"/>
    <w:rsid w:val="002E0505"/>
    <w:rsid w:val="002E0593"/>
    <w:rsid w:val="002E0B39"/>
    <w:rsid w:val="002E0B9D"/>
    <w:rsid w:val="002E0BC6"/>
    <w:rsid w:val="002E0D41"/>
    <w:rsid w:val="002E0D51"/>
    <w:rsid w:val="002E0D6C"/>
    <w:rsid w:val="002E0D78"/>
    <w:rsid w:val="002E0E28"/>
    <w:rsid w:val="002E0E7C"/>
    <w:rsid w:val="002E0EFC"/>
    <w:rsid w:val="002E0F5F"/>
    <w:rsid w:val="002E1174"/>
    <w:rsid w:val="002E1263"/>
    <w:rsid w:val="002E12CD"/>
    <w:rsid w:val="002E12E9"/>
    <w:rsid w:val="002E135C"/>
    <w:rsid w:val="002E1373"/>
    <w:rsid w:val="002E142C"/>
    <w:rsid w:val="002E157D"/>
    <w:rsid w:val="002E15BA"/>
    <w:rsid w:val="002E1637"/>
    <w:rsid w:val="002E1913"/>
    <w:rsid w:val="002E1A9E"/>
    <w:rsid w:val="002E1B99"/>
    <w:rsid w:val="002E1BEB"/>
    <w:rsid w:val="002E1D57"/>
    <w:rsid w:val="002E1F01"/>
    <w:rsid w:val="002E1FB6"/>
    <w:rsid w:val="002E2078"/>
    <w:rsid w:val="002E2205"/>
    <w:rsid w:val="002E226B"/>
    <w:rsid w:val="002E2416"/>
    <w:rsid w:val="002E254A"/>
    <w:rsid w:val="002E2658"/>
    <w:rsid w:val="002E27C6"/>
    <w:rsid w:val="002E2841"/>
    <w:rsid w:val="002E292C"/>
    <w:rsid w:val="002E2939"/>
    <w:rsid w:val="002E2D4E"/>
    <w:rsid w:val="002E2FF0"/>
    <w:rsid w:val="002E305B"/>
    <w:rsid w:val="002E305E"/>
    <w:rsid w:val="002E325C"/>
    <w:rsid w:val="002E326E"/>
    <w:rsid w:val="002E3291"/>
    <w:rsid w:val="002E333E"/>
    <w:rsid w:val="002E3383"/>
    <w:rsid w:val="002E338E"/>
    <w:rsid w:val="002E365D"/>
    <w:rsid w:val="002E3695"/>
    <w:rsid w:val="002E36DF"/>
    <w:rsid w:val="002E375E"/>
    <w:rsid w:val="002E376A"/>
    <w:rsid w:val="002E390B"/>
    <w:rsid w:val="002E3ACF"/>
    <w:rsid w:val="002E3D46"/>
    <w:rsid w:val="002E3D59"/>
    <w:rsid w:val="002E3D86"/>
    <w:rsid w:val="002E3F60"/>
    <w:rsid w:val="002E3F78"/>
    <w:rsid w:val="002E3FC4"/>
    <w:rsid w:val="002E40DE"/>
    <w:rsid w:val="002E4285"/>
    <w:rsid w:val="002E42A6"/>
    <w:rsid w:val="002E42F2"/>
    <w:rsid w:val="002E4439"/>
    <w:rsid w:val="002E44F8"/>
    <w:rsid w:val="002E4526"/>
    <w:rsid w:val="002E454C"/>
    <w:rsid w:val="002E45D1"/>
    <w:rsid w:val="002E46A1"/>
    <w:rsid w:val="002E478F"/>
    <w:rsid w:val="002E4863"/>
    <w:rsid w:val="002E48B5"/>
    <w:rsid w:val="002E48F4"/>
    <w:rsid w:val="002E4A15"/>
    <w:rsid w:val="002E4BAE"/>
    <w:rsid w:val="002E4D70"/>
    <w:rsid w:val="002E4DFC"/>
    <w:rsid w:val="002E4FA7"/>
    <w:rsid w:val="002E5027"/>
    <w:rsid w:val="002E50FA"/>
    <w:rsid w:val="002E5101"/>
    <w:rsid w:val="002E514D"/>
    <w:rsid w:val="002E51F0"/>
    <w:rsid w:val="002E52C9"/>
    <w:rsid w:val="002E5391"/>
    <w:rsid w:val="002E54A3"/>
    <w:rsid w:val="002E5552"/>
    <w:rsid w:val="002E5577"/>
    <w:rsid w:val="002E5635"/>
    <w:rsid w:val="002E5647"/>
    <w:rsid w:val="002E5768"/>
    <w:rsid w:val="002E5865"/>
    <w:rsid w:val="002E58DE"/>
    <w:rsid w:val="002E5909"/>
    <w:rsid w:val="002E59DC"/>
    <w:rsid w:val="002E5A38"/>
    <w:rsid w:val="002E5A40"/>
    <w:rsid w:val="002E5AC7"/>
    <w:rsid w:val="002E5ADB"/>
    <w:rsid w:val="002E5D39"/>
    <w:rsid w:val="002E5DC3"/>
    <w:rsid w:val="002E5E45"/>
    <w:rsid w:val="002E5ED6"/>
    <w:rsid w:val="002E5F0F"/>
    <w:rsid w:val="002E5F8D"/>
    <w:rsid w:val="002E5FAF"/>
    <w:rsid w:val="002E617A"/>
    <w:rsid w:val="002E61C1"/>
    <w:rsid w:val="002E620A"/>
    <w:rsid w:val="002E64E6"/>
    <w:rsid w:val="002E653B"/>
    <w:rsid w:val="002E658D"/>
    <w:rsid w:val="002E6607"/>
    <w:rsid w:val="002E6759"/>
    <w:rsid w:val="002E679A"/>
    <w:rsid w:val="002E688B"/>
    <w:rsid w:val="002E68E2"/>
    <w:rsid w:val="002E6A6B"/>
    <w:rsid w:val="002E6BC8"/>
    <w:rsid w:val="002E6C44"/>
    <w:rsid w:val="002E6E33"/>
    <w:rsid w:val="002E6E70"/>
    <w:rsid w:val="002E70BF"/>
    <w:rsid w:val="002E70D8"/>
    <w:rsid w:val="002E7122"/>
    <w:rsid w:val="002E71D1"/>
    <w:rsid w:val="002E7257"/>
    <w:rsid w:val="002E73CD"/>
    <w:rsid w:val="002E7519"/>
    <w:rsid w:val="002E75CF"/>
    <w:rsid w:val="002E7683"/>
    <w:rsid w:val="002E76BD"/>
    <w:rsid w:val="002E7725"/>
    <w:rsid w:val="002E78C7"/>
    <w:rsid w:val="002E7958"/>
    <w:rsid w:val="002E79BB"/>
    <w:rsid w:val="002E7D73"/>
    <w:rsid w:val="002E7DD4"/>
    <w:rsid w:val="002E7E6D"/>
    <w:rsid w:val="002F01B6"/>
    <w:rsid w:val="002F0298"/>
    <w:rsid w:val="002F0300"/>
    <w:rsid w:val="002F0335"/>
    <w:rsid w:val="002F03FA"/>
    <w:rsid w:val="002F0431"/>
    <w:rsid w:val="002F057C"/>
    <w:rsid w:val="002F05F6"/>
    <w:rsid w:val="002F0689"/>
    <w:rsid w:val="002F06A8"/>
    <w:rsid w:val="002F091C"/>
    <w:rsid w:val="002F09D2"/>
    <w:rsid w:val="002F0A30"/>
    <w:rsid w:val="002F0AE9"/>
    <w:rsid w:val="002F0E7C"/>
    <w:rsid w:val="002F0F56"/>
    <w:rsid w:val="002F0F80"/>
    <w:rsid w:val="002F10DC"/>
    <w:rsid w:val="002F1106"/>
    <w:rsid w:val="002F112D"/>
    <w:rsid w:val="002F11AE"/>
    <w:rsid w:val="002F11F4"/>
    <w:rsid w:val="002F1236"/>
    <w:rsid w:val="002F133B"/>
    <w:rsid w:val="002F1365"/>
    <w:rsid w:val="002F13A2"/>
    <w:rsid w:val="002F13F8"/>
    <w:rsid w:val="002F145A"/>
    <w:rsid w:val="002F1460"/>
    <w:rsid w:val="002F15CD"/>
    <w:rsid w:val="002F162C"/>
    <w:rsid w:val="002F179F"/>
    <w:rsid w:val="002F1810"/>
    <w:rsid w:val="002F18FC"/>
    <w:rsid w:val="002F1A6F"/>
    <w:rsid w:val="002F1AC4"/>
    <w:rsid w:val="002F1B69"/>
    <w:rsid w:val="002F1B93"/>
    <w:rsid w:val="002F1DE5"/>
    <w:rsid w:val="002F1E07"/>
    <w:rsid w:val="002F20F4"/>
    <w:rsid w:val="002F2272"/>
    <w:rsid w:val="002F22B7"/>
    <w:rsid w:val="002F234B"/>
    <w:rsid w:val="002F252B"/>
    <w:rsid w:val="002F2749"/>
    <w:rsid w:val="002F2984"/>
    <w:rsid w:val="002F2A81"/>
    <w:rsid w:val="002F2B69"/>
    <w:rsid w:val="002F2C3D"/>
    <w:rsid w:val="002F2C7C"/>
    <w:rsid w:val="002F2E40"/>
    <w:rsid w:val="002F2FAA"/>
    <w:rsid w:val="002F2FD5"/>
    <w:rsid w:val="002F30A4"/>
    <w:rsid w:val="002F30DC"/>
    <w:rsid w:val="002F32A3"/>
    <w:rsid w:val="002F3303"/>
    <w:rsid w:val="002F33D8"/>
    <w:rsid w:val="002F3490"/>
    <w:rsid w:val="002F3660"/>
    <w:rsid w:val="002F3675"/>
    <w:rsid w:val="002F3677"/>
    <w:rsid w:val="002F3795"/>
    <w:rsid w:val="002F3887"/>
    <w:rsid w:val="002F39EC"/>
    <w:rsid w:val="002F39FF"/>
    <w:rsid w:val="002F3B7E"/>
    <w:rsid w:val="002F3B87"/>
    <w:rsid w:val="002F3CB7"/>
    <w:rsid w:val="002F3E5C"/>
    <w:rsid w:val="002F4071"/>
    <w:rsid w:val="002F4081"/>
    <w:rsid w:val="002F40E3"/>
    <w:rsid w:val="002F4234"/>
    <w:rsid w:val="002F4287"/>
    <w:rsid w:val="002F4473"/>
    <w:rsid w:val="002F447D"/>
    <w:rsid w:val="002F44F4"/>
    <w:rsid w:val="002F4519"/>
    <w:rsid w:val="002F4650"/>
    <w:rsid w:val="002F46FF"/>
    <w:rsid w:val="002F4857"/>
    <w:rsid w:val="002F48E5"/>
    <w:rsid w:val="002F48E6"/>
    <w:rsid w:val="002F496C"/>
    <w:rsid w:val="002F4A7C"/>
    <w:rsid w:val="002F4D7B"/>
    <w:rsid w:val="002F4DB9"/>
    <w:rsid w:val="002F4DC7"/>
    <w:rsid w:val="002F4E94"/>
    <w:rsid w:val="002F4EEC"/>
    <w:rsid w:val="002F4F1D"/>
    <w:rsid w:val="002F5050"/>
    <w:rsid w:val="002F515B"/>
    <w:rsid w:val="002F5190"/>
    <w:rsid w:val="002F51B4"/>
    <w:rsid w:val="002F51CB"/>
    <w:rsid w:val="002F52E2"/>
    <w:rsid w:val="002F555D"/>
    <w:rsid w:val="002F55A5"/>
    <w:rsid w:val="002F58C8"/>
    <w:rsid w:val="002F58C9"/>
    <w:rsid w:val="002F5912"/>
    <w:rsid w:val="002F5997"/>
    <w:rsid w:val="002F59E1"/>
    <w:rsid w:val="002F5A6E"/>
    <w:rsid w:val="002F5B15"/>
    <w:rsid w:val="002F5B41"/>
    <w:rsid w:val="002F5EE8"/>
    <w:rsid w:val="002F617F"/>
    <w:rsid w:val="002F61F0"/>
    <w:rsid w:val="002F6207"/>
    <w:rsid w:val="002F6239"/>
    <w:rsid w:val="002F62F1"/>
    <w:rsid w:val="002F63A2"/>
    <w:rsid w:val="002F63C5"/>
    <w:rsid w:val="002F6444"/>
    <w:rsid w:val="002F6450"/>
    <w:rsid w:val="002F64DF"/>
    <w:rsid w:val="002F650A"/>
    <w:rsid w:val="002F654E"/>
    <w:rsid w:val="002F66CB"/>
    <w:rsid w:val="002F66EF"/>
    <w:rsid w:val="002F6801"/>
    <w:rsid w:val="002F680A"/>
    <w:rsid w:val="002F69A8"/>
    <w:rsid w:val="002F69B2"/>
    <w:rsid w:val="002F6A83"/>
    <w:rsid w:val="002F6B75"/>
    <w:rsid w:val="002F6C2B"/>
    <w:rsid w:val="002F6C76"/>
    <w:rsid w:val="002F6D2E"/>
    <w:rsid w:val="002F6D37"/>
    <w:rsid w:val="002F6D6F"/>
    <w:rsid w:val="002F6DAB"/>
    <w:rsid w:val="002F6ED1"/>
    <w:rsid w:val="002F6ED6"/>
    <w:rsid w:val="002F6F1F"/>
    <w:rsid w:val="002F70F8"/>
    <w:rsid w:val="002F72F6"/>
    <w:rsid w:val="002F73F2"/>
    <w:rsid w:val="002F74CA"/>
    <w:rsid w:val="002F750D"/>
    <w:rsid w:val="002F7670"/>
    <w:rsid w:val="002F782F"/>
    <w:rsid w:val="002F78A0"/>
    <w:rsid w:val="002F792D"/>
    <w:rsid w:val="002F7BD2"/>
    <w:rsid w:val="002F7D27"/>
    <w:rsid w:val="002F7DBA"/>
    <w:rsid w:val="002F7E59"/>
    <w:rsid w:val="002F7E98"/>
    <w:rsid w:val="002F7EDB"/>
    <w:rsid w:val="002F7F53"/>
    <w:rsid w:val="00300001"/>
    <w:rsid w:val="00300109"/>
    <w:rsid w:val="0030018B"/>
    <w:rsid w:val="00300425"/>
    <w:rsid w:val="00300851"/>
    <w:rsid w:val="0030096B"/>
    <w:rsid w:val="00300AC6"/>
    <w:rsid w:val="00300CAA"/>
    <w:rsid w:val="00300CC7"/>
    <w:rsid w:val="00300CFD"/>
    <w:rsid w:val="00300EA8"/>
    <w:rsid w:val="00301016"/>
    <w:rsid w:val="0030140F"/>
    <w:rsid w:val="00301602"/>
    <w:rsid w:val="00301646"/>
    <w:rsid w:val="00301755"/>
    <w:rsid w:val="0030177A"/>
    <w:rsid w:val="003017B3"/>
    <w:rsid w:val="0030194E"/>
    <w:rsid w:val="00301AFE"/>
    <w:rsid w:val="00301B11"/>
    <w:rsid w:val="00301C40"/>
    <w:rsid w:val="00301FB8"/>
    <w:rsid w:val="0030200F"/>
    <w:rsid w:val="003021E6"/>
    <w:rsid w:val="00302357"/>
    <w:rsid w:val="003023B4"/>
    <w:rsid w:val="0030263E"/>
    <w:rsid w:val="003027A4"/>
    <w:rsid w:val="00302816"/>
    <w:rsid w:val="003028E7"/>
    <w:rsid w:val="003029B9"/>
    <w:rsid w:val="00302A58"/>
    <w:rsid w:val="00302B38"/>
    <w:rsid w:val="00302D52"/>
    <w:rsid w:val="00302D58"/>
    <w:rsid w:val="00302F08"/>
    <w:rsid w:val="00302F26"/>
    <w:rsid w:val="00302F80"/>
    <w:rsid w:val="0030309E"/>
    <w:rsid w:val="0030320A"/>
    <w:rsid w:val="00303211"/>
    <w:rsid w:val="0030324F"/>
    <w:rsid w:val="0030337A"/>
    <w:rsid w:val="003033D4"/>
    <w:rsid w:val="00303866"/>
    <w:rsid w:val="00303985"/>
    <w:rsid w:val="00303A21"/>
    <w:rsid w:val="00303AFE"/>
    <w:rsid w:val="00303B3A"/>
    <w:rsid w:val="00303B78"/>
    <w:rsid w:val="00303CB5"/>
    <w:rsid w:val="00303CC1"/>
    <w:rsid w:val="00303CD9"/>
    <w:rsid w:val="00303CDF"/>
    <w:rsid w:val="00303D1A"/>
    <w:rsid w:val="00303D32"/>
    <w:rsid w:val="00303DFA"/>
    <w:rsid w:val="00303E31"/>
    <w:rsid w:val="00304131"/>
    <w:rsid w:val="003041E7"/>
    <w:rsid w:val="0030431B"/>
    <w:rsid w:val="003043F7"/>
    <w:rsid w:val="00304470"/>
    <w:rsid w:val="003045A3"/>
    <w:rsid w:val="00304667"/>
    <w:rsid w:val="003046AD"/>
    <w:rsid w:val="003047ED"/>
    <w:rsid w:val="003047FD"/>
    <w:rsid w:val="00304821"/>
    <w:rsid w:val="0030484D"/>
    <w:rsid w:val="00304857"/>
    <w:rsid w:val="00304997"/>
    <w:rsid w:val="003049A4"/>
    <w:rsid w:val="003049DD"/>
    <w:rsid w:val="00304AFF"/>
    <w:rsid w:val="00304C44"/>
    <w:rsid w:val="00304C7F"/>
    <w:rsid w:val="00304CD8"/>
    <w:rsid w:val="00304F5E"/>
    <w:rsid w:val="0030502D"/>
    <w:rsid w:val="003050CA"/>
    <w:rsid w:val="0030511B"/>
    <w:rsid w:val="0030533D"/>
    <w:rsid w:val="00305368"/>
    <w:rsid w:val="00305378"/>
    <w:rsid w:val="003053EC"/>
    <w:rsid w:val="0030543B"/>
    <w:rsid w:val="00305620"/>
    <w:rsid w:val="003057BE"/>
    <w:rsid w:val="003058E7"/>
    <w:rsid w:val="00305A5B"/>
    <w:rsid w:val="00305A89"/>
    <w:rsid w:val="00305AC3"/>
    <w:rsid w:val="00305F6B"/>
    <w:rsid w:val="00305F83"/>
    <w:rsid w:val="00305FBB"/>
    <w:rsid w:val="003060C7"/>
    <w:rsid w:val="003061D3"/>
    <w:rsid w:val="00306386"/>
    <w:rsid w:val="003063A3"/>
    <w:rsid w:val="003064AF"/>
    <w:rsid w:val="003064FD"/>
    <w:rsid w:val="00306567"/>
    <w:rsid w:val="003065B6"/>
    <w:rsid w:val="0030665E"/>
    <w:rsid w:val="003066BA"/>
    <w:rsid w:val="003066C4"/>
    <w:rsid w:val="0030676F"/>
    <w:rsid w:val="00306894"/>
    <w:rsid w:val="00306971"/>
    <w:rsid w:val="003069B9"/>
    <w:rsid w:val="00306A82"/>
    <w:rsid w:val="00306BCD"/>
    <w:rsid w:val="00306CF3"/>
    <w:rsid w:val="00306D3C"/>
    <w:rsid w:val="00306E50"/>
    <w:rsid w:val="003070DA"/>
    <w:rsid w:val="00307212"/>
    <w:rsid w:val="00307220"/>
    <w:rsid w:val="0030745C"/>
    <w:rsid w:val="00307764"/>
    <w:rsid w:val="0030783C"/>
    <w:rsid w:val="00307850"/>
    <w:rsid w:val="003078AB"/>
    <w:rsid w:val="003078FD"/>
    <w:rsid w:val="00307938"/>
    <w:rsid w:val="00307A5F"/>
    <w:rsid w:val="00307A73"/>
    <w:rsid w:val="00307AC2"/>
    <w:rsid w:val="00307ACC"/>
    <w:rsid w:val="00307AF4"/>
    <w:rsid w:val="00307B63"/>
    <w:rsid w:val="00307B88"/>
    <w:rsid w:val="00307BB1"/>
    <w:rsid w:val="00307BC3"/>
    <w:rsid w:val="00307CD4"/>
    <w:rsid w:val="00307D64"/>
    <w:rsid w:val="00307F0A"/>
    <w:rsid w:val="00310124"/>
    <w:rsid w:val="00310158"/>
    <w:rsid w:val="0031015C"/>
    <w:rsid w:val="0031019F"/>
    <w:rsid w:val="003102C6"/>
    <w:rsid w:val="003102DD"/>
    <w:rsid w:val="003102E3"/>
    <w:rsid w:val="00310320"/>
    <w:rsid w:val="00310325"/>
    <w:rsid w:val="0031034E"/>
    <w:rsid w:val="003104F2"/>
    <w:rsid w:val="00310520"/>
    <w:rsid w:val="0031052D"/>
    <w:rsid w:val="00310798"/>
    <w:rsid w:val="003107D7"/>
    <w:rsid w:val="0031081F"/>
    <w:rsid w:val="003108A1"/>
    <w:rsid w:val="00310940"/>
    <w:rsid w:val="00310C36"/>
    <w:rsid w:val="00310CC2"/>
    <w:rsid w:val="00310CF9"/>
    <w:rsid w:val="00310CFD"/>
    <w:rsid w:val="00310D2D"/>
    <w:rsid w:val="00310DF8"/>
    <w:rsid w:val="00310EAC"/>
    <w:rsid w:val="00310F8E"/>
    <w:rsid w:val="00311014"/>
    <w:rsid w:val="003110FA"/>
    <w:rsid w:val="00311101"/>
    <w:rsid w:val="003111D1"/>
    <w:rsid w:val="003111F2"/>
    <w:rsid w:val="0031126C"/>
    <w:rsid w:val="00311306"/>
    <w:rsid w:val="00311390"/>
    <w:rsid w:val="00311506"/>
    <w:rsid w:val="00311538"/>
    <w:rsid w:val="003116DC"/>
    <w:rsid w:val="00311700"/>
    <w:rsid w:val="00311710"/>
    <w:rsid w:val="00311729"/>
    <w:rsid w:val="00311756"/>
    <w:rsid w:val="003118BF"/>
    <w:rsid w:val="003118CF"/>
    <w:rsid w:val="003119D2"/>
    <w:rsid w:val="003119FE"/>
    <w:rsid w:val="00311AAC"/>
    <w:rsid w:val="00311AAF"/>
    <w:rsid w:val="00311B6A"/>
    <w:rsid w:val="00311CF3"/>
    <w:rsid w:val="00311D92"/>
    <w:rsid w:val="00311FAF"/>
    <w:rsid w:val="00311FCC"/>
    <w:rsid w:val="0031227C"/>
    <w:rsid w:val="003122F4"/>
    <w:rsid w:val="003127C3"/>
    <w:rsid w:val="003127EF"/>
    <w:rsid w:val="00312888"/>
    <w:rsid w:val="0031294B"/>
    <w:rsid w:val="003129E1"/>
    <w:rsid w:val="00312A1C"/>
    <w:rsid w:val="00312A2B"/>
    <w:rsid w:val="00312A67"/>
    <w:rsid w:val="003130C9"/>
    <w:rsid w:val="00313130"/>
    <w:rsid w:val="00313258"/>
    <w:rsid w:val="003132CC"/>
    <w:rsid w:val="00313397"/>
    <w:rsid w:val="0031362C"/>
    <w:rsid w:val="003136A9"/>
    <w:rsid w:val="003137D8"/>
    <w:rsid w:val="003137EE"/>
    <w:rsid w:val="0031385A"/>
    <w:rsid w:val="00313C15"/>
    <w:rsid w:val="00313C20"/>
    <w:rsid w:val="00313C29"/>
    <w:rsid w:val="00313C9E"/>
    <w:rsid w:val="00313DF6"/>
    <w:rsid w:val="00313EF6"/>
    <w:rsid w:val="0031409B"/>
    <w:rsid w:val="003140CF"/>
    <w:rsid w:val="00314127"/>
    <w:rsid w:val="003141F6"/>
    <w:rsid w:val="00314213"/>
    <w:rsid w:val="0031428C"/>
    <w:rsid w:val="003143AC"/>
    <w:rsid w:val="0031459B"/>
    <w:rsid w:val="00314621"/>
    <w:rsid w:val="00314640"/>
    <w:rsid w:val="0031486D"/>
    <w:rsid w:val="00314898"/>
    <w:rsid w:val="0031490A"/>
    <w:rsid w:val="00314A36"/>
    <w:rsid w:val="00314A66"/>
    <w:rsid w:val="00314ADC"/>
    <w:rsid w:val="00314B50"/>
    <w:rsid w:val="00314B96"/>
    <w:rsid w:val="00314BA0"/>
    <w:rsid w:val="00314C69"/>
    <w:rsid w:val="00314D43"/>
    <w:rsid w:val="00314E56"/>
    <w:rsid w:val="00314E62"/>
    <w:rsid w:val="00314E83"/>
    <w:rsid w:val="00315013"/>
    <w:rsid w:val="0031506B"/>
    <w:rsid w:val="003151C3"/>
    <w:rsid w:val="003152AD"/>
    <w:rsid w:val="003152CC"/>
    <w:rsid w:val="00315616"/>
    <w:rsid w:val="0031570F"/>
    <w:rsid w:val="00315721"/>
    <w:rsid w:val="0031572F"/>
    <w:rsid w:val="0031573D"/>
    <w:rsid w:val="00315762"/>
    <w:rsid w:val="00315926"/>
    <w:rsid w:val="00315956"/>
    <w:rsid w:val="003159BA"/>
    <w:rsid w:val="00315A5F"/>
    <w:rsid w:val="00315A71"/>
    <w:rsid w:val="00315B3B"/>
    <w:rsid w:val="00315BAE"/>
    <w:rsid w:val="00315CEB"/>
    <w:rsid w:val="00315D45"/>
    <w:rsid w:val="00315EAC"/>
    <w:rsid w:val="00315EDC"/>
    <w:rsid w:val="00315F5C"/>
    <w:rsid w:val="00316211"/>
    <w:rsid w:val="003162BD"/>
    <w:rsid w:val="003163EA"/>
    <w:rsid w:val="003164EF"/>
    <w:rsid w:val="00316599"/>
    <w:rsid w:val="0031669B"/>
    <w:rsid w:val="0031681F"/>
    <w:rsid w:val="00316ACF"/>
    <w:rsid w:val="00316C6B"/>
    <w:rsid w:val="00316CB4"/>
    <w:rsid w:val="00316D05"/>
    <w:rsid w:val="00316D1A"/>
    <w:rsid w:val="00316D7E"/>
    <w:rsid w:val="00316D8A"/>
    <w:rsid w:val="00317224"/>
    <w:rsid w:val="0031728C"/>
    <w:rsid w:val="003173F9"/>
    <w:rsid w:val="00317AB8"/>
    <w:rsid w:val="00317B31"/>
    <w:rsid w:val="00317BB4"/>
    <w:rsid w:val="00317BFB"/>
    <w:rsid w:val="00317CDD"/>
    <w:rsid w:val="00317D67"/>
    <w:rsid w:val="00317DC4"/>
    <w:rsid w:val="00317DDE"/>
    <w:rsid w:val="00317EB3"/>
    <w:rsid w:val="00317EF7"/>
    <w:rsid w:val="00317F6C"/>
    <w:rsid w:val="0032003D"/>
    <w:rsid w:val="00320157"/>
    <w:rsid w:val="0032021A"/>
    <w:rsid w:val="00320274"/>
    <w:rsid w:val="00320366"/>
    <w:rsid w:val="003203EE"/>
    <w:rsid w:val="003206A5"/>
    <w:rsid w:val="0032072E"/>
    <w:rsid w:val="003207F2"/>
    <w:rsid w:val="00320910"/>
    <w:rsid w:val="00320ABA"/>
    <w:rsid w:val="00320AFE"/>
    <w:rsid w:val="00320B49"/>
    <w:rsid w:val="00320BB0"/>
    <w:rsid w:val="00320BD2"/>
    <w:rsid w:val="00320C80"/>
    <w:rsid w:val="00320D61"/>
    <w:rsid w:val="00320F73"/>
    <w:rsid w:val="0032106B"/>
    <w:rsid w:val="0032119E"/>
    <w:rsid w:val="003216DD"/>
    <w:rsid w:val="00321994"/>
    <w:rsid w:val="00321A2F"/>
    <w:rsid w:val="00321AB9"/>
    <w:rsid w:val="00321B07"/>
    <w:rsid w:val="00321BB5"/>
    <w:rsid w:val="00321C06"/>
    <w:rsid w:val="00321CE0"/>
    <w:rsid w:val="00321D3A"/>
    <w:rsid w:val="00321D57"/>
    <w:rsid w:val="00321DAB"/>
    <w:rsid w:val="00321FE5"/>
    <w:rsid w:val="00322198"/>
    <w:rsid w:val="00322282"/>
    <w:rsid w:val="003222EF"/>
    <w:rsid w:val="003224E1"/>
    <w:rsid w:val="00322547"/>
    <w:rsid w:val="00322643"/>
    <w:rsid w:val="003226C9"/>
    <w:rsid w:val="003226D1"/>
    <w:rsid w:val="003226EA"/>
    <w:rsid w:val="00322B62"/>
    <w:rsid w:val="00322BC0"/>
    <w:rsid w:val="00322D90"/>
    <w:rsid w:val="00322DA9"/>
    <w:rsid w:val="00322DEC"/>
    <w:rsid w:val="00322F53"/>
    <w:rsid w:val="00322FF2"/>
    <w:rsid w:val="0032300E"/>
    <w:rsid w:val="00323107"/>
    <w:rsid w:val="0032315B"/>
    <w:rsid w:val="003232AA"/>
    <w:rsid w:val="0032347E"/>
    <w:rsid w:val="003237BE"/>
    <w:rsid w:val="003237DA"/>
    <w:rsid w:val="00323AC2"/>
    <w:rsid w:val="00323B7A"/>
    <w:rsid w:val="00323BDF"/>
    <w:rsid w:val="00323CA7"/>
    <w:rsid w:val="00323CDB"/>
    <w:rsid w:val="00323D5F"/>
    <w:rsid w:val="00323E78"/>
    <w:rsid w:val="00323F0F"/>
    <w:rsid w:val="00323F2C"/>
    <w:rsid w:val="00323F7F"/>
    <w:rsid w:val="0032406F"/>
    <w:rsid w:val="003240AE"/>
    <w:rsid w:val="0032417D"/>
    <w:rsid w:val="00324272"/>
    <w:rsid w:val="00324279"/>
    <w:rsid w:val="003245B0"/>
    <w:rsid w:val="003245C3"/>
    <w:rsid w:val="00324630"/>
    <w:rsid w:val="003246F8"/>
    <w:rsid w:val="00324777"/>
    <w:rsid w:val="003249DD"/>
    <w:rsid w:val="00324AD2"/>
    <w:rsid w:val="00324BAB"/>
    <w:rsid w:val="00324BDB"/>
    <w:rsid w:val="00324C71"/>
    <w:rsid w:val="00324C80"/>
    <w:rsid w:val="00324E2B"/>
    <w:rsid w:val="00324EA4"/>
    <w:rsid w:val="00324F4A"/>
    <w:rsid w:val="00324FA2"/>
    <w:rsid w:val="00325007"/>
    <w:rsid w:val="003251AC"/>
    <w:rsid w:val="003251CA"/>
    <w:rsid w:val="003251CC"/>
    <w:rsid w:val="00325240"/>
    <w:rsid w:val="00325307"/>
    <w:rsid w:val="00325387"/>
    <w:rsid w:val="003254E7"/>
    <w:rsid w:val="00325669"/>
    <w:rsid w:val="00325788"/>
    <w:rsid w:val="00325861"/>
    <w:rsid w:val="00325CFB"/>
    <w:rsid w:val="00325D6F"/>
    <w:rsid w:val="00325D70"/>
    <w:rsid w:val="00325D81"/>
    <w:rsid w:val="00325F6F"/>
    <w:rsid w:val="00326026"/>
    <w:rsid w:val="00326043"/>
    <w:rsid w:val="00326081"/>
    <w:rsid w:val="00326085"/>
    <w:rsid w:val="0032617F"/>
    <w:rsid w:val="00326266"/>
    <w:rsid w:val="003263FD"/>
    <w:rsid w:val="00326448"/>
    <w:rsid w:val="003264DB"/>
    <w:rsid w:val="0032652B"/>
    <w:rsid w:val="00326545"/>
    <w:rsid w:val="00326698"/>
    <w:rsid w:val="0032674D"/>
    <w:rsid w:val="003267F9"/>
    <w:rsid w:val="003268D5"/>
    <w:rsid w:val="00326947"/>
    <w:rsid w:val="00326AEB"/>
    <w:rsid w:val="00326BB1"/>
    <w:rsid w:val="00326BE6"/>
    <w:rsid w:val="00326C4B"/>
    <w:rsid w:val="00326E3A"/>
    <w:rsid w:val="00326E7B"/>
    <w:rsid w:val="00326EF6"/>
    <w:rsid w:val="00326F03"/>
    <w:rsid w:val="00326FB5"/>
    <w:rsid w:val="00327087"/>
    <w:rsid w:val="00327259"/>
    <w:rsid w:val="00327285"/>
    <w:rsid w:val="00327312"/>
    <w:rsid w:val="00327370"/>
    <w:rsid w:val="003273A6"/>
    <w:rsid w:val="003273B1"/>
    <w:rsid w:val="0032740E"/>
    <w:rsid w:val="003274A5"/>
    <w:rsid w:val="003275B0"/>
    <w:rsid w:val="00327675"/>
    <w:rsid w:val="003277D8"/>
    <w:rsid w:val="003279E4"/>
    <w:rsid w:val="003279EB"/>
    <w:rsid w:val="00327DBF"/>
    <w:rsid w:val="00327E26"/>
    <w:rsid w:val="00327F88"/>
    <w:rsid w:val="00327FDC"/>
    <w:rsid w:val="003300CF"/>
    <w:rsid w:val="003303D1"/>
    <w:rsid w:val="003304BF"/>
    <w:rsid w:val="00330522"/>
    <w:rsid w:val="003305F9"/>
    <w:rsid w:val="003305FA"/>
    <w:rsid w:val="00330608"/>
    <w:rsid w:val="00330635"/>
    <w:rsid w:val="00330669"/>
    <w:rsid w:val="00330671"/>
    <w:rsid w:val="0033068A"/>
    <w:rsid w:val="0033076F"/>
    <w:rsid w:val="00330785"/>
    <w:rsid w:val="00330991"/>
    <w:rsid w:val="00330A01"/>
    <w:rsid w:val="00330C7D"/>
    <w:rsid w:val="00330D62"/>
    <w:rsid w:val="00330DC3"/>
    <w:rsid w:val="00330F69"/>
    <w:rsid w:val="00330F89"/>
    <w:rsid w:val="00330FC5"/>
    <w:rsid w:val="0033102C"/>
    <w:rsid w:val="00331103"/>
    <w:rsid w:val="00331215"/>
    <w:rsid w:val="0033132A"/>
    <w:rsid w:val="003314B1"/>
    <w:rsid w:val="003316C3"/>
    <w:rsid w:val="00331725"/>
    <w:rsid w:val="00331782"/>
    <w:rsid w:val="00331830"/>
    <w:rsid w:val="00331923"/>
    <w:rsid w:val="00331A26"/>
    <w:rsid w:val="00331CB6"/>
    <w:rsid w:val="00331D89"/>
    <w:rsid w:val="00331EAD"/>
    <w:rsid w:val="00331FC3"/>
    <w:rsid w:val="0033200C"/>
    <w:rsid w:val="003320DD"/>
    <w:rsid w:val="00332181"/>
    <w:rsid w:val="003322A8"/>
    <w:rsid w:val="00332301"/>
    <w:rsid w:val="0033233C"/>
    <w:rsid w:val="00332372"/>
    <w:rsid w:val="00332420"/>
    <w:rsid w:val="003324F5"/>
    <w:rsid w:val="0033256F"/>
    <w:rsid w:val="00332721"/>
    <w:rsid w:val="0033280A"/>
    <w:rsid w:val="00332816"/>
    <w:rsid w:val="00332919"/>
    <w:rsid w:val="00332949"/>
    <w:rsid w:val="0033294B"/>
    <w:rsid w:val="00332A10"/>
    <w:rsid w:val="00332BD8"/>
    <w:rsid w:val="00332E9F"/>
    <w:rsid w:val="00332F04"/>
    <w:rsid w:val="00332FE0"/>
    <w:rsid w:val="00333018"/>
    <w:rsid w:val="00333101"/>
    <w:rsid w:val="00333242"/>
    <w:rsid w:val="0033328A"/>
    <w:rsid w:val="003332C8"/>
    <w:rsid w:val="00333314"/>
    <w:rsid w:val="00333363"/>
    <w:rsid w:val="003333DB"/>
    <w:rsid w:val="00333445"/>
    <w:rsid w:val="003334BA"/>
    <w:rsid w:val="003336A6"/>
    <w:rsid w:val="00333826"/>
    <w:rsid w:val="00333925"/>
    <w:rsid w:val="00333A4E"/>
    <w:rsid w:val="00333A6A"/>
    <w:rsid w:val="00333AD8"/>
    <w:rsid w:val="00333B73"/>
    <w:rsid w:val="00333BD0"/>
    <w:rsid w:val="00333D0B"/>
    <w:rsid w:val="00333F2F"/>
    <w:rsid w:val="00333F5C"/>
    <w:rsid w:val="00334042"/>
    <w:rsid w:val="003341FC"/>
    <w:rsid w:val="003342D9"/>
    <w:rsid w:val="003342F3"/>
    <w:rsid w:val="003343AB"/>
    <w:rsid w:val="00334452"/>
    <w:rsid w:val="00334519"/>
    <w:rsid w:val="00334539"/>
    <w:rsid w:val="003345CE"/>
    <w:rsid w:val="0033478A"/>
    <w:rsid w:val="003347A2"/>
    <w:rsid w:val="003347F2"/>
    <w:rsid w:val="0033482E"/>
    <w:rsid w:val="00334C49"/>
    <w:rsid w:val="00334E1D"/>
    <w:rsid w:val="00334FD7"/>
    <w:rsid w:val="003350AC"/>
    <w:rsid w:val="0033520B"/>
    <w:rsid w:val="00335259"/>
    <w:rsid w:val="003352B1"/>
    <w:rsid w:val="003353EA"/>
    <w:rsid w:val="003354CC"/>
    <w:rsid w:val="003354D0"/>
    <w:rsid w:val="00335611"/>
    <w:rsid w:val="00335740"/>
    <w:rsid w:val="003357E7"/>
    <w:rsid w:val="00335824"/>
    <w:rsid w:val="003359B4"/>
    <w:rsid w:val="00335AF5"/>
    <w:rsid w:val="00335CA4"/>
    <w:rsid w:val="00335CF1"/>
    <w:rsid w:val="00335D6A"/>
    <w:rsid w:val="00335DC9"/>
    <w:rsid w:val="00335DD6"/>
    <w:rsid w:val="00335EB8"/>
    <w:rsid w:val="00335ED0"/>
    <w:rsid w:val="00335FBA"/>
    <w:rsid w:val="00335FDF"/>
    <w:rsid w:val="0033616E"/>
    <w:rsid w:val="00336330"/>
    <w:rsid w:val="00336582"/>
    <w:rsid w:val="003366F6"/>
    <w:rsid w:val="00336C4E"/>
    <w:rsid w:val="00336D42"/>
    <w:rsid w:val="00336D91"/>
    <w:rsid w:val="00336DF5"/>
    <w:rsid w:val="003374CA"/>
    <w:rsid w:val="0033754B"/>
    <w:rsid w:val="0033755F"/>
    <w:rsid w:val="003375B3"/>
    <w:rsid w:val="00337769"/>
    <w:rsid w:val="003377CF"/>
    <w:rsid w:val="00337824"/>
    <w:rsid w:val="003379A0"/>
    <w:rsid w:val="003379E7"/>
    <w:rsid w:val="00337A2B"/>
    <w:rsid w:val="00337B93"/>
    <w:rsid w:val="00337C1B"/>
    <w:rsid w:val="00340013"/>
    <w:rsid w:val="003400D0"/>
    <w:rsid w:val="00340233"/>
    <w:rsid w:val="00340244"/>
    <w:rsid w:val="00340433"/>
    <w:rsid w:val="00340521"/>
    <w:rsid w:val="00340572"/>
    <w:rsid w:val="00340650"/>
    <w:rsid w:val="00340766"/>
    <w:rsid w:val="00340797"/>
    <w:rsid w:val="003407B9"/>
    <w:rsid w:val="003407EB"/>
    <w:rsid w:val="00340828"/>
    <w:rsid w:val="003408CF"/>
    <w:rsid w:val="00340A26"/>
    <w:rsid w:val="00340A30"/>
    <w:rsid w:val="00340BDF"/>
    <w:rsid w:val="00340C7B"/>
    <w:rsid w:val="00340D81"/>
    <w:rsid w:val="00340ED2"/>
    <w:rsid w:val="00340EF4"/>
    <w:rsid w:val="00340F1A"/>
    <w:rsid w:val="00341332"/>
    <w:rsid w:val="0034155D"/>
    <w:rsid w:val="0034160E"/>
    <w:rsid w:val="00341847"/>
    <w:rsid w:val="00341938"/>
    <w:rsid w:val="00341B52"/>
    <w:rsid w:val="00341C66"/>
    <w:rsid w:val="00341CC6"/>
    <w:rsid w:val="00341EF3"/>
    <w:rsid w:val="00341F95"/>
    <w:rsid w:val="00341FB6"/>
    <w:rsid w:val="003420D8"/>
    <w:rsid w:val="003420F7"/>
    <w:rsid w:val="00342101"/>
    <w:rsid w:val="00342147"/>
    <w:rsid w:val="0034234D"/>
    <w:rsid w:val="00342357"/>
    <w:rsid w:val="003423BD"/>
    <w:rsid w:val="003423C3"/>
    <w:rsid w:val="00342510"/>
    <w:rsid w:val="0034254C"/>
    <w:rsid w:val="00342652"/>
    <w:rsid w:val="003426EB"/>
    <w:rsid w:val="003426F5"/>
    <w:rsid w:val="0034274A"/>
    <w:rsid w:val="003427AF"/>
    <w:rsid w:val="003427F3"/>
    <w:rsid w:val="00342B12"/>
    <w:rsid w:val="00342B16"/>
    <w:rsid w:val="00342D99"/>
    <w:rsid w:val="00342F19"/>
    <w:rsid w:val="00342F1D"/>
    <w:rsid w:val="003430B7"/>
    <w:rsid w:val="00343125"/>
    <w:rsid w:val="0034325E"/>
    <w:rsid w:val="0034358D"/>
    <w:rsid w:val="003435B6"/>
    <w:rsid w:val="00343636"/>
    <w:rsid w:val="00343A43"/>
    <w:rsid w:val="00343A82"/>
    <w:rsid w:val="00343AF4"/>
    <w:rsid w:val="00343AFC"/>
    <w:rsid w:val="00343CC8"/>
    <w:rsid w:val="00343CF1"/>
    <w:rsid w:val="00343F7C"/>
    <w:rsid w:val="00343F8C"/>
    <w:rsid w:val="00343FDF"/>
    <w:rsid w:val="00344184"/>
    <w:rsid w:val="003441C3"/>
    <w:rsid w:val="0034435C"/>
    <w:rsid w:val="00344581"/>
    <w:rsid w:val="003445FE"/>
    <w:rsid w:val="003446CB"/>
    <w:rsid w:val="003447DA"/>
    <w:rsid w:val="003448F6"/>
    <w:rsid w:val="00344989"/>
    <w:rsid w:val="003449B0"/>
    <w:rsid w:val="00344B9D"/>
    <w:rsid w:val="00344C4F"/>
    <w:rsid w:val="00344D1C"/>
    <w:rsid w:val="00344E10"/>
    <w:rsid w:val="00344E6C"/>
    <w:rsid w:val="00344E80"/>
    <w:rsid w:val="00345003"/>
    <w:rsid w:val="00345119"/>
    <w:rsid w:val="003451B5"/>
    <w:rsid w:val="003451FD"/>
    <w:rsid w:val="0034528B"/>
    <w:rsid w:val="003453CD"/>
    <w:rsid w:val="00345482"/>
    <w:rsid w:val="003454A2"/>
    <w:rsid w:val="003454C6"/>
    <w:rsid w:val="00345646"/>
    <w:rsid w:val="00345660"/>
    <w:rsid w:val="0034579D"/>
    <w:rsid w:val="00345C02"/>
    <w:rsid w:val="00345C7F"/>
    <w:rsid w:val="00345CC5"/>
    <w:rsid w:val="00345D76"/>
    <w:rsid w:val="00345DF1"/>
    <w:rsid w:val="00345DF2"/>
    <w:rsid w:val="00345E5D"/>
    <w:rsid w:val="00345EE9"/>
    <w:rsid w:val="00345FBA"/>
    <w:rsid w:val="00346017"/>
    <w:rsid w:val="0034601E"/>
    <w:rsid w:val="0034606D"/>
    <w:rsid w:val="003461E2"/>
    <w:rsid w:val="00346262"/>
    <w:rsid w:val="00346344"/>
    <w:rsid w:val="003463C9"/>
    <w:rsid w:val="00346452"/>
    <w:rsid w:val="00346463"/>
    <w:rsid w:val="00346489"/>
    <w:rsid w:val="00346595"/>
    <w:rsid w:val="003467AA"/>
    <w:rsid w:val="003467F2"/>
    <w:rsid w:val="0034684E"/>
    <w:rsid w:val="00346993"/>
    <w:rsid w:val="00346AF8"/>
    <w:rsid w:val="00346C29"/>
    <w:rsid w:val="00346CF6"/>
    <w:rsid w:val="00346D0E"/>
    <w:rsid w:val="00346D4A"/>
    <w:rsid w:val="00346D87"/>
    <w:rsid w:val="00346DCF"/>
    <w:rsid w:val="00346E5F"/>
    <w:rsid w:val="003470DF"/>
    <w:rsid w:val="00347106"/>
    <w:rsid w:val="00347137"/>
    <w:rsid w:val="00347228"/>
    <w:rsid w:val="00347235"/>
    <w:rsid w:val="00347276"/>
    <w:rsid w:val="003472E1"/>
    <w:rsid w:val="003473E0"/>
    <w:rsid w:val="003473E8"/>
    <w:rsid w:val="00347471"/>
    <w:rsid w:val="00347485"/>
    <w:rsid w:val="003474A7"/>
    <w:rsid w:val="003474A9"/>
    <w:rsid w:val="00347587"/>
    <w:rsid w:val="003476B5"/>
    <w:rsid w:val="003477ED"/>
    <w:rsid w:val="00347927"/>
    <w:rsid w:val="00347AEF"/>
    <w:rsid w:val="00347B07"/>
    <w:rsid w:val="00347B98"/>
    <w:rsid w:val="00347BD0"/>
    <w:rsid w:val="00347C1A"/>
    <w:rsid w:val="00347CAA"/>
    <w:rsid w:val="00347CE6"/>
    <w:rsid w:val="00347D57"/>
    <w:rsid w:val="00347D86"/>
    <w:rsid w:val="00347DBB"/>
    <w:rsid w:val="00347DEE"/>
    <w:rsid w:val="00347F27"/>
    <w:rsid w:val="00350055"/>
    <w:rsid w:val="00350077"/>
    <w:rsid w:val="0035016B"/>
    <w:rsid w:val="0035026C"/>
    <w:rsid w:val="0035027C"/>
    <w:rsid w:val="003502BA"/>
    <w:rsid w:val="00350525"/>
    <w:rsid w:val="0035056A"/>
    <w:rsid w:val="00350698"/>
    <w:rsid w:val="00350757"/>
    <w:rsid w:val="00350759"/>
    <w:rsid w:val="00350B1E"/>
    <w:rsid w:val="00350B3F"/>
    <w:rsid w:val="00350CCA"/>
    <w:rsid w:val="00350E73"/>
    <w:rsid w:val="00350EE4"/>
    <w:rsid w:val="00350F34"/>
    <w:rsid w:val="00351058"/>
    <w:rsid w:val="00351079"/>
    <w:rsid w:val="00351084"/>
    <w:rsid w:val="00351127"/>
    <w:rsid w:val="0035112E"/>
    <w:rsid w:val="003511DA"/>
    <w:rsid w:val="003511F2"/>
    <w:rsid w:val="00351375"/>
    <w:rsid w:val="003513CE"/>
    <w:rsid w:val="003513F2"/>
    <w:rsid w:val="003513F4"/>
    <w:rsid w:val="003515B7"/>
    <w:rsid w:val="0035161C"/>
    <w:rsid w:val="00351664"/>
    <w:rsid w:val="00351665"/>
    <w:rsid w:val="00351670"/>
    <w:rsid w:val="00351682"/>
    <w:rsid w:val="00351822"/>
    <w:rsid w:val="00351849"/>
    <w:rsid w:val="0035186B"/>
    <w:rsid w:val="003518C0"/>
    <w:rsid w:val="00351909"/>
    <w:rsid w:val="00351A85"/>
    <w:rsid w:val="00351ADB"/>
    <w:rsid w:val="00351BB9"/>
    <w:rsid w:val="00351C1D"/>
    <w:rsid w:val="00351D2D"/>
    <w:rsid w:val="00351E27"/>
    <w:rsid w:val="00351EB8"/>
    <w:rsid w:val="00351FDB"/>
    <w:rsid w:val="00351FE9"/>
    <w:rsid w:val="00352002"/>
    <w:rsid w:val="003521B7"/>
    <w:rsid w:val="0035236E"/>
    <w:rsid w:val="0035241B"/>
    <w:rsid w:val="0035244B"/>
    <w:rsid w:val="003524CB"/>
    <w:rsid w:val="0035253C"/>
    <w:rsid w:val="00352567"/>
    <w:rsid w:val="003525D3"/>
    <w:rsid w:val="0035263F"/>
    <w:rsid w:val="0035264F"/>
    <w:rsid w:val="0035270C"/>
    <w:rsid w:val="00352719"/>
    <w:rsid w:val="0035271A"/>
    <w:rsid w:val="0035273B"/>
    <w:rsid w:val="0035280F"/>
    <w:rsid w:val="0035282C"/>
    <w:rsid w:val="00352A43"/>
    <w:rsid w:val="00352A6C"/>
    <w:rsid w:val="00352B0A"/>
    <w:rsid w:val="00352B2C"/>
    <w:rsid w:val="00352B6E"/>
    <w:rsid w:val="00352BA6"/>
    <w:rsid w:val="00352DEC"/>
    <w:rsid w:val="00352E0D"/>
    <w:rsid w:val="00352E51"/>
    <w:rsid w:val="00352F3E"/>
    <w:rsid w:val="00353085"/>
    <w:rsid w:val="003531EB"/>
    <w:rsid w:val="00353212"/>
    <w:rsid w:val="0035321F"/>
    <w:rsid w:val="003534C4"/>
    <w:rsid w:val="003534F3"/>
    <w:rsid w:val="00353615"/>
    <w:rsid w:val="00353822"/>
    <w:rsid w:val="00353849"/>
    <w:rsid w:val="0035395A"/>
    <w:rsid w:val="0035396F"/>
    <w:rsid w:val="00353A2A"/>
    <w:rsid w:val="00353A80"/>
    <w:rsid w:val="00353D6B"/>
    <w:rsid w:val="00353FD1"/>
    <w:rsid w:val="003540F7"/>
    <w:rsid w:val="00354159"/>
    <w:rsid w:val="00354287"/>
    <w:rsid w:val="00354296"/>
    <w:rsid w:val="0035439E"/>
    <w:rsid w:val="0035452E"/>
    <w:rsid w:val="0035454F"/>
    <w:rsid w:val="0035456C"/>
    <w:rsid w:val="00354715"/>
    <w:rsid w:val="003548C1"/>
    <w:rsid w:val="00354A5B"/>
    <w:rsid w:val="00354ACD"/>
    <w:rsid w:val="00354B36"/>
    <w:rsid w:val="00354B4A"/>
    <w:rsid w:val="00354C45"/>
    <w:rsid w:val="00354D0E"/>
    <w:rsid w:val="00354D27"/>
    <w:rsid w:val="0035507D"/>
    <w:rsid w:val="003550A3"/>
    <w:rsid w:val="0035549E"/>
    <w:rsid w:val="00355567"/>
    <w:rsid w:val="003555B8"/>
    <w:rsid w:val="00355645"/>
    <w:rsid w:val="0035591B"/>
    <w:rsid w:val="00355950"/>
    <w:rsid w:val="00355CC9"/>
    <w:rsid w:val="00355D7A"/>
    <w:rsid w:val="00355DE8"/>
    <w:rsid w:val="00355E2A"/>
    <w:rsid w:val="00355EDA"/>
    <w:rsid w:val="00355F52"/>
    <w:rsid w:val="00355F64"/>
    <w:rsid w:val="00355FB0"/>
    <w:rsid w:val="003560F5"/>
    <w:rsid w:val="00356127"/>
    <w:rsid w:val="003561DF"/>
    <w:rsid w:val="00356332"/>
    <w:rsid w:val="0035638E"/>
    <w:rsid w:val="003563F7"/>
    <w:rsid w:val="00356418"/>
    <w:rsid w:val="00356429"/>
    <w:rsid w:val="003564AD"/>
    <w:rsid w:val="00356823"/>
    <w:rsid w:val="003568B1"/>
    <w:rsid w:val="003568C0"/>
    <w:rsid w:val="00356C23"/>
    <w:rsid w:val="00356C7E"/>
    <w:rsid w:val="00356C9E"/>
    <w:rsid w:val="00356DB4"/>
    <w:rsid w:val="00356E38"/>
    <w:rsid w:val="003571BB"/>
    <w:rsid w:val="0035721A"/>
    <w:rsid w:val="0035738A"/>
    <w:rsid w:val="003573E8"/>
    <w:rsid w:val="003574E4"/>
    <w:rsid w:val="003574F0"/>
    <w:rsid w:val="003576B2"/>
    <w:rsid w:val="00357759"/>
    <w:rsid w:val="003577A2"/>
    <w:rsid w:val="00357979"/>
    <w:rsid w:val="003579FF"/>
    <w:rsid w:val="00357A87"/>
    <w:rsid w:val="00357B45"/>
    <w:rsid w:val="00357BE5"/>
    <w:rsid w:val="00357C13"/>
    <w:rsid w:val="00357C6A"/>
    <w:rsid w:val="00357D2B"/>
    <w:rsid w:val="00357D86"/>
    <w:rsid w:val="00360093"/>
    <w:rsid w:val="00360181"/>
    <w:rsid w:val="0036020A"/>
    <w:rsid w:val="0036020D"/>
    <w:rsid w:val="00360429"/>
    <w:rsid w:val="00360633"/>
    <w:rsid w:val="003606F1"/>
    <w:rsid w:val="003606FC"/>
    <w:rsid w:val="003608B1"/>
    <w:rsid w:val="003608D9"/>
    <w:rsid w:val="00360940"/>
    <w:rsid w:val="00360964"/>
    <w:rsid w:val="00360A14"/>
    <w:rsid w:val="00360A6E"/>
    <w:rsid w:val="00360A75"/>
    <w:rsid w:val="00360B99"/>
    <w:rsid w:val="00360C6B"/>
    <w:rsid w:val="00360D62"/>
    <w:rsid w:val="00360F1E"/>
    <w:rsid w:val="0036109C"/>
    <w:rsid w:val="003610B2"/>
    <w:rsid w:val="00361111"/>
    <w:rsid w:val="0036111D"/>
    <w:rsid w:val="003611CB"/>
    <w:rsid w:val="00361327"/>
    <w:rsid w:val="00361430"/>
    <w:rsid w:val="00361505"/>
    <w:rsid w:val="00361559"/>
    <w:rsid w:val="0036156A"/>
    <w:rsid w:val="003615A7"/>
    <w:rsid w:val="00361833"/>
    <w:rsid w:val="0036184E"/>
    <w:rsid w:val="00361850"/>
    <w:rsid w:val="00361931"/>
    <w:rsid w:val="003619DF"/>
    <w:rsid w:val="00361B8F"/>
    <w:rsid w:val="00361C59"/>
    <w:rsid w:val="00361C6A"/>
    <w:rsid w:val="00361DD9"/>
    <w:rsid w:val="00361EAE"/>
    <w:rsid w:val="00362024"/>
    <w:rsid w:val="003622C2"/>
    <w:rsid w:val="00362303"/>
    <w:rsid w:val="00362524"/>
    <w:rsid w:val="00362621"/>
    <w:rsid w:val="0036271F"/>
    <w:rsid w:val="00362732"/>
    <w:rsid w:val="0036277B"/>
    <w:rsid w:val="00362898"/>
    <w:rsid w:val="003628F4"/>
    <w:rsid w:val="00362BD0"/>
    <w:rsid w:val="00362CAB"/>
    <w:rsid w:val="00362CBE"/>
    <w:rsid w:val="00362D01"/>
    <w:rsid w:val="00362D16"/>
    <w:rsid w:val="00362DA8"/>
    <w:rsid w:val="00362DD2"/>
    <w:rsid w:val="00362E1B"/>
    <w:rsid w:val="00362E4F"/>
    <w:rsid w:val="00362F2F"/>
    <w:rsid w:val="00363026"/>
    <w:rsid w:val="003631C6"/>
    <w:rsid w:val="00363288"/>
    <w:rsid w:val="00363302"/>
    <w:rsid w:val="00363382"/>
    <w:rsid w:val="0036352A"/>
    <w:rsid w:val="0036359D"/>
    <w:rsid w:val="00363680"/>
    <w:rsid w:val="003636C0"/>
    <w:rsid w:val="0036376E"/>
    <w:rsid w:val="003637AD"/>
    <w:rsid w:val="003639C2"/>
    <w:rsid w:val="00363BB8"/>
    <w:rsid w:val="00363F12"/>
    <w:rsid w:val="00363FAE"/>
    <w:rsid w:val="0036401A"/>
    <w:rsid w:val="00364025"/>
    <w:rsid w:val="003640D4"/>
    <w:rsid w:val="003641A9"/>
    <w:rsid w:val="0036424B"/>
    <w:rsid w:val="003642F2"/>
    <w:rsid w:val="00364373"/>
    <w:rsid w:val="00364602"/>
    <w:rsid w:val="003647D2"/>
    <w:rsid w:val="003649DF"/>
    <w:rsid w:val="00364A71"/>
    <w:rsid w:val="00364A8F"/>
    <w:rsid w:val="00364C09"/>
    <w:rsid w:val="00364D04"/>
    <w:rsid w:val="00364D16"/>
    <w:rsid w:val="00364E74"/>
    <w:rsid w:val="00364EE2"/>
    <w:rsid w:val="00364F04"/>
    <w:rsid w:val="00364F30"/>
    <w:rsid w:val="00364F55"/>
    <w:rsid w:val="00364FAF"/>
    <w:rsid w:val="003650C6"/>
    <w:rsid w:val="0036523D"/>
    <w:rsid w:val="00365277"/>
    <w:rsid w:val="00365284"/>
    <w:rsid w:val="003652E6"/>
    <w:rsid w:val="0036530C"/>
    <w:rsid w:val="00365341"/>
    <w:rsid w:val="003653E5"/>
    <w:rsid w:val="0036550B"/>
    <w:rsid w:val="0036552C"/>
    <w:rsid w:val="003656F8"/>
    <w:rsid w:val="003659AA"/>
    <w:rsid w:val="00365AF5"/>
    <w:rsid w:val="00365FFB"/>
    <w:rsid w:val="00366094"/>
    <w:rsid w:val="00366100"/>
    <w:rsid w:val="0036611E"/>
    <w:rsid w:val="00366135"/>
    <w:rsid w:val="003661E3"/>
    <w:rsid w:val="0036628F"/>
    <w:rsid w:val="00366379"/>
    <w:rsid w:val="00366510"/>
    <w:rsid w:val="003665ED"/>
    <w:rsid w:val="00366631"/>
    <w:rsid w:val="003668B8"/>
    <w:rsid w:val="00366A8B"/>
    <w:rsid w:val="00366ED8"/>
    <w:rsid w:val="00366F4B"/>
    <w:rsid w:val="003671ED"/>
    <w:rsid w:val="0036721C"/>
    <w:rsid w:val="00367631"/>
    <w:rsid w:val="003676D0"/>
    <w:rsid w:val="003676D8"/>
    <w:rsid w:val="00367771"/>
    <w:rsid w:val="00367886"/>
    <w:rsid w:val="00367963"/>
    <w:rsid w:val="00367969"/>
    <w:rsid w:val="00367AB0"/>
    <w:rsid w:val="00367B93"/>
    <w:rsid w:val="00367BEC"/>
    <w:rsid w:val="00367DBE"/>
    <w:rsid w:val="00367E3D"/>
    <w:rsid w:val="00367FFB"/>
    <w:rsid w:val="003704B7"/>
    <w:rsid w:val="00370570"/>
    <w:rsid w:val="003705B7"/>
    <w:rsid w:val="00370663"/>
    <w:rsid w:val="00370787"/>
    <w:rsid w:val="003707AA"/>
    <w:rsid w:val="00370A55"/>
    <w:rsid w:val="00370B5C"/>
    <w:rsid w:val="00370BC3"/>
    <w:rsid w:val="00370C01"/>
    <w:rsid w:val="00370D91"/>
    <w:rsid w:val="00370E80"/>
    <w:rsid w:val="00370EE6"/>
    <w:rsid w:val="0037101F"/>
    <w:rsid w:val="003710A9"/>
    <w:rsid w:val="003710AC"/>
    <w:rsid w:val="003710E2"/>
    <w:rsid w:val="00371101"/>
    <w:rsid w:val="00371133"/>
    <w:rsid w:val="00371357"/>
    <w:rsid w:val="00371545"/>
    <w:rsid w:val="003715FE"/>
    <w:rsid w:val="0037162B"/>
    <w:rsid w:val="0037163C"/>
    <w:rsid w:val="00371646"/>
    <w:rsid w:val="00371739"/>
    <w:rsid w:val="0037187A"/>
    <w:rsid w:val="003718C9"/>
    <w:rsid w:val="00371ABD"/>
    <w:rsid w:val="00371AD1"/>
    <w:rsid w:val="00371AE5"/>
    <w:rsid w:val="00371D47"/>
    <w:rsid w:val="00371DBB"/>
    <w:rsid w:val="00371F07"/>
    <w:rsid w:val="0037209B"/>
    <w:rsid w:val="003720EF"/>
    <w:rsid w:val="003720F9"/>
    <w:rsid w:val="003721EB"/>
    <w:rsid w:val="0037233B"/>
    <w:rsid w:val="00372475"/>
    <w:rsid w:val="003724CA"/>
    <w:rsid w:val="003725DB"/>
    <w:rsid w:val="0037267D"/>
    <w:rsid w:val="003726CA"/>
    <w:rsid w:val="0037276C"/>
    <w:rsid w:val="0037278D"/>
    <w:rsid w:val="003727F9"/>
    <w:rsid w:val="00372A53"/>
    <w:rsid w:val="00372C38"/>
    <w:rsid w:val="00372C5A"/>
    <w:rsid w:val="00372C92"/>
    <w:rsid w:val="00372DBF"/>
    <w:rsid w:val="00372DDD"/>
    <w:rsid w:val="00372F5B"/>
    <w:rsid w:val="00372FFF"/>
    <w:rsid w:val="0037305A"/>
    <w:rsid w:val="0037308E"/>
    <w:rsid w:val="003731B9"/>
    <w:rsid w:val="00373272"/>
    <w:rsid w:val="0037346F"/>
    <w:rsid w:val="003734AD"/>
    <w:rsid w:val="003737A7"/>
    <w:rsid w:val="003737C3"/>
    <w:rsid w:val="003737D7"/>
    <w:rsid w:val="00373815"/>
    <w:rsid w:val="0037385B"/>
    <w:rsid w:val="003738D1"/>
    <w:rsid w:val="00373963"/>
    <w:rsid w:val="00373A53"/>
    <w:rsid w:val="00373A93"/>
    <w:rsid w:val="00373AAD"/>
    <w:rsid w:val="00373AC8"/>
    <w:rsid w:val="00373B29"/>
    <w:rsid w:val="00373C89"/>
    <w:rsid w:val="00373CBC"/>
    <w:rsid w:val="00373E00"/>
    <w:rsid w:val="00373E96"/>
    <w:rsid w:val="00373F9B"/>
    <w:rsid w:val="003741B3"/>
    <w:rsid w:val="003741D7"/>
    <w:rsid w:val="0037423A"/>
    <w:rsid w:val="0037426D"/>
    <w:rsid w:val="003745D9"/>
    <w:rsid w:val="00374642"/>
    <w:rsid w:val="00374718"/>
    <w:rsid w:val="003749E7"/>
    <w:rsid w:val="00374A67"/>
    <w:rsid w:val="00374B45"/>
    <w:rsid w:val="00374BC6"/>
    <w:rsid w:val="00374C12"/>
    <w:rsid w:val="00374C6A"/>
    <w:rsid w:val="00374C6D"/>
    <w:rsid w:val="00374E38"/>
    <w:rsid w:val="00374EA1"/>
    <w:rsid w:val="00374F3A"/>
    <w:rsid w:val="00375040"/>
    <w:rsid w:val="00375395"/>
    <w:rsid w:val="0037539F"/>
    <w:rsid w:val="003753FD"/>
    <w:rsid w:val="0037544D"/>
    <w:rsid w:val="003755B8"/>
    <w:rsid w:val="0037564E"/>
    <w:rsid w:val="00375655"/>
    <w:rsid w:val="0037583F"/>
    <w:rsid w:val="003758D2"/>
    <w:rsid w:val="003758D8"/>
    <w:rsid w:val="003758F7"/>
    <w:rsid w:val="00375912"/>
    <w:rsid w:val="0037591E"/>
    <w:rsid w:val="00375B19"/>
    <w:rsid w:val="00375B4A"/>
    <w:rsid w:val="00375C11"/>
    <w:rsid w:val="00375EE1"/>
    <w:rsid w:val="00375EE2"/>
    <w:rsid w:val="00376015"/>
    <w:rsid w:val="003762D9"/>
    <w:rsid w:val="00376508"/>
    <w:rsid w:val="003766C9"/>
    <w:rsid w:val="00376885"/>
    <w:rsid w:val="003768CB"/>
    <w:rsid w:val="003769FE"/>
    <w:rsid w:val="00376A82"/>
    <w:rsid w:val="00376C4D"/>
    <w:rsid w:val="00377237"/>
    <w:rsid w:val="00377273"/>
    <w:rsid w:val="00377284"/>
    <w:rsid w:val="003772C3"/>
    <w:rsid w:val="0037731E"/>
    <w:rsid w:val="003773DF"/>
    <w:rsid w:val="003774E6"/>
    <w:rsid w:val="0037750D"/>
    <w:rsid w:val="00377523"/>
    <w:rsid w:val="00377598"/>
    <w:rsid w:val="003775AD"/>
    <w:rsid w:val="00377B74"/>
    <w:rsid w:val="00377C0D"/>
    <w:rsid w:val="00377E3B"/>
    <w:rsid w:val="00380275"/>
    <w:rsid w:val="0038030D"/>
    <w:rsid w:val="003806AC"/>
    <w:rsid w:val="00380884"/>
    <w:rsid w:val="0038090F"/>
    <w:rsid w:val="003809E1"/>
    <w:rsid w:val="00380A7B"/>
    <w:rsid w:val="00380B5C"/>
    <w:rsid w:val="00380CCC"/>
    <w:rsid w:val="00380D27"/>
    <w:rsid w:val="00380E73"/>
    <w:rsid w:val="00380F26"/>
    <w:rsid w:val="00380F6B"/>
    <w:rsid w:val="0038100B"/>
    <w:rsid w:val="0038101F"/>
    <w:rsid w:val="0038135C"/>
    <w:rsid w:val="00381409"/>
    <w:rsid w:val="00381421"/>
    <w:rsid w:val="003814AD"/>
    <w:rsid w:val="0038154F"/>
    <w:rsid w:val="0038169F"/>
    <w:rsid w:val="003817BE"/>
    <w:rsid w:val="00381938"/>
    <w:rsid w:val="00381966"/>
    <w:rsid w:val="00381AD9"/>
    <w:rsid w:val="00381BF2"/>
    <w:rsid w:val="00381C77"/>
    <w:rsid w:val="00381DF7"/>
    <w:rsid w:val="003821A1"/>
    <w:rsid w:val="003821AD"/>
    <w:rsid w:val="003821E2"/>
    <w:rsid w:val="0038221E"/>
    <w:rsid w:val="00382287"/>
    <w:rsid w:val="003822C7"/>
    <w:rsid w:val="003822E9"/>
    <w:rsid w:val="0038237B"/>
    <w:rsid w:val="003823F8"/>
    <w:rsid w:val="003824B8"/>
    <w:rsid w:val="003825CA"/>
    <w:rsid w:val="00382739"/>
    <w:rsid w:val="003828D8"/>
    <w:rsid w:val="00382932"/>
    <w:rsid w:val="00382A55"/>
    <w:rsid w:val="00382C54"/>
    <w:rsid w:val="00382C68"/>
    <w:rsid w:val="00382C96"/>
    <w:rsid w:val="00382D73"/>
    <w:rsid w:val="00382ECB"/>
    <w:rsid w:val="00383064"/>
    <w:rsid w:val="00383218"/>
    <w:rsid w:val="0038328C"/>
    <w:rsid w:val="00383472"/>
    <w:rsid w:val="00383527"/>
    <w:rsid w:val="00383610"/>
    <w:rsid w:val="00383634"/>
    <w:rsid w:val="00383727"/>
    <w:rsid w:val="00383883"/>
    <w:rsid w:val="00383884"/>
    <w:rsid w:val="00383890"/>
    <w:rsid w:val="0038390B"/>
    <w:rsid w:val="00383A2A"/>
    <w:rsid w:val="00383A4E"/>
    <w:rsid w:val="00383AEA"/>
    <w:rsid w:val="00383B8F"/>
    <w:rsid w:val="00383BA7"/>
    <w:rsid w:val="00383DCE"/>
    <w:rsid w:val="00383F35"/>
    <w:rsid w:val="00384055"/>
    <w:rsid w:val="00384100"/>
    <w:rsid w:val="00384116"/>
    <w:rsid w:val="00384211"/>
    <w:rsid w:val="0038429A"/>
    <w:rsid w:val="00384477"/>
    <w:rsid w:val="00384534"/>
    <w:rsid w:val="00384584"/>
    <w:rsid w:val="003845A2"/>
    <w:rsid w:val="00384695"/>
    <w:rsid w:val="003846B7"/>
    <w:rsid w:val="003846D3"/>
    <w:rsid w:val="00384710"/>
    <w:rsid w:val="00384BED"/>
    <w:rsid w:val="00384C02"/>
    <w:rsid w:val="00384CDE"/>
    <w:rsid w:val="00384D9A"/>
    <w:rsid w:val="00384E15"/>
    <w:rsid w:val="00384E6D"/>
    <w:rsid w:val="00384E84"/>
    <w:rsid w:val="00384E93"/>
    <w:rsid w:val="00384F87"/>
    <w:rsid w:val="003850DC"/>
    <w:rsid w:val="00385132"/>
    <w:rsid w:val="00385318"/>
    <w:rsid w:val="0038535B"/>
    <w:rsid w:val="00385408"/>
    <w:rsid w:val="00385529"/>
    <w:rsid w:val="00385585"/>
    <w:rsid w:val="003856C9"/>
    <w:rsid w:val="003858A6"/>
    <w:rsid w:val="00385B4C"/>
    <w:rsid w:val="00385C5D"/>
    <w:rsid w:val="00385D88"/>
    <w:rsid w:val="00385DDC"/>
    <w:rsid w:val="00385F35"/>
    <w:rsid w:val="00385FA0"/>
    <w:rsid w:val="0038604E"/>
    <w:rsid w:val="0038610A"/>
    <w:rsid w:val="0038611D"/>
    <w:rsid w:val="003861A6"/>
    <w:rsid w:val="0038627B"/>
    <w:rsid w:val="00386295"/>
    <w:rsid w:val="00386297"/>
    <w:rsid w:val="003862E5"/>
    <w:rsid w:val="003863B7"/>
    <w:rsid w:val="003863FE"/>
    <w:rsid w:val="00386414"/>
    <w:rsid w:val="003866AA"/>
    <w:rsid w:val="003866D2"/>
    <w:rsid w:val="0038687C"/>
    <w:rsid w:val="00386A9F"/>
    <w:rsid w:val="00386AB1"/>
    <w:rsid w:val="00386B1B"/>
    <w:rsid w:val="00386B82"/>
    <w:rsid w:val="00386BC8"/>
    <w:rsid w:val="00386C3E"/>
    <w:rsid w:val="00386DFA"/>
    <w:rsid w:val="00386E0B"/>
    <w:rsid w:val="00386E54"/>
    <w:rsid w:val="00386F65"/>
    <w:rsid w:val="00386F6D"/>
    <w:rsid w:val="00386F74"/>
    <w:rsid w:val="003870C8"/>
    <w:rsid w:val="0038711E"/>
    <w:rsid w:val="00387230"/>
    <w:rsid w:val="00387313"/>
    <w:rsid w:val="00387478"/>
    <w:rsid w:val="003874C8"/>
    <w:rsid w:val="00387562"/>
    <w:rsid w:val="00387590"/>
    <w:rsid w:val="003875D3"/>
    <w:rsid w:val="003875E6"/>
    <w:rsid w:val="00387693"/>
    <w:rsid w:val="003876EC"/>
    <w:rsid w:val="0038772A"/>
    <w:rsid w:val="003877E0"/>
    <w:rsid w:val="00387804"/>
    <w:rsid w:val="0038793F"/>
    <w:rsid w:val="00387995"/>
    <w:rsid w:val="00387B6A"/>
    <w:rsid w:val="00387C09"/>
    <w:rsid w:val="00387C5C"/>
    <w:rsid w:val="00387D3A"/>
    <w:rsid w:val="00387D94"/>
    <w:rsid w:val="00387F1F"/>
    <w:rsid w:val="00387F6B"/>
    <w:rsid w:val="00390001"/>
    <w:rsid w:val="0039001A"/>
    <w:rsid w:val="00390031"/>
    <w:rsid w:val="00390040"/>
    <w:rsid w:val="003900D3"/>
    <w:rsid w:val="003901B2"/>
    <w:rsid w:val="00390291"/>
    <w:rsid w:val="00390317"/>
    <w:rsid w:val="00390355"/>
    <w:rsid w:val="003904E9"/>
    <w:rsid w:val="0039055A"/>
    <w:rsid w:val="00390573"/>
    <w:rsid w:val="00390701"/>
    <w:rsid w:val="0039077F"/>
    <w:rsid w:val="0039078F"/>
    <w:rsid w:val="0039091B"/>
    <w:rsid w:val="00390983"/>
    <w:rsid w:val="00390B45"/>
    <w:rsid w:val="00390BEE"/>
    <w:rsid w:val="00390CE7"/>
    <w:rsid w:val="00390D3B"/>
    <w:rsid w:val="00390D41"/>
    <w:rsid w:val="00390E63"/>
    <w:rsid w:val="00390F2A"/>
    <w:rsid w:val="00390F47"/>
    <w:rsid w:val="00391038"/>
    <w:rsid w:val="003910D2"/>
    <w:rsid w:val="00391234"/>
    <w:rsid w:val="003912CD"/>
    <w:rsid w:val="00391446"/>
    <w:rsid w:val="003914D7"/>
    <w:rsid w:val="003914E3"/>
    <w:rsid w:val="00391570"/>
    <w:rsid w:val="00391583"/>
    <w:rsid w:val="003916F1"/>
    <w:rsid w:val="0039178E"/>
    <w:rsid w:val="003917DD"/>
    <w:rsid w:val="00391944"/>
    <w:rsid w:val="00391953"/>
    <w:rsid w:val="00391C70"/>
    <w:rsid w:val="00391D31"/>
    <w:rsid w:val="00391DDD"/>
    <w:rsid w:val="00391E0F"/>
    <w:rsid w:val="00391EC4"/>
    <w:rsid w:val="0039206A"/>
    <w:rsid w:val="00392157"/>
    <w:rsid w:val="003922E8"/>
    <w:rsid w:val="00392353"/>
    <w:rsid w:val="00392454"/>
    <w:rsid w:val="00392484"/>
    <w:rsid w:val="00392644"/>
    <w:rsid w:val="003926B1"/>
    <w:rsid w:val="00392804"/>
    <w:rsid w:val="003928B4"/>
    <w:rsid w:val="00392971"/>
    <w:rsid w:val="003929B9"/>
    <w:rsid w:val="00392C05"/>
    <w:rsid w:val="00392C97"/>
    <w:rsid w:val="00392CA2"/>
    <w:rsid w:val="00392CAA"/>
    <w:rsid w:val="00392CF6"/>
    <w:rsid w:val="00392DCC"/>
    <w:rsid w:val="00393068"/>
    <w:rsid w:val="003930A5"/>
    <w:rsid w:val="003930AB"/>
    <w:rsid w:val="00393138"/>
    <w:rsid w:val="00393239"/>
    <w:rsid w:val="00393429"/>
    <w:rsid w:val="003934FE"/>
    <w:rsid w:val="003935B3"/>
    <w:rsid w:val="0039368F"/>
    <w:rsid w:val="003936A7"/>
    <w:rsid w:val="00393703"/>
    <w:rsid w:val="0039374A"/>
    <w:rsid w:val="003937A5"/>
    <w:rsid w:val="00393833"/>
    <w:rsid w:val="003939AF"/>
    <w:rsid w:val="00393A21"/>
    <w:rsid w:val="00393E1C"/>
    <w:rsid w:val="00393E38"/>
    <w:rsid w:val="00393EF7"/>
    <w:rsid w:val="00394050"/>
    <w:rsid w:val="0039417B"/>
    <w:rsid w:val="0039427F"/>
    <w:rsid w:val="003945FB"/>
    <w:rsid w:val="00394645"/>
    <w:rsid w:val="00394798"/>
    <w:rsid w:val="003948A5"/>
    <w:rsid w:val="003948E7"/>
    <w:rsid w:val="00394902"/>
    <w:rsid w:val="0039490D"/>
    <w:rsid w:val="00394936"/>
    <w:rsid w:val="0039494D"/>
    <w:rsid w:val="00394A05"/>
    <w:rsid w:val="00394D1A"/>
    <w:rsid w:val="00394DAB"/>
    <w:rsid w:val="00394E5F"/>
    <w:rsid w:val="00395102"/>
    <w:rsid w:val="003951AA"/>
    <w:rsid w:val="0039528B"/>
    <w:rsid w:val="0039530E"/>
    <w:rsid w:val="003953AB"/>
    <w:rsid w:val="0039544A"/>
    <w:rsid w:val="003954E3"/>
    <w:rsid w:val="0039559B"/>
    <w:rsid w:val="00395D4B"/>
    <w:rsid w:val="00395E30"/>
    <w:rsid w:val="00395E52"/>
    <w:rsid w:val="00395F68"/>
    <w:rsid w:val="003960F2"/>
    <w:rsid w:val="0039619C"/>
    <w:rsid w:val="003961FB"/>
    <w:rsid w:val="0039629D"/>
    <w:rsid w:val="0039637F"/>
    <w:rsid w:val="00396385"/>
    <w:rsid w:val="003964E9"/>
    <w:rsid w:val="003964EC"/>
    <w:rsid w:val="00396571"/>
    <w:rsid w:val="003965AA"/>
    <w:rsid w:val="003965FE"/>
    <w:rsid w:val="00396622"/>
    <w:rsid w:val="003966DF"/>
    <w:rsid w:val="003967CA"/>
    <w:rsid w:val="003969BA"/>
    <w:rsid w:val="00396A11"/>
    <w:rsid w:val="00396A61"/>
    <w:rsid w:val="00396B16"/>
    <w:rsid w:val="00396B54"/>
    <w:rsid w:val="00396C06"/>
    <w:rsid w:val="00396C59"/>
    <w:rsid w:val="00396C5E"/>
    <w:rsid w:val="00396D58"/>
    <w:rsid w:val="00396D76"/>
    <w:rsid w:val="00396DAB"/>
    <w:rsid w:val="00396DB5"/>
    <w:rsid w:val="00396EC5"/>
    <w:rsid w:val="00396EE8"/>
    <w:rsid w:val="00396FD9"/>
    <w:rsid w:val="00397094"/>
    <w:rsid w:val="0039714A"/>
    <w:rsid w:val="003972E5"/>
    <w:rsid w:val="003974AA"/>
    <w:rsid w:val="0039755C"/>
    <w:rsid w:val="00397675"/>
    <w:rsid w:val="00397976"/>
    <w:rsid w:val="00397985"/>
    <w:rsid w:val="00397A87"/>
    <w:rsid w:val="00397AB2"/>
    <w:rsid w:val="00397B7C"/>
    <w:rsid w:val="00397BAC"/>
    <w:rsid w:val="00397BB5"/>
    <w:rsid w:val="00397BB7"/>
    <w:rsid w:val="00397BCF"/>
    <w:rsid w:val="00397D71"/>
    <w:rsid w:val="00397EE8"/>
    <w:rsid w:val="00397FA1"/>
    <w:rsid w:val="003A0288"/>
    <w:rsid w:val="003A02AC"/>
    <w:rsid w:val="003A0472"/>
    <w:rsid w:val="003A04B0"/>
    <w:rsid w:val="003A04DE"/>
    <w:rsid w:val="003A054C"/>
    <w:rsid w:val="003A065D"/>
    <w:rsid w:val="003A077C"/>
    <w:rsid w:val="003A08E2"/>
    <w:rsid w:val="003A0A63"/>
    <w:rsid w:val="003A0B56"/>
    <w:rsid w:val="003A0B68"/>
    <w:rsid w:val="003A0BC9"/>
    <w:rsid w:val="003A0E5C"/>
    <w:rsid w:val="003A0EC4"/>
    <w:rsid w:val="003A0FB4"/>
    <w:rsid w:val="003A1114"/>
    <w:rsid w:val="003A1189"/>
    <w:rsid w:val="003A11DD"/>
    <w:rsid w:val="003A124D"/>
    <w:rsid w:val="003A1256"/>
    <w:rsid w:val="003A13A2"/>
    <w:rsid w:val="003A1461"/>
    <w:rsid w:val="003A1500"/>
    <w:rsid w:val="003A156B"/>
    <w:rsid w:val="003A166B"/>
    <w:rsid w:val="003A17DC"/>
    <w:rsid w:val="003A18BF"/>
    <w:rsid w:val="003A1969"/>
    <w:rsid w:val="003A1A2A"/>
    <w:rsid w:val="003A1C6B"/>
    <w:rsid w:val="003A1D4C"/>
    <w:rsid w:val="003A1D7B"/>
    <w:rsid w:val="003A200A"/>
    <w:rsid w:val="003A20A5"/>
    <w:rsid w:val="003A2160"/>
    <w:rsid w:val="003A21AB"/>
    <w:rsid w:val="003A2377"/>
    <w:rsid w:val="003A247A"/>
    <w:rsid w:val="003A2487"/>
    <w:rsid w:val="003A248F"/>
    <w:rsid w:val="003A2728"/>
    <w:rsid w:val="003A281B"/>
    <w:rsid w:val="003A2842"/>
    <w:rsid w:val="003A28E5"/>
    <w:rsid w:val="003A2969"/>
    <w:rsid w:val="003A296E"/>
    <w:rsid w:val="003A2AA7"/>
    <w:rsid w:val="003A2AE0"/>
    <w:rsid w:val="003A2D5A"/>
    <w:rsid w:val="003A2D78"/>
    <w:rsid w:val="003A2ED4"/>
    <w:rsid w:val="003A2F4D"/>
    <w:rsid w:val="003A2F87"/>
    <w:rsid w:val="003A2FAF"/>
    <w:rsid w:val="003A3002"/>
    <w:rsid w:val="003A3074"/>
    <w:rsid w:val="003A308E"/>
    <w:rsid w:val="003A3095"/>
    <w:rsid w:val="003A30E2"/>
    <w:rsid w:val="003A30E7"/>
    <w:rsid w:val="003A316F"/>
    <w:rsid w:val="003A31E6"/>
    <w:rsid w:val="003A31F7"/>
    <w:rsid w:val="003A3351"/>
    <w:rsid w:val="003A3354"/>
    <w:rsid w:val="003A33DF"/>
    <w:rsid w:val="003A33E5"/>
    <w:rsid w:val="003A34F8"/>
    <w:rsid w:val="003A3907"/>
    <w:rsid w:val="003A390A"/>
    <w:rsid w:val="003A3974"/>
    <w:rsid w:val="003A3BF4"/>
    <w:rsid w:val="003A3BFF"/>
    <w:rsid w:val="003A3C44"/>
    <w:rsid w:val="003A3C4E"/>
    <w:rsid w:val="003A3CCF"/>
    <w:rsid w:val="003A3E2F"/>
    <w:rsid w:val="003A3EEF"/>
    <w:rsid w:val="003A3FC2"/>
    <w:rsid w:val="003A3FC3"/>
    <w:rsid w:val="003A3FDD"/>
    <w:rsid w:val="003A4046"/>
    <w:rsid w:val="003A40E4"/>
    <w:rsid w:val="003A40F5"/>
    <w:rsid w:val="003A41BD"/>
    <w:rsid w:val="003A432B"/>
    <w:rsid w:val="003A44F9"/>
    <w:rsid w:val="003A454E"/>
    <w:rsid w:val="003A479D"/>
    <w:rsid w:val="003A47D8"/>
    <w:rsid w:val="003A483A"/>
    <w:rsid w:val="003A48B6"/>
    <w:rsid w:val="003A4CFA"/>
    <w:rsid w:val="003A4D62"/>
    <w:rsid w:val="003A4E40"/>
    <w:rsid w:val="003A4EC1"/>
    <w:rsid w:val="003A4F30"/>
    <w:rsid w:val="003A4F57"/>
    <w:rsid w:val="003A4F7E"/>
    <w:rsid w:val="003A5013"/>
    <w:rsid w:val="003A503A"/>
    <w:rsid w:val="003A50B3"/>
    <w:rsid w:val="003A527D"/>
    <w:rsid w:val="003A5313"/>
    <w:rsid w:val="003A541E"/>
    <w:rsid w:val="003A55D9"/>
    <w:rsid w:val="003A560A"/>
    <w:rsid w:val="003A562E"/>
    <w:rsid w:val="003A5664"/>
    <w:rsid w:val="003A57B3"/>
    <w:rsid w:val="003A5810"/>
    <w:rsid w:val="003A59E6"/>
    <w:rsid w:val="003A5AB1"/>
    <w:rsid w:val="003A5AB5"/>
    <w:rsid w:val="003A5B36"/>
    <w:rsid w:val="003A5BAB"/>
    <w:rsid w:val="003A5D74"/>
    <w:rsid w:val="003A5D8C"/>
    <w:rsid w:val="003A5E09"/>
    <w:rsid w:val="003A5EFD"/>
    <w:rsid w:val="003A5FB9"/>
    <w:rsid w:val="003A6083"/>
    <w:rsid w:val="003A61F3"/>
    <w:rsid w:val="003A6229"/>
    <w:rsid w:val="003A632B"/>
    <w:rsid w:val="003A6438"/>
    <w:rsid w:val="003A6475"/>
    <w:rsid w:val="003A64D1"/>
    <w:rsid w:val="003A657F"/>
    <w:rsid w:val="003A68F4"/>
    <w:rsid w:val="003A6A27"/>
    <w:rsid w:val="003A6A7A"/>
    <w:rsid w:val="003A6D61"/>
    <w:rsid w:val="003A6DA3"/>
    <w:rsid w:val="003A7052"/>
    <w:rsid w:val="003A70CA"/>
    <w:rsid w:val="003A720F"/>
    <w:rsid w:val="003A7623"/>
    <w:rsid w:val="003A76BD"/>
    <w:rsid w:val="003A7711"/>
    <w:rsid w:val="003A7770"/>
    <w:rsid w:val="003A780D"/>
    <w:rsid w:val="003A7892"/>
    <w:rsid w:val="003A79D5"/>
    <w:rsid w:val="003A7A2D"/>
    <w:rsid w:val="003A7CA5"/>
    <w:rsid w:val="003A7CB1"/>
    <w:rsid w:val="003A7D00"/>
    <w:rsid w:val="003A7E1C"/>
    <w:rsid w:val="003B01C6"/>
    <w:rsid w:val="003B0280"/>
    <w:rsid w:val="003B02DB"/>
    <w:rsid w:val="003B039F"/>
    <w:rsid w:val="003B0535"/>
    <w:rsid w:val="003B05FB"/>
    <w:rsid w:val="003B06A4"/>
    <w:rsid w:val="003B06F0"/>
    <w:rsid w:val="003B072E"/>
    <w:rsid w:val="003B073A"/>
    <w:rsid w:val="003B076D"/>
    <w:rsid w:val="003B0A62"/>
    <w:rsid w:val="003B0B49"/>
    <w:rsid w:val="003B0BD5"/>
    <w:rsid w:val="003B0C78"/>
    <w:rsid w:val="003B0D59"/>
    <w:rsid w:val="003B0FA5"/>
    <w:rsid w:val="003B0FD2"/>
    <w:rsid w:val="003B1111"/>
    <w:rsid w:val="003B11A6"/>
    <w:rsid w:val="003B13B8"/>
    <w:rsid w:val="003B144B"/>
    <w:rsid w:val="003B14A7"/>
    <w:rsid w:val="003B1604"/>
    <w:rsid w:val="003B1777"/>
    <w:rsid w:val="003B17B0"/>
    <w:rsid w:val="003B1954"/>
    <w:rsid w:val="003B1A08"/>
    <w:rsid w:val="003B1B77"/>
    <w:rsid w:val="003B1DB6"/>
    <w:rsid w:val="003B1EA5"/>
    <w:rsid w:val="003B1EC4"/>
    <w:rsid w:val="003B20C9"/>
    <w:rsid w:val="003B20D6"/>
    <w:rsid w:val="003B21F8"/>
    <w:rsid w:val="003B2261"/>
    <w:rsid w:val="003B22FE"/>
    <w:rsid w:val="003B2640"/>
    <w:rsid w:val="003B2652"/>
    <w:rsid w:val="003B276F"/>
    <w:rsid w:val="003B2779"/>
    <w:rsid w:val="003B2818"/>
    <w:rsid w:val="003B2830"/>
    <w:rsid w:val="003B2937"/>
    <w:rsid w:val="003B2A0E"/>
    <w:rsid w:val="003B2A10"/>
    <w:rsid w:val="003B2B26"/>
    <w:rsid w:val="003B2B7F"/>
    <w:rsid w:val="003B2B81"/>
    <w:rsid w:val="003B2BD6"/>
    <w:rsid w:val="003B2DCB"/>
    <w:rsid w:val="003B2F37"/>
    <w:rsid w:val="003B31C8"/>
    <w:rsid w:val="003B3267"/>
    <w:rsid w:val="003B33D4"/>
    <w:rsid w:val="003B343B"/>
    <w:rsid w:val="003B3499"/>
    <w:rsid w:val="003B35C5"/>
    <w:rsid w:val="003B35F4"/>
    <w:rsid w:val="003B3613"/>
    <w:rsid w:val="003B36C3"/>
    <w:rsid w:val="003B3798"/>
    <w:rsid w:val="003B38B0"/>
    <w:rsid w:val="003B393A"/>
    <w:rsid w:val="003B3978"/>
    <w:rsid w:val="003B3B3F"/>
    <w:rsid w:val="003B3BC8"/>
    <w:rsid w:val="003B3C03"/>
    <w:rsid w:val="003B3CA4"/>
    <w:rsid w:val="003B3DD5"/>
    <w:rsid w:val="003B3FB3"/>
    <w:rsid w:val="003B3FD3"/>
    <w:rsid w:val="003B408E"/>
    <w:rsid w:val="003B4200"/>
    <w:rsid w:val="003B466D"/>
    <w:rsid w:val="003B4795"/>
    <w:rsid w:val="003B48CE"/>
    <w:rsid w:val="003B4998"/>
    <w:rsid w:val="003B4A30"/>
    <w:rsid w:val="003B4A51"/>
    <w:rsid w:val="003B4A5E"/>
    <w:rsid w:val="003B4ADB"/>
    <w:rsid w:val="003B4C00"/>
    <w:rsid w:val="003B4C77"/>
    <w:rsid w:val="003B4F22"/>
    <w:rsid w:val="003B4F3C"/>
    <w:rsid w:val="003B4FA4"/>
    <w:rsid w:val="003B5122"/>
    <w:rsid w:val="003B5225"/>
    <w:rsid w:val="003B5325"/>
    <w:rsid w:val="003B536A"/>
    <w:rsid w:val="003B541F"/>
    <w:rsid w:val="003B54AD"/>
    <w:rsid w:val="003B5689"/>
    <w:rsid w:val="003B56B6"/>
    <w:rsid w:val="003B56CC"/>
    <w:rsid w:val="003B56D2"/>
    <w:rsid w:val="003B5795"/>
    <w:rsid w:val="003B57A9"/>
    <w:rsid w:val="003B580C"/>
    <w:rsid w:val="003B5820"/>
    <w:rsid w:val="003B5A8B"/>
    <w:rsid w:val="003B5AA3"/>
    <w:rsid w:val="003B5D9E"/>
    <w:rsid w:val="003B5DC3"/>
    <w:rsid w:val="003B5E02"/>
    <w:rsid w:val="003B5F12"/>
    <w:rsid w:val="003B5F82"/>
    <w:rsid w:val="003B5FD6"/>
    <w:rsid w:val="003B60A8"/>
    <w:rsid w:val="003B610B"/>
    <w:rsid w:val="003B61FC"/>
    <w:rsid w:val="003B6220"/>
    <w:rsid w:val="003B64A1"/>
    <w:rsid w:val="003B64AD"/>
    <w:rsid w:val="003B65D3"/>
    <w:rsid w:val="003B66F6"/>
    <w:rsid w:val="003B6753"/>
    <w:rsid w:val="003B67DC"/>
    <w:rsid w:val="003B69B3"/>
    <w:rsid w:val="003B6B3F"/>
    <w:rsid w:val="003B6B47"/>
    <w:rsid w:val="003B6F4F"/>
    <w:rsid w:val="003B6F51"/>
    <w:rsid w:val="003B7056"/>
    <w:rsid w:val="003B7060"/>
    <w:rsid w:val="003B71AC"/>
    <w:rsid w:val="003B7220"/>
    <w:rsid w:val="003B7278"/>
    <w:rsid w:val="003B7439"/>
    <w:rsid w:val="003B752E"/>
    <w:rsid w:val="003B7546"/>
    <w:rsid w:val="003B7582"/>
    <w:rsid w:val="003B75A3"/>
    <w:rsid w:val="003B75B4"/>
    <w:rsid w:val="003B75D9"/>
    <w:rsid w:val="003B76BC"/>
    <w:rsid w:val="003B76CA"/>
    <w:rsid w:val="003B773D"/>
    <w:rsid w:val="003B777D"/>
    <w:rsid w:val="003B7870"/>
    <w:rsid w:val="003B7896"/>
    <w:rsid w:val="003B789E"/>
    <w:rsid w:val="003B78C0"/>
    <w:rsid w:val="003B78C5"/>
    <w:rsid w:val="003B78D8"/>
    <w:rsid w:val="003B7963"/>
    <w:rsid w:val="003B7996"/>
    <w:rsid w:val="003B7A79"/>
    <w:rsid w:val="003B7AE0"/>
    <w:rsid w:val="003B7B32"/>
    <w:rsid w:val="003B7BDC"/>
    <w:rsid w:val="003B7D52"/>
    <w:rsid w:val="003B7DBF"/>
    <w:rsid w:val="003B7EFC"/>
    <w:rsid w:val="003C00BB"/>
    <w:rsid w:val="003C00C8"/>
    <w:rsid w:val="003C00DF"/>
    <w:rsid w:val="003C0165"/>
    <w:rsid w:val="003C0229"/>
    <w:rsid w:val="003C0464"/>
    <w:rsid w:val="003C04F5"/>
    <w:rsid w:val="003C0594"/>
    <w:rsid w:val="003C06DD"/>
    <w:rsid w:val="003C06DF"/>
    <w:rsid w:val="003C0737"/>
    <w:rsid w:val="003C0776"/>
    <w:rsid w:val="003C0B0B"/>
    <w:rsid w:val="003C0B29"/>
    <w:rsid w:val="003C0C15"/>
    <w:rsid w:val="003C0D64"/>
    <w:rsid w:val="003C0E04"/>
    <w:rsid w:val="003C10A3"/>
    <w:rsid w:val="003C1212"/>
    <w:rsid w:val="003C1484"/>
    <w:rsid w:val="003C149F"/>
    <w:rsid w:val="003C14A0"/>
    <w:rsid w:val="003C14C8"/>
    <w:rsid w:val="003C178F"/>
    <w:rsid w:val="003C17C2"/>
    <w:rsid w:val="003C1830"/>
    <w:rsid w:val="003C188B"/>
    <w:rsid w:val="003C19C2"/>
    <w:rsid w:val="003C1DF6"/>
    <w:rsid w:val="003C1FE9"/>
    <w:rsid w:val="003C203D"/>
    <w:rsid w:val="003C2083"/>
    <w:rsid w:val="003C2090"/>
    <w:rsid w:val="003C21AE"/>
    <w:rsid w:val="003C22C0"/>
    <w:rsid w:val="003C2362"/>
    <w:rsid w:val="003C242D"/>
    <w:rsid w:val="003C2448"/>
    <w:rsid w:val="003C248A"/>
    <w:rsid w:val="003C24B4"/>
    <w:rsid w:val="003C250F"/>
    <w:rsid w:val="003C258B"/>
    <w:rsid w:val="003C278E"/>
    <w:rsid w:val="003C2884"/>
    <w:rsid w:val="003C2A25"/>
    <w:rsid w:val="003C2A33"/>
    <w:rsid w:val="003C2B06"/>
    <w:rsid w:val="003C2B0C"/>
    <w:rsid w:val="003C2B0F"/>
    <w:rsid w:val="003C2B7B"/>
    <w:rsid w:val="003C2BD9"/>
    <w:rsid w:val="003C2FDC"/>
    <w:rsid w:val="003C3246"/>
    <w:rsid w:val="003C3371"/>
    <w:rsid w:val="003C33FC"/>
    <w:rsid w:val="003C341C"/>
    <w:rsid w:val="003C3425"/>
    <w:rsid w:val="003C3519"/>
    <w:rsid w:val="003C36BF"/>
    <w:rsid w:val="003C36DC"/>
    <w:rsid w:val="003C38A0"/>
    <w:rsid w:val="003C3A3C"/>
    <w:rsid w:val="003C3C5B"/>
    <w:rsid w:val="003C3E0E"/>
    <w:rsid w:val="003C3E43"/>
    <w:rsid w:val="003C40AB"/>
    <w:rsid w:val="003C4109"/>
    <w:rsid w:val="003C416E"/>
    <w:rsid w:val="003C43CE"/>
    <w:rsid w:val="003C43F5"/>
    <w:rsid w:val="003C452F"/>
    <w:rsid w:val="003C4576"/>
    <w:rsid w:val="003C4626"/>
    <w:rsid w:val="003C4774"/>
    <w:rsid w:val="003C481E"/>
    <w:rsid w:val="003C48E2"/>
    <w:rsid w:val="003C48F9"/>
    <w:rsid w:val="003C4944"/>
    <w:rsid w:val="003C4A14"/>
    <w:rsid w:val="003C4A1B"/>
    <w:rsid w:val="003C4B53"/>
    <w:rsid w:val="003C4B71"/>
    <w:rsid w:val="003C4BD8"/>
    <w:rsid w:val="003C4CE8"/>
    <w:rsid w:val="003C4F9E"/>
    <w:rsid w:val="003C51D5"/>
    <w:rsid w:val="003C5201"/>
    <w:rsid w:val="003C5248"/>
    <w:rsid w:val="003C5332"/>
    <w:rsid w:val="003C53A6"/>
    <w:rsid w:val="003C540C"/>
    <w:rsid w:val="003C5561"/>
    <w:rsid w:val="003C5733"/>
    <w:rsid w:val="003C578C"/>
    <w:rsid w:val="003C57B1"/>
    <w:rsid w:val="003C58BA"/>
    <w:rsid w:val="003C5AF9"/>
    <w:rsid w:val="003C5BFD"/>
    <w:rsid w:val="003C5C21"/>
    <w:rsid w:val="003C5C3E"/>
    <w:rsid w:val="003C5D33"/>
    <w:rsid w:val="003C5E48"/>
    <w:rsid w:val="003C5F46"/>
    <w:rsid w:val="003C5FC8"/>
    <w:rsid w:val="003C6006"/>
    <w:rsid w:val="003C6052"/>
    <w:rsid w:val="003C61A7"/>
    <w:rsid w:val="003C621F"/>
    <w:rsid w:val="003C6277"/>
    <w:rsid w:val="003C63F5"/>
    <w:rsid w:val="003C6580"/>
    <w:rsid w:val="003C65AA"/>
    <w:rsid w:val="003C665C"/>
    <w:rsid w:val="003C6768"/>
    <w:rsid w:val="003C677A"/>
    <w:rsid w:val="003C699E"/>
    <w:rsid w:val="003C6A93"/>
    <w:rsid w:val="003C6AC7"/>
    <w:rsid w:val="003C6C88"/>
    <w:rsid w:val="003C6DCD"/>
    <w:rsid w:val="003C6ECD"/>
    <w:rsid w:val="003C6F1D"/>
    <w:rsid w:val="003C6F52"/>
    <w:rsid w:val="003C70E8"/>
    <w:rsid w:val="003C7100"/>
    <w:rsid w:val="003C715D"/>
    <w:rsid w:val="003C7186"/>
    <w:rsid w:val="003C7219"/>
    <w:rsid w:val="003C73FF"/>
    <w:rsid w:val="003C74BC"/>
    <w:rsid w:val="003C750C"/>
    <w:rsid w:val="003C7623"/>
    <w:rsid w:val="003C77ED"/>
    <w:rsid w:val="003C78AC"/>
    <w:rsid w:val="003C78F9"/>
    <w:rsid w:val="003C7942"/>
    <w:rsid w:val="003C794D"/>
    <w:rsid w:val="003C79A2"/>
    <w:rsid w:val="003C7B1E"/>
    <w:rsid w:val="003C7BF7"/>
    <w:rsid w:val="003C7C05"/>
    <w:rsid w:val="003C7C3B"/>
    <w:rsid w:val="003C7CAF"/>
    <w:rsid w:val="003C7F24"/>
    <w:rsid w:val="003D027C"/>
    <w:rsid w:val="003D04F7"/>
    <w:rsid w:val="003D055A"/>
    <w:rsid w:val="003D076E"/>
    <w:rsid w:val="003D0908"/>
    <w:rsid w:val="003D0A87"/>
    <w:rsid w:val="003D0AC0"/>
    <w:rsid w:val="003D0B83"/>
    <w:rsid w:val="003D0B89"/>
    <w:rsid w:val="003D0F92"/>
    <w:rsid w:val="003D1084"/>
    <w:rsid w:val="003D10FA"/>
    <w:rsid w:val="003D129A"/>
    <w:rsid w:val="003D1473"/>
    <w:rsid w:val="003D14D0"/>
    <w:rsid w:val="003D1526"/>
    <w:rsid w:val="003D16AA"/>
    <w:rsid w:val="003D1816"/>
    <w:rsid w:val="003D1858"/>
    <w:rsid w:val="003D18F0"/>
    <w:rsid w:val="003D19C9"/>
    <w:rsid w:val="003D1AAE"/>
    <w:rsid w:val="003D1BEB"/>
    <w:rsid w:val="003D1E72"/>
    <w:rsid w:val="003D1FD6"/>
    <w:rsid w:val="003D208C"/>
    <w:rsid w:val="003D20FE"/>
    <w:rsid w:val="003D2111"/>
    <w:rsid w:val="003D21AF"/>
    <w:rsid w:val="003D21C0"/>
    <w:rsid w:val="003D21F6"/>
    <w:rsid w:val="003D22A6"/>
    <w:rsid w:val="003D231E"/>
    <w:rsid w:val="003D233E"/>
    <w:rsid w:val="003D2382"/>
    <w:rsid w:val="003D2394"/>
    <w:rsid w:val="003D239E"/>
    <w:rsid w:val="003D2432"/>
    <w:rsid w:val="003D2474"/>
    <w:rsid w:val="003D24C0"/>
    <w:rsid w:val="003D2576"/>
    <w:rsid w:val="003D2962"/>
    <w:rsid w:val="003D2A3B"/>
    <w:rsid w:val="003D2B17"/>
    <w:rsid w:val="003D2D52"/>
    <w:rsid w:val="003D2E92"/>
    <w:rsid w:val="003D2EDE"/>
    <w:rsid w:val="003D3020"/>
    <w:rsid w:val="003D3069"/>
    <w:rsid w:val="003D30E5"/>
    <w:rsid w:val="003D313C"/>
    <w:rsid w:val="003D32CA"/>
    <w:rsid w:val="003D32EA"/>
    <w:rsid w:val="003D3473"/>
    <w:rsid w:val="003D34A6"/>
    <w:rsid w:val="003D38E9"/>
    <w:rsid w:val="003D3949"/>
    <w:rsid w:val="003D39D7"/>
    <w:rsid w:val="003D39FD"/>
    <w:rsid w:val="003D3A23"/>
    <w:rsid w:val="003D3AB8"/>
    <w:rsid w:val="003D3B2E"/>
    <w:rsid w:val="003D3BDC"/>
    <w:rsid w:val="003D3BE0"/>
    <w:rsid w:val="003D3BFA"/>
    <w:rsid w:val="003D3D16"/>
    <w:rsid w:val="003D3D2B"/>
    <w:rsid w:val="003D3E45"/>
    <w:rsid w:val="003D3E48"/>
    <w:rsid w:val="003D3FD4"/>
    <w:rsid w:val="003D41CC"/>
    <w:rsid w:val="003D427C"/>
    <w:rsid w:val="003D4348"/>
    <w:rsid w:val="003D46BE"/>
    <w:rsid w:val="003D473C"/>
    <w:rsid w:val="003D47AC"/>
    <w:rsid w:val="003D4882"/>
    <w:rsid w:val="003D48B5"/>
    <w:rsid w:val="003D491B"/>
    <w:rsid w:val="003D49C2"/>
    <w:rsid w:val="003D49CE"/>
    <w:rsid w:val="003D4A68"/>
    <w:rsid w:val="003D4B1D"/>
    <w:rsid w:val="003D4B57"/>
    <w:rsid w:val="003D4BE1"/>
    <w:rsid w:val="003D4C03"/>
    <w:rsid w:val="003D4D3D"/>
    <w:rsid w:val="003D4DC4"/>
    <w:rsid w:val="003D4EB9"/>
    <w:rsid w:val="003D4EC1"/>
    <w:rsid w:val="003D5011"/>
    <w:rsid w:val="003D5170"/>
    <w:rsid w:val="003D5176"/>
    <w:rsid w:val="003D51B0"/>
    <w:rsid w:val="003D5288"/>
    <w:rsid w:val="003D52A1"/>
    <w:rsid w:val="003D52DD"/>
    <w:rsid w:val="003D5380"/>
    <w:rsid w:val="003D5392"/>
    <w:rsid w:val="003D5459"/>
    <w:rsid w:val="003D545D"/>
    <w:rsid w:val="003D5528"/>
    <w:rsid w:val="003D55AB"/>
    <w:rsid w:val="003D5671"/>
    <w:rsid w:val="003D5699"/>
    <w:rsid w:val="003D56D2"/>
    <w:rsid w:val="003D5783"/>
    <w:rsid w:val="003D5885"/>
    <w:rsid w:val="003D596D"/>
    <w:rsid w:val="003D59BE"/>
    <w:rsid w:val="003D59E1"/>
    <w:rsid w:val="003D5B9D"/>
    <w:rsid w:val="003D5C0C"/>
    <w:rsid w:val="003D5C6F"/>
    <w:rsid w:val="003D5DE3"/>
    <w:rsid w:val="003D5E9E"/>
    <w:rsid w:val="003D5F11"/>
    <w:rsid w:val="003D5F80"/>
    <w:rsid w:val="003D60F7"/>
    <w:rsid w:val="003D617E"/>
    <w:rsid w:val="003D6467"/>
    <w:rsid w:val="003D654B"/>
    <w:rsid w:val="003D662B"/>
    <w:rsid w:val="003D666D"/>
    <w:rsid w:val="003D670C"/>
    <w:rsid w:val="003D671E"/>
    <w:rsid w:val="003D68C1"/>
    <w:rsid w:val="003D6912"/>
    <w:rsid w:val="003D693D"/>
    <w:rsid w:val="003D6CA4"/>
    <w:rsid w:val="003D6E60"/>
    <w:rsid w:val="003D7008"/>
    <w:rsid w:val="003D70D8"/>
    <w:rsid w:val="003D70F1"/>
    <w:rsid w:val="003D7122"/>
    <w:rsid w:val="003D72D9"/>
    <w:rsid w:val="003D745B"/>
    <w:rsid w:val="003D74FA"/>
    <w:rsid w:val="003D7631"/>
    <w:rsid w:val="003D77DC"/>
    <w:rsid w:val="003D7BE3"/>
    <w:rsid w:val="003D7BFD"/>
    <w:rsid w:val="003D7DF6"/>
    <w:rsid w:val="003D7DFC"/>
    <w:rsid w:val="003D7E28"/>
    <w:rsid w:val="003D7F18"/>
    <w:rsid w:val="003D7F87"/>
    <w:rsid w:val="003E00B6"/>
    <w:rsid w:val="003E0119"/>
    <w:rsid w:val="003E016A"/>
    <w:rsid w:val="003E01A1"/>
    <w:rsid w:val="003E04A2"/>
    <w:rsid w:val="003E050D"/>
    <w:rsid w:val="003E0643"/>
    <w:rsid w:val="003E075B"/>
    <w:rsid w:val="003E0776"/>
    <w:rsid w:val="003E077C"/>
    <w:rsid w:val="003E07B4"/>
    <w:rsid w:val="003E07E9"/>
    <w:rsid w:val="003E08C7"/>
    <w:rsid w:val="003E090D"/>
    <w:rsid w:val="003E0912"/>
    <w:rsid w:val="003E09D4"/>
    <w:rsid w:val="003E09FD"/>
    <w:rsid w:val="003E0B6C"/>
    <w:rsid w:val="003E0C45"/>
    <w:rsid w:val="003E0C8B"/>
    <w:rsid w:val="003E0D7A"/>
    <w:rsid w:val="003E0E03"/>
    <w:rsid w:val="003E1039"/>
    <w:rsid w:val="003E1042"/>
    <w:rsid w:val="003E1064"/>
    <w:rsid w:val="003E10C3"/>
    <w:rsid w:val="003E1185"/>
    <w:rsid w:val="003E11E8"/>
    <w:rsid w:val="003E120A"/>
    <w:rsid w:val="003E1218"/>
    <w:rsid w:val="003E1270"/>
    <w:rsid w:val="003E1290"/>
    <w:rsid w:val="003E134D"/>
    <w:rsid w:val="003E1398"/>
    <w:rsid w:val="003E1475"/>
    <w:rsid w:val="003E1520"/>
    <w:rsid w:val="003E1522"/>
    <w:rsid w:val="003E15D2"/>
    <w:rsid w:val="003E1629"/>
    <w:rsid w:val="003E1677"/>
    <w:rsid w:val="003E17F2"/>
    <w:rsid w:val="003E1993"/>
    <w:rsid w:val="003E19CF"/>
    <w:rsid w:val="003E1AB2"/>
    <w:rsid w:val="003E1BA8"/>
    <w:rsid w:val="003E1E03"/>
    <w:rsid w:val="003E1E39"/>
    <w:rsid w:val="003E1E68"/>
    <w:rsid w:val="003E1EC7"/>
    <w:rsid w:val="003E1EE5"/>
    <w:rsid w:val="003E1F21"/>
    <w:rsid w:val="003E1FFC"/>
    <w:rsid w:val="003E2058"/>
    <w:rsid w:val="003E20D6"/>
    <w:rsid w:val="003E22B2"/>
    <w:rsid w:val="003E24F7"/>
    <w:rsid w:val="003E2592"/>
    <w:rsid w:val="003E25C1"/>
    <w:rsid w:val="003E2655"/>
    <w:rsid w:val="003E2729"/>
    <w:rsid w:val="003E27DF"/>
    <w:rsid w:val="003E28E2"/>
    <w:rsid w:val="003E292D"/>
    <w:rsid w:val="003E2993"/>
    <w:rsid w:val="003E2A95"/>
    <w:rsid w:val="003E2AC5"/>
    <w:rsid w:val="003E2ACC"/>
    <w:rsid w:val="003E2B32"/>
    <w:rsid w:val="003E2B9D"/>
    <w:rsid w:val="003E2BB5"/>
    <w:rsid w:val="003E2BC4"/>
    <w:rsid w:val="003E2C02"/>
    <w:rsid w:val="003E2C3D"/>
    <w:rsid w:val="003E2D4B"/>
    <w:rsid w:val="003E2D66"/>
    <w:rsid w:val="003E2D6D"/>
    <w:rsid w:val="003E2DF0"/>
    <w:rsid w:val="003E2E1F"/>
    <w:rsid w:val="003E2E8A"/>
    <w:rsid w:val="003E2F03"/>
    <w:rsid w:val="003E2F86"/>
    <w:rsid w:val="003E336C"/>
    <w:rsid w:val="003E33BB"/>
    <w:rsid w:val="003E33CC"/>
    <w:rsid w:val="003E3571"/>
    <w:rsid w:val="003E35D4"/>
    <w:rsid w:val="003E369B"/>
    <w:rsid w:val="003E369C"/>
    <w:rsid w:val="003E3744"/>
    <w:rsid w:val="003E381A"/>
    <w:rsid w:val="003E3893"/>
    <w:rsid w:val="003E38A5"/>
    <w:rsid w:val="003E3B3C"/>
    <w:rsid w:val="003E3BB8"/>
    <w:rsid w:val="003E3D79"/>
    <w:rsid w:val="003E3E4A"/>
    <w:rsid w:val="003E3E4C"/>
    <w:rsid w:val="003E3F34"/>
    <w:rsid w:val="003E3FED"/>
    <w:rsid w:val="003E413A"/>
    <w:rsid w:val="003E41CA"/>
    <w:rsid w:val="003E421F"/>
    <w:rsid w:val="003E4236"/>
    <w:rsid w:val="003E4315"/>
    <w:rsid w:val="003E435E"/>
    <w:rsid w:val="003E43B2"/>
    <w:rsid w:val="003E43CC"/>
    <w:rsid w:val="003E463B"/>
    <w:rsid w:val="003E46D9"/>
    <w:rsid w:val="003E4757"/>
    <w:rsid w:val="003E4849"/>
    <w:rsid w:val="003E4ACC"/>
    <w:rsid w:val="003E4BAE"/>
    <w:rsid w:val="003E4D87"/>
    <w:rsid w:val="003E4EB3"/>
    <w:rsid w:val="003E4F6B"/>
    <w:rsid w:val="003E4FA4"/>
    <w:rsid w:val="003E4FB0"/>
    <w:rsid w:val="003E500D"/>
    <w:rsid w:val="003E52A3"/>
    <w:rsid w:val="003E5470"/>
    <w:rsid w:val="003E5524"/>
    <w:rsid w:val="003E5929"/>
    <w:rsid w:val="003E5956"/>
    <w:rsid w:val="003E5975"/>
    <w:rsid w:val="003E5B8E"/>
    <w:rsid w:val="003E5C1F"/>
    <w:rsid w:val="003E5D17"/>
    <w:rsid w:val="003E5D39"/>
    <w:rsid w:val="003E5E89"/>
    <w:rsid w:val="003E614D"/>
    <w:rsid w:val="003E615D"/>
    <w:rsid w:val="003E6241"/>
    <w:rsid w:val="003E62D0"/>
    <w:rsid w:val="003E62ED"/>
    <w:rsid w:val="003E6311"/>
    <w:rsid w:val="003E6338"/>
    <w:rsid w:val="003E6389"/>
    <w:rsid w:val="003E63A3"/>
    <w:rsid w:val="003E64D0"/>
    <w:rsid w:val="003E6511"/>
    <w:rsid w:val="003E657A"/>
    <w:rsid w:val="003E671C"/>
    <w:rsid w:val="003E6798"/>
    <w:rsid w:val="003E698A"/>
    <w:rsid w:val="003E69B0"/>
    <w:rsid w:val="003E69DD"/>
    <w:rsid w:val="003E6AD5"/>
    <w:rsid w:val="003E6CE3"/>
    <w:rsid w:val="003E6CE4"/>
    <w:rsid w:val="003E6F4E"/>
    <w:rsid w:val="003E6F51"/>
    <w:rsid w:val="003E700C"/>
    <w:rsid w:val="003E719E"/>
    <w:rsid w:val="003E72D1"/>
    <w:rsid w:val="003E7481"/>
    <w:rsid w:val="003E74D8"/>
    <w:rsid w:val="003E75BD"/>
    <w:rsid w:val="003E7795"/>
    <w:rsid w:val="003E7A3F"/>
    <w:rsid w:val="003E7A76"/>
    <w:rsid w:val="003E7B13"/>
    <w:rsid w:val="003E7BE3"/>
    <w:rsid w:val="003E7CCE"/>
    <w:rsid w:val="003E7D04"/>
    <w:rsid w:val="003E7E72"/>
    <w:rsid w:val="003E7ECC"/>
    <w:rsid w:val="003E7EF5"/>
    <w:rsid w:val="003E7F7E"/>
    <w:rsid w:val="003F01F7"/>
    <w:rsid w:val="003F02E9"/>
    <w:rsid w:val="003F02F8"/>
    <w:rsid w:val="003F0389"/>
    <w:rsid w:val="003F0467"/>
    <w:rsid w:val="003F057B"/>
    <w:rsid w:val="003F0717"/>
    <w:rsid w:val="003F077E"/>
    <w:rsid w:val="003F07AD"/>
    <w:rsid w:val="003F089E"/>
    <w:rsid w:val="003F0B13"/>
    <w:rsid w:val="003F0B1D"/>
    <w:rsid w:val="003F0BA3"/>
    <w:rsid w:val="003F0BFF"/>
    <w:rsid w:val="003F0CA0"/>
    <w:rsid w:val="003F0E28"/>
    <w:rsid w:val="003F0F03"/>
    <w:rsid w:val="003F10ED"/>
    <w:rsid w:val="003F1188"/>
    <w:rsid w:val="003F1272"/>
    <w:rsid w:val="003F127E"/>
    <w:rsid w:val="003F1335"/>
    <w:rsid w:val="003F1628"/>
    <w:rsid w:val="003F1662"/>
    <w:rsid w:val="003F16F5"/>
    <w:rsid w:val="003F1799"/>
    <w:rsid w:val="003F185E"/>
    <w:rsid w:val="003F1995"/>
    <w:rsid w:val="003F19C6"/>
    <w:rsid w:val="003F1C01"/>
    <w:rsid w:val="003F1C11"/>
    <w:rsid w:val="003F1C54"/>
    <w:rsid w:val="003F1E98"/>
    <w:rsid w:val="003F20A3"/>
    <w:rsid w:val="003F20F9"/>
    <w:rsid w:val="003F2237"/>
    <w:rsid w:val="003F23FB"/>
    <w:rsid w:val="003F2414"/>
    <w:rsid w:val="003F2562"/>
    <w:rsid w:val="003F262D"/>
    <w:rsid w:val="003F2820"/>
    <w:rsid w:val="003F28D9"/>
    <w:rsid w:val="003F28FF"/>
    <w:rsid w:val="003F2AF4"/>
    <w:rsid w:val="003F2B82"/>
    <w:rsid w:val="003F2B96"/>
    <w:rsid w:val="003F2D12"/>
    <w:rsid w:val="003F2D50"/>
    <w:rsid w:val="003F2E25"/>
    <w:rsid w:val="003F2F57"/>
    <w:rsid w:val="003F2F6F"/>
    <w:rsid w:val="003F2F84"/>
    <w:rsid w:val="003F3029"/>
    <w:rsid w:val="003F30AB"/>
    <w:rsid w:val="003F3238"/>
    <w:rsid w:val="003F3294"/>
    <w:rsid w:val="003F34F3"/>
    <w:rsid w:val="003F3592"/>
    <w:rsid w:val="003F35E5"/>
    <w:rsid w:val="003F3693"/>
    <w:rsid w:val="003F36AC"/>
    <w:rsid w:val="003F36D2"/>
    <w:rsid w:val="003F38AA"/>
    <w:rsid w:val="003F38D7"/>
    <w:rsid w:val="003F3BE6"/>
    <w:rsid w:val="003F3C43"/>
    <w:rsid w:val="003F3CF9"/>
    <w:rsid w:val="003F3D04"/>
    <w:rsid w:val="003F3D0D"/>
    <w:rsid w:val="003F3D70"/>
    <w:rsid w:val="003F3D77"/>
    <w:rsid w:val="003F4193"/>
    <w:rsid w:val="003F41BA"/>
    <w:rsid w:val="003F444E"/>
    <w:rsid w:val="003F456E"/>
    <w:rsid w:val="003F457A"/>
    <w:rsid w:val="003F4622"/>
    <w:rsid w:val="003F47B4"/>
    <w:rsid w:val="003F47CA"/>
    <w:rsid w:val="003F4844"/>
    <w:rsid w:val="003F4917"/>
    <w:rsid w:val="003F49CE"/>
    <w:rsid w:val="003F4AC2"/>
    <w:rsid w:val="003F4AD9"/>
    <w:rsid w:val="003F4B1D"/>
    <w:rsid w:val="003F4B50"/>
    <w:rsid w:val="003F4CEE"/>
    <w:rsid w:val="003F4DD5"/>
    <w:rsid w:val="003F4DFB"/>
    <w:rsid w:val="003F4F16"/>
    <w:rsid w:val="003F4FE7"/>
    <w:rsid w:val="003F5001"/>
    <w:rsid w:val="003F5180"/>
    <w:rsid w:val="003F52D3"/>
    <w:rsid w:val="003F5363"/>
    <w:rsid w:val="003F53D7"/>
    <w:rsid w:val="003F54D0"/>
    <w:rsid w:val="003F56BB"/>
    <w:rsid w:val="003F56E5"/>
    <w:rsid w:val="003F5775"/>
    <w:rsid w:val="003F5881"/>
    <w:rsid w:val="003F58A4"/>
    <w:rsid w:val="003F58D1"/>
    <w:rsid w:val="003F590E"/>
    <w:rsid w:val="003F5955"/>
    <w:rsid w:val="003F5A7C"/>
    <w:rsid w:val="003F5ADE"/>
    <w:rsid w:val="003F5B04"/>
    <w:rsid w:val="003F5B90"/>
    <w:rsid w:val="003F5C6E"/>
    <w:rsid w:val="003F5CAB"/>
    <w:rsid w:val="003F5D39"/>
    <w:rsid w:val="003F5DDC"/>
    <w:rsid w:val="003F5E34"/>
    <w:rsid w:val="003F5F43"/>
    <w:rsid w:val="003F5FFA"/>
    <w:rsid w:val="003F6060"/>
    <w:rsid w:val="003F6134"/>
    <w:rsid w:val="003F617D"/>
    <w:rsid w:val="003F62FA"/>
    <w:rsid w:val="003F630E"/>
    <w:rsid w:val="003F6384"/>
    <w:rsid w:val="003F64F3"/>
    <w:rsid w:val="003F66E0"/>
    <w:rsid w:val="003F6701"/>
    <w:rsid w:val="003F6812"/>
    <w:rsid w:val="003F68DF"/>
    <w:rsid w:val="003F6BA2"/>
    <w:rsid w:val="003F6BAB"/>
    <w:rsid w:val="003F6D9A"/>
    <w:rsid w:val="003F6DFA"/>
    <w:rsid w:val="003F7092"/>
    <w:rsid w:val="003F7131"/>
    <w:rsid w:val="003F743E"/>
    <w:rsid w:val="003F755B"/>
    <w:rsid w:val="003F7585"/>
    <w:rsid w:val="003F7597"/>
    <w:rsid w:val="003F75FD"/>
    <w:rsid w:val="003F7802"/>
    <w:rsid w:val="003F785D"/>
    <w:rsid w:val="003F7893"/>
    <w:rsid w:val="003F7A33"/>
    <w:rsid w:val="003F7A91"/>
    <w:rsid w:val="003F7AE9"/>
    <w:rsid w:val="003F7B25"/>
    <w:rsid w:val="003F7C53"/>
    <w:rsid w:val="003F7C79"/>
    <w:rsid w:val="003F7E2E"/>
    <w:rsid w:val="003F7E6F"/>
    <w:rsid w:val="003F7EE3"/>
    <w:rsid w:val="003F7FC2"/>
    <w:rsid w:val="0040002F"/>
    <w:rsid w:val="004000A0"/>
    <w:rsid w:val="004000A2"/>
    <w:rsid w:val="0040017E"/>
    <w:rsid w:val="00400180"/>
    <w:rsid w:val="00400261"/>
    <w:rsid w:val="00400295"/>
    <w:rsid w:val="004002B8"/>
    <w:rsid w:val="0040033E"/>
    <w:rsid w:val="00400430"/>
    <w:rsid w:val="0040043C"/>
    <w:rsid w:val="00400595"/>
    <w:rsid w:val="0040079F"/>
    <w:rsid w:val="004008A4"/>
    <w:rsid w:val="00400900"/>
    <w:rsid w:val="00400970"/>
    <w:rsid w:val="00400D8A"/>
    <w:rsid w:val="00400F1F"/>
    <w:rsid w:val="00400F4E"/>
    <w:rsid w:val="00400F87"/>
    <w:rsid w:val="00401082"/>
    <w:rsid w:val="004011BB"/>
    <w:rsid w:val="0040128F"/>
    <w:rsid w:val="004012EE"/>
    <w:rsid w:val="00401365"/>
    <w:rsid w:val="004013EE"/>
    <w:rsid w:val="0040149D"/>
    <w:rsid w:val="004014F4"/>
    <w:rsid w:val="00401518"/>
    <w:rsid w:val="00401710"/>
    <w:rsid w:val="004018F4"/>
    <w:rsid w:val="004019A0"/>
    <w:rsid w:val="00401AE2"/>
    <w:rsid w:val="00401AFB"/>
    <w:rsid w:val="00401CCA"/>
    <w:rsid w:val="00401DB3"/>
    <w:rsid w:val="00401E7B"/>
    <w:rsid w:val="00401E8C"/>
    <w:rsid w:val="00402021"/>
    <w:rsid w:val="00402176"/>
    <w:rsid w:val="0040221D"/>
    <w:rsid w:val="0040235F"/>
    <w:rsid w:val="00402364"/>
    <w:rsid w:val="004023B2"/>
    <w:rsid w:val="004023CD"/>
    <w:rsid w:val="0040242A"/>
    <w:rsid w:val="0040256A"/>
    <w:rsid w:val="004025F0"/>
    <w:rsid w:val="004028CB"/>
    <w:rsid w:val="0040293B"/>
    <w:rsid w:val="0040296A"/>
    <w:rsid w:val="004029EC"/>
    <w:rsid w:val="00402A31"/>
    <w:rsid w:val="00402AC2"/>
    <w:rsid w:val="00402C2B"/>
    <w:rsid w:val="00402C58"/>
    <w:rsid w:val="00402DAB"/>
    <w:rsid w:val="00402E7B"/>
    <w:rsid w:val="00402E9F"/>
    <w:rsid w:val="00402EEF"/>
    <w:rsid w:val="00402EF3"/>
    <w:rsid w:val="00403056"/>
    <w:rsid w:val="0040306A"/>
    <w:rsid w:val="0040307C"/>
    <w:rsid w:val="00403120"/>
    <w:rsid w:val="00403131"/>
    <w:rsid w:val="0040315E"/>
    <w:rsid w:val="004031EC"/>
    <w:rsid w:val="004032CD"/>
    <w:rsid w:val="00403427"/>
    <w:rsid w:val="00403464"/>
    <w:rsid w:val="00403519"/>
    <w:rsid w:val="0040354A"/>
    <w:rsid w:val="0040355F"/>
    <w:rsid w:val="004035AD"/>
    <w:rsid w:val="004035C8"/>
    <w:rsid w:val="00403608"/>
    <w:rsid w:val="0040367C"/>
    <w:rsid w:val="004036E8"/>
    <w:rsid w:val="00403718"/>
    <w:rsid w:val="004038CA"/>
    <w:rsid w:val="00403923"/>
    <w:rsid w:val="00403C55"/>
    <w:rsid w:val="00403D65"/>
    <w:rsid w:val="00403E46"/>
    <w:rsid w:val="00404046"/>
    <w:rsid w:val="004041A7"/>
    <w:rsid w:val="004041DE"/>
    <w:rsid w:val="0040422C"/>
    <w:rsid w:val="004042F0"/>
    <w:rsid w:val="00404342"/>
    <w:rsid w:val="004043A3"/>
    <w:rsid w:val="004043F5"/>
    <w:rsid w:val="004045A6"/>
    <w:rsid w:val="0040479D"/>
    <w:rsid w:val="004047A0"/>
    <w:rsid w:val="0040480D"/>
    <w:rsid w:val="0040496D"/>
    <w:rsid w:val="00404A74"/>
    <w:rsid w:val="00404BAF"/>
    <w:rsid w:val="00404CA5"/>
    <w:rsid w:val="00404CD4"/>
    <w:rsid w:val="00404D9D"/>
    <w:rsid w:val="00404DFB"/>
    <w:rsid w:val="00404EB8"/>
    <w:rsid w:val="00404F0F"/>
    <w:rsid w:val="00404FEA"/>
    <w:rsid w:val="00405360"/>
    <w:rsid w:val="004053FF"/>
    <w:rsid w:val="00405405"/>
    <w:rsid w:val="004055B9"/>
    <w:rsid w:val="0040567E"/>
    <w:rsid w:val="00405700"/>
    <w:rsid w:val="00405835"/>
    <w:rsid w:val="00405897"/>
    <w:rsid w:val="0040589D"/>
    <w:rsid w:val="004058A9"/>
    <w:rsid w:val="00405930"/>
    <w:rsid w:val="004059C3"/>
    <w:rsid w:val="00405B17"/>
    <w:rsid w:val="00405BE6"/>
    <w:rsid w:val="00405C21"/>
    <w:rsid w:val="00405C78"/>
    <w:rsid w:val="00405CBC"/>
    <w:rsid w:val="00405D79"/>
    <w:rsid w:val="00405D9F"/>
    <w:rsid w:val="00405E74"/>
    <w:rsid w:val="00405EC1"/>
    <w:rsid w:val="00405F6E"/>
    <w:rsid w:val="00405F8F"/>
    <w:rsid w:val="00405FC1"/>
    <w:rsid w:val="00405FFD"/>
    <w:rsid w:val="004060F1"/>
    <w:rsid w:val="00406115"/>
    <w:rsid w:val="004061E0"/>
    <w:rsid w:val="004062F5"/>
    <w:rsid w:val="0040639C"/>
    <w:rsid w:val="00406520"/>
    <w:rsid w:val="004066C1"/>
    <w:rsid w:val="00406719"/>
    <w:rsid w:val="00406798"/>
    <w:rsid w:val="00406C23"/>
    <w:rsid w:val="00406CD0"/>
    <w:rsid w:val="00406DB9"/>
    <w:rsid w:val="00406E8D"/>
    <w:rsid w:val="00406E9D"/>
    <w:rsid w:val="00406EAE"/>
    <w:rsid w:val="00407039"/>
    <w:rsid w:val="0040705C"/>
    <w:rsid w:val="004072B3"/>
    <w:rsid w:val="004072BD"/>
    <w:rsid w:val="00407370"/>
    <w:rsid w:val="004073F0"/>
    <w:rsid w:val="0040741C"/>
    <w:rsid w:val="0040741F"/>
    <w:rsid w:val="00407431"/>
    <w:rsid w:val="00407439"/>
    <w:rsid w:val="00407469"/>
    <w:rsid w:val="0040760B"/>
    <w:rsid w:val="00407676"/>
    <w:rsid w:val="00407A04"/>
    <w:rsid w:val="00407A35"/>
    <w:rsid w:val="00407A50"/>
    <w:rsid w:val="00407DD2"/>
    <w:rsid w:val="00407F50"/>
    <w:rsid w:val="00407F5F"/>
    <w:rsid w:val="00407FDE"/>
    <w:rsid w:val="00410221"/>
    <w:rsid w:val="00410248"/>
    <w:rsid w:val="00410340"/>
    <w:rsid w:val="0041055E"/>
    <w:rsid w:val="00410598"/>
    <w:rsid w:val="00410786"/>
    <w:rsid w:val="00410814"/>
    <w:rsid w:val="00410819"/>
    <w:rsid w:val="004108A9"/>
    <w:rsid w:val="004108C4"/>
    <w:rsid w:val="004108D6"/>
    <w:rsid w:val="004109AD"/>
    <w:rsid w:val="00410B84"/>
    <w:rsid w:val="00410C4F"/>
    <w:rsid w:val="00410E5D"/>
    <w:rsid w:val="00410E67"/>
    <w:rsid w:val="00410E7B"/>
    <w:rsid w:val="00410F17"/>
    <w:rsid w:val="00410F47"/>
    <w:rsid w:val="00410F86"/>
    <w:rsid w:val="004112B3"/>
    <w:rsid w:val="00411425"/>
    <w:rsid w:val="0041154F"/>
    <w:rsid w:val="0041170D"/>
    <w:rsid w:val="00411825"/>
    <w:rsid w:val="004118B8"/>
    <w:rsid w:val="004118CB"/>
    <w:rsid w:val="00411B68"/>
    <w:rsid w:val="00411BF6"/>
    <w:rsid w:val="00411E5F"/>
    <w:rsid w:val="004120F1"/>
    <w:rsid w:val="004122B3"/>
    <w:rsid w:val="00412676"/>
    <w:rsid w:val="004127D9"/>
    <w:rsid w:val="004129FC"/>
    <w:rsid w:val="00412A18"/>
    <w:rsid w:val="00412BBC"/>
    <w:rsid w:val="00412D35"/>
    <w:rsid w:val="00412F25"/>
    <w:rsid w:val="00412F36"/>
    <w:rsid w:val="00412F70"/>
    <w:rsid w:val="00412F7B"/>
    <w:rsid w:val="00412FF9"/>
    <w:rsid w:val="004130A8"/>
    <w:rsid w:val="004131EF"/>
    <w:rsid w:val="004131FB"/>
    <w:rsid w:val="004136C6"/>
    <w:rsid w:val="00413734"/>
    <w:rsid w:val="004137A2"/>
    <w:rsid w:val="004137A4"/>
    <w:rsid w:val="0041386A"/>
    <w:rsid w:val="004138F9"/>
    <w:rsid w:val="00413A80"/>
    <w:rsid w:val="00413CB2"/>
    <w:rsid w:val="00413DD7"/>
    <w:rsid w:val="00413E24"/>
    <w:rsid w:val="00413F5F"/>
    <w:rsid w:val="004140E5"/>
    <w:rsid w:val="00414250"/>
    <w:rsid w:val="0041428D"/>
    <w:rsid w:val="004142AF"/>
    <w:rsid w:val="004142B4"/>
    <w:rsid w:val="004142EA"/>
    <w:rsid w:val="0041441D"/>
    <w:rsid w:val="00414497"/>
    <w:rsid w:val="0041450D"/>
    <w:rsid w:val="00414610"/>
    <w:rsid w:val="00414714"/>
    <w:rsid w:val="00414734"/>
    <w:rsid w:val="004147B4"/>
    <w:rsid w:val="004148E9"/>
    <w:rsid w:val="004148ED"/>
    <w:rsid w:val="004149A8"/>
    <w:rsid w:val="00414A82"/>
    <w:rsid w:val="00414BB5"/>
    <w:rsid w:val="00414BC6"/>
    <w:rsid w:val="00414CD5"/>
    <w:rsid w:val="00414E27"/>
    <w:rsid w:val="00414E28"/>
    <w:rsid w:val="00414E4D"/>
    <w:rsid w:val="00414FC4"/>
    <w:rsid w:val="00414FF5"/>
    <w:rsid w:val="0041503A"/>
    <w:rsid w:val="004150BB"/>
    <w:rsid w:val="004151DA"/>
    <w:rsid w:val="00415240"/>
    <w:rsid w:val="00415253"/>
    <w:rsid w:val="004152FE"/>
    <w:rsid w:val="004153BF"/>
    <w:rsid w:val="00415430"/>
    <w:rsid w:val="00415562"/>
    <w:rsid w:val="00415626"/>
    <w:rsid w:val="004157ED"/>
    <w:rsid w:val="00415AC9"/>
    <w:rsid w:val="00415B10"/>
    <w:rsid w:val="00415B64"/>
    <w:rsid w:val="00415CB8"/>
    <w:rsid w:val="00415D5A"/>
    <w:rsid w:val="00415F48"/>
    <w:rsid w:val="00416013"/>
    <w:rsid w:val="00416046"/>
    <w:rsid w:val="004160A7"/>
    <w:rsid w:val="00416291"/>
    <w:rsid w:val="004165A5"/>
    <w:rsid w:val="00416744"/>
    <w:rsid w:val="00416762"/>
    <w:rsid w:val="00416773"/>
    <w:rsid w:val="004167B9"/>
    <w:rsid w:val="00416B75"/>
    <w:rsid w:val="00416BE1"/>
    <w:rsid w:val="00416C6C"/>
    <w:rsid w:val="00416CD9"/>
    <w:rsid w:val="00416DD2"/>
    <w:rsid w:val="00416DE5"/>
    <w:rsid w:val="00416E55"/>
    <w:rsid w:val="0041701F"/>
    <w:rsid w:val="004170D5"/>
    <w:rsid w:val="004170F8"/>
    <w:rsid w:val="00417329"/>
    <w:rsid w:val="00417347"/>
    <w:rsid w:val="00417390"/>
    <w:rsid w:val="004173F3"/>
    <w:rsid w:val="0041744B"/>
    <w:rsid w:val="00417492"/>
    <w:rsid w:val="00417506"/>
    <w:rsid w:val="00417636"/>
    <w:rsid w:val="0041766E"/>
    <w:rsid w:val="0041776E"/>
    <w:rsid w:val="00417775"/>
    <w:rsid w:val="00417A18"/>
    <w:rsid w:val="00417A2C"/>
    <w:rsid w:val="00417B42"/>
    <w:rsid w:val="00417C55"/>
    <w:rsid w:val="00417FDB"/>
    <w:rsid w:val="00420095"/>
    <w:rsid w:val="004200FE"/>
    <w:rsid w:val="004201EE"/>
    <w:rsid w:val="004202FC"/>
    <w:rsid w:val="0042040A"/>
    <w:rsid w:val="0042076B"/>
    <w:rsid w:val="004208AF"/>
    <w:rsid w:val="004208B0"/>
    <w:rsid w:val="004209C6"/>
    <w:rsid w:val="00420B49"/>
    <w:rsid w:val="00420CCC"/>
    <w:rsid w:val="00420E3A"/>
    <w:rsid w:val="00420E67"/>
    <w:rsid w:val="00420F85"/>
    <w:rsid w:val="00420F91"/>
    <w:rsid w:val="00420FB1"/>
    <w:rsid w:val="004211BA"/>
    <w:rsid w:val="00421394"/>
    <w:rsid w:val="004213D2"/>
    <w:rsid w:val="0042145A"/>
    <w:rsid w:val="00421531"/>
    <w:rsid w:val="00421561"/>
    <w:rsid w:val="004215BF"/>
    <w:rsid w:val="004215EE"/>
    <w:rsid w:val="00421719"/>
    <w:rsid w:val="00421835"/>
    <w:rsid w:val="00421955"/>
    <w:rsid w:val="0042196A"/>
    <w:rsid w:val="00421A1A"/>
    <w:rsid w:val="00421B54"/>
    <w:rsid w:val="00421E37"/>
    <w:rsid w:val="00421FD6"/>
    <w:rsid w:val="00421FE3"/>
    <w:rsid w:val="00422197"/>
    <w:rsid w:val="00422307"/>
    <w:rsid w:val="0042240F"/>
    <w:rsid w:val="0042246B"/>
    <w:rsid w:val="004225D9"/>
    <w:rsid w:val="00422716"/>
    <w:rsid w:val="00422788"/>
    <w:rsid w:val="00422910"/>
    <w:rsid w:val="0042294B"/>
    <w:rsid w:val="00422986"/>
    <w:rsid w:val="00422A2F"/>
    <w:rsid w:val="00422C4B"/>
    <w:rsid w:val="00422D16"/>
    <w:rsid w:val="00422E35"/>
    <w:rsid w:val="00422EBC"/>
    <w:rsid w:val="00422FDB"/>
    <w:rsid w:val="00423093"/>
    <w:rsid w:val="004231D9"/>
    <w:rsid w:val="0042322F"/>
    <w:rsid w:val="004232F2"/>
    <w:rsid w:val="004233DA"/>
    <w:rsid w:val="00423518"/>
    <w:rsid w:val="00423577"/>
    <w:rsid w:val="00423613"/>
    <w:rsid w:val="00423649"/>
    <w:rsid w:val="0042385A"/>
    <w:rsid w:val="00423902"/>
    <w:rsid w:val="0042390C"/>
    <w:rsid w:val="00423951"/>
    <w:rsid w:val="00423995"/>
    <w:rsid w:val="004239EA"/>
    <w:rsid w:val="00423A80"/>
    <w:rsid w:val="00423B57"/>
    <w:rsid w:val="00423D46"/>
    <w:rsid w:val="00423DD8"/>
    <w:rsid w:val="00423E99"/>
    <w:rsid w:val="00423EB7"/>
    <w:rsid w:val="00423EE1"/>
    <w:rsid w:val="00423F3F"/>
    <w:rsid w:val="00423FE6"/>
    <w:rsid w:val="0042406E"/>
    <w:rsid w:val="004240C3"/>
    <w:rsid w:val="00424230"/>
    <w:rsid w:val="00424243"/>
    <w:rsid w:val="00424309"/>
    <w:rsid w:val="0042433B"/>
    <w:rsid w:val="0042444A"/>
    <w:rsid w:val="0042452C"/>
    <w:rsid w:val="004246E8"/>
    <w:rsid w:val="0042492A"/>
    <w:rsid w:val="00424988"/>
    <w:rsid w:val="004249A0"/>
    <w:rsid w:val="004249DB"/>
    <w:rsid w:val="004249E3"/>
    <w:rsid w:val="00424A26"/>
    <w:rsid w:val="00424A69"/>
    <w:rsid w:val="00424AE0"/>
    <w:rsid w:val="00424C2C"/>
    <w:rsid w:val="00424D2C"/>
    <w:rsid w:val="00424F84"/>
    <w:rsid w:val="0042517A"/>
    <w:rsid w:val="00425182"/>
    <w:rsid w:val="0042518A"/>
    <w:rsid w:val="004253BD"/>
    <w:rsid w:val="00425473"/>
    <w:rsid w:val="004256BE"/>
    <w:rsid w:val="00425737"/>
    <w:rsid w:val="00425890"/>
    <w:rsid w:val="004258DB"/>
    <w:rsid w:val="004258FC"/>
    <w:rsid w:val="00425AE8"/>
    <w:rsid w:val="00425BF7"/>
    <w:rsid w:val="00425C15"/>
    <w:rsid w:val="00425D30"/>
    <w:rsid w:val="00425D72"/>
    <w:rsid w:val="0042629F"/>
    <w:rsid w:val="004262F6"/>
    <w:rsid w:val="00426370"/>
    <w:rsid w:val="00426377"/>
    <w:rsid w:val="0042642D"/>
    <w:rsid w:val="00426592"/>
    <w:rsid w:val="004266CA"/>
    <w:rsid w:val="004266D8"/>
    <w:rsid w:val="00426740"/>
    <w:rsid w:val="00426748"/>
    <w:rsid w:val="0042689D"/>
    <w:rsid w:val="004269AF"/>
    <w:rsid w:val="004269F4"/>
    <w:rsid w:val="00426A0B"/>
    <w:rsid w:val="00426A62"/>
    <w:rsid w:val="00426C7B"/>
    <w:rsid w:val="00426D2D"/>
    <w:rsid w:val="00426D5C"/>
    <w:rsid w:val="00426E46"/>
    <w:rsid w:val="00426FD7"/>
    <w:rsid w:val="00426FF0"/>
    <w:rsid w:val="00427051"/>
    <w:rsid w:val="00427054"/>
    <w:rsid w:val="00427184"/>
    <w:rsid w:val="00427273"/>
    <w:rsid w:val="00427305"/>
    <w:rsid w:val="0042739E"/>
    <w:rsid w:val="0042741A"/>
    <w:rsid w:val="004275CB"/>
    <w:rsid w:val="00427605"/>
    <w:rsid w:val="00427697"/>
    <w:rsid w:val="004276A0"/>
    <w:rsid w:val="004277B6"/>
    <w:rsid w:val="004277B9"/>
    <w:rsid w:val="00427823"/>
    <w:rsid w:val="00427876"/>
    <w:rsid w:val="00427BA6"/>
    <w:rsid w:val="00427D91"/>
    <w:rsid w:val="00427E9D"/>
    <w:rsid w:val="00430264"/>
    <w:rsid w:val="004302A1"/>
    <w:rsid w:val="0043043A"/>
    <w:rsid w:val="004304C5"/>
    <w:rsid w:val="00430614"/>
    <w:rsid w:val="00430736"/>
    <w:rsid w:val="00430883"/>
    <w:rsid w:val="004308FD"/>
    <w:rsid w:val="004308FF"/>
    <w:rsid w:val="00430CE0"/>
    <w:rsid w:val="00430D3B"/>
    <w:rsid w:val="00430DD2"/>
    <w:rsid w:val="00430EA0"/>
    <w:rsid w:val="00430EA2"/>
    <w:rsid w:val="00430F9A"/>
    <w:rsid w:val="00431035"/>
    <w:rsid w:val="00431194"/>
    <w:rsid w:val="00431211"/>
    <w:rsid w:val="0043130A"/>
    <w:rsid w:val="00431322"/>
    <w:rsid w:val="004313A4"/>
    <w:rsid w:val="004314BA"/>
    <w:rsid w:val="0043173C"/>
    <w:rsid w:val="00431782"/>
    <w:rsid w:val="004318D5"/>
    <w:rsid w:val="004319A9"/>
    <w:rsid w:val="00431A46"/>
    <w:rsid w:val="00431AC7"/>
    <w:rsid w:val="00431CE8"/>
    <w:rsid w:val="00431D9E"/>
    <w:rsid w:val="00431DB3"/>
    <w:rsid w:val="00431EA1"/>
    <w:rsid w:val="00432067"/>
    <w:rsid w:val="0043207E"/>
    <w:rsid w:val="004322A8"/>
    <w:rsid w:val="0043240A"/>
    <w:rsid w:val="004324C1"/>
    <w:rsid w:val="004324DF"/>
    <w:rsid w:val="0043262F"/>
    <w:rsid w:val="0043265F"/>
    <w:rsid w:val="00432915"/>
    <w:rsid w:val="00432961"/>
    <w:rsid w:val="00432A98"/>
    <w:rsid w:val="00432B82"/>
    <w:rsid w:val="00432BAE"/>
    <w:rsid w:val="00432C9C"/>
    <w:rsid w:val="00432CBD"/>
    <w:rsid w:val="00432E0B"/>
    <w:rsid w:val="00432E34"/>
    <w:rsid w:val="00432F78"/>
    <w:rsid w:val="00432FB7"/>
    <w:rsid w:val="00433043"/>
    <w:rsid w:val="0043312F"/>
    <w:rsid w:val="00433146"/>
    <w:rsid w:val="0043332B"/>
    <w:rsid w:val="00433400"/>
    <w:rsid w:val="004334F3"/>
    <w:rsid w:val="00433596"/>
    <w:rsid w:val="004335D2"/>
    <w:rsid w:val="00433645"/>
    <w:rsid w:val="00433679"/>
    <w:rsid w:val="0043369F"/>
    <w:rsid w:val="00433734"/>
    <w:rsid w:val="0043377D"/>
    <w:rsid w:val="004337AE"/>
    <w:rsid w:val="004338CB"/>
    <w:rsid w:val="00433938"/>
    <w:rsid w:val="00433A6E"/>
    <w:rsid w:val="00433BA1"/>
    <w:rsid w:val="00433C60"/>
    <w:rsid w:val="00433C6D"/>
    <w:rsid w:val="00433C88"/>
    <w:rsid w:val="00433E44"/>
    <w:rsid w:val="00433E6B"/>
    <w:rsid w:val="00433EDA"/>
    <w:rsid w:val="00433EFA"/>
    <w:rsid w:val="0043401C"/>
    <w:rsid w:val="0043402A"/>
    <w:rsid w:val="004340B5"/>
    <w:rsid w:val="00434151"/>
    <w:rsid w:val="004343CE"/>
    <w:rsid w:val="0043448D"/>
    <w:rsid w:val="004347C4"/>
    <w:rsid w:val="004348A7"/>
    <w:rsid w:val="004348F4"/>
    <w:rsid w:val="00434AA9"/>
    <w:rsid w:val="00434BAE"/>
    <w:rsid w:val="00434CD9"/>
    <w:rsid w:val="00434ED5"/>
    <w:rsid w:val="00434FD8"/>
    <w:rsid w:val="00434FEF"/>
    <w:rsid w:val="00434FF1"/>
    <w:rsid w:val="004350D4"/>
    <w:rsid w:val="004350E1"/>
    <w:rsid w:val="00435287"/>
    <w:rsid w:val="004353D4"/>
    <w:rsid w:val="00435467"/>
    <w:rsid w:val="00435569"/>
    <w:rsid w:val="00435736"/>
    <w:rsid w:val="00435820"/>
    <w:rsid w:val="00435A45"/>
    <w:rsid w:val="00435B27"/>
    <w:rsid w:val="00435B4D"/>
    <w:rsid w:val="00435B64"/>
    <w:rsid w:val="00435D9B"/>
    <w:rsid w:val="00435EC1"/>
    <w:rsid w:val="00435EC3"/>
    <w:rsid w:val="00435FA5"/>
    <w:rsid w:val="00436221"/>
    <w:rsid w:val="004362B2"/>
    <w:rsid w:val="0043651F"/>
    <w:rsid w:val="0043656D"/>
    <w:rsid w:val="00436597"/>
    <w:rsid w:val="004365F8"/>
    <w:rsid w:val="00436782"/>
    <w:rsid w:val="0043684D"/>
    <w:rsid w:val="0043686A"/>
    <w:rsid w:val="00436870"/>
    <w:rsid w:val="00436904"/>
    <w:rsid w:val="00436942"/>
    <w:rsid w:val="00436958"/>
    <w:rsid w:val="00436974"/>
    <w:rsid w:val="00436A8B"/>
    <w:rsid w:val="00436ABE"/>
    <w:rsid w:val="00436D1B"/>
    <w:rsid w:val="00436E7C"/>
    <w:rsid w:val="00437058"/>
    <w:rsid w:val="0043728B"/>
    <w:rsid w:val="004373FF"/>
    <w:rsid w:val="00437472"/>
    <w:rsid w:val="0043749B"/>
    <w:rsid w:val="00437507"/>
    <w:rsid w:val="00437514"/>
    <w:rsid w:val="00437698"/>
    <w:rsid w:val="004376CA"/>
    <w:rsid w:val="00437736"/>
    <w:rsid w:val="004377CD"/>
    <w:rsid w:val="004377DF"/>
    <w:rsid w:val="004377E5"/>
    <w:rsid w:val="00437845"/>
    <w:rsid w:val="004379E8"/>
    <w:rsid w:val="00437A56"/>
    <w:rsid w:val="00437BB2"/>
    <w:rsid w:val="00437C7E"/>
    <w:rsid w:val="00437CDA"/>
    <w:rsid w:val="00437D87"/>
    <w:rsid w:val="00437DAF"/>
    <w:rsid w:val="00437DC5"/>
    <w:rsid w:val="00437DC9"/>
    <w:rsid w:val="00437DDA"/>
    <w:rsid w:val="00437E8F"/>
    <w:rsid w:val="00437F02"/>
    <w:rsid w:val="00437F1B"/>
    <w:rsid w:val="00437FA4"/>
    <w:rsid w:val="00437FDB"/>
    <w:rsid w:val="00437FE1"/>
    <w:rsid w:val="00440018"/>
    <w:rsid w:val="004400A8"/>
    <w:rsid w:val="0044031C"/>
    <w:rsid w:val="00440399"/>
    <w:rsid w:val="00440447"/>
    <w:rsid w:val="00440479"/>
    <w:rsid w:val="00440659"/>
    <w:rsid w:val="004406D5"/>
    <w:rsid w:val="0044085D"/>
    <w:rsid w:val="00440888"/>
    <w:rsid w:val="004408E5"/>
    <w:rsid w:val="004409ED"/>
    <w:rsid w:val="00440D39"/>
    <w:rsid w:val="00440DF4"/>
    <w:rsid w:val="00440E68"/>
    <w:rsid w:val="00440F88"/>
    <w:rsid w:val="00440FCA"/>
    <w:rsid w:val="004410DF"/>
    <w:rsid w:val="0044119F"/>
    <w:rsid w:val="004412CB"/>
    <w:rsid w:val="0044138C"/>
    <w:rsid w:val="00441441"/>
    <w:rsid w:val="004414E9"/>
    <w:rsid w:val="00441683"/>
    <w:rsid w:val="00441782"/>
    <w:rsid w:val="004419B0"/>
    <w:rsid w:val="004419D4"/>
    <w:rsid w:val="00441A00"/>
    <w:rsid w:val="00441C46"/>
    <w:rsid w:val="00441D4A"/>
    <w:rsid w:val="00441DD7"/>
    <w:rsid w:val="00441F1D"/>
    <w:rsid w:val="00441FA4"/>
    <w:rsid w:val="00441FB7"/>
    <w:rsid w:val="00442015"/>
    <w:rsid w:val="004420B0"/>
    <w:rsid w:val="004420EC"/>
    <w:rsid w:val="00442101"/>
    <w:rsid w:val="00442236"/>
    <w:rsid w:val="0044236B"/>
    <w:rsid w:val="00442591"/>
    <w:rsid w:val="004425BB"/>
    <w:rsid w:val="004426F8"/>
    <w:rsid w:val="00442797"/>
    <w:rsid w:val="00442835"/>
    <w:rsid w:val="00442854"/>
    <w:rsid w:val="0044287A"/>
    <w:rsid w:val="00442A1D"/>
    <w:rsid w:val="00442A2C"/>
    <w:rsid w:val="00442AEF"/>
    <w:rsid w:val="00442B3C"/>
    <w:rsid w:val="00442B6D"/>
    <w:rsid w:val="00442B7D"/>
    <w:rsid w:val="00442B81"/>
    <w:rsid w:val="00442B93"/>
    <w:rsid w:val="00442C3E"/>
    <w:rsid w:val="00442C3F"/>
    <w:rsid w:val="00442CD2"/>
    <w:rsid w:val="00442F9A"/>
    <w:rsid w:val="0044309D"/>
    <w:rsid w:val="00443140"/>
    <w:rsid w:val="00443197"/>
    <w:rsid w:val="0044337D"/>
    <w:rsid w:val="00443632"/>
    <w:rsid w:val="004437BE"/>
    <w:rsid w:val="00443811"/>
    <w:rsid w:val="00443920"/>
    <w:rsid w:val="004439DE"/>
    <w:rsid w:val="00443A98"/>
    <w:rsid w:val="00443EC9"/>
    <w:rsid w:val="00444002"/>
    <w:rsid w:val="004441AA"/>
    <w:rsid w:val="004443A7"/>
    <w:rsid w:val="004443C9"/>
    <w:rsid w:val="00444422"/>
    <w:rsid w:val="004446AF"/>
    <w:rsid w:val="00444742"/>
    <w:rsid w:val="00444820"/>
    <w:rsid w:val="004449E8"/>
    <w:rsid w:val="00444A63"/>
    <w:rsid w:val="00444ACB"/>
    <w:rsid w:val="00444C2C"/>
    <w:rsid w:val="00444C68"/>
    <w:rsid w:val="00444CA6"/>
    <w:rsid w:val="00444E07"/>
    <w:rsid w:val="00444E54"/>
    <w:rsid w:val="00444F5C"/>
    <w:rsid w:val="00444F63"/>
    <w:rsid w:val="00444FC2"/>
    <w:rsid w:val="00444FF0"/>
    <w:rsid w:val="00445008"/>
    <w:rsid w:val="004450DF"/>
    <w:rsid w:val="00445139"/>
    <w:rsid w:val="00445265"/>
    <w:rsid w:val="00445324"/>
    <w:rsid w:val="0044543E"/>
    <w:rsid w:val="00445461"/>
    <w:rsid w:val="00445489"/>
    <w:rsid w:val="0044552A"/>
    <w:rsid w:val="004455CF"/>
    <w:rsid w:val="00445606"/>
    <w:rsid w:val="0044568E"/>
    <w:rsid w:val="00445690"/>
    <w:rsid w:val="0044579D"/>
    <w:rsid w:val="004457AB"/>
    <w:rsid w:val="00445806"/>
    <w:rsid w:val="00445828"/>
    <w:rsid w:val="00445980"/>
    <w:rsid w:val="00445A30"/>
    <w:rsid w:val="00445A67"/>
    <w:rsid w:val="00445A6E"/>
    <w:rsid w:val="00445B46"/>
    <w:rsid w:val="00445D3B"/>
    <w:rsid w:val="00445D79"/>
    <w:rsid w:val="00445EDB"/>
    <w:rsid w:val="00446257"/>
    <w:rsid w:val="0044633E"/>
    <w:rsid w:val="004464B2"/>
    <w:rsid w:val="0044672F"/>
    <w:rsid w:val="0044689F"/>
    <w:rsid w:val="004469BD"/>
    <w:rsid w:val="00446A71"/>
    <w:rsid w:val="004471D3"/>
    <w:rsid w:val="00447578"/>
    <w:rsid w:val="004476F3"/>
    <w:rsid w:val="0044770E"/>
    <w:rsid w:val="004477D7"/>
    <w:rsid w:val="00447E8D"/>
    <w:rsid w:val="00447EEB"/>
    <w:rsid w:val="00447EED"/>
    <w:rsid w:val="0045002F"/>
    <w:rsid w:val="00450043"/>
    <w:rsid w:val="00450102"/>
    <w:rsid w:val="004502BC"/>
    <w:rsid w:val="00450490"/>
    <w:rsid w:val="0045063E"/>
    <w:rsid w:val="0045070C"/>
    <w:rsid w:val="004507FF"/>
    <w:rsid w:val="00450816"/>
    <w:rsid w:val="00450833"/>
    <w:rsid w:val="004509EE"/>
    <w:rsid w:val="00450A06"/>
    <w:rsid w:val="00450A9D"/>
    <w:rsid w:val="00450B62"/>
    <w:rsid w:val="00450F18"/>
    <w:rsid w:val="00450FFB"/>
    <w:rsid w:val="0045124B"/>
    <w:rsid w:val="00451609"/>
    <w:rsid w:val="00451733"/>
    <w:rsid w:val="004517D9"/>
    <w:rsid w:val="00451984"/>
    <w:rsid w:val="00451CC4"/>
    <w:rsid w:val="00451E90"/>
    <w:rsid w:val="00451F90"/>
    <w:rsid w:val="004520C4"/>
    <w:rsid w:val="004520E7"/>
    <w:rsid w:val="004521E1"/>
    <w:rsid w:val="0045227D"/>
    <w:rsid w:val="004523C5"/>
    <w:rsid w:val="004524D5"/>
    <w:rsid w:val="004524FF"/>
    <w:rsid w:val="0045253A"/>
    <w:rsid w:val="00452549"/>
    <w:rsid w:val="004526C2"/>
    <w:rsid w:val="004527EE"/>
    <w:rsid w:val="0045285D"/>
    <w:rsid w:val="004528D4"/>
    <w:rsid w:val="0045290A"/>
    <w:rsid w:val="00452970"/>
    <w:rsid w:val="00452A4D"/>
    <w:rsid w:val="00452AAF"/>
    <w:rsid w:val="00452AB0"/>
    <w:rsid w:val="00452AC2"/>
    <w:rsid w:val="00452C84"/>
    <w:rsid w:val="00452CB3"/>
    <w:rsid w:val="00452D4F"/>
    <w:rsid w:val="00452D86"/>
    <w:rsid w:val="00452D9F"/>
    <w:rsid w:val="0045305F"/>
    <w:rsid w:val="00453093"/>
    <w:rsid w:val="004531F2"/>
    <w:rsid w:val="004533D7"/>
    <w:rsid w:val="00453427"/>
    <w:rsid w:val="00453579"/>
    <w:rsid w:val="00453651"/>
    <w:rsid w:val="004536ED"/>
    <w:rsid w:val="004536FF"/>
    <w:rsid w:val="00453700"/>
    <w:rsid w:val="00453768"/>
    <w:rsid w:val="00453921"/>
    <w:rsid w:val="004539BF"/>
    <w:rsid w:val="00453A2B"/>
    <w:rsid w:val="00453A79"/>
    <w:rsid w:val="00453B2F"/>
    <w:rsid w:val="00453CE1"/>
    <w:rsid w:val="00453CF9"/>
    <w:rsid w:val="00453D71"/>
    <w:rsid w:val="00453F55"/>
    <w:rsid w:val="0045404F"/>
    <w:rsid w:val="00454166"/>
    <w:rsid w:val="00454253"/>
    <w:rsid w:val="00454438"/>
    <w:rsid w:val="00454464"/>
    <w:rsid w:val="0045457A"/>
    <w:rsid w:val="004545E1"/>
    <w:rsid w:val="004546D9"/>
    <w:rsid w:val="004547C6"/>
    <w:rsid w:val="00454A4F"/>
    <w:rsid w:val="00454A68"/>
    <w:rsid w:val="00454B09"/>
    <w:rsid w:val="00454B79"/>
    <w:rsid w:val="0045503A"/>
    <w:rsid w:val="004550A0"/>
    <w:rsid w:val="004550B2"/>
    <w:rsid w:val="0045518C"/>
    <w:rsid w:val="00455206"/>
    <w:rsid w:val="00455309"/>
    <w:rsid w:val="00455426"/>
    <w:rsid w:val="0045543D"/>
    <w:rsid w:val="0045552E"/>
    <w:rsid w:val="0045571E"/>
    <w:rsid w:val="00455753"/>
    <w:rsid w:val="004557A7"/>
    <w:rsid w:val="0045586D"/>
    <w:rsid w:val="004559CE"/>
    <w:rsid w:val="00455A00"/>
    <w:rsid w:val="00455AE3"/>
    <w:rsid w:val="00455C80"/>
    <w:rsid w:val="00455DB3"/>
    <w:rsid w:val="00455E67"/>
    <w:rsid w:val="00455E81"/>
    <w:rsid w:val="00455E8C"/>
    <w:rsid w:val="00456105"/>
    <w:rsid w:val="00456273"/>
    <w:rsid w:val="004562E4"/>
    <w:rsid w:val="00456372"/>
    <w:rsid w:val="00456497"/>
    <w:rsid w:val="004564E6"/>
    <w:rsid w:val="0045659E"/>
    <w:rsid w:val="00456780"/>
    <w:rsid w:val="004569BC"/>
    <w:rsid w:val="00456B45"/>
    <w:rsid w:val="00456BE9"/>
    <w:rsid w:val="00456C48"/>
    <w:rsid w:val="00456CF2"/>
    <w:rsid w:val="00456E8C"/>
    <w:rsid w:val="00457047"/>
    <w:rsid w:val="004570EE"/>
    <w:rsid w:val="004571DD"/>
    <w:rsid w:val="004571DE"/>
    <w:rsid w:val="00457339"/>
    <w:rsid w:val="004573F6"/>
    <w:rsid w:val="00457482"/>
    <w:rsid w:val="004574BD"/>
    <w:rsid w:val="00457561"/>
    <w:rsid w:val="004576E9"/>
    <w:rsid w:val="004579F1"/>
    <w:rsid w:val="00457A5F"/>
    <w:rsid w:val="00457B33"/>
    <w:rsid w:val="00457BFE"/>
    <w:rsid w:val="00457C66"/>
    <w:rsid w:val="00457E05"/>
    <w:rsid w:val="00457E07"/>
    <w:rsid w:val="00457EDA"/>
    <w:rsid w:val="00457F12"/>
    <w:rsid w:val="00457F2D"/>
    <w:rsid w:val="00460230"/>
    <w:rsid w:val="00460692"/>
    <w:rsid w:val="00460734"/>
    <w:rsid w:val="00460898"/>
    <w:rsid w:val="00460931"/>
    <w:rsid w:val="00460A51"/>
    <w:rsid w:val="00460A8C"/>
    <w:rsid w:val="00460AAA"/>
    <w:rsid w:val="00460AE8"/>
    <w:rsid w:val="00460AEF"/>
    <w:rsid w:val="00460B2D"/>
    <w:rsid w:val="00460B81"/>
    <w:rsid w:val="00460BBD"/>
    <w:rsid w:val="00460BE1"/>
    <w:rsid w:val="00460D2B"/>
    <w:rsid w:val="00460E1A"/>
    <w:rsid w:val="00460E3F"/>
    <w:rsid w:val="00460E48"/>
    <w:rsid w:val="00460EB9"/>
    <w:rsid w:val="00461236"/>
    <w:rsid w:val="00461304"/>
    <w:rsid w:val="00461311"/>
    <w:rsid w:val="00461479"/>
    <w:rsid w:val="0046151F"/>
    <w:rsid w:val="0046159F"/>
    <w:rsid w:val="00461676"/>
    <w:rsid w:val="004618F3"/>
    <w:rsid w:val="004619AF"/>
    <w:rsid w:val="00461B70"/>
    <w:rsid w:val="00461B90"/>
    <w:rsid w:val="00461C09"/>
    <w:rsid w:val="00461C37"/>
    <w:rsid w:val="00461C6D"/>
    <w:rsid w:val="00461E54"/>
    <w:rsid w:val="00461FC3"/>
    <w:rsid w:val="00461FF5"/>
    <w:rsid w:val="0046213E"/>
    <w:rsid w:val="004621CE"/>
    <w:rsid w:val="00462242"/>
    <w:rsid w:val="00462387"/>
    <w:rsid w:val="00462397"/>
    <w:rsid w:val="00462653"/>
    <w:rsid w:val="0046268B"/>
    <w:rsid w:val="00462915"/>
    <w:rsid w:val="0046299E"/>
    <w:rsid w:val="00462A7C"/>
    <w:rsid w:val="00462ABE"/>
    <w:rsid w:val="00462BCF"/>
    <w:rsid w:val="00462BF3"/>
    <w:rsid w:val="00462C78"/>
    <w:rsid w:val="00462C86"/>
    <w:rsid w:val="00462C8A"/>
    <w:rsid w:val="00462CCC"/>
    <w:rsid w:val="00462D01"/>
    <w:rsid w:val="00462F73"/>
    <w:rsid w:val="00463184"/>
    <w:rsid w:val="004631D0"/>
    <w:rsid w:val="004632D3"/>
    <w:rsid w:val="00463323"/>
    <w:rsid w:val="004633D2"/>
    <w:rsid w:val="0046346B"/>
    <w:rsid w:val="004634D6"/>
    <w:rsid w:val="004635B2"/>
    <w:rsid w:val="004636F1"/>
    <w:rsid w:val="00463717"/>
    <w:rsid w:val="0046372A"/>
    <w:rsid w:val="004637DC"/>
    <w:rsid w:val="00463884"/>
    <w:rsid w:val="00463A32"/>
    <w:rsid w:val="00463C85"/>
    <w:rsid w:val="00463C89"/>
    <w:rsid w:val="00463C96"/>
    <w:rsid w:val="00463DB2"/>
    <w:rsid w:val="00463DDA"/>
    <w:rsid w:val="00463DF8"/>
    <w:rsid w:val="00463E49"/>
    <w:rsid w:val="00463F61"/>
    <w:rsid w:val="00463F83"/>
    <w:rsid w:val="004640F6"/>
    <w:rsid w:val="004641AE"/>
    <w:rsid w:val="0046453B"/>
    <w:rsid w:val="004645A4"/>
    <w:rsid w:val="0046462D"/>
    <w:rsid w:val="004647CF"/>
    <w:rsid w:val="004648A3"/>
    <w:rsid w:val="0046494E"/>
    <w:rsid w:val="00464A8C"/>
    <w:rsid w:val="00464A9E"/>
    <w:rsid w:val="00464B3D"/>
    <w:rsid w:val="00464D13"/>
    <w:rsid w:val="00464D6C"/>
    <w:rsid w:val="00464DCD"/>
    <w:rsid w:val="00464E1C"/>
    <w:rsid w:val="00464E7B"/>
    <w:rsid w:val="004652BE"/>
    <w:rsid w:val="00465544"/>
    <w:rsid w:val="004655D7"/>
    <w:rsid w:val="00465697"/>
    <w:rsid w:val="004656EB"/>
    <w:rsid w:val="00465759"/>
    <w:rsid w:val="00465827"/>
    <w:rsid w:val="004658F9"/>
    <w:rsid w:val="00465A22"/>
    <w:rsid w:val="00465A7A"/>
    <w:rsid w:val="00465AE9"/>
    <w:rsid w:val="00465B6C"/>
    <w:rsid w:val="00465C0C"/>
    <w:rsid w:val="00465C76"/>
    <w:rsid w:val="00465C7C"/>
    <w:rsid w:val="00465CD7"/>
    <w:rsid w:val="00465D89"/>
    <w:rsid w:val="00465F1D"/>
    <w:rsid w:val="00465F62"/>
    <w:rsid w:val="00466012"/>
    <w:rsid w:val="0046611D"/>
    <w:rsid w:val="00466210"/>
    <w:rsid w:val="004662FB"/>
    <w:rsid w:val="0046638E"/>
    <w:rsid w:val="004663AF"/>
    <w:rsid w:val="004665C1"/>
    <w:rsid w:val="004665C3"/>
    <w:rsid w:val="00466781"/>
    <w:rsid w:val="00466A04"/>
    <w:rsid w:val="00466AC4"/>
    <w:rsid w:val="00466AD9"/>
    <w:rsid w:val="00466D4D"/>
    <w:rsid w:val="00466DDB"/>
    <w:rsid w:val="00466EAA"/>
    <w:rsid w:val="0046703D"/>
    <w:rsid w:val="00467108"/>
    <w:rsid w:val="00467109"/>
    <w:rsid w:val="00467116"/>
    <w:rsid w:val="004673CB"/>
    <w:rsid w:val="00467582"/>
    <w:rsid w:val="00467639"/>
    <w:rsid w:val="00467670"/>
    <w:rsid w:val="004676CA"/>
    <w:rsid w:val="0046790D"/>
    <w:rsid w:val="00467994"/>
    <w:rsid w:val="00467A87"/>
    <w:rsid w:val="00467AA7"/>
    <w:rsid w:val="00467BC6"/>
    <w:rsid w:val="00467C70"/>
    <w:rsid w:val="00467CE5"/>
    <w:rsid w:val="00467D46"/>
    <w:rsid w:val="004700F3"/>
    <w:rsid w:val="0047013F"/>
    <w:rsid w:val="00470186"/>
    <w:rsid w:val="00470236"/>
    <w:rsid w:val="00470442"/>
    <w:rsid w:val="004704A7"/>
    <w:rsid w:val="004704D8"/>
    <w:rsid w:val="004706D7"/>
    <w:rsid w:val="00470773"/>
    <w:rsid w:val="004708EB"/>
    <w:rsid w:val="00470AA0"/>
    <w:rsid w:val="00470C9D"/>
    <w:rsid w:val="00470CA6"/>
    <w:rsid w:val="00470D77"/>
    <w:rsid w:val="00470E44"/>
    <w:rsid w:val="00470F26"/>
    <w:rsid w:val="00471636"/>
    <w:rsid w:val="00471720"/>
    <w:rsid w:val="004717A0"/>
    <w:rsid w:val="00471812"/>
    <w:rsid w:val="0047187F"/>
    <w:rsid w:val="00471921"/>
    <w:rsid w:val="00471AE0"/>
    <w:rsid w:val="00471C68"/>
    <w:rsid w:val="00471E4B"/>
    <w:rsid w:val="00471E58"/>
    <w:rsid w:val="00471EAA"/>
    <w:rsid w:val="00471ECE"/>
    <w:rsid w:val="00471ED7"/>
    <w:rsid w:val="00471F36"/>
    <w:rsid w:val="00471F9C"/>
    <w:rsid w:val="00471FD9"/>
    <w:rsid w:val="004720D9"/>
    <w:rsid w:val="00472232"/>
    <w:rsid w:val="00472497"/>
    <w:rsid w:val="00472555"/>
    <w:rsid w:val="0047259B"/>
    <w:rsid w:val="004725C7"/>
    <w:rsid w:val="00472906"/>
    <w:rsid w:val="00472971"/>
    <w:rsid w:val="00472B15"/>
    <w:rsid w:val="00472B24"/>
    <w:rsid w:val="00472BE0"/>
    <w:rsid w:val="00472C94"/>
    <w:rsid w:val="00472CCF"/>
    <w:rsid w:val="00472ED9"/>
    <w:rsid w:val="00473013"/>
    <w:rsid w:val="00473184"/>
    <w:rsid w:val="004731C8"/>
    <w:rsid w:val="00473227"/>
    <w:rsid w:val="0047326D"/>
    <w:rsid w:val="004732D7"/>
    <w:rsid w:val="00473310"/>
    <w:rsid w:val="0047343B"/>
    <w:rsid w:val="004734AB"/>
    <w:rsid w:val="004734CA"/>
    <w:rsid w:val="00473567"/>
    <w:rsid w:val="004735BB"/>
    <w:rsid w:val="0047360D"/>
    <w:rsid w:val="0047362C"/>
    <w:rsid w:val="004737B3"/>
    <w:rsid w:val="0047384F"/>
    <w:rsid w:val="00473989"/>
    <w:rsid w:val="00473997"/>
    <w:rsid w:val="00473A35"/>
    <w:rsid w:val="00473B71"/>
    <w:rsid w:val="00473B98"/>
    <w:rsid w:val="00473D1F"/>
    <w:rsid w:val="00473D51"/>
    <w:rsid w:val="0047400B"/>
    <w:rsid w:val="0047416C"/>
    <w:rsid w:val="004742F4"/>
    <w:rsid w:val="00474463"/>
    <w:rsid w:val="004746A1"/>
    <w:rsid w:val="004746A8"/>
    <w:rsid w:val="00474B6E"/>
    <w:rsid w:val="00474B81"/>
    <w:rsid w:val="00474B95"/>
    <w:rsid w:val="00474C42"/>
    <w:rsid w:val="00474D08"/>
    <w:rsid w:val="00474D29"/>
    <w:rsid w:val="00474FD5"/>
    <w:rsid w:val="00475085"/>
    <w:rsid w:val="004752F4"/>
    <w:rsid w:val="0047533E"/>
    <w:rsid w:val="0047554A"/>
    <w:rsid w:val="00475562"/>
    <w:rsid w:val="004755D9"/>
    <w:rsid w:val="00475603"/>
    <w:rsid w:val="004756E7"/>
    <w:rsid w:val="0047573E"/>
    <w:rsid w:val="00475762"/>
    <w:rsid w:val="004758A1"/>
    <w:rsid w:val="00475913"/>
    <w:rsid w:val="00475A38"/>
    <w:rsid w:val="00475A42"/>
    <w:rsid w:val="00475AF0"/>
    <w:rsid w:val="00475AF2"/>
    <w:rsid w:val="00475C58"/>
    <w:rsid w:val="00475E7C"/>
    <w:rsid w:val="00475EA6"/>
    <w:rsid w:val="004760AE"/>
    <w:rsid w:val="004760DD"/>
    <w:rsid w:val="0047619B"/>
    <w:rsid w:val="0047632D"/>
    <w:rsid w:val="0047637D"/>
    <w:rsid w:val="004763CF"/>
    <w:rsid w:val="00476450"/>
    <w:rsid w:val="004764E9"/>
    <w:rsid w:val="00476549"/>
    <w:rsid w:val="0047656A"/>
    <w:rsid w:val="004765AF"/>
    <w:rsid w:val="0047663A"/>
    <w:rsid w:val="00476720"/>
    <w:rsid w:val="0047674A"/>
    <w:rsid w:val="00476884"/>
    <w:rsid w:val="004768BC"/>
    <w:rsid w:val="00476902"/>
    <w:rsid w:val="00476982"/>
    <w:rsid w:val="00476A8E"/>
    <w:rsid w:val="00476AED"/>
    <w:rsid w:val="00476AFE"/>
    <w:rsid w:val="00476BB9"/>
    <w:rsid w:val="00476BCA"/>
    <w:rsid w:val="00476CF6"/>
    <w:rsid w:val="00476DA6"/>
    <w:rsid w:val="00476EF0"/>
    <w:rsid w:val="00476FBF"/>
    <w:rsid w:val="00477024"/>
    <w:rsid w:val="0047710D"/>
    <w:rsid w:val="00477139"/>
    <w:rsid w:val="004772F0"/>
    <w:rsid w:val="004775E3"/>
    <w:rsid w:val="00477738"/>
    <w:rsid w:val="0047779C"/>
    <w:rsid w:val="00477838"/>
    <w:rsid w:val="00477851"/>
    <w:rsid w:val="004779AE"/>
    <w:rsid w:val="00477AA8"/>
    <w:rsid w:val="00477B76"/>
    <w:rsid w:val="00477BF3"/>
    <w:rsid w:val="00477C13"/>
    <w:rsid w:val="00477CAE"/>
    <w:rsid w:val="00477CB2"/>
    <w:rsid w:val="00477D0B"/>
    <w:rsid w:val="00477D1E"/>
    <w:rsid w:val="00477D33"/>
    <w:rsid w:val="00477E58"/>
    <w:rsid w:val="00477EC7"/>
    <w:rsid w:val="00477EEA"/>
    <w:rsid w:val="0048024D"/>
    <w:rsid w:val="0048035A"/>
    <w:rsid w:val="004803BB"/>
    <w:rsid w:val="0048040F"/>
    <w:rsid w:val="0048062F"/>
    <w:rsid w:val="0048068E"/>
    <w:rsid w:val="004806AC"/>
    <w:rsid w:val="00480779"/>
    <w:rsid w:val="0048078E"/>
    <w:rsid w:val="00480A2B"/>
    <w:rsid w:val="00480A5A"/>
    <w:rsid w:val="00480C1B"/>
    <w:rsid w:val="00480C93"/>
    <w:rsid w:val="00480D74"/>
    <w:rsid w:val="00480E84"/>
    <w:rsid w:val="00480EC7"/>
    <w:rsid w:val="00480F88"/>
    <w:rsid w:val="0048105E"/>
    <w:rsid w:val="0048106D"/>
    <w:rsid w:val="00481180"/>
    <w:rsid w:val="0048118E"/>
    <w:rsid w:val="00481446"/>
    <w:rsid w:val="004814DB"/>
    <w:rsid w:val="0048157E"/>
    <w:rsid w:val="00481689"/>
    <w:rsid w:val="004817BA"/>
    <w:rsid w:val="00481977"/>
    <w:rsid w:val="004819E6"/>
    <w:rsid w:val="00481BC8"/>
    <w:rsid w:val="00481BF5"/>
    <w:rsid w:val="00481D42"/>
    <w:rsid w:val="00481EB9"/>
    <w:rsid w:val="00481F2D"/>
    <w:rsid w:val="00481F55"/>
    <w:rsid w:val="00481F64"/>
    <w:rsid w:val="00481F9A"/>
    <w:rsid w:val="004821D9"/>
    <w:rsid w:val="004821E0"/>
    <w:rsid w:val="004823E1"/>
    <w:rsid w:val="00482593"/>
    <w:rsid w:val="00482660"/>
    <w:rsid w:val="00482720"/>
    <w:rsid w:val="0048279B"/>
    <w:rsid w:val="00482910"/>
    <w:rsid w:val="00482A3E"/>
    <w:rsid w:val="00482A60"/>
    <w:rsid w:val="00482A6B"/>
    <w:rsid w:val="00482B00"/>
    <w:rsid w:val="00482D17"/>
    <w:rsid w:val="00482D9F"/>
    <w:rsid w:val="00482DCC"/>
    <w:rsid w:val="00482E66"/>
    <w:rsid w:val="00482EA9"/>
    <w:rsid w:val="00482FA4"/>
    <w:rsid w:val="004831DB"/>
    <w:rsid w:val="004832E8"/>
    <w:rsid w:val="0048339A"/>
    <w:rsid w:val="00483744"/>
    <w:rsid w:val="004837C7"/>
    <w:rsid w:val="004838B7"/>
    <w:rsid w:val="004838C8"/>
    <w:rsid w:val="0048394B"/>
    <w:rsid w:val="00483974"/>
    <w:rsid w:val="004839AA"/>
    <w:rsid w:val="00483A1C"/>
    <w:rsid w:val="00483AC1"/>
    <w:rsid w:val="00483C2C"/>
    <w:rsid w:val="00483DC1"/>
    <w:rsid w:val="00483EE3"/>
    <w:rsid w:val="00483F22"/>
    <w:rsid w:val="00483FDD"/>
    <w:rsid w:val="00484093"/>
    <w:rsid w:val="00484116"/>
    <w:rsid w:val="004841BE"/>
    <w:rsid w:val="004841E0"/>
    <w:rsid w:val="0048434A"/>
    <w:rsid w:val="00484457"/>
    <w:rsid w:val="00484726"/>
    <w:rsid w:val="0048475C"/>
    <w:rsid w:val="004848B0"/>
    <w:rsid w:val="00484A1E"/>
    <w:rsid w:val="00484A42"/>
    <w:rsid w:val="00484AF3"/>
    <w:rsid w:val="00484B54"/>
    <w:rsid w:val="00484BFD"/>
    <w:rsid w:val="00484DE2"/>
    <w:rsid w:val="00484E6F"/>
    <w:rsid w:val="004851B6"/>
    <w:rsid w:val="00485282"/>
    <w:rsid w:val="0048529B"/>
    <w:rsid w:val="004852BE"/>
    <w:rsid w:val="00485401"/>
    <w:rsid w:val="00485421"/>
    <w:rsid w:val="004854FF"/>
    <w:rsid w:val="00485819"/>
    <w:rsid w:val="00485836"/>
    <w:rsid w:val="00485B41"/>
    <w:rsid w:val="00485C90"/>
    <w:rsid w:val="00485D93"/>
    <w:rsid w:val="00485F18"/>
    <w:rsid w:val="00485FBB"/>
    <w:rsid w:val="00486067"/>
    <w:rsid w:val="004860D5"/>
    <w:rsid w:val="004862B0"/>
    <w:rsid w:val="004865A3"/>
    <w:rsid w:val="004866A9"/>
    <w:rsid w:val="00486796"/>
    <w:rsid w:val="004867DE"/>
    <w:rsid w:val="00486944"/>
    <w:rsid w:val="00486961"/>
    <w:rsid w:val="004869B4"/>
    <w:rsid w:val="004869FD"/>
    <w:rsid w:val="00486A2B"/>
    <w:rsid w:val="00486B4E"/>
    <w:rsid w:val="00486C2D"/>
    <w:rsid w:val="00486CDC"/>
    <w:rsid w:val="00486E11"/>
    <w:rsid w:val="00486FAB"/>
    <w:rsid w:val="00487055"/>
    <w:rsid w:val="0048725F"/>
    <w:rsid w:val="00487370"/>
    <w:rsid w:val="004874D4"/>
    <w:rsid w:val="00487516"/>
    <w:rsid w:val="0048785E"/>
    <w:rsid w:val="00487B3A"/>
    <w:rsid w:val="00487C65"/>
    <w:rsid w:val="00487E1A"/>
    <w:rsid w:val="00487F72"/>
    <w:rsid w:val="0049007A"/>
    <w:rsid w:val="00490193"/>
    <w:rsid w:val="004902B2"/>
    <w:rsid w:val="004902D2"/>
    <w:rsid w:val="004903C6"/>
    <w:rsid w:val="004903FD"/>
    <w:rsid w:val="00490535"/>
    <w:rsid w:val="00490672"/>
    <w:rsid w:val="00490761"/>
    <w:rsid w:val="00490912"/>
    <w:rsid w:val="00490BC5"/>
    <w:rsid w:val="00490CC4"/>
    <w:rsid w:val="00490CCE"/>
    <w:rsid w:val="00490CCF"/>
    <w:rsid w:val="00490D97"/>
    <w:rsid w:val="00490DB9"/>
    <w:rsid w:val="00490E0D"/>
    <w:rsid w:val="00490E44"/>
    <w:rsid w:val="00490F6C"/>
    <w:rsid w:val="00490F7D"/>
    <w:rsid w:val="0049127C"/>
    <w:rsid w:val="004912A5"/>
    <w:rsid w:val="004912D2"/>
    <w:rsid w:val="00491329"/>
    <w:rsid w:val="004913D6"/>
    <w:rsid w:val="00491431"/>
    <w:rsid w:val="00491520"/>
    <w:rsid w:val="004915ED"/>
    <w:rsid w:val="004916B0"/>
    <w:rsid w:val="00491801"/>
    <w:rsid w:val="0049181F"/>
    <w:rsid w:val="004918AB"/>
    <w:rsid w:val="00491A60"/>
    <w:rsid w:val="00491C21"/>
    <w:rsid w:val="00491C62"/>
    <w:rsid w:val="00491C75"/>
    <w:rsid w:val="00491D89"/>
    <w:rsid w:val="00491DB7"/>
    <w:rsid w:val="0049205D"/>
    <w:rsid w:val="00492096"/>
    <w:rsid w:val="0049216B"/>
    <w:rsid w:val="0049235D"/>
    <w:rsid w:val="004923D6"/>
    <w:rsid w:val="00492409"/>
    <w:rsid w:val="0049248E"/>
    <w:rsid w:val="0049249B"/>
    <w:rsid w:val="004924CB"/>
    <w:rsid w:val="004924D1"/>
    <w:rsid w:val="00492608"/>
    <w:rsid w:val="004927A9"/>
    <w:rsid w:val="00492866"/>
    <w:rsid w:val="004928CA"/>
    <w:rsid w:val="004928EA"/>
    <w:rsid w:val="00492909"/>
    <w:rsid w:val="00492A3B"/>
    <w:rsid w:val="00492A5D"/>
    <w:rsid w:val="00492BD0"/>
    <w:rsid w:val="00492BD4"/>
    <w:rsid w:val="00492BEA"/>
    <w:rsid w:val="00492CD3"/>
    <w:rsid w:val="00492E11"/>
    <w:rsid w:val="00492FCB"/>
    <w:rsid w:val="00492FD0"/>
    <w:rsid w:val="00493069"/>
    <w:rsid w:val="00493114"/>
    <w:rsid w:val="004931F6"/>
    <w:rsid w:val="0049324B"/>
    <w:rsid w:val="004935E1"/>
    <w:rsid w:val="00493635"/>
    <w:rsid w:val="00493711"/>
    <w:rsid w:val="00493779"/>
    <w:rsid w:val="00493A04"/>
    <w:rsid w:val="00493A47"/>
    <w:rsid w:val="00493A6A"/>
    <w:rsid w:val="00493B1B"/>
    <w:rsid w:val="00493B89"/>
    <w:rsid w:val="00493C30"/>
    <w:rsid w:val="00493C39"/>
    <w:rsid w:val="00493C88"/>
    <w:rsid w:val="00493CD0"/>
    <w:rsid w:val="00493DC0"/>
    <w:rsid w:val="00493FA7"/>
    <w:rsid w:val="00494035"/>
    <w:rsid w:val="004940A5"/>
    <w:rsid w:val="0049427C"/>
    <w:rsid w:val="0049451A"/>
    <w:rsid w:val="004947EC"/>
    <w:rsid w:val="00494A12"/>
    <w:rsid w:val="00494A37"/>
    <w:rsid w:val="00494B47"/>
    <w:rsid w:val="00494BAE"/>
    <w:rsid w:val="00494D3D"/>
    <w:rsid w:val="00494DBF"/>
    <w:rsid w:val="00494E1B"/>
    <w:rsid w:val="00494E7F"/>
    <w:rsid w:val="00494F84"/>
    <w:rsid w:val="0049509C"/>
    <w:rsid w:val="00495109"/>
    <w:rsid w:val="00495124"/>
    <w:rsid w:val="004951AD"/>
    <w:rsid w:val="004951DC"/>
    <w:rsid w:val="00495208"/>
    <w:rsid w:val="00495229"/>
    <w:rsid w:val="0049531F"/>
    <w:rsid w:val="0049546C"/>
    <w:rsid w:val="004954A5"/>
    <w:rsid w:val="004954DF"/>
    <w:rsid w:val="0049552B"/>
    <w:rsid w:val="00495533"/>
    <w:rsid w:val="004956E5"/>
    <w:rsid w:val="00495765"/>
    <w:rsid w:val="004957C9"/>
    <w:rsid w:val="00495942"/>
    <w:rsid w:val="0049598B"/>
    <w:rsid w:val="00495B6D"/>
    <w:rsid w:val="00495D84"/>
    <w:rsid w:val="00495FD7"/>
    <w:rsid w:val="0049607F"/>
    <w:rsid w:val="00496118"/>
    <w:rsid w:val="00496124"/>
    <w:rsid w:val="00496164"/>
    <w:rsid w:val="00496196"/>
    <w:rsid w:val="004962E2"/>
    <w:rsid w:val="004963CE"/>
    <w:rsid w:val="00496449"/>
    <w:rsid w:val="004964A5"/>
    <w:rsid w:val="00496540"/>
    <w:rsid w:val="004965D6"/>
    <w:rsid w:val="004968A3"/>
    <w:rsid w:val="0049697B"/>
    <w:rsid w:val="00496AD7"/>
    <w:rsid w:val="00496B38"/>
    <w:rsid w:val="00496BC1"/>
    <w:rsid w:val="00496D08"/>
    <w:rsid w:val="00497389"/>
    <w:rsid w:val="004973A7"/>
    <w:rsid w:val="0049743C"/>
    <w:rsid w:val="0049749E"/>
    <w:rsid w:val="004974C6"/>
    <w:rsid w:val="004974D2"/>
    <w:rsid w:val="004974D3"/>
    <w:rsid w:val="00497707"/>
    <w:rsid w:val="004977E6"/>
    <w:rsid w:val="004979AC"/>
    <w:rsid w:val="00497B11"/>
    <w:rsid w:val="00497B9F"/>
    <w:rsid w:val="00497DDD"/>
    <w:rsid w:val="00497DED"/>
    <w:rsid w:val="00497E22"/>
    <w:rsid w:val="00497EEF"/>
    <w:rsid w:val="00497F12"/>
    <w:rsid w:val="00497F88"/>
    <w:rsid w:val="004A0017"/>
    <w:rsid w:val="004A0061"/>
    <w:rsid w:val="004A0088"/>
    <w:rsid w:val="004A03A6"/>
    <w:rsid w:val="004A03B3"/>
    <w:rsid w:val="004A0401"/>
    <w:rsid w:val="004A042B"/>
    <w:rsid w:val="004A049F"/>
    <w:rsid w:val="004A04AE"/>
    <w:rsid w:val="004A0656"/>
    <w:rsid w:val="004A0714"/>
    <w:rsid w:val="004A082E"/>
    <w:rsid w:val="004A0879"/>
    <w:rsid w:val="004A0AB4"/>
    <w:rsid w:val="004A0B3A"/>
    <w:rsid w:val="004A0B67"/>
    <w:rsid w:val="004A0C4F"/>
    <w:rsid w:val="004A0D3B"/>
    <w:rsid w:val="004A0F11"/>
    <w:rsid w:val="004A10ED"/>
    <w:rsid w:val="004A1147"/>
    <w:rsid w:val="004A117D"/>
    <w:rsid w:val="004A118F"/>
    <w:rsid w:val="004A1195"/>
    <w:rsid w:val="004A1259"/>
    <w:rsid w:val="004A12C5"/>
    <w:rsid w:val="004A12E0"/>
    <w:rsid w:val="004A1576"/>
    <w:rsid w:val="004A15C8"/>
    <w:rsid w:val="004A1920"/>
    <w:rsid w:val="004A198D"/>
    <w:rsid w:val="004A1DC6"/>
    <w:rsid w:val="004A1EBA"/>
    <w:rsid w:val="004A1EF3"/>
    <w:rsid w:val="004A1F32"/>
    <w:rsid w:val="004A1F3F"/>
    <w:rsid w:val="004A1FAE"/>
    <w:rsid w:val="004A1FF4"/>
    <w:rsid w:val="004A21AB"/>
    <w:rsid w:val="004A2366"/>
    <w:rsid w:val="004A2504"/>
    <w:rsid w:val="004A256E"/>
    <w:rsid w:val="004A27BD"/>
    <w:rsid w:val="004A28B3"/>
    <w:rsid w:val="004A29C9"/>
    <w:rsid w:val="004A29E6"/>
    <w:rsid w:val="004A2BBD"/>
    <w:rsid w:val="004A2C9A"/>
    <w:rsid w:val="004A2CF3"/>
    <w:rsid w:val="004A2D66"/>
    <w:rsid w:val="004A2EE5"/>
    <w:rsid w:val="004A3080"/>
    <w:rsid w:val="004A30BA"/>
    <w:rsid w:val="004A30C5"/>
    <w:rsid w:val="004A3192"/>
    <w:rsid w:val="004A349B"/>
    <w:rsid w:val="004A34E4"/>
    <w:rsid w:val="004A3612"/>
    <w:rsid w:val="004A36DC"/>
    <w:rsid w:val="004A36EA"/>
    <w:rsid w:val="004A37AF"/>
    <w:rsid w:val="004A37B6"/>
    <w:rsid w:val="004A38A6"/>
    <w:rsid w:val="004A3A20"/>
    <w:rsid w:val="004A3AC1"/>
    <w:rsid w:val="004A3C07"/>
    <w:rsid w:val="004A3C5B"/>
    <w:rsid w:val="004A3D9B"/>
    <w:rsid w:val="004A3DD8"/>
    <w:rsid w:val="004A3DE6"/>
    <w:rsid w:val="004A3DED"/>
    <w:rsid w:val="004A3EAA"/>
    <w:rsid w:val="004A3F7B"/>
    <w:rsid w:val="004A411B"/>
    <w:rsid w:val="004A415B"/>
    <w:rsid w:val="004A41CE"/>
    <w:rsid w:val="004A432B"/>
    <w:rsid w:val="004A43B1"/>
    <w:rsid w:val="004A43E2"/>
    <w:rsid w:val="004A4603"/>
    <w:rsid w:val="004A4635"/>
    <w:rsid w:val="004A4702"/>
    <w:rsid w:val="004A4779"/>
    <w:rsid w:val="004A4850"/>
    <w:rsid w:val="004A4A8C"/>
    <w:rsid w:val="004A4A97"/>
    <w:rsid w:val="004A4B35"/>
    <w:rsid w:val="004A4BC8"/>
    <w:rsid w:val="004A4C09"/>
    <w:rsid w:val="004A4EF3"/>
    <w:rsid w:val="004A504E"/>
    <w:rsid w:val="004A510B"/>
    <w:rsid w:val="004A5124"/>
    <w:rsid w:val="004A5125"/>
    <w:rsid w:val="004A51FD"/>
    <w:rsid w:val="004A528C"/>
    <w:rsid w:val="004A52FE"/>
    <w:rsid w:val="004A547C"/>
    <w:rsid w:val="004A55C9"/>
    <w:rsid w:val="004A5616"/>
    <w:rsid w:val="004A562D"/>
    <w:rsid w:val="004A567D"/>
    <w:rsid w:val="004A5728"/>
    <w:rsid w:val="004A5782"/>
    <w:rsid w:val="004A5A42"/>
    <w:rsid w:val="004A5D3B"/>
    <w:rsid w:val="004A5D8C"/>
    <w:rsid w:val="004A5DDE"/>
    <w:rsid w:val="004A5F48"/>
    <w:rsid w:val="004A5F5E"/>
    <w:rsid w:val="004A616D"/>
    <w:rsid w:val="004A627C"/>
    <w:rsid w:val="004A62E9"/>
    <w:rsid w:val="004A64EA"/>
    <w:rsid w:val="004A652C"/>
    <w:rsid w:val="004A656E"/>
    <w:rsid w:val="004A65B1"/>
    <w:rsid w:val="004A6672"/>
    <w:rsid w:val="004A67E8"/>
    <w:rsid w:val="004A67FD"/>
    <w:rsid w:val="004A688E"/>
    <w:rsid w:val="004A68F4"/>
    <w:rsid w:val="004A6930"/>
    <w:rsid w:val="004A699A"/>
    <w:rsid w:val="004A6ACD"/>
    <w:rsid w:val="004A6B2A"/>
    <w:rsid w:val="004A6B9C"/>
    <w:rsid w:val="004A6BB2"/>
    <w:rsid w:val="004A6D74"/>
    <w:rsid w:val="004A6E5F"/>
    <w:rsid w:val="004A6EE1"/>
    <w:rsid w:val="004A6F1D"/>
    <w:rsid w:val="004A7185"/>
    <w:rsid w:val="004A727B"/>
    <w:rsid w:val="004A736B"/>
    <w:rsid w:val="004A74D7"/>
    <w:rsid w:val="004A7766"/>
    <w:rsid w:val="004A77B2"/>
    <w:rsid w:val="004A781C"/>
    <w:rsid w:val="004A7876"/>
    <w:rsid w:val="004A79D2"/>
    <w:rsid w:val="004A79EC"/>
    <w:rsid w:val="004A7B69"/>
    <w:rsid w:val="004A7D97"/>
    <w:rsid w:val="004A7E48"/>
    <w:rsid w:val="004A7E51"/>
    <w:rsid w:val="004A7F79"/>
    <w:rsid w:val="004A7F8B"/>
    <w:rsid w:val="004B00EA"/>
    <w:rsid w:val="004B0222"/>
    <w:rsid w:val="004B0323"/>
    <w:rsid w:val="004B03DD"/>
    <w:rsid w:val="004B0437"/>
    <w:rsid w:val="004B04F4"/>
    <w:rsid w:val="004B05CC"/>
    <w:rsid w:val="004B0621"/>
    <w:rsid w:val="004B074D"/>
    <w:rsid w:val="004B094C"/>
    <w:rsid w:val="004B0995"/>
    <w:rsid w:val="004B0B2D"/>
    <w:rsid w:val="004B0C77"/>
    <w:rsid w:val="004B0C8A"/>
    <w:rsid w:val="004B0D13"/>
    <w:rsid w:val="004B1295"/>
    <w:rsid w:val="004B14AA"/>
    <w:rsid w:val="004B14C5"/>
    <w:rsid w:val="004B1545"/>
    <w:rsid w:val="004B1648"/>
    <w:rsid w:val="004B16B9"/>
    <w:rsid w:val="004B1874"/>
    <w:rsid w:val="004B18B9"/>
    <w:rsid w:val="004B18CE"/>
    <w:rsid w:val="004B1EE4"/>
    <w:rsid w:val="004B1F3C"/>
    <w:rsid w:val="004B1F9A"/>
    <w:rsid w:val="004B206A"/>
    <w:rsid w:val="004B2072"/>
    <w:rsid w:val="004B247E"/>
    <w:rsid w:val="004B24A9"/>
    <w:rsid w:val="004B25CA"/>
    <w:rsid w:val="004B2635"/>
    <w:rsid w:val="004B2674"/>
    <w:rsid w:val="004B26E8"/>
    <w:rsid w:val="004B2A7A"/>
    <w:rsid w:val="004B2AAC"/>
    <w:rsid w:val="004B2C46"/>
    <w:rsid w:val="004B2C93"/>
    <w:rsid w:val="004B2E93"/>
    <w:rsid w:val="004B305B"/>
    <w:rsid w:val="004B3135"/>
    <w:rsid w:val="004B3221"/>
    <w:rsid w:val="004B329C"/>
    <w:rsid w:val="004B33AB"/>
    <w:rsid w:val="004B33C5"/>
    <w:rsid w:val="004B34DF"/>
    <w:rsid w:val="004B36AC"/>
    <w:rsid w:val="004B36AF"/>
    <w:rsid w:val="004B37F2"/>
    <w:rsid w:val="004B38FF"/>
    <w:rsid w:val="004B3910"/>
    <w:rsid w:val="004B3A6B"/>
    <w:rsid w:val="004B3A95"/>
    <w:rsid w:val="004B3CC2"/>
    <w:rsid w:val="004B3DD1"/>
    <w:rsid w:val="004B3DE8"/>
    <w:rsid w:val="004B3E10"/>
    <w:rsid w:val="004B3E9F"/>
    <w:rsid w:val="004B3EAF"/>
    <w:rsid w:val="004B3F24"/>
    <w:rsid w:val="004B4004"/>
    <w:rsid w:val="004B407B"/>
    <w:rsid w:val="004B40AE"/>
    <w:rsid w:val="004B4214"/>
    <w:rsid w:val="004B425F"/>
    <w:rsid w:val="004B42B1"/>
    <w:rsid w:val="004B4407"/>
    <w:rsid w:val="004B4420"/>
    <w:rsid w:val="004B4528"/>
    <w:rsid w:val="004B4643"/>
    <w:rsid w:val="004B46E6"/>
    <w:rsid w:val="004B486D"/>
    <w:rsid w:val="004B49A3"/>
    <w:rsid w:val="004B49AA"/>
    <w:rsid w:val="004B49AF"/>
    <w:rsid w:val="004B4A0B"/>
    <w:rsid w:val="004B4A7E"/>
    <w:rsid w:val="004B4AA9"/>
    <w:rsid w:val="004B4AC4"/>
    <w:rsid w:val="004B4C0A"/>
    <w:rsid w:val="004B4D2C"/>
    <w:rsid w:val="004B4E05"/>
    <w:rsid w:val="004B4F1E"/>
    <w:rsid w:val="004B4F82"/>
    <w:rsid w:val="004B4F9A"/>
    <w:rsid w:val="004B4FDF"/>
    <w:rsid w:val="004B5039"/>
    <w:rsid w:val="004B5133"/>
    <w:rsid w:val="004B52DD"/>
    <w:rsid w:val="004B5380"/>
    <w:rsid w:val="004B5918"/>
    <w:rsid w:val="004B5951"/>
    <w:rsid w:val="004B59A8"/>
    <w:rsid w:val="004B5A92"/>
    <w:rsid w:val="004B5B21"/>
    <w:rsid w:val="004B5B59"/>
    <w:rsid w:val="004B5C58"/>
    <w:rsid w:val="004B5CDB"/>
    <w:rsid w:val="004B5F38"/>
    <w:rsid w:val="004B5FB0"/>
    <w:rsid w:val="004B5FE5"/>
    <w:rsid w:val="004B605D"/>
    <w:rsid w:val="004B6084"/>
    <w:rsid w:val="004B6230"/>
    <w:rsid w:val="004B64B0"/>
    <w:rsid w:val="004B6571"/>
    <w:rsid w:val="004B660F"/>
    <w:rsid w:val="004B68E7"/>
    <w:rsid w:val="004B6985"/>
    <w:rsid w:val="004B6A16"/>
    <w:rsid w:val="004B6B2E"/>
    <w:rsid w:val="004B6CA0"/>
    <w:rsid w:val="004B6CC0"/>
    <w:rsid w:val="004B6E90"/>
    <w:rsid w:val="004B6F07"/>
    <w:rsid w:val="004B70B6"/>
    <w:rsid w:val="004B70F3"/>
    <w:rsid w:val="004B7220"/>
    <w:rsid w:val="004B733B"/>
    <w:rsid w:val="004B7385"/>
    <w:rsid w:val="004B739D"/>
    <w:rsid w:val="004B7482"/>
    <w:rsid w:val="004B7527"/>
    <w:rsid w:val="004B756F"/>
    <w:rsid w:val="004B75EA"/>
    <w:rsid w:val="004B7724"/>
    <w:rsid w:val="004B7770"/>
    <w:rsid w:val="004B782C"/>
    <w:rsid w:val="004B789E"/>
    <w:rsid w:val="004B799C"/>
    <w:rsid w:val="004B79B1"/>
    <w:rsid w:val="004B7AE2"/>
    <w:rsid w:val="004B7BCA"/>
    <w:rsid w:val="004B7C59"/>
    <w:rsid w:val="004B7E59"/>
    <w:rsid w:val="004C0163"/>
    <w:rsid w:val="004C0328"/>
    <w:rsid w:val="004C060A"/>
    <w:rsid w:val="004C079F"/>
    <w:rsid w:val="004C084B"/>
    <w:rsid w:val="004C08BA"/>
    <w:rsid w:val="004C0909"/>
    <w:rsid w:val="004C099B"/>
    <w:rsid w:val="004C09F5"/>
    <w:rsid w:val="004C0A1A"/>
    <w:rsid w:val="004C0A86"/>
    <w:rsid w:val="004C0AC4"/>
    <w:rsid w:val="004C0BF2"/>
    <w:rsid w:val="004C0C41"/>
    <w:rsid w:val="004C0CF6"/>
    <w:rsid w:val="004C0E17"/>
    <w:rsid w:val="004C0EA9"/>
    <w:rsid w:val="004C1005"/>
    <w:rsid w:val="004C115A"/>
    <w:rsid w:val="004C1170"/>
    <w:rsid w:val="004C1363"/>
    <w:rsid w:val="004C136D"/>
    <w:rsid w:val="004C1382"/>
    <w:rsid w:val="004C13B5"/>
    <w:rsid w:val="004C13F2"/>
    <w:rsid w:val="004C144C"/>
    <w:rsid w:val="004C1642"/>
    <w:rsid w:val="004C165D"/>
    <w:rsid w:val="004C18AA"/>
    <w:rsid w:val="004C1991"/>
    <w:rsid w:val="004C19E4"/>
    <w:rsid w:val="004C1B20"/>
    <w:rsid w:val="004C1C0B"/>
    <w:rsid w:val="004C1C3E"/>
    <w:rsid w:val="004C1CA3"/>
    <w:rsid w:val="004C1D96"/>
    <w:rsid w:val="004C1F13"/>
    <w:rsid w:val="004C1F1E"/>
    <w:rsid w:val="004C1F24"/>
    <w:rsid w:val="004C1FD8"/>
    <w:rsid w:val="004C2039"/>
    <w:rsid w:val="004C20CC"/>
    <w:rsid w:val="004C20CE"/>
    <w:rsid w:val="004C2232"/>
    <w:rsid w:val="004C23C1"/>
    <w:rsid w:val="004C26DF"/>
    <w:rsid w:val="004C2755"/>
    <w:rsid w:val="004C2814"/>
    <w:rsid w:val="004C284B"/>
    <w:rsid w:val="004C2902"/>
    <w:rsid w:val="004C2917"/>
    <w:rsid w:val="004C2BE7"/>
    <w:rsid w:val="004C2E3E"/>
    <w:rsid w:val="004C2E85"/>
    <w:rsid w:val="004C2F29"/>
    <w:rsid w:val="004C2F36"/>
    <w:rsid w:val="004C3013"/>
    <w:rsid w:val="004C318B"/>
    <w:rsid w:val="004C3373"/>
    <w:rsid w:val="004C33E1"/>
    <w:rsid w:val="004C33E6"/>
    <w:rsid w:val="004C3481"/>
    <w:rsid w:val="004C34AC"/>
    <w:rsid w:val="004C34F3"/>
    <w:rsid w:val="004C370C"/>
    <w:rsid w:val="004C39BD"/>
    <w:rsid w:val="004C3C5B"/>
    <w:rsid w:val="004C3C98"/>
    <w:rsid w:val="004C3CEE"/>
    <w:rsid w:val="004C3E68"/>
    <w:rsid w:val="004C400F"/>
    <w:rsid w:val="004C40DE"/>
    <w:rsid w:val="004C41B6"/>
    <w:rsid w:val="004C4237"/>
    <w:rsid w:val="004C4369"/>
    <w:rsid w:val="004C4374"/>
    <w:rsid w:val="004C4446"/>
    <w:rsid w:val="004C44E3"/>
    <w:rsid w:val="004C46E8"/>
    <w:rsid w:val="004C4897"/>
    <w:rsid w:val="004C48CC"/>
    <w:rsid w:val="004C49AF"/>
    <w:rsid w:val="004C4A8E"/>
    <w:rsid w:val="004C4AC8"/>
    <w:rsid w:val="004C4AE5"/>
    <w:rsid w:val="004C4B0C"/>
    <w:rsid w:val="004C4C09"/>
    <w:rsid w:val="004C4D99"/>
    <w:rsid w:val="004C4E71"/>
    <w:rsid w:val="004C4EBF"/>
    <w:rsid w:val="004C4F83"/>
    <w:rsid w:val="004C50C6"/>
    <w:rsid w:val="004C5130"/>
    <w:rsid w:val="004C513C"/>
    <w:rsid w:val="004C517A"/>
    <w:rsid w:val="004C53CD"/>
    <w:rsid w:val="004C55B2"/>
    <w:rsid w:val="004C55D2"/>
    <w:rsid w:val="004C5673"/>
    <w:rsid w:val="004C56CA"/>
    <w:rsid w:val="004C5916"/>
    <w:rsid w:val="004C5954"/>
    <w:rsid w:val="004C5AC7"/>
    <w:rsid w:val="004C5B52"/>
    <w:rsid w:val="004C5BBB"/>
    <w:rsid w:val="004C5C10"/>
    <w:rsid w:val="004C5CF1"/>
    <w:rsid w:val="004C5D0F"/>
    <w:rsid w:val="004C5DAD"/>
    <w:rsid w:val="004C5DC5"/>
    <w:rsid w:val="004C6067"/>
    <w:rsid w:val="004C60F9"/>
    <w:rsid w:val="004C6244"/>
    <w:rsid w:val="004C6384"/>
    <w:rsid w:val="004C6564"/>
    <w:rsid w:val="004C66CA"/>
    <w:rsid w:val="004C6748"/>
    <w:rsid w:val="004C6784"/>
    <w:rsid w:val="004C69AC"/>
    <w:rsid w:val="004C6A28"/>
    <w:rsid w:val="004C6AB3"/>
    <w:rsid w:val="004C6BEE"/>
    <w:rsid w:val="004C6E14"/>
    <w:rsid w:val="004C6E86"/>
    <w:rsid w:val="004C6F71"/>
    <w:rsid w:val="004C6FD1"/>
    <w:rsid w:val="004C715D"/>
    <w:rsid w:val="004C71EE"/>
    <w:rsid w:val="004C71F4"/>
    <w:rsid w:val="004C7309"/>
    <w:rsid w:val="004C7434"/>
    <w:rsid w:val="004C7486"/>
    <w:rsid w:val="004C7494"/>
    <w:rsid w:val="004C76DA"/>
    <w:rsid w:val="004C7712"/>
    <w:rsid w:val="004C771F"/>
    <w:rsid w:val="004C7818"/>
    <w:rsid w:val="004C7851"/>
    <w:rsid w:val="004C78CE"/>
    <w:rsid w:val="004C7B81"/>
    <w:rsid w:val="004C7D5D"/>
    <w:rsid w:val="004C7D69"/>
    <w:rsid w:val="004C7DF7"/>
    <w:rsid w:val="004D000B"/>
    <w:rsid w:val="004D0250"/>
    <w:rsid w:val="004D0428"/>
    <w:rsid w:val="004D0447"/>
    <w:rsid w:val="004D060B"/>
    <w:rsid w:val="004D0612"/>
    <w:rsid w:val="004D0883"/>
    <w:rsid w:val="004D0A60"/>
    <w:rsid w:val="004D0A80"/>
    <w:rsid w:val="004D0BDC"/>
    <w:rsid w:val="004D0D40"/>
    <w:rsid w:val="004D0E97"/>
    <w:rsid w:val="004D0F04"/>
    <w:rsid w:val="004D10A9"/>
    <w:rsid w:val="004D118C"/>
    <w:rsid w:val="004D11A3"/>
    <w:rsid w:val="004D11FA"/>
    <w:rsid w:val="004D1310"/>
    <w:rsid w:val="004D13CC"/>
    <w:rsid w:val="004D1441"/>
    <w:rsid w:val="004D1564"/>
    <w:rsid w:val="004D1568"/>
    <w:rsid w:val="004D185D"/>
    <w:rsid w:val="004D1895"/>
    <w:rsid w:val="004D19EA"/>
    <w:rsid w:val="004D1AB3"/>
    <w:rsid w:val="004D1AF7"/>
    <w:rsid w:val="004D1C91"/>
    <w:rsid w:val="004D1D12"/>
    <w:rsid w:val="004D1E6B"/>
    <w:rsid w:val="004D1F3E"/>
    <w:rsid w:val="004D1F67"/>
    <w:rsid w:val="004D2028"/>
    <w:rsid w:val="004D2055"/>
    <w:rsid w:val="004D214E"/>
    <w:rsid w:val="004D2255"/>
    <w:rsid w:val="004D2321"/>
    <w:rsid w:val="004D249E"/>
    <w:rsid w:val="004D24DD"/>
    <w:rsid w:val="004D24E7"/>
    <w:rsid w:val="004D24F3"/>
    <w:rsid w:val="004D2549"/>
    <w:rsid w:val="004D2726"/>
    <w:rsid w:val="004D279F"/>
    <w:rsid w:val="004D288C"/>
    <w:rsid w:val="004D2967"/>
    <w:rsid w:val="004D29BC"/>
    <w:rsid w:val="004D29E1"/>
    <w:rsid w:val="004D2A41"/>
    <w:rsid w:val="004D2A42"/>
    <w:rsid w:val="004D2B42"/>
    <w:rsid w:val="004D2C2E"/>
    <w:rsid w:val="004D2C56"/>
    <w:rsid w:val="004D2D1A"/>
    <w:rsid w:val="004D2E26"/>
    <w:rsid w:val="004D2E44"/>
    <w:rsid w:val="004D2E86"/>
    <w:rsid w:val="004D2F25"/>
    <w:rsid w:val="004D312F"/>
    <w:rsid w:val="004D31AB"/>
    <w:rsid w:val="004D325F"/>
    <w:rsid w:val="004D3354"/>
    <w:rsid w:val="004D342E"/>
    <w:rsid w:val="004D3456"/>
    <w:rsid w:val="004D350C"/>
    <w:rsid w:val="004D3649"/>
    <w:rsid w:val="004D3674"/>
    <w:rsid w:val="004D36D8"/>
    <w:rsid w:val="004D370B"/>
    <w:rsid w:val="004D3870"/>
    <w:rsid w:val="004D39A0"/>
    <w:rsid w:val="004D3B8C"/>
    <w:rsid w:val="004D3D1F"/>
    <w:rsid w:val="004D3D8E"/>
    <w:rsid w:val="004D3EC3"/>
    <w:rsid w:val="004D3F27"/>
    <w:rsid w:val="004D3F81"/>
    <w:rsid w:val="004D4148"/>
    <w:rsid w:val="004D417C"/>
    <w:rsid w:val="004D420E"/>
    <w:rsid w:val="004D4285"/>
    <w:rsid w:val="004D4378"/>
    <w:rsid w:val="004D43A6"/>
    <w:rsid w:val="004D43FC"/>
    <w:rsid w:val="004D44A8"/>
    <w:rsid w:val="004D48B5"/>
    <w:rsid w:val="004D48D0"/>
    <w:rsid w:val="004D4B27"/>
    <w:rsid w:val="004D4B31"/>
    <w:rsid w:val="004D4BAE"/>
    <w:rsid w:val="004D4C84"/>
    <w:rsid w:val="004D4CDA"/>
    <w:rsid w:val="004D4D66"/>
    <w:rsid w:val="004D4DF6"/>
    <w:rsid w:val="004D4E31"/>
    <w:rsid w:val="004D4F35"/>
    <w:rsid w:val="004D4FAE"/>
    <w:rsid w:val="004D4FEC"/>
    <w:rsid w:val="004D5077"/>
    <w:rsid w:val="004D51BC"/>
    <w:rsid w:val="004D521D"/>
    <w:rsid w:val="004D5289"/>
    <w:rsid w:val="004D5382"/>
    <w:rsid w:val="004D53FD"/>
    <w:rsid w:val="004D545D"/>
    <w:rsid w:val="004D54C1"/>
    <w:rsid w:val="004D55F3"/>
    <w:rsid w:val="004D56FB"/>
    <w:rsid w:val="004D5819"/>
    <w:rsid w:val="004D5853"/>
    <w:rsid w:val="004D5979"/>
    <w:rsid w:val="004D59FF"/>
    <w:rsid w:val="004D5B82"/>
    <w:rsid w:val="004D5BFD"/>
    <w:rsid w:val="004D5D1D"/>
    <w:rsid w:val="004D5DF4"/>
    <w:rsid w:val="004D5F0F"/>
    <w:rsid w:val="004D5F9E"/>
    <w:rsid w:val="004D60B4"/>
    <w:rsid w:val="004D6459"/>
    <w:rsid w:val="004D668F"/>
    <w:rsid w:val="004D6866"/>
    <w:rsid w:val="004D68AC"/>
    <w:rsid w:val="004D68C1"/>
    <w:rsid w:val="004D6B60"/>
    <w:rsid w:val="004D6B8E"/>
    <w:rsid w:val="004D6D87"/>
    <w:rsid w:val="004D6E37"/>
    <w:rsid w:val="004D6EFC"/>
    <w:rsid w:val="004D6F1F"/>
    <w:rsid w:val="004D7038"/>
    <w:rsid w:val="004D7132"/>
    <w:rsid w:val="004D71A0"/>
    <w:rsid w:val="004D7245"/>
    <w:rsid w:val="004D72B1"/>
    <w:rsid w:val="004D7355"/>
    <w:rsid w:val="004D74D3"/>
    <w:rsid w:val="004D758F"/>
    <w:rsid w:val="004D7841"/>
    <w:rsid w:val="004D7884"/>
    <w:rsid w:val="004D78B1"/>
    <w:rsid w:val="004D79FA"/>
    <w:rsid w:val="004D7A39"/>
    <w:rsid w:val="004D7B86"/>
    <w:rsid w:val="004D7CD4"/>
    <w:rsid w:val="004D7D46"/>
    <w:rsid w:val="004D7DDA"/>
    <w:rsid w:val="004D7DE9"/>
    <w:rsid w:val="004D7F0C"/>
    <w:rsid w:val="004E003D"/>
    <w:rsid w:val="004E00EA"/>
    <w:rsid w:val="004E017D"/>
    <w:rsid w:val="004E025D"/>
    <w:rsid w:val="004E033A"/>
    <w:rsid w:val="004E03D5"/>
    <w:rsid w:val="004E0415"/>
    <w:rsid w:val="004E0486"/>
    <w:rsid w:val="004E04CD"/>
    <w:rsid w:val="004E05EE"/>
    <w:rsid w:val="004E0634"/>
    <w:rsid w:val="004E065E"/>
    <w:rsid w:val="004E085C"/>
    <w:rsid w:val="004E086D"/>
    <w:rsid w:val="004E0870"/>
    <w:rsid w:val="004E0911"/>
    <w:rsid w:val="004E0A33"/>
    <w:rsid w:val="004E0A4E"/>
    <w:rsid w:val="004E0ACB"/>
    <w:rsid w:val="004E0C73"/>
    <w:rsid w:val="004E0D72"/>
    <w:rsid w:val="004E0E1E"/>
    <w:rsid w:val="004E0EBB"/>
    <w:rsid w:val="004E0ED3"/>
    <w:rsid w:val="004E0F90"/>
    <w:rsid w:val="004E1020"/>
    <w:rsid w:val="004E1119"/>
    <w:rsid w:val="004E11C5"/>
    <w:rsid w:val="004E1213"/>
    <w:rsid w:val="004E12A3"/>
    <w:rsid w:val="004E148C"/>
    <w:rsid w:val="004E15DA"/>
    <w:rsid w:val="004E1625"/>
    <w:rsid w:val="004E176E"/>
    <w:rsid w:val="004E1A4B"/>
    <w:rsid w:val="004E1A57"/>
    <w:rsid w:val="004E1B83"/>
    <w:rsid w:val="004E1B84"/>
    <w:rsid w:val="004E1CE8"/>
    <w:rsid w:val="004E1E6A"/>
    <w:rsid w:val="004E1E7E"/>
    <w:rsid w:val="004E1F67"/>
    <w:rsid w:val="004E20FC"/>
    <w:rsid w:val="004E21A0"/>
    <w:rsid w:val="004E2326"/>
    <w:rsid w:val="004E23C5"/>
    <w:rsid w:val="004E23CC"/>
    <w:rsid w:val="004E24EA"/>
    <w:rsid w:val="004E24F1"/>
    <w:rsid w:val="004E2512"/>
    <w:rsid w:val="004E263C"/>
    <w:rsid w:val="004E26FE"/>
    <w:rsid w:val="004E2727"/>
    <w:rsid w:val="004E298F"/>
    <w:rsid w:val="004E29A1"/>
    <w:rsid w:val="004E2A51"/>
    <w:rsid w:val="004E2B45"/>
    <w:rsid w:val="004E2B49"/>
    <w:rsid w:val="004E2BC4"/>
    <w:rsid w:val="004E2C5B"/>
    <w:rsid w:val="004E2CD8"/>
    <w:rsid w:val="004E2E43"/>
    <w:rsid w:val="004E2E56"/>
    <w:rsid w:val="004E30B4"/>
    <w:rsid w:val="004E326D"/>
    <w:rsid w:val="004E3275"/>
    <w:rsid w:val="004E33B6"/>
    <w:rsid w:val="004E34D8"/>
    <w:rsid w:val="004E35B9"/>
    <w:rsid w:val="004E35DD"/>
    <w:rsid w:val="004E3661"/>
    <w:rsid w:val="004E3664"/>
    <w:rsid w:val="004E367B"/>
    <w:rsid w:val="004E39B7"/>
    <w:rsid w:val="004E39F4"/>
    <w:rsid w:val="004E3A44"/>
    <w:rsid w:val="004E3ACB"/>
    <w:rsid w:val="004E3B46"/>
    <w:rsid w:val="004E3ED2"/>
    <w:rsid w:val="004E4052"/>
    <w:rsid w:val="004E44B2"/>
    <w:rsid w:val="004E44F3"/>
    <w:rsid w:val="004E44FE"/>
    <w:rsid w:val="004E4557"/>
    <w:rsid w:val="004E468E"/>
    <w:rsid w:val="004E475F"/>
    <w:rsid w:val="004E492A"/>
    <w:rsid w:val="004E493E"/>
    <w:rsid w:val="004E4940"/>
    <w:rsid w:val="004E49AC"/>
    <w:rsid w:val="004E49CC"/>
    <w:rsid w:val="004E4A3F"/>
    <w:rsid w:val="004E4AB5"/>
    <w:rsid w:val="004E4C53"/>
    <w:rsid w:val="004E4DEC"/>
    <w:rsid w:val="004E4E34"/>
    <w:rsid w:val="004E4FB8"/>
    <w:rsid w:val="004E52C8"/>
    <w:rsid w:val="004E53DA"/>
    <w:rsid w:val="004E5678"/>
    <w:rsid w:val="004E56C4"/>
    <w:rsid w:val="004E579D"/>
    <w:rsid w:val="004E57E2"/>
    <w:rsid w:val="004E5905"/>
    <w:rsid w:val="004E5979"/>
    <w:rsid w:val="004E5A23"/>
    <w:rsid w:val="004E5B48"/>
    <w:rsid w:val="004E5C5F"/>
    <w:rsid w:val="004E5E03"/>
    <w:rsid w:val="004E5FB4"/>
    <w:rsid w:val="004E6073"/>
    <w:rsid w:val="004E61A2"/>
    <w:rsid w:val="004E61FA"/>
    <w:rsid w:val="004E6332"/>
    <w:rsid w:val="004E654F"/>
    <w:rsid w:val="004E65E7"/>
    <w:rsid w:val="004E676B"/>
    <w:rsid w:val="004E679C"/>
    <w:rsid w:val="004E67EB"/>
    <w:rsid w:val="004E6889"/>
    <w:rsid w:val="004E69F2"/>
    <w:rsid w:val="004E69F4"/>
    <w:rsid w:val="004E6A3B"/>
    <w:rsid w:val="004E6A5D"/>
    <w:rsid w:val="004E6B14"/>
    <w:rsid w:val="004E6C2B"/>
    <w:rsid w:val="004E6D87"/>
    <w:rsid w:val="004E6DCB"/>
    <w:rsid w:val="004E6E43"/>
    <w:rsid w:val="004E6E64"/>
    <w:rsid w:val="004E6FA7"/>
    <w:rsid w:val="004E7031"/>
    <w:rsid w:val="004E70D3"/>
    <w:rsid w:val="004E71BE"/>
    <w:rsid w:val="004E72A2"/>
    <w:rsid w:val="004E7322"/>
    <w:rsid w:val="004E73A8"/>
    <w:rsid w:val="004E74CB"/>
    <w:rsid w:val="004E75A5"/>
    <w:rsid w:val="004E760E"/>
    <w:rsid w:val="004E7626"/>
    <w:rsid w:val="004E77AD"/>
    <w:rsid w:val="004E77CA"/>
    <w:rsid w:val="004E77D3"/>
    <w:rsid w:val="004E7811"/>
    <w:rsid w:val="004E781B"/>
    <w:rsid w:val="004E7B43"/>
    <w:rsid w:val="004E7D24"/>
    <w:rsid w:val="004E7DA3"/>
    <w:rsid w:val="004E7E88"/>
    <w:rsid w:val="004E7ED2"/>
    <w:rsid w:val="004E7FEC"/>
    <w:rsid w:val="004F00DE"/>
    <w:rsid w:val="004F027A"/>
    <w:rsid w:val="004F028D"/>
    <w:rsid w:val="004F02F9"/>
    <w:rsid w:val="004F036D"/>
    <w:rsid w:val="004F05BF"/>
    <w:rsid w:val="004F05F0"/>
    <w:rsid w:val="004F068B"/>
    <w:rsid w:val="004F079C"/>
    <w:rsid w:val="004F07AE"/>
    <w:rsid w:val="004F0928"/>
    <w:rsid w:val="004F09E1"/>
    <w:rsid w:val="004F0A8B"/>
    <w:rsid w:val="004F0BFB"/>
    <w:rsid w:val="004F0C40"/>
    <w:rsid w:val="004F0C55"/>
    <w:rsid w:val="004F0CB9"/>
    <w:rsid w:val="004F0E36"/>
    <w:rsid w:val="004F0E90"/>
    <w:rsid w:val="004F0EF9"/>
    <w:rsid w:val="004F0F99"/>
    <w:rsid w:val="004F0FC1"/>
    <w:rsid w:val="004F101E"/>
    <w:rsid w:val="004F10E2"/>
    <w:rsid w:val="004F13BC"/>
    <w:rsid w:val="004F14B9"/>
    <w:rsid w:val="004F15D0"/>
    <w:rsid w:val="004F15FA"/>
    <w:rsid w:val="004F1621"/>
    <w:rsid w:val="004F1624"/>
    <w:rsid w:val="004F169E"/>
    <w:rsid w:val="004F1767"/>
    <w:rsid w:val="004F17C2"/>
    <w:rsid w:val="004F1890"/>
    <w:rsid w:val="004F1A4A"/>
    <w:rsid w:val="004F1AD1"/>
    <w:rsid w:val="004F1AF5"/>
    <w:rsid w:val="004F1B9B"/>
    <w:rsid w:val="004F1E6A"/>
    <w:rsid w:val="004F2090"/>
    <w:rsid w:val="004F2164"/>
    <w:rsid w:val="004F2204"/>
    <w:rsid w:val="004F2318"/>
    <w:rsid w:val="004F241D"/>
    <w:rsid w:val="004F24FA"/>
    <w:rsid w:val="004F2649"/>
    <w:rsid w:val="004F26E9"/>
    <w:rsid w:val="004F292A"/>
    <w:rsid w:val="004F29B7"/>
    <w:rsid w:val="004F29C1"/>
    <w:rsid w:val="004F2A1A"/>
    <w:rsid w:val="004F2A25"/>
    <w:rsid w:val="004F2C60"/>
    <w:rsid w:val="004F2CFC"/>
    <w:rsid w:val="004F2E36"/>
    <w:rsid w:val="004F3050"/>
    <w:rsid w:val="004F313A"/>
    <w:rsid w:val="004F3166"/>
    <w:rsid w:val="004F320D"/>
    <w:rsid w:val="004F3326"/>
    <w:rsid w:val="004F3373"/>
    <w:rsid w:val="004F339F"/>
    <w:rsid w:val="004F33B4"/>
    <w:rsid w:val="004F355E"/>
    <w:rsid w:val="004F3597"/>
    <w:rsid w:val="004F3796"/>
    <w:rsid w:val="004F38C3"/>
    <w:rsid w:val="004F3A1F"/>
    <w:rsid w:val="004F3B61"/>
    <w:rsid w:val="004F3BBD"/>
    <w:rsid w:val="004F3BDE"/>
    <w:rsid w:val="004F3C1E"/>
    <w:rsid w:val="004F3CA5"/>
    <w:rsid w:val="004F3CFE"/>
    <w:rsid w:val="004F3DCB"/>
    <w:rsid w:val="004F3F33"/>
    <w:rsid w:val="004F40C4"/>
    <w:rsid w:val="004F4188"/>
    <w:rsid w:val="004F4399"/>
    <w:rsid w:val="004F4412"/>
    <w:rsid w:val="004F4468"/>
    <w:rsid w:val="004F44F6"/>
    <w:rsid w:val="004F4699"/>
    <w:rsid w:val="004F4711"/>
    <w:rsid w:val="004F482F"/>
    <w:rsid w:val="004F48C4"/>
    <w:rsid w:val="004F49F1"/>
    <w:rsid w:val="004F4A72"/>
    <w:rsid w:val="004F4B92"/>
    <w:rsid w:val="004F4C4B"/>
    <w:rsid w:val="004F4CC2"/>
    <w:rsid w:val="004F4D1E"/>
    <w:rsid w:val="004F4DDB"/>
    <w:rsid w:val="004F4DE5"/>
    <w:rsid w:val="004F4F4B"/>
    <w:rsid w:val="004F5076"/>
    <w:rsid w:val="004F50C3"/>
    <w:rsid w:val="004F50DE"/>
    <w:rsid w:val="004F5142"/>
    <w:rsid w:val="004F5187"/>
    <w:rsid w:val="004F51F8"/>
    <w:rsid w:val="004F5294"/>
    <w:rsid w:val="004F53BE"/>
    <w:rsid w:val="004F54D3"/>
    <w:rsid w:val="004F5568"/>
    <w:rsid w:val="004F569A"/>
    <w:rsid w:val="004F57EF"/>
    <w:rsid w:val="004F5849"/>
    <w:rsid w:val="004F5909"/>
    <w:rsid w:val="004F591B"/>
    <w:rsid w:val="004F59DD"/>
    <w:rsid w:val="004F5B08"/>
    <w:rsid w:val="004F5C66"/>
    <w:rsid w:val="004F5CE8"/>
    <w:rsid w:val="004F5D64"/>
    <w:rsid w:val="004F5D6E"/>
    <w:rsid w:val="004F6016"/>
    <w:rsid w:val="004F60B3"/>
    <w:rsid w:val="004F6106"/>
    <w:rsid w:val="004F642E"/>
    <w:rsid w:val="004F6493"/>
    <w:rsid w:val="004F64A8"/>
    <w:rsid w:val="004F64B6"/>
    <w:rsid w:val="004F6566"/>
    <w:rsid w:val="004F66DC"/>
    <w:rsid w:val="004F6708"/>
    <w:rsid w:val="004F6828"/>
    <w:rsid w:val="004F68C5"/>
    <w:rsid w:val="004F68C8"/>
    <w:rsid w:val="004F6931"/>
    <w:rsid w:val="004F6945"/>
    <w:rsid w:val="004F69DE"/>
    <w:rsid w:val="004F6B0B"/>
    <w:rsid w:val="004F6D9F"/>
    <w:rsid w:val="004F6EB5"/>
    <w:rsid w:val="004F6FCC"/>
    <w:rsid w:val="004F7018"/>
    <w:rsid w:val="004F7047"/>
    <w:rsid w:val="004F7106"/>
    <w:rsid w:val="004F7110"/>
    <w:rsid w:val="004F7138"/>
    <w:rsid w:val="004F72AE"/>
    <w:rsid w:val="004F7438"/>
    <w:rsid w:val="004F752A"/>
    <w:rsid w:val="004F756B"/>
    <w:rsid w:val="004F77B1"/>
    <w:rsid w:val="004F787F"/>
    <w:rsid w:val="004F792E"/>
    <w:rsid w:val="004F7998"/>
    <w:rsid w:val="004F799B"/>
    <w:rsid w:val="004F7AEF"/>
    <w:rsid w:val="004F7C60"/>
    <w:rsid w:val="004F7CD6"/>
    <w:rsid w:val="004F7ED3"/>
    <w:rsid w:val="004F7EDB"/>
    <w:rsid w:val="004F7FB6"/>
    <w:rsid w:val="0050005C"/>
    <w:rsid w:val="005000E3"/>
    <w:rsid w:val="0050019C"/>
    <w:rsid w:val="005001D8"/>
    <w:rsid w:val="00500226"/>
    <w:rsid w:val="0050025D"/>
    <w:rsid w:val="005003BE"/>
    <w:rsid w:val="005004F7"/>
    <w:rsid w:val="00500559"/>
    <w:rsid w:val="00500561"/>
    <w:rsid w:val="00500622"/>
    <w:rsid w:val="0050062A"/>
    <w:rsid w:val="0050065B"/>
    <w:rsid w:val="00500922"/>
    <w:rsid w:val="00500BF8"/>
    <w:rsid w:val="00500CFE"/>
    <w:rsid w:val="00500EA5"/>
    <w:rsid w:val="00500FF9"/>
    <w:rsid w:val="0050104C"/>
    <w:rsid w:val="00501524"/>
    <w:rsid w:val="0050154E"/>
    <w:rsid w:val="005016CC"/>
    <w:rsid w:val="005016E8"/>
    <w:rsid w:val="00501775"/>
    <w:rsid w:val="005017FC"/>
    <w:rsid w:val="005018BC"/>
    <w:rsid w:val="00501924"/>
    <w:rsid w:val="00501ABB"/>
    <w:rsid w:val="00501B6C"/>
    <w:rsid w:val="00501C2F"/>
    <w:rsid w:val="00501C55"/>
    <w:rsid w:val="00501C6A"/>
    <w:rsid w:val="00501D06"/>
    <w:rsid w:val="00501D20"/>
    <w:rsid w:val="00501DD6"/>
    <w:rsid w:val="0050206F"/>
    <w:rsid w:val="005020C5"/>
    <w:rsid w:val="005022BA"/>
    <w:rsid w:val="00502741"/>
    <w:rsid w:val="005027EC"/>
    <w:rsid w:val="005028BB"/>
    <w:rsid w:val="00502952"/>
    <w:rsid w:val="00502962"/>
    <w:rsid w:val="0050296D"/>
    <w:rsid w:val="00502A9D"/>
    <w:rsid w:val="00502B9E"/>
    <w:rsid w:val="00502CE5"/>
    <w:rsid w:val="00502DB0"/>
    <w:rsid w:val="00502DEF"/>
    <w:rsid w:val="00502F74"/>
    <w:rsid w:val="0050302C"/>
    <w:rsid w:val="00503087"/>
    <w:rsid w:val="00503216"/>
    <w:rsid w:val="00503279"/>
    <w:rsid w:val="005035E5"/>
    <w:rsid w:val="005037C2"/>
    <w:rsid w:val="005037D3"/>
    <w:rsid w:val="005037D6"/>
    <w:rsid w:val="00503903"/>
    <w:rsid w:val="00503A1A"/>
    <w:rsid w:val="00503B4F"/>
    <w:rsid w:val="00503DB0"/>
    <w:rsid w:val="00503EE7"/>
    <w:rsid w:val="00503F72"/>
    <w:rsid w:val="00503FC2"/>
    <w:rsid w:val="005041BD"/>
    <w:rsid w:val="005042DB"/>
    <w:rsid w:val="0050440F"/>
    <w:rsid w:val="0050448C"/>
    <w:rsid w:val="00504557"/>
    <w:rsid w:val="005045A8"/>
    <w:rsid w:val="0050469B"/>
    <w:rsid w:val="00504835"/>
    <w:rsid w:val="0050490B"/>
    <w:rsid w:val="00504B04"/>
    <w:rsid w:val="00504B84"/>
    <w:rsid w:val="00504C5E"/>
    <w:rsid w:val="00504CC8"/>
    <w:rsid w:val="00504D88"/>
    <w:rsid w:val="00504DF1"/>
    <w:rsid w:val="00504E81"/>
    <w:rsid w:val="00504E99"/>
    <w:rsid w:val="00504F22"/>
    <w:rsid w:val="00505164"/>
    <w:rsid w:val="005051FA"/>
    <w:rsid w:val="00505263"/>
    <w:rsid w:val="00505322"/>
    <w:rsid w:val="0050573C"/>
    <w:rsid w:val="00505742"/>
    <w:rsid w:val="0050582F"/>
    <w:rsid w:val="005058D1"/>
    <w:rsid w:val="005059F2"/>
    <w:rsid w:val="00505A44"/>
    <w:rsid w:val="00505B33"/>
    <w:rsid w:val="00505BE3"/>
    <w:rsid w:val="00505C2D"/>
    <w:rsid w:val="00505C9F"/>
    <w:rsid w:val="00505D5F"/>
    <w:rsid w:val="00505E6E"/>
    <w:rsid w:val="00505F43"/>
    <w:rsid w:val="0050604F"/>
    <w:rsid w:val="0050615E"/>
    <w:rsid w:val="00506235"/>
    <w:rsid w:val="005062E6"/>
    <w:rsid w:val="0050637E"/>
    <w:rsid w:val="005063D7"/>
    <w:rsid w:val="005063ED"/>
    <w:rsid w:val="00506483"/>
    <w:rsid w:val="00506732"/>
    <w:rsid w:val="00506A63"/>
    <w:rsid w:val="00506C76"/>
    <w:rsid w:val="00506DB9"/>
    <w:rsid w:val="00506DFF"/>
    <w:rsid w:val="00506E04"/>
    <w:rsid w:val="00506F88"/>
    <w:rsid w:val="0050701C"/>
    <w:rsid w:val="005070B4"/>
    <w:rsid w:val="0050712D"/>
    <w:rsid w:val="00507443"/>
    <w:rsid w:val="005074D9"/>
    <w:rsid w:val="0050757A"/>
    <w:rsid w:val="00507661"/>
    <w:rsid w:val="0050766A"/>
    <w:rsid w:val="005078D2"/>
    <w:rsid w:val="0050797E"/>
    <w:rsid w:val="005079B7"/>
    <w:rsid w:val="00507BDB"/>
    <w:rsid w:val="00507C16"/>
    <w:rsid w:val="00507CCE"/>
    <w:rsid w:val="00507D2B"/>
    <w:rsid w:val="00507DF0"/>
    <w:rsid w:val="00507E2F"/>
    <w:rsid w:val="00510040"/>
    <w:rsid w:val="00510168"/>
    <w:rsid w:val="00510501"/>
    <w:rsid w:val="00510531"/>
    <w:rsid w:val="0051068D"/>
    <w:rsid w:val="005106A7"/>
    <w:rsid w:val="0051076E"/>
    <w:rsid w:val="00510825"/>
    <w:rsid w:val="00510B6C"/>
    <w:rsid w:val="00510B6D"/>
    <w:rsid w:val="00510BBD"/>
    <w:rsid w:val="00510C10"/>
    <w:rsid w:val="00510C3F"/>
    <w:rsid w:val="00510DE2"/>
    <w:rsid w:val="00510EFE"/>
    <w:rsid w:val="00510F53"/>
    <w:rsid w:val="00510FBF"/>
    <w:rsid w:val="0051102A"/>
    <w:rsid w:val="0051117B"/>
    <w:rsid w:val="005111D7"/>
    <w:rsid w:val="00511287"/>
    <w:rsid w:val="0051143B"/>
    <w:rsid w:val="00511480"/>
    <w:rsid w:val="0051174D"/>
    <w:rsid w:val="005117AF"/>
    <w:rsid w:val="00511AA1"/>
    <w:rsid w:val="00511AC0"/>
    <w:rsid w:val="00511B36"/>
    <w:rsid w:val="00511B83"/>
    <w:rsid w:val="00511B92"/>
    <w:rsid w:val="00511CAC"/>
    <w:rsid w:val="00511CFE"/>
    <w:rsid w:val="00511D0F"/>
    <w:rsid w:val="00511E82"/>
    <w:rsid w:val="00512124"/>
    <w:rsid w:val="00512296"/>
    <w:rsid w:val="0051237F"/>
    <w:rsid w:val="005123AE"/>
    <w:rsid w:val="00512425"/>
    <w:rsid w:val="00512641"/>
    <w:rsid w:val="005126AE"/>
    <w:rsid w:val="0051273B"/>
    <w:rsid w:val="0051273D"/>
    <w:rsid w:val="005127B6"/>
    <w:rsid w:val="005127E4"/>
    <w:rsid w:val="0051282D"/>
    <w:rsid w:val="0051288E"/>
    <w:rsid w:val="005128B1"/>
    <w:rsid w:val="005129DD"/>
    <w:rsid w:val="00512C41"/>
    <w:rsid w:val="00512D0C"/>
    <w:rsid w:val="00512D27"/>
    <w:rsid w:val="00512D82"/>
    <w:rsid w:val="00512D9C"/>
    <w:rsid w:val="0051301D"/>
    <w:rsid w:val="005130DF"/>
    <w:rsid w:val="005130EE"/>
    <w:rsid w:val="00513303"/>
    <w:rsid w:val="005133A8"/>
    <w:rsid w:val="0051355B"/>
    <w:rsid w:val="005135C9"/>
    <w:rsid w:val="005136D0"/>
    <w:rsid w:val="00513753"/>
    <w:rsid w:val="00513937"/>
    <w:rsid w:val="00513B6D"/>
    <w:rsid w:val="00513B70"/>
    <w:rsid w:val="00513C38"/>
    <w:rsid w:val="00514276"/>
    <w:rsid w:val="005142CE"/>
    <w:rsid w:val="005143F7"/>
    <w:rsid w:val="00514461"/>
    <w:rsid w:val="0051448A"/>
    <w:rsid w:val="005146F6"/>
    <w:rsid w:val="0051470B"/>
    <w:rsid w:val="0051471F"/>
    <w:rsid w:val="00514ABC"/>
    <w:rsid w:val="00514AC5"/>
    <w:rsid w:val="00514AEA"/>
    <w:rsid w:val="00514BB6"/>
    <w:rsid w:val="00514DAF"/>
    <w:rsid w:val="00514DED"/>
    <w:rsid w:val="00514F73"/>
    <w:rsid w:val="00514F85"/>
    <w:rsid w:val="00514FEE"/>
    <w:rsid w:val="0051507D"/>
    <w:rsid w:val="005150F6"/>
    <w:rsid w:val="005151C5"/>
    <w:rsid w:val="005152B9"/>
    <w:rsid w:val="005152D5"/>
    <w:rsid w:val="0051550D"/>
    <w:rsid w:val="0051552D"/>
    <w:rsid w:val="005156AF"/>
    <w:rsid w:val="00515884"/>
    <w:rsid w:val="0051592C"/>
    <w:rsid w:val="005159B2"/>
    <w:rsid w:val="00515A76"/>
    <w:rsid w:val="00515B48"/>
    <w:rsid w:val="00515B8A"/>
    <w:rsid w:val="00515BE3"/>
    <w:rsid w:val="00515C69"/>
    <w:rsid w:val="00515C7D"/>
    <w:rsid w:val="00515D43"/>
    <w:rsid w:val="00515D58"/>
    <w:rsid w:val="00515DAE"/>
    <w:rsid w:val="00515E6B"/>
    <w:rsid w:val="00516079"/>
    <w:rsid w:val="005160B2"/>
    <w:rsid w:val="005161F8"/>
    <w:rsid w:val="005163BB"/>
    <w:rsid w:val="00516409"/>
    <w:rsid w:val="0051641F"/>
    <w:rsid w:val="0051672D"/>
    <w:rsid w:val="00516785"/>
    <w:rsid w:val="005167BB"/>
    <w:rsid w:val="00516898"/>
    <w:rsid w:val="00516C02"/>
    <w:rsid w:val="00516CFE"/>
    <w:rsid w:val="005170E5"/>
    <w:rsid w:val="0051719A"/>
    <w:rsid w:val="0051739E"/>
    <w:rsid w:val="00517411"/>
    <w:rsid w:val="00517538"/>
    <w:rsid w:val="00517574"/>
    <w:rsid w:val="00517639"/>
    <w:rsid w:val="00517684"/>
    <w:rsid w:val="005177CA"/>
    <w:rsid w:val="0051780D"/>
    <w:rsid w:val="005178DA"/>
    <w:rsid w:val="005179D2"/>
    <w:rsid w:val="00517A35"/>
    <w:rsid w:val="00517A43"/>
    <w:rsid w:val="00517AD7"/>
    <w:rsid w:val="00517B4A"/>
    <w:rsid w:val="00517B66"/>
    <w:rsid w:val="00517C35"/>
    <w:rsid w:val="005200E5"/>
    <w:rsid w:val="00520120"/>
    <w:rsid w:val="0052017F"/>
    <w:rsid w:val="0052018D"/>
    <w:rsid w:val="0052022B"/>
    <w:rsid w:val="0052022D"/>
    <w:rsid w:val="0052023B"/>
    <w:rsid w:val="005202C0"/>
    <w:rsid w:val="005203F9"/>
    <w:rsid w:val="005204C9"/>
    <w:rsid w:val="005204D5"/>
    <w:rsid w:val="005204E2"/>
    <w:rsid w:val="005205DD"/>
    <w:rsid w:val="0052070D"/>
    <w:rsid w:val="0052091D"/>
    <w:rsid w:val="005209A6"/>
    <w:rsid w:val="00520B25"/>
    <w:rsid w:val="00520BF1"/>
    <w:rsid w:val="0052106F"/>
    <w:rsid w:val="005210ED"/>
    <w:rsid w:val="00521146"/>
    <w:rsid w:val="00521191"/>
    <w:rsid w:val="005211CE"/>
    <w:rsid w:val="00521315"/>
    <w:rsid w:val="005213E5"/>
    <w:rsid w:val="00521582"/>
    <w:rsid w:val="005215D6"/>
    <w:rsid w:val="0052164D"/>
    <w:rsid w:val="005216E1"/>
    <w:rsid w:val="0052173A"/>
    <w:rsid w:val="005217F3"/>
    <w:rsid w:val="005218A9"/>
    <w:rsid w:val="005218BF"/>
    <w:rsid w:val="00521AB1"/>
    <w:rsid w:val="00521AEC"/>
    <w:rsid w:val="00521B03"/>
    <w:rsid w:val="00521CCF"/>
    <w:rsid w:val="00521D0B"/>
    <w:rsid w:val="00521D69"/>
    <w:rsid w:val="00521DD5"/>
    <w:rsid w:val="00521EE4"/>
    <w:rsid w:val="0052203F"/>
    <w:rsid w:val="005220CB"/>
    <w:rsid w:val="005220EB"/>
    <w:rsid w:val="00522107"/>
    <w:rsid w:val="00522148"/>
    <w:rsid w:val="0052247A"/>
    <w:rsid w:val="0052254B"/>
    <w:rsid w:val="005225C6"/>
    <w:rsid w:val="005227DC"/>
    <w:rsid w:val="0052281F"/>
    <w:rsid w:val="00522863"/>
    <w:rsid w:val="00522965"/>
    <w:rsid w:val="005229AE"/>
    <w:rsid w:val="00522A6F"/>
    <w:rsid w:val="00522AA1"/>
    <w:rsid w:val="00522ADE"/>
    <w:rsid w:val="00522B2E"/>
    <w:rsid w:val="00522B49"/>
    <w:rsid w:val="00522B5E"/>
    <w:rsid w:val="00522C5F"/>
    <w:rsid w:val="00522C60"/>
    <w:rsid w:val="00522D0A"/>
    <w:rsid w:val="00522D6C"/>
    <w:rsid w:val="00522D9F"/>
    <w:rsid w:val="00522DC8"/>
    <w:rsid w:val="00522E55"/>
    <w:rsid w:val="00522F26"/>
    <w:rsid w:val="005230E9"/>
    <w:rsid w:val="00523191"/>
    <w:rsid w:val="005231FC"/>
    <w:rsid w:val="0052326A"/>
    <w:rsid w:val="00523367"/>
    <w:rsid w:val="005233FD"/>
    <w:rsid w:val="00523532"/>
    <w:rsid w:val="0052357C"/>
    <w:rsid w:val="005235AD"/>
    <w:rsid w:val="0052372E"/>
    <w:rsid w:val="0052379B"/>
    <w:rsid w:val="00523872"/>
    <w:rsid w:val="005238A7"/>
    <w:rsid w:val="00523980"/>
    <w:rsid w:val="00523AAB"/>
    <w:rsid w:val="00523AC1"/>
    <w:rsid w:val="00523B64"/>
    <w:rsid w:val="00523BFD"/>
    <w:rsid w:val="00523CAF"/>
    <w:rsid w:val="00523CC0"/>
    <w:rsid w:val="00523D5D"/>
    <w:rsid w:val="00523D63"/>
    <w:rsid w:val="00523DDF"/>
    <w:rsid w:val="00523EC3"/>
    <w:rsid w:val="00523EC8"/>
    <w:rsid w:val="00524081"/>
    <w:rsid w:val="005240DC"/>
    <w:rsid w:val="00524150"/>
    <w:rsid w:val="0052419D"/>
    <w:rsid w:val="005241A5"/>
    <w:rsid w:val="00524358"/>
    <w:rsid w:val="0052449E"/>
    <w:rsid w:val="005244A6"/>
    <w:rsid w:val="00524527"/>
    <w:rsid w:val="005245E6"/>
    <w:rsid w:val="00524726"/>
    <w:rsid w:val="00524757"/>
    <w:rsid w:val="00524850"/>
    <w:rsid w:val="00524938"/>
    <w:rsid w:val="005249B6"/>
    <w:rsid w:val="00524A6D"/>
    <w:rsid w:val="00524BC9"/>
    <w:rsid w:val="00524F18"/>
    <w:rsid w:val="00524F53"/>
    <w:rsid w:val="00524FA4"/>
    <w:rsid w:val="00525050"/>
    <w:rsid w:val="005250A9"/>
    <w:rsid w:val="0052510F"/>
    <w:rsid w:val="0052519C"/>
    <w:rsid w:val="00525230"/>
    <w:rsid w:val="0052529E"/>
    <w:rsid w:val="00525304"/>
    <w:rsid w:val="00525469"/>
    <w:rsid w:val="0052559B"/>
    <w:rsid w:val="005255A4"/>
    <w:rsid w:val="0052560C"/>
    <w:rsid w:val="005256FB"/>
    <w:rsid w:val="005257D7"/>
    <w:rsid w:val="005258EA"/>
    <w:rsid w:val="00525972"/>
    <w:rsid w:val="00525A55"/>
    <w:rsid w:val="00525A5B"/>
    <w:rsid w:val="00525AA8"/>
    <w:rsid w:val="00525AB8"/>
    <w:rsid w:val="00525B41"/>
    <w:rsid w:val="00525D24"/>
    <w:rsid w:val="00525DAA"/>
    <w:rsid w:val="00525DDA"/>
    <w:rsid w:val="00525F5A"/>
    <w:rsid w:val="00525F6F"/>
    <w:rsid w:val="00526072"/>
    <w:rsid w:val="00526259"/>
    <w:rsid w:val="0052627E"/>
    <w:rsid w:val="005262A7"/>
    <w:rsid w:val="00526307"/>
    <w:rsid w:val="0052639C"/>
    <w:rsid w:val="00526437"/>
    <w:rsid w:val="00526559"/>
    <w:rsid w:val="0052664F"/>
    <w:rsid w:val="00526660"/>
    <w:rsid w:val="00526740"/>
    <w:rsid w:val="00526793"/>
    <w:rsid w:val="005268E7"/>
    <w:rsid w:val="005268ED"/>
    <w:rsid w:val="00526BF1"/>
    <w:rsid w:val="00526C62"/>
    <w:rsid w:val="00526C67"/>
    <w:rsid w:val="00526CA6"/>
    <w:rsid w:val="00526DCF"/>
    <w:rsid w:val="00526F12"/>
    <w:rsid w:val="00526F3D"/>
    <w:rsid w:val="00526F82"/>
    <w:rsid w:val="00526FFE"/>
    <w:rsid w:val="00527137"/>
    <w:rsid w:val="0052736E"/>
    <w:rsid w:val="00527489"/>
    <w:rsid w:val="00527772"/>
    <w:rsid w:val="0052795B"/>
    <w:rsid w:val="00527980"/>
    <w:rsid w:val="005279E2"/>
    <w:rsid w:val="005279F6"/>
    <w:rsid w:val="00527B0C"/>
    <w:rsid w:val="00527B11"/>
    <w:rsid w:val="00527C4D"/>
    <w:rsid w:val="00527CDE"/>
    <w:rsid w:val="00527DEF"/>
    <w:rsid w:val="00527DF1"/>
    <w:rsid w:val="00527E0B"/>
    <w:rsid w:val="00527F27"/>
    <w:rsid w:val="00527FC2"/>
    <w:rsid w:val="00530100"/>
    <w:rsid w:val="005301F8"/>
    <w:rsid w:val="005303F2"/>
    <w:rsid w:val="00530533"/>
    <w:rsid w:val="005305E1"/>
    <w:rsid w:val="00530807"/>
    <w:rsid w:val="00530A31"/>
    <w:rsid w:val="00530A3F"/>
    <w:rsid w:val="00530E27"/>
    <w:rsid w:val="00530EBB"/>
    <w:rsid w:val="00530FF9"/>
    <w:rsid w:val="005310BE"/>
    <w:rsid w:val="005310E0"/>
    <w:rsid w:val="005310F1"/>
    <w:rsid w:val="005310F7"/>
    <w:rsid w:val="00531157"/>
    <w:rsid w:val="005312FC"/>
    <w:rsid w:val="00531322"/>
    <w:rsid w:val="00531455"/>
    <w:rsid w:val="005314A5"/>
    <w:rsid w:val="0053158E"/>
    <w:rsid w:val="005315E6"/>
    <w:rsid w:val="00531803"/>
    <w:rsid w:val="00531819"/>
    <w:rsid w:val="0053187A"/>
    <w:rsid w:val="00531BEB"/>
    <w:rsid w:val="00531BF5"/>
    <w:rsid w:val="00531CC7"/>
    <w:rsid w:val="00531DF0"/>
    <w:rsid w:val="00531E5A"/>
    <w:rsid w:val="005321B3"/>
    <w:rsid w:val="0053222E"/>
    <w:rsid w:val="00532318"/>
    <w:rsid w:val="00532394"/>
    <w:rsid w:val="005323F3"/>
    <w:rsid w:val="00532422"/>
    <w:rsid w:val="005324A9"/>
    <w:rsid w:val="005325F0"/>
    <w:rsid w:val="005326FF"/>
    <w:rsid w:val="0053272B"/>
    <w:rsid w:val="005328EC"/>
    <w:rsid w:val="00532900"/>
    <w:rsid w:val="0053291D"/>
    <w:rsid w:val="00532930"/>
    <w:rsid w:val="00532946"/>
    <w:rsid w:val="00532A8C"/>
    <w:rsid w:val="00532ACB"/>
    <w:rsid w:val="00532BBA"/>
    <w:rsid w:val="00532C63"/>
    <w:rsid w:val="00532C6D"/>
    <w:rsid w:val="0053306D"/>
    <w:rsid w:val="00533435"/>
    <w:rsid w:val="00533547"/>
    <w:rsid w:val="005336F8"/>
    <w:rsid w:val="0053378D"/>
    <w:rsid w:val="00533862"/>
    <w:rsid w:val="005338D2"/>
    <w:rsid w:val="00533949"/>
    <w:rsid w:val="00533AA1"/>
    <w:rsid w:val="00533B6E"/>
    <w:rsid w:val="00533C8E"/>
    <w:rsid w:val="00533CF7"/>
    <w:rsid w:val="00533D2A"/>
    <w:rsid w:val="00533EF5"/>
    <w:rsid w:val="00533F31"/>
    <w:rsid w:val="00533F39"/>
    <w:rsid w:val="00533F8B"/>
    <w:rsid w:val="005340AE"/>
    <w:rsid w:val="005340F3"/>
    <w:rsid w:val="00534455"/>
    <w:rsid w:val="005345D0"/>
    <w:rsid w:val="0053481A"/>
    <w:rsid w:val="0053491D"/>
    <w:rsid w:val="00534E09"/>
    <w:rsid w:val="00535075"/>
    <w:rsid w:val="005350B2"/>
    <w:rsid w:val="005351EC"/>
    <w:rsid w:val="0053525D"/>
    <w:rsid w:val="005353E3"/>
    <w:rsid w:val="00535410"/>
    <w:rsid w:val="0053569E"/>
    <w:rsid w:val="0053599A"/>
    <w:rsid w:val="00535AB3"/>
    <w:rsid w:val="00535B12"/>
    <w:rsid w:val="00535C4B"/>
    <w:rsid w:val="00535C7D"/>
    <w:rsid w:val="00535CC5"/>
    <w:rsid w:val="00535CE0"/>
    <w:rsid w:val="00535D40"/>
    <w:rsid w:val="00535DDB"/>
    <w:rsid w:val="00535EA8"/>
    <w:rsid w:val="00535EE5"/>
    <w:rsid w:val="00535EEE"/>
    <w:rsid w:val="00535F28"/>
    <w:rsid w:val="00535F46"/>
    <w:rsid w:val="00535FA1"/>
    <w:rsid w:val="0053603D"/>
    <w:rsid w:val="0053609D"/>
    <w:rsid w:val="005360D0"/>
    <w:rsid w:val="0053622A"/>
    <w:rsid w:val="00536402"/>
    <w:rsid w:val="005365B3"/>
    <w:rsid w:val="00536601"/>
    <w:rsid w:val="00536615"/>
    <w:rsid w:val="005366CB"/>
    <w:rsid w:val="005367BF"/>
    <w:rsid w:val="00536834"/>
    <w:rsid w:val="005368E8"/>
    <w:rsid w:val="00536921"/>
    <w:rsid w:val="00536A2E"/>
    <w:rsid w:val="00536BDA"/>
    <w:rsid w:val="00536C80"/>
    <w:rsid w:val="00536CB6"/>
    <w:rsid w:val="00536D4E"/>
    <w:rsid w:val="00536D8B"/>
    <w:rsid w:val="00536D91"/>
    <w:rsid w:val="00536E7C"/>
    <w:rsid w:val="00536EB6"/>
    <w:rsid w:val="00536FAE"/>
    <w:rsid w:val="00537091"/>
    <w:rsid w:val="0053713E"/>
    <w:rsid w:val="00537167"/>
    <w:rsid w:val="005371AA"/>
    <w:rsid w:val="005372B2"/>
    <w:rsid w:val="00537407"/>
    <w:rsid w:val="0053742A"/>
    <w:rsid w:val="0053750C"/>
    <w:rsid w:val="00537594"/>
    <w:rsid w:val="005375C0"/>
    <w:rsid w:val="005375C4"/>
    <w:rsid w:val="005375D9"/>
    <w:rsid w:val="0053762C"/>
    <w:rsid w:val="00537658"/>
    <w:rsid w:val="00537668"/>
    <w:rsid w:val="0053773D"/>
    <w:rsid w:val="00537874"/>
    <w:rsid w:val="005378C7"/>
    <w:rsid w:val="00537A59"/>
    <w:rsid w:val="00537B13"/>
    <w:rsid w:val="00537B2A"/>
    <w:rsid w:val="00537BAE"/>
    <w:rsid w:val="00537BE2"/>
    <w:rsid w:val="00537C85"/>
    <w:rsid w:val="00537EBD"/>
    <w:rsid w:val="00537F72"/>
    <w:rsid w:val="00537FCA"/>
    <w:rsid w:val="00537FCC"/>
    <w:rsid w:val="00540145"/>
    <w:rsid w:val="0054016C"/>
    <w:rsid w:val="005401CA"/>
    <w:rsid w:val="005401DF"/>
    <w:rsid w:val="0054039A"/>
    <w:rsid w:val="005403FC"/>
    <w:rsid w:val="0054040A"/>
    <w:rsid w:val="0054041F"/>
    <w:rsid w:val="0054046C"/>
    <w:rsid w:val="0054046D"/>
    <w:rsid w:val="005404B2"/>
    <w:rsid w:val="005404DB"/>
    <w:rsid w:val="00540575"/>
    <w:rsid w:val="005407D5"/>
    <w:rsid w:val="0054083C"/>
    <w:rsid w:val="00540860"/>
    <w:rsid w:val="005408E2"/>
    <w:rsid w:val="00540908"/>
    <w:rsid w:val="00540909"/>
    <w:rsid w:val="0054095A"/>
    <w:rsid w:val="00540981"/>
    <w:rsid w:val="00540A15"/>
    <w:rsid w:val="00540B46"/>
    <w:rsid w:val="00540B8A"/>
    <w:rsid w:val="00540C3F"/>
    <w:rsid w:val="00540CD8"/>
    <w:rsid w:val="00540D41"/>
    <w:rsid w:val="00540D9E"/>
    <w:rsid w:val="00540DCA"/>
    <w:rsid w:val="00540E84"/>
    <w:rsid w:val="0054114A"/>
    <w:rsid w:val="00541164"/>
    <w:rsid w:val="00541241"/>
    <w:rsid w:val="0054129D"/>
    <w:rsid w:val="005413A1"/>
    <w:rsid w:val="005413FF"/>
    <w:rsid w:val="005414AE"/>
    <w:rsid w:val="0054153D"/>
    <w:rsid w:val="00541732"/>
    <w:rsid w:val="00541838"/>
    <w:rsid w:val="005418E1"/>
    <w:rsid w:val="0054197D"/>
    <w:rsid w:val="005419B6"/>
    <w:rsid w:val="00541A2F"/>
    <w:rsid w:val="00541AB7"/>
    <w:rsid w:val="00541C3A"/>
    <w:rsid w:val="00541D29"/>
    <w:rsid w:val="00542578"/>
    <w:rsid w:val="00542580"/>
    <w:rsid w:val="005425F7"/>
    <w:rsid w:val="00542710"/>
    <w:rsid w:val="00542826"/>
    <w:rsid w:val="00542877"/>
    <w:rsid w:val="00542886"/>
    <w:rsid w:val="00542A33"/>
    <w:rsid w:val="00542B77"/>
    <w:rsid w:val="00542BB5"/>
    <w:rsid w:val="00542CED"/>
    <w:rsid w:val="00542D28"/>
    <w:rsid w:val="00542DE7"/>
    <w:rsid w:val="00542FB7"/>
    <w:rsid w:val="005430F6"/>
    <w:rsid w:val="00543322"/>
    <w:rsid w:val="005433BA"/>
    <w:rsid w:val="0054346D"/>
    <w:rsid w:val="005435B8"/>
    <w:rsid w:val="0054381C"/>
    <w:rsid w:val="00543A3F"/>
    <w:rsid w:val="00543A51"/>
    <w:rsid w:val="00543A9C"/>
    <w:rsid w:val="00543B17"/>
    <w:rsid w:val="00543D40"/>
    <w:rsid w:val="00543D4E"/>
    <w:rsid w:val="00543E22"/>
    <w:rsid w:val="00543EF7"/>
    <w:rsid w:val="00543F23"/>
    <w:rsid w:val="00543FB0"/>
    <w:rsid w:val="0054413B"/>
    <w:rsid w:val="00544340"/>
    <w:rsid w:val="005445E2"/>
    <w:rsid w:val="00544693"/>
    <w:rsid w:val="00544841"/>
    <w:rsid w:val="00544852"/>
    <w:rsid w:val="005448A5"/>
    <w:rsid w:val="005448D7"/>
    <w:rsid w:val="005449CC"/>
    <w:rsid w:val="00544A07"/>
    <w:rsid w:val="00544B90"/>
    <w:rsid w:val="00544BEC"/>
    <w:rsid w:val="00544E07"/>
    <w:rsid w:val="00544EF8"/>
    <w:rsid w:val="00544F46"/>
    <w:rsid w:val="00544F9E"/>
    <w:rsid w:val="005451DF"/>
    <w:rsid w:val="0054521A"/>
    <w:rsid w:val="005453AD"/>
    <w:rsid w:val="005453C9"/>
    <w:rsid w:val="0054564C"/>
    <w:rsid w:val="00545674"/>
    <w:rsid w:val="00545762"/>
    <w:rsid w:val="00545763"/>
    <w:rsid w:val="005457DB"/>
    <w:rsid w:val="005457F7"/>
    <w:rsid w:val="00545AC6"/>
    <w:rsid w:val="00545B42"/>
    <w:rsid w:val="00545B65"/>
    <w:rsid w:val="00545D8B"/>
    <w:rsid w:val="00545F11"/>
    <w:rsid w:val="00545FCC"/>
    <w:rsid w:val="00546035"/>
    <w:rsid w:val="0054606D"/>
    <w:rsid w:val="005461B2"/>
    <w:rsid w:val="005461BF"/>
    <w:rsid w:val="005461D4"/>
    <w:rsid w:val="00546217"/>
    <w:rsid w:val="00546219"/>
    <w:rsid w:val="0054622F"/>
    <w:rsid w:val="00546406"/>
    <w:rsid w:val="00546440"/>
    <w:rsid w:val="005466D9"/>
    <w:rsid w:val="005466FE"/>
    <w:rsid w:val="00546819"/>
    <w:rsid w:val="00546A46"/>
    <w:rsid w:val="00546B12"/>
    <w:rsid w:val="00546C1B"/>
    <w:rsid w:val="00546D78"/>
    <w:rsid w:val="00546ED3"/>
    <w:rsid w:val="00547224"/>
    <w:rsid w:val="0054722A"/>
    <w:rsid w:val="00547246"/>
    <w:rsid w:val="005472B2"/>
    <w:rsid w:val="0054739C"/>
    <w:rsid w:val="00547438"/>
    <w:rsid w:val="0054766A"/>
    <w:rsid w:val="00547674"/>
    <w:rsid w:val="00547758"/>
    <w:rsid w:val="005477D8"/>
    <w:rsid w:val="00547971"/>
    <w:rsid w:val="005479BC"/>
    <w:rsid w:val="00547C6D"/>
    <w:rsid w:val="00547F00"/>
    <w:rsid w:val="00547F35"/>
    <w:rsid w:val="00547F3B"/>
    <w:rsid w:val="00547FA2"/>
    <w:rsid w:val="0055000A"/>
    <w:rsid w:val="00550324"/>
    <w:rsid w:val="005503CC"/>
    <w:rsid w:val="00550446"/>
    <w:rsid w:val="00550454"/>
    <w:rsid w:val="00550489"/>
    <w:rsid w:val="00550519"/>
    <w:rsid w:val="00550626"/>
    <w:rsid w:val="005506E4"/>
    <w:rsid w:val="00550803"/>
    <w:rsid w:val="0055082B"/>
    <w:rsid w:val="0055090A"/>
    <w:rsid w:val="005509C3"/>
    <w:rsid w:val="00550A4E"/>
    <w:rsid w:val="00550AE8"/>
    <w:rsid w:val="00550B6E"/>
    <w:rsid w:val="00550BC1"/>
    <w:rsid w:val="00550BD2"/>
    <w:rsid w:val="00550C23"/>
    <w:rsid w:val="00550C6E"/>
    <w:rsid w:val="00550D5C"/>
    <w:rsid w:val="00550E99"/>
    <w:rsid w:val="00550EB8"/>
    <w:rsid w:val="00550F5B"/>
    <w:rsid w:val="00551033"/>
    <w:rsid w:val="005511CE"/>
    <w:rsid w:val="00551340"/>
    <w:rsid w:val="0055139D"/>
    <w:rsid w:val="00551455"/>
    <w:rsid w:val="00551484"/>
    <w:rsid w:val="00551589"/>
    <w:rsid w:val="005515AE"/>
    <w:rsid w:val="0055162D"/>
    <w:rsid w:val="00551746"/>
    <w:rsid w:val="00551776"/>
    <w:rsid w:val="00551864"/>
    <w:rsid w:val="00551942"/>
    <w:rsid w:val="00551A95"/>
    <w:rsid w:val="00551BD4"/>
    <w:rsid w:val="00551C91"/>
    <w:rsid w:val="00551CE4"/>
    <w:rsid w:val="00551D35"/>
    <w:rsid w:val="00551F46"/>
    <w:rsid w:val="00551F64"/>
    <w:rsid w:val="0055225E"/>
    <w:rsid w:val="005523C8"/>
    <w:rsid w:val="00552519"/>
    <w:rsid w:val="0055257B"/>
    <w:rsid w:val="005525F3"/>
    <w:rsid w:val="005526E0"/>
    <w:rsid w:val="00552770"/>
    <w:rsid w:val="005527B0"/>
    <w:rsid w:val="005527EE"/>
    <w:rsid w:val="005527F1"/>
    <w:rsid w:val="00552808"/>
    <w:rsid w:val="00552851"/>
    <w:rsid w:val="00552A0F"/>
    <w:rsid w:val="00552BA9"/>
    <w:rsid w:val="00552CBF"/>
    <w:rsid w:val="00553043"/>
    <w:rsid w:val="00553130"/>
    <w:rsid w:val="00553451"/>
    <w:rsid w:val="00553500"/>
    <w:rsid w:val="00553585"/>
    <w:rsid w:val="00553650"/>
    <w:rsid w:val="00553691"/>
    <w:rsid w:val="0055372D"/>
    <w:rsid w:val="00553770"/>
    <w:rsid w:val="0055382D"/>
    <w:rsid w:val="00553859"/>
    <w:rsid w:val="00553AAC"/>
    <w:rsid w:val="00553B60"/>
    <w:rsid w:val="00553C1A"/>
    <w:rsid w:val="00553C2E"/>
    <w:rsid w:val="00553E08"/>
    <w:rsid w:val="00553EB0"/>
    <w:rsid w:val="00553ED2"/>
    <w:rsid w:val="00553F6D"/>
    <w:rsid w:val="0055417D"/>
    <w:rsid w:val="005541EC"/>
    <w:rsid w:val="0055432B"/>
    <w:rsid w:val="00554440"/>
    <w:rsid w:val="00554498"/>
    <w:rsid w:val="00554580"/>
    <w:rsid w:val="0055460B"/>
    <w:rsid w:val="0055464B"/>
    <w:rsid w:val="0055489F"/>
    <w:rsid w:val="00554951"/>
    <w:rsid w:val="00554AB6"/>
    <w:rsid w:val="00554B9D"/>
    <w:rsid w:val="00554BD9"/>
    <w:rsid w:val="00554CFF"/>
    <w:rsid w:val="00554DB2"/>
    <w:rsid w:val="00554EE6"/>
    <w:rsid w:val="005551C7"/>
    <w:rsid w:val="005551EB"/>
    <w:rsid w:val="00555326"/>
    <w:rsid w:val="00555334"/>
    <w:rsid w:val="00555400"/>
    <w:rsid w:val="00555454"/>
    <w:rsid w:val="00555458"/>
    <w:rsid w:val="005554BF"/>
    <w:rsid w:val="0055563D"/>
    <w:rsid w:val="00555656"/>
    <w:rsid w:val="005558E8"/>
    <w:rsid w:val="00555940"/>
    <w:rsid w:val="00555AE3"/>
    <w:rsid w:val="00555AF2"/>
    <w:rsid w:val="00555C46"/>
    <w:rsid w:val="00555D6E"/>
    <w:rsid w:val="00555DB9"/>
    <w:rsid w:val="00555DF8"/>
    <w:rsid w:val="00555FDF"/>
    <w:rsid w:val="0055603C"/>
    <w:rsid w:val="00556060"/>
    <w:rsid w:val="0055607E"/>
    <w:rsid w:val="005560FD"/>
    <w:rsid w:val="0055628E"/>
    <w:rsid w:val="00556296"/>
    <w:rsid w:val="005562EC"/>
    <w:rsid w:val="005564C0"/>
    <w:rsid w:val="005564F1"/>
    <w:rsid w:val="005565C7"/>
    <w:rsid w:val="0055664D"/>
    <w:rsid w:val="00556720"/>
    <w:rsid w:val="005568D3"/>
    <w:rsid w:val="00556935"/>
    <w:rsid w:val="00556AA4"/>
    <w:rsid w:val="00556C48"/>
    <w:rsid w:val="00556C52"/>
    <w:rsid w:val="00556C5E"/>
    <w:rsid w:val="00556C94"/>
    <w:rsid w:val="00556D1A"/>
    <w:rsid w:val="00556DF4"/>
    <w:rsid w:val="00556ECC"/>
    <w:rsid w:val="00556EEC"/>
    <w:rsid w:val="00557016"/>
    <w:rsid w:val="00557221"/>
    <w:rsid w:val="00557282"/>
    <w:rsid w:val="00557377"/>
    <w:rsid w:val="00557422"/>
    <w:rsid w:val="0055745F"/>
    <w:rsid w:val="00557536"/>
    <w:rsid w:val="0055757E"/>
    <w:rsid w:val="0055766F"/>
    <w:rsid w:val="00557799"/>
    <w:rsid w:val="005578C6"/>
    <w:rsid w:val="005579C0"/>
    <w:rsid w:val="00557B9D"/>
    <w:rsid w:val="00560122"/>
    <w:rsid w:val="00560233"/>
    <w:rsid w:val="005603FB"/>
    <w:rsid w:val="0056046F"/>
    <w:rsid w:val="00560527"/>
    <w:rsid w:val="00560652"/>
    <w:rsid w:val="005607F1"/>
    <w:rsid w:val="00560880"/>
    <w:rsid w:val="005608BB"/>
    <w:rsid w:val="005608CD"/>
    <w:rsid w:val="00560983"/>
    <w:rsid w:val="00560AB4"/>
    <w:rsid w:val="00560AE8"/>
    <w:rsid w:val="00560BB2"/>
    <w:rsid w:val="00560BBB"/>
    <w:rsid w:val="00560C76"/>
    <w:rsid w:val="00560DB2"/>
    <w:rsid w:val="00560F4A"/>
    <w:rsid w:val="00561014"/>
    <w:rsid w:val="0056108C"/>
    <w:rsid w:val="005610E2"/>
    <w:rsid w:val="00561182"/>
    <w:rsid w:val="005611CA"/>
    <w:rsid w:val="00561231"/>
    <w:rsid w:val="00561291"/>
    <w:rsid w:val="005612E3"/>
    <w:rsid w:val="005613B5"/>
    <w:rsid w:val="0056144B"/>
    <w:rsid w:val="00561510"/>
    <w:rsid w:val="00561522"/>
    <w:rsid w:val="00561688"/>
    <w:rsid w:val="00561839"/>
    <w:rsid w:val="00561915"/>
    <w:rsid w:val="005619A2"/>
    <w:rsid w:val="00561BAF"/>
    <w:rsid w:val="00561C21"/>
    <w:rsid w:val="00561C3D"/>
    <w:rsid w:val="00561CF2"/>
    <w:rsid w:val="00561E32"/>
    <w:rsid w:val="00561EED"/>
    <w:rsid w:val="00561F58"/>
    <w:rsid w:val="00561FDD"/>
    <w:rsid w:val="00562005"/>
    <w:rsid w:val="005620B2"/>
    <w:rsid w:val="0056213A"/>
    <w:rsid w:val="00562159"/>
    <w:rsid w:val="0056233F"/>
    <w:rsid w:val="00562352"/>
    <w:rsid w:val="00562379"/>
    <w:rsid w:val="005624DE"/>
    <w:rsid w:val="00562546"/>
    <w:rsid w:val="00562589"/>
    <w:rsid w:val="005625A1"/>
    <w:rsid w:val="005626EF"/>
    <w:rsid w:val="0056272C"/>
    <w:rsid w:val="005627E9"/>
    <w:rsid w:val="005628A7"/>
    <w:rsid w:val="005628F3"/>
    <w:rsid w:val="00562A3E"/>
    <w:rsid w:val="00562A78"/>
    <w:rsid w:val="00562A94"/>
    <w:rsid w:val="00562B4C"/>
    <w:rsid w:val="00562B64"/>
    <w:rsid w:val="00562C34"/>
    <w:rsid w:val="00562C35"/>
    <w:rsid w:val="00562CF5"/>
    <w:rsid w:val="00562D64"/>
    <w:rsid w:val="00562EEE"/>
    <w:rsid w:val="00562F08"/>
    <w:rsid w:val="00562F0D"/>
    <w:rsid w:val="00562F17"/>
    <w:rsid w:val="005630D8"/>
    <w:rsid w:val="00563307"/>
    <w:rsid w:val="00563440"/>
    <w:rsid w:val="0056365D"/>
    <w:rsid w:val="005637E1"/>
    <w:rsid w:val="00563929"/>
    <w:rsid w:val="00563B5D"/>
    <w:rsid w:val="00563F71"/>
    <w:rsid w:val="00563FF5"/>
    <w:rsid w:val="00564043"/>
    <w:rsid w:val="005640E0"/>
    <w:rsid w:val="005640EF"/>
    <w:rsid w:val="00564343"/>
    <w:rsid w:val="00564546"/>
    <w:rsid w:val="005645B3"/>
    <w:rsid w:val="0056461F"/>
    <w:rsid w:val="0056472A"/>
    <w:rsid w:val="00564818"/>
    <w:rsid w:val="0056492B"/>
    <w:rsid w:val="0056495E"/>
    <w:rsid w:val="005649B9"/>
    <w:rsid w:val="005649FC"/>
    <w:rsid w:val="005649FE"/>
    <w:rsid w:val="00564CDC"/>
    <w:rsid w:val="00564CF0"/>
    <w:rsid w:val="00564D4C"/>
    <w:rsid w:val="00564D60"/>
    <w:rsid w:val="00564ED6"/>
    <w:rsid w:val="00565055"/>
    <w:rsid w:val="00565091"/>
    <w:rsid w:val="00565123"/>
    <w:rsid w:val="005651CC"/>
    <w:rsid w:val="00565217"/>
    <w:rsid w:val="005652FD"/>
    <w:rsid w:val="0056538A"/>
    <w:rsid w:val="005654AF"/>
    <w:rsid w:val="00565593"/>
    <w:rsid w:val="005655E6"/>
    <w:rsid w:val="005656A5"/>
    <w:rsid w:val="00565750"/>
    <w:rsid w:val="00565773"/>
    <w:rsid w:val="00565828"/>
    <w:rsid w:val="0056582C"/>
    <w:rsid w:val="00565883"/>
    <w:rsid w:val="00565935"/>
    <w:rsid w:val="00565958"/>
    <w:rsid w:val="00565ACC"/>
    <w:rsid w:val="00565B7A"/>
    <w:rsid w:val="00565C6C"/>
    <w:rsid w:val="00565D17"/>
    <w:rsid w:val="00565D1A"/>
    <w:rsid w:val="00565D86"/>
    <w:rsid w:val="00565E06"/>
    <w:rsid w:val="00565F42"/>
    <w:rsid w:val="00566247"/>
    <w:rsid w:val="00566489"/>
    <w:rsid w:val="00566538"/>
    <w:rsid w:val="005665B5"/>
    <w:rsid w:val="00566617"/>
    <w:rsid w:val="0056663A"/>
    <w:rsid w:val="0056666E"/>
    <w:rsid w:val="005666F4"/>
    <w:rsid w:val="005666FE"/>
    <w:rsid w:val="00566710"/>
    <w:rsid w:val="00566731"/>
    <w:rsid w:val="00566794"/>
    <w:rsid w:val="005667C2"/>
    <w:rsid w:val="00566806"/>
    <w:rsid w:val="005669EE"/>
    <w:rsid w:val="00566A54"/>
    <w:rsid w:val="00566A88"/>
    <w:rsid w:val="00566AB1"/>
    <w:rsid w:val="00566B31"/>
    <w:rsid w:val="00566C1F"/>
    <w:rsid w:val="00566D0A"/>
    <w:rsid w:val="00566D63"/>
    <w:rsid w:val="00566D67"/>
    <w:rsid w:val="00566D7C"/>
    <w:rsid w:val="00566DFA"/>
    <w:rsid w:val="00566F33"/>
    <w:rsid w:val="00566FAC"/>
    <w:rsid w:val="00567080"/>
    <w:rsid w:val="00567108"/>
    <w:rsid w:val="005671D0"/>
    <w:rsid w:val="005671EF"/>
    <w:rsid w:val="00567374"/>
    <w:rsid w:val="005674C8"/>
    <w:rsid w:val="0056788D"/>
    <w:rsid w:val="0056791C"/>
    <w:rsid w:val="00567BA2"/>
    <w:rsid w:val="00567CFE"/>
    <w:rsid w:val="00567D2A"/>
    <w:rsid w:val="00567E1A"/>
    <w:rsid w:val="00567E40"/>
    <w:rsid w:val="00567E48"/>
    <w:rsid w:val="00570111"/>
    <w:rsid w:val="0057034C"/>
    <w:rsid w:val="005703D9"/>
    <w:rsid w:val="00570407"/>
    <w:rsid w:val="005704A9"/>
    <w:rsid w:val="00570578"/>
    <w:rsid w:val="00570597"/>
    <w:rsid w:val="0057072E"/>
    <w:rsid w:val="00570741"/>
    <w:rsid w:val="005708A6"/>
    <w:rsid w:val="00570A14"/>
    <w:rsid w:val="00570A9F"/>
    <w:rsid w:val="00570B4F"/>
    <w:rsid w:val="00570BB1"/>
    <w:rsid w:val="00570BDD"/>
    <w:rsid w:val="00570BDE"/>
    <w:rsid w:val="00570F70"/>
    <w:rsid w:val="0057101F"/>
    <w:rsid w:val="0057102B"/>
    <w:rsid w:val="00571040"/>
    <w:rsid w:val="0057107F"/>
    <w:rsid w:val="00571181"/>
    <w:rsid w:val="005711A8"/>
    <w:rsid w:val="0057121D"/>
    <w:rsid w:val="00571246"/>
    <w:rsid w:val="00571702"/>
    <w:rsid w:val="0057194B"/>
    <w:rsid w:val="00571950"/>
    <w:rsid w:val="00571A7D"/>
    <w:rsid w:val="00571A84"/>
    <w:rsid w:val="00571AF5"/>
    <w:rsid w:val="00571B08"/>
    <w:rsid w:val="00571B18"/>
    <w:rsid w:val="00571C2F"/>
    <w:rsid w:val="00571C53"/>
    <w:rsid w:val="00571CF5"/>
    <w:rsid w:val="00571D22"/>
    <w:rsid w:val="00571D5A"/>
    <w:rsid w:val="00571E5D"/>
    <w:rsid w:val="00571E63"/>
    <w:rsid w:val="00571E9A"/>
    <w:rsid w:val="00571F15"/>
    <w:rsid w:val="00572001"/>
    <w:rsid w:val="0057213E"/>
    <w:rsid w:val="005721EE"/>
    <w:rsid w:val="0057221F"/>
    <w:rsid w:val="00572362"/>
    <w:rsid w:val="005724AA"/>
    <w:rsid w:val="005725AF"/>
    <w:rsid w:val="005728BE"/>
    <w:rsid w:val="00572906"/>
    <w:rsid w:val="005729F2"/>
    <w:rsid w:val="00572A2F"/>
    <w:rsid w:val="00572A31"/>
    <w:rsid w:val="00572A4B"/>
    <w:rsid w:val="00572BC7"/>
    <w:rsid w:val="00572BED"/>
    <w:rsid w:val="00572BF9"/>
    <w:rsid w:val="00572CD3"/>
    <w:rsid w:val="00572CEC"/>
    <w:rsid w:val="00572DE8"/>
    <w:rsid w:val="00572FEB"/>
    <w:rsid w:val="005730B2"/>
    <w:rsid w:val="00573119"/>
    <w:rsid w:val="00573292"/>
    <w:rsid w:val="0057331D"/>
    <w:rsid w:val="0057332D"/>
    <w:rsid w:val="00573376"/>
    <w:rsid w:val="00573745"/>
    <w:rsid w:val="0057382F"/>
    <w:rsid w:val="005738B1"/>
    <w:rsid w:val="005739D2"/>
    <w:rsid w:val="00573BC9"/>
    <w:rsid w:val="00573BE4"/>
    <w:rsid w:val="00573D8E"/>
    <w:rsid w:val="00573E29"/>
    <w:rsid w:val="00573F01"/>
    <w:rsid w:val="00573F4F"/>
    <w:rsid w:val="005740EF"/>
    <w:rsid w:val="00574248"/>
    <w:rsid w:val="005742FC"/>
    <w:rsid w:val="00574315"/>
    <w:rsid w:val="005745B0"/>
    <w:rsid w:val="00574659"/>
    <w:rsid w:val="005747CE"/>
    <w:rsid w:val="00574941"/>
    <w:rsid w:val="00574A37"/>
    <w:rsid w:val="00574B10"/>
    <w:rsid w:val="00574B1E"/>
    <w:rsid w:val="00574B50"/>
    <w:rsid w:val="00574C70"/>
    <w:rsid w:val="00574D27"/>
    <w:rsid w:val="00574D8C"/>
    <w:rsid w:val="00574DFC"/>
    <w:rsid w:val="00574F93"/>
    <w:rsid w:val="00574FB7"/>
    <w:rsid w:val="005752F4"/>
    <w:rsid w:val="0057530A"/>
    <w:rsid w:val="005754AB"/>
    <w:rsid w:val="005754D0"/>
    <w:rsid w:val="0057564F"/>
    <w:rsid w:val="00575669"/>
    <w:rsid w:val="00575804"/>
    <w:rsid w:val="005758AE"/>
    <w:rsid w:val="005759C8"/>
    <w:rsid w:val="005759F0"/>
    <w:rsid w:val="00575AA0"/>
    <w:rsid w:val="00575C0D"/>
    <w:rsid w:val="00575C1E"/>
    <w:rsid w:val="00575C9F"/>
    <w:rsid w:val="00575CBB"/>
    <w:rsid w:val="00575DF4"/>
    <w:rsid w:val="00575E1A"/>
    <w:rsid w:val="00575E3B"/>
    <w:rsid w:val="00576076"/>
    <w:rsid w:val="005760BD"/>
    <w:rsid w:val="005762A5"/>
    <w:rsid w:val="005762BC"/>
    <w:rsid w:val="0057631B"/>
    <w:rsid w:val="00576487"/>
    <w:rsid w:val="005765C0"/>
    <w:rsid w:val="005765C3"/>
    <w:rsid w:val="005765CD"/>
    <w:rsid w:val="00576853"/>
    <w:rsid w:val="00576873"/>
    <w:rsid w:val="0057689F"/>
    <w:rsid w:val="005769F5"/>
    <w:rsid w:val="00576AC9"/>
    <w:rsid w:val="00576C2C"/>
    <w:rsid w:val="00576C81"/>
    <w:rsid w:val="00576D0F"/>
    <w:rsid w:val="00576D1F"/>
    <w:rsid w:val="00576D5E"/>
    <w:rsid w:val="00576D97"/>
    <w:rsid w:val="00576E9A"/>
    <w:rsid w:val="00576FF9"/>
    <w:rsid w:val="00577039"/>
    <w:rsid w:val="005771D4"/>
    <w:rsid w:val="00577293"/>
    <w:rsid w:val="005774F7"/>
    <w:rsid w:val="005776B2"/>
    <w:rsid w:val="005776CB"/>
    <w:rsid w:val="00577878"/>
    <w:rsid w:val="005778A1"/>
    <w:rsid w:val="00577ADB"/>
    <w:rsid w:val="00577B06"/>
    <w:rsid w:val="00577C04"/>
    <w:rsid w:val="00577CF7"/>
    <w:rsid w:val="00577DE1"/>
    <w:rsid w:val="00577EF3"/>
    <w:rsid w:val="00577F86"/>
    <w:rsid w:val="00577FBF"/>
    <w:rsid w:val="00580195"/>
    <w:rsid w:val="0058019F"/>
    <w:rsid w:val="005801AD"/>
    <w:rsid w:val="00580245"/>
    <w:rsid w:val="00580322"/>
    <w:rsid w:val="005803DB"/>
    <w:rsid w:val="0058040E"/>
    <w:rsid w:val="0058059F"/>
    <w:rsid w:val="0058068C"/>
    <w:rsid w:val="005806F5"/>
    <w:rsid w:val="00580874"/>
    <w:rsid w:val="00580983"/>
    <w:rsid w:val="00580999"/>
    <w:rsid w:val="00580A5E"/>
    <w:rsid w:val="00580B53"/>
    <w:rsid w:val="00580CAF"/>
    <w:rsid w:val="00580DD0"/>
    <w:rsid w:val="00580DE5"/>
    <w:rsid w:val="00580E19"/>
    <w:rsid w:val="00580F05"/>
    <w:rsid w:val="0058107E"/>
    <w:rsid w:val="00581127"/>
    <w:rsid w:val="00581157"/>
    <w:rsid w:val="00581197"/>
    <w:rsid w:val="00581239"/>
    <w:rsid w:val="005814EF"/>
    <w:rsid w:val="00581715"/>
    <w:rsid w:val="005817F6"/>
    <w:rsid w:val="00581893"/>
    <w:rsid w:val="005818F3"/>
    <w:rsid w:val="005819B8"/>
    <w:rsid w:val="00581AF0"/>
    <w:rsid w:val="00581C81"/>
    <w:rsid w:val="00581CD0"/>
    <w:rsid w:val="00581CDB"/>
    <w:rsid w:val="00581DF1"/>
    <w:rsid w:val="00581E24"/>
    <w:rsid w:val="00581EED"/>
    <w:rsid w:val="005820EC"/>
    <w:rsid w:val="005821D3"/>
    <w:rsid w:val="00582210"/>
    <w:rsid w:val="0058237D"/>
    <w:rsid w:val="00582685"/>
    <w:rsid w:val="00582719"/>
    <w:rsid w:val="005828B8"/>
    <w:rsid w:val="005828DC"/>
    <w:rsid w:val="00582969"/>
    <w:rsid w:val="005829A5"/>
    <w:rsid w:val="00582A04"/>
    <w:rsid w:val="00582B2C"/>
    <w:rsid w:val="00582B94"/>
    <w:rsid w:val="00582BA5"/>
    <w:rsid w:val="00582BC9"/>
    <w:rsid w:val="00582C1F"/>
    <w:rsid w:val="00582DDF"/>
    <w:rsid w:val="00582E99"/>
    <w:rsid w:val="005830A7"/>
    <w:rsid w:val="005830C5"/>
    <w:rsid w:val="005830FC"/>
    <w:rsid w:val="00583151"/>
    <w:rsid w:val="00583158"/>
    <w:rsid w:val="005832AD"/>
    <w:rsid w:val="00583509"/>
    <w:rsid w:val="005835E6"/>
    <w:rsid w:val="005835EE"/>
    <w:rsid w:val="00583681"/>
    <w:rsid w:val="005836D6"/>
    <w:rsid w:val="00583749"/>
    <w:rsid w:val="00583882"/>
    <w:rsid w:val="005838CA"/>
    <w:rsid w:val="00583903"/>
    <w:rsid w:val="00583926"/>
    <w:rsid w:val="0058393B"/>
    <w:rsid w:val="0058394A"/>
    <w:rsid w:val="00583A19"/>
    <w:rsid w:val="00583A48"/>
    <w:rsid w:val="00583AC5"/>
    <w:rsid w:val="00583BE6"/>
    <w:rsid w:val="00583DE5"/>
    <w:rsid w:val="00583EC7"/>
    <w:rsid w:val="00583EFD"/>
    <w:rsid w:val="00583F30"/>
    <w:rsid w:val="00583F9E"/>
    <w:rsid w:val="0058416D"/>
    <w:rsid w:val="00584192"/>
    <w:rsid w:val="00584255"/>
    <w:rsid w:val="005842A7"/>
    <w:rsid w:val="005842EE"/>
    <w:rsid w:val="0058434A"/>
    <w:rsid w:val="005844A4"/>
    <w:rsid w:val="00584698"/>
    <w:rsid w:val="00584708"/>
    <w:rsid w:val="005847AE"/>
    <w:rsid w:val="0058485F"/>
    <w:rsid w:val="005848D6"/>
    <w:rsid w:val="00584A2F"/>
    <w:rsid w:val="00584E73"/>
    <w:rsid w:val="00584F41"/>
    <w:rsid w:val="00584F5D"/>
    <w:rsid w:val="00584FEB"/>
    <w:rsid w:val="00585059"/>
    <w:rsid w:val="00585567"/>
    <w:rsid w:val="0058559F"/>
    <w:rsid w:val="00585615"/>
    <w:rsid w:val="00585671"/>
    <w:rsid w:val="005856B9"/>
    <w:rsid w:val="0058577D"/>
    <w:rsid w:val="005857A1"/>
    <w:rsid w:val="00585845"/>
    <w:rsid w:val="00585BE7"/>
    <w:rsid w:val="00585DA2"/>
    <w:rsid w:val="00585FB5"/>
    <w:rsid w:val="0058604D"/>
    <w:rsid w:val="0058613D"/>
    <w:rsid w:val="00586194"/>
    <w:rsid w:val="0058645A"/>
    <w:rsid w:val="005864DC"/>
    <w:rsid w:val="0058659E"/>
    <w:rsid w:val="00586605"/>
    <w:rsid w:val="00586747"/>
    <w:rsid w:val="005867A5"/>
    <w:rsid w:val="005867E1"/>
    <w:rsid w:val="0058689C"/>
    <w:rsid w:val="005868DE"/>
    <w:rsid w:val="005868E2"/>
    <w:rsid w:val="00586989"/>
    <w:rsid w:val="00586A9E"/>
    <w:rsid w:val="00586C9F"/>
    <w:rsid w:val="00586CC1"/>
    <w:rsid w:val="00586DF4"/>
    <w:rsid w:val="00586E5D"/>
    <w:rsid w:val="0058712D"/>
    <w:rsid w:val="00587171"/>
    <w:rsid w:val="005871FD"/>
    <w:rsid w:val="00587227"/>
    <w:rsid w:val="005872E1"/>
    <w:rsid w:val="00587508"/>
    <w:rsid w:val="00587523"/>
    <w:rsid w:val="00587562"/>
    <w:rsid w:val="00587568"/>
    <w:rsid w:val="0058766E"/>
    <w:rsid w:val="00587670"/>
    <w:rsid w:val="005876E8"/>
    <w:rsid w:val="00587753"/>
    <w:rsid w:val="005877AC"/>
    <w:rsid w:val="00587809"/>
    <w:rsid w:val="0058782F"/>
    <w:rsid w:val="00587945"/>
    <w:rsid w:val="00587A5D"/>
    <w:rsid w:val="00587B1E"/>
    <w:rsid w:val="00587B24"/>
    <w:rsid w:val="00587CA3"/>
    <w:rsid w:val="00587D0C"/>
    <w:rsid w:val="00587D23"/>
    <w:rsid w:val="00587E17"/>
    <w:rsid w:val="00587EE6"/>
    <w:rsid w:val="0059005A"/>
    <w:rsid w:val="00590217"/>
    <w:rsid w:val="005902AF"/>
    <w:rsid w:val="005902C7"/>
    <w:rsid w:val="00590317"/>
    <w:rsid w:val="00590380"/>
    <w:rsid w:val="005903D0"/>
    <w:rsid w:val="0059040F"/>
    <w:rsid w:val="00590460"/>
    <w:rsid w:val="005904FE"/>
    <w:rsid w:val="00590512"/>
    <w:rsid w:val="00590567"/>
    <w:rsid w:val="005905FC"/>
    <w:rsid w:val="0059061D"/>
    <w:rsid w:val="0059071E"/>
    <w:rsid w:val="0059099F"/>
    <w:rsid w:val="005909D1"/>
    <w:rsid w:val="00590B2F"/>
    <w:rsid w:val="00590BDD"/>
    <w:rsid w:val="00590C87"/>
    <w:rsid w:val="00590D0D"/>
    <w:rsid w:val="00590D13"/>
    <w:rsid w:val="00590F95"/>
    <w:rsid w:val="00591321"/>
    <w:rsid w:val="00591383"/>
    <w:rsid w:val="0059139D"/>
    <w:rsid w:val="005913C1"/>
    <w:rsid w:val="0059141E"/>
    <w:rsid w:val="00591552"/>
    <w:rsid w:val="00591557"/>
    <w:rsid w:val="005915F5"/>
    <w:rsid w:val="00591739"/>
    <w:rsid w:val="005917A2"/>
    <w:rsid w:val="00591876"/>
    <w:rsid w:val="00591AB7"/>
    <w:rsid w:val="00591B06"/>
    <w:rsid w:val="00591B9B"/>
    <w:rsid w:val="00591C46"/>
    <w:rsid w:val="00591DA2"/>
    <w:rsid w:val="00591E20"/>
    <w:rsid w:val="00591EED"/>
    <w:rsid w:val="00591F02"/>
    <w:rsid w:val="00591FC6"/>
    <w:rsid w:val="0059201A"/>
    <w:rsid w:val="00592043"/>
    <w:rsid w:val="005920BF"/>
    <w:rsid w:val="0059210D"/>
    <w:rsid w:val="00592312"/>
    <w:rsid w:val="00592324"/>
    <w:rsid w:val="005924E8"/>
    <w:rsid w:val="00592604"/>
    <w:rsid w:val="005928C9"/>
    <w:rsid w:val="005929EC"/>
    <w:rsid w:val="00592A17"/>
    <w:rsid w:val="00592DBB"/>
    <w:rsid w:val="00592ED2"/>
    <w:rsid w:val="005933C1"/>
    <w:rsid w:val="005933FC"/>
    <w:rsid w:val="005934A4"/>
    <w:rsid w:val="00593557"/>
    <w:rsid w:val="00593657"/>
    <w:rsid w:val="005937CC"/>
    <w:rsid w:val="0059393E"/>
    <w:rsid w:val="00593A69"/>
    <w:rsid w:val="00593A9F"/>
    <w:rsid w:val="00593B08"/>
    <w:rsid w:val="00593B5D"/>
    <w:rsid w:val="00593B66"/>
    <w:rsid w:val="00593BDA"/>
    <w:rsid w:val="00593BEF"/>
    <w:rsid w:val="00593CED"/>
    <w:rsid w:val="00593CFA"/>
    <w:rsid w:val="00593EB4"/>
    <w:rsid w:val="00593EF3"/>
    <w:rsid w:val="005940C8"/>
    <w:rsid w:val="00594129"/>
    <w:rsid w:val="005941D5"/>
    <w:rsid w:val="0059440F"/>
    <w:rsid w:val="0059447E"/>
    <w:rsid w:val="00594505"/>
    <w:rsid w:val="005945F5"/>
    <w:rsid w:val="0059479A"/>
    <w:rsid w:val="00594859"/>
    <w:rsid w:val="00594881"/>
    <w:rsid w:val="00594B2C"/>
    <w:rsid w:val="00594C3A"/>
    <w:rsid w:val="00594C8B"/>
    <w:rsid w:val="00594CF2"/>
    <w:rsid w:val="00594E56"/>
    <w:rsid w:val="00594F0E"/>
    <w:rsid w:val="00594FA3"/>
    <w:rsid w:val="00595017"/>
    <w:rsid w:val="0059507B"/>
    <w:rsid w:val="0059509B"/>
    <w:rsid w:val="005950AA"/>
    <w:rsid w:val="00595136"/>
    <w:rsid w:val="00595180"/>
    <w:rsid w:val="0059519B"/>
    <w:rsid w:val="00595203"/>
    <w:rsid w:val="00595217"/>
    <w:rsid w:val="00595249"/>
    <w:rsid w:val="0059527D"/>
    <w:rsid w:val="005952C8"/>
    <w:rsid w:val="005953B9"/>
    <w:rsid w:val="00595454"/>
    <w:rsid w:val="00595540"/>
    <w:rsid w:val="00595889"/>
    <w:rsid w:val="005958C9"/>
    <w:rsid w:val="00595B07"/>
    <w:rsid w:val="00595B1E"/>
    <w:rsid w:val="005960B8"/>
    <w:rsid w:val="005960E0"/>
    <w:rsid w:val="005961D8"/>
    <w:rsid w:val="00596225"/>
    <w:rsid w:val="005962FC"/>
    <w:rsid w:val="0059632C"/>
    <w:rsid w:val="00596454"/>
    <w:rsid w:val="0059658A"/>
    <w:rsid w:val="0059658F"/>
    <w:rsid w:val="005965AA"/>
    <w:rsid w:val="0059661B"/>
    <w:rsid w:val="00596654"/>
    <w:rsid w:val="00596677"/>
    <w:rsid w:val="00596685"/>
    <w:rsid w:val="0059669A"/>
    <w:rsid w:val="005966B7"/>
    <w:rsid w:val="005966E2"/>
    <w:rsid w:val="00596724"/>
    <w:rsid w:val="005967C7"/>
    <w:rsid w:val="00596A14"/>
    <w:rsid w:val="00596E77"/>
    <w:rsid w:val="00596EFE"/>
    <w:rsid w:val="00596F1A"/>
    <w:rsid w:val="0059702F"/>
    <w:rsid w:val="0059725C"/>
    <w:rsid w:val="00597327"/>
    <w:rsid w:val="0059738B"/>
    <w:rsid w:val="005973C6"/>
    <w:rsid w:val="005973CC"/>
    <w:rsid w:val="005973CD"/>
    <w:rsid w:val="00597431"/>
    <w:rsid w:val="00597493"/>
    <w:rsid w:val="005974DD"/>
    <w:rsid w:val="00597747"/>
    <w:rsid w:val="00597833"/>
    <w:rsid w:val="00597890"/>
    <w:rsid w:val="005978BD"/>
    <w:rsid w:val="00597904"/>
    <w:rsid w:val="00597939"/>
    <w:rsid w:val="005979DB"/>
    <w:rsid w:val="00597A86"/>
    <w:rsid w:val="00597D07"/>
    <w:rsid w:val="00597DB6"/>
    <w:rsid w:val="00597F74"/>
    <w:rsid w:val="00597FAF"/>
    <w:rsid w:val="00597FF2"/>
    <w:rsid w:val="005A0022"/>
    <w:rsid w:val="005A00E8"/>
    <w:rsid w:val="005A015F"/>
    <w:rsid w:val="005A01B0"/>
    <w:rsid w:val="005A01DC"/>
    <w:rsid w:val="005A0355"/>
    <w:rsid w:val="005A0472"/>
    <w:rsid w:val="005A04AD"/>
    <w:rsid w:val="005A05C4"/>
    <w:rsid w:val="005A07A7"/>
    <w:rsid w:val="005A088E"/>
    <w:rsid w:val="005A0909"/>
    <w:rsid w:val="005A0A05"/>
    <w:rsid w:val="005A0A68"/>
    <w:rsid w:val="005A0B5C"/>
    <w:rsid w:val="005A0CDD"/>
    <w:rsid w:val="005A0D60"/>
    <w:rsid w:val="005A0E94"/>
    <w:rsid w:val="005A0F6F"/>
    <w:rsid w:val="005A1045"/>
    <w:rsid w:val="005A117E"/>
    <w:rsid w:val="005A118C"/>
    <w:rsid w:val="005A1376"/>
    <w:rsid w:val="005A14B5"/>
    <w:rsid w:val="005A1727"/>
    <w:rsid w:val="005A17DF"/>
    <w:rsid w:val="005A17F7"/>
    <w:rsid w:val="005A197A"/>
    <w:rsid w:val="005A19B7"/>
    <w:rsid w:val="005A1BCF"/>
    <w:rsid w:val="005A1C0B"/>
    <w:rsid w:val="005A1C9A"/>
    <w:rsid w:val="005A1CCE"/>
    <w:rsid w:val="005A1DC0"/>
    <w:rsid w:val="005A2079"/>
    <w:rsid w:val="005A22A0"/>
    <w:rsid w:val="005A23E3"/>
    <w:rsid w:val="005A2403"/>
    <w:rsid w:val="005A2583"/>
    <w:rsid w:val="005A25BA"/>
    <w:rsid w:val="005A25EE"/>
    <w:rsid w:val="005A26C6"/>
    <w:rsid w:val="005A28C6"/>
    <w:rsid w:val="005A2AAF"/>
    <w:rsid w:val="005A2CE9"/>
    <w:rsid w:val="005A2E1A"/>
    <w:rsid w:val="005A2EAB"/>
    <w:rsid w:val="005A2F42"/>
    <w:rsid w:val="005A30B2"/>
    <w:rsid w:val="005A3143"/>
    <w:rsid w:val="005A3150"/>
    <w:rsid w:val="005A3152"/>
    <w:rsid w:val="005A318C"/>
    <w:rsid w:val="005A37B7"/>
    <w:rsid w:val="005A3811"/>
    <w:rsid w:val="005A3956"/>
    <w:rsid w:val="005A3ABB"/>
    <w:rsid w:val="005A3AE0"/>
    <w:rsid w:val="005A3B71"/>
    <w:rsid w:val="005A3CE4"/>
    <w:rsid w:val="005A416B"/>
    <w:rsid w:val="005A441E"/>
    <w:rsid w:val="005A442B"/>
    <w:rsid w:val="005A448B"/>
    <w:rsid w:val="005A44AA"/>
    <w:rsid w:val="005A44B9"/>
    <w:rsid w:val="005A4566"/>
    <w:rsid w:val="005A4714"/>
    <w:rsid w:val="005A486D"/>
    <w:rsid w:val="005A4964"/>
    <w:rsid w:val="005A4A96"/>
    <w:rsid w:val="005A4B2D"/>
    <w:rsid w:val="005A4CBC"/>
    <w:rsid w:val="005A4CBE"/>
    <w:rsid w:val="005A4EBA"/>
    <w:rsid w:val="005A4EF1"/>
    <w:rsid w:val="005A50E3"/>
    <w:rsid w:val="005A51A0"/>
    <w:rsid w:val="005A51F8"/>
    <w:rsid w:val="005A53CD"/>
    <w:rsid w:val="005A54C2"/>
    <w:rsid w:val="005A55D1"/>
    <w:rsid w:val="005A561D"/>
    <w:rsid w:val="005A569A"/>
    <w:rsid w:val="005A5827"/>
    <w:rsid w:val="005A5839"/>
    <w:rsid w:val="005A5856"/>
    <w:rsid w:val="005A58BC"/>
    <w:rsid w:val="005A5A5F"/>
    <w:rsid w:val="005A5BF5"/>
    <w:rsid w:val="005A5CCA"/>
    <w:rsid w:val="005A5CE8"/>
    <w:rsid w:val="005A5D0C"/>
    <w:rsid w:val="005A5E8C"/>
    <w:rsid w:val="005A5F88"/>
    <w:rsid w:val="005A604B"/>
    <w:rsid w:val="005A604E"/>
    <w:rsid w:val="005A610E"/>
    <w:rsid w:val="005A61DD"/>
    <w:rsid w:val="005A6211"/>
    <w:rsid w:val="005A62F2"/>
    <w:rsid w:val="005A6321"/>
    <w:rsid w:val="005A63EF"/>
    <w:rsid w:val="005A64C7"/>
    <w:rsid w:val="005A653E"/>
    <w:rsid w:val="005A6693"/>
    <w:rsid w:val="005A6771"/>
    <w:rsid w:val="005A67C8"/>
    <w:rsid w:val="005A67E7"/>
    <w:rsid w:val="005A68F2"/>
    <w:rsid w:val="005A69F6"/>
    <w:rsid w:val="005A6BAA"/>
    <w:rsid w:val="005A6C4C"/>
    <w:rsid w:val="005A6C65"/>
    <w:rsid w:val="005A6CF5"/>
    <w:rsid w:val="005A6D4D"/>
    <w:rsid w:val="005A6DE5"/>
    <w:rsid w:val="005A6E4E"/>
    <w:rsid w:val="005A6F00"/>
    <w:rsid w:val="005A70D5"/>
    <w:rsid w:val="005A715B"/>
    <w:rsid w:val="005A7272"/>
    <w:rsid w:val="005A72CD"/>
    <w:rsid w:val="005A73AE"/>
    <w:rsid w:val="005A73FA"/>
    <w:rsid w:val="005A7492"/>
    <w:rsid w:val="005A74CD"/>
    <w:rsid w:val="005A7505"/>
    <w:rsid w:val="005A75F8"/>
    <w:rsid w:val="005A78A0"/>
    <w:rsid w:val="005A78A2"/>
    <w:rsid w:val="005A79D8"/>
    <w:rsid w:val="005A7C3A"/>
    <w:rsid w:val="005A7D3B"/>
    <w:rsid w:val="005A7DAE"/>
    <w:rsid w:val="005A7EB3"/>
    <w:rsid w:val="005A7ECD"/>
    <w:rsid w:val="005B0120"/>
    <w:rsid w:val="005B0331"/>
    <w:rsid w:val="005B0456"/>
    <w:rsid w:val="005B0486"/>
    <w:rsid w:val="005B0630"/>
    <w:rsid w:val="005B065C"/>
    <w:rsid w:val="005B0665"/>
    <w:rsid w:val="005B06C9"/>
    <w:rsid w:val="005B072D"/>
    <w:rsid w:val="005B08A9"/>
    <w:rsid w:val="005B0928"/>
    <w:rsid w:val="005B0C2E"/>
    <w:rsid w:val="005B0C3B"/>
    <w:rsid w:val="005B0CD7"/>
    <w:rsid w:val="005B0D0B"/>
    <w:rsid w:val="005B0E74"/>
    <w:rsid w:val="005B0FD1"/>
    <w:rsid w:val="005B0FE6"/>
    <w:rsid w:val="005B0FF2"/>
    <w:rsid w:val="005B104F"/>
    <w:rsid w:val="005B11AC"/>
    <w:rsid w:val="005B152A"/>
    <w:rsid w:val="005B1551"/>
    <w:rsid w:val="005B15BD"/>
    <w:rsid w:val="005B1664"/>
    <w:rsid w:val="005B16A4"/>
    <w:rsid w:val="005B16E9"/>
    <w:rsid w:val="005B17DC"/>
    <w:rsid w:val="005B184D"/>
    <w:rsid w:val="005B1863"/>
    <w:rsid w:val="005B187C"/>
    <w:rsid w:val="005B18EB"/>
    <w:rsid w:val="005B1910"/>
    <w:rsid w:val="005B195B"/>
    <w:rsid w:val="005B1ACB"/>
    <w:rsid w:val="005B1C2E"/>
    <w:rsid w:val="005B1D4E"/>
    <w:rsid w:val="005B1DA5"/>
    <w:rsid w:val="005B1E0C"/>
    <w:rsid w:val="005B1E47"/>
    <w:rsid w:val="005B1F0B"/>
    <w:rsid w:val="005B1F63"/>
    <w:rsid w:val="005B1FF7"/>
    <w:rsid w:val="005B2088"/>
    <w:rsid w:val="005B216E"/>
    <w:rsid w:val="005B2262"/>
    <w:rsid w:val="005B2272"/>
    <w:rsid w:val="005B22A3"/>
    <w:rsid w:val="005B2356"/>
    <w:rsid w:val="005B238D"/>
    <w:rsid w:val="005B24E3"/>
    <w:rsid w:val="005B256F"/>
    <w:rsid w:val="005B271C"/>
    <w:rsid w:val="005B2785"/>
    <w:rsid w:val="005B27BC"/>
    <w:rsid w:val="005B2933"/>
    <w:rsid w:val="005B2AF6"/>
    <w:rsid w:val="005B2B31"/>
    <w:rsid w:val="005B2B92"/>
    <w:rsid w:val="005B2DC0"/>
    <w:rsid w:val="005B2E57"/>
    <w:rsid w:val="005B2EE6"/>
    <w:rsid w:val="005B3048"/>
    <w:rsid w:val="005B3193"/>
    <w:rsid w:val="005B3265"/>
    <w:rsid w:val="005B33DC"/>
    <w:rsid w:val="005B372F"/>
    <w:rsid w:val="005B3C49"/>
    <w:rsid w:val="005B3DA0"/>
    <w:rsid w:val="005B3E92"/>
    <w:rsid w:val="005B3EC2"/>
    <w:rsid w:val="005B3F20"/>
    <w:rsid w:val="005B3FE1"/>
    <w:rsid w:val="005B4027"/>
    <w:rsid w:val="005B406B"/>
    <w:rsid w:val="005B418E"/>
    <w:rsid w:val="005B426B"/>
    <w:rsid w:val="005B4450"/>
    <w:rsid w:val="005B449A"/>
    <w:rsid w:val="005B459D"/>
    <w:rsid w:val="005B461E"/>
    <w:rsid w:val="005B4625"/>
    <w:rsid w:val="005B4642"/>
    <w:rsid w:val="005B471C"/>
    <w:rsid w:val="005B49D8"/>
    <w:rsid w:val="005B4A1B"/>
    <w:rsid w:val="005B4ABA"/>
    <w:rsid w:val="005B4AD8"/>
    <w:rsid w:val="005B4CBC"/>
    <w:rsid w:val="005B4D41"/>
    <w:rsid w:val="005B4EC3"/>
    <w:rsid w:val="005B4EE9"/>
    <w:rsid w:val="005B4F72"/>
    <w:rsid w:val="005B4FE7"/>
    <w:rsid w:val="005B5039"/>
    <w:rsid w:val="005B5093"/>
    <w:rsid w:val="005B50A4"/>
    <w:rsid w:val="005B51B4"/>
    <w:rsid w:val="005B57B1"/>
    <w:rsid w:val="005B57C3"/>
    <w:rsid w:val="005B57CF"/>
    <w:rsid w:val="005B5830"/>
    <w:rsid w:val="005B585E"/>
    <w:rsid w:val="005B5975"/>
    <w:rsid w:val="005B5AB1"/>
    <w:rsid w:val="005B5B32"/>
    <w:rsid w:val="005B5C4A"/>
    <w:rsid w:val="005B5D72"/>
    <w:rsid w:val="005B5DDA"/>
    <w:rsid w:val="005B5E2A"/>
    <w:rsid w:val="005B5EA6"/>
    <w:rsid w:val="005B5F14"/>
    <w:rsid w:val="005B608E"/>
    <w:rsid w:val="005B6266"/>
    <w:rsid w:val="005B640F"/>
    <w:rsid w:val="005B6432"/>
    <w:rsid w:val="005B64C6"/>
    <w:rsid w:val="005B64D6"/>
    <w:rsid w:val="005B65BB"/>
    <w:rsid w:val="005B6639"/>
    <w:rsid w:val="005B6724"/>
    <w:rsid w:val="005B6883"/>
    <w:rsid w:val="005B68AF"/>
    <w:rsid w:val="005B6910"/>
    <w:rsid w:val="005B6C84"/>
    <w:rsid w:val="005B6C89"/>
    <w:rsid w:val="005B6EA8"/>
    <w:rsid w:val="005B6EAD"/>
    <w:rsid w:val="005B6EBE"/>
    <w:rsid w:val="005B6ED5"/>
    <w:rsid w:val="005B6EF9"/>
    <w:rsid w:val="005B709A"/>
    <w:rsid w:val="005B71CB"/>
    <w:rsid w:val="005B7234"/>
    <w:rsid w:val="005B7280"/>
    <w:rsid w:val="005B73BA"/>
    <w:rsid w:val="005B73C0"/>
    <w:rsid w:val="005B7453"/>
    <w:rsid w:val="005B7484"/>
    <w:rsid w:val="005B751B"/>
    <w:rsid w:val="005B7592"/>
    <w:rsid w:val="005B76B2"/>
    <w:rsid w:val="005B7736"/>
    <w:rsid w:val="005B778E"/>
    <w:rsid w:val="005B77DE"/>
    <w:rsid w:val="005B789A"/>
    <w:rsid w:val="005B7913"/>
    <w:rsid w:val="005B7ACB"/>
    <w:rsid w:val="005B7B5A"/>
    <w:rsid w:val="005B7B61"/>
    <w:rsid w:val="005B7C17"/>
    <w:rsid w:val="005B7F15"/>
    <w:rsid w:val="005B7F16"/>
    <w:rsid w:val="005C00C4"/>
    <w:rsid w:val="005C025D"/>
    <w:rsid w:val="005C02A4"/>
    <w:rsid w:val="005C02BC"/>
    <w:rsid w:val="005C0545"/>
    <w:rsid w:val="005C0593"/>
    <w:rsid w:val="005C05F8"/>
    <w:rsid w:val="005C06F3"/>
    <w:rsid w:val="005C0821"/>
    <w:rsid w:val="005C087A"/>
    <w:rsid w:val="005C08B4"/>
    <w:rsid w:val="005C08C0"/>
    <w:rsid w:val="005C0A2D"/>
    <w:rsid w:val="005C0C7D"/>
    <w:rsid w:val="005C0CB0"/>
    <w:rsid w:val="005C0D05"/>
    <w:rsid w:val="005C0D0F"/>
    <w:rsid w:val="005C0F07"/>
    <w:rsid w:val="005C10D2"/>
    <w:rsid w:val="005C1222"/>
    <w:rsid w:val="005C132C"/>
    <w:rsid w:val="005C159A"/>
    <w:rsid w:val="005C1640"/>
    <w:rsid w:val="005C1689"/>
    <w:rsid w:val="005C176E"/>
    <w:rsid w:val="005C1866"/>
    <w:rsid w:val="005C1942"/>
    <w:rsid w:val="005C1A32"/>
    <w:rsid w:val="005C1B9F"/>
    <w:rsid w:val="005C1C0B"/>
    <w:rsid w:val="005C1E79"/>
    <w:rsid w:val="005C20D2"/>
    <w:rsid w:val="005C2137"/>
    <w:rsid w:val="005C224F"/>
    <w:rsid w:val="005C225B"/>
    <w:rsid w:val="005C22A1"/>
    <w:rsid w:val="005C2656"/>
    <w:rsid w:val="005C268A"/>
    <w:rsid w:val="005C27CA"/>
    <w:rsid w:val="005C28EE"/>
    <w:rsid w:val="005C2A11"/>
    <w:rsid w:val="005C2B24"/>
    <w:rsid w:val="005C2B28"/>
    <w:rsid w:val="005C2C9D"/>
    <w:rsid w:val="005C2D68"/>
    <w:rsid w:val="005C2E04"/>
    <w:rsid w:val="005C2E57"/>
    <w:rsid w:val="005C3276"/>
    <w:rsid w:val="005C32FE"/>
    <w:rsid w:val="005C3325"/>
    <w:rsid w:val="005C341D"/>
    <w:rsid w:val="005C35F8"/>
    <w:rsid w:val="005C3660"/>
    <w:rsid w:val="005C36B8"/>
    <w:rsid w:val="005C36C4"/>
    <w:rsid w:val="005C3716"/>
    <w:rsid w:val="005C37E9"/>
    <w:rsid w:val="005C3875"/>
    <w:rsid w:val="005C38B5"/>
    <w:rsid w:val="005C399B"/>
    <w:rsid w:val="005C399D"/>
    <w:rsid w:val="005C3AD2"/>
    <w:rsid w:val="005C3BEC"/>
    <w:rsid w:val="005C3C33"/>
    <w:rsid w:val="005C3C8B"/>
    <w:rsid w:val="005C3CD2"/>
    <w:rsid w:val="005C3D6B"/>
    <w:rsid w:val="005C3DC0"/>
    <w:rsid w:val="005C3E01"/>
    <w:rsid w:val="005C4054"/>
    <w:rsid w:val="005C40C2"/>
    <w:rsid w:val="005C40F9"/>
    <w:rsid w:val="005C4195"/>
    <w:rsid w:val="005C41CD"/>
    <w:rsid w:val="005C42BD"/>
    <w:rsid w:val="005C4334"/>
    <w:rsid w:val="005C43EA"/>
    <w:rsid w:val="005C4520"/>
    <w:rsid w:val="005C46B0"/>
    <w:rsid w:val="005C4740"/>
    <w:rsid w:val="005C487F"/>
    <w:rsid w:val="005C4A52"/>
    <w:rsid w:val="005C4AAA"/>
    <w:rsid w:val="005C4B6A"/>
    <w:rsid w:val="005C4CEB"/>
    <w:rsid w:val="005C4D1B"/>
    <w:rsid w:val="005C4D60"/>
    <w:rsid w:val="005C4DBB"/>
    <w:rsid w:val="005C4DCD"/>
    <w:rsid w:val="005C4DD4"/>
    <w:rsid w:val="005C4DDB"/>
    <w:rsid w:val="005C4EFD"/>
    <w:rsid w:val="005C4F4F"/>
    <w:rsid w:val="005C4F53"/>
    <w:rsid w:val="005C5019"/>
    <w:rsid w:val="005C503A"/>
    <w:rsid w:val="005C505A"/>
    <w:rsid w:val="005C508A"/>
    <w:rsid w:val="005C52CB"/>
    <w:rsid w:val="005C549E"/>
    <w:rsid w:val="005C5606"/>
    <w:rsid w:val="005C570E"/>
    <w:rsid w:val="005C5726"/>
    <w:rsid w:val="005C5784"/>
    <w:rsid w:val="005C584F"/>
    <w:rsid w:val="005C58CF"/>
    <w:rsid w:val="005C591D"/>
    <w:rsid w:val="005C599D"/>
    <w:rsid w:val="005C5C86"/>
    <w:rsid w:val="005C5DE2"/>
    <w:rsid w:val="005C5E57"/>
    <w:rsid w:val="005C6049"/>
    <w:rsid w:val="005C60D9"/>
    <w:rsid w:val="005C610E"/>
    <w:rsid w:val="005C6233"/>
    <w:rsid w:val="005C6287"/>
    <w:rsid w:val="005C62C9"/>
    <w:rsid w:val="005C6506"/>
    <w:rsid w:val="005C67FE"/>
    <w:rsid w:val="005C681D"/>
    <w:rsid w:val="005C68EA"/>
    <w:rsid w:val="005C6973"/>
    <w:rsid w:val="005C6A47"/>
    <w:rsid w:val="005C6C0B"/>
    <w:rsid w:val="005C6DFD"/>
    <w:rsid w:val="005C6F59"/>
    <w:rsid w:val="005C711D"/>
    <w:rsid w:val="005C71B4"/>
    <w:rsid w:val="005C72DE"/>
    <w:rsid w:val="005C7326"/>
    <w:rsid w:val="005C73F5"/>
    <w:rsid w:val="005C7482"/>
    <w:rsid w:val="005C7805"/>
    <w:rsid w:val="005C780D"/>
    <w:rsid w:val="005C7855"/>
    <w:rsid w:val="005C7941"/>
    <w:rsid w:val="005C79C4"/>
    <w:rsid w:val="005C79E3"/>
    <w:rsid w:val="005C7AD3"/>
    <w:rsid w:val="005C7D68"/>
    <w:rsid w:val="005C7F39"/>
    <w:rsid w:val="005C7F6D"/>
    <w:rsid w:val="005C7FAD"/>
    <w:rsid w:val="005D0051"/>
    <w:rsid w:val="005D00D1"/>
    <w:rsid w:val="005D0181"/>
    <w:rsid w:val="005D0192"/>
    <w:rsid w:val="005D0210"/>
    <w:rsid w:val="005D024A"/>
    <w:rsid w:val="005D02D1"/>
    <w:rsid w:val="005D03AB"/>
    <w:rsid w:val="005D03E9"/>
    <w:rsid w:val="005D04DB"/>
    <w:rsid w:val="005D075C"/>
    <w:rsid w:val="005D08F7"/>
    <w:rsid w:val="005D091E"/>
    <w:rsid w:val="005D09B7"/>
    <w:rsid w:val="005D0A60"/>
    <w:rsid w:val="005D0C6D"/>
    <w:rsid w:val="005D0D71"/>
    <w:rsid w:val="005D0D84"/>
    <w:rsid w:val="005D0F67"/>
    <w:rsid w:val="005D1001"/>
    <w:rsid w:val="005D1112"/>
    <w:rsid w:val="005D12C2"/>
    <w:rsid w:val="005D12C6"/>
    <w:rsid w:val="005D12CF"/>
    <w:rsid w:val="005D1397"/>
    <w:rsid w:val="005D13F5"/>
    <w:rsid w:val="005D13FA"/>
    <w:rsid w:val="005D1420"/>
    <w:rsid w:val="005D148A"/>
    <w:rsid w:val="005D1648"/>
    <w:rsid w:val="005D182E"/>
    <w:rsid w:val="005D1899"/>
    <w:rsid w:val="005D18AF"/>
    <w:rsid w:val="005D18C3"/>
    <w:rsid w:val="005D19CC"/>
    <w:rsid w:val="005D1A63"/>
    <w:rsid w:val="005D1FEF"/>
    <w:rsid w:val="005D2042"/>
    <w:rsid w:val="005D20E4"/>
    <w:rsid w:val="005D2237"/>
    <w:rsid w:val="005D2297"/>
    <w:rsid w:val="005D2342"/>
    <w:rsid w:val="005D239A"/>
    <w:rsid w:val="005D2462"/>
    <w:rsid w:val="005D24EF"/>
    <w:rsid w:val="005D25D3"/>
    <w:rsid w:val="005D2677"/>
    <w:rsid w:val="005D2683"/>
    <w:rsid w:val="005D272C"/>
    <w:rsid w:val="005D278D"/>
    <w:rsid w:val="005D283D"/>
    <w:rsid w:val="005D2941"/>
    <w:rsid w:val="005D299B"/>
    <w:rsid w:val="005D2AF9"/>
    <w:rsid w:val="005D2B46"/>
    <w:rsid w:val="005D2CB5"/>
    <w:rsid w:val="005D2CE4"/>
    <w:rsid w:val="005D2E46"/>
    <w:rsid w:val="005D2E6F"/>
    <w:rsid w:val="005D2E91"/>
    <w:rsid w:val="005D2F57"/>
    <w:rsid w:val="005D3091"/>
    <w:rsid w:val="005D309E"/>
    <w:rsid w:val="005D30EB"/>
    <w:rsid w:val="005D3179"/>
    <w:rsid w:val="005D31DB"/>
    <w:rsid w:val="005D32E8"/>
    <w:rsid w:val="005D34F0"/>
    <w:rsid w:val="005D366E"/>
    <w:rsid w:val="005D36E3"/>
    <w:rsid w:val="005D3709"/>
    <w:rsid w:val="005D3817"/>
    <w:rsid w:val="005D382A"/>
    <w:rsid w:val="005D3AA3"/>
    <w:rsid w:val="005D3B44"/>
    <w:rsid w:val="005D3B98"/>
    <w:rsid w:val="005D3C11"/>
    <w:rsid w:val="005D3DB0"/>
    <w:rsid w:val="005D4047"/>
    <w:rsid w:val="005D4284"/>
    <w:rsid w:val="005D4297"/>
    <w:rsid w:val="005D4342"/>
    <w:rsid w:val="005D439D"/>
    <w:rsid w:val="005D43F2"/>
    <w:rsid w:val="005D43F5"/>
    <w:rsid w:val="005D449F"/>
    <w:rsid w:val="005D45BE"/>
    <w:rsid w:val="005D46F8"/>
    <w:rsid w:val="005D4722"/>
    <w:rsid w:val="005D4A11"/>
    <w:rsid w:val="005D4CB9"/>
    <w:rsid w:val="005D4E58"/>
    <w:rsid w:val="005D4FA4"/>
    <w:rsid w:val="005D4FD4"/>
    <w:rsid w:val="005D4FEA"/>
    <w:rsid w:val="005D51E2"/>
    <w:rsid w:val="005D52B2"/>
    <w:rsid w:val="005D534A"/>
    <w:rsid w:val="005D553F"/>
    <w:rsid w:val="005D57EA"/>
    <w:rsid w:val="005D5A61"/>
    <w:rsid w:val="005D5B46"/>
    <w:rsid w:val="005D5B56"/>
    <w:rsid w:val="005D5C4C"/>
    <w:rsid w:val="005D5D74"/>
    <w:rsid w:val="005D5D96"/>
    <w:rsid w:val="005D5E26"/>
    <w:rsid w:val="005D61BF"/>
    <w:rsid w:val="005D6453"/>
    <w:rsid w:val="005D64AE"/>
    <w:rsid w:val="005D65FA"/>
    <w:rsid w:val="005D6744"/>
    <w:rsid w:val="005D6761"/>
    <w:rsid w:val="005D6792"/>
    <w:rsid w:val="005D6847"/>
    <w:rsid w:val="005D690A"/>
    <w:rsid w:val="005D6968"/>
    <w:rsid w:val="005D6C06"/>
    <w:rsid w:val="005D6C19"/>
    <w:rsid w:val="005D6C3B"/>
    <w:rsid w:val="005D6C95"/>
    <w:rsid w:val="005D6D64"/>
    <w:rsid w:val="005D6D81"/>
    <w:rsid w:val="005D6E01"/>
    <w:rsid w:val="005D6FF7"/>
    <w:rsid w:val="005D7043"/>
    <w:rsid w:val="005D7052"/>
    <w:rsid w:val="005D709F"/>
    <w:rsid w:val="005D7181"/>
    <w:rsid w:val="005D71CC"/>
    <w:rsid w:val="005D71CF"/>
    <w:rsid w:val="005D7310"/>
    <w:rsid w:val="005D7324"/>
    <w:rsid w:val="005D735A"/>
    <w:rsid w:val="005D73F5"/>
    <w:rsid w:val="005D744A"/>
    <w:rsid w:val="005D74BA"/>
    <w:rsid w:val="005D7731"/>
    <w:rsid w:val="005D77FD"/>
    <w:rsid w:val="005D782C"/>
    <w:rsid w:val="005D7889"/>
    <w:rsid w:val="005D7980"/>
    <w:rsid w:val="005D7AE2"/>
    <w:rsid w:val="005D7C8F"/>
    <w:rsid w:val="005D7D08"/>
    <w:rsid w:val="005D7D44"/>
    <w:rsid w:val="005D7D56"/>
    <w:rsid w:val="005D7D57"/>
    <w:rsid w:val="005D7E1E"/>
    <w:rsid w:val="005D7EDA"/>
    <w:rsid w:val="005D7EFF"/>
    <w:rsid w:val="005E00B9"/>
    <w:rsid w:val="005E00C3"/>
    <w:rsid w:val="005E00FE"/>
    <w:rsid w:val="005E0100"/>
    <w:rsid w:val="005E01FC"/>
    <w:rsid w:val="005E0265"/>
    <w:rsid w:val="005E02D0"/>
    <w:rsid w:val="005E03EA"/>
    <w:rsid w:val="005E03F0"/>
    <w:rsid w:val="005E045D"/>
    <w:rsid w:val="005E0468"/>
    <w:rsid w:val="005E0502"/>
    <w:rsid w:val="005E06BB"/>
    <w:rsid w:val="005E07B2"/>
    <w:rsid w:val="005E0816"/>
    <w:rsid w:val="005E0900"/>
    <w:rsid w:val="005E092C"/>
    <w:rsid w:val="005E093B"/>
    <w:rsid w:val="005E0957"/>
    <w:rsid w:val="005E0A0C"/>
    <w:rsid w:val="005E0C33"/>
    <w:rsid w:val="005E0C5A"/>
    <w:rsid w:val="005E0CF0"/>
    <w:rsid w:val="005E0D12"/>
    <w:rsid w:val="005E0D97"/>
    <w:rsid w:val="005E0DD0"/>
    <w:rsid w:val="005E0F27"/>
    <w:rsid w:val="005E0F61"/>
    <w:rsid w:val="005E106A"/>
    <w:rsid w:val="005E11DF"/>
    <w:rsid w:val="005E1245"/>
    <w:rsid w:val="005E124D"/>
    <w:rsid w:val="005E125C"/>
    <w:rsid w:val="005E1299"/>
    <w:rsid w:val="005E12B6"/>
    <w:rsid w:val="005E130B"/>
    <w:rsid w:val="005E1507"/>
    <w:rsid w:val="005E157C"/>
    <w:rsid w:val="005E179E"/>
    <w:rsid w:val="005E182E"/>
    <w:rsid w:val="005E1913"/>
    <w:rsid w:val="005E194A"/>
    <w:rsid w:val="005E19C6"/>
    <w:rsid w:val="005E1A09"/>
    <w:rsid w:val="005E1D56"/>
    <w:rsid w:val="005E1EFA"/>
    <w:rsid w:val="005E2024"/>
    <w:rsid w:val="005E20A7"/>
    <w:rsid w:val="005E20B0"/>
    <w:rsid w:val="005E20F7"/>
    <w:rsid w:val="005E227C"/>
    <w:rsid w:val="005E236F"/>
    <w:rsid w:val="005E23E2"/>
    <w:rsid w:val="005E25A5"/>
    <w:rsid w:val="005E25BE"/>
    <w:rsid w:val="005E25DA"/>
    <w:rsid w:val="005E2615"/>
    <w:rsid w:val="005E265F"/>
    <w:rsid w:val="005E2671"/>
    <w:rsid w:val="005E26B7"/>
    <w:rsid w:val="005E2765"/>
    <w:rsid w:val="005E29C4"/>
    <w:rsid w:val="005E2AD6"/>
    <w:rsid w:val="005E2B47"/>
    <w:rsid w:val="005E2B56"/>
    <w:rsid w:val="005E2B81"/>
    <w:rsid w:val="005E2BAB"/>
    <w:rsid w:val="005E2D0C"/>
    <w:rsid w:val="005E2E0D"/>
    <w:rsid w:val="005E2EB9"/>
    <w:rsid w:val="005E3037"/>
    <w:rsid w:val="005E3056"/>
    <w:rsid w:val="005E305C"/>
    <w:rsid w:val="005E3145"/>
    <w:rsid w:val="005E322A"/>
    <w:rsid w:val="005E327F"/>
    <w:rsid w:val="005E32FB"/>
    <w:rsid w:val="005E33BB"/>
    <w:rsid w:val="005E34FE"/>
    <w:rsid w:val="005E3566"/>
    <w:rsid w:val="005E35F8"/>
    <w:rsid w:val="005E365C"/>
    <w:rsid w:val="005E37A8"/>
    <w:rsid w:val="005E37A9"/>
    <w:rsid w:val="005E3934"/>
    <w:rsid w:val="005E3A1B"/>
    <w:rsid w:val="005E3A95"/>
    <w:rsid w:val="005E3AB9"/>
    <w:rsid w:val="005E3B0C"/>
    <w:rsid w:val="005E3B93"/>
    <w:rsid w:val="005E3C62"/>
    <w:rsid w:val="005E3CB0"/>
    <w:rsid w:val="005E3D25"/>
    <w:rsid w:val="005E3F59"/>
    <w:rsid w:val="005E405E"/>
    <w:rsid w:val="005E40EC"/>
    <w:rsid w:val="005E4284"/>
    <w:rsid w:val="005E42AE"/>
    <w:rsid w:val="005E4396"/>
    <w:rsid w:val="005E4415"/>
    <w:rsid w:val="005E44B8"/>
    <w:rsid w:val="005E4609"/>
    <w:rsid w:val="005E46A6"/>
    <w:rsid w:val="005E4767"/>
    <w:rsid w:val="005E4783"/>
    <w:rsid w:val="005E478A"/>
    <w:rsid w:val="005E47ED"/>
    <w:rsid w:val="005E488A"/>
    <w:rsid w:val="005E4A54"/>
    <w:rsid w:val="005E4B21"/>
    <w:rsid w:val="005E4BF1"/>
    <w:rsid w:val="005E4C22"/>
    <w:rsid w:val="005E4C2E"/>
    <w:rsid w:val="005E4D0D"/>
    <w:rsid w:val="005E4D39"/>
    <w:rsid w:val="005E4D95"/>
    <w:rsid w:val="005E4EAD"/>
    <w:rsid w:val="005E4F08"/>
    <w:rsid w:val="005E4FC6"/>
    <w:rsid w:val="005E4FE4"/>
    <w:rsid w:val="005E500B"/>
    <w:rsid w:val="005E5219"/>
    <w:rsid w:val="005E5405"/>
    <w:rsid w:val="005E557A"/>
    <w:rsid w:val="005E561B"/>
    <w:rsid w:val="005E56D6"/>
    <w:rsid w:val="005E578B"/>
    <w:rsid w:val="005E5800"/>
    <w:rsid w:val="005E585E"/>
    <w:rsid w:val="005E5B7B"/>
    <w:rsid w:val="005E5BE1"/>
    <w:rsid w:val="005E5C09"/>
    <w:rsid w:val="005E5CC7"/>
    <w:rsid w:val="005E5CC8"/>
    <w:rsid w:val="005E5F51"/>
    <w:rsid w:val="005E6051"/>
    <w:rsid w:val="005E6106"/>
    <w:rsid w:val="005E6109"/>
    <w:rsid w:val="005E6119"/>
    <w:rsid w:val="005E6173"/>
    <w:rsid w:val="005E61AE"/>
    <w:rsid w:val="005E61F6"/>
    <w:rsid w:val="005E63F9"/>
    <w:rsid w:val="005E6411"/>
    <w:rsid w:val="005E643E"/>
    <w:rsid w:val="005E6578"/>
    <w:rsid w:val="005E6589"/>
    <w:rsid w:val="005E65CF"/>
    <w:rsid w:val="005E6649"/>
    <w:rsid w:val="005E68CE"/>
    <w:rsid w:val="005E6CB1"/>
    <w:rsid w:val="005E6D67"/>
    <w:rsid w:val="005E6F3A"/>
    <w:rsid w:val="005E709A"/>
    <w:rsid w:val="005E7146"/>
    <w:rsid w:val="005E7164"/>
    <w:rsid w:val="005E71A7"/>
    <w:rsid w:val="005E7320"/>
    <w:rsid w:val="005E732F"/>
    <w:rsid w:val="005E7397"/>
    <w:rsid w:val="005E7766"/>
    <w:rsid w:val="005E781F"/>
    <w:rsid w:val="005E7843"/>
    <w:rsid w:val="005E7892"/>
    <w:rsid w:val="005E7948"/>
    <w:rsid w:val="005E7A0A"/>
    <w:rsid w:val="005E7B57"/>
    <w:rsid w:val="005E7D32"/>
    <w:rsid w:val="005E7D65"/>
    <w:rsid w:val="005E7FF1"/>
    <w:rsid w:val="005F00D5"/>
    <w:rsid w:val="005F0124"/>
    <w:rsid w:val="005F0155"/>
    <w:rsid w:val="005F017A"/>
    <w:rsid w:val="005F017D"/>
    <w:rsid w:val="005F0366"/>
    <w:rsid w:val="005F043C"/>
    <w:rsid w:val="005F0583"/>
    <w:rsid w:val="005F09D9"/>
    <w:rsid w:val="005F0AA6"/>
    <w:rsid w:val="005F0C87"/>
    <w:rsid w:val="005F0D59"/>
    <w:rsid w:val="005F0DB5"/>
    <w:rsid w:val="005F0E63"/>
    <w:rsid w:val="005F0E72"/>
    <w:rsid w:val="005F0F91"/>
    <w:rsid w:val="005F1015"/>
    <w:rsid w:val="005F123E"/>
    <w:rsid w:val="005F1298"/>
    <w:rsid w:val="005F1352"/>
    <w:rsid w:val="005F1408"/>
    <w:rsid w:val="005F14C8"/>
    <w:rsid w:val="005F1604"/>
    <w:rsid w:val="005F1729"/>
    <w:rsid w:val="005F17AA"/>
    <w:rsid w:val="005F17F5"/>
    <w:rsid w:val="005F18CC"/>
    <w:rsid w:val="005F196D"/>
    <w:rsid w:val="005F19D8"/>
    <w:rsid w:val="005F1B0E"/>
    <w:rsid w:val="005F1BD2"/>
    <w:rsid w:val="005F1C59"/>
    <w:rsid w:val="005F1D2F"/>
    <w:rsid w:val="005F1E35"/>
    <w:rsid w:val="005F1EDE"/>
    <w:rsid w:val="005F20BE"/>
    <w:rsid w:val="005F213F"/>
    <w:rsid w:val="005F2214"/>
    <w:rsid w:val="005F225C"/>
    <w:rsid w:val="005F22C4"/>
    <w:rsid w:val="005F22F2"/>
    <w:rsid w:val="005F2478"/>
    <w:rsid w:val="005F247A"/>
    <w:rsid w:val="005F253F"/>
    <w:rsid w:val="005F25AE"/>
    <w:rsid w:val="005F2676"/>
    <w:rsid w:val="005F26A0"/>
    <w:rsid w:val="005F27AB"/>
    <w:rsid w:val="005F28A9"/>
    <w:rsid w:val="005F29A2"/>
    <w:rsid w:val="005F2A00"/>
    <w:rsid w:val="005F2A64"/>
    <w:rsid w:val="005F2AE3"/>
    <w:rsid w:val="005F2B78"/>
    <w:rsid w:val="005F2BB3"/>
    <w:rsid w:val="005F2D73"/>
    <w:rsid w:val="005F2DA9"/>
    <w:rsid w:val="005F2E55"/>
    <w:rsid w:val="005F2EDF"/>
    <w:rsid w:val="005F2F3F"/>
    <w:rsid w:val="005F30CD"/>
    <w:rsid w:val="005F3173"/>
    <w:rsid w:val="005F31E4"/>
    <w:rsid w:val="005F3250"/>
    <w:rsid w:val="005F32F1"/>
    <w:rsid w:val="005F33ED"/>
    <w:rsid w:val="005F346E"/>
    <w:rsid w:val="005F352D"/>
    <w:rsid w:val="005F35FA"/>
    <w:rsid w:val="005F3685"/>
    <w:rsid w:val="005F36EC"/>
    <w:rsid w:val="005F3811"/>
    <w:rsid w:val="005F398D"/>
    <w:rsid w:val="005F39CA"/>
    <w:rsid w:val="005F39EC"/>
    <w:rsid w:val="005F3B40"/>
    <w:rsid w:val="005F3BDC"/>
    <w:rsid w:val="005F3C2A"/>
    <w:rsid w:val="005F3D4C"/>
    <w:rsid w:val="005F3D8D"/>
    <w:rsid w:val="005F402C"/>
    <w:rsid w:val="005F4061"/>
    <w:rsid w:val="005F413B"/>
    <w:rsid w:val="005F4252"/>
    <w:rsid w:val="005F4417"/>
    <w:rsid w:val="005F44AD"/>
    <w:rsid w:val="005F45F8"/>
    <w:rsid w:val="005F47D6"/>
    <w:rsid w:val="005F49B5"/>
    <w:rsid w:val="005F49B6"/>
    <w:rsid w:val="005F4A97"/>
    <w:rsid w:val="005F4BB8"/>
    <w:rsid w:val="005F4C6E"/>
    <w:rsid w:val="005F4E05"/>
    <w:rsid w:val="005F5193"/>
    <w:rsid w:val="005F5431"/>
    <w:rsid w:val="005F543E"/>
    <w:rsid w:val="005F547A"/>
    <w:rsid w:val="005F54DE"/>
    <w:rsid w:val="005F550C"/>
    <w:rsid w:val="005F57DA"/>
    <w:rsid w:val="005F5827"/>
    <w:rsid w:val="005F5B79"/>
    <w:rsid w:val="005F5C6C"/>
    <w:rsid w:val="005F5C94"/>
    <w:rsid w:val="005F5E0A"/>
    <w:rsid w:val="005F5F06"/>
    <w:rsid w:val="005F5FB5"/>
    <w:rsid w:val="005F601E"/>
    <w:rsid w:val="005F6166"/>
    <w:rsid w:val="005F61CF"/>
    <w:rsid w:val="005F621E"/>
    <w:rsid w:val="005F628E"/>
    <w:rsid w:val="005F62E8"/>
    <w:rsid w:val="005F6371"/>
    <w:rsid w:val="005F6499"/>
    <w:rsid w:val="005F655B"/>
    <w:rsid w:val="005F65D8"/>
    <w:rsid w:val="005F686C"/>
    <w:rsid w:val="005F6933"/>
    <w:rsid w:val="005F6AE8"/>
    <w:rsid w:val="005F6B11"/>
    <w:rsid w:val="005F6B38"/>
    <w:rsid w:val="005F6B62"/>
    <w:rsid w:val="005F6BBE"/>
    <w:rsid w:val="005F6DA8"/>
    <w:rsid w:val="005F6E6A"/>
    <w:rsid w:val="005F6F1B"/>
    <w:rsid w:val="005F6FD0"/>
    <w:rsid w:val="005F6FFE"/>
    <w:rsid w:val="005F702B"/>
    <w:rsid w:val="005F7154"/>
    <w:rsid w:val="005F7312"/>
    <w:rsid w:val="005F733E"/>
    <w:rsid w:val="005F74F2"/>
    <w:rsid w:val="005F74F3"/>
    <w:rsid w:val="005F7500"/>
    <w:rsid w:val="005F7608"/>
    <w:rsid w:val="005F760B"/>
    <w:rsid w:val="005F76DC"/>
    <w:rsid w:val="005F76F7"/>
    <w:rsid w:val="005F77EC"/>
    <w:rsid w:val="005F77FC"/>
    <w:rsid w:val="005F782C"/>
    <w:rsid w:val="005F786B"/>
    <w:rsid w:val="005F7A01"/>
    <w:rsid w:val="005F7A5D"/>
    <w:rsid w:val="005F7A80"/>
    <w:rsid w:val="005F7B2A"/>
    <w:rsid w:val="005F7B88"/>
    <w:rsid w:val="005F7C6E"/>
    <w:rsid w:val="005F7E0C"/>
    <w:rsid w:val="005F7E55"/>
    <w:rsid w:val="005F7FE9"/>
    <w:rsid w:val="006000BA"/>
    <w:rsid w:val="00600192"/>
    <w:rsid w:val="0060032A"/>
    <w:rsid w:val="00600597"/>
    <w:rsid w:val="00600600"/>
    <w:rsid w:val="00600627"/>
    <w:rsid w:val="00600640"/>
    <w:rsid w:val="006007A6"/>
    <w:rsid w:val="006007BC"/>
    <w:rsid w:val="0060083F"/>
    <w:rsid w:val="006008C5"/>
    <w:rsid w:val="0060094C"/>
    <w:rsid w:val="0060097F"/>
    <w:rsid w:val="00600A17"/>
    <w:rsid w:val="00600B04"/>
    <w:rsid w:val="00600D1C"/>
    <w:rsid w:val="00600E27"/>
    <w:rsid w:val="00601015"/>
    <w:rsid w:val="006010DA"/>
    <w:rsid w:val="0060110E"/>
    <w:rsid w:val="00601235"/>
    <w:rsid w:val="00601303"/>
    <w:rsid w:val="0060134E"/>
    <w:rsid w:val="0060146D"/>
    <w:rsid w:val="006014A3"/>
    <w:rsid w:val="00601528"/>
    <w:rsid w:val="00601625"/>
    <w:rsid w:val="00601650"/>
    <w:rsid w:val="006016EA"/>
    <w:rsid w:val="00601781"/>
    <w:rsid w:val="00601811"/>
    <w:rsid w:val="00601888"/>
    <w:rsid w:val="00601891"/>
    <w:rsid w:val="006018A7"/>
    <w:rsid w:val="0060194C"/>
    <w:rsid w:val="0060196F"/>
    <w:rsid w:val="00601A69"/>
    <w:rsid w:val="00601AC7"/>
    <w:rsid w:val="00601BA3"/>
    <w:rsid w:val="00601E1E"/>
    <w:rsid w:val="00601E5B"/>
    <w:rsid w:val="0060213C"/>
    <w:rsid w:val="00602146"/>
    <w:rsid w:val="00602183"/>
    <w:rsid w:val="006021E1"/>
    <w:rsid w:val="0060229F"/>
    <w:rsid w:val="006022C0"/>
    <w:rsid w:val="00602345"/>
    <w:rsid w:val="006023EF"/>
    <w:rsid w:val="0060244C"/>
    <w:rsid w:val="00602450"/>
    <w:rsid w:val="00602470"/>
    <w:rsid w:val="006024A4"/>
    <w:rsid w:val="00602563"/>
    <w:rsid w:val="0060260F"/>
    <w:rsid w:val="00602796"/>
    <w:rsid w:val="0060283C"/>
    <w:rsid w:val="00602852"/>
    <w:rsid w:val="006028E8"/>
    <w:rsid w:val="00602A19"/>
    <w:rsid w:val="00602B1B"/>
    <w:rsid w:val="00602B54"/>
    <w:rsid w:val="00602B6F"/>
    <w:rsid w:val="00602C23"/>
    <w:rsid w:val="00602C44"/>
    <w:rsid w:val="00602D2F"/>
    <w:rsid w:val="006031E4"/>
    <w:rsid w:val="00603219"/>
    <w:rsid w:val="0060327A"/>
    <w:rsid w:val="006032BF"/>
    <w:rsid w:val="006032D8"/>
    <w:rsid w:val="006032FE"/>
    <w:rsid w:val="0060334D"/>
    <w:rsid w:val="006033E4"/>
    <w:rsid w:val="006034A5"/>
    <w:rsid w:val="00603561"/>
    <w:rsid w:val="00603684"/>
    <w:rsid w:val="006036F3"/>
    <w:rsid w:val="0060387B"/>
    <w:rsid w:val="00603892"/>
    <w:rsid w:val="00603978"/>
    <w:rsid w:val="006039B6"/>
    <w:rsid w:val="00603A36"/>
    <w:rsid w:val="00603BAE"/>
    <w:rsid w:val="00603DC6"/>
    <w:rsid w:val="006040BA"/>
    <w:rsid w:val="006042F8"/>
    <w:rsid w:val="00604378"/>
    <w:rsid w:val="0060447A"/>
    <w:rsid w:val="00604506"/>
    <w:rsid w:val="00604532"/>
    <w:rsid w:val="0060476E"/>
    <w:rsid w:val="00604A86"/>
    <w:rsid w:val="00604A8A"/>
    <w:rsid w:val="00604B24"/>
    <w:rsid w:val="00604BFA"/>
    <w:rsid w:val="00604D08"/>
    <w:rsid w:val="00604D31"/>
    <w:rsid w:val="00604D84"/>
    <w:rsid w:val="00604DBB"/>
    <w:rsid w:val="00604EDB"/>
    <w:rsid w:val="00604EEF"/>
    <w:rsid w:val="00604F02"/>
    <w:rsid w:val="00604FF4"/>
    <w:rsid w:val="00605175"/>
    <w:rsid w:val="0060526A"/>
    <w:rsid w:val="006052F0"/>
    <w:rsid w:val="0060539A"/>
    <w:rsid w:val="0060542E"/>
    <w:rsid w:val="00605445"/>
    <w:rsid w:val="00605446"/>
    <w:rsid w:val="0060558F"/>
    <w:rsid w:val="006055E6"/>
    <w:rsid w:val="006057B5"/>
    <w:rsid w:val="0060585D"/>
    <w:rsid w:val="006058C0"/>
    <w:rsid w:val="00605903"/>
    <w:rsid w:val="0060592D"/>
    <w:rsid w:val="00605AEE"/>
    <w:rsid w:val="00605AFD"/>
    <w:rsid w:val="00605C50"/>
    <w:rsid w:val="00605D18"/>
    <w:rsid w:val="00605D5C"/>
    <w:rsid w:val="00605E43"/>
    <w:rsid w:val="0060606C"/>
    <w:rsid w:val="00606245"/>
    <w:rsid w:val="006063F4"/>
    <w:rsid w:val="0060654C"/>
    <w:rsid w:val="006066E8"/>
    <w:rsid w:val="006066EB"/>
    <w:rsid w:val="00606703"/>
    <w:rsid w:val="00606733"/>
    <w:rsid w:val="0060674A"/>
    <w:rsid w:val="00606853"/>
    <w:rsid w:val="00606AD2"/>
    <w:rsid w:val="00606B58"/>
    <w:rsid w:val="00606B94"/>
    <w:rsid w:val="00606B9A"/>
    <w:rsid w:val="00606D05"/>
    <w:rsid w:val="00606D43"/>
    <w:rsid w:val="00606E13"/>
    <w:rsid w:val="00606EE6"/>
    <w:rsid w:val="00606FD6"/>
    <w:rsid w:val="00607012"/>
    <w:rsid w:val="006070E8"/>
    <w:rsid w:val="00607132"/>
    <w:rsid w:val="006073FA"/>
    <w:rsid w:val="00607624"/>
    <w:rsid w:val="00607637"/>
    <w:rsid w:val="0060775A"/>
    <w:rsid w:val="00607903"/>
    <w:rsid w:val="00607925"/>
    <w:rsid w:val="00607997"/>
    <w:rsid w:val="0060799B"/>
    <w:rsid w:val="00607AB1"/>
    <w:rsid w:val="00607AF6"/>
    <w:rsid w:val="00607E16"/>
    <w:rsid w:val="00607E9C"/>
    <w:rsid w:val="00610040"/>
    <w:rsid w:val="006100E5"/>
    <w:rsid w:val="00610241"/>
    <w:rsid w:val="00610242"/>
    <w:rsid w:val="006103BA"/>
    <w:rsid w:val="00610685"/>
    <w:rsid w:val="00610689"/>
    <w:rsid w:val="00610802"/>
    <w:rsid w:val="00610979"/>
    <w:rsid w:val="006109A4"/>
    <w:rsid w:val="00610AD3"/>
    <w:rsid w:val="00610B87"/>
    <w:rsid w:val="00610C48"/>
    <w:rsid w:val="00610CB7"/>
    <w:rsid w:val="00610CFB"/>
    <w:rsid w:val="00610D55"/>
    <w:rsid w:val="00610DCF"/>
    <w:rsid w:val="00610FBB"/>
    <w:rsid w:val="00611006"/>
    <w:rsid w:val="00611014"/>
    <w:rsid w:val="006111C5"/>
    <w:rsid w:val="0061122C"/>
    <w:rsid w:val="00611413"/>
    <w:rsid w:val="0061147A"/>
    <w:rsid w:val="006114CB"/>
    <w:rsid w:val="00611688"/>
    <w:rsid w:val="006116B8"/>
    <w:rsid w:val="0061174C"/>
    <w:rsid w:val="00611808"/>
    <w:rsid w:val="006119AC"/>
    <w:rsid w:val="006119CD"/>
    <w:rsid w:val="006119E3"/>
    <w:rsid w:val="00611AF5"/>
    <w:rsid w:val="00611C8C"/>
    <w:rsid w:val="00611CEE"/>
    <w:rsid w:val="00611CFD"/>
    <w:rsid w:val="00611D7C"/>
    <w:rsid w:val="00611ED6"/>
    <w:rsid w:val="006120E5"/>
    <w:rsid w:val="006121B7"/>
    <w:rsid w:val="006123D4"/>
    <w:rsid w:val="006123E6"/>
    <w:rsid w:val="00612713"/>
    <w:rsid w:val="00612943"/>
    <w:rsid w:val="00612A8A"/>
    <w:rsid w:val="00612B3B"/>
    <w:rsid w:val="00612B8A"/>
    <w:rsid w:val="00612CB7"/>
    <w:rsid w:val="00612F59"/>
    <w:rsid w:val="0061324F"/>
    <w:rsid w:val="0061329B"/>
    <w:rsid w:val="00613451"/>
    <w:rsid w:val="00613486"/>
    <w:rsid w:val="00613512"/>
    <w:rsid w:val="006135E8"/>
    <w:rsid w:val="00613645"/>
    <w:rsid w:val="006137D0"/>
    <w:rsid w:val="00613885"/>
    <w:rsid w:val="00613A91"/>
    <w:rsid w:val="00613B3E"/>
    <w:rsid w:val="00613B69"/>
    <w:rsid w:val="00613CCC"/>
    <w:rsid w:val="00613CE7"/>
    <w:rsid w:val="00613CF1"/>
    <w:rsid w:val="00613D8B"/>
    <w:rsid w:val="00613DC6"/>
    <w:rsid w:val="00613E75"/>
    <w:rsid w:val="00613E9A"/>
    <w:rsid w:val="00613EE8"/>
    <w:rsid w:val="00614086"/>
    <w:rsid w:val="00614263"/>
    <w:rsid w:val="0061428F"/>
    <w:rsid w:val="00614340"/>
    <w:rsid w:val="006143C2"/>
    <w:rsid w:val="0061445B"/>
    <w:rsid w:val="00614634"/>
    <w:rsid w:val="00614680"/>
    <w:rsid w:val="0061468E"/>
    <w:rsid w:val="006146EA"/>
    <w:rsid w:val="0061475F"/>
    <w:rsid w:val="006147FB"/>
    <w:rsid w:val="00614886"/>
    <w:rsid w:val="00614915"/>
    <w:rsid w:val="006149A0"/>
    <w:rsid w:val="00614B40"/>
    <w:rsid w:val="00614B7A"/>
    <w:rsid w:val="00614BFF"/>
    <w:rsid w:val="00614C02"/>
    <w:rsid w:val="00614C17"/>
    <w:rsid w:val="00614F76"/>
    <w:rsid w:val="0061502D"/>
    <w:rsid w:val="00615038"/>
    <w:rsid w:val="0061505F"/>
    <w:rsid w:val="0061516C"/>
    <w:rsid w:val="00615303"/>
    <w:rsid w:val="006153FA"/>
    <w:rsid w:val="006155AD"/>
    <w:rsid w:val="00615607"/>
    <w:rsid w:val="00615654"/>
    <w:rsid w:val="0061571D"/>
    <w:rsid w:val="006157DF"/>
    <w:rsid w:val="00615894"/>
    <w:rsid w:val="006158EA"/>
    <w:rsid w:val="0061593E"/>
    <w:rsid w:val="00615AF8"/>
    <w:rsid w:val="00615B0D"/>
    <w:rsid w:val="00615B3D"/>
    <w:rsid w:val="00615BF1"/>
    <w:rsid w:val="00615CDA"/>
    <w:rsid w:val="00615ED3"/>
    <w:rsid w:val="00615F78"/>
    <w:rsid w:val="00615FAC"/>
    <w:rsid w:val="00615FE8"/>
    <w:rsid w:val="0061612D"/>
    <w:rsid w:val="00616270"/>
    <w:rsid w:val="006164AA"/>
    <w:rsid w:val="0061653F"/>
    <w:rsid w:val="0061657E"/>
    <w:rsid w:val="0061660C"/>
    <w:rsid w:val="0061663B"/>
    <w:rsid w:val="00616662"/>
    <w:rsid w:val="00616676"/>
    <w:rsid w:val="00616695"/>
    <w:rsid w:val="006166CB"/>
    <w:rsid w:val="00616895"/>
    <w:rsid w:val="00616989"/>
    <w:rsid w:val="006169A2"/>
    <w:rsid w:val="006169EC"/>
    <w:rsid w:val="00616A90"/>
    <w:rsid w:val="00616B5D"/>
    <w:rsid w:val="00616BCE"/>
    <w:rsid w:val="00616D81"/>
    <w:rsid w:val="00616ECF"/>
    <w:rsid w:val="00616F67"/>
    <w:rsid w:val="00617081"/>
    <w:rsid w:val="006174FC"/>
    <w:rsid w:val="006176EF"/>
    <w:rsid w:val="006178DD"/>
    <w:rsid w:val="0061794C"/>
    <w:rsid w:val="00617A2A"/>
    <w:rsid w:val="00617C6D"/>
    <w:rsid w:val="00617ECB"/>
    <w:rsid w:val="00617F21"/>
    <w:rsid w:val="00617FB7"/>
    <w:rsid w:val="00617FB8"/>
    <w:rsid w:val="0062019D"/>
    <w:rsid w:val="006202C0"/>
    <w:rsid w:val="0062032A"/>
    <w:rsid w:val="006203D6"/>
    <w:rsid w:val="00620437"/>
    <w:rsid w:val="0062055B"/>
    <w:rsid w:val="006205BF"/>
    <w:rsid w:val="006205F3"/>
    <w:rsid w:val="0062066A"/>
    <w:rsid w:val="00620702"/>
    <w:rsid w:val="006207BA"/>
    <w:rsid w:val="0062081B"/>
    <w:rsid w:val="0062088E"/>
    <w:rsid w:val="00620907"/>
    <w:rsid w:val="006209F3"/>
    <w:rsid w:val="00620A39"/>
    <w:rsid w:val="00620BD7"/>
    <w:rsid w:val="00620C78"/>
    <w:rsid w:val="00620CED"/>
    <w:rsid w:val="00620D76"/>
    <w:rsid w:val="00620ED9"/>
    <w:rsid w:val="00620FDA"/>
    <w:rsid w:val="00620FE5"/>
    <w:rsid w:val="0062100D"/>
    <w:rsid w:val="0062103B"/>
    <w:rsid w:val="00621056"/>
    <w:rsid w:val="00621148"/>
    <w:rsid w:val="006211B4"/>
    <w:rsid w:val="00621289"/>
    <w:rsid w:val="006212AF"/>
    <w:rsid w:val="006212B3"/>
    <w:rsid w:val="006212E8"/>
    <w:rsid w:val="00621484"/>
    <w:rsid w:val="006217EB"/>
    <w:rsid w:val="006218E8"/>
    <w:rsid w:val="0062192A"/>
    <w:rsid w:val="00621951"/>
    <w:rsid w:val="006219E4"/>
    <w:rsid w:val="00621AAB"/>
    <w:rsid w:val="00621AB6"/>
    <w:rsid w:val="00621ADC"/>
    <w:rsid w:val="00621B99"/>
    <w:rsid w:val="00621C1B"/>
    <w:rsid w:val="00621CDC"/>
    <w:rsid w:val="00621D61"/>
    <w:rsid w:val="00621DB1"/>
    <w:rsid w:val="00621F80"/>
    <w:rsid w:val="00622045"/>
    <w:rsid w:val="006220E2"/>
    <w:rsid w:val="00622174"/>
    <w:rsid w:val="006221BC"/>
    <w:rsid w:val="00622559"/>
    <w:rsid w:val="00622898"/>
    <w:rsid w:val="0062297C"/>
    <w:rsid w:val="00622A33"/>
    <w:rsid w:val="00622A3B"/>
    <w:rsid w:val="00622D79"/>
    <w:rsid w:val="00622E85"/>
    <w:rsid w:val="00622EC1"/>
    <w:rsid w:val="00622F2E"/>
    <w:rsid w:val="0062311E"/>
    <w:rsid w:val="006231E0"/>
    <w:rsid w:val="00623234"/>
    <w:rsid w:val="0062325E"/>
    <w:rsid w:val="0062331D"/>
    <w:rsid w:val="006233FF"/>
    <w:rsid w:val="00623540"/>
    <w:rsid w:val="00623688"/>
    <w:rsid w:val="006236A8"/>
    <w:rsid w:val="00623844"/>
    <w:rsid w:val="00623AB8"/>
    <w:rsid w:val="00623B97"/>
    <w:rsid w:val="00623C48"/>
    <w:rsid w:val="00623C50"/>
    <w:rsid w:val="00623E23"/>
    <w:rsid w:val="00623E84"/>
    <w:rsid w:val="00623F1B"/>
    <w:rsid w:val="00623F49"/>
    <w:rsid w:val="00624000"/>
    <w:rsid w:val="006240A1"/>
    <w:rsid w:val="00624186"/>
    <w:rsid w:val="006241DF"/>
    <w:rsid w:val="00624264"/>
    <w:rsid w:val="0062430D"/>
    <w:rsid w:val="00624355"/>
    <w:rsid w:val="00624657"/>
    <w:rsid w:val="0062477D"/>
    <w:rsid w:val="006248B6"/>
    <w:rsid w:val="00624A1F"/>
    <w:rsid w:val="00624AFA"/>
    <w:rsid w:val="00624C4B"/>
    <w:rsid w:val="00624CF3"/>
    <w:rsid w:val="00624ECD"/>
    <w:rsid w:val="00624F05"/>
    <w:rsid w:val="00624F62"/>
    <w:rsid w:val="00624F77"/>
    <w:rsid w:val="00624F95"/>
    <w:rsid w:val="00625272"/>
    <w:rsid w:val="00625367"/>
    <w:rsid w:val="0062547E"/>
    <w:rsid w:val="00625481"/>
    <w:rsid w:val="00625642"/>
    <w:rsid w:val="0062566A"/>
    <w:rsid w:val="0062580D"/>
    <w:rsid w:val="00625857"/>
    <w:rsid w:val="0062597A"/>
    <w:rsid w:val="00625A62"/>
    <w:rsid w:val="00625B47"/>
    <w:rsid w:val="00626066"/>
    <w:rsid w:val="00626092"/>
    <w:rsid w:val="006260C3"/>
    <w:rsid w:val="006260CB"/>
    <w:rsid w:val="006260CC"/>
    <w:rsid w:val="00626203"/>
    <w:rsid w:val="006263BD"/>
    <w:rsid w:val="00626530"/>
    <w:rsid w:val="006266A3"/>
    <w:rsid w:val="006266C1"/>
    <w:rsid w:val="00626884"/>
    <w:rsid w:val="00626904"/>
    <w:rsid w:val="006269C2"/>
    <w:rsid w:val="00626A02"/>
    <w:rsid w:val="00626A20"/>
    <w:rsid w:val="00626B38"/>
    <w:rsid w:val="00626B50"/>
    <w:rsid w:val="00626C1E"/>
    <w:rsid w:val="00626C5B"/>
    <w:rsid w:val="00626D5D"/>
    <w:rsid w:val="00626D81"/>
    <w:rsid w:val="00626EF2"/>
    <w:rsid w:val="00627015"/>
    <w:rsid w:val="0062702B"/>
    <w:rsid w:val="006271D2"/>
    <w:rsid w:val="006273BD"/>
    <w:rsid w:val="0062756C"/>
    <w:rsid w:val="00627678"/>
    <w:rsid w:val="00627841"/>
    <w:rsid w:val="0062786F"/>
    <w:rsid w:val="00627883"/>
    <w:rsid w:val="0062794F"/>
    <w:rsid w:val="00627A9D"/>
    <w:rsid w:val="00627ADF"/>
    <w:rsid w:val="00627D4C"/>
    <w:rsid w:val="00627EB9"/>
    <w:rsid w:val="00627F3B"/>
    <w:rsid w:val="00627FC7"/>
    <w:rsid w:val="0063002E"/>
    <w:rsid w:val="00630112"/>
    <w:rsid w:val="00630203"/>
    <w:rsid w:val="0063028A"/>
    <w:rsid w:val="006302BA"/>
    <w:rsid w:val="006304B3"/>
    <w:rsid w:val="0063055A"/>
    <w:rsid w:val="0063059E"/>
    <w:rsid w:val="00630627"/>
    <w:rsid w:val="00630644"/>
    <w:rsid w:val="006306A2"/>
    <w:rsid w:val="006306BE"/>
    <w:rsid w:val="006306DE"/>
    <w:rsid w:val="00630735"/>
    <w:rsid w:val="0063076B"/>
    <w:rsid w:val="006307D6"/>
    <w:rsid w:val="006309BA"/>
    <w:rsid w:val="006309C4"/>
    <w:rsid w:val="006309F4"/>
    <w:rsid w:val="00630C19"/>
    <w:rsid w:val="00630CBB"/>
    <w:rsid w:val="00630D42"/>
    <w:rsid w:val="00630E4C"/>
    <w:rsid w:val="00630ED4"/>
    <w:rsid w:val="00631059"/>
    <w:rsid w:val="006310FA"/>
    <w:rsid w:val="00631104"/>
    <w:rsid w:val="00631151"/>
    <w:rsid w:val="00631219"/>
    <w:rsid w:val="00631290"/>
    <w:rsid w:val="006312DD"/>
    <w:rsid w:val="006313DB"/>
    <w:rsid w:val="00631487"/>
    <w:rsid w:val="006314B8"/>
    <w:rsid w:val="0063158F"/>
    <w:rsid w:val="006316A6"/>
    <w:rsid w:val="006317D9"/>
    <w:rsid w:val="0063184B"/>
    <w:rsid w:val="00631921"/>
    <w:rsid w:val="00631955"/>
    <w:rsid w:val="00631AB1"/>
    <w:rsid w:val="00631D4B"/>
    <w:rsid w:val="00631D69"/>
    <w:rsid w:val="00631E19"/>
    <w:rsid w:val="00631F67"/>
    <w:rsid w:val="0063203E"/>
    <w:rsid w:val="00632140"/>
    <w:rsid w:val="0063217A"/>
    <w:rsid w:val="006321DF"/>
    <w:rsid w:val="00632249"/>
    <w:rsid w:val="00632257"/>
    <w:rsid w:val="00632282"/>
    <w:rsid w:val="00632580"/>
    <w:rsid w:val="0063260C"/>
    <w:rsid w:val="0063266F"/>
    <w:rsid w:val="0063267E"/>
    <w:rsid w:val="00632691"/>
    <w:rsid w:val="006326AC"/>
    <w:rsid w:val="00632718"/>
    <w:rsid w:val="00632848"/>
    <w:rsid w:val="00632879"/>
    <w:rsid w:val="006329B1"/>
    <w:rsid w:val="00632BC9"/>
    <w:rsid w:val="00632D14"/>
    <w:rsid w:val="00632D1F"/>
    <w:rsid w:val="00632F0D"/>
    <w:rsid w:val="0063303C"/>
    <w:rsid w:val="00633094"/>
    <w:rsid w:val="0063324E"/>
    <w:rsid w:val="006332B1"/>
    <w:rsid w:val="006334B1"/>
    <w:rsid w:val="0063361A"/>
    <w:rsid w:val="00633741"/>
    <w:rsid w:val="00633747"/>
    <w:rsid w:val="00633919"/>
    <w:rsid w:val="00633957"/>
    <w:rsid w:val="00633B63"/>
    <w:rsid w:val="00633BAE"/>
    <w:rsid w:val="00633BCB"/>
    <w:rsid w:val="00633C2A"/>
    <w:rsid w:val="00633E7C"/>
    <w:rsid w:val="00633F4D"/>
    <w:rsid w:val="00633F9A"/>
    <w:rsid w:val="00634162"/>
    <w:rsid w:val="00634171"/>
    <w:rsid w:val="006341C2"/>
    <w:rsid w:val="0063422D"/>
    <w:rsid w:val="006342B2"/>
    <w:rsid w:val="00634575"/>
    <w:rsid w:val="0063463C"/>
    <w:rsid w:val="006347D3"/>
    <w:rsid w:val="00634825"/>
    <w:rsid w:val="006349F1"/>
    <w:rsid w:val="00634B9C"/>
    <w:rsid w:val="00634C82"/>
    <w:rsid w:val="00634D40"/>
    <w:rsid w:val="00634D43"/>
    <w:rsid w:val="00634E9F"/>
    <w:rsid w:val="00634EAC"/>
    <w:rsid w:val="00634EE2"/>
    <w:rsid w:val="00634F68"/>
    <w:rsid w:val="006350D1"/>
    <w:rsid w:val="006350FE"/>
    <w:rsid w:val="0063513D"/>
    <w:rsid w:val="0063528A"/>
    <w:rsid w:val="0063534A"/>
    <w:rsid w:val="006353E9"/>
    <w:rsid w:val="00635491"/>
    <w:rsid w:val="006355A8"/>
    <w:rsid w:val="0063571A"/>
    <w:rsid w:val="00635721"/>
    <w:rsid w:val="00635810"/>
    <w:rsid w:val="006359A9"/>
    <w:rsid w:val="00635B40"/>
    <w:rsid w:val="00635BA6"/>
    <w:rsid w:val="00635C3D"/>
    <w:rsid w:val="00635CDD"/>
    <w:rsid w:val="00635D53"/>
    <w:rsid w:val="00635E85"/>
    <w:rsid w:val="0063604A"/>
    <w:rsid w:val="006360C5"/>
    <w:rsid w:val="0063613E"/>
    <w:rsid w:val="00636277"/>
    <w:rsid w:val="006363B7"/>
    <w:rsid w:val="00636400"/>
    <w:rsid w:val="00636547"/>
    <w:rsid w:val="0063669A"/>
    <w:rsid w:val="006366B7"/>
    <w:rsid w:val="0063675C"/>
    <w:rsid w:val="006369AC"/>
    <w:rsid w:val="006369F2"/>
    <w:rsid w:val="00636A4F"/>
    <w:rsid w:val="00636C22"/>
    <w:rsid w:val="00636C7D"/>
    <w:rsid w:val="00636CA8"/>
    <w:rsid w:val="00636F68"/>
    <w:rsid w:val="00636F76"/>
    <w:rsid w:val="00637030"/>
    <w:rsid w:val="0063707A"/>
    <w:rsid w:val="00637098"/>
    <w:rsid w:val="0063725E"/>
    <w:rsid w:val="0063732A"/>
    <w:rsid w:val="00637513"/>
    <w:rsid w:val="0063759F"/>
    <w:rsid w:val="0063760E"/>
    <w:rsid w:val="006376D3"/>
    <w:rsid w:val="00637703"/>
    <w:rsid w:val="0063776C"/>
    <w:rsid w:val="00637795"/>
    <w:rsid w:val="0063788C"/>
    <w:rsid w:val="006378EF"/>
    <w:rsid w:val="00637DA0"/>
    <w:rsid w:val="00637DA1"/>
    <w:rsid w:val="00637EC1"/>
    <w:rsid w:val="00637F70"/>
    <w:rsid w:val="00637F9D"/>
    <w:rsid w:val="00640080"/>
    <w:rsid w:val="006401A0"/>
    <w:rsid w:val="00640314"/>
    <w:rsid w:val="00640344"/>
    <w:rsid w:val="006404F1"/>
    <w:rsid w:val="0064050F"/>
    <w:rsid w:val="0064057B"/>
    <w:rsid w:val="00640730"/>
    <w:rsid w:val="0064074C"/>
    <w:rsid w:val="00640798"/>
    <w:rsid w:val="006408AB"/>
    <w:rsid w:val="006408B0"/>
    <w:rsid w:val="00640929"/>
    <w:rsid w:val="00640963"/>
    <w:rsid w:val="00640982"/>
    <w:rsid w:val="0064098B"/>
    <w:rsid w:val="00640A2F"/>
    <w:rsid w:val="00640A60"/>
    <w:rsid w:val="00640ADE"/>
    <w:rsid w:val="00640BA4"/>
    <w:rsid w:val="00640C5B"/>
    <w:rsid w:val="00640D00"/>
    <w:rsid w:val="00640D27"/>
    <w:rsid w:val="00640D48"/>
    <w:rsid w:val="00640E69"/>
    <w:rsid w:val="00640EBE"/>
    <w:rsid w:val="00640EF1"/>
    <w:rsid w:val="00640F27"/>
    <w:rsid w:val="00640FBA"/>
    <w:rsid w:val="0064102E"/>
    <w:rsid w:val="006410E7"/>
    <w:rsid w:val="00641104"/>
    <w:rsid w:val="0064116D"/>
    <w:rsid w:val="00641184"/>
    <w:rsid w:val="00641362"/>
    <w:rsid w:val="0064149F"/>
    <w:rsid w:val="006415B0"/>
    <w:rsid w:val="0064162D"/>
    <w:rsid w:val="0064168D"/>
    <w:rsid w:val="006416EA"/>
    <w:rsid w:val="006416FB"/>
    <w:rsid w:val="0064177F"/>
    <w:rsid w:val="00641915"/>
    <w:rsid w:val="00641962"/>
    <w:rsid w:val="006419E1"/>
    <w:rsid w:val="00641ACF"/>
    <w:rsid w:val="00641B2F"/>
    <w:rsid w:val="00641BF3"/>
    <w:rsid w:val="00641C02"/>
    <w:rsid w:val="00641C17"/>
    <w:rsid w:val="00641EAC"/>
    <w:rsid w:val="006420AB"/>
    <w:rsid w:val="006420FD"/>
    <w:rsid w:val="0064228D"/>
    <w:rsid w:val="006422B2"/>
    <w:rsid w:val="006423D9"/>
    <w:rsid w:val="00642419"/>
    <w:rsid w:val="00642634"/>
    <w:rsid w:val="00642753"/>
    <w:rsid w:val="006428D4"/>
    <w:rsid w:val="00642AB4"/>
    <w:rsid w:val="00642B91"/>
    <w:rsid w:val="00642B97"/>
    <w:rsid w:val="00642C7F"/>
    <w:rsid w:val="00642D1C"/>
    <w:rsid w:val="00642D70"/>
    <w:rsid w:val="00642E52"/>
    <w:rsid w:val="00642FCD"/>
    <w:rsid w:val="0064303D"/>
    <w:rsid w:val="006432AA"/>
    <w:rsid w:val="006432C3"/>
    <w:rsid w:val="00643302"/>
    <w:rsid w:val="006433B1"/>
    <w:rsid w:val="00643522"/>
    <w:rsid w:val="0064353D"/>
    <w:rsid w:val="006436D3"/>
    <w:rsid w:val="006439EB"/>
    <w:rsid w:val="00643CFB"/>
    <w:rsid w:val="00643D04"/>
    <w:rsid w:val="00643D83"/>
    <w:rsid w:val="00643F03"/>
    <w:rsid w:val="00643FA9"/>
    <w:rsid w:val="0064407F"/>
    <w:rsid w:val="006440A8"/>
    <w:rsid w:val="00644109"/>
    <w:rsid w:val="006446C1"/>
    <w:rsid w:val="00644753"/>
    <w:rsid w:val="006447C7"/>
    <w:rsid w:val="00644830"/>
    <w:rsid w:val="0064495E"/>
    <w:rsid w:val="00644A99"/>
    <w:rsid w:val="00644C26"/>
    <w:rsid w:val="00644D1B"/>
    <w:rsid w:val="00645146"/>
    <w:rsid w:val="0064518D"/>
    <w:rsid w:val="0064527A"/>
    <w:rsid w:val="0064539D"/>
    <w:rsid w:val="00645720"/>
    <w:rsid w:val="00645770"/>
    <w:rsid w:val="0064578B"/>
    <w:rsid w:val="00645839"/>
    <w:rsid w:val="00645876"/>
    <w:rsid w:val="006459C2"/>
    <w:rsid w:val="00645CD5"/>
    <w:rsid w:val="00645D20"/>
    <w:rsid w:val="00645F05"/>
    <w:rsid w:val="00645F5C"/>
    <w:rsid w:val="0064600A"/>
    <w:rsid w:val="00646030"/>
    <w:rsid w:val="0064603C"/>
    <w:rsid w:val="006460D8"/>
    <w:rsid w:val="006460F3"/>
    <w:rsid w:val="00646162"/>
    <w:rsid w:val="00646371"/>
    <w:rsid w:val="0064647E"/>
    <w:rsid w:val="006465F8"/>
    <w:rsid w:val="0064678C"/>
    <w:rsid w:val="006467A0"/>
    <w:rsid w:val="00646804"/>
    <w:rsid w:val="0064681E"/>
    <w:rsid w:val="0064696C"/>
    <w:rsid w:val="006469CC"/>
    <w:rsid w:val="00646BAD"/>
    <w:rsid w:val="00646C7E"/>
    <w:rsid w:val="00646FDC"/>
    <w:rsid w:val="00647082"/>
    <w:rsid w:val="006471C1"/>
    <w:rsid w:val="00647514"/>
    <w:rsid w:val="0064773B"/>
    <w:rsid w:val="00647763"/>
    <w:rsid w:val="0064778E"/>
    <w:rsid w:val="006477F4"/>
    <w:rsid w:val="00647820"/>
    <w:rsid w:val="006478C4"/>
    <w:rsid w:val="00647900"/>
    <w:rsid w:val="00647957"/>
    <w:rsid w:val="00647A1B"/>
    <w:rsid w:val="00647A2E"/>
    <w:rsid w:val="00647A8A"/>
    <w:rsid w:val="00647B44"/>
    <w:rsid w:val="00647C24"/>
    <w:rsid w:val="00647C7C"/>
    <w:rsid w:val="00647CFC"/>
    <w:rsid w:val="00647E0A"/>
    <w:rsid w:val="00647EE1"/>
    <w:rsid w:val="00650053"/>
    <w:rsid w:val="006500D9"/>
    <w:rsid w:val="0065012E"/>
    <w:rsid w:val="0065014B"/>
    <w:rsid w:val="006501BF"/>
    <w:rsid w:val="0065027D"/>
    <w:rsid w:val="0065031C"/>
    <w:rsid w:val="0065036B"/>
    <w:rsid w:val="00650415"/>
    <w:rsid w:val="006506B8"/>
    <w:rsid w:val="006506C9"/>
    <w:rsid w:val="006506FD"/>
    <w:rsid w:val="0065073E"/>
    <w:rsid w:val="00650903"/>
    <w:rsid w:val="00650A15"/>
    <w:rsid w:val="00650C0A"/>
    <w:rsid w:val="00650C7D"/>
    <w:rsid w:val="00650F5F"/>
    <w:rsid w:val="00651072"/>
    <w:rsid w:val="00651210"/>
    <w:rsid w:val="0065127A"/>
    <w:rsid w:val="006513E6"/>
    <w:rsid w:val="006513F4"/>
    <w:rsid w:val="006513FF"/>
    <w:rsid w:val="0065162D"/>
    <w:rsid w:val="0065173E"/>
    <w:rsid w:val="00651761"/>
    <w:rsid w:val="00651839"/>
    <w:rsid w:val="006518A1"/>
    <w:rsid w:val="006519C7"/>
    <w:rsid w:val="00651A77"/>
    <w:rsid w:val="00651A7C"/>
    <w:rsid w:val="00651C9B"/>
    <w:rsid w:val="00651D6D"/>
    <w:rsid w:val="00651DB3"/>
    <w:rsid w:val="00651DBA"/>
    <w:rsid w:val="00651EF0"/>
    <w:rsid w:val="00651F62"/>
    <w:rsid w:val="00651FFC"/>
    <w:rsid w:val="00652092"/>
    <w:rsid w:val="0065209F"/>
    <w:rsid w:val="006520C8"/>
    <w:rsid w:val="00652445"/>
    <w:rsid w:val="006525A9"/>
    <w:rsid w:val="006525C2"/>
    <w:rsid w:val="006526DA"/>
    <w:rsid w:val="0065280F"/>
    <w:rsid w:val="0065293A"/>
    <w:rsid w:val="00652B56"/>
    <w:rsid w:val="00652BDE"/>
    <w:rsid w:val="00652C29"/>
    <w:rsid w:val="00652CC1"/>
    <w:rsid w:val="00652D96"/>
    <w:rsid w:val="00652E53"/>
    <w:rsid w:val="00652EC0"/>
    <w:rsid w:val="006531FA"/>
    <w:rsid w:val="006534CD"/>
    <w:rsid w:val="006534F8"/>
    <w:rsid w:val="0065352B"/>
    <w:rsid w:val="00653622"/>
    <w:rsid w:val="00653644"/>
    <w:rsid w:val="0065367E"/>
    <w:rsid w:val="00653683"/>
    <w:rsid w:val="00653714"/>
    <w:rsid w:val="00653810"/>
    <w:rsid w:val="00653B77"/>
    <w:rsid w:val="00653D1D"/>
    <w:rsid w:val="00653D82"/>
    <w:rsid w:val="00653E07"/>
    <w:rsid w:val="00653EF8"/>
    <w:rsid w:val="00653F68"/>
    <w:rsid w:val="006542B2"/>
    <w:rsid w:val="00654372"/>
    <w:rsid w:val="006543FD"/>
    <w:rsid w:val="00654607"/>
    <w:rsid w:val="0065466E"/>
    <w:rsid w:val="006546F7"/>
    <w:rsid w:val="006547D7"/>
    <w:rsid w:val="0065481A"/>
    <w:rsid w:val="0065484B"/>
    <w:rsid w:val="006548BD"/>
    <w:rsid w:val="0065494F"/>
    <w:rsid w:val="00654993"/>
    <w:rsid w:val="00654B51"/>
    <w:rsid w:val="00654B56"/>
    <w:rsid w:val="00654C40"/>
    <w:rsid w:val="00654D30"/>
    <w:rsid w:val="00654D63"/>
    <w:rsid w:val="00654E3E"/>
    <w:rsid w:val="00654E4B"/>
    <w:rsid w:val="00654EAE"/>
    <w:rsid w:val="006550AB"/>
    <w:rsid w:val="006550B1"/>
    <w:rsid w:val="006552DF"/>
    <w:rsid w:val="0065545F"/>
    <w:rsid w:val="006556EB"/>
    <w:rsid w:val="00655708"/>
    <w:rsid w:val="0065576C"/>
    <w:rsid w:val="00655779"/>
    <w:rsid w:val="00655831"/>
    <w:rsid w:val="006558B4"/>
    <w:rsid w:val="00655942"/>
    <w:rsid w:val="00655955"/>
    <w:rsid w:val="00655957"/>
    <w:rsid w:val="00655958"/>
    <w:rsid w:val="00655A73"/>
    <w:rsid w:val="00655AC7"/>
    <w:rsid w:val="00655AF9"/>
    <w:rsid w:val="00655B04"/>
    <w:rsid w:val="00655B90"/>
    <w:rsid w:val="00655BC3"/>
    <w:rsid w:val="00655DCB"/>
    <w:rsid w:val="00655EA4"/>
    <w:rsid w:val="00655EDE"/>
    <w:rsid w:val="00655F68"/>
    <w:rsid w:val="00656148"/>
    <w:rsid w:val="0065626C"/>
    <w:rsid w:val="006563A9"/>
    <w:rsid w:val="006564CF"/>
    <w:rsid w:val="006564DF"/>
    <w:rsid w:val="00656586"/>
    <w:rsid w:val="006567AF"/>
    <w:rsid w:val="00656830"/>
    <w:rsid w:val="0065686F"/>
    <w:rsid w:val="00656A83"/>
    <w:rsid w:val="00656B3E"/>
    <w:rsid w:val="00656B86"/>
    <w:rsid w:val="00656C5B"/>
    <w:rsid w:val="00656E28"/>
    <w:rsid w:val="00656E7D"/>
    <w:rsid w:val="00657000"/>
    <w:rsid w:val="00657025"/>
    <w:rsid w:val="0065712A"/>
    <w:rsid w:val="00657238"/>
    <w:rsid w:val="00657321"/>
    <w:rsid w:val="0065742D"/>
    <w:rsid w:val="00657745"/>
    <w:rsid w:val="0065778A"/>
    <w:rsid w:val="006577FC"/>
    <w:rsid w:val="00657838"/>
    <w:rsid w:val="006578DB"/>
    <w:rsid w:val="00657957"/>
    <w:rsid w:val="00657A57"/>
    <w:rsid w:val="00657BB3"/>
    <w:rsid w:val="00657C14"/>
    <w:rsid w:val="00657C7E"/>
    <w:rsid w:val="00657CD9"/>
    <w:rsid w:val="00657D1C"/>
    <w:rsid w:val="00657D45"/>
    <w:rsid w:val="00657DED"/>
    <w:rsid w:val="00657EAC"/>
    <w:rsid w:val="00657FBC"/>
    <w:rsid w:val="0066001B"/>
    <w:rsid w:val="0066004B"/>
    <w:rsid w:val="00660068"/>
    <w:rsid w:val="006601AB"/>
    <w:rsid w:val="006602AE"/>
    <w:rsid w:val="00660343"/>
    <w:rsid w:val="006603F5"/>
    <w:rsid w:val="00660407"/>
    <w:rsid w:val="00660464"/>
    <w:rsid w:val="00660677"/>
    <w:rsid w:val="0066071B"/>
    <w:rsid w:val="0066071C"/>
    <w:rsid w:val="0066076E"/>
    <w:rsid w:val="0066077A"/>
    <w:rsid w:val="006608E6"/>
    <w:rsid w:val="00660917"/>
    <w:rsid w:val="00660956"/>
    <w:rsid w:val="006609F8"/>
    <w:rsid w:val="00660A68"/>
    <w:rsid w:val="00660A6C"/>
    <w:rsid w:val="00660BDA"/>
    <w:rsid w:val="00660CA1"/>
    <w:rsid w:val="00660FE5"/>
    <w:rsid w:val="006613BA"/>
    <w:rsid w:val="00661416"/>
    <w:rsid w:val="00661849"/>
    <w:rsid w:val="006618B2"/>
    <w:rsid w:val="0066195A"/>
    <w:rsid w:val="00661A1B"/>
    <w:rsid w:val="00661A6E"/>
    <w:rsid w:val="00661B9D"/>
    <w:rsid w:val="00661CB3"/>
    <w:rsid w:val="00661CBE"/>
    <w:rsid w:val="00661CC6"/>
    <w:rsid w:val="00661D3A"/>
    <w:rsid w:val="00661D80"/>
    <w:rsid w:val="00661DE9"/>
    <w:rsid w:val="00661DEC"/>
    <w:rsid w:val="00661E3A"/>
    <w:rsid w:val="00661E52"/>
    <w:rsid w:val="00661F1C"/>
    <w:rsid w:val="006620C0"/>
    <w:rsid w:val="0066210C"/>
    <w:rsid w:val="006621E2"/>
    <w:rsid w:val="00662290"/>
    <w:rsid w:val="006622A9"/>
    <w:rsid w:val="006622F3"/>
    <w:rsid w:val="00662309"/>
    <w:rsid w:val="006625DB"/>
    <w:rsid w:val="00662686"/>
    <w:rsid w:val="00662757"/>
    <w:rsid w:val="006627F1"/>
    <w:rsid w:val="0066292D"/>
    <w:rsid w:val="00662B12"/>
    <w:rsid w:val="00662B41"/>
    <w:rsid w:val="00662DF2"/>
    <w:rsid w:val="0066322E"/>
    <w:rsid w:val="006632DA"/>
    <w:rsid w:val="00663320"/>
    <w:rsid w:val="00663358"/>
    <w:rsid w:val="006634A7"/>
    <w:rsid w:val="006636FB"/>
    <w:rsid w:val="00663989"/>
    <w:rsid w:val="00663B72"/>
    <w:rsid w:val="00663BCD"/>
    <w:rsid w:val="00663D4D"/>
    <w:rsid w:val="00663D94"/>
    <w:rsid w:val="006641ED"/>
    <w:rsid w:val="0066438F"/>
    <w:rsid w:val="006643A3"/>
    <w:rsid w:val="006643F4"/>
    <w:rsid w:val="00664422"/>
    <w:rsid w:val="0066449E"/>
    <w:rsid w:val="006644EC"/>
    <w:rsid w:val="00664807"/>
    <w:rsid w:val="0066480B"/>
    <w:rsid w:val="00664925"/>
    <w:rsid w:val="0066497F"/>
    <w:rsid w:val="00664A3F"/>
    <w:rsid w:val="00664B0F"/>
    <w:rsid w:val="00664D25"/>
    <w:rsid w:val="00664DE1"/>
    <w:rsid w:val="00664EEA"/>
    <w:rsid w:val="00664F04"/>
    <w:rsid w:val="00665020"/>
    <w:rsid w:val="0066503F"/>
    <w:rsid w:val="00665047"/>
    <w:rsid w:val="00665077"/>
    <w:rsid w:val="00665096"/>
    <w:rsid w:val="006650EF"/>
    <w:rsid w:val="0066511F"/>
    <w:rsid w:val="0066514D"/>
    <w:rsid w:val="00665291"/>
    <w:rsid w:val="0066545D"/>
    <w:rsid w:val="00665466"/>
    <w:rsid w:val="00665516"/>
    <w:rsid w:val="006655B5"/>
    <w:rsid w:val="00665616"/>
    <w:rsid w:val="006657CE"/>
    <w:rsid w:val="006659CD"/>
    <w:rsid w:val="00665A6B"/>
    <w:rsid w:val="00665A79"/>
    <w:rsid w:val="00665ABE"/>
    <w:rsid w:val="00665B88"/>
    <w:rsid w:val="00665BF1"/>
    <w:rsid w:val="00665C0C"/>
    <w:rsid w:val="00665ECE"/>
    <w:rsid w:val="00665FA5"/>
    <w:rsid w:val="006660E4"/>
    <w:rsid w:val="00666167"/>
    <w:rsid w:val="00666225"/>
    <w:rsid w:val="00666244"/>
    <w:rsid w:val="0066627F"/>
    <w:rsid w:val="006663AC"/>
    <w:rsid w:val="006665D3"/>
    <w:rsid w:val="0066661B"/>
    <w:rsid w:val="00666708"/>
    <w:rsid w:val="006667D5"/>
    <w:rsid w:val="00666915"/>
    <w:rsid w:val="0066691E"/>
    <w:rsid w:val="00666930"/>
    <w:rsid w:val="006669E3"/>
    <w:rsid w:val="00666B56"/>
    <w:rsid w:val="00666C43"/>
    <w:rsid w:val="00666C6B"/>
    <w:rsid w:val="00666E58"/>
    <w:rsid w:val="00666EB5"/>
    <w:rsid w:val="00667188"/>
    <w:rsid w:val="0066718B"/>
    <w:rsid w:val="00667276"/>
    <w:rsid w:val="006673B7"/>
    <w:rsid w:val="006674A3"/>
    <w:rsid w:val="006674B2"/>
    <w:rsid w:val="006675FF"/>
    <w:rsid w:val="00667655"/>
    <w:rsid w:val="00667675"/>
    <w:rsid w:val="00667782"/>
    <w:rsid w:val="00667969"/>
    <w:rsid w:val="006679F2"/>
    <w:rsid w:val="00667A12"/>
    <w:rsid w:val="00667AA9"/>
    <w:rsid w:val="00667BA8"/>
    <w:rsid w:val="00667BA9"/>
    <w:rsid w:val="00667C39"/>
    <w:rsid w:val="00667C94"/>
    <w:rsid w:val="00667DE4"/>
    <w:rsid w:val="00667E80"/>
    <w:rsid w:val="00667F3D"/>
    <w:rsid w:val="00667FAE"/>
    <w:rsid w:val="0067004B"/>
    <w:rsid w:val="00670067"/>
    <w:rsid w:val="006700E1"/>
    <w:rsid w:val="00670141"/>
    <w:rsid w:val="00670212"/>
    <w:rsid w:val="00670238"/>
    <w:rsid w:val="006704A4"/>
    <w:rsid w:val="00670515"/>
    <w:rsid w:val="00670553"/>
    <w:rsid w:val="006707CC"/>
    <w:rsid w:val="006708AA"/>
    <w:rsid w:val="00670921"/>
    <w:rsid w:val="0067093F"/>
    <w:rsid w:val="00670ADF"/>
    <w:rsid w:val="00670B17"/>
    <w:rsid w:val="00670CF9"/>
    <w:rsid w:val="00670DBD"/>
    <w:rsid w:val="00670E3C"/>
    <w:rsid w:val="00670F1D"/>
    <w:rsid w:val="00670F9E"/>
    <w:rsid w:val="00671047"/>
    <w:rsid w:val="00671084"/>
    <w:rsid w:val="00671150"/>
    <w:rsid w:val="006711A0"/>
    <w:rsid w:val="00671213"/>
    <w:rsid w:val="0067121D"/>
    <w:rsid w:val="00671313"/>
    <w:rsid w:val="00671550"/>
    <w:rsid w:val="006716DE"/>
    <w:rsid w:val="00671852"/>
    <w:rsid w:val="0067185D"/>
    <w:rsid w:val="00671A54"/>
    <w:rsid w:val="00671CA3"/>
    <w:rsid w:val="00671DA4"/>
    <w:rsid w:val="00671E8D"/>
    <w:rsid w:val="0067204A"/>
    <w:rsid w:val="0067207A"/>
    <w:rsid w:val="006720FB"/>
    <w:rsid w:val="0067218A"/>
    <w:rsid w:val="00672231"/>
    <w:rsid w:val="00672408"/>
    <w:rsid w:val="006724B5"/>
    <w:rsid w:val="006724C5"/>
    <w:rsid w:val="006725F7"/>
    <w:rsid w:val="006725FF"/>
    <w:rsid w:val="006726B3"/>
    <w:rsid w:val="0067273C"/>
    <w:rsid w:val="00672847"/>
    <w:rsid w:val="00672B12"/>
    <w:rsid w:val="00672B5D"/>
    <w:rsid w:val="00672C4A"/>
    <w:rsid w:val="00672E2A"/>
    <w:rsid w:val="00672EA4"/>
    <w:rsid w:val="00672ED7"/>
    <w:rsid w:val="006730F0"/>
    <w:rsid w:val="0067312F"/>
    <w:rsid w:val="006731AB"/>
    <w:rsid w:val="0067331D"/>
    <w:rsid w:val="006733AA"/>
    <w:rsid w:val="0067352E"/>
    <w:rsid w:val="006735AC"/>
    <w:rsid w:val="006737E4"/>
    <w:rsid w:val="00673845"/>
    <w:rsid w:val="00673889"/>
    <w:rsid w:val="006738A6"/>
    <w:rsid w:val="00673929"/>
    <w:rsid w:val="00673AC3"/>
    <w:rsid w:val="00673BBB"/>
    <w:rsid w:val="00673C1F"/>
    <w:rsid w:val="00673C2B"/>
    <w:rsid w:val="00673D1E"/>
    <w:rsid w:val="00673F22"/>
    <w:rsid w:val="00673F44"/>
    <w:rsid w:val="00674057"/>
    <w:rsid w:val="0067434C"/>
    <w:rsid w:val="00674391"/>
    <w:rsid w:val="0067441B"/>
    <w:rsid w:val="0067453D"/>
    <w:rsid w:val="0067462A"/>
    <w:rsid w:val="006746AC"/>
    <w:rsid w:val="0067483E"/>
    <w:rsid w:val="0067488C"/>
    <w:rsid w:val="006748FA"/>
    <w:rsid w:val="00674A4E"/>
    <w:rsid w:val="00674AD2"/>
    <w:rsid w:val="00674B5D"/>
    <w:rsid w:val="00674BBD"/>
    <w:rsid w:val="00674C2A"/>
    <w:rsid w:val="00674C7D"/>
    <w:rsid w:val="00674CB5"/>
    <w:rsid w:val="00674D62"/>
    <w:rsid w:val="00674DD6"/>
    <w:rsid w:val="00674E21"/>
    <w:rsid w:val="00674E56"/>
    <w:rsid w:val="00674EBB"/>
    <w:rsid w:val="00674ECC"/>
    <w:rsid w:val="00674FCF"/>
    <w:rsid w:val="00674FD2"/>
    <w:rsid w:val="006750EF"/>
    <w:rsid w:val="006752D5"/>
    <w:rsid w:val="00675312"/>
    <w:rsid w:val="00675336"/>
    <w:rsid w:val="006755A7"/>
    <w:rsid w:val="00675690"/>
    <w:rsid w:val="006758DE"/>
    <w:rsid w:val="00675929"/>
    <w:rsid w:val="00675956"/>
    <w:rsid w:val="006759C6"/>
    <w:rsid w:val="00675ACF"/>
    <w:rsid w:val="00675B19"/>
    <w:rsid w:val="00675B20"/>
    <w:rsid w:val="00675D3A"/>
    <w:rsid w:val="00675D95"/>
    <w:rsid w:val="00675E03"/>
    <w:rsid w:val="00675E7A"/>
    <w:rsid w:val="00675F4E"/>
    <w:rsid w:val="006760A1"/>
    <w:rsid w:val="006761ED"/>
    <w:rsid w:val="0067622C"/>
    <w:rsid w:val="006762B5"/>
    <w:rsid w:val="006763E7"/>
    <w:rsid w:val="00676450"/>
    <w:rsid w:val="0067664D"/>
    <w:rsid w:val="00676654"/>
    <w:rsid w:val="00676768"/>
    <w:rsid w:val="0067676C"/>
    <w:rsid w:val="00676871"/>
    <w:rsid w:val="00676A5A"/>
    <w:rsid w:val="00676A92"/>
    <w:rsid w:val="00676AB4"/>
    <w:rsid w:val="00676AD8"/>
    <w:rsid w:val="00676BF5"/>
    <w:rsid w:val="00676F69"/>
    <w:rsid w:val="006770D6"/>
    <w:rsid w:val="00677116"/>
    <w:rsid w:val="0067715F"/>
    <w:rsid w:val="00677266"/>
    <w:rsid w:val="006773C9"/>
    <w:rsid w:val="006775E9"/>
    <w:rsid w:val="0067763F"/>
    <w:rsid w:val="006776FD"/>
    <w:rsid w:val="00677751"/>
    <w:rsid w:val="00677AB5"/>
    <w:rsid w:val="00677AF6"/>
    <w:rsid w:val="00677BD9"/>
    <w:rsid w:val="00677C82"/>
    <w:rsid w:val="00677E17"/>
    <w:rsid w:val="00677E5D"/>
    <w:rsid w:val="00677E67"/>
    <w:rsid w:val="00677EEA"/>
    <w:rsid w:val="00677F6C"/>
    <w:rsid w:val="00677FBF"/>
    <w:rsid w:val="00680007"/>
    <w:rsid w:val="006800FD"/>
    <w:rsid w:val="006801FB"/>
    <w:rsid w:val="00680314"/>
    <w:rsid w:val="00680343"/>
    <w:rsid w:val="006803C2"/>
    <w:rsid w:val="0068044F"/>
    <w:rsid w:val="00680452"/>
    <w:rsid w:val="00680474"/>
    <w:rsid w:val="00680485"/>
    <w:rsid w:val="00680674"/>
    <w:rsid w:val="00680680"/>
    <w:rsid w:val="006806C4"/>
    <w:rsid w:val="006808C3"/>
    <w:rsid w:val="006808FF"/>
    <w:rsid w:val="006809A4"/>
    <w:rsid w:val="00680BE0"/>
    <w:rsid w:val="00680E8D"/>
    <w:rsid w:val="00680F0B"/>
    <w:rsid w:val="0068102A"/>
    <w:rsid w:val="0068112F"/>
    <w:rsid w:val="00681378"/>
    <w:rsid w:val="0068140B"/>
    <w:rsid w:val="0068154A"/>
    <w:rsid w:val="006815D2"/>
    <w:rsid w:val="00681627"/>
    <w:rsid w:val="00681645"/>
    <w:rsid w:val="006817B1"/>
    <w:rsid w:val="0068192A"/>
    <w:rsid w:val="00681984"/>
    <w:rsid w:val="006819BE"/>
    <w:rsid w:val="006819FA"/>
    <w:rsid w:val="00681E21"/>
    <w:rsid w:val="00681EC2"/>
    <w:rsid w:val="00681F84"/>
    <w:rsid w:val="00682058"/>
    <w:rsid w:val="00682083"/>
    <w:rsid w:val="00682150"/>
    <w:rsid w:val="006821A1"/>
    <w:rsid w:val="006821EF"/>
    <w:rsid w:val="00682249"/>
    <w:rsid w:val="00682301"/>
    <w:rsid w:val="00682310"/>
    <w:rsid w:val="006823B7"/>
    <w:rsid w:val="006823D7"/>
    <w:rsid w:val="00682697"/>
    <w:rsid w:val="00682756"/>
    <w:rsid w:val="00682853"/>
    <w:rsid w:val="0068286A"/>
    <w:rsid w:val="00682909"/>
    <w:rsid w:val="006829FE"/>
    <w:rsid w:val="00682A50"/>
    <w:rsid w:val="00682CDD"/>
    <w:rsid w:val="0068328E"/>
    <w:rsid w:val="00683449"/>
    <w:rsid w:val="00683731"/>
    <w:rsid w:val="006837F6"/>
    <w:rsid w:val="0068388B"/>
    <w:rsid w:val="00683914"/>
    <w:rsid w:val="0068394D"/>
    <w:rsid w:val="00683AB6"/>
    <w:rsid w:val="00683B66"/>
    <w:rsid w:val="00683BD5"/>
    <w:rsid w:val="00683FFC"/>
    <w:rsid w:val="006840DC"/>
    <w:rsid w:val="0068418F"/>
    <w:rsid w:val="0068420C"/>
    <w:rsid w:val="0068432F"/>
    <w:rsid w:val="0068444E"/>
    <w:rsid w:val="00684740"/>
    <w:rsid w:val="00684912"/>
    <w:rsid w:val="00684A6A"/>
    <w:rsid w:val="00684C28"/>
    <w:rsid w:val="00684CC8"/>
    <w:rsid w:val="0068507E"/>
    <w:rsid w:val="0068519F"/>
    <w:rsid w:val="006853E6"/>
    <w:rsid w:val="00685843"/>
    <w:rsid w:val="00685886"/>
    <w:rsid w:val="00685891"/>
    <w:rsid w:val="0068589A"/>
    <w:rsid w:val="00685A51"/>
    <w:rsid w:val="00685A52"/>
    <w:rsid w:val="00685AF0"/>
    <w:rsid w:val="00685B6A"/>
    <w:rsid w:val="00685CCF"/>
    <w:rsid w:val="00685CF7"/>
    <w:rsid w:val="00685CFE"/>
    <w:rsid w:val="00685F23"/>
    <w:rsid w:val="00686123"/>
    <w:rsid w:val="00686165"/>
    <w:rsid w:val="00686214"/>
    <w:rsid w:val="00686226"/>
    <w:rsid w:val="006862C7"/>
    <w:rsid w:val="006864C6"/>
    <w:rsid w:val="006864D0"/>
    <w:rsid w:val="00686681"/>
    <w:rsid w:val="006866F7"/>
    <w:rsid w:val="00686718"/>
    <w:rsid w:val="006867E3"/>
    <w:rsid w:val="00686940"/>
    <w:rsid w:val="00686C2B"/>
    <w:rsid w:val="00686C65"/>
    <w:rsid w:val="00686D4B"/>
    <w:rsid w:val="00686E23"/>
    <w:rsid w:val="00686EA7"/>
    <w:rsid w:val="00686EAF"/>
    <w:rsid w:val="00686F38"/>
    <w:rsid w:val="00686F65"/>
    <w:rsid w:val="00687178"/>
    <w:rsid w:val="00687434"/>
    <w:rsid w:val="006874A0"/>
    <w:rsid w:val="006874B5"/>
    <w:rsid w:val="00687533"/>
    <w:rsid w:val="0068754F"/>
    <w:rsid w:val="006875D7"/>
    <w:rsid w:val="006878B2"/>
    <w:rsid w:val="00687A8F"/>
    <w:rsid w:val="00687B12"/>
    <w:rsid w:val="00687B33"/>
    <w:rsid w:val="00687E8F"/>
    <w:rsid w:val="00687EE0"/>
    <w:rsid w:val="00690047"/>
    <w:rsid w:val="00690085"/>
    <w:rsid w:val="0069015A"/>
    <w:rsid w:val="0069025B"/>
    <w:rsid w:val="00690359"/>
    <w:rsid w:val="00690415"/>
    <w:rsid w:val="006904F3"/>
    <w:rsid w:val="006906F0"/>
    <w:rsid w:val="00690728"/>
    <w:rsid w:val="006907A6"/>
    <w:rsid w:val="006907AD"/>
    <w:rsid w:val="006908D0"/>
    <w:rsid w:val="00690934"/>
    <w:rsid w:val="00690A24"/>
    <w:rsid w:val="00690A35"/>
    <w:rsid w:val="00690BA0"/>
    <w:rsid w:val="00690C0B"/>
    <w:rsid w:val="00690D2A"/>
    <w:rsid w:val="00690D78"/>
    <w:rsid w:val="00690EFD"/>
    <w:rsid w:val="00690FC8"/>
    <w:rsid w:val="0069107B"/>
    <w:rsid w:val="00691155"/>
    <w:rsid w:val="00691341"/>
    <w:rsid w:val="00691351"/>
    <w:rsid w:val="006914E1"/>
    <w:rsid w:val="00691517"/>
    <w:rsid w:val="006915E9"/>
    <w:rsid w:val="00691669"/>
    <w:rsid w:val="006916AE"/>
    <w:rsid w:val="00691781"/>
    <w:rsid w:val="0069179F"/>
    <w:rsid w:val="00691833"/>
    <w:rsid w:val="006918B5"/>
    <w:rsid w:val="006918E9"/>
    <w:rsid w:val="00691AC9"/>
    <w:rsid w:val="00691B67"/>
    <w:rsid w:val="00691BB3"/>
    <w:rsid w:val="00691BFE"/>
    <w:rsid w:val="00691C39"/>
    <w:rsid w:val="00691C81"/>
    <w:rsid w:val="00691CB5"/>
    <w:rsid w:val="00691CFB"/>
    <w:rsid w:val="00691D96"/>
    <w:rsid w:val="00691D98"/>
    <w:rsid w:val="00691DD6"/>
    <w:rsid w:val="00691EEE"/>
    <w:rsid w:val="006922E4"/>
    <w:rsid w:val="006923D5"/>
    <w:rsid w:val="006923DF"/>
    <w:rsid w:val="00692435"/>
    <w:rsid w:val="006924E1"/>
    <w:rsid w:val="006924F1"/>
    <w:rsid w:val="00692534"/>
    <w:rsid w:val="00692584"/>
    <w:rsid w:val="00692593"/>
    <w:rsid w:val="006925B1"/>
    <w:rsid w:val="006927C3"/>
    <w:rsid w:val="0069286F"/>
    <w:rsid w:val="006928C8"/>
    <w:rsid w:val="006928F3"/>
    <w:rsid w:val="00692B08"/>
    <w:rsid w:val="00692C10"/>
    <w:rsid w:val="00692C8E"/>
    <w:rsid w:val="00692CD4"/>
    <w:rsid w:val="00692D0A"/>
    <w:rsid w:val="00692E0C"/>
    <w:rsid w:val="00692F8D"/>
    <w:rsid w:val="00692F99"/>
    <w:rsid w:val="0069306D"/>
    <w:rsid w:val="00693091"/>
    <w:rsid w:val="006931B0"/>
    <w:rsid w:val="006931C3"/>
    <w:rsid w:val="006931DE"/>
    <w:rsid w:val="00693275"/>
    <w:rsid w:val="00693355"/>
    <w:rsid w:val="00693644"/>
    <w:rsid w:val="006936D9"/>
    <w:rsid w:val="006936F6"/>
    <w:rsid w:val="00693792"/>
    <w:rsid w:val="00693ACE"/>
    <w:rsid w:val="00693AE4"/>
    <w:rsid w:val="00693AE9"/>
    <w:rsid w:val="00693BA4"/>
    <w:rsid w:val="00693C61"/>
    <w:rsid w:val="00693D8D"/>
    <w:rsid w:val="00693F09"/>
    <w:rsid w:val="00693F8C"/>
    <w:rsid w:val="00693FC1"/>
    <w:rsid w:val="0069404F"/>
    <w:rsid w:val="0069408E"/>
    <w:rsid w:val="00694136"/>
    <w:rsid w:val="00694195"/>
    <w:rsid w:val="006941CA"/>
    <w:rsid w:val="00694205"/>
    <w:rsid w:val="006942F5"/>
    <w:rsid w:val="00694301"/>
    <w:rsid w:val="0069439D"/>
    <w:rsid w:val="0069440C"/>
    <w:rsid w:val="00694424"/>
    <w:rsid w:val="006945C5"/>
    <w:rsid w:val="006945ED"/>
    <w:rsid w:val="0069469B"/>
    <w:rsid w:val="006946B6"/>
    <w:rsid w:val="006947D0"/>
    <w:rsid w:val="00694856"/>
    <w:rsid w:val="00694881"/>
    <w:rsid w:val="00694910"/>
    <w:rsid w:val="0069499A"/>
    <w:rsid w:val="00694A93"/>
    <w:rsid w:val="00694B74"/>
    <w:rsid w:val="00694BEA"/>
    <w:rsid w:val="00694C4A"/>
    <w:rsid w:val="00694CE3"/>
    <w:rsid w:val="00694D45"/>
    <w:rsid w:val="00694D88"/>
    <w:rsid w:val="00694EA3"/>
    <w:rsid w:val="00694FEF"/>
    <w:rsid w:val="0069501A"/>
    <w:rsid w:val="00695233"/>
    <w:rsid w:val="00695236"/>
    <w:rsid w:val="006952AE"/>
    <w:rsid w:val="00695368"/>
    <w:rsid w:val="00695389"/>
    <w:rsid w:val="00695676"/>
    <w:rsid w:val="006956CA"/>
    <w:rsid w:val="00695887"/>
    <w:rsid w:val="006958A2"/>
    <w:rsid w:val="00695970"/>
    <w:rsid w:val="00695AE1"/>
    <w:rsid w:val="00695B38"/>
    <w:rsid w:val="00695C8A"/>
    <w:rsid w:val="00695CC5"/>
    <w:rsid w:val="00695D0F"/>
    <w:rsid w:val="00695DC0"/>
    <w:rsid w:val="00695DD1"/>
    <w:rsid w:val="00695E00"/>
    <w:rsid w:val="00695E9F"/>
    <w:rsid w:val="00695F96"/>
    <w:rsid w:val="00696056"/>
    <w:rsid w:val="006960EE"/>
    <w:rsid w:val="006960F1"/>
    <w:rsid w:val="0069613E"/>
    <w:rsid w:val="0069632F"/>
    <w:rsid w:val="00696588"/>
    <w:rsid w:val="0069673D"/>
    <w:rsid w:val="00696829"/>
    <w:rsid w:val="00696957"/>
    <w:rsid w:val="0069699C"/>
    <w:rsid w:val="006969D0"/>
    <w:rsid w:val="00696A22"/>
    <w:rsid w:val="00696BFD"/>
    <w:rsid w:val="00696C45"/>
    <w:rsid w:val="00696CEA"/>
    <w:rsid w:val="00696FC1"/>
    <w:rsid w:val="0069712F"/>
    <w:rsid w:val="00697131"/>
    <w:rsid w:val="00697354"/>
    <w:rsid w:val="006975EE"/>
    <w:rsid w:val="00697638"/>
    <w:rsid w:val="006976DF"/>
    <w:rsid w:val="006976F8"/>
    <w:rsid w:val="006977A3"/>
    <w:rsid w:val="00697940"/>
    <w:rsid w:val="00697988"/>
    <w:rsid w:val="00697991"/>
    <w:rsid w:val="00697B02"/>
    <w:rsid w:val="00697BB4"/>
    <w:rsid w:val="00697BF0"/>
    <w:rsid w:val="00697C9B"/>
    <w:rsid w:val="00697CA1"/>
    <w:rsid w:val="00697D0F"/>
    <w:rsid w:val="00697D99"/>
    <w:rsid w:val="00697F16"/>
    <w:rsid w:val="00697FD2"/>
    <w:rsid w:val="006A0006"/>
    <w:rsid w:val="006A0025"/>
    <w:rsid w:val="006A00FA"/>
    <w:rsid w:val="006A0142"/>
    <w:rsid w:val="006A0318"/>
    <w:rsid w:val="006A04BF"/>
    <w:rsid w:val="006A04D6"/>
    <w:rsid w:val="006A0605"/>
    <w:rsid w:val="006A0619"/>
    <w:rsid w:val="006A0789"/>
    <w:rsid w:val="006A0822"/>
    <w:rsid w:val="006A0D15"/>
    <w:rsid w:val="006A0D72"/>
    <w:rsid w:val="006A0DFF"/>
    <w:rsid w:val="006A1032"/>
    <w:rsid w:val="006A10A3"/>
    <w:rsid w:val="006A122B"/>
    <w:rsid w:val="006A1381"/>
    <w:rsid w:val="006A1478"/>
    <w:rsid w:val="006A1642"/>
    <w:rsid w:val="006A165E"/>
    <w:rsid w:val="006A1957"/>
    <w:rsid w:val="006A19E6"/>
    <w:rsid w:val="006A1DDC"/>
    <w:rsid w:val="006A1EB6"/>
    <w:rsid w:val="006A2046"/>
    <w:rsid w:val="006A20C3"/>
    <w:rsid w:val="006A236B"/>
    <w:rsid w:val="006A245A"/>
    <w:rsid w:val="006A272A"/>
    <w:rsid w:val="006A27CE"/>
    <w:rsid w:val="006A2890"/>
    <w:rsid w:val="006A2B31"/>
    <w:rsid w:val="006A2CB3"/>
    <w:rsid w:val="006A2D3B"/>
    <w:rsid w:val="006A2D68"/>
    <w:rsid w:val="006A2E7A"/>
    <w:rsid w:val="006A2F67"/>
    <w:rsid w:val="006A2FAA"/>
    <w:rsid w:val="006A2FAC"/>
    <w:rsid w:val="006A308C"/>
    <w:rsid w:val="006A30F7"/>
    <w:rsid w:val="006A346F"/>
    <w:rsid w:val="006A363E"/>
    <w:rsid w:val="006A3727"/>
    <w:rsid w:val="006A3763"/>
    <w:rsid w:val="006A37F5"/>
    <w:rsid w:val="006A38AC"/>
    <w:rsid w:val="006A3A09"/>
    <w:rsid w:val="006A3AF3"/>
    <w:rsid w:val="006A3BFA"/>
    <w:rsid w:val="006A3C08"/>
    <w:rsid w:val="006A3C3E"/>
    <w:rsid w:val="006A3E1A"/>
    <w:rsid w:val="006A3E45"/>
    <w:rsid w:val="006A3FEA"/>
    <w:rsid w:val="006A4111"/>
    <w:rsid w:val="006A42AF"/>
    <w:rsid w:val="006A4461"/>
    <w:rsid w:val="006A4520"/>
    <w:rsid w:val="006A4541"/>
    <w:rsid w:val="006A45D2"/>
    <w:rsid w:val="006A4844"/>
    <w:rsid w:val="006A4888"/>
    <w:rsid w:val="006A488E"/>
    <w:rsid w:val="006A49A1"/>
    <w:rsid w:val="006A4AF8"/>
    <w:rsid w:val="006A4B2C"/>
    <w:rsid w:val="006A4CE1"/>
    <w:rsid w:val="006A4D36"/>
    <w:rsid w:val="006A4D39"/>
    <w:rsid w:val="006A4F20"/>
    <w:rsid w:val="006A4F59"/>
    <w:rsid w:val="006A4FD9"/>
    <w:rsid w:val="006A5005"/>
    <w:rsid w:val="006A515A"/>
    <w:rsid w:val="006A517B"/>
    <w:rsid w:val="006A532A"/>
    <w:rsid w:val="006A5349"/>
    <w:rsid w:val="006A53B2"/>
    <w:rsid w:val="006A53FB"/>
    <w:rsid w:val="006A5500"/>
    <w:rsid w:val="006A55E3"/>
    <w:rsid w:val="006A55FC"/>
    <w:rsid w:val="006A5739"/>
    <w:rsid w:val="006A578E"/>
    <w:rsid w:val="006A5922"/>
    <w:rsid w:val="006A59A8"/>
    <w:rsid w:val="006A59EA"/>
    <w:rsid w:val="006A5B33"/>
    <w:rsid w:val="006A5B51"/>
    <w:rsid w:val="006A5BC7"/>
    <w:rsid w:val="006A5C7F"/>
    <w:rsid w:val="006A5D5E"/>
    <w:rsid w:val="006A5D9C"/>
    <w:rsid w:val="006A5EB1"/>
    <w:rsid w:val="006A5F05"/>
    <w:rsid w:val="006A5F33"/>
    <w:rsid w:val="006A5F8B"/>
    <w:rsid w:val="006A6081"/>
    <w:rsid w:val="006A6088"/>
    <w:rsid w:val="006A60A9"/>
    <w:rsid w:val="006A618A"/>
    <w:rsid w:val="006A6284"/>
    <w:rsid w:val="006A628C"/>
    <w:rsid w:val="006A65B4"/>
    <w:rsid w:val="006A660D"/>
    <w:rsid w:val="006A6755"/>
    <w:rsid w:val="006A67F8"/>
    <w:rsid w:val="006A6812"/>
    <w:rsid w:val="006A684D"/>
    <w:rsid w:val="006A6950"/>
    <w:rsid w:val="006A6A9A"/>
    <w:rsid w:val="006A6B08"/>
    <w:rsid w:val="006A6C34"/>
    <w:rsid w:val="006A6C57"/>
    <w:rsid w:val="006A6D3D"/>
    <w:rsid w:val="006A6D9C"/>
    <w:rsid w:val="006A6DBB"/>
    <w:rsid w:val="006A6DCB"/>
    <w:rsid w:val="006A6EFF"/>
    <w:rsid w:val="006A7021"/>
    <w:rsid w:val="006A703D"/>
    <w:rsid w:val="006A7146"/>
    <w:rsid w:val="006A71F3"/>
    <w:rsid w:val="006A7255"/>
    <w:rsid w:val="006A729F"/>
    <w:rsid w:val="006A7415"/>
    <w:rsid w:val="006A7445"/>
    <w:rsid w:val="006A74A1"/>
    <w:rsid w:val="006A74A5"/>
    <w:rsid w:val="006A775B"/>
    <w:rsid w:val="006A7B2A"/>
    <w:rsid w:val="006A7BD4"/>
    <w:rsid w:val="006A7D61"/>
    <w:rsid w:val="006A7E1A"/>
    <w:rsid w:val="006A7E52"/>
    <w:rsid w:val="006A7F7A"/>
    <w:rsid w:val="006B019F"/>
    <w:rsid w:val="006B01C2"/>
    <w:rsid w:val="006B03A0"/>
    <w:rsid w:val="006B0411"/>
    <w:rsid w:val="006B0444"/>
    <w:rsid w:val="006B04DD"/>
    <w:rsid w:val="006B0528"/>
    <w:rsid w:val="006B052F"/>
    <w:rsid w:val="006B05A5"/>
    <w:rsid w:val="006B06E1"/>
    <w:rsid w:val="006B075F"/>
    <w:rsid w:val="006B0764"/>
    <w:rsid w:val="006B09CD"/>
    <w:rsid w:val="006B0A49"/>
    <w:rsid w:val="006B0BD3"/>
    <w:rsid w:val="006B0BEB"/>
    <w:rsid w:val="006B0BF9"/>
    <w:rsid w:val="006B0C22"/>
    <w:rsid w:val="006B0C7F"/>
    <w:rsid w:val="006B0C84"/>
    <w:rsid w:val="006B0CB9"/>
    <w:rsid w:val="006B0DA5"/>
    <w:rsid w:val="006B10A1"/>
    <w:rsid w:val="006B10E2"/>
    <w:rsid w:val="006B112E"/>
    <w:rsid w:val="006B11B9"/>
    <w:rsid w:val="006B1282"/>
    <w:rsid w:val="006B153C"/>
    <w:rsid w:val="006B15B4"/>
    <w:rsid w:val="006B15B5"/>
    <w:rsid w:val="006B166A"/>
    <w:rsid w:val="006B17F4"/>
    <w:rsid w:val="006B1A4C"/>
    <w:rsid w:val="006B1B2D"/>
    <w:rsid w:val="006B1C0C"/>
    <w:rsid w:val="006B1C63"/>
    <w:rsid w:val="006B1FE1"/>
    <w:rsid w:val="006B1FE9"/>
    <w:rsid w:val="006B2048"/>
    <w:rsid w:val="006B2118"/>
    <w:rsid w:val="006B213A"/>
    <w:rsid w:val="006B2192"/>
    <w:rsid w:val="006B227E"/>
    <w:rsid w:val="006B2387"/>
    <w:rsid w:val="006B24FB"/>
    <w:rsid w:val="006B25B1"/>
    <w:rsid w:val="006B25D4"/>
    <w:rsid w:val="006B25DE"/>
    <w:rsid w:val="006B2797"/>
    <w:rsid w:val="006B2831"/>
    <w:rsid w:val="006B2961"/>
    <w:rsid w:val="006B2A70"/>
    <w:rsid w:val="006B2AC1"/>
    <w:rsid w:val="006B2AD8"/>
    <w:rsid w:val="006B2ADF"/>
    <w:rsid w:val="006B2B7A"/>
    <w:rsid w:val="006B2C2D"/>
    <w:rsid w:val="006B2CE7"/>
    <w:rsid w:val="006B2F0A"/>
    <w:rsid w:val="006B30AF"/>
    <w:rsid w:val="006B30E3"/>
    <w:rsid w:val="006B30F8"/>
    <w:rsid w:val="006B31A3"/>
    <w:rsid w:val="006B3483"/>
    <w:rsid w:val="006B359A"/>
    <w:rsid w:val="006B3631"/>
    <w:rsid w:val="006B3776"/>
    <w:rsid w:val="006B3849"/>
    <w:rsid w:val="006B38FF"/>
    <w:rsid w:val="006B3912"/>
    <w:rsid w:val="006B3A76"/>
    <w:rsid w:val="006B3AF0"/>
    <w:rsid w:val="006B3D05"/>
    <w:rsid w:val="006B3D3F"/>
    <w:rsid w:val="006B3F2A"/>
    <w:rsid w:val="006B4044"/>
    <w:rsid w:val="006B4479"/>
    <w:rsid w:val="006B463A"/>
    <w:rsid w:val="006B4683"/>
    <w:rsid w:val="006B46A5"/>
    <w:rsid w:val="006B475E"/>
    <w:rsid w:val="006B48B1"/>
    <w:rsid w:val="006B48C8"/>
    <w:rsid w:val="006B491D"/>
    <w:rsid w:val="006B4982"/>
    <w:rsid w:val="006B4A3E"/>
    <w:rsid w:val="006B4A40"/>
    <w:rsid w:val="006B4A89"/>
    <w:rsid w:val="006B4ADB"/>
    <w:rsid w:val="006B4B4B"/>
    <w:rsid w:val="006B4B6B"/>
    <w:rsid w:val="006B4C00"/>
    <w:rsid w:val="006B4CAB"/>
    <w:rsid w:val="006B4E4D"/>
    <w:rsid w:val="006B4F7C"/>
    <w:rsid w:val="006B520D"/>
    <w:rsid w:val="006B5214"/>
    <w:rsid w:val="006B523D"/>
    <w:rsid w:val="006B52E4"/>
    <w:rsid w:val="006B55BE"/>
    <w:rsid w:val="006B5607"/>
    <w:rsid w:val="006B5611"/>
    <w:rsid w:val="006B5719"/>
    <w:rsid w:val="006B57EB"/>
    <w:rsid w:val="006B590D"/>
    <w:rsid w:val="006B5A5A"/>
    <w:rsid w:val="006B5AB0"/>
    <w:rsid w:val="006B5BB2"/>
    <w:rsid w:val="006B5C07"/>
    <w:rsid w:val="006B5D45"/>
    <w:rsid w:val="006B5DC7"/>
    <w:rsid w:val="006B5E47"/>
    <w:rsid w:val="006B5F15"/>
    <w:rsid w:val="006B61A4"/>
    <w:rsid w:val="006B62FD"/>
    <w:rsid w:val="006B634B"/>
    <w:rsid w:val="006B64BD"/>
    <w:rsid w:val="006B651B"/>
    <w:rsid w:val="006B6833"/>
    <w:rsid w:val="006B685B"/>
    <w:rsid w:val="006B68E1"/>
    <w:rsid w:val="006B6B78"/>
    <w:rsid w:val="006B6CB1"/>
    <w:rsid w:val="006B6F13"/>
    <w:rsid w:val="006B702C"/>
    <w:rsid w:val="006B708B"/>
    <w:rsid w:val="006B709F"/>
    <w:rsid w:val="006B7193"/>
    <w:rsid w:val="006B71AB"/>
    <w:rsid w:val="006B7219"/>
    <w:rsid w:val="006B726B"/>
    <w:rsid w:val="006B726E"/>
    <w:rsid w:val="006B7333"/>
    <w:rsid w:val="006B7347"/>
    <w:rsid w:val="006B73EB"/>
    <w:rsid w:val="006B74CA"/>
    <w:rsid w:val="006B7500"/>
    <w:rsid w:val="006B76F7"/>
    <w:rsid w:val="006B77FA"/>
    <w:rsid w:val="006B787A"/>
    <w:rsid w:val="006B789F"/>
    <w:rsid w:val="006B78BA"/>
    <w:rsid w:val="006B78DA"/>
    <w:rsid w:val="006B7931"/>
    <w:rsid w:val="006B79D1"/>
    <w:rsid w:val="006B7A33"/>
    <w:rsid w:val="006B7B03"/>
    <w:rsid w:val="006B7C2A"/>
    <w:rsid w:val="006B7C4B"/>
    <w:rsid w:val="006B7C4C"/>
    <w:rsid w:val="006B7E0D"/>
    <w:rsid w:val="006B7E37"/>
    <w:rsid w:val="006B7F93"/>
    <w:rsid w:val="006C0005"/>
    <w:rsid w:val="006C00E3"/>
    <w:rsid w:val="006C04A1"/>
    <w:rsid w:val="006C04BD"/>
    <w:rsid w:val="006C0753"/>
    <w:rsid w:val="006C0785"/>
    <w:rsid w:val="006C07AD"/>
    <w:rsid w:val="006C07F1"/>
    <w:rsid w:val="006C0884"/>
    <w:rsid w:val="006C096D"/>
    <w:rsid w:val="006C0A21"/>
    <w:rsid w:val="006C0A44"/>
    <w:rsid w:val="006C0AA4"/>
    <w:rsid w:val="006C0C1B"/>
    <w:rsid w:val="006C0C75"/>
    <w:rsid w:val="006C0CD6"/>
    <w:rsid w:val="006C0D68"/>
    <w:rsid w:val="006C0FE7"/>
    <w:rsid w:val="006C10AD"/>
    <w:rsid w:val="006C11C9"/>
    <w:rsid w:val="006C12CC"/>
    <w:rsid w:val="006C14F5"/>
    <w:rsid w:val="006C1526"/>
    <w:rsid w:val="006C16E4"/>
    <w:rsid w:val="006C17CF"/>
    <w:rsid w:val="006C182E"/>
    <w:rsid w:val="006C1892"/>
    <w:rsid w:val="006C18F1"/>
    <w:rsid w:val="006C1952"/>
    <w:rsid w:val="006C19EE"/>
    <w:rsid w:val="006C1A9A"/>
    <w:rsid w:val="006C1B57"/>
    <w:rsid w:val="006C1BD5"/>
    <w:rsid w:val="006C1BF3"/>
    <w:rsid w:val="006C1CCC"/>
    <w:rsid w:val="006C1D55"/>
    <w:rsid w:val="006C1DD6"/>
    <w:rsid w:val="006C1EC4"/>
    <w:rsid w:val="006C1F8D"/>
    <w:rsid w:val="006C209D"/>
    <w:rsid w:val="006C2121"/>
    <w:rsid w:val="006C219A"/>
    <w:rsid w:val="006C21DC"/>
    <w:rsid w:val="006C22A3"/>
    <w:rsid w:val="006C2446"/>
    <w:rsid w:val="006C24E6"/>
    <w:rsid w:val="006C262D"/>
    <w:rsid w:val="006C262F"/>
    <w:rsid w:val="006C2642"/>
    <w:rsid w:val="006C26E7"/>
    <w:rsid w:val="006C27E2"/>
    <w:rsid w:val="006C288A"/>
    <w:rsid w:val="006C289D"/>
    <w:rsid w:val="006C29EA"/>
    <w:rsid w:val="006C2B6D"/>
    <w:rsid w:val="006C2C24"/>
    <w:rsid w:val="006C2C90"/>
    <w:rsid w:val="006C2CC7"/>
    <w:rsid w:val="006C2E0C"/>
    <w:rsid w:val="006C2F62"/>
    <w:rsid w:val="006C2FCC"/>
    <w:rsid w:val="006C2FF7"/>
    <w:rsid w:val="006C307B"/>
    <w:rsid w:val="006C30F8"/>
    <w:rsid w:val="006C31E8"/>
    <w:rsid w:val="006C3273"/>
    <w:rsid w:val="006C333F"/>
    <w:rsid w:val="006C3410"/>
    <w:rsid w:val="006C34C2"/>
    <w:rsid w:val="006C35EB"/>
    <w:rsid w:val="006C3743"/>
    <w:rsid w:val="006C374D"/>
    <w:rsid w:val="006C388F"/>
    <w:rsid w:val="006C38C4"/>
    <w:rsid w:val="006C3907"/>
    <w:rsid w:val="006C39FF"/>
    <w:rsid w:val="006C3BC6"/>
    <w:rsid w:val="006C3C30"/>
    <w:rsid w:val="006C3C46"/>
    <w:rsid w:val="006C3C4B"/>
    <w:rsid w:val="006C3D4C"/>
    <w:rsid w:val="006C3FD7"/>
    <w:rsid w:val="006C4106"/>
    <w:rsid w:val="006C4112"/>
    <w:rsid w:val="006C4202"/>
    <w:rsid w:val="006C42E7"/>
    <w:rsid w:val="006C4323"/>
    <w:rsid w:val="006C4410"/>
    <w:rsid w:val="006C4431"/>
    <w:rsid w:val="006C443D"/>
    <w:rsid w:val="006C44EC"/>
    <w:rsid w:val="006C45F8"/>
    <w:rsid w:val="006C462E"/>
    <w:rsid w:val="006C47E8"/>
    <w:rsid w:val="006C4826"/>
    <w:rsid w:val="006C48A0"/>
    <w:rsid w:val="006C49CB"/>
    <w:rsid w:val="006C4A3D"/>
    <w:rsid w:val="006C4B1C"/>
    <w:rsid w:val="006C4B5B"/>
    <w:rsid w:val="006C4C1A"/>
    <w:rsid w:val="006C4D9B"/>
    <w:rsid w:val="006C4E32"/>
    <w:rsid w:val="006C4E40"/>
    <w:rsid w:val="006C4EAE"/>
    <w:rsid w:val="006C4EEE"/>
    <w:rsid w:val="006C4F2B"/>
    <w:rsid w:val="006C4FAB"/>
    <w:rsid w:val="006C4FDF"/>
    <w:rsid w:val="006C4FE5"/>
    <w:rsid w:val="006C50B7"/>
    <w:rsid w:val="006C530F"/>
    <w:rsid w:val="006C53A6"/>
    <w:rsid w:val="006C53E0"/>
    <w:rsid w:val="006C54B2"/>
    <w:rsid w:val="006C54D3"/>
    <w:rsid w:val="006C557D"/>
    <w:rsid w:val="006C5624"/>
    <w:rsid w:val="006C584D"/>
    <w:rsid w:val="006C5A4C"/>
    <w:rsid w:val="006C5A86"/>
    <w:rsid w:val="006C5B1A"/>
    <w:rsid w:val="006C5B73"/>
    <w:rsid w:val="006C5C31"/>
    <w:rsid w:val="006C5DC7"/>
    <w:rsid w:val="006C60FC"/>
    <w:rsid w:val="006C6112"/>
    <w:rsid w:val="006C627E"/>
    <w:rsid w:val="006C62EF"/>
    <w:rsid w:val="006C632B"/>
    <w:rsid w:val="006C634B"/>
    <w:rsid w:val="006C635D"/>
    <w:rsid w:val="006C645D"/>
    <w:rsid w:val="006C6495"/>
    <w:rsid w:val="006C64E3"/>
    <w:rsid w:val="006C669A"/>
    <w:rsid w:val="006C6711"/>
    <w:rsid w:val="006C691B"/>
    <w:rsid w:val="006C69C8"/>
    <w:rsid w:val="006C69CE"/>
    <w:rsid w:val="006C6AA7"/>
    <w:rsid w:val="006C6B79"/>
    <w:rsid w:val="006C6BAE"/>
    <w:rsid w:val="006C6D24"/>
    <w:rsid w:val="006C6D6A"/>
    <w:rsid w:val="006C6DAC"/>
    <w:rsid w:val="006C6E93"/>
    <w:rsid w:val="006C6F9C"/>
    <w:rsid w:val="006C7676"/>
    <w:rsid w:val="006C76B2"/>
    <w:rsid w:val="006C777B"/>
    <w:rsid w:val="006C7811"/>
    <w:rsid w:val="006C7883"/>
    <w:rsid w:val="006C78BA"/>
    <w:rsid w:val="006C794F"/>
    <w:rsid w:val="006C799A"/>
    <w:rsid w:val="006C7A9E"/>
    <w:rsid w:val="006C7D12"/>
    <w:rsid w:val="006C7D68"/>
    <w:rsid w:val="006C7DA5"/>
    <w:rsid w:val="006C7DC9"/>
    <w:rsid w:val="006C7E19"/>
    <w:rsid w:val="006C7E52"/>
    <w:rsid w:val="006C7E93"/>
    <w:rsid w:val="006C7EC3"/>
    <w:rsid w:val="006C7F54"/>
    <w:rsid w:val="006D0055"/>
    <w:rsid w:val="006D00C9"/>
    <w:rsid w:val="006D01BD"/>
    <w:rsid w:val="006D0240"/>
    <w:rsid w:val="006D036C"/>
    <w:rsid w:val="006D0444"/>
    <w:rsid w:val="006D0588"/>
    <w:rsid w:val="006D06F2"/>
    <w:rsid w:val="006D071C"/>
    <w:rsid w:val="006D07C3"/>
    <w:rsid w:val="006D08A3"/>
    <w:rsid w:val="006D0B51"/>
    <w:rsid w:val="006D0E23"/>
    <w:rsid w:val="006D0EBE"/>
    <w:rsid w:val="006D0F0D"/>
    <w:rsid w:val="006D0F0E"/>
    <w:rsid w:val="006D0FA7"/>
    <w:rsid w:val="006D1061"/>
    <w:rsid w:val="006D1071"/>
    <w:rsid w:val="006D10D6"/>
    <w:rsid w:val="006D10FA"/>
    <w:rsid w:val="006D1130"/>
    <w:rsid w:val="006D11FB"/>
    <w:rsid w:val="006D1292"/>
    <w:rsid w:val="006D132D"/>
    <w:rsid w:val="006D1390"/>
    <w:rsid w:val="006D13C8"/>
    <w:rsid w:val="006D1405"/>
    <w:rsid w:val="006D14F6"/>
    <w:rsid w:val="006D1594"/>
    <w:rsid w:val="006D15EE"/>
    <w:rsid w:val="006D1665"/>
    <w:rsid w:val="006D167E"/>
    <w:rsid w:val="006D171F"/>
    <w:rsid w:val="006D17C8"/>
    <w:rsid w:val="006D184B"/>
    <w:rsid w:val="006D1883"/>
    <w:rsid w:val="006D189C"/>
    <w:rsid w:val="006D18E9"/>
    <w:rsid w:val="006D1923"/>
    <w:rsid w:val="006D1932"/>
    <w:rsid w:val="006D1A4B"/>
    <w:rsid w:val="006D1D16"/>
    <w:rsid w:val="006D1D6A"/>
    <w:rsid w:val="006D1DF0"/>
    <w:rsid w:val="006D206D"/>
    <w:rsid w:val="006D2119"/>
    <w:rsid w:val="006D211E"/>
    <w:rsid w:val="006D219A"/>
    <w:rsid w:val="006D22AB"/>
    <w:rsid w:val="006D22D4"/>
    <w:rsid w:val="006D2428"/>
    <w:rsid w:val="006D242E"/>
    <w:rsid w:val="006D25F5"/>
    <w:rsid w:val="006D262B"/>
    <w:rsid w:val="006D27AF"/>
    <w:rsid w:val="006D2815"/>
    <w:rsid w:val="006D2C7F"/>
    <w:rsid w:val="006D2CBF"/>
    <w:rsid w:val="006D2CCB"/>
    <w:rsid w:val="006D2D55"/>
    <w:rsid w:val="006D310E"/>
    <w:rsid w:val="006D31FB"/>
    <w:rsid w:val="006D3226"/>
    <w:rsid w:val="006D3309"/>
    <w:rsid w:val="006D342D"/>
    <w:rsid w:val="006D35EF"/>
    <w:rsid w:val="006D360B"/>
    <w:rsid w:val="006D36AE"/>
    <w:rsid w:val="006D370C"/>
    <w:rsid w:val="006D3727"/>
    <w:rsid w:val="006D3775"/>
    <w:rsid w:val="006D37DB"/>
    <w:rsid w:val="006D3840"/>
    <w:rsid w:val="006D38FD"/>
    <w:rsid w:val="006D3902"/>
    <w:rsid w:val="006D39DD"/>
    <w:rsid w:val="006D39F1"/>
    <w:rsid w:val="006D3B05"/>
    <w:rsid w:val="006D3B1B"/>
    <w:rsid w:val="006D3BE7"/>
    <w:rsid w:val="006D3BF6"/>
    <w:rsid w:val="006D3C2E"/>
    <w:rsid w:val="006D3DF4"/>
    <w:rsid w:val="006D3E61"/>
    <w:rsid w:val="006D3F6E"/>
    <w:rsid w:val="006D40A5"/>
    <w:rsid w:val="006D413D"/>
    <w:rsid w:val="006D41CA"/>
    <w:rsid w:val="006D42E8"/>
    <w:rsid w:val="006D4390"/>
    <w:rsid w:val="006D45FE"/>
    <w:rsid w:val="006D4669"/>
    <w:rsid w:val="006D475C"/>
    <w:rsid w:val="006D4898"/>
    <w:rsid w:val="006D4936"/>
    <w:rsid w:val="006D494C"/>
    <w:rsid w:val="006D49DA"/>
    <w:rsid w:val="006D4A44"/>
    <w:rsid w:val="006D4AD1"/>
    <w:rsid w:val="006D4CD7"/>
    <w:rsid w:val="006D4EDB"/>
    <w:rsid w:val="006D4F85"/>
    <w:rsid w:val="006D5289"/>
    <w:rsid w:val="006D528E"/>
    <w:rsid w:val="006D52AE"/>
    <w:rsid w:val="006D53EE"/>
    <w:rsid w:val="006D5474"/>
    <w:rsid w:val="006D54C8"/>
    <w:rsid w:val="006D551D"/>
    <w:rsid w:val="006D5757"/>
    <w:rsid w:val="006D5861"/>
    <w:rsid w:val="006D5B4E"/>
    <w:rsid w:val="006D5F7B"/>
    <w:rsid w:val="006D5FE8"/>
    <w:rsid w:val="006D626B"/>
    <w:rsid w:val="006D634D"/>
    <w:rsid w:val="006D6512"/>
    <w:rsid w:val="006D658D"/>
    <w:rsid w:val="006D66C3"/>
    <w:rsid w:val="006D68C7"/>
    <w:rsid w:val="006D6A23"/>
    <w:rsid w:val="006D6AAD"/>
    <w:rsid w:val="006D6B53"/>
    <w:rsid w:val="006D6B99"/>
    <w:rsid w:val="006D6CBB"/>
    <w:rsid w:val="006D6CE9"/>
    <w:rsid w:val="006D6E3D"/>
    <w:rsid w:val="006D6E94"/>
    <w:rsid w:val="006D6F6D"/>
    <w:rsid w:val="006D6F7B"/>
    <w:rsid w:val="006D7039"/>
    <w:rsid w:val="006D73A5"/>
    <w:rsid w:val="006D7410"/>
    <w:rsid w:val="006D74C8"/>
    <w:rsid w:val="006D7545"/>
    <w:rsid w:val="006D75B0"/>
    <w:rsid w:val="006D7684"/>
    <w:rsid w:val="006D77C1"/>
    <w:rsid w:val="006D7838"/>
    <w:rsid w:val="006D78A0"/>
    <w:rsid w:val="006D78E2"/>
    <w:rsid w:val="006D7954"/>
    <w:rsid w:val="006D7A10"/>
    <w:rsid w:val="006D7A6A"/>
    <w:rsid w:val="006D7AC6"/>
    <w:rsid w:val="006D7B8B"/>
    <w:rsid w:val="006D7B97"/>
    <w:rsid w:val="006D7C2B"/>
    <w:rsid w:val="006D7C43"/>
    <w:rsid w:val="006D7D8C"/>
    <w:rsid w:val="006D7EC7"/>
    <w:rsid w:val="006D7F4E"/>
    <w:rsid w:val="006E007E"/>
    <w:rsid w:val="006E0275"/>
    <w:rsid w:val="006E0311"/>
    <w:rsid w:val="006E035F"/>
    <w:rsid w:val="006E0553"/>
    <w:rsid w:val="006E05C0"/>
    <w:rsid w:val="006E077F"/>
    <w:rsid w:val="006E07BE"/>
    <w:rsid w:val="006E093F"/>
    <w:rsid w:val="006E0C35"/>
    <w:rsid w:val="006E0C8F"/>
    <w:rsid w:val="006E0DA6"/>
    <w:rsid w:val="006E0E36"/>
    <w:rsid w:val="006E10A2"/>
    <w:rsid w:val="006E112C"/>
    <w:rsid w:val="006E123C"/>
    <w:rsid w:val="006E1261"/>
    <w:rsid w:val="006E1374"/>
    <w:rsid w:val="006E1387"/>
    <w:rsid w:val="006E13BF"/>
    <w:rsid w:val="006E1463"/>
    <w:rsid w:val="006E1574"/>
    <w:rsid w:val="006E167C"/>
    <w:rsid w:val="006E1684"/>
    <w:rsid w:val="006E1778"/>
    <w:rsid w:val="006E1869"/>
    <w:rsid w:val="006E1937"/>
    <w:rsid w:val="006E196C"/>
    <w:rsid w:val="006E1A81"/>
    <w:rsid w:val="006E1AB0"/>
    <w:rsid w:val="006E1AD6"/>
    <w:rsid w:val="006E1C72"/>
    <w:rsid w:val="006E1CCB"/>
    <w:rsid w:val="006E1D3C"/>
    <w:rsid w:val="006E201F"/>
    <w:rsid w:val="006E20B1"/>
    <w:rsid w:val="006E20D5"/>
    <w:rsid w:val="006E20E5"/>
    <w:rsid w:val="006E22D1"/>
    <w:rsid w:val="006E23A1"/>
    <w:rsid w:val="006E23CC"/>
    <w:rsid w:val="006E243C"/>
    <w:rsid w:val="006E24C0"/>
    <w:rsid w:val="006E2523"/>
    <w:rsid w:val="006E256E"/>
    <w:rsid w:val="006E25FA"/>
    <w:rsid w:val="006E2620"/>
    <w:rsid w:val="006E267E"/>
    <w:rsid w:val="006E26AD"/>
    <w:rsid w:val="006E296A"/>
    <w:rsid w:val="006E2A46"/>
    <w:rsid w:val="006E2A76"/>
    <w:rsid w:val="006E2C3C"/>
    <w:rsid w:val="006E2D2A"/>
    <w:rsid w:val="006E2F4B"/>
    <w:rsid w:val="006E2FEC"/>
    <w:rsid w:val="006E307A"/>
    <w:rsid w:val="006E30F7"/>
    <w:rsid w:val="006E3156"/>
    <w:rsid w:val="006E31DC"/>
    <w:rsid w:val="006E32B2"/>
    <w:rsid w:val="006E3368"/>
    <w:rsid w:val="006E3419"/>
    <w:rsid w:val="006E3522"/>
    <w:rsid w:val="006E363B"/>
    <w:rsid w:val="006E3693"/>
    <w:rsid w:val="006E3738"/>
    <w:rsid w:val="006E376E"/>
    <w:rsid w:val="006E3778"/>
    <w:rsid w:val="006E3B36"/>
    <w:rsid w:val="006E3B4D"/>
    <w:rsid w:val="006E3B95"/>
    <w:rsid w:val="006E3C10"/>
    <w:rsid w:val="006E3C17"/>
    <w:rsid w:val="006E3C5B"/>
    <w:rsid w:val="006E3CC3"/>
    <w:rsid w:val="006E3D6A"/>
    <w:rsid w:val="006E3E58"/>
    <w:rsid w:val="006E3E76"/>
    <w:rsid w:val="006E3F11"/>
    <w:rsid w:val="006E40F3"/>
    <w:rsid w:val="006E43C7"/>
    <w:rsid w:val="006E44AD"/>
    <w:rsid w:val="006E4628"/>
    <w:rsid w:val="006E464F"/>
    <w:rsid w:val="006E466D"/>
    <w:rsid w:val="006E467E"/>
    <w:rsid w:val="006E46F4"/>
    <w:rsid w:val="006E473F"/>
    <w:rsid w:val="006E47A3"/>
    <w:rsid w:val="006E47D9"/>
    <w:rsid w:val="006E48B0"/>
    <w:rsid w:val="006E4959"/>
    <w:rsid w:val="006E4A22"/>
    <w:rsid w:val="006E4AA2"/>
    <w:rsid w:val="006E4B62"/>
    <w:rsid w:val="006E4E9C"/>
    <w:rsid w:val="006E4FA8"/>
    <w:rsid w:val="006E50F9"/>
    <w:rsid w:val="006E53A9"/>
    <w:rsid w:val="006E53FB"/>
    <w:rsid w:val="006E54CB"/>
    <w:rsid w:val="006E5750"/>
    <w:rsid w:val="006E5958"/>
    <w:rsid w:val="006E5A85"/>
    <w:rsid w:val="006E5A92"/>
    <w:rsid w:val="006E5CF7"/>
    <w:rsid w:val="006E5ECA"/>
    <w:rsid w:val="006E5F22"/>
    <w:rsid w:val="006E5F56"/>
    <w:rsid w:val="006E5F91"/>
    <w:rsid w:val="006E6152"/>
    <w:rsid w:val="006E616E"/>
    <w:rsid w:val="006E621E"/>
    <w:rsid w:val="006E6315"/>
    <w:rsid w:val="006E6377"/>
    <w:rsid w:val="006E63DF"/>
    <w:rsid w:val="006E649A"/>
    <w:rsid w:val="006E6535"/>
    <w:rsid w:val="006E68BD"/>
    <w:rsid w:val="006E692D"/>
    <w:rsid w:val="006E694F"/>
    <w:rsid w:val="006E6B1B"/>
    <w:rsid w:val="006E6B39"/>
    <w:rsid w:val="006E6BB1"/>
    <w:rsid w:val="006E6BB5"/>
    <w:rsid w:val="006E6C8D"/>
    <w:rsid w:val="006E6D75"/>
    <w:rsid w:val="006E6D79"/>
    <w:rsid w:val="006E6DFF"/>
    <w:rsid w:val="006E6EA7"/>
    <w:rsid w:val="006E7054"/>
    <w:rsid w:val="006E705C"/>
    <w:rsid w:val="006E71AD"/>
    <w:rsid w:val="006E7236"/>
    <w:rsid w:val="006E7281"/>
    <w:rsid w:val="006E7293"/>
    <w:rsid w:val="006E7295"/>
    <w:rsid w:val="006E75F4"/>
    <w:rsid w:val="006E763E"/>
    <w:rsid w:val="006E795F"/>
    <w:rsid w:val="006E79B6"/>
    <w:rsid w:val="006E7A81"/>
    <w:rsid w:val="006E7B1E"/>
    <w:rsid w:val="006E7D98"/>
    <w:rsid w:val="006E7F5C"/>
    <w:rsid w:val="006E7F96"/>
    <w:rsid w:val="006F00B8"/>
    <w:rsid w:val="006F015B"/>
    <w:rsid w:val="006F021D"/>
    <w:rsid w:val="006F02EF"/>
    <w:rsid w:val="006F0301"/>
    <w:rsid w:val="006F0368"/>
    <w:rsid w:val="006F048E"/>
    <w:rsid w:val="006F0621"/>
    <w:rsid w:val="006F0634"/>
    <w:rsid w:val="006F0712"/>
    <w:rsid w:val="006F0799"/>
    <w:rsid w:val="006F079D"/>
    <w:rsid w:val="006F08ED"/>
    <w:rsid w:val="006F091B"/>
    <w:rsid w:val="006F09EA"/>
    <w:rsid w:val="006F0A31"/>
    <w:rsid w:val="006F0D01"/>
    <w:rsid w:val="006F0E74"/>
    <w:rsid w:val="006F0F0E"/>
    <w:rsid w:val="006F1005"/>
    <w:rsid w:val="006F10C9"/>
    <w:rsid w:val="006F10E1"/>
    <w:rsid w:val="006F113D"/>
    <w:rsid w:val="006F11A1"/>
    <w:rsid w:val="006F11BB"/>
    <w:rsid w:val="006F125E"/>
    <w:rsid w:val="006F1278"/>
    <w:rsid w:val="006F12D3"/>
    <w:rsid w:val="006F1309"/>
    <w:rsid w:val="006F1498"/>
    <w:rsid w:val="006F162B"/>
    <w:rsid w:val="006F18F4"/>
    <w:rsid w:val="006F1946"/>
    <w:rsid w:val="006F19A1"/>
    <w:rsid w:val="006F19C1"/>
    <w:rsid w:val="006F19DC"/>
    <w:rsid w:val="006F1B94"/>
    <w:rsid w:val="006F1BA9"/>
    <w:rsid w:val="006F1C4E"/>
    <w:rsid w:val="006F1CFA"/>
    <w:rsid w:val="006F1DFD"/>
    <w:rsid w:val="006F1DFF"/>
    <w:rsid w:val="006F1F1D"/>
    <w:rsid w:val="006F1F72"/>
    <w:rsid w:val="006F1F78"/>
    <w:rsid w:val="006F1FAA"/>
    <w:rsid w:val="006F2005"/>
    <w:rsid w:val="006F20EB"/>
    <w:rsid w:val="006F228C"/>
    <w:rsid w:val="006F2369"/>
    <w:rsid w:val="006F2388"/>
    <w:rsid w:val="006F23AD"/>
    <w:rsid w:val="006F24BD"/>
    <w:rsid w:val="006F2513"/>
    <w:rsid w:val="006F265D"/>
    <w:rsid w:val="006F2791"/>
    <w:rsid w:val="006F28AB"/>
    <w:rsid w:val="006F299E"/>
    <w:rsid w:val="006F2A17"/>
    <w:rsid w:val="006F2A2E"/>
    <w:rsid w:val="006F2A99"/>
    <w:rsid w:val="006F2B38"/>
    <w:rsid w:val="006F2BA8"/>
    <w:rsid w:val="006F2BAB"/>
    <w:rsid w:val="006F2CD9"/>
    <w:rsid w:val="006F2EB4"/>
    <w:rsid w:val="006F2F45"/>
    <w:rsid w:val="006F3002"/>
    <w:rsid w:val="006F3032"/>
    <w:rsid w:val="006F3093"/>
    <w:rsid w:val="006F30D6"/>
    <w:rsid w:val="006F31F5"/>
    <w:rsid w:val="006F3218"/>
    <w:rsid w:val="006F3261"/>
    <w:rsid w:val="006F32AF"/>
    <w:rsid w:val="006F33A1"/>
    <w:rsid w:val="006F33F8"/>
    <w:rsid w:val="006F35E0"/>
    <w:rsid w:val="006F3727"/>
    <w:rsid w:val="006F3749"/>
    <w:rsid w:val="006F382F"/>
    <w:rsid w:val="006F3AA1"/>
    <w:rsid w:val="006F3B02"/>
    <w:rsid w:val="006F3C57"/>
    <w:rsid w:val="006F3CC7"/>
    <w:rsid w:val="006F3DDA"/>
    <w:rsid w:val="006F3E75"/>
    <w:rsid w:val="006F3FA0"/>
    <w:rsid w:val="006F3FA7"/>
    <w:rsid w:val="006F3FCA"/>
    <w:rsid w:val="006F3FDB"/>
    <w:rsid w:val="006F4111"/>
    <w:rsid w:val="006F4254"/>
    <w:rsid w:val="006F4266"/>
    <w:rsid w:val="006F442E"/>
    <w:rsid w:val="006F453C"/>
    <w:rsid w:val="006F4547"/>
    <w:rsid w:val="006F45A4"/>
    <w:rsid w:val="006F45F2"/>
    <w:rsid w:val="006F4652"/>
    <w:rsid w:val="006F46AC"/>
    <w:rsid w:val="006F474C"/>
    <w:rsid w:val="006F49FA"/>
    <w:rsid w:val="006F4A58"/>
    <w:rsid w:val="006F4C33"/>
    <w:rsid w:val="006F4C5D"/>
    <w:rsid w:val="006F4D45"/>
    <w:rsid w:val="006F4D89"/>
    <w:rsid w:val="006F4E82"/>
    <w:rsid w:val="006F4FDE"/>
    <w:rsid w:val="006F50B5"/>
    <w:rsid w:val="006F50DF"/>
    <w:rsid w:val="006F510E"/>
    <w:rsid w:val="006F517F"/>
    <w:rsid w:val="006F5377"/>
    <w:rsid w:val="006F53FF"/>
    <w:rsid w:val="006F5417"/>
    <w:rsid w:val="006F54BC"/>
    <w:rsid w:val="006F5509"/>
    <w:rsid w:val="006F5557"/>
    <w:rsid w:val="006F5569"/>
    <w:rsid w:val="006F55E7"/>
    <w:rsid w:val="006F5620"/>
    <w:rsid w:val="006F57C0"/>
    <w:rsid w:val="006F58BB"/>
    <w:rsid w:val="006F5A47"/>
    <w:rsid w:val="006F5A4C"/>
    <w:rsid w:val="006F5B19"/>
    <w:rsid w:val="006F5B99"/>
    <w:rsid w:val="006F5DAC"/>
    <w:rsid w:val="006F5E0F"/>
    <w:rsid w:val="006F5F4B"/>
    <w:rsid w:val="006F6028"/>
    <w:rsid w:val="006F626A"/>
    <w:rsid w:val="006F6474"/>
    <w:rsid w:val="006F6502"/>
    <w:rsid w:val="006F6625"/>
    <w:rsid w:val="006F66F9"/>
    <w:rsid w:val="006F670C"/>
    <w:rsid w:val="006F67EA"/>
    <w:rsid w:val="006F69CB"/>
    <w:rsid w:val="006F6C71"/>
    <w:rsid w:val="006F6D21"/>
    <w:rsid w:val="006F6DBF"/>
    <w:rsid w:val="006F6DCC"/>
    <w:rsid w:val="006F6DEE"/>
    <w:rsid w:val="006F6EAA"/>
    <w:rsid w:val="006F71A0"/>
    <w:rsid w:val="006F71C3"/>
    <w:rsid w:val="006F71D0"/>
    <w:rsid w:val="006F7244"/>
    <w:rsid w:val="006F72EA"/>
    <w:rsid w:val="006F73F0"/>
    <w:rsid w:val="006F74AA"/>
    <w:rsid w:val="006F7609"/>
    <w:rsid w:val="006F7747"/>
    <w:rsid w:val="006F7837"/>
    <w:rsid w:val="006F78A6"/>
    <w:rsid w:val="006F793C"/>
    <w:rsid w:val="006F7998"/>
    <w:rsid w:val="006F79F8"/>
    <w:rsid w:val="006F7A04"/>
    <w:rsid w:val="006F7B1F"/>
    <w:rsid w:val="006F7C1E"/>
    <w:rsid w:val="006F7CBC"/>
    <w:rsid w:val="006F7D31"/>
    <w:rsid w:val="006F7DBE"/>
    <w:rsid w:val="006F7E77"/>
    <w:rsid w:val="006F7EB8"/>
    <w:rsid w:val="00700129"/>
    <w:rsid w:val="0070019F"/>
    <w:rsid w:val="007001B8"/>
    <w:rsid w:val="00700231"/>
    <w:rsid w:val="00700239"/>
    <w:rsid w:val="00700376"/>
    <w:rsid w:val="00700502"/>
    <w:rsid w:val="0070056A"/>
    <w:rsid w:val="007009FF"/>
    <w:rsid w:val="00700A57"/>
    <w:rsid w:val="00700D8F"/>
    <w:rsid w:val="00700D9D"/>
    <w:rsid w:val="00700E05"/>
    <w:rsid w:val="00700E3D"/>
    <w:rsid w:val="00700FBB"/>
    <w:rsid w:val="0070104F"/>
    <w:rsid w:val="0070126F"/>
    <w:rsid w:val="00701299"/>
    <w:rsid w:val="007014E1"/>
    <w:rsid w:val="00701525"/>
    <w:rsid w:val="0070155D"/>
    <w:rsid w:val="00701575"/>
    <w:rsid w:val="007015CB"/>
    <w:rsid w:val="007016B3"/>
    <w:rsid w:val="007018F1"/>
    <w:rsid w:val="00701A6B"/>
    <w:rsid w:val="00701BB5"/>
    <w:rsid w:val="00701BD5"/>
    <w:rsid w:val="00701BE7"/>
    <w:rsid w:val="00701C6E"/>
    <w:rsid w:val="00701C9D"/>
    <w:rsid w:val="00701CDA"/>
    <w:rsid w:val="00701D33"/>
    <w:rsid w:val="00701DFA"/>
    <w:rsid w:val="00701E0E"/>
    <w:rsid w:val="00701EBD"/>
    <w:rsid w:val="00701F5E"/>
    <w:rsid w:val="00701F95"/>
    <w:rsid w:val="00701FA1"/>
    <w:rsid w:val="00702086"/>
    <w:rsid w:val="007021C0"/>
    <w:rsid w:val="00702364"/>
    <w:rsid w:val="007023D8"/>
    <w:rsid w:val="00702470"/>
    <w:rsid w:val="00702616"/>
    <w:rsid w:val="007026B4"/>
    <w:rsid w:val="00702711"/>
    <w:rsid w:val="0070282E"/>
    <w:rsid w:val="007029C5"/>
    <w:rsid w:val="00702C3C"/>
    <w:rsid w:val="00702CD1"/>
    <w:rsid w:val="00702DEB"/>
    <w:rsid w:val="00702E3D"/>
    <w:rsid w:val="00702EDA"/>
    <w:rsid w:val="00703079"/>
    <w:rsid w:val="0070309D"/>
    <w:rsid w:val="00703185"/>
    <w:rsid w:val="007031C1"/>
    <w:rsid w:val="007031F7"/>
    <w:rsid w:val="00703318"/>
    <w:rsid w:val="0070333A"/>
    <w:rsid w:val="007035E1"/>
    <w:rsid w:val="00703604"/>
    <w:rsid w:val="00703648"/>
    <w:rsid w:val="007037A6"/>
    <w:rsid w:val="00703847"/>
    <w:rsid w:val="007039D2"/>
    <w:rsid w:val="00703A3C"/>
    <w:rsid w:val="00703AA7"/>
    <w:rsid w:val="00703B77"/>
    <w:rsid w:val="00703B78"/>
    <w:rsid w:val="00703C0D"/>
    <w:rsid w:val="00703C9B"/>
    <w:rsid w:val="00703D4D"/>
    <w:rsid w:val="00703DF9"/>
    <w:rsid w:val="00703E6B"/>
    <w:rsid w:val="00703F65"/>
    <w:rsid w:val="00703FAF"/>
    <w:rsid w:val="007040D4"/>
    <w:rsid w:val="00704124"/>
    <w:rsid w:val="007041F2"/>
    <w:rsid w:val="00704285"/>
    <w:rsid w:val="00704392"/>
    <w:rsid w:val="007045AC"/>
    <w:rsid w:val="007045CE"/>
    <w:rsid w:val="007046B4"/>
    <w:rsid w:val="007047B6"/>
    <w:rsid w:val="00704882"/>
    <w:rsid w:val="00704911"/>
    <w:rsid w:val="007049FC"/>
    <w:rsid w:val="00704A4D"/>
    <w:rsid w:val="00704D5E"/>
    <w:rsid w:val="00704EE9"/>
    <w:rsid w:val="00704F21"/>
    <w:rsid w:val="00704FF9"/>
    <w:rsid w:val="007051B9"/>
    <w:rsid w:val="0070524B"/>
    <w:rsid w:val="00705292"/>
    <w:rsid w:val="00705318"/>
    <w:rsid w:val="00705343"/>
    <w:rsid w:val="007056BF"/>
    <w:rsid w:val="00705722"/>
    <w:rsid w:val="007057F2"/>
    <w:rsid w:val="0070581B"/>
    <w:rsid w:val="0070590C"/>
    <w:rsid w:val="00705A0D"/>
    <w:rsid w:val="00705A4D"/>
    <w:rsid w:val="00705C2E"/>
    <w:rsid w:val="00705C73"/>
    <w:rsid w:val="00705F2A"/>
    <w:rsid w:val="00706038"/>
    <w:rsid w:val="0070608F"/>
    <w:rsid w:val="007060C9"/>
    <w:rsid w:val="00706113"/>
    <w:rsid w:val="00706312"/>
    <w:rsid w:val="00706329"/>
    <w:rsid w:val="00706422"/>
    <w:rsid w:val="00706427"/>
    <w:rsid w:val="007065A2"/>
    <w:rsid w:val="007065D5"/>
    <w:rsid w:val="00706794"/>
    <w:rsid w:val="007067D3"/>
    <w:rsid w:val="00706A07"/>
    <w:rsid w:val="00706B23"/>
    <w:rsid w:val="00706BDA"/>
    <w:rsid w:val="00706D36"/>
    <w:rsid w:val="00706DE3"/>
    <w:rsid w:val="00706DF3"/>
    <w:rsid w:val="00706E8E"/>
    <w:rsid w:val="00706EA0"/>
    <w:rsid w:val="00706F00"/>
    <w:rsid w:val="00706F04"/>
    <w:rsid w:val="00706FAF"/>
    <w:rsid w:val="007071E6"/>
    <w:rsid w:val="007072B0"/>
    <w:rsid w:val="00707531"/>
    <w:rsid w:val="00707666"/>
    <w:rsid w:val="00707854"/>
    <w:rsid w:val="00707894"/>
    <w:rsid w:val="0070789C"/>
    <w:rsid w:val="00707951"/>
    <w:rsid w:val="00707A59"/>
    <w:rsid w:val="00707B73"/>
    <w:rsid w:val="00707BBC"/>
    <w:rsid w:val="00707CBF"/>
    <w:rsid w:val="00707F66"/>
    <w:rsid w:val="0071004E"/>
    <w:rsid w:val="00710355"/>
    <w:rsid w:val="00710388"/>
    <w:rsid w:val="007107A4"/>
    <w:rsid w:val="00710824"/>
    <w:rsid w:val="007108B7"/>
    <w:rsid w:val="00710A08"/>
    <w:rsid w:val="00710A75"/>
    <w:rsid w:val="00710B18"/>
    <w:rsid w:val="00710B97"/>
    <w:rsid w:val="00710CBE"/>
    <w:rsid w:val="00710DA7"/>
    <w:rsid w:val="00710FD4"/>
    <w:rsid w:val="007110E6"/>
    <w:rsid w:val="0071113D"/>
    <w:rsid w:val="007113CB"/>
    <w:rsid w:val="007113FA"/>
    <w:rsid w:val="007114B8"/>
    <w:rsid w:val="0071150A"/>
    <w:rsid w:val="00711560"/>
    <w:rsid w:val="00711611"/>
    <w:rsid w:val="007116E0"/>
    <w:rsid w:val="00711707"/>
    <w:rsid w:val="007117B0"/>
    <w:rsid w:val="007117C1"/>
    <w:rsid w:val="00711816"/>
    <w:rsid w:val="007119A3"/>
    <w:rsid w:val="007119C5"/>
    <w:rsid w:val="007119CA"/>
    <w:rsid w:val="00711CCD"/>
    <w:rsid w:val="00711D40"/>
    <w:rsid w:val="00711E2D"/>
    <w:rsid w:val="00711E5A"/>
    <w:rsid w:val="00711FFD"/>
    <w:rsid w:val="00712083"/>
    <w:rsid w:val="00712104"/>
    <w:rsid w:val="00712116"/>
    <w:rsid w:val="007121A3"/>
    <w:rsid w:val="007121A9"/>
    <w:rsid w:val="00712240"/>
    <w:rsid w:val="00712543"/>
    <w:rsid w:val="0071256C"/>
    <w:rsid w:val="00712597"/>
    <w:rsid w:val="0071269D"/>
    <w:rsid w:val="0071273F"/>
    <w:rsid w:val="00712851"/>
    <w:rsid w:val="0071287A"/>
    <w:rsid w:val="00712927"/>
    <w:rsid w:val="00712987"/>
    <w:rsid w:val="00712A7D"/>
    <w:rsid w:val="00712B5F"/>
    <w:rsid w:val="00712BB8"/>
    <w:rsid w:val="00712D10"/>
    <w:rsid w:val="00712F79"/>
    <w:rsid w:val="00712FE6"/>
    <w:rsid w:val="007130BA"/>
    <w:rsid w:val="00713182"/>
    <w:rsid w:val="0071321D"/>
    <w:rsid w:val="007132FF"/>
    <w:rsid w:val="0071332E"/>
    <w:rsid w:val="007133D7"/>
    <w:rsid w:val="007135AA"/>
    <w:rsid w:val="00713B74"/>
    <w:rsid w:val="00713B75"/>
    <w:rsid w:val="00713BB7"/>
    <w:rsid w:val="00713DCA"/>
    <w:rsid w:val="00713EFF"/>
    <w:rsid w:val="00714168"/>
    <w:rsid w:val="0071422C"/>
    <w:rsid w:val="00714397"/>
    <w:rsid w:val="0071443A"/>
    <w:rsid w:val="0071443F"/>
    <w:rsid w:val="007144BC"/>
    <w:rsid w:val="007146E3"/>
    <w:rsid w:val="00714748"/>
    <w:rsid w:val="00714801"/>
    <w:rsid w:val="00714A70"/>
    <w:rsid w:val="00714BEE"/>
    <w:rsid w:val="00714C2E"/>
    <w:rsid w:val="00714D41"/>
    <w:rsid w:val="00714D5F"/>
    <w:rsid w:val="00714E0C"/>
    <w:rsid w:val="00714E8C"/>
    <w:rsid w:val="00714F14"/>
    <w:rsid w:val="00714F2E"/>
    <w:rsid w:val="00714F43"/>
    <w:rsid w:val="00714F97"/>
    <w:rsid w:val="0071510E"/>
    <w:rsid w:val="0071511D"/>
    <w:rsid w:val="007154A9"/>
    <w:rsid w:val="0071566A"/>
    <w:rsid w:val="00715704"/>
    <w:rsid w:val="00715757"/>
    <w:rsid w:val="007157D2"/>
    <w:rsid w:val="007157FD"/>
    <w:rsid w:val="00715880"/>
    <w:rsid w:val="007159CC"/>
    <w:rsid w:val="00715B4D"/>
    <w:rsid w:val="00715BED"/>
    <w:rsid w:val="00715DD8"/>
    <w:rsid w:val="00715DFA"/>
    <w:rsid w:val="00715E39"/>
    <w:rsid w:val="00715E77"/>
    <w:rsid w:val="00715F21"/>
    <w:rsid w:val="00715FD6"/>
    <w:rsid w:val="0071602E"/>
    <w:rsid w:val="007160EC"/>
    <w:rsid w:val="00716180"/>
    <w:rsid w:val="007162CA"/>
    <w:rsid w:val="00716365"/>
    <w:rsid w:val="0071636D"/>
    <w:rsid w:val="00716471"/>
    <w:rsid w:val="007164FD"/>
    <w:rsid w:val="007165BE"/>
    <w:rsid w:val="0071661D"/>
    <w:rsid w:val="00716696"/>
    <w:rsid w:val="007167CE"/>
    <w:rsid w:val="007167DF"/>
    <w:rsid w:val="007167F1"/>
    <w:rsid w:val="00716A22"/>
    <w:rsid w:val="00716AAB"/>
    <w:rsid w:val="00716AB3"/>
    <w:rsid w:val="00716E5A"/>
    <w:rsid w:val="00716F89"/>
    <w:rsid w:val="007170AC"/>
    <w:rsid w:val="007171E1"/>
    <w:rsid w:val="007172DF"/>
    <w:rsid w:val="00717358"/>
    <w:rsid w:val="0071752A"/>
    <w:rsid w:val="0071764B"/>
    <w:rsid w:val="00717738"/>
    <w:rsid w:val="0071789B"/>
    <w:rsid w:val="007178A5"/>
    <w:rsid w:val="007178D3"/>
    <w:rsid w:val="00717A35"/>
    <w:rsid w:val="00717A63"/>
    <w:rsid w:val="00717AFF"/>
    <w:rsid w:val="00717C15"/>
    <w:rsid w:val="00717F10"/>
    <w:rsid w:val="00720057"/>
    <w:rsid w:val="00720161"/>
    <w:rsid w:val="007201CF"/>
    <w:rsid w:val="007201E4"/>
    <w:rsid w:val="00720205"/>
    <w:rsid w:val="00720383"/>
    <w:rsid w:val="00720400"/>
    <w:rsid w:val="007204D9"/>
    <w:rsid w:val="007204E5"/>
    <w:rsid w:val="0072054C"/>
    <w:rsid w:val="0072059E"/>
    <w:rsid w:val="007205E2"/>
    <w:rsid w:val="00720693"/>
    <w:rsid w:val="007207E5"/>
    <w:rsid w:val="007207F3"/>
    <w:rsid w:val="007207F6"/>
    <w:rsid w:val="0072082E"/>
    <w:rsid w:val="0072086C"/>
    <w:rsid w:val="007208C7"/>
    <w:rsid w:val="00720955"/>
    <w:rsid w:val="0072099C"/>
    <w:rsid w:val="007209B0"/>
    <w:rsid w:val="007209B6"/>
    <w:rsid w:val="00720A9C"/>
    <w:rsid w:val="00720B74"/>
    <w:rsid w:val="00720BB0"/>
    <w:rsid w:val="00720C96"/>
    <w:rsid w:val="00720D8C"/>
    <w:rsid w:val="00720DAB"/>
    <w:rsid w:val="00720DE9"/>
    <w:rsid w:val="00721162"/>
    <w:rsid w:val="0072131E"/>
    <w:rsid w:val="007213B8"/>
    <w:rsid w:val="00721402"/>
    <w:rsid w:val="0072143F"/>
    <w:rsid w:val="00721586"/>
    <w:rsid w:val="00721703"/>
    <w:rsid w:val="007217D0"/>
    <w:rsid w:val="007218D8"/>
    <w:rsid w:val="00721954"/>
    <w:rsid w:val="00721A63"/>
    <w:rsid w:val="00721AD4"/>
    <w:rsid w:val="00721BFC"/>
    <w:rsid w:val="00721D6C"/>
    <w:rsid w:val="00721E7B"/>
    <w:rsid w:val="00721E98"/>
    <w:rsid w:val="00721F97"/>
    <w:rsid w:val="0072225B"/>
    <w:rsid w:val="00722286"/>
    <w:rsid w:val="00722587"/>
    <w:rsid w:val="0072261D"/>
    <w:rsid w:val="00722900"/>
    <w:rsid w:val="00722967"/>
    <w:rsid w:val="00722A76"/>
    <w:rsid w:val="00722B53"/>
    <w:rsid w:val="00722BDA"/>
    <w:rsid w:val="00722D75"/>
    <w:rsid w:val="00722EC2"/>
    <w:rsid w:val="00722F48"/>
    <w:rsid w:val="00722FFF"/>
    <w:rsid w:val="007230BA"/>
    <w:rsid w:val="007232CE"/>
    <w:rsid w:val="007234CF"/>
    <w:rsid w:val="00723568"/>
    <w:rsid w:val="00723632"/>
    <w:rsid w:val="00723637"/>
    <w:rsid w:val="007238D6"/>
    <w:rsid w:val="007239A7"/>
    <w:rsid w:val="00723A31"/>
    <w:rsid w:val="00723F9D"/>
    <w:rsid w:val="00724073"/>
    <w:rsid w:val="007241AF"/>
    <w:rsid w:val="0072433A"/>
    <w:rsid w:val="0072435C"/>
    <w:rsid w:val="0072458D"/>
    <w:rsid w:val="0072497B"/>
    <w:rsid w:val="0072497F"/>
    <w:rsid w:val="00724994"/>
    <w:rsid w:val="007249EF"/>
    <w:rsid w:val="00724A9C"/>
    <w:rsid w:val="00724B88"/>
    <w:rsid w:val="00724BA6"/>
    <w:rsid w:val="00724BDF"/>
    <w:rsid w:val="00724C40"/>
    <w:rsid w:val="00724C84"/>
    <w:rsid w:val="00724E85"/>
    <w:rsid w:val="00724E9B"/>
    <w:rsid w:val="007251A9"/>
    <w:rsid w:val="007251C8"/>
    <w:rsid w:val="00725212"/>
    <w:rsid w:val="00725226"/>
    <w:rsid w:val="00725245"/>
    <w:rsid w:val="007252AF"/>
    <w:rsid w:val="007254AA"/>
    <w:rsid w:val="0072572B"/>
    <w:rsid w:val="007257E0"/>
    <w:rsid w:val="00725831"/>
    <w:rsid w:val="00725931"/>
    <w:rsid w:val="00725981"/>
    <w:rsid w:val="007259AB"/>
    <w:rsid w:val="00725A4F"/>
    <w:rsid w:val="00725BAA"/>
    <w:rsid w:val="00725C67"/>
    <w:rsid w:val="00725D4F"/>
    <w:rsid w:val="00725D8B"/>
    <w:rsid w:val="00725DAB"/>
    <w:rsid w:val="00725DB4"/>
    <w:rsid w:val="00725DCB"/>
    <w:rsid w:val="00725E4C"/>
    <w:rsid w:val="00726029"/>
    <w:rsid w:val="0072613D"/>
    <w:rsid w:val="007263F9"/>
    <w:rsid w:val="00726652"/>
    <w:rsid w:val="00726902"/>
    <w:rsid w:val="00726AEA"/>
    <w:rsid w:val="00726BDD"/>
    <w:rsid w:val="00726C0D"/>
    <w:rsid w:val="00726DFC"/>
    <w:rsid w:val="00726E28"/>
    <w:rsid w:val="00726E44"/>
    <w:rsid w:val="00726E57"/>
    <w:rsid w:val="00726E7B"/>
    <w:rsid w:val="00726FD6"/>
    <w:rsid w:val="00727109"/>
    <w:rsid w:val="0072734C"/>
    <w:rsid w:val="007273C5"/>
    <w:rsid w:val="00727561"/>
    <w:rsid w:val="00727566"/>
    <w:rsid w:val="0072759E"/>
    <w:rsid w:val="00727800"/>
    <w:rsid w:val="00727985"/>
    <w:rsid w:val="007279C1"/>
    <w:rsid w:val="007279E5"/>
    <w:rsid w:val="00727A22"/>
    <w:rsid w:val="00727B28"/>
    <w:rsid w:val="00727BBA"/>
    <w:rsid w:val="00727C4E"/>
    <w:rsid w:val="00727D7D"/>
    <w:rsid w:val="00727DDC"/>
    <w:rsid w:val="00727F53"/>
    <w:rsid w:val="00730058"/>
    <w:rsid w:val="007301A8"/>
    <w:rsid w:val="007301EF"/>
    <w:rsid w:val="00730234"/>
    <w:rsid w:val="0073025E"/>
    <w:rsid w:val="0073028E"/>
    <w:rsid w:val="0073032C"/>
    <w:rsid w:val="00730376"/>
    <w:rsid w:val="00730436"/>
    <w:rsid w:val="007304D9"/>
    <w:rsid w:val="00730616"/>
    <w:rsid w:val="0073073B"/>
    <w:rsid w:val="0073073F"/>
    <w:rsid w:val="007308D5"/>
    <w:rsid w:val="00730B3A"/>
    <w:rsid w:val="00730DC3"/>
    <w:rsid w:val="00730E0B"/>
    <w:rsid w:val="00730E90"/>
    <w:rsid w:val="00730EFD"/>
    <w:rsid w:val="00730FAD"/>
    <w:rsid w:val="00731077"/>
    <w:rsid w:val="00731112"/>
    <w:rsid w:val="00731274"/>
    <w:rsid w:val="007312E1"/>
    <w:rsid w:val="00731339"/>
    <w:rsid w:val="00731411"/>
    <w:rsid w:val="00731470"/>
    <w:rsid w:val="0073152E"/>
    <w:rsid w:val="00731654"/>
    <w:rsid w:val="0073174D"/>
    <w:rsid w:val="00731834"/>
    <w:rsid w:val="0073192D"/>
    <w:rsid w:val="007319B6"/>
    <w:rsid w:val="00731ADA"/>
    <w:rsid w:val="00731B8F"/>
    <w:rsid w:val="00731D60"/>
    <w:rsid w:val="00731D8B"/>
    <w:rsid w:val="00731E0E"/>
    <w:rsid w:val="00731E22"/>
    <w:rsid w:val="00731E5A"/>
    <w:rsid w:val="00731F93"/>
    <w:rsid w:val="00732005"/>
    <w:rsid w:val="00732134"/>
    <w:rsid w:val="007321FB"/>
    <w:rsid w:val="007322E7"/>
    <w:rsid w:val="007323EF"/>
    <w:rsid w:val="007327F7"/>
    <w:rsid w:val="00732899"/>
    <w:rsid w:val="007328AA"/>
    <w:rsid w:val="00732978"/>
    <w:rsid w:val="007329B9"/>
    <w:rsid w:val="00732ABC"/>
    <w:rsid w:val="00732CAC"/>
    <w:rsid w:val="00733191"/>
    <w:rsid w:val="007331B2"/>
    <w:rsid w:val="007331FA"/>
    <w:rsid w:val="0073320A"/>
    <w:rsid w:val="007332AA"/>
    <w:rsid w:val="00733324"/>
    <w:rsid w:val="007333A9"/>
    <w:rsid w:val="00733566"/>
    <w:rsid w:val="0073364A"/>
    <w:rsid w:val="0073365F"/>
    <w:rsid w:val="0073366E"/>
    <w:rsid w:val="007337A5"/>
    <w:rsid w:val="00733965"/>
    <w:rsid w:val="0073396C"/>
    <w:rsid w:val="00733B59"/>
    <w:rsid w:val="00733BF4"/>
    <w:rsid w:val="0073419A"/>
    <w:rsid w:val="007342A5"/>
    <w:rsid w:val="007342B3"/>
    <w:rsid w:val="007342C3"/>
    <w:rsid w:val="007342FE"/>
    <w:rsid w:val="00734318"/>
    <w:rsid w:val="007343B7"/>
    <w:rsid w:val="0073441E"/>
    <w:rsid w:val="00734487"/>
    <w:rsid w:val="0073455F"/>
    <w:rsid w:val="007347BC"/>
    <w:rsid w:val="007347FE"/>
    <w:rsid w:val="0073483D"/>
    <w:rsid w:val="007348C4"/>
    <w:rsid w:val="00734960"/>
    <w:rsid w:val="00734A28"/>
    <w:rsid w:val="00734AB8"/>
    <w:rsid w:val="00734B36"/>
    <w:rsid w:val="00734BDF"/>
    <w:rsid w:val="00734C1D"/>
    <w:rsid w:val="00734D7C"/>
    <w:rsid w:val="00734E4D"/>
    <w:rsid w:val="00734E7C"/>
    <w:rsid w:val="0073515D"/>
    <w:rsid w:val="00735161"/>
    <w:rsid w:val="00735164"/>
    <w:rsid w:val="007351DD"/>
    <w:rsid w:val="007352AE"/>
    <w:rsid w:val="00735386"/>
    <w:rsid w:val="007356EA"/>
    <w:rsid w:val="00735942"/>
    <w:rsid w:val="00735B63"/>
    <w:rsid w:val="00735B97"/>
    <w:rsid w:val="00735C13"/>
    <w:rsid w:val="00735C35"/>
    <w:rsid w:val="00735E27"/>
    <w:rsid w:val="00735E35"/>
    <w:rsid w:val="00735EFB"/>
    <w:rsid w:val="00735F09"/>
    <w:rsid w:val="00736053"/>
    <w:rsid w:val="00736063"/>
    <w:rsid w:val="00736126"/>
    <w:rsid w:val="00736263"/>
    <w:rsid w:val="0073643C"/>
    <w:rsid w:val="0073662E"/>
    <w:rsid w:val="00736707"/>
    <w:rsid w:val="0073674B"/>
    <w:rsid w:val="00736790"/>
    <w:rsid w:val="007367BF"/>
    <w:rsid w:val="007367CF"/>
    <w:rsid w:val="0073684F"/>
    <w:rsid w:val="007368B7"/>
    <w:rsid w:val="00736913"/>
    <w:rsid w:val="00736998"/>
    <w:rsid w:val="00736CCA"/>
    <w:rsid w:val="00736D07"/>
    <w:rsid w:val="00736D32"/>
    <w:rsid w:val="00736D96"/>
    <w:rsid w:val="00737024"/>
    <w:rsid w:val="00737042"/>
    <w:rsid w:val="007370C2"/>
    <w:rsid w:val="007370FF"/>
    <w:rsid w:val="0073712E"/>
    <w:rsid w:val="0073719D"/>
    <w:rsid w:val="007371CB"/>
    <w:rsid w:val="00737431"/>
    <w:rsid w:val="007376F2"/>
    <w:rsid w:val="00737886"/>
    <w:rsid w:val="007378A7"/>
    <w:rsid w:val="007378D5"/>
    <w:rsid w:val="007379B7"/>
    <w:rsid w:val="00737A25"/>
    <w:rsid w:val="00737B5A"/>
    <w:rsid w:val="00737BF9"/>
    <w:rsid w:val="00737C03"/>
    <w:rsid w:val="00737C65"/>
    <w:rsid w:val="00737D2F"/>
    <w:rsid w:val="00737E6C"/>
    <w:rsid w:val="00737E6D"/>
    <w:rsid w:val="00737F54"/>
    <w:rsid w:val="00737F56"/>
    <w:rsid w:val="00740031"/>
    <w:rsid w:val="007400D9"/>
    <w:rsid w:val="007402EF"/>
    <w:rsid w:val="00740326"/>
    <w:rsid w:val="00740341"/>
    <w:rsid w:val="007403C7"/>
    <w:rsid w:val="00740593"/>
    <w:rsid w:val="00740810"/>
    <w:rsid w:val="007408BA"/>
    <w:rsid w:val="007408EC"/>
    <w:rsid w:val="00740A09"/>
    <w:rsid w:val="00740A4C"/>
    <w:rsid w:val="00740AC0"/>
    <w:rsid w:val="00740BC3"/>
    <w:rsid w:val="00740D40"/>
    <w:rsid w:val="00740E7A"/>
    <w:rsid w:val="00740EDE"/>
    <w:rsid w:val="00740F4C"/>
    <w:rsid w:val="00740F86"/>
    <w:rsid w:val="007410AF"/>
    <w:rsid w:val="0074184E"/>
    <w:rsid w:val="00741857"/>
    <w:rsid w:val="00741865"/>
    <w:rsid w:val="007418A2"/>
    <w:rsid w:val="00741B21"/>
    <w:rsid w:val="00741C18"/>
    <w:rsid w:val="00741C5C"/>
    <w:rsid w:val="00741CD8"/>
    <w:rsid w:val="00741D36"/>
    <w:rsid w:val="00741D71"/>
    <w:rsid w:val="00741D88"/>
    <w:rsid w:val="00741EBF"/>
    <w:rsid w:val="00741F95"/>
    <w:rsid w:val="00741FBD"/>
    <w:rsid w:val="00741FE7"/>
    <w:rsid w:val="00742099"/>
    <w:rsid w:val="007420F9"/>
    <w:rsid w:val="007422A8"/>
    <w:rsid w:val="0074231D"/>
    <w:rsid w:val="00742350"/>
    <w:rsid w:val="0074235E"/>
    <w:rsid w:val="00742366"/>
    <w:rsid w:val="007423ED"/>
    <w:rsid w:val="0074258B"/>
    <w:rsid w:val="007425EB"/>
    <w:rsid w:val="00742617"/>
    <w:rsid w:val="0074270E"/>
    <w:rsid w:val="0074279C"/>
    <w:rsid w:val="007427D0"/>
    <w:rsid w:val="007429E9"/>
    <w:rsid w:val="007429EF"/>
    <w:rsid w:val="00742A64"/>
    <w:rsid w:val="00742B10"/>
    <w:rsid w:val="00742B23"/>
    <w:rsid w:val="00742ED6"/>
    <w:rsid w:val="00742F8D"/>
    <w:rsid w:val="007430F4"/>
    <w:rsid w:val="0074329C"/>
    <w:rsid w:val="00743309"/>
    <w:rsid w:val="00743316"/>
    <w:rsid w:val="00743409"/>
    <w:rsid w:val="00743454"/>
    <w:rsid w:val="0074347A"/>
    <w:rsid w:val="007434C5"/>
    <w:rsid w:val="007436C3"/>
    <w:rsid w:val="00743736"/>
    <w:rsid w:val="0074373B"/>
    <w:rsid w:val="007437E8"/>
    <w:rsid w:val="0074380E"/>
    <w:rsid w:val="007438E9"/>
    <w:rsid w:val="007439B7"/>
    <w:rsid w:val="00743A5E"/>
    <w:rsid w:val="00743B2C"/>
    <w:rsid w:val="00743C22"/>
    <w:rsid w:val="00743CBA"/>
    <w:rsid w:val="00743CE2"/>
    <w:rsid w:val="00743D03"/>
    <w:rsid w:val="00743D8C"/>
    <w:rsid w:val="00743D97"/>
    <w:rsid w:val="00743DF8"/>
    <w:rsid w:val="00743E02"/>
    <w:rsid w:val="00743E3D"/>
    <w:rsid w:val="00743F4A"/>
    <w:rsid w:val="00744043"/>
    <w:rsid w:val="0074431E"/>
    <w:rsid w:val="0074439D"/>
    <w:rsid w:val="00744403"/>
    <w:rsid w:val="00744484"/>
    <w:rsid w:val="007444FD"/>
    <w:rsid w:val="00744668"/>
    <w:rsid w:val="007447DA"/>
    <w:rsid w:val="007449A7"/>
    <w:rsid w:val="00744B56"/>
    <w:rsid w:val="00744C21"/>
    <w:rsid w:val="00744C7D"/>
    <w:rsid w:val="00744D83"/>
    <w:rsid w:val="00744F20"/>
    <w:rsid w:val="00744F58"/>
    <w:rsid w:val="00745203"/>
    <w:rsid w:val="007452A9"/>
    <w:rsid w:val="007452EC"/>
    <w:rsid w:val="007453C0"/>
    <w:rsid w:val="007453F9"/>
    <w:rsid w:val="007454F4"/>
    <w:rsid w:val="0074560C"/>
    <w:rsid w:val="00745698"/>
    <w:rsid w:val="0074571B"/>
    <w:rsid w:val="0074574F"/>
    <w:rsid w:val="0074576D"/>
    <w:rsid w:val="0074583D"/>
    <w:rsid w:val="00745912"/>
    <w:rsid w:val="00745ADD"/>
    <w:rsid w:val="00745B28"/>
    <w:rsid w:val="00745C0D"/>
    <w:rsid w:val="00745D11"/>
    <w:rsid w:val="00745E59"/>
    <w:rsid w:val="00745EDB"/>
    <w:rsid w:val="00745F14"/>
    <w:rsid w:val="00746190"/>
    <w:rsid w:val="007461C9"/>
    <w:rsid w:val="007461D2"/>
    <w:rsid w:val="00746540"/>
    <w:rsid w:val="00746578"/>
    <w:rsid w:val="007465AC"/>
    <w:rsid w:val="00746751"/>
    <w:rsid w:val="0074676E"/>
    <w:rsid w:val="0074683C"/>
    <w:rsid w:val="00746BF0"/>
    <w:rsid w:val="00746CB3"/>
    <w:rsid w:val="00746D35"/>
    <w:rsid w:val="00746D90"/>
    <w:rsid w:val="00746EE6"/>
    <w:rsid w:val="00746FBB"/>
    <w:rsid w:val="007470B9"/>
    <w:rsid w:val="0074721F"/>
    <w:rsid w:val="007473A5"/>
    <w:rsid w:val="0074748F"/>
    <w:rsid w:val="007474F4"/>
    <w:rsid w:val="007475C1"/>
    <w:rsid w:val="007475F4"/>
    <w:rsid w:val="00747605"/>
    <w:rsid w:val="00747611"/>
    <w:rsid w:val="00747648"/>
    <w:rsid w:val="0074766C"/>
    <w:rsid w:val="00747716"/>
    <w:rsid w:val="007477EB"/>
    <w:rsid w:val="00747814"/>
    <w:rsid w:val="00747863"/>
    <w:rsid w:val="0074790C"/>
    <w:rsid w:val="007479C7"/>
    <w:rsid w:val="00747A1F"/>
    <w:rsid w:val="00747A7A"/>
    <w:rsid w:val="00747C64"/>
    <w:rsid w:val="00747CA5"/>
    <w:rsid w:val="00747E94"/>
    <w:rsid w:val="007500CA"/>
    <w:rsid w:val="0075018C"/>
    <w:rsid w:val="0075020C"/>
    <w:rsid w:val="007502EC"/>
    <w:rsid w:val="00750373"/>
    <w:rsid w:val="007505B3"/>
    <w:rsid w:val="00750600"/>
    <w:rsid w:val="00750607"/>
    <w:rsid w:val="0075060B"/>
    <w:rsid w:val="00750611"/>
    <w:rsid w:val="007506EA"/>
    <w:rsid w:val="00750753"/>
    <w:rsid w:val="007509DD"/>
    <w:rsid w:val="00750C6A"/>
    <w:rsid w:val="00750E45"/>
    <w:rsid w:val="00750F02"/>
    <w:rsid w:val="00750F3B"/>
    <w:rsid w:val="00750F6E"/>
    <w:rsid w:val="00750FC0"/>
    <w:rsid w:val="00751020"/>
    <w:rsid w:val="00751089"/>
    <w:rsid w:val="00751199"/>
    <w:rsid w:val="0075128A"/>
    <w:rsid w:val="0075128E"/>
    <w:rsid w:val="00751327"/>
    <w:rsid w:val="0075137A"/>
    <w:rsid w:val="0075164E"/>
    <w:rsid w:val="00751691"/>
    <w:rsid w:val="007516CF"/>
    <w:rsid w:val="0075174D"/>
    <w:rsid w:val="0075196E"/>
    <w:rsid w:val="00751AFC"/>
    <w:rsid w:val="00751C3D"/>
    <w:rsid w:val="00751C54"/>
    <w:rsid w:val="00751E56"/>
    <w:rsid w:val="00751E79"/>
    <w:rsid w:val="00751FF5"/>
    <w:rsid w:val="0075208A"/>
    <w:rsid w:val="00752180"/>
    <w:rsid w:val="007522C3"/>
    <w:rsid w:val="00752366"/>
    <w:rsid w:val="0075249C"/>
    <w:rsid w:val="007524A1"/>
    <w:rsid w:val="00752505"/>
    <w:rsid w:val="0075250C"/>
    <w:rsid w:val="007525BA"/>
    <w:rsid w:val="00752737"/>
    <w:rsid w:val="0075281F"/>
    <w:rsid w:val="0075299D"/>
    <w:rsid w:val="00752AE1"/>
    <w:rsid w:val="0075316C"/>
    <w:rsid w:val="00753220"/>
    <w:rsid w:val="00753334"/>
    <w:rsid w:val="007534BA"/>
    <w:rsid w:val="00753504"/>
    <w:rsid w:val="00753513"/>
    <w:rsid w:val="0075351D"/>
    <w:rsid w:val="00753537"/>
    <w:rsid w:val="00753538"/>
    <w:rsid w:val="00753547"/>
    <w:rsid w:val="00753797"/>
    <w:rsid w:val="00753830"/>
    <w:rsid w:val="007538D3"/>
    <w:rsid w:val="00753A53"/>
    <w:rsid w:val="00753AC7"/>
    <w:rsid w:val="00753AF3"/>
    <w:rsid w:val="00753B99"/>
    <w:rsid w:val="00753C48"/>
    <w:rsid w:val="00753C49"/>
    <w:rsid w:val="00753CC4"/>
    <w:rsid w:val="00753CF6"/>
    <w:rsid w:val="00753D87"/>
    <w:rsid w:val="00753D95"/>
    <w:rsid w:val="00753DAB"/>
    <w:rsid w:val="00753E29"/>
    <w:rsid w:val="00753E84"/>
    <w:rsid w:val="0075415A"/>
    <w:rsid w:val="00754287"/>
    <w:rsid w:val="00754497"/>
    <w:rsid w:val="007544E2"/>
    <w:rsid w:val="007545A5"/>
    <w:rsid w:val="0075473C"/>
    <w:rsid w:val="007548B5"/>
    <w:rsid w:val="00754A88"/>
    <w:rsid w:val="00754ABB"/>
    <w:rsid w:val="00754B80"/>
    <w:rsid w:val="00754BCE"/>
    <w:rsid w:val="00754C34"/>
    <w:rsid w:val="00754C72"/>
    <w:rsid w:val="00754C8E"/>
    <w:rsid w:val="00754E0E"/>
    <w:rsid w:val="00754E3E"/>
    <w:rsid w:val="00754EEB"/>
    <w:rsid w:val="00755043"/>
    <w:rsid w:val="00755057"/>
    <w:rsid w:val="0075508E"/>
    <w:rsid w:val="00755232"/>
    <w:rsid w:val="00755233"/>
    <w:rsid w:val="0075525E"/>
    <w:rsid w:val="0075529F"/>
    <w:rsid w:val="00755337"/>
    <w:rsid w:val="0075537B"/>
    <w:rsid w:val="0075544E"/>
    <w:rsid w:val="007557F1"/>
    <w:rsid w:val="00755846"/>
    <w:rsid w:val="007558EB"/>
    <w:rsid w:val="0075594F"/>
    <w:rsid w:val="007559F6"/>
    <w:rsid w:val="007559FA"/>
    <w:rsid w:val="00755B4A"/>
    <w:rsid w:val="00755C39"/>
    <w:rsid w:val="00755CE6"/>
    <w:rsid w:val="00755D05"/>
    <w:rsid w:val="00755E65"/>
    <w:rsid w:val="0075600B"/>
    <w:rsid w:val="007561AE"/>
    <w:rsid w:val="00756214"/>
    <w:rsid w:val="007562C3"/>
    <w:rsid w:val="00756459"/>
    <w:rsid w:val="0075653C"/>
    <w:rsid w:val="0075657D"/>
    <w:rsid w:val="0075669C"/>
    <w:rsid w:val="007567FF"/>
    <w:rsid w:val="00756860"/>
    <w:rsid w:val="007568BC"/>
    <w:rsid w:val="00756B0B"/>
    <w:rsid w:val="00756C17"/>
    <w:rsid w:val="00756C56"/>
    <w:rsid w:val="00756CD2"/>
    <w:rsid w:val="00756D0F"/>
    <w:rsid w:val="00756F10"/>
    <w:rsid w:val="00756F7C"/>
    <w:rsid w:val="00757045"/>
    <w:rsid w:val="00757304"/>
    <w:rsid w:val="0075730A"/>
    <w:rsid w:val="00757323"/>
    <w:rsid w:val="0075739B"/>
    <w:rsid w:val="00757430"/>
    <w:rsid w:val="00757456"/>
    <w:rsid w:val="007574A3"/>
    <w:rsid w:val="00757963"/>
    <w:rsid w:val="007579B4"/>
    <w:rsid w:val="007579B5"/>
    <w:rsid w:val="007579EB"/>
    <w:rsid w:val="00757A1E"/>
    <w:rsid w:val="00757A95"/>
    <w:rsid w:val="00757AEC"/>
    <w:rsid w:val="00757B84"/>
    <w:rsid w:val="00757BF1"/>
    <w:rsid w:val="00757CAD"/>
    <w:rsid w:val="00757DE7"/>
    <w:rsid w:val="00757F28"/>
    <w:rsid w:val="007602DA"/>
    <w:rsid w:val="00760392"/>
    <w:rsid w:val="0076042B"/>
    <w:rsid w:val="00760457"/>
    <w:rsid w:val="007604A0"/>
    <w:rsid w:val="007604AB"/>
    <w:rsid w:val="00760586"/>
    <w:rsid w:val="00760597"/>
    <w:rsid w:val="007605A1"/>
    <w:rsid w:val="007605CE"/>
    <w:rsid w:val="0076061B"/>
    <w:rsid w:val="00760770"/>
    <w:rsid w:val="00760855"/>
    <w:rsid w:val="007608F5"/>
    <w:rsid w:val="00760AF0"/>
    <w:rsid w:val="00760BA6"/>
    <w:rsid w:val="00760BDF"/>
    <w:rsid w:val="00760DE0"/>
    <w:rsid w:val="00761120"/>
    <w:rsid w:val="007613AF"/>
    <w:rsid w:val="007614CC"/>
    <w:rsid w:val="00761545"/>
    <w:rsid w:val="00761650"/>
    <w:rsid w:val="00761687"/>
    <w:rsid w:val="00761704"/>
    <w:rsid w:val="00761885"/>
    <w:rsid w:val="00761A46"/>
    <w:rsid w:val="00761B77"/>
    <w:rsid w:val="00761B9B"/>
    <w:rsid w:val="00761E4D"/>
    <w:rsid w:val="00761F4D"/>
    <w:rsid w:val="00762008"/>
    <w:rsid w:val="00762033"/>
    <w:rsid w:val="00762036"/>
    <w:rsid w:val="007620B6"/>
    <w:rsid w:val="007623D8"/>
    <w:rsid w:val="00762466"/>
    <w:rsid w:val="007624B7"/>
    <w:rsid w:val="007625CA"/>
    <w:rsid w:val="007625CB"/>
    <w:rsid w:val="007626E3"/>
    <w:rsid w:val="007626EC"/>
    <w:rsid w:val="007628FC"/>
    <w:rsid w:val="007629AA"/>
    <w:rsid w:val="00762A9B"/>
    <w:rsid w:val="00762B70"/>
    <w:rsid w:val="00762BB0"/>
    <w:rsid w:val="00762DE2"/>
    <w:rsid w:val="00762F4D"/>
    <w:rsid w:val="00763179"/>
    <w:rsid w:val="00763194"/>
    <w:rsid w:val="0076319D"/>
    <w:rsid w:val="00763269"/>
    <w:rsid w:val="007632FE"/>
    <w:rsid w:val="00763474"/>
    <w:rsid w:val="007635B7"/>
    <w:rsid w:val="0076366A"/>
    <w:rsid w:val="0076367E"/>
    <w:rsid w:val="007638A7"/>
    <w:rsid w:val="007639C8"/>
    <w:rsid w:val="00763AF3"/>
    <w:rsid w:val="00763CEC"/>
    <w:rsid w:val="00763D0E"/>
    <w:rsid w:val="00763D34"/>
    <w:rsid w:val="00763FA6"/>
    <w:rsid w:val="00763FF8"/>
    <w:rsid w:val="007640A7"/>
    <w:rsid w:val="007640BA"/>
    <w:rsid w:val="0076414F"/>
    <w:rsid w:val="00764155"/>
    <w:rsid w:val="007641D8"/>
    <w:rsid w:val="0076422D"/>
    <w:rsid w:val="007642FF"/>
    <w:rsid w:val="007645C6"/>
    <w:rsid w:val="00764714"/>
    <w:rsid w:val="00764821"/>
    <w:rsid w:val="00764848"/>
    <w:rsid w:val="007648D2"/>
    <w:rsid w:val="00764A5B"/>
    <w:rsid w:val="00764B69"/>
    <w:rsid w:val="00764BB4"/>
    <w:rsid w:val="00764C5B"/>
    <w:rsid w:val="00764D04"/>
    <w:rsid w:val="00764D96"/>
    <w:rsid w:val="00764DAC"/>
    <w:rsid w:val="00764FC7"/>
    <w:rsid w:val="00765046"/>
    <w:rsid w:val="0076509A"/>
    <w:rsid w:val="00765635"/>
    <w:rsid w:val="007656CC"/>
    <w:rsid w:val="007657E8"/>
    <w:rsid w:val="007658EF"/>
    <w:rsid w:val="00765B5B"/>
    <w:rsid w:val="00765F45"/>
    <w:rsid w:val="00765F4B"/>
    <w:rsid w:val="00765FFF"/>
    <w:rsid w:val="00766184"/>
    <w:rsid w:val="00766235"/>
    <w:rsid w:val="00766267"/>
    <w:rsid w:val="00766370"/>
    <w:rsid w:val="007663BA"/>
    <w:rsid w:val="00766624"/>
    <w:rsid w:val="00766655"/>
    <w:rsid w:val="0076680A"/>
    <w:rsid w:val="00766946"/>
    <w:rsid w:val="0076695F"/>
    <w:rsid w:val="00766BBA"/>
    <w:rsid w:val="00766CDA"/>
    <w:rsid w:val="00766D85"/>
    <w:rsid w:val="00766E97"/>
    <w:rsid w:val="00766F36"/>
    <w:rsid w:val="0076736C"/>
    <w:rsid w:val="007673C6"/>
    <w:rsid w:val="00767403"/>
    <w:rsid w:val="0076778A"/>
    <w:rsid w:val="0076778F"/>
    <w:rsid w:val="007678B2"/>
    <w:rsid w:val="00767A49"/>
    <w:rsid w:val="00767AC0"/>
    <w:rsid w:val="00767B62"/>
    <w:rsid w:val="00767B72"/>
    <w:rsid w:val="00767B8F"/>
    <w:rsid w:val="00767D3C"/>
    <w:rsid w:val="00767DC8"/>
    <w:rsid w:val="00767E41"/>
    <w:rsid w:val="00767E88"/>
    <w:rsid w:val="00767F4B"/>
    <w:rsid w:val="0077005D"/>
    <w:rsid w:val="00770248"/>
    <w:rsid w:val="0077041A"/>
    <w:rsid w:val="00770448"/>
    <w:rsid w:val="00770596"/>
    <w:rsid w:val="007705A6"/>
    <w:rsid w:val="0077063B"/>
    <w:rsid w:val="00770857"/>
    <w:rsid w:val="00770A1E"/>
    <w:rsid w:val="00770A9C"/>
    <w:rsid w:val="00770B50"/>
    <w:rsid w:val="00770C30"/>
    <w:rsid w:val="00770D73"/>
    <w:rsid w:val="00770E9B"/>
    <w:rsid w:val="007710AC"/>
    <w:rsid w:val="00771274"/>
    <w:rsid w:val="00771395"/>
    <w:rsid w:val="00771660"/>
    <w:rsid w:val="007716C7"/>
    <w:rsid w:val="007716ED"/>
    <w:rsid w:val="00771734"/>
    <w:rsid w:val="007718F3"/>
    <w:rsid w:val="00771991"/>
    <w:rsid w:val="007719AF"/>
    <w:rsid w:val="00771AF1"/>
    <w:rsid w:val="00771CDD"/>
    <w:rsid w:val="00771E6B"/>
    <w:rsid w:val="00771F39"/>
    <w:rsid w:val="00772063"/>
    <w:rsid w:val="0077208A"/>
    <w:rsid w:val="007720B3"/>
    <w:rsid w:val="00772312"/>
    <w:rsid w:val="0077233E"/>
    <w:rsid w:val="007724B5"/>
    <w:rsid w:val="00772697"/>
    <w:rsid w:val="007726FE"/>
    <w:rsid w:val="00772D7D"/>
    <w:rsid w:val="00772E9C"/>
    <w:rsid w:val="00772F11"/>
    <w:rsid w:val="00772F13"/>
    <w:rsid w:val="00772FF2"/>
    <w:rsid w:val="00772FFC"/>
    <w:rsid w:val="0077304C"/>
    <w:rsid w:val="0077311E"/>
    <w:rsid w:val="00773156"/>
    <w:rsid w:val="007732BE"/>
    <w:rsid w:val="007732F1"/>
    <w:rsid w:val="007733B9"/>
    <w:rsid w:val="0077345E"/>
    <w:rsid w:val="00773473"/>
    <w:rsid w:val="0077349D"/>
    <w:rsid w:val="0077356E"/>
    <w:rsid w:val="007735BC"/>
    <w:rsid w:val="007735F5"/>
    <w:rsid w:val="0077398D"/>
    <w:rsid w:val="00773998"/>
    <w:rsid w:val="00773ACF"/>
    <w:rsid w:val="00773BB3"/>
    <w:rsid w:val="00773BF4"/>
    <w:rsid w:val="00773D11"/>
    <w:rsid w:val="00773D50"/>
    <w:rsid w:val="00773DCC"/>
    <w:rsid w:val="00773E74"/>
    <w:rsid w:val="00774035"/>
    <w:rsid w:val="00774044"/>
    <w:rsid w:val="00774146"/>
    <w:rsid w:val="00774223"/>
    <w:rsid w:val="0077429E"/>
    <w:rsid w:val="0077433B"/>
    <w:rsid w:val="007743D8"/>
    <w:rsid w:val="0077457E"/>
    <w:rsid w:val="0077478E"/>
    <w:rsid w:val="007747BE"/>
    <w:rsid w:val="0077486E"/>
    <w:rsid w:val="00774C1A"/>
    <w:rsid w:val="00774D1E"/>
    <w:rsid w:val="00774E11"/>
    <w:rsid w:val="00774E74"/>
    <w:rsid w:val="00775020"/>
    <w:rsid w:val="00775303"/>
    <w:rsid w:val="00775336"/>
    <w:rsid w:val="007753C0"/>
    <w:rsid w:val="0077547D"/>
    <w:rsid w:val="00775529"/>
    <w:rsid w:val="0077555A"/>
    <w:rsid w:val="007755A5"/>
    <w:rsid w:val="00775768"/>
    <w:rsid w:val="00775AE7"/>
    <w:rsid w:val="00775C02"/>
    <w:rsid w:val="00775D34"/>
    <w:rsid w:val="00775D52"/>
    <w:rsid w:val="00775DB1"/>
    <w:rsid w:val="00775DBA"/>
    <w:rsid w:val="00775ED1"/>
    <w:rsid w:val="00775EEA"/>
    <w:rsid w:val="00775EEC"/>
    <w:rsid w:val="007760A2"/>
    <w:rsid w:val="00776245"/>
    <w:rsid w:val="007762CF"/>
    <w:rsid w:val="007762F7"/>
    <w:rsid w:val="00776443"/>
    <w:rsid w:val="0077660A"/>
    <w:rsid w:val="00776774"/>
    <w:rsid w:val="00776982"/>
    <w:rsid w:val="007769B9"/>
    <w:rsid w:val="007769CA"/>
    <w:rsid w:val="00776AF5"/>
    <w:rsid w:val="00776B39"/>
    <w:rsid w:val="00776BF9"/>
    <w:rsid w:val="00776C39"/>
    <w:rsid w:val="00776C9B"/>
    <w:rsid w:val="00776D6D"/>
    <w:rsid w:val="00776DC5"/>
    <w:rsid w:val="00776E38"/>
    <w:rsid w:val="00776EEE"/>
    <w:rsid w:val="00777183"/>
    <w:rsid w:val="00777351"/>
    <w:rsid w:val="00777372"/>
    <w:rsid w:val="00777426"/>
    <w:rsid w:val="007774B8"/>
    <w:rsid w:val="007775E9"/>
    <w:rsid w:val="007776AF"/>
    <w:rsid w:val="00777730"/>
    <w:rsid w:val="00777741"/>
    <w:rsid w:val="007778D1"/>
    <w:rsid w:val="0077792C"/>
    <w:rsid w:val="00777A72"/>
    <w:rsid w:val="00777C70"/>
    <w:rsid w:val="00777CD9"/>
    <w:rsid w:val="00777CEF"/>
    <w:rsid w:val="00777F6F"/>
    <w:rsid w:val="007800BC"/>
    <w:rsid w:val="0078010E"/>
    <w:rsid w:val="00780124"/>
    <w:rsid w:val="00780182"/>
    <w:rsid w:val="00780200"/>
    <w:rsid w:val="00780350"/>
    <w:rsid w:val="00780409"/>
    <w:rsid w:val="0078043C"/>
    <w:rsid w:val="00780492"/>
    <w:rsid w:val="00780595"/>
    <w:rsid w:val="0078059D"/>
    <w:rsid w:val="007807BF"/>
    <w:rsid w:val="00780898"/>
    <w:rsid w:val="007808B0"/>
    <w:rsid w:val="007808EE"/>
    <w:rsid w:val="0078091B"/>
    <w:rsid w:val="00780A91"/>
    <w:rsid w:val="00780C58"/>
    <w:rsid w:val="00780DCA"/>
    <w:rsid w:val="00780F1A"/>
    <w:rsid w:val="0078101C"/>
    <w:rsid w:val="0078107B"/>
    <w:rsid w:val="00781083"/>
    <w:rsid w:val="007811CD"/>
    <w:rsid w:val="007812A0"/>
    <w:rsid w:val="00781311"/>
    <w:rsid w:val="0078133A"/>
    <w:rsid w:val="00781450"/>
    <w:rsid w:val="0078156F"/>
    <w:rsid w:val="0078165F"/>
    <w:rsid w:val="007817EF"/>
    <w:rsid w:val="007817F1"/>
    <w:rsid w:val="00781927"/>
    <w:rsid w:val="007819E5"/>
    <w:rsid w:val="00781A0E"/>
    <w:rsid w:val="00781B71"/>
    <w:rsid w:val="00781CEF"/>
    <w:rsid w:val="00781EDD"/>
    <w:rsid w:val="00781F4C"/>
    <w:rsid w:val="0078207C"/>
    <w:rsid w:val="00782124"/>
    <w:rsid w:val="00782203"/>
    <w:rsid w:val="0078221D"/>
    <w:rsid w:val="007822A2"/>
    <w:rsid w:val="00782393"/>
    <w:rsid w:val="007824FA"/>
    <w:rsid w:val="0078257B"/>
    <w:rsid w:val="007825F2"/>
    <w:rsid w:val="007826AF"/>
    <w:rsid w:val="0078279A"/>
    <w:rsid w:val="00782B1A"/>
    <w:rsid w:val="00782CFD"/>
    <w:rsid w:val="00782DCA"/>
    <w:rsid w:val="00782E1E"/>
    <w:rsid w:val="00782E89"/>
    <w:rsid w:val="00783199"/>
    <w:rsid w:val="0078331E"/>
    <w:rsid w:val="007833C3"/>
    <w:rsid w:val="00783457"/>
    <w:rsid w:val="00783488"/>
    <w:rsid w:val="007835E7"/>
    <w:rsid w:val="00783600"/>
    <w:rsid w:val="007836CC"/>
    <w:rsid w:val="007837D3"/>
    <w:rsid w:val="0078381F"/>
    <w:rsid w:val="00783859"/>
    <w:rsid w:val="007838AF"/>
    <w:rsid w:val="00783A26"/>
    <w:rsid w:val="00783AE4"/>
    <w:rsid w:val="00783B4B"/>
    <w:rsid w:val="00783D75"/>
    <w:rsid w:val="00783EF2"/>
    <w:rsid w:val="00783FEB"/>
    <w:rsid w:val="007843F5"/>
    <w:rsid w:val="007844D8"/>
    <w:rsid w:val="0078459C"/>
    <w:rsid w:val="007845C8"/>
    <w:rsid w:val="007846A7"/>
    <w:rsid w:val="0078473B"/>
    <w:rsid w:val="007847B3"/>
    <w:rsid w:val="0078481C"/>
    <w:rsid w:val="007848B8"/>
    <w:rsid w:val="00784979"/>
    <w:rsid w:val="007849A7"/>
    <w:rsid w:val="00784AF7"/>
    <w:rsid w:val="00784BB1"/>
    <w:rsid w:val="00784C0A"/>
    <w:rsid w:val="00784C4D"/>
    <w:rsid w:val="00784CC7"/>
    <w:rsid w:val="00784E49"/>
    <w:rsid w:val="00784FA2"/>
    <w:rsid w:val="0078502E"/>
    <w:rsid w:val="00785110"/>
    <w:rsid w:val="00785395"/>
    <w:rsid w:val="0078552C"/>
    <w:rsid w:val="007856C0"/>
    <w:rsid w:val="0078575C"/>
    <w:rsid w:val="00785765"/>
    <w:rsid w:val="00785AB7"/>
    <w:rsid w:val="00785BBB"/>
    <w:rsid w:val="00785C51"/>
    <w:rsid w:val="00785CB4"/>
    <w:rsid w:val="00785CBD"/>
    <w:rsid w:val="00785D53"/>
    <w:rsid w:val="00785D85"/>
    <w:rsid w:val="00785DEE"/>
    <w:rsid w:val="00785E66"/>
    <w:rsid w:val="00785F70"/>
    <w:rsid w:val="007860D1"/>
    <w:rsid w:val="007863A7"/>
    <w:rsid w:val="00786627"/>
    <w:rsid w:val="0078680C"/>
    <w:rsid w:val="007869E4"/>
    <w:rsid w:val="00786B00"/>
    <w:rsid w:val="00786B8E"/>
    <w:rsid w:val="00786BF5"/>
    <w:rsid w:val="00786C6A"/>
    <w:rsid w:val="00786E35"/>
    <w:rsid w:val="00787051"/>
    <w:rsid w:val="007871A0"/>
    <w:rsid w:val="0078738E"/>
    <w:rsid w:val="0078752A"/>
    <w:rsid w:val="00787548"/>
    <w:rsid w:val="00787650"/>
    <w:rsid w:val="00787705"/>
    <w:rsid w:val="00787763"/>
    <w:rsid w:val="007877D5"/>
    <w:rsid w:val="00787A2F"/>
    <w:rsid w:val="00787A87"/>
    <w:rsid w:val="00787AF0"/>
    <w:rsid w:val="00787C03"/>
    <w:rsid w:val="00787E10"/>
    <w:rsid w:val="00787E4A"/>
    <w:rsid w:val="007901AD"/>
    <w:rsid w:val="007901C6"/>
    <w:rsid w:val="007902F8"/>
    <w:rsid w:val="00790319"/>
    <w:rsid w:val="0079032A"/>
    <w:rsid w:val="0079046B"/>
    <w:rsid w:val="00790556"/>
    <w:rsid w:val="007905FA"/>
    <w:rsid w:val="00790792"/>
    <w:rsid w:val="007907B2"/>
    <w:rsid w:val="0079082F"/>
    <w:rsid w:val="007909EC"/>
    <w:rsid w:val="00790BC3"/>
    <w:rsid w:val="00790BE8"/>
    <w:rsid w:val="00790C94"/>
    <w:rsid w:val="00790CB9"/>
    <w:rsid w:val="00790D9C"/>
    <w:rsid w:val="00791346"/>
    <w:rsid w:val="00791400"/>
    <w:rsid w:val="007914C8"/>
    <w:rsid w:val="007916A2"/>
    <w:rsid w:val="007916D5"/>
    <w:rsid w:val="007916F3"/>
    <w:rsid w:val="00791752"/>
    <w:rsid w:val="007917DC"/>
    <w:rsid w:val="00791929"/>
    <w:rsid w:val="00791953"/>
    <w:rsid w:val="00791B88"/>
    <w:rsid w:val="00791D34"/>
    <w:rsid w:val="00791E8C"/>
    <w:rsid w:val="00791E93"/>
    <w:rsid w:val="00791F1B"/>
    <w:rsid w:val="0079238E"/>
    <w:rsid w:val="007924EE"/>
    <w:rsid w:val="007925B1"/>
    <w:rsid w:val="007925D6"/>
    <w:rsid w:val="0079279A"/>
    <w:rsid w:val="00792904"/>
    <w:rsid w:val="0079291D"/>
    <w:rsid w:val="0079293B"/>
    <w:rsid w:val="00792B28"/>
    <w:rsid w:val="00792BB9"/>
    <w:rsid w:val="00792CE9"/>
    <w:rsid w:val="00792E22"/>
    <w:rsid w:val="0079322D"/>
    <w:rsid w:val="007932B8"/>
    <w:rsid w:val="00793321"/>
    <w:rsid w:val="00793335"/>
    <w:rsid w:val="007933B1"/>
    <w:rsid w:val="007934B9"/>
    <w:rsid w:val="0079353E"/>
    <w:rsid w:val="00793744"/>
    <w:rsid w:val="0079378E"/>
    <w:rsid w:val="00793A79"/>
    <w:rsid w:val="00793BDF"/>
    <w:rsid w:val="00793C4C"/>
    <w:rsid w:val="00793C64"/>
    <w:rsid w:val="00793CCC"/>
    <w:rsid w:val="00793CD9"/>
    <w:rsid w:val="00793E31"/>
    <w:rsid w:val="00793E7B"/>
    <w:rsid w:val="007940AD"/>
    <w:rsid w:val="0079429B"/>
    <w:rsid w:val="007942A4"/>
    <w:rsid w:val="00794384"/>
    <w:rsid w:val="007943EE"/>
    <w:rsid w:val="007944C9"/>
    <w:rsid w:val="007946D6"/>
    <w:rsid w:val="00794935"/>
    <w:rsid w:val="00794982"/>
    <w:rsid w:val="00794A6D"/>
    <w:rsid w:val="00794B40"/>
    <w:rsid w:val="00794B56"/>
    <w:rsid w:val="00794B7A"/>
    <w:rsid w:val="00794C6C"/>
    <w:rsid w:val="00794C8C"/>
    <w:rsid w:val="00794DFE"/>
    <w:rsid w:val="00794FC8"/>
    <w:rsid w:val="00794FC9"/>
    <w:rsid w:val="00795304"/>
    <w:rsid w:val="007953B8"/>
    <w:rsid w:val="0079549B"/>
    <w:rsid w:val="007954CA"/>
    <w:rsid w:val="007954F8"/>
    <w:rsid w:val="00795500"/>
    <w:rsid w:val="0079556C"/>
    <w:rsid w:val="007955DA"/>
    <w:rsid w:val="00795669"/>
    <w:rsid w:val="007956FF"/>
    <w:rsid w:val="0079575A"/>
    <w:rsid w:val="00795869"/>
    <w:rsid w:val="00795C04"/>
    <w:rsid w:val="00795D07"/>
    <w:rsid w:val="00795DA9"/>
    <w:rsid w:val="00795DB7"/>
    <w:rsid w:val="00795DD9"/>
    <w:rsid w:val="00795E70"/>
    <w:rsid w:val="00796035"/>
    <w:rsid w:val="00796195"/>
    <w:rsid w:val="007961A1"/>
    <w:rsid w:val="007961B1"/>
    <w:rsid w:val="00796217"/>
    <w:rsid w:val="007963FA"/>
    <w:rsid w:val="007964FD"/>
    <w:rsid w:val="00796530"/>
    <w:rsid w:val="00796570"/>
    <w:rsid w:val="00796612"/>
    <w:rsid w:val="0079668F"/>
    <w:rsid w:val="007966D5"/>
    <w:rsid w:val="0079699B"/>
    <w:rsid w:val="00796A4A"/>
    <w:rsid w:val="00796A9E"/>
    <w:rsid w:val="00796AB7"/>
    <w:rsid w:val="00796AFC"/>
    <w:rsid w:val="00796C0C"/>
    <w:rsid w:val="00796E26"/>
    <w:rsid w:val="00796F11"/>
    <w:rsid w:val="00797120"/>
    <w:rsid w:val="007971B0"/>
    <w:rsid w:val="0079739B"/>
    <w:rsid w:val="0079769B"/>
    <w:rsid w:val="00797721"/>
    <w:rsid w:val="0079798D"/>
    <w:rsid w:val="00797A52"/>
    <w:rsid w:val="00797C07"/>
    <w:rsid w:val="00797C0F"/>
    <w:rsid w:val="00797DE6"/>
    <w:rsid w:val="00797FD7"/>
    <w:rsid w:val="00797FEF"/>
    <w:rsid w:val="007A0015"/>
    <w:rsid w:val="007A0063"/>
    <w:rsid w:val="007A00A0"/>
    <w:rsid w:val="007A0107"/>
    <w:rsid w:val="007A01F7"/>
    <w:rsid w:val="007A035C"/>
    <w:rsid w:val="007A03C6"/>
    <w:rsid w:val="007A0688"/>
    <w:rsid w:val="007A06AC"/>
    <w:rsid w:val="007A072B"/>
    <w:rsid w:val="007A0A1F"/>
    <w:rsid w:val="007A0B8B"/>
    <w:rsid w:val="007A0BC3"/>
    <w:rsid w:val="007A0C45"/>
    <w:rsid w:val="007A0C63"/>
    <w:rsid w:val="007A0C92"/>
    <w:rsid w:val="007A0DE5"/>
    <w:rsid w:val="007A0EC1"/>
    <w:rsid w:val="007A100F"/>
    <w:rsid w:val="007A1029"/>
    <w:rsid w:val="007A1079"/>
    <w:rsid w:val="007A1208"/>
    <w:rsid w:val="007A160C"/>
    <w:rsid w:val="007A16DC"/>
    <w:rsid w:val="007A182A"/>
    <w:rsid w:val="007A194A"/>
    <w:rsid w:val="007A19C6"/>
    <w:rsid w:val="007A1C4C"/>
    <w:rsid w:val="007A1E48"/>
    <w:rsid w:val="007A1E98"/>
    <w:rsid w:val="007A1EED"/>
    <w:rsid w:val="007A1F12"/>
    <w:rsid w:val="007A1FE2"/>
    <w:rsid w:val="007A207C"/>
    <w:rsid w:val="007A212E"/>
    <w:rsid w:val="007A2175"/>
    <w:rsid w:val="007A2254"/>
    <w:rsid w:val="007A22A8"/>
    <w:rsid w:val="007A230F"/>
    <w:rsid w:val="007A2582"/>
    <w:rsid w:val="007A266C"/>
    <w:rsid w:val="007A26E0"/>
    <w:rsid w:val="007A2921"/>
    <w:rsid w:val="007A2968"/>
    <w:rsid w:val="007A2A26"/>
    <w:rsid w:val="007A2A3E"/>
    <w:rsid w:val="007A2A56"/>
    <w:rsid w:val="007A2A65"/>
    <w:rsid w:val="007A2A79"/>
    <w:rsid w:val="007A2EED"/>
    <w:rsid w:val="007A3061"/>
    <w:rsid w:val="007A3105"/>
    <w:rsid w:val="007A3165"/>
    <w:rsid w:val="007A31B5"/>
    <w:rsid w:val="007A31CD"/>
    <w:rsid w:val="007A32E4"/>
    <w:rsid w:val="007A3396"/>
    <w:rsid w:val="007A360A"/>
    <w:rsid w:val="007A36E5"/>
    <w:rsid w:val="007A3784"/>
    <w:rsid w:val="007A3862"/>
    <w:rsid w:val="007A3A27"/>
    <w:rsid w:val="007A3C25"/>
    <w:rsid w:val="007A3C42"/>
    <w:rsid w:val="007A4022"/>
    <w:rsid w:val="007A40F4"/>
    <w:rsid w:val="007A4116"/>
    <w:rsid w:val="007A4181"/>
    <w:rsid w:val="007A41C9"/>
    <w:rsid w:val="007A41E3"/>
    <w:rsid w:val="007A4210"/>
    <w:rsid w:val="007A443C"/>
    <w:rsid w:val="007A4486"/>
    <w:rsid w:val="007A4659"/>
    <w:rsid w:val="007A4672"/>
    <w:rsid w:val="007A48E8"/>
    <w:rsid w:val="007A49FE"/>
    <w:rsid w:val="007A4C71"/>
    <w:rsid w:val="007A4CDD"/>
    <w:rsid w:val="007A4D64"/>
    <w:rsid w:val="007A4DAA"/>
    <w:rsid w:val="007A4E58"/>
    <w:rsid w:val="007A4EDB"/>
    <w:rsid w:val="007A503B"/>
    <w:rsid w:val="007A52B8"/>
    <w:rsid w:val="007A5306"/>
    <w:rsid w:val="007A5358"/>
    <w:rsid w:val="007A542E"/>
    <w:rsid w:val="007A548B"/>
    <w:rsid w:val="007A5495"/>
    <w:rsid w:val="007A55AA"/>
    <w:rsid w:val="007A5660"/>
    <w:rsid w:val="007A56F0"/>
    <w:rsid w:val="007A5731"/>
    <w:rsid w:val="007A5978"/>
    <w:rsid w:val="007A59A4"/>
    <w:rsid w:val="007A5A71"/>
    <w:rsid w:val="007A5A7C"/>
    <w:rsid w:val="007A5C31"/>
    <w:rsid w:val="007A5E99"/>
    <w:rsid w:val="007A5EDA"/>
    <w:rsid w:val="007A6183"/>
    <w:rsid w:val="007A6222"/>
    <w:rsid w:val="007A623C"/>
    <w:rsid w:val="007A6458"/>
    <w:rsid w:val="007A64EB"/>
    <w:rsid w:val="007A661F"/>
    <w:rsid w:val="007A66C5"/>
    <w:rsid w:val="007A689D"/>
    <w:rsid w:val="007A6A1B"/>
    <w:rsid w:val="007A6A4C"/>
    <w:rsid w:val="007A6BDD"/>
    <w:rsid w:val="007A6C15"/>
    <w:rsid w:val="007A6C56"/>
    <w:rsid w:val="007A6DD7"/>
    <w:rsid w:val="007A6EB8"/>
    <w:rsid w:val="007A6EC2"/>
    <w:rsid w:val="007A72C3"/>
    <w:rsid w:val="007A744D"/>
    <w:rsid w:val="007A748B"/>
    <w:rsid w:val="007A74BF"/>
    <w:rsid w:val="007A74D7"/>
    <w:rsid w:val="007A765C"/>
    <w:rsid w:val="007A7683"/>
    <w:rsid w:val="007A77F5"/>
    <w:rsid w:val="007A783D"/>
    <w:rsid w:val="007A79DD"/>
    <w:rsid w:val="007A7BE8"/>
    <w:rsid w:val="007A7F15"/>
    <w:rsid w:val="007A7F22"/>
    <w:rsid w:val="007A7F74"/>
    <w:rsid w:val="007B0254"/>
    <w:rsid w:val="007B0307"/>
    <w:rsid w:val="007B0333"/>
    <w:rsid w:val="007B041E"/>
    <w:rsid w:val="007B06E7"/>
    <w:rsid w:val="007B0805"/>
    <w:rsid w:val="007B0819"/>
    <w:rsid w:val="007B08CA"/>
    <w:rsid w:val="007B09F9"/>
    <w:rsid w:val="007B0AA1"/>
    <w:rsid w:val="007B0C77"/>
    <w:rsid w:val="007B0D20"/>
    <w:rsid w:val="007B0E33"/>
    <w:rsid w:val="007B0FC5"/>
    <w:rsid w:val="007B1083"/>
    <w:rsid w:val="007B10DD"/>
    <w:rsid w:val="007B1145"/>
    <w:rsid w:val="007B117A"/>
    <w:rsid w:val="007B117D"/>
    <w:rsid w:val="007B11A5"/>
    <w:rsid w:val="007B1209"/>
    <w:rsid w:val="007B1270"/>
    <w:rsid w:val="007B1405"/>
    <w:rsid w:val="007B15C6"/>
    <w:rsid w:val="007B17A1"/>
    <w:rsid w:val="007B189B"/>
    <w:rsid w:val="007B18CF"/>
    <w:rsid w:val="007B19AC"/>
    <w:rsid w:val="007B1A44"/>
    <w:rsid w:val="007B1C3D"/>
    <w:rsid w:val="007B1C6C"/>
    <w:rsid w:val="007B1DBA"/>
    <w:rsid w:val="007B1DBE"/>
    <w:rsid w:val="007B1DDD"/>
    <w:rsid w:val="007B1E1B"/>
    <w:rsid w:val="007B1FA7"/>
    <w:rsid w:val="007B1FDC"/>
    <w:rsid w:val="007B2022"/>
    <w:rsid w:val="007B2054"/>
    <w:rsid w:val="007B21B8"/>
    <w:rsid w:val="007B2295"/>
    <w:rsid w:val="007B2319"/>
    <w:rsid w:val="007B2438"/>
    <w:rsid w:val="007B24F7"/>
    <w:rsid w:val="007B2521"/>
    <w:rsid w:val="007B264E"/>
    <w:rsid w:val="007B2677"/>
    <w:rsid w:val="007B27D0"/>
    <w:rsid w:val="007B2854"/>
    <w:rsid w:val="007B295B"/>
    <w:rsid w:val="007B2986"/>
    <w:rsid w:val="007B29ED"/>
    <w:rsid w:val="007B2BA7"/>
    <w:rsid w:val="007B2C56"/>
    <w:rsid w:val="007B2C5B"/>
    <w:rsid w:val="007B2DB4"/>
    <w:rsid w:val="007B2DF4"/>
    <w:rsid w:val="007B2E26"/>
    <w:rsid w:val="007B2FF9"/>
    <w:rsid w:val="007B3070"/>
    <w:rsid w:val="007B307A"/>
    <w:rsid w:val="007B30F8"/>
    <w:rsid w:val="007B313F"/>
    <w:rsid w:val="007B3327"/>
    <w:rsid w:val="007B3409"/>
    <w:rsid w:val="007B342E"/>
    <w:rsid w:val="007B35E9"/>
    <w:rsid w:val="007B369D"/>
    <w:rsid w:val="007B36DD"/>
    <w:rsid w:val="007B379A"/>
    <w:rsid w:val="007B38E5"/>
    <w:rsid w:val="007B390E"/>
    <w:rsid w:val="007B39EC"/>
    <w:rsid w:val="007B3A73"/>
    <w:rsid w:val="007B3C26"/>
    <w:rsid w:val="007B3F0C"/>
    <w:rsid w:val="007B3F43"/>
    <w:rsid w:val="007B3F6D"/>
    <w:rsid w:val="007B3F8F"/>
    <w:rsid w:val="007B402E"/>
    <w:rsid w:val="007B40E6"/>
    <w:rsid w:val="007B4127"/>
    <w:rsid w:val="007B42EA"/>
    <w:rsid w:val="007B43A5"/>
    <w:rsid w:val="007B4564"/>
    <w:rsid w:val="007B45A0"/>
    <w:rsid w:val="007B465B"/>
    <w:rsid w:val="007B476E"/>
    <w:rsid w:val="007B4819"/>
    <w:rsid w:val="007B48F5"/>
    <w:rsid w:val="007B4900"/>
    <w:rsid w:val="007B4941"/>
    <w:rsid w:val="007B4A45"/>
    <w:rsid w:val="007B4A6F"/>
    <w:rsid w:val="007B4A87"/>
    <w:rsid w:val="007B4AAD"/>
    <w:rsid w:val="007B4B05"/>
    <w:rsid w:val="007B4B0E"/>
    <w:rsid w:val="007B4B14"/>
    <w:rsid w:val="007B4BD8"/>
    <w:rsid w:val="007B4E62"/>
    <w:rsid w:val="007B4EB0"/>
    <w:rsid w:val="007B4F7A"/>
    <w:rsid w:val="007B4F8D"/>
    <w:rsid w:val="007B4FCB"/>
    <w:rsid w:val="007B5031"/>
    <w:rsid w:val="007B5061"/>
    <w:rsid w:val="007B51C0"/>
    <w:rsid w:val="007B526A"/>
    <w:rsid w:val="007B5277"/>
    <w:rsid w:val="007B5399"/>
    <w:rsid w:val="007B54F2"/>
    <w:rsid w:val="007B5552"/>
    <w:rsid w:val="007B57F3"/>
    <w:rsid w:val="007B5887"/>
    <w:rsid w:val="007B58E6"/>
    <w:rsid w:val="007B593D"/>
    <w:rsid w:val="007B5978"/>
    <w:rsid w:val="007B5A20"/>
    <w:rsid w:val="007B5BDA"/>
    <w:rsid w:val="007B5BE2"/>
    <w:rsid w:val="007B5C1B"/>
    <w:rsid w:val="007B5C2C"/>
    <w:rsid w:val="007B5C44"/>
    <w:rsid w:val="007B5E00"/>
    <w:rsid w:val="007B5EBB"/>
    <w:rsid w:val="007B5EBC"/>
    <w:rsid w:val="007B5FB1"/>
    <w:rsid w:val="007B6295"/>
    <w:rsid w:val="007B62AE"/>
    <w:rsid w:val="007B6302"/>
    <w:rsid w:val="007B6311"/>
    <w:rsid w:val="007B6330"/>
    <w:rsid w:val="007B640A"/>
    <w:rsid w:val="007B648F"/>
    <w:rsid w:val="007B64E8"/>
    <w:rsid w:val="007B66B6"/>
    <w:rsid w:val="007B66C1"/>
    <w:rsid w:val="007B6955"/>
    <w:rsid w:val="007B6A0B"/>
    <w:rsid w:val="007B6AD7"/>
    <w:rsid w:val="007B6B56"/>
    <w:rsid w:val="007B6BE3"/>
    <w:rsid w:val="007B6F95"/>
    <w:rsid w:val="007B7082"/>
    <w:rsid w:val="007B7300"/>
    <w:rsid w:val="007B76AB"/>
    <w:rsid w:val="007B76FC"/>
    <w:rsid w:val="007B77DA"/>
    <w:rsid w:val="007B78EF"/>
    <w:rsid w:val="007B797F"/>
    <w:rsid w:val="007B79A5"/>
    <w:rsid w:val="007B7A1A"/>
    <w:rsid w:val="007B7B99"/>
    <w:rsid w:val="007B7C57"/>
    <w:rsid w:val="007B7E85"/>
    <w:rsid w:val="007B7EC8"/>
    <w:rsid w:val="007B7FCF"/>
    <w:rsid w:val="007C00BE"/>
    <w:rsid w:val="007C0476"/>
    <w:rsid w:val="007C0520"/>
    <w:rsid w:val="007C07AB"/>
    <w:rsid w:val="007C08A3"/>
    <w:rsid w:val="007C08AB"/>
    <w:rsid w:val="007C090A"/>
    <w:rsid w:val="007C097A"/>
    <w:rsid w:val="007C0A01"/>
    <w:rsid w:val="007C0A3D"/>
    <w:rsid w:val="007C0AC5"/>
    <w:rsid w:val="007C0B38"/>
    <w:rsid w:val="007C0C06"/>
    <w:rsid w:val="007C0C0C"/>
    <w:rsid w:val="007C0C6A"/>
    <w:rsid w:val="007C0C82"/>
    <w:rsid w:val="007C0C93"/>
    <w:rsid w:val="007C0CA7"/>
    <w:rsid w:val="007C0CCD"/>
    <w:rsid w:val="007C0D37"/>
    <w:rsid w:val="007C0DE4"/>
    <w:rsid w:val="007C0E14"/>
    <w:rsid w:val="007C10F5"/>
    <w:rsid w:val="007C119E"/>
    <w:rsid w:val="007C1239"/>
    <w:rsid w:val="007C1251"/>
    <w:rsid w:val="007C12FA"/>
    <w:rsid w:val="007C1385"/>
    <w:rsid w:val="007C1549"/>
    <w:rsid w:val="007C1753"/>
    <w:rsid w:val="007C1804"/>
    <w:rsid w:val="007C1966"/>
    <w:rsid w:val="007C1A58"/>
    <w:rsid w:val="007C1AC6"/>
    <w:rsid w:val="007C1D80"/>
    <w:rsid w:val="007C1D9B"/>
    <w:rsid w:val="007C1DD4"/>
    <w:rsid w:val="007C1E87"/>
    <w:rsid w:val="007C21EA"/>
    <w:rsid w:val="007C2242"/>
    <w:rsid w:val="007C2318"/>
    <w:rsid w:val="007C236D"/>
    <w:rsid w:val="007C23E3"/>
    <w:rsid w:val="007C249C"/>
    <w:rsid w:val="007C2548"/>
    <w:rsid w:val="007C25DE"/>
    <w:rsid w:val="007C2866"/>
    <w:rsid w:val="007C2940"/>
    <w:rsid w:val="007C29E0"/>
    <w:rsid w:val="007C2C84"/>
    <w:rsid w:val="007C2CC0"/>
    <w:rsid w:val="007C2CC3"/>
    <w:rsid w:val="007C2D5E"/>
    <w:rsid w:val="007C2E34"/>
    <w:rsid w:val="007C3056"/>
    <w:rsid w:val="007C30E1"/>
    <w:rsid w:val="007C3123"/>
    <w:rsid w:val="007C3153"/>
    <w:rsid w:val="007C3197"/>
    <w:rsid w:val="007C31B6"/>
    <w:rsid w:val="007C31DE"/>
    <w:rsid w:val="007C326E"/>
    <w:rsid w:val="007C3294"/>
    <w:rsid w:val="007C32BD"/>
    <w:rsid w:val="007C3338"/>
    <w:rsid w:val="007C336D"/>
    <w:rsid w:val="007C33E0"/>
    <w:rsid w:val="007C350B"/>
    <w:rsid w:val="007C35E1"/>
    <w:rsid w:val="007C3700"/>
    <w:rsid w:val="007C3748"/>
    <w:rsid w:val="007C3848"/>
    <w:rsid w:val="007C389A"/>
    <w:rsid w:val="007C3975"/>
    <w:rsid w:val="007C3A7B"/>
    <w:rsid w:val="007C3BC5"/>
    <w:rsid w:val="007C3C1E"/>
    <w:rsid w:val="007C3D3A"/>
    <w:rsid w:val="007C3D92"/>
    <w:rsid w:val="007C3EA2"/>
    <w:rsid w:val="007C41A7"/>
    <w:rsid w:val="007C41DC"/>
    <w:rsid w:val="007C437B"/>
    <w:rsid w:val="007C4388"/>
    <w:rsid w:val="007C4470"/>
    <w:rsid w:val="007C44A3"/>
    <w:rsid w:val="007C45F5"/>
    <w:rsid w:val="007C4624"/>
    <w:rsid w:val="007C4767"/>
    <w:rsid w:val="007C4A36"/>
    <w:rsid w:val="007C4A7D"/>
    <w:rsid w:val="007C4AD8"/>
    <w:rsid w:val="007C4B0E"/>
    <w:rsid w:val="007C4B52"/>
    <w:rsid w:val="007C4EDF"/>
    <w:rsid w:val="007C4F03"/>
    <w:rsid w:val="007C5102"/>
    <w:rsid w:val="007C513F"/>
    <w:rsid w:val="007C5224"/>
    <w:rsid w:val="007C528E"/>
    <w:rsid w:val="007C53F3"/>
    <w:rsid w:val="007C5448"/>
    <w:rsid w:val="007C553D"/>
    <w:rsid w:val="007C55F7"/>
    <w:rsid w:val="007C571C"/>
    <w:rsid w:val="007C5739"/>
    <w:rsid w:val="007C57E8"/>
    <w:rsid w:val="007C5953"/>
    <w:rsid w:val="007C5D31"/>
    <w:rsid w:val="007C5D71"/>
    <w:rsid w:val="007C5F34"/>
    <w:rsid w:val="007C5F73"/>
    <w:rsid w:val="007C5FC9"/>
    <w:rsid w:val="007C6025"/>
    <w:rsid w:val="007C61BC"/>
    <w:rsid w:val="007C6208"/>
    <w:rsid w:val="007C62C4"/>
    <w:rsid w:val="007C6318"/>
    <w:rsid w:val="007C6336"/>
    <w:rsid w:val="007C6414"/>
    <w:rsid w:val="007C6465"/>
    <w:rsid w:val="007C64F5"/>
    <w:rsid w:val="007C658C"/>
    <w:rsid w:val="007C65F7"/>
    <w:rsid w:val="007C684C"/>
    <w:rsid w:val="007C686B"/>
    <w:rsid w:val="007C690B"/>
    <w:rsid w:val="007C6A59"/>
    <w:rsid w:val="007C6D39"/>
    <w:rsid w:val="007C6DA1"/>
    <w:rsid w:val="007C6E4B"/>
    <w:rsid w:val="007C6E4D"/>
    <w:rsid w:val="007C6F17"/>
    <w:rsid w:val="007C741D"/>
    <w:rsid w:val="007C7502"/>
    <w:rsid w:val="007C75C0"/>
    <w:rsid w:val="007C779E"/>
    <w:rsid w:val="007C78F2"/>
    <w:rsid w:val="007C7AA8"/>
    <w:rsid w:val="007C7B3F"/>
    <w:rsid w:val="007C7B98"/>
    <w:rsid w:val="007C7BC4"/>
    <w:rsid w:val="007C7D72"/>
    <w:rsid w:val="007C7ECA"/>
    <w:rsid w:val="007D0164"/>
    <w:rsid w:val="007D028E"/>
    <w:rsid w:val="007D0302"/>
    <w:rsid w:val="007D04AE"/>
    <w:rsid w:val="007D0565"/>
    <w:rsid w:val="007D0663"/>
    <w:rsid w:val="007D068E"/>
    <w:rsid w:val="007D06B3"/>
    <w:rsid w:val="007D092B"/>
    <w:rsid w:val="007D0A18"/>
    <w:rsid w:val="007D0BCB"/>
    <w:rsid w:val="007D0E1C"/>
    <w:rsid w:val="007D0F1B"/>
    <w:rsid w:val="007D0F76"/>
    <w:rsid w:val="007D128B"/>
    <w:rsid w:val="007D1352"/>
    <w:rsid w:val="007D1511"/>
    <w:rsid w:val="007D1593"/>
    <w:rsid w:val="007D1680"/>
    <w:rsid w:val="007D16A7"/>
    <w:rsid w:val="007D1759"/>
    <w:rsid w:val="007D1812"/>
    <w:rsid w:val="007D1901"/>
    <w:rsid w:val="007D1921"/>
    <w:rsid w:val="007D19E5"/>
    <w:rsid w:val="007D1A83"/>
    <w:rsid w:val="007D1B08"/>
    <w:rsid w:val="007D1B95"/>
    <w:rsid w:val="007D1DCD"/>
    <w:rsid w:val="007D1E77"/>
    <w:rsid w:val="007D20F0"/>
    <w:rsid w:val="007D211C"/>
    <w:rsid w:val="007D215D"/>
    <w:rsid w:val="007D21D9"/>
    <w:rsid w:val="007D2201"/>
    <w:rsid w:val="007D2240"/>
    <w:rsid w:val="007D2440"/>
    <w:rsid w:val="007D2469"/>
    <w:rsid w:val="007D24BB"/>
    <w:rsid w:val="007D25A7"/>
    <w:rsid w:val="007D2728"/>
    <w:rsid w:val="007D2949"/>
    <w:rsid w:val="007D2952"/>
    <w:rsid w:val="007D2990"/>
    <w:rsid w:val="007D29AB"/>
    <w:rsid w:val="007D2A04"/>
    <w:rsid w:val="007D2A12"/>
    <w:rsid w:val="007D2BD0"/>
    <w:rsid w:val="007D2BD2"/>
    <w:rsid w:val="007D2CE5"/>
    <w:rsid w:val="007D2D01"/>
    <w:rsid w:val="007D2F96"/>
    <w:rsid w:val="007D2FC1"/>
    <w:rsid w:val="007D3119"/>
    <w:rsid w:val="007D31AA"/>
    <w:rsid w:val="007D31E6"/>
    <w:rsid w:val="007D336C"/>
    <w:rsid w:val="007D33FA"/>
    <w:rsid w:val="007D34CB"/>
    <w:rsid w:val="007D3539"/>
    <w:rsid w:val="007D35B0"/>
    <w:rsid w:val="007D364A"/>
    <w:rsid w:val="007D367A"/>
    <w:rsid w:val="007D3772"/>
    <w:rsid w:val="007D383B"/>
    <w:rsid w:val="007D3ACE"/>
    <w:rsid w:val="007D3ADD"/>
    <w:rsid w:val="007D3BA9"/>
    <w:rsid w:val="007D3C95"/>
    <w:rsid w:val="007D3E6C"/>
    <w:rsid w:val="007D3EDA"/>
    <w:rsid w:val="007D3F6D"/>
    <w:rsid w:val="007D3F80"/>
    <w:rsid w:val="007D40C8"/>
    <w:rsid w:val="007D4165"/>
    <w:rsid w:val="007D4175"/>
    <w:rsid w:val="007D41B9"/>
    <w:rsid w:val="007D41EB"/>
    <w:rsid w:val="007D42E1"/>
    <w:rsid w:val="007D4598"/>
    <w:rsid w:val="007D45EB"/>
    <w:rsid w:val="007D4674"/>
    <w:rsid w:val="007D46B7"/>
    <w:rsid w:val="007D48AA"/>
    <w:rsid w:val="007D4B41"/>
    <w:rsid w:val="007D4BE8"/>
    <w:rsid w:val="007D4C14"/>
    <w:rsid w:val="007D4D33"/>
    <w:rsid w:val="007D4D3B"/>
    <w:rsid w:val="007D4E98"/>
    <w:rsid w:val="007D4ECE"/>
    <w:rsid w:val="007D4F0F"/>
    <w:rsid w:val="007D4F3B"/>
    <w:rsid w:val="007D533E"/>
    <w:rsid w:val="007D538D"/>
    <w:rsid w:val="007D547B"/>
    <w:rsid w:val="007D5862"/>
    <w:rsid w:val="007D58C7"/>
    <w:rsid w:val="007D592B"/>
    <w:rsid w:val="007D59F3"/>
    <w:rsid w:val="007D5AA6"/>
    <w:rsid w:val="007D5AC5"/>
    <w:rsid w:val="007D5B3F"/>
    <w:rsid w:val="007D5BA6"/>
    <w:rsid w:val="007D5C41"/>
    <w:rsid w:val="007D5D23"/>
    <w:rsid w:val="007D5F3B"/>
    <w:rsid w:val="007D5FBF"/>
    <w:rsid w:val="007D5FC8"/>
    <w:rsid w:val="007D5FED"/>
    <w:rsid w:val="007D61F4"/>
    <w:rsid w:val="007D62F2"/>
    <w:rsid w:val="007D6354"/>
    <w:rsid w:val="007D6376"/>
    <w:rsid w:val="007D6432"/>
    <w:rsid w:val="007D6487"/>
    <w:rsid w:val="007D65AD"/>
    <w:rsid w:val="007D65CE"/>
    <w:rsid w:val="007D672A"/>
    <w:rsid w:val="007D6893"/>
    <w:rsid w:val="007D68BB"/>
    <w:rsid w:val="007D6A2A"/>
    <w:rsid w:val="007D6AD3"/>
    <w:rsid w:val="007D6AF5"/>
    <w:rsid w:val="007D6B23"/>
    <w:rsid w:val="007D6B7F"/>
    <w:rsid w:val="007D6C17"/>
    <w:rsid w:val="007D6C1B"/>
    <w:rsid w:val="007D6CDA"/>
    <w:rsid w:val="007D6CEA"/>
    <w:rsid w:val="007D6ED9"/>
    <w:rsid w:val="007D6FE7"/>
    <w:rsid w:val="007D6FFD"/>
    <w:rsid w:val="007D728C"/>
    <w:rsid w:val="007D7290"/>
    <w:rsid w:val="007D7302"/>
    <w:rsid w:val="007D7433"/>
    <w:rsid w:val="007D74DD"/>
    <w:rsid w:val="007D75C5"/>
    <w:rsid w:val="007D76A1"/>
    <w:rsid w:val="007D76B1"/>
    <w:rsid w:val="007D778E"/>
    <w:rsid w:val="007D7A21"/>
    <w:rsid w:val="007D7A91"/>
    <w:rsid w:val="007D7AD7"/>
    <w:rsid w:val="007D7E0A"/>
    <w:rsid w:val="007D7E19"/>
    <w:rsid w:val="007D7F2F"/>
    <w:rsid w:val="007E001F"/>
    <w:rsid w:val="007E00D2"/>
    <w:rsid w:val="007E01D4"/>
    <w:rsid w:val="007E0256"/>
    <w:rsid w:val="007E02FA"/>
    <w:rsid w:val="007E039D"/>
    <w:rsid w:val="007E0426"/>
    <w:rsid w:val="007E055E"/>
    <w:rsid w:val="007E06BA"/>
    <w:rsid w:val="007E06C1"/>
    <w:rsid w:val="007E0720"/>
    <w:rsid w:val="007E07B3"/>
    <w:rsid w:val="007E0808"/>
    <w:rsid w:val="007E0853"/>
    <w:rsid w:val="007E09FA"/>
    <w:rsid w:val="007E0A41"/>
    <w:rsid w:val="007E0A61"/>
    <w:rsid w:val="007E0B1D"/>
    <w:rsid w:val="007E0CD4"/>
    <w:rsid w:val="007E0CD5"/>
    <w:rsid w:val="007E0DCA"/>
    <w:rsid w:val="007E0DD7"/>
    <w:rsid w:val="007E0E4D"/>
    <w:rsid w:val="007E0EBA"/>
    <w:rsid w:val="007E1098"/>
    <w:rsid w:val="007E1166"/>
    <w:rsid w:val="007E1195"/>
    <w:rsid w:val="007E126E"/>
    <w:rsid w:val="007E139B"/>
    <w:rsid w:val="007E144B"/>
    <w:rsid w:val="007E1597"/>
    <w:rsid w:val="007E15FA"/>
    <w:rsid w:val="007E1642"/>
    <w:rsid w:val="007E16F7"/>
    <w:rsid w:val="007E17EE"/>
    <w:rsid w:val="007E182E"/>
    <w:rsid w:val="007E1922"/>
    <w:rsid w:val="007E1AD2"/>
    <w:rsid w:val="007E1B09"/>
    <w:rsid w:val="007E1D3F"/>
    <w:rsid w:val="007E1D86"/>
    <w:rsid w:val="007E1EEB"/>
    <w:rsid w:val="007E2059"/>
    <w:rsid w:val="007E221D"/>
    <w:rsid w:val="007E22EB"/>
    <w:rsid w:val="007E2428"/>
    <w:rsid w:val="007E243B"/>
    <w:rsid w:val="007E2440"/>
    <w:rsid w:val="007E2493"/>
    <w:rsid w:val="007E24D8"/>
    <w:rsid w:val="007E25CC"/>
    <w:rsid w:val="007E283C"/>
    <w:rsid w:val="007E290D"/>
    <w:rsid w:val="007E2B05"/>
    <w:rsid w:val="007E2B61"/>
    <w:rsid w:val="007E2C99"/>
    <w:rsid w:val="007E2CB2"/>
    <w:rsid w:val="007E2ED4"/>
    <w:rsid w:val="007E2FAE"/>
    <w:rsid w:val="007E30A3"/>
    <w:rsid w:val="007E3137"/>
    <w:rsid w:val="007E3190"/>
    <w:rsid w:val="007E3240"/>
    <w:rsid w:val="007E32FF"/>
    <w:rsid w:val="007E33BB"/>
    <w:rsid w:val="007E343E"/>
    <w:rsid w:val="007E34A1"/>
    <w:rsid w:val="007E34A8"/>
    <w:rsid w:val="007E3602"/>
    <w:rsid w:val="007E366A"/>
    <w:rsid w:val="007E3779"/>
    <w:rsid w:val="007E381E"/>
    <w:rsid w:val="007E382F"/>
    <w:rsid w:val="007E39EE"/>
    <w:rsid w:val="007E39F0"/>
    <w:rsid w:val="007E3AAC"/>
    <w:rsid w:val="007E3B4E"/>
    <w:rsid w:val="007E3B6B"/>
    <w:rsid w:val="007E3B8A"/>
    <w:rsid w:val="007E3C2E"/>
    <w:rsid w:val="007E3C69"/>
    <w:rsid w:val="007E3E0A"/>
    <w:rsid w:val="007E3EAF"/>
    <w:rsid w:val="007E3F79"/>
    <w:rsid w:val="007E3FEB"/>
    <w:rsid w:val="007E4004"/>
    <w:rsid w:val="007E4248"/>
    <w:rsid w:val="007E4280"/>
    <w:rsid w:val="007E43CF"/>
    <w:rsid w:val="007E4431"/>
    <w:rsid w:val="007E4512"/>
    <w:rsid w:val="007E4524"/>
    <w:rsid w:val="007E46F2"/>
    <w:rsid w:val="007E47A9"/>
    <w:rsid w:val="007E48DC"/>
    <w:rsid w:val="007E49F1"/>
    <w:rsid w:val="007E4B77"/>
    <w:rsid w:val="007E4BA0"/>
    <w:rsid w:val="007E4CD5"/>
    <w:rsid w:val="007E4DC6"/>
    <w:rsid w:val="007E4E55"/>
    <w:rsid w:val="007E4E8E"/>
    <w:rsid w:val="007E4F08"/>
    <w:rsid w:val="007E50A0"/>
    <w:rsid w:val="007E50B1"/>
    <w:rsid w:val="007E52F0"/>
    <w:rsid w:val="007E533F"/>
    <w:rsid w:val="007E53E2"/>
    <w:rsid w:val="007E5458"/>
    <w:rsid w:val="007E54C3"/>
    <w:rsid w:val="007E5596"/>
    <w:rsid w:val="007E56C4"/>
    <w:rsid w:val="007E5775"/>
    <w:rsid w:val="007E58F3"/>
    <w:rsid w:val="007E596C"/>
    <w:rsid w:val="007E59F7"/>
    <w:rsid w:val="007E5B16"/>
    <w:rsid w:val="007E5B87"/>
    <w:rsid w:val="007E5C4D"/>
    <w:rsid w:val="007E5CAF"/>
    <w:rsid w:val="007E5D93"/>
    <w:rsid w:val="007E5E51"/>
    <w:rsid w:val="007E5EAC"/>
    <w:rsid w:val="007E5F8C"/>
    <w:rsid w:val="007E605C"/>
    <w:rsid w:val="007E60BE"/>
    <w:rsid w:val="007E62AC"/>
    <w:rsid w:val="007E6307"/>
    <w:rsid w:val="007E632D"/>
    <w:rsid w:val="007E6456"/>
    <w:rsid w:val="007E647E"/>
    <w:rsid w:val="007E6490"/>
    <w:rsid w:val="007E64E5"/>
    <w:rsid w:val="007E6692"/>
    <w:rsid w:val="007E67C0"/>
    <w:rsid w:val="007E684D"/>
    <w:rsid w:val="007E6ABB"/>
    <w:rsid w:val="007E6ABF"/>
    <w:rsid w:val="007E6D12"/>
    <w:rsid w:val="007E6D71"/>
    <w:rsid w:val="007E6E9C"/>
    <w:rsid w:val="007E6FB0"/>
    <w:rsid w:val="007E71E8"/>
    <w:rsid w:val="007E7215"/>
    <w:rsid w:val="007E7391"/>
    <w:rsid w:val="007E740B"/>
    <w:rsid w:val="007E7518"/>
    <w:rsid w:val="007E75CA"/>
    <w:rsid w:val="007E7681"/>
    <w:rsid w:val="007E76BE"/>
    <w:rsid w:val="007E7BDB"/>
    <w:rsid w:val="007E7C28"/>
    <w:rsid w:val="007E7CEC"/>
    <w:rsid w:val="007E7D1D"/>
    <w:rsid w:val="007E7EE3"/>
    <w:rsid w:val="007F002D"/>
    <w:rsid w:val="007F00E2"/>
    <w:rsid w:val="007F0245"/>
    <w:rsid w:val="007F02C1"/>
    <w:rsid w:val="007F04F3"/>
    <w:rsid w:val="007F0518"/>
    <w:rsid w:val="007F059D"/>
    <w:rsid w:val="007F05D4"/>
    <w:rsid w:val="007F09DD"/>
    <w:rsid w:val="007F0A5A"/>
    <w:rsid w:val="007F0C0F"/>
    <w:rsid w:val="007F0C46"/>
    <w:rsid w:val="007F0CD3"/>
    <w:rsid w:val="007F0D0B"/>
    <w:rsid w:val="007F0EA3"/>
    <w:rsid w:val="007F0EAC"/>
    <w:rsid w:val="007F0EC1"/>
    <w:rsid w:val="007F0F2E"/>
    <w:rsid w:val="007F102B"/>
    <w:rsid w:val="007F106C"/>
    <w:rsid w:val="007F11BE"/>
    <w:rsid w:val="007F11EC"/>
    <w:rsid w:val="007F1600"/>
    <w:rsid w:val="007F1709"/>
    <w:rsid w:val="007F180E"/>
    <w:rsid w:val="007F1890"/>
    <w:rsid w:val="007F1899"/>
    <w:rsid w:val="007F1997"/>
    <w:rsid w:val="007F1A1D"/>
    <w:rsid w:val="007F1A59"/>
    <w:rsid w:val="007F1AD8"/>
    <w:rsid w:val="007F1C0E"/>
    <w:rsid w:val="007F2244"/>
    <w:rsid w:val="007F22BA"/>
    <w:rsid w:val="007F2317"/>
    <w:rsid w:val="007F24A3"/>
    <w:rsid w:val="007F24B9"/>
    <w:rsid w:val="007F24FF"/>
    <w:rsid w:val="007F2566"/>
    <w:rsid w:val="007F26EE"/>
    <w:rsid w:val="007F2720"/>
    <w:rsid w:val="007F28E0"/>
    <w:rsid w:val="007F296B"/>
    <w:rsid w:val="007F2B74"/>
    <w:rsid w:val="007F2BB3"/>
    <w:rsid w:val="007F2CFB"/>
    <w:rsid w:val="007F2D16"/>
    <w:rsid w:val="007F2D68"/>
    <w:rsid w:val="007F2DD2"/>
    <w:rsid w:val="007F2FB6"/>
    <w:rsid w:val="007F301E"/>
    <w:rsid w:val="007F303C"/>
    <w:rsid w:val="007F305E"/>
    <w:rsid w:val="007F31FC"/>
    <w:rsid w:val="007F3300"/>
    <w:rsid w:val="007F3340"/>
    <w:rsid w:val="007F3430"/>
    <w:rsid w:val="007F3584"/>
    <w:rsid w:val="007F3594"/>
    <w:rsid w:val="007F361B"/>
    <w:rsid w:val="007F3706"/>
    <w:rsid w:val="007F373F"/>
    <w:rsid w:val="007F38A9"/>
    <w:rsid w:val="007F38B7"/>
    <w:rsid w:val="007F38E5"/>
    <w:rsid w:val="007F38EE"/>
    <w:rsid w:val="007F3C46"/>
    <w:rsid w:val="007F3C5A"/>
    <w:rsid w:val="007F3DDC"/>
    <w:rsid w:val="007F3FBA"/>
    <w:rsid w:val="007F414C"/>
    <w:rsid w:val="007F4270"/>
    <w:rsid w:val="007F4524"/>
    <w:rsid w:val="007F4691"/>
    <w:rsid w:val="007F4829"/>
    <w:rsid w:val="007F4847"/>
    <w:rsid w:val="007F486E"/>
    <w:rsid w:val="007F4894"/>
    <w:rsid w:val="007F4990"/>
    <w:rsid w:val="007F49A3"/>
    <w:rsid w:val="007F4A43"/>
    <w:rsid w:val="007F4BF1"/>
    <w:rsid w:val="007F4D82"/>
    <w:rsid w:val="007F502D"/>
    <w:rsid w:val="007F505B"/>
    <w:rsid w:val="007F514B"/>
    <w:rsid w:val="007F51BD"/>
    <w:rsid w:val="007F52AE"/>
    <w:rsid w:val="007F5329"/>
    <w:rsid w:val="007F5374"/>
    <w:rsid w:val="007F542B"/>
    <w:rsid w:val="007F5496"/>
    <w:rsid w:val="007F569C"/>
    <w:rsid w:val="007F5859"/>
    <w:rsid w:val="007F5979"/>
    <w:rsid w:val="007F59F6"/>
    <w:rsid w:val="007F5A03"/>
    <w:rsid w:val="007F5A95"/>
    <w:rsid w:val="007F5A9C"/>
    <w:rsid w:val="007F5B74"/>
    <w:rsid w:val="007F5BA1"/>
    <w:rsid w:val="007F5C44"/>
    <w:rsid w:val="007F5D18"/>
    <w:rsid w:val="007F5E16"/>
    <w:rsid w:val="007F5E26"/>
    <w:rsid w:val="007F5E3C"/>
    <w:rsid w:val="007F6115"/>
    <w:rsid w:val="007F613E"/>
    <w:rsid w:val="007F614D"/>
    <w:rsid w:val="007F624D"/>
    <w:rsid w:val="007F629D"/>
    <w:rsid w:val="007F6355"/>
    <w:rsid w:val="007F6442"/>
    <w:rsid w:val="007F646E"/>
    <w:rsid w:val="007F64BB"/>
    <w:rsid w:val="007F64C3"/>
    <w:rsid w:val="007F654C"/>
    <w:rsid w:val="007F65CE"/>
    <w:rsid w:val="007F65EE"/>
    <w:rsid w:val="007F664C"/>
    <w:rsid w:val="007F6841"/>
    <w:rsid w:val="007F694F"/>
    <w:rsid w:val="007F6AA6"/>
    <w:rsid w:val="007F6BBE"/>
    <w:rsid w:val="007F6BEF"/>
    <w:rsid w:val="007F6CE1"/>
    <w:rsid w:val="007F6D6E"/>
    <w:rsid w:val="007F6ED5"/>
    <w:rsid w:val="007F6F4F"/>
    <w:rsid w:val="007F6F7F"/>
    <w:rsid w:val="007F6F9F"/>
    <w:rsid w:val="007F6FB8"/>
    <w:rsid w:val="007F7018"/>
    <w:rsid w:val="007F7137"/>
    <w:rsid w:val="007F74E8"/>
    <w:rsid w:val="007F7526"/>
    <w:rsid w:val="007F75C5"/>
    <w:rsid w:val="007F7600"/>
    <w:rsid w:val="007F7841"/>
    <w:rsid w:val="007F78D7"/>
    <w:rsid w:val="007F79A5"/>
    <w:rsid w:val="007F7C41"/>
    <w:rsid w:val="007F7C5C"/>
    <w:rsid w:val="007F7D15"/>
    <w:rsid w:val="007F7D17"/>
    <w:rsid w:val="007F7D6B"/>
    <w:rsid w:val="007F7E4C"/>
    <w:rsid w:val="007F7FD6"/>
    <w:rsid w:val="007F7FF5"/>
    <w:rsid w:val="008000A6"/>
    <w:rsid w:val="008000E7"/>
    <w:rsid w:val="00800153"/>
    <w:rsid w:val="0080023E"/>
    <w:rsid w:val="00800302"/>
    <w:rsid w:val="00800389"/>
    <w:rsid w:val="0080048F"/>
    <w:rsid w:val="0080050B"/>
    <w:rsid w:val="00800551"/>
    <w:rsid w:val="008008C7"/>
    <w:rsid w:val="008008D2"/>
    <w:rsid w:val="00800B12"/>
    <w:rsid w:val="00800B4F"/>
    <w:rsid w:val="00800C49"/>
    <w:rsid w:val="00800C5F"/>
    <w:rsid w:val="00800C65"/>
    <w:rsid w:val="00800D2B"/>
    <w:rsid w:val="00800E33"/>
    <w:rsid w:val="00800EBA"/>
    <w:rsid w:val="00800F6F"/>
    <w:rsid w:val="00800F85"/>
    <w:rsid w:val="00800FFD"/>
    <w:rsid w:val="008011C3"/>
    <w:rsid w:val="008011FE"/>
    <w:rsid w:val="00801343"/>
    <w:rsid w:val="00801465"/>
    <w:rsid w:val="008015FE"/>
    <w:rsid w:val="00801678"/>
    <w:rsid w:val="00801709"/>
    <w:rsid w:val="00801785"/>
    <w:rsid w:val="008017C5"/>
    <w:rsid w:val="008017D8"/>
    <w:rsid w:val="00801814"/>
    <w:rsid w:val="00801A7D"/>
    <w:rsid w:val="00801B29"/>
    <w:rsid w:val="00801D54"/>
    <w:rsid w:val="00801D5F"/>
    <w:rsid w:val="00801E32"/>
    <w:rsid w:val="00802193"/>
    <w:rsid w:val="0080224A"/>
    <w:rsid w:val="008023A0"/>
    <w:rsid w:val="008024F1"/>
    <w:rsid w:val="00802651"/>
    <w:rsid w:val="0080271F"/>
    <w:rsid w:val="0080288C"/>
    <w:rsid w:val="00802902"/>
    <w:rsid w:val="00802A1D"/>
    <w:rsid w:val="00802AB2"/>
    <w:rsid w:val="00802B91"/>
    <w:rsid w:val="00802C98"/>
    <w:rsid w:val="00802D34"/>
    <w:rsid w:val="00802D7E"/>
    <w:rsid w:val="00802DBF"/>
    <w:rsid w:val="00802DFE"/>
    <w:rsid w:val="00802EBB"/>
    <w:rsid w:val="008031A6"/>
    <w:rsid w:val="0080321E"/>
    <w:rsid w:val="00803314"/>
    <w:rsid w:val="00803426"/>
    <w:rsid w:val="00803499"/>
    <w:rsid w:val="008034FC"/>
    <w:rsid w:val="008035E8"/>
    <w:rsid w:val="0080366D"/>
    <w:rsid w:val="008036EF"/>
    <w:rsid w:val="0080372D"/>
    <w:rsid w:val="008037B3"/>
    <w:rsid w:val="008037CD"/>
    <w:rsid w:val="00803839"/>
    <w:rsid w:val="00803871"/>
    <w:rsid w:val="0080389A"/>
    <w:rsid w:val="008038FB"/>
    <w:rsid w:val="008039D7"/>
    <w:rsid w:val="00803A0B"/>
    <w:rsid w:val="00803DBC"/>
    <w:rsid w:val="00803DD5"/>
    <w:rsid w:val="00803F18"/>
    <w:rsid w:val="00804057"/>
    <w:rsid w:val="00804060"/>
    <w:rsid w:val="00804157"/>
    <w:rsid w:val="008041C2"/>
    <w:rsid w:val="00804467"/>
    <w:rsid w:val="00804499"/>
    <w:rsid w:val="008044CB"/>
    <w:rsid w:val="00804668"/>
    <w:rsid w:val="00804835"/>
    <w:rsid w:val="008049CE"/>
    <w:rsid w:val="00804A57"/>
    <w:rsid w:val="00804ACB"/>
    <w:rsid w:val="00804B5F"/>
    <w:rsid w:val="00804C51"/>
    <w:rsid w:val="00804CA3"/>
    <w:rsid w:val="00804DE0"/>
    <w:rsid w:val="00804DFE"/>
    <w:rsid w:val="00804F77"/>
    <w:rsid w:val="0080502E"/>
    <w:rsid w:val="0080502F"/>
    <w:rsid w:val="0080504F"/>
    <w:rsid w:val="008050BA"/>
    <w:rsid w:val="00805135"/>
    <w:rsid w:val="00805257"/>
    <w:rsid w:val="008052E3"/>
    <w:rsid w:val="0080539C"/>
    <w:rsid w:val="0080539F"/>
    <w:rsid w:val="0080556F"/>
    <w:rsid w:val="00805576"/>
    <w:rsid w:val="008055BC"/>
    <w:rsid w:val="008057D0"/>
    <w:rsid w:val="008057F6"/>
    <w:rsid w:val="00805834"/>
    <w:rsid w:val="0080590A"/>
    <w:rsid w:val="00805992"/>
    <w:rsid w:val="00805A57"/>
    <w:rsid w:val="00805B7D"/>
    <w:rsid w:val="00805B86"/>
    <w:rsid w:val="00805BE2"/>
    <w:rsid w:val="00805BF2"/>
    <w:rsid w:val="00805F8F"/>
    <w:rsid w:val="00806099"/>
    <w:rsid w:val="008060A7"/>
    <w:rsid w:val="008060BB"/>
    <w:rsid w:val="008060CA"/>
    <w:rsid w:val="008060EA"/>
    <w:rsid w:val="00806121"/>
    <w:rsid w:val="0080624B"/>
    <w:rsid w:val="008062F5"/>
    <w:rsid w:val="0080633A"/>
    <w:rsid w:val="008063CE"/>
    <w:rsid w:val="008063D4"/>
    <w:rsid w:val="00806545"/>
    <w:rsid w:val="0080667A"/>
    <w:rsid w:val="0080678F"/>
    <w:rsid w:val="008067B9"/>
    <w:rsid w:val="008068AD"/>
    <w:rsid w:val="0080690B"/>
    <w:rsid w:val="00806960"/>
    <w:rsid w:val="00806A16"/>
    <w:rsid w:val="00806A5B"/>
    <w:rsid w:val="00806A79"/>
    <w:rsid w:val="00806B26"/>
    <w:rsid w:val="00806B47"/>
    <w:rsid w:val="00806F3C"/>
    <w:rsid w:val="00806FFA"/>
    <w:rsid w:val="00807001"/>
    <w:rsid w:val="008070B6"/>
    <w:rsid w:val="0080730C"/>
    <w:rsid w:val="0080733D"/>
    <w:rsid w:val="00807583"/>
    <w:rsid w:val="00807771"/>
    <w:rsid w:val="00807A5A"/>
    <w:rsid w:val="00807B21"/>
    <w:rsid w:val="00807B9F"/>
    <w:rsid w:val="00807BA8"/>
    <w:rsid w:val="00807D11"/>
    <w:rsid w:val="00807DC7"/>
    <w:rsid w:val="00807F1F"/>
    <w:rsid w:val="00807F21"/>
    <w:rsid w:val="008100CE"/>
    <w:rsid w:val="0081025B"/>
    <w:rsid w:val="00810278"/>
    <w:rsid w:val="0081028A"/>
    <w:rsid w:val="008102B5"/>
    <w:rsid w:val="00810328"/>
    <w:rsid w:val="008104DC"/>
    <w:rsid w:val="008105F7"/>
    <w:rsid w:val="00810639"/>
    <w:rsid w:val="008106F2"/>
    <w:rsid w:val="008107B4"/>
    <w:rsid w:val="0081080A"/>
    <w:rsid w:val="00810994"/>
    <w:rsid w:val="008109F7"/>
    <w:rsid w:val="00810A11"/>
    <w:rsid w:val="00810B01"/>
    <w:rsid w:val="00810BB7"/>
    <w:rsid w:val="00810C40"/>
    <w:rsid w:val="00810C8D"/>
    <w:rsid w:val="00810EBA"/>
    <w:rsid w:val="00810F1A"/>
    <w:rsid w:val="00810F9F"/>
    <w:rsid w:val="008111F9"/>
    <w:rsid w:val="00811285"/>
    <w:rsid w:val="008112C4"/>
    <w:rsid w:val="008112D6"/>
    <w:rsid w:val="00811317"/>
    <w:rsid w:val="00811368"/>
    <w:rsid w:val="0081139F"/>
    <w:rsid w:val="008113DD"/>
    <w:rsid w:val="008114D9"/>
    <w:rsid w:val="0081152B"/>
    <w:rsid w:val="008115C7"/>
    <w:rsid w:val="008116CB"/>
    <w:rsid w:val="00811785"/>
    <w:rsid w:val="00811943"/>
    <w:rsid w:val="008119C8"/>
    <w:rsid w:val="00811AE6"/>
    <w:rsid w:val="00811D34"/>
    <w:rsid w:val="00811E32"/>
    <w:rsid w:val="00811E8B"/>
    <w:rsid w:val="00811FFA"/>
    <w:rsid w:val="008120AD"/>
    <w:rsid w:val="00812179"/>
    <w:rsid w:val="00812271"/>
    <w:rsid w:val="00812875"/>
    <w:rsid w:val="008128D2"/>
    <w:rsid w:val="00812A68"/>
    <w:rsid w:val="00812AE4"/>
    <w:rsid w:val="00812B0C"/>
    <w:rsid w:val="00812B28"/>
    <w:rsid w:val="00812BFE"/>
    <w:rsid w:val="00812D0B"/>
    <w:rsid w:val="00812D21"/>
    <w:rsid w:val="00812D42"/>
    <w:rsid w:val="00812D75"/>
    <w:rsid w:val="00812D8C"/>
    <w:rsid w:val="00812E3C"/>
    <w:rsid w:val="00812E4A"/>
    <w:rsid w:val="00812FE6"/>
    <w:rsid w:val="00813046"/>
    <w:rsid w:val="008130C9"/>
    <w:rsid w:val="00813143"/>
    <w:rsid w:val="00813188"/>
    <w:rsid w:val="008131D8"/>
    <w:rsid w:val="008133D4"/>
    <w:rsid w:val="00813467"/>
    <w:rsid w:val="0081350E"/>
    <w:rsid w:val="008135EF"/>
    <w:rsid w:val="00813698"/>
    <w:rsid w:val="00813732"/>
    <w:rsid w:val="0081390F"/>
    <w:rsid w:val="008139C0"/>
    <w:rsid w:val="00813B36"/>
    <w:rsid w:val="00813C33"/>
    <w:rsid w:val="00813C5D"/>
    <w:rsid w:val="00813C8D"/>
    <w:rsid w:val="00813D27"/>
    <w:rsid w:val="00813D84"/>
    <w:rsid w:val="00813F07"/>
    <w:rsid w:val="00813F3F"/>
    <w:rsid w:val="00813FD2"/>
    <w:rsid w:val="00814036"/>
    <w:rsid w:val="00814174"/>
    <w:rsid w:val="00814188"/>
    <w:rsid w:val="00814284"/>
    <w:rsid w:val="008143DC"/>
    <w:rsid w:val="008143F9"/>
    <w:rsid w:val="008144B7"/>
    <w:rsid w:val="008146D8"/>
    <w:rsid w:val="00814816"/>
    <w:rsid w:val="0081496C"/>
    <w:rsid w:val="00814A0D"/>
    <w:rsid w:val="00814A50"/>
    <w:rsid w:val="00814A8D"/>
    <w:rsid w:val="00814B64"/>
    <w:rsid w:val="00814B73"/>
    <w:rsid w:val="00814BF6"/>
    <w:rsid w:val="00814C79"/>
    <w:rsid w:val="00814C9A"/>
    <w:rsid w:val="00814DBB"/>
    <w:rsid w:val="00814E8D"/>
    <w:rsid w:val="00815112"/>
    <w:rsid w:val="00815227"/>
    <w:rsid w:val="0081523D"/>
    <w:rsid w:val="008152B2"/>
    <w:rsid w:val="008152F0"/>
    <w:rsid w:val="0081539D"/>
    <w:rsid w:val="008153AD"/>
    <w:rsid w:val="0081545E"/>
    <w:rsid w:val="00815471"/>
    <w:rsid w:val="0081550A"/>
    <w:rsid w:val="00815526"/>
    <w:rsid w:val="008157FE"/>
    <w:rsid w:val="00815887"/>
    <w:rsid w:val="008158F5"/>
    <w:rsid w:val="00815936"/>
    <w:rsid w:val="00815AF4"/>
    <w:rsid w:val="00815C81"/>
    <w:rsid w:val="00815D8A"/>
    <w:rsid w:val="00815D9B"/>
    <w:rsid w:val="00815DCC"/>
    <w:rsid w:val="00815DE9"/>
    <w:rsid w:val="00815E17"/>
    <w:rsid w:val="00815F2A"/>
    <w:rsid w:val="00815F49"/>
    <w:rsid w:val="00815FA8"/>
    <w:rsid w:val="0081609B"/>
    <w:rsid w:val="0081628B"/>
    <w:rsid w:val="008162A4"/>
    <w:rsid w:val="00816388"/>
    <w:rsid w:val="00816393"/>
    <w:rsid w:val="008163EB"/>
    <w:rsid w:val="0081686E"/>
    <w:rsid w:val="008168A7"/>
    <w:rsid w:val="008169A1"/>
    <w:rsid w:val="00816ADF"/>
    <w:rsid w:val="00816B48"/>
    <w:rsid w:val="00816B51"/>
    <w:rsid w:val="00816B57"/>
    <w:rsid w:val="00816C5B"/>
    <w:rsid w:val="00816CCA"/>
    <w:rsid w:val="00816E77"/>
    <w:rsid w:val="00816EC7"/>
    <w:rsid w:val="00816EF1"/>
    <w:rsid w:val="0081707D"/>
    <w:rsid w:val="008170DF"/>
    <w:rsid w:val="008170EC"/>
    <w:rsid w:val="0081714F"/>
    <w:rsid w:val="00817158"/>
    <w:rsid w:val="00817188"/>
    <w:rsid w:val="008171B9"/>
    <w:rsid w:val="008172A9"/>
    <w:rsid w:val="0081731D"/>
    <w:rsid w:val="0081731F"/>
    <w:rsid w:val="008173B0"/>
    <w:rsid w:val="0081758F"/>
    <w:rsid w:val="0081771C"/>
    <w:rsid w:val="008177F3"/>
    <w:rsid w:val="00817859"/>
    <w:rsid w:val="00817870"/>
    <w:rsid w:val="008178DD"/>
    <w:rsid w:val="008178F5"/>
    <w:rsid w:val="0081796C"/>
    <w:rsid w:val="008179D7"/>
    <w:rsid w:val="00817A1F"/>
    <w:rsid w:val="00817AB1"/>
    <w:rsid w:val="00817B47"/>
    <w:rsid w:val="00817C07"/>
    <w:rsid w:val="00817DE3"/>
    <w:rsid w:val="0082007F"/>
    <w:rsid w:val="008200E4"/>
    <w:rsid w:val="0082014C"/>
    <w:rsid w:val="00820176"/>
    <w:rsid w:val="008203AE"/>
    <w:rsid w:val="008203EC"/>
    <w:rsid w:val="00820455"/>
    <w:rsid w:val="00820644"/>
    <w:rsid w:val="00820713"/>
    <w:rsid w:val="0082093F"/>
    <w:rsid w:val="00820B6E"/>
    <w:rsid w:val="00820BD2"/>
    <w:rsid w:val="00820C1F"/>
    <w:rsid w:val="00820C56"/>
    <w:rsid w:val="00820DA3"/>
    <w:rsid w:val="00821081"/>
    <w:rsid w:val="008211BF"/>
    <w:rsid w:val="00821219"/>
    <w:rsid w:val="0082126A"/>
    <w:rsid w:val="00821297"/>
    <w:rsid w:val="0082145D"/>
    <w:rsid w:val="0082152C"/>
    <w:rsid w:val="008215C5"/>
    <w:rsid w:val="0082174E"/>
    <w:rsid w:val="00821871"/>
    <w:rsid w:val="0082187A"/>
    <w:rsid w:val="00821A04"/>
    <w:rsid w:val="00821C71"/>
    <w:rsid w:val="00821C79"/>
    <w:rsid w:val="00821F29"/>
    <w:rsid w:val="00821F90"/>
    <w:rsid w:val="008220F6"/>
    <w:rsid w:val="0082224B"/>
    <w:rsid w:val="00822262"/>
    <w:rsid w:val="00822466"/>
    <w:rsid w:val="008225A3"/>
    <w:rsid w:val="008225A9"/>
    <w:rsid w:val="0082263E"/>
    <w:rsid w:val="00822665"/>
    <w:rsid w:val="00822739"/>
    <w:rsid w:val="0082274D"/>
    <w:rsid w:val="008227BF"/>
    <w:rsid w:val="0082280F"/>
    <w:rsid w:val="008228E0"/>
    <w:rsid w:val="00822972"/>
    <w:rsid w:val="00822A87"/>
    <w:rsid w:val="00822B0E"/>
    <w:rsid w:val="00822C6F"/>
    <w:rsid w:val="00822D6B"/>
    <w:rsid w:val="00822DC8"/>
    <w:rsid w:val="00822DC9"/>
    <w:rsid w:val="00822F18"/>
    <w:rsid w:val="00822FFE"/>
    <w:rsid w:val="0082307B"/>
    <w:rsid w:val="0082335B"/>
    <w:rsid w:val="00823449"/>
    <w:rsid w:val="0082363F"/>
    <w:rsid w:val="0082369A"/>
    <w:rsid w:val="008236D7"/>
    <w:rsid w:val="00823AD4"/>
    <w:rsid w:val="00823AF7"/>
    <w:rsid w:val="00823C08"/>
    <w:rsid w:val="00823E69"/>
    <w:rsid w:val="00823F9F"/>
    <w:rsid w:val="00823FAD"/>
    <w:rsid w:val="00823FB8"/>
    <w:rsid w:val="00824490"/>
    <w:rsid w:val="008244E4"/>
    <w:rsid w:val="008244FA"/>
    <w:rsid w:val="0082451B"/>
    <w:rsid w:val="0082458E"/>
    <w:rsid w:val="00824801"/>
    <w:rsid w:val="00824A17"/>
    <w:rsid w:val="00824B59"/>
    <w:rsid w:val="00824BC4"/>
    <w:rsid w:val="00824BC7"/>
    <w:rsid w:val="00824C10"/>
    <w:rsid w:val="00824C5C"/>
    <w:rsid w:val="00824D60"/>
    <w:rsid w:val="00824DE7"/>
    <w:rsid w:val="00824DEE"/>
    <w:rsid w:val="00824E42"/>
    <w:rsid w:val="00824E87"/>
    <w:rsid w:val="00824FC2"/>
    <w:rsid w:val="008250A8"/>
    <w:rsid w:val="00825213"/>
    <w:rsid w:val="0082526C"/>
    <w:rsid w:val="00825284"/>
    <w:rsid w:val="008252C9"/>
    <w:rsid w:val="008254FF"/>
    <w:rsid w:val="008258A3"/>
    <w:rsid w:val="00825970"/>
    <w:rsid w:val="00825976"/>
    <w:rsid w:val="00825AF7"/>
    <w:rsid w:val="00825BE3"/>
    <w:rsid w:val="00825C6D"/>
    <w:rsid w:val="00825DEE"/>
    <w:rsid w:val="00825E5B"/>
    <w:rsid w:val="00825FD1"/>
    <w:rsid w:val="00826155"/>
    <w:rsid w:val="0082632C"/>
    <w:rsid w:val="00826678"/>
    <w:rsid w:val="008266D0"/>
    <w:rsid w:val="0082671E"/>
    <w:rsid w:val="008268BB"/>
    <w:rsid w:val="00826969"/>
    <w:rsid w:val="00826973"/>
    <w:rsid w:val="008269A7"/>
    <w:rsid w:val="00826A34"/>
    <w:rsid w:val="00826AA8"/>
    <w:rsid w:val="00826C39"/>
    <w:rsid w:val="00826C66"/>
    <w:rsid w:val="00826C92"/>
    <w:rsid w:val="00826DC7"/>
    <w:rsid w:val="00826DFD"/>
    <w:rsid w:val="00827066"/>
    <w:rsid w:val="008270C4"/>
    <w:rsid w:val="0082715B"/>
    <w:rsid w:val="00827195"/>
    <w:rsid w:val="0082744F"/>
    <w:rsid w:val="008274DD"/>
    <w:rsid w:val="00827514"/>
    <w:rsid w:val="00827580"/>
    <w:rsid w:val="008275C0"/>
    <w:rsid w:val="0082761A"/>
    <w:rsid w:val="00827669"/>
    <w:rsid w:val="00827694"/>
    <w:rsid w:val="00827787"/>
    <w:rsid w:val="0082778A"/>
    <w:rsid w:val="00827804"/>
    <w:rsid w:val="00827D33"/>
    <w:rsid w:val="00827D45"/>
    <w:rsid w:val="00827E4B"/>
    <w:rsid w:val="00827F04"/>
    <w:rsid w:val="00827F0F"/>
    <w:rsid w:val="008300A7"/>
    <w:rsid w:val="008300C8"/>
    <w:rsid w:val="0083019B"/>
    <w:rsid w:val="00830459"/>
    <w:rsid w:val="0083063D"/>
    <w:rsid w:val="008306EE"/>
    <w:rsid w:val="00830837"/>
    <w:rsid w:val="00830927"/>
    <w:rsid w:val="008309AA"/>
    <w:rsid w:val="00830BC2"/>
    <w:rsid w:val="00830C62"/>
    <w:rsid w:val="00830EAF"/>
    <w:rsid w:val="00830F40"/>
    <w:rsid w:val="00830FF6"/>
    <w:rsid w:val="008310AC"/>
    <w:rsid w:val="008310D6"/>
    <w:rsid w:val="008311B8"/>
    <w:rsid w:val="008311FD"/>
    <w:rsid w:val="00831457"/>
    <w:rsid w:val="008314EB"/>
    <w:rsid w:val="008315DA"/>
    <w:rsid w:val="008315FD"/>
    <w:rsid w:val="0083171C"/>
    <w:rsid w:val="008317A8"/>
    <w:rsid w:val="00831957"/>
    <w:rsid w:val="00831999"/>
    <w:rsid w:val="00831A21"/>
    <w:rsid w:val="00831A70"/>
    <w:rsid w:val="00831B9D"/>
    <w:rsid w:val="00831BB7"/>
    <w:rsid w:val="00831C1C"/>
    <w:rsid w:val="00831D8C"/>
    <w:rsid w:val="008320CA"/>
    <w:rsid w:val="0083218C"/>
    <w:rsid w:val="00832326"/>
    <w:rsid w:val="00832344"/>
    <w:rsid w:val="0083235B"/>
    <w:rsid w:val="00832475"/>
    <w:rsid w:val="008326B7"/>
    <w:rsid w:val="008326DB"/>
    <w:rsid w:val="008326FC"/>
    <w:rsid w:val="008327DB"/>
    <w:rsid w:val="00832A4B"/>
    <w:rsid w:val="00832B42"/>
    <w:rsid w:val="00832B6B"/>
    <w:rsid w:val="00832BDD"/>
    <w:rsid w:val="00832D84"/>
    <w:rsid w:val="00832EB3"/>
    <w:rsid w:val="00833093"/>
    <w:rsid w:val="00833156"/>
    <w:rsid w:val="00833190"/>
    <w:rsid w:val="008332A6"/>
    <w:rsid w:val="008332AB"/>
    <w:rsid w:val="008334C5"/>
    <w:rsid w:val="008334FD"/>
    <w:rsid w:val="0083355E"/>
    <w:rsid w:val="0083361C"/>
    <w:rsid w:val="00833663"/>
    <w:rsid w:val="0083372C"/>
    <w:rsid w:val="008337C3"/>
    <w:rsid w:val="008337CE"/>
    <w:rsid w:val="008339AF"/>
    <w:rsid w:val="00833A5E"/>
    <w:rsid w:val="00833AED"/>
    <w:rsid w:val="00833C9D"/>
    <w:rsid w:val="00833ED1"/>
    <w:rsid w:val="00833F61"/>
    <w:rsid w:val="00833F89"/>
    <w:rsid w:val="00833FF0"/>
    <w:rsid w:val="00834243"/>
    <w:rsid w:val="00834294"/>
    <w:rsid w:val="008343C9"/>
    <w:rsid w:val="0083440D"/>
    <w:rsid w:val="00834418"/>
    <w:rsid w:val="00834503"/>
    <w:rsid w:val="008345B6"/>
    <w:rsid w:val="00834696"/>
    <w:rsid w:val="00834796"/>
    <w:rsid w:val="0083489E"/>
    <w:rsid w:val="008349CA"/>
    <w:rsid w:val="00834B13"/>
    <w:rsid w:val="00834C4A"/>
    <w:rsid w:val="00834CBE"/>
    <w:rsid w:val="00834DEB"/>
    <w:rsid w:val="00834E6D"/>
    <w:rsid w:val="00834FAB"/>
    <w:rsid w:val="00835119"/>
    <w:rsid w:val="008353B8"/>
    <w:rsid w:val="00835493"/>
    <w:rsid w:val="0083549F"/>
    <w:rsid w:val="008355A8"/>
    <w:rsid w:val="00835655"/>
    <w:rsid w:val="008356F4"/>
    <w:rsid w:val="0083572D"/>
    <w:rsid w:val="0083578C"/>
    <w:rsid w:val="00835814"/>
    <w:rsid w:val="008358B4"/>
    <w:rsid w:val="008359AA"/>
    <w:rsid w:val="008359F5"/>
    <w:rsid w:val="00835A6D"/>
    <w:rsid w:val="00835AEB"/>
    <w:rsid w:val="00835B38"/>
    <w:rsid w:val="00835C20"/>
    <w:rsid w:val="00835CA1"/>
    <w:rsid w:val="00835D2C"/>
    <w:rsid w:val="00835D3C"/>
    <w:rsid w:val="00835DE6"/>
    <w:rsid w:val="00835DE9"/>
    <w:rsid w:val="00835E1C"/>
    <w:rsid w:val="00835E28"/>
    <w:rsid w:val="00835FAF"/>
    <w:rsid w:val="0083605D"/>
    <w:rsid w:val="008360CA"/>
    <w:rsid w:val="00836106"/>
    <w:rsid w:val="00836129"/>
    <w:rsid w:val="00836374"/>
    <w:rsid w:val="008363BC"/>
    <w:rsid w:val="00836504"/>
    <w:rsid w:val="00836534"/>
    <w:rsid w:val="00836585"/>
    <w:rsid w:val="0083661E"/>
    <w:rsid w:val="0083663B"/>
    <w:rsid w:val="00836749"/>
    <w:rsid w:val="00836838"/>
    <w:rsid w:val="00836843"/>
    <w:rsid w:val="00836962"/>
    <w:rsid w:val="008369A2"/>
    <w:rsid w:val="00836A9F"/>
    <w:rsid w:val="00836ACF"/>
    <w:rsid w:val="00836AD5"/>
    <w:rsid w:val="00836B13"/>
    <w:rsid w:val="00836BCB"/>
    <w:rsid w:val="00836CA9"/>
    <w:rsid w:val="00836F5B"/>
    <w:rsid w:val="00836F6A"/>
    <w:rsid w:val="00836F80"/>
    <w:rsid w:val="00837065"/>
    <w:rsid w:val="008370EB"/>
    <w:rsid w:val="0083710D"/>
    <w:rsid w:val="00837169"/>
    <w:rsid w:val="008371E0"/>
    <w:rsid w:val="00837281"/>
    <w:rsid w:val="00837329"/>
    <w:rsid w:val="00837398"/>
    <w:rsid w:val="0083739A"/>
    <w:rsid w:val="008374C4"/>
    <w:rsid w:val="008374D3"/>
    <w:rsid w:val="0083762A"/>
    <w:rsid w:val="00837691"/>
    <w:rsid w:val="00837772"/>
    <w:rsid w:val="008377F6"/>
    <w:rsid w:val="00837856"/>
    <w:rsid w:val="00837AF0"/>
    <w:rsid w:val="00837C9C"/>
    <w:rsid w:val="00837DA3"/>
    <w:rsid w:val="0084001C"/>
    <w:rsid w:val="00840189"/>
    <w:rsid w:val="00840337"/>
    <w:rsid w:val="00840370"/>
    <w:rsid w:val="0084037D"/>
    <w:rsid w:val="008403B1"/>
    <w:rsid w:val="00840603"/>
    <w:rsid w:val="00840722"/>
    <w:rsid w:val="00840802"/>
    <w:rsid w:val="00840A39"/>
    <w:rsid w:val="00840ABC"/>
    <w:rsid w:val="00840BFE"/>
    <w:rsid w:val="00840CAF"/>
    <w:rsid w:val="00840D1F"/>
    <w:rsid w:val="00840D99"/>
    <w:rsid w:val="00840E30"/>
    <w:rsid w:val="00840E56"/>
    <w:rsid w:val="00840E7C"/>
    <w:rsid w:val="00840EA8"/>
    <w:rsid w:val="0084104E"/>
    <w:rsid w:val="008410F3"/>
    <w:rsid w:val="0084110E"/>
    <w:rsid w:val="00841172"/>
    <w:rsid w:val="008412CD"/>
    <w:rsid w:val="00841624"/>
    <w:rsid w:val="00841671"/>
    <w:rsid w:val="00841695"/>
    <w:rsid w:val="008417B9"/>
    <w:rsid w:val="008418D4"/>
    <w:rsid w:val="00841C7F"/>
    <w:rsid w:val="00841F12"/>
    <w:rsid w:val="00841F5C"/>
    <w:rsid w:val="00842129"/>
    <w:rsid w:val="0084216C"/>
    <w:rsid w:val="0084221C"/>
    <w:rsid w:val="00842271"/>
    <w:rsid w:val="00842302"/>
    <w:rsid w:val="0084235D"/>
    <w:rsid w:val="008423E6"/>
    <w:rsid w:val="00842454"/>
    <w:rsid w:val="0084255D"/>
    <w:rsid w:val="008425B2"/>
    <w:rsid w:val="00842610"/>
    <w:rsid w:val="0084261F"/>
    <w:rsid w:val="00842628"/>
    <w:rsid w:val="008426B4"/>
    <w:rsid w:val="00842763"/>
    <w:rsid w:val="008428F5"/>
    <w:rsid w:val="008429B9"/>
    <w:rsid w:val="00842A18"/>
    <w:rsid w:val="00842A57"/>
    <w:rsid w:val="00842D35"/>
    <w:rsid w:val="00842D38"/>
    <w:rsid w:val="00842D5F"/>
    <w:rsid w:val="00842E8B"/>
    <w:rsid w:val="00842F8C"/>
    <w:rsid w:val="008430C8"/>
    <w:rsid w:val="0084311C"/>
    <w:rsid w:val="00843202"/>
    <w:rsid w:val="00843225"/>
    <w:rsid w:val="00843269"/>
    <w:rsid w:val="0084327F"/>
    <w:rsid w:val="008432F5"/>
    <w:rsid w:val="00843426"/>
    <w:rsid w:val="00843473"/>
    <w:rsid w:val="008434E7"/>
    <w:rsid w:val="008434F2"/>
    <w:rsid w:val="008435A8"/>
    <w:rsid w:val="008435E5"/>
    <w:rsid w:val="00843666"/>
    <w:rsid w:val="0084368F"/>
    <w:rsid w:val="00843788"/>
    <w:rsid w:val="0084393E"/>
    <w:rsid w:val="00843A1F"/>
    <w:rsid w:val="00843A91"/>
    <w:rsid w:val="00843D14"/>
    <w:rsid w:val="00843F8C"/>
    <w:rsid w:val="00844036"/>
    <w:rsid w:val="00844045"/>
    <w:rsid w:val="00844070"/>
    <w:rsid w:val="008440CC"/>
    <w:rsid w:val="008440CE"/>
    <w:rsid w:val="0084421C"/>
    <w:rsid w:val="0084431C"/>
    <w:rsid w:val="00844467"/>
    <w:rsid w:val="008444F1"/>
    <w:rsid w:val="0084456C"/>
    <w:rsid w:val="008445F9"/>
    <w:rsid w:val="0084475E"/>
    <w:rsid w:val="008448D2"/>
    <w:rsid w:val="0084494B"/>
    <w:rsid w:val="00844985"/>
    <w:rsid w:val="00844BC0"/>
    <w:rsid w:val="00844D1F"/>
    <w:rsid w:val="00844E5D"/>
    <w:rsid w:val="00844ED4"/>
    <w:rsid w:val="00844F5E"/>
    <w:rsid w:val="00844F78"/>
    <w:rsid w:val="00844F9B"/>
    <w:rsid w:val="0084508B"/>
    <w:rsid w:val="008451C8"/>
    <w:rsid w:val="00845282"/>
    <w:rsid w:val="008452E4"/>
    <w:rsid w:val="008452EB"/>
    <w:rsid w:val="00845466"/>
    <w:rsid w:val="00845603"/>
    <w:rsid w:val="00845616"/>
    <w:rsid w:val="0084565A"/>
    <w:rsid w:val="00845780"/>
    <w:rsid w:val="00845992"/>
    <w:rsid w:val="00845A70"/>
    <w:rsid w:val="00845CF0"/>
    <w:rsid w:val="00845FA1"/>
    <w:rsid w:val="00845FDF"/>
    <w:rsid w:val="00846037"/>
    <w:rsid w:val="00846152"/>
    <w:rsid w:val="008461B6"/>
    <w:rsid w:val="0084627D"/>
    <w:rsid w:val="00846285"/>
    <w:rsid w:val="0084631D"/>
    <w:rsid w:val="00846369"/>
    <w:rsid w:val="008463C9"/>
    <w:rsid w:val="00846495"/>
    <w:rsid w:val="00846635"/>
    <w:rsid w:val="00846727"/>
    <w:rsid w:val="008467DB"/>
    <w:rsid w:val="0084683B"/>
    <w:rsid w:val="0084689D"/>
    <w:rsid w:val="00846925"/>
    <w:rsid w:val="008469C7"/>
    <w:rsid w:val="008469F1"/>
    <w:rsid w:val="00846BCF"/>
    <w:rsid w:val="00846D12"/>
    <w:rsid w:val="00846D55"/>
    <w:rsid w:val="00846F3F"/>
    <w:rsid w:val="00846F8D"/>
    <w:rsid w:val="0084719C"/>
    <w:rsid w:val="00847234"/>
    <w:rsid w:val="00847237"/>
    <w:rsid w:val="008472CF"/>
    <w:rsid w:val="008472D5"/>
    <w:rsid w:val="008472F7"/>
    <w:rsid w:val="008473B8"/>
    <w:rsid w:val="0084740B"/>
    <w:rsid w:val="0084750A"/>
    <w:rsid w:val="0084759C"/>
    <w:rsid w:val="0084762A"/>
    <w:rsid w:val="0084763A"/>
    <w:rsid w:val="0084777C"/>
    <w:rsid w:val="0084789B"/>
    <w:rsid w:val="008479EC"/>
    <w:rsid w:val="00847A0E"/>
    <w:rsid w:val="00847B29"/>
    <w:rsid w:val="00847B2C"/>
    <w:rsid w:val="00847DA0"/>
    <w:rsid w:val="00847DB0"/>
    <w:rsid w:val="00847E78"/>
    <w:rsid w:val="00850107"/>
    <w:rsid w:val="00850186"/>
    <w:rsid w:val="00850208"/>
    <w:rsid w:val="008503B9"/>
    <w:rsid w:val="008503D6"/>
    <w:rsid w:val="00850574"/>
    <w:rsid w:val="00850614"/>
    <w:rsid w:val="00850655"/>
    <w:rsid w:val="0085065A"/>
    <w:rsid w:val="00850681"/>
    <w:rsid w:val="008506B8"/>
    <w:rsid w:val="008506BC"/>
    <w:rsid w:val="008506FF"/>
    <w:rsid w:val="0085074C"/>
    <w:rsid w:val="00850998"/>
    <w:rsid w:val="0085099A"/>
    <w:rsid w:val="008509E1"/>
    <w:rsid w:val="00850B63"/>
    <w:rsid w:val="00850C46"/>
    <w:rsid w:val="00850C51"/>
    <w:rsid w:val="00850C77"/>
    <w:rsid w:val="00850C8D"/>
    <w:rsid w:val="00850CE8"/>
    <w:rsid w:val="00850D99"/>
    <w:rsid w:val="00850DE1"/>
    <w:rsid w:val="00850FC8"/>
    <w:rsid w:val="00851126"/>
    <w:rsid w:val="00851152"/>
    <w:rsid w:val="0085118C"/>
    <w:rsid w:val="008511FC"/>
    <w:rsid w:val="0085123C"/>
    <w:rsid w:val="00851626"/>
    <w:rsid w:val="008516E4"/>
    <w:rsid w:val="00851827"/>
    <w:rsid w:val="0085188F"/>
    <w:rsid w:val="008518C0"/>
    <w:rsid w:val="00851A6B"/>
    <w:rsid w:val="00851B33"/>
    <w:rsid w:val="00851D7C"/>
    <w:rsid w:val="00851DFB"/>
    <w:rsid w:val="00851E7A"/>
    <w:rsid w:val="008520D0"/>
    <w:rsid w:val="0085216B"/>
    <w:rsid w:val="008522CB"/>
    <w:rsid w:val="008522FD"/>
    <w:rsid w:val="00852441"/>
    <w:rsid w:val="0085245F"/>
    <w:rsid w:val="00852531"/>
    <w:rsid w:val="00852574"/>
    <w:rsid w:val="008525B4"/>
    <w:rsid w:val="008525DB"/>
    <w:rsid w:val="0085266A"/>
    <w:rsid w:val="00852AF4"/>
    <w:rsid w:val="00852C2D"/>
    <w:rsid w:val="00852CC1"/>
    <w:rsid w:val="00852D86"/>
    <w:rsid w:val="00852ECF"/>
    <w:rsid w:val="00852F72"/>
    <w:rsid w:val="00852F78"/>
    <w:rsid w:val="00852F8C"/>
    <w:rsid w:val="00852FCB"/>
    <w:rsid w:val="00852FE1"/>
    <w:rsid w:val="0085319D"/>
    <w:rsid w:val="008531CC"/>
    <w:rsid w:val="0085321E"/>
    <w:rsid w:val="00853292"/>
    <w:rsid w:val="008532B7"/>
    <w:rsid w:val="0085354D"/>
    <w:rsid w:val="00853568"/>
    <w:rsid w:val="008535A5"/>
    <w:rsid w:val="0085368E"/>
    <w:rsid w:val="00853894"/>
    <w:rsid w:val="0085399F"/>
    <w:rsid w:val="00853DC4"/>
    <w:rsid w:val="00853DD6"/>
    <w:rsid w:val="00853DF1"/>
    <w:rsid w:val="00853FC8"/>
    <w:rsid w:val="00853FCD"/>
    <w:rsid w:val="00854023"/>
    <w:rsid w:val="0085418B"/>
    <w:rsid w:val="0085434B"/>
    <w:rsid w:val="00854506"/>
    <w:rsid w:val="008545F2"/>
    <w:rsid w:val="008547EF"/>
    <w:rsid w:val="00854A04"/>
    <w:rsid w:val="00854A98"/>
    <w:rsid w:val="00854AB2"/>
    <w:rsid w:val="00854AE5"/>
    <w:rsid w:val="00854B8F"/>
    <w:rsid w:val="00854C09"/>
    <w:rsid w:val="00854C6C"/>
    <w:rsid w:val="00854CB9"/>
    <w:rsid w:val="00854E1E"/>
    <w:rsid w:val="0085502A"/>
    <w:rsid w:val="0085507F"/>
    <w:rsid w:val="00855191"/>
    <w:rsid w:val="008551E2"/>
    <w:rsid w:val="00855201"/>
    <w:rsid w:val="00855449"/>
    <w:rsid w:val="00855455"/>
    <w:rsid w:val="008555E5"/>
    <w:rsid w:val="0085575C"/>
    <w:rsid w:val="008557C3"/>
    <w:rsid w:val="00855859"/>
    <w:rsid w:val="0085590E"/>
    <w:rsid w:val="0085597C"/>
    <w:rsid w:val="008559B5"/>
    <w:rsid w:val="008559CE"/>
    <w:rsid w:val="008559E1"/>
    <w:rsid w:val="00855AAD"/>
    <w:rsid w:val="00855C29"/>
    <w:rsid w:val="00855C53"/>
    <w:rsid w:val="00855D42"/>
    <w:rsid w:val="00855D4D"/>
    <w:rsid w:val="00855DE1"/>
    <w:rsid w:val="00855E8A"/>
    <w:rsid w:val="00855EA2"/>
    <w:rsid w:val="008560A5"/>
    <w:rsid w:val="00856261"/>
    <w:rsid w:val="00856270"/>
    <w:rsid w:val="0085641F"/>
    <w:rsid w:val="00856432"/>
    <w:rsid w:val="008565D1"/>
    <w:rsid w:val="0085668F"/>
    <w:rsid w:val="00856787"/>
    <w:rsid w:val="008568CC"/>
    <w:rsid w:val="0085697F"/>
    <w:rsid w:val="00856AE1"/>
    <w:rsid w:val="00856B69"/>
    <w:rsid w:val="00856D12"/>
    <w:rsid w:val="00856DAC"/>
    <w:rsid w:val="00856EC6"/>
    <w:rsid w:val="00856F3C"/>
    <w:rsid w:val="00856FC7"/>
    <w:rsid w:val="00857377"/>
    <w:rsid w:val="00857778"/>
    <w:rsid w:val="008578CD"/>
    <w:rsid w:val="008578CE"/>
    <w:rsid w:val="00857969"/>
    <w:rsid w:val="008579C2"/>
    <w:rsid w:val="00857A1E"/>
    <w:rsid w:val="00857B24"/>
    <w:rsid w:val="00857E69"/>
    <w:rsid w:val="00857EB5"/>
    <w:rsid w:val="00857FF9"/>
    <w:rsid w:val="008600C7"/>
    <w:rsid w:val="008600E8"/>
    <w:rsid w:val="00860153"/>
    <w:rsid w:val="0086019E"/>
    <w:rsid w:val="008603AA"/>
    <w:rsid w:val="008603F0"/>
    <w:rsid w:val="008604E6"/>
    <w:rsid w:val="00860658"/>
    <w:rsid w:val="00860751"/>
    <w:rsid w:val="0086079C"/>
    <w:rsid w:val="00860833"/>
    <w:rsid w:val="00860848"/>
    <w:rsid w:val="00860894"/>
    <w:rsid w:val="008608E4"/>
    <w:rsid w:val="00860964"/>
    <w:rsid w:val="00860A25"/>
    <w:rsid w:val="00860B42"/>
    <w:rsid w:val="00860B58"/>
    <w:rsid w:val="00860B7C"/>
    <w:rsid w:val="00860CCD"/>
    <w:rsid w:val="00860D83"/>
    <w:rsid w:val="00860FBE"/>
    <w:rsid w:val="00861038"/>
    <w:rsid w:val="008612E7"/>
    <w:rsid w:val="00861482"/>
    <w:rsid w:val="0086154D"/>
    <w:rsid w:val="008615BA"/>
    <w:rsid w:val="00861674"/>
    <w:rsid w:val="008616E6"/>
    <w:rsid w:val="00861771"/>
    <w:rsid w:val="008617B5"/>
    <w:rsid w:val="008618C9"/>
    <w:rsid w:val="00861A1C"/>
    <w:rsid w:val="00861B8F"/>
    <w:rsid w:val="00861BA8"/>
    <w:rsid w:val="0086204B"/>
    <w:rsid w:val="00862053"/>
    <w:rsid w:val="00862286"/>
    <w:rsid w:val="00862445"/>
    <w:rsid w:val="008625ED"/>
    <w:rsid w:val="0086264A"/>
    <w:rsid w:val="0086267E"/>
    <w:rsid w:val="00862707"/>
    <w:rsid w:val="00862720"/>
    <w:rsid w:val="0086280D"/>
    <w:rsid w:val="008629F6"/>
    <w:rsid w:val="00862AB9"/>
    <w:rsid w:val="00862AC2"/>
    <w:rsid w:val="00862AE3"/>
    <w:rsid w:val="00862B45"/>
    <w:rsid w:val="00862BC3"/>
    <w:rsid w:val="00862BEB"/>
    <w:rsid w:val="00862C46"/>
    <w:rsid w:val="00862C87"/>
    <w:rsid w:val="00862CE8"/>
    <w:rsid w:val="00862CF0"/>
    <w:rsid w:val="00862D31"/>
    <w:rsid w:val="00862D56"/>
    <w:rsid w:val="00862DE9"/>
    <w:rsid w:val="00862E1C"/>
    <w:rsid w:val="00862F91"/>
    <w:rsid w:val="00863059"/>
    <w:rsid w:val="00863243"/>
    <w:rsid w:val="0086328C"/>
    <w:rsid w:val="008632AC"/>
    <w:rsid w:val="0086338B"/>
    <w:rsid w:val="0086354F"/>
    <w:rsid w:val="008635F6"/>
    <w:rsid w:val="008636C9"/>
    <w:rsid w:val="00863815"/>
    <w:rsid w:val="00863924"/>
    <w:rsid w:val="0086395B"/>
    <w:rsid w:val="00863B3C"/>
    <w:rsid w:val="00863C21"/>
    <w:rsid w:val="00863CAD"/>
    <w:rsid w:val="00863D3A"/>
    <w:rsid w:val="00863D94"/>
    <w:rsid w:val="00863EBA"/>
    <w:rsid w:val="00863F8E"/>
    <w:rsid w:val="00864142"/>
    <w:rsid w:val="008641EE"/>
    <w:rsid w:val="00864303"/>
    <w:rsid w:val="00864497"/>
    <w:rsid w:val="008644BF"/>
    <w:rsid w:val="008645D2"/>
    <w:rsid w:val="008645F0"/>
    <w:rsid w:val="008646E0"/>
    <w:rsid w:val="00864776"/>
    <w:rsid w:val="008648A3"/>
    <w:rsid w:val="008648E3"/>
    <w:rsid w:val="00864947"/>
    <w:rsid w:val="008649A4"/>
    <w:rsid w:val="00864B91"/>
    <w:rsid w:val="00864BD5"/>
    <w:rsid w:val="00864C5E"/>
    <w:rsid w:val="00864CCC"/>
    <w:rsid w:val="00864D61"/>
    <w:rsid w:val="00864E63"/>
    <w:rsid w:val="00864EA9"/>
    <w:rsid w:val="00864F10"/>
    <w:rsid w:val="00864FF8"/>
    <w:rsid w:val="00865053"/>
    <w:rsid w:val="00865180"/>
    <w:rsid w:val="008655BC"/>
    <w:rsid w:val="00865602"/>
    <w:rsid w:val="00865693"/>
    <w:rsid w:val="0086575B"/>
    <w:rsid w:val="00865904"/>
    <w:rsid w:val="00865A15"/>
    <w:rsid w:val="00865A37"/>
    <w:rsid w:val="00865AF7"/>
    <w:rsid w:val="00865C66"/>
    <w:rsid w:val="00865FE8"/>
    <w:rsid w:val="0086606A"/>
    <w:rsid w:val="008661FF"/>
    <w:rsid w:val="00866256"/>
    <w:rsid w:val="008663EA"/>
    <w:rsid w:val="00866511"/>
    <w:rsid w:val="00866560"/>
    <w:rsid w:val="00866654"/>
    <w:rsid w:val="0086677A"/>
    <w:rsid w:val="00866867"/>
    <w:rsid w:val="0086692E"/>
    <w:rsid w:val="00866ACB"/>
    <w:rsid w:val="00866AEC"/>
    <w:rsid w:val="00866AF7"/>
    <w:rsid w:val="00866B88"/>
    <w:rsid w:val="00866E0C"/>
    <w:rsid w:val="00866E58"/>
    <w:rsid w:val="00866E8B"/>
    <w:rsid w:val="00866F12"/>
    <w:rsid w:val="00867266"/>
    <w:rsid w:val="008672FB"/>
    <w:rsid w:val="00867309"/>
    <w:rsid w:val="0086735B"/>
    <w:rsid w:val="0086746A"/>
    <w:rsid w:val="00867522"/>
    <w:rsid w:val="008675CA"/>
    <w:rsid w:val="00867692"/>
    <w:rsid w:val="00867756"/>
    <w:rsid w:val="00867799"/>
    <w:rsid w:val="008677D8"/>
    <w:rsid w:val="0086785A"/>
    <w:rsid w:val="008679A0"/>
    <w:rsid w:val="00867A0A"/>
    <w:rsid w:val="00867A71"/>
    <w:rsid w:val="00867AF8"/>
    <w:rsid w:val="00867B53"/>
    <w:rsid w:val="00867B5C"/>
    <w:rsid w:val="00867C03"/>
    <w:rsid w:val="00867D46"/>
    <w:rsid w:val="00867EC8"/>
    <w:rsid w:val="0087006B"/>
    <w:rsid w:val="00870201"/>
    <w:rsid w:val="0087023F"/>
    <w:rsid w:val="008703CB"/>
    <w:rsid w:val="00870727"/>
    <w:rsid w:val="008707F7"/>
    <w:rsid w:val="00870854"/>
    <w:rsid w:val="00870909"/>
    <w:rsid w:val="00870A6D"/>
    <w:rsid w:val="00870AE7"/>
    <w:rsid w:val="00870B0F"/>
    <w:rsid w:val="00870DC5"/>
    <w:rsid w:val="0087130D"/>
    <w:rsid w:val="00871323"/>
    <w:rsid w:val="008714C7"/>
    <w:rsid w:val="00871612"/>
    <w:rsid w:val="00871618"/>
    <w:rsid w:val="008716A0"/>
    <w:rsid w:val="00871727"/>
    <w:rsid w:val="00871886"/>
    <w:rsid w:val="0087189C"/>
    <w:rsid w:val="00871993"/>
    <w:rsid w:val="008719DA"/>
    <w:rsid w:val="008719EF"/>
    <w:rsid w:val="00871A5C"/>
    <w:rsid w:val="00871A8F"/>
    <w:rsid w:val="00871B00"/>
    <w:rsid w:val="00871BB4"/>
    <w:rsid w:val="00871C58"/>
    <w:rsid w:val="00871D58"/>
    <w:rsid w:val="00871E07"/>
    <w:rsid w:val="00871FDE"/>
    <w:rsid w:val="00871FED"/>
    <w:rsid w:val="0087210D"/>
    <w:rsid w:val="008721A2"/>
    <w:rsid w:val="00872257"/>
    <w:rsid w:val="008722C6"/>
    <w:rsid w:val="008723F5"/>
    <w:rsid w:val="00872479"/>
    <w:rsid w:val="008724BD"/>
    <w:rsid w:val="008724CA"/>
    <w:rsid w:val="00872588"/>
    <w:rsid w:val="008725D2"/>
    <w:rsid w:val="00872625"/>
    <w:rsid w:val="008726DC"/>
    <w:rsid w:val="0087276B"/>
    <w:rsid w:val="008727EB"/>
    <w:rsid w:val="008728F9"/>
    <w:rsid w:val="00872A20"/>
    <w:rsid w:val="00872A71"/>
    <w:rsid w:val="00872A76"/>
    <w:rsid w:val="00872BAB"/>
    <w:rsid w:val="00872CEF"/>
    <w:rsid w:val="00872D33"/>
    <w:rsid w:val="00872D9C"/>
    <w:rsid w:val="00872DA8"/>
    <w:rsid w:val="00872DE4"/>
    <w:rsid w:val="00872EC9"/>
    <w:rsid w:val="00872EE6"/>
    <w:rsid w:val="00872F7F"/>
    <w:rsid w:val="0087312E"/>
    <w:rsid w:val="0087312F"/>
    <w:rsid w:val="00873539"/>
    <w:rsid w:val="0087377B"/>
    <w:rsid w:val="0087396B"/>
    <w:rsid w:val="008739C6"/>
    <w:rsid w:val="00873A0B"/>
    <w:rsid w:val="00873A0D"/>
    <w:rsid w:val="00873AA4"/>
    <w:rsid w:val="00873B9C"/>
    <w:rsid w:val="00873C2A"/>
    <w:rsid w:val="00873DB5"/>
    <w:rsid w:val="00873E43"/>
    <w:rsid w:val="00873E93"/>
    <w:rsid w:val="00873ECD"/>
    <w:rsid w:val="00873F86"/>
    <w:rsid w:val="00874036"/>
    <w:rsid w:val="00874069"/>
    <w:rsid w:val="008740B7"/>
    <w:rsid w:val="008741DF"/>
    <w:rsid w:val="0087422B"/>
    <w:rsid w:val="0087426F"/>
    <w:rsid w:val="0087431E"/>
    <w:rsid w:val="008743E0"/>
    <w:rsid w:val="00874402"/>
    <w:rsid w:val="0087450F"/>
    <w:rsid w:val="00874538"/>
    <w:rsid w:val="0087460E"/>
    <w:rsid w:val="0087465F"/>
    <w:rsid w:val="00874665"/>
    <w:rsid w:val="00874667"/>
    <w:rsid w:val="008746E1"/>
    <w:rsid w:val="008746E2"/>
    <w:rsid w:val="00874701"/>
    <w:rsid w:val="0087477A"/>
    <w:rsid w:val="008747C2"/>
    <w:rsid w:val="008748EC"/>
    <w:rsid w:val="00874A22"/>
    <w:rsid w:val="00874C7E"/>
    <w:rsid w:val="00874D0D"/>
    <w:rsid w:val="00874F22"/>
    <w:rsid w:val="00874F30"/>
    <w:rsid w:val="008752B8"/>
    <w:rsid w:val="008753BA"/>
    <w:rsid w:val="008755A5"/>
    <w:rsid w:val="008755C6"/>
    <w:rsid w:val="0087562D"/>
    <w:rsid w:val="00875636"/>
    <w:rsid w:val="0087566A"/>
    <w:rsid w:val="00875787"/>
    <w:rsid w:val="008757C9"/>
    <w:rsid w:val="0087592B"/>
    <w:rsid w:val="00875951"/>
    <w:rsid w:val="00875A92"/>
    <w:rsid w:val="00875B37"/>
    <w:rsid w:val="00875C5D"/>
    <w:rsid w:val="00875C72"/>
    <w:rsid w:val="00875C83"/>
    <w:rsid w:val="00875CED"/>
    <w:rsid w:val="00875D4E"/>
    <w:rsid w:val="00875D8C"/>
    <w:rsid w:val="00875DA1"/>
    <w:rsid w:val="00875E76"/>
    <w:rsid w:val="00875EE3"/>
    <w:rsid w:val="00876068"/>
    <w:rsid w:val="00876210"/>
    <w:rsid w:val="0087623C"/>
    <w:rsid w:val="0087629E"/>
    <w:rsid w:val="008762BE"/>
    <w:rsid w:val="00876687"/>
    <w:rsid w:val="008766D5"/>
    <w:rsid w:val="00876790"/>
    <w:rsid w:val="00876825"/>
    <w:rsid w:val="00876985"/>
    <w:rsid w:val="00876EEF"/>
    <w:rsid w:val="00877172"/>
    <w:rsid w:val="0087718F"/>
    <w:rsid w:val="008771EF"/>
    <w:rsid w:val="00877231"/>
    <w:rsid w:val="00877275"/>
    <w:rsid w:val="008772A9"/>
    <w:rsid w:val="00877447"/>
    <w:rsid w:val="00877482"/>
    <w:rsid w:val="008775C7"/>
    <w:rsid w:val="00877803"/>
    <w:rsid w:val="0087786E"/>
    <w:rsid w:val="00877973"/>
    <w:rsid w:val="00877A93"/>
    <w:rsid w:val="00877C66"/>
    <w:rsid w:val="00877DC4"/>
    <w:rsid w:val="00877EA9"/>
    <w:rsid w:val="00877EB8"/>
    <w:rsid w:val="00877FAD"/>
    <w:rsid w:val="00880003"/>
    <w:rsid w:val="008800A1"/>
    <w:rsid w:val="008801A2"/>
    <w:rsid w:val="008802E8"/>
    <w:rsid w:val="008803F3"/>
    <w:rsid w:val="00880619"/>
    <w:rsid w:val="008806E4"/>
    <w:rsid w:val="00880965"/>
    <w:rsid w:val="00880973"/>
    <w:rsid w:val="008809E0"/>
    <w:rsid w:val="00880A70"/>
    <w:rsid w:val="00880B0C"/>
    <w:rsid w:val="00880BB3"/>
    <w:rsid w:val="00880C54"/>
    <w:rsid w:val="00880EAF"/>
    <w:rsid w:val="00880EEC"/>
    <w:rsid w:val="008810D0"/>
    <w:rsid w:val="00881178"/>
    <w:rsid w:val="00881439"/>
    <w:rsid w:val="008814CA"/>
    <w:rsid w:val="008815EB"/>
    <w:rsid w:val="00881791"/>
    <w:rsid w:val="00881806"/>
    <w:rsid w:val="0088185C"/>
    <w:rsid w:val="00881889"/>
    <w:rsid w:val="008818AE"/>
    <w:rsid w:val="00881907"/>
    <w:rsid w:val="00881945"/>
    <w:rsid w:val="00881ABB"/>
    <w:rsid w:val="00881BDA"/>
    <w:rsid w:val="00881CC6"/>
    <w:rsid w:val="00881D2A"/>
    <w:rsid w:val="00881DA6"/>
    <w:rsid w:val="00881DE5"/>
    <w:rsid w:val="00882238"/>
    <w:rsid w:val="0088226B"/>
    <w:rsid w:val="0088228D"/>
    <w:rsid w:val="00882445"/>
    <w:rsid w:val="00882487"/>
    <w:rsid w:val="008824B4"/>
    <w:rsid w:val="008825CF"/>
    <w:rsid w:val="008825EB"/>
    <w:rsid w:val="00882674"/>
    <w:rsid w:val="00882796"/>
    <w:rsid w:val="0088287B"/>
    <w:rsid w:val="0088290F"/>
    <w:rsid w:val="00882A17"/>
    <w:rsid w:val="00882B0C"/>
    <w:rsid w:val="00882CC4"/>
    <w:rsid w:val="00882DC2"/>
    <w:rsid w:val="00882DE6"/>
    <w:rsid w:val="00882E69"/>
    <w:rsid w:val="00882F20"/>
    <w:rsid w:val="00883400"/>
    <w:rsid w:val="00883410"/>
    <w:rsid w:val="00883452"/>
    <w:rsid w:val="008834E0"/>
    <w:rsid w:val="008835DF"/>
    <w:rsid w:val="008835E0"/>
    <w:rsid w:val="008835F6"/>
    <w:rsid w:val="0088388A"/>
    <w:rsid w:val="00883964"/>
    <w:rsid w:val="0088398B"/>
    <w:rsid w:val="0088399B"/>
    <w:rsid w:val="00883B32"/>
    <w:rsid w:val="00883B5F"/>
    <w:rsid w:val="00883B86"/>
    <w:rsid w:val="00883E77"/>
    <w:rsid w:val="00883F4D"/>
    <w:rsid w:val="00884046"/>
    <w:rsid w:val="0088406D"/>
    <w:rsid w:val="008840A1"/>
    <w:rsid w:val="008841AF"/>
    <w:rsid w:val="008841CC"/>
    <w:rsid w:val="00884250"/>
    <w:rsid w:val="008842A4"/>
    <w:rsid w:val="00884485"/>
    <w:rsid w:val="008844AC"/>
    <w:rsid w:val="00884538"/>
    <w:rsid w:val="00884552"/>
    <w:rsid w:val="008846F2"/>
    <w:rsid w:val="00884A6C"/>
    <w:rsid w:val="00884C77"/>
    <w:rsid w:val="00884DA4"/>
    <w:rsid w:val="00884DF8"/>
    <w:rsid w:val="00884E78"/>
    <w:rsid w:val="00884EEC"/>
    <w:rsid w:val="00884FAB"/>
    <w:rsid w:val="00885119"/>
    <w:rsid w:val="008851FC"/>
    <w:rsid w:val="0088529A"/>
    <w:rsid w:val="00885407"/>
    <w:rsid w:val="008854D1"/>
    <w:rsid w:val="008855D2"/>
    <w:rsid w:val="008856C4"/>
    <w:rsid w:val="0088574E"/>
    <w:rsid w:val="0088576E"/>
    <w:rsid w:val="00885791"/>
    <w:rsid w:val="00885880"/>
    <w:rsid w:val="008858C7"/>
    <w:rsid w:val="00885BDD"/>
    <w:rsid w:val="00885C98"/>
    <w:rsid w:val="00885DF8"/>
    <w:rsid w:val="00885E2D"/>
    <w:rsid w:val="00885E3F"/>
    <w:rsid w:val="00885F99"/>
    <w:rsid w:val="00885FB0"/>
    <w:rsid w:val="00885FF2"/>
    <w:rsid w:val="0088619D"/>
    <w:rsid w:val="008861A2"/>
    <w:rsid w:val="008861A5"/>
    <w:rsid w:val="0088622A"/>
    <w:rsid w:val="008862C9"/>
    <w:rsid w:val="008862D5"/>
    <w:rsid w:val="00886685"/>
    <w:rsid w:val="00886751"/>
    <w:rsid w:val="008867F1"/>
    <w:rsid w:val="00886834"/>
    <w:rsid w:val="0088691B"/>
    <w:rsid w:val="00886975"/>
    <w:rsid w:val="00886AAC"/>
    <w:rsid w:val="00886AE0"/>
    <w:rsid w:val="00886AEF"/>
    <w:rsid w:val="00886B0B"/>
    <w:rsid w:val="00886BDA"/>
    <w:rsid w:val="00886C86"/>
    <w:rsid w:val="00886D56"/>
    <w:rsid w:val="00886E8A"/>
    <w:rsid w:val="00886F32"/>
    <w:rsid w:val="00887165"/>
    <w:rsid w:val="0088721B"/>
    <w:rsid w:val="00887235"/>
    <w:rsid w:val="008872FC"/>
    <w:rsid w:val="00887345"/>
    <w:rsid w:val="008873F7"/>
    <w:rsid w:val="0088777C"/>
    <w:rsid w:val="00887883"/>
    <w:rsid w:val="00887A6A"/>
    <w:rsid w:val="00887D63"/>
    <w:rsid w:val="00887DF3"/>
    <w:rsid w:val="00887E4B"/>
    <w:rsid w:val="00887F42"/>
    <w:rsid w:val="00887F50"/>
    <w:rsid w:val="00890149"/>
    <w:rsid w:val="0089020A"/>
    <w:rsid w:val="008902DC"/>
    <w:rsid w:val="0089039C"/>
    <w:rsid w:val="008903F2"/>
    <w:rsid w:val="00890420"/>
    <w:rsid w:val="008906C4"/>
    <w:rsid w:val="0089077B"/>
    <w:rsid w:val="008907CF"/>
    <w:rsid w:val="00890868"/>
    <w:rsid w:val="00890A26"/>
    <w:rsid w:val="00890A43"/>
    <w:rsid w:val="00890B67"/>
    <w:rsid w:val="00890BF7"/>
    <w:rsid w:val="00890D82"/>
    <w:rsid w:val="00890DB0"/>
    <w:rsid w:val="00890EB9"/>
    <w:rsid w:val="00890FA5"/>
    <w:rsid w:val="008912F4"/>
    <w:rsid w:val="008913BE"/>
    <w:rsid w:val="00891404"/>
    <w:rsid w:val="00891444"/>
    <w:rsid w:val="00891496"/>
    <w:rsid w:val="008914AC"/>
    <w:rsid w:val="008915E5"/>
    <w:rsid w:val="008916DB"/>
    <w:rsid w:val="00891773"/>
    <w:rsid w:val="008917DB"/>
    <w:rsid w:val="00891808"/>
    <w:rsid w:val="0089180F"/>
    <w:rsid w:val="00891822"/>
    <w:rsid w:val="00891969"/>
    <w:rsid w:val="008919FB"/>
    <w:rsid w:val="00891A05"/>
    <w:rsid w:val="00891AC3"/>
    <w:rsid w:val="00891BAF"/>
    <w:rsid w:val="00891BF6"/>
    <w:rsid w:val="00891C1A"/>
    <w:rsid w:val="00891CA6"/>
    <w:rsid w:val="00891DBD"/>
    <w:rsid w:val="00891EEB"/>
    <w:rsid w:val="00892157"/>
    <w:rsid w:val="00892229"/>
    <w:rsid w:val="0089271B"/>
    <w:rsid w:val="00892729"/>
    <w:rsid w:val="008928C1"/>
    <w:rsid w:val="00892905"/>
    <w:rsid w:val="00892A79"/>
    <w:rsid w:val="00892B2F"/>
    <w:rsid w:val="00892B7C"/>
    <w:rsid w:val="00892B98"/>
    <w:rsid w:val="00892BA9"/>
    <w:rsid w:val="00892DC1"/>
    <w:rsid w:val="00892DF2"/>
    <w:rsid w:val="00892ECD"/>
    <w:rsid w:val="00892FBF"/>
    <w:rsid w:val="00893088"/>
    <w:rsid w:val="008930B1"/>
    <w:rsid w:val="0089314B"/>
    <w:rsid w:val="00893198"/>
    <w:rsid w:val="008931E9"/>
    <w:rsid w:val="008931FE"/>
    <w:rsid w:val="00893391"/>
    <w:rsid w:val="008935A8"/>
    <w:rsid w:val="0089361F"/>
    <w:rsid w:val="00893725"/>
    <w:rsid w:val="00893747"/>
    <w:rsid w:val="008937D2"/>
    <w:rsid w:val="0089386D"/>
    <w:rsid w:val="008938DB"/>
    <w:rsid w:val="00893A84"/>
    <w:rsid w:val="00893AA1"/>
    <w:rsid w:val="00893BF0"/>
    <w:rsid w:val="00893C9C"/>
    <w:rsid w:val="00893E4A"/>
    <w:rsid w:val="00893ECF"/>
    <w:rsid w:val="00893F7C"/>
    <w:rsid w:val="00894014"/>
    <w:rsid w:val="0089416B"/>
    <w:rsid w:val="00894315"/>
    <w:rsid w:val="00894537"/>
    <w:rsid w:val="00894541"/>
    <w:rsid w:val="008946EF"/>
    <w:rsid w:val="00894709"/>
    <w:rsid w:val="00894982"/>
    <w:rsid w:val="00894A30"/>
    <w:rsid w:val="00894A4A"/>
    <w:rsid w:val="00894C54"/>
    <w:rsid w:val="00894E24"/>
    <w:rsid w:val="00894F17"/>
    <w:rsid w:val="0089508A"/>
    <w:rsid w:val="00895163"/>
    <w:rsid w:val="008951C9"/>
    <w:rsid w:val="00895290"/>
    <w:rsid w:val="00895380"/>
    <w:rsid w:val="0089540F"/>
    <w:rsid w:val="00895652"/>
    <w:rsid w:val="008957CC"/>
    <w:rsid w:val="008959B5"/>
    <w:rsid w:val="00895B64"/>
    <w:rsid w:val="00895B70"/>
    <w:rsid w:val="00895C2A"/>
    <w:rsid w:val="00895CDA"/>
    <w:rsid w:val="00895DE7"/>
    <w:rsid w:val="00895E29"/>
    <w:rsid w:val="008960DB"/>
    <w:rsid w:val="008960F9"/>
    <w:rsid w:val="0089641B"/>
    <w:rsid w:val="00896459"/>
    <w:rsid w:val="008964EF"/>
    <w:rsid w:val="00896610"/>
    <w:rsid w:val="00896621"/>
    <w:rsid w:val="0089663D"/>
    <w:rsid w:val="00896675"/>
    <w:rsid w:val="008967C1"/>
    <w:rsid w:val="00896856"/>
    <w:rsid w:val="008968A4"/>
    <w:rsid w:val="0089692F"/>
    <w:rsid w:val="00896C0B"/>
    <w:rsid w:val="00896C1F"/>
    <w:rsid w:val="00896C89"/>
    <w:rsid w:val="00896E43"/>
    <w:rsid w:val="00896E6B"/>
    <w:rsid w:val="00896E72"/>
    <w:rsid w:val="00896EC6"/>
    <w:rsid w:val="00896F22"/>
    <w:rsid w:val="00896F31"/>
    <w:rsid w:val="00896F6B"/>
    <w:rsid w:val="00896FA5"/>
    <w:rsid w:val="00896FF5"/>
    <w:rsid w:val="00896FF6"/>
    <w:rsid w:val="00897025"/>
    <w:rsid w:val="00897097"/>
    <w:rsid w:val="00897110"/>
    <w:rsid w:val="0089719F"/>
    <w:rsid w:val="0089720E"/>
    <w:rsid w:val="00897278"/>
    <w:rsid w:val="0089732B"/>
    <w:rsid w:val="008974A3"/>
    <w:rsid w:val="008975BA"/>
    <w:rsid w:val="00897904"/>
    <w:rsid w:val="0089795C"/>
    <w:rsid w:val="00897A8B"/>
    <w:rsid w:val="00897B11"/>
    <w:rsid w:val="00897B98"/>
    <w:rsid w:val="00897BC5"/>
    <w:rsid w:val="00897C17"/>
    <w:rsid w:val="00897CF0"/>
    <w:rsid w:val="00897CF8"/>
    <w:rsid w:val="00897E4A"/>
    <w:rsid w:val="00897F46"/>
    <w:rsid w:val="008A0056"/>
    <w:rsid w:val="008A01D2"/>
    <w:rsid w:val="008A05C2"/>
    <w:rsid w:val="008A05CA"/>
    <w:rsid w:val="008A06F5"/>
    <w:rsid w:val="008A0709"/>
    <w:rsid w:val="008A070F"/>
    <w:rsid w:val="008A0AD2"/>
    <w:rsid w:val="008A0B4E"/>
    <w:rsid w:val="008A0DE1"/>
    <w:rsid w:val="008A0E41"/>
    <w:rsid w:val="008A0E50"/>
    <w:rsid w:val="008A0EA1"/>
    <w:rsid w:val="008A1102"/>
    <w:rsid w:val="008A110E"/>
    <w:rsid w:val="008A11D3"/>
    <w:rsid w:val="008A11F6"/>
    <w:rsid w:val="008A1243"/>
    <w:rsid w:val="008A126B"/>
    <w:rsid w:val="008A12CF"/>
    <w:rsid w:val="008A14D0"/>
    <w:rsid w:val="008A14E1"/>
    <w:rsid w:val="008A1500"/>
    <w:rsid w:val="008A159B"/>
    <w:rsid w:val="008A1622"/>
    <w:rsid w:val="008A1651"/>
    <w:rsid w:val="008A16B5"/>
    <w:rsid w:val="008A16BC"/>
    <w:rsid w:val="008A1765"/>
    <w:rsid w:val="008A177B"/>
    <w:rsid w:val="008A17D2"/>
    <w:rsid w:val="008A1949"/>
    <w:rsid w:val="008A199F"/>
    <w:rsid w:val="008A1C9E"/>
    <w:rsid w:val="008A1CA6"/>
    <w:rsid w:val="008A1D0B"/>
    <w:rsid w:val="008A1EB3"/>
    <w:rsid w:val="008A2291"/>
    <w:rsid w:val="008A235E"/>
    <w:rsid w:val="008A23A5"/>
    <w:rsid w:val="008A23B7"/>
    <w:rsid w:val="008A2588"/>
    <w:rsid w:val="008A26C9"/>
    <w:rsid w:val="008A273F"/>
    <w:rsid w:val="008A2834"/>
    <w:rsid w:val="008A2AB5"/>
    <w:rsid w:val="008A2BA1"/>
    <w:rsid w:val="008A2C2E"/>
    <w:rsid w:val="008A2CF6"/>
    <w:rsid w:val="008A2DCB"/>
    <w:rsid w:val="008A2EB0"/>
    <w:rsid w:val="008A2F29"/>
    <w:rsid w:val="008A2F2F"/>
    <w:rsid w:val="008A2FEF"/>
    <w:rsid w:val="008A3205"/>
    <w:rsid w:val="008A3210"/>
    <w:rsid w:val="008A32A0"/>
    <w:rsid w:val="008A32FA"/>
    <w:rsid w:val="008A334C"/>
    <w:rsid w:val="008A344F"/>
    <w:rsid w:val="008A34C4"/>
    <w:rsid w:val="008A35E1"/>
    <w:rsid w:val="008A35EB"/>
    <w:rsid w:val="008A35F2"/>
    <w:rsid w:val="008A3697"/>
    <w:rsid w:val="008A3800"/>
    <w:rsid w:val="008A3878"/>
    <w:rsid w:val="008A3929"/>
    <w:rsid w:val="008A397D"/>
    <w:rsid w:val="008A3A53"/>
    <w:rsid w:val="008A3A87"/>
    <w:rsid w:val="008A3AEE"/>
    <w:rsid w:val="008A3BD7"/>
    <w:rsid w:val="008A3C63"/>
    <w:rsid w:val="008A3CBA"/>
    <w:rsid w:val="008A3D1F"/>
    <w:rsid w:val="008A3DB6"/>
    <w:rsid w:val="008A3DED"/>
    <w:rsid w:val="008A3E40"/>
    <w:rsid w:val="008A3E4F"/>
    <w:rsid w:val="008A3E89"/>
    <w:rsid w:val="008A3E97"/>
    <w:rsid w:val="008A3EE1"/>
    <w:rsid w:val="008A3EF1"/>
    <w:rsid w:val="008A3F5C"/>
    <w:rsid w:val="008A4102"/>
    <w:rsid w:val="008A427F"/>
    <w:rsid w:val="008A44CC"/>
    <w:rsid w:val="008A44D9"/>
    <w:rsid w:val="008A4533"/>
    <w:rsid w:val="008A4581"/>
    <w:rsid w:val="008A4655"/>
    <w:rsid w:val="008A4678"/>
    <w:rsid w:val="008A48B8"/>
    <w:rsid w:val="008A4956"/>
    <w:rsid w:val="008A49A6"/>
    <w:rsid w:val="008A49D0"/>
    <w:rsid w:val="008A4A97"/>
    <w:rsid w:val="008A4B0A"/>
    <w:rsid w:val="008A4B4A"/>
    <w:rsid w:val="008A4BE7"/>
    <w:rsid w:val="008A4D45"/>
    <w:rsid w:val="008A4D73"/>
    <w:rsid w:val="008A4DD1"/>
    <w:rsid w:val="008A4DEF"/>
    <w:rsid w:val="008A4ECD"/>
    <w:rsid w:val="008A4F17"/>
    <w:rsid w:val="008A529F"/>
    <w:rsid w:val="008A535D"/>
    <w:rsid w:val="008A54AE"/>
    <w:rsid w:val="008A54C9"/>
    <w:rsid w:val="008A55F9"/>
    <w:rsid w:val="008A5781"/>
    <w:rsid w:val="008A57B4"/>
    <w:rsid w:val="008A59A0"/>
    <w:rsid w:val="008A5B14"/>
    <w:rsid w:val="008A5BC5"/>
    <w:rsid w:val="008A5C56"/>
    <w:rsid w:val="008A5E6A"/>
    <w:rsid w:val="008A5EBB"/>
    <w:rsid w:val="008A5EC8"/>
    <w:rsid w:val="008A5ECD"/>
    <w:rsid w:val="008A5FFE"/>
    <w:rsid w:val="008A630C"/>
    <w:rsid w:val="008A633C"/>
    <w:rsid w:val="008A63AA"/>
    <w:rsid w:val="008A6741"/>
    <w:rsid w:val="008A67CF"/>
    <w:rsid w:val="008A6947"/>
    <w:rsid w:val="008A6B90"/>
    <w:rsid w:val="008A6BDC"/>
    <w:rsid w:val="008A6C56"/>
    <w:rsid w:val="008A6CCF"/>
    <w:rsid w:val="008A6D52"/>
    <w:rsid w:val="008A6E19"/>
    <w:rsid w:val="008A6E42"/>
    <w:rsid w:val="008A6F8F"/>
    <w:rsid w:val="008A6FE0"/>
    <w:rsid w:val="008A73BA"/>
    <w:rsid w:val="008A74FC"/>
    <w:rsid w:val="008A7648"/>
    <w:rsid w:val="008A76BB"/>
    <w:rsid w:val="008A793F"/>
    <w:rsid w:val="008A7ADB"/>
    <w:rsid w:val="008A7C7A"/>
    <w:rsid w:val="008A7C8D"/>
    <w:rsid w:val="008A7D17"/>
    <w:rsid w:val="008A7E96"/>
    <w:rsid w:val="008A7F03"/>
    <w:rsid w:val="008B004D"/>
    <w:rsid w:val="008B0185"/>
    <w:rsid w:val="008B0194"/>
    <w:rsid w:val="008B02BF"/>
    <w:rsid w:val="008B04BD"/>
    <w:rsid w:val="008B05A7"/>
    <w:rsid w:val="008B06EC"/>
    <w:rsid w:val="008B06F6"/>
    <w:rsid w:val="008B0843"/>
    <w:rsid w:val="008B08DA"/>
    <w:rsid w:val="008B0A61"/>
    <w:rsid w:val="008B0A81"/>
    <w:rsid w:val="008B0BED"/>
    <w:rsid w:val="008B0CA1"/>
    <w:rsid w:val="008B0DC1"/>
    <w:rsid w:val="008B0F19"/>
    <w:rsid w:val="008B0F45"/>
    <w:rsid w:val="008B0FB0"/>
    <w:rsid w:val="008B1063"/>
    <w:rsid w:val="008B1135"/>
    <w:rsid w:val="008B128C"/>
    <w:rsid w:val="008B12A4"/>
    <w:rsid w:val="008B14AE"/>
    <w:rsid w:val="008B1544"/>
    <w:rsid w:val="008B16F1"/>
    <w:rsid w:val="008B19CA"/>
    <w:rsid w:val="008B1A5A"/>
    <w:rsid w:val="008B1B5A"/>
    <w:rsid w:val="008B1C98"/>
    <w:rsid w:val="008B1CD4"/>
    <w:rsid w:val="008B1E0D"/>
    <w:rsid w:val="008B1E4A"/>
    <w:rsid w:val="008B1E68"/>
    <w:rsid w:val="008B1F01"/>
    <w:rsid w:val="008B1F52"/>
    <w:rsid w:val="008B205C"/>
    <w:rsid w:val="008B2064"/>
    <w:rsid w:val="008B206C"/>
    <w:rsid w:val="008B20AE"/>
    <w:rsid w:val="008B20EA"/>
    <w:rsid w:val="008B218C"/>
    <w:rsid w:val="008B256E"/>
    <w:rsid w:val="008B2D04"/>
    <w:rsid w:val="008B2D15"/>
    <w:rsid w:val="008B2E75"/>
    <w:rsid w:val="008B2F66"/>
    <w:rsid w:val="008B2FF3"/>
    <w:rsid w:val="008B3040"/>
    <w:rsid w:val="008B30B8"/>
    <w:rsid w:val="008B3137"/>
    <w:rsid w:val="008B31EE"/>
    <w:rsid w:val="008B3220"/>
    <w:rsid w:val="008B3255"/>
    <w:rsid w:val="008B34DE"/>
    <w:rsid w:val="008B350D"/>
    <w:rsid w:val="008B373E"/>
    <w:rsid w:val="008B389A"/>
    <w:rsid w:val="008B394D"/>
    <w:rsid w:val="008B3A77"/>
    <w:rsid w:val="008B3DC7"/>
    <w:rsid w:val="008B4017"/>
    <w:rsid w:val="008B41D0"/>
    <w:rsid w:val="008B422D"/>
    <w:rsid w:val="008B4251"/>
    <w:rsid w:val="008B42A5"/>
    <w:rsid w:val="008B432A"/>
    <w:rsid w:val="008B4397"/>
    <w:rsid w:val="008B43D4"/>
    <w:rsid w:val="008B4411"/>
    <w:rsid w:val="008B44F6"/>
    <w:rsid w:val="008B4622"/>
    <w:rsid w:val="008B465F"/>
    <w:rsid w:val="008B466A"/>
    <w:rsid w:val="008B46B7"/>
    <w:rsid w:val="008B48F6"/>
    <w:rsid w:val="008B4932"/>
    <w:rsid w:val="008B4A6B"/>
    <w:rsid w:val="008B4A72"/>
    <w:rsid w:val="008B4C52"/>
    <w:rsid w:val="008B4C65"/>
    <w:rsid w:val="008B4C71"/>
    <w:rsid w:val="008B4E02"/>
    <w:rsid w:val="008B4E16"/>
    <w:rsid w:val="008B51E9"/>
    <w:rsid w:val="008B51FF"/>
    <w:rsid w:val="008B549A"/>
    <w:rsid w:val="008B54EB"/>
    <w:rsid w:val="008B5500"/>
    <w:rsid w:val="008B561F"/>
    <w:rsid w:val="008B5644"/>
    <w:rsid w:val="008B574E"/>
    <w:rsid w:val="008B57CC"/>
    <w:rsid w:val="008B5A00"/>
    <w:rsid w:val="008B5AFD"/>
    <w:rsid w:val="008B5B11"/>
    <w:rsid w:val="008B5C3B"/>
    <w:rsid w:val="008B5C8D"/>
    <w:rsid w:val="008B5E1D"/>
    <w:rsid w:val="008B5EE1"/>
    <w:rsid w:val="008B5F50"/>
    <w:rsid w:val="008B5FC6"/>
    <w:rsid w:val="008B6299"/>
    <w:rsid w:val="008B63BB"/>
    <w:rsid w:val="008B64B6"/>
    <w:rsid w:val="008B65C8"/>
    <w:rsid w:val="008B677E"/>
    <w:rsid w:val="008B67EB"/>
    <w:rsid w:val="008B6840"/>
    <w:rsid w:val="008B686B"/>
    <w:rsid w:val="008B6905"/>
    <w:rsid w:val="008B693A"/>
    <w:rsid w:val="008B69FD"/>
    <w:rsid w:val="008B6A09"/>
    <w:rsid w:val="008B6A75"/>
    <w:rsid w:val="008B6A96"/>
    <w:rsid w:val="008B6E38"/>
    <w:rsid w:val="008B6F30"/>
    <w:rsid w:val="008B6F47"/>
    <w:rsid w:val="008B70ED"/>
    <w:rsid w:val="008B7250"/>
    <w:rsid w:val="008B73D8"/>
    <w:rsid w:val="008B7429"/>
    <w:rsid w:val="008B74C0"/>
    <w:rsid w:val="008B74CF"/>
    <w:rsid w:val="008B758C"/>
    <w:rsid w:val="008B7590"/>
    <w:rsid w:val="008B75D5"/>
    <w:rsid w:val="008B7651"/>
    <w:rsid w:val="008B7962"/>
    <w:rsid w:val="008B7C25"/>
    <w:rsid w:val="008B7D8A"/>
    <w:rsid w:val="008B7E9E"/>
    <w:rsid w:val="008B7FE8"/>
    <w:rsid w:val="008C00DD"/>
    <w:rsid w:val="008C030E"/>
    <w:rsid w:val="008C041E"/>
    <w:rsid w:val="008C0436"/>
    <w:rsid w:val="008C0571"/>
    <w:rsid w:val="008C05BE"/>
    <w:rsid w:val="008C05C3"/>
    <w:rsid w:val="008C05F6"/>
    <w:rsid w:val="008C0715"/>
    <w:rsid w:val="008C0869"/>
    <w:rsid w:val="008C09B8"/>
    <w:rsid w:val="008C0A1B"/>
    <w:rsid w:val="008C0AC5"/>
    <w:rsid w:val="008C0BDD"/>
    <w:rsid w:val="008C0C91"/>
    <w:rsid w:val="008C0D88"/>
    <w:rsid w:val="008C0DD8"/>
    <w:rsid w:val="008C0E08"/>
    <w:rsid w:val="008C0F01"/>
    <w:rsid w:val="008C0F05"/>
    <w:rsid w:val="008C0FD0"/>
    <w:rsid w:val="008C1097"/>
    <w:rsid w:val="008C10EF"/>
    <w:rsid w:val="008C11D7"/>
    <w:rsid w:val="008C1319"/>
    <w:rsid w:val="008C1427"/>
    <w:rsid w:val="008C158D"/>
    <w:rsid w:val="008C1635"/>
    <w:rsid w:val="008C1686"/>
    <w:rsid w:val="008C1715"/>
    <w:rsid w:val="008C177F"/>
    <w:rsid w:val="008C185B"/>
    <w:rsid w:val="008C1872"/>
    <w:rsid w:val="008C1A53"/>
    <w:rsid w:val="008C1BAD"/>
    <w:rsid w:val="008C1CDE"/>
    <w:rsid w:val="008C1D7C"/>
    <w:rsid w:val="008C1EFE"/>
    <w:rsid w:val="008C1FDC"/>
    <w:rsid w:val="008C1FED"/>
    <w:rsid w:val="008C2180"/>
    <w:rsid w:val="008C2232"/>
    <w:rsid w:val="008C239D"/>
    <w:rsid w:val="008C23ED"/>
    <w:rsid w:val="008C246F"/>
    <w:rsid w:val="008C2548"/>
    <w:rsid w:val="008C25DA"/>
    <w:rsid w:val="008C2620"/>
    <w:rsid w:val="008C26C1"/>
    <w:rsid w:val="008C26EE"/>
    <w:rsid w:val="008C275C"/>
    <w:rsid w:val="008C2848"/>
    <w:rsid w:val="008C2CF4"/>
    <w:rsid w:val="008C2E4F"/>
    <w:rsid w:val="008C2E64"/>
    <w:rsid w:val="008C2ED7"/>
    <w:rsid w:val="008C2FE1"/>
    <w:rsid w:val="008C300E"/>
    <w:rsid w:val="008C3031"/>
    <w:rsid w:val="008C3057"/>
    <w:rsid w:val="008C305B"/>
    <w:rsid w:val="008C337F"/>
    <w:rsid w:val="008C3632"/>
    <w:rsid w:val="008C36F8"/>
    <w:rsid w:val="008C3739"/>
    <w:rsid w:val="008C37A4"/>
    <w:rsid w:val="008C37FF"/>
    <w:rsid w:val="008C38E7"/>
    <w:rsid w:val="008C391A"/>
    <w:rsid w:val="008C3953"/>
    <w:rsid w:val="008C3997"/>
    <w:rsid w:val="008C39AF"/>
    <w:rsid w:val="008C39EF"/>
    <w:rsid w:val="008C3B49"/>
    <w:rsid w:val="008C3E29"/>
    <w:rsid w:val="008C3F74"/>
    <w:rsid w:val="008C3FFF"/>
    <w:rsid w:val="008C4196"/>
    <w:rsid w:val="008C4223"/>
    <w:rsid w:val="008C42A1"/>
    <w:rsid w:val="008C4368"/>
    <w:rsid w:val="008C44FD"/>
    <w:rsid w:val="008C4586"/>
    <w:rsid w:val="008C462E"/>
    <w:rsid w:val="008C477B"/>
    <w:rsid w:val="008C4867"/>
    <w:rsid w:val="008C4869"/>
    <w:rsid w:val="008C4870"/>
    <w:rsid w:val="008C4899"/>
    <w:rsid w:val="008C4A0A"/>
    <w:rsid w:val="008C4A3B"/>
    <w:rsid w:val="008C4BA1"/>
    <w:rsid w:val="008C4BD4"/>
    <w:rsid w:val="008C4D32"/>
    <w:rsid w:val="008C4D41"/>
    <w:rsid w:val="008C4D97"/>
    <w:rsid w:val="008C4EF7"/>
    <w:rsid w:val="008C5193"/>
    <w:rsid w:val="008C51C1"/>
    <w:rsid w:val="008C5273"/>
    <w:rsid w:val="008C534A"/>
    <w:rsid w:val="008C5458"/>
    <w:rsid w:val="008C5490"/>
    <w:rsid w:val="008C55C1"/>
    <w:rsid w:val="008C5676"/>
    <w:rsid w:val="008C5772"/>
    <w:rsid w:val="008C5935"/>
    <w:rsid w:val="008C5A10"/>
    <w:rsid w:val="008C5AC6"/>
    <w:rsid w:val="008C5B87"/>
    <w:rsid w:val="008C5C41"/>
    <w:rsid w:val="008C5D38"/>
    <w:rsid w:val="008C616D"/>
    <w:rsid w:val="008C63D4"/>
    <w:rsid w:val="008C6668"/>
    <w:rsid w:val="008C66A9"/>
    <w:rsid w:val="008C672F"/>
    <w:rsid w:val="008C6742"/>
    <w:rsid w:val="008C6780"/>
    <w:rsid w:val="008C67A9"/>
    <w:rsid w:val="008C67BD"/>
    <w:rsid w:val="008C690F"/>
    <w:rsid w:val="008C6B68"/>
    <w:rsid w:val="008C6C1B"/>
    <w:rsid w:val="008C6C93"/>
    <w:rsid w:val="008C6D94"/>
    <w:rsid w:val="008C6D98"/>
    <w:rsid w:val="008C6E06"/>
    <w:rsid w:val="008C6E16"/>
    <w:rsid w:val="008C6EDA"/>
    <w:rsid w:val="008C6F83"/>
    <w:rsid w:val="008C6F98"/>
    <w:rsid w:val="008C7050"/>
    <w:rsid w:val="008C70F6"/>
    <w:rsid w:val="008C7170"/>
    <w:rsid w:val="008C7461"/>
    <w:rsid w:val="008C7614"/>
    <w:rsid w:val="008C764B"/>
    <w:rsid w:val="008C76E7"/>
    <w:rsid w:val="008C770E"/>
    <w:rsid w:val="008C7722"/>
    <w:rsid w:val="008C7799"/>
    <w:rsid w:val="008C77CE"/>
    <w:rsid w:val="008C7962"/>
    <w:rsid w:val="008C799C"/>
    <w:rsid w:val="008C7A30"/>
    <w:rsid w:val="008C7B48"/>
    <w:rsid w:val="008C7B74"/>
    <w:rsid w:val="008C7C2F"/>
    <w:rsid w:val="008C7DB9"/>
    <w:rsid w:val="008C7E12"/>
    <w:rsid w:val="008C7F71"/>
    <w:rsid w:val="008D005D"/>
    <w:rsid w:val="008D01BC"/>
    <w:rsid w:val="008D03D8"/>
    <w:rsid w:val="008D05CF"/>
    <w:rsid w:val="008D061B"/>
    <w:rsid w:val="008D06EA"/>
    <w:rsid w:val="008D06F8"/>
    <w:rsid w:val="008D0862"/>
    <w:rsid w:val="008D0AF4"/>
    <w:rsid w:val="008D0D23"/>
    <w:rsid w:val="008D0EF4"/>
    <w:rsid w:val="008D106C"/>
    <w:rsid w:val="008D1101"/>
    <w:rsid w:val="008D114B"/>
    <w:rsid w:val="008D11D1"/>
    <w:rsid w:val="008D1288"/>
    <w:rsid w:val="008D134B"/>
    <w:rsid w:val="008D1765"/>
    <w:rsid w:val="008D1808"/>
    <w:rsid w:val="008D1813"/>
    <w:rsid w:val="008D1909"/>
    <w:rsid w:val="008D19F1"/>
    <w:rsid w:val="008D1A4A"/>
    <w:rsid w:val="008D1AD5"/>
    <w:rsid w:val="008D1AE6"/>
    <w:rsid w:val="008D1BFA"/>
    <w:rsid w:val="008D1C83"/>
    <w:rsid w:val="008D1D47"/>
    <w:rsid w:val="008D1E3E"/>
    <w:rsid w:val="008D205F"/>
    <w:rsid w:val="008D20D4"/>
    <w:rsid w:val="008D2165"/>
    <w:rsid w:val="008D21DF"/>
    <w:rsid w:val="008D2245"/>
    <w:rsid w:val="008D2659"/>
    <w:rsid w:val="008D266E"/>
    <w:rsid w:val="008D2A4D"/>
    <w:rsid w:val="008D2A70"/>
    <w:rsid w:val="008D2AC2"/>
    <w:rsid w:val="008D2ADE"/>
    <w:rsid w:val="008D2AF3"/>
    <w:rsid w:val="008D2B3D"/>
    <w:rsid w:val="008D2B65"/>
    <w:rsid w:val="008D2B81"/>
    <w:rsid w:val="008D2CFD"/>
    <w:rsid w:val="008D2D72"/>
    <w:rsid w:val="008D2D81"/>
    <w:rsid w:val="008D2DC8"/>
    <w:rsid w:val="008D2FCE"/>
    <w:rsid w:val="008D2FD0"/>
    <w:rsid w:val="008D306B"/>
    <w:rsid w:val="008D30C1"/>
    <w:rsid w:val="008D30E5"/>
    <w:rsid w:val="008D3174"/>
    <w:rsid w:val="008D3216"/>
    <w:rsid w:val="008D3334"/>
    <w:rsid w:val="008D3365"/>
    <w:rsid w:val="008D339F"/>
    <w:rsid w:val="008D33FF"/>
    <w:rsid w:val="008D34CC"/>
    <w:rsid w:val="008D3533"/>
    <w:rsid w:val="008D3630"/>
    <w:rsid w:val="008D388D"/>
    <w:rsid w:val="008D3975"/>
    <w:rsid w:val="008D3ABB"/>
    <w:rsid w:val="008D3B92"/>
    <w:rsid w:val="008D3BA3"/>
    <w:rsid w:val="008D3D0E"/>
    <w:rsid w:val="008D3E4E"/>
    <w:rsid w:val="008D3ECE"/>
    <w:rsid w:val="008D3F4E"/>
    <w:rsid w:val="008D416A"/>
    <w:rsid w:val="008D42BE"/>
    <w:rsid w:val="008D45EC"/>
    <w:rsid w:val="008D45EF"/>
    <w:rsid w:val="008D4619"/>
    <w:rsid w:val="008D4664"/>
    <w:rsid w:val="008D4894"/>
    <w:rsid w:val="008D4AFB"/>
    <w:rsid w:val="008D4B71"/>
    <w:rsid w:val="008D4DF5"/>
    <w:rsid w:val="008D5056"/>
    <w:rsid w:val="008D5062"/>
    <w:rsid w:val="008D5189"/>
    <w:rsid w:val="008D5426"/>
    <w:rsid w:val="008D5508"/>
    <w:rsid w:val="008D5566"/>
    <w:rsid w:val="008D5900"/>
    <w:rsid w:val="008D5A56"/>
    <w:rsid w:val="008D5ACB"/>
    <w:rsid w:val="008D5D95"/>
    <w:rsid w:val="008D5F81"/>
    <w:rsid w:val="008D5F86"/>
    <w:rsid w:val="008D617F"/>
    <w:rsid w:val="008D61EC"/>
    <w:rsid w:val="008D61F7"/>
    <w:rsid w:val="008D6229"/>
    <w:rsid w:val="008D63A0"/>
    <w:rsid w:val="008D644F"/>
    <w:rsid w:val="008D657B"/>
    <w:rsid w:val="008D65BE"/>
    <w:rsid w:val="008D669E"/>
    <w:rsid w:val="008D6847"/>
    <w:rsid w:val="008D6975"/>
    <w:rsid w:val="008D6B62"/>
    <w:rsid w:val="008D6B97"/>
    <w:rsid w:val="008D6C1C"/>
    <w:rsid w:val="008D6C3F"/>
    <w:rsid w:val="008D6C95"/>
    <w:rsid w:val="008D6CF4"/>
    <w:rsid w:val="008D6E3A"/>
    <w:rsid w:val="008D6FAB"/>
    <w:rsid w:val="008D7006"/>
    <w:rsid w:val="008D700D"/>
    <w:rsid w:val="008D7026"/>
    <w:rsid w:val="008D710C"/>
    <w:rsid w:val="008D7116"/>
    <w:rsid w:val="008D7260"/>
    <w:rsid w:val="008D72B4"/>
    <w:rsid w:val="008D738B"/>
    <w:rsid w:val="008D73EB"/>
    <w:rsid w:val="008D7534"/>
    <w:rsid w:val="008D7596"/>
    <w:rsid w:val="008D7936"/>
    <w:rsid w:val="008D7B1F"/>
    <w:rsid w:val="008D7D9E"/>
    <w:rsid w:val="008D7E1C"/>
    <w:rsid w:val="008D7FB3"/>
    <w:rsid w:val="008D7FC8"/>
    <w:rsid w:val="008E00EE"/>
    <w:rsid w:val="008E0126"/>
    <w:rsid w:val="008E014F"/>
    <w:rsid w:val="008E0277"/>
    <w:rsid w:val="008E0487"/>
    <w:rsid w:val="008E048C"/>
    <w:rsid w:val="008E0519"/>
    <w:rsid w:val="008E0529"/>
    <w:rsid w:val="008E05CD"/>
    <w:rsid w:val="008E05F3"/>
    <w:rsid w:val="008E0714"/>
    <w:rsid w:val="008E076A"/>
    <w:rsid w:val="008E078B"/>
    <w:rsid w:val="008E0794"/>
    <w:rsid w:val="008E07FE"/>
    <w:rsid w:val="008E0855"/>
    <w:rsid w:val="008E0A06"/>
    <w:rsid w:val="008E0D18"/>
    <w:rsid w:val="008E0D4F"/>
    <w:rsid w:val="008E0D98"/>
    <w:rsid w:val="008E0DDC"/>
    <w:rsid w:val="008E0E1D"/>
    <w:rsid w:val="008E0FE1"/>
    <w:rsid w:val="008E106B"/>
    <w:rsid w:val="008E10AC"/>
    <w:rsid w:val="008E1122"/>
    <w:rsid w:val="008E127E"/>
    <w:rsid w:val="008E12DE"/>
    <w:rsid w:val="008E13B3"/>
    <w:rsid w:val="008E1517"/>
    <w:rsid w:val="008E1582"/>
    <w:rsid w:val="008E1595"/>
    <w:rsid w:val="008E1596"/>
    <w:rsid w:val="008E1949"/>
    <w:rsid w:val="008E1989"/>
    <w:rsid w:val="008E1A21"/>
    <w:rsid w:val="008E1B76"/>
    <w:rsid w:val="008E1C3B"/>
    <w:rsid w:val="008E1C7B"/>
    <w:rsid w:val="008E1F1D"/>
    <w:rsid w:val="008E1F8E"/>
    <w:rsid w:val="008E2096"/>
    <w:rsid w:val="008E20E9"/>
    <w:rsid w:val="008E2165"/>
    <w:rsid w:val="008E216B"/>
    <w:rsid w:val="008E219E"/>
    <w:rsid w:val="008E21A5"/>
    <w:rsid w:val="008E2217"/>
    <w:rsid w:val="008E239D"/>
    <w:rsid w:val="008E23D0"/>
    <w:rsid w:val="008E2483"/>
    <w:rsid w:val="008E24D2"/>
    <w:rsid w:val="008E250C"/>
    <w:rsid w:val="008E254F"/>
    <w:rsid w:val="008E2583"/>
    <w:rsid w:val="008E25B9"/>
    <w:rsid w:val="008E25F5"/>
    <w:rsid w:val="008E264F"/>
    <w:rsid w:val="008E27A9"/>
    <w:rsid w:val="008E27C6"/>
    <w:rsid w:val="008E2977"/>
    <w:rsid w:val="008E2C7E"/>
    <w:rsid w:val="008E2CAD"/>
    <w:rsid w:val="008E2F85"/>
    <w:rsid w:val="008E2FA3"/>
    <w:rsid w:val="008E2FA9"/>
    <w:rsid w:val="008E2FC0"/>
    <w:rsid w:val="008E2FC2"/>
    <w:rsid w:val="008E3259"/>
    <w:rsid w:val="008E32F0"/>
    <w:rsid w:val="008E33D8"/>
    <w:rsid w:val="008E3468"/>
    <w:rsid w:val="008E356D"/>
    <w:rsid w:val="008E360F"/>
    <w:rsid w:val="008E36CB"/>
    <w:rsid w:val="008E377C"/>
    <w:rsid w:val="008E378A"/>
    <w:rsid w:val="008E37FD"/>
    <w:rsid w:val="008E394F"/>
    <w:rsid w:val="008E39D3"/>
    <w:rsid w:val="008E3BAC"/>
    <w:rsid w:val="008E3C7B"/>
    <w:rsid w:val="008E3C8F"/>
    <w:rsid w:val="008E3CB0"/>
    <w:rsid w:val="008E3CC1"/>
    <w:rsid w:val="008E3D3F"/>
    <w:rsid w:val="008E3E44"/>
    <w:rsid w:val="008E3F09"/>
    <w:rsid w:val="008E3F4D"/>
    <w:rsid w:val="008E403B"/>
    <w:rsid w:val="008E404D"/>
    <w:rsid w:val="008E422A"/>
    <w:rsid w:val="008E42B4"/>
    <w:rsid w:val="008E42E5"/>
    <w:rsid w:val="008E446E"/>
    <w:rsid w:val="008E44F8"/>
    <w:rsid w:val="008E4665"/>
    <w:rsid w:val="008E46BB"/>
    <w:rsid w:val="008E471E"/>
    <w:rsid w:val="008E494F"/>
    <w:rsid w:val="008E496C"/>
    <w:rsid w:val="008E49FF"/>
    <w:rsid w:val="008E4A4F"/>
    <w:rsid w:val="008E4A6D"/>
    <w:rsid w:val="008E4AB3"/>
    <w:rsid w:val="008E4AE6"/>
    <w:rsid w:val="008E4B1C"/>
    <w:rsid w:val="008E4B2A"/>
    <w:rsid w:val="008E4C17"/>
    <w:rsid w:val="008E4C8D"/>
    <w:rsid w:val="008E4D0F"/>
    <w:rsid w:val="008E4D3D"/>
    <w:rsid w:val="008E4D4F"/>
    <w:rsid w:val="008E4E2E"/>
    <w:rsid w:val="008E4E94"/>
    <w:rsid w:val="008E4EA3"/>
    <w:rsid w:val="008E4EA6"/>
    <w:rsid w:val="008E4EE3"/>
    <w:rsid w:val="008E4F9F"/>
    <w:rsid w:val="008E4FC9"/>
    <w:rsid w:val="008E501E"/>
    <w:rsid w:val="008E5070"/>
    <w:rsid w:val="008E508F"/>
    <w:rsid w:val="008E51A6"/>
    <w:rsid w:val="008E525A"/>
    <w:rsid w:val="008E5434"/>
    <w:rsid w:val="008E58E4"/>
    <w:rsid w:val="008E5AAC"/>
    <w:rsid w:val="008E5AB0"/>
    <w:rsid w:val="008E5B00"/>
    <w:rsid w:val="008E5B19"/>
    <w:rsid w:val="008E5D4B"/>
    <w:rsid w:val="008E5F36"/>
    <w:rsid w:val="008E5F55"/>
    <w:rsid w:val="008E5F5C"/>
    <w:rsid w:val="008E617A"/>
    <w:rsid w:val="008E6210"/>
    <w:rsid w:val="008E623B"/>
    <w:rsid w:val="008E6292"/>
    <w:rsid w:val="008E6346"/>
    <w:rsid w:val="008E6460"/>
    <w:rsid w:val="008E6649"/>
    <w:rsid w:val="008E667A"/>
    <w:rsid w:val="008E66F3"/>
    <w:rsid w:val="008E675B"/>
    <w:rsid w:val="008E679B"/>
    <w:rsid w:val="008E67F6"/>
    <w:rsid w:val="008E6906"/>
    <w:rsid w:val="008E6918"/>
    <w:rsid w:val="008E6B02"/>
    <w:rsid w:val="008E6BFF"/>
    <w:rsid w:val="008E6C57"/>
    <w:rsid w:val="008E6DA5"/>
    <w:rsid w:val="008E6ECD"/>
    <w:rsid w:val="008E6F14"/>
    <w:rsid w:val="008E7050"/>
    <w:rsid w:val="008E7054"/>
    <w:rsid w:val="008E7155"/>
    <w:rsid w:val="008E715A"/>
    <w:rsid w:val="008E7223"/>
    <w:rsid w:val="008E7459"/>
    <w:rsid w:val="008E74E1"/>
    <w:rsid w:val="008E74E3"/>
    <w:rsid w:val="008E757D"/>
    <w:rsid w:val="008E769B"/>
    <w:rsid w:val="008E7713"/>
    <w:rsid w:val="008E7747"/>
    <w:rsid w:val="008E7A36"/>
    <w:rsid w:val="008E7A48"/>
    <w:rsid w:val="008E7C14"/>
    <w:rsid w:val="008E7C7A"/>
    <w:rsid w:val="008E7D8E"/>
    <w:rsid w:val="008E7DB0"/>
    <w:rsid w:val="008E7DC8"/>
    <w:rsid w:val="008E7DD4"/>
    <w:rsid w:val="008E7E8A"/>
    <w:rsid w:val="008E7EF9"/>
    <w:rsid w:val="008E7F23"/>
    <w:rsid w:val="008F00DE"/>
    <w:rsid w:val="008F0126"/>
    <w:rsid w:val="008F0143"/>
    <w:rsid w:val="008F0227"/>
    <w:rsid w:val="008F03CE"/>
    <w:rsid w:val="008F05AB"/>
    <w:rsid w:val="008F05DA"/>
    <w:rsid w:val="008F06E7"/>
    <w:rsid w:val="008F077D"/>
    <w:rsid w:val="008F07AA"/>
    <w:rsid w:val="008F09BD"/>
    <w:rsid w:val="008F09FD"/>
    <w:rsid w:val="008F0AC0"/>
    <w:rsid w:val="008F0B24"/>
    <w:rsid w:val="008F0B2F"/>
    <w:rsid w:val="008F0BCB"/>
    <w:rsid w:val="008F0C48"/>
    <w:rsid w:val="008F0D33"/>
    <w:rsid w:val="008F0EB6"/>
    <w:rsid w:val="008F0EF5"/>
    <w:rsid w:val="008F0FFB"/>
    <w:rsid w:val="008F1320"/>
    <w:rsid w:val="008F134F"/>
    <w:rsid w:val="008F1444"/>
    <w:rsid w:val="008F14B5"/>
    <w:rsid w:val="008F1557"/>
    <w:rsid w:val="008F15C7"/>
    <w:rsid w:val="008F164A"/>
    <w:rsid w:val="008F16EC"/>
    <w:rsid w:val="008F16F2"/>
    <w:rsid w:val="008F1834"/>
    <w:rsid w:val="008F189A"/>
    <w:rsid w:val="008F199C"/>
    <w:rsid w:val="008F1A90"/>
    <w:rsid w:val="008F1C3C"/>
    <w:rsid w:val="008F1D3F"/>
    <w:rsid w:val="008F1D76"/>
    <w:rsid w:val="008F1E98"/>
    <w:rsid w:val="008F20C1"/>
    <w:rsid w:val="008F2155"/>
    <w:rsid w:val="008F21B5"/>
    <w:rsid w:val="008F21DD"/>
    <w:rsid w:val="008F23EB"/>
    <w:rsid w:val="008F2449"/>
    <w:rsid w:val="008F24CC"/>
    <w:rsid w:val="008F24E8"/>
    <w:rsid w:val="008F2664"/>
    <w:rsid w:val="008F26B0"/>
    <w:rsid w:val="008F26F0"/>
    <w:rsid w:val="008F2723"/>
    <w:rsid w:val="008F278D"/>
    <w:rsid w:val="008F283C"/>
    <w:rsid w:val="008F29A2"/>
    <w:rsid w:val="008F2D59"/>
    <w:rsid w:val="008F2E3C"/>
    <w:rsid w:val="008F2E4E"/>
    <w:rsid w:val="008F2F01"/>
    <w:rsid w:val="008F2FE6"/>
    <w:rsid w:val="008F30CF"/>
    <w:rsid w:val="008F3193"/>
    <w:rsid w:val="008F3237"/>
    <w:rsid w:val="008F3299"/>
    <w:rsid w:val="008F337B"/>
    <w:rsid w:val="008F339E"/>
    <w:rsid w:val="008F35C6"/>
    <w:rsid w:val="008F3703"/>
    <w:rsid w:val="008F38DB"/>
    <w:rsid w:val="008F3A6C"/>
    <w:rsid w:val="008F3BCD"/>
    <w:rsid w:val="008F3C54"/>
    <w:rsid w:val="008F3D81"/>
    <w:rsid w:val="008F3DE9"/>
    <w:rsid w:val="008F3F28"/>
    <w:rsid w:val="008F3F95"/>
    <w:rsid w:val="008F4183"/>
    <w:rsid w:val="008F4219"/>
    <w:rsid w:val="008F43CA"/>
    <w:rsid w:val="008F44B2"/>
    <w:rsid w:val="008F44DD"/>
    <w:rsid w:val="008F4709"/>
    <w:rsid w:val="008F474E"/>
    <w:rsid w:val="008F48EB"/>
    <w:rsid w:val="008F48FA"/>
    <w:rsid w:val="008F492B"/>
    <w:rsid w:val="008F49E6"/>
    <w:rsid w:val="008F4A9F"/>
    <w:rsid w:val="008F4BCD"/>
    <w:rsid w:val="008F4C3E"/>
    <w:rsid w:val="008F4E1D"/>
    <w:rsid w:val="008F4F7F"/>
    <w:rsid w:val="008F5027"/>
    <w:rsid w:val="008F502D"/>
    <w:rsid w:val="008F5072"/>
    <w:rsid w:val="008F52B4"/>
    <w:rsid w:val="008F52FC"/>
    <w:rsid w:val="008F5394"/>
    <w:rsid w:val="008F5400"/>
    <w:rsid w:val="008F5466"/>
    <w:rsid w:val="008F5478"/>
    <w:rsid w:val="008F54A2"/>
    <w:rsid w:val="008F54E3"/>
    <w:rsid w:val="008F5684"/>
    <w:rsid w:val="008F5688"/>
    <w:rsid w:val="008F57B9"/>
    <w:rsid w:val="008F5805"/>
    <w:rsid w:val="008F5884"/>
    <w:rsid w:val="008F5916"/>
    <w:rsid w:val="008F5951"/>
    <w:rsid w:val="008F5A95"/>
    <w:rsid w:val="008F5B47"/>
    <w:rsid w:val="008F5B9F"/>
    <w:rsid w:val="008F5C4D"/>
    <w:rsid w:val="008F5C87"/>
    <w:rsid w:val="008F5D9D"/>
    <w:rsid w:val="008F6085"/>
    <w:rsid w:val="008F60C7"/>
    <w:rsid w:val="008F60FF"/>
    <w:rsid w:val="008F61FF"/>
    <w:rsid w:val="008F6218"/>
    <w:rsid w:val="008F63B8"/>
    <w:rsid w:val="008F6461"/>
    <w:rsid w:val="008F64C4"/>
    <w:rsid w:val="008F6667"/>
    <w:rsid w:val="008F6683"/>
    <w:rsid w:val="008F66B1"/>
    <w:rsid w:val="008F6772"/>
    <w:rsid w:val="008F6851"/>
    <w:rsid w:val="008F6869"/>
    <w:rsid w:val="008F687B"/>
    <w:rsid w:val="008F68C5"/>
    <w:rsid w:val="008F68FA"/>
    <w:rsid w:val="008F698A"/>
    <w:rsid w:val="008F6A09"/>
    <w:rsid w:val="008F6C5C"/>
    <w:rsid w:val="008F6CF1"/>
    <w:rsid w:val="008F6F6E"/>
    <w:rsid w:val="008F6FFC"/>
    <w:rsid w:val="008F7182"/>
    <w:rsid w:val="008F7336"/>
    <w:rsid w:val="008F73FA"/>
    <w:rsid w:val="008F75E4"/>
    <w:rsid w:val="008F7639"/>
    <w:rsid w:val="008F7690"/>
    <w:rsid w:val="008F7741"/>
    <w:rsid w:val="008F7901"/>
    <w:rsid w:val="008F796E"/>
    <w:rsid w:val="008F7AF0"/>
    <w:rsid w:val="008F7C12"/>
    <w:rsid w:val="008F7D04"/>
    <w:rsid w:val="008F7D0E"/>
    <w:rsid w:val="008F7DB4"/>
    <w:rsid w:val="008F7DD9"/>
    <w:rsid w:val="008F7DDE"/>
    <w:rsid w:val="008F7E12"/>
    <w:rsid w:val="008F7E87"/>
    <w:rsid w:val="008F7F65"/>
    <w:rsid w:val="0090025A"/>
    <w:rsid w:val="0090027A"/>
    <w:rsid w:val="00900283"/>
    <w:rsid w:val="00900435"/>
    <w:rsid w:val="00900558"/>
    <w:rsid w:val="0090065C"/>
    <w:rsid w:val="00900685"/>
    <w:rsid w:val="009006E6"/>
    <w:rsid w:val="00900760"/>
    <w:rsid w:val="00900807"/>
    <w:rsid w:val="009008B9"/>
    <w:rsid w:val="009008E4"/>
    <w:rsid w:val="00900A62"/>
    <w:rsid w:val="00900AE2"/>
    <w:rsid w:val="00900B1F"/>
    <w:rsid w:val="00900CFE"/>
    <w:rsid w:val="00900DAF"/>
    <w:rsid w:val="00900E13"/>
    <w:rsid w:val="00900E48"/>
    <w:rsid w:val="00900E5D"/>
    <w:rsid w:val="00900EB4"/>
    <w:rsid w:val="00901009"/>
    <w:rsid w:val="009010FF"/>
    <w:rsid w:val="0090113C"/>
    <w:rsid w:val="00901194"/>
    <w:rsid w:val="009011F0"/>
    <w:rsid w:val="00901201"/>
    <w:rsid w:val="0090137B"/>
    <w:rsid w:val="009014F5"/>
    <w:rsid w:val="00901600"/>
    <w:rsid w:val="00901692"/>
    <w:rsid w:val="009017B8"/>
    <w:rsid w:val="0090180D"/>
    <w:rsid w:val="009018CA"/>
    <w:rsid w:val="0090193C"/>
    <w:rsid w:val="00901981"/>
    <w:rsid w:val="00901BB8"/>
    <w:rsid w:val="00901BFF"/>
    <w:rsid w:val="00901D35"/>
    <w:rsid w:val="00901EB4"/>
    <w:rsid w:val="00901F09"/>
    <w:rsid w:val="00901F29"/>
    <w:rsid w:val="00901F94"/>
    <w:rsid w:val="00901F9C"/>
    <w:rsid w:val="00902049"/>
    <w:rsid w:val="00902066"/>
    <w:rsid w:val="00902079"/>
    <w:rsid w:val="009020DE"/>
    <w:rsid w:val="00902166"/>
    <w:rsid w:val="0090218B"/>
    <w:rsid w:val="0090227B"/>
    <w:rsid w:val="009023A8"/>
    <w:rsid w:val="00902643"/>
    <w:rsid w:val="0090265D"/>
    <w:rsid w:val="0090267B"/>
    <w:rsid w:val="0090272F"/>
    <w:rsid w:val="00902814"/>
    <w:rsid w:val="00902883"/>
    <w:rsid w:val="00902979"/>
    <w:rsid w:val="009029E9"/>
    <w:rsid w:val="00902B58"/>
    <w:rsid w:val="00902BAB"/>
    <w:rsid w:val="00902C22"/>
    <w:rsid w:val="00902C26"/>
    <w:rsid w:val="00902C9F"/>
    <w:rsid w:val="00902CAD"/>
    <w:rsid w:val="00902D3D"/>
    <w:rsid w:val="00902D8F"/>
    <w:rsid w:val="00902DA2"/>
    <w:rsid w:val="00902DDB"/>
    <w:rsid w:val="00902E02"/>
    <w:rsid w:val="00902E50"/>
    <w:rsid w:val="00902E54"/>
    <w:rsid w:val="00902F35"/>
    <w:rsid w:val="00902FB1"/>
    <w:rsid w:val="00902FF4"/>
    <w:rsid w:val="00903153"/>
    <w:rsid w:val="0090317E"/>
    <w:rsid w:val="00903257"/>
    <w:rsid w:val="0090328A"/>
    <w:rsid w:val="009032E0"/>
    <w:rsid w:val="0090346A"/>
    <w:rsid w:val="0090355E"/>
    <w:rsid w:val="00903623"/>
    <w:rsid w:val="0090365D"/>
    <w:rsid w:val="0090369F"/>
    <w:rsid w:val="00903764"/>
    <w:rsid w:val="009037E3"/>
    <w:rsid w:val="009038A6"/>
    <w:rsid w:val="00903922"/>
    <w:rsid w:val="00903AAD"/>
    <w:rsid w:val="00903B2A"/>
    <w:rsid w:val="00903BF7"/>
    <w:rsid w:val="00903CCA"/>
    <w:rsid w:val="00903CD5"/>
    <w:rsid w:val="00903CEB"/>
    <w:rsid w:val="00903D56"/>
    <w:rsid w:val="00903DAC"/>
    <w:rsid w:val="009042AA"/>
    <w:rsid w:val="009042BC"/>
    <w:rsid w:val="009042D1"/>
    <w:rsid w:val="00904566"/>
    <w:rsid w:val="00904644"/>
    <w:rsid w:val="009046DD"/>
    <w:rsid w:val="0090476A"/>
    <w:rsid w:val="0090476C"/>
    <w:rsid w:val="009048E2"/>
    <w:rsid w:val="009049AA"/>
    <w:rsid w:val="009049DB"/>
    <w:rsid w:val="009049F2"/>
    <w:rsid w:val="00904A44"/>
    <w:rsid w:val="00904AEA"/>
    <w:rsid w:val="00904B04"/>
    <w:rsid w:val="00904BA0"/>
    <w:rsid w:val="00904C3B"/>
    <w:rsid w:val="00904C8E"/>
    <w:rsid w:val="00904D79"/>
    <w:rsid w:val="00904EC9"/>
    <w:rsid w:val="00904FF8"/>
    <w:rsid w:val="00905178"/>
    <w:rsid w:val="00905185"/>
    <w:rsid w:val="009051E9"/>
    <w:rsid w:val="009052B7"/>
    <w:rsid w:val="009053E2"/>
    <w:rsid w:val="009053EF"/>
    <w:rsid w:val="0090563C"/>
    <w:rsid w:val="009056AB"/>
    <w:rsid w:val="0090573D"/>
    <w:rsid w:val="0090582D"/>
    <w:rsid w:val="009059AD"/>
    <w:rsid w:val="00905AA1"/>
    <w:rsid w:val="00905AD0"/>
    <w:rsid w:val="00905C75"/>
    <w:rsid w:val="00905C90"/>
    <w:rsid w:val="00905CDA"/>
    <w:rsid w:val="00905DBF"/>
    <w:rsid w:val="00905DEE"/>
    <w:rsid w:val="00905E67"/>
    <w:rsid w:val="00905ECB"/>
    <w:rsid w:val="00905FDA"/>
    <w:rsid w:val="009060EC"/>
    <w:rsid w:val="009061B1"/>
    <w:rsid w:val="00906218"/>
    <w:rsid w:val="009063B8"/>
    <w:rsid w:val="009063C6"/>
    <w:rsid w:val="00906590"/>
    <w:rsid w:val="009065B9"/>
    <w:rsid w:val="00906949"/>
    <w:rsid w:val="00906BDF"/>
    <w:rsid w:val="00906E61"/>
    <w:rsid w:val="00906ECD"/>
    <w:rsid w:val="00906F49"/>
    <w:rsid w:val="00906F86"/>
    <w:rsid w:val="00906F99"/>
    <w:rsid w:val="009071F5"/>
    <w:rsid w:val="0090731F"/>
    <w:rsid w:val="009073FB"/>
    <w:rsid w:val="00907559"/>
    <w:rsid w:val="0090755B"/>
    <w:rsid w:val="009076ED"/>
    <w:rsid w:val="0090773D"/>
    <w:rsid w:val="0090789C"/>
    <w:rsid w:val="009079A0"/>
    <w:rsid w:val="00907A6F"/>
    <w:rsid w:val="00907A9B"/>
    <w:rsid w:val="00907CA7"/>
    <w:rsid w:val="00907D4E"/>
    <w:rsid w:val="00907F50"/>
    <w:rsid w:val="00910134"/>
    <w:rsid w:val="00910341"/>
    <w:rsid w:val="009103BF"/>
    <w:rsid w:val="009104F4"/>
    <w:rsid w:val="00910552"/>
    <w:rsid w:val="00910633"/>
    <w:rsid w:val="009106B9"/>
    <w:rsid w:val="0091070A"/>
    <w:rsid w:val="00910735"/>
    <w:rsid w:val="00910839"/>
    <w:rsid w:val="00910ABF"/>
    <w:rsid w:val="00910BB7"/>
    <w:rsid w:val="00910BCB"/>
    <w:rsid w:val="00910E00"/>
    <w:rsid w:val="00910E44"/>
    <w:rsid w:val="00910E79"/>
    <w:rsid w:val="00910EC7"/>
    <w:rsid w:val="009111B9"/>
    <w:rsid w:val="009111BE"/>
    <w:rsid w:val="00911557"/>
    <w:rsid w:val="00911669"/>
    <w:rsid w:val="009116A8"/>
    <w:rsid w:val="009116C1"/>
    <w:rsid w:val="0091182D"/>
    <w:rsid w:val="00911887"/>
    <w:rsid w:val="00911ADD"/>
    <w:rsid w:val="00911B72"/>
    <w:rsid w:val="00911B7A"/>
    <w:rsid w:val="00911C52"/>
    <w:rsid w:val="00911DFC"/>
    <w:rsid w:val="00911EF6"/>
    <w:rsid w:val="0091213A"/>
    <w:rsid w:val="0091215A"/>
    <w:rsid w:val="0091219B"/>
    <w:rsid w:val="009121E7"/>
    <w:rsid w:val="00912211"/>
    <w:rsid w:val="0091222C"/>
    <w:rsid w:val="00912257"/>
    <w:rsid w:val="00912563"/>
    <w:rsid w:val="0091270F"/>
    <w:rsid w:val="009127A6"/>
    <w:rsid w:val="009128F1"/>
    <w:rsid w:val="00912933"/>
    <w:rsid w:val="00912C32"/>
    <w:rsid w:val="00912DDA"/>
    <w:rsid w:val="00912DFA"/>
    <w:rsid w:val="00912EA2"/>
    <w:rsid w:val="00912FDA"/>
    <w:rsid w:val="0091301C"/>
    <w:rsid w:val="00913084"/>
    <w:rsid w:val="009130BC"/>
    <w:rsid w:val="009130D1"/>
    <w:rsid w:val="009131B7"/>
    <w:rsid w:val="00913204"/>
    <w:rsid w:val="00913276"/>
    <w:rsid w:val="00913354"/>
    <w:rsid w:val="00913404"/>
    <w:rsid w:val="009135E2"/>
    <w:rsid w:val="00913605"/>
    <w:rsid w:val="00913695"/>
    <w:rsid w:val="00913811"/>
    <w:rsid w:val="0091383E"/>
    <w:rsid w:val="00913915"/>
    <w:rsid w:val="009139F0"/>
    <w:rsid w:val="00913A2D"/>
    <w:rsid w:val="00913BA4"/>
    <w:rsid w:val="00913BC4"/>
    <w:rsid w:val="00913C10"/>
    <w:rsid w:val="00913C1B"/>
    <w:rsid w:val="00913DD7"/>
    <w:rsid w:val="00913E4B"/>
    <w:rsid w:val="00913E69"/>
    <w:rsid w:val="00913E70"/>
    <w:rsid w:val="009140E2"/>
    <w:rsid w:val="0091423E"/>
    <w:rsid w:val="0091425B"/>
    <w:rsid w:val="00914294"/>
    <w:rsid w:val="009144CC"/>
    <w:rsid w:val="00914539"/>
    <w:rsid w:val="0091453C"/>
    <w:rsid w:val="00914555"/>
    <w:rsid w:val="00914894"/>
    <w:rsid w:val="00914A28"/>
    <w:rsid w:val="00914A75"/>
    <w:rsid w:val="00914A77"/>
    <w:rsid w:val="00914B59"/>
    <w:rsid w:val="00914BAA"/>
    <w:rsid w:val="00914CE0"/>
    <w:rsid w:val="00914E32"/>
    <w:rsid w:val="00914F2C"/>
    <w:rsid w:val="00914F38"/>
    <w:rsid w:val="00914FD2"/>
    <w:rsid w:val="0091508D"/>
    <w:rsid w:val="00915197"/>
    <w:rsid w:val="009153AC"/>
    <w:rsid w:val="00915501"/>
    <w:rsid w:val="00915609"/>
    <w:rsid w:val="00915762"/>
    <w:rsid w:val="009158FC"/>
    <w:rsid w:val="009159F6"/>
    <w:rsid w:val="00915A97"/>
    <w:rsid w:val="00915ADE"/>
    <w:rsid w:val="00915B62"/>
    <w:rsid w:val="00915CDA"/>
    <w:rsid w:val="00915D29"/>
    <w:rsid w:val="00915D46"/>
    <w:rsid w:val="00915E68"/>
    <w:rsid w:val="00915EBF"/>
    <w:rsid w:val="00915F08"/>
    <w:rsid w:val="00915FBE"/>
    <w:rsid w:val="00915FCA"/>
    <w:rsid w:val="0091629A"/>
    <w:rsid w:val="009164BB"/>
    <w:rsid w:val="009164FC"/>
    <w:rsid w:val="00916700"/>
    <w:rsid w:val="0091684C"/>
    <w:rsid w:val="00916928"/>
    <w:rsid w:val="0091692F"/>
    <w:rsid w:val="0091699C"/>
    <w:rsid w:val="00916A7A"/>
    <w:rsid w:val="00916AE8"/>
    <w:rsid w:val="00916B26"/>
    <w:rsid w:val="00916BA6"/>
    <w:rsid w:val="00916BDE"/>
    <w:rsid w:val="00916BE6"/>
    <w:rsid w:val="00916BF8"/>
    <w:rsid w:val="00916C23"/>
    <w:rsid w:val="00916DF6"/>
    <w:rsid w:val="00916F5E"/>
    <w:rsid w:val="00917301"/>
    <w:rsid w:val="0091730A"/>
    <w:rsid w:val="00917574"/>
    <w:rsid w:val="00917586"/>
    <w:rsid w:val="009175EA"/>
    <w:rsid w:val="0091773B"/>
    <w:rsid w:val="00917A77"/>
    <w:rsid w:val="00917C1B"/>
    <w:rsid w:val="00917C9C"/>
    <w:rsid w:val="00917CAA"/>
    <w:rsid w:val="00917CE3"/>
    <w:rsid w:val="00917D60"/>
    <w:rsid w:val="00917E28"/>
    <w:rsid w:val="00917E8B"/>
    <w:rsid w:val="00917EFA"/>
    <w:rsid w:val="00920183"/>
    <w:rsid w:val="009202F4"/>
    <w:rsid w:val="009203B9"/>
    <w:rsid w:val="00920503"/>
    <w:rsid w:val="009205B1"/>
    <w:rsid w:val="009205D4"/>
    <w:rsid w:val="009205FD"/>
    <w:rsid w:val="00920673"/>
    <w:rsid w:val="009206B8"/>
    <w:rsid w:val="009208CE"/>
    <w:rsid w:val="0092094A"/>
    <w:rsid w:val="00920AA7"/>
    <w:rsid w:val="00920AD2"/>
    <w:rsid w:val="00920B25"/>
    <w:rsid w:val="00920C02"/>
    <w:rsid w:val="00920C47"/>
    <w:rsid w:val="00920CD2"/>
    <w:rsid w:val="00920D62"/>
    <w:rsid w:val="00920D88"/>
    <w:rsid w:val="00920EAA"/>
    <w:rsid w:val="00920FE5"/>
    <w:rsid w:val="009210CB"/>
    <w:rsid w:val="009211B6"/>
    <w:rsid w:val="00921334"/>
    <w:rsid w:val="00921385"/>
    <w:rsid w:val="00921420"/>
    <w:rsid w:val="0092146D"/>
    <w:rsid w:val="009214B9"/>
    <w:rsid w:val="0092152E"/>
    <w:rsid w:val="00921627"/>
    <w:rsid w:val="0092162B"/>
    <w:rsid w:val="00921642"/>
    <w:rsid w:val="00921690"/>
    <w:rsid w:val="009217B1"/>
    <w:rsid w:val="0092184A"/>
    <w:rsid w:val="00921ADC"/>
    <w:rsid w:val="00921C05"/>
    <w:rsid w:val="00921D69"/>
    <w:rsid w:val="00921DCB"/>
    <w:rsid w:val="00921E81"/>
    <w:rsid w:val="00921EDE"/>
    <w:rsid w:val="00921FBF"/>
    <w:rsid w:val="00921FFE"/>
    <w:rsid w:val="00922051"/>
    <w:rsid w:val="00922229"/>
    <w:rsid w:val="0092231D"/>
    <w:rsid w:val="0092247F"/>
    <w:rsid w:val="009224FF"/>
    <w:rsid w:val="00922747"/>
    <w:rsid w:val="00922971"/>
    <w:rsid w:val="00922AC5"/>
    <w:rsid w:val="00922B89"/>
    <w:rsid w:val="00922CC6"/>
    <w:rsid w:val="00922D51"/>
    <w:rsid w:val="00922DA8"/>
    <w:rsid w:val="00922DCF"/>
    <w:rsid w:val="00922E86"/>
    <w:rsid w:val="00922F07"/>
    <w:rsid w:val="00922FD0"/>
    <w:rsid w:val="00922FDB"/>
    <w:rsid w:val="00923065"/>
    <w:rsid w:val="009230E2"/>
    <w:rsid w:val="0092330E"/>
    <w:rsid w:val="009235DD"/>
    <w:rsid w:val="00923643"/>
    <w:rsid w:val="009236D3"/>
    <w:rsid w:val="00923726"/>
    <w:rsid w:val="0092382B"/>
    <w:rsid w:val="009238CE"/>
    <w:rsid w:val="00923912"/>
    <w:rsid w:val="00923C2F"/>
    <w:rsid w:val="00923E61"/>
    <w:rsid w:val="00923F23"/>
    <w:rsid w:val="00923F4B"/>
    <w:rsid w:val="00923FCE"/>
    <w:rsid w:val="00923FFE"/>
    <w:rsid w:val="009240CB"/>
    <w:rsid w:val="009240D4"/>
    <w:rsid w:val="0092414E"/>
    <w:rsid w:val="00924171"/>
    <w:rsid w:val="009241FB"/>
    <w:rsid w:val="00924225"/>
    <w:rsid w:val="0092425D"/>
    <w:rsid w:val="009242A9"/>
    <w:rsid w:val="0092432C"/>
    <w:rsid w:val="00924342"/>
    <w:rsid w:val="00924565"/>
    <w:rsid w:val="0092457D"/>
    <w:rsid w:val="0092468C"/>
    <w:rsid w:val="00924834"/>
    <w:rsid w:val="00924A0D"/>
    <w:rsid w:val="00924A67"/>
    <w:rsid w:val="00924AEA"/>
    <w:rsid w:val="00924B2F"/>
    <w:rsid w:val="00924C60"/>
    <w:rsid w:val="00924C83"/>
    <w:rsid w:val="00924CDA"/>
    <w:rsid w:val="00924D9E"/>
    <w:rsid w:val="00924E1E"/>
    <w:rsid w:val="00924F7A"/>
    <w:rsid w:val="00924FCB"/>
    <w:rsid w:val="00924FDE"/>
    <w:rsid w:val="00925029"/>
    <w:rsid w:val="009250F0"/>
    <w:rsid w:val="00925125"/>
    <w:rsid w:val="00925197"/>
    <w:rsid w:val="009251C6"/>
    <w:rsid w:val="009251E5"/>
    <w:rsid w:val="0092524B"/>
    <w:rsid w:val="0092524F"/>
    <w:rsid w:val="00925278"/>
    <w:rsid w:val="009252D2"/>
    <w:rsid w:val="00925357"/>
    <w:rsid w:val="0092540B"/>
    <w:rsid w:val="0092554F"/>
    <w:rsid w:val="009257A6"/>
    <w:rsid w:val="00925837"/>
    <w:rsid w:val="009258D0"/>
    <w:rsid w:val="009258F2"/>
    <w:rsid w:val="00925AA1"/>
    <w:rsid w:val="00925AA5"/>
    <w:rsid w:val="00925AA7"/>
    <w:rsid w:val="00925AB2"/>
    <w:rsid w:val="00925B38"/>
    <w:rsid w:val="00925B75"/>
    <w:rsid w:val="00925BCE"/>
    <w:rsid w:val="00925C6F"/>
    <w:rsid w:val="00925C7D"/>
    <w:rsid w:val="00925E0A"/>
    <w:rsid w:val="00925E14"/>
    <w:rsid w:val="00925FE0"/>
    <w:rsid w:val="00925FE1"/>
    <w:rsid w:val="00925FF6"/>
    <w:rsid w:val="00926094"/>
    <w:rsid w:val="009260AD"/>
    <w:rsid w:val="0092611B"/>
    <w:rsid w:val="0092623A"/>
    <w:rsid w:val="009264D0"/>
    <w:rsid w:val="00926657"/>
    <w:rsid w:val="0092688B"/>
    <w:rsid w:val="009269AB"/>
    <w:rsid w:val="00926A42"/>
    <w:rsid w:val="00926A5F"/>
    <w:rsid w:val="00926AA0"/>
    <w:rsid w:val="00926CCF"/>
    <w:rsid w:val="00926CD5"/>
    <w:rsid w:val="00926E14"/>
    <w:rsid w:val="00926E97"/>
    <w:rsid w:val="00926ECA"/>
    <w:rsid w:val="00926EEB"/>
    <w:rsid w:val="009270BB"/>
    <w:rsid w:val="00927184"/>
    <w:rsid w:val="009271DE"/>
    <w:rsid w:val="0092735B"/>
    <w:rsid w:val="00927363"/>
    <w:rsid w:val="00927412"/>
    <w:rsid w:val="009275FA"/>
    <w:rsid w:val="00927607"/>
    <w:rsid w:val="00927832"/>
    <w:rsid w:val="009278C1"/>
    <w:rsid w:val="0092790F"/>
    <w:rsid w:val="009279A2"/>
    <w:rsid w:val="00927A57"/>
    <w:rsid w:val="00927AA1"/>
    <w:rsid w:val="00927BE5"/>
    <w:rsid w:val="00927D73"/>
    <w:rsid w:val="00927DEF"/>
    <w:rsid w:val="00930085"/>
    <w:rsid w:val="009300AE"/>
    <w:rsid w:val="0093034F"/>
    <w:rsid w:val="009305AE"/>
    <w:rsid w:val="00930603"/>
    <w:rsid w:val="009306C2"/>
    <w:rsid w:val="00930730"/>
    <w:rsid w:val="0093093C"/>
    <w:rsid w:val="00930AA7"/>
    <w:rsid w:val="00930B2F"/>
    <w:rsid w:val="00930B87"/>
    <w:rsid w:val="00930BA6"/>
    <w:rsid w:val="00930C2E"/>
    <w:rsid w:val="00930C31"/>
    <w:rsid w:val="00930CDB"/>
    <w:rsid w:val="00930D2A"/>
    <w:rsid w:val="00930EF8"/>
    <w:rsid w:val="00930F6A"/>
    <w:rsid w:val="00931129"/>
    <w:rsid w:val="009311C3"/>
    <w:rsid w:val="00931254"/>
    <w:rsid w:val="0093132E"/>
    <w:rsid w:val="0093140B"/>
    <w:rsid w:val="009317FD"/>
    <w:rsid w:val="00931B3B"/>
    <w:rsid w:val="00931C26"/>
    <w:rsid w:val="00931D78"/>
    <w:rsid w:val="00931E6C"/>
    <w:rsid w:val="00931ECE"/>
    <w:rsid w:val="0093234D"/>
    <w:rsid w:val="0093253C"/>
    <w:rsid w:val="00932662"/>
    <w:rsid w:val="00932D81"/>
    <w:rsid w:val="00932D9A"/>
    <w:rsid w:val="00932E8C"/>
    <w:rsid w:val="00932E98"/>
    <w:rsid w:val="00932F8E"/>
    <w:rsid w:val="00933079"/>
    <w:rsid w:val="00933087"/>
    <w:rsid w:val="00933133"/>
    <w:rsid w:val="0093329F"/>
    <w:rsid w:val="00933339"/>
    <w:rsid w:val="0093343E"/>
    <w:rsid w:val="00933461"/>
    <w:rsid w:val="00933480"/>
    <w:rsid w:val="009336A0"/>
    <w:rsid w:val="0093380D"/>
    <w:rsid w:val="009339CC"/>
    <w:rsid w:val="00933A04"/>
    <w:rsid w:val="00933BEB"/>
    <w:rsid w:val="00933F94"/>
    <w:rsid w:val="00934087"/>
    <w:rsid w:val="009340E2"/>
    <w:rsid w:val="00934169"/>
    <w:rsid w:val="00934278"/>
    <w:rsid w:val="0093433C"/>
    <w:rsid w:val="009346BD"/>
    <w:rsid w:val="00934789"/>
    <w:rsid w:val="009347D3"/>
    <w:rsid w:val="00934892"/>
    <w:rsid w:val="009348FD"/>
    <w:rsid w:val="00934AF3"/>
    <w:rsid w:val="00934B3F"/>
    <w:rsid w:val="00934C59"/>
    <w:rsid w:val="00934D1D"/>
    <w:rsid w:val="00934DF8"/>
    <w:rsid w:val="0093503C"/>
    <w:rsid w:val="00935096"/>
    <w:rsid w:val="00935162"/>
    <w:rsid w:val="00935315"/>
    <w:rsid w:val="0093531E"/>
    <w:rsid w:val="009353DF"/>
    <w:rsid w:val="009353E2"/>
    <w:rsid w:val="0093540D"/>
    <w:rsid w:val="009354BE"/>
    <w:rsid w:val="009354C3"/>
    <w:rsid w:val="0093559E"/>
    <w:rsid w:val="009356A2"/>
    <w:rsid w:val="00935764"/>
    <w:rsid w:val="0093598F"/>
    <w:rsid w:val="00935AF3"/>
    <w:rsid w:val="00935BC4"/>
    <w:rsid w:val="00935EC6"/>
    <w:rsid w:val="00935F1B"/>
    <w:rsid w:val="00935FF1"/>
    <w:rsid w:val="00936009"/>
    <w:rsid w:val="009361FF"/>
    <w:rsid w:val="009362D2"/>
    <w:rsid w:val="0093648F"/>
    <w:rsid w:val="009364EC"/>
    <w:rsid w:val="009365D2"/>
    <w:rsid w:val="0093668D"/>
    <w:rsid w:val="009366FC"/>
    <w:rsid w:val="0093673D"/>
    <w:rsid w:val="00936791"/>
    <w:rsid w:val="009367FB"/>
    <w:rsid w:val="0093681A"/>
    <w:rsid w:val="0093696C"/>
    <w:rsid w:val="00936B3E"/>
    <w:rsid w:val="00936BD6"/>
    <w:rsid w:val="00936BE4"/>
    <w:rsid w:val="00936C7A"/>
    <w:rsid w:val="00936D21"/>
    <w:rsid w:val="00936DD6"/>
    <w:rsid w:val="00936E98"/>
    <w:rsid w:val="00936F51"/>
    <w:rsid w:val="00936F9C"/>
    <w:rsid w:val="0093708A"/>
    <w:rsid w:val="009371FC"/>
    <w:rsid w:val="00937207"/>
    <w:rsid w:val="00937243"/>
    <w:rsid w:val="0093728E"/>
    <w:rsid w:val="00937371"/>
    <w:rsid w:val="00937390"/>
    <w:rsid w:val="0093754E"/>
    <w:rsid w:val="0093761C"/>
    <w:rsid w:val="009377CD"/>
    <w:rsid w:val="00937858"/>
    <w:rsid w:val="00937871"/>
    <w:rsid w:val="0093791D"/>
    <w:rsid w:val="00937989"/>
    <w:rsid w:val="00937A46"/>
    <w:rsid w:val="00937AEC"/>
    <w:rsid w:val="00937B56"/>
    <w:rsid w:val="00937B93"/>
    <w:rsid w:val="00937FDA"/>
    <w:rsid w:val="0094004D"/>
    <w:rsid w:val="00940130"/>
    <w:rsid w:val="0094019D"/>
    <w:rsid w:val="00940204"/>
    <w:rsid w:val="009402FD"/>
    <w:rsid w:val="009403DE"/>
    <w:rsid w:val="00940422"/>
    <w:rsid w:val="00940468"/>
    <w:rsid w:val="0094059C"/>
    <w:rsid w:val="00940662"/>
    <w:rsid w:val="009406DD"/>
    <w:rsid w:val="009407A4"/>
    <w:rsid w:val="009407EE"/>
    <w:rsid w:val="0094082B"/>
    <w:rsid w:val="00940BC5"/>
    <w:rsid w:val="00940C9C"/>
    <w:rsid w:val="00940D32"/>
    <w:rsid w:val="0094106C"/>
    <w:rsid w:val="009411C6"/>
    <w:rsid w:val="009411DC"/>
    <w:rsid w:val="009412AF"/>
    <w:rsid w:val="00941525"/>
    <w:rsid w:val="0094158D"/>
    <w:rsid w:val="009415BF"/>
    <w:rsid w:val="00941623"/>
    <w:rsid w:val="009416AA"/>
    <w:rsid w:val="009416EA"/>
    <w:rsid w:val="00941783"/>
    <w:rsid w:val="009417C1"/>
    <w:rsid w:val="009417CA"/>
    <w:rsid w:val="0094192A"/>
    <w:rsid w:val="00941A7F"/>
    <w:rsid w:val="00941AA7"/>
    <w:rsid w:val="00941B07"/>
    <w:rsid w:val="00941C4F"/>
    <w:rsid w:val="00941CC8"/>
    <w:rsid w:val="00941D1C"/>
    <w:rsid w:val="00941D40"/>
    <w:rsid w:val="00941EAB"/>
    <w:rsid w:val="00941ED2"/>
    <w:rsid w:val="00941FAF"/>
    <w:rsid w:val="00941FD4"/>
    <w:rsid w:val="00941FF9"/>
    <w:rsid w:val="00942079"/>
    <w:rsid w:val="009420DF"/>
    <w:rsid w:val="00942222"/>
    <w:rsid w:val="009423A6"/>
    <w:rsid w:val="0094242E"/>
    <w:rsid w:val="0094257B"/>
    <w:rsid w:val="009426FA"/>
    <w:rsid w:val="009429C2"/>
    <w:rsid w:val="00942AA7"/>
    <w:rsid w:val="00942AC8"/>
    <w:rsid w:val="00942B45"/>
    <w:rsid w:val="00942B5B"/>
    <w:rsid w:val="00942C11"/>
    <w:rsid w:val="00942CBE"/>
    <w:rsid w:val="00942E42"/>
    <w:rsid w:val="00942EE8"/>
    <w:rsid w:val="00942FCB"/>
    <w:rsid w:val="00942FD6"/>
    <w:rsid w:val="009430E0"/>
    <w:rsid w:val="009431DD"/>
    <w:rsid w:val="00943343"/>
    <w:rsid w:val="009433E0"/>
    <w:rsid w:val="0094347B"/>
    <w:rsid w:val="0094349B"/>
    <w:rsid w:val="00943510"/>
    <w:rsid w:val="0094351F"/>
    <w:rsid w:val="00943557"/>
    <w:rsid w:val="00943606"/>
    <w:rsid w:val="009436BD"/>
    <w:rsid w:val="009437E6"/>
    <w:rsid w:val="009438BB"/>
    <w:rsid w:val="009438D6"/>
    <w:rsid w:val="009439B4"/>
    <w:rsid w:val="009439DC"/>
    <w:rsid w:val="00943AE3"/>
    <w:rsid w:val="00943AE6"/>
    <w:rsid w:val="00943B14"/>
    <w:rsid w:val="00943BB0"/>
    <w:rsid w:val="00943C08"/>
    <w:rsid w:val="00943C14"/>
    <w:rsid w:val="00943D34"/>
    <w:rsid w:val="00943EA1"/>
    <w:rsid w:val="00943F09"/>
    <w:rsid w:val="00943F8D"/>
    <w:rsid w:val="00944213"/>
    <w:rsid w:val="009442DA"/>
    <w:rsid w:val="0094437D"/>
    <w:rsid w:val="009444FF"/>
    <w:rsid w:val="00944674"/>
    <w:rsid w:val="0094485B"/>
    <w:rsid w:val="00944899"/>
    <w:rsid w:val="00944A29"/>
    <w:rsid w:val="00944B4B"/>
    <w:rsid w:val="00944CE3"/>
    <w:rsid w:val="00944CEB"/>
    <w:rsid w:val="00944E1F"/>
    <w:rsid w:val="00944E38"/>
    <w:rsid w:val="00944ECD"/>
    <w:rsid w:val="00944EE6"/>
    <w:rsid w:val="00944FD7"/>
    <w:rsid w:val="00945077"/>
    <w:rsid w:val="00945280"/>
    <w:rsid w:val="0094542D"/>
    <w:rsid w:val="009455A1"/>
    <w:rsid w:val="009456A8"/>
    <w:rsid w:val="00945737"/>
    <w:rsid w:val="00945903"/>
    <w:rsid w:val="0094590C"/>
    <w:rsid w:val="0094590E"/>
    <w:rsid w:val="00945A41"/>
    <w:rsid w:val="00945B32"/>
    <w:rsid w:val="00945C77"/>
    <w:rsid w:val="00945D1E"/>
    <w:rsid w:val="00945FEE"/>
    <w:rsid w:val="00946086"/>
    <w:rsid w:val="009460AA"/>
    <w:rsid w:val="00946138"/>
    <w:rsid w:val="0094614C"/>
    <w:rsid w:val="0094631F"/>
    <w:rsid w:val="00946550"/>
    <w:rsid w:val="0094679D"/>
    <w:rsid w:val="009467EE"/>
    <w:rsid w:val="00946856"/>
    <w:rsid w:val="00946A88"/>
    <w:rsid w:val="00946CC6"/>
    <w:rsid w:val="00946DEC"/>
    <w:rsid w:val="00946F97"/>
    <w:rsid w:val="00947040"/>
    <w:rsid w:val="00947153"/>
    <w:rsid w:val="0094718E"/>
    <w:rsid w:val="00947203"/>
    <w:rsid w:val="00947231"/>
    <w:rsid w:val="009473E6"/>
    <w:rsid w:val="00947522"/>
    <w:rsid w:val="00947536"/>
    <w:rsid w:val="00947568"/>
    <w:rsid w:val="009475D5"/>
    <w:rsid w:val="00947781"/>
    <w:rsid w:val="009477E2"/>
    <w:rsid w:val="00947965"/>
    <w:rsid w:val="00947A6B"/>
    <w:rsid w:val="00947C3E"/>
    <w:rsid w:val="00947D8F"/>
    <w:rsid w:val="00947DFF"/>
    <w:rsid w:val="00947F13"/>
    <w:rsid w:val="00947FFC"/>
    <w:rsid w:val="009501F9"/>
    <w:rsid w:val="00950335"/>
    <w:rsid w:val="00950388"/>
    <w:rsid w:val="00950408"/>
    <w:rsid w:val="009505A2"/>
    <w:rsid w:val="00950699"/>
    <w:rsid w:val="009506FF"/>
    <w:rsid w:val="009507A0"/>
    <w:rsid w:val="00950856"/>
    <w:rsid w:val="00950AE9"/>
    <w:rsid w:val="00950B5B"/>
    <w:rsid w:val="00950B72"/>
    <w:rsid w:val="00950E13"/>
    <w:rsid w:val="009510D6"/>
    <w:rsid w:val="009510ED"/>
    <w:rsid w:val="00951233"/>
    <w:rsid w:val="009513D6"/>
    <w:rsid w:val="0095159C"/>
    <w:rsid w:val="009515C2"/>
    <w:rsid w:val="0095167D"/>
    <w:rsid w:val="0095168F"/>
    <w:rsid w:val="0095175A"/>
    <w:rsid w:val="009518AE"/>
    <w:rsid w:val="009518DB"/>
    <w:rsid w:val="009518DD"/>
    <w:rsid w:val="0095197A"/>
    <w:rsid w:val="009519C9"/>
    <w:rsid w:val="00951A21"/>
    <w:rsid w:val="00951AD2"/>
    <w:rsid w:val="00951CE3"/>
    <w:rsid w:val="00951EFE"/>
    <w:rsid w:val="00952140"/>
    <w:rsid w:val="00952206"/>
    <w:rsid w:val="009522F1"/>
    <w:rsid w:val="009522F8"/>
    <w:rsid w:val="0095240F"/>
    <w:rsid w:val="00952518"/>
    <w:rsid w:val="00952579"/>
    <w:rsid w:val="00952585"/>
    <w:rsid w:val="00952752"/>
    <w:rsid w:val="009527E8"/>
    <w:rsid w:val="009529E1"/>
    <w:rsid w:val="00952AE9"/>
    <w:rsid w:val="00952C8D"/>
    <w:rsid w:val="00952CFF"/>
    <w:rsid w:val="00952D39"/>
    <w:rsid w:val="00952F07"/>
    <w:rsid w:val="00952FBE"/>
    <w:rsid w:val="00953170"/>
    <w:rsid w:val="00953263"/>
    <w:rsid w:val="009533AF"/>
    <w:rsid w:val="009535D8"/>
    <w:rsid w:val="009536E3"/>
    <w:rsid w:val="009537AC"/>
    <w:rsid w:val="009537E9"/>
    <w:rsid w:val="0095380A"/>
    <w:rsid w:val="00953815"/>
    <w:rsid w:val="00953857"/>
    <w:rsid w:val="00953984"/>
    <w:rsid w:val="00953990"/>
    <w:rsid w:val="00953A4E"/>
    <w:rsid w:val="00953A6F"/>
    <w:rsid w:val="00953AD4"/>
    <w:rsid w:val="00953C30"/>
    <w:rsid w:val="00953D52"/>
    <w:rsid w:val="00953D99"/>
    <w:rsid w:val="00953DB1"/>
    <w:rsid w:val="00953DB5"/>
    <w:rsid w:val="0095430D"/>
    <w:rsid w:val="00954378"/>
    <w:rsid w:val="00954406"/>
    <w:rsid w:val="00954593"/>
    <w:rsid w:val="009545FE"/>
    <w:rsid w:val="0095467E"/>
    <w:rsid w:val="009546EE"/>
    <w:rsid w:val="00954703"/>
    <w:rsid w:val="0095473B"/>
    <w:rsid w:val="00954792"/>
    <w:rsid w:val="0095479C"/>
    <w:rsid w:val="009547F8"/>
    <w:rsid w:val="00954A99"/>
    <w:rsid w:val="00954B43"/>
    <w:rsid w:val="00954DCB"/>
    <w:rsid w:val="00954E8F"/>
    <w:rsid w:val="00954EC6"/>
    <w:rsid w:val="009553A8"/>
    <w:rsid w:val="0095554A"/>
    <w:rsid w:val="009555F1"/>
    <w:rsid w:val="00955973"/>
    <w:rsid w:val="00955C29"/>
    <w:rsid w:val="00955CDA"/>
    <w:rsid w:val="00955EF7"/>
    <w:rsid w:val="009560D6"/>
    <w:rsid w:val="009560F1"/>
    <w:rsid w:val="00956203"/>
    <w:rsid w:val="009562A7"/>
    <w:rsid w:val="009563A7"/>
    <w:rsid w:val="009563EB"/>
    <w:rsid w:val="009564AC"/>
    <w:rsid w:val="0095680C"/>
    <w:rsid w:val="00956A4D"/>
    <w:rsid w:val="00956D96"/>
    <w:rsid w:val="0095709C"/>
    <w:rsid w:val="00957244"/>
    <w:rsid w:val="0095727C"/>
    <w:rsid w:val="009572BF"/>
    <w:rsid w:val="00957471"/>
    <w:rsid w:val="00957747"/>
    <w:rsid w:val="0095784E"/>
    <w:rsid w:val="009578D8"/>
    <w:rsid w:val="00957970"/>
    <w:rsid w:val="00957A83"/>
    <w:rsid w:val="00957B15"/>
    <w:rsid w:val="00957B7E"/>
    <w:rsid w:val="00957D23"/>
    <w:rsid w:val="00957D8F"/>
    <w:rsid w:val="00957EFB"/>
    <w:rsid w:val="0096020B"/>
    <w:rsid w:val="00960343"/>
    <w:rsid w:val="00960572"/>
    <w:rsid w:val="0096069E"/>
    <w:rsid w:val="009608AF"/>
    <w:rsid w:val="00960A13"/>
    <w:rsid w:val="00960A29"/>
    <w:rsid w:val="00960AAA"/>
    <w:rsid w:val="00960C6D"/>
    <w:rsid w:val="00960DD7"/>
    <w:rsid w:val="00960F7E"/>
    <w:rsid w:val="00961001"/>
    <w:rsid w:val="00961009"/>
    <w:rsid w:val="00961176"/>
    <w:rsid w:val="009611FF"/>
    <w:rsid w:val="00961282"/>
    <w:rsid w:val="009612E8"/>
    <w:rsid w:val="009613BD"/>
    <w:rsid w:val="009614A5"/>
    <w:rsid w:val="00961514"/>
    <w:rsid w:val="00961576"/>
    <w:rsid w:val="00961580"/>
    <w:rsid w:val="0096162B"/>
    <w:rsid w:val="00961703"/>
    <w:rsid w:val="0096196F"/>
    <w:rsid w:val="009619E0"/>
    <w:rsid w:val="00961A5A"/>
    <w:rsid w:val="00961E6E"/>
    <w:rsid w:val="00961F2D"/>
    <w:rsid w:val="00961FAF"/>
    <w:rsid w:val="00962235"/>
    <w:rsid w:val="00962315"/>
    <w:rsid w:val="009623F0"/>
    <w:rsid w:val="0096244A"/>
    <w:rsid w:val="00962735"/>
    <w:rsid w:val="00962878"/>
    <w:rsid w:val="00962A5C"/>
    <w:rsid w:val="00962ACF"/>
    <w:rsid w:val="00962B2F"/>
    <w:rsid w:val="00962DA8"/>
    <w:rsid w:val="00962EC7"/>
    <w:rsid w:val="00962F42"/>
    <w:rsid w:val="0096301C"/>
    <w:rsid w:val="00963047"/>
    <w:rsid w:val="009630EB"/>
    <w:rsid w:val="0096314A"/>
    <w:rsid w:val="00963177"/>
    <w:rsid w:val="009631F3"/>
    <w:rsid w:val="009632D6"/>
    <w:rsid w:val="00963506"/>
    <w:rsid w:val="009637EB"/>
    <w:rsid w:val="00963815"/>
    <w:rsid w:val="009639FB"/>
    <w:rsid w:val="00963BAB"/>
    <w:rsid w:val="00963C1B"/>
    <w:rsid w:val="00963F28"/>
    <w:rsid w:val="00964035"/>
    <w:rsid w:val="00964065"/>
    <w:rsid w:val="0096407D"/>
    <w:rsid w:val="009640DF"/>
    <w:rsid w:val="0096413A"/>
    <w:rsid w:val="0096414B"/>
    <w:rsid w:val="0096414C"/>
    <w:rsid w:val="0096437E"/>
    <w:rsid w:val="0096453D"/>
    <w:rsid w:val="00964545"/>
    <w:rsid w:val="0096459A"/>
    <w:rsid w:val="009645E7"/>
    <w:rsid w:val="00964660"/>
    <w:rsid w:val="009647D6"/>
    <w:rsid w:val="0096487C"/>
    <w:rsid w:val="00964A72"/>
    <w:rsid w:val="00964A86"/>
    <w:rsid w:val="00964CCC"/>
    <w:rsid w:val="00964E7E"/>
    <w:rsid w:val="00965094"/>
    <w:rsid w:val="00965120"/>
    <w:rsid w:val="009651CB"/>
    <w:rsid w:val="00965201"/>
    <w:rsid w:val="0096523A"/>
    <w:rsid w:val="0096524B"/>
    <w:rsid w:val="00965280"/>
    <w:rsid w:val="00965316"/>
    <w:rsid w:val="0096539C"/>
    <w:rsid w:val="0096576F"/>
    <w:rsid w:val="00965855"/>
    <w:rsid w:val="009658BE"/>
    <w:rsid w:val="00965A90"/>
    <w:rsid w:val="00965C6F"/>
    <w:rsid w:val="00965E87"/>
    <w:rsid w:val="0096648E"/>
    <w:rsid w:val="00966552"/>
    <w:rsid w:val="00966590"/>
    <w:rsid w:val="00966705"/>
    <w:rsid w:val="00966876"/>
    <w:rsid w:val="00966896"/>
    <w:rsid w:val="009669F6"/>
    <w:rsid w:val="00966A17"/>
    <w:rsid w:val="00966AEA"/>
    <w:rsid w:val="00966D2F"/>
    <w:rsid w:val="00966E50"/>
    <w:rsid w:val="00966E8A"/>
    <w:rsid w:val="00966F32"/>
    <w:rsid w:val="00966F65"/>
    <w:rsid w:val="00967048"/>
    <w:rsid w:val="009671D6"/>
    <w:rsid w:val="009673FE"/>
    <w:rsid w:val="0096749E"/>
    <w:rsid w:val="00967567"/>
    <w:rsid w:val="00967644"/>
    <w:rsid w:val="009676C7"/>
    <w:rsid w:val="009676C9"/>
    <w:rsid w:val="00967720"/>
    <w:rsid w:val="00967A6B"/>
    <w:rsid w:val="00967ACC"/>
    <w:rsid w:val="00967B57"/>
    <w:rsid w:val="00967B63"/>
    <w:rsid w:val="00967C67"/>
    <w:rsid w:val="00967C80"/>
    <w:rsid w:val="00967D04"/>
    <w:rsid w:val="00967E89"/>
    <w:rsid w:val="00967EE8"/>
    <w:rsid w:val="00967F0A"/>
    <w:rsid w:val="0097005B"/>
    <w:rsid w:val="009700BB"/>
    <w:rsid w:val="00970150"/>
    <w:rsid w:val="009702A8"/>
    <w:rsid w:val="009702AF"/>
    <w:rsid w:val="00970444"/>
    <w:rsid w:val="00970528"/>
    <w:rsid w:val="00970581"/>
    <w:rsid w:val="009706F5"/>
    <w:rsid w:val="009707BC"/>
    <w:rsid w:val="00970810"/>
    <w:rsid w:val="009709BD"/>
    <w:rsid w:val="00970AA2"/>
    <w:rsid w:val="00970B43"/>
    <w:rsid w:val="00970B5A"/>
    <w:rsid w:val="00970BA3"/>
    <w:rsid w:val="00970C20"/>
    <w:rsid w:val="00970D14"/>
    <w:rsid w:val="00970D24"/>
    <w:rsid w:val="00970E54"/>
    <w:rsid w:val="009710B0"/>
    <w:rsid w:val="00971299"/>
    <w:rsid w:val="009712CB"/>
    <w:rsid w:val="00971347"/>
    <w:rsid w:val="00971361"/>
    <w:rsid w:val="00971405"/>
    <w:rsid w:val="00971414"/>
    <w:rsid w:val="009715E2"/>
    <w:rsid w:val="009716EC"/>
    <w:rsid w:val="00971A62"/>
    <w:rsid w:val="00971B51"/>
    <w:rsid w:val="00971BBB"/>
    <w:rsid w:val="00971C17"/>
    <w:rsid w:val="00971C90"/>
    <w:rsid w:val="00971C9B"/>
    <w:rsid w:val="00971CAC"/>
    <w:rsid w:val="00971E1C"/>
    <w:rsid w:val="00972081"/>
    <w:rsid w:val="0097209A"/>
    <w:rsid w:val="009721B4"/>
    <w:rsid w:val="009721B8"/>
    <w:rsid w:val="0097229A"/>
    <w:rsid w:val="0097229B"/>
    <w:rsid w:val="009722B2"/>
    <w:rsid w:val="00972333"/>
    <w:rsid w:val="0097233E"/>
    <w:rsid w:val="009723D3"/>
    <w:rsid w:val="009724F3"/>
    <w:rsid w:val="00972557"/>
    <w:rsid w:val="00972655"/>
    <w:rsid w:val="00972686"/>
    <w:rsid w:val="00972714"/>
    <w:rsid w:val="009727ED"/>
    <w:rsid w:val="00972848"/>
    <w:rsid w:val="00972860"/>
    <w:rsid w:val="00972873"/>
    <w:rsid w:val="009728B2"/>
    <w:rsid w:val="009728DA"/>
    <w:rsid w:val="0097294A"/>
    <w:rsid w:val="009729D4"/>
    <w:rsid w:val="00972B63"/>
    <w:rsid w:val="00972B84"/>
    <w:rsid w:val="00972BF6"/>
    <w:rsid w:val="00972C36"/>
    <w:rsid w:val="00972C62"/>
    <w:rsid w:val="00972D37"/>
    <w:rsid w:val="00972F99"/>
    <w:rsid w:val="00973026"/>
    <w:rsid w:val="00973046"/>
    <w:rsid w:val="009731B5"/>
    <w:rsid w:val="0097323C"/>
    <w:rsid w:val="00973312"/>
    <w:rsid w:val="00973387"/>
    <w:rsid w:val="00973629"/>
    <w:rsid w:val="0097362E"/>
    <w:rsid w:val="00973742"/>
    <w:rsid w:val="0097385B"/>
    <w:rsid w:val="00973909"/>
    <w:rsid w:val="00973976"/>
    <w:rsid w:val="00973A10"/>
    <w:rsid w:val="00973A97"/>
    <w:rsid w:val="00973AA7"/>
    <w:rsid w:val="00973D85"/>
    <w:rsid w:val="00973DDA"/>
    <w:rsid w:val="00973DE6"/>
    <w:rsid w:val="00974013"/>
    <w:rsid w:val="0097411C"/>
    <w:rsid w:val="00974138"/>
    <w:rsid w:val="00974409"/>
    <w:rsid w:val="009746F6"/>
    <w:rsid w:val="00974828"/>
    <w:rsid w:val="00974ACD"/>
    <w:rsid w:val="00974AE0"/>
    <w:rsid w:val="00974C78"/>
    <w:rsid w:val="00974D78"/>
    <w:rsid w:val="00974F71"/>
    <w:rsid w:val="00974FC9"/>
    <w:rsid w:val="009750FC"/>
    <w:rsid w:val="00975116"/>
    <w:rsid w:val="009752BD"/>
    <w:rsid w:val="00975360"/>
    <w:rsid w:val="009753BC"/>
    <w:rsid w:val="0097557A"/>
    <w:rsid w:val="00975684"/>
    <w:rsid w:val="00975698"/>
    <w:rsid w:val="009756D4"/>
    <w:rsid w:val="009759BE"/>
    <w:rsid w:val="00975A58"/>
    <w:rsid w:val="00975AE0"/>
    <w:rsid w:val="00975CCC"/>
    <w:rsid w:val="00975CD3"/>
    <w:rsid w:val="00975DF2"/>
    <w:rsid w:val="00975E6A"/>
    <w:rsid w:val="00975ECA"/>
    <w:rsid w:val="00975F37"/>
    <w:rsid w:val="0097611A"/>
    <w:rsid w:val="009761BA"/>
    <w:rsid w:val="009761CC"/>
    <w:rsid w:val="009763C4"/>
    <w:rsid w:val="009763CF"/>
    <w:rsid w:val="0097665F"/>
    <w:rsid w:val="009766A4"/>
    <w:rsid w:val="009766CB"/>
    <w:rsid w:val="00976733"/>
    <w:rsid w:val="009768D3"/>
    <w:rsid w:val="009768DB"/>
    <w:rsid w:val="009769DC"/>
    <w:rsid w:val="00976A3C"/>
    <w:rsid w:val="00976B2C"/>
    <w:rsid w:val="00976CD1"/>
    <w:rsid w:val="00976D1A"/>
    <w:rsid w:val="00976D1C"/>
    <w:rsid w:val="00976D29"/>
    <w:rsid w:val="00976D35"/>
    <w:rsid w:val="00976D56"/>
    <w:rsid w:val="00976D90"/>
    <w:rsid w:val="00976F5A"/>
    <w:rsid w:val="00977008"/>
    <w:rsid w:val="00977362"/>
    <w:rsid w:val="00977462"/>
    <w:rsid w:val="009774C1"/>
    <w:rsid w:val="00977529"/>
    <w:rsid w:val="009775A2"/>
    <w:rsid w:val="0097774B"/>
    <w:rsid w:val="009777B4"/>
    <w:rsid w:val="009777D3"/>
    <w:rsid w:val="00977829"/>
    <w:rsid w:val="0097786E"/>
    <w:rsid w:val="009778C0"/>
    <w:rsid w:val="00977BA9"/>
    <w:rsid w:val="00977CB2"/>
    <w:rsid w:val="00977DB6"/>
    <w:rsid w:val="00977E18"/>
    <w:rsid w:val="00977FEF"/>
    <w:rsid w:val="009800C3"/>
    <w:rsid w:val="00980168"/>
    <w:rsid w:val="0098025C"/>
    <w:rsid w:val="0098057B"/>
    <w:rsid w:val="009805CA"/>
    <w:rsid w:val="00980759"/>
    <w:rsid w:val="00980801"/>
    <w:rsid w:val="00980839"/>
    <w:rsid w:val="0098095D"/>
    <w:rsid w:val="00980A62"/>
    <w:rsid w:val="00980E23"/>
    <w:rsid w:val="00980EC5"/>
    <w:rsid w:val="00980EEA"/>
    <w:rsid w:val="00980EEB"/>
    <w:rsid w:val="00980F18"/>
    <w:rsid w:val="0098116E"/>
    <w:rsid w:val="00981203"/>
    <w:rsid w:val="00981209"/>
    <w:rsid w:val="00981326"/>
    <w:rsid w:val="0098133A"/>
    <w:rsid w:val="0098141B"/>
    <w:rsid w:val="00981441"/>
    <w:rsid w:val="009814B0"/>
    <w:rsid w:val="00981715"/>
    <w:rsid w:val="0098176B"/>
    <w:rsid w:val="009817B0"/>
    <w:rsid w:val="0098184A"/>
    <w:rsid w:val="009819B9"/>
    <w:rsid w:val="009819DB"/>
    <w:rsid w:val="00981B50"/>
    <w:rsid w:val="00981BEB"/>
    <w:rsid w:val="00981C30"/>
    <w:rsid w:val="00981D37"/>
    <w:rsid w:val="00981E83"/>
    <w:rsid w:val="009821CE"/>
    <w:rsid w:val="00982223"/>
    <w:rsid w:val="00982228"/>
    <w:rsid w:val="0098229D"/>
    <w:rsid w:val="00982314"/>
    <w:rsid w:val="009823D1"/>
    <w:rsid w:val="00982628"/>
    <w:rsid w:val="00982962"/>
    <w:rsid w:val="00982C15"/>
    <w:rsid w:val="00982DE5"/>
    <w:rsid w:val="00982F07"/>
    <w:rsid w:val="00982F67"/>
    <w:rsid w:val="009830F8"/>
    <w:rsid w:val="009834AA"/>
    <w:rsid w:val="0098355E"/>
    <w:rsid w:val="0098358D"/>
    <w:rsid w:val="00983721"/>
    <w:rsid w:val="00983774"/>
    <w:rsid w:val="009837BC"/>
    <w:rsid w:val="0098382A"/>
    <w:rsid w:val="0098387E"/>
    <w:rsid w:val="00983973"/>
    <w:rsid w:val="00983C31"/>
    <w:rsid w:val="00983CCE"/>
    <w:rsid w:val="00983F0B"/>
    <w:rsid w:val="00983F14"/>
    <w:rsid w:val="00984122"/>
    <w:rsid w:val="009841FF"/>
    <w:rsid w:val="00984208"/>
    <w:rsid w:val="00984216"/>
    <w:rsid w:val="009842BD"/>
    <w:rsid w:val="009842EA"/>
    <w:rsid w:val="00984300"/>
    <w:rsid w:val="00984309"/>
    <w:rsid w:val="0098462B"/>
    <w:rsid w:val="009846AB"/>
    <w:rsid w:val="009848BD"/>
    <w:rsid w:val="00984968"/>
    <w:rsid w:val="009849D9"/>
    <w:rsid w:val="00984B72"/>
    <w:rsid w:val="00984BA2"/>
    <w:rsid w:val="00984C1A"/>
    <w:rsid w:val="00984DDF"/>
    <w:rsid w:val="00984EAD"/>
    <w:rsid w:val="00984ED4"/>
    <w:rsid w:val="00984ED9"/>
    <w:rsid w:val="00984F0F"/>
    <w:rsid w:val="00984F7F"/>
    <w:rsid w:val="009850A8"/>
    <w:rsid w:val="0098534B"/>
    <w:rsid w:val="0098547C"/>
    <w:rsid w:val="009854A3"/>
    <w:rsid w:val="0098552E"/>
    <w:rsid w:val="00985724"/>
    <w:rsid w:val="0098580C"/>
    <w:rsid w:val="0098583E"/>
    <w:rsid w:val="00985BF8"/>
    <w:rsid w:val="00985CDF"/>
    <w:rsid w:val="00985D6D"/>
    <w:rsid w:val="00985FD6"/>
    <w:rsid w:val="00985FDB"/>
    <w:rsid w:val="00985FE4"/>
    <w:rsid w:val="00986092"/>
    <w:rsid w:val="009860C8"/>
    <w:rsid w:val="009861A6"/>
    <w:rsid w:val="0098625A"/>
    <w:rsid w:val="009862C9"/>
    <w:rsid w:val="009863C4"/>
    <w:rsid w:val="009863E3"/>
    <w:rsid w:val="0098655D"/>
    <w:rsid w:val="0098656C"/>
    <w:rsid w:val="009866D6"/>
    <w:rsid w:val="0098674A"/>
    <w:rsid w:val="0098681B"/>
    <w:rsid w:val="009868A8"/>
    <w:rsid w:val="009869EE"/>
    <w:rsid w:val="00986A02"/>
    <w:rsid w:val="00986A20"/>
    <w:rsid w:val="00986A72"/>
    <w:rsid w:val="00986AB7"/>
    <w:rsid w:val="00986AD9"/>
    <w:rsid w:val="00986B72"/>
    <w:rsid w:val="00986BA2"/>
    <w:rsid w:val="00986BCA"/>
    <w:rsid w:val="00986C47"/>
    <w:rsid w:val="00986F15"/>
    <w:rsid w:val="00987161"/>
    <w:rsid w:val="009871EE"/>
    <w:rsid w:val="00987282"/>
    <w:rsid w:val="009873FE"/>
    <w:rsid w:val="0098746B"/>
    <w:rsid w:val="0098749A"/>
    <w:rsid w:val="009874AF"/>
    <w:rsid w:val="00987552"/>
    <w:rsid w:val="009875A8"/>
    <w:rsid w:val="0098763D"/>
    <w:rsid w:val="00987645"/>
    <w:rsid w:val="009877A4"/>
    <w:rsid w:val="00987857"/>
    <w:rsid w:val="00987A5D"/>
    <w:rsid w:val="00987C2F"/>
    <w:rsid w:val="00987C58"/>
    <w:rsid w:val="00987D7B"/>
    <w:rsid w:val="00987D7C"/>
    <w:rsid w:val="00987EEE"/>
    <w:rsid w:val="00990132"/>
    <w:rsid w:val="00990331"/>
    <w:rsid w:val="00990467"/>
    <w:rsid w:val="00990485"/>
    <w:rsid w:val="009904C2"/>
    <w:rsid w:val="00990508"/>
    <w:rsid w:val="00990576"/>
    <w:rsid w:val="009905E1"/>
    <w:rsid w:val="00990753"/>
    <w:rsid w:val="00990762"/>
    <w:rsid w:val="00990878"/>
    <w:rsid w:val="0099095A"/>
    <w:rsid w:val="0099099D"/>
    <w:rsid w:val="009909EC"/>
    <w:rsid w:val="00990A62"/>
    <w:rsid w:val="00990A6C"/>
    <w:rsid w:val="00990DEA"/>
    <w:rsid w:val="00990E36"/>
    <w:rsid w:val="00990E7F"/>
    <w:rsid w:val="009911DC"/>
    <w:rsid w:val="00991281"/>
    <w:rsid w:val="00991283"/>
    <w:rsid w:val="009912D3"/>
    <w:rsid w:val="009914B3"/>
    <w:rsid w:val="009914E9"/>
    <w:rsid w:val="009916F5"/>
    <w:rsid w:val="00991704"/>
    <w:rsid w:val="00991956"/>
    <w:rsid w:val="00991972"/>
    <w:rsid w:val="00991AC6"/>
    <w:rsid w:val="00991B7D"/>
    <w:rsid w:val="00991CE7"/>
    <w:rsid w:val="00991D4F"/>
    <w:rsid w:val="00991E79"/>
    <w:rsid w:val="00991F57"/>
    <w:rsid w:val="0099215B"/>
    <w:rsid w:val="00992212"/>
    <w:rsid w:val="00992215"/>
    <w:rsid w:val="00992285"/>
    <w:rsid w:val="00992471"/>
    <w:rsid w:val="00992511"/>
    <w:rsid w:val="009925F1"/>
    <w:rsid w:val="0099267B"/>
    <w:rsid w:val="00992688"/>
    <w:rsid w:val="00992704"/>
    <w:rsid w:val="00992770"/>
    <w:rsid w:val="00992811"/>
    <w:rsid w:val="00992884"/>
    <w:rsid w:val="00992966"/>
    <w:rsid w:val="00992A80"/>
    <w:rsid w:val="00992B7D"/>
    <w:rsid w:val="00992C87"/>
    <w:rsid w:val="00992E2B"/>
    <w:rsid w:val="00992EB4"/>
    <w:rsid w:val="00992EC8"/>
    <w:rsid w:val="00992F6B"/>
    <w:rsid w:val="00993022"/>
    <w:rsid w:val="00993027"/>
    <w:rsid w:val="009930EC"/>
    <w:rsid w:val="0099317B"/>
    <w:rsid w:val="009931C5"/>
    <w:rsid w:val="00993220"/>
    <w:rsid w:val="009932B0"/>
    <w:rsid w:val="009932C9"/>
    <w:rsid w:val="009932EC"/>
    <w:rsid w:val="00993301"/>
    <w:rsid w:val="0099338B"/>
    <w:rsid w:val="009935F0"/>
    <w:rsid w:val="009936C6"/>
    <w:rsid w:val="00993741"/>
    <w:rsid w:val="00993758"/>
    <w:rsid w:val="009937B4"/>
    <w:rsid w:val="00993954"/>
    <w:rsid w:val="00993995"/>
    <w:rsid w:val="0099399F"/>
    <w:rsid w:val="00993C58"/>
    <w:rsid w:val="00993C9D"/>
    <w:rsid w:val="00993D36"/>
    <w:rsid w:val="00993D84"/>
    <w:rsid w:val="00993E73"/>
    <w:rsid w:val="00993E7D"/>
    <w:rsid w:val="00993EDC"/>
    <w:rsid w:val="00993F05"/>
    <w:rsid w:val="00993F41"/>
    <w:rsid w:val="0099401A"/>
    <w:rsid w:val="00994138"/>
    <w:rsid w:val="009941B0"/>
    <w:rsid w:val="00994228"/>
    <w:rsid w:val="00994296"/>
    <w:rsid w:val="00994303"/>
    <w:rsid w:val="0099435C"/>
    <w:rsid w:val="00994445"/>
    <w:rsid w:val="009945E3"/>
    <w:rsid w:val="009948F4"/>
    <w:rsid w:val="00994A18"/>
    <w:rsid w:val="00994B6E"/>
    <w:rsid w:val="00994BA1"/>
    <w:rsid w:val="00994CBB"/>
    <w:rsid w:val="00994DD5"/>
    <w:rsid w:val="00994FEE"/>
    <w:rsid w:val="00995088"/>
    <w:rsid w:val="00995140"/>
    <w:rsid w:val="009951E6"/>
    <w:rsid w:val="0099525A"/>
    <w:rsid w:val="009952F8"/>
    <w:rsid w:val="009953B5"/>
    <w:rsid w:val="00995500"/>
    <w:rsid w:val="00995541"/>
    <w:rsid w:val="009955CD"/>
    <w:rsid w:val="00995641"/>
    <w:rsid w:val="00995669"/>
    <w:rsid w:val="0099584D"/>
    <w:rsid w:val="009958F1"/>
    <w:rsid w:val="00995917"/>
    <w:rsid w:val="009959D6"/>
    <w:rsid w:val="00995CA4"/>
    <w:rsid w:val="00995CAB"/>
    <w:rsid w:val="00995D3B"/>
    <w:rsid w:val="00995DCF"/>
    <w:rsid w:val="00995E95"/>
    <w:rsid w:val="00995F5B"/>
    <w:rsid w:val="00995F61"/>
    <w:rsid w:val="00996066"/>
    <w:rsid w:val="0099608B"/>
    <w:rsid w:val="009961AA"/>
    <w:rsid w:val="009961BF"/>
    <w:rsid w:val="00996227"/>
    <w:rsid w:val="00996304"/>
    <w:rsid w:val="00996307"/>
    <w:rsid w:val="00996358"/>
    <w:rsid w:val="009963BB"/>
    <w:rsid w:val="009963CE"/>
    <w:rsid w:val="009964B7"/>
    <w:rsid w:val="009964EC"/>
    <w:rsid w:val="009964EE"/>
    <w:rsid w:val="00996579"/>
    <w:rsid w:val="0099660A"/>
    <w:rsid w:val="00996757"/>
    <w:rsid w:val="00996875"/>
    <w:rsid w:val="00996925"/>
    <w:rsid w:val="00996995"/>
    <w:rsid w:val="009969EF"/>
    <w:rsid w:val="00996A6E"/>
    <w:rsid w:val="00996B5A"/>
    <w:rsid w:val="00996BFE"/>
    <w:rsid w:val="00996C0C"/>
    <w:rsid w:val="00996DE3"/>
    <w:rsid w:val="00996DED"/>
    <w:rsid w:val="00996EC0"/>
    <w:rsid w:val="00996EE8"/>
    <w:rsid w:val="00996F09"/>
    <w:rsid w:val="00996FA0"/>
    <w:rsid w:val="00996FF4"/>
    <w:rsid w:val="0099717A"/>
    <w:rsid w:val="00997387"/>
    <w:rsid w:val="009973F5"/>
    <w:rsid w:val="00997446"/>
    <w:rsid w:val="009974F4"/>
    <w:rsid w:val="0099752F"/>
    <w:rsid w:val="00997688"/>
    <w:rsid w:val="009976F2"/>
    <w:rsid w:val="0099777B"/>
    <w:rsid w:val="009978BE"/>
    <w:rsid w:val="009978E8"/>
    <w:rsid w:val="00997BB4"/>
    <w:rsid w:val="00997BF9"/>
    <w:rsid w:val="00997C45"/>
    <w:rsid w:val="00997C63"/>
    <w:rsid w:val="00997E87"/>
    <w:rsid w:val="00997F32"/>
    <w:rsid w:val="00997F8E"/>
    <w:rsid w:val="009A03C8"/>
    <w:rsid w:val="009A03D7"/>
    <w:rsid w:val="009A045D"/>
    <w:rsid w:val="009A047B"/>
    <w:rsid w:val="009A04DB"/>
    <w:rsid w:val="009A0977"/>
    <w:rsid w:val="009A0AFB"/>
    <w:rsid w:val="009A0BFC"/>
    <w:rsid w:val="009A0C0C"/>
    <w:rsid w:val="009A0C2D"/>
    <w:rsid w:val="009A0C48"/>
    <w:rsid w:val="009A0C9D"/>
    <w:rsid w:val="009A0CF7"/>
    <w:rsid w:val="009A0D09"/>
    <w:rsid w:val="009A0E66"/>
    <w:rsid w:val="009A0EEA"/>
    <w:rsid w:val="009A1011"/>
    <w:rsid w:val="009A1196"/>
    <w:rsid w:val="009A12D5"/>
    <w:rsid w:val="009A1332"/>
    <w:rsid w:val="009A13F9"/>
    <w:rsid w:val="009A1526"/>
    <w:rsid w:val="009A152D"/>
    <w:rsid w:val="009A167E"/>
    <w:rsid w:val="009A16F4"/>
    <w:rsid w:val="009A17BD"/>
    <w:rsid w:val="009A1810"/>
    <w:rsid w:val="009A1A9B"/>
    <w:rsid w:val="009A1AEE"/>
    <w:rsid w:val="009A1C39"/>
    <w:rsid w:val="009A1C89"/>
    <w:rsid w:val="009A1CFE"/>
    <w:rsid w:val="009A1E9B"/>
    <w:rsid w:val="009A1F4A"/>
    <w:rsid w:val="009A1F67"/>
    <w:rsid w:val="009A1FE0"/>
    <w:rsid w:val="009A20A7"/>
    <w:rsid w:val="009A226D"/>
    <w:rsid w:val="009A22F2"/>
    <w:rsid w:val="009A239E"/>
    <w:rsid w:val="009A2518"/>
    <w:rsid w:val="009A254D"/>
    <w:rsid w:val="009A255D"/>
    <w:rsid w:val="009A2572"/>
    <w:rsid w:val="009A2616"/>
    <w:rsid w:val="009A268F"/>
    <w:rsid w:val="009A26EE"/>
    <w:rsid w:val="009A277C"/>
    <w:rsid w:val="009A2B1A"/>
    <w:rsid w:val="009A2C7A"/>
    <w:rsid w:val="009A2CC5"/>
    <w:rsid w:val="009A2E7F"/>
    <w:rsid w:val="009A2EEF"/>
    <w:rsid w:val="009A3111"/>
    <w:rsid w:val="009A338A"/>
    <w:rsid w:val="009A3485"/>
    <w:rsid w:val="009A34FC"/>
    <w:rsid w:val="009A362E"/>
    <w:rsid w:val="009A36C5"/>
    <w:rsid w:val="009A38D9"/>
    <w:rsid w:val="009A397A"/>
    <w:rsid w:val="009A3A5F"/>
    <w:rsid w:val="009A3A69"/>
    <w:rsid w:val="009A3C78"/>
    <w:rsid w:val="009A3CCC"/>
    <w:rsid w:val="009A3DB5"/>
    <w:rsid w:val="009A3E1B"/>
    <w:rsid w:val="009A4014"/>
    <w:rsid w:val="009A40E9"/>
    <w:rsid w:val="009A413F"/>
    <w:rsid w:val="009A4191"/>
    <w:rsid w:val="009A419F"/>
    <w:rsid w:val="009A4273"/>
    <w:rsid w:val="009A43AA"/>
    <w:rsid w:val="009A447F"/>
    <w:rsid w:val="009A4524"/>
    <w:rsid w:val="009A48D1"/>
    <w:rsid w:val="009A4AB5"/>
    <w:rsid w:val="009A4BDF"/>
    <w:rsid w:val="009A4DDD"/>
    <w:rsid w:val="009A4E8D"/>
    <w:rsid w:val="009A51BF"/>
    <w:rsid w:val="009A5304"/>
    <w:rsid w:val="009A5467"/>
    <w:rsid w:val="009A5536"/>
    <w:rsid w:val="009A5548"/>
    <w:rsid w:val="009A568A"/>
    <w:rsid w:val="009A56B4"/>
    <w:rsid w:val="009A576A"/>
    <w:rsid w:val="009A5813"/>
    <w:rsid w:val="009A58A9"/>
    <w:rsid w:val="009A59DB"/>
    <w:rsid w:val="009A5B03"/>
    <w:rsid w:val="009A5C10"/>
    <w:rsid w:val="009A5CD2"/>
    <w:rsid w:val="009A5E22"/>
    <w:rsid w:val="009A5EFB"/>
    <w:rsid w:val="009A5FE0"/>
    <w:rsid w:val="009A60CD"/>
    <w:rsid w:val="009A619F"/>
    <w:rsid w:val="009A6221"/>
    <w:rsid w:val="009A6270"/>
    <w:rsid w:val="009A6299"/>
    <w:rsid w:val="009A63CC"/>
    <w:rsid w:val="009A63E6"/>
    <w:rsid w:val="009A6411"/>
    <w:rsid w:val="009A658F"/>
    <w:rsid w:val="009A6905"/>
    <w:rsid w:val="009A6C77"/>
    <w:rsid w:val="009A6DF7"/>
    <w:rsid w:val="009A6E3E"/>
    <w:rsid w:val="009A6E6D"/>
    <w:rsid w:val="009A6E91"/>
    <w:rsid w:val="009A6ECC"/>
    <w:rsid w:val="009A6F48"/>
    <w:rsid w:val="009A6FDB"/>
    <w:rsid w:val="009A7139"/>
    <w:rsid w:val="009A7341"/>
    <w:rsid w:val="009A73BF"/>
    <w:rsid w:val="009A743B"/>
    <w:rsid w:val="009A748F"/>
    <w:rsid w:val="009A74DE"/>
    <w:rsid w:val="009A74E1"/>
    <w:rsid w:val="009A74F0"/>
    <w:rsid w:val="009A7721"/>
    <w:rsid w:val="009A7745"/>
    <w:rsid w:val="009A7784"/>
    <w:rsid w:val="009A7853"/>
    <w:rsid w:val="009A7893"/>
    <w:rsid w:val="009A79C3"/>
    <w:rsid w:val="009A79F0"/>
    <w:rsid w:val="009A7BC4"/>
    <w:rsid w:val="009A7C80"/>
    <w:rsid w:val="009A7D22"/>
    <w:rsid w:val="009A7E4D"/>
    <w:rsid w:val="009A7E6C"/>
    <w:rsid w:val="009A7FB1"/>
    <w:rsid w:val="009B01A6"/>
    <w:rsid w:val="009B0244"/>
    <w:rsid w:val="009B029F"/>
    <w:rsid w:val="009B038B"/>
    <w:rsid w:val="009B06ED"/>
    <w:rsid w:val="009B074D"/>
    <w:rsid w:val="009B088F"/>
    <w:rsid w:val="009B08B4"/>
    <w:rsid w:val="009B0910"/>
    <w:rsid w:val="009B0993"/>
    <w:rsid w:val="009B0A16"/>
    <w:rsid w:val="009B0A4E"/>
    <w:rsid w:val="009B0A7C"/>
    <w:rsid w:val="009B0AC4"/>
    <w:rsid w:val="009B0B7B"/>
    <w:rsid w:val="009B0EF5"/>
    <w:rsid w:val="009B0EFB"/>
    <w:rsid w:val="009B0FB1"/>
    <w:rsid w:val="009B1087"/>
    <w:rsid w:val="009B10C3"/>
    <w:rsid w:val="009B10EE"/>
    <w:rsid w:val="009B1149"/>
    <w:rsid w:val="009B1153"/>
    <w:rsid w:val="009B1160"/>
    <w:rsid w:val="009B1290"/>
    <w:rsid w:val="009B12C7"/>
    <w:rsid w:val="009B13C4"/>
    <w:rsid w:val="009B13EB"/>
    <w:rsid w:val="009B1414"/>
    <w:rsid w:val="009B1449"/>
    <w:rsid w:val="009B149C"/>
    <w:rsid w:val="009B167A"/>
    <w:rsid w:val="009B1770"/>
    <w:rsid w:val="009B1929"/>
    <w:rsid w:val="009B1CFC"/>
    <w:rsid w:val="009B1D34"/>
    <w:rsid w:val="009B1E23"/>
    <w:rsid w:val="009B1F1D"/>
    <w:rsid w:val="009B1F29"/>
    <w:rsid w:val="009B1FA0"/>
    <w:rsid w:val="009B2068"/>
    <w:rsid w:val="009B2249"/>
    <w:rsid w:val="009B22F7"/>
    <w:rsid w:val="009B232E"/>
    <w:rsid w:val="009B238B"/>
    <w:rsid w:val="009B23BD"/>
    <w:rsid w:val="009B2421"/>
    <w:rsid w:val="009B24D4"/>
    <w:rsid w:val="009B25A7"/>
    <w:rsid w:val="009B25DB"/>
    <w:rsid w:val="009B26FF"/>
    <w:rsid w:val="009B28B2"/>
    <w:rsid w:val="009B29AC"/>
    <w:rsid w:val="009B2A01"/>
    <w:rsid w:val="009B2A2C"/>
    <w:rsid w:val="009B2BE7"/>
    <w:rsid w:val="009B2D85"/>
    <w:rsid w:val="009B2DA1"/>
    <w:rsid w:val="009B2E66"/>
    <w:rsid w:val="009B2EE4"/>
    <w:rsid w:val="009B3019"/>
    <w:rsid w:val="009B3045"/>
    <w:rsid w:val="009B306B"/>
    <w:rsid w:val="009B309A"/>
    <w:rsid w:val="009B3121"/>
    <w:rsid w:val="009B3199"/>
    <w:rsid w:val="009B31BD"/>
    <w:rsid w:val="009B3381"/>
    <w:rsid w:val="009B33A9"/>
    <w:rsid w:val="009B34A7"/>
    <w:rsid w:val="009B3559"/>
    <w:rsid w:val="009B35D5"/>
    <w:rsid w:val="009B35EF"/>
    <w:rsid w:val="009B3682"/>
    <w:rsid w:val="009B376A"/>
    <w:rsid w:val="009B3801"/>
    <w:rsid w:val="009B38EF"/>
    <w:rsid w:val="009B38F9"/>
    <w:rsid w:val="009B396D"/>
    <w:rsid w:val="009B3A05"/>
    <w:rsid w:val="009B3B49"/>
    <w:rsid w:val="009B3B6C"/>
    <w:rsid w:val="009B3BFA"/>
    <w:rsid w:val="009B3C48"/>
    <w:rsid w:val="009B3E20"/>
    <w:rsid w:val="009B3F43"/>
    <w:rsid w:val="009B4032"/>
    <w:rsid w:val="009B40B7"/>
    <w:rsid w:val="009B42AC"/>
    <w:rsid w:val="009B4374"/>
    <w:rsid w:val="009B4407"/>
    <w:rsid w:val="009B4414"/>
    <w:rsid w:val="009B44CC"/>
    <w:rsid w:val="009B457D"/>
    <w:rsid w:val="009B45EE"/>
    <w:rsid w:val="009B480F"/>
    <w:rsid w:val="009B4814"/>
    <w:rsid w:val="009B4843"/>
    <w:rsid w:val="009B485F"/>
    <w:rsid w:val="009B489F"/>
    <w:rsid w:val="009B496F"/>
    <w:rsid w:val="009B4991"/>
    <w:rsid w:val="009B49B7"/>
    <w:rsid w:val="009B49CE"/>
    <w:rsid w:val="009B49EF"/>
    <w:rsid w:val="009B4B3E"/>
    <w:rsid w:val="009B4C0E"/>
    <w:rsid w:val="009B4CD4"/>
    <w:rsid w:val="009B4CEE"/>
    <w:rsid w:val="009B4DC2"/>
    <w:rsid w:val="009B4E86"/>
    <w:rsid w:val="009B4ED9"/>
    <w:rsid w:val="009B51AD"/>
    <w:rsid w:val="009B520B"/>
    <w:rsid w:val="009B532A"/>
    <w:rsid w:val="009B5344"/>
    <w:rsid w:val="009B549A"/>
    <w:rsid w:val="009B5558"/>
    <w:rsid w:val="009B55AC"/>
    <w:rsid w:val="009B5608"/>
    <w:rsid w:val="009B57EA"/>
    <w:rsid w:val="009B58A6"/>
    <w:rsid w:val="009B59C1"/>
    <w:rsid w:val="009B5A77"/>
    <w:rsid w:val="009B5B4F"/>
    <w:rsid w:val="009B5D4D"/>
    <w:rsid w:val="009B5DD2"/>
    <w:rsid w:val="009B5E59"/>
    <w:rsid w:val="009B5FFF"/>
    <w:rsid w:val="009B6120"/>
    <w:rsid w:val="009B612C"/>
    <w:rsid w:val="009B63F0"/>
    <w:rsid w:val="009B6486"/>
    <w:rsid w:val="009B6524"/>
    <w:rsid w:val="009B65C6"/>
    <w:rsid w:val="009B6608"/>
    <w:rsid w:val="009B6759"/>
    <w:rsid w:val="009B67BB"/>
    <w:rsid w:val="009B688B"/>
    <w:rsid w:val="009B68BE"/>
    <w:rsid w:val="009B6A36"/>
    <w:rsid w:val="009B6AE8"/>
    <w:rsid w:val="009B6B93"/>
    <w:rsid w:val="009B6DCB"/>
    <w:rsid w:val="009B6EBA"/>
    <w:rsid w:val="009B72C1"/>
    <w:rsid w:val="009B7304"/>
    <w:rsid w:val="009B73A4"/>
    <w:rsid w:val="009B7510"/>
    <w:rsid w:val="009B752A"/>
    <w:rsid w:val="009B7664"/>
    <w:rsid w:val="009B78DD"/>
    <w:rsid w:val="009B7976"/>
    <w:rsid w:val="009B7AF6"/>
    <w:rsid w:val="009B7B18"/>
    <w:rsid w:val="009B7B49"/>
    <w:rsid w:val="009B7C1C"/>
    <w:rsid w:val="009B7CC3"/>
    <w:rsid w:val="009B7E23"/>
    <w:rsid w:val="009B7E6A"/>
    <w:rsid w:val="009B7E71"/>
    <w:rsid w:val="009B7F6B"/>
    <w:rsid w:val="009B7FB1"/>
    <w:rsid w:val="009B7FD9"/>
    <w:rsid w:val="009C011D"/>
    <w:rsid w:val="009C01BA"/>
    <w:rsid w:val="009C0272"/>
    <w:rsid w:val="009C03A0"/>
    <w:rsid w:val="009C03DF"/>
    <w:rsid w:val="009C04AB"/>
    <w:rsid w:val="009C04B5"/>
    <w:rsid w:val="009C0616"/>
    <w:rsid w:val="009C066A"/>
    <w:rsid w:val="009C06C2"/>
    <w:rsid w:val="009C06FA"/>
    <w:rsid w:val="009C0BA1"/>
    <w:rsid w:val="009C0C02"/>
    <w:rsid w:val="009C0C1E"/>
    <w:rsid w:val="009C0C57"/>
    <w:rsid w:val="009C0D61"/>
    <w:rsid w:val="009C0E74"/>
    <w:rsid w:val="009C0F5A"/>
    <w:rsid w:val="009C117A"/>
    <w:rsid w:val="009C13E0"/>
    <w:rsid w:val="009C14C8"/>
    <w:rsid w:val="009C176F"/>
    <w:rsid w:val="009C1809"/>
    <w:rsid w:val="009C1CC8"/>
    <w:rsid w:val="009C2007"/>
    <w:rsid w:val="009C2035"/>
    <w:rsid w:val="009C22D2"/>
    <w:rsid w:val="009C232B"/>
    <w:rsid w:val="009C23A6"/>
    <w:rsid w:val="009C255C"/>
    <w:rsid w:val="009C26E1"/>
    <w:rsid w:val="009C2794"/>
    <w:rsid w:val="009C2868"/>
    <w:rsid w:val="009C295A"/>
    <w:rsid w:val="009C2D81"/>
    <w:rsid w:val="009C2DB3"/>
    <w:rsid w:val="009C2DB6"/>
    <w:rsid w:val="009C2DB7"/>
    <w:rsid w:val="009C307B"/>
    <w:rsid w:val="009C3080"/>
    <w:rsid w:val="009C3176"/>
    <w:rsid w:val="009C3263"/>
    <w:rsid w:val="009C32C0"/>
    <w:rsid w:val="009C337F"/>
    <w:rsid w:val="009C3419"/>
    <w:rsid w:val="009C3445"/>
    <w:rsid w:val="009C3470"/>
    <w:rsid w:val="009C34F4"/>
    <w:rsid w:val="009C3569"/>
    <w:rsid w:val="009C36DE"/>
    <w:rsid w:val="009C36E2"/>
    <w:rsid w:val="009C3755"/>
    <w:rsid w:val="009C37E6"/>
    <w:rsid w:val="009C391A"/>
    <w:rsid w:val="009C3BA7"/>
    <w:rsid w:val="009C3D22"/>
    <w:rsid w:val="009C3D9D"/>
    <w:rsid w:val="009C3DD8"/>
    <w:rsid w:val="009C3E55"/>
    <w:rsid w:val="009C3EF0"/>
    <w:rsid w:val="009C3F63"/>
    <w:rsid w:val="009C3F78"/>
    <w:rsid w:val="009C3FD9"/>
    <w:rsid w:val="009C4008"/>
    <w:rsid w:val="009C400E"/>
    <w:rsid w:val="009C4041"/>
    <w:rsid w:val="009C407C"/>
    <w:rsid w:val="009C40C6"/>
    <w:rsid w:val="009C4171"/>
    <w:rsid w:val="009C4325"/>
    <w:rsid w:val="009C4332"/>
    <w:rsid w:val="009C4348"/>
    <w:rsid w:val="009C443D"/>
    <w:rsid w:val="009C45A1"/>
    <w:rsid w:val="009C49BB"/>
    <w:rsid w:val="009C4A74"/>
    <w:rsid w:val="009C4AC0"/>
    <w:rsid w:val="009C4C74"/>
    <w:rsid w:val="009C4E08"/>
    <w:rsid w:val="009C4E86"/>
    <w:rsid w:val="009C4FA5"/>
    <w:rsid w:val="009C4FF1"/>
    <w:rsid w:val="009C508E"/>
    <w:rsid w:val="009C50FE"/>
    <w:rsid w:val="009C519B"/>
    <w:rsid w:val="009C51C3"/>
    <w:rsid w:val="009C52AE"/>
    <w:rsid w:val="009C537F"/>
    <w:rsid w:val="009C540A"/>
    <w:rsid w:val="009C55A6"/>
    <w:rsid w:val="009C562E"/>
    <w:rsid w:val="009C57C2"/>
    <w:rsid w:val="009C584B"/>
    <w:rsid w:val="009C594E"/>
    <w:rsid w:val="009C59FA"/>
    <w:rsid w:val="009C5A12"/>
    <w:rsid w:val="009C5CAD"/>
    <w:rsid w:val="009C5D1C"/>
    <w:rsid w:val="009C5E48"/>
    <w:rsid w:val="009C614A"/>
    <w:rsid w:val="009C6171"/>
    <w:rsid w:val="009C61D0"/>
    <w:rsid w:val="009C61F3"/>
    <w:rsid w:val="009C6200"/>
    <w:rsid w:val="009C64A5"/>
    <w:rsid w:val="009C6600"/>
    <w:rsid w:val="009C6680"/>
    <w:rsid w:val="009C6707"/>
    <w:rsid w:val="009C67B8"/>
    <w:rsid w:val="009C67F5"/>
    <w:rsid w:val="009C689D"/>
    <w:rsid w:val="009C69BC"/>
    <w:rsid w:val="009C6A59"/>
    <w:rsid w:val="009C6A5E"/>
    <w:rsid w:val="009C6A83"/>
    <w:rsid w:val="009C6AD1"/>
    <w:rsid w:val="009C6AE8"/>
    <w:rsid w:val="009C6B03"/>
    <w:rsid w:val="009C6BC5"/>
    <w:rsid w:val="009C6C04"/>
    <w:rsid w:val="009C6C15"/>
    <w:rsid w:val="009C6EFB"/>
    <w:rsid w:val="009C6F3C"/>
    <w:rsid w:val="009C7078"/>
    <w:rsid w:val="009C70A4"/>
    <w:rsid w:val="009C70E4"/>
    <w:rsid w:val="009C7257"/>
    <w:rsid w:val="009C73D2"/>
    <w:rsid w:val="009C73F1"/>
    <w:rsid w:val="009C7687"/>
    <w:rsid w:val="009C76B6"/>
    <w:rsid w:val="009C7705"/>
    <w:rsid w:val="009C77A2"/>
    <w:rsid w:val="009C780C"/>
    <w:rsid w:val="009C7919"/>
    <w:rsid w:val="009C7973"/>
    <w:rsid w:val="009C79C2"/>
    <w:rsid w:val="009C79D4"/>
    <w:rsid w:val="009C7A14"/>
    <w:rsid w:val="009C7A54"/>
    <w:rsid w:val="009C7AB8"/>
    <w:rsid w:val="009C7AC2"/>
    <w:rsid w:val="009C7C60"/>
    <w:rsid w:val="009C7C9B"/>
    <w:rsid w:val="009C7EA3"/>
    <w:rsid w:val="009C7EE5"/>
    <w:rsid w:val="009C7F87"/>
    <w:rsid w:val="009D00BA"/>
    <w:rsid w:val="009D0111"/>
    <w:rsid w:val="009D0155"/>
    <w:rsid w:val="009D02E4"/>
    <w:rsid w:val="009D0360"/>
    <w:rsid w:val="009D04D3"/>
    <w:rsid w:val="009D05C0"/>
    <w:rsid w:val="009D05C1"/>
    <w:rsid w:val="009D05D7"/>
    <w:rsid w:val="009D068A"/>
    <w:rsid w:val="009D072B"/>
    <w:rsid w:val="009D0773"/>
    <w:rsid w:val="009D07B9"/>
    <w:rsid w:val="009D082D"/>
    <w:rsid w:val="009D085D"/>
    <w:rsid w:val="009D0877"/>
    <w:rsid w:val="009D09A8"/>
    <w:rsid w:val="009D0E0A"/>
    <w:rsid w:val="009D101F"/>
    <w:rsid w:val="009D1081"/>
    <w:rsid w:val="009D1118"/>
    <w:rsid w:val="009D1215"/>
    <w:rsid w:val="009D12EC"/>
    <w:rsid w:val="009D1396"/>
    <w:rsid w:val="009D1535"/>
    <w:rsid w:val="009D15FA"/>
    <w:rsid w:val="009D17C3"/>
    <w:rsid w:val="009D17E2"/>
    <w:rsid w:val="009D18EA"/>
    <w:rsid w:val="009D1940"/>
    <w:rsid w:val="009D1A70"/>
    <w:rsid w:val="009D1A79"/>
    <w:rsid w:val="009D1C3C"/>
    <w:rsid w:val="009D1E28"/>
    <w:rsid w:val="009D1F31"/>
    <w:rsid w:val="009D1FBC"/>
    <w:rsid w:val="009D1FF5"/>
    <w:rsid w:val="009D2018"/>
    <w:rsid w:val="009D20B5"/>
    <w:rsid w:val="009D20B9"/>
    <w:rsid w:val="009D214D"/>
    <w:rsid w:val="009D2264"/>
    <w:rsid w:val="009D2359"/>
    <w:rsid w:val="009D23CE"/>
    <w:rsid w:val="009D2646"/>
    <w:rsid w:val="009D267F"/>
    <w:rsid w:val="009D2770"/>
    <w:rsid w:val="009D27EA"/>
    <w:rsid w:val="009D2805"/>
    <w:rsid w:val="009D2840"/>
    <w:rsid w:val="009D2852"/>
    <w:rsid w:val="009D295C"/>
    <w:rsid w:val="009D296C"/>
    <w:rsid w:val="009D297F"/>
    <w:rsid w:val="009D2AE2"/>
    <w:rsid w:val="009D2AF5"/>
    <w:rsid w:val="009D2BF0"/>
    <w:rsid w:val="009D2C50"/>
    <w:rsid w:val="009D2CFF"/>
    <w:rsid w:val="009D2D5E"/>
    <w:rsid w:val="009D2E85"/>
    <w:rsid w:val="009D2F44"/>
    <w:rsid w:val="009D2F5E"/>
    <w:rsid w:val="009D2F8F"/>
    <w:rsid w:val="009D2FED"/>
    <w:rsid w:val="009D30B5"/>
    <w:rsid w:val="009D3142"/>
    <w:rsid w:val="009D3150"/>
    <w:rsid w:val="009D316C"/>
    <w:rsid w:val="009D32E5"/>
    <w:rsid w:val="009D346C"/>
    <w:rsid w:val="009D3480"/>
    <w:rsid w:val="009D34F2"/>
    <w:rsid w:val="009D35CF"/>
    <w:rsid w:val="009D376D"/>
    <w:rsid w:val="009D3785"/>
    <w:rsid w:val="009D37C6"/>
    <w:rsid w:val="009D3BA4"/>
    <w:rsid w:val="009D3C11"/>
    <w:rsid w:val="009D3D30"/>
    <w:rsid w:val="009D3D3B"/>
    <w:rsid w:val="009D3E2B"/>
    <w:rsid w:val="009D3EB3"/>
    <w:rsid w:val="009D3F48"/>
    <w:rsid w:val="009D3F89"/>
    <w:rsid w:val="009D40E2"/>
    <w:rsid w:val="009D4204"/>
    <w:rsid w:val="009D435C"/>
    <w:rsid w:val="009D448F"/>
    <w:rsid w:val="009D45D3"/>
    <w:rsid w:val="009D46A6"/>
    <w:rsid w:val="009D46B3"/>
    <w:rsid w:val="009D46C4"/>
    <w:rsid w:val="009D47C6"/>
    <w:rsid w:val="009D4889"/>
    <w:rsid w:val="009D4992"/>
    <w:rsid w:val="009D4A29"/>
    <w:rsid w:val="009D4A2E"/>
    <w:rsid w:val="009D4A80"/>
    <w:rsid w:val="009D4AA1"/>
    <w:rsid w:val="009D4AAD"/>
    <w:rsid w:val="009D4C2E"/>
    <w:rsid w:val="009D4C7E"/>
    <w:rsid w:val="009D4CC6"/>
    <w:rsid w:val="009D4DC7"/>
    <w:rsid w:val="009D4DD2"/>
    <w:rsid w:val="009D4DED"/>
    <w:rsid w:val="009D4E84"/>
    <w:rsid w:val="009D50EB"/>
    <w:rsid w:val="009D515B"/>
    <w:rsid w:val="009D5479"/>
    <w:rsid w:val="009D547A"/>
    <w:rsid w:val="009D54F1"/>
    <w:rsid w:val="009D5538"/>
    <w:rsid w:val="009D5827"/>
    <w:rsid w:val="009D5839"/>
    <w:rsid w:val="009D5847"/>
    <w:rsid w:val="009D5882"/>
    <w:rsid w:val="009D58A2"/>
    <w:rsid w:val="009D59F7"/>
    <w:rsid w:val="009D5A6F"/>
    <w:rsid w:val="009D5BFC"/>
    <w:rsid w:val="009D5C87"/>
    <w:rsid w:val="009D5CA7"/>
    <w:rsid w:val="009D5DE6"/>
    <w:rsid w:val="009D5E7F"/>
    <w:rsid w:val="009D5E8B"/>
    <w:rsid w:val="009D5F64"/>
    <w:rsid w:val="009D6092"/>
    <w:rsid w:val="009D60AE"/>
    <w:rsid w:val="009D6235"/>
    <w:rsid w:val="009D628B"/>
    <w:rsid w:val="009D6325"/>
    <w:rsid w:val="009D646F"/>
    <w:rsid w:val="009D6501"/>
    <w:rsid w:val="009D6560"/>
    <w:rsid w:val="009D673B"/>
    <w:rsid w:val="009D6771"/>
    <w:rsid w:val="009D685B"/>
    <w:rsid w:val="009D6B50"/>
    <w:rsid w:val="009D6C8D"/>
    <w:rsid w:val="009D6E77"/>
    <w:rsid w:val="009D6F1B"/>
    <w:rsid w:val="009D6F47"/>
    <w:rsid w:val="009D71DF"/>
    <w:rsid w:val="009D72F1"/>
    <w:rsid w:val="009D74E8"/>
    <w:rsid w:val="009D7563"/>
    <w:rsid w:val="009D7626"/>
    <w:rsid w:val="009D7664"/>
    <w:rsid w:val="009D7678"/>
    <w:rsid w:val="009D76FC"/>
    <w:rsid w:val="009D78DC"/>
    <w:rsid w:val="009D7963"/>
    <w:rsid w:val="009D798D"/>
    <w:rsid w:val="009D7AF0"/>
    <w:rsid w:val="009D7B24"/>
    <w:rsid w:val="009D7B89"/>
    <w:rsid w:val="009D7B98"/>
    <w:rsid w:val="009D7BD5"/>
    <w:rsid w:val="009D7D57"/>
    <w:rsid w:val="009D7DB7"/>
    <w:rsid w:val="009D7EA4"/>
    <w:rsid w:val="009D7F3A"/>
    <w:rsid w:val="009D7F5D"/>
    <w:rsid w:val="009D7FD8"/>
    <w:rsid w:val="009E005D"/>
    <w:rsid w:val="009E00BC"/>
    <w:rsid w:val="009E011C"/>
    <w:rsid w:val="009E014A"/>
    <w:rsid w:val="009E030F"/>
    <w:rsid w:val="009E0423"/>
    <w:rsid w:val="009E04ED"/>
    <w:rsid w:val="009E056F"/>
    <w:rsid w:val="009E06F0"/>
    <w:rsid w:val="009E0950"/>
    <w:rsid w:val="009E0A59"/>
    <w:rsid w:val="009E0ABB"/>
    <w:rsid w:val="009E0B34"/>
    <w:rsid w:val="009E0CA5"/>
    <w:rsid w:val="009E0DF1"/>
    <w:rsid w:val="009E0E35"/>
    <w:rsid w:val="009E0E94"/>
    <w:rsid w:val="009E10B2"/>
    <w:rsid w:val="009E11A2"/>
    <w:rsid w:val="009E1239"/>
    <w:rsid w:val="009E124D"/>
    <w:rsid w:val="009E14F8"/>
    <w:rsid w:val="009E16CD"/>
    <w:rsid w:val="009E171B"/>
    <w:rsid w:val="009E179F"/>
    <w:rsid w:val="009E17FB"/>
    <w:rsid w:val="009E194E"/>
    <w:rsid w:val="009E19A0"/>
    <w:rsid w:val="009E1B8F"/>
    <w:rsid w:val="009E1BD7"/>
    <w:rsid w:val="009E1BE0"/>
    <w:rsid w:val="009E1E14"/>
    <w:rsid w:val="009E1E21"/>
    <w:rsid w:val="009E2373"/>
    <w:rsid w:val="009E23CD"/>
    <w:rsid w:val="009E244B"/>
    <w:rsid w:val="009E251D"/>
    <w:rsid w:val="009E25FE"/>
    <w:rsid w:val="009E270A"/>
    <w:rsid w:val="009E286C"/>
    <w:rsid w:val="009E28BB"/>
    <w:rsid w:val="009E291B"/>
    <w:rsid w:val="009E298F"/>
    <w:rsid w:val="009E2ACE"/>
    <w:rsid w:val="009E2AFC"/>
    <w:rsid w:val="009E2BA2"/>
    <w:rsid w:val="009E2BAA"/>
    <w:rsid w:val="009E2C91"/>
    <w:rsid w:val="009E2CB0"/>
    <w:rsid w:val="009E2D4B"/>
    <w:rsid w:val="009E2D58"/>
    <w:rsid w:val="009E2DA6"/>
    <w:rsid w:val="009E2DC4"/>
    <w:rsid w:val="009E2F92"/>
    <w:rsid w:val="009E3092"/>
    <w:rsid w:val="009E31B7"/>
    <w:rsid w:val="009E326D"/>
    <w:rsid w:val="009E34A4"/>
    <w:rsid w:val="009E34D3"/>
    <w:rsid w:val="009E3506"/>
    <w:rsid w:val="009E3534"/>
    <w:rsid w:val="009E3747"/>
    <w:rsid w:val="009E390F"/>
    <w:rsid w:val="009E39E9"/>
    <w:rsid w:val="009E3B63"/>
    <w:rsid w:val="009E3B99"/>
    <w:rsid w:val="009E3BDC"/>
    <w:rsid w:val="009E3C1F"/>
    <w:rsid w:val="009E3C3D"/>
    <w:rsid w:val="009E3CC9"/>
    <w:rsid w:val="009E3D3A"/>
    <w:rsid w:val="009E3E29"/>
    <w:rsid w:val="009E3FD3"/>
    <w:rsid w:val="009E3FD7"/>
    <w:rsid w:val="009E3FF5"/>
    <w:rsid w:val="009E40A3"/>
    <w:rsid w:val="009E41E2"/>
    <w:rsid w:val="009E4212"/>
    <w:rsid w:val="009E4237"/>
    <w:rsid w:val="009E42BF"/>
    <w:rsid w:val="009E42CD"/>
    <w:rsid w:val="009E4472"/>
    <w:rsid w:val="009E44AD"/>
    <w:rsid w:val="009E44DD"/>
    <w:rsid w:val="009E4812"/>
    <w:rsid w:val="009E484C"/>
    <w:rsid w:val="009E486F"/>
    <w:rsid w:val="009E4BB0"/>
    <w:rsid w:val="009E4BEE"/>
    <w:rsid w:val="009E4C87"/>
    <w:rsid w:val="009E4E26"/>
    <w:rsid w:val="009E5029"/>
    <w:rsid w:val="009E5031"/>
    <w:rsid w:val="009E50D4"/>
    <w:rsid w:val="009E50FB"/>
    <w:rsid w:val="009E5462"/>
    <w:rsid w:val="009E54BF"/>
    <w:rsid w:val="009E57EE"/>
    <w:rsid w:val="009E5827"/>
    <w:rsid w:val="009E59A4"/>
    <w:rsid w:val="009E5B5D"/>
    <w:rsid w:val="009E5B9C"/>
    <w:rsid w:val="009E5BDB"/>
    <w:rsid w:val="009E5C5B"/>
    <w:rsid w:val="009E5D1C"/>
    <w:rsid w:val="009E5E4F"/>
    <w:rsid w:val="009E5E7B"/>
    <w:rsid w:val="009E5F7E"/>
    <w:rsid w:val="009E5F82"/>
    <w:rsid w:val="009E60A2"/>
    <w:rsid w:val="009E6140"/>
    <w:rsid w:val="009E6287"/>
    <w:rsid w:val="009E6380"/>
    <w:rsid w:val="009E63B1"/>
    <w:rsid w:val="009E64C1"/>
    <w:rsid w:val="009E65EB"/>
    <w:rsid w:val="009E6602"/>
    <w:rsid w:val="009E6618"/>
    <w:rsid w:val="009E66FE"/>
    <w:rsid w:val="009E6823"/>
    <w:rsid w:val="009E68CE"/>
    <w:rsid w:val="009E6B0C"/>
    <w:rsid w:val="009E6BAC"/>
    <w:rsid w:val="009E6CAE"/>
    <w:rsid w:val="009E6D4E"/>
    <w:rsid w:val="009E6EA5"/>
    <w:rsid w:val="009E6FD1"/>
    <w:rsid w:val="009E7002"/>
    <w:rsid w:val="009E7289"/>
    <w:rsid w:val="009E76A1"/>
    <w:rsid w:val="009E76D4"/>
    <w:rsid w:val="009E7868"/>
    <w:rsid w:val="009E7A36"/>
    <w:rsid w:val="009E7A6A"/>
    <w:rsid w:val="009E7A76"/>
    <w:rsid w:val="009E7AF8"/>
    <w:rsid w:val="009E7C22"/>
    <w:rsid w:val="009E7C44"/>
    <w:rsid w:val="009E7C56"/>
    <w:rsid w:val="009E7C62"/>
    <w:rsid w:val="009E7DE6"/>
    <w:rsid w:val="009E7F1D"/>
    <w:rsid w:val="009F01E1"/>
    <w:rsid w:val="009F02A7"/>
    <w:rsid w:val="009F02DB"/>
    <w:rsid w:val="009F0481"/>
    <w:rsid w:val="009F05F1"/>
    <w:rsid w:val="009F0A42"/>
    <w:rsid w:val="009F0B6B"/>
    <w:rsid w:val="009F0BE7"/>
    <w:rsid w:val="009F0C0A"/>
    <w:rsid w:val="009F0D27"/>
    <w:rsid w:val="009F1042"/>
    <w:rsid w:val="009F1089"/>
    <w:rsid w:val="009F1099"/>
    <w:rsid w:val="009F1189"/>
    <w:rsid w:val="009F12DF"/>
    <w:rsid w:val="009F1332"/>
    <w:rsid w:val="009F14B9"/>
    <w:rsid w:val="009F1522"/>
    <w:rsid w:val="009F15C9"/>
    <w:rsid w:val="009F18A8"/>
    <w:rsid w:val="009F1939"/>
    <w:rsid w:val="009F195D"/>
    <w:rsid w:val="009F1A29"/>
    <w:rsid w:val="009F1A46"/>
    <w:rsid w:val="009F1AC0"/>
    <w:rsid w:val="009F1C01"/>
    <w:rsid w:val="009F1DF7"/>
    <w:rsid w:val="009F1F0A"/>
    <w:rsid w:val="009F2054"/>
    <w:rsid w:val="009F210D"/>
    <w:rsid w:val="009F222D"/>
    <w:rsid w:val="009F2389"/>
    <w:rsid w:val="009F23EA"/>
    <w:rsid w:val="009F2530"/>
    <w:rsid w:val="009F256A"/>
    <w:rsid w:val="009F25F8"/>
    <w:rsid w:val="009F26A8"/>
    <w:rsid w:val="009F2A05"/>
    <w:rsid w:val="009F2AC3"/>
    <w:rsid w:val="009F2AD3"/>
    <w:rsid w:val="009F2AD9"/>
    <w:rsid w:val="009F2BE6"/>
    <w:rsid w:val="009F2C42"/>
    <w:rsid w:val="009F2DA0"/>
    <w:rsid w:val="009F2ED0"/>
    <w:rsid w:val="009F321D"/>
    <w:rsid w:val="009F323B"/>
    <w:rsid w:val="009F3435"/>
    <w:rsid w:val="009F3637"/>
    <w:rsid w:val="009F364C"/>
    <w:rsid w:val="009F38AC"/>
    <w:rsid w:val="009F38E3"/>
    <w:rsid w:val="009F390B"/>
    <w:rsid w:val="009F3963"/>
    <w:rsid w:val="009F3A64"/>
    <w:rsid w:val="009F3B0B"/>
    <w:rsid w:val="009F3BCC"/>
    <w:rsid w:val="009F3C0E"/>
    <w:rsid w:val="009F3CBA"/>
    <w:rsid w:val="009F3DD6"/>
    <w:rsid w:val="009F3E67"/>
    <w:rsid w:val="009F4030"/>
    <w:rsid w:val="009F4037"/>
    <w:rsid w:val="009F4074"/>
    <w:rsid w:val="009F4117"/>
    <w:rsid w:val="009F4327"/>
    <w:rsid w:val="009F441F"/>
    <w:rsid w:val="009F44EB"/>
    <w:rsid w:val="009F457A"/>
    <w:rsid w:val="009F4619"/>
    <w:rsid w:val="009F471E"/>
    <w:rsid w:val="009F4731"/>
    <w:rsid w:val="009F47A7"/>
    <w:rsid w:val="009F4838"/>
    <w:rsid w:val="009F4876"/>
    <w:rsid w:val="009F4893"/>
    <w:rsid w:val="009F49F8"/>
    <w:rsid w:val="009F4C65"/>
    <w:rsid w:val="009F4CF7"/>
    <w:rsid w:val="009F4DD6"/>
    <w:rsid w:val="009F4DF3"/>
    <w:rsid w:val="009F4E0D"/>
    <w:rsid w:val="009F4E68"/>
    <w:rsid w:val="009F4FFD"/>
    <w:rsid w:val="009F50DA"/>
    <w:rsid w:val="009F5365"/>
    <w:rsid w:val="009F538B"/>
    <w:rsid w:val="009F54AB"/>
    <w:rsid w:val="009F562A"/>
    <w:rsid w:val="009F583F"/>
    <w:rsid w:val="009F59E2"/>
    <w:rsid w:val="009F5A94"/>
    <w:rsid w:val="009F5C06"/>
    <w:rsid w:val="009F5C85"/>
    <w:rsid w:val="009F5D72"/>
    <w:rsid w:val="009F5E44"/>
    <w:rsid w:val="009F5EEA"/>
    <w:rsid w:val="009F5F62"/>
    <w:rsid w:val="009F61D5"/>
    <w:rsid w:val="009F636D"/>
    <w:rsid w:val="009F6549"/>
    <w:rsid w:val="009F6576"/>
    <w:rsid w:val="009F658A"/>
    <w:rsid w:val="009F65D7"/>
    <w:rsid w:val="009F662E"/>
    <w:rsid w:val="009F67E2"/>
    <w:rsid w:val="009F6964"/>
    <w:rsid w:val="009F6A10"/>
    <w:rsid w:val="009F6A5B"/>
    <w:rsid w:val="009F6AA6"/>
    <w:rsid w:val="009F6E16"/>
    <w:rsid w:val="009F6ED2"/>
    <w:rsid w:val="009F6FC6"/>
    <w:rsid w:val="009F7159"/>
    <w:rsid w:val="009F7211"/>
    <w:rsid w:val="009F7227"/>
    <w:rsid w:val="009F73CE"/>
    <w:rsid w:val="009F741F"/>
    <w:rsid w:val="009F7475"/>
    <w:rsid w:val="009F74D6"/>
    <w:rsid w:val="009F759A"/>
    <w:rsid w:val="009F75B2"/>
    <w:rsid w:val="009F76C3"/>
    <w:rsid w:val="009F7877"/>
    <w:rsid w:val="009F7892"/>
    <w:rsid w:val="009F789E"/>
    <w:rsid w:val="009F790C"/>
    <w:rsid w:val="009F7970"/>
    <w:rsid w:val="009F7A82"/>
    <w:rsid w:val="009F7C41"/>
    <w:rsid w:val="009F7E32"/>
    <w:rsid w:val="009F7E4F"/>
    <w:rsid w:val="009F7EC6"/>
    <w:rsid w:val="009F7F8D"/>
    <w:rsid w:val="00A0010B"/>
    <w:rsid w:val="00A00224"/>
    <w:rsid w:val="00A0030F"/>
    <w:rsid w:val="00A0033C"/>
    <w:rsid w:val="00A00378"/>
    <w:rsid w:val="00A004A9"/>
    <w:rsid w:val="00A004C3"/>
    <w:rsid w:val="00A004FB"/>
    <w:rsid w:val="00A00542"/>
    <w:rsid w:val="00A00545"/>
    <w:rsid w:val="00A005EA"/>
    <w:rsid w:val="00A00626"/>
    <w:rsid w:val="00A006D2"/>
    <w:rsid w:val="00A0075D"/>
    <w:rsid w:val="00A0083B"/>
    <w:rsid w:val="00A00A3F"/>
    <w:rsid w:val="00A00A95"/>
    <w:rsid w:val="00A00BF0"/>
    <w:rsid w:val="00A00BFD"/>
    <w:rsid w:val="00A00EBA"/>
    <w:rsid w:val="00A00FA7"/>
    <w:rsid w:val="00A00FF0"/>
    <w:rsid w:val="00A010F6"/>
    <w:rsid w:val="00A01148"/>
    <w:rsid w:val="00A011AB"/>
    <w:rsid w:val="00A011E9"/>
    <w:rsid w:val="00A01232"/>
    <w:rsid w:val="00A014BC"/>
    <w:rsid w:val="00A01512"/>
    <w:rsid w:val="00A015E8"/>
    <w:rsid w:val="00A0173C"/>
    <w:rsid w:val="00A01813"/>
    <w:rsid w:val="00A01ACA"/>
    <w:rsid w:val="00A01C7D"/>
    <w:rsid w:val="00A01CB1"/>
    <w:rsid w:val="00A01CF3"/>
    <w:rsid w:val="00A01D65"/>
    <w:rsid w:val="00A01DC9"/>
    <w:rsid w:val="00A01E15"/>
    <w:rsid w:val="00A01E6C"/>
    <w:rsid w:val="00A01EE6"/>
    <w:rsid w:val="00A01F01"/>
    <w:rsid w:val="00A01F6A"/>
    <w:rsid w:val="00A01FA3"/>
    <w:rsid w:val="00A020FB"/>
    <w:rsid w:val="00A02184"/>
    <w:rsid w:val="00A0219A"/>
    <w:rsid w:val="00A0224B"/>
    <w:rsid w:val="00A0232E"/>
    <w:rsid w:val="00A023BF"/>
    <w:rsid w:val="00A02449"/>
    <w:rsid w:val="00A0245D"/>
    <w:rsid w:val="00A0250F"/>
    <w:rsid w:val="00A0256A"/>
    <w:rsid w:val="00A02616"/>
    <w:rsid w:val="00A02645"/>
    <w:rsid w:val="00A02879"/>
    <w:rsid w:val="00A028E8"/>
    <w:rsid w:val="00A02998"/>
    <w:rsid w:val="00A029DB"/>
    <w:rsid w:val="00A02A3E"/>
    <w:rsid w:val="00A02ADE"/>
    <w:rsid w:val="00A02C04"/>
    <w:rsid w:val="00A02C49"/>
    <w:rsid w:val="00A02C70"/>
    <w:rsid w:val="00A02D79"/>
    <w:rsid w:val="00A02F22"/>
    <w:rsid w:val="00A02F2F"/>
    <w:rsid w:val="00A02F5D"/>
    <w:rsid w:val="00A031C5"/>
    <w:rsid w:val="00A031EE"/>
    <w:rsid w:val="00A037B9"/>
    <w:rsid w:val="00A03824"/>
    <w:rsid w:val="00A0389B"/>
    <w:rsid w:val="00A03B83"/>
    <w:rsid w:val="00A03BDA"/>
    <w:rsid w:val="00A03CCD"/>
    <w:rsid w:val="00A03D79"/>
    <w:rsid w:val="00A03E75"/>
    <w:rsid w:val="00A03F03"/>
    <w:rsid w:val="00A040FA"/>
    <w:rsid w:val="00A04145"/>
    <w:rsid w:val="00A04196"/>
    <w:rsid w:val="00A04270"/>
    <w:rsid w:val="00A0431F"/>
    <w:rsid w:val="00A0461B"/>
    <w:rsid w:val="00A0461F"/>
    <w:rsid w:val="00A047F6"/>
    <w:rsid w:val="00A04B1C"/>
    <w:rsid w:val="00A04DEB"/>
    <w:rsid w:val="00A04E23"/>
    <w:rsid w:val="00A04F22"/>
    <w:rsid w:val="00A04F58"/>
    <w:rsid w:val="00A05134"/>
    <w:rsid w:val="00A05167"/>
    <w:rsid w:val="00A05181"/>
    <w:rsid w:val="00A05227"/>
    <w:rsid w:val="00A053FF"/>
    <w:rsid w:val="00A0547D"/>
    <w:rsid w:val="00A054AF"/>
    <w:rsid w:val="00A056CE"/>
    <w:rsid w:val="00A056D0"/>
    <w:rsid w:val="00A057D6"/>
    <w:rsid w:val="00A058D4"/>
    <w:rsid w:val="00A05A8F"/>
    <w:rsid w:val="00A05AD5"/>
    <w:rsid w:val="00A05B85"/>
    <w:rsid w:val="00A05BCD"/>
    <w:rsid w:val="00A05C26"/>
    <w:rsid w:val="00A05C43"/>
    <w:rsid w:val="00A05C99"/>
    <w:rsid w:val="00A05CC6"/>
    <w:rsid w:val="00A05D54"/>
    <w:rsid w:val="00A05E6C"/>
    <w:rsid w:val="00A05E7F"/>
    <w:rsid w:val="00A05F2D"/>
    <w:rsid w:val="00A05FB8"/>
    <w:rsid w:val="00A062F2"/>
    <w:rsid w:val="00A063D1"/>
    <w:rsid w:val="00A06608"/>
    <w:rsid w:val="00A068F1"/>
    <w:rsid w:val="00A06951"/>
    <w:rsid w:val="00A06A37"/>
    <w:rsid w:val="00A06BD3"/>
    <w:rsid w:val="00A06C26"/>
    <w:rsid w:val="00A06C36"/>
    <w:rsid w:val="00A06C8D"/>
    <w:rsid w:val="00A06CFA"/>
    <w:rsid w:val="00A06DEC"/>
    <w:rsid w:val="00A06E6B"/>
    <w:rsid w:val="00A06E84"/>
    <w:rsid w:val="00A06EA6"/>
    <w:rsid w:val="00A06F18"/>
    <w:rsid w:val="00A07064"/>
    <w:rsid w:val="00A07126"/>
    <w:rsid w:val="00A07187"/>
    <w:rsid w:val="00A071AD"/>
    <w:rsid w:val="00A07328"/>
    <w:rsid w:val="00A07339"/>
    <w:rsid w:val="00A0744D"/>
    <w:rsid w:val="00A0779D"/>
    <w:rsid w:val="00A07A91"/>
    <w:rsid w:val="00A07AB7"/>
    <w:rsid w:val="00A07B75"/>
    <w:rsid w:val="00A07C91"/>
    <w:rsid w:val="00A07CB0"/>
    <w:rsid w:val="00A07D47"/>
    <w:rsid w:val="00A07E6E"/>
    <w:rsid w:val="00A07F4D"/>
    <w:rsid w:val="00A07F58"/>
    <w:rsid w:val="00A07F68"/>
    <w:rsid w:val="00A07F87"/>
    <w:rsid w:val="00A07F9C"/>
    <w:rsid w:val="00A101A4"/>
    <w:rsid w:val="00A101FF"/>
    <w:rsid w:val="00A103D0"/>
    <w:rsid w:val="00A10555"/>
    <w:rsid w:val="00A10593"/>
    <w:rsid w:val="00A105DC"/>
    <w:rsid w:val="00A106C4"/>
    <w:rsid w:val="00A1071B"/>
    <w:rsid w:val="00A107F3"/>
    <w:rsid w:val="00A10B24"/>
    <w:rsid w:val="00A10B30"/>
    <w:rsid w:val="00A10EBF"/>
    <w:rsid w:val="00A11032"/>
    <w:rsid w:val="00A1104B"/>
    <w:rsid w:val="00A1107B"/>
    <w:rsid w:val="00A110C0"/>
    <w:rsid w:val="00A111D2"/>
    <w:rsid w:val="00A1122A"/>
    <w:rsid w:val="00A1137B"/>
    <w:rsid w:val="00A11414"/>
    <w:rsid w:val="00A114EB"/>
    <w:rsid w:val="00A115D4"/>
    <w:rsid w:val="00A11609"/>
    <w:rsid w:val="00A1183A"/>
    <w:rsid w:val="00A119DB"/>
    <w:rsid w:val="00A11A06"/>
    <w:rsid w:val="00A11D55"/>
    <w:rsid w:val="00A11D65"/>
    <w:rsid w:val="00A11FF2"/>
    <w:rsid w:val="00A121A4"/>
    <w:rsid w:val="00A12214"/>
    <w:rsid w:val="00A12364"/>
    <w:rsid w:val="00A12383"/>
    <w:rsid w:val="00A12427"/>
    <w:rsid w:val="00A1244E"/>
    <w:rsid w:val="00A12504"/>
    <w:rsid w:val="00A126E3"/>
    <w:rsid w:val="00A126E8"/>
    <w:rsid w:val="00A12722"/>
    <w:rsid w:val="00A127EE"/>
    <w:rsid w:val="00A1286E"/>
    <w:rsid w:val="00A1288A"/>
    <w:rsid w:val="00A129BB"/>
    <w:rsid w:val="00A12A3F"/>
    <w:rsid w:val="00A12ACB"/>
    <w:rsid w:val="00A12B79"/>
    <w:rsid w:val="00A12CF8"/>
    <w:rsid w:val="00A12D54"/>
    <w:rsid w:val="00A12ED0"/>
    <w:rsid w:val="00A12F1E"/>
    <w:rsid w:val="00A12F62"/>
    <w:rsid w:val="00A1302F"/>
    <w:rsid w:val="00A13151"/>
    <w:rsid w:val="00A13189"/>
    <w:rsid w:val="00A1328A"/>
    <w:rsid w:val="00A133DA"/>
    <w:rsid w:val="00A1349E"/>
    <w:rsid w:val="00A135AE"/>
    <w:rsid w:val="00A1365A"/>
    <w:rsid w:val="00A136A2"/>
    <w:rsid w:val="00A13758"/>
    <w:rsid w:val="00A13875"/>
    <w:rsid w:val="00A13B25"/>
    <w:rsid w:val="00A13B5F"/>
    <w:rsid w:val="00A13C34"/>
    <w:rsid w:val="00A13CA3"/>
    <w:rsid w:val="00A13CAA"/>
    <w:rsid w:val="00A13E39"/>
    <w:rsid w:val="00A13F5E"/>
    <w:rsid w:val="00A1409B"/>
    <w:rsid w:val="00A14133"/>
    <w:rsid w:val="00A14238"/>
    <w:rsid w:val="00A1426D"/>
    <w:rsid w:val="00A142F6"/>
    <w:rsid w:val="00A143FF"/>
    <w:rsid w:val="00A1450F"/>
    <w:rsid w:val="00A14539"/>
    <w:rsid w:val="00A1458C"/>
    <w:rsid w:val="00A145EC"/>
    <w:rsid w:val="00A145F5"/>
    <w:rsid w:val="00A1464B"/>
    <w:rsid w:val="00A14748"/>
    <w:rsid w:val="00A147E7"/>
    <w:rsid w:val="00A147EF"/>
    <w:rsid w:val="00A147F7"/>
    <w:rsid w:val="00A148D2"/>
    <w:rsid w:val="00A14A68"/>
    <w:rsid w:val="00A14A72"/>
    <w:rsid w:val="00A14A9E"/>
    <w:rsid w:val="00A14C3F"/>
    <w:rsid w:val="00A14C5F"/>
    <w:rsid w:val="00A14E6D"/>
    <w:rsid w:val="00A14E7B"/>
    <w:rsid w:val="00A14F37"/>
    <w:rsid w:val="00A14FE9"/>
    <w:rsid w:val="00A150F5"/>
    <w:rsid w:val="00A15133"/>
    <w:rsid w:val="00A15242"/>
    <w:rsid w:val="00A152A3"/>
    <w:rsid w:val="00A1533C"/>
    <w:rsid w:val="00A15386"/>
    <w:rsid w:val="00A155F0"/>
    <w:rsid w:val="00A156BD"/>
    <w:rsid w:val="00A15740"/>
    <w:rsid w:val="00A15761"/>
    <w:rsid w:val="00A15857"/>
    <w:rsid w:val="00A15874"/>
    <w:rsid w:val="00A158EC"/>
    <w:rsid w:val="00A15938"/>
    <w:rsid w:val="00A15983"/>
    <w:rsid w:val="00A15991"/>
    <w:rsid w:val="00A15A83"/>
    <w:rsid w:val="00A15BB6"/>
    <w:rsid w:val="00A15CFD"/>
    <w:rsid w:val="00A15D86"/>
    <w:rsid w:val="00A15E0A"/>
    <w:rsid w:val="00A15EE2"/>
    <w:rsid w:val="00A15F53"/>
    <w:rsid w:val="00A15F99"/>
    <w:rsid w:val="00A1600E"/>
    <w:rsid w:val="00A16195"/>
    <w:rsid w:val="00A16242"/>
    <w:rsid w:val="00A1625F"/>
    <w:rsid w:val="00A1626B"/>
    <w:rsid w:val="00A162BF"/>
    <w:rsid w:val="00A1634C"/>
    <w:rsid w:val="00A1641D"/>
    <w:rsid w:val="00A16460"/>
    <w:rsid w:val="00A164A0"/>
    <w:rsid w:val="00A1660B"/>
    <w:rsid w:val="00A16758"/>
    <w:rsid w:val="00A1679F"/>
    <w:rsid w:val="00A16BA8"/>
    <w:rsid w:val="00A16C25"/>
    <w:rsid w:val="00A16C29"/>
    <w:rsid w:val="00A16C3D"/>
    <w:rsid w:val="00A16D54"/>
    <w:rsid w:val="00A16E3F"/>
    <w:rsid w:val="00A1703F"/>
    <w:rsid w:val="00A17046"/>
    <w:rsid w:val="00A1708F"/>
    <w:rsid w:val="00A1718E"/>
    <w:rsid w:val="00A17283"/>
    <w:rsid w:val="00A172DC"/>
    <w:rsid w:val="00A17352"/>
    <w:rsid w:val="00A173FB"/>
    <w:rsid w:val="00A173FD"/>
    <w:rsid w:val="00A17462"/>
    <w:rsid w:val="00A1759F"/>
    <w:rsid w:val="00A1760E"/>
    <w:rsid w:val="00A17615"/>
    <w:rsid w:val="00A17807"/>
    <w:rsid w:val="00A17848"/>
    <w:rsid w:val="00A17B5E"/>
    <w:rsid w:val="00A17C01"/>
    <w:rsid w:val="00A17D2C"/>
    <w:rsid w:val="00A17DA1"/>
    <w:rsid w:val="00A17DC7"/>
    <w:rsid w:val="00A17E76"/>
    <w:rsid w:val="00A17E95"/>
    <w:rsid w:val="00A2000C"/>
    <w:rsid w:val="00A2006A"/>
    <w:rsid w:val="00A200C7"/>
    <w:rsid w:val="00A200DB"/>
    <w:rsid w:val="00A20165"/>
    <w:rsid w:val="00A20167"/>
    <w:rsid w:val="00A20186"/>
    <w:rsid w:val="00A20289"/>
    <w:rsid w:val="00A20357"/>
    <w:rsid w:val="00A203C2"/>
    <w:rsid w:val="00A203EF"/>
    <w:rsid w:val="00A2044C"/>
    <w:rsid w:val="00A20498"/>
    <w:rsid w:val="00A204AC"/>
    <w:rsid w:val="00A204FD"/>
    <w:rsid w:val="00A20526"/>
    <w:rsid w:val="00A205CA"/>
    <w:rsid w:val="00A20625"/>
    <w:rsid w:val="00A206D5"/>
    <w:rsid w:val="00A20711"/>
    <w:rsid w:val="00A2073A"/>
    <w:rsid w:val="00A20951"/>
    <w:rsid w:val="00A20965"/>
    <w:rsid w:val="00A20AFC"/>
    <w:rsid w:val="00A20B1C"/>
    <w:rsid w:val="00A20CCA"/>
    <w:rsid w:val="00A20D59"/>
    <w:rsid w:val="00A20D86"/>
    <w:rsid w:val="00A20DF8"/>
    <w:rsid w:val="00A20F09"/>
    <w:rsid w:val="00A21043"/>
    <w:rsid w:val="00A21476"/>
    <w:rsid w:val="00A2155F"/>
    <w:rsid w:val="00A215DF"/>
    <w:rsid w:val="00A216B4"/>
    <w:rsid w:val="00A216C2"/>
    <w:rsid w:val="00A216F8"/>
    <w:rsid w:val="00A217F7"/>
    <w:rsid w:val="00A2180A"/>
    <w:rsid w:val="00A218BD"/>
    <w:rsid w:val="00A21A4F"/>
    <w:rsid w:val="00A21AD7"/>
    <w:rsid w:val="00A21B46"/>
    <w:rsid w:val="00A21C4F"/>
    <w:rsid w:val="00A21C77"/>
    <w:rsid w:val="00A21D81"/>
    <w:rsid w:val="00A21E11"/>
    <w:rsid w:val="00A21E1A"/>
    <w:rsid w:val="00A21F8A"/>
    <w:rsid w:val="00A220FF"/>
    <w:rsid w:val="00A22123"/>
    <w:rsid w:val="00A2218F"/>
    <w:rsid w:val="00A22357"/>
    <w:rsid w:val="00A22426"/>
    <w:rsid w:val="00A224A9"/>
    <w:rsid w:val="00A225CF"/>
    <w:rsid w:val="00A226BD"/>
    <w:rsid w:val="00A227B1"/>
    <w:rsid w:val="00A228BA"/>
    <w:rsid w:val="00A22A14"/>
    <w:rsid w:val="00A22AE9"/>
    <w:rsid w:val="00A22B21"/>
    <w:rsid w:val="00A22B79"/>
    <w:rsid w:val="00A22DF5"/>
    <w:rsid w:val="00A22E83"/>
    <w:rsid w:val="00A22F1A"/>
    <w:rsid w:val="00A2313F"/>
    <w:rsid w:val="00A23168"/>
    <w:rsid w:val="00A23306"/>
    <w:rsid w:val="00A2346E"/>
    <w:rsid w:val="00A23485"/>
    <w:rsid w:val="00A2366B"/>
    <w:rsid w:val="00A2368A"/>
    <w:rsid w:val="00A237D6"/>
    <w:rsid w:val="00A23913"/>
    <w:rsid w:val="00A2396F"/>
    <w:rsid w:val="00A23AB5"/>
    <w:rsid w:val="00A23AC5"/>
    <w:rsid w:val="00A23AD5"/>
    <w:rsid w:val="00A23B6F"/>
    <w:rsid w:val="00A23BB0"/>
    <w:rsid w:val="00A23DDA"/>
    <w:rsid w:val="00A23E37"/>
    <w:rsid w:val="00A23F25"/>
    <w:rsid w:val="00A2401C"/>
    <w:rsid w:val="00A2404E"/>
    <w:rsid w:val="00A2406F"/>
    <w:rsid w:val="00A2408D"/>
    <w:rsid w:val="00A24124"/>
    <w:rsid w:val="00A243B7"/>
    <w:rsid w:val="00A2444B"/>
    <w:rsid w:val="00A244FB"/>
    <w:rsid w:val="00A24532"/>
    <w:rsid w:val="00A24598"/>
    <w:rsid w:val="00A24739"/>
    <w:rsid w:val="00A24779"/>
    <w:rsid w:val="00A24A23"/>
    <w:rsid w:val="00A24B73"/>
    <w:rsid w:val="00A24E4B"/>
    <w:rsid w:val="00A24FB3"/>
    <w:rsid w:val="00A251E0"/>
    <w:rsid w:val="00A2542A"/>
    <w:rsid w:val="00A25521"/>
    <w:rsid w:val="00A25626"/>
    <w:rsid w:val="00A2570A"/>
    <w:rsid w:val="00A257EB"/>
    <w:rsid w:val="00A257EF"/>
    <w:rsid w:val="00A25848"/>
    <w:rsid w:val="00A258D7"/>
    <w:rsid w:val="00A258FB"/>
    <w:rsid w:val="00A259B2"/>
    <w:rsid w:val="00A25A52"/>
    <w:rsid w:val="00A25A55"/>
    <w:rsid w:val="00A25A8D"/>
    <w:rsid w:val="00A25B7B"/>
    <w:rsid w:val="00A25C0E"/>
    <w:rsid w:val="00A25F4F"/>
    <w:rsid w:val="00A25F63"/>
    <w:rsid w:val="00A26012"/>
    <w:rsid w:val="00A2609D"/>
    <w:rsid w:val="00A261A6"/>
    <w:rsid w:val="00A2622A"/>
    <w:rsid w:val="00A26295"/>
    <w:rsid w:val="00A264F7"/>
    <w:rsid w:val="00A26596"/>
    <w:rsid w:val="00A265F5"/>
    <w:rsid w:val="00A26603"/>
    <w:rsid w:val="00A267E6"/>
    <w:rsid w:val="00A267EE"/>
    <w:rsid w:val="00A2686A"/>
    <w:rsid w:val="00A268D8"/>
    <w:rsid w:val="00A26A91"/>
    <w:rsid w:val="00A26B0D"/>
    <w:rsid w:val="00A26B46"/>
    <w:rsid w:val="00A26C53"/>
    <w:rsid w:val="00A26CF3"/>
    <w:rsid w:val="00A26D0B"/>
    <w:rsid w:val="00A26DF2"/>
    <w:rsid w:val="00A26E46"/>
    <w:rsid w:val="00A26E92"/>
    <w:rsid w:val="00A2701E"/>
    <w:rsid w:val="00A2708A"/>
    <w:rsid w:val="00A270FA"/>
    <w:rsid w:val="00A2724E"/>
    <w:rsid w:val="00A27269"/>
    <w:rsid w:val="00A273D2"/>
    <w:rsid w:val="00A2747A"/>
    <w:rsid w:val="00A27496"/>
    <w:rsid w:val="00A274CC"/>
    <w:rsid w:val="00A27516"/>
    <w:rsid w:val="00A2751E"/>
    <w:rsid w:val="00A276BF"/>
    <w:rsid w:val="00A27718"/>
    <w:rsid w:val="00A278F7"/>
    <w:rsid w:val="00A27A38"/>
    <w:rsid w:val="00A27B1E"/>
    <w:rsid w:val="00A27D57"/>
    <w:rsid w:val="00A30047"/>
    <w:rsid w:val="00A301A0"/>
    <w:rsid w:val="00A301C2"/>
    <w:rsid w:val="00A3030D"/>
    <w:rsid w:val="00A30330"/>
    <w:rsid w:val="00A3046D"/>
    <w:rsid w:val="00A306CA"/>
    <w:rsid w:val="00A3090D"/>
    <w:rsid w:val="00A30915"/>
    <w:rsid w:val="00A309C0"/>
    <w:rsid w:val="00A30C04"/>
    <w:rsid w:val="00A30C59"/>
    <w:rsid w:val="00A30C78"/>
    <w:rsid w:val="00A30E98"/>
    <w:rsid w:val="00A30EFD"/>
    <w:rsid w:val="00A31073"/>
    <w:rsid w:val="00A31111"/>
    <w:rsid w:val="00A31123"/>
    <w:rsid w:val="00A31152"/>
    <w:rsid w:val="00A3121E"/>
    <w:rsid w:val="00A312C2"/>
    <w:rsid w:val="00A314D6"/>
    <w:rsid w:val="00A3156E"/>
    <w:rsid w:val="00A3160F"/>
    <w:rsid w:val="00A3167E"/>
    <w:rsid w:val="00A316DA"/>
    <w:rsid w:val="00A31818"/>
    <w:rsid w:val="00A31844"/>
    <w:rsid w:val="00A31901"/>
    <w:rsid w:val="00A3194E"/>
    <w:rsid w:val="00A31998"/>
    <w:rsid w:val="00A31ADA"/>
    <w:rsid w:val="00A31B25"/>
    <w:rsid w:val="00A31D36"/>
    <w:rsid w:val="00A31F8F"/>
    <w:rsid w:val="00A31FB9"/>
    <w:rsid w:val="00A3205A"/>
    <w:rsid w:val="00A32255"/>
    <w:rsid w:val="00A3228B"/>
    <w:rsid w:val="00A322AC"/>
    <w:rsid w:val="00A324B2"/>
    <w:rsid w:val="00A3253D"/>
    <w:rsid w:val="00A3254B"/>
    <w:rsid w:val="00A325EE"/>
    <w:rsid w:val="00A326E0"/>
    <w:rsid w:val="00A3273B"/>
    <w:rsid w:val="00A32829"/>
    <w:rsid w:val="00A329E9"/>
    <w:rsid w:val="00A32A4F"/>
    <w:rsid w:val="00A32B71"/>
    <w:rsid w:val="00A32B79"/>
    <w:rsid w:val="00A32B85"/>
    <w:rsid w:val="00A32C7C"/>
    <w:rsid w:val="00A32C90"/>
    <w:rsid w:val="00A32E40"/>
    <w:rsid w:val="00A32E5A"/>
    <w:rsid w:val="00A32EEC"/>
    <w:rsid w:val="00A330A9"/>
    <w:rsid w:val="00A33123"/>
    <w:rsid w:val="00A3318A"/>
    <w:rsid w:val="00A333A0"/>
    <w:rsid w:val="00A3349C"/>
    <w:rsid w:val="00A334A6"/>
    <w:rsid w:val="00A335B3"/>
    <w:rsid w:val="00A336C1"/>
    <w:rsid w:val="00A33794"/>
    <w:rsid w:val="00A338C7"/>
    <w:rsid w:val="00A33A10"/>
    <w:rsid w:val="00A33B4E"/>
    <w:rsid w:val="00A33B59"/>
    <w:rsid w:val="00A33BB8"/>
    <w:rsid w:val="00A33CF3"/>
    <w:rsid w:val="00A33D50"/>
    <w:rsid w:val="00A33D6E"/>
    <w:rsid w:val="00A33D97"/>
    <w:rsid w:val="00A33EEE"/>
    <w:rsid w:val="00A33F7D"/>
    <w:rsid w:val="00A33FCC"/>
    <w:rsid w:val="00A341D5"/>
    <w:rsid w:val="00A3439D"/>
    <w:rsid w:val="00A3440F"/>
    <w:rsid w:val="00A3446B"/>
    <w:rsid w:val="00A344C6"/>
    <w:rsid w:val="00A34629"/>
    <w:rsid w:val="00A34640"/>
    <w:rsid w:val="00A34770"/>
    <w:rsid w:val="00A347B2"/>
    <w:rsid w:val="00A348EF"/>
    <w:rsid w:val="00A34937"/>
    <w:rsid w:val="00A34982"/>
    <w:rsid w:val="00A34A3B"/>
    <w:rsid w:val="00A34AAD"/>
    <w:rsid w:val="00A34AB2"/>
    <w:rsid w:val="00A34CE8"/>
    <w:rsid w:val="00A34D2C"/>
    <w:rsid w:val="00A34F31"/>
    <w:rsid w:val="00A34F4E"/>
    <w:rsid w:val="00A3522F"/>
    <w:rsid w:val="00A3524E"/>
    <w:rsid w:val="00A3526E"/>
    <w:rsid w:val="00A35276"/>
    <w:rsid w:val="00A352C3"/>
    <w:rsid w:val="00A35415"/>
    <w:rsid w:val="00A354AD"/>
    <w:rsid w:val="00A355E0"/>
    <w:rsid w:val="00A35768"/>
    <w:rsid w:val="00A358E5"/>
    <w:rsid w:val="00A35961"/>
    <w:rsid w:val="00A35B1A"/>
    <w:rsid w:val="00A35B7C"/>
    <w:rsid w:val="00A35B7D"/>
    <w:rsid w:val="00A35BA8"/>
    <w:rsid w:val="00A35BF7"/>
    <w:rsid w:val="00A35C5F"/>
    <w:rsid w:val="00A35C7B"/>
    <w:rsid w:val="00A35D6A"/>
    <w:rsid w:val="00A35DE4"/>
    <w:rsid w:val="00A35F33"/>
    <w:rsid w:val="00A35F57"/>
    <w:rsid w:val="00A3607A"/>
    <w:rsid w:val="00A3614F"/>
    <w:rsid w:val="00A365BE"/>
    <w:rsid w:val="00A365C9"/>
    <w:rsid w:val="00A3693C"/>
    <w:rsid w:val="00A369A0"/>
    <w:rsid w:val="00A36BD4"/>
    <w:rsid w:val="00A36F66"/>
    <w:rsid w:val="00A36F8E"/>
    <w:rsid w:val="00A36FBC"/>
    <w:rsid w:val="00A371F9"/>
    <w:rsid w:val="00A373DD"/>
    <w:rsid w:val="00A3749B"/>
    <w:rsid w:val="00A3749E"/>
    <w:rsid w:val="00A37533"/>
    <w:rsid w:val="00A377AF"/>
    <w:rsid w:val="00A377CF"/>
    <w:rsid w:val="00A379AD"/>
    <w:rsid w:val="00A37B19"/>
    <w:rsid w:val="00A37B6B"/>
    <w:rsid w:val="00A37C09"/>
    <w:rsid w:val="00A37C44"/>
    <w:rsid w:val="00A37C58"/>
    <w:rsid w:val="00A37D87"/>
    <w:rsid w:val="00A37D9B"/>
    <w:rsid w:val="00A37F24"/>
    <w:rsid w:val="00A40123"/>
    <w:rsid w:val="00A401C6"/>
    <w:rsid w:val="00A401CA"/>
    <w:rsid w:val="00A40232"/>
    <w:rsid w:val="00A404D6"/>
    <w:rsid w:val="00A40782"/>
    <w:rsid w:val="00A40869"/>
    <w:rsid w:val="00A4087E"/>
    <w:rsid w:val="00A40987"/>
    <w:rsid w:val="00A40A84"/>
    <w:rsid w:val="00A40C39"/>
    <w:rsid w:val="00A40D0A"/>
    <w:rsid w:val="00A40D55"/>
    <w:rsid w:val="00A40EDF"/>
    <w:rsid w:val="00A40EEE"/>
    <w:rsid w:val="00A40F31"/>
    <w:rsid w:val="00A4102C"/>
    <w:rsid w:val="00A410B0"/>
    <w:rsid w:val="00A41128"/>
    <w:rsid w:val="00A4113E"/>
    <w:rsid w:val="00A41192"/>
    <w:rsid w:val="00A41214"/>
    <w:rsid w:val="00A41216"/>
    <w:rsid w:val="00A4131E"/>
    <w:rsid w:val="00A413B5"/>
    <w:rsid w:val="00A41552"/>
    <w:rsid w:val="00A4165F"/>
    <w:rsid w:val="00A41670"/>
    <w:rsid w:val="00A417E8"/>
    <w:rsid w:val="00A418CF"/>
    <w:rsid w:val="00A418F6"/>
    <w:rsid w:val="00A41948"/>
    <w:rsid w:val="00A419F1"/>
    <w:rsid w:val="00A41BE0"/>
    <w:rsid w:val="00A41CD2"/>
    <w:rsid w:val="00A41D46"/>
    <w:rsid w:val="00A41D7E"/>
    <w:rsid w:val="00A41E6F"/>
    <w:rsid w:val="00A41E88"/>
    <w:rsid w:val="00A41F2C"/>
    <w:rsid w:val="00A41FE2"/>
    <w:rsid w:val="00A42016"/>
    <w:rsid w:val="00A42355"/>
    <w:rsid w:val="00A424D5"/>
    <w:rsid w:val="00A425D8"/>
    <w:rsid w:val="00A42673"/>
    <w:rsid w:val="00A428C2"/>
    <w:rsid w:val="00A42BC3"/>
    <w:rsid w:val="00A42C4B"/>
    <w:rsid w:val="00A42D1D"/>
    <w:rsid w:val="00A42D38"/>
    <w:rsid w:val="00A42DC1"/>
    <w:rsid w:val="00A42DDF"/>
    <w:rsid w:val="00A42E74"/>
    <w:rsid w:val="00A42EDB"/>
    <w:rsid w:val="00A42FC1"/>
    <w:rsid w:val="00A43124"/>
    <w:rsid w:val="00A43401"/>
    <w:rsid w:val="00A43459"/>
    <w:rsid w:val="00A43494"/>
    <w:rsid w:val="00A4366F"/>
    <w:rsid w:val="00A43688"/>
    <w:rsid w:val="00A43694"/>
    <w:rsid w:val="00A436CB"/>
    <w:rsid w:val="00A436FF"/>
    <w:rsid w:val="00A43921"/>
    <w:rsid w:val="00A43953"/>
    <w:rsid w:val="00A43A0B"/>
    <w:rsid w:val="00A43C90"/>
    <w:rsid w:val="00A43E59"/>
    <w:rsid w:val="00A43E73"/>
    <w:rsid w:val="00A43FAA"/>
    <w:rsid w:val="00A44729"/>
    <w:rsid w:val="00A447FF"/>
    <w:rsid w:val="00A4487C"/>
    <w:rsid w:val="00A44DC3"/>
    <w:rsid w:val="00A44E09"/>
    <w:rsid w:val="00A44E4D"/>
    <w:rsid w:val="00A44E5F"/>
    <w:rsid w:val="00A44F1D"/>
    <w:rsid w:val="00A44F3F"/>
    <w:rsid w:val="00A4507F"/>
    <w:rsid w:val="00A45258"/>
    <w:rsid w:val="00A4525D"/>
    <w:rsid w:val="00A4525F"/>
    <w:rsid w:val="00A453BD"/>
    <w:rsid w:val="00A45496"/>
    <w:rsid w:val="00A45574"/>
    <w:rsid w:val="00A455C4"/>
    <w:rsid w:val="00A455D8"/>
    <w:rsid w:val="00A45645"/>
    <w:rsid w:val="00A45679"/>
    <w:rsid w:val="00A457B0"/>
    <w:rsid w:val="00A45868"/>
    <w:rsid w:val="00A459D2"/>
    <w:rsid w:val="00A45ABC"/>
    <w:rsid w:val="00A45BC9"/>
    <w:rsid w:val="00A45C9F"/>
    <w:rsid w:val="00A45D6F"/>
    <w:rsid w:val="00A4600E"/>
    <w:rsid w:val="00A4613E"/>
    <w:rsid w:val="00A46391"/>
    <w:rsid w:val="00A463C1"/>
    <w:rsid w:val="00A4654D"/>
    <w:rsid w:val="00A465CD"/>
    <w:rsid w:val="00A4673E"/>
    <w:rsid w:val="00A46791"/>
    <w:rsid w:val="00A46861"/>
    <w:rsid w:val="00A468B6"/>
    <w:rsid w:val="00A46976"/>
    <w:rsid w:val="00A46BC2"/>
    <w:rsid w:val="00A46C78"/>
    <w:rsid w:val="00A46D20"/>
    <w:rsid w:val="00A46DAA"/>
    <w:rsid w:val="00A46DC6"/>
    <w:rsid w:val="00A4700B"/>
    <w:rsid w:val="00A470BC"/>
    <w:rsid w:val="00A470E5"/>
    <w:rsid w:val="00A47119"/>
    <w:rsid w:val="00A471BC"/>
    <w:rsid w:val="00A471F1"/>
    <w:rsid w:val="00A476F8"/>
    <w:rsid w:val="00A47880"/>
    <w:rsid w:val="00A4788A"/>
    <w:rsid w:val="00A47950"/>
    <w:rsid w:val="00A47AE8"/>
    <w:rsid w:val="00A47C6C"/>
    <w:rsid w:val="00A47D67"/>
    <w:rsid w:val="00A47E28"/>
    <w:rsid w:val="00A5002D"/>
    <w:rsid w:val="00A50060"/>
    <w:rsid w:val="00A50182"/>
    <w:rsid w:val="00A50352"/>
    <w:rsid w:val="00A5063B"/>
    <w:rsid w:val="00A507F4"/>
    <w:rsid w:val="00A5089A"/>
    <w:rsid w:val="00A509C6"/>
    <w:rsid w:val="00A50A93"/>
    <w:rsid w:val="00A50C5E"/>
    <w:rsid w:val="00A50D70"/>
    <w:rsid w:val="00A50D80"/>
    <w:rsid w:val="00A50D88"/>
    <w:rsid w:val="00A50DD7"/>
    <w:rsid w:val="00A50E76"/>
    <w:rsid w:val="00A50EB0"/>
    <w:rsid w:val="00A50F13"/>
    <w:rsid w:val="00A50F4B"/>
    <w:rsid w:val="00A50FB3"/>
    <w:rsid w:val="00A510A1"/>
    <w:rsid w:val="00A510DE"/>
    <w:rsid w:val="00A511D9"/>
    <w:rsid w:val="00A51228"/>
    <w:rsid w:val="00A512D3"/>
    <w:rsid w:val="00A512E7"/>
    <w:rsid w:val="00A513A0"/>
    <w:rsid w:val="00A513DC"/>
    <w:rsid w:val="00A51461"/>
    <w:rsid w:val="00A51559"/>
    <w:rsid w:val="00A51742"/>
    <w:rsid w:val="00A51750"/>
    <w:rsid w:val="00A51AC3"/>
    <w:rsid w:val="00A51C2F"/>
    <w:rsid w:val="00A51D06"/>
    <w:rsid w:val="00A51E38"/>
    <w:rsid w:val="00A51E39"/>
    <w:rsid w:val="00A51F30"/>
    <w:rsid w:val="00A51FAC"/>
    <w:rsid w:val="00A51FDB"/>
    <w:rsid w:val="00A52137"/>
    <w:rsid w:val="00A522C0"/>
    <w:rsid w:val="00A5230B"/>
    <w:rsid w:val="00A52375"/>
    <w:rsid w:val="00A52682"/>
    <w:rsid w:val="00A526B6"/>
    <w:rsid w:val="00A52721"/>
    <w:rsid w:val="00A5281F"/>
    <w:rsid w:val="00A52823"/>
    <w:rsid w:val="00A528FC"/>
    <w:rsid w:val="00A52956"/>
    <w:rsid w:val="00A52A06"/>
    <w:rsid w:val="00A52A12"/>
    <w:rsid w:val="00A52BAC"/>
    <w:rsid w:val="00A52BAE"/>
    <w:rsid w:val="00A52E4B"/>
    <w:rsid w:val="00A52FF2"/>
    <w:rsid w:val="00A53036"/>
    <w:rsid w:val="00A5316D"/>
    <w:rsid w:val="00A531D7"/>
    <w:rsid w:val="00A532B4"/>
    <w:rsid w:val="00A532F0"/>
    <w:rsid w:val="00A5334C"/>
    <w:rsid w:val="00A5351A"/>
    <w:rsid w:val="00A53542"/>
    <w:rsid w:val="00A53575"/>
    <w:rsid w:val="00A536D7"/>
    <w:rsid w:val="00A536E3"/>
    <w:rsid w:val="00A538C0"/>
    <w:rsid w:val="00A53980"/>
    <w:rsid w:val="00A539C1"/>
    <w:rsid w:val="00A53A44"/>
    <w:rsid w:val="00A53F4B"/>
    <w:rsid w:val="00A541B8"/>
    <w:rsid w:val="00A541D5"/>
    <w:rsid w:val="00A541EF"/>
    <w:rsid w:val="00A542C3"/>
    <w:rsid w:val="00A5434C"/>
    <w:rsid w:val="00A54419"/>
    <w:rsid w:val="00A5444C"/>
    <w:rsid w:val="00A5451A"/>
    <w:rsid w:val="00A54593"/>
    <w:rsid w:val="00A545C7"/>
    <w:rsid w:val="00A545D7"/>
    <w:rsid w:val="00A545FF"/>
    <w:rsid w:val="00A54654"/>
    <w:rsid w:val="00A546B3"/>
    <w:rsid w:val="00A546E2"/>
    <w:rsid w:val="00A5475E"/>
    <w:rsid w:val="00A54A5B"/>
    <w:rsid w:val="00A54DBE"/>
    <w:rsid w:val="00A54E0B"/>
    <w:rsid w:val="00A54E0C"/>
    <w:rsid w:val="00A54E36"/>
    <w:rsid w:val="00A54F93"/>
    <w:rsid w:val="00A550C2"/>
    <w:rsid w:val="00A5528E"/>
    <w:rsid w:val="00A55690"/>
    <w:rsid w:val="00A556BC"/>
    <w:rsid w:val="00A55717"/>
    <w:rsid w:val="00A557AC"/>
    <w:rsid w:val="00A55872"/>
    <w:rsid w:val="00A559AC"/>
    <w:rsid w:val="00A559E5"/>
    <w:rsid w:val="00A55A19"/>
    <w:rsid w:val="00A55B1B"/>
    <w:rsid w:val="00A55C00"/>
    <w:rsid w:val="00A55D8A"/>
    <w:rsid w:val="00A55DF8"/>
    <w:rsid w:val="00A55E00"/>
    <w:rsid w:val="00A55EC4"/>
    <w:rsid w:val="00A55F04"/>
    <w:rsid w:val="00A55F61"/>
    <w:rsid w:val="00A55FA6"/>
    <w:rsid w:val="00A55FEC"/>
    <w:rsid w:val="00A56227"/>
    <w:rsid w:val="00A56230"/>
    <w:rsid w:val="00A56260"/>
    <w:rsid w:val="00A5634D"/>
    <w:rsid w:val="00A563CC"/>
    <w:rsid w:val="00A565BD"/>
    <w:rsid w:val="00A5661F"/>
    <w:rsid w:val="00A56755"/>
    <w:rsid w:val="00A56914"/>
    <w:rsid w:val="00A56923"/>
    <w:rsid w:val="00A56989"/>
    <w:rsid w:val="00A56A06"/>
    <w:rsid w:val="00A56AD9"/>
    <w:rsid w:val="00A56ADD"/>
    <w:rsid w:val="00A56B7A"/>
    <w:rsid w:val="00A56C61"/>
    <w:rsid w:val="00A56FB7"/>
    <w:rsid w:val="00A56FD2"/>
    <w:rsid w:val="00A56FF3"/>
    <w:rsid w:val="00A5739A"/>
    <w:rsid w:val="00A5739F"/>
    <w:rsid w:val="00A5755C"/>
    <w:rsid w:val="00A57741"/>
    <w:rsid w:val="00A577ED"/>
    <w:rsid w:val="00A57857"/>
    <w:rsid w:val="00A57AA3"/>
    <w:rsid w:val="00A57AB5"/>
    <w:rsid w:val="00A57B45"/>
    <w:rsid w:val="00A57CB8"/>
    <w:rsid w:val="00A57DE9"/>
    <w:rsid w:val="00A60016"/>
    <w:rsid w:val="00A600FA"/>
    <w:rsid w:val="00A6025D"/>
    <w:rsid w:val="00A6041A"/>
    <w:rsid w:val="00A604B1"/>
    <w:rsid w:val="00A605F7"/>
    <w:rsid w:val="00A606B9"/>
    <w:rsid w:val="00A606F4"/>
    <w:rsid w:val="00A60717"/>
    <w:rsid w:val="00A60741"/>
    <w:rsid w:val="00A60775"/>
    <w:rsid w:val="00A60843"/>
    <w:rsid w:val="00A6091C"/>
    <w:rsid w:val="00A60A42"/>
    <w:rsid w:val="00A60ABA"/>
    <w:rsid w:val="00A60C30"/>
    <w:rsid w:val="00A60F71"/>
    <w:rsid w:val="00A6104E"/>
    <w:rsid w:val="00A6112B"/>
    <w:rsid w:val="00A6124B"/>
    <w:rsid w:val="00A61289"/>
    <w:rsid w:val="00A612A6"/>
    <w:rsid w:val="00A61354"/>
    <w:rsid w:val="00A613D7"/>
    <w:rsid w:val="00A613FD"/>
    <w:rsid w:val="00A6141C"/>
    <w:rsid w:val="00A614ED"/>
    <w:rsid w:val="00A6151D"/>
    <w:rsid w:val="00A61687"/>
    <w:rsid w:val="00A6180A"/>
    <w:rsid w:val="00A6185B"/>
    <w:rsid w:val="00A61AEE"/>
    <w:rsid w:val="00A61B5B"/>
    <w:rsid w:val="00A61C94"/>
    <w:rsid w:val="00A61D06"/>
    <w:rsid w:val="00A61D60"/>
    <w:rsid w:val="00A61E60"/>
    <w:rsid w:val="00A61EAB"/>
    <w:rsid w:val="00A62131"/>
    <w:rsid w:val="00A62243"/>
    <w:rsid w:val="00A6224D"/>
    <w:rsid w:val="00A62320"/>
    <w:rsid w:val="00A62323"/>
    <w:rsid w:val="00A6237C"/>
    <w:rsid w:val="00A62458"/>
    <w:rsid w:val="00A62538"/>
    <w:rsid w:val="00A626B1"/>
    <w:rsid w:val="00A62719"/>
    <w:rsid w:val="00A629F6"/>
    <w:rsid w:val="00A62A80"/>
    <w:rsid w:val="00A62E02"/>
    <w:rsid w:val="00A62E42"/>
    <w:rsid w:val="00A62FB9"/>
    <w:rsid w:val="00A63019"/>
    <w:rsid w:val="00A63099"/>
    <w:rsid w:val="00A630FC"/>
    <w:rsid w:val="00A63215"/>
    <w:rsid w:val="00A63238"/>
    <w:rsid w:val="00A6323E"/>
    <w:rsid w:val="00A63386"/>
    <w:rsid w:val="00A63467"/>
    <w:rsid w:val="00A6353C"/>
    <w:rsid w:val="00A6389D"/>
    <w:rsid w:val="00A63A13"/>
    <w:rsid w:val="00A63AA2"/>
    <w:rsid w:val="00A63B29"/>
    <w:rsid w:val="00A63C9C"/>
    <w:rsid w:val="00A63DD9"/>
    <w:rsid w:val="00A63DF5"/>
    <w:rsid w:val="00A63EAF"/>
    <w:rsid w:val="00A63F20"/>
    <w:rsid w:val="00A63FB1"/>
    <w:rsid w:val="00A6412C"/>
    <w:rsid w:val="00A642B9"/>
    <w:rsid w:val="00A6444A"/>
    <w:rsid w:val="00A6445E"/>
    <w:rsid w:val="00A6497B"/>
    <w:rsid w:val="00A64A71"/>
    <w:rsid w:val="00A64BC0"/>
    <w:rsid w:val="00A64BF8"/>
    <w:rsid w:val="00A64DF6"/>
    <w:rsid w:val="00A64DFE"/>
    <w:rsid w:val="00A650D3"/>
    <w:rsid w:val="00A65140"/>
    <w:rsid w:val="00A65275"/>
    <w:rsid w:val="00A6533A"/>
    <w:rsid w:val="00A6548F"/>
    <w:rsid w:val="00A655D8"/>
    <w:rsid w:val="00A65743"/>
    <w:rsid w:val="00A6579B"/>
    <w:rsid w:val="00A658C0"/>
    <w:rsid w:val="00A658CA"/>
    <w:rsid w:val="00A65A35"/>
    <w:rsid w:val="00A65A37"/>
    <w:rsid w:val="00A65B11"/>
    <w:rsid w:val="00A65BA4"/>
    <w:rsid w:val="00A65D9E"/>
    <w:rsid w:val="00A65DFD"/>
    <w:rsid w:val="00A65EC2"/>
    <w:rsid w:val="00A65F95"/>
    <w:rsid w:val="00A66126"/>
    <w:rsid w:val="00A66198"/>
    <w:rsid w:val="00A661E3"/>
    <w:rsid w:val="00A661E9"/>
    <w:rsid w:val="00A66410"/>
    <w:rsid w:val="00A66466"/>
    <w:rsid w:val="00A66517"/>
    <w:rsid w:val="00A66530"/>
    <w:rsid w:val="00A66631"/>
    <w:rsid w:val="00A66680"/>
    <w:rsid w:val="00A666A5"/>
    <w:rsid w:val="00A666E4"/>
    <w:rsid w:val="00A66718"/>
    <w:rsid w:val="00A66851"/>
    <w:rsid w:val="00A6697E"/>
    <w:rsid w:val="00A66A86"/>
    <w:rsid w:val="00A66ADB"/>
    <w:rsid w:val="00A66B7B"/>
    <w:rsid w:val="00A66C14"/>
    <w:rsid w:val="00A66C73"/>
    <w:rsid w:val="00A66D50"/>
    <w:rsid w:val="00A66D51"/>
    <w:rsid w:val="00A66D70"/>
    <w:rsid w:val="00A66DBA"/>
    <w:rsid w:val="00A66DD7"/>
    <w:rsid w:val="00A66E13"/>
    <w:rsid w:val="00A66E1E"/>
    <w:rsid w:val="00A66E36"/>
    <w:rsid w:val="00A66E64"/>
    <w:rsid w:val="00A66F2D"/>
    <w:rsid w:val="00A67100"/>
    <w:rsid w:val="00A6710B"/>
    <w:rsid w:val="00A67208"/>
    <w:rsid w:val="00A67427"/>
    <w:rsid w:val="00A6743E"/>
    <w:rsid w:val="00A67649"/>
    <w:rsid w:val="00A67656"/>
    <w:rsid w:val="00A67737"/>
    <w:rsid w:val="00A67869"/>
    <w:rsid w:val="00A678F5"/>
    <w:rsid w:val="00A67BCE"/>
    <w:rsid w:val="00A67C04"/>
    <w:rsid w:val="00A67D8C"/>
    <w:rsid w:val="00A70081"/>
    <w:rsid w:val="00A7029B"/>
    <w:rsid w:val="00A7038B"/>
    <w:rsid w:val="00A703C7"/>
    <w:rsid w:val="00A7041E"/>
    <w:rsid w:val="00A70468"/>
    <w:rsid w:val="00A707DE"/>
    <w:rsid w:val="00A70AB1"/>
    <w:rsid w:val="00A70B90"/>
    <w:rsid w:val="00A70C49"/>
    <w:rsid w:val="00A70CB6"/>
    <w:rsid w:val="00A70E87"/>
    <w:rsid w:val="00A713CB"/>
    <w:rsid w:val="00A71407"/>
    <w:rsid w:val="00A7145E"/>
    <w:rsid w:val="00A7149D"/>
    <w:rsid w:val="00A714FF"/>
    <w:rsid w:val="00A71601"/>
    <w:rsid w:val="00A71602"/>
    <w:rsid w:val="00A7161B"/>
    <w:rsid w:val="00A7173D"/>
    <w:rsid w:val="00A7175B"/>
    <w:rsid w:val="00A71833"/>
    <w:rsid w:val="00A71883"/>
    <w:rsid w:val="00A71891"/>
    <w:rsid w:val="00A71895"/>
    <w:rsid w:val="00A71BAD"/>
    <w:rsid w:val="00A71C13"/>
    <w:rsid w:val="00A71D6E"/>
    <w:rsid w:val="00A71E94"/>
    <w:rsid w:val="00A7213E"/>
    <w:rsid w:val="00A72158"/>
    <w:rsid w:val="00A721B4"/>
    <w:rsid w:val="00A721E3"/>
    <w:rsid w:val="00A721FF"/>
    <w:rsid w:val="00A72277"/>
    <w:rsid w:val="00A7236C"/>
    <w:rsid w:val="00A724C3"/>
    <w:rsid w:val="00A725C7"/>
    <w:rsid w:val="00A72620"/>
    <w:rsid w:val="00A72692"/>
    <w:rsid w:val="00A728F2"/>
    <w:rsid w:val="00A72915"/>
    <w:rsid w:val="00A72960"/>
    <w:rsid w:val="00A729B1"/>
    <w:rsid w:val="00A72A13"/>
    <w:rsid w:val="00A72AD8"/>
    <w:rsid w:val="00A72AEE"/>
    <w:rsid w:val="00A72C31"/>
    <w:rsid w:val="00A72C4B"/>
    <w:rsid w:val="00A72CBF"/>
    <w:rsid w:val="00A72CDA"/>
    <w:rsid w:val="00A72CF2"/>
    <w:rsid w:val="00A72D49"/>
    <w:rsid w:val="00A72D8B"/>
    <w:rsid w:val="00A72D8F"/>
    <w:rsid w:val="00A72E87"/>
    <w:rsid w:val="00A72F5A"/>
    <w:rsid w:val="00A72F7F"/>
    <w:rsid w:val="00A72F87"/>
    <w:rsid w:val="00A731D3"/>
    <w:rsid w:val="00A7332A"/>
    <w:rsid w:val="00A7355B"/>
    <w:rsid w:val="00A7367A"/>
    <w:rsid w:val="00A7368B"/>
    <w:rsid w:val="00A739CD"/>
    <w:rsid w:val="00A73C91"/>
    <w:rsid w:val="00A73E7C"/>
    <w:rsid w:val="00A740E9"/>
    <w:rsid w:val="00A74151"/>
    <w:rsid w:val="00A7423A"/>
    <w:rsid w:val="00A7440E"/>
    <w:rsid w:val="00A74498"/>
    <w:rsid w:val="00A74635"/>
    <w:rsid w:val="00A747A3"/>
    <w:rsid w:val="00A74815"/>
    <w:rsid w:val="00A74960"/>
    <w:rsid w:val="00A74AB1"/>
    <w:rsid w:val="00A74C88"/>
    <w:rsid w:val="00A74CE5"/>
    <w:rsid w:val="00A74CFD"/>
    <w:rsid w:val="00A74D01"/>
    <w:rsid w:val="00A74D55"/>
    <w:rsid w:val="00A74DA1"/>
    <w:rsid w:val="00A74DF3"/>
    <w:rsid w:val="00A74EA4"/>
    <w:rsid w:val="00A74ED4"/>
    <w:rsid w:val="00A74FA1"/>
    <w:rsid w:val="00A75091"/>
    <w:rsid w:val="00A752C5"/>
    <w:rsid w:val="00A752DB"/>
    <w:rsid w:val="00A7540C"/>
    <w:rsid w:val="00A75611"/>
    <w:rsid w:val="00A759E9"/>
    <w:rsid w:val="00A75C11"/>
    <w:rsid w:val="00A76042"/>
    <w:rsid w:val="00A76044"/>
    <w:rsid w:val="00A76118"/>
    <w:rsid w:val="00A761AE"/>
    <w:rsid w:val="00A762C0"/>
    <w:rsid w:val="00A76344"/>
    <w:rsid w:val="00A7635B"/>
    <w:rsid w:val="00A7669A"/>
    <w:rsid w:val="00A767A5"/>
    <w:rsid w:val="00A76AEB"/>
    <w:rsid w:val="00A76B75"/>
    <w:rsid w:val="00A76B82"/>
    <w:rsid w:val="00A76B8E"/>
    <w:rsid w:val="00A76D26"/>
    <w:rsid w:val="00A76DD9"/>
    <w:rsid w:val="00A76DEE"/>
    <w:rsid w:val="00A76E08"/>
    <w:rsid w:val="00A7709C"/>
    <w:rsid w:val="00A770FF"/>
    <w:rsid w:val="00A7723F"/>
    <w:rsid w:val="00A77415"/>
    <w:rsid w:val="00A774DF"/>
    <w:rsid w:val="00A77525"/>
    <w:rsid w:val="00A77753"/>
    <w:rsid w:val="00A77905"/>
    <w:rsid w:val="00A77976"/>
    <w:rsid w:val="00A779A8"/>
    <w:rsid w:val="00A77A5D"/>
    <w:rsid w:val="00A77A62"/>
    <w:rsid w:val="00A77AD1"/>
    <w:rsid w:val="00A77C91"/>
    <w:rsid w:val="00A8016F"/>
    <w:rsid w:val="00A801BF"/>
    <w:rsid w:val="00A80318"/>
    <w:rsid w:val="00A80627"/>
    <w:rsid w:val="00A80699"/>
    <w:rsid w:val="00A8075B"/>
    <w:rsid w:val="00A807B5"/>
    <w:rsid w:val="00A8088A"/>
    <w:rsid w:val="00A80BDE"/>
    <w:rsid w:val="00A80D92"/>
    <w:rsid w:val="00A80DD4"/>
    <w:rsid w:val="00A80EC0"/>
    <w:rsid w:val="00A810DB"/>
    <w:rsid w:val="00A81197"/>
    <w:rsid w:val="00A81462"/>
    <w:rsid w:val="00A81498"/>
    <w:rsid w:val="00A815DB"/>
    <w:rsid w:val="00A81781"/>
    <w:rsid w:val="00A817EF"/>
    <w:rsid w:val="00A81A59"/>
    <w:rsid w:val="00A81BD3"/>
    <w:rsid w:val="00A81C05"/>
    <w:rsid w:val="00A81C0E"/>
    <w:rsid w:val="00A8203A"/>
    <w:rsid w:val="00A820C1"/>
    <w:rsid w:val="00A821D9"/>
    <w:rsid w:val="00A822B6"/>
    <w:rsid w:val="00A82304"/>
    <w:rsid w:val="00A82417"/>
    <w:rsid w:val="00A8243E"/>
    <w:rsid w:val="00A824D6"/>
    <w:rsid w:val="00A82634"/>
    <w:rsid w:val="00A82685"/>
    <w:rsid w:val="00A826FB"/>
    <w:rsid w:val="00A829B1"/>
    <w:rsid w:val="00A82A58"/>
    <w:rsid w:val="00A82C4B"/>
    <w:rsid w:val="00A82C5B"/>
    <w:rsid w:val="00A82FA3"/>
    <w:rsid w:val="00A8302C"/>
    <w:rsid w:val="00A8310B"/>
    <w:rsid w:val="00A83151"/>
    <w:rsid w:val="00A83270"/>
    <w:rsid w:val="00A833B3"/>
    <w:rsid w:val="00A833E8"/>
    <w:rsid w:val="00A83588"/>
    <w:rsid w:val="00A835C4"/>
    <w:rsid w:val="00A836BA"/>
    <w:rsid w:val="00A8375C"/>
    <w:rsid w:val="00A837A0"/>
    <w:rsid w:val="00A838EA"/>
    <w:rsid w:val="00A8399E"/>
    <w:rsid w:val="00A83BA0"/>
    <w:rsid w:val="00A83C5F"/>
    <w:rsid w:val="00A83CC1"/>
    <w:rsid w:val="00A83CCD"/>
    <w:rsid w:val="00A83FE6"/>
    <w:rsid w:val="00A84017"/>
    <w:rsid w:val="00A84070"/>
    <w:rsid w:val="00A84088"/>
    <w:rsid w:val="00A84203"/>
    <w:rsid w:val="00A84253"/>
    <w:rsid w:val="00A842F8"/>
    <w:rsid w:val="00A8441E"/>
    <w:rsid w:val="00A845D1"/>
    <w:rsid w:val="00A8479E"/>
    <w:rsid w:val="00A847A4"/>
    <w:rsid w:val="00A84AE2"/>
    <w:rsid w:val="00A84B78"/>
    <w:rsid w:val="00A84B95"/>
    <w:rsid w:val="00A84D8E"/>
    <w:rsid w:val="00A84DAB"/>
    <w:rsid w:val="00A84FDD"/>
    <w:rsid w:val="00A84FEE"/>
    <w:rsid w:val="00A85002"/>
    <w:rsid w:val="00A85007"/>
    <w:rsid w:val="00A8503B"/>
    <w:rsid w:val="00A850CB"/>
    <w:rsid w:val="00A85232"/>
    <w:rsid w:val="00A853DB"/>
    <w:rsid w:val="00A8555E"/>
    <w:rsid w:val="00A8571F"/>
    <w:rsid w:val="00A85722"/>
    <w:rsid w:val="00A85894"/>
    <w:rsid w:val="00A8589A"/>
    <w:rsid w:val="00A8598F"/>
    <w:rsid w:val="00A85A44"/>
    <w:rsid w:val="00A85A76"/>
    <w:rsid w:val="00A85BB3"/>
    <w:rsid w:val="00A85C56"/>
    <w:rsid w:val="00A85D0C"/>
    <w:rsid w:val="00A85DFD"/>
    <w:rsid w:val="00A85E3A"/>
    <w:rsid w:val="00A85E5F"/>
    <w:rsid w:val="00A85FED"/>
    <w:rsid w:val="00A86253"/>
    <w:rsid w:val="00A86313"/>
    <w:rsid w:val="00A8633D"/>
    <w:rsid w:val="00A863C3"/>
    <w:rsid w:val="00A86542"/>
    <w:rsid w:val="00A86753"/>
    <w:rsid w:val="00A86966"/>
    <w:rsid w:val="00A86A18"/>
    <w:rsid w:val="00A86A5C"/>
    <w:rsid w:val="00A86B04"/>
    <w:rsid w:val="00A86D75"/>
    <w:rsid w:val="00A86DBF"/>
    <w:rsid w:val="00A86F8C"/>
    <w:rsid w:val="00A871DF"/>
    <w:rsid w:val="00A8720E"/>
    <w:rsid w:val="00A8725E"/>
    <w:rsid w:val="00A872E7"/>
    <w:rsid w:val="00A873FA"/>
    <w:rsid w:val="00A8740B"/>
    <w:rsid w:val="00A87461"/>
    <w:rsid w:val="00A874FC"/>
    <w:rsid w:val="00A875A6"/>
    <w:rsid w:val="00A87695"/>
    <w:rsid w:val="00A876B0"/>
    <w:rsid w:val="00A876DE"/>
    <w:rsid w:val="00A877A2"/>
    <w:rsid w:val="00A877B9"/>
    <w:rsid w:val="00A877D0"/>
    <w:rsid w:val="00A87890"/>
    <w:rsid w:val="00A8799E"/>
    <w:rsid w:val="00A87A11"/>
    <w:rsid w:val="00A87A1B"/>
    <w:rsid w:val="00A87A75"/>
    <w:rsid w:val="00A87B6E"/>
    <w:rsid w:val="00A87CFA"/>
    <w:rsid w:val="00A87D36"/>
    <w:rsid w:val="00A87D77"/>
    <w:rsid w:val="00A87EBE"/>
    <w:rsid w:val="00A87ECC"/>
    <w:rsid w:val="00A87FDD"/>
    <w:rsid w:val="00A87FF9"/>
    <w:rsid w:val="00A90015"/>
    <w:rsid w:val="00A9016B"/>
    <w:rsid w:val="00A90341"/>
    <w:rsid w:val="00A904A2"/>
    <w:rsid w:val="00A90658"/>
    <w:rsid w:val="00A907A5"/>
    <w:rsid w:val="00A90815"/>
    <w:rsid w:val="00A9089A"/>
    <w:rsid w:val="00A90A33"/>
    <w:rsid w:val="00A90A4C"/>
    <w:rsid w:val="00A90AAB"/>
    <w:rsid w:val="00A90AC9"/>
    <w:rsid w:val="00A90B89"/>
    <w:rsid w:val="00A90DB0"/>
    <w:rsid w:val="00A90F5B"/>
    <w:rsid w:val="00A90FCA"/>
    <w:rsid w:val="00A90FE3"/>
    <w:rsid w:val="00A9101B"/>
    <w:rsid w:val="00A91251"/>
    <w:rsid w:val="00A91284"/>
    <w:rsid w:val="00A9141E"/>
    <w:rsid w:val="00A914C8"/>
    <w:rsid w:val="00A9151F"/>
    <w:rsid w:val="00A916E9"/>
    <w:rsid w:val="00A917E3"/>
    <w:rsid w:val="00A9187D"/>
    <w:rsid w:val="00A918F4"/>
    <w:rsid w:val="00A919CA"/>
    <w:rsid w:val="00A91A98"/>
    <w:rsid w:val="00A91CCC"/>
    <w:rsid w:val="00A91CD6"/>
    <w:rsid w:val="00A91D97"/>
    <w:rsid w:val="00A91DE2"/>
    <w:rsid w:val="00A91E84"/>
    <w:rsid w:val="00A91E85"/>
    <w:rsid w:val="00A91FC3"/>
    <w:rsid w:val="00A92176"/>
    <w:rsid w:val="00A921BF"/>
    <w:rsid w:val="00A9225E"/>
    <w:rsid w:val="00A92304"/>
    <w:rsid w:val="00A92362"/>
    <w:rsid w:val="00A92430"/>
    <w:rsid w:val="00A924E6"/>
    <w:rsid w:val="00A9258A"/>
    <w:rsid w:val="00A925F8"/>
    <w:rsid w:val="00A9278C"/>
    <w:rsid w:val="00A92827"/>
    <w:rsid w:val="00A9286A"/>
    <w:rsid w:val="00A928D2"/>
    <w:rsid w:val="00A9297F"/>
    <w:rsid w:val="00A92A71"/>
    <w:rsid w:val="00A92B03"/>
    <w:rsid w:val="00A92B32"/>
    <w:rsid w:val="00A92CA3"/>
    <w:rsid w:val="00A92D68"/>
    <w:rsid w:val="00A92D8F"/>
    <w:rsid w:val="00A92DDE"/>
    <w:rsid w:val="00A92FFC"/>
    <w:rsid w:val="00A9300A"/>
    <w:rsid w:val="00A931E9"/>
    <w:rsid w:val="00A9327A"/>
    <w:rsid w:val="00A9327C"/>
    <w:rsid w:val="00A93401"/>
    <w:rsid w:val="00A9343C"/>
    <w:rsid w:val="00A9346C"/>
    <w:rsid w:val="00A93515"/>
    <w:rsid w:val="00A9358F"/>
    <w:rsid w:val="00A935B1"/>
    <w:rsid w:val="00A935C0"/>
    <w:rsid w:val="00A9365B"/>
    <w:rsid w:val="00A93737"/>
    <w:rsid w:val="00A93790"/>
    <w:rsid w:val="00A937AA"/>
    <w:rsid w:val="00A93881"/>
    <w:rsid w:val="00A9396F"/>
    <w:rsid w:val="00A93988"/>
    <w:rsid w:val="00A93A0E"/>
    <w:rsid w:val="00A93AAA"/>
    <w:rsid w:val="00A93C44"/>
    <w:rsid w:val="00A93EA2"/>
    <w:rsid w:val="00A94063"/>
    <w:rsid w:val="00A94068"/>
    <w:rsid w:val="00A940BF"/>
    <w:rsid w:val="00A941C8"/>
    <w:rsid w:val="00A944EF"/>
    <w:rsid w:val="00A945AE"/>
    <w:rsid w:val="00A9468A"/>
    <w:rsid w:val="00A9469F"/>
    <w:rsid w:val="00A947BD"/>
    <w:rsid w:val="00A94811"/>
    <w:rsid w:val="00A94816"/>
    <w:rsid w:val="00A949F4"/>
    <w:rsid w:val="00A94B13"/>
    <w:rsid w:val="00A94CDF"/>
    <w:rsid w:val="00A94D90"/>
    <w:rsid w:val="00A94DDF"/>
    <w:rsid w:val="00A94E07"/>
    <w:rsid w:val="00A94EB6"/>
    <w:rsid w:val="00A94EB8"/>
    <w:rsid w:val="00A94EDC"/>
    <w:rsid w:val="00A94FFF"/>
    <w:rsid w:val="00A950FE"/>
    <w:rsid w:val="00A9510B"/>
    <w:rsid w:val="00A9516A"/>
    <w:rsid w:val="00A95190"/>
    <w:rsid w:val="00A951E2"/>
    <w:rsid w:val="00A951F2"/>
    <w:rsid w:val="00A9520A"/>
    <w:rsid w:val="00A952F5"/>
    <w:rsid w:val="00A953C8"/>
    <w:rsid w:val="00A95406"/>
    <w:rsid w:val="00A95445"/>
    <w:rsid w:val="00A955ED"/>
    <w:rsid w:val="00A956D1"/>
    <w:rsid w:val="00A95774"/>
    <w:rsid w:val="00A957D1"/>
    <w:rsid w:val="00A9599A"/>
    <w:rsid w:val="00A959A7"/>
    <w:rsid w:val="00A959D3"/>
    <w:rsid w:val="00A95A37"/>
    <w:rsid w:val="00A95A8E"/>
    <w:rsid w:val="00A95AB6"/>
    <w:rsid w:val="00A95B84"/>
    <w:rsid w:val="00A95BA3"/>
    <w:rsid w:val="00A95D42"/>
    <w:rsid w:val="00A95D8A"/>
    <w:rsid w:val="00A95EFB"/>
    <w:rsid w:val="00A95FDB"/>
    <w:rsid w:val="00A96045"/>
    <w:rsid w:val="00A96345"/>
    <w:rsid w:val="00A96353"/>
    <w:rsid w:val="00A9641C"/>
    <w:rsid w:val="00A96469"/>
    <w:rsid w:val="00A96552"/>
    <w:rsid w:val="00A965BF"/>
    <w:rsid w:val="00A96684"/>
    <w:rsid w:val="00A967D9"/>
    <w:rsid w:val="00A9685F"/>
    <w:rsid w:val="00A969C6"/>
    <w:rsid w:val="00A96A7D"/>
    <w:rsid w:val="00A96AB1"/>
    <w:rsid w:val="00A96B30"/>
    <w:rsid w:val="00A96B62"/>
    <w:rsid w:val="00A96C54"/>
    <w:rsid w:val="00A96D72"/>
    <w:rsid w:val="00A96F04"/>
    <w:rsid w:val="00A9705E"/>
    <w:rsid w:val="00A97160"/>
    <w:rsid w:val="00A9724A"/>
    <w:rsid w:val="00A97317"/>
    <w:rsid w:val="00A973EA"/>
    <w:rsid w:val="00A97414"/>
    <w:rsid w:val="00A9745C"/>
    <w:rsid w:val="00A974EB"/>
    <w:rsid w:val="00A976F4"/>
    <w:rsid w:val="00A978B2"/>
    <w:rsid w:val="00A978C8"/>
    <w:rsid w:val="00A97A17"/>
    <w:rsid w:val="00A97B45"/>
    <w:rsid w:val="00A97CA1"/>
    <w:rsid w:val="00A97E70"/>
    <w:rsid w:val="00A97FDC"/>
    <w:rsid w:val="00AA0001"/>
    <w:rsid w:val="00AA00DE"/>
    <w:rsid w:val="00AA0212"/>
    <w:rsid w:val="00AA0218"/>
    <w:rsid w:val="00AA0274"/>
    <w:rsid w:val="00AA036D"/>
    <w:rsid w:val="00AA03D7"/>
    <w:rsid w:val="00AA0472"/>
    <w:rsid w:val="00AA0481"/>
    <w:rsid w:val="00AA04E8"/>
    <w:rsid w:val="00AA04FE"/>
    <w:rsid w:val="00AA0698"/>
    <w:rsid w:val="00AA06C0"/>
    <w:rsid w:val="00AA07EC"/>
    <w:rsid w:val="00AA08E4"/>
    <w:rsid w:val="00AA092C"/>
    <w:rsid w:val="00AA093C"/>
    <w:rsid w:val="00AA0A2D"/>
    <w:rsid w:val="00AA0B10"/>
    <w:rsid w:val="00AA0BE4"/>
    <w:rsid w:val="00AA0CB8"/>
    <w:rsid w:val="00AA0CBB"/>
    <w:rsid w:val="00AA0F97"/>
    <w:rsid w:val="00AA1145"/>
    <w:rsid w:val="00AA12D4"/>
    <w:rsid w:val="00AA12DD"/>
    <w:rsid w:val="00AA12E1"/>
    <w:rsid w:val="00AA13D6"/>
    <w:rsid w:val="00AA1507"/>
    <w:rsid w:val="00AA15D9"/>
    <w:rsid w:val="00AA1681"/>
    <w:rsid w:val="00AA1687"/>
    <w:rsid w:val="00AA171C"/>
    <w:rsid w:val="00AA17CA"/>
    <w:rsid w:val="00AA1B0B"/>
    <w:rsid w:val="00AA1B8C"/>
    <w:rsid w:val="00AA1C02"/>
    <w:rsid w:val="00AA1CC7"/>
    <w:rsid w:val="00AA1DAB"/>
    <w:rsid w:val="00AA2156"/>
    <w:rsid w:val="00AA2159"/>
    <w:rsid w:val="00AA219F"/>
    <w:rsid w:val="00AA21C8"/>
    <w:rsid w:val="00AA2235"/>
    <w:rsid w:val="00AA2338"/>
    <w:rsid w:val="00AA23A8"/>
    <w:rsid w:val="00AA2766"/>
    <w:rsid w:val="00AA27CD"/>
    <w:rsid w:val="00AA28F0"/>
    <w:rsid w:val="00AA2974"/>
    <w:rsid w:val="00AA2A15"/>
    <w:rsid w:val="00AA2CEE"/>
    <w:rsid w:val="00AA2D06"/>
    <w:rsid w:val="00AA2E1D"/>
    <w:rsid w:val="00AA2E3D"/>
    <w:rsid w:val="00AA2EF4"/>
    <w:rsid w:val="00AA2F22"/>
    <w:rsid w:val="00AA2FC2"/>
    <w:rsid w:val="00AA2FF9"/>
    <w:rsid w:val="00AA30B3"/>
    <w:rsid w:val="00AA327A"/>
    <w:rsid w:val="00AA32F3"/>
    <w:rsid w:val="00AA3389"/>
    <w:rsid w:val="00AA3404"/>
    <w:rsid w:val="00AA35C1"/>
    <w:rsid w:val="00AA35D8"/>
    <w:rsid w:val="00AA35F7"/>
    <w:rsid w:val="00AA36B7"/>
    <w:rsid w:val="00AA379A"/>
    <w:rsid w:val="00AA380F"/>
    <w:rsid w:val="00AA383F"/>
    <w:rsid w:val="00AA38C3"/>
    <w:rsid w:val="00AA3A32"/>
    <w:rsid w:val="00AA3A9E"/>
    <w:rsid w:val="00AA3B99"/>
    <w:rsid w:val="00AA3BD7"/>
    <w:rsid w:val="00AA3BE7"/>
    <w:rsid w:val="00AA3DE5"/>
    <w:rsid w:val="00AA3E8D"/>
    <w:rsid w:val="00AA3F77"/>
    <w:rsid w:val="00AA3FF5"/>
    <w:rsid w:val="00AA4139"/>
    <w:rsid w:val="00AA435E"/>
    <w:rsid w:val="00AA4826"/>
    <w:rsid w:val="00AA4AC5"/>
    <w:rsid w:val="00AA4B5B"/>
    <w:rsid w:val="00AA4B9E"/>
    <w:rsid w:val="00AA4BCC"/>
    <w:rsid w:val="00AA4C6D"/>
    <w:rsid w:val="00AA4C9D"/>
    <w:rsid w:val="00AA4E32"/>
    <w:rsid w:val="00AA4E3F"/>
    <w:rsid w:val="00AA4EBF"/>
    <w:rsid w:val="00AA5019"/>
    <w:rsid w:val="00AA5097"/>
    <w:rsid w:val="00AA513F"/>
    <w:rsid w:val="00AA5252"/>
    <w:rsid w:val="00AA5301"/>
    <w:rsid w:val="00AA558A"/>
    <w:rsid w:val="00AA55F2"/>
    <w:rsid w:val="00AA566B"/>
    <w:rsid w:val="00AA56BE"/>
    <w:rsid w:val="00AA5709"/>
    <w:rsid w:val="00AA5867"/>
    <w:rsid w:val="00AA5896"/>
    <w:rsid w:val="00AA5905"/>
    <w:rsid w:val="00AA5BED"/>
    <w:rsid w:val="00AA5CF9"/>
    <w:rsid w:val="00AA5D74"/>
    <w:rsid w:val="00AA5D92"/>
    <w:rsid w:val="00AA5E8B"/>
    <w:rsid w:val="00AA604A"/>
    <w:rsid w:val="00AA61C4"/>
    <w:rsid w:val="00AA6296"/>
    <w:rsid w:val="00AA655D"/>
    <w:rsid w:val="00AA6780"/>
    <w:rsid w:val="00AA6825"/>
    <w:rsid w:val="00AA6889"/>
    <w:rsid w:val="00AA6935"/>
    <w:rsid w:val="00AA6BDF"/>
    <w:rsid w:val="00AA6CB0"/>
    <w:rsid w:val="00AA6D9A"/>
    <w:rsid w:val="00AA6DAD"/>
    <w:rsid w:val="00AA6DCD"/>
    <w:rsid w:val="00AA6DFB"/>
    <w:rsid w:val="00AA6E16"/>
    <w:rsid w:val="00AA6FB4"/>
    <w:rsid w:val="00AA7088"/>
    <w:rsid w:val="00AA72B2"/>
    <w:rsid w:val="00AA7405"/>
    <w:rsid w:val="00AA742A"/>
    <w:rsid w:val="00AA7480"/>
    <w:rsid w:val="00AA749C"/>
    <w:rsid w:val="00AA7511"/>
    <w:rsid w:val="00AA75EF"/>
    <w:rsid w:val="00AA76FA"/>
    <w:rsid w:val="00AA77D4"/>
    <w:rsid w:val="00AA78EB"/>
    <w:rsid w:val="00AA7927"/>
    <w:rsid w:val="00AA7951"/>
    <w:rsid w:val="00AA7A42"/>
    <w:rsid w:val="00AA7AE3"/>
    <w:rsid w:val="00AA7D48"/>
    <w:rsid w:val="00AA7D75"/>
    <w:rsid w:val="00AA7DA9"/>
    <w:rsid w:val="00AA7DD3"/>
    <w:rsid w:val="00AA7F39"/>
    <w:rsid w:val="00AA7FE0"/>
    <w:rsid w:val="00AB000E"/>
    <w:rsid w:val="00AB0044"/>
    <w:rsid w:val="00AB0418"/>
    <w:rsid w:val="00AB044D"/>
    <w:rsid w:val="00AB04AC"/>
    <w:rsid w:val="00AB067A"/>
    <w:rsid w:val="00AB084E"/>
    <w:rsid w:val="00AB09B0"/>
    <w:rsid w:val="00AB0A15"/>
    <w:rsid w:val="00AB0AAD"/>
    <w:rsid w:val="00AB0C05"/>
    <w:rsid w:val="00AB0C7F"/>
    <w:rsid w:val="00AB0EA9"/>
    <w:rsid w:val="00AB0EE0"/>
    <w:rsid w:val="00AB0FA9"/>
    <w:rsid w:val="00AB0FDC"/>
    <w:rsid w:val="00AB1018"/>
    <w:rsid w:val="00AB109F"/>
    <w:rsid w:val="00AB1180"/>
    <w:rsid w:val="00AB11A5"/>
    <w:rsid w:val="00AB13C7"/>
    <w:rsid w:val="00AB13E0"/>
    <w:rsid w:val="00AB1434"/>
    <w:rsid w:val="00AB165F"/>
    <w:rsid w:val="00AB16B0"/>
    <w:rsid w:val="00AB176A"/>
    <w:rsid w:val="00AB17CF"/>
    <w:rsid w:val="00AB18B3"/>
    <w:rsid w:val="00AB18BE"/>
    <w:rsid w:val="00AB19B2"/>
    <w:rsid w:val="00AB1B04"/>
    <w:rsid w:val="00AB1C05"/>
    <w:rsid w:val="00AB1C7D"/>
    <w:rsid w:val="00AB1D17"/>
    <w:rsid w:val="00AB1E4B"/>
    <w:rsid w:val="00AB1F48"/>
    <w:rsid w:val="00AB1FFA"/>
    <w:rsid w:val="00AB203D"/>
    <w:rsid w:val="00AB20C0"/>
    <w:rsid w:val="00AB2100"/>
    <w:rsid w:val="00AB22F6"/>
    <w:rsid w:val="00AB2348"/>
    <w:rsid w:val="00AB23C7"/>
    <w:rsid w:val="00AB24A8"/>
    <w:rsid w:val="00AB2598"/>
    <w:rsid w:val="00AB269B"/>
    <w:rsid w:val="00AB26D2"/>
    <w:rsid w:val="00AB290F"/>
    <w:rsid w:val="00AB2935"/>
    <w:rsid w:val="00AB2968"/>
    <w:rsid w:val="00AB2D18"/>
    <w:rsid w:val="00AB2F6D"/>
    <w:rsid w:val="00AB2FE8"/>
    <w:rsid w:val="00AB3103"/>
    <w:rsid w:val="00AB31B9"/>
    <w:rsid w:val="00AB320C"/>
    <w:rsid w:val="00AB3318"/>
    <w:rsid w:val="00AB336F"/>
    <w:rsid w:val="00AB33A6"/>
    <w:rsid w:val="00AB33D2"/>
    <w:rsid w:val="00AB3515"/>
    <w:rsid w:val="00AB354D"/>
    <w:rsid w:val="00AB361C"/>
    <w:rsid w:val="00AB38A2"/>
    <w:rsid w:val="00AB38BA"/>
    <w:rsid w:val="00AB3AD8"/>
    <w:rsid w:val="00AB3B3B"/>
    <w:rsid w:val="00AB3CD3"/>
    <w:rsid w:val="00AB3D2D"/>
    <w:rsid w:val="00AB3E09"/>
    <w:rsid w:val="00AB3F1C"/>
    <w:rsid w:val="00AB3F60"/>
    <w:rsid w:val="00AB3FEE"/>
    <w:rsid w:val="00AB404C"/>
    <w:rsid w:val="00AB4054"/>
    <w:rsid w:val="00AB40D4"/>
    <w:rsid w:val="00AB40E3"/>
    <w:rsid w:val="00AB41A6"/>
    <w:rsid w:val="00AB41D8"/>
    <w:rsid w:val="00AB4277"/>
    <w:rsid w:val="00AB42F1"/>
    <w:rsid w:val="00AB4554"/>
    <w:rsid w:val="00AB4652"/>
    <w:rsid w:val="00AB4696"/>
    <w:rsid w:val="00AB4B1D"/>
    <w:rsid w:val="00AB4B74"/>
    <w:rsid w:val="00AB4B88"/>
    <w:rsid w:val="00AB4BFE"/>
    <w:rsid w:val="00AB4D36"/>
    <w:rsid w:val="00AB4DE9"/>
    <w:rsid w:val="00AB4DFD"/>
    <w:rsid w:val="00AB4E62"/>
    <w:rsid w:val="00AB5068"/>
    <w:rsid w:val="00AB510B"/>
    <w:rsid w:val="00AB53AD"/>
    <w:rsid w:val="00AB53EA"/>
    <w:rsid w:val="00AB54CC"/>
    <w:rsid w:val="00AB5515"/>
    <w:rsid w:val="00AB5523"/>
    <w:rsid w:val="00AB5542"/>
    <w:rsid w:val="00AB575E"/>
    <w:rsid w:val="00AB5837"/>
    <w:rsid w:val="00AB5904"/>
    <w:rsid w:val="00AB59A0"/>
    <w:rsid w:val="00AB5A58"/>
    <w:rsid w:val="00AB5B0E"/>
    <w:rsid w:val="00AB5BAB"/>
    <w:rsid w:val="00AB5C0E"/>
    <w:rsid w:val="00AB5C49"/>
    <w:rsid w:val="00AB5CB6"/>
    <w:rsid w:val="00AB5E13"/>
    <w:rsid w:val="00AB5EA6"/>
    <w:rsid w:val="00AB5EF4"/>
    <w:rsid w:val="00AB5F8B"/>
    <w:rsid w:val="00AB6039"/>
    <w:rsid w:val="00AB60D4"/>
    <w:rsid w:val="00AB6122"/>
    <w:rsid w:val="00AB62B2"/>
    <w:rsid w:val="00AB639E"/>
    <w:rsid w:val="00AB6643"/>
    <w:rsid w:val="00AB66A8"/>
    <w:rsid w:val="00AB6784"/>
    <w:rsid w:val="00AB67C9"/>
    <w:rsid w:val="00AB6921"/>
    <w:rsid w:val="00AB6A1F"/>
    <w:rsid w:val="00AB6B64"/>
    <w:rsid w:val="00AB6C27"/>
    <w:rsid w:val="00AB6D19"/>
    <w:rsid w:val="00AB6D2B"/>
    <w:rsid w:val="00AB7180"/>
    <w:rsid w:val="00AB7415"/>
    <w:rsid w:val="00AB74C1"/>
    <w:rsid w:val="00AB74C9"/>
    <w:rsid w:val="00AB756B"/>
    <w:rsid w:val="00AB75D5"/>
    <w:rsid w:val="00AB760F"/>
    <w:rsid w:val="00AB777D"/>
    <w:rsid w:val="00AB79CF"/>
    <w:rsid w:val="00AB79EA"/>
    <w:rsid w:val="00AB7ADF"/>
    <w:rsid w:val="00AB7B58"/>
    <w:rsid w:val="00AB7C08"/>
    <w:rsid w:val="00AB7D11"/>
    <w:rsid w:val="00AB7FB2"/>
    <w:rsid w:val="00AB7FD1"/>
    <w:rsid w:val="00AC00B1"/>
    <w:rsid w:val="00AC011E"/>
    <w:rsid w:val="00AC0132"/>
    <w:rsid w:val="00AC01C1"/>
    <w:rsid w:val="00AC0259"/>
    <w:rsid w:val="00AC03C7"/>
    <w:rsid w:val="00AC03C8"/>
    <w:rsid w:val="00AC04E1"/>
    <w:rsid w:val="00AC0504"/>
    <w:rsid w:val="00AC058E"/>
    <w:rsid w:val="00AC0775"/>
    <w:rsid w:val="00AC0816"/>
    <w:rsid w:val="00AC0827"/>
    <w:rsid w:val="00AC0944"/>
    <w:rsid w:val="00AC0A68"/>
    <w:rsid w:val="00AC0AD0"/>
    <w:rsid w:val="00AC0B07"/>
    <w:rsid w:val="00AC0E14"/>
    <w:rsid w:val="00AC1065"/>
    <w:rsid w:val="00AC1104"/>
    <w:rsid w:val="00AC11BB"/>
    <w:rsid w:val="00AC1218"/>
    <w:rsid w:val="00AC1245"/>
    <w:rsid w:val="00AC1363"/>
    <w:rsid w:val="00AC1466"/>
    <w:rsid w:val="00AC146B"/>
    <w:rsid w:val="00AC1500"/>
    <w:rsid w:val="00AC1590"/>
    <w:rsid w:val="00AC1774"/>
    <w:rsid w:val="00AC17DF"/>
    <w:rsid w:val="00AC1B2C"/>
    <w:rsid w:val="00AC1C84"/>
    <w:rsid w:val="00AC1CC1"/>
    <w:rsid w:val="00AC1DAF"/>
    <w:rsid w:val="00AC1EAA"/>
    <w:rsid w:val="00AC1F41"/>
    <w:rsid w:val="00AC1F97"/>
    <w:rsid w:val="00AC20C1"/>
    <w:rsid w:val="00AC21EB"/>
    <w:rsid w:val="00AC21F3"/>
    <w:rsid w:val="00AC229F"/>
    <w:rsid w:val="00AC238E"/>
    <w:rsid w:val="00AC245C"/>
    <w:rsid w:val="00AC24A4"/>
    <w:rsid w:val="00AC24A9"/>
    <w:rsid w:val="00AC25A0"/>
    <w:rsid w:val="00AC290B"/>
    <w:rsid w:val="00AC291D"/>
    <w:rsid w:val="00AC299B"/>
    <w:rsid w:val="00AC2A41"/>
    <w:rsid w:val="00AC2A85"/>
    <w:rsid w:val="00AC2BC9"/>
    <w:rsid w:val="00AC2D12"/>
    <w:rsid w:val="00AC2D2D"/>
    <w:rsid w:val="00AC2F5A"/>
    <w:rsid w:val="00AC2FF3"/>
    <w:rsid w:val="00AC3091"/>
    <w:rsid w:val="00AC30AB"/>
    <w:rsid w:val="00AC30E9"/>
    <w:rsid w:val="00AC312F"/>
    <w:rsid w:val="00AC3157"/>
    <w:rsid w:val="00AC3196"/>
    <w:rsid w:val="00AC3206"/>
    <w:rsid w:val="00AC32CA"/>
    <w:rsid w:val="00AC33AA"/>
    <w:rsid w:val="00AC343B"/>
    <w:rsid w:val="00AC347E"/>
    <w:rsid w:val="00AC36E4"/>
    <w:rsid w:val="00AC376D"/>
    <w:rsid w:val="00AC3956"/>
    <w:rsid w:val="00AC3BC9"/>
    <w:rsid w:val="00AC3C7A"/>
    <w:rsid w:val="00AC3CAB"/>
    <w:rsid w:val="00AC4065"/>
    <w:rsid w:val="00AC4139"/>
    <w:rsid w:val="00AC414A"/>
    <w:rsid w:val="00AC416F"/>
    <w:rsid w:val="00AC4341"/>
    <w:rsid w:val="00AC435B"/>
    <w:rsid w:val="00AC4392"/>
    <w:rsid w:val="00AC44D4"/>
    <w:rsid w:val="00AC45F2"/>
    <w:rsid w:val="00AC46AA"/>
    <w:rsid w:val="00AC4735"/>
    <w:rsid w:val="00AC48B9"/>
    <w:rsid w:val="00AC48F8"/>
    <w:rsid w:val="00AC4951"/>
    <w:rsid w:val="00AC4A17"/>
    <w:rsid w:val="00AC4A6B"/>
    <w:rsid w:val="00AC4B34"/>
    <w:rsid w:val="00AC4C06"/>
    <w:rsid w:val="00AC4C79"/>
    <w:rsid w:val="00AC4D2E"/>
    <w:rsid w:val="00AC4D38"/>
    <w:rsid w:val="00AC4E89"/>
    <w:rsid w:val="00AC4EAD"/>
    <w:rsid w:val="00AC4F32"/>
    <w:rsid w:val="00AC50B9"/>
    <w:rsid w:val="00AC5199"/>
    <w:rsid w:val="00AC51D7"/>
    <w:rsid w:val="00AC523D"/>
    <w:rsid w:val="00AC5515"/>
    <w:rsid w:val="00AC5559"/>
    <w:rsid w:val="00AC576C"/>
    <w:rsid w:val="00AC5778"/>
    <w:rsid w:val="00AC57F5"/>
    <w:rsid w:val="00AC581C"/>
    <w:rsid w:val="00AC589C"/>
    <w:rsid w:val="00AC5958"/>
    <w:rsid w:val="00AC59B0"/>
    <w:rsid w:val="00AC59DC"/>
    <w:rsid w:val="00AC5AFA"/>
    <w:rsid w:val="00AC5BC6"/>
    <w:rsid w:val="00AC5FB0"/>
    <w:rsid w:val="00AC61B9"/>
    <w:rsid w:val="00AC625A"/>
    <w:rsid w:val="00AC654F"/>
    <w:rsid w:val="00AC668D"/>
    <w:rsid w:val="00AC6980"/>
    <w:rsid w:val="00AC69A9"/>
    <w:rsid w:val="00AC69AA"/>
    <w:rsid w:val="00AC6A79"/>
    <w:rsid w:val="00AC6C8A"/>
    <w:rsid w:val="00AC6CA6"/>
    <w:rsid w:val="00AC6FB9"/>
    <w:rsid w:val="00AC7113"/>
    <w:rsid w:val="00AC7162"/>
    <w:rsid w:val="00AC72B4"/>
    <w:rsid w:val="00AC72F8"/>
    <w:rsid w:val="00AC7315"/>
    <w:rsid w:val="00AC740E"/>
    <w:rsid w:val="00AC75E2"/>
    <w:rsid w:val="00AC75F4"/>
    <w:rsid w:val="00AC7619"/>
    <w:rsid w:val="00AC76D9"/>
    <w:rsid w:val="00AC76DD"/>
    <w:rsid w:val="00AC77D5"/>
    <w:rsid w:val="00AC79BE"/>
    <w:rsid w:val="00AC7AC1"/>
    <w:rsid w:val="00AC7C79"/>
    <w:rsid w:val="00AC7CA6"/>
    <w:rsid w:val="00AC7DB6"/>
    <w:rsid w:val="00AC7DDE"/>
    <w:rsid w:val="00AC7F3A"/>
    <w:rsid w:val="00AD02D0"/>
    <w:rsid w:val="00AD0329"/>
    <w:rsid w:val="00AD034A"/>
    <w:rsid w:val="00AD03E7"/>
    <w:rsid w:val="00AD0632"/>
    <w:rsid w:val="00AD0658"/>
    <w:rsid w:val="00AD0698"/>
    <w:rsid w:val="00AD081F"/>
    <w:rsid w:val="00AD095F"/>
    <w:rsid w:val="00AD09C6"/>
    <w:rsid w:val="00AD0AC7"/>
    <w:rsid w:val="00AD0AF7"/>
    <w:rsid w:val="00AD0BE4"/>
    <w:rsid w:val="00AD0D4F"/>
    <w:rsid w:val="00AD0E5A"/>
    <w:rsid w:val="00AD0F98"/>
    <w:rsid w:val="00AD108D"/>
    <w:rsid w:val="00AD12AB"/>
    <w:rsid w:val="00AD12F3"/>
    <w:rsid w:val="00AD13AD"/>
    <w:rsid w:val="00AD13D9"/>
    <w:rsid w:val="00AD1434"/>
    <w:rsid w:val="00AD1438"/>
    <w:rsid w:val="00AD150B"/>
    <w:rsid w:val="00AD17F1"/>
    <w:rsid w:val="00AD1850"/>
    <w:rsid w:val="00AD18C1"/>
    <w:rsid w:val="00AD1922"/>
    <w:rsid w:val="00AD1AF3"/>
    <w:rsid w:val="00AD1B42"/>
    <w:rsid w:val="00AD1C60"/>
    <w:rsid w:val="00AD2225"/>
    <w:rsid w:val="00AD226F"/>
    <w:rsid w:val="00AD231B"/>
    <w:rsid w:val="00AD2334"/>
    <w:rsid w:val="00AD25CC"/>
    <w:rsid w:val="00AD25F6"/>
    <w:rsid w:val="00AD261F"/>
    <w:rsid w:val="00AD2666"/>
    <w:rsid w:val="00AD270C"/>
    <w:rsid w:val="00AD2913"/>
    <w:rsid w:val="00AD291B"/>
    <w:rsid w:val="00AD2A4E"/>
    <w:rsid w:val="00AD2AD5"/>
    <w:rsid w:val="00AD2BDA"/>
    <w:rsid w:val="00AD2F67"/>
    <w:rsid w:val="00AD3015"/>
    <w:rsid w:val="00AD3159"/>
    <w:rsid w:val="00AD318A"/>
    <w:rsid w:val="00AD31DF"/>
    <w:rsid w:val="00AD32CA"/>
    <w:rsid w:val="00AD32EC"/>
    <w:rsid w:val="00AD3609"/>
    <w:rsid w:val="00AD3611"/>
    <w:rsid w:val="00AD3677"/>
    <w:rsid w:val="00AD36F9"/>
    <w:rsid w:val="00AD3712"/>
    <w:rsid w:val="00AD397F"/>
    <w:rsid w:val="00AD3A1A"/>
    <w:rsid w:val="00AD3A1B"/>
    <w:rsid w:val="00AD3B35"/>
    <w:rsid w:val="00AD3D47"/>
    <w:rsid w:val="00AD3D98"/>
    <w:rsid w:val="00AD3DA4"/>
    <w:rsid w:val="00AD3E2D"/>
    <w:rsid w:val="00AD3E46"/>
    <w:rsid w:val="00AD3FD9"/>
    <w:rsid w:val="00AD4041"/>
    <w:rsid w:val="00AD404F"/>
    <w:rsid w:val="00AD424F"/>
    <w:rsid w:val="00AD430E"/>
    <w:rsid w:val="00AD438B"/>
    <w:rsid w:val="00AD43A7"/>
    <w:rsid w:val="00AD44CF"/>
    <w:rsid w:val="00AD4510"/>
    <w:rsid w:val="00AD4575"/>
    <w:rsid w:val="00AD46CF"/>
    <w:rsid w:val="00AD47AA"/>
    <w:rsid w:val="00AD4812"/>
    <w:rsid w:val="00AD48E2"/>
    <w:rsid w:val="00AD4B5F"/>
    <w:rsid w:val="00AD4D0D"/>
    <w:rsid w:val="00AD4D21"/>
    <w:rsid w:val="00AD4D50"/>
    <w:rsid w:val="00AD4DFB"/>
    <w:rsid w:val="00AD4FA4"/>
    <w:rsid w:val="00AD538A"/>
    <w:rsid w:val="00AD53F1"/>
    <w:rsid w:val="00AD542E"/>
    <w:rsid w:val="00AD5442"/>
    <w:rsid w:val="00AD544A"/>
    <w:rsid w:val="00AD55A4"/>
    <w:rsid w:val="00AD5637"/>
    <w:rsid w:val="00AD56BB"/>
    <w:rsid w:val="00AD5792"/>
    <w:rsid w:val="00AD590B"/>
    <w:rsid w:val="00AD5AB1"/>
    <w:rsid w:val="00AD5AE8"/>
    <w:rsid w:val="00AD5B99"/>
    <w:rsid w:val="00AD5C9F"/>
    <w:rsid w:val="00AD5D93"/>
    <w:rsid w:val="00AD5DFF"/>
    <w:rsid w:val="00AD607F"/>
    <w:rsid w:val="00AD60B7"/>
    <w:rsid w:val="00AD619C"/>
    <w:rsid w:val="00AD620E"/>
    <w:rsid w:val="00AD621D"/>
    <w:rsid w:val="00AD622F"/>
    <w:rsid w:val="00AD62C0"/>
    <w:rsid w:val="00AD63DF"/>
    <w:rsid w:val="00AD6688"/>
    <w:rsid w:val="00AD6751"/>
    <w:rsid w:val="00AD6756"/>
    <w:rsid w:val="00AD6843"/>
    <w:rsid w:val="00AD68D2"/>
    <w:rsid w:val="00AD68FF"/>
    <w:rsid w:val="00AD69DA"/>
    <w:rsid w:val="00AD6BA6"/>
    <w:rsid w:val="00AD6BC3"/>
    <w:rsid w:val="00AD6CEA"/>
    <w:rsid w:val="00AD6DDE"/>
    <w:rsid w:val="00AD6DEF"/>
    <w:rsid w:val="00AD6E64"/>
    <w:rsid w:val="00AD6F13"/>
    <w:rsid w:val="00AD6FAF"/>
    <w:rsid w:val="00AD7083"/>
    <w:rsid w:val="00AD71C8"/>
    <w:rsid w:val="00AD71D3"/>
    <w:rsid w:val="00AD7293"/>
    <w:rsid w:val="00AD731B"/>
    <w:rsid w:val="00AD7601"/>
    <w:rsid w:val="00AD7938"/>
    <w:rsid w:val="00AD7A0C"/>
    <w:rsid w:val="00AD7B29"/>
    <w:rsid w:val="00AD7BB1"/>
    <w:rsid w:val="00AD7CE6"/>
    <w:rsid w:val="00AD7CFF"/>
    <w:rsid w:val="00AD7D10"/>
    <w:rsid w:val="00AD7D52"/>
    <w:rsid w:val="00AD7E34"/>
    <w:rsid w:val="00AD7E6F"/>
    <w:rsid w:val="00AD7F9D"/>
    <w:rsid w:val="00AE03CD"/>
    <w:rsid w:val="00AE0604"/>
    <w:rsid w:val="00AE0615"/>
    <w:rsid w:val="00AE0653"/>
    <w:rsid w:val="00AE0750"/>
    <w:rsid w:val="00AE07CB"/>
    <w:rsid w:val="00AE08E7"/>
    <w:rsid w:val="00AE0AFF"/>
    <w:rsid w:val="00AE0B62"/>
    <w:rsid w:val="00AE0BDC"/>
    <w:rsid w:val="00AE0D37"/>
    <w:rsid w:val="00AE0DFA"/>
    <w:rsid w:val="00AE0E45"/>
    <w:rsid w:val="00AE0E9D"/>
    <w:rsid w:val="00AE0F2D"/>
    <w:rsid w:val="00AE10DE"/>
    <w:rsid w:val="00AE10E3"/>
    <w:rsid w:val="00AE122B"/>
    <w:rsid w:val="00AE137A"/>
    <w:rsid w:val="00AE1458"/>
    <w:rsid w:val="00AE145D"/>
    <w:rsid w:val="00AE1473"/>
    <w:rsid w:val="00AE1478"/>
    <w:rsid w:val="00AE152A"/>
    <w:rsid w:val="00AE1570"/>
    <w:rsid w:val="00AE15BB"/>
    <w:rsid w:val="00AE15BD"/>
    <w:rsid w:val="00AE15D7"/>
    <w:rsid w:val="00AE1662"/>
    <w:rsid w:val="00AE1673"/>
    <w:rsid w:val="00AE16A9"/>
    <w:rsid w:val="00AE16F2"/>
    <w:rsid w:val="00AE1747"/>
    <w:rsid w:val="00AE1A74"/>
    <w:rsid w:val="00AE1B09"/>
    <w:rsid w:val="00AE1B55"/>
    <w:rsid w:val="00AE1BE6"/>
    <w:rsid w:val="00AE1D18"/>
    <w:rsid w:val="00AE1D61"/>
    <w:rsid w:val="00AE1DC7"/>
    <w:rsid w:val="00AE205D"/>
    <w:rsid w:val="00AE20F1"/>
    <w:rsid w:val="00AE2117"/>
    <w:rsid w:val="00AE2130"/>
    <w:rsid w:val="00AE216E"/>
    <w:rsid w:val="00AE2430"/>
    <w:rsid w:val="00AE2472"/>
    <w:rsid w:val="00AE24AC"/>
    <w:rsid w:val="00AE251D"/>
    <w:rsid w:val="00AE255B"/>
    <w:rsid w:val="00AE26C0"/>
    <w:rsid w:val="00AE26DF"/>
    <w:rsid w:val="00AE26EC"/>
    <w:rsid w:val="00AE27BE"/>
    <w:rsid w:val="00AE2816"/>
    <w:rsid w:val="00AE2AD8"/>
    <w:rsid w:val="00AE2B64"/>
    <w:rsid w:val="00AE2BBD"/>
    <w:rsid w:val="00AE2D05"/>
    <w:rsid w:val="00AE2E06"/>
    <w:rsid w:val="00AE2E46"/>
    <w:rsid w:val="00AE2EBF"/>
    <w:rsid w:val="00AE2F2B"/>
    <w:rsid w:val="00AE2F90"/>
    <w:rsid w:val="00AE3214"/>
    <w:rsid w:val="00AE33E0"/>
    <w:rsid w:val="00AE342C"/>
    <w:rsid w:val="00AE360F"/>
    <w:rsid w:val="00AE3703"/>
    <w:rsid w:val="00AE38EA"/>
    <w:rsid w:val="00AE3989"/>
    <w:rsid w:val="00AE398C"/>
    <w:rsid w:val="00AE39DD"/>
    <w:rsid w:val="00AE3A28"/>
    <w:rsid w:val="00AE3BBF"/>
    <w:rsid w:val="00AE3BC2"/>
    <w:rsid w:val="00AE3D91"/>
    <w:rsid w:val="00AE3DCE"/>
    <w:rsid w:val="00AE3DE3"/>
    <w:rsid w:val="00AE3E21"/>
    <w:rsid w:val="00AE3E71"/>
    <w:rsid w:val="00AE40DF"/>
    <w:rsid w:val="00AE41A0"/>
    <w:rsid w:val="00AE426F"/>
    <w:rsid w:val="00AE47EB"/>
    <w:rsid w:val="00AE483D"/>
    <w:rsid w:val="00AE4874"/>
    <w:rsid w:val="00AE4894"/>
    <w:rsid w:val="00AE48FB"/>
    <w:rsid w:val="00AE4986"/>
    <w:rsid w:val="00AE49FD"/>
    <w:rsid w:val="00AE4AA1"/>
    <w:rsid w:val="00AE4BFF"/>
    <w:rsid w:val="00AE4C43"/>
    <w:rsid w:val="00AE4C5C"/>
    <w:rsid w:val="00AE4F94"/>
    <w:rsid w:val="00AE4FB5"/>
    <w:rsid w:val="00AE5024"/>
    <w:rsid w:val="00AE519B"/>
    <w:rsid w:val="00AE53B6"/>
    <w:rsid w:val="00AE540A"/>
    <w:rsid w:val="00AE5616"/>
    <w:rsid w:val="00AE56B6"/>
    <w:rsid w:val="00AE578F"/>
    <w:rsid w:val="00AE5972"/>
    <w:rsid w:val="00AE59CB"/>
    <w:rsid w:val="00AE59DE"/>
    <w:rsid w:val="00AE5A6A"/>
    <w:rsid w:val="00AE5A7E"/>
    <w:rsid w:val="00AE5B0A"/>
    <w:rsid w:val="00AE5C95"/>
    <w:rsid w:val="00AE5CF9"/>
    <w:rsid w:val="00AE5DD8"/>
    <w:rsid w:val="00AE5FA1"/>
    <w:rsid w:val="00AE609F"/>
    <w:rsid w:val="00AE624C"/>
    <w:rsid w:val="00AE637B"/>
    <w:rsid w:val="00AE6437"/>
    <w:rsid w:val="00AE65FF"/>
    <w:rsid w:val="00AE666F"/>
    <w:rsid w:val="00AE67D6"/>
    <w:rsid w:val="00AE68C9"/>
    <w:rsid w:val="00AE6B4A"/>
    <w:rsid w:val="00AE6D2C"/>
    <w:rsid w:val="00AE6ED1"/>
    <w:rsid w:val="00AE6FC5"/>
    <w:rsid w:val="00AE718A"/>
    <w:rsid w:val="00AE7193"/>
    <w:rsid w:val="00AE71BF"/>
    <w:rsid w:val="00AE72B2"/>
    <w:rsid w:val="00AE72ED"/>
    <w:rsid w:val="00AE73E5"/>
    <w:rsid w:val="00AE7484"/>
    <w:rsid w:val="00AE75DF"/>
    <w:rsid w:val="00AE76BA"/>
    <w:rsid w:val="00AE770F"/>
    <w:rsid w:val="00AE771E"/>
    <w:rsid w:val="00AE7724"/>
    <w:rsid w:val="00AE78EA"/>
    <w:rsid w:val="00AE79A1"/>
    <w:rsid w:val="00AE79CC"/>
    <w:rsid w:val="00AE7B23"/>
    <w:rsid w:val="00AE7BC7"/>
    <w:rsid w:val="00AE7BE7"/>
    <w:rsid w:val="00AF0071"/>
    <w:rsid w:val="00AF016F"/>
    <w:rsid w:val="00AF01B4"/>
    <w:rsid w:val="00AF0377"/>
    <w:rsid w:val="00AF0485"/>
    <w:rsid w:val="00AF0556"/>
    <w:rsid w:val="00AF060E"/>
    <w:rsid w:val="00AF0644"/>
    <w:rsid w:val="00AF07BC"/>
    <w:rsid w:val="00AF07BF"/>
    <w:rsid w:val="00AF095C"/>
    <w:rsid w:val="00AF09D4"/>
    <w:rsid w:val="00AF0A2C"/>
    <w:rsid w:val="00AF0A7D"/>
    <w:rsid w:val="00AF0ACA"/>
    <w:rsid w:val="00AF0C52"/>
    <w:rsid w:val="00AF0E38"/>
    <w:rsid w:val="00AF0E52"/>
    <w:rsid w:val="00AF0F05"/>
    <w:rsid w:val="00AF1277"/>
    <w:rsid w:val="00AF13B8"/>
    <w:rsid w:val="00AF145A"/>
    <w:rsid w:val="00AF1476"/>
    <w:rsid w:val="00AF16CB"/>
    <w:rsid w:val="00AF1708"/>
    <w:rsid w:val="00AF174B"/>
    <w:rsid w:val="00AF18FC"/>
    <w:rsid w:val="00AF19BD"/>
    <w:rsid w:val="00AF19D8"/>
    <w:rsid w:val="00AF1AF0"/>
    <w:rsid w:val="00AF1BA9"/>
    <w:rsid w:val="00AF1BBD"/>
    <w:rsid w:val="00AF1EA2"/>
    <w:rsid w:val="00AF1EDA"/>
    <w:rsid w:val="00AF1FA7"/>
    <w:rsid w:val="00AF1FCE"/>
    <w:rsid w:val="00AF207A"/>
    <w:rsid w:val="00AF2083"/>
    <w:rsid w:val="00AF2097"/>
    <w:rsid w:val="00AF210C"/>
    <w:rsid w:val="00AF21A3"/>
    <w:rsid w:val="00AF220D"/>
    <w:rsid w:val="00AF2223"/>
    <w:rsid w:val="00AF224F"/>
    <w:rsid w:val="00AF23CC"/>
    <w:rsid w:val="00AF23F2"/>
    <w:rsid w:val="00AF25EC"/>
    <w:rsid w:val="00AF27B0"/>
    <w:rsid w:val="00AF27E8"/>
    <w:rsid w:val="00AF2918"/>
    <w:rsid w:val="00AF2A25"/>
    <w:rsid w:val="00AF2A5B"/>
    <w:rsid w:val="00AF2CFD"/>
    <w:rsid w:val="00AF2DA3"/>
    <w:rsid w:val="00AF2FD8"/>
    <w:rsid w:val="00AF31EE"/>
    <w:rsid w:val="00AF32B2"/>
    <w:rsid w:val="00AF32F7"/>
    <w:rsid w:val="00AF3326"/>
    <w:rsid w:val="00AF33A5"/>
    <w:rsid w:val="00AF34B6"/>
    <w:rsid w:val="00AF35C1"/>
    <w:rsid w:val="00AF35C8"/>
    <w:rsid w:val="00AF3600"/>
    <w:rsid w:val="00AF3788"/>
    <w:rsid w:val="00AF3891"/>
    <w:rsid w:val="00AF3900"/>
    <w:rsid w:val="00AF3994"/>
    <w:rsid w:val="00AF3AB4"/>
    <w:rsid w:val="00AF3C3E"/>
    <w:rsid w:val="00AF3CBE"/>
    <w:rsid w:val="00AF3E5D"/>
    <w:rsid w:val="00AF404C"/>
    <w:rsid w:val="00AF410B"/>
    <w:rsid w:val="00AF41D9"/>
    <w:rsid w:val="00AF42B3"/>
    <w:rsid w:val="00AF43B2"/>
    <w:rsid w:val="00AF43DC"/>
    <w:rsid w:val="00AF4455"/>
    <w:rsid w:val="00AF455E"/>
    <w:rsid w:val="00AF468C"/>
    <w:rsid w:val="00AF473A"/>
    <w:rsid w:val="00AF4767"/>
    <w:rsid w:val="00AF4773"/>
    <w:rsid w:val="00AF478C"/>
    <w:rsid w:val="00AF489F"/>
    <w:rsid w:val="00AF48FC"/>
    <w:rsid w:val="00AF4934"/>
    <w:rsid w:val="00AF497A"/>
    <w:rsid w:val="00AF4999"/>
    <w:rsid w:val="00AF4BB9"/>
    <w:rsid w:val="00AF4D63"/>
    <w:rsid w:val="00AF4E5C"/>
    <w:rsid w:val="00AF4E79"/>
    <w:rsid w:val="00AF4EAF"/>
    <w:rsid w:val="00AF4EBD"/>
    <w:rsid w:val="00AF4EC1"/>
    <w:rsid w:val="00AF4F81"/>
    <w:rsid w:val="00AF516B"/>
    <w:rsid w:val="00AF5288"/>
    <w:rsid w:val="00AF52A4"/>
    <w:rsid w:val="00AF532C"/>
    <w:rsid w:val="00AF5698"/>
    <w:rsid w:val="00AF56CC"/>
    <w:rsid w:val="00AF56FE"/>
    <w:rsid w:val="00AF573A"/>
    <w:rsid w:val="00AF58A7"/>
    <w:rsid w:val="00AF5956"/>
    <w:rsid w:val="00AF5A2F"/>
    <w:rsid w:val="00AF5AE6"/>
    <w:rsid w:val="00AF5C77"/>
    <w:rsid w:val="00AF5DF8"/>
    <w:rsid w:val="00AF5E8F"/>
    <w:rsid w:val="00AF5EBC"/>
    <w:rsid w:val="00AF5F20"/>
    <w:rsid w:val="00AF6069"/>
    <w:rsid w:val="00AF60E7"/>
    <w:rsid w:val="00AF6148"/>
    <w:rsid w:val="00AF63E5"/>
    <w:rsid w:val="00AF6425"/>
    <w:rsid w:val="00AF659D"/>
    <w:rsid w:val="00AF65AB"/>
    <w:rsid w:val="00AF6663"/>
    <w:rsid w:val="00AF6674"/>
    <w:rsid w:val="00AF6769"/>
    <w:rsid w:val="00AF679A"/>
    <w:rsid w:val="00AF6996"/>
    <w:rsid w:val="00AF69F9"/>
    <w:rsid w:val="00AF6B5C"/>
    <w:rsid w:val="00AF6C13"/>
    <w:rsid w:val="00AF6F5C"/>
    <w:rsid w:val="00AF70E7"/>
    <w:rsid w:val="00AF72AA"/>
    <w:rsid w:val="00AF72BA"/>
    <w:rsid w:val="00AF72C9"/>
    <w:rsid w:val="00AF734A"/>
    <w:rsid w:val="00AF743E"/>
    <w:rsid w:val="00AF7462"/>
    <w:rsid w:val="00AF7471"/>
    <w:rsid w:val="00AF76A2"/>
    <w:rsid w:val="00AF7788"/>
    <w:rsid w:val="00AF7944"/>
    <w:rsid w:val="00AF79F4"/>
    <w:rsid w:val="00AF7A63"/>
    <w:rsid w:val="00AF7B4D"/>
    <w:rsid w:val="00AF7CB4"/>
    <w:rsid w:val="00B000B7"/>
    <w:rsid w:val="00B0013F"/>
    <w:rsid w:val="00B00156"/>
    <w:rsid w:val="00B00282"/>
    <w:rsid w:val="00B003EC"/>
    <w:rsid w:val="00B00422"/>
    <w:rsid w:val="00B004FC"/>
    <w:rsid w:val="00B00776"/>
    <w:rsid w:val="00B0078D"/>
    <w:rsid w:val="00B0084A"/>
    <w:rsid w:val="00B008E4"/>
    <w:rsid w:val="00B009A7"/>
    <w:rsid w:val="00B00AB0"/>
    <w:rsid w:val="00B00AE4"/>
    <w:rsid w:val="00B00BA0"/>
    <w:rsid w:val="00B00BAB"/>
    <w:rsid w:val="00B00CE2"/>
    <w:rsid w:val="00B00D37"/>
    <w:rsid w:val="00B00DB1"/>
    <w:rsid w:val="00B00E4E"/>
    <w:rsid w:val="00B00F3B"/>
    <w:rsid w:val="00B01016"/>
    <w:rsid w:val="00B01025"/>
    <w:rsid w:val="00B01035"/>
    <w:rsid w:val="00B010BF"/>
    <w:rsid w:val="00B01115"/>
    <w:rsid w:val="00B01182"/>
    <w:rsid w:val="00B011D3"/>
    <w:rsid w:val="00B01227"/>
    <w:rsid w:val="00B01366"/>
    <w:rsid w:val="00B013A4"/>
    <w:rsid w:val="00B013B1"/>
    <w:rsid w:val="00B01553"/>
    <w:rsid w:val="00B015CA"/>
    <w:rsid w:val="00B017AA"/>
    <w:rsid w:val="00B017AE"/>
    <w:rsid w:val="00B017D3"/>
    <w:rsid w:val="00B01863"/>
    <w:rsid w:val="00B0195D"/>
    <w:rsid w:val="00B01B79"/>
    <w:rsid w:val="00B01BE3"/>
    <w:rsid w:val="00B01D8D"/>
    <w:rsid w:val="00B01EC7"/>
    <w:rsid w:val="00B01ECA"/>
    <w:rsid w:val="00B02030"/>
    <w:rsid w:val="00B0205F"/>
    <w:rsid w:val="00B02062"/>
    <w:rsid w:val="00B0206B"/>
    <w:rsid w:val="00B0215F"/>
    <w:rsid w:val="00B02175"/>
    <w:rsid w:val="00B024C7"/>
    <w:rsid w:val="00B0253B"/>
    <w:rsid w:val="00B0259D"/>
    <w:rsid w:val="00B0261A"/>
    <w:rsid w:val="00B026C1"/>
    <w:rsid w:val="00B02705"/>
    <w:rsid w:val="00B027CB"/>
    <w:rsid w:val="00B028DB"/>
    <w:rsid w:val="00B02970"/>
    <w:rsid w:val="00B02979"/>
    <w:rsid w:val="00B02A6F"/>
    <w:rsid w:val="00B02B9E"/>
    <w:rsid w:val="00B02C8E"/>
    <w:rsid w:val="00B02CB4"/>
    <w:rsid w:val="00B03049"/>
    <w:rsid w:val="00B030B4"/>
    <w:rsid w:val="00B0330B"/>
    <w:rsid w:val="00B03435"/>
    <w:rsid w:val="00B035C1"/>
    <w:rsid w:val="00B0373B"/>
    <w:rsid w:val="00B03774"/>
    <w:rsid w:val="00B037C7"/>
    <w:rsid w:val="00B0380B"/>
    <w:rsid w:val="00B0385F"/>
    <w:rsid w:val="00B03890"/>
    <w:rsid w:val="00B03AC1"/>
    <w:rsid w:val="00B03B12"/>
    <w:rsid w:val="00B03C5C"/>
    <w:rsid w:val="00B03CFE"/>
    <w:rsid w:val="00B03DD6"/>
    <w:rsid w:val="00B03E67"/>
    <w:rsid w:val="00B03EF5"/>
    <w:rsid w:val="00B03F80"/>
    <w:rsid w:val="00B04027"/>
    <w:rsid w:val="00B0427A"/>
    <w:rsid w:val="00B04303"/>
    <w:rsid w:val="00B0445A"/>
    <w:rsid w:val="00B044CE"/>
    <w:rsid w:val="00B04664"/>
    <w:rsid w:val="00B04792"/>
    <w:rsid w:val="00B047F3"/>
    <w:rsid w:val="00B0480F"/>
    <w:rsid w:val="00B048C5"/>
    <w:rsid w:val="00B04912"/>
    <w:rsid w:val="00B04B79"/>
    <w:rsid w:val="00B04C02"/>
    <w:rsid w:val="00B04CBE"/>
    <w:rsid w:val="00B04D1A"/>
    <w:rsid w:val="00B04FC6"/>
    <w:rsid w:val="00B050D0"/>
    <w:rsid w:val="00B05106"/>
    <w:rsid w:val="00B052A5"/>
    <w:rsid w:val="00B05336"/>
    <w:rsid w:val="00B05349"/>
    <w:rsid w:val="00B0552B"/>
    <w:rsid w:val="00B05547"/>
    <w:rsid w:val="00B055B3"/>
    <w:rsid w:val="00B05707"/>
    <w:rsid w:val="00B05828"/>
    <w:rsid w:val="00B05864"/>
    <w:rsid w:val="00B058C5"/>
    <w:rsid w:val="00B0591E"/>
    <w:rsid w:val="00B05946"/>
    <w:rsid w:val="00B059EB"/>
    <w:rsid w:val="00B05B00"/>
    <w:rsid w:val="00B05C4C"/>
    <w:rsid w:val="00B05CC8"/>
    <w:rsid w:val="00B05D3F"/>
    <w:rsid w:val="00B05FCA"/>
    <w:rsid w:val="00B0604E"/>
    <w:rsid w:val="00B06133"/>
    <w:rsid w:val="00B0619F"/>
    <w:rsid w:val="00B0627B"/>
    <w:rsid w:val="00B0635F"/>
    <w:rsid w:val="00B0642F"/>
    <w:rsid w:val="00B06538"/>
    <w:rsid w:val="00B06655"/>
    <w:rsid w:val="00B0680D"/>
    <w:rsid w:val="00B069B4"/>
    <w:rsid w:val="00B06A2E"/>
    <w:rsid w:val="00B06B30"/>
    <w:rsid w:val="00B06B3A"/>
    <w:rsid w:val="00B06D52"/>
    <w:rsid w:val="00B06E21"/>
    <w:rsid w:val="00B06E29"/>
    <w:rsid w:val="00B06E81"/>
    <w:rsid w:val="00B06EFA"/>
    <w:rsid w:val="00B070CD"/>
    <w:rsid w:val="00B0734A"/>
    <w:rsid w:val="00B073F0"/>
    <w:rsid w:val="00B074BD"/>
    <w:rsid w:val="00B074D3"/>
    <w:rsid w:val="00B07562"/>
    <w:rsid w:val="00B0760B"/>
    <w:rsid w:val="00B0761D"/>
    <w:rsid w:val="00B077BC"/>
    <w:rsid w:val="00B07AB4"/>
    <w:rsid w:val="00B07AF9"/>
    <w:rsid w:val="00B07B13"/>
    <w:rsid w:val="00B07B97"/>
    <w:rsid w:val="00B07D3C"/>
    <w:rsid w:val="00B07DD5"/>
    <w:rsid w:val="00B07E41"/>
    <w:rsid w:val="00B07EA6"/>
    <w:rsid w:val="00B10498"/>
    <w:rsid w:val="00B1049D"/>
    <w:rsid w:val="00B104A0"/>
    <w:rsid w:val="00B104A7"/>
    <w:rsid w:val="00B105A4"/>
    <w:rsid w:val="00B106ED"/>
    <w:rsid w:val="00B1076F"/>
    <w:rsid w:val="00B107E4"/>
    <w:rsid w:val="00B10B8E"/>
    <w:rsid w:val="00B10B94"/>
    <w:rsid w:val="00B10CBE"/>
    <w:rsid w:val="00B10CED"/>
    <w:rsid w:val="00B10D20"/>
    <w:rsid w:val="00B10EB0"/>
    <w:rsid w:val="00B10F89"/>
    <w:rsid w:val="00B11004"/>
    <w:rsid w:val="00B1105C"/>
    <w:rsid w:val="00B110A1"/>
    <w:rsid w:val="00B111FE"/>
    <w:rsid w:val="00B1126E"/>
    <w:rsid w:val="00B112E7"/>
    <w:rsid w:val="00B114BB"/>
    <w:rsid w:val="00B114EF"/>
    <w:rsid w:val="00B117D0"/>
    <w:rsid w:val="00B117D3"/>
    <w:rsid w:val="00B11C5D"/>
    <w:rsid w:val="00B11D01"/>
    <w:rsid w:val="00B11E30"/>
    <w:rsid w:val="00B11F13"/>
    <w:rsid w:val="00B11F94"/>
    <w:rsid w:val="00B12226"/>
    <w:rsid w:val="00B12243"/>
    <w:rsid w:val="00B12413"/>
    <w:rsid w:val="00B12481"/>
    <w:rsid w:val="00B124E1"/>
    <w:rsid w:val="00B12529"/>
    <w:rsid w:val="00B1259A"/>
    <w:rsid w:val="00B125AA"/>
    <w:rsid w:val="00B125F8"/>
    <w:rsid w:val="00B126A7"/>
    <w:rsid w:val="00B12760"/>
    <w:rsid w:val="00B12981"/>
    <w:rsid w:val="00B129A0"/>
    <w:rsid w:val="00B12B28"/>
    <w:rsid w:val="00B12E00"/>
    <w:rsid w:val="00B12F6F"/>
    <w:rsid w:val="00B13107"/>
    <w:rsid w:val="00B132F0"/>
    <w:rsid w:val="00B1333B"/>
    <w:rsid w:val="00B13479"/>
    <w:rsid w:val="00B135E9"/>
    <w:rsid w:val="00B1362D"/>
    <w:rsid w:val="00B136FD"/>
    <w:rsid w:val="00B13774"/>
    <w:rsid w:val="00B13862"/>
    <w:rsid w:val="00B13985"/>
    <w:rsid w:val="00B13A88"/>
    <w:rsid w:val="00B13B39"/>
    <w:rsid w:val="00B13E10"/>
    <w:rsid w:val="00B13E1C"/>
    <w:rsid w:val="00B13E78"/>
    <w:rsid w:val="00B13EF1"/>
    <w:rsid w:val="00B13F0A"/>
    <w:rsid w:val="00B140F2"/>
    <w:rsid w:val="00B1416C"/>
    <w:rsid w:val="00B141D7"/>
    <w:rsid w:val="00B14210"/>
    <w:rsid w:val="00B142A2"/>
    <w:rsid w:val="00B1435C"/>
    <w:rsid w:val="00B14367"/>
    <w:rsid w:val="00B143F7"/>
    <w:rsid w:val="00B14429"/>
    <w:rsid w:val="00B144DF"/>
    <w:rsid w:val="00B14600"/>
    <w:rsid w:val="00B14722"/>
    <w:rsid w:val="00B14872"/>
    <w:rsid w:val="00B148B0"/>
    <w:rsid w:val="00B14994"/>
    <w:rsid w:val="00B14A67"/>
    <w:rsid w:val="00B14B8E"/>
    <w:rsid w:val="00B14BD5"/>
    <w:rsid w:val="00B14BE1"/>
    <w:rsid w:val="00B14C02"/>
    <w:rsid w:val="00B14C35"/>
    <w:rsid w:val="00B14CE0"/>
    <w:rsid w:val="00B14D5C"/>
    <w:rsid w:val="00B14E64"/>
    <w:rsid w:val="00B14EA9"/>
    <w:rsid w:val="00B1512E"/>
    <w:rsid w:val="00B15130"/>
    <w:rsid w:val="00B1528A"/>
    <w:rsid w:val="00B153AE"/>
    <w:rsid w:val="00B1540B"/>
    <w:rsid w:val="00B1550A"/>
    <w:rsid w:val="00B15624"/>
    <w:rsid w:val="00B15707"/>
    <w:rsid w:val="00B15879"/>
    <w:rsid w:val="00B1589A"/>
    <w:rsid w:val="00B1594A"/>
    <w:rsid w:val="00B159C6"/>
    <w:rsid w:val="00B159F0"/>
    <w:rsid w:val="00B15BB2"/>
    <w:rsid w:val="00B16004"/>
    <w:rsid w:val="00B1607D"/>
    <w:rsid w:val="00B160C8"/>
    <w:rsid w:val="00B16206"/>
    <w:rsid w:val="00B16218"/>
    <w:rsid w:val="00B16245"/>
    <w:rsid w:val="00B16337"/>
    <w:rsid w:val="00B16427"/>
    <w:rsid w:val="00B1654D"/>
    <w:rsid w:val="00B16571"/>
    <w:rsid w:val="00B16659"/>
    <w:rsid w:val="00B167A1"/>
    <w:rsid w:val="00B16876"/>
    <w:rsid w:val="00B16A0B"/>
    <w:rsid w:val="00B16B97"/>
    <w:rsid w:val="00B16BCA"/>
    <w:rsid w:val="00B1703E"/>
    <w:rsid w:val="00B17105"/>
    <w:rsid w:val="00B17128"/>
    <w:rsid w:val="00B1731F"/>
    <w:rsid w:val="00B175FB"/>
    <w:rsid w:val="00B17646"/>
    <w:rsid w:val="00B17692"/>
    <w:rsid w:val="00B1798E"/>
    <w:rsid w:val="00B17A07"/>
    <w:rsid w:val="00B17A9C"/>
    <w:rsid w:val="00B17B03"/>
    <w:rsid w:val="00B17B40"/>
    <w:rsid w:val="00B17C55"/>
    <w:rsid w:val="00B17DC6"/>
    <w:rsid w:val="00B17E14"/>
    <w:rsid w:val="00B17FE4"/>
    <w:rsid w:val="00B20199"/>
    <w:rsid w:val="00B204CF"/>
    <w:rsid w:val="00B2072A"/>
    <w:rsid w:val="00B20754"/>
    <w:rsid w:val="00B207EE"/>
    <w:rsid w:val="00B209F9"/>
    <w:rsid w:val="00B20C8B"/>
    <w:rsid w:val="00B20D20"/>
    <w:rsid w:val="00B20D53"/>
    <w:rsid w:val="00B20DC5"/>
    <w:rsid w:val="00B20DF1"/>
    <w:rsid w:val="00B20E21"/>
    <w:rsid w:val="00B20F87"/>
    <w:rsid w:val="00B20FFA"/>
    <w:rsid w:val="00B2103B"/>
    <w:rsid w:val="00B2113A"/>
    <w:rsid w:val="00B2119B"/>
    <w:rsid w:val="00B21291"/>
    <w:rsid w:val="00B214C6"/>
    <w:rsid w:val="00B21559"/>
    <w:rsid w:val="00B215A6"/>
    <w:rsid w:val="00B216BC"/>
    <w:rsid w:val="00B216CF"/>
    <w:rsid w:val="00B2171F"/>
    <w:rsid w:val="00B2173C"/>
    <w:rsid w:val="00B21997"/>
    <w:rsid w:val="00B219A5"/>
    <w:rsid w:val="00B219C3"/>
    <w:rsid w:val="00B219D8"/>
    <w:rsid w:val="00B219E2"/>
    <w:rsid w:val="00B219E6"/>
    <w:rsid w:val="00B21B71"/>
    <w:rsid w:val="00B21C1A"/>
    <w:rsid w:val="00B21DB3"/>
    <w:rsid w:val="00B21F99"/>
    <w:rsid w:val="00B21FB8"/>
    <w:rsid w:val="00B22131"/>
    <w:rsid w:val="00B221B2"/>
    <w:rsid w:val="00B221B4"/>
    <w:rsid w:val="00B22336"/>
    <w:rsid w:val="00B22576"/>
    <w:rsid w:val="00B2271E"/>
    <w:rsid w:val="00B228CB"/>
    <w:rsid w:val="00B229A0"/>
    <w:rsid w:val="00B22BFA"/>
    <w:rsid w:val="00B22C6A"/>
    <w:rsid w:val="00B22D20"/>
    <w:rsid w:val="00B22DDB"/>
    <w:rsid w:val="00B22EE6"/>
    <w:rsid w:val="00B22F09"/>
    <w:rsid w:val="00B22F0C"/>
    <w:rsid w:val="00B23191"/>
    <w:rsid w:val="00B231CF"/>
    <w:rsid w:val="00B23279"/>
    <w:rsid w:val="00B232A3"/>
    <w:rsid w:val="00B232C1"/>
    <w:rsid w:val="00B233C7"/>
    <w:rsid w:val="00B234FD"/>
    <w:rsid w:val="00B23666"/>
    <w:rsid w:val="00B23674"/>
    <w:rsid w:val="00B236AE"/>
    <w:rsid w:val="00B237EB"/>
    <w:rsid w:val="00B23856"/>
    <w:rsid w:val="00B238CB"/>
    <w:rsid w:val="00B23999"/>
    <w:rsid w:val="00B23C14"/>
    <w:rsid w:val="00B23C6F"/>
    <w:rsid w:val="00B23DD9"/>
    <w:rsid w:val="00B23E1C"/>
    <w:rsid w:val="00B23E91"/>
    <w:rsid w:val="00B23F4D"/>
    <w:rsid w:val="00B23FDA"/>
    <w:rsid w:val="00B240B0"/>
    <w:rsid w:val="00B240BF"/>
    <w:rsid w:val="00B241F9"/>
    <w:rsid w:val="00B2448B"/>
    <w:rsid w:val="00B244AA"/>
    <w:rsid w:val="00B24547"/>
    <w:rsid w:val="00B24586"/>
    <w:rsid w:val="00B246CC"/>
    <w:rsid w:val="00B2480B"/>
    <w:rsid w:val="00B24831"/>
    <w:rsid w:val="00B24994"/>
    <w:rsid w:val="00B249C4"/>
    <w:rsid w:val="00B24AAC"/>
    <w:rsid w:val="00B24B5F"/>
    <w:rsid w:val="00B24EC8"/>
    <w:rsid w:val="00B250B1"/>
    <w:rsid w:val="00B250EC"/>
    <w:rsid w:val="00B252BD"/>
    <w:rsid w:val="00B25368"/>
    <w:rsid w:val="00B2539D"/>
    <w:rsid w:val="00B253FE"/>
    <w:rsid w:val="00B25550"/>
    <w:rsid w:val="00B2562E"/>
    <w:rsid w:val="00B256A9"/>
    <w:rsid w:val="00B25758"/>
    <w:rsid w:val="00B25976"/>
    <w:rsid w:val="00B25A42"/>
    <w:rsid w:val="00B25AD7"/>
    <w:rsid w:val="00B25B10"/>
    <w:rsid w:val="00B25B48"/>
    <w:rsid w:val="00B25B95"/>
    <w:rsid w:val="00B25D54"/>
    <w:rsid w:val="00B25D89"/>
    <w:rsid w:val="00B25F08"/>
    <w:rsid w:val="00B25F6D"/>
    <w:rsid w:val="00B26343"/>
    <w:rsid w:val="00B2636F"/>
    <w:rsid w:val="00B2637E"/>
    <w:rsid w:val="00B263CA"/>
    <w:rsid w:val="00B2657F"/>
    <w:rsid w:val="00B265AF"/>
    <w:rsid w:val="00B265FB"/>
    <w:rsid w:val="00B266A8"/>
    <w:rsid w:val="00B26915"/>
    <w:rsid w:val="00B26ABB"/>
    <w:rsid w:val="00B26AF0"/>
    <w:rsid w:val="00B26B35"/>
    <w:rsid w:val="00B26E24"/>
    <w:rsid w:val="00B26E33"/>
    <w:rsid w:val="00B26E90"/>
    <w:rsid w:val="00B26EA6"/>
    <w:rsid w:val="00B26FCA"/>
    <w:rsid w:val="00B27080"/>
    <w:rsid w:val="00B270A4"/>
    <w:rsid w:val="00B271A7"/>
    <w:rsid w:val="00B271BC"/>
    <w:rsid w:val="00B271C2"/>
    <w:rsid w:val="00B272D0"/>
    <w:rsid w:val="00B272E9"/>
    <w:rsid w:val="00B274B0"/>
    <w:rsid w:val="00B274EA"/>
    <w:rsid w:val="00B27610"/>
    <w:rsid w:val="00B27627"/>
    <w:rsid w:val="00B27636"/>
    <w:rsid w:val="00B2764D"/>
    <w:rsid w:val="00B27817"/>
    <w:rsid w:val="00B27863"/>
    <w:rsid w:val="00B279B1"/>
    <w:rsid w:val="00B27AC8"/>
    <w:rsid w:val="00B27BAB"/>
    <w:rsid w:val="00B27EDB"/>
    <w:rsid w:val="00B27EE2"/>
    <w:rsid w:val="00B27F13"/>
    <w:rsid w:val="00B3008D"/>
    <w:rsid w:val="00B300EE"/>
    <w:rsid w:val="00B301EC"/>
    <w:rsid w:val="00B302AD"/>
    <w:rsid w:val="00B302EC"/>
    <w:rsid w:val="00B30307"/>
    <w:rsid w:val="00B30384"/>
    <w:rsid w:val="00B303C1"/>
    <w:rsid w:val="00B303F5"/>
    <w:rsid w:val="00B3050E"/>
    <w:rsid w:val="00B305AD"/>
    <w:rsid w:val="00B305BC"/>
    <w:rsid w:val="00B305D0"/>
    <w:rsid w:val="00B30644"/>
    <w:rsid w:val="00B308AE"/>
    <w:rsid w:val="00B308C9"/>
    <w:rsid w:val="00B30952"/>
    <w:rsid w:val="00B3095B"/>
    <w:rsid w:val="00B30BEA"/>
    <w:rsid w:val="00B30C36"/>
    <w:rsid w:val="00B30C5C"/>
    <w:rsid w:val="00B30CCB"/>
    <w:rsid w:val="00B30D2F"/>
    <w:rsid w:val="00B31013"/>
    <w:rsid w:val="00B310C2"/>
    <w:rsid w:val="00B310CF"/>
    <w:rsid w:val="00B312D9"/>
    <w:rsid w:val="00B312EC"/>
    <w:rsid w:val="00B31319"/>
    <w:rsid w:val="00B313E0"/>
    <w:rsid w:val="00B314F3"/>
    <w:rsid w:val="00B316AC"/>
    <w:rsid w:val="00B316D2"/>
    <w:rsid w:val="00B316DD"/>
    <w:rsid w:val="00B3171A"/>
    <w:rsid w:val="00B317AE"/>
    <w:rsid w:val="00B31951"/>
    <w:rsid w:val="00B319D8"/>
    <w:rsid w:val="00B31AC2"/>
    <w:rsid w:val="00B31B1C"/>
    <w:rsid w:val="00B31BD7"/>
    <w:rsid w:val="00B31BF4"/>
    <w:rsid w:val="00B31D0D"/>
    <w:rsid w:val="00B3212F"/>
    <w:rsid w:val="00B32139"/>
    <w:rsid w:val="00B32160"/>
    <w:rsid w:val="00B322E0"/>
    <w:rsid w:val="00B3230E"/>
    <w:rsid w:val="00B32495"/>
    <w:rsid w:val="00B32740"/>
    <w:rsid w:val="00B32825"/>
    <w:rsid w:val="00B328B0"/>
    <w:rsid w:val="00B32937"/>
    <w:rsid w:val="00B32A25"/>
    <w:rsid w:val="00B32A73"/>
    <w:rsid w:val="00B32BA3"/>
    <w:rsid w:val="00B32BB9"/>
    <w:rsid w:val="00B32C09"/>
    <w:rsid w:val="00B32EE2"/>
    <w:rsid w:val="00B32EEC"/>
    <w:rsid w:val="00B32F00"/>
    <w:rsid w:val="00B330B6"/>
    <w:rsid w:val="00B3312F"/>
    <w:rsid w:val="00B33219"/>
    <w:rsid w:val="00B3323A"/>
    <w:rsid w:val="00B3326C"/>
    <w:rsid w:val="00B33403"/>
    <w:rsid w:val="00B335C5"/>
    <w:rsid w:val="00B3362A"/>
    <w:rsid w:val="00B336D0"/>
    <w:rsid w:val="00B33751"/>
    <w:rsid w:val="00B33792"/>
    <w:rsid w:val="00B3383F"/>
    <w:rsid w:val="00B33A20"/>
    <w:rsid w:val="00B33B7F"/>
    <w:rsid w:val="00B33BDC"/>
    <w:rsid w:val="00B33CB6"/>
    <w:rsid w:val="00B33DF4"/>
    <w:rsid w:val="00B33F4E"/>
    <w:rsid w:val="00B34044"/>
    <w:rsid w:val="00B3408D"/>
    <w:rsid w:val="00B340CF"/>
    <w:rsid w:val="00B34126"/>
    <w:rsid w:val="00B3415E"/>
    <w:rsid w:val="00B3425E"/>
    <w:rsid w:val="00B34503"/>
    <w:rsid w:val="00B34528"/>
    <w:rsid w:val="00B34555"/>
    <w:rsid w:val="00B345B7"/>
    <w:rsid w:val="00B345C3"/>
    <w:rsid w:val="00B345FB"/>
    <w:rsid w:val="00B34640"/>
    <w:rsid w:val="00B34662"/>
    <w:rsid w:val="00B346D9"/>
    <w:rsid w:val="00B34809"/>
    <w:rsid w:val="00B34877"/>
    <w:rsid w:val="00B348A6"/>
    <w:rsid w:val="00B34982"/>
    <w:rsid w:val="00B34996"/>
    <w:rsid w:val="00B34A37"/>
    <w:rsid w:val="00B34B01"/>
    <w:rsid w:val="00B34B8B"/>
    <w:rsid w:val="00B34CF4"/>
    <w:rsid w:val="00B34DC7"/>
    <w:rsid w:val="00B34DEC"/>
    <w:rsid w:val="00B34F27"/>
    <w:rsid w:val="00B34FEC"/>
    <w:rsid w:val="00B3503A"/>
    <w:rsid w:val="00B350A5"/>
    <w:rsid w:val="00B350CE"/>
    <w:rsid w:val="00B35132"/>
    <w:rsid w:val="00B35256"/>
    <w:rsid w:val="00B3527E"/>
    <w:rsid w:val="00B35379"/>
    <w:rsid w:val="00B3537D"/>
    <w:rsid w:val="00B353A8"/>
    <w:rsid w:val="00B3550F"/>
    <w:rsid w:val="00B35572"/>
    <w:rsid w:val="00B356B9"/>
    <w:rsid w:val="00B3583B"/>
    <w:rsid w:val="00B35B27"/>
    <w:rsid w:val="00B35B31"/>
    <w:rsid w:val="00B35B4B"/>
    <w:rsid w:val="00B35BF2"/>
    <w:rsid w:val="00B35C13"/>
    <w:rsid w:val="00B35D7E"/>
    <w:rsid w:val="00B35DC7"/>
    <w:rsid w:val="00B35E39"/>
    <w:rsid w:val="00B35F47"/>
    <w:rsid w:val="00B360AB"/>
    <w:rsid w:val="00B360C6"/>
    <w:rsid w:val="00B360FC"/>
    <w:rsid w:val="00B36218"/>
    <w:rsid w:val="00B3629A"/>
    <w:rsid w:val="00B3635E"/>
    <w:rsid w:val="00B3640D"/>
    <w:rsid w:val="00B3645A"/>
    <w:rsid w:val="00B36480"/>
    <w:rsid w:val="00B364E5"/>
    <w:rsid w:val="00B364F7"/>
    <w:rsid w:val="00B365C1"/>
    <w:rsid w:val="00B365E6"/>
    <w:rsid w:val="00B36677"/>
    <w:rsid w:val="00B366A4"/>
    <w:rsid w:val="00B3686D"/>
    <w:rsid w:val="00B3696D"/>
    <w:rsid w:val="00B369EC"/>
    <w:rsid w:val="00B36B26"/>
    <w:rsid w:val="00B36B47"/>
    <w:rsid w:val="00B36C73"/>
    <w:rsid w:val="00B36CB9"/>
    <w:rsid w:val="00B36D6A"/>
    <w:rsid w:val="00B36DA1"/>
    <w:rsid w:val="00B36E6E"/>
    <w:rsid w:val="00B36EDC"/>
    <w:rsid w:val="00B370F1"/>
    <w:rsid w:val="00B37298"/>
    <w:rsid w:val="00B372F6"/>
    <w:rsid w:val="00B3748E"/>
    <w:rsid w:val="00B377AE"/>
    <w:rsid w:val="00B377DD"/>
    <w:rsid w:val="00B3780C"/>
    <w:rsid w:val="00B37864"/>
    <w:rsid w:val="00B378EA"/>
    <w:rsid w:val="00B3795A"/>
    <w:rsid w:val="00B379FE"/>
    <w:rsid w:val="00B37A8F"/>
    <w:rsid w:val="00B37B0C"/>
    <w:rsid w:val="00B37B33"/>
    <w:rsid w:val="00B37B7F"/>
    <w:rsid w:val="00B37CAF"/>
    <w:rsid w:val="00B37D42"/>
    <w:rsid w:val="00B37D66"/>
    <w:rsid w:val="00B37D6B"/>
    <w:rsid w:val="00B37DD4"/>
    <w:rsid w:val="00B37DE0"/>
    <w:rsid w:val="00B37E96"/>
    <w:rsid w:val="00B40191"/>
    <w:rsid w:val="00B402E5"/>
    <w:rsid w:val="00B40317"/>
    <w:rsid w:val="00B40531"/>
    <w:rsid w:val="00B4069A"/>
    <w:rsid w:val="00B406C4"/>
    <w:rsid w:val="00B40742"/>
    <w:rsid w:val="00B407C3"/>
    <w:rsid w:val="00B40851"/>
    <w:rsid w:val="00B40859"/>
    <w:rsid w:val="00B4088F"/>
    <w:rsid w:val="00B408C0"/>
    <w:rsid w:val="00B40961"/>
    <w:rsid w:val="00B409B0"/>
    <w:rsid w:val="00B40AB3"/>
    <w:rsid w:val="00B40B7F"/>
    <w:rsid w:val="00B40E06"/>
    <w:rsid w:val="00B40ED2"/>
    <w:rsid w:val="00B4101B"/>
    <w:rsid w:val="00B41072"/>
    <w:rsid w:val="00B41381"/>
    <w:rsid w:val="00B41421"/>
    <w:rsid w:val="00B4142D"/>
    <w:rsid w:val="00B41452"/>
    <w:rsid w:val="00B414B3"/>
    <w:rsid w:val="00B41529"/>
    <w:rsid w:val="00B41740"/>
    <w:rsid w:val="00B41C8E"/>
    <w:rsid w:val="00B41D6F"/>
    <w:rsid w:val="00B4202B"/>
    <w:rsid w:val="00B4213E"/>
    <w:rsid w:val="00B42155"/>
    <w:rsid w:val="00B42345"/>
    <w:rsid w:val="00B423ED"/>
    <w:rsid w:val="00B424D6"/>
    <w:rsid w:val="00B42605"/>
    <w:rsid w:val="00B426DA"/>
    <w:rsid w:val="00B427F7"/>
    <w:rsid w:val="00B4281F"/>
    <w:rsid w:val="00B4283A"/>
    <w:rsid w:val="00B4296E"/>
    <w:rsid w:val="00B429BF"/>
    <w:rsid w:val="00B42A90"/>
    <w:rsid w:val="00B42D2B"/>
    <w:rsid w:val="00B42D35"/>
    <w:rsid w:val="00B42D94"/>
    <w:rsid w:val="00B42E90"/>
    <w:rsid w:val="00B42F35"/>
    <w:rsid w:val="00B42F4D"/>
    <w:rsid w:val="00B430AB"/>
    <w:rsid w:val="00B4310B"/>
    <w:rsid w:val="00B4317A"/>
    <w:rsid w:val="00B431E4"/>
    <w:rsid w:val="00B432F3"/>
    <w:rsid w:val="00B4337D"/>
    <w:rsid w:val="00B43399"/>
    <w:rsid w:val="00B433C4"/>
    <w:rsid w:val="00B43569"/>
    <w:rsid w:val="00B435F4"/>
    <w:rsid w:val="00B43819"/>
    <w:rsid w:val="00B4396A"/>
    <w:rsid w:val="00B43A16"/>
    <w:rsid w:val="00B43A7C"/>
    <w:rsid w:val="00B43BE0"/>
    <w:rsid w:val="00B43C3A"/>
    <w:rsid w:val="00B43D18"/>
    <w:rsid w:val="00B43E51"/>
    <w:rsid w:val="00B43F9E"/>
    <w:rsid w:val="00B43FE9"/>
    <w:rsid w:val="00B43FED"/>
    <w:rsid w:val="00B440B0"/>
    <w:rsid w:val="00B44160"/>
    <w:rsid w:val="00B44190"/>
    <w:rsid w:val="00B443F2"/>
    <w:rsid w:val="00B44404"/>
    <w:rsid w:val="00B444D4"/>
    <w:rsid w:val="00B444EA"/>
    <w:rsid w:val="00B4465E"/>
    <w:rsid w:val="00B44672"/>
    <w:rsid w:val="00B447DE"/>
    <w:rsid w:val="00B4487D"/>
    <w:rsid w:val="00B448A4"/>
    <w:rsid w:val="00B44A52"/>
    <w:rsid w:val="00B44A6E"/>
    <w:rsid w:val="00B44AAD"/>
    <w:rsid w:val="00B44B66"/>
    <w:rsid w:val="00B44B69"/>
    <w:rsid w:val="00B44EC8"/>
    <w:rsid w:val="00B44F59"/>
    <w:rsid w:val="00B44F68"/>
    <w:rsid w:val="00B44FD2"/>
    <w:rsid w:val="00B45067"/>
    <w:rsid w:val="00B4511E"/>
    <w:rsid w:val="00B45187"/>
    <w:rsid w:val="00B451AE"/>
    <w:rsid w:val="00B452B1"/>
    <w:rsid w:val="00B452D2"/>
    <w:rsid w:val="00B457C5"/>
    <w:rsid w:val="00B4584D"/>
    <w:rsid w:val="00B45857"/>
    <w:rsid w:val="00B45979"/>
    <w:rsid w:val="00B45A8D"/>
    <w:rsid w:val="00B45D38"/>
    <w:rsid w:val="00B45D4F"/>
    <w:rsid w:val="00B45D66"/>
    <w:rsid w:val="00B45D73"/>
    <w:rsid w:val="00B45FE3"/>
    <w:rsid w:val="00B4601A"/>
    <w:rsid w:val="00B463E7"/>
    <w:rsid w:val="00B46455"/>
    <w:rsid w:val="00B4670D"/>
    <w:rsid w:val="00B467BC"/>
    <w:rsid w:val="00B467EB"/>
    <w:rsid w:val="00B4684D"/>
    <w:rsid w:val="00B46876"/>
    <w:rsid w:val="00B46924"/>
    <w:rsid w:val="00B46B65"/>
    <w:rsid w:val="00B46C09"/>
    <w:rsid w:val="00B46C9D"/>
    <w:rsid w:val="00B46D31"/>
    <w:rsid w:val="00B46D71"/>
    <w:rsid w:val="00B46DC8"/>
    <w:rsid w:val="00B46DE2"/>
    <w:rsid w:val="00B4713D"/>
    <w:rsid w:val="00B47168"/>
    <w:rsid w:val="00B472B9"/>
    <w:rsid w:val="00B472C9"/>
    <w:rsid w:val="00B473A2"/>
    <w:rsid w:val="00B47674"/>
    <w:rsid w:val="00B4773D"/>
    <w:rsid w:val="00B47742"/>
    <w:rsid w:val="00B477CE"/>
    <w:rsid w:val="00B47835"/>
    <w:rsid w:val="00B47978"/>
    <w:rsid w:val="00B479A2"/>
    <w:rsid w:val="00B479DA"/>
    <w:rsid w:val="00B47D7B"/>
    <w:rsid w:val="00B47D7D"/>
    <w:rsid w:val="00B500B4"/>
    <w:rsid w:val="00B500BA"/>
    <w:rsid w:val="00B501CF"/>
    <w:rsid w:val="00B50537"/>
    <w:rsid w:val="00B50614"/>
    <w:rsid w:val="00B506F9"/>
    <w:rsid w:val="00B5090D"/>
    <w:rsid w:val="00B5092C"/>
    <w:rsid w:val="00B50A2C"/>
    <w:rsid w:val="00B50AF4"/>
    <w:rsid w:val="00B50C95"/>
    <w:rsid w:val="00B50CBD"/>
    <w:rsid w:val="00B50CDE"/>
    <w:rsid w:val="00B51152"/>
    <w:rsid w:val="00B51179"/>
    <w:rsid w:val="00B51296"/>
    <w:rsid w:val="00B51380"/>
    <w:rsid w:val="00B513E4"/>
    <w:rsid w:val="00B51436"/>
    <w:rsid w:val="00B5145D"/>
    <w:rsid w:val="00B516DA"/>
    <w:rsid w:val="00B5176D"/>
    <w:rsid w:val="00B51794"/>
    <w:rsid w:val="00B51927"/>
    <w:rsid w:val="00B519AB"/>
    <w:rsid w:val="00B519EE"/>
    <w:rsid w:val="00B51C78"/>
    <w:rsid w:val="00B51D0A"/>
    <w:rsid w:val="00B51EC7"/>
    <w:rsid w:val="00B51F11"/>
    <w:rsid w:val="00B51F9C"/>
    <w:rsid w:val="00B52078"/>
    <w:rsid w:val="00B520A0"/>
    <w:rsid w:val="00B52126"/>
    <w:rsid w:val="00B52152"/>
    <w:rsid w:val="00B52188"/>
    <w:rsid w:val="00B52208"/>
    <w:rsid w:val="00B5240B"/>
    <w:rsid w:val="00B52491"/>
    <w:rsid w:val="00B52520"/>
    <w:rsid w:val="00B52527"/>
    <w:rsid w:val="00B5282A"/>
    <w:rsid w:val="00B528F4"/>
    <w:rsid w:val="00B52949"/>
    <w:rsid w:val="00B529B3"/>
    <w:rsid w:val="00B52BE2"/>
    <w:rsid w:val="00B52CA3"/>
    <w:rsid w:val="00B52D86"/>
    <w:rsid w:val="00B52FC3"/>
    <w:rsid w:val="00B530A6"/>
    <w:rsid w:val="00B530E5"/>
    <w:rsid w:val="00B531F8"/>
    <w:rsid w:val="00B53220"/>
    <w:rsid w:val="00B53340"/>
    <w:rsid w:val="00B53350"/>
    <w:rsid w:val="00B53376"/>
    <w:rsid w:val="00B53450"/>
    <w:rsid w:val="00B535CB"/>
    <w:rsid w:val="00B53706"/>
    <w:rsid w:val="00B5376B"/>
    <w:rsid w:val="00B53895"/>
    <w:rsid w:val="00B5389E"/>
    <w:rsid w:val="00B539EF"/>
    <w:rsid w:val="00B53A38"/>
    <w:rsid w:val="00B53AA6"/>
    <w:rsid w:val="00B53AF3"/>
    <w:rsid w:val="00B53D93"/>
    <w:rsid w:val="00B53FC9"/>
    <w:rsid w:val="00B54021"/>
    <w:rsid w:val="00B541CF"/>
    <w:rsid w:val="00B543A5"/>
    <w:rsid w:val="00B5443A"/>
    <w:rsid w:val="00B54469"/>
    <w:rsid w:val="00B5454C"/>
    <w:rsid w:val="00B547B2"/>
    <w:rsid w:val="00B547EA"/>
    <w:rsid w:val="00B547EC"/>
    <w:rsid w:val="00B54832"/>
    <w:rsid w:val="00B549E2"/>
    <w:rsid w:val="00B549EA"/>
    <w:rsid w:val="00B54DC1"/>
    <w:rsid w:val="00B54DDF"/>
    <w:rsid w:val="00B54E6E"/>
    <w:rsid w:val="00B5504C"/>
    <w:rsid w:val="00B552E2"/>
    <w:rsid w:val="00B552F5"/>
    <w:rsid w:val="00B55311"/>
    <w:rsid w:val="00B5531D"/>
    <w:rsid w:val="00B5541C"/>
    <w:rsid w:val="00B5547F"/>
    <w:rsid w:val="00B554DD"/>
    <w:rsid w:val="00B5551B"/>
    <w:rsid w:val="00B55634"/>
    <w:rsid w:val="00B55789"/>
    <w:rsid w:val="00B5585D"/>
    <w:rsid w:val="00B558D4"/>
    <w:rsid w:val="00B55919"/>
    <w:rsid w:val="00B55A66"/>
    <w:rsid w:val="00B55AAC"/>
    <w:rsid w:val="00B55AC9"/>
    <w:rsid w:val="00B55B04"/>
    <w:rsid w:val="00B55C5F"/>
    <w:rsid w:val="00B55DB2"/>
    <w:rsid w:val="00B55EF7"/>
    <w:rsid w:val="00B560CD"/>
    <w:rsid w:val="00B56101"/>
    <w:rsid w:val="00B561F8"/>
    <w:rsid w:val="00B56238"/>
    <w:rsid w:val="00B5623C"/>
    <w:rsid w:val="00B56435"/>
    <w:rsid w:val="00B565C5"/>
    <w:rsid w:val="00B56657"/>
    <w:rsid w:val="00B568F0"/>
    <w:rsid w:val="00B56938"/>
    <w:rsid w:val="00B56A22"/>
    <w:rsid w:val="00B56C59"/>
    <w:rsid w:val="00B56CC8"/>
    <w:rsid w:val="00B56DE3"/>
    <w:rsid w:val="00B56EA5"/>
    <w:rsid w:val="00B5702D"/>
    <w:rsid w:val="00B572BC"/>
    <w:rsid w:val="00B57308"/>
    <w:rsid w:val="00B5736C"/>
    <w:rsid w:val="00B573CE"/>
    <w:rsid w:val="00B573E8"/>
    <w:rsid w:val="00B57510"/>
    <w:rsid w:val="00B57588"/>
    <w:rsid w:val="00B575A6"/>
    <w:rsid w:val="00B576BF"/>
    <w:rsid w:val="00B576C0"/>
    <w:rsid w:val="00B577DD"/>
    <w:rsid w:val="00B578D9"/>
    <w:rsid w:val="00B57962"/>
    <w:rsid w:val="00B57977"/>
    <w:rsid w:val="00B57986"/>
    <w:rsid w:val="00B579F4"/>
    <w:rsid w:val="00B57A5C"/>
    <w:rsid w:val="00B57AD6"/>
    <w:rsid w:val="00B57D80"/>
    <w:rsid w:val="00B600D2"/>
    <w:rsid w:val="00B60198"/>
    <w:rsid w:val="00B6021E"/>
    <w:rsid w:val="00B60554"/>
    <w:rsid w:val="00B6065D"/>
    <w:rsid w:val="00B60687"/>
    <w:rsid w:val="00B607F1"/>
    <w:rsid w:val="00B60D9D"/>
    <w:rsid w:val="00B60DA6"/>
    <w:rsid w:val="00B60E2A"/>
    <w:rsid w:val="00B60F85"/>
    <w:rsid w:val="00B60FBD"/>
    <w:rsid w:val="00B60FFB"/>
    <w:rsid w:val="00B61057"/>
    <w:rsid w:val="00B61152"/>
    <w:rsid w:val="00B61277"/>
    <w:rsid w:val="00B612E9"/>
    <w:rsid w:val="00B61542"/>
    <w:rsid w:val="00B61689"/>
    <w:rsid w:val="00B61769"/>
    <w:rsid w:val="00B61869"/>
    <w:rsid w:val="00B6192A"/>
    <w:rsid w:val="00B6195B"/>
    <w:rsid w:val="00B61BEB"/>
    <w:rsid w:val="00B61D46"/>
    <w:rsid w:val="00B61E76"/>
    <w:rsid w:val="00B61F72"/>
    <w:rsid w:val="00B6208B"/>
    <w:rsid w:val="00B622F5"/>
    <w:rsid w:val="00B6234E"/>
    <w:rsid w:val="00B62428"/>
    <w:rsid w:val="00B6253C"/>
    <w:rsid w:val="00B625D7"/>
    <w:rsid w:val="00B62770"/>
    <w:rsid w:val="00B62869"/>
    <w:rsid w:val="00B6286E"/>
    <w:rsid w:val="00B62923"/>
    <w:rsid w:val="00B62A1A"/>
    <w:rsid w:val="00B62A23"/>
    <w:rsid w:val="00B62A3F"/>
    <w:rsid w:val="00B62A9D"/>
    <w:rsid w:val="00B62BE3"/>
    <w:rsid w:val="00B62C34"/>
    <w:rsid w:val="00B62E46"/>
    <w:rsid w:val="00B62F9C"/>
    <w:rsid w:val="00B62FDC"/>
    <w:rsid w:val="00B630F8"/>
    <w:rsid w:val="00B63112"/>
    <w:rsid w:val="00B63225"/>
    <w:rsid w:val="00B632FC"/>
    <w:rsid w:val="00B633E8"/>
    <w:rsid w:val="00B63494"/>
    <w:rsid w:val="00B63717"/>
    <w:rsid w:val="00B6385A"/>
    <w:rsid w:val="00B639CB"/>
    <w:rsid w:val="00B63A39"/>
    <w:rsid w:val="00B63AC5"/>
    <w:rsid w:val="00B63B58"/>
    <w:rsid w:val="00B63C33"/>
    <w:rsid w:val="00B63D1E"/>
    <w:rsid w:val="00B63D6A"/>
    <w:rsid w:val="00B64466"/>
    <w:rsid w:val="00B644DA"/>
    <w:rsid w:val="00B64727"/>
    <w:rsid w:val="00B647F0"/>
    <w:rsid w:val="00B648ED"/>
    <w:rsid w:val="00B64968"/>
    <w:rsid w:val="00B649E2"/>
    <w:rsid w:val="00B64AF0"/>
    <w:rsid w:val="00B64AFE"/>
    <w:rsid w:val="00B64B18"/>
    <w:rsid w:val="00B64B19"/>
    <w:rsid w:val="00B64BD7"/>
    <w:rsid w:val="00B64E32"/>
    <w:rsid w:val="00B64E3D"/>
    <w:rsid w:val="00B6506B"/>
    <w:rsid w:val="00B651AC"/>
    <w:rsid w:val="00B651FB"/>
    <w:rsid w:val="00B65347"/>
    <w:rsid w:val="00B653C3"/>
    <w:rsid w:val="00B65417"/>
    <w:rsid w:val="00B65461"/>
    <w:rsid w:val="00B655F6"/>
    <w:rsid w:val="00B656E8"/>
    <w:rsid w:val="00B6588E"/>
    <w:rsid w:val="00B65930"/>
    <w:rsid w:val="00B65A68"/>
    <w:rsid w:val="00B65A84"/>
    <w:rsid w:val="00B65C3D"/>
    <w:rsid w:val="00B65DE1"/>
    <w:rsid w:val="00B65F1B"/>
    <w:rsid w:val="00B66070"/>
    <w:rsid w:val="00B660BA"/>
    <w:rsid w:val="00B660E3"/>
    <w:rsid w:val="00B661F7"/>
    <w:rsid w:val="00B662D5"/>
    <w:rsid w:val="00B6638F"/>
    <w:rsid w:val="00B6646C"/>
    <w:rsid w:val="00B665C9"/>
    <w:rsid w:val="00B66607"/>
    <w:rsid w:val="00B6687D"/>
    <w:rsid w:val="00B6688C"/>
    <w:rsid w:val="00B66937"/>
    <w:rsid w:val="00B6694E"/>
    <w:rsid w:val="00B66B42"/>
    <w:rsid w:val="00B66C44"/>
    <w:rsid w:val="00B66CD5"/>
    <w:rsid w:val="00B66D8A"/>
    <w:rsid w:val="00B66E30"/>
    <w:rsid w:val="00B66E56"/>
    <w:rsid w:val="00B66E74"/>
    <w:rsid w:val="00B66FA5"/>
    <w:rsid w:val="00B6700D"/>
    <w:rsid w:val="00B672FF"/>
    <w:rsid w:val="00B6731B"/>
    <w:rsid w:val="00B67354"/>
    <w:rsid w:val="00B67365"/>
    <w:rsid w:val="00B67377"/>
    <w:rsid w:val="00B673BA"/>
    <w:rsid w:val="00B67513"/>
    <w:rsid w:val="00B676E3"/>
    <w:rsid w:val="00B67818"/>
    <w:rsid w:val="00B67842"/>
    <w:rsid w:val="00B67850"/>
    <w:rsid w:val="00B6791D"/>
    <w:rsid w:val="00B67A61"/>
    <w:rsid w:val="00B67A88"/>
    <w:rsid w:val="00B67AC8"/>
    <w:rsid w:val="00B67C7B"/>
    <w:rsid w:val="00B67D99"/>
    <w:rsid w:val="00B67E27"/>
    <w:rsid w:val="00B67E3C"/>
    <w:rsid w:val="00B67E3E"/>
    <w:rsid w:val="00B67ECE"/>
    <w:rsid w:val="00B67EF2"/>
    <w:rsid w:val="00B67EF6"/>
    <w:rsid w:val="00B67F35"/>
    <w:rsid w:val="00B703EF"/>
    <w:rsid w:val="00B7041C"/>
    <w:rsid w:val="00B70483"/>
    <w:rsid w:val="00B70665"/>
    <w:rsid w:val="00B707CC"/>
    <w:rsid w:val="00B707F7"/>
    <w:rsid w:val="00B70869"/>
    <w:rsid w:val="00B70887"/>
    <w:rsid w:val="00B7096D"/>
    <w:rsid w:val="00B709A2"/>
    <w:rsid w:val="00B709B2"/>
    <w:rsid w:val="00B70D3D"/>
    <w:rsid w:val="00B70E0D"/>
    <w:rsid w:val="00B70FA6"/>
    <w:rsid w:val="00B70FD5"/>
    <w:rsid w:val="00B71044"/>
    <w:rsid w:val="00B71497"/>
    <w:rsid w:val="00B714DC"/>
    <w:rsid w:val="00B714EC"/>
    <w:rsid w:val="00B71545"/>
    <w:rsid w:val="00B71559"/>
    <w:rsid w:val="00B716C7"/>
    <w:rsid w:val="00B71744"/>
    <w:rsid w:val="00B717ED"/>
    <w:rsid w:val="00B71867"/>
    <w:rsid w:val="00B71919"/>
    <w:rsid w:val="00B71960"/>
    <w:rsid w:val="00B71997"/>
    <w:rsid w:val="00B719D8"/>
    <w:rsid w:val="00B71A2C"/>
    <w:rsid w:val="00B71AF1"/>
    <w:rsid w:val="00B71B8C"/>
    <w:rsid w:val="00B71BCF"/>
    <w:rsid w:val="00B71BDD"/>
    <w:rsid w:val="00B71BFE"/>
    <w:rsid w:val="00B71C3E"/>
    <w:rsid w:val="00B71C68"/>
    <w:rsid w:val="00B71CC1"/>
    <w:rsid w:val="00B71E65"/>
    <w:rsid w:val="00B7214A"/>
    <w:rsid w:val="00B72163"/>
    <w:rsid w:val="00B721AB"/>
    <w:rsid w:val="00B722AC"/>
    <w:rsid w:val="00B722AE"/>
    <w:rsid w:val="00B722EB"/>
    <w:rsid w:val="00B727AF"/>
    <w:rsid w:val="00B7290E"/>
    <w:rsid w:val="00B72A20"/>
    <w:rsid w:val="00B72A51"/>
    <w:rsid w:val="00B72A99"/>
    <w:rsid w:val="00B72AF0"/>
    <w:rsid w:val="00B72D00"/>
    <w:rsid w:val="00B72DC8"/>
    <w:rsid w:val="00B72E86"/>
    <w:rsid w:val="00B73021"/>
    <w:rsid w:val="00B730A4"/>
    <w:rsid w:val="00B731E4"/>
    <w:rsid w:val="00B73247"/>
    <w:rsid w:val="00B73334"/>
    <w:rsid w:val="00B7344D"/>
    <w:rsid w:val="00B734AA"/>
    <w:rsid w:val="00B7356C"/>
    <w:rsid w:val="00B735DB"/>
    <w:rsid w:val="00B73695"/>
    <w:rsid w:val="00B73740"/>
    <w:rsid w:val="00B73758"/>
    <w:rsid w:val="00B737EB"/>
    <w:rsid w:val="00B7387C"/>
    <w:rsid w:val="00B739E9"/>
    <w:rsid w:val="00B73A92"/>
    <w:rsid w:val="00B73D65"/>
    <w:rsid w:val="00B73E17"/>
    <w:rsid w:val="00B73E5D"/>
    <w:rsid w:val="00B73E7E"/>
    <w:rsid w:val="00B74030"/>
    <w:rsid w:val="00B74057"/>
    <w:rsid w:val="00B7411C"/>
    <w:rsid w:val="00B74481"/>
    <w:rsid w:val="00B744F6"/>
    <w:rsid w:val="00B74651"/>
    <w:rsid w:val="00B74677"/>
    <w:rsid w:val="00B74716"/>
    <w:rsid w:val="00B74828"/>
    <w:rsid w:val="00B748C7"/>
    <w:rsid w:val="00B749EE"/>
    <w:rsid w:val="00B74A03"/>
    <w:rsid w:val="00B74B2B"/>
    <w:rsid w:val="00B74B5E"/>
    <w:rsid w:val="00B74C34"/>
    <w:rsid w:val="00B74C52"/>
    <w:rsid w:val="00B74CAF"/>
    <w:rsid w:val="00B74CC1"/>
    <w:rsid w:val="00B74D4D"/>
    <w:rsid w:val="00B74EB1"/>
    <w:rsid w:val="00B74EC2"/>
    <w:rsid w:val="00B7504C"/>
    <w:rsid w:val="00B750CF"/>
    <w:rsid w:val="00B75119"/>
    <w:rsid w:val="00B75260"/>
    <w:rsid w:val="00B752BB"/>
    <w:rsid w:val="00B752F1"/>
    <w:rsid w:val="00B75430"/>
    <w:rsid w:val="00B75531"/>
    <w:rsid w:val="00B75540"/>
    <w:rsid w:val="00B755D2"/>
    <w:rsid w:val="00B756BA"/>
    <w:rsid w:val="00B75909"/>
    <w:rsid w:val="00B75A6E"/>
    <w:rsid w:val="00B75A87"/>
    <w:rsid w:val="00B75D0B"/>
    <w:rsid w:val="00B75D54"/>
    <w:rsid w:val="00B75FDD"/>
    <w:rsid w:val="00B760E2"/>
    <w:rsid w:val="00B761AF"/>
    <w:rsid w:val="00B76682"/>
    <w:rsid w:val="00B766EF"/>
    <w:rsid w:val="00B76762"/>
    <w:rsid w:val="00B767A5"/>
    <w:rsid w:val="00B76A85"/>
    <w:rsid w:val="00B76B55"/>
    <w:rsid w:val="00B76B7B"/>
    <w:rsid w:val="00B76BBE"/>
    <w:rsid w:val="00B76BD0"/>
    <w:rsid w:val="00B76C02"/>
    <w:rsid w:val="00B76C2A"/>
    <w:rsid w:val="00B76EEF"/>
    <w:rsid w:val="00B7737C"/>
    <w:rsid w:val="00B77453"/>
    <w:rsid w:val="00B774FF"/>
    <w:rsid w:val="00B77571"/>
    <w:rsid w:val="00B7759B"/>
    <w:rsid w:val="00B775EE"/>
    <w:rsid w:val="00B778B4"/>
    <w:rsid w:val="00B779C5"/>
    <w:rsid w:val="00B77A00"/>
    <w:rsid w:val="00B77B7C"/>
    <w:rsid w:val="00B77BAA"/>
    <w:rsid w:val="00B77C45"/>
    <w:rsid w:val="00B77CC1"/>
    <w:rsid w:val="00B77D08"/>
    <w:rsid w:val="00B77D82"/>
    <w:rsid w:val="00B77D84"/>
    <w:rsid w:val="00B77E27"/>
    <w:rsid w:val="00B77E6E"/>
    <w:rsid w:val="00B77E7D"/>
    <w:rsid w:val="00B77EA8"/>
    <w:rsid w:val="00B77F85"/>
    <w:rsid w:val="00B80020"/>
    <w:rsid w:val="00B80043"/>
    <w:rsid w:val="00B8007B"/>
    <w:rsid w:val="00B80088"/>
    <w:rsid w:val="00B8009E"/>
    <w:rsid w:val="00B800FE"/>
    <w:rsid w:val="00B8018C"/>
    <w:rsid w:val="00B802D5"/>
    <w:rsid w:val="00B8033D"/>
    <w:rsid w:val="00B805D1"/>
    <w:rsid w:val="00B805E0"/>
    <w:rsid w:val="00B80642"/>
    <w:rsid w:val="00B8067D"/>
    <w:rsid w:val="00B80856"/>
    <w:rsid w:val="00B808D6"/>
    <w:rsid w:val="00B80932"/>
    <w:rsid w:val="00B809D8"/>
    <w:rsid w:val="00B80A9F"/>
    <w:rsid w:val="00B80CB1"/>
    <w:rsid w:val="00B80DBD"/>
    <w:rsid w:val="00B80DCA"/>
    <w:rsid w:val="00B80EA7"/>
    <w:rsid w:val="00B8100F"/>
    <w:rsid w:val="00B8101B"/>
    <w:rsid w:val="00B81032"/>
    <w:rsid w:val="00B810C0"/>
    <w:rsid w:val="00B811A1"/>
    <w:rsid w:val="00B8135F"/>
    <w:rsid w:val="00B813C4"/>
    <w:rsid w:val="00B814E9"/>
    <w:rsid w:val="00B81537"/>
    <w:rsid w:val="00B81626"/>
    <w:rsid w:val="00B816D2"/>
    <w:rsid w:val="00B816DE"/>
    <w:rsid w:val="00B817A2"/>
    <w:rsid w:val="00B8185D"/>
    <w:rsid w:val="00B818A4"/>
    <w:rsid w:val="00B8199A"/>
    <w:rsid w:val="00B819AC"/>
    <w:rsid w:val="00B81A0F"/>
    <w:rsid w:val="00B81AAF"/>
    <w:rsid w:val="00B81AB8"/>
    <w:rsid w:val="00B81B63"/>
    <w:rsid w:val="00B81B96"/>
    <w:rsid w:val="00B81C12"/>
    <w:rsid w:val="00B81CF1"/>
    <w:rsid w:val="00B81E60"/>
    <w:rsid w:val="00B81EC2"/>
    <w:rsid w:val="00B81FF2"/>
    <w:rsid w:val="00B82154"/>
    <w:rsid w:val="00B821EB"/>
    <w:rsid w:val="00B821ED"/>
    <w:rsid w:val="00B82278"/>
    <w:rsid w:val="00B82454"/>
    <w:rsid w:val="00B82471"/>
    <w:rsid w:val="00B824BA"/>
    <w:rsid w:val="00B8257E"/>
    <w:rsid w:val="00B825A9"/>
    <w:rsid w:val="00B82611"/>
    <w:rsid w:val="00B82693"/>
    <w:rsid w:val="00B826A9"/>
    <w:rsid w:val="00B826E3"/>
    <w:rsid w:val="00B826FC"/>
    <w:rsid w:val="00B8275A"/>
    <w:rsid w:val="00B8276D"/>
    <w:rsid w:val="00B82A9E"/>
    <w:rsid w:val="00B82AFA"/>
    <w:rsid w:val="00B82B01"/>
    <w:rsid w:val="00B82C5B"/>
    <w:rsid w:val="00B82E8F"/>
    <w:rsid w:val="00B82F8F"/>
    <w:rsid w:val="00B8336F"/>
    <w:rsid w:val="00B833FD"/>
    <w:rsid w:val="00B83453"/>
    <w:rsid w:val="00B8350F"/>
    <w:rsid w:val="00B83665"/>
    <w:rsid w:val="00B836D9"/>
    <w:rsid w:val="00B83714"/>
    <w:rsid w:val="00B83845"/>
    <w:rsid w:val="00B83A8A"/>
    <w:rsid w:val="00B83B9F"/>
    <w:rsid w:val="00B83DD9"/>
    <w:rsid w:val="00B83E41"/>
    <w:rsid w:val="00B83EC3"/>
    <w:rsid w:val="00B84097"/>
    <w:rsid w:val="00B840D5"/>
    <w:rsid w:val="00B840E8"/>
    <w:rsid w:val="00B842DB"/>
    <w:rsid w:val="00B843D8"/>
    <w:rsid w:val="00B846D1"/>
    <w:rsid w:val="00B847CB"/>
    <w:rsid w:val="00B84880"/>
    <w:rsid w:val="00B8489A"/>
    <w:rsid w:val="00B84949"/>
    <w:rsid w:val="00B849D7"/>
    <w:rsid w:val="00B84BDD"/>
    <w:rsid w:val="00B84C9B"/>
    <w:rsid w:val="00B84CC7"/>
    <w:rsid w:val="00B84CE7"/>
    <w:rsid w:val="00B84D10"/>
    <w:rsid w:val="00B84E10"/>
    <w:rsid w:val="00B84F25"/>
    <w:rsid w:val="00B84F82"/>
    <w:rsid w:val="00B8511F"/>
    <w:rsid w:val="00B85128"/>
    <w:rsid w:val="00B852F3"/>
    <w:rsid w:val="00B85449"/>
    <w:rsid w:val="00B8565F"/>
    <w:rsid w:val="00B85852"/>
    <w:rsid w:val="00B858AC"/>
    <w:rsid w:val="00B859D0"/>
    <w:rsid w:val="00B85A52"/>
    <w:rsid w:val="00B85BA1"/>
    <w:rsid w:val="00B85BA3"/>
    <w:rsid w:val="00B86190"/>
    <w:rsid w:val="00B862C0"/>
    <w:rsid w:val="00B8635B"/>
    <w:rsid w:val="00B86428"/>
    <w:rsid w:val="00B864F2"/>
    <w:rsid w:val="00B86589"/>
    <w:rsid w:val="00B866C7"/>
    <w:rsid w:val="00B86815"/>
    <w:rsid w:val="00B869A1"/>
    <w:rsid w:val="00B869A2"/>
    <w:rsid w:val="00B86E56"/>
    <w:rsid w:val="00B86EC8"/>
    <w:rsid w:val="00B86F61"/>
    <w:rsid w:val="00B86F7D"/>
    <w:rsid w:val="00B8734A"/>
    <w:rsid w:val="00B8736A"/>
    <w:rsid w:val="00B8752A"/>
    <w:rsid w:val="00B875AE"/>
    <w:rsid w:val="00B875E8"/>
    <w:rsid w:val="00B875F1"/>
    <w:rsid w:val="00B87628"/>
    <w:rsid w:val="00B8768F"/>
    <w:rsid w:val="00B87846"/>
    <w:rsid w:val="00B87927"/>
    <w:rsid w:val="00B87A31"/>
    <w:rsid w:val="00B87A83"/>
    <w:rsid w:val="00B87AAF"/>
    <w:rsid w:val="00B87B72"/>
    <w:rsid w:val="00B87BF9"/>
    <w:rsid w:val="00B87C94"/>
    <w:rsid w:val="00B87D1D"/>
    <w:rsid w:val="00B87D2E"/>
    <w:rsid w:val="00B87EBF"/>
    <w:rsid w:val="00B87EF9"/>
    <w:rsid w:val="00B90107"/>
    <w:rsid w:val="00B901B0"/>
    <w:rsid w:val="00B9023D"/>
    <w:rsid w:val="00B903F4"/>
    <w:rsid w:val="00B9044C"/>
    <w:rsid w:val="00B904CF"/>
    <w:rsid w:val="00B90563"/>
    <w:rsid w:val="00B905E9"/>
    <w:rsid w:val="00B906E7"/>
    <w:rsid w:val="00B90822"/>
    <w:rsid w:val="00B90832"/>
    <w:rsid w:val="00B9084B"/>
    <w:rsid w:val="00B90A4B"/>
    <w:rsid w:val="00B90D42"/>
    <w:rsid w:val="00B90DD3"/>
    <w:rsid w:val="00B90E14"/>
    <w:rsid w:val="00B90E5B"/>
    <w:rsid w:val="00B90E7F"/>
    <w:rsid w:val="00B90EC7"/>
    <w:rsid w:val="00B90ED8"/>
    <w:rsid w:val="00B90F67"/>
    <w:rsid w:val="00B90FAB"/>
    <w:rsid w:val="00B90FD9"/>
    <w:rsid w:val="00B9102C"/>
    <w:rsid w:val="00B910F8"/>
    <w:rsid w:val="00B911F2"/>
    <w:rsid w:val="00B91210"/>
    <w:rsid w:val="00B9127B"/>
    <w:rsid w:val="00B91302"/>
    <w:rsid w:val="00B91362"/>
    <w:rsid w:val="00B9143D"/>
    <w:rsid w:val="00B9146C"/>
    <w:rsid w:val="00B916E1"/>
    <w:rsid w:val="00B91766"/>
    <w:rsid w:val="00B9178E"/>
    <w:rsid w:val="00B918D7"/>
    <w:rsid w:val="00B91969"/>
    <w:rsid w:val="00B91997"/>
    <w:rsid w:val="00B91BB8"/>
    <w:rsid w:val="00B91C03"/>
    <w:rsid w:val="00B91C76"/>
    <w:rsid w:val="00B91D99"/>
    <w:rsid w:val="00B91F70"/>
    <w:rsid w:val="00B91F90"/>
    <w:rsid w:val="00B91FA5"/>
    <w:rsid w:val="00B91FCE"/>
    <w:rsid w:val="00B9229C"/>
    <w:rsid w:val="00B9255C"/>
    <w:rsid w:val="00B926F9"/>
    <w:rsid w:val="00B927DD"/>
    <w:rsid w:val="00B929E8"/>
    <w:rsid w:val="00B929FB"/>
    <w:rsid w:val="00B92BEC"/>
    <w:rsid w:val="00B92C88"/>
    <w:rsid w:val="00B92D84"/>
    <w:rsid w:val="00B92E9D"/>
    <w:rsid w:val="00B92F67"/>
    <w:rsid w:val="00B93034"/>
    <w:rsid w:val="00B9310C"/>
    <w:rsid w:val="00B93157"/>
    <w:rsid w:val="00B93205"/>
    <w:rsid w:val="00B9332C"/>
    <w:rsid w:val="00B933B9"/>
    <w:rsid w:val="00B9365F"/>
    <w:rsid w:val="00B93662"/>
    <w:rsid w:val="00B9367A"/>
    <w:rsid w:val="00B936EE"/>
    <w:rsid w:val="00B93715"/>
    <w:rsid w:val="00B93772"/>
    <w:rsid w:val="00B9379B"/>
    <w:rsid w:val="00B93882"/>
    <w:rsid w:val="00B9393E"/>
    <w:rsid w:val="00B93A5C"/>
    <w:rsid w:val="00B93ABB"/>
    <w:rsid w:val="00B93BCE"/>
    <w:rsid w:val="00B93C16"/>
    <w:rsid w:val="00B93D59"/>
    <w:rsid w:val="00B93EA8"/>
    <w:rsid w:val="00B940CB"/>
    <w:rsid w:val="00B941B5"/>
    <w:rsid w:val="00B9437F"/>
    <w:rsid w:val="00B943C9"/>
    <w:rsid w:val="00B9445F"/>
    <w:rsid w:val="00B944D2"/>
    <w:rsid w:val="00B94585"/>
    <w:rsid w:val="00B945CC"/>
    <w:rsid w:val="00B9470E"/>
    <w:rsid w:val="00B9470F"/>
    <w:rsid w:val="00B94743"/>
    <w:rsid w:val="00B94890"/>
    <w:rsid w:val="00B94B07"/>
    <w:rsid w:val="00B94B20"/>
    <w:rsid w:val="00B94B22"/>
    <w:rsid w:val="00B94B36"/>
    <w:rsid w:val="00B94B38"/>
    <w:rsid w:val="00B94B7B"/>
    <w:rsid w:val="00B94CE6"/>
    <w:rsid w:val="00B94DD4"/>
    <w:rsid w:val="00B94DF7"/>
    <w:rsid w:val="00B94E33"/>
    <w:rsid w:val="00B950D7"/>
    <w:rsid w:val="00B9516C"/>
    <w:rsid w:val="00B95297"/>
    <w:rsid w:val="00B95375"/>
    <w:rsid w:val="00B954EE"/>
    <w:rsid w:val="00B95529"/>
    <w:rsid w:val="00B955B2"/>
    <w:rsid w:val="00B95870"/>
    <w:rsid w:val="00B958B8"/>
    <w:rsid w:val="00B95907"/>
    <w:rsid w:val="00B95A40"/>
    <w:rsid w:val="00B95AD0"/>
    <w:rsid w:val="00B95AEF"/>
    <w:rsid w:val="00B95C3B"/>
    <w:rsid w:val="00B95D24"/>
    <w:rsid w:val="00B95D54"/>
    <w:rsid w:val="00B95F94"/>
    <w:rsid w:val="00B96014"/>
    <w:rsid w:val="00B96061"/>
    <w:rsid w:val="00B96127"/>
    <w:rsid w:val="00B961F1"/>
    <w:rsid w:val="00B9620E"/>
    <w:rsid w:val="00B963AC"/>
    <w:rsid w:val="00B96440"/>
    <w:rsid w:val="00B964E0"/>
    <w:rsid w:val="00B9657F"/>
    <w:rsid w:val="00B96823"/>
    <w:rsid w:val="00B96885"/>
    <w:rsid w:val="00B9691B"/>
    <w:rsid w:val="00B96A92"/>
    <w:rsid w:val="00B96BDE"/>
    <w:rsid w:val="00B96D9E"/>
    <w:rsid w:val="00B9704C"/>
    <w:rsid w:val="00B971A2"/>
    <w:rsid w:val="00B971A8"/>
    <w:rsid w:val="00B971AF"/>
    <w:rsid w:val="00B9721D"/>
    <w:rsid w:val="00B97618"/>
    <w:rsid w:val="00B97630"/>
    <w:rsid w:val="00B9788D"/>
    <w:rsid w:val="00B97A9F"/>
    <w:rsid w:val="00B97AF1"/>
    <w:rsid w:val="00B97B02"/>
    <w:rsid w:val="00B97B52"/>
    <w:rsid w:val="00B97EBA"/>
    <w:rsid w:val="00B97F24"/>
    <w:rsid w:val="00B97FC3"/>
    <w:rsid w:val="00B97FE9"/>
    <w:rsid w:val="00BA0042"/>
    <w:rsid w:val="00BA0098"/>
    <w:rsid w:val="00BA0127"/>
    <w:rsid w:val="00BA018D"/>
    <w:rsid w:val="00BA01FD"/>
    <w:rsid w:val="00BA0278"/>
    <w:rsid w:val="00BA033E"/>
    <w:rsid w:val="00BA03A9"/>
    <w:rsid w:val="00BA0462"/>
    <w:rsid w:val="00BA04F1"/>
    <w:rsid w:val="00BA051E"/>
    <w:rsid w:val="00BA0551"/>
    <w:rsid w:val="00BA06AB"/>
    <w:rsid w:val="00BA0792"/>
    <w:rsid w:val="00BA07A3"/>
    <w:rsid w:val="00BA07AE"/>
    <w:rsid w:val="00BA099E"/>
    <w:rsid w:val="00BA0AB9"/>
    <w:rsid w:val="00BA0D74"/>
    <w:rsid w:val="00BA0DB3"/>
    <w:rsid w:val="00BA0DC9"/>
    <w:rsid w:val="00BA0DE0"/>
    <w:rsid w:val="00BA0EB7"/>
    <w:rsid w:val="00BA0EEB"/>
    <w:rsid w:val="00BA0F5D"/>
    <w:rsid w:val="00BA0F84"/>
    <w:rsid w:val="00BA10A6"/>
    <w:rsid w:val="00BA10CE"/>
    <w:rsid w:val="00BA11C4"/>
    <w:rsid w:val="00BA1315"/>
    <w:rsid w:val="00BA13A6"/>
    <w:rsid w:val="00BA13BA"/>
    <w:rsid w:val="00BA13D0"/>
    <w:rsid w:val="00BA14F4"/>
    <w:rsid w:val="00BA1597"/>
    <w:rsid w:val="00BA162E"/>
    <w:rsid w:val="00BA16C4"/>
    <w:rsid w:val="00BA199E"/>
    <w:rsid w:val="00BA19B2"/>
    <w:rsid w:val="00BA19B9"/>
    <w:rsid w:val="00BA1B32"/>
    <w:rsid w:val="00BA1BD7"/>
    <w:rsid w:val="00BA1BE6"/>
    <w:rsid w:val="00BA1DE9"/>
    <w:rsid w:val="00BA1FA6"/>
    <w:rsid w:val="00BA2052"/>
    <w:rsid w:val="00BA2147"/>
    <w:rsid w:val="00BA2298"/>
    <w:rsid w:val="00BA2338"/>
    <w:rsid w:val="00BA23F8"/>
    <w:rsid w:val="00BA24B8"/>
    <w:rsid w:val="00BA2547"/>
    <w:rsid w:val="00BA2593"/>
    <w:rsid w:val="00BA2630"/>
    <w:rsid w:val="00BA2631"/>
    <w:rsid w:val="00BA2689"/>
    <w:rsid w:val="00BA26EE"/>
    <w:rsid w:val="00BA274D"/>
    <w:rsid w:val="00BA27B5"/>
    <w:rsid w:val="00BA2B3E"/>
    <w:rsid w:val="00BA2B47"/>
    <w:rsid w:val="00BA2B6E"/>
    <w:rsid w:val="00BA2BD3"/>
    <w:rsid w:val="00BA2BF4"/>
    <w:rsid w:val="00BA2CF0"/>
    <w:rsid w:val="00BA2FAD"/>
    <w:rsid w:val="00BA2FD6"/>
    <w:rsid w:val="00BA3202"/>
    <w:rsid w:val="00BA33BF"/>
    <w:rsid w:val="00BA351D"/>
    <w:rsid w:val="00BA35C6"/>
    <w:rsid w:val="00BA35F9"/>
    <w:rsid w:val="00BA3785"/>
    <w:rsid w:val="00BA37D8"/>
    <w:rsid w:val="00BA3951"/>
    <w:rsid w:val="00BA3982"/>
    <w:rsid w:val="00BA39C9"/>
    <w:rsid w:val="00BA3C7A"/>
    <w:rsid w:val="00BA3C87"/>
    <w:rsid w:val="00BA3C96"/>
    <w:rsid w:val="00BA3DB7"/>
    <w:rsid w:val="00BA3FB4"/>
    <w:rsid w:val="00BA4004"/>
    <w:rsid w:val="00BA4284"/>
    <w:rsid w:val="00BA4356"/>
    <w:rsid w:val="00BA4558"/>
    <w:rsid w:val="00BA45DB"/>
    <w:rsid w:val="00BA46C1"/>
    <w:rsid w:val="00BA4A7A"/>
    <w:rsid w:val="00BA4D08"/>
    <w:rsid w:val="00BA4E26"/>
    <w:rsid w:val="00BA4E59"/>
    <w:rsid w:val="00BA4E5E"/>
    <w:rsid w:val="00BA4EB8"/>
    <w:rsid w:val="00BA4F61"/>
    <w:rsid w:val="00BA4FD5"/>
    <w:rsid w:val="00BA5045"/>
    <w:rsid w:val="00BA5164"/>
    <w:rsid w:val="00BA516F"/>
    <w:rsid w:val="00BA51A3"/>
    <w:rsid w:val="00BA52C0"/>
    <w:rsid w:val="00BA5343"/>
    <w:rsid w:val="00BA53D4"/>
    <w:rsid w:val="00BA53DE"/>
    <w:rsid w:val="00BA54BD"/>
    <w:rsid w:val="00BA5550"/>
    <w:rsid w:val="00BA5716"/>
    <w:rsid w:val="00BA575D"/>
    <w:rsid w:val="00BA57A1"/>
    <w:rsid w:val="00BA57C2"/>
    <w:rsid w:val="00BA57E3"/>
    <w:rsid w:val="00BA5863"/>
    <w:rsid w:val="00BA593F"/>
    <w:rsid w:val="00BA596F"/>
    <w:rsid w:val="00BA5B75"/>
    <w:rsid w:val="00BA5D26"/>
    <w:rsid w:val="00BA5D92"/>
    <w:rsid w:val="00BA609C"/>
    <w:rsid w:val="00BA6143"/>
    <w:rsid w:val="00BA61A9"/>
    <w:rsid w:val="00BA62E0"/>
    <w:rsid w:val="00BA6306"/>
    <w:rsid w:val="00BA6445"/>
    <w:rsid w:val="00BA6481"/>
    <w:rsid w:val="00BA6623"/>
    <w:rsid w:val="00BA6725"/>
    <w:rsid w:val="00BA6865"/>
    <w:rsid w:val="00BA68F5"/>
    <w:rsid w:val="00BA6978"/>
    <w:rsid w:val="00BA6A5D"/>
    <w:rsid w:val="00BA6B29"/>
    <w:rsid w:val="00BA6BF1"/>
    <w:rsid w:val="00BA6C43"/>
    <w:rsid w:val="00BA6C4F"/>
    <w:rsid w:val="00BA6C91"/>
    <w:rsid w:val="00BA6C9E"/>
    <w:rsid w:val="00BA6CEE"/>
    <w:rsid w:val="00BA6D48"/>
    <w:rsid w:val="00BA6DB2"/>
    <w:rsid w:val="00BA6DB4"/>
    <w:rsid w:val="00BA7100"/>
    <w:rsid w:val="00BA7217"/>
    <w:rsid w:val="00BA7220"/>
    <w:rsid w:val="00BA7270"/>
    <w:rsid w:val="00BA72EE"/>
    <w:rsid w:val="00BA7406"/>
    <w:rsid w:val="00BA741B"/>
    <w:rsid w:val="00BA742E"/>
    <w:rsid w:val="00BA7528"/>
    <w:rsid w:val="00BA75E1"/>
    <w:rsid w:val="00BA75E7"/>
    <w:rsid w:val="00BA7610"/>
    <w:rsid w:val="00BA7666"/>
    <w:rsid w:val="00BA76B4"/>
    <w:rsid w:val="00BA7938"/>
    <w:rsid w:val="00BA7A0D"/>
    <w:rsid w:val="00BA7B6D"/>
    <w:rsid w:val="00BA7CDF"/>
    <w:rsid w:val="00BA7E2A"/>
    <w:rsid w:val="00BB00F3"/>
    <w:rsid w:val="00BB0217"/>
    <w:rsid w:val="00BB02CA"/>
    <w:rsid w:val="00BB03D8"/>
    <w:rsid w:val="00BB04CC"/>
    <w:rsid w:val="00BB0579"/>
    <w:rsid w:val="00BB0788"/>
    <w:rsid w:val="00BB08D9"/>
    <w:rsid w:val="00BB09A2"/>
    <w:rsid w:val="00BB0AEB"/>
    <w:rsid w:val="00BB0B19"/>
    <w:rsid w:val="00BB0B9B"/>
    <w:rsid w:val="00BB0C9B"/>
    <w:rsid w:val="00BB1063"/>
    <w:rsid w:val="00BB1071"/>
    <w:rsid w:val="00BB1261"/>
    <w:rsid w:val="00BB130E"/>
    <w:rsid w:val="00BB1344"/>
    <w:rsid w:val="00BB135B"/>
    <w:rsid w:val="00BB1363"/>
    <w:rsid w:val="00BB144B"/>
    <w:rsid w:val="00BB162D"/>
    <w:rsid w:val="00BB179F"/>
    <w:rsid w:val="00BB17C2"/>
    <w:rsid w:val="00BB1862"/>
    <w:rsid w:val="00BB1B5D"/>
    <w:rsid w:val="00BB1CBF"/>
    <w:rsid w:val="00BB1D72"/>
    <w:rsid w:val="00BB1D97"/>
    <w:rsid w:val="00BB1E09"/>
    <w:rsid w:val="00BB1E30"/>
    <w:rsid w:val="00BB1EF1"/>
    <w:rsid w:val="00BB1F45"/>
    <w:rsid w:val="00BB20E2"/>
    <w:rsid w:val="00BB25C1"/>
    <w:rsid w:val="00BB2779"/>
    <w:rsid w:val="00BB2812"/>
    <w:rsid w:val="00BB2917"/>
    <w:rsid w:val="00BB2A4E"/>
    <w:rsid w:val="00BB2BCC"/>
    <w:rsid w:val="00BB2BD8"/>
    <w:rsid w:val="00BB2CCB"/>
    <w:rsid w:val="00BB2F2C"/>
    <w:rsid w:val="00BB2F5C"/>
    <w:rsid w:val="00BB30C9"/>
    <w:rsid w:val="00BB31A9"/>
    <w:rsid w:val="00BB32EA"/>
    <w:rsid w:val="00BB33FE"/>
    <w:rsid w:val="00BB3501"/>
    <w:rsid w:val="00BB352A"/>
    <w:rsid w:val="00BB35C0"/>
    <w:rsid w:val="00BB3767"/>
    <w:rsid w:val="00BB37C5"/>
    <w:rsid w:val="00BB3801"/>
    <w:rsid w:val="00BB38FD"/>
    <w:rsid w:val="00BB3A8E"/>
    <w:rsid w:val="00BB3AA5"/>
    <w:rsid w:val="00BB3BE3"/>
    <w:rsid w:val="00BB3C9B"/>
    <w:rsid w:val="00BB3CC6"/>
    <w:rsid w:val="00BB3D0B"/>
    <w:rsid w:val="00BB3D40"/>
    <w:rsid w:val="00BB3D95"/>
    <w:rsid w:val="00BB3F2F"/>
    <w:rsid w:val="00BB3F9A"/>
    <w:rsid w:val="00BB4145"/>
    <w:rsid w:val="00BB41FF"/>
    <w:rsid w:val="00BB420B"/>
    <w:rsid w:val="00BB4510"/>
    <w:rsid w:val="00BB4A70"/>
    <w:rsid w:val="00BB4B81"/>
    <w:rsid w:val="00BB4BAA"/>
    <w:rsid w:val="00BB4C08"/>
    <w:rsid w:val="00BB4CBF"/>
    <w:rsid w:val="00BB4EA2"/>
    <w:rsid w:val="00BB5092"/>
    <w:rsid w:val="00BB5238"/>
    <w:rsid w:val="00BB52BB"/>
    <w:rsid w:val="00BB5409"/>
    <w:rsid w:val="00BB54F5"/>
    <w:rsid w:val="00BB5612"/>
    <w:rsid w:val="00BB56B1"/>
    <w:rsid w:val="00BB57AD"/>
    <w:rsid w:val="00BB57BB"/>
    <w:rsid w:val="00BB5812"/>
    <w:rsid w:val="00BB5828"/>
    <w:rsid w:val="00BB58D2"/>
    <w:rsid w:val="00BB58EB"/>
    <w:rsid w:val="00BB59B4"/>
    <w:rsid w:val="00BB5A16"/>
    <w:rsid w:val="00BB5A24"/>
    <w:rsid w:val="00BB5E1C"/>
    <w:rsid w:val="00BB6023"/>
    <w:rsid w:val="00BB60BF"/>
    <w:rsid w:val="00BB6111"/>
    <w:rsid w:val="00BB6139"/>
    <w:rsid w:val="00BB6352"/>
    <w:rsid w:val="00BB63A1"/>
    <w:rsid w:val="00BB6704"/>
    <w:rsid w:val="00BB6770"/>
    <w:rsid w:val="00BB6843"/>
    <w:rsid w:val="00BB689C"/>
    <w:rsid w:val="00BB6937"/>
    <w:rsid w:val="00BB6A25"/>
    <w:rsid w:val="00BB6B5A"/>
    <w:rsid w:val="00BB6E28"/>
    <w:rsid w:val="00BB6E65"/>
    <w:rsid w:val="00BB6E89"/>
    <w:rsid w:val="00BB6EF4"/>
    <w:rsid w:val="00BB7013"/>
    <w:rsid w:val="00BB7182"/>
    <w:rsid w:val="00BB7265"/>
    <w:rsid w:val="00BB7360"/>
    <w:rsid w:val="00BB7366"/>
    <w:rsid w:val="00BB7443"/>
    <w:rsid w:val="00BB74B5"/>
    <w:rsid w:val="00BB7567"/>
    <w:rsid w:val="00BB7590"/>
    <w:rsid w:val="00BB779D"/>
    <w:rsid w:val="00BB78A8"/>
    <w:rsid w:val="00BB79E0"/>
    <w:rsid w:val="00BB7AD1"/>
    <w:rsid w:val="00BB7C1B"/>
    <w:rsid w:val="00BB7C27"/>
    <w:rsid w:val="00BB7C33"/>
    <w:rsid w:val="00BB7D32"/>
    <w:rsid w:val="00BB7D47"/>
    <w:rsid w:val="00BB7DA4"/>
    <w:rsid w:val="00BB7E36"/>
    <w:rsid w:val="00BB7E37"/>
    <w:rsid w:val="00BB7E7B"/>
    <w:rsid w:val="00BC00D1"/>
    <w:rsid w:val="00BC015C"/>
    <w:rsid w:val="00BC0228"/>
    <w:rsid w:val="00BC035F"/>
    <w:rsid w:val="00BC03B5"/>
    <w:rsid w:val="00BC040D"/>
    <w:rsid w:val="00BC0415"/>
    <w:rsid w:val="00BC06CC"/>
    <w:rsid w:val="00BC074F"/>
    <w:rsid w:val="00BC0810"/>
    <w:rsid w:val="00BC089D"/>
    <w:rsid w:val="00BC092D"/>
    <w:rsid w:val="00BC0951"/>
    <w:rsid w:val="00BC0D56"/>
    <w:rsid w:val="00BC0DDC"/>
    <w:rsid w:val="00BC0E65"/>
    <w:rsid w:val="00BC0E73"/>
    <w:rsid w:val="00BC0EA2"/>
    <w:rsid w:val="00BC0F07"/>
    <w:rsid w:val="00BC0FD2"/>
    <w:rsid w:val="00BC11C8"/>
    <w:rsid w:val="00BC1217"/>
    <w:rsid w:val="00BC13AD"/>
    <w:rsid w:val="00BC13E2"/>
    <w:rsid w:val="00BC1623"/>
    <w:rsid w:val="00BC176A"/>
    <w:rsid w:val="00BC1771"/>
    <w:rsid w:val="00BC18E6"/>
    <w:rsid w:val="00BC1955"/>
    <w:rsid w:val="00BC1A4D"/>
    <w:rsid w:val="00BC1A8F"/>
    <w:rsid w:val="00BC1ACA"/>
    <w:rsid w:val="00BC1ACF"/>
    <w:rsid w:val="00BC1C38"/>
    <w:rsid w:val="00BC1CB3"/>
    <w:rsid w:val="00BC1CF5"/>
    <w:rsid w:val="00BC1D83"/>
    <w:rsid w:val="00BC1EA2"/>
    <w:rsid w:val="00BC1EBE"/>
    <w:rsid w:val="00BC1F4E"/>
    <w:rsid w:val="00BC1F76"/>
    <w:rsid w:val="00BC2062"/>
    <w:rsid w:val="00BC2124"/>
    <w:rsid w:val="00BC2191"/>
    <w:rsid w:val="00BC2201"/>
    <w:rsid w:val="00BC220E"/>
    <w:rsid w:val="00BC22D6"/>
    <w:rsid w:val="00BC23F9"/>
    <w:rsid w:val="00BC243B"/>
    <w:rsid w:val="00BC24BC"/>
    <w:rsid w:val="00BC25E1"/>
    <w:rsid w:val="00BC2697"/>
    <w:rsid w:val="00BC26DF"/>
    <w:rsid w:val="00BC2728"/>
    <w:rsid w:val="00BC27BF"/>
    <w:rsid w:val="00BC2880"/>
    <w:rsid w:val="00BC2905"/>
    <w:rsid w:val="00BC2970"/>
    <w:rsid w:val="00BC2981"/>
    <w:rsid w:val="00BC2C8A"/>
    <w:rsid w:val="00BC2CF2"/>
    <w:rsid w:val="00BC2CF3"/>
    <w:rsid w:val="00BC2E11"/>
    <w:rsid w:val="00BC2F60"/>
    <w:rsid w:val="00BC3068"/>
    <w:rsid w:val="00BC30D7"/>
    <w:rsid w:val="00BC3143"/>
    <w:rsid w:val="00BC31A3"/>
    <w:rsid w:val="00BC34D6"/>
    <w:rsid w:val="00BC34DA"/>
    <w:rsid w:val="00BC3581"/>
    <w:rsid w:val="00BC359D"/>
    <w:rsid w:val="00BC3718"/>
    <w:rsid w:val="00BC3843"/>
    <w:rsid w:val="00BC39B1"/>
    <w:rsid w:val="00BC3B04"/>
    <w:rsid w:val="00BC3BAB"/>
    <w:rsid w:val="00BC3BD3"/>
    <w:rsid w:val="00BC3CF0"/>
    <w:rsid w:val="00BC3E9E"/>
    <w:rsid w:val="00BC3F41"/>
    <w:rsid w:val="00BC415B"/>
    <w:rsid w:val="00BC41D6"/>
    <w:rsid w:val="00BC425F"/>
    <w:rsid w:val="00BC4324"/>
    <w:rsid w:val="00BC4346"/>
    <w:rsid w:val="00BC43DE"/>
    <w:rsid w:val="00BC449E"/>
    <w:rsid w:val="00BC4600"/>
    <w:rsid w:val="00BC4617"/>
    <w:rsid w:val="00BC4657"/>
    <w:rsid w:val="00BC466B"/>
    <w:rsid w:val="00BC489C"/>
    <w:rsid w:val="00BC48F8"/>
    <w:rsid w:val="00BC490A"/>
    <w:rsid w:val="00BC4980"/>
    <w:rsid w:val="00BC49B3"/>
    <w:rsid w:val="00BC4A02"/>
    <w:rsid w:val="00BC4AC7"/>
    <w:rsid w:val="00BC4C95"/>
    <w:rsid w:val="00BC4F64"/>
    <w:rsid w:val="00BC50AB"/>
    <w:rsid w:val="00BC5237"/>
    <w:rsid w:val="00BC5392"/>
    <w:rsid w:val="00BC5491"/>
    <w:rsid w:val="00BC558D"/>
    <w:rsid w:val="00BC5595"/>
    <w:rsid w:val="00BC5606"/>
    <w:rsid w:val="00BC585D"/>
    <w:rsid w:val="00BC5AE9"/>
    <w:rsid w:val="00BC5CA0"/>
    <w:rsid w:val="00BC5D12"/>
    <w:rsid w:val="00BC5D70"/>
    <w:rsid w:val="00BC5E8A"/>
    <w:rsid w:val="00BC5F92"/>
    <w:rsid w:val="00BC6010"/>
    <w:rsid w:val="00BC60A2"/>
    <w:rsid w:val="00BC6136"/>
    <w:rsid w:val="00BC61D8"/>
    <w:rsid w:val="00BC61EB"/>
    <w:rsid w:val="00BC62FD"/>
    <w:rsid w:val="00BC6361"/>
    <w:rsid w:val="00BC63A3"/>
    <w:rsid w:val="00BC6403"/>
    <w:rsid w:val="00BC646E"/>
    <w:rsid w:val="00BC64E4"/>
    <w:rsid w:val="00BC685A"/>
    <w:rsid w:val="00BC69C9"/>
    <w:rsid w:val="00BC69FD"/>
    <w:rsid w:val="00BC6AB4"/>
    <w:rsid w:val="00BC6BA3"/>
    <w:rsid w:val="00BC6C17"/>
    <w:rsid w:val="00BC6C26"/>
    <w:rsid w:val="00BC6C87"/>
    <w:rsid w:val="00BC6D0C"/>
    <w:rsid w:val="00BC6DC2"/>
    <w:rsid w:val="00BC6DF7"/>
    <w:rsid w:val="00BC6E69"/>
    <w:rsid w:val="00BC6F27"/>
    <w:rsid w:val="00BC6F85"/>
    <w:rsid w:val="00BC6FE6"/>
    <w:rsid w:val="00BC704F"/>
    <w:rsid w:val="00BC707A"/>
    <w:rsid w:val="00BC71E5"/>
    <w:rsid w:val="00BC71F5"/>
    <w:rsid w:val="00BC72C4"/>
    <w:rsid w:val="00BC7328"/>
    <w:rsid w:val="00BC7353"/>
    <w:rsid w:val="00BC73F9"/>
    <w:rsid w:val="00BC7728"/>
    <w:rsid w:val="00BC7763"/>
    <w:rsid w:val="00BC7802"/>
    <w:rsid w:val="00BC78A4"/>
    <w:rsid w:val="00BC7999"/>
    <w:rsid w:val="00BC7A13"/>
    <w:rsid w:val="00BC7A14"/>
    <w:rsid w:val="00BC7A80"/>
    <w:rsid w:val="00BC7AAB"/>
    <w:rsid w:val="00BC7D06"/>
    <w:rsid w:val="00BC7F4D"/>
    <w:rsid w:val="00BD00E5"/>
    <w:rsid w:val="00BD030F"/>
    <w:rsid w:val="00BD0377"/>
    <w:rsid w:val="00BD0400"/>
    <w:rsid w:val="00BD04D0"/>
    <w:rsid w:val="00BD0544"/>
    <w:rsid w:val="00BD075C"/>
    <w:rsid w:val="00BD07A8"/>
    <w:rsid w:val="00BD07F0"/>
    <w:rsid w:val="00BD091E"/>
    <w:rsid w:val="00BD0970"/>
    <w:rsid w:val="00BD0A07"/>
    <w:rsid w:val="00BD0B23"/>
    <w:rsid w:val="00BD0BBB"/>
    <w:rsid w:val="00BD0DAC"/>
    <w:rsid w:val="00BD0DF9"/>
    <w:rsid w:val="00BD0EA0"/>
    <w:rsid w:val="00BD0EBE"/>
    <w:rsid w:val="00BD1295"/>
    <w:rsid w:val="00BD1392"/>
    <w:rsid w:val="00BD13C0"/>
    <w:rsid w:val="00BD1424"/>
    <w:rsid w:val="00BD1448"/>
    <w:rsid w:val="00BD15A5"/>
    <w:rsid w:val="00BD15EE"/>
    <w:rsid w:val="00BD16C9"/>
    <w:rsid w:val="00BD170E"/>
    <w:rsid w:val="00BD1788"/>
    <w:rsid w:val="00BD1860"/>
    <w:rsid w:val="00BD1929"/>
    <w:rsid w:val="00BD1AB2"/>
    <w:rsid w:val="00BD1B29"/>
    <w:rsid w:val="00BD1C2A"/>
    <w:rsid w:val="00BD1C53"/>
    <w:rsid w:val="00BD1CBD"/>
    <w:rsid w:val="00BD1DD4"/>
    <w:rsid w:val="00BD1E86"/>
    <w:rsid w:val="00BD1F5D"/>
    <w:rsid w:val="00BD1FC5"/>
    <w:rsid w:val="00BD2043"/>
    <w:rsid w:val="00BD204D"/>
    <w:rsid w:val="00BD2057"/>
    <w:rsid w:val="00BD20AF"/>
    <w:rsid w:val="00BD2274"/>
    <w:rsid w:val="00BD22A4"/>
    <w:rsid w:val="00BD22BA"/>
    <w:rsid w:val="00BD22C3"/>
    <w:rsid w:val="00BD22DB"/>
    <w:rsid w:val="00BD24B3"/>
    <w:rsid w:val="00BD24C4"/>
    <w:rsid w:val="00BD262A"/>
    <w:rsid w:val="00BD26AA"/>
    <w:rsid w:val="00BD26D7"/>
    <w:rsid w:val="00BD278D"/>
    <w:rsid w:val="00BD2870"/>
    <w:rsid w:val="00BD2B12"/>
    <w:rsid w:val="00BD2B48"/>
    <w:rsid w:val="00BD2B96"/>
    <w:rsid w:val="00BD2C07"/>
    <w:rsid w:val="00BD2C22"/>
    <w:rsid w:val="00BD2CDC"/>
    <w:rsid w:val="00BD2D10"/>
    <w:rsid w:val="00BD2E67"/>
    <w:rsid w:val="00BD2FCC"/>
    <w:rsid w:val="00BD30A6"/>
    <w:rsid w:val="00BD3197"/>
    <w:rsid w:val="00BD32B4"/>
    <w:rsid w:val="00BD3410"/>
    <w:rsid w:val="00BD358E"/>
    <w:rsid w:val="00BD35B3"/>
    <w:rsid w:val="00BD362B"/>
    <w:rsid w:val="00BD370A"/>
    <w:rsid w:val="00BD37B4"/>
    <w:rsid w:val="00BD37EA"/>
    <w:rsid w:val="00BD387D"/>
    <w:rsid w:val="00BD3A11"/>
    <w:rsid w:val="00BD3AFC"/>
    <w:rsid w:val="00BD3B29"/>
    <w:rsid w:val="00BD3CED"/>
    <w:rsid w:val="00BD3DC4"/>
    <w:rsid w:val="00BD3FAC"/>
    <w:rsid w:val="00BD4300"/>
    <w:rsid w:val="00BD4426"/>
    <w:rsid w:val="00BD44E5"/>
    <w:rsid w:val="00BD454F"/>
    <w:rsid w:val="00BD475B"/>
    <w:rsid w:val="00BD47A3"/>
    <w:rsid w:val="00BD48AA"/>
    <w:rsid w:val="00BD4937"/>
    <w:rsid w:val="00BD4985"/>
    <w:rsid w:val="00BD4A53"/>
    <w:rsid w:val="00BD4CB7"/>
    <w:rsid w:val="00BD4D20"/>
    <w:rsid w:val="00BD4D4F"/>
    <w:rsid w:val="00BD504C"/>
    <w:rsid w:val="00BD5066"/>
    <w:rsid w:val="00BD50A0"/>
    <w:rsid w:val="00BD515D"/>
    <w:rsid w:val="00BD519F"/>
    <w:rsid w:val="00BD51C7"/>
    <w:rsid w:val="00BD5208"/>
    <w:rsid w:val="00BD521A"/>
    <w:rsid w:val="00BD524D"/>
    <w:rsid w:val="00BD551A"/>
    <w:rsid w:val="00BD5617"/>
    <w:rsid w:val="00BD5662"/>
    <w:rsid w:val="00BD5681"/>
    <w:rsid w:val="00BD5783"/>
    <w:rsid w:val="00BD57A8"/>
    <w:rsid w:val="00BD5932"/>
    <w:rsid w:val="00BD59C0"/>
    <w:rsid w:val="00BD5A9F"/>
    <w:rsid w:val="00BD5B07"/>
    <w:rsid w:val="00BD5BA7"/>
    <w:rsid w:val="00BD5C15"/>
    <w:rsid w:val="00BD5CA9"/>
    <w:rsid w:val="00BD5CB6"/>
    <w:rsid w:val="00BD5DB7"/>
    <w:rsid w:val="00BD5E48"/>
    <w:rsid w:val="00BD5E66"/>
    <w:rsid w:val="00BD5F57"/>
    <w:rsid w:val="00BD60C6"/>
    <w:rsid w:val="00BD62B6"/>
    <w:rsid w:val="00BD62EC"/>
    <w:rsid w:val="00BD6434"/>
    <w:rsid w:val="00BD64AD"/>
    <w:rsid w:val="00BD659E"/>
    <w:rsid w:val="00BD67A7"/>
    <w:rsid w:val="00BD684B"/>
    <w:rsid w:val="00BD6879"/>
    <w:rsid w:val="00BD693E"/>
    <w:rsid w:val="00BD69C0"/>
    <w:rsid w:val="00BD6B58"/>
    <w:rsid w:val="00BD6D5E"/>
    <w:rsid w:val="00BD6E3D"/>
    <w:rsid w:val="00BD6E67"/>
    <w:rsid w:val="00BD6F0B"/>
    <w:rsid w:val="00BD6F4F"/>
    <w:rsid w:val="00BD716B"/>
    <w:rsid w:val="00BD7173"/>
    <w:rsid w:val="00BD71FD"/>
    <w:rsid w:val="00BD7223"/>
    <w:rsid w:val="00BD75FA"/>
    <w:rsid w:val="00BD7638"/>
    <w:rsid w:val="00BD76EE"/>
    <w:rsid w:val="00BD782E"/>
    <w:rsid w:val="00BD784E"/>
    <w:rsid w:val="00BD78A5"/>
    <w:rsid w:val="00BD7A1C"/>
    <w:rsid w:val="00BD7AF3"/>
    <w:rsid w:val="00BD7C18"/>
    <w:rsid w:val="00BD7CA2"/>
    <w:rsid w:val="00BD7CE2"/>
    <w:rsid w:val="00BD7D15"/>
    <w:rsid w:val="00BD7D87"/>
    <w:rsid w:val="00BD7E52"/>
    <w:rsid w:val="00BD7EDF"/>
    <w:rsid w:val="00BE02A8"/>
    <w:rsid w:val="00BE03B4"/>
    <w:rsid w:val="00BE03F7"/>
    <w:rsid w:val="00BE0578"/>
    <w:rsid w:val="00BE05DB"/>
    <w:rsid w:val="00BE06FE"/>
    <w:rsid w:val="00BE078A"/>
    <w:rsid w:val="00BE079A"/>
    <w:rsid w:val="00BE09C3"/>
    <w:rsid w:val="00BE0B00"/>
    <w:rsid w:val="00BE0D96"/>
    <w:rsid w:val="00BE0EFF"/>
    <w:rsid w:val="00BE0F0A"/>
    <w:rsid w:val="00BE0F23"/>
    <w:rsid w:val="00BE0F24"/>
    <w:rsid w:val="00BE1036"/>
    <w:rsid w:val="00BE110D"/>
    <w:rsid w:val="00BE1130"/>
    <w:rsid w:val="00BE1194"/>
    <w:rsid w:val="00BE1224"/>
    <w:rsid w:val="00BE129F"/>
    <w:rsid w:val="00BE12B4"/>
    <w:rsid w:val="00BE12F2"/>
    <w:rsid w:val="00BE1440"/>
    <w:rsid w:val="00BE1748"/>
    <w:rsid w:val="00BE1757"/>
    <w:rsid w:val="00BE175A"/>
    <w:rsid w:val="00BE1783"/>
    <w:rsid w:val="00BE17D7"/>
    <w:rsid w:val="00BE17F4"/>
    <w:rsid w:val="00BE18E0"/>
    <w:rsid w:val="00BE1997"/>
    <w:rsid w:val="00BE1A1B"/>
    <w:rsid w:val="00BE1B6C"/>
    <w:rsid w:val="00BE1C18"/>
    <w:rsid w:val="00BE1C1C"/>
    <w:rsid w:val="00BE1E9B"/>
    <w:rsid w:val="00BE1FD5"/>
    <w:rsid w:val="00BE24E6"/>
    <w:rsid w:val="00BE2592"/>
    <w:rsid w:val="00BE2635"/>
    <w:rsid w:val="00BE268E"/>
    <w:rsid w:val="00BE27EB"/>
    <w:rsid w:val="00BE2854"/>
    <w:rsid w:val="00BE2A53"/>
    <w:rsid w:val="00BE2B41"/>
    <w:rsid w:val="00BE2BA1"/>
    <w:rsid w:val="00BE2C32"/>
    <w:rsid w:val="00BE2CE6"/>
    <w:rsid w:val="00BE2D23"/>
    <w:rsid w:val="00BE2D6D"/>
    <w:rsid w:val="00BE2DEF"/>
    <w:rsid w:val="00BE2F4D"/>
    <w:rsid w:val="00BE2F62"/>
    <w:rsid w:val="00BE2F6A"/>
    <w:rsid w:val="00BE2FDA"/>
    <w:rsid w:val="00BE303B"/>
    <w:rsid w:val="00BE3470"/>
    <w:rsid w:val="00BE34CF"/>
    <w:rsid w:val="00BE3543"/>
    <w:rsid w:val="00BE35BB"/>
    <w:rsid w:val="00BE3756"/>
    <w:rsid w:val="00BE377A"/>
    <w:rsid w:val="00BE37DC"/>
    <w:rsid w:val="00BE387F"/>
    <w:rsid w:val="00BE38B9"/>
    <w:rsid w:val="00BE393D"/>
    <w:rsid w:val="00BE3B06"/>
    <w:rsid w:val="00BE3B5E"/>
    <w:rsid w:val="00BE3C77"/>
    <w:rsid w:val="00BE3CB5"/>
    <w:rsid w:val="00BE3CE4"/>
    <w:rsid w:val="00BE3D4B"/>
    <w:rsid w:val="00BE3D9B"/>
    <w:rsid w:val="00BE3E57"/>
    <w:rsid w:val="00BE3E97"/>
    <w:rsid w:val="00BE3F55"/>
    <w:rsid w:val="00BE3F6F"/>
    <w:rsid w:val="00BE3FA6"/>
    <w:rsid w:val="00BE4022"/>
    <w:rsid w:val="00BE4179"/>
    <w:rsid w:val="00BE4321"/>
    <w:rsid w:val="00BE4598"/>
    <w:rsid w:val="00BE46DE"/>
    <w:rsid w:val="00BE4775"/>
    <w:rsid w:val="00BE47B1"/>
    <w:rsid w:val="00BE48D6"/>
    <w:rsid w:val="00BE4A06"/>
    <w:rsid w:val="00BE4AFE"/>
    <w:rsid w:val="00BE4BEF"/>
    <w:rsid w:val="00BE4CF7"/>
    <w:rsid w:val="00BE4EC5"/>
    <w:rsid w:val="00BE4EC9"/>
    <w:rsid w:val="00BE4F67"/>
    <w:rsid w:val="00BE4FC2"/>
    <w:rsid w:val="00BE52EF"/>
    <w:rsid w:val="00BE5316"/>
    <w:rsid w:val="00BE5403"/>
    <w:rsid w:val="00BE55C4"/>
    <w:rsid w:val="00BE5727"/>
    <w:rsid w:val="00BE5738"/>
    <w:rsid w:val="00BE58F2"/>
    <w:rsid w:val="00BE59BF"/>
    <w:rsid w:val="00BE5ABD"/>
    <w:rsid w:val="00BE5BB3"/>
    <w:rsid w:val="00BE5C19"/>
    <w:rsid w:val="00BE5D00"/>
    <w:rsid w:val="00BE5DAC"/>
    <w:rsid w:val="00BE5DC2"/>
    <w:rsid w:val="00BE5F87"/>
    <w:rsid w:val="00BE6030"/>
    <w:rsid w:val="00BE6051"/>
    <w:rsid w:val="00BE61A4"/>
    <w:rsid w:val="00BE61B2"/>
    <w:rsid w:val="00BE62C8"/>
    <w:rsid w:val="00BE643B"/>
    <w:rsid w:val="00BE660B"/>
    <w:rsid w:val="00BE663A"/>
    <w:rsid w:val="00BE665A"/>
    <w:rsid w:val="00BE669D"/>
    <w:rsid w:val="00BE67E2"/>
    <w:rsid w:val="00BE6816"/>
    <w:rsid w:val="00BE6911"/>
    <w:rsid w:val="00BE6988"/>
    <w:rsid w:val="00BE6B66"/>
    <w:rsid w:val="00BE6D9D"/>
    <w:rsid w:val="00BE6DFF"/>
    <w:rsid w:val="00BE6EC7"/>
    <w:rsid w:val="00BE6F55"/>
    <w:rsid w:val="00BE6F57"/>
    <w:rsid w:val="00BE71BE"/>
    <w:rsid w:val="00BE7233"/>
    <w:rsid w:val="00BE7252"/>
    <w:rsid w:val="00BE72FD"/>
    <w:rsid w:val="00BE7467"/>
    <w:rsid w:val="00BE74DB"/>
    <w:rsid w:val="00BE7824"/>
    <w:rsid w:val="00BE785D"/>
    <w:rsid w:val="00BE787F"/>
    <w:rsid w:val="00BE7AC7"/>
    <w:rsid w:val="00BE7B4C"/>
    <w:rsid w:val="00BE7D4A"/>
    <w:rsid w:val="00BE7E51"/>
    <w:rsid w:val="00BE7E7B"/>
    <w:rsid w:val="00BE7EA5"/>
    <w:rsid w:val="00BE7F40"/>
    <w:rsid w:val="00BE7F78"/>
    <w:rsid w:val="00BE7FD6"/>
    <w:rsid w:val="00BE7FDF"/>
    <w:rsid w:val="00BF0167"/>
    <w:rsid w:val="00BF017D"/>
    <w:rsid w:val="00BF0230"/>
    <w:rsid w:val="00BF0300"/>
    <w:rsid w:val="00BF036C"/>
    <w:rsid w:val="00BF0435"/>
    <w:rsid w:val="00BF04EE"/>
    <w:rsid w:val="00BF05E2"/>
    <w:rsid w:val="00BF067F"/>
    <w:rsid w:val="00BF0762"/>
    <w:rsid w:val="00BF08DD"/>
    <w:rsid w:val="00BF098F"/>
    <w:rsid w:val="00BF0A67"/>
    <w:rsid w:val="00BF0D63"/>
    <w:rsid w:val="00BF0F74"/>
    <w:rsid w:val="00BF1182"/>
    <w:rsid w:val="00BF125A"/>
    <w:rsid w:val="00BF132C"/>
    <w:rsid w:val="00BF1441"/>
    <w:rsid w:val="00BF1486"/>
    <w:rsid w:val="00BF14EF"/>
    <w:rsid w:val="00BF155C"/>
    <w:rsid w:val="00BF1768"/>
    <w:rsid w:val="00BF1831"/>
    <w:rsid w:val="00BF1846"/>
    <w:rsid w:val="00BF1863"/>
    <w:rsid w:val="00BF18D7"/>
    <w:rsid w:val="00BF190B"/>
    <w:rsid w:val="00BF1951"/>
    <w:rsid w:val="00BF1A2E"/>
    <w:rsid w:val="00BF1DA6"/>
    <w:rsid w:val="00BF1DCE"/>
    <w:rsid w:val="00BF209F"/>
    <w:rsid w:val="00BF2195"/>
    <w:rsid w:val="00BF239B"/>
    <w:rsid w:val="00BF23D6"/>
    <w:rsid w:val="00BF23E8"/>
    <w:rsid w:val="00BF2608"/>
    <w:rsid w:val="00BF282F"/>
    <w:rsid w:val="00BF29DB"/>
    <w:rsid w:val="00BF2A1C"/>
    <w:rsid w:val="00BF2A7D"/>
    <w:rsid w:val="00BF2B24"/>
    <w:rsid w:val="00BF2E06"/>
    <w:rsid w:val="00BF2E20"/>
    <w:rsid w:val="00BF2F19"/>
    <w:rsid w:val="00BF2F6A"/>
    <w:rsid w:val="00BF30CA"/>
    <w:rsid w:val="00BF3244"/>
    <w:rsid w:val="00BF32F0"/>
    <w:rsid w:val="00BF336A"/>
    <w:rsid w:val="00BF37EB"/>
    <w:rsid w:val="00BF381D"/>
    <w:rsid w:val="00BF3839"/>
    <w:rsid w:val="00BF3959"/>
    <w:rsid w:val="00BF39E7"/>
    <w:rsid w:val="00BF3B80"/>
    <w:rsid w:val="00BF3BBF"/>
    <w:rsid w:val="00BF3CD5"/>
    <w:rsid w:val="00BF3DA8"/>
    <w:rsid w:val="00BF3DB9"/>
    <w:rsid w:val="00BF3ED2"/>
    <w:rsid w:val="00BF4086"/>
    <w:rsid w:val="00BF4237"/>
    <w:rsid w:val="00BF42BC"/>
    <w:rsid w:val="00BF42E5"/>
    <w:rsid w:val="00BF42F4"/>
    <w:rsid w:val="00BF4345"/>
    <w:rsid w:val="00BF434F"/>
    <w:rsid w:val="00BF4447"/>
    <w:rsid w:val="00BF448E"/>
    <w:rsid w:val="00BF44D5"/>
    <w:rsid w:val="00BF44F6"/>
    <w:rsid w:val="00BF45C7"/>
    <w:rsid w:val="00BF465A"/>
    <w:rsid w:val="00BF46BD"/>
    <w:rsid w:val="00BF47ED"/>
    <w:rsid w:val="00BF4850"/>
    <w:rsid w:val="00BF485E"/>
    <w:rsid w:val="00BF4918"/>
    <w:rsid w:val="00BF4928"/>
    <w:rsid w:val="00BF49DA"/>
    <w:rsid w:val="00BF4A06"/>
    <w:rsid w:val="00BF4C3F"/>
    <w:rsid w:val="00BF4DB0"/>
    <w:rsid w:val="00BF4E79"/>
    <w:rsid w:val="00BF5230"/>
    <w:rsid w:val="00BF53C4"/>
    <w:rsid w:val="00BF5510"/>
    <w:rsid w:val="00BF5560"/>
    <w:rsid w:val="00BF559A"/>
    <w:rsid w:val="00BF565A"/>
    <w:rsid w:val="00BF56AF"/>
    <w:rsid w:val="00BF56B4"/>
    <w:rsid w:val="00BF57A4"/>
    <w:rsid w:val="00BF57C5"/>
    <w:rsid w:val="00BF5997"/>
    <w:rsid w:val="00BF59D8"/>
    <w:rsid w:val="00BF5B5E"/>
    <w:rsid w:val="00BF5BC9"/>
    <w:rsid w:val="00BF5C33"/>
    <w:rsid w:val="00BF5C9D"/>
    <w:rsid w:val="00BF5DE0"/>
    <w:rsid w:val="00BF5E14"/>
    <w:rsid w:val="00BF5F58"/>
    <w:rsid w:val="00BF5FE1"/>
    <w:rsid w:val="00BF60B4"/>
    <w:rsid w:val="00BF61EE"/>
    <w:rsid w:val="00BF6252"/>
    <w:rsid w:val="00BF65AD"/>
    <w:rsid w:val="00BF6645"/>
    <w:rsid w:val="00BF6876"/>
    <w:rsid w:val="00BF6965"/>
    <w:rsid w:val="00BF698B"/>
    <w:rsid w:val="00BF6AF2"/>
    <w:rsid w:val="00BF6B65"/>
    <w:rsid w:val="00BF6C5A"/>
    <w:rsid w:val="00BF6C9C"/>
    <w:rsid w:val="00BF6D69"/>
    <w:rsid w:val="00BF6DD9"/>
    <w:rsid w:val="00BF6DE3"/>
    <w:rsid w:val="00BF6F35"/>
    <w:rsid w:val="00BF6FD5"/>
    <w:rsid w:val="00BF6FF4"/>
    <w:rsid w:val="00BF709B"/>
    <w:rsid w:val="00BF70F5"/>
    <w:rsid w:val="00BF7183"/>
    <w:rsid w:val="00BF7192"/>
    <w:rsid w:val="00BF7229"/>
    <w:rsid w:val="00BF72B2"/>
    <w:rsid w:val="00BF7420"/>
    <w:rsid w:val="00BF7626"/>
    <w:rsid w:val="00BF77C3"/>
    <w:rsid w:val="00BF7806"/>
    <w:rsid w:val="00BF7814"/>
    <w:rsid w:val="00BF7840"/>
    <w:rsid w:val="00BF78A8"/>
    <w:rsid w:val="00BF7992"/>
    <w:rsid w:val="00BF7A15"/>
    <w:rsid w:val="00BF7B15"/>
    <w:rsid w:val="00BF7B79"/>
    <w:rsid w:val="00BF7C3F"/>
    <w:rsid w:val="00BF7CA4"/>
    <w:rsid w:val="00BF7E39"/>
    <w:rsid w:val="00BF7E76"/>
    <w:rsid w:val="00BF7E98"/>
    <w:rsid w:val="00C002CC"/>
    <w:rsid w:val="00C003A0"/>
    <w:rsid w:val="00C00771"/>
    <w:rsid w:val="00C008A5"/>
    <w:rsid w:val="00C008AD"/>
    <w:rsid w:val="00C00983"/>
    <w:rsid w:val="00C00B98"/>
    <w:rsid w:val="00C00BEC"/>
    <w:rsid w:val="00C00D60"/>
    <w:rsid w:val="00C00E2F"/>
    <w:rsid w:val="00C00FC2"/>
    <w:rsid w:val="00C01023"/>
    <w:rsid w:val="00C01272"/>
    <w:rsid w:val="00C012C0"/>
    <w:rsid w:val="00C012F0"/>
    <w:rsid w:val="00C01347"/>
    <w:rsid w:val="00C013C0"/>
    <w:rsid w:val="00C013DA"/>
    <w:rsid w:val="00C01413"/>
    <w:rsid w:val="00C016F2"/>
    <w:rsid w:val="00C0173D"/>
    <w:rsid w:val="00C01906"/>
    <w:rsid w:val="00C01A4F"/>
    <w:rsid w:val="00C01A51"/>
    <w:rsid w:val="00C01B72"/>
    <w:rsid w:val="00C01D24"/>
    <w:rsid w:val="00C01D80"/>
    <w:rsid w:val="00C01DCC"/>
    <w:rsid w:val="00C01E5E"/>
    <w:rsid w:val="00C01EC5"/>
    <w:rsid w:val="00C01FC9"/>
    <w:rsid w:val="00C02167"/>
    <w:rsid w:val="00C021C0"/>
    <w:rsid w:val="00C021FC"/>
    <w:rsid w:val="00C022FC"/>
    <w:rsid w:val="00C024F2"/>
    <w:rsid w:val="00C025F8"/>
    <w:rsid w:val="00C02662"/>
    <w:rsid w:val="00C02675"/>
    <w:rsid w:val="00C02B90"/>
    <w:rsid w:val="00C02BDC"/>
    <w:rsid w:val="00C02D77"/>
    <w:rsid w:val="00C02DCE"/>
    <w:rsid w:val="00C02DDB"/>
    <w:rsid w:val="00C02F97"/>
    <w:rsid w:val="00C02FAC"/>
    <w:rsid w:val="00C03025"/>
    <w:rsid w:val="00C03028"/>
    <w:rsid w:val="00C03175"/>
    <w:rsid w:val="00C03252"/>
    <w:rsid w:val="00C033A0"/>
    <w:rsid w:val="00C035EB"/>
    <w:rsid w:val="00C03688"/>
    <w:rsid w:val="00C0368E"/>
    <w:rsid w:val="00C036D5"/>
    <w:rsid w:val="00C037C1"/>
    <w:rsid w:val="00C037F3"/>
    <w:rsid w:val="00C0384C"/>
    <w:rsid w:val="00C03939"/>
    <w:rsid w:val="00C0397A"/>
    <w:rsid w:val="00C039ED"/>
    <w:rsid w:val="00C03B15"/>
    <w:rsid w:val="00C03B91"/>
    <w:rsid w:val="00C03DDA"/>
    <w:rsid w:val="00C03E03"/>
    <w:rsid w:val="00C03E5A"/>
    <w:rsid w:val="00C03F08"/>
    <w:rsid w:val="00C0408D"/>
    <w:rsid w:val="00C04174"/>
    <w:rsid w:val="00C042B9"/>
    <w:rsid w:val="00C0430E"/>
    <w:rsid w:val="00C04447"/>
    <w:rsid w:val="00C04612"/>
    <w:rsid w:val="00C04764"/>
    <w:rsid w:val="00C04827"/>
    <w:rsid w:val="00C048D8"/>
    <w:rsid w:val="00C04922"/>
    <w:rsid w:val="00C04938"/>
    <w:rsid w:val="00C0495C"/>
    <w:rsid w:val="00C049B0"/>
    <w:rsid w:val="00C04B84"/>
    <w:rsid w:val="00C04BBF"/>
    <w:rsid w:val="00C04C3D"/>
    <w:rsid w:val="00C04D74"/>
    <w:rsid w:val="00C04E9B"/>
    <w:rsid w:val="00C04EB1"/>
    <w:rsid w:val="00C04F6A"/>
    <w:rsid w:val="00C050DC"/>
    <w:rsid w:val="00C05171"/>
    <w:rsid w:val="00C0534E"/>
    <w:rsid w:val="00C053C9"/>
    <w:rsid w:val="00C05586"/>
    <w:rsid w:val="00C057CD"/>
    <w:rsid w:val="00C058C6"/>
    <w:rsid w:val="00C0593C"/>
    <w:rsid w:val="00C05999"/>
    <w:rsid w:val="00C059E5"/>
    <w:rsid w:val="00C05A1D"/>
    <w:rsid w:val="00C05A5B"/>
    <w:rsid w:val="00C05B15"/>
    <w:rsid w:val="00C05BBB"/>
    <w:rsid w:val="00C05C22"/>
    <w:rsid w:val="00C05C89"/>
    <w:rsid w:val="00C05EEC"/>
    <w:rsid w:val="00C05F3A"/>
    <w:rsid w:val="00C05F51"/>
    <w:rsid w:val="00C05F66"/>
    <w:rsid w:val="00C06268"/>
    <w:rsid w:val="00C06342"/>
    <w:rsid w:val="00C063B8"/>
    <w:rsid w:val="00C06453"/>
    <w:rsid w:val="00C064DB"/>
    <w:rsid w:val="00C064F6"/>
    <w:rsid w:val="00C06621"/>
    <w:rsid w:val="00C06715"/>
    <w:rsid w:val="00C06762"/>
    <w:rsid w:val="00C0679C"/>
    <w:rsid w:val="00C067C0"/>
    <w:rsid w:val="00C06AB9"/>
    <w:rsid w:val="00C06AEB"/>
    <w:rsid w:val="00C06AFF"/>
    <w:rsid w:val="00C06C1F"/>
    <w:rsid w:val="00C06C33"/>
    <w:rsid w:val="00C06E1A"/>
    <w:rsid w:val="00C06EAB"/>
    <w:rsid w:val="00C06EF4"/>
    <w:rsid w:val="00C06F5D"/>
    <w:rsid w:val="00C07324"/>
    <w:rsid w:val="00C0754C"/>
    <w:rsid w:val="00C07598"/>
    <w:rsid w:val="00C075CC"/>
    <w:rsid w:val="00C076A4"/>
    <w:rsid w:val="00C07760"/>
    <w:rsid w:val="00C077F0"/>
    <w:rsid w:val="00C07934"/>
    <w:rsid w:val="00C0794D"/>
    <w:rsid w:val="00C07967"/>
    <w:rsid w:val="00C07999"/>
    <w:rsid w:val="00C07A99"/>
    <w:rsid w:val="00C07D64"/>
    <w:rsid w:val="00C07D6A"/>
    <w:rsid w:val="00C07DA2"/>
    <w:rsid w:val="00C07E50"/>
    <w:rsid w:val="00C10023"/>
    <w:rsid w:val="00C1004C"/>
    <w:rsid w:val="00C10381"/>
    <w:rsid w:val="00C103B2"/>
    <w:rsid w:val="00C10493"/>
    <w:rsid w:val="00C104A4"/>
    <w:rsid w:val="00C10513"/>
    <w:rsid w:val="00C10521"/>
    <w:rsid w:val="00C1057C"/>
    <w:rsid w:val="00C10659"/>
    <w:rsid w:val="00C10732"/>
    <w:rsid w:val="00C10759"/>
    <w:rsid w:val="00C10A99"/>
    <w:rsid w:val="00C10B10"/>
    <w:rsid w:val="00C10DC2"/>
    <w:rsid w:val="00C10E25"/>
    <w:rsid w:val="00C10E38"/>
    <w:rsid w:val="00C10F50"/>
    <w:rsid w:val="00C10F60"/>
    <w:rsid w:val="00C10F6F"/>
    <w:rsid w:val="00C10F83"/>
    <w:rsid w:val="00C1102A"/>
    <w:rsid w:val="00C11075"/>
    <w:rsid w:val="00C1117A"/>
    <w:rsid w:val="00C111A1"/>
    <w:rsid w:val="00C11200"/>
    <w:rsid w:val="00C112EC"/>
    <w:rsid w:val="00C112FD"/>
    <w:rsid w:val="00C1131B"/>
    <w:rsid w:val="00C1133F"/>
    <w:rsid w:val="00C115D4"/>
    <w:rsid w:val="00C11674"/>
    <w:rsid w:val="00C116EF"/>
    <w:rsid w:val="00C11712"/>
    <w:rsid w:val="00C118CA"/>
    <w:rsid w:val="00C118CE"/>
    <w:rsid w:val="00C118F2"/>
    <w:rsid w:val="00C118FA"/>
    <w:rsid w:val="00C11A05"/>
    <w:rsid w:val="00C11A1D"/>
    <w:rsid w:val="00C11A79"/>
    <w:rsid w:val="00C11AAD"/>
    <w:rsid w:val="00C11B05"/>
    <w:rsid w:val="00C11C02"/>
    <w:rsid w:val="00C11CD4"/>
    <w:rsid w:val="00C11D80"/>
    <w:rsid w:val="00C11D97"/>
    <w:rsid w:val="00C11E15"/>
    <w:rsid w:val="00C12118"/>
    <w:rsid w:val="00C121A7"/>
    <w:rsid w:val="00C1238C"/>
    <w:rsid w:val="00C123C9"/>
    <w:rsid w:val="00C12599"/>
    <w:rsid w:val="00C1263F"/>
    <w:rsid w:val="00C12666"/>
    <w:rsid w:val="00C1281E"/>
    <w:rsid w:val="00C1294F"/>
    <w:rsid w:val="00C12A70"/>
    <w:rsid w:val="00C12ABF"/>
    <w:rsid w:val="00C12AEF"/>
    <w:rsid w:val="00C12B1E"/>
    <w:rsid w:val="00C12B3C"/>
    <w:rsid w:val="00C12BBA"/>
    <w:rsid w:val="00C12D1F"/>
    <w:rsid w:val="00C12EE1"/>
    <w:rsid w:val="00C12EE6"/>
    <w:rsid w:val="00C12F50"/>
    <w:rsid w:val="00C12F60"/>
    <w:rsid w:val="00C12FC9"/>
    <w:rsid w:val="00C13037"/>
    <w:rsid w:val="00C1306F"/>
    <w:rsid w:val="00C13647"/>
    <w:rsid w:val="00C13823"/>
    <w:rsid w:val="00C138B2"/>
    <w:rsid w:val="00C138D0"/>
    <w:rsid w:val="00C139C6"/>
    <w:rsid w:val="00C13DBB"/>
    <w:rsid w:val="00C13E8C"/>
    <w:rsid w:val="00C13ED6"/>
    <w:rsid w:val="00C1425D"/>
    <w:rsid w:val="00C142EB"/>
    <w:rsid w:val="00C14329"/>
    <w:rsid w:val="00C145F4"/>
    <w:rsid w:val="00C14636"/>
    <w:rsid w:val="00C146D9"/>
    <w:rsid w:val="00C14791"/>
    <w:rsid w:val="00C14834"/>
    <w:rsid w:val="00C14908"/>
    <w:rsid w:val="00C1492B"/>
    <w:rsid w:val="00C14A0D"/>
    <w:rsid w:val="00C14A81"/>
    <w:rsid w:val="00C14C67"/>
    <w:rsid w:val="00C14E3C"/>
    <w:rsid w:val="00C14E83"/>
    <w:rsid w:val="00C14F2B"/>
    <w:rsid w:val="00C14FAF"/>
    <w:rsid w:val="00C1509A"/>
    <w:rsid w:val="00C150B3"/>
    <w:rsid w:val="00C15166"/>
    <w:rsid w:val="00C15210"/>
    <w:rsid w:val="00C15279"/>
    <w:rsid w:val="00C15392"/>
    <w:rsid w:val="00C15441"/>
    <w:rsid w:val="00C15458"/>
    <w:rsid w:val="00C15578"/>
    <w:rsid w:val="00C155B7"/>
    <w:rsid w:val="00C155E0"/>
    <w:rsid w:val="00C15657"/>
    <w:rsid w:val="00C156BA"/>
    <w:rsid w:val="00C157F7"/>
    <w:rsid w:val="00C1595E"/>
    <w:rsid w:val="00C15A99"/>
    <w:rsid w:val="00C15ADE"/>
    <w:rsid w:val="00C15B88"/>
    <w:rsid w:val="00C15FE8"/>
    <w:rsid w:val="00C16120"/>
    <w:rsid w:val="00C161F3"/>
    <w:rsid w:val="00C16206"/>
    <w:rsid w:val="00C16215"/>
    <w:rsid w:val="00C162AF"/>
    <w:rsid w:val="00C162CE"/>
    <w:rsid w:val="00C1632B"/>
    <w:rsid w:val="00C163A6"/>
    <w:rsid w:val="00C163AD"/>
    <w:rsid w:val="00C16445"/>
    <w:rsid w:val="00C1673D"/>
    <w:rsid w:val="00C16820"/>
    <w:rsid w:val="00C169C2"/>
    <w:rsid w:val="00C169D2"/>
    <w:rsid w:val="00C169D6"/>
    <w:rsid w:val="00C16A12"/>
    <w:rsid w:val="00C16D2E"/>
    <w:rsid w:val="00C16D5B"/>
    <w:rsid w:val="00C16D63"/>
    <w:rsid w:val="00C16D74"/>
    <w:rsid w:val="00C16E2B"/>
    <w:rsid w:val="00C16F65"/>
    <w:rsid w:val="00C1706A"/>
    <w:rsid w:val="00C1745C"/>
    <w:rsid w:val="00C17461"/>
    <w:rsid w:val="00C17628"/>
    <w:rsid w:val="00C17634"/>
    <w:rsid w:val="00C176DF"/>
    <w:rsid w:val="00C176FA"/>
    <w:rsid w:val="00C17720"/>
    <w:rsid w:val="00C1776F"/>
    <w:rsid w:val="00C177DD"/>
    <w:rsid w:val="00C178B1"/>
    <w:rsid w:val="00C178CE"/>
    <w:rsid w:val="00C179D7"/>
    <w:rsid w:val="00C17A8B"/>
    <w:rsid w:val="00C17AEF"/>
    <w:rsid w:val="00C17BD0"/>
    <w:rsid w:val="00C17CE9"/>
    <w:rsid w:val="00C17D9A"/>
    <w:rsid w:val="00C17EB7"/>
    <w:rsid w:val="00C17F08"/>
    <w:rsid w:val="00C17FB4"/>
    <w:rsid w:val="00C20025"/>
    <w:rsid w:val="00C200A2"/>
    <w:rsid w:val="00C201EF"/>
    <w:rsid w:val="00C202B3"/>
    <w:rsid w:val="00C20403"/>
    <w:rsid w:val="00C20484"/>
    <w:rsid w:val="00C204EF"/>
    <w:rsid w:val="00C206D8"/>
    <w:rsid w:val="00C20711"/>
    <w:rsid w:val="00C207BA"/>
    <w:rsid w:val="00C208BD"/>
    <w:rsid w:val="00C20BC7"/>
    <w:rsid w:val="00C20C56"/>
    <w:rsid w:val="00C20D26"/>
    <w:rsid w:val="00C20EB9"/>
    <w:rsid w:val="00C20F8F"/>
    <w:rsid w:val="00C21206"/>
    <w:rsid w:val="00C21346"/>
    <w:rsid w:val="00C21544"/>
    <w:rsid w:val="00C21649"/>
    <w:rsid w:val="00C218AB"/>
    <w:rsid w:val="00C21A37"/>
    <w:rsid w:val="00C21B27"/>
    <w:rsid w:val="00C21CAF"/>
    <w:rsid w:val="00C21D44"/>
    <w:rsid w:val="00C21E78"/>
    <w:rsid w:val="00C21EE0"/>
    <w:rsid w:val="00C21EF8"/>
    <w:rsid w:val="00C221C4"/>
    <w:rsid w:val="00C2236A"/>
    <w:rsid w:val="00C223DF"/>
    <w:rsid w:val="00C22441"/>
    <w:rsid w:val="00C22444"/>
    <w:rsid w:val="00C2255C"/>
    <w:rsid w:val="00C227F2"/>
    <w:rsid w:val="00C2294C"/>
    <w:rsid w:val="00C2295B"/>
    <w:rsid w:val="00C22A99"/>
    <w:rsid w:val="00C22C0F"/>
    <w:rsid w:val="00C22DB9"/>
    <w:rsid w:val="00C22EBC"/>
    <w:rsid w:val="00C22F18"/>
    <w:rsid w:val="00C22FDA"/>
    <w:rsid w:val="00C230FB"/>
    <w:rsid w:val="00C23268"/>
    <w:rsid w:val="00C2341E"/>
    <w:rsid w:val="00C23527"/>
    <w:rsid w:val="00C23682"/>
    <w:rsid w:val="00C23694"/>
    <w:rsid w:val="00C2381F"/>
    <w:rsid w:val="00C23822"/>
    <w:rsid w:val="00C2392D"/>
    <w:rsid w:val="00C2396C"/>
    <w:rsid w:val="00C23996"/>
    <w:rsid w:val="00C239A5"/>
    <w:rsid w:val="00C23A6C"/>
    <w:rsid w:val="00C23A95"/>
    <w:rsid w:val="00C23BED"/>
    <w:rsid w:val="00C23CC6"/>
    <w:rsid w:val="00C23E04"/>
    <w:rsid w:val="00C242D4"/>
    <w:rsid w:val="00C24372"/>
    <w:rsid w:val="00C2443D"/>
    <w:rsid w:val="00C244A3"/>
    <w:rsid w:val="00C244B9"/>
    <w:rsid w:val="00C24659"/>
    <w:rsid w:val="00C24668"/>
    <w:rsid w:val="00C24677"/>
    <w:rsid w:val="00C246F9"/>
    <w:rsid w:val="00C24726"/>
    <w:rsid w:val="00C2476D"/>
    <w:rsid w:val="00C2491D"/>
    <w:rsid w:val="00C24969"/>
    <w:rsid w:val="00C24A72"/>
    <w:rsid w:val="00C24A73"/>
    <w:rsid w:val="00C24D4F"/>
    <w:rsid w:val="00C24E11"/>
    <w:rsid w:val="00C250A2"/>
    <w:rsid w:val="00C250C6"/>
    <w:rsid w:val="00C250EE"/>
    <w:rsid w:val="00C2513B"/>
    <w:rsid w:val="00C25196"/>
    <w:rsid w:val="00C252CF"/>
    <w:rsid w:val="00C253F4"/>
    <w:rsid w:val="00C255AF"/>
    <w:rsid w:val="00C255B7"/>
    <w:rsid w:val="00C25673"/>
    <w:rsid w:val="00C256AF"/>
    <w:rsid w:val="00C2572A"/>
    <w:rsid w:val="00C257BC"/>
    <w:rsid w:val="00C258AD"/>
    <w:rsid w:val="00C258BE"/>
    <w:rsid w:val="00C25918"/>
    <w:rsid w:val="00C25941"/>
    <w:rsid w:val="00C259A3"/>
    <w:rsid w:val="00C25A42"/>
    <w:rsid w:val="00C25C62"/>
    <w:rsid w:val="00C25DE9"/>
    <w:rsid w:val="00C25EBF"/>
    <w:rsid w:val="00C2627B"/>
    <w:rsid w:val="00C262CC"/>
    <w:rsid w:val="00C26319"/>
    <w:rsid w:val="00C26423"/>
    <w:rsid w:val="00C265FC"/>
    <w:rsid w:val="00C26659"/>
    <w:rsid w:val="00C26765"/>
    <w:rsid w:val="00C26769"/>
    <w:rsid w:val="00C2679F"/>
    <w:rsid w:val="00C26ABA"/>
    <w:rsid w:val="00C26AC2"/>
    <w:rsid w:val="00C26B3A"/>
    <w:rsid w:val="00C26B6B"/>
    <w:rsid w:val="00C26D28"/>
    <w:rsid w:val="00C26DC7"/>
    <w:rsid w:val="00C26EAD"/>
    <w:rsid w:val="00C27019"/>
    <w:rsid w:val="00C2706C"/>
    <w:rsid w:val="00C27081"/>
    <w:rsid w:val="00C2713A"/>
    <w:rsid w:val="00C272FB"/>
    <w:rsid w:val="00C27300"/>
    <w:rsid w:val="00C273B4"/>
    <w:rsid w:val="00C2770F"/>
    <w:rsid w:val="00C279DF"/>
    <w:rsid w:val="00C27AC5"/>
    <w:rsid w:val="00C27BB4"/>
    <w:rsid w:val="00C27BEC"/>
    <w:rsid w:val="00C27CF5"/>
    <w:rsid w:val="00C27E59"/>
    <w:rsid w:val="00C27E6F"/>
    <w:rsid w:val="00C27FBE"/>
    <w:rsid w:val="00C3009C"/>
    <w:rsid w:val="00C3011A"/>
    <w:rsid w:val="00C30274"/>
    <w:rsid w:val="00C30297"/>
    <w:rsid w:val="00C30396"/>
    <w:rsid w:val="00C303A3"/>
    <w:rsid w:val="00C3062C"/>
    <w:rsid w:val="00C3068F"/>
    <w:rsid w:val="00C30729"/>
    <w:rsid w:val="00C3087D"/>
    <w:rsid w:val="00C308FD"/>
    <w:rsid w:val="00C309BB"/>
    <w:rsid w:val="00C309DE"/>
    <w:rsid w:val="00C30A77"/>
    <w:rsid w:val="00C30B5A"/>
    <w:rsid w:val="00C30BB4"/>
    <w:rsid w:val="00C30CA2"/>
    <w:rsid w:val="00C30EA5"/>
    <w:rsid w:val="00C30FEA"/>
    <w:rsid w:val="00C31017"/>
    <w:rsid w:val="00C311B3"/>
    <w:rsid w:val="00C312B2"/>
    <w:rsid w:val="00C31324"/>
    <w:rsid w:val="00C31376"/>
    <w:rsid w:val="00C31389"/>
    <w:rsid w:val="00C3150A"/>
    <w:rsid w:val="00C31510"/>
    <w:rsid w:val="00C3167E"/>
    <w:rsid w:val="00C31852"/>
    <w:rsid w:val="00C31900"/>
    <w:rsid w:val="00C31A74"/>
    <w:rsid w:val="00C31A91"/>
    <w:rsid w:val="00C31BB0"/>
    <w:rsid w:val="00C31C50"/>
    <w:rsid w:val="00C31C9E"/>
    <w:rsid w:val="00C31D90"/>
    <w:rsid w:val="00C31E71"/>
    <w:rsid w:val="00C31F87"/>
    <w:rsid w:val="00C32040"/>
    <w:rsid w:val="00C3207D"/>
    <w:rsid w:val="00C321AC"/>
    <w:rsid w:val="00C321AE"/>
    <w:rsid w:val="00C32255"/>
    <w:rsid w:val="00C322CE"/>
    <w:rsid w:val="00C322FA"/>
    <w:rsid w:val="00C323CB"/>
    <w:rsid w:val="00C3246F"/>
    <w:rsid w:val="00C32533"/>
    <w:rsid w:val="00C325C6"/>
    <w:rsid w:val="00C32887"/>
    <w:rsid w:val="00C32906"/>
    <w:rsid w:val="00C3299D"/>
    <w:rsid w:val="00C32A53"/>
    <w:rsid w:val="00C32A90"/>
    <w:rsid w:val="00C32AD8"/>
    <w:rsid w:val="00C32B14"/>
    <w:rsid w:val="00C32BFF"/>
    <w:rsid w:val="00C32D9F"/>
    <w:rsid w:val="00C32DD3"/>
    <w:rsid w:val="00C32E60"/>
    <w:rsid w:val="00C32E8A"/>
    <w:rsid w:val="00C32EBF"/>
    <w:rsid w:val="00C32F31"/>
    <w:rsid w:val="00C32FC9"/>
    <w:rsid w:val="00C3301C"/>
    <w:rsid w:val="00C33199"/>
    <w:rsid w:val="00C331B1"/>
    <w:rsid w:val="00C33297"/>
    <w:rsid w:val="00C33387"/>
    <w:rsid w:val="00C33423"/>
    <w:rsid w:val="00C33460"/>
    <w:rsid w:val="00C33681"/>
    <w:rsid w:val="00C33693"/>
    <w:rsid w:val="00C336C6"/>
    <w:rsid w:val="00C33766"/>
    <w:rsid w:val="00C337B1"/>
    <w:rsid w:val="00C33980"/>
    <w:rsid w:val="00C339E3"/>
    <w:rsid w:val="00C33BFF"/>
    <w:rsid w:val="00C33CF1"/>
    <w:rsid w:val="00C33D05"/>
    <w:rsid w:val="00C34156"/>
    <w:rsid w:val="00C341CC"/>
    <w:rsid w:val="00C34247"/>
    <w:rsid w:val="00C34332"/>
    <w:rsid w:val="00C3468F"/>
    <w:rsid w:val="00C346D4"/>
    <w:rsid w:val="00C347BC"/>
    <w:rsid w:val="00C348FC"/>
    <w:rsid w:val="00C34A8E"/>
    <w:rsid w:val="00C34BAB"/>
    <w:rsid w:val="00C34C47"/>
    <w:rsid w:val="00C34C6E"/>
    <w:rsid w:val="00C34CDD"/>
    <w:rsid w:val="00C34E01"/>
    <w:rsid w:val="00C34E15"/>
    <w:rsid w:val="00C34E79"/>
    <w:rsid w:val="00C34F55"/>
    <w:rsid w:val="00C350FA"/>
    <w:rsid w:val="00C35430"/>
    <w:rsid w:val="00C35480"/>
    <w:rsid w:val="00C3574E"/>
    <w:rsid w:val="00C357EC"/>
    <w:rsid w:val="00C35878"/>
    <w:rsid w:val="00C358FA"/>
    <w:rsid w:val="00C35A26"/>
    <w:rsid w:val="00C35B71"/>
    <w:rsid w:val="00C35B82"/>
    <w:rsid w:val="00C35B84"/>
    <w:rsid w:val="00C35BCE"/>
    <w:rsid w:val="00C35BF7"/>
    <w:rsid w:val="00C35C35"/>
    <w:rsid w:val="00C35C52"/>
    <w:rsid w:val="00C35CA5"/>
    <w:rsid w:val="00C35D29"/>
    <w:rsid w:val="00C35E3B"/>
    <w:rsid w:val="00C35EFE"/>
    <w:rsid w:val="00C35F1D"/>
    <w:rsid w:val="00C361F1"/>
    <w:rsid w:val="00C3632A"/>
    <w:rsid w:val="00C363E4"/>
    <w:rsid w:val="00C363EE"/>
    <w:rsid w:val="00C36416"/>
    <w:rsid w:val="00C3644E"/>
    <w:rsid w:val="00C366B6"/>
    <w:rsid w:val="00C3685F"/>
    <w:rsid w:val="00C3691C"/>
    <w:rsid w:val="00C36A29"/>
    <w:rsid w:val="00C36A70"/>
    <w:rsid w:val="00C36AD6"/>
    <w:rsid w:val="00C36B4C"/>
    <w:rsid w:val="00C36BB9"/>
    <w:rsid w:val="00C36BD7"/>
    <w:rsid w:val="00C36C65"/>
    <w:rsid w:val="00C36EC9"/>
    <w:rsid w:val="00C36ED4"/>
    <w:rsid w:val="00C36F8C"/>
    <w:rsid w:val="00C36FAE"/>
    <w:rsid w:val="00C372E4"/>
    <w:rsid w:val="00C372EF"/>
    <w:rsid w:val="00C37325"/>
    <w:rsid w:val="00C373A5"/>
    <w:rsid w:val="00C373C3"/>
    <w:rsid w:val="00C374BF"/>
    <w:rsid w:val="00C37624"/>
    <w:rsid w:val="00C377A4"/>
    <w:rsid w:val="00C377F3"/>
    <w:rsid w:val="00C3780E"/>
    <w:rsid w:val="00C37841"/>
    <w:rsid w:val="00C37895"/>
    <w:rsid w:val="00C37953"/>
    <w:rsid w:val="00C37A11"/>
    <w:rsid w:val="00C37A41"/>
    <w:rsid w:val="00C37BE9"/>
    <w:rsid w:val="00C37BEE"/>
    <w:rsid w:val="00C37C44"/>
    <w:rsid w:val="00C37F92"/>
    <w:rsid w:val="00C37FF3"/>
    <w:rsid w:val="00C4003E"/>
    <w:rsid w:val="00C4011E"/>
    <w:rsid w:val="00C40339"/>
    <w:rsid w:val="00C405C6"/>
    <w:rsid w:val="00C405D5"/>
    <w:rsid w:val="00C405FD"/>
    <w:rsid w:val="00C4065B"/>
    <w:rsid w:val="00C406CA"/>
    <w:rsid w:val="00C40813"/>
    <w:rsid w:val="00C4085F"/>
    <w:rsid w:val="00C40898"/>
    <w:rsid w:val="00C40901"/>
    <w:rsid w:val="00C40944"/>
    <w:rsid w:val="00C409EB"/>
    <w:rsid w:val="00C409F2"/>
    <w:rsid w:val="00C40C5B"/>
    <w:rsid w:val="00C40C8D"/>
    <w:rsid w:val="00C40DC2"/>
    <w:rsid w:val="00C40E1D"/>
    <w:rsid w:val="00C40E41"/>
    <w:rsid w:val="00C40E52"/>
    <w:rsid w:val="00C40EBA"/>
    <w:rsid w:val="00C410EA"/>
    <w:rsid w:val="00C41175"/>
    <w:rsid w:val="00C41187"/>
    <w:rsid w:val="00C41266"/>
    <w:rsid w:val="00C41329"/>
    <w:rsid w:val="00C41342"/>
    <w:rsid w:val="00C4137B"/>
    <w:rsid w:val="00C4144D"/>
    <w:rsid w:val="00C41511"/>
    <w:rsid w:val="00C4160A"/>
    <w:rsid w:val="00C416AC"/>
    <w:rsid w:val="00C41A23"/>
    <w:rsid w:val="00C41BF1"/>
    <w:rsid w:val="00C41C0D"/>
    <w:rsid w:val="00C41C87"/>
    <w:rsid w:val="00C41CF6"/>
    <w:rsid w:val="00C41D9C"/>
    <w:rsid w:val="00C41E0B"/>
    <w:rsid w:val="00C41EC7"/>
    <w:rsid w:val="00C41FDD"/>
    <w:rsid w:val="00C4243A"/>
    <w:rsid w:val="00C42446"/>
    <w:rsid w:val="00C42742"/>
    <w:rsid w:val="00C428A6"/>
    <w:rsid w:val="00C42BD0"/>
    <w:rsid w:val="00C42CDF"/>
    <w:rsid w:val="00C42E04"/>
    <w:rsid w:val="00C42E4D"/>
    <w:rsid w:val="00C42EAD"/>
    <w:rsid w:val="00C42F1F"/>
    <w:rsid w:val="00C42FBC"/>
    <w:rsid w:val="00C43087"/>
    <w:rsid w:val="00C43465"/>
    <w:rsid w:val="00C43491"/>
    <w:rsid w:val="00C434F2"/>
    <w:rsid w:val="00C43523"/>
    <w:rsid w:val="00C43547"/>
    <w:rsid w:val="00C436B8"/>
    <w:rsid w:val="00C43736"/>
    <w:rsid w:val="00C43771"/>
    <w:rsid w:val="00C438BF"/>
    <w:rsid w:val="00C43956"/>
    <w:rsid w:val="00C439DD"/>
    <w:rsid w:val="00C43BD2"/>
    <w:rsid w:val="00C43C73"/>
    <w:rsid w:val="00C43CD8"/>
    <w:rsid w:val="00C43DAB"/>
    <w:rsid w:val="00C43E16"/>
    <w:rsid w:val="00C43E23"/>
    <w:rsid w:val="00C43F27"/>
    <w:rsid w:val="00C43F2F"/>
    <w:rsid w:val="00C43F49"/>
    <w:rsid w:val="00C44210"/>
    <w:rsid w:val="00C44328"/>
    <w:rsid w:val="00C443EB"/>
    <w:rsid w:val="00C44483"/>
    <w:rsid w:val="00C44495"/>
    <w:rsid w:val="00C445D4"/>
    <w:rsid w:val="00C446BB"/>
    <w:rsid w:val="00C44748"/>
    <w:rsid w:val="00C44905"/>
    <w:rsid w:val="00C44A24"/>
    <w:rsid w:val="00C44B0A"/>
    <w:rsid w:val="00C44B39"/>
    <w:rsid w:val="00C44BB6"/>
    <w:rsid w:val="00C44EB3"/>
    <w:rsid w:val="00C45090"/>
    <w:rsid w:val="00C45182"/>
    <w:rsid w:val="00C451AC"/>
    <w:rsid w:val="00C451F7"/>
    <w:rsid w:val="00C4526E"/>
    <w:rsid w:val="00C453EF"/>
    <w:rsid w:val="00C453FF"/>
    <w:rsid w:val="00C45443"/>
    <w:rsid w:val="00C455D8"/>
    <w:rsid w:val="00C455E3"/>
    <w:rsid w:val="00C455F0"/>
    <w:rsid w:val="00C456A0"/>
    <w:rsid w:val="00C458B7"/>
    <w:rsid w:val="00C458D2"/>
    <w:rsid w:val="00C4594D"/>
    <w:rsid w:val="00C45B0E"/>
    <w:rsid w:val="00C45E32"/>
    <w:rsid w:val="00C45E92"/>
    <w:rsid w:val="00C45F0D"/>
    <w:rsid w:val="00C45F9B"/>
    <w:rsid w:val="00C45FD8"/>
    <w:rsid w:val="00C46057"/>
    <w:rsid w:val="00C46068"/>
    <w:rsid w:val="00C46245"/>
    <w:rsid w:val="00C462F8"/>
    <w:rsid w:val="00C465F6"/>
    <w:rsid w:val="00C4660C"/>
    <w:rsid w:val="00C46683"/>
    <w:rsid w:val="00C4668B"/>
    <w:rsid w:val="00C46706"/>
    <w:rsid w:val="00C467A1"/>
    <w:rsid w:val="00C46933"/>
    <w:rsid w:val="00C46C4F"/>
    <w:rsid w:val="00C46C57"/>
    <w:rsid w:val="00C46E4E"/>
    <w:rsid w:val="00C46F8B"/>
    <w:rsid w:val="00C47132"/>
    <w:rsid w:val="00C471D6"/>
    <w:rsid w:val="00C4729E"/>
    <w:rsid w:val="00C472A3"/>
    <w:rsid w:val="00C47563"/>
    <w:rsid w:val="00C47876"/>
    <w:rsid w:val="00C478DB"/>
    <w:rsid w:val="00C47996"/>
    <w:rsid w:val="00C4799B"/>
    <w:rsid w:val="00C47A2F"/>
    <w:rsid w:val="00C47A89"/>
    <w:rsid w:val="00C47B8A"/>
    <w:rsid w:val="00C47E43"/>
    <w:rsid w:val="00C47EC8"/>
    <w:rsid w:val="00C47EDB"/>
    <w:rsid w:val="00C47F0F"/>
    <w:rsid w:val="00C47F94"/>
    <w:rsid w:val="00C47FBF"/>
    <w:rsid w:val="00C50023"/>
    <w:rsid w:val="00C500E8"/>
    <w:rsid w:val="00C50149"/>
    <w:rsid w:val="00C50202"/>
    <w:rsid w:val="00C50296"/>
    <w:rsid w:val="00C50399"/>
    <w:rsid w:val="00C50406"/>
    <w:rsid w:val="00C504A5"/>
    <w:rsid w:val="00C504D5"/>
    <w:rsid w:val="00C504DE"/>
    <w:rsid w:val="00C504E4"/>
    <w:rsid w:val="00C5053D"/>
    <w:rsid w:val="00C5053F"/>
    <w:rsid w:val="00C505D8"/>
    <w:rsid w:val="00C506F1"/>
    <w:rsid w:val="00C50710"/>
    <w:rsid w:val="00C5072D"/>
    <w:rsid w:val="00C50740"/>
    <w:rsid w:val="00C50777"/>
    <w:rsid w:val="00C507F2"/>
    <w:rsid w:val="00C50882"/>
    <w:rsid w:val="00C50A0E"/>
    <w:rsid w:val="00C50A64"/>
    <w:rsid w:val="00C50A83"/>
    <w:rsid w:val="00C50ACE"/>
    <w:rsid w:val="00C50B48"/>
    <w:rsid w:val="00C50B8B"/>
    <w:rsid w:val="00C50BD1"/>
    <w:rsid w:val="00C50C8F"/>
    <w:rsid w:val="00C50D2A"/>
    <w:rsid w:val="00C50DFE"/>
    <w:rsid w:val="00C50FDD"/>
    <w:rsid w:val="00C5123D"/>
    <w:rsid w:val="00C51382"/>
    <w:rsid w:val="00C5167D"/>
    <w:rsid w:val="00C516C0"/>
    <w:rsid w:val="00C516D1"/>
    <w:rsid w:val="00C51752"/>
    <w:rsid w:val="00C51785"/>
    <w:rsid w:val="00C517C2"/>
    <w:rsid w:val="00C517C6"/>
    <w:rsid w:val="00C517E1"/>
    <w:rsid w:val="00C5188B"/>
    <w:rsid w:val="00C51974"/>
    <w:rsid w:val="00C51A12"/>
    <w:rsid w:val="00C51A1F"/>
    <w:rsid w:val="00C51BB9"/>
    <w:rsid w:val="00C51BC8"/>
    <w:rsid w:val="00C51D26"/>
    <w:rsid w:val="00C51D3F"/>
    <w:rsid w:val="00C51DBD"/>
    <w:rsid w:val="00C51DCC"/>
    <w:rsid w:val="00C51DCD"/>
    <w:rsid w:val="00C51EE4"/>
    <w:rsid w:val="00C52045"/>
    <w:rsid w:val="00C5211E"/>
    <w:rsid w:val="00C52257"/>
    <w:rsid w:val="00C522BD"/>
    <w:rsid w:val="00C5235D"/>
    <w:rsid w:val="00C524D8"/>
    <w:rsid w:val="00C52533"/>
    <w:rsid w:val="00C525F6"/>
    <w:rsid w:val="00C52635"/>
    <w:rsid w:val="00C52679"/>
    <w:rsid w:val="00C527D4"/>
    <w:rsid w:val="00C528B9"/>
    <w:rsid w:val="00C528D6"/>
    <w:rsid w:val="00C528EA"/>
    <w:rsid w:val="00C529DE"/>
    <w:rsid w:val="00C52AA8"/>
    <w:rsid w:val="00C52ACC"/>
    <w:rsid w:val="00C52B8A"/>
    <w:rsid w:val="00C52BDB"/>
    <w:rsid w:val="00C52C25"/>
    <w:rsid w:val="00C52C3D"/>
    <w:rsid w:val="00C52D2F"/>
    <w:rsid w:val="00C52D4D"/>
    <w:rsid w:val="00C52DB0"/>
    <w:rsid w:val="00C52DFA"/>
    <w:rsid w:val="00C52E95"/>
    <w:rsid w:val="00C52EA4"/>
    <w:rsid w:val="00C52EDD"/>
    <w:rsid w:val="00C52EE5"/>
    <w:rsid w:val="00C52F65"/>
    <w:rsid w:val="00C5321E"/>
    <w:rsid w:val="00C53380"/>
    <w:rsid w:val="00C535A1"/>
    <w:rsid w:val="00C53711"/>
    <w:rsid w:val="00C537F6"/>
    <w:rsid w:val="00C53913"/>
    <w:rsid w:val="00C53942"/>
    <w:rsid w:val="00C5396B"/>
    <w:rsid w:val="00C53A8C"/>
    <w:rsid w:val="00C53B0D"/>
    <w:rsid w:val="00C53B41"/>
    <w:rsid w:val="00C53E71"/>
    <w:rsid w:val="00C53ECE"/>
    <w:rsid w:val="00C53FE4"/>
    <w:rsid w:val="00C5411B"/>
    <w:rsid w:val="00C541A0"/>
    <w:rsid w:val="00C54362"/>
    <w:rsid w:val="00C544F0"/>
    <w:rsid w:val="00C545FF"/>
    <w:rsid w:val="00C5467A"/>
    <w:rsid w:val="00C546F1"/>
    <w:rsid w:val="00C54826"/>
    <w:rsid w:val="00C54AEB"/>
    <w:rsid w:val="00C54B47"/>
    <w:rsid w:val="00C54B4F"/>
    <w:rsid w:val="00C54B9F"/>
    <w:rsid w:val="00C54BF5"/>
    <w:rsid w:val="00C54C20"/>
    <w:rsid w:val="00C54E69"/>
    <w:rsid w:val="00C54EC7"/>
    <w:rsid w:val="00C54F5B"/>
    <w:rsid w:val="00C5505C"/>
    <w:rsid w:val="00C550A2"/>
    <w:rsid w:val="00C55102"/>
    <w:rsid w:val="00C55198"/>
    <w:rsid w:val="00C55289"/>
    <w:rsid w:val="00C5531C"/>
    <w:rsid w:val="00C5534B"/>
    <w:rsid w:val="00C553C2"/>
    <w:rsid w:val="00C553E4"/>
    <w:rsid w:val="00C553F6"/>
    <w:rsid w:val="00C55466"/>
    <w:rsid w:val="00C5547F"/>
    <w:rsid w:val="00C555AC"/>
    <w:rsid w:val="00C557DA"/>
    <w:rsid w:val="00C557FC"/>
    <w:rsid w:val="00C5580E"/>
    <w:rsid w:val="00C5584D"/>
    <w:rsid w:val="00C5586C"/>
    <w:rsid w:val="00C558F1"/>
    <w:rsid w:val="00C558F7"/>
    <w:rsid w:val="00C55BB3"/>
    <w:rsid w:val="00C55EBF"/>
    <w:rsid w:val="00C56100"/>
    <w:rsid w:val="00C5615B"/>
    <w:rsid w:val="00C56343"/>
    <w:rsid w:val="00C56356"/>
    <w:rsid w:val="00C56410"/>
    <w:rsid w:val="00C56411"/>
    <w:rsid w:val="00C564A3"/>
    <w:rsid w:val="00C564B4"/>
    <w:rsid w:val="00C564D5"/>
    <w:rsid w:val="00C564E9"/>
    <w:rsid w:val="00C56584"/>
    <w:rsid w:val="00C56981"/>
    <w:rsid w:val="00C56A55"/>
    <w:rsid w:val="00C56A6A"/>
    <w:rsid w:val="00C56AA2"/>
    <w:rsid w:val="00C56BC4"/>
    <w:rsid w:val="00C56CA7"/>
    <w:rsid w:val="00C56CB1"/>
    <w:rsid w:val="00C56E07"/>
    <w:rsid w:val="00C56E1D"/>
    <w:rsid w:val="00C56F23"/>
    <w:rsid w:val="00C56FB0"/>
    <w:rsid w:val="00C570FD"/>
    <w:rsid w:val="00C571CA"/>
    <w:rsid w:val="00C57281"/>
    <w:rsid w:val="00C5736D"/>
    <w:rsid w:val="00C57609"/>
    <w:rsid w:val="00C578B6"/>
    <w:rsid w:val="00C578B8"/>
    <w:rsid w:val="00C578D5"/>
    <w:rsid w:val="00C57A86"/>
    <w:rsid w:val="00C57ABA"/>
    <w:rsid w:val="00C57CCE"/>
    <w:rsid w:val="00C57D4C"/>
    <w:rsid w:val="00C57D89"/>
    <w:rsid w:val="00C57E15"/>
    <w:rsid w:val="00C57E3C"/>
    <w:rsid w:val="00C57E3F"/>
    <w:rsid w:val="00C57F47"/>
    <w:rsid w:val="00C60187"/>
    <w:rsid w:val="00C601C8"/>
    <w:rsid w:val="00C601F3"/>
    <w:rsid w:val="00C60223"/>
    <w:rsid w:val="00C60360"/>
    <w:rsid w:val="00C60439"/>
    <w:rsid w:val="00C6046A"/>
    <w:rsid w:val="00C604F5"/>
    <w:rsid w:val="00C6051C"/>
    <w:rsid w:val="00C6052A"/>
    <w:rsid w:val="00C60567"/>
    <w:rsid w:val="00C60678"/>
    <w:rsid w:val="00C606A0"/>
    <w:rsid w:val="00C60717"/>
    <w:rsid w:val="00C60791"/>
    <w:rsid w:val="00C609C3"/>
    <w:rsid w:val="00C60A40"/>
    <w:rsid w:val="00C60AC3"/>
    <w:rsid w:val="00C60B18"/>
    <w:rsid w:val="00C60D62"/>
    <w:rsid w:val="00C60D72"/>
    <w:rsid w:val="00C60D9B"/>
    <w:rsid w:val="00C60EE0"/>
    <w:rsid w:val="00C61031"/>
    <w:rsid w:val="00C610AB"/>
    <w:rsid w:val="00C6112B"/>
    <w:rsid w:val="00C61299"/>
    <w:rsid w:val="00C61336"/>
    <w:rsid w:val="00C613C4"/>
    <w:rsid w:val="00C61565"/>
    <w:rsid w:val="00C615CD"/>
    <w:rsid w:val="00C6168A"/>
    <w:rsid w:val="00C6177B"/>
    <w:rsid w:val="00C61784"/>
    <w:rsid w:val="00C61879"/>
    <w:rsid w:val="00C61942"/>
    <w:rsid w:val="00C619A6"/>
    <w:rsid w:val="00C61AA5"/>
    <w:rsid w:val="00C61C96"/>
    <w:rsid w:val="00C61D49"/>
    <w:rsid w:val="00C61F0E"/>
    <w:rsid w:val="00C6204D"/>
    <w:rsid w:val="00C6211B"/>
    <w:rsid w:val="00C622DA"/>
    <w:rsid w:val="00C6233A"/>
    <w:rsid w:val="00C62446"/>
    <w:rsid w:val="00C6259C"/>
    <w:rsid w:val="00C626D3"/>
    <w:rsid w:val="00C626DB"/>
    <w:rsid w:val="00C6279D"/>
    <w:rsid w:val="00C628A2"/>
    <w:rsid w:val="00C628BC"/>
    <w:rsid w:val="00C629AD"/>
    <w:rsid w:val="00C62B3C"/>
    <w:rsid w:val="00C62DA4"/>
    <w:rsid w:val="00C62E2E"/>
    <w:rsid w:val="00C631B8"/>
    <w:rsid w:val="00C63220"/>
    <w:rsid w:val="00C63307"/>
    <w:rsid w:val="00C63481"/>
    <w:rsid w:val="00C63730"/>
    <w:rsid w:val="00C637B2"/>
    <w:rsid w:val="00C637B9"/>
    <w:rsid w:val="00C63918"/>
    <w:rsid w:val="00C639B9"/>
    <w:rsid w:val="00C63A76"/>
    <w:rsid w:val="00C63A81"/>
    <w:rsid w:val="00C63B4C"/>
    <w:rsid w:val="00C63C52"/>
    <w:rsid w:val="00C63DF4"/>
    <w:rsid w:val="00C63E33"/>
    <w:rsid w:val="00C63F80"/>
    <w:rsid w:val="00C64014"/>
    <w:rsid w:val="00C6406F"/>
    <w:rsid w:val="00C640E1"/>
    <w:rsid w:val="00C64188"/>
    <w:rsid w:val="00C642AC"/>
    <w:rsid w:val="00C642BE"/>
    <w:rsid w:val="00C64336"/>
    <w:rsid w:val="00C64352"/>
    <w:rsid w:val="00C6444E"/>
    <w:rsid w:val="00C64466"/>
    <w:rsid w:val="00C64476"/>
    <w:rsid w:val="00C6451A"/>
    <w:rsid w:val="00C64617"/>
    <w:rsid w:val="00C647D4"/>
    <w:rsid w:val="00C64868"/>
    <w:rsid w:val="00C649AA"/>
    <w:rsid w:val="00C649C1"/>
    <w:rsid w:val="00C64D9B"/>
    <w:rsid w:val="00C64E4D"/>
    <w:rsid w:val="00C64ECD"/>
    <w:rsid w:val="00C6503E"/>
    <w:rsid w:val="00C65401"/>
    <w:rsid w:val="00C65471"/>
    <w:rsid w:val="00C6549F"/>
    <w:rsid w:val="00C655E4"/>
    <w:rsid w:val="00C6564C"/>
    <w:rsid w:val="00C656C5"/>
    <w:rsid w:val="00C6570F"/>
    <w:rsid w:val="00C65760"/>
    <w:rsid w:val="00C6576A"/>
    <w:rsid w:val="00C6577A"/>
    <w:rsid w:val="00C657F2"/>
    <w:rsid w:val="00C6581A"/>
    <w:rsid w:val="00C65847"/>
    <w:rsid w:val="00C658FA"/>
    <w:rsid w:val="00C65ACE"/>
    <w:rsid w:val="00C65BF3"/>
    <w:rsid w:val="00C65DD5"/>
    <w:rsid w:val="00C65E61"/>
    <w:rsid w:val="00C65EC7"/>
    <w:rsid w:val="00C65F8E"/>
    <w:rsid w:val="00C66003"/>
    <w:rsid w:val="00C6601D"/>
    <w:rsid w:val="00C66081"/>
    <w:rsid w:val="00C66083"/>
    <w:rsid w:val="00C661AA"/>
    <w:rsid w:val="00C661FD"/>
    <w:rsid w:val="00C66213"/>
    <w:rsid w:val="00C66428"/>
    <w:rsid w:val="00C66531"/>
    <w:rsid w:val="00C66581"/>
    <w:rsid w:val="00C666EC"/>
    <w:rsid w:val="00C66782"/>
    <w:rsid w:val="00C66882"/>
    <w:rsid w:val="00C668F7"/>
    <w:rsid w:val="00C668FB"/>
    <w:rsid w:val="00C66BE3"/>
    <w:rsid w:val="00C66D05"/>
    <w:rsid w:val="00C66DFC"/>
    <w:rsid w:val="00C66E15"/>
    <w:rsid w:val="00C66E61"/>
    <w:rsid w:val="00C66E95"/>
    <w:rsid w:val="00C67001"/>
    <w:rsid w:val="00C670EF"/>
    <w:rsid w:val="00C6718A"/>
    <w:rsid w:val="00C67237"/>
    <w:rsid w:val="00C6732F"/>
    <w:rsid w:val="00C673CF"/>
    <w:rsid w:val="00C673D4"/>
    <w:rsid w:val="00C673DD"/>
    <w:rsid w:val="00C6751C"/>
    <w:rsid w:val="00C67670"/>
    <w:rsid w:val="00C676AC"/>
    <w:rsid w:val="00C67705"/>
    <w:rsid w:val="00C679CE"/>
    <w:rsid w:val="00C67AA9"/>
    <w:rsid w:val="00C67BB8"/>
    <w:rsid w:val="00C67C2F"/>
    <w:rsid w:val="00C67CDC"/>
    <w:rsid w:val="00C67E41"/>
    <w:rsid w:val="00C67E45"/>
    <w:rsid w:val="00C67EE0"/>
    <w:rsid w:val="00C67F46"/>
    <w:rsid w:val="00C7000F"/>
    <w:rsid w:val="00C700B2"/>
    <w:rsid w:val="00C700C5"/>
    <w:rsid w:val="00C702D1"/>
    <w:rsid w:val="00C702D5"/>
    <w:rsid w:val="00C702F4"/>
    <w:rsid w:val="00C703C1"/>
    <w:rsid w:val="00C70410"/>
    <w:rsid w:val="00C7053C"/>
    <w:rsid w:val="00C705CE"/>
    <w:rsid w:val="00C70633"/>
    <w:rsid w:val="00C706A9"/>
    <w:rsid w:val="00C706E9"/>
    <w:rsid w:val="00C707BA"/>
    <w:rsid w:val="00C70A62"/>
    <w:rsid w:val="00C70AEE"/>
    <w:rsid w:val="00C70B3B"/>
    <w:rsid w:val="00C70EA1"/>
    <w:rsid w:val="00C7136F"/>
    <w:rsid w:val="00C713ED"/>
    <w:rsid w:val="00C7140E"/>
    <w:rsid w:val="00C71488"/>
    <w:rsid w:val="00C714F8"/>
    <w:rsid w:val="00C715B2"/>
    <w:rsid w:val="00C71770"/>
    <w:rsid w:val="00C71788"/>
    <w:rsid w:val="00C7187C"/>
    <w:rsid w:val="00C719A1"/>
    <w:rsid w:val="00C71A53"/>
    <w:rsid w:val="00C71C37"/>
    <w:rsid w:val="00C71C9F"/>
    <w:rsid w:val="00C71CF1"/>
    <w:rsid w:val="00C71E7A"/>
    <w:rsid w:val="00C720C3"/>
    <w:rsid w:val="00C72318"/>
    <w:rsid w:val="00C723C4"/>
    <w:rsid w:val="00C724E0"/>
    <w:rsid w:val="00C724E6"/>
    <w:rsid w:val="00C725A5"/>
    <w:rsid w:val="00C72913"/>
    <w:rsid w:val="00C729B8"/>
    <w:rsid w:val="00C72A35"/>
    <w:rsid w:val="00C72A44"/>
    <w:rsid w:val="00C72C7C"/>
    <w:rsid w:val="00C72F17"/>
    <w:rsid w:val="00C7300E"/>
    <w:rsid w:val="00C730AA"/>
    <w:rsid w:val="00C730AF"/>
    <w:rsid w:val="00C730CB"/>
    <w:rsid w:val="00C73168"/>
    <w:rsid w:val="00C732E9"/>
    <w:rsid w:val="00C732F7"/>
    <w:rsid w:val="00C7335E"/>
    <w:rsid w:val="00C734B1"/>
    <w:rsid w:val="00C7355F"/>
    <w:rsid w:val="00C7364E"/>
    <w:rsid w:val="00C73685"/>
    <w:rsid w:val="00C73754"/>
    <w:rsid w:val="00C73809"/>
    <w:rsid w:val="00C738D5"/>
    <w:rsid w:val="00C73942"/>
    <w:rsid w:val="00C73CA7"/>
    <w:rsid w:val="00C73CB3"/>
    <w:rsid w:val="00C73CE1"/>
    <w:rsid w:val="00C73D24"/>
    <w:rsid w:val="00C73DAD"/>
    <w:rsid w:val="00C73DB2"/>
    <w:rsid w:val="00C73DC0"/>
    <w:rsid w:val="00C73E54"/>
    <w:rsid w:val="00C73F5F"/>
    <w:rsid w:val="00C74066"/>
    <w:rsid w:val="00C7409F"/>
    <w:rsid w:val="00C74217"/>
    <w:rsid w:val="00C7428A"/>
    <w:rsid w:val="00C742A7"/>
    <w:rsid w:val="00C742E7"/>
    <w:rsid w:val="00C743E4"/>
    <w:rsid w:val="00C74510"/>
    <w:rsid w:val="00C7455D"/>
    <w:rsid w:val="00C74573"/>
    <w:rsid w:val="00C7457B"/>
    <w:rsid w:val="00C74583"/>
    <w:rsid w:val="00C745B2"/>
    <w:rsid w:val="00C745E7"/>
    <w:rsid w:val="00C74791"/>
    <w:rsid w:val="00C747A5"/>
    <w:rsid w:val="00C7483F"/>
    <w:rsid w:val="00C748DD"/>
    <w:rsid w:val="00C749C7"/>
    <w:rsid w:val="00C74A2B"/>
    <w:rsid w:val="00C74B5D"/>
    <w:rsid w:val="00C74B6D"/>
    <w:rsid w:val="00C74D85"/>
    <w:rsid w:val="00C74D9E"/>
    <w:rsid w:val="00C74E48"/>
    <w:rsid w:val="00C74E7E"/>
    <w:rsid w:val="00C74EB0"/>
    <w:rsid w:val="00C750CA"/>
    <w:rsid w:val="00C750F0"/>
    <w:rsid w:val="00C7511B"/>
    <w:rsid w:val="00C75180"/>
    <w:rsid w:val="00C7523C"/>
    <w:rsid w:val="00C75321"/>
    <w:rsid w:val="00C75342"/>
    <w:rsid w:val="00C75348"/>
    <w:rsid w:val="00C753C0"/>
    <w:rsid w:val="00C75488"/>
    <w:rsid w:val="00C7574E"/>
    <w:rsid w:val="00C757CE"/>
    <w:rsid w:val="00C75858"/>
    <w:rsid w:val="00C758F2"/>
    <w:rsid w:val="00C759A6"/>
    <w:rsid w:val="00C759E2"/>
    <w:rsid w:val="00C75B2C"/>
    <w:rsid w:val="00C75B4A"/>
    <w:rsid w:val="00C75E1B"/>
    <w:rsid w:val="00C75E90"/>
    <w:rsid w:val="00C76074"/>
    <w:rsid w:val="00C76103"/>
    <w:rsid w:val="00C7610E"/>
    <w:rsid w:val="00C76270"/>
    <w:rsid w:val="00C7627E"/>
    <w:rsid w:val="00C76434"/>
    <w:rsid w:val="00C76498"/>
    <w:rsid w:val="00C76A24"/>
    <w:rsid w:val="00C76AD8"/>
    <w:rsid w:val="00C76ADE"/>
    <w:rsid w:val="00C76B2C"/>
    <w:rsid w:val="00C76D9E"/>
    <w:rsid w:val="00C76F6A"/>
    <w:rsid w:val="00C770EB"/>
    <w:rsid w:val="00C771E9"/>
    <w:rsid w:val="00C772C7"/>
    <w:rsid w:val="00C77552"/>
    <w:rsid w:val="00C777F5"/>
    <w:rsid w:val="00C77836"/>
    <w:rsid w:val="00C778EE"/>
    <w:rsid w:val="00C77A0A"/>
    <w:rsid w:val="00C77E14"/>
    <w:rsid w:val="00C77E35"/>
    <w:rsid w:val="00C77F36"/>
    <w:rsid w:val="00C77F81"/>
    <w:rsid w:val="00C77FB9"/>
    <w:rsid w:val="00C800CF"/>
    <w:rsid w:val="00C801C2"/>
    <w:rsid w:val="00C801DD"/>
    <w:rsid w:val="00C801DF"/>
    <w:rsid w:val="00C80259"/>
    <w:rsid w:val="00C80319"/>
    <w:rsid w:val="00C8032C"/>
    <w:rsid w:val="00C80395"/>
    <w:rsid w:val="00C8047D"/>
    <w:rsid w:val="00C805C5"/>
    <w:rsid w:val="00C805D3"/>
    <w:rsid w:val="00C806D1"/>
    <w:rsid w:val="00C808F1"/>
    <w:rsid w:val="00C8097E"/>
    <w:rsid w:val="00C809C3"/>
    <w:rsid w:val="00C80B9B"/>
    <w:rsid w:val="00C80C80"/>
    <w:rsid w:val="00C80C94"/>
    <w:rsid w:val="00C80E70"/>
    <w:rsid w:val="00C81032"/>
    <w:rsid w:val="00C810C0"/>
    <w:rsid w:val="00C810D7"/>
    <w:rsid w:val="00C811C1"/>
    <w:rsid w:val="00C81214"/>
    <w:rsid w:val="00C81264"/>
    <w:rsid w:val="00C81290"/>
    <w:rsid w:val="00C812E2"/>
    <w:rsid w:val="00C812EE"/>
    <w:rsid w:val="00C8131D"/>
    <w:rsid w:val="00C8133A"/>
    <w:rsid w:val="00C81343"/>
    <w:rsid w:val="00C817BB"/>
    <w:rsid w:val="00C81803"/>
    <w:rsid w:val="00C81807"/>
    <w:rsid w:val="00C8183A"/>
    <w:rsid w:val="00C818C2"/>
    <w:rsid w:val="00C818CC"/>
    <w:rsid w:val="00C8190D"/>
    <w:rsid w:val="00C8198A"/>
    <w:rsid w:val="00C81A7E"/>
    <w:rsid w:val="00C81B73"/>
    <w:rsid w:val="00C81C83"/>
    <w:rsid w:val="00C81C8D"/>
    <w:rsid w:val="00C81F2A"/>
    <w:rsid w:val="00C82121"/>
    <w:rsid w:val="00C8217A"/>
    <w:rsid w:val="00C822A1"/>
    <w:rsid w:val="00C822B8"/>
    <w:rsid w:val="00C823BE"/>
    <w:rsid w:val="00C824AD"/>
    <w:rsid w:val="00C824EB"/>
    <w:rsid w:val="00C825A8"/>
    <w:rsid w:val="00C828DF"/>
    <w:rsid w:val="00C82A61"/>
    <w:rsid w:val="00C82B02"/>
    <w:rsid w:val="00C82B03"/>
    <w:rsid w:val="00C82B42"/>
    <w:rsid w:val="00C82C27"/>
    <w:rsid w:val="00C82C5E"/>
    <w:rsid w:val="00C82CE2"/>
    <w:rsid w:val="00C82D49"/>
    <w:rsid w:val="00C82D5B"/>
    <w:rsid w:val="00C82D95"/>
    <w:rsid w:val="00C8311E"/>
    <w:rsid w:val="00C83136"/>
    <w:rsid w:val="00C83346"/>
    <w:rsid w:val="00C833D8"/>
    <w:rsid w:val="00C833F6"/>
    <w:rsid w:val="00C834DA"/>
    <w:rsid w:val="00C834DE"/>
    <w:rsid w:val="00C835FC"/>
    <w:rsid w:val="00C83685"/>
    <w:rsid w:val="00C8376D"/>
    <w:rsid w:val="00C83798"/>
    <w:rsid w:val="00C837D3"/>
    <w:rsid w:val="00C838F5"/>
    <w:rsid w:val="00C8394A"/>
    <w:rsid w:val="00C839C1"/>
    <w:rsid w:val="00C839EA"/>
    <w:rsid w:val="00C83BA5"/>
    <w:rsid w:val="00C83CEF"/>
    <w:rsid w:val="00C83F4C"/>
    <w:rsid w:val="00C83F5A"/>
    <w:rsid w:val="00C83FA3"/>
    <w:rsid w:val="00C84029"/>
    <w:rsid w:val="00C841CA"/>
    <w:rsid w:val="00C84241"/>
    <w:rsid w:val="00C843BC"/>
    <w:rsid w:val="00C844CF"/>
    <w:rsid w:val="00C84509"/>
    <w:rsid w:val="00C8460B"/>
    <w:rsid w:val="00C8470A"/>
    <w:rsid w:val="00C84735"/>
    <w:rsid w:val="00C8473C"/>
    <w:rsid w:val="00C848B5"/>
    <w:rsid w:val="00C84B7A"/>
    <w:rsid w:val="00C84B88"/>
    <w:rsid w:val="00C84C6A"/>
    <w:rsid w:val="00C84D54"/>
    <w:rsid w:val="00C84FB1"/>
    <w:rsid w:val="00C84FC8"/>
    <w:rsid w:val="00C85004"/>
    <w:rsid w:val="00C850D9"/>
    <w:rsid w:val="00C85186"/>
    <w:rsid w:val="00C85314"/>
    <w:rsid w:val="00C853A6"/>
    <w:rsid w:val="00C85496"/>
    <w:rsid w:val="00C8569C"/>
    <w:rsid w:val="00C856B1"/>
    <w:rsid w:val="00C85806"/>
    <w:rsid w:val="00C8580B"/>
    <w:rsid w:val="00C85837"/>
    <w:rsid w:val="00C85ACC"/>
    <w:rsid w:val="00C85B14"/>
    <w:rsid w:val="00C85C60"/>
    <w:rsid w:val="00C85D89"/>
    <w:rsid w:val="00C85DB8"/>
    <w:rsid w:val="00C85F13"/>
    <w:rsid w:val="00C85F61"/>
    <w:rsid w:val="00C85F91"/>
    <w:rsid w:val="00C85FBA"/>
    <w:rsid w:val="00C86148"/>
    <w:rsid w:val="00C861FB"/>
    <w:rsid w:val="00C86243"/>
    <w:rsid w:val="00C862B4"/>
    <w:rsid w:val="00C8636A"/>
    <w:rsid w:val="00C864FF"/>
    <w:rsid w:val="00C8654B"/>
    <w:rsid w:val="00C865BE"/>
    <w:rsid w:val="00C865E7"/>
    <w:rsid w:val="00C86769"/>
    <w:rsid w:val="00C86825"/>
    <w:rsid w:val="00C86886"/>
    <w:rsid w:val="00C86A00"/>
    <w:rsid w:val="00C86A8E"/>
    <w:rsid w:val="00C86D92"/>
    <w:rsid w:val="00C86E76"/>
    <w:rsid w:val="00C86F18"/>
    <w:rsid w:val="00C87035"/>
    <w:rsid w:val="00C870DE"/>
    <w:rsid w:val="00C8713A"/>
    <w:rsid w:val="00C871C5"/>
    <w:rsid w:val="00C87348"/>
    <w:rsid w:val="00C874CF"/>
    <w:rsid w:val="00C8753D"/>
    <w:rsid w:val="00C875C5"/>
    <w:rsid w:val="00C87834"/>
    <w:rsid w:val="00C87863"/>
    <w:rsid w:val="00C87B27"/>
    <w:rsid w:val="00C87C2F"/>
    <w:rsid w:val="00C87C4A"/>
    <w:rsid w:val="00C87CF3"/>
    <w:rsid w:val="00C87D27"/>
    <w:rsid w:val="00C9006A"/>
    <w:rsid w:val="00C90399"/>
    <w:rsid w:val="00C903E9"/>
    <w:rsid w:val="00C9061A"/>
    <w:rsid w:val="00C906A7"/>
    <w:rsid w:val="00C90999"/>
    <w:rsid w:val="00C909EA"/>
    <w:rsid w:val="00C90AB6"/>
    <w:rsid w:val="00C90AFB"/>
    <w:rsid w:val="00C90BB3"/>
    <w:rsid w:val="00C90CC3"/>
    <w:rsid w:val="00C90CFC"/>
    <w:rsid w:val="00C90DAF"/>
    <w:rsid w:val="00C90DF8"/>
    <w:rsid w:val="00C90EF4"/>
    <w:rsid w:val="00C90F2D"/>
    <w:rsid w:val="00C90FB5"/>
    <w:rsid w:val="00C91041"/>
    <w:rsid w:val="00C911DD"/>
    <w:rsid w:val="00C91230"/>
    <w:rsid w:val="00C91249"/>
    <w:rsid w:val="00C912EE"/>
    <w:rsid w:val="00C9134A"/>
    <w:rsid w:val="00C9139A"/>
    <w:rsid w:val="00C914BB"/>
    <w:rsid w:val="00C915BF"/>
    <w:rsid w:val="00C916A0"/>
    <w:rsid w:val="00C916A6"/>
    <w:rsid w:val="00C919B0"/>
    <w:rsid w:val="00C91AC1"/>
    <w:rsid w:val="00C91BAA"/>
    <w:rsid w:val="00C91BD1"/>
    <w:rsid w:val="00C91C07"/>
    <w:rsid w:val="00C91C68"/>
    <w:rsid w:val="00C91D56"/>
    <w:rsid w:val="00C91D57"/>
    <w:rsid w:val="00C91D60"/>
    <w:rsid w:val="00C91DC6"/>
    <w:rsid w:val="00C91F54"/>
    <w:rsid w:val="00C91FE8"/>
    <w:rsid w:val="00C92110"/>
    <w:rsid w:val="00C9212C"/>
    <w:rsid w:val="00C92194"/>
    <w:rsid w:val="00C921A6"/>
    <w:rsid w:val="00C921FE"/>
    <w:rsid w:val="00C92260"/>
    <w:rsid w:val="00C92395"/>
    <w:rsid w:val="00C924A9"/>
    <w:rsid w:val="00C924B5"/>
    <w:rsid w:val="00C92682"/>
    <w:rsid w:val="00C927E6"/>
    <w:rsid w:val="00C92864"/>
    <w:rsid w:val="00C92884"/>
    <w:rsid w:val="00C928D1"/>
    <w:rsid w:val="00C92910"/>
    <w:rsid w:val="00C9292E"/>
    <w:rsid w:val="00C92B57"/>
    <w:rsid w:val="00C92B89"/>
    <w:rsid w:val="00C92DB8"/>
    <w:rsid w:val="00C92EAE"/>
    <w:rsid w:val="00C92EB2"/>
    <w:rsid w:val="00C92EB5"/>
    <w:rsid w:val="00C92FB6"/>
    <w:rsid w:val="00C93118"/>
    <w:rsid w:val="00C9315D"/>
    <w:rsid w:val="00C9325E"/>
    <w:rsid w:val="00C9378A"/>
    <w:rsid w:val="00C938E7"/>
    <w:rsid w:val="00C9391A"/>
    <w:rsid w:val="00C93950"/>
    <w:rsid w:val="00C93AB3"/>
    <w:rsid w:val="00C93CE6"/>
    <w:rsid w:val="00C93DCF"/>
    <w:rsid w:val="00C93E11"/>
    <w:rsid w:val="00C93E75"/>
    <w:rsid w:val="00C93EC7"/>
    <w:rsid w:val="00C93F75"/>
    <w:rsid w:val="00C93FC7"/>
    <w:rsid w:val="00C94080"/>
    <w:rsid w:val="00C941D9"/>
    <w:rsid w:val="00C943A5"/>
    <w:rsid w:val="00C94406"/>
    <w:rsid w:val="00C944EA"/>
    <w:rsid w:val="00C946C9"/>
    <w:rsid w:val="00C9495E"/>
    <w:rsid w:val="00C94A6E"/>
    <w:rsid w:val="00C94B74"/>
    <w:rsid w:val="00C94C36"/>
    <w:rsid w:val="00C950B2"/>
    <w:rsid w:val="00C951FE"/>
    <w:rsid w:val="00C95224"/>
    <w:rsid w:val="00C9522B"/>
    <w:rsid w:val="00C95351"/>
    <w:rsid w:val="00C954A5"/>
    <w:rsid w:val="00C956E8"/>
    <w:rsid w:val="00C95911"/>
    <w:rsid w:val="00C95942"/>
    <w:rsid w:val="00C95A3E"/>
    <w:rsid w:val="00C95F07"/>
    <w:rsid w:val="00C961E7"/>
    <w:rsid w:val="00C9627A"/>
    <w:rsid w:val="00C96336"/>
    <w:rsid w:val="00C963D6"/>
    <w:rsid w:val="00C963F1"/>
    <w:rsid w:val="00C96451"/>
    <w:rsid w:val="00C9649F"/>
    <w:rsid w:val="00C964E0"/>
    <w:rsid w:val="00C9656A"/>
    <w:rsid w:val="00C96592"/>
    <w:rsid w:val="00C9663B"/>
    <w:rsid w:val="00C96655"/>
    <w:rsid w:val="00C96717"/>
    <w:rsid w:val="00C9699F"/>
    <w:rsid w:val="00C969EB"/>
    <w:rsid w:val="00C96A45"/>
    <w:rsid w:val="00C96A61"/>
    <w:rsid w:val="00C96B6E"/>
    <w:rsid w:val="00C96CC1"/>
    <w:rsid w:val="00C96CD9"/>
    <w:rsid w:val="00C96CF3"/>
    <w:rsid w:val="00C96D75"/>
    <w:rsid w:val="00C96DA5"/>
    <w:rsid w:val="00C96DDA"/>
    <w:rsid w:val="00C96EAE"/>
    <w:rsid w:val="00C96EE1"/>
    <w:rsid w:val="00C96F57"/>
    <w:rsid w:val="00C97122"/>
    <w:rsid w:val="00C9716E"/>
    <w:rsid w:val="00C9719C"/>
    <w:rsid w:val="00C9733C"/>
    <w:rsid w:val="00C9739B"/>
    <w:rsid w:val="00C9740E"/>
    <w:rsid w:val="00C975C9"/>
    <w:rsid w:val="00C97653"/>
    <w:rsid w:val="00C97725"/>
    <w:rsid w:val="00C978E1"/>
    <w:rsid w:val="00C9795C"/>
    <w:rsid w:val="00C979B8"/>
    <w:rsid w:val="00C979EA"/>
    <w:rsid w:val="00C97A3B"/>
    <w:rsid w:val="00C97A93"/>
    <w:rsid w:val="00C97AFC"/>
    <w:rsid w:val="00C97C02"/>
    <w:rsid w:val="00C97CDC"/>
    <w:rsid w:val="00C97D09"/>
    <w:rsid w:val="00C97DB7"/>
    <w:rsid w:val="00C97DB9"/>
    <w:rsid w:val="00C97E10"/>
    <w:rsid w:val="00C97EA8"/>
    <w:rsid w:val="00C97F32"/>
    <w:rsid w:val="00CA002A"/>
    <w:rsid w:val="00CA004B"/>
    <w:rsid w:val="00CA00A0"/>
    <w:rsid w:val="00CA0116"/>
    <w:rsid w:val="00CA029A"/>
    <w:rsid w:val="00CA03F0"/>
    <w:rsid w:val="00CA03F7"/>
    <w:rsid w:val="00CA0480"/>
    <w:rsid w:val="00CA0492"/>
    <w:rsid w:val="00CA069C"/>
    <w:rsid w:val="00CA06B0"/>
    <w:rsid w:val="00CA0743"/>
    <w:rsid w:val="00CA0B0D"/>
    <w:rsid w:val="00CA0BE7"/>
    <w:rsid w:val="00CA0BEA"/>
    <w:rsid w:val="00CA0C37"/>
    <w:rsid w:val="00CA0D3A"/>
    <w:rsid w:val="00CA0D61"/>
    <w:rsid w:val="00CA0E0A"/>
    <w:rsid w:val="00CA0EBE"/>
    <w:rsid w:val="00CA0F7D"/>
    <w:rsid w:val="00CA100F"/>
    <w:rsid w:val="00CA126E"/>
    <w:rsid w:val="00CA1293"/>
    <w:rsid w:val="00CA1318"/>
    <w:rsid w:val="00CA139F"/>
    <w:rsid w:val="00CA13D2"/>
    <w:rsid w:val="00CA1551"/>
    <w:rsid w:val="00CA1559"/>
    <w:rsid w:val="00CA1636"/>
    <w:rsid w:val="00CA173B"/>
    <w:rsid w:val="00CA190B"/>
    <w:rsid w:val="00CA19F5"/>
    <w:rsid w:val="00CA1A41"/>
    <w:rsid w:val="00CA1B0D"/>
    <w:rsid w:val="00CA1B33"/>
    <w:rsid w:val="00CA1B6B"/>
    <w:rsid w:val="00CA1BE8"/>
    <w:rsid w:val="00CA1DDB"/>
    <w:rsid w:val="00CA1E01"/>
    <w:rsid w:val="00CA1E68"/>
    <w:rsid w:val="00CA1ED1"/>
    <w:rsid w:val="00CA1EE4"/>
    <w:rsid w:val="00CA20DD"/>
    <w:rsid w:val="00CA21FD"/>
    <w:rsid w:val="00CA224A"/>
    <w:rsid w:val="00CA2265"/>
    <w:rsid w:val="00CA2346"/>
    <w:rsid w:val="00CA2465"/>
    <w:rsid w:val="00CA24B3"/>
    <w:rsid w:val="00CA2587"/>
    <w:rsid w:val="00CA25BD"/>
    <w:rsid w:val="00CA27DA"/>
    <w:rsid w:val="00CA2980"/>
    <w:rsid w:val="00CA2AA1"/>
    <w:rsid w:val="00CA2BA0"/>
    <w:rsid w:val="00CA2BD7"/>
    <w:rsid w:val="00CA2CF1"/>
    <w:rsid w:val="00CA2D6C"/>
    <w:rsid w:val="00CA2DB2"/>
    <w:rsid w:val="00CA2E19"/>
    <w:rsid w:val="00CA2E52"/>
    <w:rsid w:val="00CA2F6B"/>
    <w:rsid w:val="00CA2FB3"/>
    <w:rsid w:val="00CA2FFF"/>
    <w:rsid w:val="00CA31F8"/>
    <w:rsid w:val="00CA3231"/>
    <w:rsid w:val="00CA3265"/>
    <w:rsid w:val="00CA350D"/>
    <w:rsid w:val="00CA356E"/>
    <w:rsid w:val="00CA35DA"/>
    <w:rsid w:val="00CA3703"/>
    <w:rsid w:val="00CA3743"/>
    <w:rsid w:val="00CA37F4"/>
    <w:rsid w:val="00CA396A"/>
    <w:rsid w:val="00CA3993"/>
    <w:rsid w:val="00CA3A8D"/>
    <w:rsid w:val="00CA3BD0"/>
    <w:rsid w:val="00CA4261"/>
    <w:rsid w:val="00CA4322"/>
    <w:rsid w:val="00CA43DB"/>
    <w:rsid w:val="00CA445B"/>
    <w:rsid w:val="00CA4501"/>
    <w:rsid w:val="00CA478A"/>
    <w:rsid w:val="00CA4901"/>
    <w:rsid w:val="00CA4BC0"/>
    <w:rsid w:val="00CA4DE6"/>
    <w:rsid w:val="00CA520C"/>
    <w:rsid w:val="00CA52C5"/>
    <w:rsid w:val="00CA54EC"/>
    <w:rsid w:val="00CA56DD"/>
    <w:rsid w:val="00CA56F5"/>
    <w:rsid w:val="00CA572C"/>
    <w:rsid w:val="00CA57A7"/>
    <w:rsid w:val="00CA594A"/>
    <w:rsid w:val="00CA59AD"/>
    <w:rsid w:val="00CA5A0A"/>
    <w:rsid w:val="00CA5CA8"/>
    <w:rsid w:val="00CA5CF9"/>
    <w:rsid w:val="00CA5D43"/>
    <w:rsid w:val="00CA5D77"/>
    <w:rsid w:val="00CA5EE6"/>
    <w:rsid w:val="00CA6020"/>
    <w:rsid w:val="00CA608F"/>
    <w:rsid w:val="00CA60EB"/>
    <w:rsid w:val="00CA6154"/>
    <w:rsid w:val="00CA6222"/>
    <w:rsid w:val="00CA62C8"/>
    <w:rsid w:val="00CA635C"/>
    <w:rsid w:val="00CA63BA"/>
    <w:rsid w:val="00CA646E"/>
    <w:rsid w:val="00CA664C"/>
    <w:rsid w:val="00CA6695"/>
    <w:rsid w:val="00CA6697"/>
    <w:rsid w:val="00CA678B"/>
    <w:rsid w:val="00CA683C"/>
    <w:rsid w:val="00CA6A05"/>
    <w:rsid w:val="00CA6A06"/>
    <w:rsid w:val="00CA6A34"/>
    <w:rsid w:val="00CA6BDF"/>
    <w:rsid w:val="00CA6C81"/>
    <w:rsid w:val="00CA6DB3"/>
    <w:rsid w:val="00CA6E9C"/>
    <w:rsid w:val="00CA709D"/>
    <w:rsid w:val="00CA7174"/>
    <w:rsid w:val="00CA7464"/>
    <w:rsid w:val="00CA747B"/>
    <w:rsid w:val="00CA7623"/>
    <w:rsid w:val="00CA767E"/>
    <w:rsid w:val="00CA775B"/>
    <w:rsid w:val="00CA77AC"/>
    <w:rsid w:val="00CA79F1"/>
    <w:rsid w:val="00CA79F5"/>
    <w:rsid w:val="00CA7AD9"/>
    <w:rsid w:val="00CA7B36"/>
    <w:rsid w:val="00CA7B8E"/>
    <w:rsid w:val="00CA7C5D"/>
    <w:rsid w:val="00CA7D3B"/>
    <w:rsid w:val="00CA7D6A"/>
    <w:rsid w:val="00CA7E5B"/>
    <w:rsid w:val="00CB00F6"/>
    <w:rsid w:val="00CB0157"/>
    <w:rsid w:val="00CB01A1"/>
    <w:rsid w:val="00CB026A"/>
    <w:rsid w:val="00CB0295"/>
    <w:rsid w:val="00CB031A"/>
    <w:rsid w:val="00CB05BA"/>
    <w:rsid w:val="00CB067B"/>
    <w:rsid w:val="00CB0697"/>
    <w:rsid w:val="00CB06CA"/>
    <w:rsid w:val="00CB06F9"/>
    <w:rsid w:val="00CB0BE3"/>
    <w:rsid w:val="00CB0D24"/>
    <w:rsid w:val="00CB0E1D"/>
    <w:rsid w:val="00CB0EA7"/>
    <w:rsid w:val="00CB1297"/>
    <w:rsid w:val="00CB12E1"/>
    <w:rsid w:val="00CB1529"/>
    <w:rsid w:val="00CB1535"/>
    <w:rsid w:val="00CB1843"/>
    <w:rsid w:val="00CB19B4"/>
    <w:rsid w:val="00CB19BD"/>
    <w:rsid w:val="00CB19E5"/>
    <w:rsid w:val="00CB1A29"/>
    <w:rsid w:val="00CB1AB2"/>
    <w:rsid w:val="00CB1B64"/>
    <w:rsid w:val="00CB1CE7"/>
    <w:rsid w:val="00CB1D19"/>
    <w:rsid w:val="00CB214F"/>
    <w:rsid w:val="00CB2256"/>
    <w:rsid w:val="00CB2343"/>
    <w:rsid w:val="00CB23C0"/>
    <w:rsid w:val="00CB2405"/>
    <w:rsid w:val="00CB2411"/>
    <w:rsid w:val="00CB248F"/>
    <w:rsid w:val="00CB25ED"/>
    <w:rsid w:val="00CB26FE"/>
    <w:rsid w:val="00CB2735"/>
    <w:rsid w:val="00CB27A6"/>
    <w:rsid w:val="00CB28CB"/>
    <w:rsid w:val="00CB28E9"/>
    <w:rsid w:val="00CB2995"/>
    <w:rsid w:val="00CB29ED"/>
    <w:rsid w:val="00CB2AC0"/>
    <w:rsid w:val="00CB2B2A"/>
    <w:rsid w:val="00CB2C27"/>
    <w:rsid w:val="00CB2D5D"/>
    <w:rsid w:val="00CB2DCF"/>
    <w:rsid w:val="00CB306C"/>
    <w:rsid w:val="00CB30AC"/>
    <w:rsid w:val="00CB30FF"/>
    <w:rsid w:val="00CB31B2"/>
    <w:rsid w:val="00CB3220"/>
    <w:rsid w:val="00CB335D"/>
    <w:rsid w:val="00CB3453"/>
    <w:rsid w:val="00CB35BF"/>
    <w:rsid w:val="00CB36B2"/>
    <w:rsid w:val="00CB3721"/>
    <w:rsid w:val="00CB3736"/>
    <w:rsid w:val="00CB3772"/>
    <w:rsid w:val="00CB38E3"/>
    <w:rsid w:val="00CB3999"/>
    <w:rsid w:val="00CB39B6"/>
    <w:rsid w:val="00CB3A26"/>
    <w:rsid w:val="00CB3D0E"/>
    <w:rsid w:val="00CB3DE8"/>
    <w:rsid w:val="00CB3E3C"/>
    <w:rsid w:val="00CB404E"/>
    <w:rsid w:val="00CB409B"/>
    <w:rsid w:val="00CB40F7"/>
    <w:rsid w:val="00CB4159"/>
    <w:rsid w:val="00CB4321"/>
    <w:rsid w:val="00CB44B8"/>
    <w:rsid w:val="00CB44D7"/>
    <w:rsid w:val="00CB4557"/>
    <w:rsid w:val="00CB455A"/>
    <w:rsid w:val="00CB45B2"/>
    <w:rsid w:val="00CB46EC"/>
    <w:rsid w:val="00CB470B"/>
    <w:rsid w:val="00CB4733"/>
    <w:rsid w:val="00CB47FF"/>
    <w:rsid w:val="00CB4A02"/>
    <w:rsid w:val="00CB4BCF"/>
    <w:rsid w:val="00CB4C9C"/>
    <w:rsid w:val="00CB5049"/>
    <w:rsid w:val="00CB5139"/>
    <w:rsid w:val="00CB5205"/>
    <w:rsid w:val="00CB5213"/>
    <w:rsid w:val="00CB5247"/>
    <w:rsid w:val="00CB540B"/>
    <w:rsid w:val="00CB5428"/>
    <w:rsid w:val="00CB57E9"/>
    <w:rsid w:val="00CB5849"/>
    <w:rsid w:val="00CB58C2"/>
    <w:rsid w:val="00CB590A"/>
    <w:rsid w:val="00CB59FC"/>
    <w:rsid w:val="00CB5AAA"/>
    <w:rsid w:val="00CB5B5F"/>
    <w:rsid w:val="00CB5BCF"/>
    <w:rsid w:val="00CB5DE4"/>
    <w:rsid w:val="00CB5DE6"/>
    <w:rsid w:val="00CB5F5C"/>
    <w:rsid w:val="00CB603D"/>
    <w:rsid w:val="00CB6165"/>
    <w:rsid w:val="00CB6176"/>
    <w:rsid w:val="00CB61CA"/>
    <w:rsid w:val="00CB620E"/>
    <w:rsid w:val="00CB6237"/>
    <w:rsid w:val="00CB64A3"/>
    <w:rsid w:val="00CB64C0"/>
    <w:rsid w:val="00CB64EE"/>
    <w:rsid w:val="00CB6506"/>
    <w:rsid w:val="00CB654A"/>
    <w:rsid w:val="00CB65AD"/>
    <w:rsid w:val="00CB6716"/>
    <w:rsid w:val="00CB67F9"/>
    <w:rsid w:val="00CB6962"/>
    <w:rsid w:val="00CB6A5F"/>
    <w:rsid w:val="00CB6C05"/>
    <w:rsid w:val="00CB6C1C"/>
    <w:rsid w:val="00CB7197"/>
    <w:rsid w:val="00CB71A6"/>
    <w:rsid w:val="00CB71B3"/>
    <w:rsid w:val="00CB71C3"/>
    <w:rsid w:val="00CB726D"/>
    <w:rsid w:val="00CB7292"/>
    <w:rsid w:val="00CB745E"/>
    <w:rsid w:val="00CB7780"/>
    <w:rsid w:val="00CB77A6"/>
    <w:rsid w:val="00CB79BD"/>
    <w:rsid w:val="00CB7B00"/>
    <w:rsid w:val="00CB7BBB"/>
    <w:rsid w:val="00CB7BE7"/>
    <w:rsid w:val="00CB7C07"/>
    <w:rsid w:val="00CB7C97"/>
    <w:rsid w:val="00CB7DB0"/>
    <w:rsid w:val="00CB7E12"/>
    <w:rsid w:val="00CC02B7"/>
    <w:rsid w:val="00CC0495"/>
    <w:rsid w:val="00CC060D"/>
    <w:rsid w:val="00CC0743"/>
    <w:rsid w:val="00CC07BC"/>
    <w:rsid w:val="00CC081F"/>
    <w:rsid w:val="00CC09CD"/>
    <w:rsid w:val="00CC0A25"/>
    <w:rsid w:val="00CC0A5E"/>
    <w:rsid w:val="00CC0C04"/>
    <w:rsid w:val="00CC0E09"/>
    <w:rsid w:val="00CC0EEB"/>
    <w:rsid w:val="00CC0F67"/>
    <w:rsid w:val="00CC112F"/>
    <w:rsid w:val="00CC125D"/>
    <w:rsid w:val="00CC12D9"/>
    <w:rsid w:val="00CC1353"/>
    <w:rsid w:val="00CC14DA"/>
    <w:rsid w:val="00CC14FC"/>
    <w:rsid w:val="00CC15A2"/>
    <w:rsid w:val="00CC1679"/>
    <w:rsid w:val="00CC170F"/>
    <w:rsid w:val="00CC187A"/>
    <w:rsid w:val="00CC1933"/>
    <w:rsid w:val="00CC1969"/>
    <w:rsid w:val="00CC1A4B"/>
    <w:rsid w:val="00CC1A6E"/>
    <w:rsid w:val="00CC1A94"/>
    <w:rsid w:val="00CC1B3A"/>
    <w:rsid w:val="00CC1BAD"/>
    <w:rsid w:val="00CC1E38"/>
    <w:rsid w:val="00CC1E47"/>
    <w:rsid w:val="00CC2268"/>
    <w:rsid w:val="00CC2317"/>
    <w:rsid w:val="00CC2334"/>
    <w:rsid w:val="00CC250D"/>
    <w:rsid w:val="00CC2536"/>
    <w:rsid w:val="00CC25B2"/>
    <w:rsid w:val="00CC2601"/>
    <w:rsid w:val="00CC2616"/>
    <w:rsid w:val="00CC2722"/>
    <w:rsid w:val="00CC2769"/>
    <w:rsid w:val="00CC2779"/>
    <w:rsid w:val="00CC2A28"/>
    <w:rsid w:val="00CC2A30"/>
    <w:rsid w:val="00CC2CA1"/>
    <w:rsid w:val="00CC2D7D"/>
    <w:rsid w:val="00CC2E7E"/>
    <w:rsid w:val="00CC2E81"/>
    <w:rsid w:val="00CC30A6"/>
    <w:rsid w:val="00CC30AC"/>
    <w:rsid w:val="00CC30BF"/>
    <w:rsid w:val="00CC31A2"/>
    <w:rsid w:val="00CC3225"/>
    <w:rsid w:val="00CC33D4"/>
    <w:rsid w:val="00CC3674"/>
    <w:rsid w:val="00CC3871"/>
    <w:rsid w:val="00CC388F"/>
    <w:rsid w:val="00CC389D"/>
    <w:rsid w:val="00CC38AC"/>
    <w:rsid w:val="00CC3915"/>
    <w:rsid w:val="00CC39A5"/>
    <w:rsid w:val="00CC3A53"/>
    <w:rsid w:val="00CC3E15"/>
    <w:rsid w:val="00CC40BE"/>
    <w:rsid w:val="00CC41AA"/>
    <w:rsid w:val="00CC42F5"/>
    <w:rsid w:val="00CC4303"/>
    <w:rsid w:val="00CC44DE"/>
    <w:rsid w:val="00CC45DE"/>
    <w:rsid w:val="00CC45E5"/>
    <w:rsid w:val="00CC4631"/>
    <w:rsid w:val="00CC46A1"/>
    <w:rsid w:val="00CC46C7"/>
    <w:rsid w:val="00CC46DF"/>
    <w:rsid w:val="00CC4926"/>
    <w:rsid w:val="00CC4927"/>
    <w:rsid w:val="00CC4A51"/>
    <w:rsid w:val="00CC4C6F"/>
    <w:rsid w:val="00CC4DE1"/>
    <w:rsid w:val="00CC4E55"/>
    <w:rsid w:val="00CC4EC5"/>
    <w:rsid w:val="00CC4F4B"/>
    <w:rsid w:val="00CC4FC6"/>
    <w:rsid w:val="00CC509B"/>
    <w:rsid w:val="00CC5194"/>
    <w:rsid w:val="00CC534C"/>
    <w:rsid w:val="00CC5360"/>
    <w:rsid w:val="00CC542A"/>
    <w:rsid w:val="00CC54F6"/>
    <w:rsid w:val="00CC5546"/>
    <w:rsid w:val="00CC557F"/>
    <w:rsid w:val="00CC5587"/>
    <w:rsid w:val="00CC559D"/>
    <w:rsid w:val="00CC56D9"/>
    <w:rsid w:val="00CC5729"/>
    <w:rsid w:val="00CC57A8"/>
    <w:rsid w:val="00CC57D9"/>
    <w:rsid w:val="00CC58B2"/>
    <w:rsid w:val="00CC5979"/>
    <w:rsid w:val="00CC5A57"/>
    <w:rsid w:val="00CC5AE7"/>
    <w:rsid w:val="00CC5BB4"/>
    <w:rsid w:val="00CC5C03"/>
    <w:rsid w:val="00CC5C34"/>
    <w:rsid w:val="00CC5D68"/>
    <w:rsid w:val="00CC6015"/>
    <w:rsid w:val="00CC6065"/>
    <w:rsid w:val="00CC60D1"/>
    <w:rsid w:val="00CC614A"/>
    <w:rsid w:val="00CC61E4"/>
    <w:rsid w:val="00CC634E"/>
    <w:rsid w:val="00CC66B3"/>
    <w:rsid w:val="00CC68D2"/>
    <w:rsid w:val="00CC699C"/>
    <w:rsid w:val="00CC69C9"/>
    <w:rsid w:val="00CC69FE"/>
    <w:rsid w:val="00CC6AC7"/>
    <w:rsid w:val="00CC6AF9"/>
    <w:rsid w:val="00CC6D10"/>
    <w:rsid w:val="00CC6D90"/>
    <w:rsid w:val="00CC6E63"/>
    <w:rsid w:val="00CC70C6"/>
    <w:rsid w:val="00CC7249"/>
    <w:rsid w:val="00CC72E1"/>
    <w:rsid w:val="00CC73D0"/>
    <w:rsid w:val="00CC7575"/>
    <w:rsid w:val="00CC7870"/>
    <w:rsid w:val="00CC798D"/>
    <w:rsid w:val="00CC79FA"/>
    <w:rsid w:val="00CC79FB"/>
    <w:rsid w:val="00CC7C80"/>
    <w:rsid w:val="00CC7C9A"/>
    <w:rsid w:val="00CC7E2C"/>
    <w:rsid w:val="00CC7EB4"/>
    <w:rsid w:val="00CC7F30"/>
    <w:rsid w:val="00CD00F6"/>
    <w:rsid w:val="00CD019D"/>
    <w:rsid w:val="00CD01FA"/>
    <w:rsid w:val="00CD02FF"/>
    <w:rsid w:val="00CD0466"/>
    <w:rsid w:val="00CD04E2"/>
    <w:rsid w:val="00CD055E"/>
    <w:rsid w:val="00CD056A"/>
    <w:rsid w:val="00CD060B"/>
    <w:rsid w:val="00CD069F"/>
    <w:rsid w:val="00CD0782"/>
    <w:rsid w:val="00CD07E4"/>
    <w:rsid w:val="00CD0807"/>
    <w:rsid w:val="00CD08C8"/>
    <w:rsid w:val="00CD097F"/>
    <w:rsid w:val="00CD09D0"/>
    <w:rsid w:val="00CD09D8"/>
    <w:rsid w:val="00CD0BF1"/>
    <w:rsid w:val="00CD0C13"/>
    <w:rsid w:val="00CD0D37"/>
    <w:rsid w:val="00CD0D38"/>
    <w:rsid w:val="00CD0D85"/>
    <w:rsid w:val="00CD0F7E"/>
    <w:rsid w:val="00CD0FDD"/>
    <w:rsid w:val="00CD0FDE"/>
    <w:rsid w:val="00CD1011"/>
    <w:rsid w:val="00CD1053"/>
    <w:rsid w:val="00CD11DF"/>
    <w:rsid w:val="00CD1363"/>
    <w:rsid w:val="00CD1533"/>
    <w:rsid w:val="00CD1628"/>
    <w:rsid w:val="00CD1649"/>
    <w:rsid w:val="00CD1673"/>
    <w:rsid w:val="00CD1793"/>
    <w:rsid w:val="00CD1799"/>
    <w:rsid w:val="00CD1906"/>
    <w:rsid w:val="00CD1946"/>
    <w:rsid w:val="00CD196C"/>
    <w:rsid w:val="00CD1D5B"/>
    <w:rsid w:val="00CD1DA0"/>
    <w:rsid w:val="00CD1DD0"/>
    <w:rsid w:val="00CD1E81"/>
    <w:rsid w:val="00CD1F17"/>
    <w:rsid w:val="00CD20B9"/>
    <w:rsid w:val="00CD2153"/>
    <w:rsid w:val="00CD2204"/>
    <w:rsid w:val="00CD22A1"/>
    <w:rsid w:val="00CD2393"/>
    <w:rsid w:val="00CD2399"/>
    <w:rsid w:val="00CD249A"/>
    <w:rsid w:val="00CD2600"/>
    <w:rsid w:val="00CD279A"/>
    <w:rsid w:val="00CD297F"/>
    <w:rsid w:val="00CD29E2"/>
    <w:rsid w:val="00CD2ACE"/>
    <w:rsid w:val="00CD2B18"/>
    <w:rsid w:val="00CD2BC2"/>
    <w:rsid w:val="00CD2C40"/>
    <w:rsid w:val="00CD2CA0"/>
    <w:rsid w:val="00CD2D7D"/>
    <w:rsid w:val="00CD30FF"/>
    <w:rsid w:val="00CD33DA"/>
    <w:rsid w:val="00CD350E"/>
    <w:rsid w:val="00CD3643"/>
    <w:rsid w:val="00CD37DC"/>
    <w:rsid w:val="00CD3810"/>
    <w:rsid w:val="00CD3864"/>
    <w:rsid w:val="00CD3B7B"/>
    <w:rsid w:val="00CD3E91"/>
    <w:rsid w:val="00CD3F44"/>
    <w:rsid w:val="00CD3F7D"/>
    <w:rsid w:val="00CD3FE7"/>
    <w:rsid w:val="00CD4293"/>
    <w:rsid w:val="00CD42B2"/>
    <w:rsid w:val="00CD43F3"/>
    <w:rsid w:val="00CD4646"/>
    <w:rsid w:val="00CD4776"/>
    <w:rsid w:val="00CD47F5"/>
    <w:rsid w:val="00CD48BE"/>
    <w:rsid w:val="00CD48EB"/>
    <w:rsid w:val="00CD4B46"/>
    <w:rsid w:val="00CD4B76"/>
    <w:rsid w:val="00CD4B7E"/>
    <w:rsid w:val="00CD4C2E"/>
    <w:rsid w:val="00CD4CAE"/>
    <w:rsid w:val="00CD4F95"/>
    <w:rsid w:val="00CD4FEE"/>
    <w:rsid w:val="00CD5120"/>
    <w:rsid w:val="00CD514A"/>
    <w:rsid w:val="00CD5160"/>
    <w:rsid w:val="00CD532B"/>
    <w:rsid w:val="00CD532C"/>
    <w:rsid w:val="00CD54E3"/>
    <w:rsid w:val="00CD55A2"/>
    <w:rsid w:val="00CD55F9"/>
    <w:rsid w:val="00CD591D"/>
    <w:rsid w:val="00CD5972"/>
    <w:rsid w:val="00CD5A0E"/>
    <w:rsid w:val="00CD5A35"/>
    <w:rsid w:val="00CD5B0C"/>
    <w:rsid w:val="00CD5B96"/>
    <w:rsid w:val="00CD5C5B"/>
    <w:rsid w:val="00CD5DD3"/>
    <w:rsid w:val="00CD5DF1"/>
    <w:rsid w:val="00CD5ED3"/>
    <w:rsid w:val="00CD5FB3"/>
    <w:rsid w:val="00CD5FCF"/>
    <w:rsid w:val="00CD6060"/>
    <w:rsid w:val="00CD6090"/>
    <w:rsid w:val="00CD6259"/>
    <w:rsid w:val="00CD6337"/>
    <w:rsid w:val="00CD6488"/>
    <w:rsid w:val="00CD64C0"/>
    <w:rsid w:val="00CD64E0"/>
    <w:rsid w:val="00CD654B"/>
    <w:rsid w:val="00CD654F"/>
    <w:rsid w:val="00CD66C8"/>
    <w:rsid w:val="00CD6721"/>
    <w:rsid w:val="00CD6739"/>
    <w:rsid w:val="00CD67DA"/>
    <w:rsid w:val="00CD6943"/>
    <w:rsid w:val="00CD6ABC"/>
    <w:rsid w:val="00CD6B0C"/>
    <w:rsid w:val="00CD6D15"/>
    <w:rsid w:val="00CD6D2B"/>
    <w:rsid w:val="00CD6D39"/>
    <w:rsid w:val="00CD6E29"/>
    <w:rsid w:val="00CD6EA1"/>
    <w:rsid w:val="00CD7116"/>
    <w:rsid w:val="00CD7217"/>
    <w:rsid w:val="00CD73D0"/>
    <w:rsid w:val="00CD7502"/>
    <w:rsid w:val="00CD7544"/>
    <w:rsid w:val="00CD7692"/>
    <w:rsid w:val="00CD7AAA"/>
    <w:rsid w:val="00CD7AD4"/>
    <w:rsid w:val="00CD7C27"/>
    <w:rsid w:val="00CD7D4F"/>
    <w:rsid w:val="00CD7E6C"/>
    <w:rsid w:val="00CD7FE7"/>
    <w:rsid w:val="00CE01CC"/>
    <w:rsid w:val="00CE01DC"/>
    <w:rsid w:val="00CE0244"/>
    <w:rsid w:val="00CE037F"/>
    <w:rsid w:val="00CE04D9"/>
    <w:rsid w:val="00CE063D"/>
    <w:rsid w:val="00CE07A8"/>
    <w:rsid w:val="00CE07C8"/>
    <w:rsid w:val="00CE0845"/>
    <w:rsid w:val="00CE0A15"/>
    <w:rsid w:val="00CE0AEC"/>
    <w:rsid w:val="00CE0BBB"/>
    <w:rsid w:val="00CE0C4A"/>
    <w:rsid w:val="00CE109E"/>
    <w:rsid w:val="00CE1115"/>
    <w:rsid w:val="00CE122A"/>
    <w:rsid w:val="00CE1287"/>
    <w:rsid w:val="00CE1324"/>
    <w:rsid w:val="00CE1355"/>
    <w:rsid w:val="00CE135C"/>
    <w:rsid w:val="00CE13A5"/>
    <w:rsid w:val="00CE1412"/>
    <w:rsid w:val="00CE153B"/>
    <w:rsid w:val="00CE15F7"/>
    <w:rsid w:val="00CE1761"/>
    <w:rsid w:val="00CE17B3"/>
    <w:rsid w:val="00CE1850"/>
    <w:rsid w:val="00CE1855"/>
    <w:rsid w:val="00CE1A6B"/>
    <w:rsid w:val="00CE1B83"/>
    <w:rsid w:val="00CE1E57"/>
    <w:rsid w:val="00CE1F5D"/>
    <w:rsid w:val="00CE2099"/>
    <w:rsid w:val="00CE223E"/>
    <w:rsid w:val="00CE230A"/>
    <w:rsid w:val="00CE28B4"/>
    <w:rsid w:val="00CE2D2E"/>
    <w:rsid w:val="00CE2D4C"/>
    <w:rsid w:val="00CE2D62"/>
    <w:rsid w:val="00CE2E73"/>
    <w:rsid w:val="00CE2EF3"/>
    <w:rsid w:val="00CE2F6A"/>
    <w:rsid w:val="00CE2FF5"/>
    <w:rsid w:val="00CE30CB"/>
    <w:rsid w:val="00CE315C"/>
    <w:rsid w:val="00CE321A"/>
    <w:rsid w:val="00CE32C0"/>
    <w:rsid w:val="00CE352C"/>
    <w:rsid w:val="00CE3622"/>
    <w:rsid w:val="00CE3697"/>
    <w:rsid w:val="00CE37FA"/>
    <w:rsid w:val="00CE38D4"/>
    <w:rsid w:val="00CE39D4"/>
    <w:rsid w:val="00CE3A1B"/>
    <w:rsid w:val="00CE3AE0"/>
    <w:rsid w:val="00CE3B39"/>
    <w:rsid w:val="00CE3C05"/>
    <w:rsid w:val="00CE3D04"/>
    <w:rsid w:val="00CE3F49"/>
    <w:rsid w:val="00CE3F98"/>
    <w:rsid w:val="00CE40AF"/>
    <w:rsid w:val="00CE41BD"/>
    <w:rsid w:val="00CE4421"/>
    <w:rsid w:val="00CE4437"/>
    <w:rsid w:val="00CE4439"/>
    <w:rsid w:val="00CE4477"/>
    <w:rsid w:val="00CE448F"/>
    <w:rsid w:val="00CE44C0"/>
    <w:rsid w:val="00CE4542"/>
    <w:rsid w:val="00CE47CF"/>
    <w:rsid w:val="00CE4985"/>
    <w:rsid w:val="00CE4AA6"/>
    <w:rsid w:val="00CE4AB3"/>
    <w:rsid w:val="00CE4C2E"/>
    <w:rsid w:val="00CE4C7C"/>
    <w:rsid w:val="00CE4D82"/>
    <w:rsid w:val="00CE4DAE"/>
    <w:rsid w:val="00CE4E24"/>
    <w:rsid w:val="00CE5169"/>
    <w:rsid w:val="00CE52E5"/>
    <w:rsid w:val="00CE54A3"/>
    <w:rsid w:val="00CE5544"/>
    <w:rsid w:val="00CE568D"/>
    <w:rsid w:val="00CE56EE"/>
    <w:rsid w:val="00CE58D7"/>
    <w:rsid w:val="00CE590D"/>
    <w:rsid w:val="00CE5931"/>
    <w:rsid w:val="00CE596F"/>
    <w:rsid w:val="00CE5ABB"/>
    <w:rsid w:val="00CE5B22"/>
    <w:rsid w:val="00CE5BB2"/>
    <w:rsid w:val="00CE5C14"/>
    <w:rsid w:val="00CE5C3A"/>
    <w:rsid w:val="00CE5F05"/>
    <w:rsid w:val="00CE6345"/>
    <w:rsid w:val="00CE63AD"/>
    <w:rsid w:val="00CE64A6"/>
    <w:rsid w:val="00CE658E"/>
    <w:rsid w:val="00CE67A6"/>
    <w:rsid w:val="00CE6883"/>
    <w:rsid w:val="00CE68F9"/>
    <w:rsid w:val="00CE6A20"/>
    <w:rsid w:val="00CE6A4B"/>
    <w:rsid w:val="00CE6BD5"/>
    <w:rsid w:val="00CE6E14"/>
    <w:rsid w:val="00CE6E4A"/>
    <w:rsid w:val="00CE6EEC"/>
    <w:rsid w:val="00CE6F18"/>
    <w:rsid w:val="00CE6F6B"/>
    <w:rsid w:val="00CE70E8"/>
    <w:rsid w:val="00CE70FF"/>
    <w:rsid w:val="00CE72F8"/>
    <w:rsid w:val="00CE733F"/>
    <w:rsid w:val="00CE737E"/>
    <w:rsid w:val="00CE74C0"/>
    <w:rsid w:val="00CE757F"/>
    <w:rsid w:val="00CE75DD"/>
    <w:rsid w:val="00CE768E"/>
    <w:rsid w:val="00CE7874"/>
    <w:rsid w:val="00CE78A8"/>
    <w:rsid w:val="00CE796D"/>
    <w:rsid w:val="00CE7B72"/>
    <w:rsid w:val="00CE7F38"/>
    <w:rsid w:val="00CE7F84"/>
    <w:rsid w:val="00CE7F8F"/>
    <w:rsid w:val="00CE7FF7"/>
    <w:rsid w:val="00CF0002"/>
    <w:rsid w:val="00CF005A"/>
    <w:rsid w:val="00CF01BD"/>
    <w:rsid w:val="00CF0208"/>
    <w:rsid w:val="00CF050E"/>
    <w:rsid w:val="00CF0676"/>
    <w:rsid w:val="00CF06F9"/>
    <w:rsid w:val="00CF0729"/>
    <w:rsid w:val="00CF0799"/>
    <w:rsid w:val="00CF07AD"/>
    <w:rsid w:val="00CF097B"/>
    <w:rsid w:val="00CF0A1B"/>
    <w:rsid w:val="00CF0A54"/>
    <w:rsid w:val="00CF0AE4"/>
    <w:rsid w:val="00CF0BAC"/>
    <w:rsid w:val="00CF0BB9"/>
    <w:rsid w:val="00CF0CB2"/>
    <w:rsid w:val="00CF0E48"/>
    <w:rsid w:val="00CF0ED7"/>
    <w:rsid w:val="00CF0ED9"/>
    <w:rsid w:val="00CF0EE2"/>
    <w:rsid w:val="00CF0EFB"/>
    <w:rsid w:val="00CF0F85"/>
    <w:rsid w:val="00CF0FA7"/>
    <w:rsid w:val="00CF0FC7"/>
    <w:rsid w:val="00CF1033"/>
    <w:rsid w:val="00CF10E7"/>
    <w:rsid w:val="00CF11D8"/>
    <w:rsid w:val="00CF11EA"/>
    <w:rsid w:val="00CF12B3"/>
    <w:rsid w:val="00CF13C4"/>
    <w:rsid w:val="00CF141E"/>
    <w:rsid w:val="00CF147C"/>
    <w:rsid w:val="00CF14E9"/>
    <w:rsid w:val="00CF16B1"/>
    <w:rsid w:val="00CF16C4"/>
    <w:rsid w:val="00CF16C5"/>
    <w:rsid w:val="00CF1765"/>
    <w:rsid w:val="00CF183F"/>
    <w:rsid w:val="00CF190A"/>
    <w:rsid w:val="00CF1958"/>
    <w:rsid w:val="00CF1973"/>
    <w:rsid w:val="00CF199C"/>
    <w:rsid w:val="00CF1C47"/>
    <w:rsid w:val="00CF1CF9"/>
    <w:rsid w:val="00CF1EC1"/>
    <w:rsid w:val="00CF1FA7"/>
    <w:rsid w:val="00CF1FC1"/>
    <w:rsid w:val="00CF2123"/>
    <w:rsid w:val="00CF214F"/>
    <w:rsid w:val="00CF21A7"/>
    <w:rsid w:val="00CF21DD"/>
    <w:rsid w:val="00CF2228"/>
    <w:rsid w:val="00CF2301"/>
    <w:rsid w:val="00CF235E"/>
    <w:rsid w:val="00CF25AB"/>
    <w:rsid w:val="00CF2902"/>
    <w:rsid w:val="00CF2A7A"/>
    <w:rsid w:val="00CF2ADD"/>
    <w:rsid w:val="00CF2BF1"/>
    <w:rsid w:val="00CF2BF2"/>
    <w:rsid w:val="00CF2E66"/>
    <w:rsid w:val="00CF2F6C"/>
    <w:rsid w:val="00CF2F80"/>
    <w:rsid w:val="00CF2F81"/>
    <w:rsid w:val="00CF2F9C"/>
    <w:rsid w:val="00CF302F"/>
    <w:rsid w:val="00CF31B7"/>
    <w:rsid w:val="00CF31DD"/>
    <w:rsid w:val="00CF31EB"/>
    <w:rsid w:val="00CF3213"/>
    <w:rsid w:val="00CF3270"/>
    <w:rsid w:val="00CF3277"/>
    <w:rsid w:val="00CF32F2"/>
    <w:rsid w:val="00CF3319"/>
    <w:rsid w:val="00CF3346"/>
    <w:rsid w:val="00CF3352"/>
    <w:rsid w:val="00CF33E6"/>
    <w:rsid w:val="00CF343A"/>
    <w:rsid w:val="00CF3492"/>
    <w:rsid w:val="00CF34BD"/>
    <w:rsid w:val="00CF36B2"/>
    <w:rsid w:val="00CF3853"/>
    <w:rsid w:val="00CF393F"/>
    <w:rsid w:val="00CF3963"/>
    <w:rsid w:val="00CF39A5"/>
    <w:rsid w:val="00CF39BF"/>
    <w:rsid w:val="00CF3F0D"/>
    <w:rsid w:val="00CF411D"/>
    <w:rsid w:val="00CF4136"/>
    <w:rsid w:val="00CF4206"/>
    <w:rsid w:val="00CF42BD"/>
    <w:rsid w:val="00CF44C7"/>
    <w:rsid w:val="00CF4541"/>
    <w:rsid w:val="00CF4563"/>
    <w:rsid w:val="00CF45C8"/>
    <w:rsid w:val="00CF45E0"/>
    <w:rsid w:val="00CF4612"/>
    <w:rsid w:val="00CF4686"/>
    <w:rsid w:val="00CF475B"/>
    <w:rsid w:val="00CF47A9"/>
    <w:rsid w:val="00CF499E"/>
    <w:rsid w:val="00CF4BAA"/>
    <w:rsid w:val="00CF4BC1"/>
    <w:rsid w:val="00CF4C6A"/>
    <w:rsid w:val="00CF4CC8"/>
    <w:rsid w:val="00CF4EC6"/>
    <w:rsid w:val="00CF4EFE"/>
    <w:rsid w:val="00CF5004"/>
    <w:rsid w:val="00CF5043"/>
    <w:rsid w:val="00CF50C6"/>
    <w:rsid w:val="00CF5145"/>
    <w:rsid w:val="00CF56F4"/>
    <w:rsid w:val="00CF5724"/>
    <w:rsid w:val="00CF57C6"/>
    <w:rsid w:val="00CF585F"/>
    <w:rsid w:val="00CF5AB8"/>
    <w:rsid w:val="00CF5BE2"/>
    <w:rsid w:val="00CF5BE5"/>
    <w:rsid w:val="00CF5C19"/>
    <w:rsid w:val="00CF5CCC"/>
    <w:rsid w:val="00CF5DAE"/>
    <w:rsid w:val="00CF5E7A"/>
    <w:rsid w:val="00CF609A"/>
    <w:rsid w:val="00CF60CB"/>
    <w:rsid w:val="00CF612A"/>
    <w:rsid w:val="00CF620D"/>
    <w:rsid w:val="00CF6353"/>
    <w:rsid w:val="00CF6445"/>
    <w:rsid w:val="00CF66A4"/>
    <w:rsid w:val="00CF66EE"/>
    <w:rsid w:val="00CF6B45"/>
    <w:rsid w:val="00CF6DDD"/>
    <w:rsid w:val="00CF6E73"/>
    <w:rsid w:val="00CF6F68"/>
    <w:rsid w:val="00CF6F7B"/>
    <w:rsid w:val="00CF6FFC"/>
    <w:rsid w:val="00CF703D"/>
    <w:rsid w:val="00CF71A4"/>
    <w:rsid w:val="00CF71D7"/>
    <w:rsid w:val="00CF7230"/>
    <w:rsid w:val="00CF724B"/>
    <w:rsid w:val="00CF7355"/>
    <w:rsid w:val="00CF73BC"/>
    <w:rsid w:val="00CF7686"/>
    <w:rsid w:val="00CF77C7"/>
    <w:rsid w:val="00CF77CD"/>
    <w:rsid w:val="00CF78D4"/>
    <w:rsid w:val="00CF79B1"/>
    <w:rsid w:val="00CF7A81"/>
    <w:rsid w:val="00CF7BFB"/>
    <w:rsid w:val="00CF7D6E"/>
    <w:rsid w:val="00D000C7"/>
    <w:rsid w:val="00D00142"/>
    <w:rsid w:val="00D00187"/>
    <w:rsid w:val="00D001F2"/>
    <w:rsid w:val="00D00276"/>
    <w:rsid w:val="00D00344"/>
    <w:rsid w:val="00D0039D"/>
    <w:rsid w:val="00D0041B"/>
    <w:rsid w:val="00D0050A"/>
    <w:rsid w:val="00D00707"/>
    <w:rsid w:val="00D00722"/>
    <w:rsid w:val="00D00769"/>
    <w:rsid w:val="00D00A3C"/>
    <w:rsid w:val="00D00BF8"/>
    <w:rsid w:val="00D00C1E"/>
    <w:rsid w:val="00D00CFC"/>
    <w:rsid w:val="00D00D82"/>
    <w:rsid w:val="00D010A2"/>
    <w:rsid w:val="00D010A3"/>
    <w:rsid w:val="00D01134"/>
    <w:rsid w:val="00D01180"/>
    <w:rsid w:val="00D011FC"/>
    <w:rsid w:val="00D0128A"/>
    <w:rsid w:val="00D0131D"/>
    <w:rsid w:val="00D017DC"/>
    <w:rsid w:val="00D0185F"/>
    <w:rsid w:val="00D0193F"/>
    <w:rsid w:val="00D019D3"/>
    <w:rsid w:val="00D01A2F"/>
    <w:rsid w:val="00D01AAF"/>
    <w:rsid w:val="00D01DD3"/>
    <w:rsid w:val="00D01E40"/>
    <w:rsid w:val="00D01EAD"/>
    <w:rsid w:val="00D01F11"/>
    <w:rsid w:val="00D021C3"/>
    <w:rsid w:val="00D02384"/>
    <w:rsid w:val="00D023DD"/>
    <w:rsid w:val="00D02402"/>
    <w:rsid w:val="00D02406"/>
    <w:rsid w:val="00D025D3"/>
    <w:rsid w:val="00D02780"/>
    <w:rsid w:val="00D027C1"/>
    <w:rsid w:val="00D028BF"/>
    <w:rsid w:val="00D02995"/>
    <w:rsid w:val="00D02AAF"/>
    <w:rsid w:val="00D02D19"/>
    <w:rsid w:val="00D02D68"/>
    <w:rsid w:val="00D02E41"/>
    <w:rsid w:val="00D02EB6"/>
    <w:rsid w:val="00D02EF3"/>
    <w:rsid w:val="00D02F73"/>
    <w:rsid w:val="00D0308B"/>
    <w:rsid w:val="00D03139"/>
    <w:rsid w:val="00D0339B"/>
    <w:rsid w:val="00D03467"/>
    <w:rsid w:val="00D035A5"/>
    <w:rsid w:val="00D035BF"/>
    <w:rsid w:val="00D035D9"/>
    <w:rsid w:val="00D03666"/>
    <w:rsid w:val="00D03732"/>
    <w:rsid w:val="00D03749"/>
    <w:rsid w:val="00D037C5"/>
    <w:rsid w:val="00D038B0"/>
    <w:rsid w:val="00D03982"/>
    <w:rsid w:val="00D03A0C"/>
    <w:rsid w:val="00D03BF7"/>
    <w:rsid w:val="00D03BFF"/>
    <w:rsid w:val="00D03E3F"/>
    <w:rsid w:val="00D044CC"/>
    <w:rsid w:val="00D0456A"/>
    <w:rsid w:val="00D04581"/>
    <w:rsid w:val="00D0478F"/>
    <w:rsid w:val="00D048A2"/>
    <w:rsid w:val="00D049C6"/>
    <w:rsid w:val="00D04A5A"/>
    <w:rsid w:val="00D04B00"/>
    <w:rsid w:val="00D04B24"/>
    <w:rsid w:val="00D04CF1"/>
    <w:rsid w:val="00D04F7E"/>
    <w:rsid w:val="00D04FF4"/>
    <w:rsid w:val="00D0504F"/>
    <w:rsid w:val="00D052E1"/>
    <w:rsid w:val="00D0534F"/>
    <w:rsid w:val="00D0537F"/>
    <w:rsid w:val="00D05387"/>
    <w:rsid w:val="00D05439"/>
    <w:rsid w:val="00D0545A"/>
    <w:rsid w:val="00D054EE"/>
    <w:rsid w:val="00D05564"/>
    <w:rsid w:val="00D055CE"/>
    <w:rsid w:val="00D0572A"/>
    <w:rsid w:val="00D057DB"/>
    <w:rsid w:val="00D05871"/>
    <w:rsid w:val="00D05876"/>
    <w:rsid w:val="00D058C2"/>
    <w:rsid w:val="00D058F1"/>
    <w:rsid w:val="00D05931"/>
    <w:rsid w:val="00D059C9"/>
    <w:rsid w:val="00D05A2F"/>
    <w:rsid w:val="00D05BA6"/>
    <w:rsid w:val="00D05BCC"/>
    <w:rsid w:val="00D05D22"/>
    <w:rsid w:val="00D05DAC"/>
    <w:rsid w:val="00D05EB6"/>
    <w:rsid w:val="00D05F87"/>
    <w:rsid w:val="00D0608C"/>
    <w:rsid w:val="00D06157"/>
    <w:rsid w:val="00D0626E"/>
    <w:rsid w:val="00D06388"/>
    <w:rsid w:val="00D063F0"/>
    <w:rsid w:val="00D06486"/>
    <w:rsid w:val="00D0650F"/>
    <w:rsid w:val="00D06584"/>
    <w:rsid w:val="00D06589"/>
    <w:rsid w:val="00D06778"/>
    <w:rsid w:val="00D067FF"/>
    <w:rsid w:val="00D06851"/>
    <w:rsid w:val="00D06904"/>
    <w:rsid w:val="00D0699D"/>
    <w:rsid w:val="00D06AE7"/>
    <w:rsid w:val="00D06C27"/>
    <w:rsid w:val="00D06F38"/>
    <w:rsid w:val="00D07004"/>
    <w:rsid w:val="00D07050"/>
    <w:rsid w:val="00D073C2"/>
    <w:rsid w:val="00D0750B"/>
    <w:rsid w:val="00D0764B"/>
    <w:rsid w:val="00D076E7"/>
    <w:rsid w:val="00D076F6"/>
    <w:rsid w:val="00D07754"/>
    <w:rsid w:val="00D077B1"/>
    <w:rsid w:val="00D077C8"/>
    <w:rsid w:val="00D077F3"/>
    <w:rsid w:val="00D077F5"/>
    <w:rsid w:val="00D0791D"/>
    <w:rsid w:val="00D079F2"/>
    <w:rsid w:val="00D07BE0"/>
    <w:rsid w:val="00D07DE0"/>
    <w:rsid w:val="00D07F59"/>
    <w:rsid w:val="00D10070"/>
    <w:rsid w:val="00D101F7"/>
    <w:rsid w:val="00D10409"/>
    <w:rsid w:val="00D10439"/>
    <w:rsid w:val="00D10764"/>
    <w:rsid w:val="00D107C7"/>
    <w:rsid w:val="00D10818"/>
    <w:rsid w:val="00D108E6"/>
    <w:rsid w:val="00D10958"/>
    <w:rsid w:val="00D10977"/>
    <w:rsid w:val="00D10BD7"/>
    <w:rsid w:val="00D10CBF"/>
    <w:rsid w:val="00D10D6B"/>
    <w:rsid w:val="00D10E2F"/>
    <w:rsid w:val="00D10EBE"/>
    <w:rsid w:val="00D1109B"/>
    <w:rsid w:val="00D11190"/>
    <w:rsid w:val="00D11215"/>
    <w:rsid w:val="00D11242"/>
    <w:rsid w:val="00D113ED"/>
    <w:rsid w:val="00D115E0"/>
    <w:rsid w:val="00D11722"/>
    <w:rsid w:val="00D117BC"/>
    <w:rsid w:val="00D117C1"/>
    <w:rsid w:val="00D11B52"/>
    <w:rsid w:val="00D11BF4"/>
    <w:rsid w:val="00D11C5C"/>
    <w:rsid w:val="00D11D84"/>
    <w:rsid w:val="00D11DF2"/>
    <w:rsid w:val="00D11E5E"/>
    <w:rsid w:val="00D11E72"/>
    <w:rsid w:val="00D12196"/>
    <w:rsid w:val="00D121D1"/>
    <w:rsid w:val="00D1233F"/>
    <w:rsid w:val="00D123D6"/>
    <w:rsid w:val="00D12431"/>
    <w:rsid w:val="00D1251E"/>
    <w:rsid w:val="00D12567"/>
    <w:rsid w:val="00D12766"/>
    <w:rsid w:val="00D12808"/>
    <w:rsid w:val="00D12A77"/>
    <w:rsid w:val="00D12FD6"/>
    <w:rsid w:val="00D130CD"/>
    <w:rsid w:val="00D13132"/>
    <w:rsid w:val="00D1332C"/>
    <w:rsid w:val="00D133AB"/>
    <w:rsid w:val="00D1344A"/>
    <w:rsid w:val="00D135BD"/>
    <w:rsid w:val="00D1364E"/>
    <w:rsid w:val="00D13915"/>
    <w:rsid w:val="00D139D7"/>
    <w:rsid w:val="00D13A36"/>
    <w:rsid w:val="00D13A8A"/>
    <w:rsid w:val="00D13BD7"/>
    <w:rsid w:val="00D13C25"/>
    <w:rsid w:val="00D13DEB"/>
    <w:rsid w:val="00D13E15"/>
    <w:rsid w:val="00D14542"/>
    <w:rsid w:val="00D145BA"/>
    <w:rsid w:val="00D145F5"/>
    <w:rsid w:val="00D14648"/>
    <w:rsid w:val="00D147B2"/>
    <w:rsid w:val="00D14A97"/>
    <w:rsid w:val="00D14D63"/>
    <w:rsid w:val="00D14DB3"/>
    <w:rsid w:val="00D14E63"/>
    <w:rsid w:val="00D14E98"/>
    <w:rsid w:val="00D14EDB"/>
    <w:rsid w:val="00D14EE6"/>
    <w:rsid w:val="00D14FCF"/>
    <w:rsid w:val="00D15029"/>
    <w:rsid w:val="00D15047"/>
    <w:rsid w:val="00D1507D"/>
    <w:rsid w:val="00D150A7"/>
    <w:rsid w:val="00D150AC"/>
    <w:rsid w:val="00D15364"/>
    <w:rsid w:val="00D15450"/>
    <w:rsid w:val="00D1548F"/>
    <w:rsid w:val="00D15639"/>
    <w:rsid w:val="00D1563D"/>
    <w:rsid w:val="00D15690"/>
    <w:rsid w:val="00D15709"/>
    <w:rsid w:val="00D15756"/>
    <w:rsid w:val="00D1585F"/>
    <w:rsid w:val="00D158A8"/>
    <w:rsid w:val="00D1595E"/>
    <w:rsid w:val="00D1597F"/>
    <w:rsid w:val="00D15A4E"/>
    <w:rsid w:val="00D15BE9"/>
    <w:rsid w:val="00D15C14"/>
    <w:rsid w:val="00D15C15"/>
    <w:rsid w:val="00D15CEC"/>
    <w:rsid w:val="00D15CF9"/>
    <w:rsid w:val="00D15E0D"/>
    <w:rsid w:val="00D16103"/>
    <w:rsid w:val="00D16136"/>
    <w:rsid w:val="00D16172"/>
    <w:rsid w:val="00D16392"/>
    <w:rsid w:val="00D1642E"/>
    <w:rsid w:val="00D16641"/>
    <w:rsid w:val="00D1688F"/>
    <w:rsid w:val="00D16A34"/>
    <w:rsid w:val="00D16AA4"/>
    <w:rsid w:val="00D16AF5"/>
    <w:rsid w:val="00D16BE6"/>
    <w:rsid w:val="00D16CF0"/>
    <w:rsid w:val="00D16E34"/>
    <w:rsid w:val="00D16EF6"/>
    <w:rsid w:val="00D16F5E"/>
    <w:rsid w:val="00D16F6F"/>
    <w:rsid w:val="00D17058"/>
    <w:rsid w:val="00D170B5"/>
    <w:rsid w:val="00D170C1"/>
    <w:rsid w:val="00D1712E"/>
    <w:rsid w:val="00D171F0"/>
    <w:rsid w:val="00D173EB"/>
    <w:rsid w:val="00D17435"/>
    <w:rsid w:val="00D176F6"/>
    <w:rsid w:val="00D177F2"/>
    <w:rsid w:val="00D1785D"/>
    <w:rsid w:val="00D17897"/>
    <w:rsid w:val="00D1789E"/>
    <w:rsid w:val="00D1793F"/>
    <w:rsid w:val="00D17B15"/>
    <w:rsid w:val="00D17B35"/>
    <w:rsid w:val="00D17DAA"/>
    <w:rsid w:val="00D17EC7"/>
    <w:rsid w:val="00D17ECE"/>
    <w:rsid w:val="00D17FDF"/>
    <w:rsid w:val="00D201D0"/>
    <w:rsid w:val="00D2029E"/>
    <w:rsid w:val="00D202A0"/>
    <w:rsid w:val="00D20332"/>
    <w:rsid w:val="00D204CC"/>
    <w:rsid w:val="00D20706"/>
    <w:rsid w:val="00D20788"/>
    <w:rsid w:val="00D207FD"/>
    <w:rsid w:val="00D20A7E"/>
    <w:rsid w:val="00D20AD5"/>
    <w:rsid w:val="00D20C18"/>
    <w:rsid w:val="00D20DCB"/>
    <w:rsid w:val="00D20E74"/>
    <w:rsid w:val="00D20FFB"/>
    <w:rsid w:val="00D2105A"/>
    <w:rsid w:val="00D210CA"/>
    <w:rsid w:val="00D2116A"/>
    <w:rsid w:val="00D21179"/>
    <w:rsid w:val="00D21224"/>
    <w:rsid w:val="00D212D9"/>
    <w:rsid w:val="00D213E8"/>
    <w:rsid w:val="00D21414"/>
    <w:rsid w:val="00D214B3"/>
    <w:rsid w:val="00D217AD"/>
    <w:rsid w:val="00D21921"/>
    <w:rsid w:val="00D2197F"/>
    <w:rsid w:val="00D219A1"/>
    <w:rsid w:val="00D219A3"/>
    <w:rsid w:val="00D219EC"/>
    <w:rsid w:val="00D21B57"/>
    <w:rsid w:val="00D21BC8"/>
    <w:rsid w:val="00D21CC6"/>
    <w:rsid w:val="00D21D1A"/>
    <w:rsid w:val="00D21D56"/>
    <w:rsid w:val="00D21E5C"/>
    <w:rsid w:val="00D21ECC"/>
    <w:rsid w:val="00D21F25"/>
    <w:rsid w:val="00D21FBA"/>
    <w:rsid w:val="00D2200D"/>
    <w:rsid w:val="00D2205D"/>
    <w:rsid w:val="00D220E0"/>
    <w:rsid w:val="00D220E6"/>
    <w:rsid w:val="00D22106"/>
    <w:rsid w:val="00D22135"/>
    <w:rsid w:val="00D22274"/>
    <w:rsid w:val="00D22337"/>
    <w:rsid w:val="00D2238E"/>
    <w:rsid w:val="00D22438"/>
    <w:rsid w:val="00D22518"/>
    <w:rsid w:val="00D226C8"/>
    <w:rsid w:val="00D22748"/>
    <w:rsid w:val="00D227E4"/>
    <w:rsid w:val="00D227F9"/>
    <w:rsid w:val="00D22841"/>
    <w:rsid w:val="00D22996"/>
    <w:rsid w:val="00D22AEF"/>
    <w:rsid w:val="00D22B42"/>
    <w:rsid w:val="00D22F2C"/>
    <w:rsid w:val="00D23028"/>
    <w:rsid w:val="00D230CA"/>
    <w:rsid w:val="00D231C3"/>
    <w:rsid w:val="00D23297"/>
    <w:rsid w:val="00D232C2"/>
    <w:rsid w:val="00D232C6"/>
    <w:rsid w:val="00D2337C"/>
    <w:rsid w:val="00D2343C"/>
    <w:rsid w:val="00D2349C"/>
    <w:rsid w:val="00D234EC"/>
    <w:rsid w:val="00D23614"/>
    <w:rsid w:val="00D23788"/>
    <w:rsid w:val="00D23904"/>
    <w:rsid w:val="00D23969"/>
    <w:rsid w:val="00D23AE6"/>
    <w:rsid w:val="00D23C3F"/>
    <w:rsid w:val="00D23CFD"/>
    <w:rsid w:val="00D23D44"/>
    <w:rsid w:val="00D240CE"/>
    <w:rsid w:val="00D24142"/>
    <w:rsid w:val="00D2415F"/>
    <w:rsid w:val="00D24253"/>
    <w:rsid w:val="00D2427C"/>
    <w:rsid w:val="00D2428C"/>
    <w:rsid w:val="00D24372"/>
    <w:rsid w:val="00D24420"/>
    <w:rsid w:val="00D244C2"/>
    <w:rsid w:val="00D24722"/>
    <w:rsid w:val="00D2480E"/>
    <w:rsid w:val="00D24960"/>
    <w:rsid w:val="00D249CF"/>
    <w:rsid w:val="00D24BDB"/>
    <w:rsid w:val="00D24CA0"/>
    <w:rsid w:val="00D24CCC"/>
    <w:rsid w:val="00D24DA1"/>
    <w:rsid w:val="00D24F13"/>
    <w:rsid w:val="00D2501F"/>
    <w:rsid w:val="00D250E1"/>
    <w:rsid w:val="00D250F7"/>
    <w:rsid w:val="00D25132"/>
    <w:rsid w:val="00D251E4"/>
    <w:rsid w:val="00D2525E"/>
    <w:rsid w:val="00D2528B"/>
    <w:rsid w:val="00D252DA"/>
    <w:rsid w:val="00D25335"/>
    <w:rsid w:val="00D253C3"/>
    <w:rsid w:val="00D25600"/>
    <w:rsid w:val="00D2582A"/>
    <w:rsid w:val="00D25866"/>
    <w:rsid w:val="00D25891"/>
    <w:rsid w:val="00D258E3"/>
    <w:rsid w:val="00D2598D"/>
    <w:rsid w:val="00D25999"/>
    <w:rsid w:val="00D25A2A"/>
    <w:rsid w:val="00D25A8E"/>
    <w:rsid w:val="00D25D24"/>
    <w:rsid w:val="00D25DF6"/>
    <w:rsid w:val="00D25E6B"/>
    <w:rsid w:val="00D261A4"/>
    <w:rsid w:val="00D261E8"/>
    <w:rsid w:val="00D262B2"/>
    <w:rsid w:val="00D26335"/>
    <w:rsid w:val="00D26499"/>
    <w:rsid w:val="00D264FF"/>
    <w:rsid w:val="00D26668"/>
    <w:rsid w:val="00D26905"/>
    <w:rsid w:val="00D26985"/>
    <w:rsid w:val="00D26A44"/>
    <w:rsid w:val="00D26C5C"/>
    <w:rsid w:val="00D26D09"/>
    <w:rsid w:val="00D26DAD"/>
    <w:rsid w:val="00D2702B"/>
    <w:rsid w:val="00D2706A"/>
    <w:rsid w:val="00D27097"/>
    <w:rsid w:val="00D270BC"/>
    <w:rsid w:val="00D271ED"/>
    <w:rsid w:val="00D272A9"/>
    <w:rsid w:val="00D2746E"/>
    <w:rsid w:val="00D277C4"/>
    <w:rsid w:val="00D27880"/>
    <w:rsid w:val="00D27AD1"/>
    <w:rsid w:val="00D27C94"/>
    <w:rsid w:val="00D27CE1"/>
    <w:rsid w:val="00D27D48"/>
    <w:rsid w:val="00D27D93"/>
    <w:rsid w:val="00D27E16"/>
    <w:rsid w:val="00D27E32"/>
    <w:rsid w:val="00D27E95"/>
    <w:rsid w:val="00D27F2C"/>
    <w:rsid w:val="00D27F34"/>
    <w:rsid w:val="00D27FB7"/>
    <w:rsid w:val="00D301A0"/>
    <w:rsid w:val="00D302CE"/>
    <w:rsid w:val="00D302E2"/>
    <w:rsid w:val="00D30345"/>
    <w:rsid w:val="00D30392"/>
    <w:rsid w:val="00D3052A"/>
    <w:rsid w:val="00D305B5"/>
    <w:rsid w:val="00D307B0"/>
    <w:rsid w:val="00D3089C"/>
    <w:rsid w:val="00D308C1"/>
    <w:rsid w:val="00D30C9F"/>
    <w:rsid w:val="00D30D96"/>
    <w:rsid w:val="00D30DD5"/>
    <w:rsid w:val="00D31016"/>
    <w:rsid w:val="00D31071"/>
    <w:rsid w:val="00D3111B"/>
    <w:rsid w:val="00D313DF"/>
    <w:rsid w:val="00D3140C"/>
    <w:rsid w:val="00D315DB"/>
    <w:rsid w:val="00D316A1"/>
    <w:rsid w:val="00D317CA"/>
    <w:rsid w:val="00D318B8"/>
    <w:rsid w:val="00D319A9"/>
    <w:rsid w:val="00D31AB0"/>
    <w:rsid w:val="00D31AE1"/>
    <w:rsid w:val="00D31B53"/>
    <w:rsid w:val="00D31B89"/>
    <w:rsid w:val="00D31BD8"/>
    <w:rsid w:val="00D31E31"/>
    <w:rsid w:val="00D31EDC"/>
    <w:rsid w:val="00D3204F"/>
    <w:rsid w:val="00D321E6"/>
    <w:rsid w:val="00D324E3"/>
    <w:rsid w:val="00D32506"/>
    <w:rsid w:val="00D32714"/>
    <w:rsid w:val="00D3291F"/>
    <w:rsid w:val="00D329F1"/>
    <w:rsid w:val="00D32A50"/>
    <w:rsid w:val="00D32B10"/>
    <w:rsid w:val="00D32BD9"/>
    <w:rsid w:val="00D32C06"/>
    <w:rsid w:val="00D32D6A"/>
    <w:rsid w:val="00D32FF2"/>
    <w:rsid w:val="00D33028"/>
    <w:rsid w:val="00D3302D"/>
    <w:rsid w:val="00D3302E"/>
    <w:rsid w:val="00D331C7"/>
    <w:rsid w:val="00D33230"/>
    <w:rsid w:val="00D33356"/>
    <w:rsid w:val="00D3337B"/>
    <w:rsid w:val="00D3349C"/>
    <w:rsid w:val="00D337D3"/>
    <w:rsid w:val="00D33943"/>
    <w:rsid w:val="00D339C3"/>
    <w:rsid w:val="00D33A10"/>
    <w:rsid w:val="00D33BE9"/>
    <w:rsid w:val="00D33D25"/>
    <w:rsid w:val="00D33D6F"/>
    <w:rsid w:val="00D33D9A"/>
    <w:rsid w:val="00D33E9F"/>
    <w:rsid w:val="00D33F46"/>
    <w:rsid w:val="00D33F5D"/>
    <w:rsid w:val="00D33FDF"/>
    <w:rsid w:val="00D3402C"/>
    <w:rsid w:val="00D34092"/>
    <w:rsid w:val="00D34099"/>
    <w:rsid w:val="00D34140"/>
    <w:rsid w:val="00D341C8"/>
    <w:rsid w:val="00D343DA"/>
    <w:rsid w:val="00D34469"/>
    <w:rsid w:val="00D344ED"/>
    <w:rsid w:val="00D34580"/>
    <w:rsid w:val="00D34716"/>
    <w:rsid w:val="00D348AB"/>
    <w:rsid w:val="00D34954"/>
    <w:rsid w:val="00D34A20"/>
    <w:rsid w:val="00D34A84"/>
    <w:rsid w:val="00D34B0E"/>
    <w:rsid w:val="00D34B52"/>
    <w:rsid w:val="00D34B9D"/>
    <w:rsid w:val="00D34C73"/>
    <w:rsid w:val="00D34D15"/>
    <w:rsid w:val="00D34D6B"/>
    <w:rsid w:val="00D34E89"/>
    <w:rsid w:val="00D34E99"/>
    <w:rsid w:val="00D34ED4"/>
    <w:rsid w:val="00D34F2A"/>
    <w:rsid w:val="00D35045"/>
    <w:rsid w:val="00D35117"/>
    <w:rsid w:val="00D35285"/>
    <w:rsid w:val="00D354C5"/>
    <w:rsid w:val="00D354FE"/>
    <w:rsid w:val="00D355F0"/>
    <w:rsid w:val="00D35642"/>
    <w:rsid w:val="00D356E5"/>
    <w:rsid w:val="00D35746"/>
    <w:rsid w:val="00D35770"/>
    <w:rsid w:val="00D357BA"/>
    <w:rsid w:val="00D35800"/>
    <w:rsid w:val="00D35818"/>
    <w:rsid w:val="00D35952"/>
    <w:rsid w:val="00D359D7"/>
    <w:rsid w:val="00D35A49"/>
    <w:rsid w:val="00D35D04"/>
    <w:rsid w:val="00D35E7D"/>
    <w:rsid w:val="00D35FE4"/>
    <w:rsid w:val="00D3606D"/>
    <w:rsid w:val="00D360AF"/>
    <w:rsid w:val="00D3628A"/>
    <w:rsid w:val="00D36377"/>
    <w:rsid w:val="00D3645A"/>
    <w:rsid w:val="00D364AE"/>
    <w:rsid w:val="00D364CF"/>
    <w:rsid w:val="00D36993"/>
    <w:rsid w:val="00D36A00"/>
    <w:rsid w:val="00D36A27"/>
    <w:rsid w:val="00D36C15"/>
    <w:rsid w:val="00D36C1D"/>
    <w:rsid w:val="00D36C7E"/>
    <w:rsid w:val="00D36CAE"/>
    <w:rsid w:val="00D36F08"/>
    <w:rsid w:val="00D36F99"/>
    <w:rsid w:val="00D372C1"/>
    <w:rsid w:val="00D3748A"/>
    <w:rsid w:val="00D374BE"/>
    <w:rsid w:val="00D375A5"/>
    <w:rsid w:val="00D376AD"/>
    <w:rsid w:val="00D37739"/>
    <w:rsid w:val="00D37786"/>
    <w:rsid w:val="00D37929"/>
    <w:rsid w:val="00D379E6"/>
    <w:rsid w:val="00D37B2B"/>
    <w:rsid w:val="00D37BD8"/>
    <w:rsid w:val="00D37C1B"/>
    <w:rsid w:val="00D37FB8"/>
    <w:rsid w:val="00D40035"/>
    <w:rsid w:val="00D400B2"/>
    <w:rsid w:val="00D40110"/>
    <w:rsid w:val="00D4017B"/>
    <w:rsid w:val="00D4028D"/>
    <w:rsid w:val="00D40380"/>
    <w:rsid w:val="00D40394"/>
    <w:rsid w:val="00D4045C"/>
    <w:rsid w:val="00D40460"/>
    <w:rsid w:val="00D405E0"/>
    <w:rsid w:val="00D4060F"/>
    <w:rsid w:val="00D406E8"/>
    <w:rsid w:val="00D40782"/>
    <w:rsid w:val="00D407B7"/>
    <w:rsid w:val="00D4084B"/>
    <w:rsid w:val="00D4096D"/>
    <w:rsid w:val="00D40A57"/>
    <w:rsid w:val="00D40B59"/>
    <w:rsid w:val="00D40C9A"/>
    <w:rsid w:val="00D40CA9"/>
    <w:rsid w:val="00D40D5D"/>
    <w:rsid w:val="00D40D60"/>
    <w:rsid w:val="00D40E30"/>
    <w:rsid w:val="00D40E36"/>
    <w:rsid w:val="00D40F69"/>
    <w:rsid w:val="00D40F74"/>
    <w:rsid w:val="00D411F1"/>
    <w:rsid w:val="00D412D5"/>
    <w:rsid w:val="00D41446"/>
    <w:rsid w:val="00D414EF"/>
    <w:rsid w:val="00D415FA"/>
    <w:rsid w:val="00D4164A"/>
    <w:rsid w:val="00D4177F"/>
    <w:rsid w:val="00D418E4"/>
    <w:rsid w:val="00D41A81"/>
    <w:rsid w:val="00D41ACD"/>
    <w:rsid w:val="00D41B49"/>
    <w:rsid w:val="00D41D0F"/>
    <w:rsid w:val="00D41D77"/>
    <w:rsid w:val="00D41EC1"/>
    <w:rsid w:val="00D41F81"/>
    <w:rsid w:val="00D41FF9"/>
    <w:rsid w:val="00D420DD"/>
    <w:rsid w:val="00D4226F"/>
    <w:rsid w:val="00D42292"/>
    <w:rsid w:val="00D422B3"/>
    <w:rsid w:val="00D422CB"/>
    <w:rsid w:val="00D424B3"/>
    <w:rsid w:val="00D424E2"/>
    <w:rsid w:val="00D42589"/>
    <w:rsid w:val="00D42595"/>
    <w:rsid w:val="00D425BC"/>
    <w:rsid w:val="00D42736"/>
    <w:rsid w:val="00D429F5"/>
    <w:rsid w:val="00D42A51"/>
    <w:rsid w:val="00D42AEE"/>
    <w:rsid w:val="00D42B4E"/>
    <w:rsid w:val="00D42B8F"/>
    <w:rsid w:val="00D42BFC"/>
    <w:rsid w:val="00D42C69"/>
    <w:rsid w:val="00D42CB8"/>
    <w:rsid w:val="00D42CFF"/>
    <w:rsid w:val="00D42D68"/>
    <w:rsid w:val="00D42EF1"/>
    <w:rsid w:val="00D42F4B"/>
    <w:rsid w:val="00D43039"/>
    <w:rsid w:val="00D431A5"/>
    <w:rsid w:val="00D432D4"/>
    <w:rsid w:val="00D43436"/>
    <w:rsid w:val="00D43527"/>
    <w:rsid w:val="00D4369D"/>
    <w:rsid w:val="00D4375A"/>
    <w:rsid w:val="00D43769"/>
    <w:rsid w:val="00D43796"/>
    <w:rsid w:val="00D43839"/>
    <w:rsid w:val="00D43865"/>
    <w:rsid w:val="00D43902"/>
    <w:rsid w:val="00D4392F"/>
    <w:rsid w:val="00D439F1"/>
    <w:rsid w:val="00D43A8A"/>
    <w:rsid w:val="00D43AC8"/>
    <w:rsid w:val="00D43B75"/>
    <w:rsid w:val="00D43BD3"/>
    <w:rsid w:val="00D43D33"/>
    <w:rsid w:val="00D43D7E"/>
    <w:rsid w:val="00D43D84"/>
    <w:rsid w:val="00D43E39"/>
    <w:rsid w:val="00D43E91"/>
    <w:rsid w:val="00D43F04"/>
    <w:rsid w:val="00D44018"/>
    <w:rsid w:val="00D44063"/>
    <w:rsid w:val="00D440C2"/>
    <w:rsid w:val="00D440EF"/>
    <w:rsid w:val="00D44193"/>
    <w:rsid w:val="00D441B6"/>
    <w:rsid w:val="00D443E4"/>
    <w:rsid w:val="00D444C0"/>
    <w:rsid w:val="00D445E7"/>
    <w:rsid w:val="00D445E8"/>
    <w:rsid w:val="00D44602"/>
    <w:rsid w:val="00D44759"/>
    <w:rsid w:val="00D44781"/>
    <w:rsid w:val="00D4478B"/>
    <w:rsid w:val="00D44960"/>
    <w:rsid w:val="00D449E8"/>
    <w:rsid w:val="00D449EC"/>
    <w:rsid w:val="00D44C67"/>
    <w:rsid w:val="00D44FB0"/>
    <w:rsid w:val="00D4542B"/>
    <w:rsid w:val="00D4582A"/>
    <w:rsid w:val="00D45C6D"/>
    <w:rsid w:val="00D45EF4"/>
    <w:rsid w:val="00D461A3"/>
    <w:rsid w:val="00D46217"/>
    <w:rsid w:val="00D462A6"/>
    <w:rsid w:val="00D46552"/>
    <w:rsid w:val="00D465DD"/>
    <w:rsid w:val="00D4680F"/>
    <w:rsid w:val="00D4687A"/>
    <w:rsid w:val="00D468DD"/>
    <w:rsid w:val="00D468ED"/>
    <w:rsid w:val="00D46A08"/>
    <w:rsid w:val="00D46AB6"/>
    <w:rsid w:val="00D46B61"/>
    <w:rsid w:val="00D46B6F"/>
    <w:rsid w:val="00D46C7D"/>
    <w:rsid w:val="00D46D0B"/>
    <w:rsid w:val="00D46D25"/>
    <w:rsid w:val="00D46D3D"/>
    <w:rsid w:val="00D46EBC"/>
    <w:rsid w:val="00D46EF7"/>
    <w:rsid w:val="00D46F28"/>
    <w:rsid w:val="00D473DD"/>
    <w:rsid w:val="00D47500"/>
    <w:rsid w:val="00D475D4"/>
    <w:rsid w:val="00D475D7"/>
    <w:rsid w:val="00D47614"/>
    <w:rsid w:val="00D476D9"/>
    <w:rsid w:val="00D47700"/>
    <w:rsid w:val="00D47825"/>
    <w:rsid w:val="00D47A64"/>
    <w:rsid w:val="00D47C2A"/>
    <w:rsid w:val="00D47D24"/>
    <w:rsid w:val="00D47D61"/>
    <w:rsid w:val="00D47DA0"/>
    <w:rsid w:val="00D47DB5"/>
    <w:rsid w:val="00D47E4D"/>
    <w:rsid w:val="00D47E5F"/>
    <w:rsid w:val="00D47EDF"/>
    <w:rsid w:val="00D47F7D"/>
    <w:rsid w:val="00D50056"/>
    <w:rsid w:val="00D50357"/>
    <w:rsid w:val="00D503B2"/>
    <w:rsid w:val="00D505A3"/>
    <w:rsid w:val="00D506BB"/>
    <w:rsid w:val="00D507BA"/>
    <w:rsid w:val="00D507BF"/>
    <w:rsid w:val="00D50860"/>
    <w:rsid w:val="00D50879"/>
    <w:rsid w:val="00D5094B"/>
    <w:rsid w:val="00D509D9"/>
    <w:rsid w:val="00D50A6D"/>
    <w:rsid w:val="00D50AF7"/>
    <w:rsid w:val="00D50B0F"/>
    <w:rsid w:val="00D50C96"/>
    <w:rsid w:val="00D50D2C"/>
    <w:rsid w:val="00D50F2B"/>
    <w:rsid w:val="00D51038"/>
    <w:rsid w:val="00D51114"/>
    <w:rsid w:val="00D5126F"/>
    <w:rsid w:val="00D512FC"/>
    <w:rsid w:val="00D513BA"/>
    <w:rsid w:val="00D51610"/>
    <w:rsid w:val="00D51765"/>
    <w:rsid w:val="00D5177F"/>
    <w:rsid w:val="00D51AA3"/>
    <w:rsid w:val="00D51B14"/>
    <w:rsid w:val="00D51BBF"/>
    <w:rsid w:val="00D51D76"/>
    <w:rsid w:val="00D51D82"/>
    <w:rsid w:val="00D51DD7"/>
    <w:rsid w:val="00D51E0B"/>
    <w:rsid w:val="00D51E1C"/>
    <w:rsid w:val="00D51E77"/>
    <w:rsid w:val="00D52004"/>
    <w:rsid w:val="00D520CA"/>
    <w:rsid w:val="00D521F5"/>
    <w:rsid w:val="00D52219"/>
    <w:rsid w:val="00D5222D"/>
    <w:rsid w:val="00D52448"/>
    <w:rsid w:val="00D5250F"/>
    <w:rsid w:val="00D52518"/>
    <w:rsid w:val="00D52565"/>
    <w:rsid w:val="00D525A1"/>
    <w:rsid w:val="00D52668"/>
    <w:rsid w:val="00D52692"/>
    <w:rsid w:val="00D526BA"/>
    <w:rsid w:val="00D527C9"/>
    <w:rsid w:val="00D52821"/>
    <w:rsid w:val="00D52826"/>
    <w:rsid w:val="00D52980"/>
    <w:rsid w:val="00D52C30"/>
    <w:rsid w:val="00D52D52"/>
    <w:rsid w:val="00D52DF7"/>
    <w:rsid w:val="00D52E86"/>
    <w:rsid w:val="00D52E93"/>
    <w:rsid w:val="00D530CB"/>
    <w:rsid w:val="00D53140"/>
    <w:rsid w:val="00D531E1"/>
    <w:rsid w:val="00D53595"/>
    <w:rsid w:val="00D53876"/>
    <w:rsid w:val="00D5388D"/>
    <w:rsid w:val="00D538AA"/>
    <w:rsid w:val="00D53B8F"/>
    <w:rsid w:val="00D53BA5"/>
    <w:rsid w:val="00D53BB8"/>
    <w:rsid w:val="00D53C29"/>
    <w:rsid w:val="00D53C72"/>
    <w:rsid w:val="00D53CA8"/>
    <w:rsid w:val="00D53D79"/>
    <w:rsid w:val="00D5418F"/>
    <w:rsid w:val="00D542DB"/>
    <w:rsid w:val="00D54310"/>
    <w:rsid w:val="00D5437A"/>
    <w:rsid w:val="00D54437"/>
    <w:rsid w:val="00D5443C"/>
    <w:rsid w:val="00D54519"/>
    <w:rsid w:val="00D54574"/>
    <w:rsid w:val="00D548C3"/>
    <w:rsid w:val="00D548DF"/>
    <w:rsid w:val="00D54942"/>
    <w:rsid w:val="00D54ABF"/>
    <w:rsid w:val="00D54AED"/>
    <w:rsid w:val="00D54CF8"/>
    <w:rsid w:val="00D54E38"/>
    <w:rsid w:val="00D55010"/>
    <w:rsid w:val="00D5509C"/>
    <w:rsid w:val="00D5522D"/>
    <w:rsid w:val="00D5523D"/>
    <w:rsid w:val="00D553C3"/>
    <w:rsid w:val="00D5575E"/>
    <w:rsid w:val="00D557D4"/>
    <w:rsid w:val="00D5584D"/>
    <w:rsid w:val="00D558D3"/>
    <w:rsid w:val="00D558F1"/>
    <w:rsid w:val="00D55941"/>
    <w:rsid w:val="00D55ACE"/>
    <w:rsid w:val="00D55BFE"/>
    <w:rsid w:val="00D55CCB"/>
    <w:rsid w:val="00D55D53"/>
    <w:rsid w:val="00D55D57"/>
    <w:rsid w:val="00D55EBD"/>
    <w:rsid w:val="00D55EC3"/>
    <w:rsid w:val="00D55F1D"/>
    <w:rsid w:val="00D55F80"/>
    <w:rsid w:val="00D5606F"/>
    <w:rsid w:val="00D560E6"/>
    <w:rsid w:val="00D56113"/>
    <w:rsid w:val="00D56191"/>
    <w:rsid w:val="00D5625B"/>
    <w:rsid w:val="00D56594"/>
    <w:rsid w:val="00D56648"/>
    <w:rsid w:val="00D56932"/>
    <w:rsid w:val="00D56934"/>
    <w:rsid w:val="00D56986"/>
    <w:rsid w:val="00D56AB2"/>
    <w:rsid w:val="00D56ADE"/>
    <w:rsid w:val="00D56D60"/>
    <w:rsid w:val="00D56EB2"/>
    <w:rsid w:val="00D56EE4"/>
    <w:rsid w:val="00D57139"/>
    <w:rsid w:val="00D571DB"/>
    <w:rsid w:val="00D57578"/>
    <w:rsid w:val="00D575BE"/>
    <w:rsid w:val="00D575DA"/>
    <w:rsid w:val="00D57614"/>
    <w:rsid w:val="00D5782E"/>
    <w:rsid w:val="00D5790B"/>
    <w:rsid w:val="00D579A4"/>
    <w:rsid w:val="00D579F1"/>
    <w:rsid w:val="00D57A9C"/>
    <w:rsid w:val="00D57BF3"/>
    <w:rsid w:val="00D57CA6"/>
    <w:rsid w:val="00D57D6A"/>
    <w:rsid w:val="00D57FD3"/>
    <w:rsid w:val="00D57FEC"/>
    <w:rsid w:val="00D600F9"/>
    <w:rsid w:val="00D601F9"/>
    <w:rsid w:val="00D60210"/>
    <w:rsid w:val="00D602CB"/>
    <w:rsid w:val="00D6033F"/>
    <w:rsid w:val="00D6036B"/>
    <w:rsid w:val="00D6049B"/>
    <w:rsid w:val="00D60638"/>
    <w:rsid w:val="00D606BE"/>
    <w:rsid w:val="00D607F2"/>
    <w:rsid w:val="00D6084D"/>
    <w:rsid w:val="00D6087E"/>
    <w:rsid w:val="00D60914"/>
    <w:rsid w:val="00D60C72"/>
    <w:rsid w:val="00D60E5A"/>
    <w:rsid w:val="00D60F6A"/>
    <w:rsid w:val="00D60FA3"/>
    <w:rsid w:val="00D61044"/>
    <w:rsid w:val="00D610A2"/>
    <w:rsid w:val="00D61171"/>
    <w:rsid w:val="00D6118C"/>
    <w:rsid w:val="00D6129F"/>
    <w:rsid w:val="00D612AC"/>
    <w:rsid w:val="00D6141D"/>
    <w:rsid w:val="00D614D8"/>
    <w:rsid w:val="00D6170A"/>
    <w:rsid w:val="00D61761"/>
    <w:rsid w:val="00D617F1"/>
    <w:rsid w:val="00D6195F"/>
    <w:rsid w:val="00D61A25"/>
    <w:rsid w:val="00D61A6B"/>
    <w:rsid w:val="00D61A8E"/>
    <w:rsid w:val="00D61B30"/>
    <w:rsid w:val="00D61C73"/>
    <w:rsid w:val="00D6212C"/>
    <w:rsid w:val="00D621DB"/>
    <w:rsid w:val="00D6235A"/>
    <w:rsid w:val="00D623CD"/>
    <w:rsid w:val="00D62426"/>
    <w:rsid w:val="00D624CB"/>
    <w:rsid w:val="00D624D5"/>
    <w:rsid w:val="00D62555"/>
    <w:rsid w:val="00D62595"/>
    <w:rsid w:val="00D625A5"/>
    <w:rsid w:val="00D62792"/>
    <w:rsid w:val="00D627FF"/>
    <w:rsid w:val="00D62965"/>
    <w:rsid w:val="00D629DE"/>
    <w:rsid w:val="00D62B70"/>
    <w:rsid w:val="00D62BAE"/>
    <w:rsid w:val="00D62CA3"/>
    <w:rsid w:val="00D62DB4"/>
    <w:rsid w:val="00D63037"/>
    <w:rsid w:val="00D63043"/>
    <w:rsid w:val="00D631A6"/>
    <w:rsid w:val="00D63309"/>
    <w:rsid w:val="00D63393"/>
    <w:rsid w:val="00D63426"/>
    <w:rsid w:val="00D63441"/>
    <w:rsid w:val="00D6344D"/>
    <w:rsid w:val="00D63460"/>
    <w:rsid w:val="00D6369D"/>
    <w:rsid w:val="00D63735"/>
    <w:rsid w:val="00D6381F"/>
    <w:rsid w:val="00D63A87"/>
    <w:rsid w:val="00D63CF0"/>
    <w:rsid w:val="00D63D87"/>
    <w:rsid w:val="00D63D8A"/>
    <w:rsid w:val="00D63EB5"/>
    <w:rsid w:val="00D63ED0"/>
    <w:rsid w:val="00D63EDC"/>
    <w:rsid w:val="00D63FA3"/>
    <w:rsid w:val="00D640D0"/>
    <w:rsid w:val="00D641CF"/>
    <w:rsid w:val="00D64285"/>
    <w:rsid w:val="00D6431C"/>
    <w:rsid w:val="00D643F4"/>
    <w:rsid w:val="00D64455"/>
    <w:rsid w:val="00D6445D"/>
    <w:rsid w:val="00D6467C"/>
    <w:rsid w:val="00D647D9"/>
    <w:rsid w:val="00D64891"/>
    <w:rsid w:val="00D6492E"/>
    <w:rsid w:val="00D64953"/>
    <w:rsid w:val="00D64AFC"/>
    <w:rsid w:val="00D64B4D"/>
    <w:rsid w:val="00D64C54"/>
    <w:rsid w:val="00D64C73"/>
    <w:rsid w:val="00D64CEC"/>
    <w:rsid w:val="00D64E21"/>
    <w:rsid w:val="00D64EC5"/>
    <w:rsid w:val="00D64ECA"/>
    <w:rsid w:val="00D6507B"/>
    <w:rsid w:val="00D650F9"/>
    <w:rsid w:val="00D65275"/>
    <w:rsid w:val="00D652B8"/>
    <w:rsid w:val="00D652D3"/>
    <w:rsid w:val="00D65445"/>
    <w:rsid w:val="00D654A4"/>
    <w:rsid w:val="00D655BE"/>
    <w:rsid w:val="00D6571C"/>
    <w:rsid w:val="00D6588A"/>
    <w:rsid w:val="00D659CB"/>
    <w:rsid w:val="00D65AB3"/>
    <w:rsid w:val="00D65BF1"/>
    <w:rsid w:val="00D65C39"/>
    <w:rsid w:val="00D65D4F"/>
    <w:rsid w:val="00D65D8A"/>
    <w:rsid w:val="00D65F0A"/>
    <w:rsid w:val="00D65F0B"/>
    <w:rsid w:val="00D66A09"/>
    <w:rsid w:val="00D66A4F"/>
    <w:rsid w:val="00D66A54"/>
    <w:rsid w:val="00D66B86"/>
    <w:rsid w:val="00D66BE7"/>
    <w:rsid w:val="00D66DBB"/>
    <w:rsid w:val="00D672C9"/>
    <w:rsid w:val="00D672D1"/>
    <w:rsid w:val="00D67384"/>
    <w:rsid w:val="00D673AA"/>
    <w:rsid w:val="00D673ED"/>
    <w:rsid w:val="00D674E9"/>
    <w:rsid w:val="00D676B5"/>
    <w:rsid w:val="00D67744"/>
    <w:rsid w:val="00D67833"/>
    <w:rsid w:val="00D678CE"/>
    <w:rsid w:val="00D678F0"/>
    <w:rsid w:val="00D679AF"/>
    <w:rsid w:val="00D67BE9"/>
    <w:rsid w:val="00D67E38"/>
    <w:rsid w:val="00D67F20"/>
    <w:rsid w:val="00D70048"/>
    <w:rsid w:val="00D703A7"/>
    <w:rsid w:val="00D7043F"/>
    <w:rsid w:val="00D704C1"/>
    <w:rsid w:val="00D704F4"/>
    <w:rsid w:val="00D70570"/>
    <w:rsid w:val="00D708B3"/>
    <w:rsid w:val="00D70A23"/>
    <w:rsid w:val="00D70A72"/>
    <w:rsid w:val="00D70A9D"/>
    <w:rsid w:val="00D70D2C"/>
    <w:rsid w:val="00D70D6C"/>
    <w:rsid w:val="00D70DED"/>
    <w:rsid w:val="00D71086"/>
    <w:rsid w:val="00D713D4"/>
    <w:rsid w:val="00D71498"/>
    <w:rsid w:val="00D71525"/>
    <w:rsid w:val="00D715E0"/>
    <w:rsid w:val="00D717B0"/>
    <w:rsid w:val="00D71818"/>
    <w:rsid w:val="00D718AA"/>
    <w:rsid w:val="00D71A4B"/>
    <w:rsid w:val="00D71A93"/>
    <w:rsid w:val="00D71B4E"/>
    <w:rsid w:val="00D71B97"/>
    <w:rsid w:val="00D71BDC"/>
    <w:rsid w:val="00D71D2E"/>
    <w:rsid w:val="00D71EFA"/>
    <w:rsid w:val="00D71F88"/>
    <w:rsid w:val="00D721A9"/>
    <w:rsid w:val="00D72228"/>
    <w:rsid w:val="00D72230"/>
    <w:rsid w:val="00D722AC"/>
    <w:rsid w:val="00D722C2"/>
    <w:rsid w:val="00D7232B"/>
    <w:rsid w:val="00D7252A"/>
    <w:rsid w:val="00D72688"/>
    <w:rsid w:val="00D72715"/>
    <w:rsid w:val="00D727BE"/>
    <w:rsid w:val="00D72926"/>
    <w:rsid w:val="00D72978"/>
    <w:rsid w:val="00D72997"/>
    <w:rsid w:val="00D72A95"/>
    <w:rsid w:val="00D72AA1"/>
    <w:rsid w:val="00D72CD8"/>
    <w:rsid w:val="00D72D5C"/>
    <w:rsid w:val="00D72E70"/>
    <w:rsid w:val="00D72EB3"/>
    <w:rsid w:val="00D732B0"/>
    <w:rsid w:val="00D733E1"/>
    <w:rsid w:val="00D7352B"/>
    <w:rsid w:val="00D73561"/>
    <w:rsid w:val="00D735BE"/>
    <w:rsid w:val="00D7364A"/>
    <w:rsid w:val="00D73702"/>
    <w:rsid w:val="00D73726"/>
    <w:rsid w:val="00D73788"/>
    <w:rsid w:val="00D738D1"/>
    <w:rsid w:val="00D739CE"/>
    <w:rsid w:val="00D73A6F"/>
    <w:rsid w:val="00D73D92"/>
    <w:rsid w:val="00D73E80"/>
    <w:rsid w:val="00D73FF8"/>
    <w:rsid w:val="00D7401F"/>
    <w:rsid w:val="00D74063"/>
    <w:rsid w:val="00D7406F"/>
    <w:rsid w:val="00D740AC"/>
    <w:rsid w:val="00D7444B"/>
    <w:rsid w:val="00D744C4"/>
    <w:rsid w:val="00D74561"/>
    <w:rsid w:val="00D74736"/>
    <w:rsid w:val="00D74796"/>
    <w:rsid w:val="00D747D5"/>
    <w:rsid w:val="00D7487B"/>
    <w:rsid w:val="00D748ED"/>
    <w:rsid w:val="00D74A37"/>
    <w:rsid w:val="00D74BF9"/>
    <w:rsid w:val="00D74CB1"/>
    <w:rsid w:val="00D74CB7"/>
    <w:rsid w:val="00D74D50"/>
    <w:rsid w:val="00D74E9B"/>
    <w:rsid w:val="00D74F67"/>
    <w:rsid w:val="00D74FE5"/>
    <w:rsid w:val="00D75085"/>
    <w:rsid w:val="00D7527F"/>
    <w:rsid w:val="00D75367"/>
    <w:rsid w:val="00D754E7"/>
    <w:rsid w:val="00D75650"/>
    <w:rsid w:val="00D75681"/>
    <w:rsid w:val="00D75878"/>
    <w:rsid w:val="00D758EC"/>
    <w:rsid w:val="00D75AAA"/>
    <w:rsid w:val="00D75B73"/>
    <w:rsid w:val="00D75BC5"/>
    <w:rsid w:val="00D75CE5"/>
    <w:rsid w:val="00D75EA3"/>
    <w:rsid w:val="00D75F75"/>
    <w:rsid w:val="00D76003"/>
    <w:rsid w:val="00D76114"/>
    <w:rsid w:val="00D76394"/>
    <w:rsid w:val="00D763DF"/>
    <w:rsid w:val="00D763E9"/>
    <w:rsid w:val="00D76451"/>
    <w:rsid w:val="00D7662A"/>
    <w:rsid w:val="00D76669"/>
    <w:rsid w:val="00D76701"/>
    <w:rsid w:val="00D767EE"/>
    <w:rsid w:val="00D768D5"/>
    <w:rsid w:val="00D76932"/>
    <w:rsid w:val="00D76A11"/>
    <w:rsid w:val="00D76A84"/>
    <w:rsid w:val="00D76AE1"/>
    <w:rsid w:val="00D76B61"/>
    <w:rsid w:val="00D76BAD"/>
    <w:rsid w:val="00D76C3F"/>
    <w:rsid w:val="00D76CA6"/>
    <w:rsid w:val="00D76D06"/>
    <w:rsid w:val="00D76DBD"/>
    <w:rsid w:val="00D76DD3"/>
    <w:rsid w:val="00D76F05"/>
    <w:rsid w:val="00D76FEB"/>
    <w:rsid w:val="00D7700F"/>
    <w:rsid w:val="00D77020"/>
    <w:rsid w:val="00D77148"/>
    <w:rsid w:val="00D77484"/>
    <w:rsid w:val="00D774A5"/>
    <w:rsid w:val="00D77602"/>
    <w:rsid w:val="00D778A0"/>
    <w:rsid w:val="00D778EA"/>
    <w:rsid w:val="00D77A01"/>
    <w:rsid w:val="00D77B05"/>
    <w:rsid w:val="00D77B0F"/>
    <w:rsid w:val="00D77C70"/>
    <w:rsid w:val="00D77CBA"/>
    <w:rsid w:val="00D77DA1"/>
    <w:rsid w:val="00D77DD4"/>
    <w:rsid w:val="00D77F37"/>
    <w:rsid w:val="00D800E6"/>
    <w:rsid w:val="00D80282"/>
    <w:rsid w:val="00D804DF"/>
    <w:rsid w:val="00D806E9"/>
    <w:rsid w:val="00D8092D"/>
    <w:rsid w:val="00D80941"/>
    <w:rsid w:val="00D80B41"/>
    <w:rsid w:val="00D80B8E"/>
    <w:rsid w:val="00D80BA8"/>
    <w:rsid w:val="00D80C28"/>
    <w:rsid w:val="00D80DCD"/>
    <w:rsid w:val="00D80E1F"/>
    <w:rsid w:val="00D80E27"/>
    <w:rsid w:val="00D810C9"/>
    <w:rsid w:val="00D8117C"/>
    <w:rsid w:val="00D8118B"/>
    <w:rsid w:val="00D81213"/>
    <w:rsid w:val="00D8127D"/>
    <w:rsid w:val="00D816C8"/>
    <w:rsid w:val="00D817A8"/>
    <w:rsid w:val="00D817C4"/>
    <w:rsid w:val="00D817DC"/>
    <w:rsid w:val="00D8180A"/>
    <w:rsid w:val="00D81832"/>
    <w:rsid w:val="00D81864"/>
    <w:rsid w:val="00D81A72"/>
    <w:rsid w:val="00D81AD7"/>
    <w:rsid w:val="00D81B7A"/>
    <w:rsid w:val="00D81D99"/>
    <w:rsid w:val="00D81DD0"/>
    <w:rsid w:val="00D81FFC"/>
    <w:rsid w:val="00D821E3"/>
    <w:rsid w:val="00D822A9"/>
    <w:rsid w:val="00D823B1"/>
    <w:rsid w:val="00D82740"/>
    <w:rsid w:val="00D82874"/>
    <w:rsid w:val="00D82909"/>
    <w:rsid w:val="00D82A2A"/>
    <w:rsid w:val="00D82AD3"/>
    <w:rsid w:val="00D82B93"/>
    <w:rsid w:val="00D82BA2"/>
    <w:rsid w:val="00D82C98"/>
    <w:rsid w:val="00D82EF9"/>
    <w:rsid w:val="00D83201"/>
    <w:rsid w:val="00D833D9"/>
    <w:rsid w:val="00D83403"/>
    <w:rsid w:val="00D8354C"/>
    <w:rsid w:val="00D8358F"/>
    <w:rsid w:val="00D835AE"/>
    <w:rsid w:val="00D836FC"/>
    <w:rsid w:val="00D83732"/>
    <w:rsid w:val="00D83842"/>
    <w:rsid w:val="00D838B7"/>
    <w:rsid w:val="00D838C4"/>
    <w:rsid w:val="00D8399B"/>
    <w:rsid w:val="00D83ACD"/>
    <w:rsid w:val="00D83B86"/>
    <w:rsid w:val="00D83BD9"/>
    <w:rsid w:val="00D83C06"/>
    <w:rsid w:val="00D83C12"/>
    <w:rsid w:val="00D83C61"/>
    <w:rsid w:val="00D83C7C"/>
    <w:rsid w:val="00D83E6F"/>
    <w:rsid w:val="00D83F7C"/>
    <w:rsid w:val="00D84190"/>
    <w:rsid w:val="00D84253"/>
    <w:rsid w:val="00D84830"/>
    <w:rsid w:val="00D848B8"/>
    <w:rsid w:val="00D84A1B"/>
    <w:rsid w:val="00D84BCA"/>
    <w:rsid w:val="00D84C8D"/>
    <w:rsid w:val="00D84D7D"/>
    <w:rsid w:val="00D84DC3"/>
    <w:rsid w:val="00D84ECF"/>
    <w:rsid w:val="00D850C4"/>
    <w:rsid w:val="00D85214"/>
    <w:rsid w:val="00D8532A"/>
    <w:rsid w:val="00D8532E"/>
    <w:rsid w:val="00D8534F"/>
    <w:rsid w:val="00D853D8"/>
    <w:rsid w:val="00D85459"/>
    <w:rsid w:val="00D85517"/>
    <w:rsid w:val="00D8560D"/>
    <w:rsid w:val="00D8569C"/>
    <w:rsid w:val="00D856D6"/>
    <w:rsid w:val="00D85829"/>
    <w:rsid w:val="00D858EC"/>
    <w:rsid w:val="00D85A13"/>
    <w:rsid w:val="00D85A52"/>
    <w:rsid w:val="00D85CB6"/>
    <w:rsid w:val="00D85F51"/>
    <w:rsid w:val="00D85F95"/>
    <w:rsid w:val="00D860EE"/>
    <w:rsid w:val="00D860FD"/>
    <w:rsid w:val="00D86130"/>
    <w:rsid w:val="00D861A1"/>
    <w:rsid w:val="00D86238"/>
    <w:rsid w:val="00D86272"/>
    <w:rsid w:val="00D8643E"/>
    <w:rsid w:val="00D86475"/>
    <w:rsid w:val="00D8664A"/>
    <w:rsid w:val="00D866E5"/>
    <w:rsid w:val="00D866FC"/>
    <w:rsid w:val="00D8670D"/>
    <w:rsid w:val="00D867DF"/>
    <w:rsid w:val="00D86B75"/>
    <w:rsid w:val="00D86BF5"/>
    <w:rsid w:val="00D86C31"/>
    <w:rsid w:val="00D86C5A"/>
    <w:rsid w:val="00D86C6F"/>
    <w:rsid w:val="00D86D37"/>
    <w:rsid w:val="00D86DD3"/>
    <w:rsid w:val="00D86E97"/>
    <w:rsid w:val="00D86ED7"/>
    <w:rsid w:val="00D86F16"/>
    <w:rsid w:val="00D86FAC"/>
    <w:rsid w:val="00D871F9"/>
    <w:rsid w:val="00D87218"/>
    <w:rsid w:val="00D87348"/>
    <w:rsid w:val="00D87457"/>
    <w:rsid w:val="00D87519"/>
    <w:rsid w:val="00D8760D"/>
    <w:rsid w:val="00D87634"/>
    <w:rsid w:val="00D87635"/>
    <w:rsid w:val="00D879EA"/>
    <w:rsid w:val="00D87B36"/>
    <w:rsid w:val="00D87B9A"/>
    <w:rsid w:val="00D87BDD"/>
    <w:rsid w:val="00D87C46"/>
    <w:rsid w:val="00D87C89"/>
    <w:rsid w:val="00D87C92"/>
    <w:rsid w:val="00D87D24"/>
    <w:rsid w:val="00D87E35"/>
    <w:rsid w:val="00D87EDB"/>
    <w:rsid w:val="00D87F22"/>
    <w:rsid w:val="00D87FA6"/>
    <w:rsid w:val="00D87FC7"/>
    <w:rsid w:val="00D90033"/>
    <w:rsid w:val="00D901B0"/>
    <w:rsid w:val="00D901E3"/>
    <w:rsid w:val="00D902C7"/>
    <w:rsid w:val="00D903A7"/>
    <w:rsid w:val="00D903AA"/>
    <w:rsid w:val="00D90466"/>
    <w:rsid w:val="00D905B3"/>
    <w:rsid w:val="00D90613"/>
    <w:rsid w:val="00D906CA"/>
    <w:rsid w:val="00D907D4"/>
    <w:rsid w:val="00D9097F"/>
    <w:rsid w:val="00D909A3"/>
    <w:rsid w:val="00D909B6"/>
    <w:rsid w:val="00D90A08"/>
    <w:rsid w:val="00D90A6E"/>
    <w:rsid w:val="00D90B8D"/>
    <w:rsid w:val="00D90BF1"/>
    <w:rsid w:val="00D90C2A"/>
    <w:rsid w:val="00D90C30"/>
    <w:rsid w:val="00D90C35"/>
    <w:rsid w:val="00D90C57"/>
    <w:rsid w:val="00D90FC1"/>
    <w:rsid w:val="00D91088"/>
    <w:rsid w:val="00D91432"/>
    <w:rsid w:val="00D9151C"/>
    <w:rsid w:val="00D915AA"/>
    <w:rsid w:val="00D916C8"/>
    <w:rsid w:val="00D916F9"/>
    <w:rsid w:val="00D9170C"/>
    <w:rsid w:val="00D91946"/>
    <w:rsid w:val="00D91B67"/>
    <w:rsid w:val="00D91BA4"/>
    <w:rsid w:val="00D91D03"/>
    <w:rsid w:val="00D91D3C"/>
    <w:rsid w:val="00D91E84"/>
    <w:rsid w:val="00D9224C"/>
    <w:rsid w:val="00D92517"/>
    <w:rsid w:val="00D92582"/>
    <w:rsid w:val="00D925F6"/>
    <w:rsid w:val="00D92625"/>
    <w:rsid w:val="00D92693"/>
    <w:rsid w:val="00D926DD"/>
    <w:rsid w:val="00D927B8"/>
    <w:rsid w:val="00D9285F"/>
    <w:rsid w:val="00D92941"/>
    <w:rsid w:val="00D929E8"/>
    <w:rsid w:val="00D92DA1"/>
    <w:rsid w:val="00D92DC2"/>
    <w:rsid w:val="00D92ED7"/>
    <w:rsid w:val="00D92F21"/>
    <w:rsid w:val="00D930BE"/>
    <w:rsid w:val="00D93114"/>
    <w:rsid w:val="00D9321E"/>
    <w:rsid w:val="00D93447"/>
    <w:rsid w:val="00D935C0"/>
    <w:rsid w:val="00D935E0"/>
    <w:rsid w:val="00D935E3"/>
    <w:rsid w:val="00D9360F"/>
    <w:rsid w:val="00D93650"/>
    <w:rsid w:val="00D93762"/>
    <w:rsid w:val="00D938C4"/>
    <w:rsid w:val="00D93938"/>
    <w:rsid w:val="00D93957"/>
    <w:rsid w:val="00D939C7"/>
    <w:rsid w:val="00D93A00"/>
    <w:rsid w:val="00D93FB0"/>
    <w:rsid w:val="00D93FDD"/>
    <w:rsid w:val="00D940A3"/>
    <w:rsid w:val="00D9432C"/>
    <w:rsid w:val="00D94485"/>
    <w:rsid w:val="00D94556"/>
    <w:rsid w:val="00D945AB"/>
    <w:rsid w:val="00D9461E"/>
    <w:rsid w:val="00D94622"/>
    <w:rsid w:val="00D94791"/>
    <w:rsid w:val="00D94A71"/>
    <w:rsid w:val="00D94B5B"/>
    <w:rsid w:val="00D94B78"/>
    <w:rsid w:val="00D94C0B"/>
    <w:rsid w:val="00D94CE4"/>
    <w:rsid w:val="00D94D37"/>
    <w:rsid w:val="00D94DCF"/>
    <w:rsid w:val="00D94EAE"/>
    <w:rsid w:val="00D94EFB"/>
    <w:rsid w:val="00D94F0E"/>
    <w:rsid w:val="00D94F71"/>
    <w:rsid w:val="00D951F7"/>
    <w:rsid w:val="00D951FA"/>
    <w:rsid w:val="00D95235"/>
    <w:rsid w:val="00D952AD"/>
    <w:rsid w:val="00D953AF"/>
    <w:rsid w:val="00D954F5"/>
    <w:rsid w:val="00D9572D"/>
    <w:rsid w:val="00D95792"/>
    <w:rsid w:val="00D95913"/>
    <w:rsid w:val="00D95962"/>
    <w:rsid w:val="00D95984"/>
    <w:rsid w:val="00D95C30"/>
    <w:rsid w:val="00D95E23"/>
    <w:rsid w:val="00D95E5C"/>
    <w:rsid w:val="00D95EAF"/>
    <w:rsid w:val="00D95F69"/>
    <w:rsid w:val="00D95F9C"/>
    <w:rsid w:val="00D9606E"/>
    <w:rsid w:val="00D961EC"/>
    <w:rsid w:val="00D9620E"/>
    <w:rsid w:val="00D96316"/>
    <w:rsid w:val="00D963BD"/>
    <w:rsid w:val="00D9645F"/>
    <w:rsid w:val="00D9646C"/>
    <w:rsid w:val="00D9649B"/>
    <w:rsid w:val="00D9651B"/>
    <w:rsid w:val="00D96599"/>
    <w:rsid w:val="00D9661F"/>
    <w:rsid w:val="00D966C1"/>
    <w:rsid w:val="00D966D7"/>
    <w:rsid w:val="00D96721"/>
    <w:rsid w:val="00D96777"/>
    <w:rsid w:val="00D96953"/>
    <w:rsid w:val="00D96B0D"/>
    <w:rsid w:val="00D96B91"/>
    <w:rsid w:val="00D96CDC"/>
    <w:rsid w:val="00D96DFF"/>
    <w:rsid w:val="00D96FBD"/>
    <w:rsid w:val="00D97005"/>
    <w:rsid w:val="00D972C7"/>
    <w:rsid w:val="00D97412"/>
    <w:rsid w:val="00D9746A"/>
    <w:rsid w:val="00D974CE"/>
    <w:rsid w:val="00D97679"/>
    <w:rsid w:val="00D9780E"/>
    <w:rsid w:val="00D9783C"/>
    <w:rsid w:val="00D97939"/>
    <w:rsid w:val="00D97A18"/>
    <w:rsid w:val="00D97BF6"/>
    <w:rsid w:val="00D97DCC"/>
    <w:rsid w:val="00DA009E"/>
    <w:rsid w:val="00DA01E4"/>
    <w:rsid w:val="00DA01E9"/>
    <w:rsid w:val="00DA030F"/>
    <w:rsid w:val="00DA0512"/>
    <w:rsid w:val="00DA057D"/>
    <w:rsid w:val="00DA064E"/>
    <w:rsid w:val="00DA06AD"/>
    <w:rsid w:val="00DA06E8"/>
    <w:rsid w:val="00DA0711"/>
    <w:rsid w:val="00DA0739"/>
    <w:rsid w:val="00DA0760"/>
    <w:rsid w:val="00DA08D2"/>
    <w:rsid w:val="00DA0961"/>
    <w:rsid w:val="00DA096F"/>
    <w:rsid w:val="00DA0AFA"/>
    <w:rsid w:val="00DA0BE9"/>
    <w:rsid w:val="00DA0C52"/>
    <w:rsid w:val="00DA0D52"/>
    <w:rsid w:val="00DA0E46"/>
    <w:rsid w:val="00DA10B7"/>
    <w:rsid w:val="00DA116F"/>
    <w:rsid w:val="00DA1270"/>
    <w:rsid w:val="00DA136B"/>
    <w:rsid w:val="00DA16B3"/>
    <w:rsid w:val="00DA1705"/>
    <w:rsid w:val="00DA189C"/>
    <w:rsid w:val="00DA18CD"/>
    <w:rsid w:val="00DA19B3"/>
    <w:rsid w:val="00DA1A6D"/>
    <w:rsid w:val="00DA1B38"/>
    <w:rsid w:val="00DA1B82"/>
    <w:rsid w:val="00DA1C84"/>
    <w:rsid w:val="00DA1D62"/>
    <w:rsid w:val="00DA1E09"/>
    <w:rsid w:val="00DA1E42"/>
    <w:rsid w:val="00DA1F2D"/>
    <w:rsid w:val="00DA1F49"/>
    <w:rsid w:val="00DA1F4A"/>
    <w:rsid w:val="00DA2031"/>
    <w:rsid w:val="00DA21EB"/>
    <w:rsid w:val="00DA2275"/>
    <w:rsid w:val="00DA2342"/>
    <w:rsid w:val="00DA234E"/>
    <w:rsid w:val="00DA242E"/>
    <w:rsid w:val="00DA245F"/>
    <w:rsid w:val="00DA255F"/>
    <w:rsid w:val="00DA2704"/>
    <w:rsid w:val="00DA289E"/>
    <w:rsid w:val="00DA297F"/>
    <w:rsid w:val="00DA29A3"/>
    <w:rsid w:val="00DA29C0"/>
    <w:rsid w:val="00DA29E8"/>
    <w:rsid w:val="00DA2A4F"/>
    <w:rsid w:val="00DA2A96"/>
    <w:rsid w:val="00DA2AEA"/>
    <w:rsid w:val="00DA2B3A"/>
    <w:rsid w:val="00DA2B44"/>
    <w:rsid w:val="00DA2BC3"/>
    <w:rsid w:val="00DA2C12"/>
    <w:rsid w:val="00DA2D11"/>
    <w:rsid w:val="00DA2DED"/>
    <w:rsid w:val="00DA2E3F"/>
    <w:rsid w:val="00DA2EFB"/>
    <w:rsid w:val="00DA2F3E"/>
    <w:rsid w:val="00DA2FB4"/>
    <w:rsid w:val="00DA305A"/>
    <w:rsid w:val="00DA316C"/>
    <w:rsid w:val="00DA3253"/>
    <w:rsid w:val="00DA3502"/>
    <w:rsid w:val="00DA36B3"/>
    <w:rsid w:val="00DA3747"/>
    <w:rsid w:val="00DA374D"/>
    <w:rsid w:val="00DA37B6"/>
    <w:rsid w:val="00DA3AE9"/>
    <w:rsid w:val="00DA3E5E"/>
    <w:rsid w:val="00DA3EFA"/>
    <w:rsid w:val="00DA40C5"/>
    <w:rsid w:val="00DA414C"/>
    <w:rsid w:val="00DA4295"/>
    <w:rsid w:val="00DA43BF"/>
    <w:rsid w:val="00DA442A"/>
    <w:rsid w:val="00DA443A"/>
    <w:rsid w:val="00DA44A9"/>
    <w:rsid w:val="00DA45A1"/>
    <w:rsid w:val="00DA45D4"/>
    <w:rsid w:val="00DA471C"/>
    <w:rsid w:val="00DA49F2"/>
    <w:rsid w:val="00DA4C14"/>
    <w:rsid w:val="00DA4DA5"/>
    <w:rsid w:val="00DA4ED1"/>
    <w:rsid w:val="00DA4FCE"/>
    <w:rsid w:val="00DA4FF4"/>
    <w:rsid w:val="00DA53E4"/>
    <w:rsid w:val="00DA5539"/>
    <w:rsid w:val="00DA56AD"/>
    <w:rsid w:val="00DA57CD"/>
    <w:rsid w:val="00DA5807"/>
    <w:rsid w:val="00DA586F"/>
    <w:rsid w:val="00DA5AC0"/>
    <w:rsid w:val="00DA5B4E"/>
    <w:rsid w:val="00DA5BDF"/>
    <w:rsid w:val="00DA5C37"/>
    <w:rsid w:val="00DA5EFD"/>
    <w:rsid w:val="00DA6018"/>
    <w:rsid w:val="00DA6110"/>
    <w:rsid w:val="00DA616A"/>
    <w:rsid w:val="00DA61E1"/>
    <w:rsid w:val="00DA631A"/>
    <w:rsid w:val="00DA6516"/>
    <w:rsid w:val="00DA6566"/>
    <w:rsid w:val="00DA66BE"/>
    <w:rsid w:val="00DA68CE"/>
    <w:rsid w:val="00DA6AC0"/>
    <w:rsid w:val="00DA6C8A"/>
    <w:rsid w:val="00DA6CC5"/>
    <w:rsid w:val="00DA6CEB"/>
    <w:rsid w:val="00DA6D64"/>
    <w:rsid w:val="00DA6D98"/>
    <w:rsid w:val="00DA6DEF"/>
    <w:rsid w:val="00DA6E18"/>
    <w:rsid w:val="00DA6E79"/>
    <w:rsid w:val="00DA6EAE"/>
    <w:rsid w:val="00DA701A"/>
    <w:rsid w:val="00DA7072"/>
    <w:rsid w:val="00DA70FA"/>
    <w:rsid w:val="00DA7195"/>
    <w:rsid w:val="00DA73BF"/>
    <w:rsid w:val="00DA775D"/>
    <w:rsid w:val="00DA77D6"/>
    <w:rsid w:val="00DA77F1"/>
    <w:rsid w:val="00DA78D9"/>
    <w:rsid w:val="00DA78DA"/>
    <w:rsid w:val="00DA79E4"/>
    <w:rsid w:val="00DA7B2D"/>
    <w:rsid w:val="00DA7C57"/>
    <w:rsid w:val="00DA7D4B"/>
    <w:rsid w:val="00DA7E30"/>
    <w:rsid w:val="00DA7E61"/>
    <w:rsid w:val="00DA7F97"/>
    <w:rsid w:val="00DB004B"/>
    <w:rsid w:val="00DB0064"/>
    <w:rsid w:val="00DB01A9"/>
    <w:rsid w:val="00DB0218"/>
    <w:rsid w:val="00DB021C"/>
    <w:rsid w:val="00DB0416"/>
    <w:rsid w:val="00DB05FB"/>
    <w:rsid w:val="00DB06E1"/>
    <w:rsid w:val="00DB06EE"/>
    <w:rsid w:val="00DB0739"/>
    <w:rsid w:val="00DB07CA"/>
    <w:rsid w:val="00DB08DA"/>
    <w:rsid w:val="00DB0ADD"/>
    <w:rsid w:val="00DB0D36"/>
    <w:rsid w:val="00DB0DC9"/>
    <w:rsid w:val="00DB0E8A"/>
    <w:rsid w:val="00DB0EA7"/>
    <w:rsid w:val="00DB10B9"/>
    <w:rsid w:val="00DB10C2"/>
    <w:rsid w:val="00DB11CB"/>
    <w:rsid w:val="00DB11D8"/>
    <w:rsid w:val="00DB1247"/>
    <w:rsid w:val="00DB135F"/>
    <w:rsid w:val="00DB1397"/>
    <w:rsid w:val="00DB1513"/>
    <w:rsid w:val="00DB15BF"/>
    <w:rsid w:val="00DB1828"/>
    <w:rsid w:val="00DB1A1B"/>
    <w:rsid w:val="00DB1AF5"/>
    <w:rsid w:val="00DB1B9D"/>
    <w:rsid w:val="00DB1D19"/>
    <w:rsid w:val="00DB1F5C"/>
    <w:rsid w:val="00DB2035"/>
    <w:rsid w:val="00DB220E"/>
    <w:rsid w:val="00DB2446"/>
    <w:rsid w:val="00DB24B8"/>
    <w:rsid w:val="00DB2516"/>
    <w:rsid w:val="00DB25C2"/>
    <w:rsid w:val="00DB25DF"/>
    <w:rsid w:val="00DB2639"/>
    <w:rsid w:val="00DB2730"/>
    <w:rsid w:val="00DB27CC"/>
    <w:rsid w:val="00DB294E"/>
    <w:rsid w:val="00DB2AFF"/>
    <w:rsid w:val="00DB2B52"/>
    <w:rsid w:val="00DB2CD4"/>
    <w:rsid w:val="00DB2D05"/>
    <w:rsid w:val="00DB2E66"/>
    <w:rsid w:val="00DB2F11"/>
    <w:rsid w:val="00DB3024"/>
    <w:rsid w:val="00DB30BD"/>
    <w:rsid w:val="00DB31FB"/>
    <w:rsid w:val="00DB3436"/>
    <w:rsid w:val="00DB3497"/>
    <w:rsid w:val="00DB357B"/>
    <w:rsid w:val="00DB3664"/>
    <w:rsid w:val="00DB36B6"/>
    <w:rsid w:val="00DB38CF"/>
    <w:rsid w:val="00DB38F4"/>
    <w:rsid w:val="00DB393C"/>
    <w:rsid w:val="00DB3C1A"/>
    <w:rsid w:val="00DB3E1C"/>
    <w:rsid w:val="00DB3F1E"/>
    <w:rsid w:val="00DB4059"/>
    <w:rsid w:val="00DB4096"/>
    <w:rsid w:val="00DB4182"/>
    <w:rsid w:val="00DB41F9"/>
    <w:rsid w:val="00DB42E0"/>
    <w:rsid w:val="00DB43ED"/>
    <w:rsid w:val="00DB4446"/>
    <w:rsid w:val="00DB45AD"/>
    <w:rsid w:val="00DB46BC"/>
    <w:rsid w:val="00DB4714"/>
    <w:rsid w:val="00DB476A"/>
    <w:rsid w:val="00DB4A15"/>
    <w:rsid w:val="00DB4AE2"/>
    <w:rsid w:val="00DB4D7A"/>
    <w:rsid w:val="00DB4E46"/>
    <w:rsid w:val="00DB4E51"/>
    <w:rsid w:val="00DB5064"/>
    <w:rsid w:val="00DB5078"/>
    <w:rsid w:val="00DB513C"/>
    <w:rsid w:val="00DB532A"/>
    <w:rsid w:val="00DB5408"/>
    <w:rsid w:val="00DB5505"/>
    <w:rsid w:val="00DB56A8"/>
    <w:rsid w:val="00DB58CF"/>
    <w:rsid w:val="00DB5968"/>
    <w:rsid w:val="00DB5BB9"/>
    <w:rsid w:val="00DB5E58"/>
    <w:rsid w:val="00DB5EB9"/>
    <w:rsid w:val="00DB5F7E"/>
    <w:rsid w:val="00DB5F83"/>
    <w:rsid w:val="00DB602E"/>
    <w:rsid w:val="00DB6094"/>
    <w:rsid w:val="00DB6293"/>
    <w:rsid w:val="00DB62A8"/>
    <w:rsid w:val="00DB64DC"/>
    <w:rsid w:val="00DB6676"/>
    <w:rsid w:val="00DB6706"/>
    <w:rsid w:val="00DB67B8"/>
    <w:rsid w:val="00DB67DA"/>
    <w:rsid w:val="00DB6909"/>
    <w:rsid w:val="00DB6965"/>
    <w:rsid w:val="00DB6B78"/>
    <w:rsid w:val="00DB6E0D"/>
    <w:rsid w:val="00DB700B"/>
    <w:rsid w:val="00DB7016"/>
    <w:rsid w:val="00DB7077"/>
    <w:rsid w:val="00DB71AF"/>
    <w:rsid w:val="00DB7269"/>
    <w:rsid w:val="00DB72F9"/>
    <w:rsid w:val="00DB73AB"/>
    <w:rsid w:val="00DB73DB"/>
    <w:rsid w:val="00DB744B"/>
    <w:rsid w:val="00DB74D4"/>
    <w:rsid w:val="00DB7576"/>
    <w:rsid w:val="00DB7587"/>
    <w:rsid w:val="00DB7692"/>
    <w:rsid w:val="00DB76DC"/>
    <w:rsid w:val="00DB773B"/>
    <w:rsid w:val="00DB77CC"/>
    <w:rsid w:val="00DB77E7"/>
    <w:rsid w:val="00DB78A6"/>
    <w:rsid w:val="00DB78B7"/>
    <w:rsid w:val="00DB79FA"/>
    <w:rsid w:val="00DB7A35"/>
    <w:rsid w:val="00DB7A92"/>
    <w:rsid w:val="00DB7B5D"/>
    <w:rsid w:val="00DB7C8F"/>
    <w:rsid w:val="00DB7F09"/>
    <w:rsid w:val="00DB7FA5"/>
    <w:rsid w:val="00DC00D2"/>
    <w:rsid w:val="00DC00E8"/>
    <w:rsid w:val="00DC0175"/>
    <w:rsid w:val="00DC0289"/>
    <w:rsid w:val="00DC028A"/>
    <w:rsid w:val="00DC032B"/>
    <w:rsid w:val="00DC037C"/>
    <w:rsid w:val="00DC04E8"/>
    <w:rsid w:val="00DC055D"/>
    <w:rsid w:val="00DC0568"/>
    <w:rsid w:val="00DC057A"/>
    <w:rsid w:val="00DC0623"/>
    <w:rsid w:val="00DC064D"/>
    <w:rsid w:val="00DC0697"/>
    <w:rsid w:val="00DC06E4"/>
    <w:rsid w:val="00DC074C"/>
    <w:rsid w:val="00DC07D4"/>
    <w:rsid w:val="00DC08F6"/>
    <w:rsid w:val="00DC0A96"/>
    <w:rsid w:val="00DC0B34"/>
    <w:rsid w:val="00DC0E50"/>
    <w:rsid w:val="00DC0EE5"/>
    <w:rsid w:val="00DC0F50"/>
    <w:rsid w:val="00DC114C"/>
    <w:rsid w:val="00DC117D"/>
    <w:rsid w:val="00DC1270"/>
    <w:rsid w:val="00DC134C"/>
    <w:rsid w:val="00DC13E1"/>
    <w:rsid w:val="00DC145C"/>
    <w:rsid w:val="00DC1699"/>
    <w:rsid w:val="00DC172E"/>
    <w:rsid w:val="00DC1736"/>
    <w:rsid w:val="00DC17E9"/>
    <w:rsid w:val="00DC18BB"/>
    <w:rsid w:val="00DC19E3"/>
    <w:rsid w:val="00DC1C2B"/>
    <w:rsid w:val="00DC1C56"/>
    <w:rsid w:val="00DC1D4D"/>
    <w:rsid w:val="00DC1DCC"/>
    <w:rsid w:val="00DC1EAD"/>
    <w:rsid w:val="00DC1F39"/>
    <w:rsid w:val="00DC2034"/>
    <w:rsid w:val="00DC204C"/>
    <w:rsid w:val="00DC218D"/>
    <w:rsid w:val="00DC21B3"/>
    <w:rsid w:val="00DC22F5"/>
    <w:rsid w:val="00DC2378"/>
    <w:rsid w:val="00DC23D0"/>
    <w:rsid w:val="00DC23EF"/>
    <w:rsid w:val="00DC2534"/>
    <w:rsid w:val="00DC262F"/>
    <w:rsid w:val="00DC270C"/>
    <w:rsid w:val="00DC27BD"/>
    <w:rsid w:val="00DC27C0"/>
    <w:rsid w:val="00DC281E"/>
    <w:rsid w:val="00DC2A27"/>
    <w:rsid w:val="00DC2A8B"/>
    <w:rsid w:val="00DC2BE7"/>
    <w:rsid w:val="00DC2CB1"/>
    <w:rsid w:val="00DC2D61"/>
    <w:rsid w:val="00DC2E0C"/>
    <w:rsid w:val="00DC2EB8"/>
    <w:rsid w:val="00DC2F6C"/>
    <w:rsid w:val="00DC2F8E"/>
    <w:rsid w:val="00DC3394"/>
    <w:rsid w:val="00DC33AE"/>
    <w:rsid w:val="00DC3423"/>
    <w:rsid w:val="00DC346F"/>
    <w:rsid w:val="00DC34DC"/>
    <w:rsid w:val="00DC379B"/>
    <w:rsid w:val="00DC38BD"/>
    <w:rsid w:val="00DC3927"/>
    <w:rsid w:val="00DC3980"/>
    <w:rsid w:val="00DC39E3"/>
    <w:rsid w:val="00DC39F6"/>
    <w:rsid w:val="00DC3A7E"/>
    <w:rsid w:val="00DC3A93"/>
    <w:rsid w:val="00DC3BE2"/>
    <w:rsid w:val="00DC3C04"/>
    <w:rsid w:val="00DC3C41"/>
    <w:rsid w:val="00DC3D1C"/>
    <w:rsid w:val="00DC3F87"/>
    <w:rsid w:val="00DC3F8D"/>
    <w:rsid w:val="00DC4277"/>
    <w:rsid w:val="00DC43E8"/>
    <w:rsid w:val="00DC44FB"/>
    <w:rsid w:val="00DC4756"/>
    <w:rsid w:val="00DC4798"/>
    <w:rsid w:val="00DC483B"/>
    <w:rsid w:val="00DC4861"/>
    <w:rsid w:val="00DC4A89"/>
    <w:rsid w:val="00DC4E14"/>
    <w:rsid w:val="00DC4FAF"/>
    <w:rsid w:val="00DC4FEF"/>
    <w:rsid w:val="00DC5132"/>
    <w:rsid w:val="00DC5184"/>
    <w:rsid w:val="00DC5289"/>
    <w:rsid w:val="00DC533E"/>
    <w:rsid w:val="00DC5362"/>
    <w:rsid w:val="00DC541D"/>
    <w:rsid w:val="00DC54EF"/>
    <w:rsid w:val="00DC55AE"/>
    <w:rsid w:val="00DC574A"/>
    <w:rsid w:val="00DC5771"/>
    <w:rsid w:val="00DC5869"/>
    <w:rsid w:val="00DC5A0B"/>
    <w:rsid w:val="00DC5B66"/>
    <w:rsid w:val="00DC5C82"/>
    <w:rsid w:val="00DC5E17"/>
    <w:rsid w:val="00DC5E36"/>
    <w:rsid w:val="00DC5E64"/>
    <w:rsid w:val="00DC5E83"/>
    <w:rsid w:val="00DC5ED8"/>
    <w:rsid w:val="00DC62DE"/>
    <w:rsid w:val="00DC6369"/>
    <w:rsid w:val="00DC6379"/>
    <w:rsid w:val="00DC6500"/>
    <w:rsid w:val="00DC6748"/>
    <w:rsid w:val="00DC6879"/>
    <w:rsid w:val="00DC6AAD"/>
    <w:rsid w:val="00DC6C71"/>
    <w:rsid w:val="00DC6F96"/>
    <w:rsid w:val="00DC70F9"/>
    <w:rsid w:val="00DC727A"/>
    <w:rsid w:val="00DC728B"/>
    <w:rsid w:val="00DC72FC"/>
    <w:rsid w:val="00DC7453"/>
    <w:rsid w:val="00DC7480"/>
    <w:rsid w:val="00DC74C2"/>
    <w:rsid w:val="00DC74F1"/>
    <w:rsid w:val="00DC7580"/>
    <w:rsid w:val="00DC75D5"/>
    <w:rsid w:val="00DC76B9"/>
    <w:rsid w:val="00DC7737"/>
    <w:rsid w:val="00DC7881"/>
    <w:rsid w:val="00DC78AF"/>
    <w:rsid w:val="00DC7AFF"/>
    <w:rsid w:val="00DC7B22"/>
    <w:rsid w:val="00DC7BCC"/>
    <w:rsid w:val="00DC7D49"/>
    <w:rsid w:val="00DC7D71"/>
    <w:rsid w:val="00DC7E60"/>
    <w:rsid w:val="00DC7EB2"/>
    <w:rsid w:val="00DD0017"/>
    <w:rsid w:val="00DD0074"/>
    <w:rsid w:val="00DD023C"/>
    <w:rsid w:val="00DD02C2"/>
    <w:rsid w:val="00DD02D5"/>
    <w:rsid w:val="00DD04BE"/>
    <w:rsid w:val="00DD04EA"/>
    <w:rsid w:val="00DD0532"/>
    <w:rsid w:val="00DD054C"/>
    <w:rsid w:val="00DD0570"/>
    <w:rsid w:val="00DD05C0"/>
    <w:rsid w:val="00DD07C8"/>
    <w:rsid w:val="00DD0820"/>
    <w:rsid w:val="00DD0BCF"/>
    <w:rsid w:val="00DD0C2A"/>
    <w:rsid w:val="00DD0D25"/>
    <w:rsid w:val="00DD0DBF"/>
    <w:rsid w:val="00DD0E54"/>
    <w:rsid w:val="00DD0E90"/>
    <w:rsid w:val="00DD0EA2"/>
    <w:rsid w:val="00DD0EFA"/>
    <w:rsid w:val="00DD0F97"/>
    <w:rsid w:val="00DD1067"/>
    <w:rsid w:val="00DD11BF"/>
    <w:rsid w:val="00DD124C"/>
    <w:rsid w:val="00DD1320"/>
    <w:rsid w:val="00DD1580"/>
    <w:rsid w:val="00DD165D"/>
    <w:rsid w:val="00DD1771"/>
    <w:rsid w:val="00DD1788"/>
    <w:rsid w:val="00DD1876"/>
    <w:rsid w:val="00DD19DF"/>
    <w:rsid w:val="00DD19E8"/>
    <w:rsid w:val="00DD1AB0"/>
    <w:rsid w:val="00DD1D44"/>
    <w:rsid w:val="00DD1DD2"/>
    <w:rsid w:val="00DD1E29"/>
    <w:rsid w:val="00DD1F48"/>
    <w:rsid w:val="00DD1FA2"/>
    <w:rsid w:val="00DD21B9"/>
    <w:rsid w:val="00DD21C5"/>
    <w:rsid w:val="00DD21D1"/>
    <w:rsid w:val="00DD2669"/>
    <w:rsid w:val="00DD28C1"/>
    <w:rsid w:val="00DD29E3"/>
    <w:rsid w:val="00DD2A03"/>
    <w:rsid w:val="00DD2CFA"/>
    <w:rsid w:val="00DD2D06"/>
    <w:rsid w:val="00DD2D5B"/>
    <w:rsid w:val="00DD2D80"/>
    <w:rsid w:val="00DD2D89"/>
    <w:rsid w:val="00DD2E2D"/>
    <w:rsid w:val="00DD2FAA"/>
    <w:rsid w:val="00DD30FF"/>
    <w:rsid w:val="00DD3110"/>
    <w:rsid w:val="00DD312E"/>
    <w:rsid w:val="00DD3152"/>
    <w:rsid w:val="00DD32C6"/>
    <w:rsid w:val="00DD35DC"/>
    <w:rsid w:val="00DD3683"/>
    <w:rsid w:val="00DD3686"/>
    <w:rsid w:val="00DD37C0"/>
    <w:rsid w:val="00DD3816"/>
    <w:rsid w:val="00DD38B1"/>
    <w:rsid w:val="00DD38B2"/>
    <w:rsid w:val="00DD3BBD"/>
    <w:rsid w:val="00DD3D9F"/>
    <w:rsid w:val="00DD3DBA"/>
    <w:rsid w:val="00DD4008"/>
    <w:rsid w:val="00DD40A3"/>
    <w:rsid w:val="00DD40C1"/>
    <w:rsid w:val="00DD4234"/>
    <w:rsid w:val="00DD4457"/>
    <w:rsid w:val="00DD4563"/>
    <w:rsid w:val="00DD4630"/>
    <w:rsid w:val="00DD46D9"/>
    <w:rsid w:val="00DD4764"/>
    <w:rsid w:val="00DD4766"/>
    <w:rsid w:val="00DD4831"/>
    <w:rsid w:val="00DD4AB7"/>
    <w:rsid w:val="00DD4C4B"/>
    <w:rsid w:val="00DD4C50"/>
    <w:rsid w:val="00DD4E8D"/>
    <w:rsid w:val="00DD4E93"/>
    <w:rsid w:val="00DD4F83"/>
    <w:rsid w:val="00DD5024"/>
    <w:rsid w:val="00DD5033"/>
    <w:rsid w:val="00DD524E"/>
    <w:rsid w:val="00DD5300"/>
    <w:rsid w:val="00DD5328"/>
    <w:rsid w:val="00DD540E"/>
    <w:rsid w:val="00DD5451"/>
    <w:rsid w:val="00DD5461"/>
    <w:rsid w:val="00DD5482"/>
    <w:rsid w:val="00DD5593"/>
    <w:rsid w:val="00DD5672"/>
    <w:rsid w:val="00DD5673"/>
    <w:rsid w:val="00DD5951"/>
    <w:rsid w:val="00DD599B"/>
    <w:rsid w:val="00DD59A0"/>
    <w:rsid w:val="00DD5A83"/>
    <w:rsid w:val="00DD5B13"/>
    <w:rsid w:val="00DD5C5A"/>
    <w:rsid w:val="00DD5CD0"/>
    <w:rsid w:val="00DD5D48"/>
    <w:rsid w:val="00DD5DC8"/>
    <w:rsid w:val="00DD61E4"/>
    <w:rsid w:val="00DD6202"/>
    <w:rsid w:val="00DD628A"/>
    <w:rsid w:val="00DD632A"/>
    <w:rsid w:val="00DD6421"/>
    <w:rsid w:val="00DD645A"/>
    <w:rsid w:val="00DD661A"/>
    <w:rsid w:val="00DD665E"/>
    <w:rsid w:val="00DD66B7"/>
    <w:rsid w:val="00DD672A"/>
    <w:rsid w:val="00DD678B"/>
    <w:rsid w:val="00DD6B9D"/>
    <w:rsid w:val="00DD6BFA"/>
    <w:rsid w:val="00DD6BFB"/>
    <w:rsid w:val="00DD6CF9"/>
    <w:rsid w:val="00DD6D69"/>
    <w:rsid w:val="00DD6ED5"/>
    <w:rsid w:val="00DD7080"/>
    <w:rsid w:val="00DD7139"/>
    <w:rsid w:val="00DD713F"/>
    <w:rsid w:val="00DD7274"/>
    <w:rsid w:val="00DD72A3"/>
    <w:rsid w:val="00DD735E"/>
    <w:rsid w:val="00DD73FD"/>
    <w:rsid w:val="00DD7479"/>
    <w:rsid w:val="00DD7981"/>
    <w:rsid w:val="00DD7ADF"/>
    <w:rsid w:val="00DD7B00"/>
    <w:rsid w:val="00DD7CFE"/>
    <w:rsid w:val="00DD7F9D"/>
    <w:rsid w:val="00DE0114"/>
    <w:rsid w:val="00DE01CF"/>
    <w:rsid w:val="00DE01F1"/>
    <w:rsid w:val="00DE0336"/>
    <w:rsid w:val="00DE059D"/>
    <w:rsid w:val="00DE05D1"/>
    <w:rsid w:val="00DE0607"/>
    <w:rsid w:val="00DE0826"/>
    <w:rsid w:val="00DE08D7"/>
    <w:rsid w:val="00DE09E6"/>
    <w:rsid w:val="00DE09F3"/>
    <w:rsid w:val="00DE0BCE"/>
    <w:rsid w:val="00DE0CBF"/>
    <w:rsid w:val="00DE0DBF"/>
    <w:rsid w:val="00DE0F5C"/>
    <w:rsid w:val="00DE1059"/>
    <w:rsid w:val="00DE10B1"/>
    <w:rsid w:val="00DE1602"/>
    <w:rsid w:val="00DE16E5"/>
    <w:rsid w:val="00DE176E"/>
    <w:rsid w:val="00DE17B8"/>
    <w:rsid w:val="00DE17C0"/>
    <w:rsid w:val="00DE184C"/>
    <w:rsid w:val="00DE1897"/>
    <w:rsid w:val="00DE1979"/>
    <w:rsid w:val="00DE1A5A"/>
    <w:rsid w:val="00DE1AEF"/>
    <w:rsid w:val="00DE1AF5"/>
    <w:rsid w:val="00DE1AF9"/>
    <w:rsid w:val="00DE1B1F"/>
    <w:rsid w:val="00DE1B8E"/>
    <w:rsid w:val="00DE1C0D"/>
    <w:rsid w:val="00DE1CF9"/>
    <w:rsid w:val="00DE1ED6"/>
    <w:rsid w:val="00DE1F6F"/>
    <w:rsid w:val="00DE1F96"/>
    <w:rsid w:val="00DE1FDB"/>
    <w:rsid w:val="00DE21C6"/>
    <w:rsid w:val="00DE21DA"/>
    <w:rsid w:val="00DE21EF"/>
    <w:rsid w:val="00DE2203"/>
    <w:rsid w:val="00DE250B"/>
    <w:rsid w:val="00DE25B4"/>
    <w:rsid w:val="00DE2640"/>
    <w:rsid w:val="00DE2763"/>
    <w:rsid w:val="00DE27E2"/>
    <w:rsid w:val="00DE28AB"/>
    <w:rsid w:val="00DE2952"/>
    <w:rsid w:val="00DE2C6F"/>
    <w:rsid w:val="00DE2D6F"/>
    <w:rsid w:val="00DE2DD2"/>
    <w:rsid w:val="00DE2DDD"/>
    <w:rsid w:val="00DE3120"/>
    <w:rsid w:val="00DE320A"/>
    <w:rsid w:val="00DE3313"/>
    <w:rsid w:val="00DE3376"/>
    <w:rsid w:val="00DE3463"/>
    <w:rsid w:val="00DE3658"/>
    <w:rsid w:val="00DE37E6"/>
    <w:rsid w:val="00DE388B"/>
    <w:rsid w:val="00DE389F"/>
    <w:rsid w:val="00DE3928"/>
    <w:rsid w:val="00DE3948"/>
    <w:rsid w:val="00DE3998"/>
    <w:rsid w:val="00DE3A1A"/>
    <w:rsid w:val="00DE3A4F"/>
    <w:rsid w:val="00DE3A53"/>
    <w:rsid w:val="00DE3A82"/>
    <w:rsid w:val="00DE3B6A"/>
    <w:rsid w:val="00DE3C74"/>
    <w:rsid w:val="00DE3C77"/>
    <w:rsid w:val="00DE3D82"/>
    <w:rsid w:val="00DE3F43"/>
    <w:rsid w:val="00DE3F63"/>
    <w:rsid w:val="00DE3FC0"/>
    <w:rsid w:val="00DE4064"/>
    <w:rsid w:val="00DE4283"/>
    <w:rsid w:val="00DE42C1"/>
    <w:rsid w:val="00DE453E"/>
    <w:rsid w:val="00DE4590"/>
    <w:rsid w:val="00DE4736"/>
    <w:rsid w:val="00DE49EA"/>
    <w:rsid w:val="00DE4A42"/>
    <w:rsid w:val="00DE4B24"/>
    <w:rsid w:val="00DE4B9C"/>
    <w:rsid w:val="00DE4C84"/>
    <w:rsid w:val="00DE4D5C"/>
    <w:rsid w:val="00DE4DE0"/>
    <w:rsid w:val="00DE4E26"/>
    <w:rsid w:val="00DE4E55"/>
    <w:rsid w:val="00DE4EA2"/>
    <w:rsid w:val="00DE4F25"/>
    <w:rsid w:val="00DE5094"/>
    <w:rsid w:val="00DE55BA"/>
    <w:rsid w:val="00DE5765"/>
    <w:rsid w:val="00DE57B3"/>
    <w:rsid w:val="00DE5894"/>
    <w:rsid w:val="00DE5BB9"/>
    <w:rsid w:val="00DE5C6B"/>
    <w:rsid w:val="00DE5FA4"/>
    <w:rsid w:val="00DE6030"/>
    <w:rsid w:val="00DE61A2"/>
    <w:rsid w:val="00DE620F"/>
    <w:rsid w:val="00DE633A"/>
    <w:rsid w:val="00DE6590"/>
    <w:rsid w:val="00DE65AE"/>
    <w:rsid w:val="00DE65CA"/>
    <w:rsid w:val="00DE66BE"/>
    <w:rsid w:val="00DE675C"/>
    <w:rsid w:val="00DE687F"/>
    <w:rsid w:val="00DE68EB"/>
    <w:rsid w:val="00DE6C3A"/>
    <w:rsid w:val="00DE6C6D"/>
    <w:rsid w:val="00DE6C8F"/>
    <w:rsid w:val="00DE6CFF"/>
    <w:rsid w:val="00DE6D10"/>
    <w:rsid w:val="00DE6D6F"/>
    <w:rsid w:val="00DE6DDF"/>
    <w:rsid w:val="00DE6DF8"/>
    <w:rsid w:val="00DE6E7C"/>
    <w:rsid w:val="00DE6EDE"/>
    <w:rsid w:val="00DE6F6A"/>
    <w:rsid w:val="00DE6F9F"/>
    <w:rsid w:val="00DE70A5"/>
    <w:rsid w:val="00DE70F1"/>
    <w:rsid w:val="00DE7258"/>
    <w:rsid w:val="00DE732B"/>
    <w:rsid w:val="00DE7456"/>
    <w:rsid w:val="00DE74A1"/>
    <w:rsid w:val="00DE74EE"/>
    <w:rsid w:val="00DE74F2"/>
    <w:rsid w:val="00DE7618"/>
    <w:rsid w:val="00DE777C"/>
    <w:rsid w:val="00DE7791"/>
    <w:rsid w:val="00DE782B"/>
    <w:rsid w:val="00DE7921"/>
    <w:rsid w:val="00DE7B47"/>
    <w:rsid w:val="00DE7B9B"/>
    <w:rsid w:val="00DE7BD9"/>
    <w:rsid w:val="00DE7C32"/>
    <w:rsid w:val="00DE7D29"/>
    <w:rsid w:val="00DE7EFB"/>
    <w:rsid w:val="00DE7FC4"/>
    <w:rsid w:val="00DE7FF0"/>
    <w:rsid w:val="00DF00B4"/>
    <w:rsid w:val="00DF0185"/>
    <w:rsid w:val="00DF019A"/>
    <w:rsid w:val="00DF022E"/>
    <w:rsid w:val="00DF0362"/>
    <w:rsid w:val="00DF040C"/>
    <w:rsid w:val="00DF053A"/>
    <w:rsid w:val="00DF0716"/>
    <w:rsid w:val="00DF07E5"/>
    <w:rsid w:val="00DF07F8"/>
    <w:rsid w:val="00DF09A3"/>
    <w:rsid w:val="00DF09CD"/>
    <w:rsid w:val="00DF0AF1"/>
    <w:rsid w:val="00DF0B3A"/>
    <w:rsid w:val="00DF0B6C"/>
    <w:rsid w:val="00DF0E47"/>
    <w:rsid w:val="00DF0EB2"/>
    <w:rsid w:val="00DF0F5D"/>
    <w:rsid w:val="00DF10A5"/>
    <w:rsid w:val="00DF11DE"/>
    <w:rsid w:val="00DF1265"/>
    <w:rsid w:val="00DF12CF"/>
    <w:rsid w:val="00DF1489"/>
    <w:rsid w:val="00DF1515"/>
    <w:rsid w:val="00DF158E"/>
    <w:rsid w:val="00DF15E7"/>
    <w:rsid w:val="00DF1665"/>
    <w:rsid w:val="00DF1666"/>
    <w:rsid w:val="00DF16C1"/>
    <w:rsid w:val="00DF1720"/>
    <w:rsid w:val="00DF1737"/>
    <w:rsid w:val="00DF1884"/>
    <w:rsid w:val="00DF1A23"/>
    <w:rsid w:val="00DF1A53"/>
    <w:rsid w:val="00DF1B37"/>
    <w:rsid w:val="00DF1D5E"/>
    <w:rsid w:val="00DF1DB6"/>
    <w:rsid w:val="00DF1E39"/>
    <w:rsid w:val="00DF1E6B"/>
    <w:rsid w:val="00DF1ECC"/>
    <w:rsid w:val="00DF1F25"/>
    <w:rsid w:val="00DF20F3"/>
    <w:rsid w:val="00DF2119"/>
    <w:rsid w:val="00DF2179"/>
    <w:rsid w:val="00DF22A4"/>
    <w:rsid w:val="00DF25DF"/>
    <w:rsid w:val="00DF263C"/>
    <w:rsid w:val="00DF2749"/>
    <w:rsid w:val="00DF2782"/>
    <w:rsid w:val="00DF27A6"/>
    <w:rsid w:val="00DF27EC"/>
    <w:rsid w:val="00DF28B3"/>
    <w:rsid w:val="00DF2964"/>
    <w:rsid w:val="00DF29F4"/>
    <w:rsid w:val="00DF2B01"/>
    <w:rsid w:val="00DF2C98"/>
    <w:rsid w:val="00DF31B0"/>
    <w:rsid w:val="00DF31F1"/>
    <w:rsid w:val="00DF3305"/>
    <w:rsid w:val="00DF330A"/>
    <w:rsid w:val="00DF3352"/>
    <w:rsid w:val="00DF3354"/>
    <w:rsid w:val="00DF3356"/>
    <w:rsid w:val="00DF3503"/>
    <w:rsid w:val="00DF3618"/>
    <w:rsid w:val="00DF36AC"/>
    <w:rsid w:val="00DF3755"/>
    <w:rsid w:val="00DF37F4"/>
    <w:rsid w:val="00DF3819"/>
    <w:rsid w:val="00DF3A20"/>
    <w:rsid w:val="00DF3A38"/>
    <w:rsid w:val="00DF3BB5"/>
    <w:rsid w:val="00DF3C41"/>
    <w:rsid w:val="00DF3D77"/>
    <w:rsid w:val="00DF3DBF"/>
    <w:rsid w:val="00DF3E4B"/>
    <w:rsid w:val="00DF4160"/>
    <w:rsid w:val="00DF4165"/>
    <w:rsid w:val="00DF417A"/>
    <w:rsid w:val="00DF41DF"/>
    <w:rsid w:val="00DF4266"/>
    <w:rsid w:val="00DF4271"/>
    <w:rsid w:val="00DF4346"/>
    <w:rsid w:val="00DF44E1"/>
    <w:rsid w:val="00DF455A"/>
    <w:rsid w:val="00DF4662"/>
    <w:rsid w:val="00DF4677"/>
    <w:rsid w:val="00DF47ED"/>
    <w:rsid w:val="00DF4980"/>
    <w:rsid w:val="00DF4ADA"/>
    <w:rsid w:val="00DF4B0C"/>
    <w:rsid w:val="00DF4B59"/>
    <w:rsid w:val="00DF4C37"/>
    <w:rsid w:val="00DF4D5F"/>
    <w:rsid w:val="00DF4E43"/>
    <w:rsid w:val="00DF4EFE"/>
    <w:rsid w:val="00DF507E"/>
    <w:rsid w:val="00DF51EA"/>
    <w:rsid w:val="00DF5227"/>
    <w:rsid w:val="00DF5255"/>
    <w:rsid w:val="00DF5379"/>
    <w:rsid w:val="00DF53DD"/>
    <w:rsid w:val="00DF54D2"/>
    <w:rsid w:val="00DF55E3"/>
    <w:rsid w:val="00DF5643"/>
    <w:rsid w:val="00DF56A4"/>
    <w:rsid w:val="00DF56BC"/>
    <w:rsid w:val="00DF5766"/>
    <w:rsid w:val="00DF5957"/>
    <w:rsid w:val="00DF59A6"/>
    <w:rsid w:val="00DF59AB"/>
    <w:rsid w:val="00DF5A79"/>
    <w:rsid w:val="00DF5AB0"/>
    <w:rsid w:val="00DF5BB4"/>
    <w:rsid w:val="00DF5BE4"/>
    <w:rsid w:val="00DF5C7A"/>
    <w:rsid w:val="00DF5DB8"/>
    <w:rsid w:val="00DF5E85"/>
    <w:rsid w:val="00DF5ED8"/>
    <w:rsid w:val="00DF5F0C"/>
    <w:rsid w:val="00DF5FC3"/>
    <w:rsid w:val="00DF6050"/>
    <w:rsid w:val="00DF606F"/>
    <w:rsid w:val="00DF608C"/>
    <w:rsid w:val="00DF619C"/>
    <w:rsid w:val="00DF61EA"/>
    <w:rsid w:val="00DF625F"/>
    <w:rsid w:val="00DF630A"/>
    <w:rsid w:val="00DF6494"/>
    <w:rsid w:val="00DF64F5"/>
    <w:rsid w:val="00DF6515"/>
    <w:rsid w:val="00DF6563"/>
    <w:rsid w:val="00DF6645"/>
    <w:rsid w:val="00DF665B"/>
    <w:rsid w:val="00DF6761"/>
    <w:rsid w:val="00DF67B4"/>
    <w:rsid w:val="00DF67C9"/>
    <w:rsid w:val="00DF6A81"/>
    <w:rsid w:val="00DF6AD9"/>
    <w:rsid w:val="00DF6B2A"/>
    <w:rsid w:val="00DF6B47"/>
    <w:rsid w:val="00DF6C45"/>
    <w:rsid w:val="00DF6C9B"/>
    <w:rsid w:val="00DF6CD2"/>
    <w:rsid w:val="00DF6CFF"/>
    <w:rsid w:val="00DF6E07"/>
    <w:rsid w:val="00DF6F61"/>
    <w:rsid w:val="00DF7138"/>
    <w:rsid w:val="00DF7172"/>
    <w:rsid w:val="00DF719D"/>
    <w:rsid w:val="00DF72A9"/>
    <w:rsid w:val="00DF72EE"/>
    <w:rsid w:val="00DF74B2"/>
    <w:rsid w:val="00DF7525"/>
    <w:rsid w:val="00DF7543"/>
    <w:rsid w:val="00DF7715"/>
    <w:rsid w:val="00DF77C7"/>
    <w:rsid w:val="00DF77C8"/>
    <w:rsid w:val="00DF795F"/>
    <w:rsid w:val="00DF7976"/>
    <w:rsid w:val="00DF79B1"/>
    <w:rsid w:val="00DF79D4"/>
    <w:rsid w:val="00DF7B48"/>
    <w:rsid w:val="00DF7B65"/>
    <w:rsid w:val="00DF7BB6"/>
    <w:rsid w:val="00DF7C62"/>
    <w:rsid w:val="00DF7D1A"/>
    <w:rsid w:val="00DF7D29"/>
    <w:rsid w:val="00DF7EB3"/>
    <w:rsid w:val="00E00238"/>
    <w:rsid w:val="00E002C2"/>
    <w:rsid w:val="00E0034E"/>
    <w:rsid w:val="00E0039E"/>
    <w:rsid w:val="00E003C2"/>
    <w:rsid w:val="00E0047F"/>
    <w:rsid w:val="00E004D3"/>
    <w:rsid w:val="00E0066F"/>
    <w:rsid w:val="00E006E9"/>
    <w:rsid w:val="00E0081F"/>
    <w:rsid w:val="00E008D9"/>
    <w:rsid w:val="00E00931"/>
    <w:rsid w:val="00E00AE7"/>
    <w:rsid w:val="00E00F0B"/>
    <w:rsid w:val="00E0106D"/>
    <w:rsid w:val="00E01194"/>
    <w:rsid w:val="00E0134E"/>
    <w:rsid w:val="00E0135D"/>
    <w:rsid w:val="00E01426"/>
    <w:rsid w:val="00E01445"/>
    <w:rsid w:val="00E015C5"/>
    <w:rsid w:val="00E0171B"/>
    <w:rsid w:val="00E01810"/>
    <w:rsid w:val="00E01966"/>
    <w:rsid w:val="00E01BAC"/>
    <w:rsid w:val="00E01D01"/>
    <w:rsid w:val="00E01D0A"/>
    <w:rsid w:val="00E01DDF"/>
    <w:rsid w:val="00E01E96"/>
    <w:rsid w:val="00E01F88"/>
    <w:rsid w:val="00E01FB9"/>
    <w:rsid w:val="00E01FE1"/>
    <w:rsid w:val="00E01FE8"/>
    <w:rsid w:val="00E020A2"/>
    <w:rsid w:val="00E02105"/>
    <w:rsid w:val="00E022B3"/>
    <w:rsid w:val="00E02387"/>
    <w:rsid w:val="00E024EE"/>
    <w:rsid w:val="00E024FB"/>
    <w:rsid w:val="00E02590"/>
    <w:rsid w:val="00E0273D"/>
    <w:rsid w:val="00E0273F"/>
    <w:rsid w:val="00E0281C"/>
    <w:rsid w:val="00E028FE"/>
    <w:rsid w:val="00E02B57"/>
    <w:rsid w:val="00E02BAA"/>
    <w:rsid w:val="00E02BF2"/>
    <w:rsid w:val="00E02C57"/>
    <w:rsid w:val="00E02CA7"/>
    <w:rsid w:val="00E02EEE"/>
    <w:rsid w:val="00E02FE8"/>
    <w:rsid w:val="00E0315B"/>
    <w:rsid w:val="00E03359"/>
    <w:rsid w:val="00E03434"/>
    <w:rsid w:val="00E0378C"/>
    <w:rsid w:val="00E037DA"/>
    <w:rsid w:val="00E037DB"/>
    <w:rsid w:val="00E038A0"/>
    <w:rsid w:val="00E03993"/>
    <w:rsid w:val="00E03AFC"/>
    <w:rsid w:val="00E03B68"/>
    <w:rsid w:val="00E03BFD"/>
    <w:rsid w:val="00E03D02"/>
    <w:rsid w:val="00E03E1F"/>
    <w:rsid w:val="00E03E49"/>
    <w:rsid w:val="00E03F78"/>
    <w:rsid w:val="00E03FA2"/>
    <w:rsid w:val="00E042C2"/>
    <w:rsid w:val="00E0447E"/>
    <w:rsid w:val="00E044A5"/>
    <w:rsid w:val="00E04699"/>
    <w:rsid w:val="00E046B4"/>
    <w:rsid w:val="00E04713"/>
    <w:rsid w:val="00E04CA2"/>
    <w:rsid w:val="00E04E8C"/>
    <w:rsid w:val="00E04F3D"/>
    <w:rsid w:val="00E04F64"/>
    <w:rsid w:val="00E05022"/>
    <w:rsid w:val="00E05114"/>
    <w:rsid w:val="00E051C5"/>
    <w:rsid w:val="00E05287"/>
    <w:rsid w:val="00E05403"/>
    <w:rsid w:val="00E05498"/>
    <w:rsid w:val="00E054EA"/>
    <w:rsid w:val="00E0557A"/>
    <w:rsid w:val="00E057D7"/>
    <w:rsid w:val="00E059C4"/>
    <w:rsid w:val="00E05C17"/>
    <w:rsid w:val="00E05E4A"/>
    <w:rsid w:val="00E05FEC"/>
    <w:rsid w:val="00E0605D"/>
    <w:rsid w:val="00E0610B"/>
    <w:rsid w:val="00E06156"/>
    <w:rsid w:val="00E061A7"/>
    <w:rsid w:val="00E062C6"/>
    <w:rsid w:val="00E062F2"/>
    <w:rsid w:val="00E063A4"/>
    <w:rsid w:val="00E06559"/>
    <w:rsid w:val="00E06669"/>
    <w:rsid w:val="00E06822"/>
    <w:rsid w:val="00E06836"/>
    <w:rsid w:val="00E068C8"/>
    <w:rsid w:val="00E068CD"/>
    <w:rsid w:val="00E068DA"/>
    <w:rsid w:val="00E069C2"/>
    <w:rsid w:val="00E06B3D"/>
    <w:rsid w:val="00E06C14"/>
    <w:rsid w:val="00E06D1A"/>
    <w:rsid w:val="00E07073"/>
    <w:rsid w:val="00E0708D"/>
    <w:rsid w:val="00E070DC"/>
    <w:rsid w:val="00E070E1"/>
    <w:rsid w:val="00E07156"/>
    <w:rsid w:val="00E071AD"/>
    <w:rsid w:val="00E0727A"/>
    <w:rsid w:val="00E0736C"/>
    <w:rsid w:val="00E0738D"/>
    <w:rsid w:val="00E073CF"/>
    <w:rsid w:val="00E07430"/>
    <w:rsid w:val="00E074D2"/>
    <w:rsid w:val="00E075BB"/>
    <w:rsid w:val="00E075D6"/>
    <w:rsid w:val="00E078CA"/>
    <w:rsid w:val="00E078F0"/>
    <w:rsid w:val="00E0795A"/>
    <w:rsid w:val="00E07B5A"/>
    <w:rsid w:val="00E07BBB"/>
    <w:rsid w:val="00E07C24"/>
    <w:rsid w:val="00E07C7A"/>
    <w:rsid w:val="00E07DCC"/>
    <w:rsid w:val="00E07DF7"/>
    <w:rsid w:val="00E07E6D"/>
    <w:rsid w:val="00E07EFD"/>
    <w:rsid w:val="00E1000A"/>
    <w:rsid w:val="00E101C6"/>
    <w:rsid w:val="00E10270"/>
    <w:rsid w:val="00E103DE"/>
    <w:rsid w:val="00E10464"/>
    <w:rsid w:val="00E1066D"/>
    <w:rsid w:val="00E106E4"/>
    <w:rsid w:val="00E106F3"/>
    <w:rsid w:val="00E10709"/>
    <w:rsid w:val="00E1073D"/>
    <w:rsid w:val="00E109F2"/>
    <w:rsid w:val="00E109F4"/>
    <w:rsid w:val="00E10B46"/>
    <w:rsid w:val="00E10B4A"/>
    <w:rsid w:val="00E10B4E"/>
    <w:rsid w:val="00E10B5C"/>
    <w:rsid w:val="00E10BE3"/>
    <w:rsid w:val="00E10C9C"/>
    <w:rsid w:val="00E10CB6"/>
    <w:rsid w:val="00E10D13"/>
    <w:rsid w:val="00E10D65"/>
    <w:rsid w:val="00E10DC5"/>
    <w:rsid w:val="00E10F24"/>
    <w:rsid w:val="00E111A2"/>
    <w:rsid w:val="00E1147A"/>
    <w:rsid w:val="00E11556"/>
    <w:rsid w:val="00E1157B"/>
    <w:rsid w:val="00E11675"/>
    <w:rsid w:val="00E11753"/>
    <w:rsid w:val="00E11892"/>
    <w:rsid w:val="00E119C8"/>
    <w:rsid w:val="00E11AB1"/>
    <w:rsid w:val="00E11B2A"/>
    <w:rsid w:val="00E11B6C"/>
    <w:rsid w:val="00E11B7A"/>
    <w:rsid w:val="00E11BD3"/>
    <w:rsid w:val="00E11CC9"/>
    <w:rsid w:val="00E11E2A"/>
    <w:rsid w:val="00E11F4E"/>
    <w:rsid w:val="00E12007"/>
    <w:rsid w:val="00E12224"/>
    <w:rsid w:val="00E122D4"/>
    <w:rsid w:val="00E1245B"/>
    <w:rsid w:val="00E125C4"/>
    <w:rsid w:val="00E12701"/>
    <w:rsid w:val="00E1282F"/>
    <w:rsid w:val="00E1284C"/>
    <w:rsid w:val="00E1288A"/>
    <w:rsid w:val="00E12976"/>
    <w:rsid w:val="00E12A77"/>
    <w:rsid w:val="00E12BAB"/>
    <w:rsid w:val="00E12D4B"/>
    <w:rsid w:val="00E12D64"/>
    <w:rsid w:val="00E12D99"/>
    <w:rsid w:val="00E12ED7"/>
    <w:rsid w:val="00E12F37"/>
    <w:rsid w:val="00E12F72"/>
    <w:rsid w:val="00E12FFA"/>
    <w:rsid w:val="00E12FFB"/>
    <w:rsid w:val="00E133F5"/>
    <w:rsid w:val="00E134E2"/>
    <w:rsid w:val="00E13540"/>
    <w:rsid w:val="00E1367D"/>
    <w:rsid w:val="00E136E3"/>
    <w:rsid w:val="00E137E8"/>
    <w:rsid w:val="00E137EB"/>
    <w:rsid w:val="00E1388A"/>
    <w:rsid w:val="00E13BD1"/>
    <w:rsid w:val="00E13C40"/>
    <w:rsid w:val="00E13DAE"/>
    <w:rsid w:val="00E13E1C"/>
    <w:rsid w:val="00E13F25"/>
    <w:rsid w:val="00E14227"/>
    <w:rsid w:val="00E1435D"/>
    <w:rsid w:val="00E143EB"/>
    <w:rsid w:val="00E143EF"/>
    <w:rsid w:val="00E145F9"/>
    <w:rsid w:val="00E147C9"/>
    <w:rsid w:val="00E147E5"/>
    <w:rsid w:val="00E147E6"/>
    <w:rsid w:val="00E147F8"/>
    <w:rsid w:val="00E14C9D"/>
    <w:rsid w:val="00E14C9F"/>
    <w:rsid w:val="00E14EA3"/>
    <w:rsid w:val="00E15128"/>
    <w:rsid w:val="00E1517A"/>
    <w:rsid w:val="00E152A6"/>
    <w:rsid w:val="00E153B1"/>
    <w:rsid w:val="00E15446"/>
    <w:rsid w:val="00E1547D"/>
    <w:rsid w:val="00E15517"/>
    <w:rsid w:val="00E15530"/>
    <w:rsid w:val="00E15653"/>
    <w:rsid w:val="00E1582B"/>
    <w:rsid w:val="00E15895"/>
    <w:rsid w:val="00E15ABA"/>
    <w:rsid w:val="00E15B0D"/>
    <w:rsid w:val="00E15B8C"/>
    <w:rsid w:val="00E15F80"/>
    <w:rsid w:val="00E15FE3"/>
    <w:rsid w:val="00E161CE"/>
    <w:rsid w:val="00E1626D"/>
    <w:rsid w:val="00E162B4"/>
    <w:rsid w:val="00E1631F"/>
    <w:rsid w:val="00E16383"/>
    <w:rsid w:val="00E163D8"/>
    <w:rsid w:val="00E164F9"/>
    <w:rsid w:val="00E1651A"/>
    <w:rsid w:val="00E165EC"/>
    <w:rsid w:val="00E1677A"/>
    <w:rsid w:val="00E168A2"/>
    <w:rsid w:val="00E168F7"/>
    <w:rsid w:val="00E1691B"/>
    <w:rsid w:val="00E16995"/>
    <w:rsid w:val="00E16B84"/>
    <w:rsid w:val="00E16C25"/>
    <w:rsid w:val="00E16C9A"/>
    <w:rsid w:val="00E16CBA"/>
    <w:rsid w:val="00E16EF0"/>
    <w:rsid w:val="00E1702C"/>
    <w:rsid w:val="00E170CA"/>
    <w:rsid w:val="00E17205"/>
    <w:rsid w:val="00E174DF"/>
    <w:rsid w:val="00E1756F"/>
    <w:rsid w:val="00E17681"/>
    <w:rsid w:val="00E176F4"/>
    <w:rsid w:val="00E17772"/>
    <w:rsid w:val="00E17816"/>
    <w:rsid w:val="00E1783D"/>
    <w:rsid w:val="00E178B7"/>
    <w:rsid w:val="00E178E8"/>
    <w:rsid w:val="00E17A58"/>
    <w:rsid w:val="00E17B8B"/>
    <w:rsid w:val="00E17C65"/>
    <w:rsid w:val="00E17D85"/>
    <w:rsid w:val="00E17ECC"/>
    <w:rsid w:val="00E17FAA"/>
    <w:rsid w:val="00E2000D"/>
    <w:rsid w:val="00E200BD"/>
    <w:rsid w:val="00E201AB"/>
    <w:rsid w:val="00E201F0"/>
    <w:rsid w:val="00E20272"/>
    <w:rsid w:val="00E20298"/>
    <w:rsid w:val="00E20309"/>
    <w:rsid w:val="00E2030A"/>
    <w:rsid w:val="00E2041E"/>
    <w:rsid w:val="00E20448"/>
    <w:rsid w:val="00E20589"/>
    <w:rsid w:val="00E20652"/>
    <w:rsid w:val="00E20818"/>
    <w:rsid w:val="00E20976"/>
    <w:rsid w:val="00E20A10"/>
    <w:rsid w:val="00E20B0F"/>
    <w:rsid w:val="00E20BEA"/>
    <w:rsid w:val="00E20E28"/>
    <w:rsid w:val="00E20EF3"/>
    <w:rsid w:val="00E20EF6"/>
    <w:rsid w:val="00E20F17"/>
    <w:rsid w:val="00E20F94"/>
    <w:rsid w:val="00E20FF0"/>
    <w:rsid w:val="00E210BB"/>
    <w:rsid w:val="00E211AB"/>
    <w:rsid w:val="00E211C6"/>
    <w:rsid w:val="00E211F6"/>
    <w:rsid w:val="00E212B0"/>
    <w:rsid w:val="00E212BE"/>
    <w:rsid w:val="00E213F2"/>
    <w:rsid w:val="00E2142C"/>
    <w:rsid w:val="00E21694"/>
    <w:rsid w:val="00E216EE"/>
    <w:rsid w:val="00E217AC"/>
    <w:rsid w:val="00E217FF"/>
    <w:rsid w:val="00E2185B"/>
    <w:rsid w:val="00E21AC0"/>
    <w:rsid w:val="00E21BB2"/>
    <w:rsid w:val="00E21C0A"/>
    <w:rsid w:val="00E21CE5"/>
    <w:rsid w:val="00E21E8F"/>
    <w:rsid w:val="00E21EB4"/>
    <w:rsid w:val="00E21F1F"/>
    <w:rsid w:val="00E21FBE"/>
    <w:rsid w:val="00E21FC7"/>
    <w:rsid w:val="00E2202D"/>
    <w:rsid w:val="00E222DB"/>
    <w:rsid w:val="00E22450"/>
    <w:rsid w:val="00E22465"/>
    <w:rsid w:val="00E225A4"/>
    <w:rsid w:val="00E225DD"/>
    <w:rsid w:val="00E227AA"/>
    <w:rsid w:val="00E22936"/>
    <w:rsid w:val="00E22950"/>
    <w:rsid w:val="00E22A46"/>
    <w:rsid w:val="00E22CC6"/>
    <w:rsid w:val="00E22D51"/>
    <w:rsid w:val="00E22D5D"/>
    <w:rsid w:val="00E22DC3"/>
    <w:rsid w:val="00E22EB7"/>
    <w:rsid w:val="00E22F72"/>
    <w:rsid w:val="00E22FF2"/>
    <w:rsid w:val="00E2345D"/>
    <w:rsid w:val="00E2345F"/>
    <w:rsid w:val="00E236B6"/>
    <w:rsid w:val="00E238B6"/>
    <w:rsid w:val="00E23914"/>
    <w:rsid w:val="00E23C75"/>
    <w:rsid w:val="00E23D0D"/>
    <w:rsid w:val="00E23D41"/>
    <w:rsid w:val="00E23E2A"/>
    <w:rsid w:val="00E23FD4"/>
    <w:rsid w:val="00E24062"/>
    <w:rsid w:val="00E240FB"/>
    <w:rsid w:val="00E241A3"/>
    <w:rsid w:val="00E2427E"/>
    <w:rsid w:val="00E242FA"/>
    <w:rsid w:val="00E244A6"/>
    <w:rsid w:val="00E24590"/>
    <w:rsid w:val="00E245F4"/>
    <w:rsid w:val="00E2463E"/>
    <w:rsid w:val="00E24675"/>
    <w:rsid w:val="00E246DC"/>
    <w:rsid w:val="00E248E7"/>
    <w:rsid w:val="00E249FE"/>
    <w:rsid w:val="00E24A52"/>
    <w:rsid w:val="00E24A6F"/>
    <w:rsid w:val="00E24A9F"/>
    <w:rsid w:val="00E24E0A"/>
    <w:rsid w:val="00E24E4F"/>
    <w:rsid w:val="00E24E53"/>
    <w:rsid w:val="00E24EA2"/>
    <w:rsid w:val="00E24EC8"/>
    <w:rsid w:val="00E24F2A"/>
    <w:rsid w:val="00E24FA4"/>
    <w:rsid w:val="00E24FF8"/>
    <w:rsid w:val="00E25013"/>
    <w:rsid w:val="00E25049"/>
    <w:rsid w:val="00E251BB"/>
    <w:rsid w:val="00E2527F"/>
    <w:rsid w:val="00E253CA"/>
    <w:rsid w:val="00E25456"/>
    <w:rsid w:val="00E25700"/>
    <w:rsid w:val="00E25721"/>
    <w:rsid w:val="00E2583E"/>
    <w:rsid w:val="00E258AE"/>
    <w:rsid w:val="00E25A05"/>
    <w:rsid w:val="00E26181"/>
    <w:rsid w:val="00E261C4"/>
    <w:rsid w:val="00E2626C"/>
    <w:rsid w:val="00E262A6"/>
    <w:rsid w:val="00E26357"/>
    <w:rsid w:val="00E26576"/>
    <w:rsid w:val="00E26586"/>
    <w:rsid w:val="00E2671B"/>
    <w:rsid w:val="00E2674B"/>
    <w:rsid w:val="00E267AB"/>
    <w:rsid w:val="00E26991"/>
    <w:rsid w:val="00E26B93"/>
    <w:rsid w:val="00E26CD9"/>
    <w:rsid w:val="00E26CFF"/>
    <w:rsid w:val="00E26E78"/>
    <w:rsid w:val="00E26E91"/>
    <w:rsid w:val="00E26F1D"/>
    <w:rsid w:val="00E26F2E"/>
    <w:rsid w:val="00E27297"/>
    <w:rsid w:val="00E2729C"/>
    <w:rsid w:val="00E27341"/>
    <w:rsid w:val="00E27411"/>
    <w:rsid w:val="00E2749C"/>
    <w:rsid w:val="00E2760B"/>
    <w:rsid w:val="00E27692"/>
    <w:rsid w:val="00E2769D"/>
    <w:rsid w:val="00E276F0"/>
    <w:rsid w:val="00E27722"/>
    <w:rsid w:val="00E27788"/>
    <w:rsid w:val="00E278D1"/>
    <w:rsid w:val="00E27AA1"/>
    <w:rsid w:val="00E27AFB"/>
    <w:rsid w:val="00E27BD3"/>
    <w:rsid w:val="00E27BD7"/>
    <w:rsid w:val="00E27CF8"/>
    <w:rsid w:val="00E27D79"/>
    <w:rsid w:val="00E27D7B"/>
    <w:rsid w:val="00E27FB5"/>
    <w:rsid w:val="00E27FDF"/>
    <w:rsid w:val="00E30012"/>
    <w:rsid w:val="00E302A2"/>
    <w:rsid w:val="00E30356"/>
    <w:rsid w:val="00E3038D"/>
    <w:rsid w:val="00E303E0"/>
    <w:rsid w:val="00E304E6"/>
    <w:rsid w:val="00E304F1"/>
    <w:rsid w:val="00E30A7D"/>
    <w:rsid w:val="00E30C07"/>
    <w:rsid w:val="00E30CEC"/>
    <w:rsid w:val="00E30F58"/>
    <w:rsid w:val="00E30F72"/>
    <w:rsid w:val="00E30FE7"/>
    <w:rsid w:val="00E310CD"/>
    <w:rsid w:val="00E313F1"/>
    <w:rsid w:val="00E3142D"/>
    <w:rsid w:val="00E314E4"/>
    <w:rsid w:val="00E318F7"/>
    <w:rsid w:val="00E31A0E"/>
    <w:rsid w:val="00E31AD4"/>
    <w:rsid w:val="00E31AE3"/>
    <w:rsid w:val="00E31D65"/>
    <w:rsid w:val="00E31F23"/>
    <w:rsid w:val="00E31F80"/>
    <w:rsid w:val="00E3202C"/>
    <w:rsid w:val="00E320BF"/>
    <w:rsid w:val="00E3213D"/>
    <w:rsid w:val="00E3243D"/>
    <w:rsid w:val="00E3248C"/>
    <w:rsid w:val="00E324D6"/>
    <w:rsid w:val="00E324DF"/>
    <w:rsid w:val="00E32537"/>
    <w:rsid w:val="00E3254D"/>
    <w:rsid w:val="00E32614"/>
    <w:rsid w:val="00E3268D"/>
    <w:rsid w:val="00E3278E"/>
    <w:rsid w:val="00E3288F"/>
    <w:rsid w:val="00E3291C"/>
    <w:rsid w:val="00E3293E"/>
    <w:rsid w:val="00E32956"/>
    <w:rsid w:val="00E32991"/>
    <w:rsid w:val="00E32D02"/>
    <w:rsid w:val="00E32D8B"/>
    <w:rsid w:val="00E32E92"/>
    <w:rsid w:val="00E32F4F"/>
    <w:rsid w:val="00E335A0"/>
    <w:rsid w:val="00E335A4"/>
    <w:rsid w:val="00E3368B"/>
    <w:rsid w:val="00E337BA"/>
    <w:rsid w:val="00E3384C"/>
    <w:rsid w:val="00E3387C"/>
    <w:rsid w:val="00E33949"/>
    <w:rsid w:val="00E339CC"/>
    <w:rsid w:val="00E339D5"/>
    <w:rsid w:val="00E33A92"/>
    <w:rsid w:val="00E33BC0"/>
    <w:rsid w:val="00E33C15"/>
    <w:rsid w:val="00E33C21"/>
    <w:rsid w:val="00E33D41"/>
    <w:rsid w:val="00E33D6A"/>
    <w:rsid w:val="00E33E3D"/>
    <w:rsid w:val="00E340B1"/>
    <w:rsid w:val="00E3410A"/>
    <w:rsid w:val="00E34129"/>
    <w:rsid w:val="00E3416F"/>
    <w:rsid w:val="00E3425A"/>
    <w:rsid w:val="00E34431"/>
    <w:rsid w:val="00E34591"/>
    <w:rsid w:val="00E34595"/>
    <w:rsid w:val="00E345A8"/>
    <w:rsid w:val="00E345A9"/>
    <w:rsid w:val="00E345F4"/>
    <w:rsid w:val="00E346CB"/>
    <w:rsid w:val="00E346EE"/>
    <w:rsid w:val="00E3479B"/>
    <w:rsid w:val="00E348B6"/>
    <w:rsid w:val="00E348C6"/>
    <w:rsid w:val="00E348D7"/>
    <w:rsid w:val="00E348DE"/>
    <w:rsid w:val="00E349A7"/>
    <w:rsid w:val="00E349F8"/>
    <w:rsid w:val="00E34AB8"/>
    <w:rsid w:val="00E34B2E"/>
    <w:rsid w:val="00E34C17"/>
    <w:rsid w:val="00E34DB3"/>
    <w:rsid w:val="00E34DFE"/>
    <w:rsid w:val="00E34F11"/>
    <w:rsid w:val="00E34F96"/>
    <w:rsid w:val="00E34FA9"/>
    <w:rsid w:val="00E3513F"/>
    <w:rsid w:val="00E352E9"/>
    <w:rsid w:val="00E3539E"/>
    <w:rsid w:val="00E35447"/>
    <w:rsid w:val="00E35490"/>
    <w:rsid w:val="00E35658"/>
    <w:rsid w:val="00E35664"/>
    <w:rsid w:val="00E3576E"/>
    <w:rsid w:val="00E357F7"/>
    <w:rsid w:val="00E35837"/>
    <w:rsid w:val="00E3590F"/>
    <w:rsid w:val="00E35959"/>
    <w:rsid w:val="00E35ABC"/>
    <w:rsid w:val="00E35B30"/>
    <w:rsid w:val="00E35B3C"/>
    <w:rsid w:val="00E35B5D"/>
    <w:rsid w:val="00E35C81"/>
    <w:rsid w:val="00E35D04"/>
    <w:rsid w:val="00E35D10"/>
    <w:rsid w:val="00E35D4E"/>
    <w:rsid w:val="00E35E4A"/>
    <w:rsid w:val="00E35F11"/>
    <w:rsid w:val="00E35F7A"/>
    <w:rsid w:val="00E36052"/>
    <w:rsid w:val="00E3606C"/>
    <w:rsid w:val="00E36131"/>
    <w:rsid w:val="00E361C4"/>
    <w:rsid w:val="00E3628D"/>
    <w:rsid w:val="00E36555"/>
    <w:rsid w:val="00E365E5"/>
    <w:rsid w:val="00E36803"/>
    <w:rsid w:val="00E36902"/>
    <w:rsid w:val="00E36A85"/>
    <w:rsid w:val="00E36A92"/>
    <w:rsid w:val="00E36ABB"/>
    <w:rsid w:val="00E36B9E"/>
    <w:rsid w:val="00E36C3B"/>
    <w:rsid w:val="00E36C9D"/>
    <w:rsid w:val="00E36DB2"/>
    <w:rsid w:val="00E37119"/>
    <w:rsid w:val="00E37208"/>
    <w:rsid w:val="00E3723F"/>
    <w:rsid w:val="00E372D5"/>
    <w:rsid w:val="00E37453"/>
    <w:rsid w:val="00E3752D"/>
    <w:rsid w:val="00E37609"/>
    <w:rsid w:val="00E3764F"/>
    <w:rsid w:val="00E376CA"/>
    <w:rsid w:val="00E376EE"/>
    <w:rsid w:val="00E37833"/>
    <w:rsid w:val="00E379A8"/>
    <w:rsid w:val="00E37A5B"/>
    <w:rsid w:val="00E37B84"/>
    <w:rsid w:val="00E37D51"/>
    <w:rsid w:val="00E37EA2"/>
    <w:rsid w:val="00E37EC4"/>
    <w:rsid w:val="00E40089"/>
    <w:rsid w:val="00E400D5"/>
    <w:rsid w:val="00E401D7"/>
    <w:rsid w:val="00E401FB"/>
    <w:rsid w:val="00E4024F"/>
    <w:rsid w:val="00E40699"/>
    <w:rsid w:val="00E406C8"/>
    <w:rsid w:val="00E4075A"/>
    <w:rsid w:val="00E407C1"/>
    <w:rsid w:val="00E40A91"/>
    <w:rsid w:val="00E40AF6"/>
    <w:rsid w:val="00E40BA5"/>
    <w:rsid w:val="00E40C07"/>
    <w:rsid w:val="00E40C1A"/>
    <w:rsid w:val="00E40C24"/>
    <w:rsid w:val="00E40CD6"/>
    <w:rsid w:val="00E40D04"/>
    <w:rsid w:val="00E40D1B"/>
    <w:rsid w:val="00E40DBA"/>
    <w:rsid w:val="00E40F50"/>
    <w:rsid w:val="00E40F54"/>
    <w:rsid w:val="00E40FF4"/>
    <w:rsid w:val="00E41045"/>
    <w:rsid w:val="00E41197"/>
    <w:rsid w:val="00E411F6"/>
    <w:rsid w:val="00E41236"/>
    <w:rsid w:val="00E41296"/>
    <w:rsid w:val="00E416E3"/>
    <w:rsid w:val="00E416F3"/>
    <w:rsid w:val="00E41769"/>
    <w:rsid w:val="00E41838"/>
    <w:rsid w:val="00E41901"/>
    <w:rsid w:val="00E41AFC"/>
    <w:rsid w:val="00E41BC1"/>
    <w:rsid w:val="00E41D54"/>
    <w:rsid w:val="00E41DF8"/>
    <w:rsid w:val="00E41DF9"/>
    <w:rsid w:val="00E41ECC"/>
    <w:rsid w:val="00E41FC2"/>
    <w:rsid w:val="00E41FCC"/>
    <w:rsid w:val="00E41FEB"/>
    <w:rsid w:val="00E4203A"/>
    <w:rsid w:val="00E42076"/>
    <w:rsid w:val="00E420A2"/>
    <w:rsid w:val="00E42182"/>
    <w:rsid w:val="00E421A7"/>
    <w:rsid w:val="00E421BF"/>
    <w:rsid w:val="00E421F1"/>
    <w:rsid w:val="00E4229B"/>
    <w:rsid w:val="00E4234E"/>
    <w:rsid w:val="00E4240C"/>
    <w:rsid w:val="00E424B3"/>
    <w:rsid w:val="00E42631"/>
    <w:rsid w:val="00E427FE"/>
    <w:rsid w:val="00E428E9"/>
    <w:rsid w:val="00E42917"/>
    <w:rsid w:val="00E4295A"/>
    <w:rsid w:val="00E4295C"/>
    <w:rsid w:val="00E42B6F"/>
    <w:rsid w:val="00E42B84"/>
    <w:rsid w:val="00E42EFA"/>
    <w:rsid w:val="00E42EFF"/>
    <w:rsid w:val="00E43033"/>
    <w:rsid w:val="00E43053"/>
    <w:rsid w:val="00E430B5"/>
    <w:rsid w:val="00E43155"/>
    <w:rsid w:val="00E43300"/>
    <w:rsid w:val="00E43334"/>
    <w:rsid w:val="00E436DF"/>
    <w:rsid w:val="00E43868"/>
    <w:rsid w:val="00E439B2"/>
    <w:rsid w:val="00E43B6D"/>
    <w:rsid w:val="00E43C2C"/>
    <w:rsid w:val="00E43C8A"/>
    <w:rsid w:val="00E43D71"/>
    <w:rsid w:val="00E43DDB"/>
    <w:rsid w:val="00E43F11"/>
    <w:rsid w:val="00E44257"/>
    <w:rsid w:val="00E4426A"/>
    <w:rsid w:val="00E44358"/>
    <w:rsid w:val="00E4460F"/>
    <w:rsid w:val="00E4482E"/>
    <w:rsid w:val="00E44844"/>
    <w:rsid w:val="00E44AF0"/>
    <w:rsid w:val="00E44BBD"/>
    <w:rsid w:val="00E44CAC"/>
    <w:rsid w:val="00E44E44"/>
    <w:rsid w:val="00E45143"/>
    <w:rsid w:val="00E45179"/>
    <w:rsid w:val="00E45182"/>
    <w:rsid w:val="00E4518E"/>
    <w:rsid w:val="00E456E2"/>
    <w:rsid w:val="00E4571E"/>
    <w:rsid w:val="00E45914"/>
    <w:rsid w:val="00E45934"/>
    <w:rsid w:val="00E4594F"/>
    <w:rsid w:val="00E45A92"/>
    <w:rsid w:val="00E45C11"/>
    <w:rsid w:val="00E45CBD"/>
    <w:rsid w:val="00E45CF9"/>
    <w:rsid w:val="00E45EFC"/>
    <w:rsid w:val="00E46148"/>
    <w:rsid w:val="00E462E3"/>
    <w:rsid w:val="00E464A5"/>
    <w:rsid w:val="00E465F2"/>
    <w:rsid w:val="00E466CA"/>
    <w:rsid w:val="00E46A63"/>
    <w:rsid w:val="00E46ABD"/>
    <w:rsid w:val="00E46B08"/>
    <w:rsid w:val="00E46B27"/>
    <w:rsid w:val="00E46E54"/>
    <w:rsid w:val="00E46EAB"/>
    <w:rsid w:val="00E47061"/>
    <w:rsid w:val="00E470BF"/>
    <w:rsid w:val="00E47144"/>
    <w:rsid w:val="00E47252"/>
    <w:rsid w:val="00E472C4"/>
    <w:rsid w:val="00E4741C"/>
    <w:rsid w:val="00E47492"/>
    <w:rsid w:val="00E47683"/>
    <w:rsid w:val="00E47728"/>
    <w:rsid w:val="00E47746"/>
    <w:rsid w:val="00E478B3"/>
    <w:rsid w:val="00E47923"/>
    <w:rsid w:val="00E47A20"/>
    <w:rsid w:val="00E47AE4"/>
    <w:rsid w:val="00E47B0A"/>
    <w:rsid w:val="00E47C5B"/>
    <w:rsid w:val="00E47D7F"/>
    <w:rsid w:val="00E47E98"/>
    <w:rsid w:val="00E47F2A"/>
    <w:rsid w:val="00E47F71"/>
    <w:rsid w:val="00E47F85"/>
    <w:rsid w:val="00E47FC0"/>
    <w:rsid w:val="00E50102"/>
    <w:rsid w:val="00E50135"/>
    <w:rsid w:val="00E50193"/>
    <w:rsid w:val="00E502CB"/>
    <w:rsid w:val="00E504E3"/>
    <w:rsid w:val="00E50685"/>
    <w:rsid w:val="00E50737"/>
    <w:rsid w:val="00E507C3"/>
    <w:rsid w:val="00E50803"/>
    <w:rsid w:val="00E5081F"/>
    <w:rsid w:val="00E508AD"/>
    <w:rsid w:val="00E50962"/>
    <w:rsid w:val="00E50AD3"/>
    <w:rsid w:val="00E50C56"/>
    <w:rsid w:val="00E50E52"/>
    <w:rsid w:val="00E50E75"/>
    <w:rsid w:val="00E50E7C"/>
    <w:rsid w:val="00E50EFB"/>
    <w:rsid w:val="00E50FAA"/>
    <w:rsid w:val="00E510D6"/>
    <w:rsid w:val="00E511A8"/>
    <w:rsid w:val="00E511D4"/>
    <w:rsid w:val="00E51263"/>
    <w:rsid w:val="00E512D9"/>
    <w:rsid w:val="00E5134F"/>
    <w:rsid w:val="00E5138C"/>
    <w:rsid w:val="00E514C1"/>
    <w:rsid w:val="00E51508"/>
    <w:rsid w:val="00E51540"/>
    <w:rsid w:val="00E51545"/>
    <w:rsid w:val="00E5155E"/>
    <w:rsid w:val="00E519B8"/>
    <w:rsid w:val="00E51AB9"/>
    <w:rsid w:val="00E51BFC"/>
    <w:rsid w:val="00E51C22"/>
    <w:rsid w:val="00E51D9E"/>
    <w:rsid w:val="00E51EFF"/>
    <w:rsid w:val="00E51FD5"/>
    <w:rsid w:val="00E520EB"/>
    <w:rsid w:val="00E520EE"/>
    <w:rsid w:val="00E52138"/>
    <w:rsid w:val="00E52283"/>
    <w:rsid w:val="00E523F2"/>
    <w:rsid w:val="00E52565"/>
    <w:rsid w:val="00E5257B"/>
    <w:rsid w:val="00E52879"/>
    <w:rsid w:val="00E529E7"/>
    <w:rsid w:val="00E52B3A"/>
    <w:rsid w:val="00E52BCD"/>
    <w:rsid w:val="00E52D04"/>
    <w:rsid w:val="00E52D70"/>
    <w:rsid w:val="00E52D87"/>
    <w:rsid w:val="00E52DD5"/>
    <w:rsid w:val="00E52E4E"/>
    <w:rsid w:val="00E52E5B"/>
    <w:rsid w:val="00E52E77"/>
    <w:rsid w:val="00E53023"/>
    <w:rsid w:val="00E5304E"/>
    <w:rsid w:val="00E53475"/>
    <w:rsid w:val="00E53542"/>
    <w:rsid w:val="00E535E4"/>
    <w:rsid w:val="00E53716"/>
    <w:rsid w:val="00E537D1"/>
    <w:rsid w:val="00E537DE"/>
    <w:rsid w:val="00E538F2"/>
    <w:rsid w:val="00E53948"/>
    <w:rsid w:val="00E539A4"/>
    <w:rsid w:val="00E53A84"/>
    <w:rsid w:val="00E53AD1"/>
    <w:rsid w:val="00E53BC0"/>
    <w:rsid w:val="00E53BCB"/>
    <w:rsid w:val="00E53BE8"/>
    <w:rsid w:val="00E53C02"/>
    <w:rsid w:val="00E53C22"/>
    <w:rsid w:val="00E53D7A"/>
    <w:rsid w:val="00E53DFA"/>
    <w:rsid w:val="00E53F75"/>
    <w:rsid w:val="00E53FBD"/>
    <w:rsid w:val="00E54011"/>
    <w:rsid w:val="00E54017"/>
    <w:rsid w:val="00E5413C"/>
    <w:rsid w:val="00E541DD"/>
    <w:rsid w:val="00E5421E"/>
    <w:rsid w:val="00E54237"/>
    <w:rsid w:val="00E54294"/>
    <w:rsid w:val="00E542F7"/>
    <w:rsid w:val="00E54410"/>
    <w:rsid w:val="00E54599"/>
    <w:rsid w:val="00E54784"/>
    <w:rsid w:val="00E547F1"/>
    <w:rsid w:val="00E548A9"/>
    <w:rsid w:val="00E548B4"/>
    <w:rsid w:val="00E54C73"/>
    <w:rsid w:val="00E54E5B"/>
    <w:rsid w:val="00E54E7C"/>
    <w:rsid w:val="00E54EE3"/>
    <w:rsid w:val="00E54EFD"/>
    <w:rsid w:val="00E54FE4"/>
    <w:rsid w:val="00E5509D"/>
    <w:rsid w:val="00E5521A"/>
    <w:rsid w:val="00E55286"/>
    <w:rsid w:val="00E55405"/>
    <w:rsid w:val="00E5552E"/>
    <w:rsid w:val="00E555A4"/>
    <w:rsid w:val="00E558B9"/>
    <w:rsid w:val="00E558C2"/>
    <w:rsid w:val="00E55A6C"/>
    <w:rsid w:val="00E55AD9"/>
    <w:rsid w:val="00E55C48"/>
    <w:rsid w:val="00E55CE6"/>
    <w:rsid w:val="00E55F54"/>
    <w:rsid w:val="00E55FE6"/>
    <w:rsid w:val="00E56095"/>
    <w:rsid w:val="00E56111"/>
    <w:rsid w:val="00E56171"/>
    <w:rsid w:val="00E5619C"/>
    <w:rsid w:val="00E56229"/>
    <w:rsid w:val="00E5624E"/>
    <w:rsid w:val="00E5625B"/>
    <w:rsid w:val="00E5626A"/>
    <w:rsid w:val="00E565A8"/>
    <w:rsid w:val="00E56793"/>
    <w:rsid w:val="00E567E6"/>
    <w:rsid w:val="00E5683E"/>
    <w:rsid w:val="00E56874"/>
    <w:rsid w:val="00E568CB"/>
    <w:rsid w:val="00E5690B"/>
    <w:rsid w:val="00E56971"/>
    <w:rsid w:val="00E56C72"/>
    <w:rsid w:val="00E56D9C"/>
    <w:rsid w:val="00E56E34"/>
    <w:rsid w:val="00E56F82"/>
    <w:rsid w:val="00E57004"/>
    <w:rsid w:val="00E5709B"/>
    <w:rsid w:val="00E570F4"/>
    <w:rsid w:val="00E57444"/>
    <w:rsid w:val="00E57647"/>
    <w:rsid w:val="00E57890"/>
    <w:rsid w:val="00E57AB4"/>
    <w:rsid w:val="00E57ABB"/>
    <w:rsid w:val="00E57BB2"/>
    <w:rsid w:val="00E57BB8"/>
    <w:rsid w:val="00E57CCD"/>
    <w:rsid w:val="00E57D3B"/>
    <w:rsid w:val="00E57E41"/>
    <w:rsid w:val="00E57E70"/>
    <w:rsid w:val="00E57FAD"/>
    <w:rsid w:val="00E60445"/>
    <w:rsid w:val="00E6045C"/>
    <w:rsid w:val="00E6048F"/>
    <w:rsid w:val="00E604B9"/>
    <w:rsid w:val="00E6070E"/>
    <w:rsid w:val="00E60AAD"/>
    <w:rsid w:val="00E60AF6"/>
    <w:rsid w:val="00E60C20"/>
    <w:rsid w:val="00E60CD2"/>
    <w:rsid w:val="00E60D1F"/>
    <w:rsid w:val="00E60D6F"/>
    <w:rsid w:val="00E60F52"/>
    <w:rsid w:val="00E61106"/>
    <w:rsid w:val="00E6117B"/>
    <w:rsid w:val="00E611B5"/>
    <w:rsid w:val="00E61224"/>
    <w:rsid w:val="00E612A8"/>
    <w:rsid w:val="00E612EA"/>
    <w:rsid w:val="00E613A2"/>
    <w:rsid w:val="00E61484"/>
    <w:rsid w:val="00E61562"/>
    <w:rsid w:val="00E615ED"/>
    <w:rsid w:val="00E61679"/>
    <w:rsid w:val="00E61700"/>
    <w:rsid w:val="00E6174B"/>
    <w:rsid w:val="00E617F2"/>
    <w:rsid w:val="00E618F2"/>
    <w:rsid w:val="00E6196C"/>
    <w:rsid w:val="00E61A0D"/>
    <w:rsid w:val="00E61A60"/>
    <w:rsid w:val="00E61B6D"/>
    <w:rsid w:val="00E61BC4"/>
    <w:rsid w:val="00E61E97"/>
    <w:rsid w:val="00E61EA3"/>
    <w:rsid w:val="00E621EC"/>
    <w:rsid w:val="00E62374"/>
    <w:rsid w:val="00E6245E"/>
    <w:rsid w:val="00E624A6"/>
    <w:rsid w:val="00E625FE"/>
    <w:rsid w:val="00E6263C"/>
    <w:rsid w:val="00E626EC"/>
    <w:rsid w:val="00E6271C"/>
    <w:rsid w:val="00E62927"/>
    <w:rsid w:val="00E62DEA"/>
    <w:rsid w:val="00E62E5E"/>
    <w:rsid w:val="00E62EC0"/>
    <w:rsid w:val="00E63215"/>
    <w:rsid w:val="00E63247"/>
    <w:rsid w:val="00E63264"/>
    <w:rsid w:val="00E63307"/>
    <w:rsid w:val="00E63396"/>
    <w:rsid w:val="00E633C0"/>
    <w:rsid w:val="00E633FC"/>
    <w:rsid w:val="00E634FA"/>
    <w:rsid w:val="00E636FC"/>
    <w:rsid w:val="00E63776"/>
    <w:rsid w:val="00E63A83"/>
    <w:rsid w:val="00E63B21"/>
    <w:rsid w:val="00E63B50"/>
    <w:rsid w:val="00E63C19"/>
    <w:rsid w:val="00E63DC8"/>
    <w:rsid w:val="00E63FA7"/>
    <w:rsid w:val="00E6409C"/>
    <w:rsid w:val="00E641DE"/>
    <w:rsid w:val="00E64278"/>
    <w:rsid w:val="00E642A2"/>
    <w:rsid w:val="00E6438B"/>
    <w:rsid w:val="00E64562"/>
    <w:rsid w:val="00E64565"/>
    <w:rsid w:val="00E64578"/>
    <w:rsid w:val="00E64754"/>
    <w:rsid w:val="00E647F4"/>
    <w:rsid w:val="00E648F5"/>
    <w:rsid w:val="00E64A9D"/>
    <w:rsid w:val="00E64B09"/>
    <w:rsid w:val="00E64D50"/>
    <w:rsid w:val="00E64DEA"/>
    <w:rsid w:val="00E64F0A"/>
    <w:rsid w:val="00E65040"/>
    <w:rsid w:val="00E650A5"/>
    <w:rsid w:val="00E650F1"/>
    <w:rsid w:val="00E651CE"/>
    <w:rsid w:val="00E651E4"/>
    <w:rsid w:val="00E65732"/>
    <w:rsid w:val="00E65750"/>
    <w:rsid w:val="00E65759"/>
    <w:rsid w:val="00E657D5"/>
    <w:rsid w:val="00E657D9"/>
    <w:rsid w:val="00E65903"/>
    <w:rsid w:val="00E65B0C"/>
    <w:rsid w:val="00E65BBF"/>
    <w:rsid w:val="00E65BD5"/>
    <w:rsid w:val="00E65D93"/>
    <w:rsid w:val="00E65F47"/>
    <w:rsid w:val="00E6602B"/>
    <w:rsid w:val="00E66485"/>
    <w:rsid w:val="00E66518"/>
    <w:rsid w:val="00E6666F"/>
    <w:rsid w:val="00E6669B"/>
    <w:rsid w:val="00E66705"/>
    <w:rsid w:val="00E6672D"/>
    <w:rsid w:val="00E66790"/>
    <w:rsid w:val="00E66878"/>
    <w:rsid w:val="00E6690B"/>
    <w:rsid w:val="00E6692A"/>
    <w:rsid w:val="00E66972"/>
    <w:rsid w:val="00E66C01"/>
    <w:rsid w:val="00E66C7C"/>
    <w:rsid w:val="00E66D5B"/>
    <w:rsid w:val="00E66F51"/>
    <w:rsid w:val="00E671F2"/>
    <w:rsid w:val="00E67358"/>
    <w:rsid w:val="00E673A7"/>
    <w:rsid w:val="00E673C3"/>
    <w:rsid w:val="00E6749D"/>
    <w:rsid w:val="00E675B5"/>
    <w:rsid w:val="00E675B6"/>
    <w:rsid w:val="00E676E1"/>
    <w:rsid w:val="00E67785"/>
    <w:rsid w:val="00E677F5"/>
    <w:rsid w:val="00E678C7"/>
    <w:rsid w:val="00E6793B"/>
    <w:rsid w:val="00E679EE"/>
    <w:rsid w:val="00E67BF8"/>
    <w:rsid w:val="00E67D5D"/>
    <w:rsid w:val="00E67E1C"/>
    <w:rsid w:val="00E67E2D"/>
    <w:rsid w:val="00E67E9B"/>
    <w:rsid w:val="00E67F53"/>
    <w:rsid w:val="00E700DF"/>
    <w:rsid w:val="00E7017C"/>
    <w:rsid w:val="00E701BE"/>
    <w:rsid w:val="00E7038C"/>
    <w:rsid w:val="00E70543"/>
    <w:rsid w:val="00E70622"/>
    <w:rsid w:val="00E707E3"/>
    <w:rsid w:val="00E70A0C"/>
    <w:rsid w:val="00E70A34"/>
    <w:rsid w:val="00E70AB1"/>
    <w:rsid w:val="00E70AFF"/>
    <w:rsid w:val="00E70B75"/>
    <w:rsid w:val="00E70BCD"/>
    <w:rsid w:val="00E70C7A"/>
    <w:rsid w:val="00E70CD8"/>
    <w:rsid w:val="00E70D22"/>
    <w:rsid w:val="00E70D9C"/>
    <w:rsid w:val="00E70DB2"/>
    <w:rsid w:val="00E70E10"/>
    <w:rsid w:val="00E70F49"/>
    <w:rsid w:val="00E70F77"/>
    <w:rsid w:val="00E710AE"/>
    <w:rsid w:val="00E711D7"/>
    <w:rsid w:val="00E711F5"/>
    <w:rsid w:val="00E713AE"/>
    <w:rsid w:val="00E71431"/>
    <w:rsid w:val="00E714C0"/>
    <w:rsid w:val="00E716F3"/>
    <w:rsid w:val="00E71809"/>
    <w:rsid w:val="00E71823"/>
    <w:rsid w:val="00E71829"/>
    <w:rsid w:val="00E7182E"/>
    <w:rsid w:val="00E71861"/>
    <w:rsid w:val="00E71911"/>
    <w:rsid w:val="00E71A06"/>
    <w:rsid w:val="00E71A32"/>
    <w:rsid w:val="00E71A6A"/>
    <w:rsid w:val="00E71A7B"/>
    <w:rsid w:val="00E71AA3"/>
    <w:rsid w:val="00E71ACC"/>
    <w:rsid w:val="00E71B4F"/>
    <w:rsid w:val="00E71C97"/>
    <w:rsid w:val="00E71FA4"/>
    <w:rsid w:val="00E7202C"/>
    <w:rsid w:val="00E72157"/>
    <w:rsid w:val="00E72187"/>
    <w:rsid w:val="00E723E0"/>
    <w:rsid w:val="00E72673"/>
    <w:rsid w:val="00E726A8"/>
    <w:rsid w:val="00E726DE"/>
    <w:rsid w:val="00E7286A"/>
    <w:rsid w:val="00E7286B"/>
    <w:rsid w:val="00E728A3"/>
    <w:rsid w:val="00E729DC"/>
    <w:rsid w:val="00E72BB9"/>
    <w:rsid w:val="00E72BED"/>
    <w:rsid w:val="00E72C85"/>
    <w:rsid w:val="00E72CF2"/>
    <w:rsid w:val="00E72E73"/>
    <w:rsid w:val="00E72E93"/>
    <w:rsid w:val="00E72F63"/>
    <w:rsid w:val="00E730FD"/>
    <w:rsid w:val="00E731E9"/>
    <w:rsid w:val="00E7325F"/>
    <w:rsid w:val="00E7328B"/>
    <w:rsid w:val="00E7356D"/>
    <w:rsid w:val="00E7359D"/>
    <w:rsid w:val="00E7361C"/>
    <w:rsid w:val="00E736B2"/>
    <w:rsid w:val="00E736BA"/>
    <w:rsid w:val="00E73768"/>
    <w:rsid w:val="00E737F8"/>
    <w:rsid w:val="00E738BE"/>
    <w:rsid w:val="00E73ABC"/>
    <w:rsid w:val="00E73B08"/>
    <w:rsid w:val="00E73B75"/>
    <w:rsid w:val="00E73C9F"/>
    <w:rsid w:val="00E73D8F"/>
    <w:rsid w:val="00E73D99"/>
    <w:rsid w:val="00E73E19"/>
    <w:rsid w:val="00E73E22"/>
    <w:rsid w:val="00E73F79"/>
    <w:rsid w:val="00E73FB5"/>
    <w:rsid w:val="00E742B2"/>
    <w:rsid w:val="00E74328"/>
    <w:rsid w:val="00E74370"/>
    <w:rsid w:val="00E743B9"/>
    <w:rsid w:val="00E743E9"/>
    <w:rsid w:val="00E7446B"/>
    <w:rsid w:val="00E747D0"/>
    <w:rsid w:val="00E747D3"/>
    <w:rsid w:val="00E747EB"/>
    <w:rsid w:val="00E748AF"/>
    <w:rsid w:val="00E748BA"/>
    <w:rsid w:val="00E748FC"/>
    <w:rsid w:val="00E74943"/>
    <w:rsid w:val="00E7494D"/>
    <w:rsid w:val="00E74959"/>
    <w:rsid w:val="00E7498E"/>
    <w:rsid w:val="00E74A3B"/>
    <w:rsid w:val="00E74C07"/>
    <w:rsid w:val="00E74F31"/>
    <w:rsid w:val="00E74FE4"/>
    <w:rsid w:val="00E74FF6"/>
    <w:rsid w:val="00E7502A"/>
    <w:rsid w:val="00E7518A"/>
    <w:rsid w:val="00E7521E"/>
    <w:rsid w:val="00E752DB"/>
    <w:rsid w:val="00E753B9"/>
    <w:rsid w:val="00E7541B"/>
    <w:rsid w:val="00E75457"/>
    <w:rsid w:val="00E75460"/>
    <w:rsid w:val="00E754F8"/>
    <w:rsid w:val="00E75505"/>
    <w:rsid w:val="00E7556B"/>
    <w:rsid w:val="00E7563E"/>
    <w:rsid w:val="00E7565A"/>
    <w:rsid w:val="00E7579A"/>
    <w:rsid w:val="00E757D1"/>
    <w:rsid w:val="00E758DA"/>
    <w:rsid w:val="00E759B7"/>
    <w:rsid w:val="00E75AE0"/>
    <w:rsid w:val="00E75B8A"/>
    <w:rsid w:val="00E75C74"/>
    <w:rsid w:val="00E75E83"/>
    <w:rsid w:val="00E75E92"/>
    <w:rsid w:val="00E75F36"/>
    <w:rsid w:val="00E75F92"/>
    <w:rsid w:val="00E7601D"/>
    <w:rsid w:val="00E76031"/>
    <w:rsid w:val="00E7607A"/>
    <w:rsid w:val="00E760B7"/>
    <w:rsid w:val="00E760F3"/>
    <w:rsid w:val="00E762D4"/>
    <w:rsid w:val="00E76375"/>
    <w:rsid w:val="00E76414"/>
    <w:rsid w:val="00E76453"/>
    <w:rsid w:val="00E764BE"/>
    <w:rsid w:val="00E76553"/>
    <w:rsid w:val="00E7664F"/>
    <w:rsid w:val="00E76679"/>
    <w:rsid w:val="00E766E7"/>
    <w:rsid w:val="00E76729"/>
    <w:rsid w:val="00E768FD"/>
    <w:rsid w:val="00E76A09"/>
    <w:rsid w:val="00E76A65"/>
    <w:rsid w:val="00E76AC7"/>
    <w:rsid w:val="00E76B8B"/>
    <w:rsid w:val="00E76C12"/>
    <w:rsid w:val="00E76CC3"/>
    <w:rsid w:val="00E76DB0"/>
    <w:rsid w:val="00E76DEB"/>
    <w:rsid w:val="00E76E7C"/>
    <w:rsid w:val="00E76EBF"/>
    <w:rsid w:val="00E76F20"/>
    <w:rsid w:val="00E76F3F"/>
    <w:rsid w:val="00E76F4F"/>
    <w:rsid w:val="00E76FCF"/>
    <w:rsid w:val="00E770DA"/>
    <w:rsid w:val="00E772B9"/>
    <w:rsid w:val="00E77360"/>
    <w:rsid w:val="00E773F7"/>
    <w:rsid w:val="00E7750E"/>
    <w:rsid w:val="00E77625"/>
    <w:rsid w:val="00E7764A"/>
    <w:rsid w:val="00E7779B"/>
    <w:rsid w:val="00E778C0"/>
    <w:rsid w:val="00E77A7E"/>
    <w:rsid w:val="00E77AAC"/>
    <w:rsid w:val="00E77AB2"/>
    <w:rsid w:val="00E77AD7"/>
    <w:rsid w:val="00E77BD6"/>
    <w:rsid w:val="00E77F0A"/>
    <w:rsid w:val="00E77F16"/>
    <w:rsid w:val="00E80009"/>
    <w:rsid w:val="00E80229"/>
    <w:rsid w:val="00E802A4"/>
    <w:rsid w:val="00E8045A"/>
    <w:rsid w:val="00E80472"/>
    <w:rsid w:val="00E80486"/>
    <w:rsid w:val="00E8049F"/>
    <w:rsid w:val="00E80529"/>
    <w:rsid w:val="00E80701"/>
    <w:rsid w:val="00E8079A"/>
    <w:rsid w:val="00E8089D"/>
    <w:rsid w:val="00E808C3"/>
    <w:rsid w:val="00E80A77"/>
    <w:rsid w:val="00E80AA7"/>
    <w:rsid w:val="00E80BF0"/>
    <w:rsid w:val="00E80CE8"/>
    <w:rsid w:val="00E80F21"/>
    <w:rsid w:val="00E80FE7"/>
    <w:rsid w:val="00E81111"/>
    <w:rsid w:val="00E81350"/>
    <w:rsid w:val="00E81432"/>
    <w:rsid w:val="00E815E1"/>
    <w:rsid w:val="00E81618"/>
    <w:rsid w:val="00E816CF"/>
    <w:rsid w:val="00E816E1"/>
    <w:rsid w:val="00E81732"/>
    <w:rsid w:val="00E817C4"/>
    <w:rsid w:val="00E818E8"/>
    <w:rsid w:val="00E819B5"/>
    <w:rsid w:val="00E819C5"/>
    <w:rsid w:val="00E81AAD"/>
    <w:rsid w:val="00E81C2C"/>
    <w:rsid w:val="00E81C6C"/>
    <w:rsid w:val="00E81CBC"/>
    <w:rsid w:val="00E81D40"/>
    <w:rsid w:val="00E8211C"/>
    <w:rsid w:val="00E82195"/>
    <w:rsid w:val="00E821A1"/>
    <w:rsid w:val="00E82421"/>
    <w:rsid w:val="00E8244B"/>
    <w:rsid w:val="00E82700"/>
    <w:rsid w:val="00E828CF"/>
    <w:rsid w:val="00E828E2"/>
    <w:rsid w:val="00E82CAE"/>
    <w:rsid w:val="00E82EE9"/>
    <w:rsid w:val="00E82FEE"/>
    <w:rsid w:val="00E83005"/>
    <w:rsid w:val="00E83270"/>
    <w:rsid w:val="00E8328B"/>
    <w:rsid w:val="00E83463"/>
    <w:rsid w:val="00E83537"/>
    <w:rsid w:val="00E83581"/>
    <w:rsid w:val="00E83590"/>
    <w:rsid w:val="00E83646"/>
    <w:rsid w:val="00E83676"/>
    <w:rsid w:val="00E83804"/>
    <w:rsid w:val="00E83A05"/>
    <w:rsid w:val="00E83C0B"/>
    <w:rsid w:val="00E83CCE"/>
    <w:rsid w:val="00E83D20"/>
    <w:rsid w:val="00E83DA4"/>
    <w:rsid w:val="00E83DE9"/>
    <w:rsid w:val="00E83E50"/>
    <w:rsid w:val="00E83E72"/>
    <w:rsid w:val="00E83F97"/>
    <w:rsid w:val="00E83FAA"/>
    <w:rsid w:val="00E84155"/>
    <w:rsid w:val="00E8415F"/>
    <w:rsid w:val="00E8419F"/>
    <w:rsid w:val="00E842A0"/>
    <w:rsid w:val="00E84493"/>
    <w:rsid w:val="00E844AE"/>
    <w:rsid w:val="00E84526"/>
    <w:rsid w:val="00E845D1"/>
    <w:rsid w:val="00E845F6"/>
    <w:rsid w:val="00E8461F"/>
    <w:rsid w:val="00E84691"/>
    <w:rsid w:val="00E84704"/>
    <w:rsid w:val="00E8476C"/>
    <w:rsid w:val="00E8481B"/>
    <w:rsid w:val="00E84831"/>
    <w:rsid w:val="00E849A8"/>
    <w:rsid w:val="00E849FC"/>
    <w:rsid w:val="00E84B9F"/>
    <w:rsid w:val="00E84BF4"/>
    <w:rsid w:val="00E84C4B"/>
    <w:rsid w:val="00E84CAA"/>
    <w:rsid w:val="00E84DB5"/>
    <w:rsid w:val="00E84E6A"/>
    <w:rsid w:val="00E85317"/>
    <w:rsid w:val="00E8553F"/>
    <w:rsid w:val="00E85553"/>
    <w:rsid w:val="00E855B7"/>
    <w:rsid w:val="00E85648"/>
    <w:rsid w:val="00E85661"/>
    <w:rsid w:val="00E8571C"/>
    <w:rsid w:val="00E858FE"/>
    <w:rsid w:val="00E8592D"/>
    <w:rsid w:val="00E859DF"/>
    <w:rsid w:val="00E85B41"/>
    <w:rsid w:val="00E85B6C"/>
    <w:rsid w:val="00E85CD1"/>
    <w:rsid w:val="00E85E03"/>
    <w:rsid w:val="00E85F88"/>
    <w:rsid w:val="00E85FC7"/>
    <w:rsid w:val="00E860BF"/>
    <w:rsid w:val="00E8611A"/>
    <w:rsid w:val="00E86196"/>
    <w:rsid w:val="00E86415"/>
    <w:rsid w:val="00E86480"/>
    <w:rsid w:val="00E864A8"/>
    <w:rsid w:val="00E8652F"/>
    <w:rsid w:val="00E865B4"/>
    <w:rsid w:val="00E8662C"/>
    <w:rsid w:val="00E868FA"/>
    <w:rsid w:val="00E86A61"/>
    <w:rsid w:val="00E86DCB"/>
    <w:rsid w:val="00E86FAB"/>
    <w:rsid w:val="00E87018"/>
    <w:rsid w:val="00E870EF"/>
    <w:rsid w:val="00E87135"/>
    <w:rsid w:val="00E871CE"/>
    <w:rsid w:val="00E87224"/>
    <w:rsid w:val="00E87293"/>
    <w:rsid w:val="00E87333"/>
    <w:rsid w:val="00E873B9"/>
    <w:rsid w:val="00E87404"/>
    <w:rsid w:val="00E87539"/>
    <w:rsid w:val="00E8758B"/>
    <w:rsid w:val="00E875EA"/>
    <w:rsid w:val="00E8783F"/>
    <w:rsid w:val="00E8787E"/>
    <w:rsid w:val="00E8789E"/>
    <w:rsid w:val="00E87A9A"/>
    <w:rsid w:val="00E87AD3"/>
    <w:rsid w:val="00E87C28"/>
    <w:rsid w:val="00E87CFD"/>
    <w:rsid w:val="00E87EEE"/>
    <w:rsid w:val="00E900A1"/>
    <w:rsid w:val="00E900AB"/>
    <w:rsid w:val="00E902B0"/>
    <w:rsid w:val="00E902E8"/>
    <w:rsid w:val="00E903F5"/>
    <w:rsid w:val="00E9051B"/>
    <w:rsid w:val="00E905D1"/>
    <w:rsid w:val="00E9062A"/>
    <w:rsid w:val="00E906AE"/>
    <w:rsid w:val="00E90731"/>
    <w:rsid w:val="00E90A85"/>
    <w:rsid w:val="00E90CDF"/>
    <w:rsid w:val="00E90D96"/>
    <w:rsid w:val="00E90F58"/>
    <w:rsid w:val="00E90FEB"/>
    <w:rsid w:val="00E91161"/>
    <w:rsid w:val="00E912C2"/>
    <w:rsid w:val="00E912E4"/>
    <w:rsid w:val="00E913F4"/>
    <w:rsid w:val="00E91411"/>
    <w:rsid w:val="00E91494"/>
    <w:rsid w:val="00E91576"/>
    <w:rsid w:val="00E915F7"/>
    <w:rsid w:val="00E916DF"/>
    <w:rsid w:val="00E91703"/>
    <w:rsid w:val="00E9173F"/>
    <w:rsid w:val="00E91794"/>
    <w:rsid w:val="00E917B2"/>
    <w:rsid w:val="00E917D3"/>
    <w:rsid w:val="00E91813"/>
    <w:rsid w:val="00E9184F"/>
    <w:rsid w:val="00E91999"/>
    <w:rsid w:val="00E91A10"/>
    <w:rsid w:val="00E91B4A"/>
    <w:rsid w:val="00E91C81"/>
    <w:rsid w:val="00E91D39"/>
    <w:rsid w:val="00E91D42"/>
    <w:rsid w:val="00E91E7B"/>
    <w:rsid w:val="00E91F55"/>
    <w:rsid w:val="00E91FFF"/>
    <w:rsid w:val="00E921F4"/>
    <w:rsid w:val="00E92258"/>
    <w:rsid w:val="00E922DB"/>
    <w:rsid w:val="00E922FE"/>
    <w:rsid w:val="00E92309"/>
    <w:rsid w:val="00E923D7"/>
    <w:rsid w:val="00E9241A"/>
    <w:rsid w:val="00E92448"/>
    <w:rsid w:val="00E9246C"/>
    <w:rsid w:val="00E92539"/>
    <w:rsid w:val="00E92561"/>
    <w:rsid w:val="00E925D0"/>
    <w:rsid w:val="00E927BF"/>
    <w:rsid w:val="00E9287B"/>
    <w:rsid w:val="00E928E9"/>
    <w:rsid w:val="00E9296B"/>
    <w:rsid w:val="00E9296E"/>
    <w:rsid w:val="00E929BF"/>
    <w:rsid w:val="00E92A76"/>
    <w:rsid w:val="00E92C2B"/>
    <w:rsid w:val="00E92C52"/>
    <w:rsid w:val="00E92CBE"/>
    <w:rsid w:val="00E92D0E"/>
    <w:rsid w:val="00E92D71"/>
    <w:rsid w:val="00E92EC5"/>
    <w:rsid w:val="00E92EDC"/>
    <w:rsid w:val="00E92FA2"/>
    <w:rsid w:val="00E93027"/>
    <w:rsid w:val="00E930A0"/>
    <w:rsid w:val="00E93159"/>
    <w:rsid w:val="00E931CE"/>
    <w:rsid w:val="00E93212"/>
    <w:rsid w:val="00E93240"/>
    <w:rsid w:val="00E932EC"/>
    <w:rsid w:val="00E934C9"/>
    <w:rsid w:val="00E9357C"/>
    <w:rsid w:val="00E936BC"/>
    <w:rsid w:val="00E93745"/>
    <w:rsid w:val="00E937A8"/>
    <w:rsid w:val="00E937D0"/>
    <w:rsid w:val="00E93873"/>
    <w:rsid w:val="00E939FA"/>
    <w:rsid w:val="00E93B31"/>
    <w:rsid w:val="00E93CB4"/>
    <w:rsid w:val="00E93CCD"/>
    <w:rsid w:val="00E93D0D"/>
    <w:rsid w:val="00E93D4F"/>
    <w:rsid w:val="00E93E44"/>
    <w:rsid w:val="00E94121"/>
    <w:rsid w:val="00E94146"/>
    <w:rsid w:val="00E942FC"/>
    <w:rsid w:val="00E94457"/>
    <w:rsid w:val="00E944E4"/>
    <w:rsid w:val="00E94535"/>
    <w:rsid w:val="00E945DE"/>
    <w:rsid w:val="00E94650"/>
    <w:rsid w:val="00E94674"/>
    <w:rsid w:val="00E946D9"/>
    <w:rsid w:val="00E94727"/>
    <w:rsid w:val="00E94799"/>
    <w:rsid w:val="00E94811"/>
    <w:rsid w:val="00E9484C"/>
    <w:rsid w:val="00E948A0"/>
    <w:rsid w:val="00E948CF"/>
    <w:rsid w:val="00E94A0C"/>
    <w:rsid w:val="00E94A92"/>
    <w:rsid w:val="00E94B40"/>
    <w:rsid w:val="00E94D63"/>
    <w:rsid w:val="00E94D70"/>
    <w:rsid w:val="00E94DD6"/>
    <w:rsid w:val="00E94DF5"/>
    <w:rsid w:val="00E95177"/>
    <w:rsid w:val="00E951B1"/>
    <w:rsid w:val="00E951DC"/>
    <w:rsid w:val="00E9523F"/>
    <w:rsid w:val="00E9561A"/>
    <w:rsid w:val="00E95673"/>
    <w:rsid w:val="00E956B8"/>
    <w:rsid w:val="00E95831"/>
    <w:rsid w:val="00E9583B"/>
    <w:rsid w:val="00E958C3"/>
    <w:rsid w:val="00E958D9"/>
    <w:rsid w:val="00E95970"/>
    <w:rsid w:val="00E95A52"/>
    <w:rsid w:val="00E95B54"/>
    <w:rsid w:val="00E95BDD"/>
    <w:rsid w:val="00E95DB7"/>
    <w:rsid w:val="00E96169"/>
    <w:rsid w:val="00E9617D"/>
    <w:rsid w:val="00E96194"/>
    <w:rsid w:val="00E96262"/>
    <w:rsid w:val="00E96287"/>
    <w:rsid w:val="00E96386"/>
    <w:rsid w:val="00E964B6"/>
    <w:rsid w:val="00E964BC"/>
    <w:rsid w:val="00E965D3"/>
    <w:rsid w:val="00E966E0"/>
    <w:rsid w:val="00E969CE"/>
    <w:rsid w:val="00E969EA"/>
    <w:rsid w:val="00E96B03"/>
    <w:rsid w:val="00E96BC9"/>
    <w:rsid w:val="00E96C0B"/>
    <w:rsid w:val="00E96C7E"/>
    <w:rsid w:val="00E96CD2"/>
    <w:rsid w:val="00E96D21"/>
    <w:rsid w:val="00E96DEE"/>
    <w:rsid w:val="00E96E1F"/>
    <w:rsid w:val="00E96F14"/>
    <w:rsid w:val="00E96F27"/>
    <w:rsid w:val="00E96F33"/>
    <w:rsid w:val="00E96F66"/>
    <w:rsid w:val="00E970A5"/>
    <w:rsid w:val="00E974D6"/>
    <w:rsid w:val="00E97500"/>
    <w:rsid w:val="00E977C7"/>
    <w:rsid w:val="00E9790F"/>
    <w:rsid w:val="00E97B57"/>
    <w:rsid w:val="00E97BB5"/>
    <w:rsid w:val="00E97C19"/>
    <w:rsid w:val="00E97C94"/>
    <w:rsid w:val="00E97D6B"/>
    <w:rsid w:val="00E97E60"/>
    <w:rsid w:val="00E97EDB"/>
    <w:rsid w:val="00EA000A"/>
    <w:rsid w:val="00EA006F"/>
    <w:rsid w:val="00EA01CB"/>
    <w:rsid w:val="00EA0337"/>
    <w:rsid w:val="00EA0421"/>
    <w:rsid w:val="00EA050E"/>
    <w:rsid w:val="00EA05A7"/>
    <w:rsid w:val="00EA05B9"/>
    <w:rsid w:val="00EA06FB"/>
    <w:rsid w:val="00EA08B1"/>
    <w:rsid w:val="00EA08C9"/>
    <w:rsid w:val="00EA0909"/>
    <w:rsid w:val="00EA0999"/>
    <w:rsid w:val="00EA0AED"/>
    <w:rsid w:val="00EA0BCC"/>
    <w:rsid w:val="00EA0E6F"/>
    <w:rsid w:val="00EA1013"/>
    <w:rsid w:val="00EA10D1"/>
    <w:rsid w:val="00EA1132"/>
    <w:rsid w:val="00EA1162"/>
    <w:rsid w:val="00EA121B"/>
    <w:rsid w:val="00EA1280"/>
    <w:rsid w:val="00EA1517"/>
    <w:rsid w:val="00EA151A"/>
    <w:rsid w:val="00EA15A0"/>
    <w:rsid w:val="00EA16B3"/>
    <w:rsid w:val="00EA1919"/>
    <w:rsid w:val="00EA19C7"/>
    <w:rsid w:val="00EA1AEA"/>
    <w:rsid w:val="00EA1C54"/>
    <w:rsid w:val="00EA22C0"/>
    <w:rsid w:val="00EA23AC"/>
    <w:rsid w:val="00EA24B7"/>
    <w:rsid w:val="00EA25E6"/>
    <w:rsid w:val="00EA25F8"/>
    <w:rsid w:val="00EA25FA"/>
    <w:rsid w:val="00EA26FF"/>
    <w:rsid w:val="00EA27B6"/>
    <w:rsid w:val="00EA2876"/>
    <w:rsid w:val="00EA2A33"/>
    <w:rsid w:val="00EA2A5F"/>
    <w:rsid w:val="00EA2A91"/>
    <w:rsid w:val="00EA2B8E"/>
    <w:rsid w:val="00EA2BD7"/>
    <w:rsid w:val="00EA2D3B"/>
    <w:rsid w:val="00EA2D84"/>
    <w:rsid w:val="00EA2E3A"/>
    <w:rsid w:val="00EA31F6"/>
    <w:rsid w:val="00EA35C0"/>
    <w:rsid w:val="00EA3646"/>
    <w:rsid w:val="00EA3682"/>
    <w:rsid w:val="00EA36D5"/>
    <w:rsid w:val="00EA3898"/>
    <w:rsid w:val="00EA38FD"/>
    <w:rsid w:val="00EA398F"/>
    <w:rsid w:val="00EA39BE"/>
    <w:rsid w:val="00EA3AD4"/>
    <w:rsid w:val="00EA3B25"/>
    <w:rsid w:val="00EA3B3C"/>
    <w:rsid w:val="00EA3B84"/>
    <w:rsid w:val="00EA3BCB"/>
    <w:rsid w:val="00EA3C20"/>
    <w:rsid w:val="00EA3CE0"/>
    <w:rsid w:val="00EA3D10"/>
    <w:rsid w:val="00EA3EA3"/>
    <w:rsid w:val="00EA3F10"/>
    <w:rsid w:val="00EA4045"/>
    <w:rsid w:val="00EA411B"/>
    <w:rsid w:val="00EA4195"/>
    <w:rsid w:val="00EA4268"/>
    <w:rsid w:val="00EA429D"/>
    <w:rsid w:val="00EA43A0"/>
    <w:rsid w:val="00EA43B0"/>
    <w:rsid w:val="00EA43FB"/>
    <w:rsid w:val="00EA45F1"/>
    <w:rsid w:val="00EA45FD"/>
    <w:rsid w:val="00EA4631"/>
    <w:rsid w:val="00EA4656"/>
    <w:rsid w:val="00EA475D"/>
    <w:rsid w:val="00EA4827"/>
    <w:rsid w:val="00EA4AE0"/>
    <w:rsid w:val="00EA4AED"/>
    <w:rsid w:val="00EA4C55"/>
    <w:rsid w:val="00EA4E58"/>
    <w:rsid w:val="00EA4F68"/>
    <w:rsid w:val="00EA5103"/>
    <w:rsid w:val="00EA52CF"/>
    <w:rsid w:val="00EA5328"/>
    <w:rsid w:val="00EA538B"/>
    <w:rsid w:val="00EA548D"/>
    <w:rsid w:val="00EA54D4"/>
    <w:rsid w:val="00EA564D"/>
    <w:rsid w:val="00EA5721"/>
    <w:rsid w:val="00EA583D"/>
    <w:rsid w:val="00EA5941"/>
    <w:rsid w:val="00EA59DE"/>
    <w:rsid w:val="00EA59E9"/>
    <w:rsid w:val="00EA59F4"/>
    <w:rsid w:val="00EA5A4B"/>
    <w:rsid w:val="00EA5B5C"/>
    <w:rsid w:val="00EA5E34"/>
    <w:rsid w:val="00EA5E4F"/>
    <w:rsid w:val="00EA5F1F"/>
    <w:rsid w:val="00EA6044"/>
    <w:rsid w:val="00EA6061"/>
    <w:rsid w:val="00EA6080"/>
    <w:rsid w:val="00EA6144"/>
    <w:rsid w:val="00EA6156"/>
    <w:rsid w:val="00EA6282"/>
    <w:rsid w:val="00EA6491"/>
    <w:rsid w:val="00EA64AB"/>
    <w:rsid w:val="00EA692A"/>
    <w:rsid w:val="00EA6974"/>
    <w:rsid w:val="00EA6A29"/>
    <w:rsid w:val="00EA6A6B"/>
    <w:rsid w:val="00EA6B5B"/>
    <w:rsid w:val="00EA6C9E"/>
    <w:rsid w:val="00EA7030"/>
    <w:rsid w:val="00EA70F6"/>
    <w:rsid w:val="00EA71C3"/>
    <w:rsid w:val="00EA7266"/>
    <w:rsid w:val="00EA72F2"/>
    <w:rsid w:val="00EA73E0"/>
    <w:rsid w:val="00EA73E6"/>
    <w:rsid w:val="00EA7516"/>
    <w:rsid w:val="00EA776D"/>
    <w:rsid w:val="00EA7781"/>
    <w:rsid w:val="00EA77DC"/>
    <w:rsid w:val="00EA7872"/>
    <w:rsid w:val="00EA7A92"/>
    <w:rsid w:val="00EA7B32"/>
    <w:rsid w:val="00EA7C30"/>
    <w:rsid w:val="00EA7C3D"/>
    <w:rsid w:val="00EA7E34"/>
    <w:rsid w:val="00EA7E52"/>
    <w:rsid w:val="00EA7F87"/>
    <w:rsid w:val="00EA7FC9"/>
    <w:rsid w:val="00EA7FEF"/>
    <w:rsid w:val="00EB00DD"/>
    <w:rsid w:val="00EB00F7"/>
    <w:rsid w:val="00EB0171"/>
    <w:rsid w:val="00EB01B0"/>
    <w:rsid w:val="00EB01B6"/>
    <w:rsid w:val="00EB01BE"/>
    <w:rsid w:val="00EB01E5"/>
    <w:rsid w:val="00EB0233"/>
    <w:rsid w:val="00EB029C"/>
    <w:rsid w:val="00EB02BC"/>
    <w:rsid w:val="00EB0417"/>
    <w:rsid w:val="00EB0424"/>
    <w:rsid w:val="00EB07A3"/>
    <w:rsid w:val="00EB07D4"/>
    <w:rsid w:val="00EB0823"/>
    <w:rsid w:val="00EB0863"/>
    <w:rsid w:val="00EB08BD"/>
    <w:rsid w:val="00EB08E0"/>
    <w:rsid w:val="00EB0924"/>
    <w:rsid w:val="00EB0C5A"/>
    <w:rsid w:val="00EB0C64"/>
    <w:rsid w:val="00EB0CFF"/>
    <w:rsid w:val="00EB0DC7"/>
    <w:rsid w:val="00EB0E84"/>
    <w:rsid w:val="00EB0FC8"/>
    <w:rsid w:val="00EB11A7"/>
    <w:rsid w:val="00EB1210"/>
    <w:rsid w:val="00EB1330"/>
    <w:rsid w:val="00EB135D"/>
    <w:rsid w:val="00EB135F"/>
    <w:rsid w:val="00EB13C3"/>
    <w:rsid w:val="00EB142B"/>
    <w:rsid w:val="00EB1502"/>
    <w:rsid w:val="00EB163E"/>
    <w:rsid w:val="00EB168B"/>
    <w:rsid w:val="00EB17AF"/>
    <w:rsid w:val="00EB1A89"/>
    <w:rsid w:val="00EB1AD7"/>
    <w:rsid w:val="00EB1BBC"/>
    <w:rsid w:val="00EB1C7E"/>
    <w:rsid w:val="00EB1E31"/>
    <w:rsid w:val="00EB1F1D"/>
    <w:rsid w:val="00EB2076"/>
    <w:rsid w:val="00EB20BB"/>
    <w:rsid w:val="00EB226E"/>
    <w:rsid w:val="00EB2362"/>
    <w:rsid w:val="00EB2565"/>
    <w:rsid w:val="00EB25D3"/>
    <w:rsid w:val="00EB26CA"/>
    <w:rsid w:val="00EB28AA"/>
    <w:rsid w:val="00EB28AB"/>
    <w:rsid w:val="00EB28F6"/>
    <w:rsid w:val="00EB29D6"/>
    <w:rsid w:val="00EB2A46"/>
    <w:rsid w:val="00EB2AC6"/>
    <w:rsid w:val="00EB2C0F"/>
    <w:rsid w:val="00EB2D73"/>
    <w:rsid w:val="00EB2D9A"/>
    <w:rsid w:val="00EB2E0D"/>
    <w:rsid w:val="00EB2EEE"/>
    <w:rsid w:val="00EB2F4B"/>
    <w:rsid w:val="00EB2F8F"/>
    <w:rsid w:val="00EB3022"/>
    <w:rsid w:val="00EB3151"/>
    <w:rsid w:val="00EB3187"/>
    <w:rsid w:val="00EB323C"/>
    <w:rsid w:val="00EB328D"/>
    <w:rsid w:val="00EB32BF"/>
    <w:rsid w:val="00EB334D"/>
    <w:rsid w:val="00EB3461"/>
    <w:rsid w:val="00EB3673"/>
    <w:rsid w:val="00EB3687"/>
    <w:rsid w:val="00EB36EC"/>
    <w:rsid w:val="00EB38B4"/>
    <w:rsid w:val="00EB3985"/>
    <w:rsid w:val="00EB3A45"/>
    <w:rsid w:val="00EB3B7B"/>
    <w:rsid w:val="00EB3D68"/>
    <w:rsid w:val="00EB3D70"/>
    <w:rsid w:val="00EB3E6F"/>
    <w:rsid w:val="00EB4107"/>
    <w:rsid w:val="00EB412D"/>
    <w:rsid w:val="00EB4171"/>
    <w:rsid w:val="00EB41B5"/>
    <w:rsid w:val="00EB426C"/>
    <w:rsid w:val="00EB432A"/>
    <w:rsid w:val="00EB4463"/>
    <w:rsid w:val="00EB44CB"/>
    <w:rsid w:val="00EB44F1"/>
    <w:rsid w:val="00EB46CD"/>
    <w:rsid w:val="00EB47F3"/>
    <w:rsid w:val="00EB48BE"/>
    <w:rsid w:val="00EB49F7"/>
    <w:rsid w:val="00EB4AA4"/>
    <w:rsid w:val="00EB4ABF"/>
    <w:rsid w:val="00EB4B0B"/>
    <w:rsid w:val="00EB4B8D"/>
    <w:rsid w:val="00EB4D9C"/>
    <w:rsid w:val="00EB4E0E"/>
    <w:rsid w:val="00EB4F0B"/>
    <w:rsid w:val="00EB4FEE"/>
    <w:rsid w:val="00EB5040"/>
    <w:rsid w:val="00EB50E5"/>
    <w:rsid w:val="00EB51BE"/>
    <w:rsid w:val="00EB5315"/>
    <w:rsid w:val="00EB532C"/>
    <w:rsid w:val="00EB5370"/>
    <w:rsid w:val="00EB54ED"/>
    <w:rsid w:val="00EB553A"/>
    <w:rsid w:val="00EB55AF"/>
    <w:rsid w:val="00EB55E9"/>
    <w:rsid w:val="00EB5667"/>
    <w:rsid w:val="00EB56E8"/>
    <w:rsid w:val="00EB578E"/>
    <w:rsid w:val="00EB58FF"/>
    <w:rsid w:val="00EB591C"/>
    <w:rsid w:val="00EB5948"/>
    <w:rsid w:val="00EB5976"/>
    <w:rsid w:val="00EB5B0B"/>
    <w:rsid w:val="00EB5BB5"/>
    <w:rsid w:val="00EB5DD0"/>
    <w:rsid w:val="00EB5DEB"/>
    <w:rsid w:val="00EB6028"/>
    <w:rsid w:val="00EB603A"/>
    <w:rsid w:val="00EB61A7"/>
    <w:rsid w:val="00EB6235"/>
    <w:rsid w:val="00EB62B9"/>
    <w:rsid w:val="00EB62F6"/>
    <w:rsid w:val="00EB634D"/>
    <w:rsid w:val="00EB6408"/>
    <w:rsid w:val="00EB65A4"/>
    <w:rsid w:val="00EB6656"/>
    <w:rsid w:val="00EB6878"/>
    <w:rsid w:val="00EB6885"/>
    <w:rsid w:val="00EB68CF"/>
    <w:rsid w:val="00EB693C"/>
    <w:rsid w:val="00EB69BA"/>
    <w:rsid w:val="00EB6A5A"/>
    <w:rsid w:val="00EB6B6A"/>
    <w:rsid w:val="00EB6B71"/>
    <w:rsid w:val="00EB6BBA"/>
    <w:rsid w:val="00EB6C8F"/>
    <w:rsid w:val="00EB6D4C"/>
    <w:rsid w:val="00EB6DF6"/>
    <w:rsid w:val="00EB6E48"/>
    <w:rsid w:val="00EB6E61"/>
    <w:rsid w:val="00EB6ED4"/>
    <w:rsid w:val="00EB6F0F"/>
    <w:rsid w:val="00EB706D"/>
    <w:rsid w:val="00EB7092"/>
    <w:rsid w:val="00EB71FD"/>
    <w:rsid w:val="00EB7284"/>
    <w:rsid w:val="00EB72CD"/>
    <w:rsid w:val="00EB7352"/>
    <w:rsid w:val="00EB738F"/>
    <w:rsid w:val="00EB76F3"/>
    <w:rsid w:val="00EB7734"/>
    <w:rsid w:val="00EB7776"/>
    <w:rsid w:val="00EB7971"/>
    <w:rsid w:val="00EB7ADC"/>
    <w:rsid w:val="00EB7BC1"/>
    <w:rsid w:val="00EB7C4D"/>
    <w:rsid w:val="00EB7C87"/>
    <w:rsid w:val="00EB7E9D"/>
    <w:rsid w:val="00EB7EF1"/>
    <w:rsid w:val="00EB7F91"/>
    <w:rsid w:val="00EC0054"/>
    <w:rsid w:val="00EC00FE"/>
    <w:rsid w:val="00EC01B4"/>
    <w:rsid w:val="00EC0327"/>
    <w:rsid w:val="00EC039C"/>
    <w:rsid w:val="00EC03C8"/>
    <w:rsid w:val="00EC04E3"/>
    <w:rsid w:val="00EC0644"/>
    <w:rsid w:val="00EC0683"/>
    <w:rsid w:val="00EC06D5"/>
    <w:rsid w:val="00EC075A"/>
    <w:rsid w:val="00EC07DC"/>
    <w:rsid w:val="00EC07E0"/>
    <w:rsid w:val="00EC0874"/>
    <w:rsid w:val="00EC0953"/>
    <w:rsid w:val="00EC0B05"/>
    <w:rsid w:val="00EC0B0E"/>
    <w:rsid w:val="00EC0B50"/>
    <w:rsid w:val="00EC0CF7"/>
    <w:rsid w:val="00EC0D9C"/>
    <w:rsid w:val="00EC0DA9"/>
    <w:rsid w:val="00EC0EE0"/>
    <w:rsid w:val="00EC0FD4"/>
    <w:rsid w:val="00EC10C7"/>
    <w:rsid w:val="00EC1118"/>
    <w:rsid w:val="00EC125A"/>
    <w:rsid w:val="00EC1366"/>
    <w:rsid w:val="00EC1462"/>
    <w:rsid w:val="00EC14CB"/>
    <w:rsid w:val="00EC15A3"/>
    <w:rsid w:val="00EC15F7"/>
    <w:rsid w:val="00EC1621"/>
    <w:rsid w:val="00EC16BD"/>
    <w:rsid w:val="00EC16BF"/>
    <w:rsid w:val="00EC178E"/>
    <w:rsid w:val="00EC189F"/>
    <w:rsid w:val="00EC1932"/>
    <w:rsid w:val="00EC1979"/>
    <w:rsid w:val="00EC19AC"/>
    <w:rsid w:val="00EC1A82"/>
    <w:rsid w:val="00EC1CAE"/>
    <w:rsid w:val="00EC1DAD"/>
    <w:rsid w:val="00EC1E0E"/>
    <w:rsid w:val="00EC1FBC"/>
    <w:rsid w:val="00EC21E1"/>
    <w:rsid w:val="00EC21E4"/>
    <w:rsid w:val="00EC21F3"/>
    <w:rsid w:val="00EC2297"/>
    <w:rsid w:val="00EC22CF"/>
    <w:rsid w:val="00EC236D"/>
    <w:rsid w:val="00EC2660"/>
    <w:rsid w:val="00EC27C4"/>
    <w:rsid w:val="00EC2882"/>
    <w:rsid w:val="00EC29A3"/>
    <w:rsid w:val="00EC2B14"/>
    <w:rsid w:val="00EC2C1D"/>
    <w:rsid w:val="00EC2E98"/>
    <w:rsid w:val="00EC2F2B"/>
    <w:rsid w:val="00EC2FB1"/>
    <w:rsid w:val="00EC3060"/>
    <w:rsid w:val="00EC307C"/>
    <w:rsid w:val="00EC30E3"/>
    <w:rsid w:val="00EC312F"/>
    <w:rsid w:val="00EC327B"/>
    <w:rsid w:val="00EC32A7"/>
    <w:rsid w:val="00EC3472"/>
    <w:rsid w:val="00EC355E"/>
    <w:rsid w:val="00EC3790"/>
    <w:rsid w:val="00EC37C9"/>
    <w:rsid w:val="00EC3816"/>
    <w:rsid w:val="00EC39EF"/>
    <w:rsid w:val="00EC3BCA"/>
    <w:rsid w:val="00EC3CEB"/>
    <w:rsid w:val="00EC3D1D"/>
    <w:rsid w:val="00EC3E7B"/>
    <w:rsid w:val="00EC3E91"/>
    <w:rsid w:val="00EC3F63"/>
    <w:rsid w:val="00EC3F86"/>
    <w:rsid w:val="00EC408E"/>
    <w:rsid w:val="00EC4282"/>
    <w:rsid w:val="00EC4325"/>
    <w:rsid w:val="00EC4340"/>
    <w:rsid w:val="00EC43C6"/>
    <w:rsid w:val="00EC445D"/>
    <w:rsid w:val="00EC44BB"/>
    <w:rsid w:val="00EC45A1"/>
    <w:rsid w:val="00EC46CF"/>
    <w:rsid w:val="00EC4A3F"/>
    <w:rsid w:val="00EC4AD3"/>
    <w:rsid w:val="00EC4B60"/>
    <w:rsid w:val="00EC4F78"/>
    <w:rsid w:val="00EC5078"/>
    <w:rsid w:val="00EC5193"/>
    <w:rsid w:val="00EC51AA"/>
    <w:rsid w:val="00EC51F2"/>
    <w:rsid w:val="00EC5216"/>
    <w:rsid w:val="00EC528B"/>
    <w:rsid w:val="00EC52C3"/>
    <w:rsid w:val="00EC5392"/>
    <w:rsid w:val="00EC5444"/>
    <w:rsid w:val="00EC54BC"/>
    <w:rsid w:val="00EC550D"/>
    <w:rsid w:val="00EC5594"/>
    <w:rsid w:val="00EC55FA"/>
    <w:rsid w:val="00EC56A4"/>
    <w:rsid w:val="00EC5797"/>
    <w:rsid w:val="00EC57F9"/>
    <w:rsid w:val="00EC5823"/>
    <w:rsid w:val="00EC5841"/>
    <w:rsid w:val="00EC5954"/>
    <w:rsid w:val="00EC59E8"/>
    <w:rsid w:val="00EC5C2B"/>
    <w:rsid w:val="00EC5CDD"/>
    <w:rsid w:val="00EC5DAB"/>
    <w:rsid w:val="00EC5DBE"/>
    <w:rsid w:val="00EC5DE8"/>
    <w:rsid w:val="00EC5ECB"/>
    <w:rsid w:val="00EC5EDD"/>
    <w:rsid w:val="00EC5F26"/>
    <w:rsid w:val="00EC5F6A"/>
    <w:rsid w:val="00EC5FB7"/>
    <w:rsid w:val="00EC5FFB"/>
    <w:rsid w:val="00EC6066"/>
    <w:rsid w:val="00EC609B"/>
    <w:rsid w:val="00EC60BF"/>
    <w:rsid w:val="00EC60EF"/>
    <w:rsid w:val="00EC61DF"/>
    <w:rsid w:val="00EC6208"/>
    <w:rsid w:val="00EC6242"/>
    <w:rsid w:val="00EC6256"/>
    <w:rsid w:val="00EC62E5"/>
    <w:rsid w:val="00EC6337"/>
    <w:rsid w:val="00EC6359"/>
    <w:rsid w:val="00EC6429"/>
    <w:rsid w:val="00EC66B7"/>
    <w:rsid w:val="00EC6712"/>
    <w:rsid w:val="00EC6751"/>
    <w:rsid w:val="00EC680B"/>
    <w:rsid w:val="00EC6845"/>
    <w:rsid w:val="00EC68D2"/>
    <w:rsid w:val="00EC68DE"/>
    <w:rsid w:val="00EC6B16"/>
    <w:rsid w:val="00EC6B1E"/>
    <w:rsid w:val="00EC6C2F"/>
    <w:rsid w:val="00EC6D5C"/>
    <w:rsid w:val="00EC6D72"/>
    <w:rsid w:val="00EC6E7A"/>
    <w:rsid w:val="00EC6E98"/>
    <w:rsid w:val="00EC70FC"/>
    <w:rsid w:val="00EC7232"/>
    <w:rsid w:val="00EC7585"/>
    <w:rsid w:val="00EC7810"/>
    <w:rsid w:val="00EC7811"/>
    <w:rsid w:val="00EC7847"/>
    <w:rsid w:val="00EC7ABA"/>
    <w:rsid w:val="00EC7DC9"/>
    <w:rsid w:val="00EC7DE6"/>
    <w:rsid w:val="00ED015F"/>
    <w:rsid w:val="00ED0249"/>
    <w:rsid w:val="00ED029F"/>
    <w:rsid w:val="00ED02A5"/>
    <w:rsid w:val="00ED0408"/>
    <w:rsid w:val="00ED05A1"/>
    <w:rsid w:val="00ED061E"/>
    <w:rsid w:val="00ED0671"/>
    <w:rsid w:val="00ED072D"/>
    <w:rsid w:val="00ED07FE"/>
    <w:rsid w:val="00ED0843"/>
    <w:rsid w:val="00ED0875"/>
    <w:rsid w:val="00ED08A7"/>
    <w:rsid w:val="00ED0944"/>
    <w:rsid w:val="00ED0B28"/>
    <w:rsid w:val="00ED0B31"/>
    <w:rsid w:val="00ED0B37"/>
    <w:rsid w:val="00ED0B42"/>
    <w:rsid w:val="00ED0BF5"/>
    <w:rsid w:val="00ED0CD7"/>
    <w:rsid w:val="00ED0D02"/>
    <w:rsid w:val="00ED0D41"/>
    <w:rsid w:val="00ED0D42"/>
    <w:rsid w:val="00ED0D9B"/>
    <w:rsid w:val="00ED0DA7"/>
    <w:rsid w:val="00ED1116"/>
    <w:rsid w:val="00ED11C5"/>
    <w:rsid w:val="00ED1241"/>
    <w:rsid w:val="00ED13FA"/>
    <w:rsid w:val="00ED1443"/>
    <w:rsid w:val="00ED1459"/>
    <w:rsid w:val="00ED14E9"/>
    <w:rsid w:val="00ED1520"/>
    <w:rsid w:val="00ED15A1"/>
    <w:rsid w:val="00ED1719"/>
    <w:rsid w:val="00ED1763"/>
    <w:rsid w:val="00ED184C"/>
    <w:rsid w:val="00ED1B02"/>
    <w:rsid w:val="00ED1B41"/>
    <w:rsid w:val="00ED1B6C"/>
    <w:rsid w:val="00ED1E1C"/>
    <w:rsid w:val="00ED1F30"/>
    <w:rsid w:val="00ED1FAA"/>
    <w:rsid w:val="00ED1FE8"/>
    <w:rsid w:val="00ED2009"/>
    <w:rsid w:val="00ED205E"/>
    <w:rsid w:val="00ED215D"/>
    <w:rsid w:val="00ED2194"/>
    <w:rsid w:val="00ED2315"/>
    <w:rsid w:val="00ED234B"/>
    <w:rsid w:val="00ED2392"/>
    <w:rsid w:val="00ED243E"/>
    <w:rsid w:val="00ED252C"/>
    <w:rsid w:val="00ED2534"/>
    <w:rsid w:val="00ED26D6"/>
    <w:rsid w:val="00ED27C6"/>
    <w:rsid w:val="00ED2981"/>
    <w:rsid w:val="00ED2B54"/>
    <w:rsid w:val="00ED2C76"/>
    <w:rsid w:val="00ED2C98"/>
    <w:rsid w:val="00ED2D02"/>
    <w:rsid w:val="00ED2D8E"/>
    <w:rsid w:val="00ED2E1D"/>
    <w:rsid w:val="00ED2EF7"/>
    <w:rsid w:val="00ED2FCD"/>
    <w:rsid w:val="00ED309C"/>
    <w:rsid w:val="00ED30AE"/>
    <w:rsid w:val="00ED30E2"/>
    <w:rsid w:val="00ED317F"/>
    <w:rsid w:val="00ED31AC"/>
    <w:rsid w:val="00ED31F4"/>
    <w:rsid w:val="00ED3226"/>
    <w:rsid w:val="00ED326B"/>
    <w:rsid w:val="00ED338C"/>
    <w:rsid w:val="00ED33E2"/>
    <w:rsid w:val="00ED34E9"/>
    <w:rsid w:val="00ED3905"/>
    <w:rsid w:val="00ED3A47"/>
    <w:rsid w:val="00ED3A92"/>
    <w:rsid w:val="00ED3C90"/>
    <w:rsid w:val="00ED3CC8"/>
    <w:rsid w:val="00ED3CE3"/>
    <w:rsid w:val="00ED3D88"/>
    <w:rsid w:val="00ED3F52"/>
    <w:rsid w:val="00ED4070"/>
    <w:rsid w:val="00ED40E1"/>
    <w:rsid w:val="00ED4133"/>
    <w:rsid w:val="00ED417A"/>
    <w:rsid w:val="00ED41BE"/>
    <w:rsid w:val="00ED428E"/>
    <w:rsid w:val="00ED440F"/>
    <w:rsid w:val="00ED441C"/>
    <w:rsid w:val="00ED457C"/>
    <w:rsid w:val="00ED45DC"/>
    <w:rsid w:val="00ED45F6"/>
    <w:rsid w:val="00ED46CB"/>
    <w:rsid w:val="00ED471A"/>
    <w:rsid w:val="00ED4820"/>
    <w:rsid w:val="00ED48B6"/>
    <w:rsid w:val="00ED4989"/>
    <w:rsid w:val="00ED4A16"/>
    <w:rsid w:val="00ED4AE3"/>
    <w:rsid w:val="00ED4B12"/>
    <w:rsid w:val="00ED4D2C"/>
    <w:rsid w:val="00ED4DC5"/>
    <w:rsid w:val="00ED4DC9"/>
    <w:rsid w:val="00ED4F24"/>
    <w:rsid w:val="00ED4F79"/>
    <w:rsid w:val="00ED4F96"/>
    <w:rsid w:val="00ED50FD"/>
    <w:rsid w:val="00ED5196"/>
    <w:rsid w:val="00ED5234"/>
    <w:rsid w:val="00ED5260"/>
    <w:rsid w:val="00ED526C"/>
    <w:rsid w:val="00ED53A5"/>
    <w:rsid w:val="00ED541C"/>
    <w:rsid w:val="00ED54C0"/>
    <w:rsid w:val="00ED5539"/>
    <w:rsid w:val="00ED5560"/>
    <w:rsid w:val="00ED563A"/>
    <w:rsid w:val="00ED56D2"/>
    <w:rsid w:val="00ED56FC"/>
    <w:rsid w:val="00ED5799"/>
    <w:rsid w:val="00ED58EB"/>
    <w:rsid w:val="00ED59E2"/>
    <w:rsid w:val="00ED59E7"/>
    <w:rsid w:val="00ED5A20"/>
    <w:rsid w:val="00ED5A5C"/>
    <w:rsid w:val="00ED5B38"/>
    <w:rsid w:val="00ED5D49"/>
    <w:rsid w:val="00ED5D6E"/>
    <w:rsid w:val="00ED5E5C"/>
    <w:rsid w:val="00ED5E9D"/>
    <w:rsid w:val="00ED5F83"/>
    <w:rsid w:val="00ED6248"/>
    <w:rsid w:val="00ED634F"/>
    <w:rsid w:val="00ED6371"/>
    <w:rsid w:val="00ED643E"/>
    <w:rsid w:val="00ED6770"/>
    <w:rsid w:val="00ED6961"/>
    <w:rsid w:val="00ED6C17"/>
    <w:rsid w:val="00ED6D7E"/>
    <w:rsid w:val="00ED6F1D"/>
    <w:rsid w:val="00ED6FC6"/>
    <w:rsid w:val="00ED7213"/>
    <w:rsid w:val="00ED733C"/>
    <w:rsid w:val="00ED7387"/>
    <w:rsid w:val="00ED73C0"/>
    <w:rsid w:val="00ED7411"/>
    <w:rsid w:val="00ED750A"/>
    <w:rsid w:val="00ED763C"/>
    <w:rsid w:val="00ED77A6"/>
    <w:rsid w:val="00ED77CE"/>
    <w:rsid w:val="00ED79D0"/>
    <w:rsid w:val="00ED79D3"/>
    <w:rsid w:val="00ED7ADF"/>
    <w:rsid w:val="00ED7B55"/>
    <w:rsid w:val="00ED7BE3"/>
    <w:rsid w:val="00ED7C9D"/>
    <w:rsid w:val="00ED7D36"/>
    <w:rsid w:val="00ED7DAD"/>
    <w:rsid w:val="00EE0041"/>
    <w:rsid w:val="00EE00A3"/>
    <w:rsid w:val="00EE030A"/>
    <w:rsid w:val="00EE0572"/>
    <w:rsid w:val="00EE0573"/>
    <w:rsid w:val="00EE0575"/>
    <w:rsid w:val="00EE05BE"/>
    <w:rsid w:val="00EE0718"/>
    <w:rsid w:val="00EE0785"/>
    <w:rsid w:val="00EE07C7"/>
    <w:rsid w:val="00EE0A34"/>
    <w:rsid w:val="00EE0E48"/>
    <w:rsid w:val="00EE10AE"/>
    <w:rsid w:val="00EE1213"/>
    <w:rsid w:val="00EE1237"/>
    <w:rsid w:val="00EE12B0"/>
    <w:rsid w:val="00EE130E"/>
    <w:rsid w:val="00EE1447"/>
    <w:rsid w:val="00EE1499"/>
    <w:rsid w:val="00EE14F5"/>
    <w:rsid w:val="00EE15A4"/>
    <w:rsid w:val="00EE188B"/>
    <w:rsid w:val="00EE194F"/>
    <w:rsid w:val="00EE197A"/>
    <w:rsid w:val="00EE1A67"/>
    <w:rsid w:val="00EE1A99"/>
    <w:rsid w:val="00EE1AF1"/>
    <w:rsid w:val="00EE1B18"/>
    <w:rsid w:val="00EE1B48"/>
    <w:rsid w:val="00EE1B51"/>
    <w:rsid w:val="00EE1BF1"/>
    <w:rsid w:val="00EE1C1E"/>
    <w:rsid w:val="00EE1D7F"/>
    <w:rsid w:val="00EE1E21"/>
    <w:rsid w:val="00EE1E76"/>
    <w:rsid w:val="00EE1EA3"/>
    <w:rsid w:val="00EE1EE8"/>
    <w:rsid w:val="00EE207E"/>
    <w:rsid w:val="00EE209A"/>
    <w:rsid w:val="00EE2210"/>
    <w:rsid w:val="00EE22C0"/>
    <w:rsid w:val="00EE22E9"/>
    <w:rsid w:val="00EE22F1"/>
    <w:rsid w:val="00EE2345"/>
    <w:rsid w:val="00EE237A"/>
    <w:rsid w:val="00EE23F7"/>
    <w:rsid w:val="00EE25A3"/>
    <w:rsid w:val="00EE26DB"/>
    <w:rsid w:val="00EE27AA"/>
    <w:rsid w:val="00EE27BE"/>
    <w:rsid w:val="00EE27EB"/>
    <w:rsid w:val="00EE2A5E"/>
    <w:rsid w:val="00EE2B77"/>
    <w:rsid w:val="00EE2C8B"/>
    <w:rsid w:val="00EE2DE6"/>
    <w:rsid w:val="00EE2E87"/>
    <w:rsid w:val="00EE2F16"/>
    <w:rsid w:val="00EE2F8A"/>
    <w:rsid w:val="00EE32FC"/>
    <w:rsid w:val="00EE337C"/>
    <w:rsid w:val="00EE34AD"/>
    <w:rsid w:val="00EE350A"/>
    <w:rsid w:val="00EE356E"/>
    <w:rsid w:val="00EE3570"/>
    <w:rsid w:val="00EE3615"/>
    <w:rsid w:val="00EE3675"/>
    <w:rsid w:val="00EE38D8"/>
    <w:rsid w:val="00EE3912"/>
    <w:rsid w:val="00EE3ABF"/>
    <w:rsid w:val="00EE3B3A"/>
    <w:rsid w:val="00EE3B8A"/>
    <w:rsid w:val="00EE3BFF"/>
    <w:rsid w:val="00EE3C78"/>
    <w:rsid w:val="00EE3CC1"/>
    <w:rsid w:val="00EE3CEE"/>
    <w:rsid w:val="00EE3DB2"/>
    <w:rsid w:val="00EE3FEF"/>
    <w:rsid w:val="00EE4007"/>
    <w:rsid w:val="00EE4026"/>
    <w:rsid w:val="00EE4039"/>
    <w:rsid w:val="00EE4078"/>
    <w:rsid w:val="00EE4290"/>
    <w:rsid w:val="00EE4291"/>
    <w:rsid w:val="00EE4412"/>
    <w:rsid w:val="00EE4416"/>
    <w:rsid w:val="00EE442E"/>
    <w:rsid w:val="00EE4502"/>
    <w:rsid w:val="00EE45B3"/>
    <w:rsid w:val="00EE4696"/>
    <w:rsid w:val="00EE46EA"/>
    <w:rsid w:val="00EE475E"/>
    <w:rsid w:val="00EE4851"/>
    <w:rsid w:val="00EE4864"/>
    <w:rsid w:val="00EE49A6"/>
    <w:rsid w:val="00EE4B84"/>
    <w:rsid w:val="00EE4C42"/>
    <w:rsid w:val="00EE4C4A"/>
    <w:rsid w:val="00EE4E1F"/>
    <w:rsid w:val="00EE4FE9"/>
    <w:rsid w:val="00EE51AA"/>
    <w:rsid w:val="00EE527F"/>
    <w:rsid w:val="00EE535F"/>
    <w:rsid w:val="00EE53E6"/>
    <w:rsid w:val="00EE541B"/>
    <w:rsid w:val="00EE5484"/>
    <w:rsid w:val="00EE54F3"/>
    <w:rsid w:val="00EE54F4"/>
    <w:rsid w:val="00EE5562"/>
    <w:rsid w:val="00EE5606"/>
    <w:rsid w:val="00EE562F"/>
    <w:rsid w:val="00EE57AC"/>
    <w:rsid w:val="00EE58D8"/>
    <w:rsid w:val="00EE5983"/>
    <w:rsid w:val="00EE5A17"/>
    <w:rsid w:val="00EE5C64"/>
    <w:rsid w:val="00EE5C8A"/>
    <w:rsid w:val="00EE5D9B"/>
    <w:rsid w:val="00EE5DEF"/>
    <w:rsid w:val="00EE5E0F"/>
    <w:rsid w:val="00EE5E76"/>
    <w:rsid w:val="00EE60CD"/>
    <w:rsid w:val="00EE61A7"/>
    <w:rsid w:val="00EE624C"/>
    <w:rsid w:val="00EE6253"/>
    <w:rsid w:val="00EE65F1"/>
    <w:rsid w:val="00EE65FA"/>
    <w:rsid w:val="00EE6671"/>
    <w:rsid w:val="00EE674C"/>
    <w:rsid w:val="00EE6808"/>
    <w:rsid w:val="00EE6895"/>
    <w:rsid w:val="00EE68B9"/>
    <w:rsid w:val="00EE68CA"/>
    <w:rsid w:val="00EE69F7"/>
    <w:rsid w:val="00EE6BF4"/>
    <w:rsid w:val="00EE6C59"/>
    <w:rsid w:val="00EE6D5F"/>
    <w:rsid w:val="00EE6E2A"/>
    <w:rsid w:val="00EE6EB8"/>
    <w:rsid w:val="00EE70A2"/>
    <w:rsid w:val="00EE71DA"/>
    <w:rsid w:val="00EE7250"/>
    <w:rsid w:val="00EE7374"/>
    <w:rsid w:val="00EE73B0"/>
    <w:rsid w:val="00EE7426"/>
    <w:rsid w:val="00EE74AF"/>
    <w:rsid w:val="00EE752A"/>
    <w:rsid w:val="00EE75C6"/>
    <w:rsid w:val="00EE7666"/>
    <w:rsid w:val="00EE766A"/>
    <w:rsid w:val="00EE766E"/>
    <w:rsid w:val="00EE769A"/>
    <w:rsid w:val="00EE7704"/>
    <w:rsid w:val="00EE7741"/>
    <w:rsid w:val="00EE7744"/>
    <w:rsid w:val="00EE7753"/>
    <w:rsid w:val="00EE779F"/>
    <w:rsid w:val="00EE7847"/>
    <w:rsid w:val="00EE78A1"/>
    <w:rsid w:val="00EE78A8"/>
    <w:rsid w:val="00EE78B3"/>
    <w:rsid w:val="00EE78D8"/>
    <w:rsid w:val="00EE78E6"/>
    <w:rsid w:val="00EE7A3B"/>
    <w:rsid w:val="00EE7B24"/>
    <w:rsid w:val="00EE7BFD"/>
    <w:rsid w:val="00EE7C56"/>
    <w:rsid w:val="00EE7C60"/>
    <w:rsid w:val="00EE7CA1"/>
    <w:rsid w:val="00EE7D35"/>
    <w:rsid w:val="00EE7DC1"/>
    <w:rsid w:val="00EE7DCF"/>
    <w:rsid w:val="00EE7EC8"/>
    <w:rsid w:val="00EE7FDF"/>
    <w:rsid w:val="00EF0045"/>
    <w:rsid w:val="00EF018A"/>
    <w:rsid w:val="00EF01DA"/>
    <w:rsid w:val="00EF01E3"/>
    <w:rsid w:val="00EF0207"/>
    <w:rsid w:val="00EF0355"/>
    <w:rsid w:val="00EF03E1"/>
    <w:rsid w:val="00EF05FD"/>
    <w:rsid w:val="00EF070B"/>
    <w:rsid w:val="00EF0781"/>
    <w:rsid w:val="00EF0788"/>
    <w:rsid w:val="00EF084F"/>
    <w:rsid w:val="00EF08B9"/>
    <w:rsid w:val="00EF0B16"/>
    <w:rsid w:val="00EF0B71"/>
    <w:rsid w:val="00EF0CDE"/>
    <w:rsid w:val="00EF0E9D"/>
    <w:rsid w:val="00EF0EBC"/>
    <w:rsid w:val="00EF0EDB"/>
    <w:rsid w:val="00EF10F7"/>
    <w:rsid w:val="00EF1185"/>
    <w:rsid w:val="00EF12A9"/>
    <w:rsid w:val="00EF12E9"/>
    <w:rsid w:val="00EF145E"/>
    <w:rsid w:val="00EF1546"/>
    <w:rsid w:val="00EF15FC"/>
    <w:rsid w:val="00EF16FE"/>
    <w:rsid w:val="00EF1768"/>
    <w:rsid w:val="00EF181C"/>
    <w:rsid w:val="00EF18FD"/>
    <w:rsid w:val="00EF1932"/>
    <w:rsid w:val="00EF1AD4"/>
    <w:rsid w:val="00EF1BEF"/>
    <w:rsid w:val="00EF1CF0"/>
    <w:rsid w:val="00EF1DC0"/>
    <w:rsid w:val="00EF1E14"/>
    <w:rsid w:val="00EF1EAF"/>
    <w:rsid w:val="00EF1ECD"/>
    <w:rsid w:val="00EF1FFB"/>
    <w:rsid w:val="00EF2129"/>
    <w:rsid w:val="00EF2185"/>
    <w:rsid w:val="00EF227B"/>
    <w:rsid w:val="00EF2350"/>
    <w:rsid w:val="00EF23C2"/>
    <w:rsid w:val="00EF2455"/>
    <w:rsid w:val="00EF246E"/>
    <w:rsid w:val="00EF24B8"/>
    <w:rsid w:val="00EF25E6"/>
    <w:rsid w:val="00EF295D"/>
    <w:rsid w:val="00EF2A81"/>
    <w:rsid w:val="00EF2AA3"/>
    <w:rsid w:val="00EF2B2E"/>
    <w:rsid w:val="00EF2B6D"/>
    <w:rsid w:val="00EF2BBB"/>
    <w:rsid w:val="00EF2CBE"/>
    <w:rsid w:val="00EF2D24"/>
    <w:rsid w:val="00EF2E04"/>
    <w:rsid w:val="00EF300C"/>
    <w:rsid w:val="00EF3038"/>
    <w:rsid w:val="00EF310A"/>
    <w:rsid w:val="00EF3117"/>
    <w:rsid w:val="00EF312C"/>
    <w:rsid w:val="00EF325F"/>
    <w:rsid w:val="00EF32C2"/>
    <w:rsid w:val="00EF347C"/>
    <w:rsid w:val="00EF3674"/>
    <w:rsid w:val="00EF3716"/>
    <w:rsid w:val="00EF3737"/>
    <w:rsid w:val="00EF3983"/>
    <w:rsid w:val="00EF39ED"/>
    <w:rsid w:val="00EF3A0E"/>
    <w:rsid w:val="00EF3A41"/>
    <w:rsid w:val="00EF3A44"/>
    <w:rsid w:val="00EF3A47"/>
    <w:rsid w:val="00EF3B7F"/>
    <w:rsid w:val="00EF3B97"/>
    <w:rsid w:val="00EF3C2A"/>
    <w:rsid w:val="00EF40C7"/>
    <w:rsid w:val="00EF4163"/>
    <w:rsid w:val="00EF4399"/>
    <w:rsid w:val="00EF44D6"/>
    <w:rsid w:val="00EF48D1"/>
    <w:rsid w:val="00EF4B2D"/>
    <w:rsid w:val="00EF4B57"/>
    <w:rsid w:val="00EF4CA7"/>
    <w:rsid w:val="00EF4CDB"/>
    <w:rsid w:val="00EF4D22"/>
    <w:rsid w:val="00EF4F82"/>
    <w:rsid w:val="00EF4FF6"/>
    <w:rsid w:val="00EF4FF9"/>
    <w:rsid w:val="00EF503B"/>
    <w:rsid w:val="00EF512C"/>
    <w:rsid w:val="00EF517D"/>
    <w:rsid w:val="00EF51C5"/>
    <w:rsid w:val="00EF51D0"/>
    <w:rsid w:val="00EF53E5"/>
    <w:rsid w:val="00EF53EA"/>
    <w:rsid w:val="00EF5468"/>
    <w:rsid w:val="00EF54FB"/>
    <w:rsid w:val="00EF552F"/>
    <w:rsid w:val="00EF55DC"/>
    <w:rsid w:val="00EF5603"/>
    <w:rsid w:val="00EF562E"/>
    <w:rsid w:val="00EF5672"/>
    <w:rsid w:val="00EF58EA"/>
    <w:rsid w:val="00EF58F4"/>
    <w:rsid w:val="00EF593B"/>
    <w:rsid w:val="00EF59D1"/>
    <w:rsid w:val="00EF5A41"/>
    <w:rsid w:val="00EF5B00"/>
    <w:rsid w:val="00EF5DE5"/>
    <w:rsid w:val="00EF5DEE"/>
    <w:rsid w:val="00EF5EB5"/>
    <w:rsid w:val="00EF5ED4"/>
    <w:rsid w:val="00EF60EB"/>
    <w:rsid w:val="00EF6108"/>
    <w:rsid w:val="00EF615D"/>
    <w:rsid w:val="00EF6183"/>
    <w:rsid w:val="00EF61A2"/>
    <w:rsid w:val="00EF62B6"/>
    <w:rsid w:val="00EF6331"/>
    <w:rsid w:val="00EF6355"/>
    <w:rsid w:val="00EF6362"/>
    <w:rsid w:val="00EF63B1"/>
    <w:rsid w:val="00EF655C"/>
    <w:rsid w:val="00EF6592"/>
    <w:rsid w:val="00EF6660"/>
    <w:rsid w:val="00EF667A"/>
    <w:rsid w:val="00EF66E8"/>
    <w:rsid w:val="00EF66FF"/>
    <w:rsid w:val="00EF6753"/>
    <w:rsid w:val="00EF67B5"/>
    <w:rsid w:val="00EF683F"/>
    <w:rsid w:val="00EF691A"/>
    <w:rsid w:val="00EF69C5"/>
    <w:rsid w:val="00EF6A0A"/>
    <w:rsid w:val="00EF6A3C"/>
    <w:rsid w:val="00EF6A9D"/>
    <w:rsid w:val="00EF6B91"/>
    <w:rsid w:val="00EF6CCD"/>
    <w:rsid w:val="00EF6CE9"/>
    <w:rsid w:val="00EF6D37"/>
    <w:rsid w:val="00EF6D58"/>
    <w:rsid w:val="00EF6E59"/>
    <w:rsid w:val="00EF7049"/>
    <w:rsid w:val="00EF706E"/>
    <w:rsid w:val="00EF7093"/>
    <w:rsid w:val="00EF71D4"/>
    <w:rsid w:val="00EF72D6"/>
    <w:rsid w:val="00EF7334"/>
    <w:rsid w:val="00EF7461"/>
    <w:rsid w:val="00EF7497"/>
    <w:rsid w:val="00EF74E0"/>
    <w:rsid w:val="00EF7616"/>
    <w:rsid w:val="00EF76BE"/>
    <w:rsid w:val="00EF77AF"/>
    <w:rsid w:val="00EF7899"/>
    <w:rsid w:val="00EF78A1"/>
    <w:rsid w:val="00EF7922"/>
    <w:rsid w:val="00EF7A0F"/>
    <w:rsid w:val="00EF7A52"/>
    <w:rsid w:val="00EF7BC3"/>
    <w:rsid w:val="00EF7CF9"/>
    <w:rsid w:val="00EF7DB9"/>
    <w:rsid w:val="00EF7E10"/>
    <w:rsid w:val="00F001A4"/>
    <w:rsid w:val="00F001A5"/>
    <w:rsid w:val="00F00399"/>
    <w:rsid w:val="00F003F2"/>
    <w:rsid w:val="00F00477"/>
    <w:rsid w:val="00F004CB"/>
    <w:rsid w:val="00F00528"/>
    <w:rsid w:val="00F0054A"/>
    <w:rsid w:val="00F005EB"/>
    <w:rsid w:val="00F00607"/>
    <w:rsid w:val="00F00634"/>
    <w:rsid w:val="00F0065C"/>
    <w:rsid w:val="00F0074F"/>
    <w:rsid w:val="00F0082D"/>
    <w:rsid w:val="00F008DC"/>
    <w:rsid w:val="00F00955"/>
    <w:rsid w:val="00F00A04"/>
    <w:rsid w:val="00F00A4A"/>
    <w:rsid w:val="00F00AD4"/>
    <w:rsid w:val="00F00AED"/>
    <w:rsid w:val="00F00B5B"/>
    <w:rsid w:val="00F00CC2"/>
    <w:rsid w:val="00F00CE5"/>
    <w:rsid w:val="00F00D06"/>
    <w:rsid w:val="00F00E96"/>
    <w:rsid w:val="00F00EE0"/>
    <w:rsid w:val="00F010DB"/>
    <w:rsid w:val="00F0121C"/>
    <w:rsid w:val="00F012CD"/>
    <w:rsid w:val="00F01335"/>
    <w:rsid w:val="00F01417"/>
    <w:rsid w:val="00F01436"/>
    <w:rsid w:val="00F01570"/>
    <w:rsid w:val="00F0157C"/>
    <w:rsid w:val="00F015AB"/>
    <w:rsid w:val="00F01606"/>
    <w:rsid w:val="00F01738"/>
    <w:rsid w:val="00F017A7"/>
    <w:rsid w:val="00F0190E"/>
    <w:rsid w:val="00F0197E"/>
    <w:rsid w:val="00F0199A"/>
    <w:rsid w:val="00F01C3F"/>
    <w:rsid w:val="00F01CAC"/>
    <w:rsid w:val="00F01D25"/>
    <w:rsid w:val="00F01E1A"/>
    <w:rsid w:val="00F01F46"/>
    <w:rsid w:val="00F02095"/>
    <w:rsid w:val="00F020A5"/>
    <w:rsid w:val="00F020CF"/>
    <w:rsid w:val="00F02194"/>
    <w:rsid w:val="00F022D2"/>
    <w:rsid w:val="00F023A4"/>
    <w:rsid w:val="00F02456"/>
    <w:rsid w:val="00F0250A"/>
    <w:rsid w:val="00F02578"/>
    <w:rsid w:val="00F025C0"/>
    <w:rsid w:val="00F026C3"/>
    <w:rsid w:val="00F027F6"/>
    <w:rsid w:val="00F02849"/>
    <w:rsid w:val="00F0284F"/>
    <w:rsid w:val="00F02A0B"/>
    <w:rsid w:val="00F02A30"/>
    <w:rsid w:val="00F02E4A"/>
    <w:rsid w:val="00F02F6C"/>
    <w:rsid w:val="00F03093"/>
    <w:rsid w:val="00F030F2"/>
    <w:rsid w:val="00F0311F"/>
    <w:rsid w:val="00F03189"/>
    <w:rsid w:val="00F031BB"/>
    <w:rsid w:val="00F031E6"/>
    <w:rsid w:val="00F032C6"/>
    <w:rsid w:val="00F032DE"/>
    <w:rsid w:val="00F03321"/>
    <w:rsid w:val="00F03395"/>
    <w:rsid w:val="00F033CF"/>
    <w:rsid w:val="00F03471"/>
    <w:rsid w:val="00F036B9"/>
    <w:rsid w:val="00F03848"/>
    <w:rsid w:val="00F03916"/>
    <w:rsid w:val="00F03972"/>
    <w:rsid w:val="00F039CC"/>
    <w:rsid w:val="00F03C40"/>
    <w:rsid w:val="00F03D9F"/>
    <w:rsid w:val="00F03DEB"/>
    <w:rsid w:val="00F03FCD"/>
    <w:rsid w:val="00F040ED"/>
    <w:rsid w:val="00F04113"/>
    <w:rsid w:val="00F041B1"/>
    <w:rsid w:val="00F041EE"/>
    <w:rsid w:val="00F0421F"/>
    <w:rsid w:val="00F04478"/>
    <w:rsid w:val="00F04499"/>
    <w:rsid w:val="00F04582"/>
    <w:rsid w:val="00F045E0"/>
    <w:rsid w:val="00F04672"/>
    <w:rsid w:val="00F0468D"/>
    <w:rsid w:val="00F0477D"/>
    <w:rsid w:val="00F047B5"/>
    <w:rsid w:val="00F047D5"/>
    <w:rsid w:val="00F047D8"/>
    <w:rsid w:val="00F0498D"/>
    <w:rsid w:val="00F049B8"/>
    <w:rsid w:val="00F04A97"/>
    <w:rsid w:val="00F04B4C"/>
    <w:rsid w:val="00F04C1F"/>
    <w:rsid w:val="00F04C39"/>
    <w:rsid w:val="00F04DB5"/>
    <w:rsid w:val="00F04E9E"/>
    <w:rsid w:val="00F04EA0"/>
    <w:rsid w:val="00F04EA4"/>
    <w:rsid w:val="00F05078"/>
    <w:rsid w:val="00F0514B"/>
    <w:rsid w:val="00F051D0"/>
    <w:rsid w:val="00F05239"/>
    <w:rsid w:val="00F0528D"/>
    <w:rsid w:val="00F05494"/>
    <w:rsid w:val="00F054CC"/>
    <w:rsid w:val="00F05539"/>
    <w:rsid w:val="00F0553D"/>
    <w:rsid w:val="00F05602"/>
    <w:rsid w:val="00F0574D"/>
    <w:rsid w:val="00F057C2"/>
    <w:rsid w:val="00F05935"/>
    <w:rsid w:val="00F059D5"/>
    <w:rsid w:val="00F05A10"/>
    <w:rsid w:val="00F05C0A"/>
    <w:rsid w:val="00F05CEC"/>
    <w:rsid w:val="00F05CF1"/>
    <w:rsid w:val="00F05D3F"/>
    <w:rsid w:val="00F05D4E"/>
    <w:rsid w:val="00F05DF3"/>
    <w:rsid w:val="00F05E72"/>
    <w:rsid w:val="00F05EBF"/>
    <w:rsid w:val="00F05F14"/>
    <w:rsid w:val="00F05F58"/>
    <w:rsid w:val="00F05FCA"/>
    <w:rsid w:val="00F06035"/>
    <w:rsid w:val="00F0611D"/>
    <w:rsid w:val="00F06284"/>
    <w:rsid w:val="00F06441"/>
    <w:rsid w:val="00F06490"/>
    <w:rsid w:val="00F064D4"/>
    <w:rsid w:val="00F0660E"/>
    <w:rsid w:val="00F067D3"/>
    <w:rsid w:val="00F06856"/>
    <w:rsid w:val="00F0685F"/>
    <w:rsid w:val="00F0686E"/>
    <w:rsid w:val="00F06951"/>
    <w:rsid w:val="00F06A20"/>
    <w:rsid w:val="00F06B2C"/>
    <w:rsid w:val="00F06D7A"/>
    <w:rsid w:val="00F06D8A"/>
    <w:rsid w:val="00F06DFE"/>
    <w:rsid w:val="00F0711E"/>
    <w:rsid w:val="00F071A6"/>
    <w:rsid w:val="00F072BB"/>
    <w:rsid w:val="00F07320"/>
    <w:rsid w:val="00F0740C"/>
    <w:rsid w:val="00F07479"/>
    <w:rsid w:val="00F075EE"/>
    <w:rsid w:val="00F07621"/>
    <w:rsid w:val="00F07694"/>
    <w:rsid w:val="00F07763"/>
    <w:rsid w:val="00F078C2"/>
    <w:rsid w:val="00F07B54"/>
    <w:rsid w:val="00F07B84"/>
    <w:rsid w:val="00F07BC5"/>
    <w:rsid w:val="00F07C90"/>
    <w:rsid w:val="00F07D1B"/>
    <w:rsid w:val="00F07D4E"/>
    <w:rsid w:val="00F07E10"/>
    <w:rsid w:val="00F07E7B"/>
    <w:rsid w:val="00F07EBA"/>
    <w:rsid w:val="00F07EC2"/>
    <w:rsid w:val="00F07EEE"/>
    <w:rsid w:val="00F07F2B"/>
    <w:rsid w:val="00F1000C"/>
    <w:rsid w:val="00F10087"/>
    <w:rsid w:val="00F10197"/>
    <w:rsid w:val="00F101DA"/>
    <w:rsid w:val="00F10232"/>
    <w:rsid w:val="00F10239"/>
    <w:rsid w:val="00F102AD"/>
    <w:rsid w:val="00F10312"/>
    <w:rsid w:val="00F1032A"/>
    <w:rsid w:val="00F103AC"/>
    <w:rsid w:val="00F10439"/>
    <w:rsid w:val="00F1049F"/>
    <w:rsid w:val="00F104B5"/>
    <w:rsid w:val="00F1050E"/>
    <w:rsid w:val="00F105F7"/>
    <w:rsid w:val="00F106DA"/>
    <w:rsid w:val="00F107E9"/>
    <w:rsid w:val="00F1083F"/>
    <w:rsid w:val="00F108B9"/>
    <w:rsid w:val="00F1094B"/>
    <w:rsid w:val="00F10ADF"/>
    <w:rsid w:val="00F10C48"/>
    <w:rsid w:val="00F10CCF"/>
    <w:rsid w:val="00F10CEF"/>
    <w:rsid w:val="00F10D05"/>
    <w:rsid w:val="00F10E0C"/>
    <w:rsid w:val="00F10F23"/>
    <w:rsid w:val="00F110FB"/>
    <w:rsid w:val="00F113BF"/>
    <w:rsid w:val="00F11A00"/>
    <w:rsid w:val="00F11A63"/>
    <w:rsid w:val="00F11A90"/>
    <w:rsid w:val="00F11C4D"/>
    <w:rsid w:val="00F11C79"/>
    <w:rsid w:val="00F11CBB"/>
    <w:rsid w:val="00F11E54"/>
    <w:rsid w:val="00F11F14"/>
    <w:rsid w:val="00F12006"/>
    <w:rsid w:val="00F1218A"/>
    <w:rsid w:val="00F12212"/>
    <w:rsid w:val="00F123CA"/>
    <w:rsid w:val="00F123D5"/>
    <w:rsid w:val="00F1242D"/>
    <w:rsid w:val="00F124EA"/>
    <w:rsid w:val="00F1250C"/>
    <w:rsid w:val="00F12549"/>
    <w:rsid w:val="00F12585"/>
    <w:rsid w:val="00F12649"/>
    <w:rsid w:val="00F12684"/>
    <w:rsid w:val="00F126D8"/>
    <w:rsid w:val="00F128C6"/>
    <w:rsid w:val="00F1296F"/>
    <w:rsid w:val="00F12970"/>
    <w:rsid w:val="00F12995"/>
    <w:rsid w:val="00F12A22"/>
    <w:rsid w:val="00F12B23"/>
    <w:rsid w:val="00F12BDA"/>
    <w:rsid w:val="00F12C15"/>
    <w:rsid w:val="00F12CB5"/>
    <w:rsid w:val="00F12CE3"/>
    <w:rsid w:val="00F12D40"/>
    <w:rsid w:val="00F12F8C"/>
    <w:rsid w:val="00F12F8E"/>
    <w:rsid w:val="00F12F92"/>
    <w:rsid w:val="00F1301C"/>
    <w:rsid w:val="00F13078"/>
    <w:rsid w:val="00F130B5"/>
    <w:rsid w:val="00F13427"/>
    <w:rsid w:val="00F134C6"/>
    <w:rsid w:val="00F135A5"/>
    <w:rsid w:val="00F13693"/>
    <w:rsid w:val="00F1389F"/>
    <w:rsid w:val="00F138FA"/>
    <w:rsid w:val="00F13B42"/>
    <w:rsid w:val="00F13CCE"/>
    <w:rsid w:val="00F13EA9"/>
    <w:rsid w:val="00F13FFA"/>
    <w:rsid w:val="00F142E8"/>
    <w:rsid w:val="00F14362"/>
    <w:rsid w:val="00F143B3"/>
    <w:rsid w:val="00F14443"/>
    <w:rsid w:val="00F14555"/>
    <w:rsid w:val="00F1457F"/>
    <w:rsid w:val="00F14688"/>
    <w:rsid w:val="00F1473F"/>
    <w:rsid w:val="00F1488B"/>
    <w:rsid w:val="00F1491B"/>
    <w:rsid w:val="00F1491D"/>
    <w:rsid w:val="00F149D1"/>
    <w:rsid w:val="00F14A44"/>
    <w:rsid w:val="00F14C4B"/>
    <w:rsid w:val="00F14DE4"/>
    <w:rsid w:val="00F14EB6"/>
    <w:rsid w:val="00F14F82"/>
    <w:rsid w:val="00F14FAF"/>
    <w:rsid w:val="00F1506B"/>
    <w:rsid w:val="00F15255"/>
    <w:rsid w:val="00F15291"/>
    <w:rsid w:val="00F15304"/>
    <w:rsid w:val="00F15351"/>
    <w:rsid w:val="00F1537F"/>
    <w:rsid w:val="00F15616"/>
    <w:rsid w:val="00F1561A"/>
    <w:rsid w:val="00F1568D"/>
    <w:rsid w:val="00F1570D"/>
    <w:rsid w:val="00F1576F"/>
    <w:rsid w:val="00F157B5"/>
    <w:rsid w:val="00F15857"/>
    <w:rsid w:val="00F15963"/>
    <w:rsid w:val="00F159F6"/>
    <w:rsid w:val="00F15A15"/>
    <w:rsid w:val="00F15A6B"/>
    <w:rsid w:val="00F15AD4"/>
    <w:rsid w:val="00F15BC1"/>
    <w:rsid w:val="00F15BF9"/>
    <w:rsid w:val="00F15D4F"/>
    <w:rsid w:val="00F15ED5"/>
    <w:rsid w:val="00F15F09"/>
    <w:rsid w:val="00F15F4A"/>
    <w:rsid w:val="00F15FC8"/>
    <w:rsid w:val="00F16108"/>
    <w:rsid w:val="00F1613B"/>
    <w:rsid w:val="00F1619C"/>
    <w:rsid w:val="00F163F3"/>
    <w:rsid w:val="00F16405"/>
    <w:rsid w:val="00F1642D"/>
    <w:rsid w:val="00F16577"/>
    <w:rsid w:val="00F167B1"/>
    <w:rsid w:val="00F16983"/>
    <w:rsid w:val="00F169A2"/>
    <w:rsid w:val="00F169E8"/>
    <w:rsid w:val="00F16ABA"/>
    <w:rsid w:val="00F16AC4"/>
    <w:rsid w:val="00F16B91"/>
    <w:rsid w:val="00F16BC5"/>
    <w:rsid w:val="00F16D5B"/>
    <w:rsid w:val="00F16D61"/>
    <w:rsid w:val="00F16DDE"/>
    <w:rsid w:val="00F16E97"/>
    <w:rsid w:val="00F17018"/>
    <w:rsid w:val="00F17085"/>
    <w:rsid w:val="00F1713F"/>
    <w:rsid w:val="00F17501"/>
    <w:rsid w:val="00F175DF"/>
    <w:rsid w:val="00F175F1"/>
    <w:rsid w:val="00F17641"/>
    <w:rsid w:val="00F1769A"/>
    <w:rsid w:val="00F176B9"/>
    <w:rsid w:val="00F17846"/>
    <w:rsid w:val="00F17855"/>
    <w:rsid w:val="00F1787D"/>
    <w:rsid w:val="00F179CC"/>
    <w:rsid w:val="00F179ED"/>
    <w:rsid w:val="00F17C00"/>
    <w:rsid w:val="00F17E3C"/>
    <w:rsid w:val="00F17F7F"/>
    <w:rsid w:val="00F17FA2"/>
    <w:rsid w:val="00F20020"/>
    <w:rsid w:val="00F200B7"/>
    <w:rsid w:val="00F20526"/>
    <w:rsid w:val="00F2054B"/>
    <w:rsid w:val="00F206EC"/>
    <w:rsid w:val="00F20731"/>
    <w:rsid w:val="00F2079E"/>
    <w:rsid w:val="00F207EA"/>
    <w:rsid w:val="00F20918"/>
    <w:rsid w:val="00F209E4"/>
    <w:rsid w:val="00F20A2C"/>
    <w:rsid w:val="00F20AA7"/>
    <w:rsid w:val="00F20AB6"/>
    <w:rsid w:val="00F20B3B"/>
    <w:rsid w:val="00F20B7A"/>
    <w:rsid w:val="00F20C60"/>
    <w:rsid w:val="00F20CD8"/>
    <w:rsid w:val="00F20CFA"/>
    <w:rsid w:val="00F20DD3"/>
    <w:rsid w:val="00F20DFD"/>
    <w:rsid w:val="00F20EBE"/>
    <w:rsid w:val="00F20F8A"/>
    <w:rsid w:val="00F21121"/>
    <w:rsid w:val="00F2114A"/>
    <w:rsid w:val="00F211AA"/>
    <w:rsid w:val="00F21252"/>
    <w:rsid w:val="00F212F5"/>
    <w:rsid w:val="00F21373"/>
    <w:rsid w:val="00F2166A"/>
    <w:rsid w:val="00F21679"/>
    <w:rsid w:val="00F216F4"/>
    <w:rsid w:val="00F2172D"/>
    <w:rsid w:val="00F217EF"/>
    <w:rsid w:val="00F21862"/>
    <w:rsid w:val="00F218B8"/>
    <w:rsid w:val="00F218D9"/>
    <w:rsid w:val="00F2197F"/>
    <w:rsid w:val="00F219E4"/>
    <w:rsid w:val="00F21BAE"/>
    <w:rsid w:val="00F21C3C"/>
    <w:rsid w:val="00F21D3C"/>
    <w:rsid w:val="00F21D43"/>
    <w:rsid w:val="00F21E9B"/>
    <w:rsid w:val="00F21EEE"/>
    <w:rsid w:val="00F2203C"/>
    <w:rsid w:val="00F22080"/>
    <w:rsid w:val="00F220E2"/>
    <w:rsid w:val="00F2256B"/>
    <w:rsid w:val="00F225D8"/>
    <w:rsid w:val="00F226AE"/>
    <w:rsid w:val="00F229F5"/>
    <w:rsid w:val="00F22A56"/>
    <w:rsid w:val="00F22AF8"/>
    <w:rsid w:val="00F22B35"/>
    <w:rsid w:val="00F22CFE"/>
    <w:rsid w:val="00F22E3D"/>
    <w:rsid w:val="00F22E5F"/>
    <w:rsid w:val="00F22F2E"/>
    <w:rsid w:val="00F22F9C"/>
    <w:rsid w:val="00F22FB8"/>
    <w:rsid w:val="00F230DB"/>
    <w:rsid w:val="00F2323A"/>
    <w:rsid w:val="00F23382"/>
    <w:rsid w:val="00F235D0"/>
    <w:rsid w:val="00F236A6"/>
    <w:rsid w:val="00F23710"/>
    <w:rsid w:val="00F237CE"/>
    <w:rsid w:val="00F23800"/>
    <w:rsid w:val="00F238DF"/>
    <w:rsid w:val="00F2397F"/>
    <w:rsid w:val="00F23989"/>
    <w:rsid w:val="00F23BD2"/>
    <w:rsid w:val="00F23D4E"/>
    <w:rsid w:val="00F23D6B"/>
    <w:rsid w:val="00F23F19"/>
    <w:rsid w:val="00F23F81"/>
    <w:rsid w:val="00F24083"/>
    <w:rsid w:val="00F243F1"/>
    <w:rsid w:val="00F24436"/>
    <w:rsid w:val="00F24512"/>
    <w:rsid w:val="00F24535"/>
    <w:rsid w:val="00F245FE"/>
    <w:rsid w:val="00F24629"/>
    <w:rsid w:val="00F246BC"/>
    <w:rsid w:val="00F247BF"/>
    <w:rsid w:val="00F2481F"/>
    <w:rsid w:val="00F24832"/>
    <w:rsid w:val="00F248BE"/>
    <w:rsid w:val="00F248FE"/>
    <w:rsid w:val="00F24936"/>
    <w:rsid w:val="00F24A0A"/>
    <w:rsid w:val="00F24BBE"/>
    <w:rsid w:val="00F24C44"/>
    <w:rsid w:val="00F24CB6"/>
    <w:rsid w:val="00F24E43"/>
    <w:rsid w:val="00F24F08"/>
    <w:rsid w:val="00F24F44"/>
    <w:rsid w:val="00F2511B"/>
    <w:rsid w:val="00F25376"/>
    <w:rsid w:val="00F25379"/>
    <w:rsid w:val="00F25405"/>
    <w:rsid w:val="00F254D4"/>
    <w:rsid w:val="00F2552D"/>
    <w:rsid w:val="00F255ED"/>
    <w:rsid w:val="00F25608"/>
    <w:rsid w:val="00F25671"/>
    <w:rsid w:val="00F25735"/>
    <w:rsid w:val="00F25738"/>
    <w:rsid w:val="00F2578C"/>
    <w:rsid w:val="00F25856"/>
    <w:rsid w:val="00F25884"/>
    <w:rsid w:val="00F259BF"/>
    <w:rsid w:val="00F25BC9"/>
    <w:rsid w:val="00F25CA4"/>
    <w:rsid w:val="00F25DE1"/>
    <w:rsid w:val="00F25FF3"/>
    <w:rsid w:val="00F25FFE"/>
    <w:rsid w:val="00F26092"/>
    <w:rsid w:val="00F2617C"/>
    <w:rsid w:val="00F26289"/>
    <w:rsid w:val="00F263BC"/>
    <w:rsid w:val="00F2643B"/>
    <w:rsid w:val="00F266C1"/>
    <w:rsid w:val="00F2680D"/>
    <w:rsid w:val="00F26843"/>
    <w:rsid w:val="00F268C2"/>
    <w:rsid w:val="00F26A1D"/>
    <w:rsid w:val="00F26C53"/>
    <w:rsid w:val="00F26CD5"/>
    <w:rsid w:val="00F26D3E"/>
    <w:rsid w:val="00F26E9E"/>
    <w:rsid w:val="00F26EF0"/>
    <w:rsid w:val="00F26F77"/>
    <w:rsid w:val="00F2707E"/>
    <w:rsid w:val="00F270BE"/>
    <w:rsid w:val="00F2711C"/>
    <w:rsid w:val="00F2713E"/>
    <w:rsid w:val="00F272D2"/>
    <w:rsid w:val="00F273B9"/>
    <w:rsid w:val="00F2744F"/>
    <w:rsid w:val="00F274B9"/>
    <w:rsid w:val="00F274F5"/>
    <w:rsid w:val="00F274F6"/>
    <w:rsid w:val="00F27634"/>
    <w:rsid w:val="00F27643"/>
    <w:rsid w:val="00F279D2"/>
    <w:rsid w:val="00F27AD3"/>
    <w:rsid w:val="00F27BAB"/>
    <w:rsid w:val="00F27BB0"/>
    <w:rsid w:val="00F27C27"/>
    <w:rsid w:val="00F27D23"/>
    <w:rsid w:val="00F27E4D"/>
    <w:rsid w:val="00F27EFA"/>
    <w:rsid w:val="00F27F54"/>
    <w:rsid w:val="00F30091"/>
    <w:rsid w:val="00F303A8"/>
    <w:rsid w:val="00F303E9"/>
    <w:rsid w:val="00F304A4"/>
    <w:rsid w:val="00F304B7"/>
    <w:rsid w:val="00F30580"/>
    <w:rsid w:val="00F3058B"/>
    <w:rsid w:val="00F305A5"/>
    <w:rsid w:val="00F305E7"/>
    <w:rsid w:val="00F307BD"/>
    <w:rsid w:val="00F307EE"/>
    <w:rsid w:val="00F30806"/>
    <w:rsid w:val="00F30A1F"/>
    <w:rsid w:val="00F30A35"/>
    <w:rsid w:val="00F30B29"/>
    <w:rsid w:val="00F30B35"/>
    <w:rsid w:val="00F30BE5"/>
    <w:rsid w:val="00F30D04"/>
    <w:rsid w:val="00F30D85"/>
    <w:rsid w:val="00F30E42"/>
    <w:rsid w:val="00F30FEC"/>
    <w:rsid w:val="00F310B6"/>
    <w:rsid w:val="00F310BE"/>
    <w:rsid w:val="00F310F3"/>
    <w:rsid w:val="00F3114D"/>
    <w:rsid w:val="00F3136A"/>
    <w:rsid w:val="00F313FE"/>
    <w:rsid w:val="00F314FB"/>
    <w:rsid w:val="00F315CE"/>
    <w:rsid w:val="00F3164D"/>
    <w:rsid w:val="00F317CB"/>
    <w:rsid w:val="00F31856"/>
    <w:rsid w:val="00F319ED"/>
    <w:rsid w:val="00F31AD7"/>
    <w:rsid w:val="00F31D07"/>
    <w:rsid w:val="00F31E02"/>
    <w:rsid w:val="00F3203D"/>
    <w:rsid w:val="00F32104"/>
    <w:rsid w:val="00F32122"/>
    <w:rsid w:val="00F32132"/>
    <w:rsid w:val="00F32224"/>
    <w:rsid w:val="00F32331"/>
    <w:rsid w:val="00F323CE"/>
    <w:rsid w:val="00F32433"/>
    <w:rsid w:val="00F324A3"/>
    <w:rsid w:val="00F32542"/>
    <w:rsid w:val="00F3264A"/>
    <w:rsid w:val="00F32678"/>
    <w:rsid w:val="00F32780"/>
    <w:rsid w:val="00F327A3"/>
    <w:rsid w:val="00F3299E"/>
    <w:rsid w:val="00F32BAB"/>
    <w:rsid w:val="00F32CB3"/>
    <w:rsid w:val="00F32D4C"/>
    <w:rsid w:val="00F32DA7"/>
    <w:rsid w:val="00F33000"/>
    <w:rsid w:val="00F33030"/>
    <w:rsid w:val="00F33153"/>
    <w:rsid w:val="00F3321B"/>
    <w:rsid w:val="00F332FA"/>
    <w:rsid w:val="00F33321"/>
    <w:rsid w:val="00F33596"/>
    <w:rsid w:val="00F33615"/>
    <w:rsid w:val="00F33617"/>
    <w:rsid w:val="00F336D6"/>
    <w:rsid w:val="00F336EC"/>
    <w:rsid w:val="00F339C7"/>
    <w:rsid w:val="00F33ADA"/>
    <w:rsid w:val="00F33DB8"/>
    <w:rsid w:val="00F33F0A"/>
    <w:rsid w:val="00F3402C"/>
    <w:rsid w:val="00F3408F"/>
    <w:rsid w:val="00F34091"/>
    <w:rsid w:val="00F34183"/>
    <w:rsid w:val="00F3426B"/>
    <w:rsid w:val="00F3446B"/>
    <w:rsid w:val="00F344BA"/>
    <w:rsid w:val="00F344CB"/>
    <w:rsid w:val="00F344D7"/>
    <w:rsid w:val="00F345A7"/>
    <w:rsid w:val="00F34777"/>
    <w:rsid w:val="00F34790"/>
    <w:rsid w:val="00F34812"/>
    <w:rsid w:val="00F348EB"/>
    <w:rsid w:val="00F3496C"/>
    <w:rsid w:val="00F34C79"/>
    <w:rsid w:val="00F34C7B"/>
    <w:rsid w:val="00F34CD6"/>
    <w:rsid w:val="00F34D51"/>
    <w:rsid w:val="00F34E17"/>
    <w:rsid w:val="00F34E87"/>
    <w:rsid w:val="00F35131"/>
    <w:rsid w:val="00F35155"/>
    <w:rsid w:val="00F35163"/>
    <w:rsid w:val="00F351BE"/>
    <w:rsid w:val="00F351DE"/>
    <w:rsid w:val="00F3572F"/>
    <w:rsid w:val="00F35741"/>
    <w:rsid w:val="00F35877"/>
    <w:rsid w:val="00F358FA"/>
    <w:rsid w:val="00F35930"/>
    <w:rsid w:val="00F359B0"/>
    <w:rsid w:val="00F35A01"/>
    <w:rsid w:val="00F35AA5"/>
    <w:rsid w:val="00F35DC7"/>
    <w:rsid w:val="00F35E50"/>
    <w:rsid w:val="00F35EF0"/>
    <w:rsid w:val="00F35FBD"/>
    <w:rsid w:val="00F3605D"/>
    <w:rsid w:val="00F360D7"/>
    <w:rsid w:val="00F3613A"/>
    <w:rsid w:val="00F361E6"/>
    <w:rsid w:val="00F362EA"/>
    <w:rsid w:val="00F36319"/>
    <w:rsid w:val="00F363A9"/>
    <w:rsid w:val="00F36522"/>
    <w:rsid w:val="00F368E1"/>
    <w:rsid w:val="00F3696F"/>
    <w:rsid w:val="00F36AC3"/>
    <w:rsid w:val="00F36B87"/>
    <w:rsid w:val="00F36E6A"/>
    <w:rsid w:val="00F36E93"/>
    <w:rsid w:val="00F36EE9"/>
    <w:rsid w:val="00F36F13"/>
    <w:rsid w:val="00F370B7"/>
    <w:rsid w:val="00F372CC"/>
    <w:rsid w:val="00F3735C"/>
    <w:rsid w:val="00F37393"/>
    <w:rsid w:val="00F3748C"/>
    <w:rsid w:val="00F3775A"/>
    <w:rsid w:val="00F377D7"/>
    <w:rsid w:val="00F378BE"/>
    <w:rsid w:val="00F379C8"/>
    <w:rsid w:val="00F37B97"/>
    <w:rsid w:val="00F37BCE"/>
    <w:rsid w:val="00F37CB7"/>
    <w:rsid w:val="00F37D47"/>
    <w:rsid w:val="00F37E8C"/>
    <w:rsid w:val="00F37FB6"/>
    <w:rsid w:val="00F37FD4"/>
    <w:rsid w:val="00F4003E"/>
    <w:rsid w:val="00F401EF"/>
    <w:rsid w:val="00F4033F"/>
    <w:rsid w:val="00F403A7"/>
    <w:rsid w:val="00F404A8"/>
    <w:rsid w:val="00F4056D"/>
    <w:rsid w:val="00F4058C"/>
    <w:rsid w:val="00F405D4"/>
    <w:rsid w:val="00F40627"/>
    <w:rsid w:val="00F4069E"/>
    <w:rsid w:val="00F40738"/>
    <w:rsid w:val="00F4079B"/>
    <w:rsid w:val="00F4085D"/>
    <w:rsid w:val="00F40917"/>
    <w:rsid w:val="00F40A9D"/>
    <w:rsid w:val="00F40AD6"/>
    <w:rsid w:val="00F40B64"/>
    <w:rsid w:val="00F40CF8"/>
    <w:rsid w:val="00F40D57"/>
    <w:rsid w:val="00F40D86"/>
    <w:rsid w:val="00F40FB4"/>
    <w:rsid w:val="00F40FF9"/>
    <w:rsid w:val="00F4102A"/>
    <w:rsid w:val="00F41059"/>
    <w:rsid w:val="00F41112"/>
    <w:rsid w:val="00F415B1"/>
    <w:rsid w:val="00F415D0"/>
    <w:rsid w:val="00F415FF"/>
    <w:rsid w:val="00F4176D"/>
    <w:rsid w:val="00F41831"/>
    <w:rsid w:val="00F418F9"/>
    <w:rsid w:val="00F419DA"/>
    <w:rsid w:val="00F41A00"/>
    <w:rsid w:val="00F41C36"/>
    <w:rsid w:val="00F41D02"/>
    <w:rsid w:val="00F41D2E"/>
    <w:rsid w:val="00F41D79"/>
    <w:rsid w:val="00F41D9B"/>
    <w:rsid w:val="00F41DE3"/>
    <w:rsid w:val="00F41EA4"/>
    <w:rsid w:val="00F41F43"/>
    <w:rsid w:val="00F41F62"/>
    <w:rsid w:val="00F42005"/>
    <w:rsid w:val="00F42009"/>
    <w:rsid w:val="00F42010"/>
    <w:rsid w:val="00F4201B"/>
    <w:rsid w:val="00F42065"/>
    <w:rsid w:val="00F42093"/>
    <w:rsid w:val="00F420C6"/>
    <w:rsid w:val="00F4231B"/>
    <w:rsid w:val="00F42371"/>
    <w:rsid w:val="00F42435"/>
    <w:rsid w:val="00F42522"/>
    <w:rsid w:val="00F42523"/>
    <w:rsid w:val="00F4273C"/>
    <w:rsid w:val="00F429D3"/>
    <w:rsid w:val="00F42A3F"/>
    <w:rsid w:val="00F42B9D"/>
    <w:rsid w:val="00F42BAA"/>
    <w:rsid w:val="00F42BDB"/>
    <w:rsid w:val="00F42C0D"/>
    <w:rsid w:val="00F42DBF"/>
    <w:rsid w:val="00F42EE2"/>
    <w:rsid w:val="00F42F89"/>
    <w:rsid w:val="00F431C3"/>
    <w:rsid w:val="00F432F3"/>
    <w:rsid w:val="00F433CE"/>
    <w:rsid w:val="00F43405"/>
    <w:rsid w:val="00F43448"/>
    <w:rsid w:val="00F43575"/>
    <w:rsid w:val="00F437EA"/>
    <w:rsid w:val="00F4381F"/>
    <w:rsid w:val="00F4388B"/>
    <w:rsid w:val="00F4393A"/>
    <w:rsid w:val="00F43971"/>
    <w:rsid w:val="00F43B2A"/>
    <w:rsid w:val="00F43B36"/>
    <w:rsid w:val="00F43B8A"/>
    <w:rsid w:val="00F43C50"/>
    <w:rsid w:val="00F44035"/>
    <w:rsid w:val="00F44241"/>
    <w:rsid w:val="00F44262"/>
    <w:rsid w:val="00F446EA"/>
    <w:rsid w:val="00F4480B"/>
    <w:rsid w:val="00F449C2"/>
    <w:rsid w:val="00F44D4B"/>
    <w:rsid w:val="00F44ED8"/>
    <w:rsid w:val="00F44F89"/>
    <w:rsid w:val="00F44FCF"/>
    <w:rsid w:val="00F4517D"/>
    <w:rsid w:val="00F45199"/>
    <w:rsid w:val="00F451BA"/>
    <w:rsid w:val="00F451E5"/>
    <w:rsid w:val="00F4526A"/>
    <w:rsid w:val="00F45404"/>
    <w:rsid w:val="00F4557F"/>
    <w:rsid w:val="00F4564C"/>
    <w:rsid w:val="00F45666"/>
    <w:rsid w:val="00F45796"/>
    <w:rsid w:val="00F45970"/>
    <w:rsid w:val="00F45977"/>
    <w:rsid w:val="00F45998"/>
    <w:rsid w:val="00F45BC8"/>
    <w:rsid w:val="00F45D04"/>
    <w:rsid w:val="00F45D37"/>
    <w:rsid w:val="00F45D8F"/>
    <w:rsid w:val="00F45D91"/>
    <w:rsid w:val="00F45E64"/>
    <w:rsid w:val="00F45F5A"/>
    <w:rsid w:val="00F460F0"/>
    <w:rsid w:val="00F461B9"/>
    <w:rsid w:val="00F4641F"/>
    <w:rsid w:val="00F4646E"/>
    <w:rsid w:val="00F464ED"/>
    <w:rsid w:val="00F4658A"/>
    <w:rsid w:val="00F465A6"/>
    <w:rsid w:val="00F465F3"/>
    <w:rsid w:val="00F465F9"/>
    <w:rsid w:val="00F46721"/>
    <w:rsid w:val="00F467AB"/>
    <w:rsid w:val="00F46838"/>
    <w:rsid w:val="00F46949"/>
    <w:rsid w:val="00F4698C"/>
    <w:rsid w:val="00F46B68"/>
    <w:rsid w:val="00F46BA1"/>
    <w:rsid w:val="00F46BC5"/>
    <w:rsid w:val="00F46C0A"/>
    <w:rsid w:val="00F46C79"/>
    <w:rsid w:val="00F46DEE"/>
    <w:rsid w:val="00F46E39"/>
    <w:rsid w:val="00F46EC1"/>
    <w:rsid w:val="00F46FD0"/>
    <w:rsid w:val="00F473EF"/>
    <w:rsid w:val="00F47487"/>
    <w:rsid w:val="00F4762B"/>
    <w:rsid w:val="00F4767B"/>
    <w:rsid w:val="00F476D2"/>
    <w:rsid w:val="00F47AC3"/>
    <w:rsid w:val="00F47BAD"/>
    <w:rsid w:val="00F47BBB"/>
    <w:rsid w:val="00F47C9F"/>
    <w:rsid w:val="00F47D7D"/>
    <w:rsid w:val="00F47EDF"/>
    <w:rsid w:val="00F47FAA"/>
    <w:rsid w:val="00F501AC"/>
    <w:rsid w:val="00F50260"/>
    <w:rsid w:val="00F50384"/>
    <w:rsid w:val="00F50419"/>
    <w:rsid w:val="00F5043F"/>
    <w:rsid w:val="00F50504"/>
    <w:rsid w:val="00F50539"/>
    <w:rsid w:val="00F5057D"/>
    <w:rsid w:val="00F505A0"/>
    <w:rsid w:val="00F506CB"/>
    <w:rsid w:val="00F506F1"/>
    <w:rsid w:val="00F50731"/>
    <w:rsid w:val="00F5090A"/>
    <w:rsid w:val="00F50A55"/>
    <w:rsid w:val="00F50B34"/>
    <w:rsid w:val="00F50B80"/>
    <w:rsid w:val="00F50BE2"/>
    <w:rsid w:val="00F50CD3"/>
    <w:rsid w:val="00F50D0B"/>
    <w:rsid w:val="00F50E5E"/>
    <w:rsid w:val="00F50ED4"/>
    <w:rsid w:val="00F512F5"/>
    <w:rsid w:val="00F51363"/>
    <w:rsid w:val="00F51377"/>
    <w:rsid w:val="00F51446"/>
    <w:rsid w:val="00F51455"/>
    <w:rsid w:val="00F51491"/>
    <w:rsid w:val="00F5154F"/>
    <w:rsid w:val="00F515EB"/>
    <w:rsid w:val="00F515FF"/>
    <w:rsid w:val="00F518A9"/>
    <w:rsid w:val="00F518D2"/>
    <w:rsid w:val="00F5191A"/>
    <w:rsid w:val="00F51963"/>
    <w:rsid w:val="00F51976"/>
    <w:rsid w:val="00F51AA1"/>
    <w:rsid w:val="00F51B9A"/>
    <w:rsid w:val="00F51BB6"/>
    <w:rsid w:val="00F51D7F"/>
    <w:rsid w:val="00F51FFA"/>
    <w:rsid w:val="00F52014"/>
    <w:rsid w:val="00F5202F"/>
    <w:rsid w:val="00F5217F"/>
    <w:rsid w:val="00F52286"/>
    <w:rsid w:val="00F52442"/>
    <w:rsid w:val="00F52497"/>
    <w:rsid w:val="00F524A4"/>
    <w:rsid w:val="00F52511"/>
    <w:rsid w:val="00F5273A"/>
    <w:rsid w:val="00F52933"/>
    <w:rsid w:val="00F52B9F"/>
    <w:rsid w:val="00F52BAD"/>
    <w:rsid w:val="00F52C67"/>
    <w:rsid w:val="00F52E56"/>
    <w:rsid w:val="00F52F0A"/>
    <w:rsid w:val="00F52F87"/>
    <w:rsid w:val="00F52FD3"/>
    <w:rsid w:val="00F5311B"/>
    <w:rsid w:val="00F532A8"/>
    <w:rsid w:val="00F532DE"/>
    <w:rsid w:val="00F53417"/>
    <w:rsid w:val="00F5345F"/>
    <w:rsid w:val="00F534FC"/>
    <w:rsid w:val="00F53651"/>
    <w:rsid w:val="00F5365A"/>
    <w:rsid w:val="00F536B1"/>
    <w:rsid w:val="00F5370E"/>
    <w:rsid w:val="00F537DC"/>
    <w:rsid w:val="00F538F0"/>
    <w:rsid w:val="00F53BAC"/>
    <w:rsid w:val="00F53BD6"/>
    <w:rsid w:val="00F53BE3"/>
    <w:rsid w:val="00F53C22"/>
    <w:rsid w:val="00F53C64"/>
    <w:rsid w:val="00F53C86"/>
    <w:rsid w:val="00F53E68"/>
    <w:rsid w:val="00F5416C"/>
    <w:rsid w:val="00F542E9"/>
    <w:rsid w:val="00F54559"/>
    <w:rsid w:val="00F5482B"/>
    <w:rsid w:val="00F548AE"/>
    <w:rsid w:val="00F548CB"/>
    <w:rsid w:val="00F54943"/>
    <w:rsid w:val="00F549C5"/>
    <w:rsid w:val="00F54A45"/>
    <w:rsid w:val="00F54B52"/>
    <w:rsid w:val="00F54B58"/>
    <w:rsid w:val="00F54BDD"/>
    <w:rsid w:val="00F54BFB"/>
    <w:rsid w:val="00F54C8A"/>
    <w:rsid w:val="00F54CA4"/>
    <w:rsid w:val="00F54D2C"/>
    <w:rsid w:val="00F54E29"/>
    <w:rsid w:val="00F54EA2"/>
    <w:rsid w:val="00F54ED3"/>
    <w:rsid w:val="00F54F3A"/>
    <w:rsid w:val="00F54FBB"/>
    <w:rsid w:val="00F54FCF"/>
    <w:rsid w:val="00F550B8"/>
    <w:rsid w:val="00F550DB"/>
    <w:rsid w:val="00F5515E"/>
    <w:rsid w:val="00F551D4"/>
    <w:rsid w:val="00F55485"/>
    <w:rsid w:val="00F557C5"/>
    <w:rsid w:val="00F5597E"/>
    <w:rsid w:val="00F55A10"/>
    <w:rsid w:val="00F55AC8"/>
    <w:rsid w:val="00F55CE6"/>
    <w:rsid w:val="00F55E65"/>
    <w:rsid w:val="00F56151"/>
    <w:rsid w:val="00F5616E"/>
    <w:rsid w:val="00F561C8"/>
    <w:rsid w:val="00F56282"/>
    <w:rsid w:val="00F562DB"/>
    <w:rsid w:val="00F56373"/>
    <w:rsid w:val="00F563A9"/>
    <w:rsid w:val="00F563E6"/>
    <w:rsid w:val="00F5641C"/>
    <w:rsid w:val="00F56490"/>
    <w:rsid w:val="00F564B8"/>
    <w:rsid w:val="00F56A01"/>
    <w:rsid w:val="00F56C2F"/>
    <w:rsid w:val="00F56C3A"/>
    <w:rsid w:val="00F56CD7"/>
    <w:rsid w:val="00F56D9B"/>
    <w:rsid w:val="00F56F07"/>
    <w:rsid w:val="00F56F90"/>
    <w:rsid w:val="00F5728D"/>
    <w:rsid w:val="00F572B6"/>
    <w:rsid w:val="00F57363"/>
    <w:rsid w:val="00F57371"/>
    <w:rsid w:val="00F573B7"/>
    <w:rsid w:val="00F574E3"/>
    <w:rsid w:val="00F5763D"/>
    <w:rsid w:val="00F5763F"/>
    <w:rsid w:val="00F57649"/>
    <w:rsid w:val="00F5765F"/>
    <w:rsid w:val="00F57702"/>
    <w:rsid w:val="00F578F1"/>
    <w:rsid w:val="00F578F7"/>
    <w:rsid w:val="00F57ACC"/>
    <w:rsid w:val="00F57BED"/>
    <w:rsid w:val="00F57C4D"/>
    <w:rsid w:val="00F57C78"/>
    <w:rsid w:val="00F57CBC"/>
    <w:rsid w:val="00F57CE3"/>
    <w:rsid w:val="00F57D23"/>
    <w:rsid w:val="00F57D78"/>
    <w:rsid w:val="00F57D9C"/>
    <w:rsid w:val="00F57DB8"/>
    <w:rsid w:val="00F57E60"/>
    <w:rsid w:val="00F57EEC"/>
    <w:rsid w:val="00F57F03"/>
    <w:rsid w:val="00F60198"/>
    <w:rsid w:val="00F60199"/>
    <w:rsid w:val="00F601C4"/>
    <w:rsid w:val="00F601F6"/>
    <w:rsid w:val="00F6034F"/>
    <w:rsid w:val="00F603D3"/>
    <w:rsid w:val="00F60406"/>
    <w:rsid w:val="00F60440"/>
    <w:rsid w:val="00F605D8"/>
    <w:rsid w:val="00F60788"/>
    <w:rsid w:val="00F607A3"/>
    <w:rsid w:val="00F60872"/>
    <w:rsid w:val="00F608DB"/>
    <w:rsid w:val="00F60923"/>
    <w:rsid w:val="00F60928"/>
    <w:rsid w:val="00F6098B"/>
    <w:rsid w:val="00F60ADF"/>
    <w:rsid w:val="00F60CEB"/>
    <w:rsid w:val="00F60CF3"/>
    <w:rsid w:val="00F60CFF"/>
    <w:rsid w:val="00F60D8C"/>
    <w:rsid w:val="00F60E9A"/>
    <w:rsid w:val="00F60F97"/>
    <w:rsid w:val="00F610F0"/>
    <w:rsid w:val="00F6111F"/>
    <w:rsid w:val="00F61155"/>
    <w:rsid w:val="00F611A6"/>
    <w:rsid w:val="00F611BE"/>
    <w:rsid w:val="00F611C4"/>
    <w:rsid w:val="00F61366"/>
    <w:rsid w:val="00F614A8"/>
    <w:rsid w:val="00F614F8"/>
    <w:rsid w:val="00F615F8"/>
    <w:rsid w:val="00F61802"/>
    <w:rsid w:val="00F61A1D"/>
    <w:rsid w:val="00F61B2A"/>
    <w:rsid w:val="00F61BE8"/>
    <w:rsid w:val="00F61BE9"/>
    <w:rsid w:val="00F61D4C"/>
    <w:rsid w:val="00F61DB8"/>
    <w:rsid w:val="00F61E69"/>
    <w:rsid w:val="00F61F07"/>
    <w:rsid w:val="00F62076"/>
    <w:rsid w:val="00F62116"/>
    <w:rsid w:val="00F62124"/>
    <w:rsid w:val="00F6229D"/>
    <w:rsid w:val="00F6234E"/>
    <w:rsid w:val="00F624DC"/>
    <w:rsid w:val="00F6258B"/>
    <w:rsid w:val="00F62631"/>
    <w:rsid w:val="00F6269B"/>
    <w:rsid w:val="00F62798"/>
    <w:rsid w:val="00F62833"/>
    <w:rsid w:val="00F62AAB"/>
    <w:rsid w:val="00F62BC5"/>
    <w:rsid w:val="00F62BE8"/>
    <w:rsid w:val="00F62C91"/>
    <w:rsid w:val="00F62CA1"/>
    <w:rsid w:val="00F62CA2"/>
    <w:rsid w:val="00F62E0A"/>
    <w:rsid w:val="00F62F68"/>
    <w:rsid w:val="00F62F6B"/>
    <w:rsid w:val="00F63051"/>
    <w:rsid w:val="00F63331"/>
    <w:rsid w:val="00F633A5"/>
    <w:rsid w:val="00F63427"/>
    <w:rsid w:val="00F6346B"/>
    <w:rsid w:val="00F63553"/>
    <w:rsid w:val="00F636A6"/>
    <w:rsid w:val="00F63753"/>
    <w:rsid w:val="00F63833"/>
    <w:rsid w:val="00F6389C"/>
    <w:rsid w:val="00F639F9"/>
    <w:rsid w:val="00F63AC1"/>
    <w:rsid w:val="00F63AC9"/>
    <w:rsid w:val="00F63DD9"/>
    <w:rsid w:val="00F63F8D"/>
    <w:rsid w:val="00F64095"/>
    <w:rsid w:val="00F64148"/>
    <w:rsid w:val="00F642C9"/>
    <w:rsid w:val="00F643B9"/>
    <w:rsid w:val="00F643E0"/>
    <w:rsid w:val="00F64459"/>
    <w:rsid w:val="00F64520"/>
    <w:rsid w:val="00F64727"/>
    <w:rsid w:val="00F6491B"/>
    <w:rsid w:val="00F64978"/>
    <w:rsid w:val="00F649EF"/>
    <w:rsid w:val="00F64A7D"/>
    <w:rsid w:val="00F64AD7"/>
    <w:rsid w:val="00F64BBA"/>
    <w:rsid w:val="00F64BE9"/>
    <w:rsid w:val="00F64C12"/>
    <w:rsid w:val="00F64D2D"/>
    <w:rsid w:val="00F64D46"/>
    <w:rsid w:val="00F64E67"/>
    <w:rsid w:val="00F64FE7"/>
    <w:rsid w:val="00F651D8"/>
    <w:rsid w:val="00F651EB"/>
    <w:rsid w:val="00F65835"/>
    <w:rsid w:val="00F65923"/>
    <w:rsid w:val="00F6597C"/>
    <w:rsid w:val="00F659D1"/>
    <w:rsid w:val="00F65A08"/>
    <w:rsid w:val="00F65B27"/>
    <w:rsid w:val="00F65D74"/>
    <w:rsid w:val="00F65DD7"/>
    <w:rsid w:val="00F65F30"/>
    <w:rsid w:val="00F660BC"/>
    <w:rsid w:val="00F66161"/>
    <w:rsid w:val="00F6630C"/>
    <w:rsid w:val="00F663A2"/>
    <w:rsid w:val="00F6646A"/>
    <w:rsid w:val="00F667D1"/>
    <w:rsid w:val="00F668C3"/>
    <w:rsid w:val="00F669CD"/>
    <w:rsid w:val="00F669EB"/>
    <w:rsid w:val="00F66A80"/>
    <w:rsid w:val="00F66CF8"/>
    <w:rsid w:val="00F6700A"/>
    <w:rsid w:val="00F6701D"/>
    <w:rsid w:val="00F67064"/>
    <w:rsid w:val="00F6709F"/>
    <w:rsid w:val="00F670CD"/>
    <w:rsid w:val="00F670FB"/>
    <w:rsid w:val="00F6713C"/>
    <w:rsid w:val="00F6716C"/>
    <w:rsid w:val="00F67399"/>
    <w:rsid w:val="00F67429"/>
    <w:rsid w:val="00F67432"/>
    <w:rsid w:val="00F67467"/>
    <w:rsid w:val="00F6752D"/>
    <w:rsid w:val="00F67546"/>
    <w:rsid w:val="00F67598"/>
    <w:rsid w:val="00F67606"/>
    <w:rsid w:val="00F6767B"/>
    <w:rsid w:val="00F67717"/>
    <w:rsid w:val="00F6787D"/>
    <w:rsid w:val="00F67895"/>
    <w:rsid w:val="00F679CD"/>
    <w:rsid w:val="00F679D3"/>
    <w:rsid w:val="00F67BBC"/>
    <w:rsid w:val="00F67C6D"/>
    <w:rsid w:val="00F67E05"/>
    <w:rsid w:val="00F67F31"/>
    <w:rsid w:val="00F67FF5"/>
    <w:rsid w:val="00F7011C"/>
    <w:rsid w:val="00F70220"/>
    <w:rsid w:val="00F70404"/>
    <w:rsid w:val="00F704D7"/>
    <w:rsid w:val="00F705DC"/>
    <w:rsid w:val="00F70719"/>
    <w:rsid w:val="00F70723"/>
    <w:rsid w:val="00F708BB"/>
    <w:rsid w:val="00F7094D"/>
    <w:rsid w:val="00F70AE7"/>
    <w:rsid w:val="00F70D30"/>
    <w:rsid w:val="00F70D87"/>
    <w:rsid w:val="00F70E46"/>
    <w:rsid w:val="00F70FAB"/>
    <w:rsid w:val="00F71148"/>
    <w:rsid w:val="00F71172"/>
    <w:rsid w:val="00F71242"/>
    <w:rsid w:val="00F713EB"/>
    <w:rsid w:val="00F7155C"/>
    <w:rsid w:val="00F715C2"/>
    <w:rsid w:val="00F7168F"/>
    <w:rsid w:val="00F716DE"/>
    <w:rsid w:val="00F71947"/>
    <w:rsid w:val="00F71B7C"/>
    <w:rsid w:val="00F71BC4"/>
    <w:rsid w:val="00F71DE9"/>
    <w:rsid w:val="00F71E40"/>
    <w:rsid w:val="00F72020"/>
    <w:rsid w:val="00F72051"/>
    <w:rsid w:val="00F7208C"/>
    <w:rsid w:val="00F72195"/>
    <w:rsid w:val="00F721E9"/>
    <w:rsid w:val="00F723C1"/>
    <w:rsid w:val="00F723EA"/>
    <w:rsid w:val="00F72452"/>
    <w:rsid w:val="00F724BE"/>
    <w:rsid w:val="00F72590"/>
    <w:rsid w:val="00F725EC"/>
    <w:rsid w:val="00F7264D"/>
    <w:rsid w:val="00F72943"/>
    <w:rsid w:val="00F72A09"/>
    <w:rsid w:val="00F72AA0"/>
    <w:rsid w:val="00F72D6C"/>
    <w:rsid w:val="00F72E34"/>
    <w:rsid w:val="00F72E46"/>
    <w:rsid w:val="00F72E61"/>
    <w:rsid w:val="00F72F62"/>
    <w:rsid w:val="00F72F9B"/>
    <w:rsid w:val="00F7329A"/>
    <w:rsid w:val="00F732B3"/>
    <w:rsid w:val="00F733DA"/>
    <w:rsid w:val="00F734AA"/>
    <w:rsid w:val="00F737DB"/>
    <w:rsid w:val="00F7380E"/>
    <w:rsid w:val="00F73898"/>
    <w:rsid w:val="00F738C1"/>
    <w:rsid w:val="00F73BF7"/>
    <w:rsid w:val="00F73CCA"/>
    <w:rsid w:val="00F73D19"/>
    <w:rsid w:val="00F73D63"/>
    <w:rsid w:val="00F73D9F"/>
    <w:rsid w:val="00F73DD5"/>
    <w:rsid w:val="00F74302"/>
    <w:rsid w:val="00F74904"/>
    <w:rsid w:val="00F74954"/>
    <w:rsid w:val="00F749F3"/>
    <w:rsid w:val="00F74CC4"/>
    <w:rsid w:val="00F74D15"/>
    <w:rsid w:val="00F74D3F"/>
    <w:rsid w:val="00F74DE0"/>
    <w:rsid w:val="00F74F2E"/>
    <w:rsid w:val="00F7541D"/>
    <w:rsid w:val="00F755CB"/>
    <w:rsid w:val="00F756D0"/>
    <w:rsid w:val="00F7576E"/>
    <w:rsid w:val="00F758AC"/>
    <w:rsid w:val="00F75D31"/>
    <w:rsid w:val="00F75D36"/>
    <w:rsid w:val="00F75D37"/>
    <w:rsid w:val="00F760BC"/>
    <w:rsid w:val="00F7613A"/>
    <w:rsid w:val="00F7613C"/>
    <w:rsid w:val="00F7621D"/>
    <w:rsid w:val="00F762EB"/>
    <w:rsid w:val="00F7632B"/>
    <w:rsid w:val="00F7650E"/>
    <w:rsid w:val="00F76550"/>
    <w:rsid w:val="00F7656D"/>
    <w:rsid w:val="00F765B1"/>
    <w:rsid w:val="00F76607"/>
    <w:rsid w:val="00F76691"/>
    <w:rsid w:val="00F766B4"/>
    <w:rsid w:val="00F7676B"/>
    <w:rsid w:val="00F767C6"/>
    <w:rsid w:val="00F767D8"/>
    <w:rsid w:val="00F76822"/>
    <w:rsid w:val="00F76871"/>
    <w:rsid w:val="00F76BB7"/>
    <w:rsid w:val="00F76E2C"/>
    <w:rsid w:val="00F77013"/>
    <w:rsid w:val="00F77125"/>
    <w:rsid w:val="00F7715C"/>
    <w:rsid w:val="00F772AB"/>
    <w:rsid w:val="00F77391"/>
    <w:rsid w:val="00F7744A"/>
    <w:rsid w:val="00F774B6"/>
    <w:rsid w:val="00F774EA"/>
    <w:rsid w:val="00F77503"/>
    <w:rsid w:val="00F77589"/>
    <w:rsid w:val="00F77677"/>
    <w:rsid w:val="00F77682"/>
    <w:rsid w:val="00F7777D"/>
    <w:rsid w:val="00F7778A"/>
    <w:rsid w:val="00F77917"/>
    <w:rsid w:val="00F77998"/>
    <w:rsid w:val="00F77AE0"/>
    <w:rsid w:val="00F77B12"/>
    <w:rsid w:val="00F77BF1"/>
    <w:rsid w:val="00F77C72"/>
    <w:rsid w:val="00F77D00"/>
    <w:rsid w:val="00F77FC9"/>
    <w:rsid w:val="00F800B2"/>
    <w:rsid w:val="00F80207"/>
    <w:rsid w:val="00F80264"/>
    <w:rsid w:val="00F80445"/>
    <w:rsid w:val="00F8063B"/>
    <w:rsid w:val="00F806B4"/>
    <w:rsid w:val="00F8075F"/>
    <w:rsid w:val="00F8078A"/>
    <w:rsid w:val="00F80906"/>
    <w:rsid w:val="00F8090E"/>
    <w:rsid w:val="00F809BD"/>
    <w:rsid w:val="00F80BF7"/>
    <w:rsid w:val="00F80C6C"/>
    <w:rsid w:val="00F80E9B"/>
    <w:rsid w:val="00F80F68"/>
    <w:rsid w:val="00F811A6"/>
    <w:rsid w:val="00F8123A"/>
    <w:rsid w:val="00F8125A"/>
    <w:rsid w:val="00F81292"/>
    <w:rsid w:val="00F81381"/>
    <w:rsid w:val="00F81466"/>
    <w:rsid w:val="00F81571"/>
    <w:rsid w:val="00F8161A"/>
    <w:rsid w:val="00F817AC"/>
    <w:rsid w:val="00F8196B"/>
    <w:rsid w:val="00F81A4E"/>
    <w:rsid w:val="00F81A6D"/>
    <w:rsid w:val="00F81B3F"/>
    <w:rsid w:val="00F81F9B"/>
    <w:rsid w:val="00F82028"/>
    <w:rsid w:val="00F82045"/>
    <w:rsid w:val="00F8209A"/>
    <w:rsid w:val="00F8220D"/>
    <w:rsid w:val="00F823D4"/>
    <w:rsid w:val="00F826C0"/>
    <w:rsid w:val="00F82746"/>
    <w:rsid w:val="00F8284F"/>
    <w:rsid w:val="00F828D3"/>
    <w:rsid w:val="00F828F3"/>
    <w:rsid w:val="00F82906"/>
    <w:rsid w:val="00F829A2"/>
    <w:rsid w:val="00F829F8"/>
    <w:rsid w:val="00F82A81"/>
    <w:rsid w:val="00F82AB2"/>
    <w:rsid w:val="00F82B1D"/>
    <w:rsid w:val="00F82B77"/>
    <w:rsid w:val="00F82C5D"/>
    <w:rsid w:val="00F82CFB"/>
    <w:rsid w:val="00F82D58"/>
    <w:rsid w:val="00F82EAB"/>
    <w:rsid w:val="00F82EAF"/>
    <w:rsid w:val="00F82F6F"/>
    <w:rsid w:val="00F82FDC"/>
    <w:rsid w:val="00F831C3"/>
    <w:rsid w:val="00F832D4"/>
    <w:rsid w:val="00F83316"/>
    <w:rsid w:val="00F8360C"/>
    <w:rsid w:val="00F836A3"/>
    <w:rsid w:val="00F836F4"/>
    <w:rsid w:val="00F836F9"/>
    <w:rsid w:val="00F8383C"/>
    <w:rsid w:val="00F83858"/>
    <w:rsid w:val="00F83954"/>
    <w:rsid w:val="00F839A1"/>
    <w:rsid w:val="00F83BAE"/>
    <w:rsid w:val="00F83C6C"/>
    <w:rsid w:val="00F83D3D"/>
    <w:rsid w:val="00F83E11"/>
    <w:rsid w:val="00F83E8C"/>
    <w:rsid w:val="00F83EBF"/>
    <w:rsid w:val="00F840C9"/>
    <w:rsid w:val="00F841A8"/>
    <w:rsid w:val="00F84591"/>
    <w:rsid w:val="00F845A1"/>
    <w:rsid w:val="00F845B0"/>
    <w:rsid w:val="00F845D7"/>
    <w:rsid w:val="00F845E4"/>
    <w:rsid w:val="00F845F0"/>
    <w:rsid w:val="00F84697"/>
    <w:rsid w:val="00F846BA"/>
    <w:rsid w:val="00F84710"/>
    <w:rsid w:val="00F84753"/>
    <w:rsid w:val="00F84A05"/>
    <w:rsid w:val="00F84A63"/>
    <w:rsid w:val="00F84A6E"/>
    <w:rsid w:val="00F84B82"/>
    <w:rsid w:val="00F84B8C"/>
    <w:rsid w:val="00F84BA7"/>
    <w:rsid w:val="00F84BAD"/>
    <w:rsid w:val="00F84ECC"/>
    <w:rsid w:val="00F8502E"/>
    <w:rsid w:val="00F8502F"/>
    <w:rsid w:val="00F8505C"/>
    <w:rsid w:val="00F8508C"/>
    <w:rsid w:val="00F85204"/>
    <w:rsid w:val="00F8521D"/>
    <w:rsid w:val="00F8522C"/>
    <w:rsid w:val="00F85287"/>
    <w:rsid w:val="00F85387"/>
    <w:rsid w:val="00F85409"/>
    <w:rsid w:val="00F8547C"/>
    <w:rsid w:val="00F8567B"/>
    <w:rsid w:val="00F85860"/>
    <w:rsid w:val="00F8597C"/>
    <w:rsid w:val="00F85A4D"/>
    <w:rsid w:val="00F85AC9"/>
    <w:rsid w:val="00F85B34"/>
    <w:rsid w:val="00F85BB9"/>
    <w:rsid w:val="00F85D80"/>
    <w:rsid w:val="00F85ED4"/>
    <w:rsid w:val="00F85F3C"/>
    <w:rsid w:val="00F86242"/>
    <w:rsid w:val="00F8650F"/>
    <w:rsid w:val="00F8651B"/>
    <w:rsid w:val="00F86576"/>
    <w:rsid w:val="00F866DF"/>
    <w:rsid w:val="00F8686D"/>
    <w:rsid w:val="00F86A9B"/>
    <w:rsid w:val="00F86B4E"/>
    <w:rsid w:val="00F86C41"/>
    <w:rsid w:val="00F86C5D"/>
    <w:rsid w:val="00F86D03"/>
    <w:rsid w:val="00F86D31"/>
    <w:rsid w:val="00F86D54"/>
    <w:rsid w:val="00F86E77"/>
    <w:rsid w:val="00F86E7A"/>
    <w:rsid w:val="00F8705E"/>
    <w:rsid w:val="00F870D8"/>
    <w:rsid w:val="00F87269"/>
    <w:rsid w:val="00F872A1"/>
    <w:rsid w:val="00F872C3"/>
    <w:rsid w:val="00F87351"/>
    <w:rsid w:val="00F87492"/>
    <w:rsid w:val="00F874E5"/>
    <w:rsid w:val="00F874EC"/>
    <w:rsid w:val="00F876B8"/>
    <w:rsid w:val="00F8773B"/>
    <w:rsid w:val="00F878C1"/>
    <w:rsid w:val="00F87961"/>
    <w:rsid w:val="00F87B21"/>
    <w:rsid w:val="00F87D49"/>
    <w:rsid w:val="00F87D73"/>
    <w:rsid w:val="00F87DAD"/>
    <w:rsid w:val="00F87DB0"/>
    <w:rsid w:val="00F87E1E"/>
    <w:rsid w:val="00F9014E"/>
    <w:rsid w:val="00F9029E"/>
    <w:rsid w:val="00F902DE"/>
    <w:rsid w:val="00F902E0"/>
    <w:rsid w:val="00F9030C"/>
    <w:rsid w:val="00F9038D"/>
    <w:rsid w:val="00F903D9"/>
    <w:rsid w:val="00F9041B"/>
    <w:rsid w:val="00F90513"/>
    <w:rsid w:val="00F90582"/>
    <w:rsid w:val="00F905A8"/>
    <w:rsid w:val="00F90736"/>
    <w:rsid w:val="00F907FA"/>
    <w:rsid w:val="00F9081A"/>
    <w:rsid w:val="00F9084D"/>
    <w:rsid w:val="00F909CE"/>
    <w:rsid w:val="00F90B64"/>
    <w:rsid w:val="00F90B6A"/>
    <w:rsid w:val="00F90BF5"/>
    <w:rsid w:val="00F90D44"/>
    <w:rsid w:val="00F90E33"/>
    <w:rsid w:val="00F90E6D"/>
    <w:rsid w:val="00F90F78"/>
    <w:rsid w:val="00F90F82"/>
    <w:rsid w:val="00F90FF1"/>
    <w:rsid w:val="00F91058"/>
    <w:rsid w:val="00F913D7"/>
    <w:rsid w:val="00F915EA"/>
    <w:rsid w:val="00F91612"/>
    <w:rsid w:val="00F918A3"/>
    <w:rsid w:val="00F91A8F"/>
    <w:rsid w:val="00F91B08"/>
    <w:rsid w:val="00F91B1A"/>
    <w:rsid w:val="00F91C5F"/>
    <w:rsid w:val="00F91E38"/>
    <w:rsid w:val="00F91EF0"/>
    <w:rsid w:val="00F91F9E"/>
    <w:rsid w:val="00F9204A"/>
    <w:rsid w:val="00F92135"/>
    <w:rsid w:val="00F921CD"/>
    <w:rsid w:val="00F921F6"/>
    <w:rsid w:val="00F9223A"/>
    <w:rsid w:val="00F92279"/>
    <w:rsid w:val="00F92345"/>
    <w:rsid w:val="00F9242B"/>
    <w:rsid w:val="00F927BD"/>
    <w:rsid w:val="00F928DB"/>
    <w:rsid w:val="00F92901"/>
    <w:rsid w:val="00F92A44"/>
    <w:rsid w:val="00F92B63"/>
    <w:rsid w:val="00F92DC5"/>
    <w:rsid w:val="00F92E08"/>
    <w:rsid w:val="00F92F00"/>
    <w:rsid w:val="00F92F4D"/>
    <w:rsid w:val="00F930A3"/>
    <w:rsid w:val="00F931EC"/>
    <w:rsid w:val="00F9321B"/>
    <w:rsid w:val="00F934A7"/>
    <w:rsid w:val="00F936B8"/>
    <w:rsid w:val="00F937F5"/>
    <w:rsid w:val="00F939B4"/>
    <w:rsid w:val="00F93B6E"/>
    <w:rsid w:val="00F93CF4"/>
    <w:rsid w:val="00F93D85"/>
    <w:rsid w:val="00F93E52"/>
    <w:rsid w:val="00F94074"/>
    <w:rsid w:val="00F94096"/>
    <w:rsid w:val="00F940D0"/>
    <w:rsid w:val="00F940F2"/>
    <w:rsid w:val="00F9412B"/>
    <w:rsid w:val="00F941AF"/>
    <w:rsid w:val="00F94270"/>
    <w:rsid w:val="00F94294"/>
    <w:rsid w:val="00F942D3"/>
    <w:rsid w:val="00F942EA"/>
    <w:rsid w:val="00F94490"/>
    <w:rsid w:val="00F9454D"/>
    <w:rsid w:val="00F94778"/>
    <w:rsid w:val="00F94876"/>
    <w:rsid w:val="00F94884"/>
    <w:rsid w:val="00F949E5"/>
    <w:rsid w:val="00F94A17"/>
    <w:rsid w:val="00F94DAE"/>
    <w:rsid w:val="00F94EC8"/>
    <w:rsid w:val="00F94F01"/>
    <w:rsid w:val="00F94F77"/>
    <w:rsid w:val="00F94FD7"/>
    <w:rsid w:val="00F9519C"/>
    <w:rsid w:val="00F951B9"/>
    <w:rsid w:val="00F952B1"/>
    <w:rsid w:val="00F952C1"/>
    <w:rsid w:val="00F95301"/>
    <w:rsid w:val="00F95330"/>
    <w:rsid w:val="00F95411"/>
    <w:rsid w:val="00F955FB"/>
    <w:rsid w:val="00F95880"/>
    <w:rsid w:val="00F9588F"/>
    <w:rsid w:val="00F95ADF"/>
    <w:rsid w:val="00F95E0D"/>
    <w:rsid w:val="00F95F1A"/>
    <w:rsid w:val="00F96081"/>
    <w:rsid w:val="00F960B3"/>
    <w:rsid w:val="00F96120"/>
    <w:rsid w:val="00F9613D"/>
    <w:rsid w:val="00F96299"/>
    <w:rsid w:val="00F962A4"/>
    <w:rsid w:val="00F962F5"/>
    <w:rsid w:val="00F96397"/>
    <w:rsid w:val="00F96463"/>
    <w:rsid w:val="00F964DD"/>
    <w:rsid w:val="00F9655E"/>
    <w:rsid w:val="00F96651"/>
    <w:rsid w:val="00F96694"/>
    <w:rsid w:val="00F96810"/>
    <w:rsid w:val="00F96893"/>
    <w:rsid w:val="00F96948"/>
    <w:rsid w:val="00F9699A"/>
    <w:rsid w:val="00F9699E"/>
    <w:rsid w:val="00F96B12"/>
    <w:rsid w:val="00F96B8C"/>
    <w:rsid w:val="00F96C06"/>
    <w:rsid w:val="00F96CFC"/>
    <w:rsid w:val="00F96D5F"/>
    <w:rsid w:val="00F96E5D"/>
    <w:rsid w:val="00F970B9"/>
    <w:rsid w:val="00F9711A"/>
    <w:rsid w:val="00F97151"/>
    <w:rsid w:val="00F971CA"/>
    <w:rsid w:val="00F97220"/>
    <w:rsid w:val="00F972C7"/>
    <w:rsid w:val="00F973BC"/>
    <w:rsid w:val="00F9763E"/>
    <w:rsid w:val="00F977C0"/>
    <w:rsid w:val="00F97878"/>
    <w:rsid w:val="00F9789E"/>
    <w:rsid w:val="00F97991"/>
    <w:rsid w:val="00F97A12"/>
    <w:rsid w:val="00F97B05"/>
    <w:rsid w:val="00F97E13"/>
    <w:rsid w:val="00F97ECA"/>
    <w:rsid w:val="00FA0004"/>
    <w:rsid w:val="00FA013A"/>
    <w:rsid w:val="00FA0157"/>
    <w:rsid w:val="00FA024D"/>
    <w:rsid w:val="00FA03D1"/>
    <w:rsid w:val="00FA03EA"/>
    <w:rsid w:val="00FA0469"/>
    <w:rsid w:val="00FA04FE"/>
    <w:rsid w:val="00FA050A"/>
    <w:rsid w:val="00FA05C3"/>
    <w:rsid w:val="00FA0659"/>
    <w:rsid w:val="00FA0687"/>
    <w:rsid w:val="00FA07D2"/>
    <w:rsid w:val="00FA0846"/>
    <w:rsid w:val="00FA0877"/>
    <w:rsid w:val="00FA0953"/>
    <w:rsid w:val="00FA0A59"/>
    <w:rsid w:val="00FA0A82"/>
    <w:rsid w:val="00FA0AB7"/>
    <w:rsid w:val="00FA0B2F"/>
    <w:rsid w:val="00FA0BB9"/>
    <w:rsid w:val="00FA0CFE"/>
    <w:rsid w:val="00FA0D3B"/>
    <w:rsid w:val="00FA0DDC"/>
    <w:rsid w:val="00FA0EAC"/>
    <w:rsid w:val="00FA0F02"/>
    <w:rsid w:val="00FA0FC8"/>
    <w:rsid w:val="00FA1198"/>
    <w:rsid w:val="00FA12F5"/>
    <w:rsid w:val="00FA1399"/>
    <w:rsid w:val="00FA1405"/>
    <w:rsid w:val="00FA15E8"/>
    <w:rsid w:val="00FA1747"/>
    <w:rsid w:val="00FA196C"/>
    <w:rsid w:val="00FA1AB0"/>
    <w:rsid w:val="00FA1B64"/>
    <w:rsid w:val="00FA1C10"/>
    <w:rsid w:val="00FA1C12"/>
    <w:rsid w:val="00FA1F43"/>
    <w:rsid w:val="00FA2012"/>
    <w:rsid w:val="00FA2475"/>
    <w:rsid w:val="00FA252E"/>
    <w:rsid w:val="00FA254E"/>
    <w:rsid w:val="00FA265D"/>
    <w:rsid w:val="00FA267B"/>
    <w:rsid w:val="00FA272F"/>
    <w:rsid w:val="00FA2988"/>
    <w:rsid w:val="00FA2AB2"/>
    <w:rsid w:val="00FA2BB1"/>
    <w:rsid w:val="00FA2BD5"/>
    <w:rsid w:val="00FA2C95"/>
    <w:rsid w:val="00FA2CFA"/>
    <w:rsid w:val="00FA2D04"/>
    <w:rsid w:val="00FA2D50"/>
    <w:rsid w:val="00FA2F0A"/>
    <w:rsid w:val="00FA315C"/>
    <w:rsid w:val="00FA3166"/>
    <w:rsid w:val="00FA31CA"/>
    <w:rsid w:val="00FA31D4"/>
    <w:rsid w:val="00FA324B"/>
    <w:rsid w:val="00FA3375"/>
    <w:rsid w:val="00FA33C4"/>
    <w:rsid w:val="00FA347F"/>
    <w:rsid w:val="00FA35D8"/>
    <w:rsid w:val="00FA37A3"/>
    <w:rsid w:val="00FA398A"/>
    <w:rsid w:val="00FA3A58"/>
    <w:rsid w:val="00FA3A6A"/>
    <w:rsid w:val="00FA3A73"/>
    <w:rsid w:val="00FA3BE7"/>
    <w:rsid w:val="00FA3CDC"/>
    <w:rsid w:val="00FA3E18"/>
    <w:rsid w:val="00FA400E"/>
    <w:rsid w:val="00FA4013"/>
    <w:rsid w:val="00FA405D"/>
    <w:rsid w:val="00FA40CA"/>
    <w:rsid w:val="00FA41B4"/>
    <w:rsid w:val="00FA42C6"/>
    <w:rsid w:val="00FA43B1"/>
    <w:rsid w:val="00FA43FF"/>
    <w:rsid w:val="00FA4597"/>
    <w:rsid w:val="00FA471A"/>
    <w:rsid w:val="00FA496E"/>
    <w:rsid w:val="00FA4D9D"/>
    <w:rsid w:val="00FA4DF9"/>
    <w:rsid w:val="00FA4E6C"/>
    <w:rsid w:val="00FA4EA7"/>
    <w:rsid w:val="00FA5261"/>
    <w:rsid w:val="00FA53B3"/>
    <w:rsid w:val="00FA5416"/>
    <w:rsid w:val="00FA54D6"/>
    <w:rsid w:val="00FA5503"/>
    <w:rsid w:val="00FA5549"/>
    <w:rsid w:val="00FA57BC"/>
    <w:rsid w:val="00FA5878"/>
    <w:rsid w:val="00FA5941"/>
    <w:rsid w:val="00FA5BEC"/>
    <w:rsid w:val="00FA5C5F"/>
    <w:rsid w:val="00FA5C78"/>
    <w:rsid w:val="00FA5C8D"/>
    <w:rsid w:val="00FA5CB6"/>
    <w:rsid w:val="00FA5DCD"/>
    <w:rsid w:val="00FA5DD7"/>
    <w:rsid w:val="00FA5DFB"/>
    <w:rsid w:val="00FA5F1A"/>
    <w:rsid w:val="00FA5F3D"/>
    <w:rsid w:val="00FA5F5F"/>
    <w:rsid w:val="00FA5FB8"/>
    <w:rsid w:val="00FA5FDE"/>
    <w:rsid w:val="00FA6181"/>
    <w:rsid w:val="00FA61EB"/>
    <w:rsid w:val="00FA6343"/>
    <w:rsid w:val="00FA63A5"/>
    <w:rsid w:val="00FA653C"/>
    <w:rsid w:val="00FA66A1"/>
    <w:rsid w:val="00FA6A99"/>
    <w:rsid w:val="00FA6D5A"/>
    <w:rsid w:val="00FA6DB2"/>
    <w:rsid w:val="00FA6E75"/>
    <w:rsid w:val="00FA6F3A"/>
    <w:rsid w:val="00FA6FC4"/>
    <w:rsid w:val="00FA6FC9"/>
    <w:rsid w:val="00FA70A4"/>
    <w:rsid w:val="00FA70D2"/>
    <w:rsid w:val="00FA71C7"/>
    <w:rsid w:val="00FA72A3"/>
    <w:rsid w:val="00FA72BA"/>
    <w:rsid w:val="00FA732E"/>
    <w:rsid w:val="00FA7345"/>
    <w:rsid w:val="00FA7473"/>
    <w:rsid w:val="00FA75C6"/>
    <w:rsid w:val="00FA75D7"/>
    <w:rsid w:val="00FA782D"/>
    <w:rsid w:val="00FA7844"/>
    <w:rsid w:val="00FA7C3E"/>
    <w:rsid w:val="00FA7C42"/>
    <w:rsid w:val="00FA7C54"/>
    <w:rsid w:val="00FA7D80"/>
    <w:rsid w:val="00FA7DDF"/>
    <w:rsid w:val="00FA7E15"/>
    <w:rsid w:val="00FA7E26"/>
    <w:rsid w:val="00FA7F36"/>
    <w:rsid w:val="00FB00FC"/>
    <w:rsid w:val="00FB02E7"/>
    <w:rsid w:val="00FB0415"/>
    <w:rsid w:val="00FB0488"/>
    <w:rsid w:val="00FB05F8"/>
    <w:rsid w:val="00FB0611"/>
    <w:rsid w:val="00FB0675"/>
    <w:rsid w:val="00FB0676"/>
    <w:rsid w:val="00FB0814"/>
    <w:rsid w:val="00FB0E2C"/>
    <w:rsid w:val="00FB0EBE"/>
    <w:rsid w:val="00FB0F6A"/>
    <w:rsid w:val="00FB1022"/>
    <w:rsid w:val="00FB1033"/>
    <w:rsid w:val="00FB11C5"/>
    <w:rsid w:val="00FB132C"/>
    <w:rsid w:val="00FB136E"/>
    <w:rsid w:val="00FB13C1"/>
    <w:rsid w:val="00FB1456"/>
    <w:rsid w:val="00FB14F2"/>
    <w:rsid w:val="00FB1543"/>
    <w:rsid w:val="00FB1546"/>
    <w:rsid w:val="00FB156E"/>
    <w:rsid w:val="00FB15D1"/>
    <w:rsid w:val="00FB1651"/>
    <w:rsid w:val="00FB1893"/>
    <w:rsid w:val="00FB1A74"/>
    <w:rsid w:val="00FB1AF9"/>
    <w:rsid w:val="00FB1B28"/>
    <w:rsid w:val="00FB1B65"/>
    <w:rsid w:val="00FB1BFC"/>
    <w:rsid w:val="00FB1C2B"/>
    <w:rsid w:val="00FB1DF9"/>
    <w:rsid w:val="00FB1E61"/>
    <w:rsid w:val="00FB1F14"/>
    <w:rsid w:val="00FB209D"/>
    <w:rsid w:val="00FB21C0"/>
    <w:rsid w:val="00FB2328"/>
    <w:rsid w:val="00FB2408"/>
    <w:rsid w:val="00FB2486"/>
    <w:rsid w:val="00FB252E"/>
    <w:rsid w:val="00FB25B9"/>
    <w:rsid w:val="00FB25BE"/>
    <w:rsid w:val="00FB29AD"/>
    <w:rsid w:val="00FB29E4"/>
    <w:rsid w:val="00FB2CE4"/>
    <w:rsid w:val="00FB2D8D"/>
    <w:rsid w:val="00FB2E55"/>
    <w:rsid w:val="00FB2FAD"/>
    <w:rsid w:val="00FB3028"/>
    <w:rsid w:val="00FB30BB"/>
    <w:rsid w:val="00FB3248"/>
    <w:rsid w:val="00FB337B"/>
    <w:rsid w:val="00FB344E"/>
    <w:rsid w:val="00FB35F5"/>
    <w:rsid w:val="00FB36E1"/>
    <w:rsid w:val="00FB376F"/>
    <w:rsid w:val="00FB38C2"/>
    <w:rsid w:val="00FB3925"/>
    <w:rsid w:val="00FB39F8"/>
    <w:rsid w:val="00FB3A52"/>
    <w:rsid w:val="00FB3A69"/>
    <w:rsid w:val="00FB3CEF"/>
    <w:rsid w:val="00FB3D09"/>
    <w:rsid w:val="00FB3D8C"/>
    <w:rsid w:val="00FB3DCE"/>
    <w:rsid w:val="00FB3ECA"/>
    <w:rsid w:val="00FB3ECF"/>
    <w:rsid w:val="00FB3EE6"/>
    <w:rsid w:val="00FB3F8B"/>
    <w:rsid w:val="00FB406D"/>
    <w:rsid w:val="00FB422F"/>
    <w:rsid w:val="00FB42D1"/>
    <w:rsid w:val="00FB4303"/>
    <w:rsid w:val="00FB4312"/>
    <w:rsid w:val="00FB4525"/>
    <w:rsid w:val="00FB4545"/>
    <w:rsid w:val="00FB465D"/>
    <w:rsid w:val="00FB4704"/>
    <w:rsid w:val="00FB4753"/>
    <w:rsid w:val="00FB47A5"/>
    <w:rsid w:val="00FB4809"/>
    <w:rsid w:val="00FB4868"/>
    <w:rsid w:val="00FB48A6"/>
    <w:rsid w:val="00FB48B2"/>
    <w:rsid w:val="00FB4914"/>
    <w:rsid w:val="00FB49A7"/>
    <w:rsid w:val="00FB49CB"/>
    <w:rsid w:val="00FB4A0D"/>
    <w:rsid w:val="00FB4B34"/>
    <w:rsid w:val="00FB4C7A"/>
    <w:rsid w:val="00FB4D21"/>
    <w:rsid w:val="00FB4D9F"/>
    <w:rsid w:val="00FB4E21"/>
    <w:rsid w:val="00FB4E38"/>
    <w:rsid w:val="00FB5252"/>
    <w:rsid w:val="00FB528B"/>
    <w:rsid w:val="00FB5311"/>
    <w:rsid w:val="00FB5448"/>
    <w:rsid w:val="00FB555F"/>
    <w:rsid w:val="00FB5590"/>
    <w:rsid w:val="00FB561C"/>
    <w:rsid w:val="00FB5643"/>
    <w:rsid w:val="00FB597C"/>
    <w:rsid w:val="00FB5B91"/>
    <w:rsid w:val="00FB5D32"/>
    <w:rsid w:val="00FB5D83"/>
    <w:rsid w:val="00FB5D9C"/>
    <w:rsid w:val="00FB5E10"/>
    <w:rsid w:val="00FB5E73"/>
    <w:rsid w:val="00FB5E9D"/>
    <w:rsid w:val="00FB5EA7"/>
    <w:rsid w:val="00FB5EFE"/>
    <w:rsid w:val="00FB5F94"/>
    <w:rsid w:val="00FB600C"/>
    <w:rsid w:val="00FB6083"/>
    <w:rsid w:val="00FB6191"/>
    <w:rsid w:val="00FB624D"/>
    <w:rsid w:val="00FB63F6"/>
    <w:rsid w:val="00FB641C"/>
    <w:rsid w:val="00FB64A7"/>
    <w:rsid w:val="00FB6509"/>
    <w:rsid w:val="00FB657F"/>
    <w:rsid w:val="00FB671B"/>
    <w:rsid w:val="00FB67C9"/>
    <w:rsid w:val="00FB6860"/>
    <w:rsid w:val="00FB6865"/>
    <w:rsid w:val="00FB68C8"/>
    <w:rsid w:val="00FB68E5"/>
    <w:rsid w:val="00FB69ED"/>
    <w:rsid w:val="00FB6A5A"/>
    <w:rsid w:val="00FB6BC0"/>
    <w:rsid w:val="00FB6C93"/>
    <w:rsid w:val="00FB6DB0"/>
    <w:rsid w:val="00FB6DD8"/>
    <w:rsid w:val="00FB6EDE"/>
    <w:rsid w:val="00FB6F1B"/>
    <w:rsid w:val="00FB6F6E"/>
    <w:rsid w:val="00FB7072"/>
    <w:rsid w:val="00FB70E0"/>
    <w:rsid w:val="00FB710E"/>
    <w:rsid w:val="00FB72E0"/>
    <w:rsid w:val="00FB7425"/>
    <w:rsid w:val="00FB748B"/>
    <w:rsid w:val="00FB7559"/>
    <w:rsid w:val="00FB762B"/>
    <w:rsid w:val="00FB762F"/>
    <w:rsid w:val="00FB783F"/>
    <w:rsid w:val="00FB79ED"/>
    <w:rsid w:val="00FB7B36"/>
    <w:rsid w:val="00FB7C7A"/>
    <w:rsid w:val="00FB7EAB"/>
    <w:rsid w:val="00FB7F88"/>
    <w:rsid w:val="00FC005E"/>
    <w:rsid w:val="00FC02FC"/>
    <w:rsid w:val="00FC034A"/>
    <w:rsid w:val="00FC0614"/>
    <w:rsid w:val="00FC0687"/>
    <w:rsid w:val="00FC06AE"/>
    <w:rsid w:val="00FC0889"/>
    <w:rsid w:val="00FC0896"/>
    <w:rsid w:val="00FC09DC"/>
    <w:rsid w:val="00FC0A96"/>
    <w:rsid w:val="00FC0B9B"/>
    <w:rsid w:val="00FC0D31"/>
    <w:rsid w:val="00FC0E48"/>
    <w:rsid w:val="00FC0EF3"/>
    <w:rsid w:val="00FC1021"/>
    <w:rsid w:val="00FC104F"/>
    <w:rsid w:val="00FC1092"/>
    <w:rsid w:val="00FC1096"/>
    <w:rsid w:val="00FC1174"/>
    <w:rsid w:val="00FC1178"/>
    <w:rsid w:val="00FC122F"/>
    <w:rsid w:val="00FC13D0"/>
    <w:rsid w:val="00FC149D"/>
    <w:rsid w:val="00FC14A3"/>
    <w:rsid w:val="00FC14AD"/>
    <w:rsid w:val="00FC14BE"/>
    <w:rsid w:val="00FC15E0"/>
    <w:rsid w:val="00FC16AA"/>
    <w:rsid w:val="00FC16B4"/>
    <w:rsid w:val="00FC1704"/>
    <w:rsid w:val="00FC1932"/>
    <w:rsid w:val="00FC1999"/>
    <w:rsid w:val="00FC1C79"/>
    <w:rsid w:val="00FC1D60"/>
    <w:rsid w:val="00FC1E85"/>
    <w:rsid w:val="00FC1F2E"/>
    <w:rsid w:val="00FC2106"/>
    <w:rsid w:val="00FC2148"/>
    <w:rsid w:val="00FC2150"/>
    <w:rsid w:val="00FC2242"/>
    <w:rsid w:val="00FC245E"/>
    <w:rsid w:val="00FC24AC"/>
    <w:rsid w:val="00FC2569"/>
    <w:rsid w:val="00FC2768"/>
    <w:rsid w:val="00FC2920"/>
    <w:rsid w:val="00FC2A81"/>
    <w:rsid w:val="00FC2B70"/>
    <w:rsid w:val="00FC2BCA"/>
    <w:rsid w:val="00FC2E74"/>
    <w:rsid w:val="00FC2EF7"/>
    <w:rsid w:val="00FC2F89"/>
    <w:rsid w:val="00FC3236"/>
    <w:rsid w:val="00FC3466"/>
    <w:rsid w:val="00FC34AF"/>
    <w:rsid w:val="00FC360D"/>
    <w:rsid w:val="00FC383D"/>
    <w:rsid w:val="00FC38B8"/>
    <w:rsid w:val="00FC39E3"/>
    <w:rsid w:val="00FC3AAC"/>
    <w:rsid w:val="00FC3D3C"/>
    <w:rsid w:val="00FC400A"/>
    <w:rsid w:val="00FC406F"/>
    <w:rsid w:val="00FC4170"/>
    <w:rsid w:val="00FC4258"/>
    <w:rsid w:val="00FC42EA"/>
    <w:rsid w:val="00FC4318"/>
    <w:rsid w:val="00FC43E4"/>
    <w:rsid w:val="00FC45A9"/>
    <w:rsid w:val="00FC460C"/>
    <w:rsid w:val="00FC48A3"/>
    <w:rsid w:val="00FC48B8"/>
    <w:rsid w:val="00FC493C"/>
    <w:rsid w:val="00FC4AAD"/>
    <w:rsid w:val="00FC4B3B"/>
    <w:rsid w:val="00FC4BFB"/>
    <w:rsid w:val="00FC4C4D"/>
    <w:rsid w:val="00FC4F3E"/>
    <w:rsid w:val="00FC4FE0"/>
    <w:rsid w:val="00FC4FFF"/>
    <w:rsid w:val="00FC5040"/>
    <w:rsid w:val="00FC51FE"/>
    <w:rsid w:val="00FC528D"/>
    <w:rsid w:val="00FC531B"/>
    <w:rsid w:val="00FC5347"/>
    <w:rsid w:val="00FC5485"/>
    <w:rsid w:val="00FC548E"/>
    <w:rsid w:val="00FC560A"/>
    <w:rsid w:val="00FC56D4"/>
    <w:rsid w:val="00FC5840"/>
    <w:rsid w:val="00FC5870"/>
    <w:rsid w:val="00FC589F"/>
    <w:rsid w:val="00FC591D"/>
    <w:rsid w:val="00FC5A27"/>
    <w:rsid w:val="00FC5AC3"/>
    <w:rsid w:val="00FC5ADE"/>
    <w:rsid w:val="00FC5B02"/>
    <w:rsid w:val="00FC5B23"/>
    <w:rsid w:val="00FC5C70"/>
    <w:rsid w:val="00FC5C95"/>
    <w:rsid w:val="00FC5D29"/>
    <w:rsid w:val="00FC5DAF"/>
    <w:rsid w:val="00FC5E76"/>
    <w:rsid w:val="00FC5F60"/>
    <w:rsid w:val="00FC617C"/>
    <w:rsid w:val="00FC61A6"/>
    <w:rsid w:val="00FC6315"/>
    <w:rsid w:val="00FC6443"/>
    <w:rsid w:val="00FC6792"/>
    <w:rsid w:val="00FC690A"/>
    <w:rsid w:val="00FC6922"/>
    <w:rsid w:val="00FC6993"/>
    <w:rsid w:val="00FC69B7"/>
    <w:rsid w:val="00FC6A40"/>
    <w:rsid w:val="00FC6A72"/>
    <w:rsid w:val="00FC6ABA"/>
    <w:rsid w:val="00FC6ADA"/>
    <w:rsid w:val="00FC6BC8"/>
    <w:rsid w:val="00FC6BD8"/>
    <w:rsid w:val="00FC6CE7"/>
    <w:rsid w:val="00FC6F9F"/>
    <w:rsid w:val="00FC7027"/>
    <w:rsid w:val="00FC70A7"/>
    <w:rsid w:val="00FC7267"/>
    <w:rsid w:val="00FC7317"/>
    <w:rsid w:val="00FC737C"/>
    <w:rsid w:val="00FC751A"/>
    <w:rsid w:val="00FC753F"/>
    <w:rsid w:val="00FC75E0"/>
    <w:rsid w:val="00FC76BF"/>
    <w:rsid w:val="00FC793D"/>
    <w:rsid w:val="00FC79A8"/>
    <w:rsid w:val="00FC79AF"/>
    <w:rsid w:val="00FC7A8F"/>
    <w:rsid w:val="00FC7B65"/>
    <w:rsid w:val="00FC7C08"/>
    <w:rsid w:val="00FC7C8E"/>
    <w:rsid w:val="00FC7C94"/>
    <w:rsid w:val="00FC7E3E"/>
    <w:rsid w:val="00FC7EDB"/>
    <w:rsid w:val="00FC7F32"/>
    <w:rsid w:val="00FD0060"/>
    <w:rsid w:val="00FD012B"/>
    <w:rsid w:val="00FD027F"/>
    <w:rsid w:val="00FD0391"/>
    <w:rsid w:val="00FD0472"/>
    <w:rsid w:val="00FD0593"/>
    <w:rsid w:val="00FD062A"/>
    <w:rsid w:val="00FD066D"/>
    <w:rsid w:val="00FD076C"/>
    <w:rsid w:val="00FD0786"/>
    <w:rsid w:val="00FD07E5"/>
    <w:rsid w:val="00FD08C0"/>
    <w:rsid w:val="00FD08FF"/>
    <w:rsid w:val="00FD0909"/>
    <w:rsid w:val="00FD09FC"/>
    <w:rsid w:val="00FD0A39"/>
    <w:rsid w:val="00FD0A4A"/>
    <w:rsid w:val="00FD0A87"/>
    <w:rsid w:val="00FD0B81"/>
    <w:rsid w:val="00FD0C38"/>
    <w:rsid w:val="00FD0CC7"/>
    <w:rsid w:val="00FD0CD3"/>
    <w:rsid w:val="00FD0D6B"/>
    <w:rsid w:val="00FD0E19"/>
    <w:rsid w:val="00FD0E34"/>
    <w:rsid w:val="00FD0F3A"/>
    <w:rsid w:val="00FD0F49"/>
    <w:rsid w:val="00FD13E6"/>
    <w:rsid w:val="00FD149F"/>
    <w:rsid w:val="00FD14F8"/>
    <w:rsid w:val="00FD16CF"/>
    <w:rsid w:val="00FD18E6"/>
    <w:rsid w:val="00FD1983"/>
    <w:rsid w:val="00FD19A2"/>
    <w:rsid w:val="00FD19FD"/>
    <w:rsid w:val="00FD1A2D"/>
    <w:rsid w:val="00FD1A88"/>
    <w:rsid w:val="00FD1B2C"/>
    <w:rsid w:val="00FD1E20"/>
    <w:rsid w:val="00FD1ED1"/>
    <w:rsid w:val="00FD1F59"/>
    <w:rsid w:val="00FD2026"/>
    <w:rsid w:val="00FD2099"/>
    <w:rsid w:val="00FD20D3"/>
    <w:rsid w:val="00FD2228"/>
    <w:rsid w:val="00FD225E"/>
    <w:rsid w:val="00FD23B6"/>
    <w:rsid w:val="00FD2445"/>
    <w:rsid w:val="00FD24FD"/>
    <w:rsid w:val="00FD27F7"/>
    <w:rsid w:val="00FD2873"/>
    <w:rsid w:val="00FD2C23"/>
    <w:rsid w:val="00FD2CEB"/>
    <w:rsid w:val="00FD2D7D"/>
    <w:rsid w:val="00FD2DD8"/>
    <w:rsid w:val="00FD2F00"/>
    <w:rsid w:val="00FD2F5D"/>
    <w:rsid w:val="00FD2FA7"/>
    <w:rsid w:val="00FD2FB5"/>
    <w:rsid w:val="00FD2FFE"/>
    <w:rsid w:val="00FD3007"/>
    <w:rsid w:val="00FD30BD"/>
    <w:rsid w:val="00FD312B"/>
    <w:rsid w:val="00FD328D"/>
    <w:rsid w:val="00FD3296"/>
    <w:rsid w:val="00FD32DA"/>
    <w:rsid w:val="00FD3653"/>
    <w:rsid w:val="00FD36BA"/>
    <w:rsid w:val="00FD36C7"/>
    <w:rsid w:val="00FD37A6"/>
    <w:rsid w:val="00FD3856"/>
    <w:rsid w:val="00FD38BA"/>
    <w:rsid w:val="00FD3995"/>
    <w:rsid w:val="00FD39A1"/>
    <w:rsid w:val="00FD3C15"/>
    <w:rsid w:val="00FD3D3D"/>
    <w:rsid w:val="00FD3D55"/>
    <w:rsid w:val="00FD3F21"/>
    <w:rsid w:val="00FD3F47"/>
    <w:rsid w:val="00FD3F95"/>
    <w:rsid w:val="00FD3FA3"/>
    <w:rsid w:val="00FD3FDE"/>
    <w:rsid w:val="00FD4061"/>
    <w:rsid w:val="00FD407F"/>
    <w:rsid w:val="00FD4095"/>
    <w:rsid w:val="00FD40CF"/>
    <w:rsid w:val="00FD4152"/>
    <w:rsid w:val="00FD4245"/>
    <w:rsid w:val="00FD43FF"/>
    <w:rsid w:val="00FD4403"/>
    <w:rsid w:val="00FD4709"/>
    <w:rsid w:val="00FD473C"/>
    <w:rsid w:val="00FD479E"/>
    <w:rsid w:val="00FD488D"/>
    <w:rsid w:val="00FD48A8"/>
    <w:rsid w:val="00FD4991"/>
    <w:rsid w:val="00FD49CF"/>
    <w:rsid w:val="00FD4A7C"/>
    <w:rsid w:val="00FD4A92"/>
    <w:rsid w:val="00FD4AAE"/>
    <w:rsid w:val="00FD4BD1"/>
    <w:rsid w:val="00FD4DF9"/>
    <w:rsid w:val="00FD507E"/>
    <w:rsid w:val="00FD5095"/>
    <w:rsid w:val="00FD5103"/>
    <w:rsid w:val="00FD5238"/>
    <w:rsid w:val="00FD52A3"/>
    <w:rsid w:val="00FD56E1"/>
    <w:rsid w:val="00FD5731"/>
    <w:rsid w:val="00FD577E"/>
    <w:rsid w:val="00FD57D3"/>
    <w:rsid w:val="00FD57F9"/>
    <w:rsid w:val="00FD590A"/>
    <w:rsid w:val="00FD599E"/>
    <w:rsid w:val="00FD5A3E"/>
    <w:rsid w:val="00FD5A57"/>
    <w:rsid w:val="00FD5A6C"/>
    <w:rsid w:val="00FD5C4B"/>
    <w:rsid w:val="00FD5C60"/>
    <w:rsid w:val="00FD5C68"/>
    <w:rsid w:val="00FD5CF6"/>
    <w:rsid w:val="00FD5CFB"/>
    <w:rsid w:val="00FD5F83"/>
    <w:rsid w:val="00FD60A5"/>
    <w:rsid w:val="00FD6213"/>
    <w:rsid w:val="00FD628C"/>
    <w:rsid w:val="00FD6294"/>
    <w:rsid w:val="00FD6412"/>
    <w:rsid w:val="00FD648B"/>
    <w:rsid w:val="00FD6694"/>
    <w:rsid w:val="00FD6746"/>
    <w:rsid w:val="00FD675E"/>
    <w:rsid w:val="00FD67E7"/>
    <w:rsid w:val="00FD67F1"/>
    <w:rsid w:val="00FD687A"/>
    <w:rsid w:val="00FD6916"/>
    <w:rsid w:val="00FD6944"/>
    <w:rsid w:val="00FD69D9"/>
    <w:rsid w:val="00FD6AA4"/>
    <w:rsid w:val="00FD6B3F"/>
    <w:rsid w:val="00FD6BD4"/>
    <w:rsid w:val="00FD6CEF"/>
    <w:rsid w:val="00FD6D35"/>
    <w:rsid w:val="00FD6DB1"/>
    <w:rsid w:val="00FD6DF5"/>
    <w:rsid w:val="00FD71C2"/>
    <w:rsid w:val="00FD7347"/>
    <w:rsid w:val="00FD7382"/>
    <w:rsid w:val="00FD74E1"/>
    <w:rsid w:val="00FD751C"/>
    <w:rsid w:val="00FD75F8"/>
    <w:rsid w:val="00FD7678"/>
    <w:rsid w:val="00FD768E"/>
    <w:rsid w:val="00FD76A8"/>
    <w:rsid w:val="00FD783E"/>
    <w:rsid w:val="00FD7867"/>
    <w:rsid w:val="00FD79E4"/>
    <w:rsid w:val="00FD7A38"/>
    <w:rsid w:val="00FD7A60"/>
    <w:rsid w:val="00FD7AB6"/>
    <w:rsid w:val="00FD7AED"/>
    <w:rsid w:val="00FD7B1A"/>
    <w:rsid w:val="00FD7B2C"/>
    <w:rsid w:val="00FD7BD3"/>
    <w:rsid w:val="00FD7E0F"/>
    <w:rsid w:val="00FD7E5F"/>
    <w:rsid w:val="00FE00D6"/>
    <w:rsid w:val="00FE00F9"/>
    <w:rsid w:val="00FE0146"/>
    <w:rsid w:val="00FE02B3"/>
    <w:rsid w:val="00FE03C4"/>
    <w:rsid w:val="00FE04A2"/>
    <w:rsid w:val="00FE0539"/>
    <w:rsid w:val="00FE0700"/>
    <w:rsid w:val="00FE08B6"/>
    <w:rsid w:val="00FE09B8"/>
    <w:rsid w:val="00FE0A37"/>
    <w:rsid w:val="00FE0D8F"/>
    <w:rsid w:val="00FE0E41"/>
    <w:rsid w:val="00FE0EFF"/>
    <w:rsid w:val="00FE1208"/>
    <w:rsid w:val="00FE135B"/>
    <w:rsid w:val="00FE149E"/>
    <w:rsid w:val="00FE15B9"/>
    <w:rsid w:val="00FE16D9"/>
    <w:rsid w:val="00FE1850"/>
    <w:rsid w:val="00FE18A7"/>
    <w:rsid w:val="00FE190B"/>
    <w:rsid w:val="00FE19C6"/>
    <w:rsid w:val="00FE1A0D"/>
    <w:rsid w:val="00FE1A9B"/>
    <w:rsid w:val="00FE1AF3"/>
    <w:rsid w:val="00FE1BB4"/>
    <w:rsid w:val="00FE1C83"/>
    <w:rsid w:val="00FE1E0F"/>
    <w:rsid w:val="00FE1E7B"/>
    <w:rsid w:val="00FE1ECF"/>
    <w:rsid w:val="00FE1EEC"/>
    <w:rsid w:val="00FE1F37"/>
    <w:rsid w:val="00FE2025"/>
    <w:rsid w:val="00FE212D"/>
    <w:rsid w:val="00FE21BC"/>
    <w:rsid w:val="00FE21C3"/>
    <w:rsid w:val="00FE21FB"/>
    <w:rsid w:val="00FE22C4"/>
    <w:rsid w:val="00FE239D"/>
    <w:rsid w:val="00FE2427"/>
    <w:rsid w:val="00FE257F"/>
    <w:rsid w:val="00FE270A"/>
    <w:rsid w:val="00FE29B6"/>
    <w:rsid w:val="00FE2A63"/>
    <w:rsid w:val="00FE2AEE"/>
    <w:rsid w:val="00FE2C64"/>
    <w:rsid w:val="00FE2C9A"/>
    <w:rsid w:val="00FE2CA4"/>
    <w:rsid w:val="00FE2DD4"/>
    <w:rsid w:val="00FE2FB5"/>
    <w:rsid w:val="00FE2FF9"/>
    <w:rsid w:val="00FE313A"/>
    <w:rsid w:val="00FE3203"/>
    <w:rsid w:val="00FE3274"/>
    <w:rsid w:val="00FE32D8"/>
    <w:rsid w:val="00FE33E6"/>
    <w:rsid w:val="00FE344C"/>
    <w:rsid w:val="00FE351F"/>
    <w:rsid w:val="00FE3558"/>
    <w:rsid w:val="00FE35FE"/>
    <w:rsid w:val="00FE3714"/>
    <w:rsid w:val="00FE3733"/>
    <w:rsid w:val="00FE3758"/>
    <w:rsid w:val="00FE38CC"/>
    <w:rsid w:val="00FE391E"/>
    <w:rsid w:val="00FE39BB"/>
    <w:rsid w:val="00FE3A42"/>
    <w:rsid w:val="00FE3B0B"/>
    <w:rsid w:val="00FE3B3C"/>
    <w:rsid w:val="00FE3C5A"/>
    <w:rsid w:val="00FE3E0A"/>
    <w:rsid w:val="00FE4184"/>
    <w:rsid w:val="00FE42FF"/>
    <w:rsid w:val="00FE44DD"/>
    <w:rsid w:val="00FE4680"/>
    <w:rsid w:val="00FE4695"/>
    <w:rsid w:val="00FE472E"/>
    <w:rsid w:val="00FE47D1"/>
    <w:rsid w:val="00FE49D5"/>
    <w:rsid w:val="00FE4ACB"/>
    <w:rsid w:val="00FE4AFF"/>
    <w:rsid w:val="00FE4BC8"/>
    <w:rsid w:val="00FE4CF4"/>
    <w:rsid w:val="00FE4D26"/>
    <w:rsid w:val="00FE4E30"/>
    <w:rsid w:val="00FE4FBD"/>
    <w:rsid w:val="00FE50C1"/>
    <w:rsid w:val="00FE52EE"/>
    <w:rsid w:val="00FE538E"/>
    <w:rsid w:val="00FE53A7"/>
    <w:rsid w:val="00FE553A"/>
    <w:rsid w:val="00FE55B1"/>
    <w:rsid w:val="00FE5633"/>
    <w:rsid w:val="00FE564F"/>
    <w:rsid w:val="00FE5738"/>
    <w:rsid w:val="00FE57D9"/>
    <w:rsid w:val="00FE58EB"/>
    <w:rsid w:val="00FE5925"/>
    <w:rsid w:val="00FE592D"/>
    <w:rsid w:val="00FE5937"/>
    <w:rsid w:val="00FE5998"/>
    <w:rsid w:val="00FE5AE8"/>
    <w:rsid w:val="00FE5C7F"/>
    <w:rsid w:val="00FE5CAA"/>
    <w:rsid w:val="00FE5E9F"/>
    <w:rsid w:val="00FE5F22"/>
    <w:rsid w:val="00FE60E7"/>
    <w:rsid w:val="00FE610F"/>
    <w:rsid w:val="00FE61D1"/>
    <w:rsid w:val="00FE6266"/>
    <w:rsid w:val="00FE62A1"/>
    <w:rsid w:val="00FE6382"/>
    <w:rsid w:val="00FE645A"/>
    <w:rsid w:val="00FE646D"/>
    <w:rsid w:val="00FE65E7"/>
    <w:rsid w:val="00FE665E"/>
    <w:rsid w:val="00FE66A4"/>
    <w:rsid w:val="00FE6719"/>
    <w:rsid w:val="00FE67C8"/>
    <w:rsid w:val="00FE6939"/>
    <w:rsid w:val="00FE69BE"/>
    <w:rsid w:val="00FE6AF3"/>
    <w:rsid w:val="00FE6B97"/>
    <w:rsid w:val="00FE6B9F"/>
    <w:rsid w:val="00FE6DC1"/>
    <w:rsid w:val="00FE6F09"/>
    <w:rsid w:val="00FE6F4C"/>
    <w:rsid w:val="00FE6FA4"/>
    <w:rsid w:val="00FE6FF0"/>
    <w:rsid w:val="00FE7079"/>
    <w:rsid w:val="00FE70EE"/>
    <w:rsid w:val="00FE7102"/>
    <w:rsid w:val="00FE71B6"/>
    <w:rsid w:val="00FE71F4"/>
    <w:rsid w:val="00FE753E"/>
    <w:rsid w:val="00FE7635"/>
    <w:rsid w:val="00FE76B0"/>
    <w:rsid w:val="00FE770B"/>
    <w:rsid w:val="00FE784C"/>
    <w:rsid w:val="00FE797F"/>
    <w:rsid w:val="00FE7AB9"/>
    <w:rsid w:val="00FE7AC8"/>
    <w:rsid w:val="00FE7AF7"/>
    <w:rsid w:val="00FE7B27"/>
    <w:rsid w:val="00FE7CA0"/>
    <w:rsid w:val="00FE7E12"/>
    <w:rsid w:val="00FE7E3D"/>
    <w:rsid w:val="00FE7F7D"/>
    <w:rsid w:val="00FE7F9C"/>
    <w:rsid w:val="00FF0099"/>
    <w:rsid w:val="00FF025C"/>
    <w:rsid w:val="00FF02F2"/>
    <w:rsid w:val="00FF031A"/>
    <w:rsid w:val="00FF03AF"/>
    <w:rsid w:val="00FF03B8"/>
    <w:rsid w:val="00FF0456"/>
    <w:rsid w:val="00FF046C"/>
    <w:rsid w:val="00FF0524"/>
    <w:rsid w:val="00FF0537"/>
    <w:rsid w:val="00FF062C"/>
    <w:rsid w:val="00FF079A"/>
    <w:rsid w:val="00FF081F"/>
    <w:rsid w:val="00FF0A95"/>
    <w:rsid w:val="00FF0AB1"/>
    <w:rsid w:val="00FF0AF0"/>
    <w:rsid w:val="00FF0C2C"/>
    <w:rsid w:val="00FF0EE5"/>
    <w:rsid w:val="00FF0F97"/>
    <w:rsid w:val="00FF10B3"/>
    <w:rsid w:val="00FF1265"/>
    <w:rsid w:val="00FF1277"/>
    <w:rsid w:val="00FF12AA"/>
    <w:rsid w:val="00FF12E5"/>
    <w:rsid w:val="00FF13BD"/>
    <w:rsid w:val="00FF13C5"/>
    <w:rsid w:val="00FF1495"/>
    <w:rsid w:val="00FF1503"/>
    <w:rsid w:val="00FF15B4"/>
    <w:rsid w:val="00FF165F"/>
    <w:rsid w:val="00FF1665"/>
    <w:rsid w:val="00FF1996"/>
    <w:rsid w:val="00FF1A58"/>
    <w:rsid w:val="00FF1C8B"/>
    <w:rsid w:val="00FF1CC9"/>
    <w:rsid w:val="00FF1E9C"/>
    <w:rsid w:val="00FF1F9B"/>
    <w:rsid w:val="00FF20DF"/>
    <w:rsid w:val="00FF20EF"/>
    <w:rsid w:val="00FF2272"/>
    <w:rsid w:val="00FF22D4"/>
    <w:rsid w:val="00FF2336"/>
    <w:rsid w:val="00FF2382"/>
    <w:rsid w:val="00FF2486"/>
    <w:rsid w:val="00FF252F"/>
    <w:rsid w:val="00FF25CD"/>
    <w:rsid w:val="00FF28C1"/>
    <w:rsid w:val="00FF28E6"/>
    <w:rsid w:val="00FF2913"/>
    <w:rsid w:val="00FF2A54"/>
    <w:rsid w:val="00FF2AC5"/>
    <w:rsid w:val="00FF2B78"/>
    <w:rsid w:val="00FF2CC0"/>
    <w:rsid w:val="00FF2D58"/>
    <w:rsid w:val="00FF2FA0"/>
    <w:rsid w:val="00FF2FD0"/>
    <w:rsid w:val="00FF32B0"/>
    <w:rsid w:val="00FF33BA"/>
    <w:rsid w:val="00FF340D"/>
    <w:rsid w:val="00FF355D"/>
    <w:rsid w:val="00FF35C8"/>
    <w:rsid w:val="00FF363A"/>
    <w:rsid w:val="00FF386D"/>
    <w:rsid w:val="00FF3927"/>
    <w:rsid w:val="00FF3961"/>
    <w:rsid w:val="00FF39A2"/>
    <w:rsid w:val="00FF39CE"/>
    <w:rsid w:val="00FF3A02"/>
    <w:rsid w:val="00FF3B41"/>
    <w:rsid w:val="00FF3B79"/>
    <w:rsid w:val="00FF3BAB"/>
    <w:rsid w:val="00FF3C90"/>
    <w:rsid w:val="00FF3DA5"/>
    <w:rsid w:val="00FF3E31"/>
    <w:rsid w:val="00FF4002"/>
    <w:rsid w:val="00FF4221"/>
    <w:rsid w:val="00FF4370"/>
    <w:rsid w:val="00FF4461"/>
    <w:rsid w:val="00FF449D"/>
    <w:rsid w:val="00FF471C"/>
    <w:rsid w:val="00FF47F7"/>
    <w:rsid w:val="00FF4891"/>
    <w:rsid w:val="00FF49B0"/>
    <w:rsid w:val="00FF4B0F"/>
    <w:rsid w:val="00FF4B3B"/>
    <w:rsid w:val="00FF4B8A"/>
    <w:rsid w:val="00FF4D1D"/>
    <w:rsid w:val="00FF4D60"/>
    <w:rsid w:val="00FF4DC5"/>
    <w:rsid w:val="00FF4E90"/>
    <w:rsid w:val="00FF4F54"/>
    <w:rsid w:val="00FF4FD9"/>
    <w:rsid w:val="00FF500A"/>
    <w:rsid w:val="00FF50E3"/>
    <w:rsid w:val="00FF533B"/>
    <w:rsid w:val="00FF536F"/>
    <w:rsid w:val="00FF545B"/>
    <w:rsid w:val="00FF54CE"/>
    <w:rsid w:val="00FF54DA"/>
    <w:rsid w:val="00FF5748"/>
    <w:rsid w:val="00FF57CF"/>
    <w:rsid w:val="00FF5849"/>
    <w:rsid w:val="00FF5A0D"/>
    <w:rsid w:val="00FF5B31"/>
    <w:rsid w:val="00FF5D37"/>
    <w:rsid w:val="00FF5E52"/>
    <w:rsid w:val="00FF6062"/>
    <w:rsid w:val="00FF60B8"/>
    <w:rsid w:val="00FF6407"/>
    <w:rsid w:val="00FF64B0"/>
    <w:rsid w:val="00FF64F7"/>
    <w:rsid w:val="00FF6723"/>
    <w:rsid w:val="00FF6745"/>
    <w:rsid w:val="00FF6764"/>
    <w:rsid w:val="00FF67F5"/>
    <w:rsid w:val="00FF6861"/>
    <w:rsid w:val="00FF691E"/>
    <w:rsid w:val="00FF693A"/>
    <w:rsid w:val="00FF6AA5"/>
    <w:rsid w:val="00FF6B03"/>
    <w:rsid w:val="00FF6BD1"/>
    <w:rsid w:val="00FF6F18"/>
    <w:rsid w:val="00FF6F7A"/>
    <w:rsid w:val="00FF72BE"/>
    <w:rsid w:val="00FF7367"/>
    <w:rsid w:val="00FF7406"/>
    <w:rsid w:val="00FF7436"/>
    <w:rsid w:val="00FF7465"/>
    <w:rsid w:val="00FF74AD"/>
    <w:rsid w:val="00FF75F0"/>
    <w:rsid w:val="00FF7798"/>
    <w:rsid w:val="00FF77AB"/>
    <w:rsid w:val="00FF794C"/>
    <w:rsid w:val="00FF79E9"/>
    <w:rsid w:val="00FF79FC"/>
    <w:rsid w:val="00FF7BA2"/>
    <w:rsid w:val="00FF7E0A"/>
    <w:rsid w:val="00FF7E71"/>
    <w:rsid w:val="00FF7F93"/>
    <w:rsid w:val="00FF7FBA"/>
    <w:rsid w:val="0123BE9F"/>
    <w:rsid w:val="0154417B"/>
    <w:rsid w:val="04457789"/>
    <w:rsid w:val="0457DA5C"/>
    <w:rsid w:val="0532B71E"/>
    <w:rsid w:val="055EDFBF"/>
    <w:rsid w:val="0662988A"/>
    <w:rsid w:val="06AF7BE8"/>
    <w:rsid w:val="0766C9D0"/>
    <w:rsid w:val="07A1348F"/>
    <w:rsid w:val="07E6858D"/>
    <w:rsid w:val="0A3FEB61"/>
    <w:rsid w:val="0A827EAB"/>
    <w:rsid w:val="0B5B3ADB"/>
    <w:rsid w:val="0C8322E5"/>
    <w:rsid w:val="0D0F1495"/>
    <w:rsid w:val="0D26AAF2"/>
    <w:rsid w:val="0DE76546"/>
    <w:rsid w:val="0DFFA096"/>
    <w:rsid w:val="0ECDE215"/>
    <w:rsid w:val="111793F9"/>
    <w:rsid w:val="111F817F"/>
    <w:rsid w:val="11735B83"/>
    <w:rsid w:val="125904AF"/>
    <w:rsid w:val="13056285"/>
    <w:rsid w:val="1395EC76"/>
    <w:rsid w:val="143E356A"/>
    <w:rsid w:val="16279AE7"/>
    <w:rsid w:val="16629D57"/>
    <w:rsid w:val="1A0BFB9F"/>
    <w:rsid w:val="1A10D265"/>
    <w:rsid w:val="1A73144E"/>
    <w:rsid w:val="1C0C9566"/>
    <w:rsid w:val="1C1C6683"/>
    <w:rsid w:val="1C5A46A0"/>
    <w:rsid w:val="1D23A65F"/>
    <w:rsid w:val="1E7840A8"/>
    <w:rsid w:val="1E98213E"/>
    <w:rsid w:val="1EF78B36"/>
    <w:rsid w:val="1F105649"/>
    <w:rsid w:val="1F3D368A"/>
    <w:rsid w:val="1FFC92BE"/>
    <w:rsid w:val="206C81F8"/>
    <w:rsid w:val="20728BC6"/>
    <w:rsid w:val="21AB7923"/>
    <w:rsid w:val="21B89D31"/>
    <w:rsid w:val="22EADA75"/>
    <w:rsid w:val="232F2C93"/>
    <w:rsid w:val="246ED2CE"/>
    <w:rsid w:val="25189210"/>
    <w:rsid w:val="26A8779E"/>
    <w:rsid w:val="26F2BA4F"/>
    <w:rsid w:val="27D773F5"/>
    <w:rsid w:val="2810FA7B"/>
    <w:rsid w:val="28A065E5"/>
    <w:rsid w:val="28FD913F"/>
    <w:rsid w:val="29A7D71D"/>
    <w:rsid w:val="29BF49BA"/>
    <w:rsid w:val="29FE4813"/>
    <w:rsid w:val="2A827A35"/>
    <w:rsid w:val="2ADA5605"/>
    <w:rsid w:val="2B0F14B7"/>
    <w:rsid w:val="2C138493"/>
    <w:rsid w:val="2C37544A"/>
    <w:rsid w:val="2CEE2BCA"/>
    <w:rsid w:val="2D39CA29"/>
    <w:rsid w:val="2D642D5D"/>
    <w:rsid w:val="2E142851"/>
    <w:rsid w:val="2E5F92D5"/>
    <w:rsid w:val="2E70D3CE"/>
    <w:rsid w:val="2E82CA27"/>
    <w:rsid w:val="2EC0A743"/>
    <w:rsid w:val="2FC3D452"/>
    <w:rsid w:val="2FC95D7D"/>
    <w:rsid w:val="30716AEB"/>
    <w:rsid w:val="309BCE1F"/>
    <w:rsid w:val="31DAA706"/>
    <w:rsid w:val="322663A9"/>
    <w:rsid w:val="3248B219"/>
    <w:rsid w:val="324BE4EC"/>
    <w:rsid w:val="3306993A"/>
    <w:rsid w:val="348F3889"/>
    <w:rsid w:val="34D71E87"/>
    <w:rsid w:val="3649D9D8"/>
    <w:rsid w:val="3657FEE8"/>
    <w:rsid w:val="37071300"/>
    <w:rsid w:val="38CFD68B"/>
    <w:rsid w:val="38FD7856"/>
    <w:rsid w:val="3973715E"/>
    <w:rsid w:val="399266A7"/>
    <w:rsid w:val="3A0432F5"/>
    <w:rsid w:val="3A31758E"/>
    <w:rsid w:val="3AB2526B"/>
    <w:rsid w:val="3C00A5BA"/>
    <w:rsid w:val="3C4709CE"/>
    <w:rsid w:val="3CA7E085"/>
    <w:rsid w:val="3D7DF180"/>
    <w:rsid w:val="3DBB8970"/>
    <w:rsid w:val="3DC5C1CD"/>
    <w:rsid w:val="3E6B5AA0"/>
    <w:rsid w:val="3E788031"/>
    <w:rsid w:val="3EF3ABDA"/>
    <w:rsid w:val="3F3773D9"/>
    <w:rsid w:val="408F7C3B"/>
    <w:rsid w:val="40FCEC3D"/>
    <w:rsid w:val="41614576"/>
    <w:rsid w:val="418C8C7F"/>
    <w:rsid w:val="42897585"/>
    <w:rsid w:val="42A12076"/>
    <w:rsid w:val="42DC1365"/>
    <w:rsid w:val="4457F4CC"/>
    <w:rsid w:val="4753C095"/>
    <w:rsid w:val="48488EDA"/>
    <w:rsid w:val="49B4DF6A"/>
    <w:rsid w:val="49BC0BE3"/>
    <w:rsid w:val="4A53169E"/>
    <w:rsid w:val="4A786EA1"/>
    <w:rsid w:val="4AF8555D"/>
    <w:rsid w:val="4B44D263"/>
    <w:rsid w:val="4B7BEDDD"/>
    <w:rsid w:val="4BA4BAF9"/>
    <w:rsid w:val="4BBFDE14"/>
    <w:rsid w:val="4BE369B9"/>
    <w:rsid w:val="4BF1E6E5"/>
    <w:rsid w:val="4BFC0DB6"/>
    <w:rsid w:val="4CBE044F"/>
    <w:rsid w:val="4CE052BF"/>
    <w:rsid w:val="4CEC120F"/>
    <w:rsid w:val="4D33D829"/>
    <w:rsid w:val="4D981E73"/>
    <w:rsid w:val="4DDF0CDB"/>
    <w:rsid w:val="4DE86AE0"/>
    <w:rsid w:val="4E60E237"/>
    <w:rsid w:val="50357AE0"/>
    <w:rsid w:val="52934C3F"/>
    <w:rsid w:val="52AF56BA"/>
    <w:rsid w:val="533ABE32"/>
    <w:rsid w:val="5454A00E"/>
    <w:rsid w:val="567ED718"/>
    <w:rsid w:val="5694691B"/>
    <w:rsid w:val="5696F270"/>
    <w:rsid w:val="56ED9FC2"/>
    <w:rsid w:val="57476EB1"/>
    <w:rsid w:val="5758A988"/>
    <w:rsid w:val="57ADD26F"/>
    <w:rsid w:val="591E9642"/>
    <w:rsid w:val="59BB060E"/>
    <w:rsid w:val="5A30478F"/>
    <w:rsid w:val="5A4494C5"/>
    <w:rsid w:val="5A4FA923"/>
    <w:rsid w:val="5B840D3D"/>
    <w:rsid w:val="5C1ADFD4"/>
    <w:rsid w:val="5D2C807E"/>
    <w:rsid w:val="5D3FEF6A"/>
    <w:rsid w:val="5E6FF87A"/>
    <w:rsid w:val="5EA177EF"/>
    <w:rsid w:val="5F126DF9"/>
    <w:rsid w:val="5F1FA219"/>
    <w:rsid w:val="609C7CBD"/>
    <w:rsid w:val="60F0D987"/>
    <w:rsid w:val="612A9A71"/>
    <w:rsid w:val="62579430"/>
    <w:rsid w:val="63B03EA2"/>
    <w:rsid w:val="6587BACE"/>
    <w:rsid w:val="65C79B76"/>
    <w:rsid w:val="663FE6A4"/>
    <w:rsid w:val="66DFA362"/>
    <w:rsid w:val="6739CAB7"/>
    <w:rsid w:val="6788321D"/>
    <w:rsid w:val="682D343C"/>
    <w:rsid w:val="683D3C5F"/>
    <w:rsid w:val="68DA2A97"/>
    <w:rsid w:val="69202F08"/>
    <w:rsid w:val="696C1549"/>
    <w:rsid w:val="69C3F1A7"/>
    <w:rsid w:val="6BAC5198"/>
    <w:rsid w:val="6C400CEB"/>
    <w:rsid w:val="6D1CD90B"/>
    <w:rsid w:val="6E00BB72"/>
    <w:rsid w:val="6E9A607F"/>
    <w:rsid w:val="6ED18CEA"/>
    <w:rsid w:val="6F576989"/>
    <w:rsid w:val="7010B1CE"/>
    <w:rsid w:val="70CC293F"/>
    <w:rsid w:val="71AC822F"/>
    <w:rsid w:val="71BFF945"/>
    <w:rsid w:val="7212E842"/>
    <w:rsid w:val="7699581D"/>
    <w:rsid w:val="78797EA6"/>
    <w:rsid w:val="78B4F56B"/>
    <w:rsid w:val="79DB69BE"/>
    <w:rsid w:val="7A2E805D"/>
    <w:rsid w:val="7A922EAA"/>
    <w:rsid w:val="7ACE8C2C"/>
    <w:rsid w:val="7C91C6FD"/>
    <w:rsid w:val="7CEF34D6"/>
    <w:rsid w:val="7DC9CF6C"/>
    <w:rsid w:val="7F7FB738"/>
    <w:rsid w:val="7FBDF5A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FD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49A7"/>
    <w:pPr>
      <w:spacing w:before="120" w:after="120" w:line="240" w:lineRule="auto"/>
    </w:pPr>
    <w:rPr>
      <w:rFonts w:ascii="Calibri Light" w:eastAsia="Times New Roman" w:hAnsi="Calibri Light" w:cs="Times New Roman"/>
      <w:szCs w:val="20"/>
      <w:lang w:eastAsia="en-AU"/>
    </w:rPr>
  </w:style>
  <w:style w:type="paragraph" w:styleId="Heading1">
    <w:name w:val="heading 1"/>
    <w:basedOn w:val="HeadingBase"/>
    <w:next w:val="Normal"/>
    <w:link w:val="Heading1Char"/>
    <w:qFormat/>
    <w:rsid w:val="006D41CA"/>
    <w:pPr>
      <w:spacing w:before="600" w:line="460" w:lineRule="exact"/>
      <w:outlineLvl w:val="0"/>
    </w:pPr>
    <w:rPr>
      <w:b/>
      <w:bCs w:val="0"/>
      <w:color w:val="4D7861" w:themeColor="accent2"/>
      <w:sz w:val="44"/>
    </w:rPr>
  </w:style>
  <w:style w:type="paragraph" w:styleId="Heading2">
    <w:name w:val="heading 2"/>
    <w:basedOn w:val="HeadingBase"/>
    <w:next w:val="Normal"/>
    <w:link w:val="Heading2Char"/>
    <w:uiPriority w:val="9"/>
    <w:qFormat/>
    <w:rsid w:val="00386297"/>
    <w:pPr>
      <w:spacing w:before="360" w:line="460" w:lineRule="exact"/>
      <w:outlineLvl w:val="1"/>
    </w:pPr>
    <w:rPr>
      <w:bCs w:val="0"/>
      <w:iCs/>
      <w:color w:val="2C384A" w:themeColor="accent1"/>
      <w:sz w:val="36"/>
      <w:szCs w:val="28"/>
    </w:rPr>
  </w:style>
  <w:style w:type="paragraph" w:styleId="Heading3">
    <w:name w:val="heading 3"/>
    <w:basedOn w:val="Heading4"/>
    <w:next w:val="Normal"/>
    <w:link w:val="Heading3Char"/>
    <w:uiPriority w:val="9"/>
    <w:qFormat/>
    <w:rsid w:val="00F90582"/>
    <w:pPr>
      <w:outlineLvl w:val="2"/>
    </w:pPr>
  </w:style>
  <w:style w:type="paragraph" w:styleId="Heading4">
    <w:name w:val="heading 4"/>
    <w:basedOn w:val="HeadingBase"/>
    <w:next w:val="Normal"/>
    <w:link w:val="Heading4Char"/>
    <w:qFormat/>
    <w:rsid w:val="00136B57"/>
    <w:pPr>
      <w:spacing w:before="280" w:line="276" w:lineRule="auto"/>
      <w:outlineLvl w:val="3"/>
    </w:pPr>
    <w:rPr>
      <w:rFonts w:ascii="Calibri Light" w:hAnsi="Calibri Light"/>
      <w:bCs w:val="0"/>
      <w:color w:val="4D7861" w:themeColor="accent2"/>
      <w:sz w:val="24"/>
      <w:szCs w:val="26"/>
    </w:rPr>
  </w:style>
  <w:style w:type="paragraph" w:styleId="Heading5">
    <w:name w:val="heading 5"/>
    <w:basedOn w:val="HeadingBase"/>
    <w:next w:val="Normal"/>
    <w:link w:val="Heading5Char"/>
    <w:rsid w:val="00E349A7"/>
    <w:pPr>
      <w:spacing w:before="240" w:after="0" w:line="276" w:lineRule="auto"/>
      <w:outlineLvl w:val="4"/>
    </w:pPr>
    <w:rPr>
      <w:rFonts w:asciiTheme="majorHAnsi" w:hAnsiTheme="majorHAnsi"/>
      <w:b/>
      <w:bCs w:val="0"/>
      <w:iCs/>
      <w:color w:val="000000" w:themeColor="text1"/>
      <w:sz w:val="22"/>
    </w:rPr>
  </w:style>
  <w:style w:type="paragraph" w:styleId="Heading6">
    <w:name w:val="heading 6"/>
    <w:basedOn w:val="HeadingBase"/>
    <w:next w:val="Normal"/>
    <w:link w:val="Heading6Char"/>
    <w:rsid w:val="00E349A7"/>
    <w:pPr>
      <w:spacing w:before="120" w:after="0" w:line="276" w:lineRule="auto"/>
      <w:outlineLvl w:val="5"/>
    </w:pPr>
    <w:rPr>
      <w:rFonts w:ascii="Calibri Light" w:hAnsi="Calibri Light"/>
      <w:bCs w:val="0"/>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41CA"/>
    <w:rPr>
      <w:rFonts w:ascii="Calibri" w:eastAsia="Times New Roman" w:hAnsi="Calibri" w:cs="Arial"/>
      <w:b/>
      <w:color w:val="4D7861" w:themeColor="accent2"/>
      <w:kern w:val="32"/>
      <w:sz w:val="44"/>
      <w:szCs w:val="36"/>
      <w:lang w:eastAsia="en-AU"/>
    </w:rPr>
  </w:style>
  <w:style w:type="character" w:customStyle="1" w:styleId="Heading2Char">
    <w:name w:val="Heading 2 Char"/>
    <w:basedOn w:val="DefaultParagraphFont"/>
    <w:link w:val="Heading2"/>
    <w:uiPriority w:val="9"/>
    <w:rsid w:val="00386297"/>
    <w:rPr>
      <w:rFonts w:ascii="Calibri" w:eastAsia="Times New Roman" w:hAnsi="Calibri" w:cs="Arial"/>
      <w:iCs/>
      <w:color w:val="2C384A" w:themeColor="accent1"/>
      <w:kern w:val="32"/>
      <w:sz w:val="36"/>
      <w:szCs w:val="28"/>
      <w:lang w:eastAsia="en-AU"/>
    </w:rPr>
  </w:style>
  <w:style w:type="character" w:customStyle="1" w:styleId="Heading3Char">
    <w:name w:val="Heading 3 Char"/>
    <w:basedOn w:val="DefaultParagraphFont"/>
    <w:link w:val="Heading3"/>
    <w:uiPriority w:val="9"/>
    <w:rsid w:val="00F90582"/>
    <w:rPr>
      <w:rFonts w:ascii="Calibri Light" w:eastAsia="Times New Roman" w:hAnsi="Calibri Light" w:cs="Arial"/>
      <w:color w:val="4D7861" w:themeColor="accent2"/>
      <w:kern w:val="32"/>
      <w:sz w:val="24"/>
      <w:szCs w:val="26"/>
      <w:lang w:eastAsia="en-AU"/>
    </w:rPr>
  </w:style>
  <w:style w:type="character" w:customStyle="1" w:styleId="Heading4Char">
    <w:name w:val="Heading 4 Char"/>
    <w:basedOn w:val="DefaultParagraphFont"/>
    <w:link w:val="Heading4"/>
    <w:rsid w:val="00136B57"/>
    <w:rPr>
      <w:rFonts w:ascii="Calibri Light" w:eastAsia="Times New Roman" w:hAnsi="Calibri Light" w:cs="Arial"/>
      <w:color w:val="4D7861" w:themeColor="accent2"/>
      <w:kern w:val="32"/>
      <w:sz w:val="24"/>
      <w:szCs w:val="26"/>
      <w:lang w:eastAsia="en-AU"/>
    </w:rPr>
  </w:style>
  <w:style w:type="character" w:customStyle="1" w:styleId="Heading5Char">
    <w:name w:val="Heading 5 Char"/>
    <w:basedOn w:val="DefaultParagraphFont"/>
    <w:link w:val="Heading5"/>
    <w:rsid w:val="00E349A7"/>
    <w:rPr>
      <w:rFonts w:asciiTheme="majorHAnsi" w:eastAsia="Times New Roman" w:hAnsiTheme="majorHAnsi" w:cs="Arial"/>
      <w:b/>
      <w:iCs/>
      <w:color w:val="000000" w:themeColor="text1"/>
      <w:kern w:val="32"/>
      <w:szCs w:val="36"/>
      <w:lang w:eastAsia="en-AU"/>
    </w:rPr>
  </w:style>
  <w:style w:type="character" w:customStyle="1" w:styleId="Heading6Char">
    <w:name w:val="Heading 6 Char"/>
    <w:basedOn w:val="DefaultParagraphFont"/>
    <w:link w:val="Heading6"/>
    <w:rsid w:val="00E349A7"/>
    <w:rPr>
      <w:rFonts w:ascii="Calibri Light" w:eastAsia="Times New Roman" w:hAnsi="Calibri Light" w:cs="Arial"/>
      <w:color w:val="000000" w:themeColor="text1"/>
      <w:kern w:val="32"/>
      <w:lang w:eastAsia="en-AU"/>
    </w:rPr>
  </w:style>
  <w:style w:type="paragraph" w:customStyle="1" w:styleId="ChartGraphic">
    <w:name w:val="Chart Graphic"/>
    <w:basedOn w:val="Normal"/>
    <w:next w:val="Normal"/>
    <w:rsid w:val="000E0B74"/>
    <w:pPr>
      <w:keepNext/>
      <w:spacing w:before="0" w:after="0"/>
      <w:jc w:val="center"/>
    </w:pPr>
    <w:rPr>
      <w:color w:val="004A7F"/>
      <w:sz w:val="20"/>
    </w:rPr>
  </w:style>
  <w:style w:type="paragraph" w:customStyle="1" w:styleId="AlphaParagraph">
    <w:name w:val="Alpha Paragraph"/>
    <w:basedOn w:val="Normal"/>
    <w:qFormat/>
    <w:rsid w:val="000E0B74"/>
    <w:pPr>
      <w:numPr>
        <w:ilvl w:val="1"/>
        <w:numId w:val="7"/>
      </w:numPr>
      <w:spacing w:before="0"/>
    </w:pPr>
  </w:style>
  <w:style w:type="character" w:customStyle="1" w:styleId="DashChar">
    <w:name w:val="Dash Char"/>
    <w:basedOn w:val="DefaultParagraphFont"/>
    <w:link w:val="Dash"/>
    <w:locked/>
    <w:rsid w:val="00E349A7"/>
    <w:rPr>
      <w:rFonts w:ascii="Calibri Light" w:eastAsia="Times New Roman" w:hAnsi="Calibri Light" w:cs="Times New Roman"/>
      <w:szCs w:val="20"/>
      <w:lang w:eastAsia="en-AU"/>
    </w:rPr>
  </w:style>
  <w:style w:type="character" w:customStyle="1" w:styleId="DoubleDotChar">
    <w:name w:val="Double Dot Char"/>
    <w:basedOn w:val="DefaultParagraphFont"/>
    <w:link w:val="DoubleDot"/>
    <w:locked/>
    <w:rsid w:val="00E349A7"/>
    <w:rPr>
      <w:rFonts w:ascii="Calibri Light" w:eastAsia="Times New Roman" w:hAnsi="Calibri Light" w:cs="Times New Roman"/>
      <w:szCs w:val="20"/>
      <w:lang w:eastAsia="en-AU"/>
    </w:rPr>
  </w:style>
  <w:style w:type="character" w:customStyle="1" w:styleId="BulletChar">
    <w:name w:val="Bullet Char"/>
    <w:basedOn w:val="DefaultParagraphFont"/>
    <w:link w:val="Bullet"/>
    <w:locked/>
    <w:rsid w:val="009E0CA5"/>
    <w:rPr>
      <w:rFonts w:ascii="Calibri Light" w:eastAsia="Times New Roman" w:hAnsi="Calibri Light" w:cs="Times New Roman"/>
      <w:szCs w:val="20"/>
      <w:lang w:eastAsia="en-AU"/>
    </w:rPr>
  </w:style>
  <w:style w:type="paragraph" w:customStyle="1" w:styleId="BoxHeading">
    <w:name w:val="Box Heading"/>
    <w:basedOn w:val="Normal"/>
    <w:next w:val="Normal"/>
    <w:rsid w:val="00EB4B0B"/>
    <w:pPr>
      <w:keepNext/>
      <w:spacing w:before="240"/>
    </w:pPr>
    <w:rPr>
      <w:b/>
      <w:color w:val="2C384A" w:themeColor="accent1"/>
      <w:sz w:val="26"/>
      <w:szCs w:val="26"/>
    </w:rPr>
  </w:style>
  <w:style w:type="paragraph" w:customStyle="1" w:styleId="BoxText">
    <w:name w:val="Box Text"/>
    <w:basedOn w:val="Normal"/>
    <w:link w:val="BoxTextChar"/>
    <w:rsid w:val="00E349A7"/>
  </w:style>
  <w:style w:type="paragraph" w:customStyle="1" w:styleId="Bullet">
    <w:name w:val="Bullet"/>
    <w:basedOn w:val="Normal"/>
    <w:link w:val="BulletChar"/>
    <w:qFormat/>
    <w:rsid w:val="009E0CA5"/>
    <w:pPr>
      <w:numPr>
        <w:numId w:val="10"/>
      </w:numPr>
      <w:tabs>
        <w:tab w:val="left" w:pos="720"/>
      </w:tabs>
      <w:spacing w:before="0" w:line="276" w:lineRule="auto"/>
    </w:pPr>
  </w:style>
  <w:style w:type="paragraph" w:customStyle="1" w:styleId="ChartandTableFootnoteAlpha">
    <w:name w:val="Chart and Table Footnote Alpha"/>
    <w:rsid w:val="0023305C"/>
    <w:pPr>
      <w:numPr>
        <w:numId w:val="5"/>
      </w:numPr>
      <w:tabs>
        <w:tab w:val="num" w:pos="284"/>
      </w:tabs>
      <w:spacing w:after="0" w:line="240" w:lineRule="auto"/>
      <w:ind w:left="284" w:hanging="284"/>
      <w:jc w:val="both"/>
    </w:pPr>
    <w:rPr>
      <w:rFonts w:ascii="Calibri" w:eastAsia="Times New Roman" w:hAnsi="Calibri" w:cs="Times New Roman"/>
      <w:color w:val="000000"/>
      <w:sz w:val="18"/>
      <w:szCs w:val="16"/>
      <w:lang w:eastAsia="en-AU"/>
    </w:rPr>
  </w:style>
  <w:style w:type="paragraph" w:customStyle="1" w:styleId="ChartMainHeading">
    <w:name w:val="Chart Main Heading"/>
    <w:basedOn w:val="TableMainHeading"/>
    <w:next w:val="ChartGraphic"/>
    <w:rsid w:val="00E97C19"/>
    <w:pPr>
      <w:jc w:val="center"/>
    </w:pPr>
  </w:style>
  <w:style w:type="paragraph" w:customStyle="1" w:styleId="ChartorTableNote">
    <w:name w:val="Chart or Table Note"/>
    <w:next w:val="Normal"/>
    <w:rsid w:val="000E0B74"/>
    <w:pPr>
      <w:spacing w:after="0" w:line="240" w:lineRule="auto"/>
      <w:jc w:val="both"/>
    </w:pPr>
    <w:rPr>
      <w:rFonts w:ascii="Calibri" w:eastAsia="Times New Roman" w:hAnsi="Calibri" w:cs="Times New Roman"/>
      <w:color w:val="000000"/>
      <w:sz w:val="18"/>
      <w:szCs w:val="20"/>
      <w:lang w:eastAsia="en-AU"/>
    </w:rPr>
  </w:style>
  <w:style w:type="paragraph" w:customStyle="1" w:styleId="ChartSecondHeading">
    <w:name w:val="Chart Second Heading"/>
    <w:basedOn w:val="TableSecondHeading"/>
    <w:next w:val="ChartGraphic"/>
    <w:rsid w:val="009D2CFF"/>
    <w:pPr>
      <w:jc w:val="center"/>
    </w:pPr>
    <w:rPr>
      <w:b w:val="0"/>
      <w:bCs/>
    </w:rPr>
  </w:style>
  <w:style w:type="paragraph" w:customStyle="1" w:styleId="ReportDate">
    <w:name w:val="Report Date"/>
    <w:basedOn w:val="Normal"/>
    <w:link w:val="ReportDateChar"/>
    <w:rsid w:val="00FD7678"/>
    <w:pPr>
      <w:keepNext/>
      <w:spacing w:before="0" w:after="360"/>
    </w:pPr>
    <w:rPr>
      <w:color w:val="8CB59F" w:themeColor="accent2" w:themeTint="99"/>
      <w:sz w:val="32"/>
    </w:rPr>
  </w:style>
  <w:style w:type="paragraph" w:customStyle="1" w:styleId="Dash">
    <w:name w:val="Dash"/>
    <w:basedOn w:val="Normal"/>
    <w:link w:val="DashChar"/>
    <w:qFormat/>
    <w:rsid w:val="000E0B74"/>
    <w:pPr>
      <w:numPr>
        <w:ilvl w:val="1"/>
        <w:numId w:val="10"/>
      </w:numPr>
      <w:spacing w:before="0"/>
      <w:ind w:left="709" w:hanging="709"/>
    </w:pPr>
  </w:style>
  <w:style w:type="paragraph" w:customStyle="1" w:styleId="DoubleDot">
    <w:name w:val="Double Dot"/>
    <w:basedOn w:val="Normal"/>
    <w:link w:val="DoubleDotChar"/>
    <w:qFormat/>
    <w:rsid w:val="000E0B74"/>
    <w:pPr>
      <w:numPr>
        <w:ilvl w:val="2"/>
        <w:numId w:val="10"/>
      </w:numPr>
      <w:spacing w:before="0"/>
      <w:ind w:left="0" w:firstLine="0"/>
    </w:pPr>
  </w:style>
  <w:style w:type="paragraph" w:customStyle="1" w:styleId="TableMainHeading">
    <w:name w:val="Table Main Heading"/>
    <w:basedOn w:val="Heading3"/>
    <w:next w:val="Normal"/>
    <w:rsid w:val="00E97C19"/>
    <w:pPr>
      <w:spacing w:before="120"/>
    </w:pPr>
    <w:rPr>
      <w:b/>
      <w:sz w:val="26"/>
    </w:rPr>
  </w:style>
  <w:style w:type="paragraph" w:customStyle="1" w:styleId="FooterEven">
    <w:name w:val="Footer Even"/>
    <w:basedOn w:val="Footer"/>
    <w:rsid w:val="00103F3C"/>
    <w:pPr>
      <w:keepNext/>
      <w:tabs>
        <w:tab w:val="clear" w:pos="4513"/>
        <w:tab w:val="clear" w:pos="9026"/>
        <w:tab w:val="right" w:pos="9072"/>
      </w:tabs>
      <w:jc w:val="left"/>
    </w:pPr>
    <w:rPr>
      <w:noProof/>
      <w:color w:val="2C384A" w:themeColor="accent1"/>
    </w:rPr>
  </w:style>
  <w:style w:type="paragraph" w:customStyle="1" w:styleId="FooterOdd">
    <w:name w:val="Footer Odd"/>
    <w:basedOn w:val="Footer"/>
    <w:rsid w:val="00103F3C"/>
    <w:pPr>
      <w:keepNext/>
      <w:tabs>
        <w:tab w:val="clear" w:pos="4513"/>
        <w:tab w:val="clear" w:pos="9026"/>
        <w:tab w:val="right" w:pos="9072"/>
      </w:tabs>
      <w:jc w:val="right"/>
    </w:pPr>
    <w:rPr>
      <w:color w:val="2C384A" w:themeColor="accent1"/>
    </w:rPr>
  </w:style>
  <w:style w:type="character" w:styleId="Hyperlink">
    <w:name w:val="Hyperlink"/>
    <w:basedOn w:val="DefaultParagraphFont"/>
    <w:uiPriority w:val="99"/>
    <w:rsid w:val="006923DF"/>
    <w:rPr>
      <w:color w:val="3A6FAF"/>
      <w:u w:val="none"/>
    </w:rPr>
  </w:style>
  <w:style w:type="paragraph" w:customStyle="1" w:styleId="OutlineNumbered1">
    <w:name w:val="Outline Numbered 1"/>
    <w:basedOn w:val="Normal"/>
    <w:link w:val="OutlineNumbered1Char"/>
    <w:rsid w:val="00BB7265"/>
    <w:pPr>
      <w:numPr>
        <w:numId w:val="13"/>
      </w:numPr>
      <w:spacing w:before="0"/>
      <w:ind w:left="284" w:hanging="284"/>
    </w:pPr>
  </w:style>
  <w:style w:type="paragraph" w:customStyle="1" w:styleId="OutlineNumbered2">
    <w:name w:val="Outline Numbered 2"/>
    <w:basedOn w:val="Normal"/>
    <w:rsid w:val="000E0B74"/>
    <w:pPr>
      <w:numPr>
        <w:ilvl w:val="1"/>
        <w:numId w:val="13"/>
      </w:numPr>
      <w:spacing w:before="0"/>
    </w:pPr>
  </w:style>
  <w:style w:type="paragraph" w:customStyle="1" w:styleId="OutlineNumbered3">
    <w:name w:val="Outline Numbered 3"/>
    <w:basedOn w:val="Normal"/>
    <w:rsid w:val="000E0B74"/>
    <w:pPr>
      <w:numPr>
        <w:ilvl w:val="2"/>
        <w:numId w:val="13"/>
      </w:numPr>
      <w:spacing w:before="0"/>
    </w:pPr>
  </w:style>
  <w:style w:type="paragraph" w:customStyle="1" w:styleId="SingleParagraph">
    <w:name w:val="Single Paragraph"/>
    <w:basedOn w:val="Normal"/>
    <w:next w:val="Normal"/>
    <w:link w:val="SingleParagraphChar"/>
    <w:rsid w:val="000E0B74"/>
    <w:pPr>
      <w:spacing w:before="0" w:after="0"/>
    </w:pPr>
  </w:style>
  <w:style w:type="paragraph" w:customStyle="1" w:styleId="TableSecondHeading">
    <w:name w:val="Table Second Heading"/>
    <w:basedOn w:val="Normal"/>
    <w:next w:val="Normal"/>
    <w:rsid w:val="000E0B74"/>
    <w:pPr>
      <w:keepNext/>
      <w:spacing w:before="0" w:after="20"/>
    </w:pPr>
    <w:rPr>
      <w:b/>
      <w:color w:val="004A7F"/>
    </w:rPr>
  </w:style>
  <w:style w:type="paragraph" w:customStyle="1" w:styleId="TableColumnHeadingCentred">
    <w:name w:val="Table Column Heading Centred"/>
    <w:basedOn w:val="TableTextLeft"/>
    <w:rsid w:val="00A7236C"/>
    <w:pPr>
      <w:jc w:val="center"/>
    </w:pPr>
    <w:rPr>
      <w:b/>
      <w:color w:val="2C384A" w:themeColor="accent1"/>
      <w:sz w:val="20"/>
    </w:rPr>
  </w:style>
  <w:style w:type="paragraph" w:customStyle="1" w:styleId="TableColumnHeadingLeft">
    <w:name w:val="Table Column Heading Left"/>
    <w:basedOn w:val="TableTextLeft"/>
    <w:rsid w:val="00A7236C"/>
    <w:rPr>
      <w:b/>
      <w:color w:val="2C384A" w:themeColor="accent1"/>
      <w:sz w:val="20"/>
    </w:rPr>
  </w:style>
  <w:style w:type="paragraph" w:customStyle="1" w:styleId="TableColumnHeadingRight">
    <w:name w:val="Table Column Heading Right"/>
    <w:basedOn w:val="TableTextLeft"/>
    <w:rsid w:val="00A7236C"/>
    <w:pPr>
      <w:jc w:val="right"/>
    </w:pPr>
    <w:rPr>
      <w:b/>
      <w:color w:val="2C384A" w:themeColor="accent1"/>
      <w:sz w:val="20"/>
    </w:rPr>
  </w:style>
  <w:style w:type="table" w:styleId="TableGrid">
    <w:name w:val="Table Grid"/>
    <w:basedOn w:val="TableNormal"/>
    <w:uiPriority w:val="39"/>
    <w:rsid w:val="00D316A1"/>
    <w:pPr>
      <w:spacing w:before="40" w:after="40" w:line="240" w:lineRule="auto"/>
    </w:pPr>
    <w:rPr>
      <w:rFonts w:ascii="Calibri Light" w:eastAsia="Times New Roman" w:hAnsi="Calibri Light" w:cs="Times New Roman"/>
      <w:sz w:val="18"/>
      <w:szCs w:val="20"/>
      <w:lang w:eastAsia="en-AU"/>
    </w:rPr>
    <w:tblPr/>
    <w:tcPr>
      <w:shd w:val="clear" w:color="auto" w:fill="auto"/>
    </w:tcPr>
    <w:tblStylePr w:type="firstRow">
      <w:pPr>
        <w:wordWrap/>
        <w:spacing w:beforeLines="0" w:before="40" w:beforeAutospacing="0" w:afterLines="0" w:after="40" w:afterAutospacing="0"/>
        <w:jc w:val="left"/>
      </w:pPr>
      <w:rPr>
        <w:rFonts w:ascii="Calibri Light" w:hAnsi="Calibri Light"/>
        <w:b/>
        <w:color w:val="2C384A" w:themeColor="accent1"/>
        <w:sz w:val="20"/>
      </w:rPr>
      <w:tblPr/>
      <w:tcPr>
        <w:shd w:val="clear" w:color="auto" w:fill="EEEEEE" w:themeFill="background2"/>
      </w:tcPr>
    </w:tblStylePr>
  </w:style>
  <w:style w:type="paragraph" w:customStyle="1" w:styleId="TableTextCentered">
    <w:name w:val="Table Text Centered"/>
    <w:basedOn w:val="TableTextRight"/>
    <w:rsid w:val="001972D2"/>
    <w:pPr>
      <w:jc w:val="center"/>
    </w:pPr>
  </w:style>
  <w:style w:type="paragraph" w:customStyle="1" w:styleId="TableTextLeft">
    <w:name w:val="Table Text Left"/>
    <w:basedOn w:val="TableTextRight"/>
    <w:rsid w:val="000E0B74"/>
    <w:pPr>
      <w:jc w:val="left"/>
    </w:pPr>
  </w:style>
  <w:style w:type="paragraph" w:customStyle="1" w:styleId="TableTextRight">
    <w:name w:val="Table Text Right"/>
    <w:basedOn w:val="Normal"/>
    <w:rsid w:val="000E0B74"/>
    <w:pPr>
      <w:spacing w:before="40" w:after="40"/>
      <w:jc w:val="right"/>
    </w:pPr>
    <w:rPr>
      <w:color w:val="000000"/>
      <w:sz w:val="18"/>
    </w:rPr>
  </w:style>
  <w:style w:type="paragraph" w:styleId="TOC1">
    <w:name w:val="toc 1"/>
    <w:basedOn w:val="Normal"/>
    <w:next w:val="Normal"/>
    <w:uiPriority w:val="39"/>
    <w:rsid w:val="00A7236C"/>
    <w:pPr>
      <w:keepNext/>
      <w:tabs>
        <w:tab w:val="right" w:leader="dot" w:pos="9072"/>
      </w:tabs>
      <w:spacing w:before="180" w:after="0"/>
      <w:ind w:right="-2"/>
    </w:pPr>
    <w:rPr>
      <w:b/>
      <w:noProof/>
      <w:color w:val="2C384A" w:themeColor="accent1"/>
      <w:szCs w:val="22"/>
    </w:rPr>
  </w:style>
  <w:style w:type="paragraph" w:styleId="TOC2">
    <w:name w:val="toc 2"/>
    <w:basedOn w:val="Normal"/>
    <w:next w:val="Normal"/>
    <w:uiPriority w:val="39"/>
    <w:rsid w:val="006D41CA"/>
    <w:pPr>
      <w:keepNext/>
      <w:tabs>
        <w:tab w:val="right" w:leader="dot" w:pos="9072"/>
      </w:tabs>
      <w:spacing w:before="40" w:after="20"/>
      <w:ind w:right="-2"/>
    </w:pPr>
    <w:rPr>
      <w:noProof/>
      <w:color w:val="4D7861" w:themeColor="accent2"/>
    </w:rPr>
  </w:style>
  <w:style w:type="paragraph" w:styleId="TOC3">
    <w:name w:val="toc 3"/>
    <w:basedOn w:val="Normal"/>
    <w:next w:val="Normal"/>
    <w:uiPriority w:val="39"/>
    <w:rsid w:val="0025652F"/>
    <w:pPr>
      <w:tabs>
        <w:tab w:val="right" w:leader="dot" w:pos="9072"/>
      </w:tabs>
      <w:spacing w:before="20" w:after="0"/>
      <w:ind w:left="284" w:right="-2"/>
    </w:pPr>
    <w:rPr>
      <w:rFonts w:cs="Calibri"/>
      <w:noProof/>
    </w:rPr>
  </w:style>
  <w:style w:type="numbering" w:customStyle="1" w:styleId="OutlineList">
    <w:name w:val="OutlineList"/>
    <w:uiPriority w:val="99"/>
    <w:rsid w:val="000E0B74"/>
    <w:pPr>
      <w:numPr>
        <w:numId w:val="4"/>
      </w:numPr>
    </w:pPr>
  </w:style>
  <w:style w:type="numbering" w:customStyle="1" w:styleId="BulletedList">
    <w:name w:val="Bulleted List"/>
    <w:uiPriority w:val="99"/>
    <w:rsid w:val="000E0B74"/>
    <w:pPr>
      <w:numPr>
        <w:numId w:val="1"/>
      </w:numPr>
    </w:pPr>
  </w:style>
  <w:style w:type="numbering" w:customStyle="1" w:styleId="BoxBulletedList">
    <w:name w:val="Box Bulleted List"/>
    <w:uiPriority w:val="99"/>
    <w:rsid w:val="000E0B74"/>
    <w:pPr>
      <w:numPr>
        <w:numId w:val="2"/>
      </w:numPr>
    </w:pPr>
  </w:style>
  <w:style w:type="numbering" w:customStyle="1" w:styleId="OneLevelList">
    <w:name w:val="OneLevelList"/>
    <w:uiPriority w:val="99"/>
    <w:rsid w:val="000E0B74"/>
    <w:pPr>
      <w:numPr>
        <w:numId w:val="3"/>
      </w:numPr>
    </w:pPr>
  </w:style>
  <w:style w:type="numbering" w:customStyle="1" w:styleId="ChartandTableFootnoteAlphaList">
    <w:name w:val="ChartandTableFootnoteAlphaList"/>
    <w:uiPriority w:val="99"/>
    <w:rsid w:val="000E0B74"/>
    <w:pPr>
      <w:numPr>
        <w:numId w:val="8"/>
      </w:numPr>
    </w:pPr>
  </w:style>
  <w:style w:type="paragraph" w:customStyle="1" w:styleId="Heading1Numbered">
    <w:name w:val="Heading 1 Numbered"/>
    <w:basedOn w:val="Heading1"/>
    <w:next w:val="Normal"/>
    <w:rsid w:val="00EE1BF1"/>
    <w:pPr>
      <w:numPr>
        <w:numId w:val="6"/>
      </w:numPr>
    </w:pPr>
  </w:style>
  <w:style w:type="character" w:customStyle="1" w:styleId="SingleParagraphChar">
    <w:name w:val="Single Paragraph Char"/>
    <w:basedOn w:val="DefaultParagraphFont"/>
    <w:link w:val="SingleParagraph"/>
    <w:rsid w:val="000E0B74"/>
    <w:rPr>
      <w:rFonts w:ascii="Calibri" w:eastAsia="Times New Roman" w:hAnsi="Calibri" w:cs="Times New Roman"/>
      <w:szCs w:val="20"/>
      <w:lang w:eastAsia="en-AU"/>
    </w:rPr>
  </w:style>
  <w:style w:type="paragraph" w:customStyle="1" w:styleId="Heading2Numbered">
    <w:name w:val="Heading 2 Numbered"/>
    <w:basedOn w:val="Heading2"/>
    <w:next w:val="Normal"/>
    <w:rsid w:val="000E0B74"/>
    <w:pPr>
      <w:numPr>
        <w:ilvl w:val="1"/>
        <w:numId w:val="6"/>
      </w:numPr>
      <w:ind w:left="284" w:hanging="284"/>
    </w:pPr>
  </w:style>
  <w:style w:type="paragraph" w:customStyle="1" w:styleId="Heading3Numbered">
    <w:name w:val="Heading 3 Numbered"/>
    <w:basedOn w:val="Heading3"/>
    <w:rsid w:val="00EE1BF1"/>
    <w:pPr>
      <w:numPr>
        <w:ilvl w:val="2"/>
        <w:numId w:val="6"/>
      </w:numPr>
      <w:ind w:left="284" w:hanging="284"/>
    </w:pPr>
  </w:style>
  <w:style w:type="paragraph" w:styleId="Title">
    <w:name w:val="Title"/>
    <w:basedOn w:val="Normal"/>
    <w:next w:val="Normal"/>
    <w:link w:val="TitleChar"/>
    <w:uiPriority w:val="10"/>
    <w:rsid w:val="00F84A6E"/>
    <w:pPr>
      <w:spacing w:before="360" w:after="240"/>
      <w:contextualSpacing/>
    </w:pPr>
    <w:rPr>
      <w:rFonts w:eastAsiaTheme="majorEastAsia" w:cstheme="majorBidi"/>
      <w:b/>
      <w:color w:val="FFFFFF" w:themeColor="background1"/>
      <w:spacing w:val="-2"/>
      <w:kern w:val="28"/>
      <w:sz w:val="66"/>
      <w:szCs w:val="66"/>
    </w:rPr>
  </w:style>
  <w:style w:type="character" w:customStyle="1" w:styleId="TitleChar">
    <w:name w:val="Title Char"/>
    <w:basedOn w:val="DefaultParagraphFont"/>
    <w:link w:val="Title"/>
    <w:uiPriority w:val="10"/>
    <w:rsid w:val="00EE1BF1"/>
    <w:rPr>
      <w:rFonts w:ascii="Calibri Light" w:eastAsiaTheme="majorEastAsia" w:hAnsi="Calibri Light" w:cstheme="majorBidi"/>
      <w:b/>
      <w:color w:val="FFFFFF" w:themeColor="background1"/>
      <w:spacing w:val="-2"/>
      <w:kern w:val="28"/>
      <w:sz w:val="66"/>
      <w:szCs w:val="66"/>
      <w:lang w:eastAsia="en-AU"/>
    </w:rPr>
  </w:style>
  <w:style w:type="paragraph" w:styleId="Subtitle">
    <w:name w:val="Subtitle"/>
    <w:basedOn w:val="Normal"/>
    <w:next w:val="Normal"/>
    <w:link w:val="SubtitleChar"/>
    <w:uiPriority w:val="11"/>
    <w:rsid w:val="00CB28E9"/>
    <w:pPr>
      <w:numPr>
        <w:ilvl w:val="1"/>
      </w:numPr>
    </w:pPr>
    <w:rPr>
      <w:rFonts w:eastAsiaTheme="majorEastAsia" w:cstheme="majorBidi"/>
      <w:iCs/>
      <w:color w:val="EEEEEE"/>
      <w:sz w:val="44"/>
      <w:szCs w:val="44"/>
    </w:rPr>
  </w:style>
  <w:style w:type="character" w:customStyle="1" w:styleId="SubtitleChar">
    <w:name w:val="Subtitle Char"/>
    <w:basedOn w:val="DefaultParagraphFont"/>
    <w:link w:val="Subtitle"/>
    <w:uiPriority w:val="11"/>
    <w:rsid w:val="00CB28E9"/>
    <w:rPr>
      <w:rFonts w:ascii="Calibri" w:eastAsiaTheme="majorEastAsia" w:hAnsi="Calibri" w:cstheme="majorBidi"/>
      <w:iCs/>
      <w:color w:val="EEEEEE"/>
      <w:sz w:val="44"/>
      <w:szCs w:val="44"/>
      <w:lang w:eastAsia="en-AU"/>
    </w:rPr>
  </w:style>
  <w:style w:type="character" w:styleId="SubtleEmphasis">
    <w:name w:val="Subtle Emphasis"/>
    <w:basedOn w:val="DefaultParagraphFont"/>
    <w:uiPriority w:val="19"/>
    <w:rsid w:val="000E0B74"/>
    <w:rPr>
      <w:i/>
      <w:iCs/>
      <w:color w:val="808080" w:themeColor="text1" w:themeTint="7F"/>
    </w:rPr>
  </w:style>
  <w:style w:type="paragraph" w:styleId="Footer">
    <w:name w:val="footer"/>
    <w:basedOn w:val="Normal"/>
    <w:link w:val="FooterChar"/>
    <w:unhideWhenUsed/>
    <w:rsid w:val="00F60198"/>
    <w:pPr>
      <w:tabs>
        <w:tab w:val="center" w:pos="4513"/>
        <w:tab w:val="right" w:pos="9026"/>
      </w:tabs>
      <w:spacing w:before="0" w:after="0"/>
      <w:jc w:val="center"/>
    </w:pPr>
    <w:rPr>
      <w:color w:val="002C47"/>
      <w:sz w:val="20"/>
    </w:rPr>
  </w:style>
  <w:style w:type="character" w:customStyle="1" w:styleId="FooterChar">
    <w:name w:val="Footer Char"/>
    <w:basedOn w:val="DefaultParagraphFont"/>
    <w:link w:val="Footer"/>
    <w:rsid w:val="00F60198"/>
    <w:rPr>
      <w:rFonts w:ascii="Calibri" w:eastAsia="Times New Roman" w:hAnsi="Calibri" w:cs="Times New Roman"/>
      <w:color w:val="002C47"/>
      <w:sz w:val="20"/>
      <w:szCs w:val="20"/>
      <w:lang w:eastAsia="en-AU"/>
    </w:rPr>
  </w:style>
  <w:style w:type="paragraph" w:styleId="Header">
    <w:name w:val="header"/>
    <w:basedOn w:val="Normal"/>
    <w:link w:val="HeaderChar"/>
    <w:uiPriority w:val="99"/>
    <w:unhideWhenUsed/>
    <w:rsid w:val="001606CF"/>
    <w:pPr>
      <w:keepNext/>
      <w:spacing w:before="0" w:after="0"/>
      <w:jc w:val="right"/>
    </w:pPr>
    <w:rPr>
      <w:color w:val="004A7F"/>
      <w:sz w:val="20"/>
    </w:rPr>
  </w:style>
  <w:style w:type="character" w:customStyle="1" w:styleId="HeaderChar">
    <w:name w:val="Header Char"/>
    <w:basedOn w:val="DefaultParagraphFont"/>
    <w:link w:val="Header"/>
    <w:uiPriority w:val="99"/>
    <w:rsid w:val="001606CF"/>
    <w:rPr>
      <w:rFonts w:ascii="Calibri" w:eastAsia="Times New Roman" w:hAnsi="Calibri" w:cs="Times New Roman"/>
      <w:color w:val="004A7F"/>
      <w:sz w:val="20"/>
      <w:szCs w:val="20"/>
      <w:lang w:eastAsia="en-AU"/>
    </w:rPr>
  </w:style>
  <w:style w:type="character" w:styleId="PlaceholderText">
    <w:name w:val="Placeholder Text"/>
    <w:basedOn w:val="DefaultParagraphFont"/>
    <w:uiPriority w:val="99"/>
    <w:semiHidden/>
    <w:rsid w:val="00056880"/>
    <w:rPr>
      <w:color w:val="808080"/>
    </w:rPr>
  </w:style>
  <w:style w:type="paragraph" w:customStyle="1" w:styleId="AppendixHeading">
    <w:name w:val="Appendix Heading"/>
    <w:basedOn w:val="Heading1"/>
    <w:next w:val="Normal"/>
    <w:rsid w:val="00F045E0"/>
  </w:style>
  <w:style w:type="paragraph" w:customStyle="1" w:styleId="HeadingBase">
    <w:name w:val="Heading Base"/>
    <w:rsid w:val="006923DF"/>
    <w:pPr>
      <w:keepNext/>
      <w:spacing w:after="120" w:line="240" w:lineRule="auto"/>
    </w:pPr>
    <w:rPr>
      <w:rFonts w:ascii="Calibri" w:eastAsia="Times New Roman" w:hAnsi="Calibri" w:cs="Arial"/>
      <w:bCs/>
      <w:color w:val="002C4A"/>
      <w:kern w:val="32"/>
      <w:sz w:val="48"/>
      <w:szCs w:val="36"/>
      <w:lang w:eastAsia="en-AU"/>
    </w:rPr>
  </w:style>
  <w:style w:type="character" w:customStyle="1" w:styleId="ReportDateChar">
    <w:name w:val="Report Date Char"/>
    <w:basedOn w:val="DefaultParagraphFont"/>
    <w:link w:val="ReportDate"/>
    <w:rsid w:val="00FD7678"/>
    <w:rPr>
      <w:rFonts w:ascii="Calibri Light" w:eastAsia="Times New Roman" w:hAnsi="Calibri Light" w:cs="Times New Roman"/>
      <w:color w:val="8CB59F" w:themeColor="accent2" w:themeTint="99"/>
      <w:sz w:val="32"/>
      <w:szCs w:val="20"/>
      <w:lang w:eastAsia="en-AU"/>
    </w:rPr>
  </w:style>
  <w:style w:type="paragraph" w:customStyle="1" w:styleId="NotesHeading">
    <w:name w:val="Notes Heading"/>
    <w:basedOn w:val="Normal"/>
    <w:rsid w:val="002F617F"/>
    <w:pPr>
      <w:keepNext/>
      <w:spacing w:before="240" w:after="360"/>
      <w:jc w:val="center"/>
    </w:pPr>
    <w:rPr>
      <w:rFonts w:ascii="Century Gothic" w:hAnsi="Century Gothic"/>
      <w:smallCaps/>
      <w:color w:val="5F5F5F" w:themeColor="text2"/>
      <w:sz w:val="36"/>
      <w:szCs w:val="36"/>
    </w:rPr>
  </w:style>
  <w:style w:type="paragraph" w:styleId="ListParagraph">
    <w:name w:val="List Paragraph"/>
    <w:basedOn w:val="Normal"/>
    <w:uiPriority w:val="34"/>
    <w:qFormat/>
    <w:rsid w:val="006469CC"/>
    <w:pPr>
      <w:ind w:left="720"/>
      <w:contextualSpacing/>
    </w:pPr>
  </w:style>
  <w:style w:type="paragraph" w:customStyle="1" w:styleId="TableTextIndented">
    <w:name w:val="Table Text Indented"/>
    <w:basedOn w:val="TableTextLeft"/>
    <w:rsid w:val="008E6292"/>
    <w:pPr>
      <w:ind w:left="284"/>
    </w:pPr>
  </w:style>
  <w:style w:type="paragraph" w:customStyle="1" w:styleId="TableHeadingContinued">
    <w:name w:val="Table Heading Continued"/>
    <w:basedOn w:val="TableMainHeading"/>
    <w:next w:val="TableGraphic"/>
    <w:rsid w:val="009A277C"/>
  </w:style>
  <w:style w:type="paragraph" w:customStyle="1" w:styleId="TableGraphic">
    <w:name w:val="Table Graphic"/>
    <w:basedOn w:val="HeadingBase"/>
    <w:next w:val="Normal"/>
    <w:rsid w:val="008E6292"/>
    <w:pPr>
      <w:spacing w:after="0"/>
    </w:pPr>
  </w:style>
  <w:style w:type="paragraph" w:customStyle="1" w:styleId="HeaderEven">
    <w:name w:val="Header Even"/>
    <w:basedOn w:val="Header"/>
    <w:qFormat/>
    <w:rsid w:val="00F60198"/>
    <w:pPr>
      <w:jc w:val="left"/>
    </w:pPr>
    <w:rPr>
      <w:color w:val="002C47"/>
    </w:rPr>
  </w:style>
  <w:style w:type="paragraph" w:customStyle="1" w:styleId="HeaderOdd">
    <w:name w:val="Header Odd"/>
    <w:basedOn w:val="Header"/>
    <w:qFormat/>
    <w:rsid w:val="00F60198"/>
    <w:rPr>
      <w:color w:val="002C47"/>
    </w:rPr>
  </w:style>
  <w:style w:type="paragraph" w:styleId="FootnoteText">
    <w:name w:val="footnote text"/>
    <w:basedOn w:val="Normal"/>
    <w:link w:val="FootnoteTextChar"/>
    <w:uiPriority w:val="99"/>
    <w:rsid w:val="00BB7265"/>
    <w:pPr>
      <w:spacing w:before="0" w:after="0"/>
      <w:ind w:left="284" w:hanging="284"/>
    </w:pPr>
    <w:rPr>
      <w:sz w:val="20"/>
    </w:rPr>
  </w:style>
  <w:style w:type="character" w:customStyle="1" w:styleId="FootnoteTextChar">
    <w:name w:val="Footnote Text Char"/>
    <w:basedOn w:val="DefaultParagraphFont"/>
    <w:link w:val="FootnoteText"/>
    <w:uiPriority w:val="99"/>
    <w:rsid w:val="00744484"/>
    <w:rPr>
      <w:rFonts w:ascii="Calibri Light" w:eastAsia="Times New Roman" w:hAnsi="Calibri Light" w:cs="Times New Roman"/>
      <w:sz w:val="20"/>
      <w:szCs w:val="20"/>
      <w:lang w:eastAsia="en-AU"/>
    </w:rPr>
  </w:style>
  <w:style w:type="character" w:styleId="FootnoteReference">
    <w:name w:val="footnote reference"/>
    <w:basedOn w:val="DefaultParagraphFont"/>
    <w:uiPriority w:val="99"/>
    <w:rsid w:val="00744484"/>
    <w:rPr>
      <w:sz w:val="18"/>
    </w:rPr>
  </w:style>
  <w:style w:type="paragraph" w:styleId="BalloonText">
    <w:name w:val="Balloon Text"/>
    <w:basedOn w:val="Normal"/>
    <w:link w:val="BalloonTextChar"/>
    <w:uiPriority w:val="99"/>
    <w:semiHidden/>
    <w:unhideWhenUsed/>
    <w:rsid w:val="00C72318"/>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2318"/>
    <w:rPr>
      <w:rFonts w:ascii="Tahoma" w:eastAsia="Times New Roman" w:hAnsi="Tahoma" w:cs="Tahoma"/>
      <w:sz w:val="16"/>
      <w:szCs w:val="16"/>
      <w:lang w:eastAsia="en-AU"/>
    </w:rPr>
  </w:style>
  <w:style w:type="character" w:customStyle="1" w:styleId="BoxTextChar">
    <w:name w:val="Box Text Char"/>
    <w:basedOn w:val="DefaultParagraphFont"/>
    <w:link w:val="BoxText"/>
    <w:locked/>
    <w:rsid w:val="00E349A7"/>
    <w:rPr>
      <w:rFonts w:ascii="Calibri Light" w:eastAsia="Times New Roman" w:hAnsi="Calibri Light" w:cs="Times New Roman"/>
      <w:szCs w:val="20"/>
      <w:lang w:eastAsia="en-AU"/>
    </w:rPr>
  </w:style>
  <w:style w:type="paragraph" w:customStyle="1" w:styleId="Boxbullet">
    <w:name w:val="Box bullet"/>
    <w:basedOn w:val="Bullet"/>
    <w:rsid w:val="00E349A7"/>
    <w:pPr>
      <w:numPr>
        <w:numId w:val="9"/>
      </w:numPr>
      <w:tabs>
        <w:tab w:val="clear" w:pos="283"/>
        <w:tab w:val="num" w:pos="284"/>
        <w:tab w:val="num" w:pos="520"/>
      </w:tabs>
      <w:spacing w:before="60"/>
    </w:pPr>
    <w:rPr>
      <w:color w:val="0D0D0D" w:themeColor="text1" w:themeTint="F2"/>
    </w:rPr>
  </w:style>
  <w:style w:type="paragraph" w:customStyle="1" w:styleId="Boxdash">
    <w:name w:val="Box dash"/>
    <w:basedOn w:val="Dash"/>
    <w:rsid w:val="00E349A7"/>
    <w:pPr>
      <w:numPr>
        <w:numId w:val="9"/>
      </w:numPr>
      <w:tabs>
        <w:tab w:val="clear" w:pos="567"/>
        <w:tab w:val="num" w:pos="1040"/>
      </w:tabs>
      <w:spacing w:before="60" w:after="0" w:line="276" w:lineRule="auto"/>
    </w:pPr>
    <w:rPr>
      <w:rFonts w:eastAsiaTheme="minorHAnsi"/>
      <w:color w:val="0D0D0D" w:themeColor="text1" w:themeTint="F2"/>
      <w:lang w:eastAsia="en-US"/>
    </w:rPr>
  </w:style>
  <w:style w:type="paragraph" w:customStyle="1" w:styleId="Boxdoubledot">
    <w:name w:val="Box double dot"/>
    <w:basedOn w:val="DoubleDot"/>
    <w:rsid w:val="00E349A7"/>
    <w:pPr>
      <w:numPr>
        <w:numId w:val="9"/>
      </w:numPr>
      <w:tabs>
        <w:tab w:val="clear" w:pos="851"/>
        <w:tab w:val="left" w:pos="567"/>
        <w:tab w:val="num" w:pos="1560"/>
      </w:tabs>
      <w:spacing w:before="60" w:after="0" w:line="276" w:lineRule="auto"/>
    </w:pPr>
    <w:rPr>
      <w:rFonts w:eastAsiaTheme="minorHAnsi"/>
      <w:color w:val="0D0D0D" w:themeColor="text1" w:themeTint="F2"/>
      <w:lang w:eastAsia="en-US"/>
    </w:rPr>
  </w:style>
  <w:style w:type="paragraph" w:customStyle="1" w:styleId="Instructions">
    <w:name w:val="Instructions"/>
    <w:basedOn w:val="Normal"/>
    <w:uiPriority w:val="1"/>
    <w:qFormat/>
    <w:rsid w:val="00BE7EA5"/>
    <w:pPr>
      <w:shd w:val="clear" w:color="auto" w:fill="FFFF00"/>
      <w:ind w:left="170" w:hanging="170"/>
    </w:pPr>
    <w:rPr>
      <w:rFonts w:asciiTheme="minorHAnsi" w:hAnsiTheme="minorHAnsi"/>
      <w:sz w:val="20"/>
      <w:szCs w:val="24"/>
    </w:rPr>
  </w:style>
  <w:style w:type="character" w:styleId="CommentReference">
    <w:name w:val="annotation reference"/>
    <w:basedOn w:val="DefaultParagraphFont"/>
    <w:uiPriority w:val="99"/>
    <w:semiHidden/>
    <w:unhideWhenUsed/>
    <w:rsid w:val="00BE7EA5"/>
    <w:rPr>
      <w:sz w:val="16"/>
      <w:szCs w:val="16"/>
    </w:rPr>
  </w:style>
  <w:style w:type="paragraph" w:styleId="CommentText">
    <w:name w:val="annotation text"/>
    <w:basedOn w:val="Normal"/>
    <w:link w:val="CommentTextChar"/>
    <w:uiPriority w:val="99"/>
    <w:unhideWhenUsed/>
    <w:rsid w:val="00BE7EA5"/>
    <w:rPr>
      <w:rFonts w:ascii="Calibri" w:hAnsi="Calibri"/>
      <w:sz w:val="20"/>
    </w:rPr>
  </w:style>
  <w:style w:type="character" w:customStyle="1" w:styleId="CommentTextChar">
    <w:name w:val="Comment Text Char"/>
    <w:basedOn w:val="DefaultParagraphFont"/>
    <w:link w:val="CommentText"/>
    <w:uiPriority w:val="99"/>
    <w:rsid w:val="00BE7EA5"/>
    <w:rPr>
      <w:rFonts w:ascii="Calibri" w:eastAsia="Times New Roman" w:hAnsi="Calibri" w:cs="Times New Roman"/>
      <w:sz w:val="20"/>
      <w:szCs w:val="20"/>
      <w:lang w:eastAsia="en-AU"/>
    </w:rPr>
  </w:style>
  <w:style w:type="paragraph" w:customStyle="1" w:styleId="SecurityClassificationHeader">
    <w:name w:val="Security Classification Header"/>
    <w:link w:val="SecurityClassificationHeaderChar"/>
    <w:rsid w:val="00F5365A"/>
    <w:pPr>
      <w:spacing w:before="360" w:after="60"/>
      <w:jc w:val="center"/>
    </w:pPr>
    <w:rPr>
      <w:rFonts w:ascii="Calibri" w:eastAsia="Times New Roman" w:hAnsi="Calibri" w:cs="Calibri"/>
      <w:b/>
      <w:color w:val="FF0000"/>
      <w:sz w:val="24"/>
      <w:szCs w:val="20"/>
      <w:lang w:eastAsia="en-AU"/>
    </w:rPr>
  </w:style>
  <w:style w:type="character" w:customStyle="1" w:styleId="SecurityClassificationHeaderChar">
    <w:name w:val="Security Classification Header Char"/>
    <w:basedOn w:val="HeaderChar"/>
    <w:link w:val="SecurityClassificationHeader"/>
    <w:rsid w:val="00F5365A"/>
    <w:rPr>
      <w:rFonts w:ascii="Calibri" w:eastAsia="Times New Roman" w:hAnsi="Calibri" w:cs="Calibri"/>
      <w:b/>
      <w:color w:val="FF0000"/>
      <w:sz w:val="24"/>
      <w:szCs w:val="20"/>
      <w:lang w:eastAsia="en-AU"/>
    </w:rPr>
  </w:style>
  <w:style w:type="paragraph" w:customStyle="1" w:styleId="SecurityClassificationFooter">
    <w:name w:val="Security Classification Footer"/>
    <w:link w:val="SecurityClassificationFooterChar"/>
    <w:rsid w:val="00F5365A"/>
    <w:pPr>
      <w:spacing w:before="360" w:after="60"/>
      <w:jc w:val="center"/>
    </w:pPr>
    <w:rPr>
      <w:rFonts w:ascii="Calibri" w:eastAsia="Times New Roman" w:hAnsi="Calibri" w:cs="Calibri"/>
      <w:b/>
      <w:color w:val="FF0000"/>
      <w:sz w:val="24"/>
      <w:szCs w:val="20"/>
      <w:lang w:eastAsia="en-AU"/>
    </w:rPr>
  </w:style>
  <w:style w:type="character" w:customStyle="1" w:styleId="SecurityClassificationFooterChar">
    <w:name w:val="Security Classification Footer Char"/>
    <w:basedOn w:val="HeaderChar"/>
    <w:link w:val="SecurityClassificationFooter"/>
    <w:rsid w:val="00F5365A"/>
    <w:rPr>
      <w:rFonts w:ascii="Calibri" w:eastAsia="Times New Roman" w:hAnsi="Calibri" w:cs="Calibri"/>
      <w:b/>
      <w:color w:val="FF0000"/>
      <w:sz w:val="24"/>
      <w:szCs w:val="20"/>
      <w:lang w:eastAsia="en-AU"/>
    </w:rPr>
  </w:style>
  <w:style w:type="paragraph" w:customStyle="1" w:styleId="DLMSecurityHeader">
    <w:name w:val="DLM Security Header"/>
    <w:link w:val="DLMSecurityHeaderChar"/>
    <w:rsid w:val="00F5365A"/>
    <w:pPr>
      <w:spacing w:before="60" w:after="240"/>
      <w:jc w:val="center"/>
    </w:pPr>
    <w:rPr>
      <w:rFonts w:ascii="Calibri" w:eastAsia="Times New Roman" w:hAnsi="Calibri" w:cs="Calibri"/>
      <w:b/>
      <w:color w:val="FF0000"/>
      <w:sz w:val="24"/>
      <w:szCs w:val="20"/>
      <w:lang w:eastAsia="en-AU"/>
    </w:rPr>
  </w:style>
  <w:style w:type="character" w:customStyle="1" w:styleId="DLMSecurityHeaderChar">
    <w:name w:val="DLM Security Header Char"/>
    <w:basedOn w:val="HeaderChar"/>
    <w:link w:val="DLMSecurityHeader"/>
    <w:rsid w:val="00F5365A"/>
    <w:rPr>
      <w:rFonts w:ascii="Calibri" w:eastAsia="Times New Roman" w:hAnsi="Calibri" w:cs="Calibri"/>
      <w:b/>
      <w:color w:val="FF0000"/>
      <w:sz w:val="24"/>
      <w:szCs w:val="20"/>
      <w:lang w:eastAsia="en-AU"/>
    </w:rPr>
  </w:style>
  <w:style w:type="paragraph" w:customStyle="1" w:styleId="DLMSecurityFooter">
    <w:name w:val="DLM Security Footer"/>
    <w:link w:val="DLMSecurityFooterChar"/>
    <w:rsid w:val="00F5365A"/>
    <w:pPr>
      <w:spacing w:before="240" w:after="60"/>
      <w:jc w:val="center"/>
    </w:pPr>
    <w:rPr>
      <w:rFonts w:ascii="Calibri" w:eastAsia="Times New Roman" w:hAnsi="Calibri" w:cs="Calibri"/>
      <w:b/>
      <w:color w:val="FF0000"/>
      <w:sz w:val="24"/>
      <w:szCs w:val="20"/>
      <w:lang w:eastAsia="en-AU"/>
    </w:rPr>
  </w:style>
  <w:style w:type="character" w:customStyle="1" w:styleId="DLMSecurityFooterChar">
    <w:name w:val="DLM Security Footer Char"/>
    <w:basedOn w:val="HeaderChar"/>
    <w:link w:val="DLMSecurityFooter"/>
    <w:rsid w:val="00F5365A"/>
    <w:rPr>
      <w:rFonts w:ascii="Calibri" w:eastAsia="Times New Roman" w:hAnsi="Calibri" w:cs="Calibri"/>
      <w:b/>
      <w:color w:val="FF0000"/>
      <w:sz w:val="24"/>
      <w:szCs w:val="20"/>
      <w:lang w:eastAsia="en-AU"/>
    </w:rPr>
  </w:style>
  <w:style w:type="character" w:customStyle="1" w:styleId="ui-provider">
    <w:name w:val="ui-provider"/>
    <w:basedOn w:val="DefaultParagraphFont"/>
    <w:rsid w:val="007A182A"/>
  </w:style>
  <w:style w:type="character" w:customStyle="1" w:styleId="OutlineNumbered1Char">
    <w:name w:val="Outline Numbered 1 Char"/>
    <w:basedOn w:val="BulletChar"/>
    <w:link w:val="OutlineNumbered1"/>
    <w:rsid w:val="00CB6176"/>
    <w:rPr>
      <w:rFonts w:ascii="Calibri Light" w:eastAsia="Times New Roman" w:hAnsi="Calibri Light" w:cs="Times New Roman"/>
      <w:szCs w:val="20"/>
      <w:lang w:eastAsia="en-AU"/>
    </w:rPr>
  </w:style>
  <w:style w:type="paragraph" w:styleId="CommentSubject">
    <w:name w:val="annotation subject"/>
    <w:basedOn w:val="CommentText"/>
    <w:next w:val="CommentText"/>
    <w:link w:val="CommentSubjectChar"/>
    <w:uiPriority w:val="99"/>
    <w:semiHidden/>
    <w:unhideWhenUsed/>
    <w:rsid w:val="00E57D3B"/>
    <w:rPr>
      <w:rFonts w:ascii="Calibri Light" w:hAnsi="Calibri Light"/>
      <w:b/>
      <w:bCs/>
    </w:rPr>
  </w:style>
  <w:style w:type="character" w:customStyle="1" w:styleId="CommentSubjectChar">
    <w:name w:val="Comment Subject Char"/>
    <w:basedOn w:val="CommentTextChar"/>
    <w:link w:val="CommentSubject"/>
    <w:uiPriority w:val="99"/>
    <w:semiHidden/>
    <w:rsid w:val="00E57D3B"/>
    <w:rPr>
      <w:rFonts w:ascii="Calibri Light" w:eastAsia="Times New Roman" w:hAnsi="Calibri Light" w:cs="Times New Roman"/>
      <w:b/>
      <w:bCs/>
      <w:sz w:val="20"/>
      <w:szCs w:val="20"/>
      <w:lang w:eastAsia="en-AU"/>
    </w:rPr>
  </w:style>
  <w:style w:type="paragraph" w:styleId="Revision">
    <w:name w:val="Revision"/>
    <w:hidden/>
    <w:uiPriority w:val="99"/>
    <w:semiHidden/>
    <w:rsid w:val="000A48EC"/>
    <w:pPr>
      <w:spacing w:after="0" w:line="240" w:lineRule="auto"/>
    </w:pPr>
    <w:rPr>
      <w:rFonts w:ascii="Calibri Light" w:eastAsia="Times New Roman" w:hAnsi="Calibri Light" w:cs="Times New Roman"/>
      <w:szCs w:val="20"/>
      <w:lang w:eastAsia="en-AU"/>
    </w:rPr>
  </w:style>
  <w:style w:type="character" w:customStyle="1" w:styleId="cf01">
    <w:name w:val="cf01"/>
    <w:basedOn w:val="DefaultParagraphFont"/>
    <w:rsid w:val="00B60FFB"/>
    <w:rPr>
      <w:rFonts w:ascii="Segoe UI" w:hAnsi="Segoe UI" w:cs="Segoe UI" w:hint="default"/>
      <w:sz w:val="18"/>
      <w:szCs w:val="18"/>
    </w:rPr>
  </w:style>
  <w:style w:type="paragraph" w:styleId="List">
    <w:name w:val="List"/>
    <w:basedOn w:val="Normal"/>
    <w:uiPriority w:val="99"/>
    <w:unhideWhenUsed/>
    <w:rsid w:val="00330A01"/>
    <w:pPr>
      <w:ind w:left="283" w:hanging="283"/>
      <w:contextualSpacing/>
    </w:pPr>
  </w:style>
  <w:style w:type="paragraph" w:styleId="BodyText">
    <w:name w:val="Body Text"/>
    <w:basedOn w:val="Normal"/>
    <w:link w:val="BodyTextChar"/>
    <w:uiPriority w:val="99"/>
    <w:unhideWhenUsed/>
    <w:rsid w:val="00330A01"/>
  </w:style>
  <w:style w:type="character" w:customStyle="1" w:styleId="BodyTextChar">
    <w:name w:val="Body Text Char"/>
    <w:basedOn w:val="DefaultParagraphFont"/>
    <w:link w:val="BodyText"/>
    <w:uiPriority w:val="99"/>
    <w:rsid w:val="00330A01"/>
    <w:rPr>
      <w:rFonts w:ascii="Calibri Light" w:eastAsia="Times New Roman" w:hAnsi="Calibri Light" w:cs="Times New Roman"/>
      <w:szCs w:val="20"/>
      <w:lang w:eastAsia="en-AU"/>
    </w:rPr>
  </w:style>
  <w:style w:type="paragraph" w:styleId="BodyTextIndent">
    <w:name w:val="Body Text Indent"/>
    <w:basedOn w:val="Normal"/>
    <w:link w:val="BodyTextIndentChar"/>
    <w:uiPriority w:val="99"/>
    <w:unhideWhenUsed/>
    <w:rsid w:val="00330A01"/>
    <w:pPr>
      <w:ind w:left="283"/>
    </w:pPr>
  </w:style>
  <w:style w:type="character" w:customStyle="1" w:styleId="BodyTextIndentChar">
    <w:name w:val="Body Text Indent Char"/>
    <w:basedOn w:val="DefaultParagraphFont"/>
    <w:link w:val="BodyTextIndent"/>
    <w:uiPriority w:val="99"/>
    <w:rsid w:val="00330A01"/>
    <w:rPr>
      <w:rFonts w:ascii="Calibri Light" w:eastAsia="Times New Roman" w:hAnsi="Calibri Light" w:cs="Times New Roman"/>
      <w:szCs w:val="20"/>
      <w:lang w:eastAsia="en-AU"/>
    </w:rPr>
  </w:style>
  <w:style w:type="character" w:styleId="Mention">
    <w:name w:val="Mention"/>
    <w:basedOn w:val="DefaultParagraphFont"/>
    <w:uiPriority w:val="99"/>
    <w:unhideWhenUsed/>
    <w:rsid w:val="00FF35C8"/>
    <w:rPr>
      <w:color w:val="2B579A"/>
      <w:shd w:val="clear" w:color="auto" w:fill="E1DFDD"/>
    </w:rPr>
  </w:style>
  <w:style w:type="paragraph" w:customStyle="1" w:styleId="Default">
    <w:name w:val="Default"/>
    <w:rsid w:val="00B81FF2"/>
    <w:pPr>
      <w:autoSpaceDE w:val="0"/>
      <w:autoSpaceDN w:val="0"/>
      <w:adjustRightInd w:val="0"/>
      <w:spacing w:after="0" w:line="240" w:lineRule="auto"/>
    </w:pPr>
    <w:rPr>
      <w:rFonts w:ascii="Myriad Pro Light" w:hAnsi="Myriad Pro Light" w:cs="Myriad Pro Light"/>
      <w:color w:val="000000"/>
      <w:sz w:val="24"/>
      <w:szCs w:val="24"/>
    </w:rPr>
  </w:style>
  <w:style w:type="character" w:styleId="FollowedHyperlink">
    <w:name w:val="FollowedHyperlink"/>
    <w:basedOn w:val="DefaultParagraphFont"/>
    <w:uiPriority w:val="99"/>
    <w:semiHidden/>
    <w:unhideWhenUsed/>
    <w:rsid w:val="00416773"/>
    <w:rPr>
      <w:color w:val="844D9E" w:themeColor="followedHyperlink"/>
      <w:u w:val="single"/>
    </w:rPr>
  </w:style>
  <w:style w:type="paragraph" w:customStyle="1" w:styleId="Heading3a">
    <w:name w:val="Heading 3a"/>
    <w:basedOn w:val="Heading3"/>
    <w:link w:val="Heading3aChar"/>
    <w:qFormat/>
    <w:rsid w:val="00BC4A02"/>
    <w:rPr>
      <w:szCs w:val="24"/>
    </w:rPr>
  </w:style>
  <w:style w:type="character" w:customStyle="1" w:styleId="Heading3aChar">
    <w:name w:val="Heading 3a Char"/>
    <w:basedOn w:val="Heading3Char"/>
    <w:link w:val="Heading3a"/>
    <w:rsid w:val="00BC4A02"/>
    <w:rPr>
      <w:rFonts w:ascii="Calibri" w:eastAsia="Times New Roman" w:hAnsi="Calibri" w:cs="Arial"/>
      <w:b w:val="0"/>
      <w:color w:val="4D7861" w:themeColor="accent2"/>
      <w:kern w:val="32"/>
      <w:sz w:val="24"/>
      <w:szCs w:val="24"/>
      <w:lang w:eastAsia="en-AU"/>
    </w:rPr>
  </w:style>
  <w:style w:type="character" w:styleId="UnresolvedMention">
    <w:name w:val="Unresolved Mention"/>
    <w:basedOn w:val="DefaultParagraphFont"/>
    <w:uiPriority w:val="99"/>
    <w:semiHidden/>
    <w:unhideWhenUsed/>
    <w:rsid w:val="00D3748A"/>
    <w:rPr>
      <w:color w:val="605E5C"/>
      <w:shd w:val="clear" w:color="auto" w:fill="E1DFDD"/>
    </w:rPr>
  </w:style>
  <w:style w:type="paragraph" w:styleId="NormalWeb">
    <w:name w:val="Normal (Web)"/>
    <w:basedOn w:val="Normal"/>
    <w:uiPriority w:val="99"/>
    <w:unhideWhenUsed/>
    <w:rsid w:val="001D1D16"/>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1D1D16"/>
    <w:rPr>
      <w:i/>
      <w:iCs/>
    </w:rPr>
  </w:style>
  <w:style w:type="character" w:customStyle="1" w:styleId="header-section-number">
    <w:name w:val="header-section-number"/>
    <w:basedOn w:val="DefaultParagraphFont"/>
    <w:rsid w:val="00BB4145"/>
  </w:style>
  <w:style w:type="character" w:styleId="Strong">
    <w:name w:val="Strong"/>
    <w:basedOn w:val="DefaultParagraphFont"/>
    <w:uiPriority w:val="22"/>
    <w:qFormat/>
    <w:rsid w:val="00BB4145"/>
    <w:rPr>
      <w:b/>
      <w:bCs/>
    </w:rPr>
  </w:style>
  <w:style w:type="paragraph" w:customStyle="1" w:styleId="FirstParagraph">
    <w:name w:val="First Paragraph"/>
    <w:basedOn w:val="BodyText"/>
    <w:next w:val="BodyText"/>
    <w:qFormat/>
    <w:rsid w:val="001B6394"/>
    <w:pPr>
      <w:spacing w:before="180" w:after="180"/>
    </w:pPr>
    <w:rPr>
      <w:rFonts w:asciiTheme="minorHAnsi" w:eastAsiaTheme="minorHAnsi" w:hAnsiTheme="minorHAnsi" w:cstheme="minorBidi"/>
      <w:sz w:val="24"/>
      <w:szCs w:val="24"/>
      <w:lang w:val="en-US" w:eastAsia="en-US"/>
    </w:rPr>
  </w:style>
  <w:style w:type="paragraph" w:customStyle="1" w:styleId="Compact">
    <w:name w:val="Compact"/>
    <w:basedOn w:val="BodyText"/>
    <w:qFormat/>
    <w:rsid w:val="00AD63DF"/>
    <w:pPr>
      <w:spacing w:before="36" w:after="36"/>
    </w:pPr>
    <w:rPr>
      <w:rFonts w:asciiTheme="minorHAnsi" w:eastAsiaTheme="minorHAnsi" w:hAnsiTheme="minorHAnsi" w:cstheme="minorBidi"/>
      <w:sz w:val="24"/>
      <w:szCs w:val="24"/>
      <w:lang w:val="en-US" w:eastAsia="en-US"/>
    </w:rPr>
  </w:style>
  <w:style w:type="character" w:styleId="HTMLCode">
    <w:name w:val="HTML Code"/>
    <w:basedOn w:val="DefaultParagraphFont"/>
    <w:uiPriority w:val="99"/>
    <w:semiHidden/>
    <w:unhideWhenUsed/>
    <w:rsid w:val="000E689C"/>
    <w:rPr>
      <w:rFonts w:ascii="Courier New" w:eastAsia="Times New Roman" w:hAnsi="Courier New" w:cs="Courier New"/>
      <w:sz w:val="20"/>
      <w:szCs w:val="20"/>
    </w:rPr>
  </w:style>
  <w:style w:type="character" w:customStyle="1" w:styleId="mi">
    <w:name w:val="mi"/>
    <w:basedOn w:val="DefaultParagraphFont"/>
    <w:rsid w:val="000E689C"/>
  </w:style>
  <w:style w:type="character" w:customStyle="1" w:styleId="mo">
    <w:name w:val="mo"/>
    <w:basedOn w:val="DefaultParagraphFont"/>
    <w:rsid w:val="000E689C"/>
  </w:style>
  <w:style w:type="character" w:customStyle="1" w:styleId="mjxassistivemathml">
    <w:name w:val="mjx_assistive_mathml"/>
    <w:basedOn w:val="DefaultParagraphFont"/>
    <w:rsid w:val="000E689C"/>
  </w:style>
  <w:style w:type="paragraph" w:customStyle="1" w:styleId="msonormal0">
    <w:name w:val="msonormal"/>
    <w:basedOn w:val="Normal"/>
    <w:rsid w:val="00201D9D"/>
    <w:pPr>
      <w:spacing w:before="100" w:beforeAutospacing="1" w:after="100" w:afterAutospacing="1"/>
    </w:pPr>
    <w:rPr>
      <w:rFonts w:ascii="Times New Roman" w:hAnsi="Times New Roman"/>
      <w:sz w:val="24"/>
      <w:szCs w:val="24"/>
    </w:rPr>
  </w:style>
  <w:style w:type="character" w:customStyle="1" w:styleId="math">
    <w:name w:val="math"/>
    <w:basedOn w:val="DefaultParagraphFont"/>
    <w:rsid w:val="00201D9D"/>
  </w:style>
  <w:style w:type="character" w:customStyle="1" w:styleId="mathjax">
    <w:name w:val="mathjax"/>
    <w:basedOn w:val="DefaultParagraphFont"/>
    <w:rsid w:val="00201D9D"/>
  </w:style>
  <w:style w:type="character" w:customStyle="1" w:styleId="mrow">
    <w:name w:val="mrow"/>
    <w:basedOn w:val="DefaultParagraphFont"/>
    <w:rsid w:val="00201D9D"/>
  </w:style>
  <w:style w:type="character" w:customStyle="1" w:styleId="msubsup">
    <w:name w:val="msubsup"/>
    <w:basedOn w:val="DefaultParagraphFont"/>
    <w:rsid w:val="00201D9D"/>
  </w:style>
  <w:style w:type="character" w:customStyle="1" w:styleId="mtable">
    <w:name w:val="mtable"/>
    <w:basedOn w:val="DefaultParagraphFont"/>
    <w:rsid w:val="00201D9D"/>
  </w:style>
  <w:style w:type="character" w:customStyle="1" w:styleId="mtd">
    <w:name w:val="mtd"/>
    <w:basedOn w:val="DefaultParagraphFont"/>
    <w:rsid w:val="00201D9D"/>
  </w:style>
  <w:style w:type="character" w:customStyle="1" w:styleId="texatom">
    <w:name w:val="texatom"/>
    <w:basedOn w:val="DefaultParagraphFont"/>
    <w:rsid w:val="00201D9D"/>
  </w:style>
  <w:style w:type="character" w:customStyle="1" w:styleId="mtext">
    <w:name w:val="mtext"/>
    <w:basedOn w:val="DefaultParagraphFont"/>
    <w:rsid w:val="00201D9D"/>
  </w:style>
  <w:style w:type="character" w:customStyle="1" w:styleId="munderover">
    <w:name w:val="munderover"/>
    <w:basedOn w:val="DefaultParagraphFont"/>
    <w:rsid w:val="00201D9D"/>
  </w:style>
  <w:style w:type="character" w:customStyle="1" w:styleId="mn">
    <w:name w:val="mn"/>
    <w:basedOn w:val="DefaultParagraphFont"/>
    <w:rsid w:val="00201D9D"/>
  </w:style>
  <w:style w:type="paragraph" w:customStyle="1" w:styleId="Chartheading">
    <w:name w:val="Chart heading"/>
    <w:basedOn w:val="Heading4"/>
    <w:link w:val="ChartheadingChar"/>
    <w:qFormat/>
    <w:rsid w:val="00BB7265"/>
    <w:rPr>
      <w:rFonts w:ascii="Calibri" w:hAnsi="Calibri"/>
      <w:b/>
      <w:sz w:val="20"/>
      <w:szCs w:val="20"/>
    </w:rPr>
  </w:style>
  <w:style w:type="character" w:customStyle="1" w:styleId="ChartheadingChar">
    <w:name w:val="Chart heading Char"/>
    <w:basedOn w:val="Heading4Char"/>
    <w:link w:val="Chartheading"/>
    <w:rsid w:val="00234B25"/>
    <w:rPr>
      <w:rFonts w:ascii="Calibri" w:eastAsia="Times New Roman" w:hAnsi="Calibri" w:cs="Arial"/>
      <w:b/>
      <w:color w:val="4D7861" w:themeColor="accent2"/>
      <w:kern w:val="32"/>
      <w:sz w:val="20"/>
      <w:szCs w:val="20"/>
      <w:lang w:eastAsia="en-AU"/>
    </w:rPr>
  </w:style>
  <w:style w:type="paragraph" w:customStyle="1" w:styleId="Evaluationquestionquote">
    <w:name w:val="Evaluation question quote"/>
    <w:basedOn w:val="BodyText"/>
    <w:link w:val="EvaluationquestionquoteChar"/>
    <w:qFormat/>
    <w:rsid w:val="009E3506"/>
    <w:pPr>
      <w:ind w:left="720"/>
    </w:pPr>
    <w:rPr>
      <w:i/>
      <w:iCs/>
      <w:color w:val="4D7861" w:themeColor="accent2"/>
    </w:rPr>
  </w:style>
  <w:style w:type="character" w:customStyle="1" w:styleId="EvaluationquestionquoteChar">
    <w:name w:val="Evaluation question quote Char"/>
    <w:basedOn w:val="BodyTextChar"/>
    <w:link w:val="Evaluationquestionquote"/>
    <w:rsid w:val="009E3506"/>
    <w:rPr>
      <w:rFonts w:ascii="Calibri Light" w:eastAsia="Times New Roman" w:hAnsi="Calibri Light" w:cs="Times New Roman"/>
      <w:i/>
      <w:iCs/>
      <w:color w:val="4D7861" w:themeColor="accent2"/>
      <w:szCs w:val="20"/>
      <w:lang w:eastAsia="en-AU"/>
    </w:rPr>
  </w:style>
  <w:style w:type="paragraph" w:styleId="ListBullet">
    <w:name w:val="List Bullet"/>
    <w:basedOn w:val="Normal"/>
    <w:uiPriority w:val="99"/>
    <w:unhideWhenUsed/>
    <w:rsid w:val="00FE7AC8"/>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34798">
      <w:bodyDiv w:val="1"/>
      <w:marLeft w:val="0"/>
      <w:marRight w:val="0"/>
      <w:marTop w:val="0"/>
      <w:marBottom w:val="0"/>
      <w:divBdr>
        <w:top w:val="none" w:sz="0" w:space="0" w:color="auto"/>
        <w:left w:val="none" w:sz="0" w:space="0" w:color="auto"/>
        <w:bottom w:val="none" w:sz="0" w:space="0" w:color="auto"/>
        <w:right w:val="none" w:sz="0" w:space="0" w:color="auto"/>
      </w:divBdr>
      <w:divsChild>
        <w:div w:id="689646020">
          <w:marLeft w:val="1800"/>
          <w:marRight w:val="0"/>
          <w:marTop w:val="100"/>
          <w:marBottom w:val="0"/>
          <w:divBdr>
            <w:top w:val="none" w:sz="0" w:space="0" w:color="auto"/>
            <w:left w:val="none" w:sz="0" w:space="0" w:color="auto"/>
            <w:bottom w:val="none" w:sz="0" w:space="0" w:color="auto"/>
            <w:right w:val="none" w:sz="0" w:space="0" w:color="auto"/>
          </w:divBdr>
        </w:div>
        <w:div w:id="1324892960">
          <w:marLeft w:val="1800"/>
          <w:marRight w:val="0"/>
          <w:marTop w:val="100"/>
          <w:marBottom w:val="0"/>
          <w:divBdr>
            <w:top w:val="none" w:sz="0" w:space="0" w:color="auto"/>
            <w:left w:val="none" w:sz="0" w:space="0" w:color="auto"/>
            <w:bottom w:val="none" w:sz="0" w:space="0" w:color="auto"/>
            <w:right w:val="none" w:sz="0" w:space="0" w:color="auto"/>
          </w:divBdr>
        </w:div>
        <w:div w:id="1713966444">
          <w:marLeft w:val="1800"/>
          <w:marRight w:val="0"/>
          <w:marTop w:val="100"/>
          <w:marBottom w:val="0"/>
          <w:divBdr>
            <w:top w:val="none" w:sz="0" w:space="0" w:color="auto"/>
            <w:left w:val="none" w:sz="0" w:space="0" w:color="auto"/>
            <w:bottom w:val="none" w:sz="0" w:space="0" w:color="auto"/>
            <w:right w:val="none" w:sz="0" w:space="0" w:color="auto"/>
          </w:divBdr>
        </w:div>
        <w:div w:id="1838571400">
          <w:marLeft w:val="1800"/>
          <w:marRight w:val="0"/>
          <w:marTop w:val="100"/>
          <w:marBottom w:val="0"/>
          <w:divBdr>
            <w:top w:val="none" w:sz="0" w:space="0" w:color="auto"/>
            <w:left w:val="none" w:sz="0" w:space="0" w:color="auto"/>
            <w:bottom w:val="none" w:sz="0" w:space="0" w:color="auto"/>
            <w:right w:val="none" w:sz="0" w:space="0" w:color="auto"/>
          </w:divBdr>
        </w:div>
        <w:div w:id="2139490966">
          <w:marLeft w:val="1800"/>
          <w:marRight w:val="0"/>
          <w:marTop w:val="100"/>
          <w:marBottom w:val="0"/>
          <w:divBdr>
            <w:top w:val="none" w:sz="0" w:space="0" w:color="auto"/>
            <w:left w:val="none" w:sz="0" w:space="0" w:color="auto"/>
            <w:bottom w:val="none" w:sz="0" w:space="0" w:color="auto"/>
            <w:right w:val="none" w:sz="0" w:space="0" w:color="auto"/>
          </w:divBdr>
        </w:div>
      </w:divsChild>
    </w:div>
    <w:div w:id="31661713">
      <w:bodyDiv w:val="1"/>
      <w:marLeft w:val="0"/>
      <w:marRight w:val="0"/>
      <w:marTop w:val="0"/>
      <w:marBottom w:val="0"/>
      <w:divBdr>
        <w:top w:val="none" w:sz="0" w:space="0" w:color="auto"/>
        <w:left w:val="none" w:sz="0" w:space="0" w:color="auto"/>
        <w:bottom w:val="none" w:sz="0" w:space="0" w:color="auto"/>
        <w:right w:val="none" w:sz="0" w:space="0" w:color="auto"/>
      </w:divBdr>
      <w:divsChild>
        <w:div w:id="164977961">
          <w:marLeft w:val="-225"/>
          <w:marRight w:val="-225"/>
          <w:marTop w:val="0"/>
          <w:marBottom w:val="0"/>
          <w:divBdr>
            <w:top w:val="none" w:sz="0" w:space="0" w:color="auto"/>
            <w:left w:val="none" w:sz="0" w:space="0" w:color="auto"/>
            <w:bottom w:val="none" w:sz="0" w:space="0" w:color="auto"/>
            <w:right w:val="none" w:sz="0" w:space="0" w:color="auto"/>
          </w:divBdr>
          <w:divsChild>
            <w:div w:id="3811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54076">
      <w:bodyDiv w:val="1"/>
      <w:marLeft w:val="0"/>
      <w:marRight w:val="0"/>
      <w:marTop w:val="0"/>
      <w:marBottom w:val="0"/>
      <w:divBdr>
        <w:top w:val="none" w:sz="0" w:space="0" w:color="auto"/>
        <w:left w:val="none" w:sz="0" w:space="0" w:color="auto"/>
        <w:bottom w:val="none" w:sz="0" w:space="0" w:color="auto"/>
        <w:right w:val="none" w:sz="0" w:space="0" w:color="auto"/>
      </w:divBdr>
    </w:div>
    <w:div w:id="127624621">
      <w:bodyDiv w:val="1"/>
      <w:marLeft w:val="0"/>
      <w:marRight w:val="0"/>
      <w:marTop w:val="0"/>
      <w:marBottom w:val="0"/>
      <w:divBdr>
        <w:top w:val="none" w:sz="0" w:space="0" w:color="auto"/>
        <w:left w:val="none" w:sz="0" w:space="0" w:color="auto"/>
        <w:bottom w:val="none" w:sz="0" w:space="0" w:color="auto"/>
        <w:right w:val="none" w:sz="0" w:space="0" w:color="auto"/>
      </w:divBdr>
    </w:div>
    <w:div w:id="236982262">
      <w:bodyDiv w:val="1"/>
      <w:marLeft w:val="0"/>
      <w:marRight w:val="0"/>
      <w:marTop w:val="0"/>
      <w:marBottom w:val="0"/>
      <w:divBdr>
        <w:top w:val="none" w:sz="0" w:space="0" w:color="auto"/>
        <w:left w:val="none" w:sz="0" w:space="0" w:color="auto"/>
        <w:bottom w:val="none" w:sz="0" w:space="0" w:color="auto"/>
        <w:right w:val="none" w:sz="0" w:space="0" w:color="auto"/>
      </w:divBdr>
    </w:div>
    <w:div w:id="281301420">
      <w:bodyDiv w:val="1"/>
      <w:marLeft w:val="0"/>
      <w:marRight w:val="0"/>
      <w:marTop w:val="0"/>
      <w:marBottom w:val="0"/>
      <w:divBdr>
        <w:top w:val="none" w:sz="0" w:space="0" w:color="auto"/>
        <w:left w:val="none" w:sz="0" w:space="0" w:color="auto"/>
        <w:bottom w:val="none" w:sz="0" w:space="0" w:color="auto"/>
        <w:right w:val="none" w:sz="0" w:space="0" w:color="auto"/>
      </w:divBdr>
      <w:divsChild>
        <w:div w:id="270824946">
          <w:marLeft w:val="446"/>
          <w:marRight w:val="0"/>
          <w:marTop w:val="0"/>
          <w:marBottom w:val="0"/>
          <w:divBdr>
            <w:top w:val="none" w:sz="0" w:space="0" w:color="auto"/>
            <w:left w:val="none" w:sz="0" w:space="0" w:color="auto"/>
            <w:bottom w:val="none" w:sz="0" w:space="0" w:color="auto"/>
            <w:right w:val="none" w:sz="0" w:space="0" w:color="auto"/>
          </w:divBdr>
        </w:div>
        <w:div w:id="469633028">
          <w:marLeft w:val="1166"/>
          <w:marRight w:val="0"/>
          <w:marTop w:val="0"/>
          <w:marBottom w:val="0"/>
          <w:divBdr>
            <w:top w:val="none" w:sz="0" w:space="0" w:color="auto"/>
            <w:left w:val="none" w:sz="0" w:space="0" w:color="auto"/>
            <w:bottom w:val="none" w:sz="0" w:space="0" w:color="auto"/>
            <w:right w:val="none" w:sz="0" w:space="0" w:color="auto"/>
          </w:divBdr>
        </w:div>
        <w:div w:id="1078749372">
          <w:marLeft w:val="446"/>
          <w:marRight w:val="0"/>
          <w:marTop w:val="0"/>
          <w:marBottom w:val="0"/>
          <w:divBdr>
            <w:top w:val="none" w:sz="0" w:space="0" w:color="auto"/>
            <w:left w:val="none" w:sz="0" w:space="0" w:color="auto"/>
            <w:bottom w:val="none" w:sz="0" w:space="0" w:color="auto"/>
            <w:right w:val="none" w:sz="0" w:space="0" w:color="auto"/>
          </w:divBdr>
        </w:div>
        <w:div w:id="1447120705">
          <w:marLeft w:val="446"/>
          <w:marRight w:val="0"/>
          <w:marTop w:val="0"/>
          <w:marBottom w:val="0"/>
          <w:divBdr>
            <w:top w:val="none" w:sz="0" w:space="0" w:color="auto"/>
            <w:left w:val="none" w:sz="0" w:space="0" w:color="auto"/>
            <w:bottom w:val="none" w:sz="0" w:space="0" w:color="auto"/>
            <w:right w:val="none" w:sz="0" w:space="0" w:color="auto"/>
          </w:divBdr>
        </w:div>
        <w:div w:id="1521048132">
          <w:marLeft w:val="1166"/>
          <w:marRight w:val="0"/>
          <w:marTop w:val="0"/>
          <w:marBottom w:val="0"/>
          <w:divBdr>
            <w:top w:val="none" w:sz="0" w:space="0" w:color="auto"/>
            <w:left w:val="none" w:sz="0" w:space="0" w:color="auto"/>
            <w:bottom w:val="none" w:sz="0" w:space="0" w:color="auto"/>
            <w:right w:val="none" w:sz="0" w:space="0" w:color="auto"/>
          </w:divBdr>
        </w:div>
        <w:div w:id="1663851257">
          <w:marLeft w:val="446"/>
          <w:marRight w:val="0"/>
          <w:marTop w:val="0"/>
          <w:marBottom w:val="0"/>
          <w:divBdr>
            <w:top w:val="none" w:sz="0" w:space="0" w:color="auto"/>
            <w:left w:val="none" w:sz="0" w:space="0" w:color="auto"/>
            <w:bottom w:val="none" w:sz="0" w:space="0" w:color="auto"/>
            <w:right w:val="none" w:sz="0" w:space="0" w:color="auto"/>
          </w:divBdr>
        </w:div>
        <w:div w:id="1771582653">
          <w:marLeft w:val="1166"/>
          <w:marRight w:val="0"/>
          <w:marTop w:val="0"/>
          <w:marBottom w:val="0"/>
          <w:divBdr>
            <w:top w:val="none" w:sz="0" w:space="0" w:color="auto"/>
            <w:left w:val="none" w:sz="0" w:space="0" w:color="auto"/>
            <w:bottom w:val="none" w:sz="0" w:space="0" w:color="auto"/>
            <w:right w:val="none" w:sz="0" w:space="0" w:color="auto"/>
          </w:divBdr>
        </w:div>
        <w:div w:id="1909072668">
          <w:marLeft w:val="446"/>
          <w:marRight w:val="0"/>
          <w:marTop w:val="0"/>
          <w:marBottom w:val="0"/>
          <w:divBdr>
            <w:top w:val="none" w:sz="0" w:space="0" w:color="auto"/>
            <w:left w:val="none" w:sz="0" w:space="0" w:color="auto"/>
            <w:bottom w:val="none" w:sz="0" w:space="0" w:color="auto"/>
            <w:right w:val="none" w:sz="0" w:space="0" w:color="auto"/>
          </w:divBdr>
        </w:div>
      </w:divsChild>
    </w:div>
    <w:div w:id="283968489">
      <w:bodyDiv w:val="1"/>
      <w:marLeft w:val="0"/>
      <w:marRight w:val="0"/>
      <w:marTop w:val="0"/>
      <w:marBottom w:val="0"/>
      <w:divBdr>
        <w:top w:val="none" w:sz="0" w:space="0" w:color="auto"/>
        <w:left w:val="none" w:sz="0" w:space="0" w:color="auto"/>
        <w:bottom w:val="none" w:sz="0" w:space="0" w:color="auto"/>
        <w:right w:val="none" w:sz="0" w:space="0" w:color="auto"/>
      </w:divBdr>
    </w:div>
    <w:div w:id="284314163">
      <w:bodyDiv w:val="1"/>
      <w:marLeft w:val="0"/>
      <w:marRight w:val="0"/>
      <w:marTop w:val="0"/>
      <w:marBottom w:val="0"/>
      <w:divBdr>
        <w:top w:val="none" w:sz="0" w:space="0" w:color="auto"/>
        <w:left w:val="none" w:sz="0" w:space="0" w:color="auto"/>
        <w:bottom w:val="none" w:sz="0" w:space="0" w:color="auto"/>
        <w:right w:val="none" w:sz="0" w:space="0" w:color="auto"/>
      </w:divBdr>
    </w:div>
    <w:div w:id="299306191">
      <w:bodyDiv w:val="1"/>
      <w:marLeft w:val="0"/>
      <w:marRight w:val="0"/>
      <w:marTop w:val="0"/>
      <w:marBottom w:val="0"/>
      <w:divBdr>
        <w:top w:val="none" w:sz="0" w:space="0" w:color="auto"/>
        <w:left w:val="none" w:sz="0" w:space="0" w:color="auto"/>
        <w:bottom w:val="none" w:sz="0" w:space="0" w:color="auto"/>
        <w:right w:val="none" w:sz="0" w:space="0" w:color="auto"/>
      </w:divBdr>
    </w:div>
    <w:div w:id="307056658">
      <w:bodyDiv w:val="1"/>
      <w:marLeft w:val="0"/>
      <w:marRight w:val="0"/>
      <w:marTop w:val="0"/>
      <w:marBottom w:val="0"/>
      <w:divBdr>
        <w:top w:val="none" w:sz="0" w:space="0" w:color="auto"/>
        <w:left w:val="none" w:sz="0" w:space="0" w:color="auto"/>
        <w:bottom w:val="none" w:sz="0" w:space="0" w:color="auto"/>
        <w:right w:val="none" w:sz="0" w:space="0" w:color="auto"/>
      </w:divBdr>
    </w:div>
    <w:div w:id="348218283">
      <w:bodyDiv w:val="1"/>
      <w:marLeft w:val="0"/>
      <w:marRight w:val="0"/>
      <w:marTop w:val="0"/>
      <w:marBottom w:val="0"/>
      <w:divBdr>
        <w:top w:val="none" w:sz="0" w:space="0" w:color="auto"/>
        <w:left w:val="none" w:sz="0" w:space="0" w:color="auto"/>
        <w:bottom w:val="none" w:sz="0" w:space="0" w:color="auto"/>
        <w:right w:val="none" w:sz="0" w:space="0" w:color="auto"/>
      </w:divBdr>
    </w:div>
    <w:div w:id="366832967">
      <w:bodyDiv w:val="1"/>
      <w:marLeft w:val="0"/>
      <w:marRight w:val="0"/>
      <w:marTop w:val="0"/>
      <w:marBottom w:val="0"/>
      <w:divBdr>
        <w:top w:val="none" w:sz="0" w:space="0" w:color="auto"/>
        <w:left w:val="none" w:sz="0" w:space="0" w:color="auto"/>
        <w:bottom w:val="none" w:sz="0" w:space="0" w:color="auto"/>
        <w:right w:val="none" w:sz="0" w:space="0" w:color="auto"/>
      </w:divBdr>
    </w:div>
    <w:div w:id="432826638">
      <w:bodyDiv w:val="1"/>
      <w:marLeft w:val="0"/>
      <w:marRight w:val="0"/>
      <w:marTop w:val="0"/>
      <w:marBottom w:val="0"/>
      <w:divBdr>
        <w:top w:val="none" w:sz="0" w:space="0" w:color="auto"/>
        <w:left w:val="none" w:sz="0" w:space="0" w:color="auto"/>
        <w:bottom w:val="none" w:sz="0" w:space="0" w:color="auto"/>
        <w:right w:val="none" w:sz="0" w:space="0" w:color="auto"/>
      </w:divBdr>
    </w:div>
    <w:div w:id="451022649">
      <w:bodyDiv w:val="1"/>
      <w:marLeft w:val="0"/>
      <w:marRight w:val="0"/>
      <w:marTop w:val="0"/>
      <w:marBottom w:val="0"/>
      <w:divBdr>
        <w:top w:val="none" w:sz="0" w:space="0" w:color="auto"/>
        <w:left w:val="none" w:sz="0" w:space="0" w:color="auto"/>
        <w:bottom w:val="none" w:sz="0" w:space="0" w:color="auto"/>
        <w:right w:val="none" w:sz="0" w:space="0" w:color="auto"/>
      </w:divBdr>
    </w:div>
    <w:div w:id="461575442">
      <w:bodyDiv w:val="1"/>
      <w:marLeft w:val="0"/>
      <w:marRight w:val="0"/>
      <w:marTop w:val="0"/>
      <w:marBottom w:val="0"/>
      <w:divBdr>
        <w:top w:val="none" w:sz="0" w:space="0" w:color="auto"/>
        <w:left w:val="none" w:sz="0" w:space="0" w:color="auto"/>
        <w:bottom w:val="none" w:sz="0" w:space="0" w:color="auto"/>
        <w:right w:val="none" w:sz="0" w:space="0" w:color="auto"/>
      </w:divBdr>
    </w:div>
    <w:div w:id="484929405">
      <w:bodyDiv w:val="1"/>
      <w:marLeft w:val="0"/>
      <w:marRight w:val="0"/>
      <w:marTop w:val="0"/>
      <w:marBottom w:val="0"/>
      <w:divBdr>
        <w:top w:val="none" w:sz="0" w:space="0" w:color="auto"/>
        <w:left w:val="none" w:sz="0" w:space="0" w:color="auto"/>
        <w:bottom w:val="none" w:sz="0" w:space="0" w:color="auto"/>
        <w:right w:val="none" w:sz="0" w:space="0" w:color="auto"/>
      </w:divBdr>
      <w:divsChild>
        <w:div w:id="382757222">
          <w:marLeft w:val="-225"/>
          <w:marRight w:val="-225"/>
          <w:marTop w:val="0"/>
          <w:marBottom w:val="0"/>
          <w:divBdr>
            <w:top w:val="none" w:sz="0" w:space="0" w:color="auto"/>
            <w:left w:val="none" w:sz="0" w:space="0" w:color="auto"/>
            <w:bottom w:val="none" w:sz="0" w:space="0" w:color="auto"/>
            <w:right w:val="none" w:sz="0" w:space="0" w:color="auto"/>
          </w:divBdr>
          <w:divsChild>
            <w:div w:id="122225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12827">
      <w:bodyDiv w:val="1"/>
      <w:marLeft w:val="0"/>
      <w:marRight w:val="0"/>
      <w:marTop w:val="0"/>
      <w:marBottom w:val="0"/>
      <w:divBdr>
        <w:top w:val="none" w:sz="0" w:space="0" w:color="auto"/>
        <w:left w:val="none" w:sz="0" w:space="0" w:color="auto"/>
        <w:bottom w:val="none" w:sz="0" w:space="0" w:color="auto"/>
        <w:right w:val="none" w:sz="0" w:space="0" w:color="auto"/>
      </w:divBdr>
    </w:div>
    <w:div w:id="505949098">
      <w:bodyDiv w:val="1"/>
      <w:marLeft w:val="0"/>
      <w:marRight w:val="0"/>
      <w:marTop w:val="0"/>
      <w:marBottom w:val="0"/>
      <w:divBdr>
        <w:top w:val="none" w:sz="0" w:space="0" w:color="auto"/>
        <w:left w:val="none" w:sz="0" w:space="0" w:color="auto"/>
        <w:bottom w:val="none" w:sz="0" w:space="0" w:color="auto"/>
        <w:right w:val="none" w:sz="0" w:space="0" w:color="auto"/>
      </w:divBdr>
    </w:div>
    <w:div w:id="537201436">
      <w:bodyDiv w:val="1"/>
      <w:marLeft w:val="0"/>
      <w:marRight w:val="0"/>
      <w:marTop w:val="0"/>
      <w:marBottom w:val="0"/>
      <w:divBdr>
        <w:top w:val="none" w:sz="0" w:space="0" w:color="auto"/>
        <w:left w:val="none" w:sz="0" w:space="0" w:color="auto"/>
        <w:bottom w:val="none" w:sz="0" w:space="0" w:color="auto"/>
        <w:right w:val="none" w:sz="0" w:space="0" w:color="auto"/>
      </w:divBdr>
      <w:divsChild>
        <w:div w:id="294145530">
          <w:marLeft w:val="0"/>
          <w:marRight w:val="0"/>
          <w:marTop w:val="0"/>
          <w:marBottom w:val="0"/>
          <w:divBdr>
            <w:top w:val="none" w:sz="0" w:space="0" w:color="auto"/>
            <w:left w:val="none" w:sz="0" w:space="0" w:color="auto"/>
            <w:bottom w:val="none" w:sz="0" w:space="0" w:color="auto"/>
            <w:right w:val="none" w:sz="0" w:space="0" w:color="auto"/>
          </w:divBdr>
        </w:div>
        <w:div w:id="537354858">
          <w:marLeft w:val="0"/>
          <w:marRight w:val="0"/>
          <w:marTop w:val="0"/>
          <w:marBottom w:val="0"/>
          <w:divBdr>
            <w:top w:val="none" w:sz="0" w:space="0" w:color="auto"/>
            <w:left w:val="none" w:sz="0" w:space="0" w:color="auto"/>
            <w:bottom w:val="none" w:sz="0" w:space="0" w:color="auto"/>
            <w:right w:val="none" w:sz="0" w:space="0" w:color="auto"/>
          </w:divBdr>
        </w:div>
      </w:divsChild>
    </w:div>
    <w:div w:id="567231549">
      <w:bodyDiv w:val="1"/>
      <w:marLeft w:val="0"/>
      <w:marRight w:val="0"/>
      <w:marTop w:val="0"/>
      <w:marBottom w:val="0"/>
      <w:divBdr>
        <w:top w:val="none" w:sz="0" w:space="0" w:color="auto"/>
        <w:left w:val="none" w:sz="0" w:space="0" w:color="auto"/>
        <w:bottom w:val="none" w:sz="0" w:space="0" w:color="auto"/>
        <w:right w:val="none" w:sz="0" w:space="0" w:color="auto"/>
      </w:divBdr>
      <w:divsChild>
        <w:div w:id="196282049">
          <w:marLeft w:val="-225"/>
          <w:marRight w:val="-225"/>
          <w:marTop w:val="0"/>
          <w:marBottom w:val="0"/>
          <w:divBdr>
            <w:top w:val="none" w:sz="0" w:space="0" w:color="auto"/>
            <w:left w:val="none" w:sz="0" w:space="0" w:color="auto"/>
            <w:bottom w:val="none" w:sz="0" w:space="0" w:color="auto"/>
            <w:right w:val="none" w:sz="0" w:space="0" w:color="auto"/>
          </w:divBdr>
          <w:divsChild>
            <w:div w:id="23050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98350">
      <w:bodyDiv w:val="1"/>
      <w:marLeft w:val="0"/>
      <w:marRight w:val="0"/>
      <w:marTop w:val="0"/>
      <w:marBottom w:val="0"/>
      <w:divBdr>
        <w:top w:val="none" w:sz="0" w:space="0" w:color="auto"/>
        <w:left w:val="none" w:sz="0" w:space="0" w:color="auto"/>
        <w:bottom w:val="none" w:sz="0" w:space="0" w:color="auto"/>
        <w:right w:val="none" w:sz="0" w:space="0" w:color="auto"/>
      </w:divBdr>
    </w:div>
    <w:div w:id="625618549">
      <w:bodyDiv w:val="1"/>
      <w:marLeft w:val="0"/>
      <w:marRight w:val="0"/>
      <w:marTop w:val="0"/>
      <w:marBottom w:val="0"/>
      <w:divBdr>
        <w:top w:val="none" w:sz="0" w:space="0" w:color="auto"/>
        <w:left w:val="none" w:sz="0" w:space="0" w:color="auto"/>
        <w:bottom w:val="none" w:sz="0" w:space="0" w:color="auto"/>
        <w:right w:val="none" w:sz="0" w:space="0" w:color="auto"/>
      </w:divBdr>
    </w:div>
    <w:div w:id="630984285">
      <w:bodyDiv w:val="1"/>
      <w:marLeft w:val="0"/>
      <w:marRight w:val="0"/>
      <w:marTop w:val="0"/>
      <w:marBottom w:val="0"/>
      <w:divBdr>
        <w:top w:val="none" w:sz="0" w:space="0" w:color="auto"/>
        <w:left w:val="none" w:sz="0" w:space="0" w:color="auto"/>
        <w:bottom w:val="none" w:sz="0" w:space="0" w:color="auto"/>
        <w:right w:val="none" w:sz="0" w:space="0" w:color="auto"/>
      </w:divBdr>
    </w:div>
    <w:div w:id="694185967">
      <w:bodyDiv w:val="1"/>
      <w:marLeft w:val="0"/>
      <w:marRight w:val="0"/>
      <w:marTop w:val="0"/>
      <w:marBottom w:val="0"/>
      <w:divBdr>
        <w:top w:val="none" w:sz="0" w:space="0" w:color="auto"/>
        <w:left w:val="none" w:sz="0" w:space="0" w:color="auto"/>
        <w:bottom w:val="none" w:sz="0" w:space="0" w:color="auto"/>
        <w:right w:val="none" w:sz="0" w:space="0" w:color="auto"/>
      </w:divBdr>
    </w:div>
    <w:div w:id="714626238">
      <w:bodyDiv w:val="1"/>
      <w:marLeft w:val="0"/>
      <w:marRight w:val="0"/>
      <w:marTop w:val="0"/>
      <w:marBottom w:val="0"/>
      <w:divBdr>
        <w:top w:val="none" w:sz="0" w:space="0" w:color="auto"/>
        <w:left w:val="none" w:sz="0" w:space="0" w:color="auto"/>
        <w:bottom w:val="none" w:sz="0" w:space="0" w:color="auto"/>
        <w:right w:val="none" w:sz="0" w:space="0" w:color="auto"/>
      </w:divBdr>
    </w:div>
    <w:div w:id="783623223">
      <w:bodyDiv w:val="1"/>
      <w:marLeft w:val="0"/>
      <w:marRight w:val="0"/>
      <w:marTop w:val="0"/>
      <w:marBottom w:val="0"/>
      <w:divBdr>
        <w:top w:val="none" w:sz="0" w:space="0" w:color="auto"/>
        <w:left w:val="none" w:sz="0" w:space="0" w:color="auto"/>
        <w:bottom w:val="none" w:sz="0" w:space="0" w:color="auto"/>
        <w:right w:val="none" w:sz="0" w:space="0" w:color="auto"/>
      </w:divBdr>
      <w:divsChild>
        <w:div w:id="113643482">
          <w:marLeft w:val="0"/>
          <w:marRight w:val="0"/>
          <w:marTop w:val="0"/>
          <w:marBottom w:val="0"/>
          <w:divBdr>
            <w:top w:val="none" w:sz="0" w:space="0" w:color="242424"/>
            <w:left w:val="none" w:sz="0" w:space="0" w:color="242424"/>
            <w:bottom w:val="none" w:sz="0" w:space="0" w:color="242424"/>
            <w:right w:val="none" w:sz="0" w:space="0" w:color="242424"/>
          </w:divBdr>
        </w:div>
      </w:divsChild>
    </w:div>
    <w:div w:id="805855873">
      <w:bodyDiv w:val="1"/>
      <w:marLeft w:val="0"/>
      <w:marRight w:val="0"/>
      <w:marTop w:val="0"/>
      <w:marBottom w:val="0"/>
      <w:divBdr>
        <w:top w:val="none" w:sz="0" w:space="0" w:color="auto"/>
        <w:left w:val="none" w:sz="0" w:space="0" w:color="auto"/>
        <w:bottom w:val="none" w:sz="0" w:space="0" w:color="auto"/>
        <w:right w:val="none" w:sz="0" w:space="0" w:color="auto"/>
      </w:divBdr>
    </w:div>
    <w:div w:id="809515451">
      <w:bodyDiv w:val="1"/>
      <w:marLeft w:val="0"/>
      <w:marRight w:val="0"/>
      <w:marTop w:val="0"/>
      <w:marBottom w:val="0"/>
      <w:divBdr>
        <w:top w:val="none" w:sz="0" w:space="0" w:color="auto"/>
        <w:left w:val="none" w:sz="0" w:space="0" w:color="auto"/>
        <w:bottom w:val="none" w:sz="0" w:space="0" w:color="auto"/>
        <w:right w:val="none" w:sz="0" w:space="0" w:color="auto"/>
      </w:divBdr>
    </w:div>
    <w:div w:id="810555610">
      <w:bodyDiv w:val="1"/>
      <w:marLeft w:val="0"/>
      <w:marRight w:val="0"/>
      <w:marTop w:val="0"/>
      <w:marBottom w:val="0"/>
      <w:divBdr>
        <w:top w:val="none" w:sz="0" w:space="0" w:color="auto"/>
        <w:left w:val="none" w:sz="0" w:space="0" w:color="auto"/>
        <w:bottom w:val="none" w:sz="0" w:space="0" w:color="auto"/>
        <w:right w:val="none" w:sz="0" w:space="0" w:color="auto"/>
      </w:divBdr>
    </w:div>
    <w:div w:id="883638989">
      <w:bodyDiv w:val="1"/>
      <w:marLeft w:val="0"/>
      <w:marRight w:val="0"/>
      <w:marTop w:val="0"/>
      <w:marBottom w:val="0"/>
      <w:divBdr>
        <w:top w:val="none" w:sz="0" w:space="0" w:color="auto"/>
        <w:left w:val="none" w:sz="0" w:space="0" w:color="auto"/>
        <w:bottom w:val="none" w:sz="0" w:space="0" w:color="auto"/>
        <w:right w:val="none" w:sz="0" w:space="0" w:color="auto"/>
      </w:divBdr>
    </w:div>
    <w:div w:id="908461580">
      <w:bodyDiv w:val="1"/>
      <w:marLeft w:val="0"/>
      <w:marRight w:val="0"/>
      <w:marTop w:val="0"/>
      <w:marBottom w:val="0"/>
      <w:divBdr>
        <w:top w:val="none" w:sz="0" w:space="0" w:color="auto"/>
        <w:left w:val="none" w:sz="0" w:space="0" w:color="auto"/>
        <w:bottom w:val="none" w:sz="0" w:space="0" w:color="auto"/>
        <w:right w:val="none" w:sz="0" w:space="0" w:color="auto"/>
      </w:divBdr>
    </w:div>
    <w:div w:id="910309690">
      <w:bodyDiv w:val="1"/>
      <w:marLeft w:val="0"/>
      <w:marRight w:val="0"/>
      <w:marTop w:val="0"/>
      <w:marBottom w:val="0"/>
      <w:divBdr>
        <w:top w:val="none" w:sz="0" w:space="0" w:color="auto"/>
        <w:left w:val="none" w:sz="0" w:space="0" w:color="auto"/>
        <w:bottom w:val="none" w:sz="0" w:space="0" w:color="auto"/>
        <w:right w:val="none" w:sz="0" w:space="0" w:color="auto"/>
      </w:divBdr>
    </w:div>
    <w:div w:id="917667151">
      <w:bodyDiv w:val="1"/>
      <w:marLeft w:val="0"/>
      <w:marRight w:val="0"/>
      <w:marTop w:val="0"/>
      <w:marBottom w:val="0"/>
      <w:divBdr>
        <w:top w:val="none" w:sz="0" w:space="0" w:color="auto"/>
        <w:left w:val="none" w:sz="0" w:space="0" w:color="auto"/>
        <w:bottom w:val="none" w:sz="0" w:space="0" w:color="auto"/>
        <w:right w:val="none" w:sz="0" w:space="0" w:color="auto"/>
      </w:divBdr>
      <w:divsChild>
        <w:div w:id="415130929">
          <w:marLeft w:val="1080"/>
          <w:marRight w:val="0"/>
          <w:marTop w:val="0"/>
          <w:marBottom w:val="120"/>
          <w:divBdr>
            <w:top w:val="none" w:sz="0" w:space="0" w:color="auto"/>
            <w:left w:val="none" w:sz="0" w:space="0" w:color="auto"/>
            <w:bottom w:val="none" w:sz="0" w:space="0" w:color="auto"/>
            <w:right w:val="none" w:sz="0" w:space="0" w:color="auto"/>
          </w:divBdr>
        </w:div>
        <w:div w:id="634333291">
          <w:marLeft w:val="1800"/>
          <w:marRight w:val="0"/>
          <w:marTop w:val="0"/>
          <w:marBottom w:val="120"/>
          <w:divBdr>
            <w:top w:val="none" w:sz="0" w:space="0" w:color="auto"/>
            <w:left w:val="none" w:sz="0" w:space="0" w:color="auto"/>
            <w:bottom w:val="none" w:sz="0" w:space="0" w:color="auto"/>
            <w:right w:val="none" w:sz="0" w:space="0" w:color="auto"/>
          </w:divBdr>
        </w:div>
        <w:div w:id="694884288">
          <w:marLeft w:val="360"/>
          <w:marRight w:val="0"/>
          <w:marTop w:val="200"/>
          <w:marBottom w:val="0"/>
          <w:divBdr>
            <w:top w:val="none" w:sz="0" w:space="0" w:color="auto"/>
            <w:left w:val="none" w:sz="0" w:space="0" w:color="auto"/>
            <w:bottom w:val="none" w:sz="0" w:space="0" w:color="auto"/>
            <w:right w:val="none" w:sz="0" w:space="0" w:color="auto"/>
          </w:divBdr>
        </w:div>
        <w:div w:id="1129014485">
          <w:marLeft w:val="1080"/>
          <w:marRight w:val="0"/>
          <w:marTop w:val="0"/>
          <w:marBottom w:val="120"/>
          <w:divBdr>
            <w:top w:val="none" w:sz="0" w:space="0" w:color="auto"/>
            <w:left w:val="none" w:sz="0" w:space="0" w:color="auto"/>
            <w:bottom w:val="none" w:sz="0" w:space="0" w:color="auto"/>
            <w:right w:val="none" w:sz="0" w:space="0" w:color="auto"/>
          </w:divBdr>
        </w:div>
        <w:div w:id="1235968172">
          <w:marLeft w:val="1800"/>
          <w:marRight w:val="0"/>
          <w:marTop w:val="0"/>
          <w:marBottom w:val="120"/>
          <w:divBdr>
            <w:top w:val="none" w:sz="0" w:space="0" w:color="auto"/>
            <w:left w:val="none" w:sz="0" w:space="0" w:color="auto"/>
            <w:bottom w:val="none" w:sz="0" w:space="0" w:color="auto"/>
            <w:right w:val="none" w:sz="0" w:space="0" w:color="auto"/>
          </w:divBdr>
        </w:div>
        <w:div w:id="1333873560">
          <w:marLeft w:val="1080"/>
          <w:marRight w:val="0"/>
          <w:marTop w:val="0"/>
          <w:marBottom w:val="120"/>
          <w:divBdr>
            <w:top w:val="none" w:sz="0" w:space="0" w:color="auto"/>
            <w:left w:val="none" w:sz="0" w:space="0" w:color="auto"/>
            <w:bottom w:val="none" w:sz="0" w:space="0" w:color="auto"/>
            <w:right w:val="none" w:sz="0" w:space="0" w:color="auto"/>
          </w:divBdr>
        </w:div>
        <w:div w:id="1366254701">
          <w:marLeft w:val="1080"/>
          <w:marRight w:val="0"/>
          <w:marTop w:val="0"/>
          <w:marBottom w:val="120"/>
          <w:divBdr>
            <w:top w:val="none" w:sz="0" w:space="0" w:color="auto"/>
            <w:left w:val="none" w:sz="0" w:space="0" w:color="auto"/>
            <w:bottom w:val="none" w:sz="0" w:space="0" w:color="auto"/>
            <w:right w:val="none" w:sz="0" w:space="0" w:color="auto"/>
          </w:divBdr>
        </w:div>
        <w:div w:id="1457719445">
          <w:marLeft w:val="360"/>
          <w:marRight w:val="0"/>
          <w:marTop w:val="0"/>
          <w:marBottom w:val="120"/>
          <w:divBdr>
            <w:top w:val="none" w:sz="0" w:space="0" w:color="auto"/>
            <w:left w:val="none" w:sz="0" w:space="0" w:color="auto"/>
            <w:bottom w:val="none" w:sz="0" w:space="0" w:color="auto"/>
            <w:right w:val="none" w:sz="0" w:space="0" w:color="auto"/>
          </w:divBdr>
        </w:div>
        <w:div w:id="1935671767">
          <w:marLeft w:val="1080"/>
          <w:marRight w:val="0"/>
          <w:marTop w:val="0"/>
          <w:marBottom w:val="120"/>
          <w:divBdr>
            <w:top w:val="none" w:sz="0" w:space="0" w:color="auto"/>
            <w:left w:val="none" w:sz="0" w:space="0" w:color="auto"/>
            <w:bottom w:val="none" w:sz="0" w:space="0" w:color="auto"/>
            <w:right w:val="none" w:sz="0" w:space="0" w:color="auto"/>
          </w:divBdr>
        </w:div>
        <w:div w:id="2005014825">
          <w:marLeft w:val="1080"/>
          <w:marRight w:val="0"/>
          <w:marTop w:val="0"/>
          <w:marBottom w:val="120"/>
          <w:divBdr>
            <w:top w:val="none" w:sz="0" w:space="0" w:color="auto"/>
            <w:left w:val="none" w:sz="0" w:space="0" w:color="auto"/>
            <w:bottom w:val="none" w:sz="0" w:space="0" w:color="auto"/>
            <w:right w:val="none" w:sz="0" w:space="0" w:color="auto"/>
          </w:divBdr>
        </w:div>
        <w:div w:id="2026663361">
          <w:marLeft w:val="1800"/>
          <w:marRight w:val="0"/>
          <w:marTop w:val="0"/>
          <w:marBottom w:val="120"/>
          <w:divBdr>
            <w:top w:val="none" w:sz="0" w:space="0" w:color="auto"/>
            <w:left w:val="none" w:sz="0" w:space="0" w:color="auto"/>
            <w:bottom w:val="none" w:sz="0" w:space="0" w:color="auto"/>
            <w:right w:val="none" w:sz="0" w:space="0" w:color="auto"/>
          </w:divBdr>
        </w:div>
      </w:divsChild>
    </w:div>
    <w:div w:id="918514000">
      <w:bodyDiv w:val="1"/>
      <w:marLeft w:val="0"/>
      <w:marRight w:val="0"/>
      <w:marTop w:val="0"/>
      <w:marBottom w:val="0"/>
      <w:divBdr>
        <w:top w:val="none" w:sz="0" w:space="0" w:color="auto"/>
        <w:left w:val="none" w:sz="0" w:space="0" w:color="auto"/>
        <w:bottom w:val="none" w:sz="0" w:space="0" w:color="auto"/>
        <w:right w:val="none" w:sz="0" w:space="0" w:color="auto"/>
      </w:divBdr>
    </w:div>
    <w:div w:id="1027177816">
      <w:bodyDiv w:val="1"/>
      <w:marLeft w:val="0"/>
      <w:marRight w:val="0"/>
      <w:marTop w:val="0"/>
      <w:marBottom w:val="0"/>
      <w:divBdr>
        <w:top w:val="none" w:sz="0" w:space="0" w:color="auto"/>
        <w:left w:val="none" w:sz="0" w:space="0" w:color="auto"/>
        <w:bottom w:val="none" w:sz="0" w:space="0" w:color="auto"/>
        <w:right w:val="none" w:sz="0" w:space="0" w:color="auto"/>
      </w:divBdr>
    </w:div>
    <w:div w:id="1048839826">
      <w:bodyDiv w:val="1"/>
      <w:marLeft w:val="0"/>
      <w:marRight w:val="0"/>
      <w:marTop w:val="0"/>
      <w:marBottom w:val="0"/>
      <w:divBdr>
        <w:top w:val="none" w:sz="0" w:space="0" w:color="auto"/>
        <w:left w:val="none" w:sz="0" w:space="0" w:color="auto"/>
        <w:bottom w:val="none" w:sz="0" w:space="0" w:color="auto"/>
        <w:right w:val="none" w:sz="0" w:space="0" w:color="auto"/>
      </w:divBdr>
    </w:div>
    <w:div w:id="1114013592">
      <w:bodyDiv w:val="1"/>
      <w:marLeft w:val="0"/>
      <w:marRight w:val="0"/>
      <w:marTop w:val="0"/>
      <w:marBottom w:val="0"/>
      <w:divBdr>
        <w:top w:val="none" w:sz="0" w:space="0" w:color="auto"/>
        <w:left w:val="none" w:sz="0" w:space="0" w:color="auto"/>
        <w:bottom w:val="none" w:sz="0" w:space="0" w:color="auto"/>
        <w:right w:val="none" w:sz="0" w:space="0" w:color="auto"/>
      </w:divBdr>
    </w:div>
    <w:div w:id="1250427775">
      <w:bodyDiv w:val="1"/>
      <w:marLeft w:val="0"/>
      <w:marRight w:val="0"/>
      <w:marTop w:val="0"/>
      <w:marBottom w:val="0"/>
      <w:divBdr>
        <w:top w:val="none" w:sz="0" w:space="0" w:color="auto"/>
        <w:left w:val="none" w:sz="0" w:space="0" w:color="auto"/>
        <w:bottom w:val="none" w:sz="0" w:space="0" w:color="auto"/>
        <w:right w:val="none" w:sz="0" w:space="0" w:color="auto"/>
      </w:divBdr>
      <w:divsChild>
        <w:div w:id="739838238">
          <w:marLeft w:val="-225"/>
          <w:marRight w:val="-225"/>
          <w:marTop w:val="0"/>
          <w:marBottom w:val="0"/>
          <w:divBdr>
            <w:top w:val="none" w:sz="0" w:space="0" w:color="auto"/>
            <w:left w:val="none" w:sz="0" w:space="0" w:color="auto"/>
            <w:bottom w:val="none" w:sz="0" w:space="0" w:color="auto"/>
            <w:right w:val="none" w:sz="0" w:space="0" w:color="auto"/>
          </w:divBdr>
          <w:divsChild>
            <w:div w:id="180866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250532">
      <w:bodyDiv w:val="1"/>
      <w:marLeft w:val="0"/>
      <w:marRight w:val="0"/>
      <w:marTop w:val="0"/>
      <w:marBottom w:val="0"/>
      <w:divBdr>
        <w:top w:val="none" w:sz="0" w:space="0" w:color="auto"/>
        <w:left w:val="none" w:sz="0" w:space="0" w:color="auto"/>
        <w:bottom w:val="none" w:sz="0" w:space="0" w:color="auto"/>
        <w:right w:val="none" w:sz="0" w:space="0" w:color="auto"/>
      </w:divBdr>
      <w:divsChild>
        <w:div w:id="452673263">
          <w:marLeft w:val="1800"/>
          <w:marRight w:val="0"/>
          <w:marTop w:val="100"/>
          <w:marBottom w:val="0"/>
          <w:divBdr>
            <w:top w:val="none" w:sz="0" w:space="0" w:color="auto"/>
            <w:left w:val="none" w:sz="0" w:space="0" w:color="auto"/>
            <w:bottom w:val="none" w:sz="0" w:space="0" w:color="auto"/>
            <w:right w:val="none" w:sz="0" w:space="0" w:color="auto"/>
          </w:divBdr>
        </w:div>
        <w:div w:id="791435350">
          <w:marLeft w:val="1800"/>
          <w:marRight w:val="0"/>
          <w:marTop w:val="100"/>
          <w:marBottom w:val="0"/>
          <w:divBdr>
            <w:top w:val="none" w:sz="0" w:space="0" w:color="auto"/>
            <w:left w:val="none" w:sz="0" w:space="0" w:color="auto"/>
            <w:bottom w:val="none" w:sz="0" w:space="0" w:color="auto"/>
            <w:right w:val="none" w:sz="0" w:space="0" w:color="auto"/>
          </w:divBdr>
        </w:div>
        <w:div w:id="843400852">
          <w:marLeft w:val="1800"/>
          <w:marRight w:val="0"/>
          <w:marTop w:val="100"/>
          <w:marBottom w:val="0"/>
          <w:divBdr>
            <w:top w:val="none" w:sz="0" w:space="0" w:color="auto"/>
            <w:left w:val="none" w:sz="0" w:space="0" w:color="auto"/>
            <w:bottom w:val="none" w:sz="0" w:space="0" w:color="auto"/>
            <w:right w:val="none" w:sz="0" w:space="0" w:color="auto"/>
          </w:divBdr>
        </w:div>
        <w:div w:id="1149129860">
          <w:marLeft w:val="1800"/>
          <w:marRight w:val="0"/>
          <w:marTop w:val="100"/>
          <w:marBottom w:val="0"/>
          <w:divBdr>
            <w:top w:val="none" w:sz="0" w:space="0" w:color="auto"/>
            <w:left w:val="none" w:sz="0" w:space="0" w:color="auto"/>
            <w:bottom w:val="none" w:sz="0" w:space="0" w:color="auto"/>
            <w:right w:val="none" w:sz="0" w:space="0" w:color="auto"/>
          </w:divBdr>
        </w:div>
        <w:div w:id="1817528907">
          <w:marLeft w:val="1800"/>
          <w:marRight w:val="0"/>
          <w:marTop w:val="100"/>
          <w:marBottom w:val="0"/>
          <w:divBdr>
            <w:top w:val="none" w:sz="0" w:space="0" w:color="auto"/>
            <w:left w:val="none" w:sz="0" w:space="0" w:color="auto"/>
            <w:bottom w:val="none" w:sz="0" w:space="0" w:color="auto"/>
            <w:right w:val="none" w:sz="0" w:space="0" w:color="auto"/>
          </w:divBdr>
        </w:div>
      </w:divsChild>
    </w:div>
    <w:div w:id="1264071454">
      <w:bodyDiv w:val="1"/>
      <w:marLeft w:val="0"/>
      <w:marRight w:val="0"/>
      <w:marTop w:val="0"/>
      <w:marBottom w:val="0"/>
      <w:divBdr>
        <w:top w:val="none" w:sz="0" w:space="0" w:color="auto"/>
        <w:left w:val="none" w:sz="0" w:space="0" w:color="auto"/>
        <w:bottom w:val="none" w:sz="0" w:space="0" w:color="auto"/>
        <w:right w:val="none" w:sz="0" w:space="0" w:color="auto"/>
      </w:divBdr>
    </w:div>
    <w:div w:id="1291202200">
      <w:bodyDiv w:val="1"/>
      <w:marLeft w:val="0"/>
      <w:marRight w:val="0"/>
      <w:marTop w:val="0"/>
      <w:marBottom w:val="0"/>
      <w:divBdr>
        <w:top w:val="none" w:sz="0" w:space="0" w:color="auto"/>
        <w:left w:val="none" w:sz="0" w:space="0" w:color="auto"/>
        <w:bottom w:val="none" w:sz="0" w:space="0" w:color="auto"/>
        <w:right w:val="none" w:sz="0" w:space="0" w:color="auto"/>
      </w:divBdr>
    </w:div>
    <w:div w:id="1331058784">
      <w:bodyDiv w:val="1"/>
      <w:marLeft w:val="0"/>
      <w:marRight w:val="0"/>
      <w:marTop w:val="0"/>
      <w:marBottom w:val="0"/>
      <w:divBdr>
        <w:top w:val="none" w:sz="0" w:space="0" w:color="auto"/>
        <w:left w:val="none" w:sz="0" w:space="0" w:color="auto"/>
        <w:bottom w:val="none" w:sz="0" w:space="0" w:color="auto"/>
        <w:right w:val="none" w:sz="0" w:space="0" w:color="auto"/>
      </w:divBdr>
    </w:div>
    <w:div w:id="1414165813">
      <w:bodyDiv w:val="1"/>
      <w:marLeft w:val="0"/>
      <w:marRight w:val="0"/>
      <w:marTop w:val="0"/>
      <w:marBottom w:val="0"/>
      <w:divBdr>
        <w:top w:val="none" w:sz="0" w:space="0" w:color="auto"/>
        <w:left w:val="none" w:sz="0" w:space="0" w:color="auto"/>
        <w:bottom w:val="none" w:sz="0" w:space="0" w:color="auto"/>
        <w:right w:val="none" w:sz="0" w:space="0" w:color="auto"/>
      </w:divBdr>
    </w:div>
    <w:div w:id="1429930784">
      <w:bodyDiv w:val="1"/>
      <w:marLeft w:val="0"/>
      <w:marRight w:val="0"/>
      <w:marTop w:val="0"/>
      <w:marBottom w:val="0"/>
      <w:divBdr>
        <w:top w:val="none" w:sz="0" w:space="0" w:color="auto"/>
        <w:left w:val="none" w:sz="0" w:space="0" w:color="auto"/>
        <w:bottom w:val="none" w:sz="0" w:space="0" w:color="auto"/>
        <w:right w:val="none" w:sz="0" w:space="0" w:color="auto"/>
      </w:divBdr>
    </w:div>
    <w:div w:id="1448505453">
      <w:bodyDiv w:val="1"/>
      <w:marLeft w:val="0"/>
      <w:marRight w:val="0"/>
      <w:marTop w:val="0"/>
      <w:marBottom w:val="0"/>
      <w:divBdr>
        <w:top w:val="none" w:sz="0" w:space="0" w:color="auto"/>
        <w:left w:val="none" w:sz="0" w:space="0" w:color="auto"/>
        <w:bottom w:val="none" w:sz="0" w:space="0" w:color="auto"/>
        <w:right w:val="none" w:sz="0" w:space="0" w:color="auto"/>
      </w:divBdr>
      <w:divsChild>
        <w:div w:id="1085103093">
          <w:marLeft w:val="-225"/>
          <w:marRight w:val="-225"/>
          <w:marTop w:val="0"/>
          <w:marBottom w:val="0"/>
          <w:divBdr>
            <w:top w:val="none" w:sz="0" w:space="0" w:color="auto"/>
            <w:left w:val="none" w:sz="0" w:space="0" w:color="auto"/>
            <w:bottom w:val="none" w:sz="0" w:space="0" w:color="auto"/>
            <w:right w:val="none" w:sz="0" w:space="0" w:color="auto"/>
          </w:divBdr>
          <w:divsChild>
            <w:div w:id="16194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954764">
      <w:bodyDiv w:val="1"/>
      <w:marLeft w:val="0"/>
      <w:marRight w:val="0"/>
      <w:marTop w:val="0"/>
      <w:marBottom w:val="0"/>
      <w:divBdr>
        <w:top w:val="none" w:sz="0" w:space="0" w:color="auto"/>
        <w:left w:val="none" w:sz="0" w:space="0" w:color="auto"/>
        <w:bottom w:val="none" w:sz="0" w:space="0" w:color="auto"/>
        <w:right w:val="none" w:sz="0" w:space="0" w:color="auto"/>
      </w:divBdr>
      <w:divsChild>
        <w:div w:id="622199466">
          <w:marLeft w:val="0"/>
          <w:marRight w:val="0"/>
          <w:marTop w:val="0"/>
          <w:marBottom w:val="0"/>
          <w:divBdr>
            <w:top w:val="none" w:sz="0" w:space="0" w:color="auto"/>
            <w:left w:val="none" w:sz="0" w:space="0" w:color="auto"/>
            <w:bottom w:val="none" w:sz="0" w:space="0" w:color="auto"/>
            <w:right w:val="none" w:sz="0" w:space="0" w:color="auto"/>
          </w:divBdr>
        </w:div>
        <w:div w:id="1080518962">
          <w:marLeft w:val="0"/>
          <w:marRight w:val="0"/>
          <w:marTop w:val="0"/>
          <w:marBottom w:val="0"/>
          <w:divBdr>
            <w:top w:val="none" w:sz="0" w:space="0" w:color="auto"/>
            <w:left w:val="none" w:sz="0" w:space="0" w:color="auto"/>
            <w:bottom w:val="none" w:sz="0" w:space="0" w:color="auto"/>
            <w:right w:val="none" w:sz="0" w:space="0" w:color="auto"/>
          </w:divBdr>
        </w:div>
      </w:divsChild>
    </w:div>
    <w:div w:id="1526864019">
      <w:bodyDiv w:val="1"/>
      <w:marLeft w:val="0"/>
      <w:marRight w:val="0"/>
      <w:marTop w:val="0"/>
      <w:marBottom w:val="0"/>
      <w:divBdr>
        <w:top w:val="none" w:sz="0" w:space="0" w:color="auto"/>
        <w:left w:val="none" w:sz="0" w:space="0" w:color="auto"/>
        <w:bottom w:val="none" w:sz="0" w:space="0" w:color="auto"/>
        <w:right w:val="none" w:sz="0" w:space="0" w:color="auto"/>
      </w:divBdr>
    </w:div>
    <w:div w:id="1607544130">
      <w:bodyDiv w:val="1"/>
      <w:marLeft w:val="0"/>
      <w:marRight w:val="0"/>
      <w:marTop w:val="0"/>
      <w:marBottom w:val="0"/>
      <w:divBdr>
        <w:top w:val="none" w:sz="0" w:space="0" w:color="auto"/>
        <w:left w:val="none" w:sz="0" w:space="0" w:color="auto"/>
        <w:bottom w:val="none" w:sz="0" w:space="0" w:color="auto"/>
        <w:right w:val="none" w:sz="0" w:space="0" w:color="auto"/>
      </w:divBdr>
    </w:div>
    <w:div w:id="1608073732">
      <w:bodyDiv w:val="1"/>
      <w:marLeft w:val="0"/>
      <w:marRight w:val="0"/>
      <w:marTop w:val="0"/>
      <w:marBottom w:val="0"/>
      <w:divBdr>
        <w:top w:val="none" w:sz="0" w:space="0" w:color="auto"/>
        <w:left w:val="none" w:sz="0" w:space="0" w:color="auto"/>
        <w:bottom w:val="none" w:sz="0" w:space="0" w:color="auto"/>
        <w:right w:val="none" w:sz="0" w:space="0" w:color="auto"/>
      </w:divBdr>
      <w:divsChild>
        <w:div w:id="243421334">
          <w:marLeft w:val="0"/>
          <w:marRight w:val="0"/>
          <w:marTop w:val="0"/>
          <w:marBottom w:val="0"/>
          <w:divBdr>
            <w:top w:val="none" w:sz="0" w:space="0" w:color="auto"/>
            <w:left w:val="none" w:sz="0" w:space="0" w:color="auto"/>
            <w:bottom w:val="none" w:sz="0" w:space="0" w:color="auto"/>
            <w:right w:val="none" w:sz="0" w:space="0" w:color="auto"/>
          </w:divBdr>
          <w:divsChild>
            <w:div w:id="1263953554">
              <w:marLeft w:val="-225"/>
              <w:marRight w:val="-225"/>
              <w:marTop w:val="0"/>
              <w:marBottom w:val="0"/>
              <w:divBdr>
                <w:top w:val="none" w:sz="0" w:space="0" w:color="auto"/>
                <w:left w:val="none" w:sz="0" w:space="0" w:color="auto"/>
                <w:bottom w:val="none" w:sz="0" w:space="0" w:color="auto"/>
                <w:right w:val="none" w:sz="0" w:space="0" w:color="auto"/>
              </w:divBdr>
              <w:divsChild>
                <w:div w:id="163756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695384">
          <w:marLeft w:val="0"/>
          <w:marRight w:val="0"/>
          <w:marTop w:val="0"/>
          <w:marBottom w:val="0"/>
          <w:divBdr>
            <w:top w:val="none" w:sz="0" w:space="0" w:color="auto"/>
            <w:left w:val="none" w:sz="0" w:space="0" w:color="auto"/>
            <w:bottom w:val="none" w:sz="0" w:space="0" w:color="auto"/>
            <w:right w:val="none" w:sz="0" w:space="0" w:color="auto"/>
          </w:divBdr>
          <w:divsChild>
            <w:div w:id="1730378680">
              <w:marLeft w:val="-225"/>
              <w:marRight w:val="-225"/>
              <w:marTop w:val="0"/>
              <w:marBottom w:val="0"/>
              <w:divBdr>
                <w:top w:val="none" w:sz="0" w:space="0" w:color="auto"/>
                <w:left w:val="none" w:sz="0" w:space="0" w:color="auto"/>
                <w:bottom w:val="none" w:sz="0" w:space="0" w:color="auto"/>
                <w:right w:val="none" w:sz="0" w:space="0" w:color="auto"/>
              </w:divBdr>
              <w:divsChild>
                <w:div w:id="1623878015">
                  <w:marLeft w:val="0"/>
                  <w:marRight w:val="0"/>
                  <w:marTop w:val="0"/>
                  <w:marBottom w:val="0"/>
                  <w:divBdr>
                    <w:top w:val="none" w:sz="0" w:space="0" w:color="auto"/>
                    <w:left w:val="none" w:sz="0" w:space="0" w:color="auto"/>
                    <w:bottom w:val="none" w:sz="0" w:space="0" w:color="auto"/>
                    <w:right w:val="none" w:sz="0" w:space="0" w:color="auto"/>
                  </w:divBdr>
                </w:div>
              </w:divsChild>
            </w:div>
            <w:div w:id="1818838399">
              <w:marLeft w:val="0"/>
              <w:marRight w:val="0"/>
              <w:marTop w:val="240"/>
              <w:marBottom w:val="240"/>
              <w:divBdr>
                <w:top w:val="none" w:sz="0" w:space="0" w:color="auto"/>
                <w:left w:val="none" w:sz="0" w:space="0" w:color="auto"/>
                <w:bottom w:val="none" w:sz="0" w:space="0" w:color="auto"/>
                <w:right w:val="none" w:sz="0" w:space="0" w:color="auto"/>
              </w:divBdr>
            </w:div>
          </w:divsChild>
        </w:div>
        <w:div w:id="1893534810">
          <w:marLeft w:val="0"/>
          <w:marRight w:val="0"/>
          <w:marTop w:val="0"/>
          <w:marBottom w:val="0"/>
          <w:divBdr>
            <w:top w:val="none" w:sz="0" w:space="0" w:color="auto"/>
            <w:left w:val="none" w:sz="0" w:space="0" w:color="auto"/>
            <w:bottom w:val="none" w:sz="0" w:space="0" w:color="auto"/>
            <w:right w:val="none" w:sz="0" w:space="0" w:color="auto"/>
          </w:divBdr>
          <w:divsChild>
            <w:div w:id="13042689">
              <w:marLeft w:val="-225"/>
              <w:marRight w:val="-225"/>
              <w:marTop w:val="0"/>
              <w:marBottom w:val="0"/>
              <w:divBdr>
                <w:top w:val="none" w:sz="0" w:space="0" w:color="auto"/>
                <w:left w:val="none" w:sz="0" w:space="0" w:color="auto"/>
                <w:bottom w:val="none" w:sz="0" w:space="0" w:color="auto"/>
                <w:right w:val="none" w:sz="0" w:space="0" w:color="auto"/>
              </w:divBdr>
              <w:divsChild>
                <w:div w:id="712583865">
                  <w:marLeft w:val="0"/>
                  <w:marRight w:val="0"/>
                  <w:marTop w:val="0"/>
                  <w:marBottom w:val="0"/>
                  <w:divBdr>
                    <w:top w:val="none" w:sz="0" w:space="0" w:color="auto"/>
                    <w:left w:val="none" w:sz="0" w:space="0" w:color="auto"/>
                    <w:bottom w:val="none" w:sz="0" w:space="0" w:color="auto"/>
                    <w:right w:val="none" w:sz="0" w:space="0" w:color="auto"/>
                  </w:divBdr>
                </w:div>
              </w:divsChild>
            </w:div>
            <w:div w:id="102610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514138">
      <w:bodyDiv w:val="1"/>
      <w:marLeft w:val="0"/>
      <w:marRight w:val="0"/>
      <w:marTop w:val="0"/>
      <w:marBottom w:val="0"/>
      <w:divBdr>
        <w:top w:val="none" w:sz="0" w:space="0" w:color="auto"/>
        <w:left w:val="none" w:sz="0" w:space="0" w:color="auto"/>
        <w:bottom w:val="none" w:sz="0" w:space="0" w:color="auto"/>
        <w:right w:val="none" w:sz="0" w:space="0" w:color="auto"/>
      </w:divBdr>
    </w:div>
    <w:div w:id="1617639598">
      <w:bodyDiv w:val="1"/>
      <w:marLeft w:val="0"/>
      <w:marRight w:val="0"/>
      <w:marTop w:val="0"/>
      <w:marBottom w:val="0"/>
      <w:divBdr>
        <w:top w:val="none" w:sz="0" w:space="0" w:color="auto"/>
        <w:left w:val="none" w:sz="0" w:space="0" w:color="auto"/>
        <w:bottom w:val="none" w:sz="0" w:space="0" w:color="auto"/>
        <w:right w:val="none" w:sz="0" w:space="0" w:color="auto"/>
      </w:divBdr>
    </w:div>
    <w:div w:id="1624851169">
      <w:bodyDiv w:val="1"/>
      <w:marLeft w:val="0"/>
      <w:marRight w:val="0"/>
      <w:marTop w:val="0"/>
      <w:marBottom w:val="0"/>
      <w:divBdr>
        <w:top w:val="none" w:sz="0" w:space="0" w:color="auto"/>
        <w:left w:val="none" w:sz="0" w:space="0" w:color="auto"/>
        <w:bottom w:val="none" w:sz="0" w:space="0" w:color="auto"/>
        <w:right w:val="none" w:sz="0" w:space="0" w:color="auto"/>
      </w:divBdr>
    </w:div>
    <w:div w:id="1717197051">
      <w:bodyDiv w:val="1"/>
      <w:marLeft w:val="0"/>
      <w:marRight w:val="0"/>
      <w:marTop w:val="0"/>
      <w:marBottom w:val="0"/>
      <w:divBdr>
        <w:top w:val="none" w:sz="0" w:space="0" w:color="auto"/>
        <w:left w:val="none" w:sz="0" w:space="0" w:color="auto"/>
        <w:bottom w:val="none" w:sz="0" w:space="0" w:color="auto"/>
        <w:right w:val="none" w:sz="0" w:space="0" w:color="auto"/>
      </w:divBdr>
    </w:div>
    <w:div w:id="1765762142">
      <w:bodyDiv w:val="1"/>
      <w:marLeft w:val="0"/>
      <w:marRight w:val="0"/>
      <w:marTop w:val="0"/>
      <w:marBottom w:val="0"/>
      <w:divBdr>
        <w:top w:val="none" w:sz="0" w:space="0" w:color="auto"/>
        <w:left w:val="none" w:sz="0" w:space="0" w:color="auto"/>
        <w:bottom w:val="none" w:sz="0" w:space="0" w:color="auto"/>
        <w:right w:val="none" w:sz="0" w:space="0" w:color="auto"/>
      </w:divBdr>
    </w:div>
    <w:div w:id="1774668891">
      <w:bodyDiv w:val="1"/>
      <w:marLeft w:val="0"/>
      <w:marRight w:val="0"/>
      <w:marTop w:val="0"/>
      <w:marBottom w:val="0"/>
      <w:divBdr>
        <w:top w:val="none" w:sz="0" w:space="0" w:color="auto"/>
        <w:left w:val="none" w:sz="0" w:space="0" w:color="auto"/>
        <w:bottom w:val="none" w:sz="0" w:space="0" w:color="auto"/>
        <w:right w:val="none" w:sz="0" w:space="0" w:color="auto"/>
      </w:divBdr>
    </w:div>
    <w:div w:id="1785420789">
      <w:bodyDiv w:val="1"/>
      <w:marLeft w:val="0"/>
      <w:marRight w:val="0"/>
      <w:marTop w:val="0"/>
      <w:marBottom w:val="0"/>
      <w:divBdr>
        <w:top w:val="none" w:sz="0" w:space="0" w:color="auto"/>
        <w:left w:val="none" w:sz="0" w:space="0" w:color="auto"/>
        <w:bottom w:val="none" w:sz="0" w:space="0" w:color="auto"/>
        <w:right w:val="none" w:sz="0" w:space="0" w:color="auto"/>
      </w:divBdr>
      <w:divsChild>
        <w:div w:id="219170744">
          <w:marLeft w:val="-225"/>
          <w:marRight w:val="-225"/>
          <w:marTop w:val="0"/>
          <w:marBottom w:val="0"/>
          <w:divBdr>
            <w:top w:val="none" w:sz="0" w:space="0" w:color="auto"/>
            <w:left w:val="none" w:sz="0" w:space="0" w:color="auto"/>
            <w:bottom w:val="none" w:sz="0" w:space="0" w:color="auto"/>
            <w:right w:val="none" w:sz="0" w:space="0" w:color="auto"/>
          </w:divBdr>
          <w:divsChild>
            <w:div w:id="120128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643429">
      <w:bodyDiv w:val="1"/>
      <w:marLeft w:val="0"/>
      <w:marRight w:val="0"/>
      <w:marTop w:val="0"/>
      <w:marBottom w:val="0"/>
      <w:divBdr>
        <w:top w:val="none" w:sz="0" w:space="0" w:color="auto"/>
        <w:left w:val="none" w:sz="0" w:space="0" w:color="auto"/>
        <w:bottom w:val="none" w:sz="0" w:space="0" w:color="auto"/>
        <w:right w:val="none" w:sz="0" w:space="0" w:color="auto"/>
      </w:divBdr>
    </w:div>
    <w:div w:id="1855533061">
      <w:bodyDiv w:val="1"/>
      <w:marLeft w:val="0"/>
      <w:marRight w:val="0"/>
      <w:marTop w:val="0"/>
      <w:marBottom w:val="0"/>
      <w:divBdr>
        <w:top w:val="none" w:sz="0" w:space="0" w:color="auto"/>
        <w:left w:val="none" w:sz="0" w:space="0" w:color="auto"/>
        <w:bottom w:val="none" w:sz="0" w:space="0" w:color="auto"/>
        <w:right w:val="none" w:sz="0" w:space="0" w:color="auto"/>
      </w:divBdr>
    </w:div>
    <w:div w:id="1856111454">
      <w:bodyDiv w:val="1"/>
      <w:marLeft w:val="0"/>
      <w:marRight w:val="0"/>
      <w:marTop w:val="0"/>
      <w:marBottom w:val="0"/>
      <w:divBdr>
        <w:top w:val="none" w:sz="0" w:space="0" w:color="auto"/>
        <w:left w:val="none" w:sz="0" w:space="0" w:color="auto"/>
        <w:bottom w:val="none" w:sz="0" w:space="0" w:color="auto"/>
        <w:right w:val="none" w:sz="0" w:space="0" w:color="auto"/>
      </w:divBdr>
    </w:div>
    <w:div w:id="1860898570">
      <w:bodyDiv w:val="1"/>
      <w:marLeft w:val="0"/>
      <w:marRight w:val="0"/>
      <w:marTop w:val="0"/>
      <w:marBottom w:val="0"/>
      <w:divBdr>
        <w:top w:val="none" w:sz="0" w:space="0" w:color="auto"/>
        <w:left w:val="none" w:sz="0" w:space="0" w:color="auto"/>
        <w:bottom w:val="none" w:sz="0" w:space="0" w:color="auto"/>
        <w:right w:val="none" w:sz="0" w:space="0" w:color="auto"/>
      </w:divBdr>
    </w:div>
    <w:div w:id="1893618868">
      <w:bodyDiv w:val="1"/>
      <w:marLeft w:val="0"/>
      <w:marRight w:val="0"/>
      <w:marTop w:val="0"/>
      <w:marBottom w:val="0"/>
      <w:divBdr>
        <w:top w:val="none" w:sz="0" w:space="0" w:color="auto"/>
        <w:left w:val="none" w:sz="0" w:space="0" w:color="auto"/>
        <w:bottom w:val="none" w:sz="0" w:space="0" w:color="auto"/>
        <w:right w:val="none" w:sz="0" w:space="0" w:color="auto"/>
      </w:divBdr>
    </w:div>
    <w:div w:id="1898540842">
      <w:bodyDiv w:val="1"/>
      <w:marLeft w:val="0"/>
      <w:marRight w:val="0"/>
      <w:marTop w:val="0"/>
      <w:marBottom w:val="0"/>
      <w:divBdr>
        <w:top w:val="none" w:sz="0" w:space="0" w:color="auto"/>
        <w:left w:val="none" w:sz="0" w:space="0" w:color="auto"/>
        <w:bottom w:val="none" w:sz="0" w:space="0" w:color="auto"/>
        <w:right w:val="none" w:sz="0" w:space="0" w:color="auto"/>
      </w:divBdr>
    </w:div>
    <w:div w:id="1982806366">
      <w:bodyDiv w:val="1"/>
      <w:marLeft w:val="0"/>
      <w:marRight w:val="0"/>
      <w:marTop w:val="0"/>
      <w:marBottom w:val="0"/>
      <w:divBdr>
        <w:top w:val="none" w:sz="0" w:space="0" w:color="auto"/>
        <w:left w:val="none" w:sz="0" w:space="0" w:color="auto"/>
        <w:bottom w:val="none" w:sz="0" w:space="0" w:color="auto"/>
        <w:right w:val="none" w:sz="0" w:space="0" w:color="auto"/>
      </w:divBdr>
      <w:divsChild>
        <w:div w:id="588273052">
          <w:marLeft w:val="0"/>
          <w:marRight w:val="0"/>
          <w:marTop w:val="0"/>
          <w:marBottom w:val="0"/>
          <w:divBdr>
            <w:top w:val="none" w:sz="0" w:space="0" w:color="auto"/>
            <w:left w:val="none" w:sz="0" w:space="0" w:color="auto"/>
            <w:bottom w:val="none" w:sz="0" w:space="0" w:color="auto"/>
            <w:right w:val="none" w:sz="0" w:space="0" w:color="auto"/>
          </w:divBdr>
        </w:div>
        <w:div w:id="1631589161">
          <w:marLeft w:val="0"/>
          <w:marRight w:val="0"/>
          <w:marTop w:val="0"/>
          <w:marBottom w:val="0"/>
          <w:divBdr>
            <w:top w:val="none" w:sz="0" w:space="0" w:color="auto"/>
            <w:left w:val="none" w:sz="0" w:space="0" w:color="auto"/>
            <w:bottom w:val="none" w:sz="0" w:space="0" w:color="auto"/>
            <w:right w:val="none" w:sz="0" w:space="0" w:color="auto"/>
          </w:divBdr>
        </w:div>
      </w:divsChild>
    </w:div>
    <w:div w:id="2024279200">
      <w:bodyDiv w:val="1"/>
      <w:marLeft w:val="0"/>
      <w:marRight w:val="0"/>
      <w:marTop w:val="0"/>
      <w:marBottom w:val="0"/>
      <w:divBdr>
        <w:top w:val="none" w:sz="0" w:space="0" w:color="auto"/>
        <w:left w:val="none" w:sz="0" w:space="0" w:color="auto"/>
        <w:bottom w:val="none" w:sz="0" w:space="0" w:color="auto"/>
        <w:right w:val="none" w:sz="0" w:space="0" w:color="auto"/>
      </w:divBdr>
    </w:div>
    <w:div w:id="2124031619">
      <w:bodyDiv w:val="1"/>
      <w:marLeft w:val="0"/>
      <w:marRight w:val="0"/>
      <w:marTop w:val="0"/>
      <w:marBottom w:val="0"/>
      <w:divBdr>
        <w:top w:val="none" w:sz="0" w:space="0" w:color="auto"/>
        <w:left w:val="none" w:sz="0" w:space="0" w:color="auto"/>
        <w:bottom w:val="none" w:sz="0" w:space="0" w:color="auto"/>
        <w:right w:val="none" w:sz="0" w:space="0" w:color="auto"/>
      </w:divBdr>
      <w:divsChild>
        <w:div w:id="1747605009">
          <w:marLeft w:val="-225"/>
          <w:marRight w:val="-225"/>
          <w:marTop w:val="0"/>
          <w:marBottom w:val="0"/>
          <w:divBdr>
            <w:top w:val="none" w:sz="0" w:space="0" w:color="auto"/>
            <w:left w:val="none" w:sz="0" w:space="0" w:color="auto"/>
            <w:bottom w:val="none" w:sz="0" w:space="0" w:color="auto"/>
            <w:right w:val="none" w:sz="0" w:space="0" w:color="auto"/>
          </w:divBdr>
          <w:divsChild>
            <w:div w:id="21456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00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ewr.gov.au/skills-support-individuals/resources/appendix-b-list-nsnl-qualifications" TargetMode="External"/><Relationship Id="rId21" Type="http://schemas.openxmlformats.org/officeDocument/2006/relationships/hyperlink" Target="https://www.dewr.gov.au/australian-apprenticeships/strategic-review-australian-apprenticeship-incentive-system" TargetMode="External"/><Relationship Id="rId42" Type="http://schemas.openxmlformats.org/officeDocument/2006/relationships/image" Target="media/image17.png"/><Relationship Id="rId47" Type="http://schemas.openxmlformats.org/officeDocument/2006/relationships/image" Target="media/image22.png"/><Relationship Id="rId63" Type="http://schemas.openxmlformats.org/officeDocument/2006/relationships/image" Target="media/image29.png"/><Relationship Id="rId68" Type="http://schemas.openxmlformats.org/officeDocument/2006/relationships/image" Target="media/image34.png"/><Relationship Id="rId84" Type="http://schemas.openxmlformats.org/officeDocument/2006/relationships/hyperlink" Target="https://treasury.gov.au/publication/p2023-455038" TargetMode="External"/><Relationship Id="rId89" Type="http://schemas.openxmlformats.org/officeDocument/2006/relationships/header" Target="header4.xml"/><Relationship Id="rId16" Type="http://schemas.openxmlformats.org/officeDocument/2006/relationships/footer" Target="footer2.xml"/><Relationship Id="rId11" Type="http://schemas.openxmlformats.org/officeDocument/2006/relationships/image" Target="media/image2.wmf"/><Relationship Id="rId32" Type="http://schemas.openxmlformats.org/officeDocument/2006/relationships/image" Target="media/image9.png"/><Relationship Id="rId37" Type="http://schemas.openxmlformats.org/officeDocument/2006/relationships/image" Target="media/image12.png"/><Relationship Id="rId53" Type="http://schemas.openxmlformats.org/officeDocument/2006/relationships/hyperlink" Target="https://www.dewr.gov.au/skills-support-individuals/resources/appendix-b-list-nsnl-qualifications" TargetMode="External"/><Relationship Id="rId58" Type="http://schemas.openxmlformats.org/officeDocument/2006/relationships/image" Target="media/image24.png"/><Relationship Id="rId74" Type="http://schemas.openxmlformats.org/officeDocument/2006/relationships/hyperlink" Target="https://www.dewr.gov.au/australian-apprenticeships/strategic-review-australian-apprenticeship-incentive-system" TargetMode="External"/><Relationship Id="rId79" Type="http://schemas.openxmlformats.org/officeDocument/2006/relationships/hyperlink" Target="https://business.nab.com.au/nab-monthly-business-survey-february-2024/" TargetMode="External"/><Relationship Id="rId5" Type="http://schemas.openxmlformats.org/officeDocument/2006/relationships/webSettings" Target="webSettings.xml"/><Relationship Id="rId90" Type="http://schemas.openxmlformats.org/officeDocument/2006/relationships/footer" Target="footer6.xml"/><Relationship Id="rId14" Type="http://schemas.openxmlformats.org/officeDocument/2006/relationships/hyperlink" Target="http://creativecommons.org/licenses/by/3.0/au/deed.en" TargetMode="External"/><Relationship Id="rId22" Type="http://schemas.openxmlformats.org/officeDocument/2006/relationships/hyperlink" Target="https://www.abs.gov.au/statistics/labour/employment-and-unemployment/labour-force-australia-detailed/latest-release" TargetMode="External"/><Relationship Id="rId27" Type="http://schemas.openxmlformats.org/officeDocument/2006/relationships/image" Target="media/image4.png"/><Relationship Id="rId30" Type="http://schemas.openxmlformats.org/officeDocument/2006/relationships/image" Target="media/image7.png"/><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png"/><Relationship Id="rId56" Type="http://schemas.openxmlformats.org/officeDocument/2006/relationships/hyperlink" Target="https://www.jobsandskills.gov.au/data/internet-vacancy-index" TargetMode="External"/><Relationship Id="rId64" Type="http://schemas.openxmlformats.org/officeDocument/2006/relationships/image" Target="media/image30.png"/><Relationship Id="rId69" Type="http://schemas.openxmlformats.org/officeDocument/2006/relationships/hyperlink" Target="https://www.abs.gov.au/statistics/labour/employment-and-unemployment/labour-force-australia-detailed/latest-release" TargetMode="External"/><Relationship Id="rId77" Type="http://schemas.openxmlformats.org/officeDocument/2006/relationships/hyperlink" Target="https://www.jobsandskills.gov.au/data/internet-vacancy-index" TargetMode="External"/><Relationship Id="rId8" Type="http://schemas.openxmlformats.org/officeDocument/2006/relationships/image" Target="media/image1.png"/><Relationship Id="rId51" Type="http://schemas.openxmlformats.org/officeDocument/2006/relationships/hyperlink" Target="https://business.nab.com.au/nab-monthly-business-survey-february-2024/" TargetMode="External"/><Relationship Id="rId72" Type="http://schemas.openxmlformats.org/officeDocument/2006/relationships/hyperlink" Target="https://www.dewr.gov.au/skills-support-individuals/resources/australian-apprenticeships-incentives-program-guidelines" TargetMode="External"/><Relationship Id="rId80" Type="http://schemas.openxmlformats.org/officeDocument/2006/relationships/hyperlink" Target="https://www.ncver.edu.au/research-and-statistics/data/databuilder" TargetMode="External"/><Relationship Id="rId85"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mailto:CreativeServices@treasury.gov.au" TargetMode="External"/><Relationship Id="rId17" Type="http://schemas.openxmlformats.org/officeDocument/2006/relationships/header" Target="header1.xml"/><Relationship Id="rId25" Type="http://schemas.openxmlformats.org/officeDocument/2006/relationships/hyperlink" Target="https://www.dewr.gov.au/australian-apprenticeships/apprenticeship-support" TargetMode="External"/><Relationship Id="rId33" Type="http://schemas.openxmlformats.org/officeDocument/2006/relationships/hyperlink" Target="https://www.dewr.gov.au/australian-apprenticeships/apprenticeship-support" TargetMode="External"/><Relationship Id="rId38" Type="http://schemas.openxmlformats.org/officeDocument/2006/relationships/image" Target="media/image13.png"/><Relationship Id="rId46" Type="http://schemas.openxmlformats.org/officeDocument/2006/relationships/image" Target="media/image21.png"/><Relationship Id="rId59" Type="http://schemas.openxmlformats.org/officeDocument/2006/relationships/image" Target="media/image25.png"/><Relationship Id="rId67" Type="http://schemas.openxmlformats.org/officeDocument/2006/relationships/image" Target="media/image33.png"/><Relationship Id="rId20" Type="http://schemas.openxmlformats.org/officeDocument/2006/relationships/image" Target="media/image3.png"/><Relationship Id="rId41" Type="http://schemas.openxmlformats.org/officeDocument/2006/relationships/image" Target="media/image16.png"/><Relationship Id="rId54" Type="http://schemas.openxmlformats.org/officeDocument/2006/relationships/hyperlink" Target="https://www.abs.gov.au/statistics/labour/employment-and-unemployment/labour-force-australia-detailed/latest-release" TargetMode="External"/><Relationship Id="rId62" Type="http://schemas.openxmlformats.org/officeDocument/2006/relationships/image" Target="media/image28.png"/><Relationship Id="rId70" Type="http://schemas.openxmlformats.org/officeDocument/2006/relationships/hyperlink" Target="https://www.voced.edu.au/content/ngv%3A64341" TargetMode="External"/><Relationship Id="rId75" Type="http://schemas.openxmlformats.org/officeDocument/2006/relationships/hyperlink" Target="https://www.dewr.gov.au/australian-apprenticeships/apprenticeship-support" TargetMode="External"/><Relationship Id="rId83" Type="http://schemas.openxmlformats.org/officeDocument/2006/relationships/hyperlink" Target="https://www.voced.edu.au/content/ngv%3A88599" TargetMode="External"/><Relationship Id="rId88" Type="http://schemas.openxmlformats.org/officeDocument/2006/relationships/footer" Target="footer5.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yperlink" Target="https://www.jobsandskills.gov.au/data/internet-vacancy-index" TargetMode="External"/><Relationship Id="rId28" Type="http://schemas.openxmlformats.org/officeDocument/2006/relationships/image" Target="media/image5.png"/><Relationship Id="rId36" Type="http://schemas.openxmlformats.org/officeDocument/2006/relationships/image" Target="media/image11.png"/><Relationship Id="rId49" Type="http://schemas.openxmlformats.org/officeDocument/2006/relationships/hyperlink" Target="https://www.abs.gov.au/statistics/labour/employment-and-unemployment/labour-force-australia-detailed/latest-release" TargetMode="External"/><Relationship Id="rId57" Type="http://schemas.openxmlformats.org/officeDocument/2006/relationships/hyperlink" Target="https://business.nab.com.au/nab-monthly-business-survey-february-2024/" TargetMode="External"/><Relationship Id="rId10" Type="http://schemas.openxmlformats.org/officeDocument/2006/relationships/hyperlink" Target="https://www.w3.org/TR/WCAG20/" TargetMode="External"/><Relationship Id="rId31" Type="http://schemas.openxmlformats.org/officeDocument/2006/relationships/image" Target="media/image8.png"/><Relationship Id="rId44" Type="http://schemas.openxmlformats.org/officeDocument/2006/relationships/image" Target="media/image19.png"/><Relationship Id="rId52" Type="http://schemas.openxmlformats.org/officeDocument/2006/relationships/hyperlink" Target="https://www.dewr.gov.au/australian-apprenticeships/apprenticeship-support" TargetMode="External"/><Relationship Id="rId60" Type="http://schemas.openxmlformats.org/officeDocument/2006/relationships/image" Target="media/image26.png"/><Relationship Id="rId65" Type="http://schemas.openxmlformats.org/officeDocument/2006/relationships/image" Target="media/image31.png"/><Relationship Id="rId73" Type="http://schemas.openxmlformats.org/officeDocument/2006/relationships/hyperlink" Target="https://www.dewr.gov.au/skills-support-individuals/resources/appendix-b-list-nsnl-qualifications" TargetMode="External"/><Relationship Id="rId78" Type="http://schemas.openxmlformats.org/officeDocument/2006/relationships/hyperlink" Target="https://austreasury.sharepoint.com/sites/eval-function/eva/Apprenticeships%20review%20(BAC,%20CAC)/armel%20T,%20Factors%20affecting%20apprenticeships%20and%20traineeships,%20research%20commissioned%20by%20the%20Fair" TargetMode="External"/><Relationship Id="rId81" Type="http://schemas.openxmlformats.org/officeDocument/2006/relationships/hyperlink" Target="https://ncver.edu.au/research-and-statistics/publications/all-publications/the-cost-of-training-apprentices" TargetMode="External"/><Relationship Id="rId86"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DigitalDelivery@treasury.gov.au" TargetMode="External"/><Relationship Id="rId13" Type="http://schemas.openxmlformats.org/officeDocument/2006/relationships/hyperlink" Target="https://www.pmc.gov.au/honours-and-symbols/commonwealth-coat-arms" TargetMode="External"/><Relationship Id="rId18" Type="http://schemas.openxmlformats.org/officeDocument/2006/relationships/footer" Target="footer3.xml"/><Relationship Id="rId39" Type="http://schemas.openxmlformats.org/officeDocument/2006/relationships/image" Target="media/image14.png"/><Relationship Id="rId34" Type="http://schemas.openxmlformats.org/officeDocument/2006/relationships/hyperlink" Target="https://www.dewr.gov.au/skills-support-individuals/resources/appendix-b-list-nsnl-qualifications" TargetMode="External"/><Relationship Id="rId50" Type="http://schemas.openxmlformats.org/officeDocument/2006/relationships/hyperlink" Target="https://www.jobsandskills.gov.au/data/internet-vacancy-index" TargetMode="External"/><Relationship Id="rId55" Type="http://schemas.openxmlformats.org/officeDocument/2006/relationships/hyperlink" Target="https://www.abs.gov.au/statistics/labour/employment-and-unemployment/labour-force-australia-detailed/latest-release" TargetMode="External"/><Relationship Id="rId76" Type="http://schemas.openxmlformats.org/officeDocument/2006/relationships/hyperlink" Target="https://www.voced.edu.au/content/ngv%3A48917" TargetMode="External"/><Relationship Id="rId7" Type="http://schemas.openxmlformats.org/officeDocument/2006/relationships/endnotes" Target="endnotes.xml"/><Relationship Id="rId71" Type="http://schemas.openxmlformats.org/officeDocument/2006/relationships/hyperlink" Target="https://www.dewr.gov.au/employment-services-evaluations/resources/employment-pathway-fund-evaluation-chapter-2-wage-subsidies" TargetMode="External"/><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hyperlink" Target="https://business.nab.com.au/nab-monthly-business-survey-february-2024/" TargetMode="External"/><Relationship Id="rId40" Type="http://schemas.openxmlformats.org/officeDocument/2006/relationships/image" Target="media/image15.png"/><Relationship Id="rId45" Type="http://schemas.openxmlformats.org/officeDocument/2006/relationships/image" Target="media/image20.png"/><Relationship Id="rId66" Type="http://schemas.openxmlformats.org/officeDocument/2006/relationships/image" Target="media/image32.png"/><Relationship Id="rId87" Type="http://schemas.openxmlformats.org/officeDocument/2006/relationships/footer" Target="footer4.xml"/><Relationship Id="rId61" Type="http://schemas.openxmlformats.org/officeDocument/2006/relationships/image" Target="media/image27.png"/><Relationship Id="rId82" Type="http://schemas.openxmlformats.org/officeDocument/2006/relationships/hyperlink" Target="https://www.fwc.gov.au/documents/sites/wagereview2017/research/apprenticetrainee.pdf" TargetMode="External"/><Relationship Id="rId19" Type="http://schemas.openxmlformats.org/officeDocument/2006/relationships/hyperlink" Target="https://www.dewr.gov.au/skills-support-individuals/resources/australian-apprenticeships-incentives-program-guidelin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5.png"/></Relationships>
</file>

<file path=word/_rels/header3.xml.rels><?xml version="1.0" encoding="UTF-8" standalone="yes"?>
<Relationships xmlns="http://schemas.openxmlformats.org/package/2006/relationships"><Relationship Id="rId1" Type="http://schemas.openxmlformats.org/officeDocument/2006/relationships/image" Target="media/image35.png"/></Relationships>
</file>

<file path=word/theme/theme1.xml><?xml version="1.0" encoding="utf-8"?>
<a:theme xmlns:a="http://schemas.openxmlformats.org/drawingml/2006/main" name="TSYBrand">
  <a:themeElements>
    <a:clrScheme name="TSY Corporate">
      <a:dk1>
        <a:sysClr val="windowText" lastClr="000000"/>
      </a:dk1>
      <a:lt1>
        <a:sysClr val="window" lastClr="FFFFFF"/>
      </a:lt1>
      <a:dk2>
        <a:srgbClr val="5F5F5F"/>
      </a:dk2>
      <a:lt2>
        <a:srgbClr val="EEEEEE"/>
      </a:lt2>
      <a:accent1>
        <a:srgbClr val="2C384A"/>
      </a:accent1>
      <a:accent2>
        <a:srgbClr val="4D7861"/>
      </a:accent2>
      <a:accent3>
        <a:srgbClr val="5D779D"/>
      </a:accent3>
      <a:accent4>
        <a:srgbClr val="B1F0CF"/>
      </a:accent4>
      <a:accent5>
        <a:srgbClr val="90B6F0"/>
      </a:accent5>
      <a:accent6>
        <a:srgbClr val="F0AE81"/>
      </a:accent6>
      <a:hlink>
        <a:srgbClr val="3A6FAF"/>
      </a:hlink>
      <a:folHlink>
        <a:srgbClr val="844D9E"/>
      </a:folHlink>
    </a:clrScheme>
    <a:fontScheme name="Custom 1">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9E77C-4213-4C54-8E41-F8834CA9B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16908</Words>
  <Characters>97730</Characters>
  <Application>Microsoft Office Word</Application>
  <DocSecurity>0</DocSecurity>
  <Lines>1685</Lines>
  <Paragraphs>764</Paragraphs>
  <ScaleCrop>false</ScaleCrop>
  <HeadingPairs>
    <vt:vector size="2" baseType="variant">
      <vt:variant>
        <vt:lpstr>Title</vt:lpstr>
      </vt:variant>
      <vt:variant>
        <vt:i4>1</vt:i4>
      </vt:variant>
    </vt:vector>
  </HeadingPairs>
  <TitlesOfParts>
    <vt:vector size="1" baseType="lpstr">
      <vt:lpstr>Rapid evaluation of a COVID-era apprentice wage subsidy program</vt:lpstr>
    </vt:vector>
  </TitlesOfParts>
  <Company/>
  <LinksUpToDate>false</LinksUpToDate>
  <CharactersWithSpaces>113874</CharactersWithSpaces>
  <SharedDoc>false</SharedDoc>
  <HLinks>
    <vt:vector size="606" baseType="variant">
      <vt:variant>
        <vt:i4>983062</vt:i4>
      </vt:variant>
      <vt:variant>
        <vt:i4>489</vt:i4>
      </vt:variant>
      <vt:variant>
        <vt:i4>0</vt:i4>
      </vt:variant>
      <vt:variant>
        <vt:i4>5</vt:i4>
      </vt:variant>
      <vt:variant>
        <vt:lpwstr>https://treasury.gov.au/publication/p2023-455038</vt:lpwstr>
      </vt:variant>
      <vt:variant>
        <vt:lpwstr/>
      </vt:variant>
      <vt:variant>
        <vt:i4>5242934</vt:i4>
      </vt:variant>
      <vt:variant>
        <vt:i4>486</vt:i4>
      </vt:variant>
      <vt:variant>
        <vt:i4>0</vt:i4>
      </vt:variant>
      <vt:variant>
        <vt:i4>5</vt:i4>
      </vt:variant>
      <vt:variant>
        <vt:lpwstr>https://www.voced.edu.au/content/ngv%3A88599</vt:lpwstr>
      </vt:variant>
      <vt:variant>
        <vt:lpwstr>!</vt:lpwstr>
      </vt:variant>
      <vt:variant>
        <vt:i4>655389</vt:i4>
      </vt:variant>
      <vt:variant>
        <vt:i4>483</vt:i4>
      </vt:variant>
      <vt:variant>
        <vt:i4>0</vt:i4>
      </vt:variant>
      <vt:variant>
        <vt:i4>5</vt:i4>
      </vt:variant>
      <vt:variant>
        <vt:lpwstr>https://www.fwc.gov.au/documents/sites/wagereview2017/research/apprenticetrainee.pdf</vt:lpwstr>
      </vt:variant>
      <vt:variant>
        <vt:lpwstr/>
      </vt:variant>
      <vt:variant>
        <vt:i4>7405679</vt:i4>
      </vt:variant>
      <vt:variant>
        <vt:i4>480</vt:i4>
      </vt:variant>
      <vt:variant>
        <vt:i4>0</vt:i4>
      </vt:variant>
      <vt:variant>
        <vt:i4>5</vt:i4>
      </vt:variant>
      <vt:variant>
        <vt:lpwstr>https://ncver.edu.au/research-and-statistics/publications/all-publications/the-cost-of-training-apprentices</vt:lpwstr>
      </vt:variant>
      <vt:variant>
        <vt:lpwstr/>
      </vt:variant>
      <vt:variant>
        <vt:i4>1572951</vt:i4>
      </vt:variant>
      <vt:variant>
        <vt:i4>477</vt:i4>
      </vt:variant>
      <vt:variant>
        <vt:i4>0</vt:i4>
      </vt:variant>
      <vt:variant>
        <vt:i4>5</vt:i4>
      </vt:variant>
      <vt:variant>
        <vt:lpwstr>https://www.ncver.edu.au/research-and-statistics/data/databuilder</vt:lpwstr>
      </vt:variant>
      <vt:variant>
        <vt:lpwstr/>
      </vt:variant>
      <vt:variant>
        <vt:i4>2228342</vt:i4>
      </vt:variant>
      <vt:variant>
        <vt:i4>474</vt:i4>
      </vt:variant>
      <vt:variant>
        <vt:i4>0</vt:i4>
      </vt:variant>
      <vt:variant>
        <vt:i4>5</vt:i4>
      </vt:variant>
      <vt:variant>
        <vt:lpwstr>https://business.nab.com.au/nab-monthly-business-survey-february-2024/</vt:lpwstr>
      </vt:variant>
      <vt:variant>
        <vt:lpwstr/>
      </vt:variant>
      <vt:variant>
        <vt:i4>6619176</vt:i4>
      </vt:variant>
      <vt:variant>
        <vt:i4>471</vt:i4>
      </vt:variant>
      <vt:variant>
        <vt:i4>0</vt:i4>
      </vt:variant>
      <vt:variant>
        <vt:i4>5</vt:i4>
      </vt:variant>
      <vt:variant>
        <vt:lpwstr>armel T, Factors affecting apprenticeships and traineeships, research commissioned by the Fair</vt:lpwstr>
      </vt:variant>
      <vt:variant>
        <vt:lpwstr/>
      </vt:variant>
      <vt:variant>
        <vt:i4>983044</vt:i4>
      </vt:variant>
      <vt:variant>
        <vt:i4>468</vt:i4>
      </vt:variant>
      <vt:variant>
        <vt:i4>0</vt:i4>
      </vt:variant>
      <vt:variant>
        <vt:i4>5</vt:i4>
      </vt:variant>
      <vt:variant>
        <vt:lpwstr>https://www.jobsandskills.gov.au/data/internet-vacancy-index</vt:lpwstr>
      </vt:variant>
      <vt:variant>
        <vt:lpwstr/>
      </vt:variant>
      <vt:variant>
        <vt:i4>6160415</vt:i4>
      </vt:variant>
      <vt:variant>
        <vt:i4>465</vt:i4>
      </vt:variant>
      <vt:variant>
        <vt:i4>0</vt:i4>
      </vt:variant>
      <vt:variant>
        <vt:i4>5</vt:i4>
      </vt:variant>
      <vt:variant>
        <vt:lpwstr>https://www.voced.edu.au/content/ngv%3A48917</vt:lpwstr>
      </vt:variant>
      <vt:variant>
        <vt:lpwstr/>
      </vt:variant>
      <vt:variant>
        <vt:i4>2949182</vt:i4>
      </vt:variant>
      <vt:variant>
        <vt:i4>462</vt:i4>
      </vt:variant>
      <vt:variant>
        <vt:i4>0</vt:i4>
      </vt:variant>
      <vt:variant>
        <vt:i4>5</vt:i4>
      </vt:variant>
      <vt:variant>
        <vt:lpwstr>https://www.dewr.gov.au/australian-apprenticeships/apprenticeship-support</vt:lpwstr>
      </vt:variant>
      <vt:variant>
        <vt:lpwstr>toc-australian-apprenticeship-priority-list</vt:lpwstr>
      </vt:variant>
      <vt:variant>
        <vt:i4>2555940</vt:i4>
      </vt:variant>
      <vt:variant>
        <vt:i4>459</vt:i4>
      </vt:variant>
      <vt:variant>
        <vt:i4>0</vt:i4>
      </vt:variant>
      <vt:variant>
        <vt:i4>5</vt:i4>
      </vt:variant>
      <vt:variant>
        <vt:lpwstr>https://www.dewr.gov.au/australian-apprenticeships/strategic-review-australian-apprenticeship-incentive-system</vt:lpwstr>
      </vt:variant>
      <vt:variant>
        <vt:lpwstr/>
      </vt:variant>
      <vt:variant>
        <vt:i4>5701650</vt:i4>
      </vt:variant>
      <vt:variant>
        <vt:i4>456</vt:i4>
      </vt:variant>
      <vt:variant>
        <vt:i4>0</vt:i4>
      </vt:variant>
      <vt:variant>
        <vt:i4>5</vt:i4>
      </vt:variant>
      <vt:variant>
        <vt:lpwstr>https://www.dewr.gov.au/skills-support-individuals/resources/appendix-b-list-nsnl-qualifications</vt:lpwstr>
      </vt:variant>
      <vt:variant>
        <vt:lpwstr/>
      </vt:variant>
      <vt:variant>
        <vt:i4>852032</vt:i4>
      </vt:variant>
      <vt:variant>
        <vt:i4>453</vt:i4>
      </vt:variant>
      <vt:variant>
        <vt:i4>0</vt:i4>
      </vt:variant>
      <vt:variant>
        <vt:i4>5</vt:i4>
      </vt:variant>
      <vt:variant>
        <vt:lpwstr>https://www.dewr.gov.au/skills-support-individuals/resources/australian-apprenticeships-incentives-program-guidelines</vt:lpwstr>
      </vt:variant>
      <vt:variant>
        <vt:lpwstr/>
      </vt:variant>
      <vt:variant>
        <vt:i4>1966156</vt:i4>
      </vt:variant>
      <vt:variant>
        <vt:i4>450</vt:i4>
      </vt:variant>
      <vt:variant>
        <vt:i4>0</vt:i4>
      </vt:variant>
      <vt:variant>
        <vt:i4>5</vt:i4>
      </vt:variant>
      <vt:variant>
        <vt:lpwstr>https://www.dewr.gov.au/employment-services-evaluations/resources/employment-pathway-fund-evaluation-chapter-2-wage-subsidies</vt:lpwstr>
      </vt:variant>
      <vt:variant>
        <vt:lpwstr/>
      </vt:variant>
      <vt:variant>
        <vt:i4>5242902</vt:i4>
      </vt:variant>
      <vt:variant>
        <vt:i4>447</vt:i4>
      </vt:variant>
      <vt:variant>
        <vt:i4>0</vt:i4>
      </vt:variant>
      <vt:variant>
        <vt:i4>5</vt:i4>
      </vt:variant>
      <vt:variant>
        <vt:lpwstr>https://www.voced.edu.au/content/ngv%3A64341</vt:lpwstr>
      </vt:variant>
      <vt:variant>
        <vt:lpwstr/>
      </vt:variant>
      <vt:variant>
        <vt:i4>7667747</vt:i4>
      </vt:variant>
      <vt:variant>
        <vt:i4>444</vt:i4>
      </vt:variant>
      <vt:variant>
        <vt:i4>0</vt:i4>
      </vt:variant>
      <vt:variant>
        <vt:i4>5</vt:i4>
      </vt:variant>
      <vt:variant>
        <vt:lpwstr>https://www.abs.gov.au/statistics/labour/employment-and-unemployment/labour-force-australia-detailed/latest-release</vt:lpwstr>
      </vt:variant>
      <vt:variant>
        <vt:lpwstr/>
      </vt:variant>
      <vt:variant>
        <vt:i4>2228342</vt:i4>
      </vt:variant>
      <vt:variant>
        <vt:i4>441</vt:i4>
      </vt:variant>
      <vt:variant>
        <vt:i4>0</vt:i4>
      </vt:variant>
      <vt:variant>
        <vt:i4>5</vt:i4>
      </vt:variant>
      <vt:variant>
        <vt:lpwstr>https://business.nab.com.au/nab-monthly-business-survey-february-2024/</vt:lpwstr>
      </vt:variant>
      <vt:variant>
        <vt:lpwstr/>
      </vt:variant>
      <vt:variant>
        <vt:i4>983044</vt:i4>
      </vt:variant>
      <vt:variant>
        <vt:i4>438</vt:i4>
      </vt:variant>
      <vt:variant>
        <vt:i4>0</vt:i4>
      </vt:variant>
      <vt:variant>
        <vt:i4>5</vt:i4>
      </vt:variant>
      <vt:variant>
        <vt:lpwstr>https://www.jobsandskills.gov.au/data/internet-vacancy-index</vt:lpwstr>
      </vt:variant>
      <vt:variant>
        <vt:lpwstr/>
      </vt:variant>
      <vt:variant>
        <vt:i4>7667747</vt:i4>
      </vt:variant>
      <vt:variant>
        <vt:i4>435</vt:i4>
      </vt:variant>
      <vt:variant>
        <vt:i4>0</vt:i4>
      </vt:variant>
      <vt:variant>
        <vt:i4>5</vt:i4>
      </vt:variant>
      <vt:variant>
        <vt:lpwstr>https://www.abs.gov.au/statistics/labour/employment-and-unemployment/labour-force-australia-detailed/latest-release</vt:lpwstr>
      </vt:variant>
      <vt:variant>
        <vt:lpwstr/>
      </vt:variant>
      <vt:variant>
        <vt:i4>7667747</vt:i4>
      </vt:variant>
      <vt:variant>
        <vt:i4>432</vt:i4>
      </vt:variant>
      <vt:variant>
        <vt:i4>0</vt:i4>
      </vt:variant>
      <vt:variant>
        <vt:i4>5</vt:i4>
      </vt:variant>
      <vt:variant>
        <vt:lpwstr>https://www.abs.gov.au/statistics/labour/employment-and-unemployment/labour-force-australia-detailed/latest-release</vt:lpwstr>
      </vt:variant>
      <vt:variant>
        <vt:lpwstr/>
      </vt:variant>
      <vt:variant>
        <vt:i4>5701650</vt:i4>
      </vt:variant>
      <vt:variant>
        <vt:i4>429</vt:i4>
      </vt:variant>
      <vt:variant>
        <vt:i4>0</vt:i4>
      </vt:variant>
      <vt:variant>
        <vt:i4>5</vt:i4>
      </vt:variant>
      <vt:variant>
        <vt:lpwstr>https://www.dewr.gov.au/skills-support-individuals/resources/appendix-b-list-nsnl-qualifications</vt:lpwstr>
      </vt:variant>
      <vt:variant>
        <vt:lpwstr/>
      </vt:variant>
      <vt:variant>
        <vt:i4>2949182</vt:i4>
      </vt:variant>
      <vt:variant>
        <vt:i4>426</vt:i4>
      </vt:variant>
      <vt:variant>
        <vt:i4>0</vt:i4>
      </vt:variant>
      <vt:variant>
        <vt:i4>5</vt:i4>
      </vt:variant>
      <vt:variant>
        <vt:lpwstr>https://www.dewr.gov.au/australian-apprenticeships/apprenticeship-support</vt:lpwstr>
      </vt:variant>
      <vt:variant>
        <vt:lpwstr>toc-australian-apprenticeship-priority-list</vt:lpwstr>
      </vt:variant>
      <vt:variant>
        <vt:i4>2228342</vt:i4>
      </vt:variant>
      <vt:variant>
        <vt:i4>423</vt:i4>
      </vt:variant>
      <vt:variant>
        <vt:i4>0</vt:i4>
      </vt:variant>
      <vt:variant>
        <vt:i4>5</vt:i4>
      </vt:variant>
      <vt:variant>
        <vt:lpwstr>https://business.nab.com.au/nab-monthly-business-survey-february-2024/</vt:lpwstr>
      </vt:variant>
      <vt:variant>
        <vt:lpwstr/>
      </vt:variant>
      <vt:variant>
        <vt:i4>983044</vt:i4>
      </vt:variant>
      <vt:variant>
        <vt:i4>420</vt:i4>
      </vt:variant>
      <vt:variant>
        <vt:i4>0</vt:i4>
      </vt:variant>
      <vt:variant>
        <vt:i4>5</vt:i4>
      </vt:variant>
      <vt:variant>
        <vt:lpwstr>https://www.jobsandskills.gov.au/data/internet-vacancy-index</vt:lpwstr>
      </vt:variant>
      <vt:variant>
        <vt:lpwstr/>
      </vt:variant>
      <vt:variant>
        <vt:i4>7667747</vt:i4>
      </vt:variant>
      <vt:variant>
        <vt:i4>417</vt:i4>
      </vt:variant>
      <vt:variant>
        <vt:i4>0</vt:i4>
      </vt:variant>
      <vt:variant>
        <vt:i4>5</vt:i4>
      </vt:variant>
      <vt:variant>
        <vt:lpwstr>https://www.abs.gov.au/statistics/labour/employment-and-unemployment/labour-force-australia-detailed/latest-release</vt:lpwstr>
      </vt:variant>
      <vt:variant>
        <vt:lpwstr/>
      </vt:variant>
      <vt:variant>
        <vt:i4>5701650</vt:i4>
      </vt:variant>
      <vt:variant>
        <vt:i4>414</vt:i4>
      </vt:variant>
      <vt:variant>
        <vt:i4>0</vt:i4>
      </vt:variant>
      <vt:variant>
        <vt:i4>5</vt:i4>
      </vt:variant>
      <vt:variant>
        <vt:lpwstr>https://www.dewr.gov.au/skills-support-individuals/resources/appendix-b-list-nsnl-qualifications</vt:lpwstr>
      </vt:variant>
      <vt:variant>
        <vt:lpwstr/>
      </vt:variant>
      <vt:variant>
        <vt:i4>2949182</vt:i4>
      </vt:variant>
      <vt:variant>
        <vt:i4>411</vt:i4>
      </vt:variant>
      <vt:variant>
        <vt:i4>0</vt:i4>
      </vt:variant>
      <vt:variant>
        <vt:i4>5</vt:i4>
      </vt:variant>
      <vt:variant>
        <vt:lpwstr>https://www.dewr.gov.au/australian-apprenticeships/apprenticeship-support</vt:lpwstr>
      </vt:variant>
      <vt:variant>
        <vt:lpwstr>toc-australian-apprenticeship-priority-list</vt:lpwstr>
      </vt:variant>
      <vt:variant>
        <vt:i4>5701650</vt:i4>
      </vt:variant>
      <vt:variant>
        <vt:i4>408</vt:i4>
      </vt:variant>
      <vt:variant>
        <vt:i4>0</vt:i4>
      </vt:variant>
      <vt:variant>
        <vt:i4>5</vt:i4>
      </vt:variant>
      <vt:variant>
        <vt:lpwstr>https://www.dewr.gov.au/skills-support-individuals/resources/appendix-b-list-nsnl-qualifications</vt:lpwstr>
      </vt:variant>
      <vt:variant>
        <vt:lpwstr/>
      </vt:variant>
      <vt:variant>
        <vt:i4>2949182</vt:i4>
      </vt:variant>
      <vt:variant>
        <vt:i4>405</vt:i4>
      </vt:variant>
      <vt:variant>
        <vt:i4>0</vt:i4>
      </vt:variant>
      <vt:variant>
        <vt:i4>5</vt:i4>
      </vt:variant>
      <vt:variant>
        <vt:lpwstr>https://www.dewr.gov.au/australian-apprenticeships/apprenticeship-support</vt:lpwstr>
      </vt:variant>
      <vt:variant>
        <vt:lpwstr>toc-australian-apprenticeship-priority-list</vt:lpwstr>
      </vt:variant>
      <vt:variant>
        <vt:i4>2228342</vt:i4>
      </vt:variant>
      <vt:variant>
        <vt:i4>402</vt:i4>
      </vt:variant>
      <vt:variant>
        <vt:i4>0</vt:i4>
      </vt:variant>
      <vt:variant>
        <vt:i4>5</vt:i4>
      </vt:variant>
      <vt:variant>
        <vt:lpwstr>https://business.nab.com.au/nab-monthly-business-survey-february-2024/</vt:lpwstr>
      </vt:variant>
      <vt:variant>
        <vt:lpwstr/>
      </vt:variant>
      <vt:variant>
        <vt:i4>983044</vt:i4>
      </vt:variant>
      <vt:variant>
        <vt:i4>399</vt:i4>
      </vt:variant>
      <vt:variant>
        <vt:i4>0</vt:i4>
      </vt:variant>
      <vt:variant>
        <vt:i4>5</vt:i4>
      </vt:variant>
      <vt:variant>
        <vt:lpwstr>https://www.jobsandskills.gov.au/data/internet-vacancy-index</vt:lpwstr>
      </vt:variant>
      <vt:variant>
        <vt:lpwstr/>
      </vt:variant>
      <vt:variant>
        <vt:i4>7667747</vt:i4>
      </vt:variant>
      <vt:variant>
        <vt:i4>396</vt:i4>
      </vt:variant>
      <vt:variant>
        <vt:i4>0</vt:i4>
      </vt:variant>
      <vt:variant>
        <vt:i4>5</vt:i4>
      </vt:variant>
      <vt:variant>
        <vt:lpwstr>https://www.abs.gov.au/statistics/labour/employment-and-unemployment/labour-force-australia-detailed/latest-release</vt:lpwstr>
      </vt:variant>
      <vt:variant>
        <vt:lpwstr/>
      </vt:variant>
      <vt:variant>
        <vt:i4>2555940</vt:i4>
      </vt:variant>
      <vt:variant>
        <vt:i4>393</vt:i4>
      </vt:variant>
      <vt:variant>
        <vt:i4>0</vt:i4>
      </vt:variant>
      <vt:variant>
        <vt:i4>5</vt:i4>
      </vt:variant>
      <vt:variant>
        <vt:lpwstr>https://www.dewr.gov.au/australian-apprenticeships/strategic-review-australian-apprenticeship-incentive-system</vt:lpwstr>
      </vt:variant>
      <vt:variant>
        <vt:lpwstr/>
      </vt:variant>
      <vt:variant>
        <vt:i4>852032</vt:i4>
      </vt:variant>
      <vt:variant>
        <vt:i4>390</vt:i4>
      </vt:variant>
      <vt:variant>
        <vt:i4>0</vt:i4>
      </vt:variant>
      <vt:variant>
        <vt:i4>5</vt:i4>
      </vt:variant>
      <vt:variant>
        <vt:lpwstr>https://www.dewr.gov.au/skills-support-individuals/resources/australian-apprenticeships-incentives-program-guidelines</vt:lpwstr>
      </vt:variant>
      <vt:variant>
        <vt:lpwstr/>
      </vt:variant>
      <vt:variant>
        <vt:i4>1048631</vt:i4>
      </vt:variant>
      <vt:variant>
        <vt:i4>383</vt:i4>
      </vt:variant>
      <vt:variant>
        <vt:i4>0</vt:i4>
      </vt:variant>
      <vt:variant>
        <vt:i4>5</vt:i4>
      </vt:variant>
      <vt:variant>
        <vt:lpwstr/>
      </vt:variant>
      <vt:variant>
        <vt:lpwstr>_Toc175131001</vt:lpwstr>
      </vt:variant>
      <vt:variant>
        <vt:i4>1048631</vt:i4>
      </vt:variant>
      <vt:variant>
        <vt:i4>377</vt:i4>
      </vt:variant>
      <vt:variant>
        <vt:i4>0</vt:i4>
      </vt:variant>
      <vt:variant>
        <vt:i4>5</vt:i4>
      </vt:variant>
      <vt:variant>
        <vt:lpwstr/>
      </vt:variant>
      <vt:variant>
        <vt:lpwstr>_Toc175131000</vt:lpwstr>
      </vt:variant>
      <vt:variant>
        <vt:i4>1572926</vt:i4>
      </vt:variant>
      <vt:variant>
        <vt:i4>371</vt:i4>
      </vt:variant>
      <vt:variant>
        <vt:i4>0</vt:i4>
      </vt:variant>
      <vt:variant>
        <vt:i4>5</vt:i4>
      </vt:variant>
      <vt:variant>
        <vt:lpwstr/>
      </vt:variant>
      <vt:variant>
        <vt:lpwstr>_Toc175130999</vt:lpwstr>
      </vt:variant>
      <vt:variant>
        <vt:i4>1572926</vt:i4>
      </vt:variant>
      <vt:variant>
        <vt:i4>365</vt:i4>
      </vt:variant>
      <vt:variant>
        <vt:i4>0</vt:i4>
      </vt:variant>
      <vt:variant>
        <vt:i4>5</vt:i4>
      </vt:variant>
      <vt:variant>
        <vt:lpwstr/>
      </vt:variant>
      <vt:variant>
        <vt:lpwstr>_Toc175130998</vt:lpwstr>
      </vt:variant>
      <vt:variant>
        <vt:i4>1572926</vt:i4>
      </vt:variant>
      <vt:variant>
        <vt:i4>359</vt:i4>
      </vt:variant>
      <vt:variant>
        <vt:i4>0</vt:i4>
      </vt:variant>
      <vt:variant>
        <vt:i4>5</vt:i4>
      </vt:variant>
      <vt:variant>
        <vt:lpwstr/>
      </vt:variant>
      <vt:variant>
        <vt:lpwstr>_Toc175130997</vt:lpwstr>
      </vt:variant>
      <vt:variant>
        <vt:i4>1572926</vt:i4>
      </vt:variant>
      <vt:variant>
        <vt:i4>353</vt:i4>
      </vt:variant>
      <vt:variant>
        <vt:i4>0</vt:i4>
      </vt:variant>
      <vt:variant>
        <vt:i4>5</vt:i4>
      </vt:variant>
      <vt:variant>
        <vt:lpwstr/>
      </vt:variant>
      <vt:variant>
        <vt:lpwstr>_Toc175130996</vt:lpwstr>
      </vt:variant>
      <vt:variant>
        <vt:i4>1572926</vt:i4>
      </vt:variant>
      <vt:variant>
        <vt:i4>347</vt:i4>
      </vt:variant>
      <vt:variant>
        <vt:i4>0</vt:i4>
      </vt:variant>
      <vt:variant>
        <vt:i4>5</vt:i4>
      </vt:variant>
      <vt:variant>
        <vt:lpwstr/>
      </vt:variant>
      <vt:variant>
        <vt:lpwstr>_Toc175130995</vt:lpwstr>
      </vt:variant>
      <vt:variant>
        <vt:i4>1572926</vt:i4>
      </vt:variant>
      <vt:variant>
        <vt:i4>341</vt:i4>
      </vt:variant>
      <vt:variant>
        <vt:i4>0</vt:i4>
      </vt:variant>
      <vt:variant>
        <vt:i4>5</vt:i4>
      </vt:variant>
      <vt:variant>
        <vt:lpwstr/>
      </vt:variant>
      <vt:variant>
        <vt:lpwstr>_Toc175130994</vt:lpwstr>
      </vt:variant>
      <vt:variant>
        <vt:i4>1572926</vt:i4>
      </vt:variant>
      <vt:variant>
        <vt:i4>335</vt:i4>
      </vt:variant>
      <vt:variant>
        <vt:i4>0</vt:i4>
      </vt:variant>
      <vt:variant>
        <vt:i4>5</vt:i4>
      </vt:variant>
      <vt:variant>
        <vt:lpwstr/>
      </vt:variant>
      <vt:variant>
        <vt:lpwstr>_Toc175130993</vt:lpwstr>
      </vt:variant>
      <vt:variant>
        <vt:i4>1572926</vt:i4>
      </vt:variant>
      <vt:variant>
        <vt:i4>329</vt:i4>
      </vt:variant>
      <vt:variant>
        <vt:i4>0</vt:i4>
      </vt:variant>
      <vt:variant>
        <vt:i4>5</vt:i4>
      </vt:variant>
      <vt:variant>
        <vt:lpwstr/>
      </vt:variant>
      <vt:variant>
        <vt:lpwstr>_Toc175130992</vt:lpwstr>
      </vt:variant>
      <vt:variant>
        <vt:i4>1572926</vt:i4>
      </vt:variant>
      <vt:variant>
        <vt:i4>323</vt:i4>
      </vt:variant>
      <vt:variant>
        <vt:i4>0</vt:i4>
      </vt:variant>
      <vt:variant>
        <vt:i4>5</vt:i4>
      </vt:variant>
      <vt:variant>
        <vt:lpwstr/>
      </vt:variant>
      <vt:variant>
        <vt:lpwstr>_Toc175130991</vt:lpwstr>
      </vt:variant>
      <vt:variant>
        <vt:i4>1572926</vt:i4>
      </vt:variant>
      <vt:variant>
        <vt:i4>317</vt:i4>
      </vt:variant>
      <vt:variant>
        <vt:i4>0</vt:i4>
      </vt:variant>
      <vt:variant>
        <vt:i4>5</vt:i4>
      </vt:variant>
      <vt:variant>
        <vt:lpwstr/>
      </vt:variant>
      <vt:variant>
        <vt:lpwstr>_Toc175130990</vt:lpwstr>
      </vt:variant>
      <vt:variant>
        <vt:i4>1638462</vt:i4>
      </vt:variant>
      <vt:variant>
        <vt:i4>311</vt:i4>
      </vt:variant>
      <vt:variant>
        <vt:i4>0</vt:i4>
      </vt:variant>
      <vt:variant>
        <vt:i4>5</vt:i4>
      </vt:variant>
      <vt:variant>
        <vt:lpwstr/>
      </vt:variant>
      <vt:variant>
        <vt:lpwstr>_Toc175130989</vt:lpwstr>
      </vt:variant>
      <vt:variant>
        <vt:i4>1638462</vt:i4>
      </vt:variant>
      <vt:variant>
        <vt:i4>305</vt:i4>
      </vt:variant>
      <vt:variant>
        <vt:i4>0</vt:i4>
      </vt:variant>
      <vt:variant>
        <vt:i4>5</vt:i4>
      </vt:variant>
      <vt:variant>
        <vt:lpwstr/>
      </vt:variant>
      <vt:variant>
        <vt:lpwstr>_Toc175130988</vt:lpwstr>
      </vt:variant>
      <vt:variant>
        <vt:i4>1638462</vt:i4>
      </vt:variant>
      <vt:variant>
        <vt:i4>299</vt:i4>
      </vt:variant>
      <vt:variant>
        <vt:i4>0</vt:i4>
      </vt:variant>
      <vt:variant>
        <vt:i4>5</vt:i4>
      </vt:variant>
      <vt:variant>
        <vt:lpwstr/>
      </vt:variant>
      <vt:variant>
        <vt:lpwstr>_Toc175130987</vt:lpwstr>
      </vt:variant>
      <vt:variant>
        <vt:i4>1638462</vt:i4>
      </vt:variant>
      <vt:variant>
        <vt:i4>293</vt:i4>
      </vt:variant>
      <vt:variant>
        <vt:i4>0</vt:i4>
      </vt:variant>
      <vt:variant>
        <vt:i4>5</vt:i4>
      </vt:variant>
      <vt:variant>
        <vt:lpwstr/>
      </vt:variant>
      <vt:variant>
        <vt:lpwstr>_Toc175130986</vt:lpwstr>
      </vt:variant>
      <vt:variant>
        <vt:i4>1638462</vt:i4>
      </vt:variant>
      <vt:variant>
        <vt:i4>287</vt:i4>
      </vt:variant>
      <vt:variant>
        <vt:i4>0</vt:i4>
      </vt:variant>
      <vt:variant>
        <vt:i4>5</vt:i4>
      </vt:variant>
      <vt:variant>
        <vt:lpwstr/>
      </vt:variant>
      <vt:variant>
        <vt:lpwstr>_Toc175130985</vt:lpwstr>
      </vt:variant>
      <vt:variant>
        <vt:i4>1638462</vt:i4>
      </vt:variant>
      <vt:variant>
        <vt:i4>281</vt:i4>
      </vt:variant>
      <vt:variant>
        <vt:i4>0</vt:i4>
      </vt:variant>
      <vt:variant>
        <vt:i4>5</vt:i4>
      </vt:variant>
      <vt:variant>
        <vt:lpwstr/>
      </vt:variant>
      <vt:variant>
        <vt:lpwstr>_Toc175130984</vt:lpwstr>
      </vt:variant>
      <vt:variant>
        <vt:i4>1638462</vt:i4>
      </vt:variant>
      <vt:variant>
        <vt:i4>275</vt:i4>
      </vt:variant>
      <vt:variant>
        <vt:i4>0</vt:i4>
      </vt:variant>
      <vt:variant>
        <vt:i4>5</vt:i4>
      </vt:variant>
      <vt:variant>
        <vt:lpwstr/>
      </vt:variant>
      <vt:variant>
        <vt:lpwstr>_Toc175130983</vt:lpwstr>
      </vt:variant>
      <vt:variant>
        <vt:i4>1638462</vt:i4>
      </vt:variant>
      <vt:variant>
        <vt:i4>269</vt:i4>
      </vt:variant>
      <vt:variant>
        <vt:i4>0</vt:i4>
      </vt:variant>
      <vt:variant>
        <vt:i4>5</vt:i4>
      </vt:variant>
      <vt:variant>
        <vt:lpwstr/>
      </vt:variant>
      <vt:variant>
        <vt:lpwstr>_Toc175130982</vt:lpwstr>
      </vt:variant>
      <vt:variant>
        <vt:i4>1638462</vt:i4>
      </vt:variant>
      <vt:variant>
        <vt:i4>263</vt:i4>
      </vt:variant>
      <vt:variant>
        <vt:i4>0</vt:i4>
      </vt:variant>
      <vt:variant>
        <vt:i4>5</vt:i4>
      </vt:variant>
      <vt:variant>
        <vt:lpwstr/>
      </vt:variant>
      <vt:variant>
        <vt:lpwstr>_Toc175130981</vt:lpwstr>
      </vt:variant>
      <vt:variant>
        <vt:i4>1638462</vt:i4>
      </vt:variant>
      <vt:variant>
        <vt:i4>257</vt:i4>
      </vt:variant>
      <vt:variant>
        <vt:i4>0</vt:i4>
      </vt:variant>
      <vt:variant>
        <vt:i4>5</vt:i4>
      </vt:variant>
      <vt:variant>
        <vt:lpwstr/>
      </vt:variant>
      <vt:variant>
        <vt:lpwstr>_Toc175130980</vt:lpwstr>
      </vt:variant>
      <vt:variant>
        <vt:i4>1441854</vt:i4>
      </vt:variant>
      <vt:variant>
        <vt:i4>251</vt:i4>
      </vt:variant>
      <vt:variant>
        <vt:i4>0</vt:i4>
      </vt:variant>
      <vt:variant>
        <vt:i4>5</vt:i4>
      </vt:variant>
      <vt:variant>
        <vt:lpwstr/>
      </vt:variant>
      <vt:variant>
        <vt:lpwstr>_Toc175130979</vt:lpwstr>
      </vt:variant>
      <vt:variant>
        <vt:i4>1441854</vt:i4>
      </vt:variant>
      <vt:variant>
        <vt:i4>245</vt:i4>
      </vt:variant>
      <vt:variant>
        <vt:i4>0</vt:i4>
      </vt:variant>
      <vt:variant>
        <vt:i4>5</vt:i4>
      </vt:variant>
      <vt:variant>
        <vt:lpwstr/>
      </vt:variant>
      <vt:variant>
        <vt:lpwstr>_Toc175130978</vt:lpwstr>
      </vt:variant>
      <vt:variant>
        <vt:i4>1441854</vt:i4>
      </vt:variant>
      <vt:variant>
        <vt:i4>239</vt:i4>
      </vt:variant>
      <vt:variant>
        <vt:i4>0</vt:i4>
      </vt:variant>
      <vt:variant>
        <vt:i4>5</vt:i4>
      </vt:variant>
      <vt:variant>
        <vt:lpwstr/>
      </vt:variant>
      <vt:variant>
        <vt:lpwstr>_Toc175130977</vt:lpwstr>
      </vt:variant>
      <vt:variant>
        <vt:i4>1441854</vt:i4>
      </vt:variant>
      <vt:variant>
        <vt:i4>233</vt:i4>
      </vt:variant>
      <vt:variant>
        <vt:i4>0</vt:i4>
      </vt:variant>
      <vt:variant>
        <vt:i4>5</vt:i4>
      </vt:variant>
      <vt:variant>
        <vt:lpwstr/>
      </vt:variant>
      <vt:variant>
        <vt:lpwstr>_Toc175130976</vt:lpwstr>
      </vt:variant>
      <vt:variant>
        <vt:i4>1441854</vt:i4>
      </vt:variant>
      <vt:variant>
        <vt:i4>227</vt:i4>
      </vt:variant>
      <vt:variant>
        <vt:i4>0</vt:i4>
      </vt:variant>
      <vt:variant>
        <vt:i4>5</vt:i4>
      </vt:variant>
      <vt:variant>
        <vt:lpwstr/>
      </vt:variant>
      <vt:variant>
        <vt:lpwstr>_Toc175130975</vt:lpwstr>
      </vt:variant>
      <vt:variant>
        <vt:i4>1441854</vt:i4>
      </vt:variant>
      <vt:variant>
        <vt:i4>221</vt:i4>
      </vt:variant>
      <vt:variant>
        <vt:i4>0</vt:i4>
      </vt:variant>
      <vt:variant>
        <vt:i4>5</vt:i4>
      </vt:variant>
      <vt:variant>
        <vt:lpwstr/>
      </vt:variant>
      <vt:variant>
        <vt:lpwstr>_Toc175130974</vt:lpwstr>
      </vt:variant>
      <vt:variant>
        <vt:i4>1441854</vt:i4>
      </vt:variant>
      <vt:variant>
        <vt:i4>215</vt:i4>
      </vt:variant>
      <vt:variant>
        <vt:i4>0</vt:i4>
      </vt:variant>
      <vt:variant>
        <vt:i4>5</vt:i4>
      </vt:variant>
      <vt:variant>
        <vt:lpwstr/>
      </vt:variant>
      <vt:variant>
        <vt:lpwstr>_Toc175130973</vt:lpwstr>
      </vt:variant>
      <vt:variant>
        <vt:i4>1441854</vt:i4>
      </vt:variant>
      <vt:variant>
        <vt:i4>209</vt:i4>
      </vt:variant>
      <vt:variant>
        <vt:i4>0</vt:i4>
      </vt:variant>
      <vt:variant>
        <vt:i4>5</vt:i4>
      </vt:variant>
      <vt:variant>
        <vt:lpwstr/>
      </vt:variant>
      <vt:variant>
        <vt:lpwstr>_Toc175130972</vt:lpwstr>
      </vt:variant>
      <vt:variant>
        <vt:i4>1441854</vt:i4>
      </vt:variant>
      <vt:variant>
        <vt:i4>203</vt:i4>
      </vt:variant>
      <vt:variant>
        <vt:i4>0</vt:i4>
      </vt:variant>
      <vt:variant>
        <vt:i4>5</vt:i4>
      </vt:variant>
      <vt:variant>
        <vt:lpwstr/>
      </vt:variant>
      <vt:variant>
        <vt:lpwstr>_Toc175130971</vt:lpwstr>
      </vt:variant>
      <vt:variant>
        <vt:i4>1441854</vt:i4>
      </vt:variant>
      <vt:variant>
        <vt:i4>197</vt:i4>
      </vt:variant>
      <vt:variant>
        <vt:i4>0</vt:i4>
      </vt:variant>
      <vt:variant>
        <vt:i4>5</vt:i4>
      </vt:variant>
      <vt:variant>
        <vt:lpwstr/>
      </vt:variant>
      <vt:variant>
        <vt:lpwstr>_Toc175130970</vt:lpwstr>
      </vt:variant>
      <vt:variant>
        <vt:i4>1507390</vt:i4>
      </vt:variant>
      <vt:variant>
        <vt:i4>191</vt:i4>
      </vt:variant>
      <vt:variant>
        <vt:i4>0</vt:i4>
      </vt:variant>
      <vt:variant>
        <vt:i4>5</vt:i4>
      </vt:variant>
      <vt:variant>
        <vt:lpwstr/>
      </vt:variant>
      <vt:variant>
        <vt:lpwstr>_Toc175130969</vt:lpwstr>
      </vt:variant>
      <vt:variant>
        <vt:i4>1507390</vt:i4>
      </vt:variant>
      <vt:variant>
        <vt:i4>185</vt:i4>
      </vt:variant>
      <vt:variant>
        <vt:i4>0</vt:i4>
      </vt:variant>
      <vt:variant>
        <vt:i4>5</vt:i4>
      </vt:variant>
      <vt:variant>
        <vt:lpwstr/>
      </vt:variant>
      <vt:variant>
        <vt:lpwstr>_Toc175130968</vt:lpwstr>
      </vt:variant>
      <vt:variant>
        <vt:i4>1507390</vt:i4>
      </vt:variant>
      <vt:variant>
        <vt:i4>179</vt:i4>
      </vt:variant>
      <vt:variant>
        <vt:i4>0</vt:i4>
      </vt:variant>
      <vt:variant>
        <vt:i4>5</vt:i4>
      </vt:variant>
      <vt:variant>
        <vt:lpwstr/>
      </vt:variant>
      <vt:variant>
        <vt:lpwstr>_Toc175130967</vt:lpwstr>
      </vt:variant>
      <vt:variant>
        <vt:i4>1507390</vt:i4>
      </vt:variant>
      <vt:variant>
        <vt:i4>173</vt:i4>
      </vt:variant>
      <vt:variant>
        <vt:i4>0</vt:i4>
      </vt:variant>
      <vt:variant>
        <vt:i4>5</vt:i4>
      </vt:variant>
      <vt:variant>
        <vt:lpwstr/>
      </vt:variant>
      <vt:variant>
        <vt:lpwstr>_Toc175130966</vt:lpwstr>
      </vt:variant>
      <vt:variant>
        <vt:i4>1507390</vt:i4>
      </vt:variant>
      <vt:variant>
        <vt:i4>167</vt:i4>
      </vt:variant>
      <vt:variant>
        <vt:i4>0</vt:i4>
      </vt:variant>
      <vt:variant>
        <vt:i4>5</vt:i4>
      </vt:variant>
      <vt:variant>
        <vt:lpwstr/>
      </vt:variant>
      <vt:variant>
        <vt:lpwstr>_Toc175130965</vt:lpwstr>
      </vt:variant>
      <vt:variant>
        <vt:i4>1507390</vt:i4>
      </vt:variant>
      <vt:variant>
        <vt:i4>161</vt:i4>
      </vt:variant>
      <vt:variant>
        <vt:i4>0</vt:i4>
      </vt:variant>
      <vt:variant>
        <vt:i4>5</vt:i4>
      </vt:variant>
      <vt:variant>
        <vt:lpwstr/>
      </vt:variant>
      <vt:variant>
        <vt:lpwstr>_Toc175130964</vt:lpwstr>
      </vt:variant>
      <vt:variant>
        <vt:i4>1507390</vt:i4>
      </vt:variant>
      <vt:variant>
        <vt:i4>155</vt:i4>
      </vt:variant>
      <vt:variant>
        <vt:i4>0</vt:i4>
      </vt:variant>
      <vt:variant>
        <vt:i4>5</vt:i4>
      </vt:variant>
      <vt:variant>
        <vt:lpwstr/>
      </vt:variant>
      <vt:variant>
        <vt:lpwstr>_Toc175130963</vt:lpwstr>
      </vt:variant>
      <vt:variant>
        <vt:i4>1507390</vt:i4>
      </vt:variant>
      <vt:variant>
        <vt:i4>149</vt:i4>
      </vt:variant>
      <vt:variant>
        <vt:i4>0</vt:i4>
      </vt:variant>
      <vt:variant>
        <vt:i4>5</vt:i4>
      </vt:variant>
      <vt:variant>
        <vt:lpwstr/>
      </vt:variant>
      <vt:variant>
        <vt:lpwstr>_Toc175130962</vt:lpwstr>
      </vt:variant>
      <vt:variant>
        <vt:i4>1507390</vt:i4>
      </vt:variant>
      <vt:variant>
        <vt:i4>143</vt:i4>
      </vt:variant>
      <vt:variant>
        <vt:i4>0</vt:i4>
      </vt:variant>
      <vt:variant>
        <vt:i4>5</vt:i4>
      </vt:variant>
      <vt:variant>
        <vt:lpwstr/>
      </vt:variant>
      <vt:variant>
        <vt:lpwstr>_Toc175130961</vt:lpwstr>
      </vt:variant>
      <vt:variant>
        <vt:i4>1507390</vt:i4>
      </vt:variant>
      <vt:variant>
        <vt:i4>137</vt:i4>
      </vt:variant>
      <vt:variant>
        <vt:i4>0</vt:i4>
      </vt:variant>
      <vt:variant>
        <vt:i4>5</vt:i4>
      </vt:variant>
      <vt:variant>
        <vt:lpwstr/>
      </vt:variant>
      <vt:variant>
        <vt:lpwstr>_Toc175130960</vt:lpwstr>
      </vt:variant>
      <vt:variant>
        <vt:i4>1310782</vt:i4>
      </vt:variant>
      <vt:variant>
        <vt:i4>131</vt:i4>
      </vt:variant>
      <vt:variant>
        <vt:i4>0</vt:i4>
      </vt:variant>
      <vt:variant>
        <vt:i4>5</vt:i4>
      </vt:variant>
      <vt:variant>
        <vt:lpwstr/>
      </vt:variant>
      <vt:variant>
        <vt:lpwstr>_Toc175130959</vt:lpwstr>
      </vt:variant>
      <vt:variant>
        <vt:i4>1310782</vt:i4>
      </vt:variant>
      <vt:variant>
        <vt:i4>125</vt:i4>
      </vt:variant>
      <vt:variant>
        <vt:i4>0</vt:i4>
      </vt:variant>
      <vt:variant>
        <vt:i4>5</vt:i4>
      </vt:variant>
      <vt:variant>
        <vt:lpwstr/>
      </vt:variant>
      <vt:variant>
        <vt:lpwstr>_Toc175130958</vt:lpwstr>
      </vt:variant>
      <vt:variant>
        <vt:i4>1310782</vt:i4>
      </vt:variant>
      <vt:variant>
        <vt:i4>119</vt:i4>
      </vt:variant>
      <vt:variant>
        <vt:i4>0</vt:i4>
      </vt:variant>
      <vt:variant>
        <vt:i4>5</vt:i4>
      </vt:variant>
      <vt:variant>
        <vt:lpwstr/>
      </vt:variant>
      <vt:variant>
        <vt:lpwstr>_Toc175130957</vt:lpwstr>
      </vt:variant>
      <vt:variant>
        <vt:i4>1310782</vt:i4>
      </vt:variant>
      <vt:variant>
        <vt:i4>113</vt:i4>
      </vt:variant>
      <vt:variant>
        <vt:i4>0</vt:i4>
      </vt:variant>
      <vt:variant>
        <vt:i4>5</vt:i4>
      </vt:variant>
      <vt:variant>
        <vt:lpwstr/>
      </vt:variant>
      <vt:variant>
        <vt:lpwstr>_Toc175130956</vt:lpwstr>
      </vt:variant>
      <vt:variant>
        <vt:i4>1310782</vt:i4>
      </vt:variant>
      <vt:variant>
        <vt:i4>107</vt:i4>
      </vt:variant>
      <vt:variant>
        <vt:i4>0</vt:i4>
      </vt:variant>
      <vt:variant>
        <vt:i4>5</vt:i4>
      </vt:variant>
      <vt:variant>
        <vt:lpwstr/>
      </vt:variant>
      <vt:variant>
        <vt:lpwstr>_Toc175130955</vt:lpwstr>
      </vt:variant>
      <vt:variant>
        <vt:i4>1310782</vt:i4>
      </vt:variant>
      <vt:variant>
        <vt:i4>101</vt:i4>
      </vt:variant>
      <vt:variant>
        <vt:i4>0</vt:i4>
      </vt:variant>
      <vt:variant>
        <vt:i4>5</vt:i4>
      </vt:variant>
      <vt:variant>
        <vt:lpwstr/>
      </vt:variant>
      <vt:variant>
        <vt:lpwstr>_Toc175130954</vt:lpwstr>
      </vt:variant>
      <vt:variant>
        <vt:i4>1310782</vt:i4>
      </vt:variant>
      <vt:variant>
        <vt:i4>95</vt:i4>
      </vt:variant>
      <vt:variant>
        <vt:i4>0</vt:i4>
      </vt:variant>
      <vt:variant>
        <vt:i4>5</vt:i4>
      </vt:variant>
      <vt:variant>
        <vt:lpwstr/>
      </vt:variant>
      <vt:variant>
        <vt:lpwstr>_Toc175130953</vt:lpwstr>
      </vt:variant>
      <vt:variant>
        <vt:i4>1310782</vt:i4>
      </vt:variant>
      <vt:variant>
        <vt:i4>89</vt:i4>
      </vt:variant>
      <vt:variant>
        <vt:i4>0</vt:i4>
      </vt:variant>
      <vt:variant>
        <vt:i4>5</vt:i4>
      </vt:variant>
      <vt:variant>
        <vt:lpwstr/>
      </vt:variant>
      <vt:variant>
        <vt:lpwstr>_Toc175130952</vt:lpwstr>
      </vt:variant>
      <vt:variant>
        <vt:i4>1310782</vt:i4>
      </vt:variant>
      <vt:variant>
        <vt:i4>83</vt:i4>
      </vt:variant>
      <vt:variant>
        <vt:i4>0</vt:i4>
      </vt:variant>
      <vt:variant>
        <vt:i4>5</vt:i4>
      </vt:variant>
      <vt:variant>
        <vt:lpwstr/>
      </vt:variant>
      <vt:variant>
        <vt:lpwstr>_Toc175130951</vt:lpwstr>
      </vt:variant>
      <vt:variant>
        <vt:i4>1310782</vt:i4>
      </vt:variant>
      <vt:variant>
        <vt:i4>77</vt:i4>
      </vt:variant>
      <vt:variant>
        <vt:i4>0</vt:i4>
      </vt:variant>
      <vt:variant>
        <vt:i4>5</vt:i4>
      </vt:variant>
      <vt:variant>
        <vt:lpwstr/>
      </vt:variant>
      <vt:variant>
        <vt:lpwstr>_Toc175130950</vt:lpwstr>
      </vt:variant>
      <vt:variant>
        <vt:i4>1376318</vt:i4>
      </vt:variant>
      <vt:variant>
        <vt:i4>71</vt:i4>
      </vt:variant>
      <vt:variant>
        <vt:i4>0</vt:i4>
      </vt:variant>
      <vt:variant>
        <vt:i4>5</vt:i4>
      </vt:variant>
      <vt:variant>
        <vt:lpwstr/>
      </vt:variant>
      <vt:variant>
        <vt:lpwstr>_Toc175130949</vt:lpwstr>
      </vt:variant>
      <vt:variant>
        <vt:i4>1376318</vt:i4>
      </vt:variant>
      <vt:variant>
        <vt:i4>65</vt:i4>
      </vt:variant>
      <vt:variant>
        <vt:i4>0</vt:i4>
      </vt:variant>
      <vt:variant>
        <vt:i4>5</vt:i4>
      </vt:variant>
      <vt:variant>
        <vt:lpwstr/>
      </vt:variant>
      <vt:variant>
        <vt:lpwstr>_Toc175130948</vt:lpwstr>
      </vt:variant>
      <vt:variant>
        <vt:i4>1376318</vt:i4>
      </vt:variant>
      <vt:variant>
        <vt:i4>59</vt:i4>
      </vt:variant>
      <vt:variant>
        <vt:i4>0</vt:i4>
      </vt:variant>
      <vt:variant>
        <vt:i4>5</vt:i4>
      </vt:variant>
      <vt:variant>
        <vt:lpwstr/>
      </vt:variant>
      <vt:variant>
        <vt:lpwstr>_Toc175130947</vt:lpwstr>
      </vt:variant>
      <vt:variant>
        <vt:i4>1376318</vt:i4>
      </vt:variant>
      <vt:variant>
        <vt:i4>53</vt:i4>
      </vt:variant>
      <vt:variant>
        <vt:i4>0</vt:i4>
      </vt:variant>
      <vt:variant>
        <vt:i4>5</vt:i4>
      </vt:variant>
      <vt:variant>
        <vt:lpwstr/>
      </vt:variant>
      <vt:variant>
        <vt:lpwstr>_Toc175130946</vt:lpwstr>
      </vt:variant>
      <vt:variant>
        <vt:i4>1376318</vt:i4>
      </vt:variant>
      <vt:variant>
        <vt:i4>47</vt:i4>
      </vt:variant>
      <vt:variant>
        <vt:i4>0</vt:i4>
      </vt:variant>
      <vt:variant>
        <vt:i4>5</vt:i4>
      </vt:variant>
      <vt:variant>
        <vt:lpwstr/>
      </vt:variant>
      <vt:variant>
        <vt:lpwstr>_Toc175130945</vt:lpwstr>
      </vt:variant>
      <vt:variant>
        <vt:i4>1376318</vt:i4>
      </vt:variant>
      <vt:variant>
        <vt:i4>41</vt:i4>
      </vt:variant>
      <vt:variant>
        <vt:i4>0</vt:i4>
      </vt:variant>
      <vt:variant>
        <vt:i4>5</vt:i4>
      </vt:variant>
      <vt:variant>
        <vt:lpwstr/>
      </vt:variant>
      <vt:variant>
        <vt:lpwstr>_Toc175130944</vt:lpwstr>
      </vt:variant>
      <vt:variant>
        <vt:i4>1376318</vt:i4>
      </vt:variant>
      <vt:variant>
        <vt:i4>35</vt:i4>
      </vt:variant>
      <vt:variant>
        <vt:i4>0</vt:i4>
      </vt:variant>
      <vt:variant>
        <vt:i4>5</vt:i4>
      </vt:variant>
      <vt:variant>
        <vt:lpwstr/>
      </vt:variant>
      <vt:variant>
        <vt:lpwstr>_Toc175130943</vt:lpwstr>
      </vt:variant>
      <vt:variant>
        <vt:i4>1376318</vt:i4>
      </vt:variant>
      <vt:variant>
        <vt:i4>29</vt:i4>
      </vt:variant>
      <vt:variant>
        <vt:i4>0</vt:i4>
      </vt:variant>
      <vt:variant>
        <vt:i4>5</vt:i4>
      </vt:variant>
      <vt:variant>
        <vt:lpwstr/>
      </vt:variant>
      <vt:variant>
        <vt:lpwstr>_Toc175130942</vt:lpwstr>
      </vt:variant>
      <vt:variant>
        <vt:i4>1376318</vt:i4>
      </vt:variant>
      <vt:variant>
        <vt:i4>23</vt:i4>
      </vt:variant>
      <vt:variant>
        <vt:i4>0</vt:i4>
      </vt:variant>
      <vt:variant>
        <vt:i4>5</vt:i4>
      </vt:variant>
      <vt:variant>
        <vt:lpwstr/>
      </vt:variant>
      <vt:variant>
        <vt:lpwstr>_Toc175130941</vt:lpwstr>
      </vt:variant>
      <vt:variant>
        <vt:i4>1376318</vt:i4>
      </vt:variant>
      <vt:variant>
        <vt:i4>17</vt:i4>
      </vt:variant>
      <vt:variant>
        <vt:i4>0</vt:i4>
      </vt:variant>
      <vt:variant>
        <vt:i4>5</vt:i4>
      </vt:variant>
      <vt:variant>
        <vt:lpwstr/>
      </vt:variant>
      <vt:variant>
        <vt:lpwstr>_Toc175130940</vt:lpwstr>
      </vt:variant>
      <vt:variant>
        <vt:i4>5111827</vt:i4>
      </vt:variant>
      <vt:variant>
        <vt:i4>12</vt:i4>
      </vt:variant>
      <vt:variant>
        <vt:i4>0</vt:i4>
      </vt:variant>
      <vt:variant>
        <vt:i4>5</vt:i4>
      </vt:variant>
      <vt:variant>
        <vt:lpwstr>http://creativecommons.org/licenses/by/3.0/au/deed.en</vt:lpwstr>
      </vt:variant>
      <vt:variant>
        <vt:lpwstr/>
      </vt:variant>
      <vt:variant>
        <vt:i4>65560</vt:i4>
      </vt:variant>
      <vt:variant>
        <vt:i4>9</vt:i4>
      </vt:variant>
      <vt:variant>
        <vt:i4>0</vt:i4>
      </vt:variant>
      <vt:variant>
        <vt:i4>5</vt:i4>
      </vt:variant>
      <vt:variant>
        <vt:lpwstr>https://www.pmc.gov.au/honours-and-symbols/commonwealth-coat-arms</vt:lpwstr>
      </vt:variant>
      <vt:variant>
        <vt:lpwstr/>
      </vt:variant>
      <vt:variant>
        <vt:i4>4456489</vt:i4>
      </vt:variant>
      <vt:variant>
        <vt:i4>6</vt:i4>
      </vt:variant>
      <vt:variant>
        <vt:i4>0</vt:i4>
      </vt:variant>
      <vt:variant>
        <vt:i4>5</vt:i4>
      </vt:variant>
      <vt:variant>
        <vt:lpwstr>mailto:CreativeServices@treasury.gov.au</vt:lpwstr>
      </vt:variant>
      <vt:variant>
        <vt:lpwstr/>
      </vt:variant>
      <vt:variant>
        <vt:i4>1835026</vt:i4>
      </vt:variant>
      <vt:variant>
        <vt:i4>3</vt:i4>
      </vt:variant>
      <vt:variant>
        <vt:i4>0</vt:i4>
      </vt:variant>
      <vt:variant>
        <vt:i4>5</vt:i4>
      </vt:variant>
      <vt:variant>
        <vt:lpwstr>https://www.w3.org/TR/WCAG20/</vt:lpwstr>
      </vt:variant>
      <vt:variant>
        <vt:lpwstr/>
      </vt:variant>
      <vt:variant>
        <vt:i4>6488072</vt:i4>
      </vt:variant>
      <vt:variant>
        <vt:i4>0</vt:i4>
      </vt:variant>
      <vt:variant>
        <vt:i4>0</vt:i4>
      </vt:variant>
      <vt:variant>
        <vt:i4>5</vt:i4>
      </vt:variant>
      <vt:variant>
        <vt:lpwstr>mailto:DigitalDelivery@treasury.gov.au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Rapid evaluation of a COVID-era apprentice wage subsidy program</dc:title>
  <dc:subject/>
  <dc:creator/>
  <cp:keywords/>
  <cp:lastModifiedBy/>
  <cp:revision>1</cp:revision>
  <dcterms:created xsi:type="dcterms:W3CDTF">2025-10-16T03:28:00Z</dcterms:created>
  <dcterms:modified xsi:type="dcterms:W3CDTF">2025-10-16T03:37:00Z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2025-10-16T03:28:53Z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6b2284c1-6449-4fe9-acf1-48aa17a88724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