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E4BC7" w14:textId="77777777" w:rsidR="00E307C4" w:rsidRDefault="00E307C4" w:rsidP="009B031C">
      <w:pPr>
        <w:pStyle w:val="Title"/>
      </w:pPr>
    </w:p>
    <w:p w14:paraId="63B5E8C6" w14:textId="58532F66" w:rsidR="004D09D7" w:rsidRPr="009A0D3F" w:rsidRDefault="003F7272" w:rsidP="009B031C">
      <w:pPr>
        <w:pStyle w:val="Title"/>
        <w:sectPr w:rsidR="004D09D7" w:rsidRPr="009A0D3F" w:rsidSect="009A0D3F">
          <w:headerReference w:type="default" r:id="rId11"/>
          <w:type w:val="continuous"/>
          <w:pgSz w:w="11906" w:h="16838"/>
          <w:pgMar w:top="1985" w:right="1418" w:bottom="993" w:left="1440" w:header="709" w:footer="567" w:gutter="0"/>
          <w:cols w:space="708"/>
          <w:docGrid w:linePitch="360"/>
        </w:sectPr>
      </w:pPr>
      <w:r>
        <w:rPr>
          <w:noProof/>
          <w:lang w:eastAsia="en-AU"/>
        </w:rPr>
        <w:drawing>
          <wp:inline distT="0" distB="0" distL="0" distR="0" wp14:anchorId="7CC873B6" wp14:editId="47FB4FF4">
            <wp:extent cx="4144645" cy="960120"/>
            <wp:effectExtent l="0" t="0" r="8255" b="0"/>
            <wp:docPr id="5" name="Picture 5" descr="Local Job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cal Jobs Program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7744" cy="960710"/>
                    </a:xfrm>
                    <a:prstGeom prst="rect">
                      <a:avLst/>
                    </a:prstGeom>
                  </pic:spPr>
                </pic:pic>
              </a:graphicData>
            </a:graphic>
          </wp:inline>
        </w:drawing>
      </w:r>
      <w:bookmarkStart w:id="0" w:name="_Toc364946114"/>
    </w:p>
    <w:p w14:paraId="5C228F5A" w14:textId="77777777" w:rsidR="00BD12D8" w:rsidRDefault="00BD12D8" w:rsidP="005E790E">
      <w:pPr>
        <w:spacing w:after="0" w:line="240" w:lineRule="auto"/>
        <w:jc w:val="center"/>
        <w:rPr>
          <w:rFonts w:ascii="Calibri" w:hAnsi="Calibri" w:cs="Calibri"/>
          <w:b/>
          <w:bCs/>
          <w:color w:val="1D4289"/>
          <w:sz w:val="72"/>
          <w:szCs w:val="72"/>
        </w:rPr>
      </w:pPr>
      <w:bookmarkStart w:id="1" w:name="_Toc54878833"/>
      <w:bookmarkStart w:id="2" w:name="_Toc54944344"/>
      <w:bookmarkStart w:id="3" w:name="_Toc54950129"/>
      <w:bookmarkStart w:id="4" w:name="_Toc54950592"/>
      <w:bookmarkStart w:id="5" w:name="_Toc37078198"/>
      <w:bookmarkStart w:id="6" w:name="_Toc24447234"/>
      <w:bookmarkStart w:id="7" w:name="_Toc24447248"/>
      <w:bookmarkEnd w:id="0"/>
    </w:p>
    <w:p w14:paraId="61DADF13" w14:textId="10A66FFA" w:rsidR="00E307C4" w:rsidRDefault="00BC0A63" w:rsidP="005E790E">
      <w:pPr>
        <w:spacing w:after="0" w:line="240" w:lineRule="auto"/>
        <w:jc w:val="center"/>
        <w:rPr>
          <w:rFonts w:ascii="Calibri" w:hAnsi="Calibri" w:cs="Calibri"/>
          <w:b/>
          <w:bCs/>
          <w:color w:val="1D4289"/>
          <w:sz w:val="72"/>
          <w:szCs w:val="72"/>
        </w:rPr>
      </w:pPr>
      <w:r>
        <w:rPr>
          <w:rFonts w:ascii="Calibri" w:hAnsi="Calibri" w:cs="Calibri"/>
          <w:b/>
          <w:bCs/>
          <w:color w:val="1D4289"/>
          <w:sz w:val="72"/>
          <w:szCs w:val="72"/>
        </w:rPr>
        <w:t xml:space="preserve">Interim </w:t>
      </w:r>
      <w:r w:rsidR="00EF214C" w:rsidRPr="00EB2D49">
        <w:rPr>
          <w:rFonts w:ascii="Calibri" w:hAnsi="Calibri" w:cs="Calibri"/>
          <w:b/>
          <w:bCs/>
          <w:color w:val="1D4289"/>
          <w:sz w:val="72"/>
          <w:szCs w:val="72"/>
        </w:rPr>
        <w:t>L</w:t>
      </w:r>
      <w:r w:rsidR="00E307C4" w:rsidRPr="00EB2D49">
        <w:rPr>
          <w:rFonts w:ascii="Calibri" w:hAnsi="Calibri" w:cs="Calibri"/>
          <w:b/>
          <w:bCs/>
          <w:color w:val="1D4289"/>
          <w:sz w:val="72"/>
          <w:szCs w:val="72"/>
        </w:rPr>
        <w:t>ocal Jobs Plan</w:t>
      </w:r>
      <w:bookmarkEnd w:id="1"/>
      <w:bookmarkEnd w:id="2"/>
      <w:bookmarkEnd w:id="3"/>
      <w:bookmarkEnd w:id="4"/>
    </w:p>
    <w:p w14:paraId="488D58A4" w14:textId="77777777" w:rsidR="00507C99" w:rsidRPr="00EB2D49" w:rsidRDefault="00507C99" w:rsidP="005E790E">
      <w:pPr>
        <w:spacing w:after="0" w:line="240" w:lineRule="auto"/>
        <w:jc w:val="center"/>
        <w:rPr>
          <w:rFonts w:ascii="Calibri" w:hAnsi="Calibri" w:cs="Calibri"/>
          <w:b/>
          <w:bCs/>
          <w:color w:val="1D4289"/>
          <w:sz w:val="72"/>
          <w:szCs w:val="72"/>
        </w:rPr>
      </w:pPr>
    </w:p>
    <w:p w14:paraId="17A6CAEA" w14:textId="08B7A4A1" w:rsidR="009D3023" w:rsidRPr="00EB2D49" w:rsidRDefault="00552589" w:rsidP="005E790E">
      <w:pPr>
        <w:spacing w:after="0" w:line="240" w:lineRule="auto"/>
        <w:jc w:val="center"/>
        <w:rPr>
          <w:rFonts w:ascii="Calibri" w:hAnsi="Calibri" w:cs="Calibri"/>
          <w:b/>
          <w:bCs/>
          <w:color w:val="1D4289"/>
          <w:sz w:val="72"/>
          <w:szCs w:val="72"/>
        </w:rPr>
      </w:pPr>
      <w:r w:rsidRPr="00EB2D49">
        <w:rPr>
          <w:rFonts w:ascii="Calibri" w:hAnsi="Calibri" w:cs="Calibri"/>
          <w:b/>
          <w:bCs/>
          <w:color w:val="1D4289"/>
          <w:sz w:val="72"/>
          <w:szCs w:val="72"/>
        </w:rPr>
        <w:t>Mackay</w:t>
      </w:r>
      <w:r w:rsidR="00BC0A63">
        <w:rPr>
          <w:rFonts w:ascii="Calibri" w:hAnsi="Calibri" w:cs="Calibri"/>
          <w:b/>
          <w:bCs/>
          <w:color w:val="1D4289"/>
          <w:sz w:val="72"/>
          <w:szCs w:val="72"/>
        </w:rPr>
        <w:t xml:space="preserve"> Employment Region</w:t>
      </w:r>
    </w:p>
    <w:p w14:paraId="226BA77C" w14:textId="77777777" w:rsidR="00BC762D" w:rsidRDefault="00BC762D" w:rsidP="00BC762D">
      <w:pPr>
        <w:spacing w:after="0" w:line="240" w:lineRule="auto"/>
        <w:jc w:val="center"/>
        <w:rPr>
          <w:rFonts w:ascii="Calibri" w:hAnsi="Calibri" w:cs="Calibri"/>
          <w:b/>
          <w:bCs/>
          <w:color w:val="1D4289"/>
          <w:sz w:val="72"/>
          <w:szCs w:val="72"/>
        </w:rPr>
      </w:pPr>
      <w:bookmarkStart w:id="8" w:name="_Toc54944346"/>
      <w:bookmarkStart w:id="9" w:name="_Toc54950131"/>
      <w:bookmarkStart w:id="10" w:name="_Toc54950594"/>
    </w:p>
    <w:p w14:paraId="24ACD5E3" w14:textId="7C4FF4B4" w:rsidR="00E307C4" w:rsidRPr="00EB2D49" w:rsidRDefault="00EF214C" w:rsidP="005E790E">
      <w:pPr>
        <w:spacing w:after="0" w:line="240" w:lineRule="auto"/>
        <w:jc w:val="center"/>
        <w:rPr>
          <w:rFonts w:ascii="Calibri" w:hAnsi="Calibri" w:cs="Calibri"/>
          <w:b/>
          <w:bCs/>
          <w:color w:val="1D4289"/>
          <w:sz w:val="72"/>
          <w:szCs w:val="72"/>
        </w:rPr>
      </w:pPr>
      <w:r w:rsidRPr="00EB2D49">
        <w:rPr>
          <w:rFonts w:ascii="Calibri" w:hAnsi="Calibri" w:cs="Calibri"/>
          <w:b/>
          <w:bCs/>
          <w:color w:val="1D4289"/>
          <w:sz w:val="72"/>
          <w:szCs w:val="72"/>
        </w:rPr>
        <w:t>Queensland</w:t>
      </w:r>
      <w:bookmarkEnd w:id="8"/>
      <w:bookmarkEnd w:id="9"/>
      <w:bookmarkEnd w:id="10"/>
    </w:p>
    <w:p w14:paraId="17958018" w14:textId="77777777" w:rsidR="009D3023" w:rsidRPr="00EB2D49" w:rsidRDefault="009D3023" w:rsidP="005E790E">
      <w:pPr>
        <w:spacing w:after="0" w:line="240" w:lineRule="auto"/>
        <w:jc w:val="center"/>
        <w:rPr>
          <w:rFonts w:ascii="Calibri" w:hAnsi="Calibri" w:cs="Calibri"/>
          <w:b/>
          <w:bCs/>
          <w:color w:val="1D4289"/>
          <w:sz w:val="72"/>
          <w:szCs w:val="72"/>
          <w:lang w:val="en-AU"/>
        </w:rPr>
      </w:pPr>
    </w:p>
    <w:p w14:paraId="15963438" w14:textId="7A115DCA" w:rsidR="00E307C4" w:rsidRPr="005E790E" w:rsidRDefault="00BC0A63" w:rsidP="005E790E">
      <w:pPr>
        <w:spacing w:after="0" w:line="240" w:lineRule="auto"/>
        <w:jc w:val="center"/>
        <w:rPr>
          <w:rFonts w:ascii="Calibri" w:hAnsi="Calibri" w:cs="Calibri"/>
          <w:color w:val="1D4289"/>
          <w:sz w:val="56"/>
          <w:szCs w:val="56"/>
        </w:rPr>
      </w:pPr>
      <w:bookmarkStart w:id="11" w:name="_Toc54878836"/>
      <w:bookmarkStart w:id="12" w:name="_Toc54944347"/>
      <w:bookmarkStart w:id="13" w:name="_Toc54950132"/>
      <w:bookmarkStart w:id="14" w:name="_Toc54950595"/>
      <w:r w:rsidRPr="005E790E">
        <w:rPr>
          <w:rFonts w:ascii="Calibri" w:hAnsi="Calibri" w:cs="Calibri"/>
          <w:color w:val="1D4289"/>
          <w:sz w:val="56"/>
          <w:szCs w:val="56"/>
        </w:rPr>
        <w:t xml:space="preserve">August </w:t>
      </w:r>
      <w:r w:rsidR="00E307C4" w:rsidRPr="005E790E">
        <w:rPr>
          <w:rFonts w:ascii="Calibri" w:hAnsi="Calibri" w:cs="Calibri"/>
          <w:color w:val="1D4289"/>
          <w:sz w:val="56"/>
          <w:szCs w:val="56"/>
        </w:rPr>
        <w:t>202</w:t>
      </w:r>
      <w:bookmarkEnd w:id="11"/>
      <w:bookmarkEnd w:id="12"/>
      <w:bookmarkEnd w:id="13"/>
      <w:bookmarkEnd w:id="14"/>
      <w:r w:rsidR="00824A42" w:rsidRPr="005E790E">
        <w:rPr>
          <w:rFonts w:ascii="Calibri" w:hAnsi="Calibri" w:cs="Calibri"/>
          <w:color w:val="1D4289"/>
          <w:sz w:val="56"/>
          <w:szCs w:val="56"/>
        </w:rPr>
        <w:t>1</w:t>
      </w:r>
    </w:p>
    <w:p w14:paraId="119024A7" w14:textId="77777777" w:rsidR="00E307C4" w:rsidRDefault="00E307C4" w:rsidP="00597283">
      <w:pPr>
        <w:pStyle w:val="Heading1"/>
      </w:pPr>
    </w:p>
    <w:p w14:paraId="3F39DCC4" w14:textId="77777777" w:rsidR="00E307C4" w:rsidRDefault="00E307C4" w:rsidP="00597283">
      <w:pPr>
        <w:pStyle w:val="Heading1"/>
        <w:sectPr w:rsidR="00E307C4" w:rsidSect="009A0D3F">
          <w:headerReference w:type="default" r:id="rId13"/>
          <w:footerReference w:type="default" r:id="rId14"/>
          <w:type w:val="continuous"/>
          <w:pgSz w:w="11906" w:h="16838"/>
          <w:pgMar w:top="1276" w:right="1418" w:bottom="1135" w:left="1440" w:header="709" w:footer="567" w:gutter="0"/>
          <w:cols w:space="708"/>
          <w:docGrid w:linePitch="360"/>
        </w:sectPr>
      </w:pPr>
    </w:p>
    <w:sdt>
      <w:sdtPr>
        <w:rPr>
          <w:rFonts w:asciiTheme="minorHAnsi" w:eastAsiaTheme="minorHAnsi" w:hAnsiTheme="minorHAnsi" w:cstheme="minorBidi"/>
          <w:noProof w:val="0"/>
          <w:color w:val="auto"/>
          <w:sz w:val="22"/>
          <w:szCs w:val="22"/>
          <w:lang w:val="en" w:bidi="ar-SA"/>
        </w:rPr>
        <w:id w:val="-507822736"/>
        <w:docPartObj>
          <w:docPartGallery w:val="Table of Contents"/>
          <w:docPartUnique/>
        </w:docPartObj>
      </w:sdtPr>
      <w:sdtEndPr>
        <w:rPr>
          <w:rFonts w:eastAsiaTheme="minorEastAsia" w:cstheme="minorHAnsi"/>
          <w:b/>
          <w:bCs/>
        </w:rPr>
      </w:sdtEndPr>
      <w:sdtContent>
        <w:p w14:paraId="63B52FFF" w14:textId="77777777" w:rsidR="00E307C4" w:rsidRDefault="00E307C4" w:rsidP="00E307C4">
          <w:pPr>
            <w:pStyle w:val="TOCHeading"/>
            <w:rPr>
              <w:lang w:bidi="ar-SA"/>
            </w:rPr>
          </w:pPr>
          <w:r>
            <w:rPr>
              <w:lang w:bidi="ar-SA"/>
            </w:rPr>
            <w:t>Contents</w:t>
          </w:r>
        </w:p>
        <w:p w14:paraId="5C67E100" w14:textId="2EFA02FC" w:rsidR="00817C42" w:rsidRDefault="00E307C4">
          <w:pPr>
            <w:pStyle w:val="TOC1"/>
            <w:tabs>
              <w:tab w:val="right" w:leader="dot" w:pos="9038"/>
            </w:tabs>
            <w:rPr>
              <w:noProof/>
              <w:lang w:val="en-AU" w:eastAsia="en-AU"/>
            </w:rPr>
          </w:pPr>
          <w:r w:rsidRPr="008A1F43">
            <w:rPr>
              <w:rFonts w:cstheme="minorHAnsi"/>
            </w:rPr>
            <w:fldChar w:fldCharType="begin"/>
          </w:r>
          <w:r w:rsidRPr="008A1F43">
            <w:rPr>
              <w:rFonts w:cstheme="minorHAnsi"/>
            </w:rPr>
            <w:instrText xml:space="preserve"> TOC \o "1-3" \h \z \u </w:instrText>
          </w:r>
          <w:r w:rsidRPr="008A1F43">
            <w:rPr>
              <w:rFonts w:cstheme="minorHAnsi"/>
            </w:rPr>
            <w:fldChar w:fldCharType="separate"/>
          </w:r>
          <w:hyperlink w:anchor="_Toc79134280" w:history="1">
            <w:r w:rsidR="00817C42" w:rsidRPr="0060040B">
              <w:rPr>
                <w:rStyle w:val="Hyperlink"/>
                <w:noProof/>
              </w:rPr>
              <w:t>Preface</w:t>
            </w:r>
            <w:r w:rsidR="00817C42">
              <w:rPr>
                <w:noProof/>
                <w:webHidden/>
              </w:rPr>
              <w:tab/>
            </w:r>
            <w:r w:rsidR="00817C42">
              <w:rPr>
                <w:noProof/>
                <w:webHidden/>
              </w:rPr>
              <w:fldChar w:fldCharType="begin"/>
            </w:r>
            <w:r w:rsidR="00817C42">
              <w:rPr>
                <w:noProof/>
                <w:webHidden/>
              </w:rPr>
              <w:instrText xml:space="preserve"> PAGEREF _Toc79134280 \h </w:instrText>
            </w:r>
            <w:r w:rsidR="00817C42">
              <w:rPr>
                <w:noProof/>
                <w:webHidden/>
              </w:rPr>
            </w:r>
            <w:r w:rsidR="00817C42">
              <w:rPr>
                <w:noProof/>
                <w:webHidden/>
              </w:rPr>
              <w:fldChar w:fldCharType="separate"/>
            </w:r>
            <w:r w:rsidR="00817C42">
              <w:rPr>
                <w:noProof/>
                <w:webHidden/>
              </w:rPr>
              <w:t>3</w:t>
            </w:r>
            <w:r w:rsidR="00817C42">
              <w:rPr>
                <w:noProof/>
                <w:webHidden/>
              </w:rPr>
              <w:fldChar w:fldCharType="end"/>
            </w:r>
          </w:hyperlink>
        </w:p>
        <w:p w14:paraId="182F962B" w14:textId="4392C39A" w:rsidR="00817C42" w:rsidRDefault="00FD09E7">
          <w:pPr>
            <w:pStyle w:val="TOC1"/>
            <w:tabs>
              <w:tab w:val="right" w:leader="dot" w:pos="9038"/>
            </w:tabs>
            <w:rPr>
              <w:noProof/>
              <w:lang w:val="en-AU" w:eastAsia="en-AU"/>
            </w:rPr>
          </w:pPr>
          <w:hyperlink w:anchor="_Toc79134281" w:history="1">
            <w:r w:rsidR="00817C42" w:rsidRPr="0060040B">
              <w:rPr>
                <w:rStyle w:val="Hyperlink"/>
                <w:noProof/>
              </w:rPr>
              <w:t>Key Priorities</w:t>
            </w:r>
            <w:r w:rsidR="00817C42">
              <w:rPr>
                <w:noProof/>
                <w:webHidden/>
              </w:rPr>
              <w:tab/>
            </w:r>
            <w:r w:rsidR="00817C42">
              <w:rPr>
                <w:noProof/>
                <w:webHidden/>
              </w:rPr>
              <w:fldChar w:fldCharType="begin"/>
            </w:r>
            <w:r w:rsidR="00817C42">
              <w:rPr>
                <w:noProof/>
                <w:webHidden/>
              </w:rPr>
              <w:instrText xml:space="preserve"> PAGEREF _Toc79134281 \h </w:instrText>
            </w:r>
            <w:r w:rsidR="00817C42">
              <w:rPr>
                <w:noProof/>
                <w:webHidden/>
              </w:rPr>
            </w:r>
            <w:r w:rsidR="00817C42">
              <w:rPr>
                <w:noProof/>
                <w:webHidden/>
              </w:rPr>
              <w:fldChar w:fldCharType="separate"/>
            </w:r>
            <w:r w:rsidR="00817C42">
              <w:rPr>
                <w:noProof/>
                <w:webHidden/>
              </w:rPr>
              <w:t>3</w:t>
            </w:r>
            <w:r w:rsidR="00817C42">
              <w:rPr>
                <w:noProof/>
                <w:webHidden/>
              </w:rPr>
              <w:fldChar w:fldCharType="end"/>
            </w:r>
          </w:hyperlink>
        </w:p>
        <w:p w14:paraId="74A0A8F0" w14:textId="6BE56CFF" w:rsidR="00817C42" w:rsidRDefault="00FD09E7">
          <w:pPr>
            <w:pStyle w:val="TOC1"/>
            <w:tabs>
              <w:tab w:val="right" w:leader="dot" w:pos="9038"/>
            </w:tabs>
            <w:rPr>
              <w:noProof/>
              <w:lang w:val="en-AU" w:eastAsia="en-AU"/>
            </w:rPr>
          </w:pPr>
          <w:hyperlink w:anchor="_Toc79134282" w:history="1">
            <w:r w:rsidR="00817C42" w:rsidRPr="0060040B">
              <w:rPr>
                <w:rStyle w:val="Hyperlink"/>
                <w:noProof/>
              </w:rPr>
              <w:t>Regional snapshot</w:t>
            </w:r>
            <w:r w:rsidR="00817C42">
              <w:rPr>
                <w:noProof/>
                <w:webHidden/>
              </w:rPr>
              <w:tab/>
            </w:r>
            <w:r w:rsidR="00817C42">
              <w:rPr>
                <w:noProof/>
                <w:webHidden/>
              </w:rPr>
              <w:fldChar w:fldCharType="begin"/>
            </w:r>
            <w:r w:rsidR="00817C42">
              <w:rPr>
                <w:noProof/>
                <w:webHidden/>
              </w:rPr>
              <w:instrText xml:space="preserve"> PAGEREF _Toc79134282 \h </w:instrText>
            </w:r>
            <w:r w:rsidR="00817C42">
              <w:rPr>
                <w:noProof/>
                <w:webHidden/>
              </w:rPr>
            </w:r>
            <w:r w:rsidR="00817C42">
              <w:rPr>
                <w:noProof/>
                <w:webHidden/>
              </w:rPr>
              <w:fldChar w:fldCharType="separate"/>
            </w:r>
            <w:r w:rsidR="00817C42">
              <w:rPr>
                <w:noProof/>
                <w:webHidden/>
              </w:rPr>
              <w:t>4</w:t>
            </w:r>
            <w:r w:rsidR="00817C42">
              <w:rPr>
                <w:noProof/>
                <w:webHidden/>
              </w:rPr>
              <w:fldChar w:fldCharType="end"/>
            </w:r>
          </w:hyperlink>
        </w:p>
        <w:p w14:paraId="527DFDAA" w14:textId="6A12CA4E" w:rsidR="00817C42" w:rsidRDefault="00FD09E7">
          <w:pPr>
            <w:pStyle w:val="TOC1"/>
            <w:tabs>
              <w:tab w:val="right" w:leader="dot" w:pos="9038"/>
            </w:tabs>
            <w:rPr>
              <w:noProof/>
              <w:lang w:val="en-AU" w:eastAsia="en-AU"/>
            </w:rPr>
          </w:pPr>
          <w:hyperlink w:anchor="_Toc79134283" w:history="1">
            <w:r w:rsidR="00817C42" w:rsidRPr="0060040B">
              <w:rPr>
                <w:rStyle w:val="Hyperlink"/>
                <w:noProof/>
              </w:rPr>
              <w:t>Industry Profile</w:t>
            </w:r>
            <w:r w:rsidR="00817C42">
              <w:rPr>
                <w:noProof/>
                <w:webHidden/>
              </w:rPr>
              <w:tab/>
            </w:r>
            <w:r w:rsidR="00817C42">
              <w:rPr>
                <w:noProof/>
                <w:webHidden/>
              </w:rPr>
              <w:fldChar w:fldCharType="begin"/>
            </w:r>
            <w:r w:rsidR="00817C42">
              <w:rPr>
                <w:noProof/>
                <w:webHidden/>
              </w:rPr>
              <w:instrText xml:space="preserve"> PAGEREF _Toc79134283 \h </w:instrText>
            </w:r>
            <w:r w:rsidR="00817C42">
              <w:rPr>
                <w:noProof/>
                <w:webHidden/>
              </w:rPr>
            </w:r>
            <w:r w:rsidR="00817C42">
              <w:rPr>
                <w:noProof/>
                <w:webHidden/>
              </w:rPr>
              <w:fldChar w:fldCharType="separate"/>
            </w:r>
            <w:r w:rsidR="00817C42">
              <w:rPr>
                <w:noProof/>
                <w:webHidden/>
              </w:rPr>
              <w:t>6</w:t>
            </w:r>
            <w:r w:rsidR="00817C42">
              <w:rPr>
                <w:noProof/>
                <w:webHidden/>
              </w:rPr>
              <w:fldChar w:fldCharType="end"/>
            </w:r>
          </w:hyperlink>
        </w:p>
        <w:p w14:paraId="467953F9" w14:textId="1A6BE69B" w:rsidR="00817C42" w:rsidRDefault="00FD09E7">
          <w:pPr>
            <w:pStyle w:val="TOC2"/>
            <w:tabs>
              <w:tab w:val="right" w:leader="dot" w:pos="9038"/>
            </w:tabs>
            <w:rPr>
              <w:noProof/>
              <w:lang w:val="en-AU" w:eastAsia="en-AU"/>
            </w:rPr>
          </w:pPr>
          <w:hyperlink w:anchor="_Toc79134284" w:history="1">
            <w:r w:rsidR="00817C42" w:rsidRPr="0060040B">
              <w:rPr>
                <w:rStyle w:val="Hyperlink"/>
                <w:noProof/>
              </w:rPr>
              <w:t>General Overview</w:t>
            </w:r>
            <w:r w:rsidR="00817C42">
              <w:rPr>
                <w:noProof/>
                <w:webHidden/>
              </w:rPr>
              <w:tab/>
            </w:r>
            <w:r w:rsidR="00817C42">
              <w:rPr>
                <w:noProof/>
                <w:webHidden/>
              </w:rPr>
              <w:fldChar w:fldCharType="begin"/>
            </w:r>
            <w:r w:rsidR="00817C42">
              <w:rPr>
                <w:noProof/>
                <w:webHidden/>
              </w:rPr>
              <w:instrText xml:space="preserve"> PAGEREF _Toc79134284 \h </w:instrText>
            </w:r>
            <w:r w:rsidR="00817C42">
              <w:rPr>
                <w:noProof/>
                <w:webHidden/>
              </w:rPr>
            </w:r>
            <w:r w:rsidR="00817C42">
              <w:rPr>
                <w:noProof/>
                <w:webHidden/>
              </w:rPr>
              <w:fldChar w:fldCharType="separate"/>
            </w:r>
            <w:r w:rsidR="00817C42">
              <w:rPr>
                <w:noProof/>
                <w:webHidden/>
              </w:rPr>
              <w:t>6</w:t>
            </w:r>
            <w:r w:rsidR="00817C42">
              <w:rPr>
                <w:noProof/>
                <w:webHidden/>
              </w:rPr>
              <w:fldChar w:fldCharType="end"/>
            </w:r>
          </w:hyperlink>
        </w:p>
        <w:p w14:paraId="379762E8" w14:textId="6349769D" w:rsidR="00817C42" w:rsidRDefault="00FD09E7">
          <w:pPr>
            <w:pStyle w:val="TOC2"/>
            <w:tabs>
              <w:tab w:val="right" w:leader="dot" w:pos="9038"/>
            </w:tabs>
            <w:rPr>
              <w:noProof/>
              <w:lang w:val="en-AU" w:eastAsia="en-AU"/>
            </w:rPr>
          </w:pPr>
          <w:hyperlink w:anchor="_Toc79134285" w:history="1">
            <w:r w:rsidR="00817C42" w:rsidRPr="0060040B">
              <w:rPr>
                <w:rStyle w:val="Hyperlink"/>
                <w:noProof/>
              </w:rPr>
              <w:t>Employing industries</w:t>
            </w:r>
            <w:r w:rsidR="00817C42">
              <w:rPr>
                <w:noProof/>
                <w:webHidden/>
              </w:rPr>
              <w:tab/>
            </w:r>
            <w:r w:rsidR="00817C42">
              <w:rPr>
                <w:noProof/>
                <w:webHidden/>
              </w:rPr>
              <w:fldChar w:fldCharType="begin"/>
            </w:r>
            <w:r w:rsidR="00817C42">
              <w:rPr>
                <w:noProof/>
                <w:webHidden/>
              </w:rPr>
              <w:instrText xml:space="preserve"> PAGEREF _Toc79134285 \h </w:instrText>
            </w:r>
            <w:r w:rsidR="00817C42">
              <w:rPr>
                <w:noProof/>
                <w:webHidden/>
              </w:rPr>
            </w:r>
            <w:r w:rsidR="00817C42">
              <w:rPr>
                <w:noProof/>
                <w:webHidden/>
              </w:rPr>
              <w:fldChar w:fldCharType="separate"/>
            </w:r>
            <w:r w:rsidR="00817C42">
              <w:rPr>
                <w:noProof/>
                <w:webHidden/>
              </w:rPr>
              <w:t>7</w:t>
            </w:r>
            <w:r w:rsidR="00817C42">
              <w:rPr>
                <w:noProof/>
                <w:webHidden/>
              </w:rPr>
              <w:fldChar w:fldCharType="end"/>
            </w:r>
          </w:hyperlink>
        </w:p>
        <w:p w14:paraId="45BA23E4" w14:textId="3B2736F8" w:rsidR="00817C42" w:rsidRDefault="00FD09E7">
          <w:pPr>
            <w:pStyle w:val="TOC2"/>
            <w:tabs>
              <w:tab w:val="right" w:leader="dot" w:pos="9038"/>
            </w:tabs>
            <w:rPr>
              <w:noProof/>
              <w:lang w:val="en-AU" w:eastAsia="en-AU"/>
            </w:rPr>
          </w:pPr>
          <w:hyperlink w:anchor="_Toc79134286" w:history="1">
            <w:r w:rsidR="00817C42" w:rsidRPr="0060040B">
              <w:rPr>
                <w:rStyle w:val="Hyperlink"/>
                <w:noProof/>
              </w:rPr>
              <w:t>Top four employing industries highlights, plus Agriculture and Tourism</w:t>
            </w:r>
            <w:r w:rsidR="00817C42">
              <w:rPr>
                <w:noProof/>
                <w:webHidden/>
              </w:rPr>
              <w:tab/>
            </w:r>
            <w:r w:rsidR="00817C42">
              <w:rPr>
                <w:noProof/>
                <w:webHidden/>
              </w:rPr>
              <w:fldChar w:fldCharType="begin"/>
            </w:r>
            <w:r w:rsidR="00817C42">
              <w:rPr>
                <w:noProof/>
                <w:webHidden/>
              </w:rPr>
              <w:instrText xml:space="preserve"> PAGEREF _Toc79134286 \h </w:instrText>
            </w:r>
            <w:r w:rsidR="00817C42">
              <w:rPr>
                <w:noProof/>
                <w:webHidden/>
              </w:rPr>
            </w:r>
            <w:r w:rsidR="00817C42">
              <w:rPr>
                <w:noProof/>
                <w:webHidden/>
              </w:rPr>
              <w:fldChar w:fldCharType="separate"/>
            </w:r>
            <w:r w:rsidR="00817C42">
              <w:rPr>
                <w:noProof/>
                <w:webHidden/>
              </w:rPr>
              <w:t>7</w:t>
            </w:r>
            <w:r w:rsidR="00817C42">
              <w:rPr>
                <w:noProof/>
                <w:webHidden/>
              </w:rPr>
              <w:fldChar w:fldCharType="end"/>
            </w:r>
          </w:hyperlink>
        </w:p>
        <w:p w14:paraId="10FFB1DB" w14:textId="17C2E866" w:rsidR="00817C42" w:rsidRDefault="00FD09E7">
          <w:pPr>
            <w:pStyle w:val="TOC3"/>
            <w:tabs>
              <w:tab w:val="right" w:leader="dot" w:pos="9038"/>
            </w:tabs>
            <w:rPr>
              <w:noProof/>
              <w:lang w:val="en-AU" w:eastAsia="en-AU"/>
            </w:rPr>
          </w:pPr>
          <w:hyperlink w:anchor="_Toc79134287" w:history="1">
            <w:r w:rsidR="00817C42" w:rsidRPr="0060040B">
              <w:rPr>
                <w:rStyle w:val="Hyperlink"/>
                <w:noProof/>
              </w:rPr>
              <w:t>Mining in the Bowen Basin</w:t>
            </w:r>
            <w:r w:rsidR="00817C42">
              <w:rPr>
                <w:noProof/>
                <w:webHidden/>
              </w:rPr>
              <w:tab/>
            </w:r>
            <w:r w:rsidR="00817C42">
              <w:rPr>
                <w:noProof/>
                <w:webHidden/>
              </w:rPr>
              <w:fldChar w:fldCharType="begin"/>
            </w:r>
            <w:r w:rsidR="00817C42">
              <w:rPr>
                <w:noProof/>
                <w:webHidden/>
              </w:rPr>
              <w:instrText xml:space="preserve"> PAGEREF _Toc79134287 \h </w:instrText>
            </w:r>
            <w:r w:rsidR="00817C42">
              <w:rPr>
                <w:noProof/>
                <w:webHidden/>
              </w:rPr>
            </w:r>
            <w:r w:rsidR="00817C42">
              <w:rPr>
                <w:noProof/>
                <w:webHidden/>
              </w:rPr>
              <w:fldChar w:fldCharType="separate"/>
            </w:r>
            <w:r w:rsidR="00817C42">
              <w:rPr>
                <w:noProof/>
                <w:webHidden/>
              </w:rPr>
              <w:t>7</w:t>
            </w:r>
            <w:r w:rsidR="00817C42">
              <w:rPr>
                <w:noProof/>
                <w:webHidden/>
              </w:rPr>
              <w:fldChar w:fldCharType="end"/>
            </w:r>
          </w:hyperlink>
        </w:p>
        <w:p w14:paraId="3C56D1BC" w14:textId="1CF0781B" w:rsidR="00817C42" w:rsidRDefault="00FD09E7">
          <w:pPr>
            <w:pStyle w:val="TOC3"/>
            <w:tabs>
              <w:tab w:val="right" w:leader="dot" w:pos="9038"/>
            </w:tabs>
            <w:rPr>
              <w:noProof/>
              <w:lang w:val="en-AU" w:eastAsia="en-AU"/>
            </w:rPr>
          </w:pPr>
          <w:hyperlink w:anchor="_Toc79134288" w:history="1">
            <w:r w:rsidR="00817C42" w:rsidRPr="0060040B">
              <w:rPr>
                <w:rStyle w:val="Hyperlink"/>
                <w:noProof/>
              </w:rPr>
              <w:t>Coal Mining Support Industries</w:t>
            </w:r>
            <w:r w:rsidR="00817C42">
              <w:rPr>
                <w:noProof/>
                <w:webHidden/>
              </w:rPr>
              <w:tab/>
            </w:r>
            <w:r w:rsidR="00817C42">
              <w:rPr>
                <w:noProof/>
                <w:webHidden/>
              </w:rPr>
              <w:fldChar w:fldCharType="begin"/>
            </w:r>
            <w:r w:rsidR="00817C42">
              <w:rPr>
                <w:noProof/>
                <w:webHidden/>
              </w:rPr>
              <w:instrText xml:space="preserve"> PAGEREF _Toc79134288 \h </w:instrText>
            </w:r>
            <w:r w:rsidR="00817C42">
              <w:rPr>
                <w:noProof/>
                <w:webHidden/>
              </w:rPr>
            </w:r>
            <w:r w:rsidR="00817C42">
              <w:rPr>
                <w:noProof/>
                <w:webHidden/>
              </w:rPr>
              <w:fldChar w:fldCharType="separate"/>
            </w:r>
            <w:r w:rsidR="00817C42">
              <w:rPr>
                <w:noProof/>
                <w:webHidden/>
              </w:rPr>
              <w:t>8</w:t>
            </w:r>
            <w:r w:rsidR="00817C42">
              <w:rPr>
                <w:noProof/>
                <w:webHidden/>
              </w:rPr>
              <w:fldChar w:fldCharType="end"/>
            </w:r>
          </w:hyperlink>
        </w:p>
        <w:p w14:paraId="69B8F575" w14:textId="23059C87" w:rsidR="00817C42" w:rsidRDefault="00FD09E7">
          <w:pPr>
            <w:pStyle w:val="TOC3"/>
            <w:tabs>
              <w:tab w:val="right" w:leader="dot" w:pos="9038"/>
            </w:tabs>
            <w:rPr>
              <w:noProof/>
              <w:lang w:val="en-AU" w:eastAsia="en-AU"/>
            </w:rPr>
          </w:pPr>
          <w:hyperlink w:anchor="_Toc79134289" w:history="1">
            <w:r w:rsidR="00817C42" w:rsidRPr="0060040B">
              <w:rPr>
                <w:rStyle w:val="Hyperlink"/>
                <w:noProof/>
              </w:rPr>
              <w:t>Health Care and Social Assistance</w:t>
            </w:r>
            <w:r w:rsidR="00817C42">
              <w:rPr>
                <w:noProof/>
                <w:webHidden/>
              </w:rPr>
              <w:tab/>
            </w:r>
            <w:r w:rsidR="00817C42">
              <w:rPr>
                <w:noProof/>
                <w:webHidden/>
              </w:rPr>
              <w:fldChar w:fldCharType="begin"/>
            </w:r>
            <w:r w:rsidR="00817C42">
              <w:rPr>
                <w:noProof/>
                <w:webHidden/>
              </w:rPr>
              <w:instrText xml:space="preserve"> PAGEREF _Toc79134289 \h </w:instrText>
            </w:r>
            <w:r w:rsidR="00817C42">
              <w:rPr>
                <w:noProof/>
                <w:webHidden/>
              </w:rPr>
            </w:r>
            <w:r w:rsidR="00817C42">
              <w:rPr>
                <w:noProof/>
                <w:webHidden/>
              </w:rPr>
              <w:fldChar w:fldCharType="separate"/>
            </w:r>
            <w:r w:rsidR="00817C42">
              <w:rPr>
                <w:noProof/>
                <w:webHidden/>
              </w:rPr>
              <w:t>8</w:t>
            </w:r>
            <w:r w:rsidR="00817C42">
              <w:rPr>
                <w:noProof/>
                <w:webHidden/>
              </w:rPr>
              <w:fldChar w:fldCharType="end"/>
            </w:r>
          </w:hyperlink>
        </w:p>
        <w:p w14:paraId="77AD7360" w14:textId="0ADEFD03" w:rsidR="00817C42" w:rsidRDefault="00FD09E7">
          <w:pPr>
            <w:pStyle w:val="TOC3"/>
            <w:tabs>
              <w:tab w:val="right" w:leader="dot" w:pos="9038"/>
            </w:tabs>
            <w:rPr>
              <w:noProof/>
              <w:lang w:val="en-AU" w:eastAsia="en-AU"/>
            </w:rPr>
          </w:pPr>
          <w:hyperlink w:anchor="_Toc79134290" w:history="1">
            <w:r w:rsidR="00817C42" w:rsidRPr="0060040B">
              <w:rPr>
                <w:rStyle w:val="Hyperlink"/>
                <w:noProof/>
              </w:rPr>
              <w:t>Construction</w:t>
            </w:r>
            <w:r w:rsidR="00817C42">
              <w:rPr>
                <w:noProof/>
                <w:webHidden/>
              </w:rPr>
              <w:tab/>
            </w:r>
            <w:r w:rsidR="00817C42">
              <w:rPr>
                <w:noProof/>
                <w:webHidden/>
              </w:rPr>
              <w:fldChar w:fldCharType="begin"/>
            </w:r>
            <w:r w:rsidR="00817C42">
              <w:rPr>
                <w:noProof/>
                <w:webHidden/>
              </w:rPr>
              <w:instrText xml:space="preserve"> PAGEREF _Toc79134290 \h </w:instrText>
            </w:r>
            <w:r w:rsidR="00817C42">
              <w:rPr>
                <w:noProof/>
                <w:webHidden/>
              </w:rPr>
            </w:r>
            <w:r w:rsidR="00817C42">
              <w:rPr>
                <w:noProof/>
                <w:webHidden/>
              </w:rPr>
              <w:fldChar w:fldCharType="separate"/>
            </w:r>
            <w:r w:rsidR="00817C42">
              <w:rPr>
                <w:noProof/>
                <w:webHidden/>
              </w:rPr>
              <w:t>8</w:t>
            </w:r>
            <w:r w:rsidR="00817C42">
              <w:rPr>
                <w:noProof/>
                <w:webHidden/>
              </w:rPr>
              <w:fldChar w:fldCharType="end"/>
            </w:r>
          </w:hyperlink>
        </w:p>
        <w:p w14:paraId="54301CF7" w14:textId="62405FCE" w:rsidR="00817C42" w:rsidRDefault="00FD09E7">
          <w:pPr>
            <w:pStyle w:val="TOC3"/>
            <w:tabs>
              <w:tab w:val="right" w:leader="dot" w:pos="9038"/>
            </w:tabs>
            <w:rPr>
              <w:noProof/>
              <w:lang w:val="en-AU" w:eastAsia="en-AU"/>
            </w:rPr>
          </w:pPr>
          <w:hyperlink w:anchor="_Toc79134291" w:history="1">
            <w:r w:rsidR="00817C42" w:rsidRPr="0060040B">
              <w:rPr>
                <w:rStyle w:val="Hyperlink"/>
                <w:noProof/>
              </w:rPr>
              <w:t>Retail</w:t>
            </w:r>
            <w:r w:rsidR="00817C42">
              <w:rPr>
                <w:noProof/>
                <w:webHidden/>
              </w:rPr>
              <w:tab/>
            </w:r>
            <w:r w:rsidR="00817C42">
              <w:rPr>
                <w:noProof/>
                <w:webHidden/>
              </w:rPr>
              <w:fldChar w:fldCharType="begin"/>
            </w:r>
            <w:r w:rsidR="00817C42">
              <w:rPr>
                <w:noProof/>
                <w:webHidden/>
              </w:rPr>
              <w:instrText xml:space="preserve"> PAGEREF _Toc79134291 \h </w:instrText>
            </w:r>
            <w:r w:rsidR="00817C42">
              <w:rPr>
                <w:noProof/>
                <w:webHidden/>
              </w:rPr>
            </w:r>
            <w:r w:rsidR="00817C42">
              <w:rPr>
                <w:noProof/>
                <w:webHidden/>
              </w:rPr>
              <w:fldChar w:fldCharType="separate"/>
            </w:r>
            <w:r w:rsidR="00817C42">
              <w:rPr>
                <w:noProof/>
                <w:webHidden/>
              </w:rPr>
              <w:t>8</w:t>
            </w:r>
            <w:r w:rsidR="00817C42">
              <w:rPr>
                <w:noProof/>
                <w:webHidden/>
              </w:rPr>
              <w:fldChar w:fldCharType="end"/>
            </w:r>
          </w:hyperlink>
        </w:p>
        <w:p w14:paraId="54D40992" w14:textId="37FDCF5F" w:rsidR="00817C42" w:rsidRDefault="00FD09E7">
          <w:pPr>
            <w:pStyle w:val="TOC3"/>
            <w:tabs>
              <w:tab w:val="right" w:leader="dot" w:pos="9038"/>
            </w:tabs>
            <w:rPr>
              <w:noProof/>
              <w:lang w:val="en-AU" w:eastAsia="en-AU"/>
            </w:rPr>
          </w:pPr>
          <w:hyperlink w:anchor="_Toc79134292" w:history="1">
            <w:r w:rsidR="00817C42" w:rsidRPr="0060040B">
              <w:rPr>
                <w:rStyle w:val="Hyperlink"/>
                <w:noProof/>
              </w:rPr>
              <w:t>Agriculture</w:t>
            </w:r>
            <w:r w:rsidR="00817C42">
              <w:rPr>
                <w:noProof/>
                <w:webHidden/>
              </w:rPr>
              <w:tab/>
            </w:r>
            <w:r w:rsidR="00817C42">
              <w:rPr>
                <w:noProof/>
                <w:webHidden/>
              </w:rPr>
              <w:fldChar w:fldCharType="begin"/>
            </w:r>
            <w:r w:rsidR="00817C42">
              <w:rPr>
                <w:noProof/>
                <w:webHidden/>
              </w:rPr>
              <w:instrText xml:space="preserve"> PAGEREF _Toc79134292 \h </w:instrText>
            </w:r>
            <w:r w:rsidR="00817C42">
              <w:rPr>
                <w:noProof/>
                <w:webHidden/>
              </w:rPr>
            </w:r>
            <w:r w:rsidR="00817C42">
              <w:rPr>
                <w:noProof/>
                <w:webHidden/>
              </w:rPr>
              <w:fldChar w:fldCharType="separate"/>
            </w:r>
            <w:r w:rsidR="00817C42">
              <w:rPr>
                <w:noProof/>
                <w:webHidden/>
              </w:rPr>
              <w:t>9</w:t>
            </w:r>
            <w:r w:rsidR="00817C42">
              <w:rPr>
                <w:noProof/>
                <w:webHidden/>
              </w:rPr>
              <w:fldChar w:fldCharType="end"/>
            </w:r>
          </w:hyperlink>
        </w:p>
        <w:p w14:paraId="657FF7B5" w14:textId="15E59DA7" w:rsidR="00817C42" w:rsidRDefault="00FD09E7">
          <w:pPr>
            <w:pStyle w:val="TOC3"/>
            <w:tabs>
              <w:tab w:val="right" w:leader="dot" w:pos="9038"/>
            </w:tabs>
            <w:rPr>
              <w:noProof/>
              <w:lang w:val="en-AU" w:eastAsia="en-AU"/>
            </w:rPr>
          </w:pPr>
          <w:hyperlink w:anchor="_Toc79134293" w:history="1">
            <w:r w:rsidR="00817C42" w:rsidRPr="0060040B">
              <w:rPr>
                <w:rStyle w:val="Hyperlink"/>
                <w:noProof/>
              </w:rPr>
              <w:t>Tourism</w:t>
            </w:r>
            <w:r w:rsidR="00817C42">
              <w:rPr>
                <w:noProof/>
                <w:webHidden/>
              </w:rPr>
              <w:tab/>
            </w:r>
            <w:r w:rsidR="00817C42">
              <w:rPr>
                <w:noProof/>
                <w:webHidden/>
              </w:rPr>
              <w:fldChar w:fldCharType="begin"/>
            </w:r>
            <w:r w:rsidR="00817C42">
              <w:rPr>
                <w:noProof/>
                <w:webHidden/>
              </w:rPr>
              <w:instrText xml:space="preserve"> PAGEREF _Toc79134293 \h </w:instrText>
            </w:r>
            <w:r w:rsidR="00817C42">
              <w:rPr>
                <w:noProof/>
                <w:webHidden/>
              </w:rPr>
            </w:r>
            <w:r w:rsidR="00817C42">
              <w:rPr>
                <w:noProof/>
                <w:webHidden/>
              </w:rPr>
              <w:fldChar w:fldCharType="separate"/>
            </w:r>
            <w:r w:rsidR="00817C42">
              <w:rPr>
                <w:noProof/>
                <w:webHidden/>
              </w:rPr>
              <w:t>9</w:t>
            </w:r>
            <w:r w:rsidR="00817C42">
              <w:rPr>
                <w:noProof/>
                <w:webHidden/>
              </w:rPr>
              <w:fldChar w:fldCharType="end"/>
            </w:r>
          </w:hyperlink>
        </w:p>
        <w:p w14:paraId="794EDA81" w14:textId="4C11F8CF" w:rsidR="00817C42" w:rsidRDefault="00FD09E7">
          <w:pPr>
            <w:pStyle w:val="TOC2"/>
            <w:tabs>
              <w:tab w:val="right" w:leader="dot" w:pos="9038"/>
            </w:tabs>
            <w:rPr>
              <w:noProof/>
              <w:lang w:val="en-AU" w:eastAsia="en-AU"/>
            </w:rPr>
          </w:pPr>
          <w:hyperlink w:anchor="_Toc79134294" w:history="1">
            <w:r w:rsidR="00817C42" w:rsidRPr="0060040B">
              <w:rPr>
                <w:rStyle w:val="Hyperlink"/>
                <w:noProof/>
              </w:rPr>
              <w:t>Vacancies and job advertisements</w:t>
            </w:r>
            <w:r w:rsidR="00817C42">
              <w:rPr>
                <w:noProof/>
                <w:webHidden/>
              </w:rPr>
              <w:tab/>
            </w:r>
            <w:r w:rsidR="00817C42">
              <w:rPr>
                <w:noProof/>
                <w:webHidden/>
              </w:rPr>
              <w:fldChar w:fldCharType="begin"/>
            </w:r>
            <w:r w:rsidR="00817C42">
              <w:rPr>
                <w:noProof/>
                <w:webHidden/>
              </w:rPr>
              <w:instrText xml:space="preserve"> PAGEREF _Toc79134294 \h </w:instrText>
            </w:r>
            <w:r w:rsidR="00817C42">
              <w:rPr>
                <w:noProof/>
                <w:webHidden/>
              </w:rPr>
            </w:r>
            <w:r w:rsidR="00817C42">
              <w:rPr>
                <w:noProof/>
                <w:webHidden/>
              </w:rPr>
              <w:fldChar w:fldCharType="separate"/>
            </w:r>
            <w:r w:rsidR="00817C42">
              <w:rPr>
                <w:noProof/>
                <w:webHidden/>
              </w:rPr>
              <w:t>11</w:t>
            </w:r>
            <w:r w:rsidR="00817C42">
              <w:rPr>
                <w:noProof/>
                <w:webHidden/>
              </w:rPr>
              <w:fldChar w:fldCharType="end"/>
            </w:r>
          </w:hyperlink>
        </w:p>
        <w:p w14:paraId="61217B73" w14:textId="13585D6D" w:rsidR="00817C42" w:rsidRDefault="00FD09E7">
          <w:pPr>
            <w:pStyle w:val="TOC1"/>
            <w:tabs>
              <w:tab w:val="right" w:leader="dot" w:pos="9038"/>
            </w:tabs>
            <w:rPr>
              <w:noProof/>
              <w:lang w:val="en-AU" w:eastAsia="en-AU"/>
            </w:rPr>
          </w:pPr>
          <w:hyperlink w:anchor="_Toc79134295" w:history="1">
            <w:r w:rsidR="00817C42" w:rsidRPr="0060040B">
              <w:rPr>
                <w:rStyle w:val="Hyperlink"/>
                <w:noProof/>
              </w:rPr>
              <w:t>Employment Services – Providers and Caseload</w:t>
            </w:r>
            <w:r w:rsidR="00817C42">
              <w:rPr>
                <w:noProof/>
                <w:webHidden/>
              </w:rPr>
              <w:tab/>
            </w:r>
            <w:r w:rsidR="00817C42">
              <w:rPr>
                <w:noProof/>
                <w:webHidden/>
              </w:rPr>
              <w:fldChar w:fldCharType="begin"/>
            </w:r>
            <w:r w:rsidR="00817C42">
              <w:rPr>
                <w:noProof/>
                <w:webHidden/>
              </w:rPr>
              <w:instrText xml:space="preserve"> PAGEREF _Toc79134295 \h </w:instrText>
            </w:r>
            <w:r w:rsidR="00817C42">
              <w:rPr>
                <w:noProof/>
                <w:webHidden/>
              </w:rPr>
            </w:r>
            <w:r w:rsidR="00817C42">
              <w:rPr>
                <w:noProof/>
                <w:webHidden/>
              </w:rPr>
              <w:fldChar w:fldCharType="separate"/>
            </w:r>
            <w:r w:rsidR="00817C42">
              <w:rPr>
                <w:noProof/>
                <w:webHidden/>
              </w:rPr>
              <w:t>12</w:t>
            </w:r>
            <w:r w:rsidR="00817C42">
              <w:rPr>
                <w:noProof/>
                <w:webHidden/>
              </w:rPr>
              <w:fldChar w:fldCharType="end"/>
            </w:r>
          </w:hyperlink>
        </w:p>
        <w:p w14:paraId="5C89DCE4" w14:textId="18D28667" w:rsidR="00817C42" w:rsidRDefault="00FD09E7">
          <w:pPr>
            <w:pStyle w:val="TOC2"/>
            <w:tabs>
              <w:tab w:val="right" w:leader="dot" w:pos="9038"/>
            </w:tabs>
            <w:rPr>
              <w:noProof/>
              <w:lang w:val="en-AU" w:eastAsia="en-AU"/>
            </w:rPr>
          </w:pPr>
          <w:hyperlink w:anchor="_Toc79134296" w:history="1">
            <w:r w:rsidR="00817C42" w:rsidRPr="0060040B">
              <w:rPr>
                <w:rStyle w:val="Hyperlink"/>
                <w:noProof/>
              </w:rPr>
              <w:t>Employment Overview</w:t>
            </w:r>
            <w:r w:rsidR="00817C42">
              <w:rPr>
                <w:noProof/>
                <w:webHidden/>
              </w:rPr>
              <w:tab/>
            </w:r>
            <w:r w:rsidR="00817C42">
              <w:rPr>
                <w:noProof/>
                <w:webHidden/>
              </w:rPr>
              <w:fldChar w:fldCharType="begin"/>
            </w:r>
            <w:r w:rsidR="00817C42">
              <w:rPr>
                <w:noProof/>
                <w:webHidden/>
              </w:rPr>
              <w:instrText xml:space="preserve"> PAGEREF _Toc79134296 \h </w:instrText>
            </w:r>
            <w:r w:rsidR="00817C42">
              <w:rPr>
                <w:noProof/>
                <w:webHidden/>
              </w:rPr>
            </w:r>
            <w:r w:rsidR="00817C42">
              <w:rPr>
                <w:noProof/>
                <w:webHidden/>
              </w:rPr>
              <w:fldChar w:fldCharType="separate"/>
            </w:r>
            <w:r w:rsidR="00817C42">
              <w:rPr>
                <w:noProof/>
                <w:webHidden/>
              </w:rPr>
              <w:t>12</w:t>
            </w:r>
            <w:r w:rsidR="00817C42">
              <w:rPr>
                <w:noProof/>
                <w:webHidden/>
              </w:rPr>
              <w:fldChar w:fldCharType="end"/>
            </w:r>
          </w:hyperlink>
        </w:p>
        <w:p w14:paraId="2FEC092C" w14:textId="24BAC451" w:rsidR="00817C42" w:rsidRDefault="00FD09E7">
          <w:pPr>
            <w:pStyle w:val="TOC2"/>
            <w:tabs>
              <w:tab w:val="right" w:leader="dot" w:pos="9038"/>
            </w:tabs>
            <w:rPr>
              <w:noProof/>
              <w:lang w:val="en-AU" w:eastAsia="en-AU"/>
            </w:rPr>
          </w:pPr>
          <w:hyperlink w:anchor="_Toc79134297" w:history="1">
            <w:r w:rsidR="00817C42" w:rsidRPr="0060040B">
              <w:rPr>
                <w:rStyle w:val="Hyperlink"/>
                <w:noProof/>
              </w:rPr>
              <w:t>Employment Services Providers</w:t>
            </w:r>
            <w:r w:rsidR="00817C42">
              <w:rPr>
                <w:noProof/>
                <w:webHidden/>
              </w:rPr>
              <w:tab/>
            </w:r>
            <w:r w:rsidR="00817C42">
              <w:rPr>
                <w:noProof/>
                <w:webHidden/>
              </w:rPr>
              <w:fldChar w:fldCharType="begin"/>
            </w:r>
            <w:r w:rsidR="00817C42">
              <w:rPr>
                <w:noProof/>
                <w:webHidden/>
              </w:rPr>
              <w:instrText xml:space="preserve"> PAGEREF _Toc79134297 \h </w:instrText>
            </w:r>
            <w:r w:rsidR="00817C42">
              <w:rPr>
                <w:noProof/>
                <w:webHidden/>
              </w:rPr>
            </w:r>
            <w:r w:rsidR="00817C42">
              <w:rPr>
                <w:noProof/>
                <w:webHidden/>
              </w:rPr>
              <w:fldChar w:fldCharType="separate"/>
            </w:r>
            <w:r w:rsidR="00817C42">
              <w:rPr>
                <w:noProof/>
                <w:webHidden/>
              </w:rPr>
              <w:t>12</w:t>
            </w:r>
            <w:r w:rsidR="00817C42">
              <w:rPr>
                <w:noProof/>
                <w:webHidden/>
              </w:rPr>
              <w:fldChar w:fldCharType="end"/>
            </w:r>
          </w:hyperlink>
        </w:p>
        <w:p w14:paraId="0D289782" w14:textId="77E91F0C" w:rsidR="00817C42" w:rsidRDefault="00FD09E7">
          <w:pPr>
            <w:pStyle w:val="TOC2"/>
            <w:tabs>
              <w:tab w:val="right" w:leader="dot" w:pos="9038"/>
            </w:tabs>
            <w:rPr>
              <w:noProof/>
              <w:lang w:val="en-AU" w:eastAsia="en-AU"/>
            </w:rPr>
          </w:pPr>
          <w:hyperlink w:anchor="_Toc79134298" w:history="1">
            <w:r w:rsidR="00817C42" w:rsidRPr="0060040B">
              <w:rPr>
                <w:rStyle w:val="Hyperlink"/>
                <w:noProof/>
              </w:rPr>
              <w:t>Caseload</w:t>
            </w:r>
            <w:r w:rsidR="00817C42">
              <w:rPr>
                <w:noProof/>
                <w:webHidden/>
              </w:rPr>
              <w:tab/>
            </w:r>
            <w:r w:rsidR="00817C42">
              <w:rPr>
                <w:noProof/>
                <w:webHidden/>
              </w:rPr>
              <w:fldChar w:fldCharType="begin"/>
            </w:r>
            <w:r w:rsidR="00817C42">
              <w:rPr>
                <w:noProof/>
                <w:webHidden/>
              </w:rPr>
              <w:instrText xml:space="preserve"> PAGEREF _Toc79134298 \h </w:instrText>
            </w:r>
            <w:r w:rsidR="00817C42">
              <w:rPr>
                <w:noProof/>
                <w:webHidden/>
              </w:rPr>
            </w:r>
            <w:r w:rsidR="00817C42">
              <w:rPr>
                <w:noProof/>
                <w:webHidden/>
              </w:rPr>
              <w:fldChar w:fldCharType="separate"/>
            </w:r>
            <w:r w:rsidR="00817C42">
              <w:rPr>
                <w:noProof/>
                <w:webHidden/>
              </w:rPr>
              <w:t>13</w:t>
            </w:r>
            <w:r w:rsidR="00817C42">
              <w:rPr>
                <w:noProof/>
                <w:webHidden/>
              </w:rPr>
              <w:fldChar w:fldCharType="end"/>
            </w:r>
          </w:hyperlink>
        </w:p>
        <w:p w14:paraId="69490461" w14:textId="08DE8699" w:rsidR="00817C42" w:rsidRDefault="00FD09E7">
          <w:pPr>
            <w:pStyle w:val="TOC1"/>
            <w:tabs>
              <w:tab w:val="right" w:leader="dot" w:pos="9038"/>
            </w:tabs>
            <w:rPr>
              <w:noProof/>
              <w:lang w:val="en-AU" w:eastAsia="en-AU"/>
            </w:rPr>
          </w:pPr>
          <w:hyperlink w:anchor="_Toc79134299" w:history="1">
            <w:r w:rsidR="00817C42" w:rsidRPr="0060040B">
              <w:rPr>
                <w:rStyle w:val="Hyperlink"/>
                <w:noProof/>
              </w:rPr>
              <w:t>Key Challenges</w:t>
            </w:r>
            <w:r w:rsidR="00817C42">
              <w:rPr>
                <w:noProof/>
                <w:webHidden/>
              </w:rPr>
              <w:tab/>
            </w:r>
            <w:r w:rsidR="00817C42">
              <w:rPr>
                <w:noProof/>
                <w:webHidden/>
              </w:rPr>
              <w:fldChar w:fldCharType="begin"/>
            </w:r>
            <w:r w:rsidR="00817C42">
              <w:rPr>
                <w:noProof/>
                <w:webHidden/>
              </w:rPr>
              <w:instrText xml:space="preserve"> PAGEREF _Toc79134299 \h </w:instrText>
            </w:r>
            <w:r w:rsidR="00817C42">
              <w:rPr>
                <w:noProof/>
                <w:webHidden/>
              </w:rPr>
            </w:r>
            <w:r w:rsidR="00817C42">
              <w:rPr>
                <w:noProof/>
                <w:webHidden/>
              </w:rPr>
              <w:fldChar w:fldCharType="separate"/>
            </w:r>
            <w:r w:rsidR="00817C42">
              <w:rPr>
                <w:noProof/>
                <w:webHidden/>
              </w:rPr>
              <w:t>14</w:t>
            </w:r>
            <w:r w:rsidR="00817C42">
              <w:rPr>
                <w:noProof/>
                <w:webHidden/>
              </w:rPr>
              <w:fldChar w:fldCharType="end"/>
            </w:r>
          </w:hyperlink>
        </w:p>
        <w:p w14:paraId="3139F93F" w14:textId="4AB2B278" w:rsidR="00817C42" w:rsidRDefault="00FD09E7">
          <w:pPr>
            <w:pStyle w:val="TOC1"/>
            <w:tabs>
              <w:tab w:val="right" w:leader="dot" w:pos="9038"/>
            </w:tabs>
            <w:rPr>
              <w:noProof/>
              <w:lang w:val="en-AU" w:eastAsia="en-AU"/>
            </w:rPr>
          </w:pPr>
          <w:hyperlink w:anchor="_Toc79134300" w:history="1">
            <w:r w:rsidR="00817C42" w:rsidRPr="0060040B">
              <w:rPr>
                <w:rStyle w:val="Hyperlink"/>
                <w:noProof/>
              </w:rPr>
              <w:t>Impacts of COVID-19</w:t>
            </w:r>
            <w:r w:rsidR="00817C42">
              <w:rPr>
                <w:noProof/>
                <w:webHidden/>
              </w:rPr>
              <w:tab/>
            </w:r>
            <w:r w:rsidR="00817C42">
              <w:rPr>
                <w:noProof/>
                <w:webHidden/>
              </w:rPr>
              <w:fldChar w:fldCharType="begin"/>
            </w:r>
            <w:r w:rsidR="00817C42">
              <w:rPr>
                <w:noProof/>
                <w:webHidden/>
              </w:rPr>
              <w:instrText xml:space="preserve"> PAGEREF _Toc79134300 \h </w:instrText>
            </w:r>
            <w:r w:rsidR="00817C42">
              <w:rPr>
                <w:noProof/>
                <w:webHidden/>
              </w:rPr>
            </w:r>
            <w:r w:rsidR="00817C42">
              <w:rPr>
                <w:noProof/>
                <w:webHidden/>
              </w:rPr>
              <w:fldChar w:fldCharType="separate"/>
            </w:r>
            <w:r w:rsidR="00817C42">
              <w:rPr>
                <w:noProof/>
                <w:webHidden/>
              </w:rPr>
              <w:t>14</w:t>
            </w:r>
            <w:r w:rsidR="00817C42">
              <w:rPr>
                <w:noProof/>
                <w:webHidden/>
              </w:rPr>
              <w:fldChar w:fldCharType="end"/>
            </w:r>
          </w:hyperlink>
        </w:p>
        <w:p w14:paraId="181BB0F8" w14:textId="56B89422" w:rsidR="00817C42" w:rsidRDefault="00FD09E7">
          <w:pPr>
            <w:pStyle w:val="TOC1"/>
            <w:tabs>
              <w:tab w:val="right" w:leader="dot" w:pos="9038"/>
            </w:tabs>
            <w:rPr>
              <w:noProof/>
              <w:lang w:val="en-AU" w:eastAsia="en-AU"/>
            </w:rPr>
          </w:pPr>
          <w:hyperlink w:anchor="_Toc79134301" w:history="1">
            <w:r w:rsidR="00817C42" w:rsidRPr="0060040B">
              <w:rPr>
                <w:rStyle w:val="Hyperlink"/>
                <w:noProof/>
              </w:rPr>
              <w:t>Attachment A: Key Priorities</w:t>
            </w:r>
            <w:r w:rsidR="00817C42">
              <w:rPr>
                <w:noProof/>
                <w:webHidden/>
              </w:rPr>
              <w:tab/>
            </w:r>
            <w:r w:rsidR="00817C42">
              <w:rPr>
                <w:noProof/>
                <w:webHidden/>
              </w:rPr>
              <w:fldChar w:fldCharType="begin"/>
            </w:r>
            <w:r w:rsidR="00817C42">
              <w:rPr>
                <w:noProof/>
                <w:webHidden/>
              </w:rPr>
              <w:instrText xml:space="preserve"> PAGEREF _Toc79134301 \h </w:instrText>
            </w:r>
            <w:r w:rsidR="00817C42">
              <w:rPr>
                <w:noProof/>
                <w:webHidden/>
              </w:rPr>
            </w:r>
            <w:r w:rsidR="00817C42">
              <w:rPr>
                <w:noProof/>
                <w:webHidden/>
              </w:rPr>
              <w:fldChar w:fldCharType="separate"/>
            </w:r>
            <w:r w:rsidR="00817C42">
              <w:rPr>
                <w:noProof/>
                <w:webHidden/>
              </w:rPr>
              <w:t>16</w:t>
            </w:r>
            <w:r w:rsidR="00817C42">
              <w:rPr>
                <w:noProof/>
                <w:webHidden/>
              </w:rPr>
              <w:fldChar w:fldCharType="end"/>
            </w:r>
          </w:hyperlink>
        </w:p>
        <w:p w14:paraId="5E319A1C" w14:textId="2E98B778" w:rsidR="00E307C4" w:rsidRPr="00C34E32" w:rsidRDefault="00E307C4" w:rsidP="00E307C4">
          <w:pPr>
            <w:pStyle w:val="TOC1"/>
            <w:tabs>
              <w:tab w:val="right" w:leader="dot" w:pos="9016"/>
            </w:tabs>
            <w:rPr>
              <w:noProof/>
              <w:lang w:val="en-AU" w:eastAsia="en-AU"/>
            </w:rPr>
          </w:pPr>
          <w:r w:rsidRPr="008A1F43">
            <w:rPr>
              <w:rFonts w:cstheme="minorHAnsi"/>
              <w:b/>
              <w:bCs/>
              <w:noProof/>
            </w:rPr>
            <w:fldChar w:fldCharType="end"/>
          </w:r>
        </w:p>
      </w:sdtContent>
    </w:sdt>
    <w:p w14:paraId="62E5A491" w14:textId="77777777" w:rsidR="00077125" w:rsidRDefault="00077125" w:rsidP="00006877">
      <w:pPr>
        <w:rPr>
          <w:rFonts w:ascii="Calibri" w:eastAsia="Calibri" w:hAnsi="Calibri" w:cs="Calibri"/>
          <w:i/>
          <w:iCs/>
          <w:color w:val="002060"/>
        </w:rPr>
      </w:pPr>
      <w:r>
        <w:rPr>
          <w:rFonts w:ascii="Calibri" w:eastAsia="Calibri" w:hAnsi="Calibri" w:cs="Calibri"/>
          <w:i/>
          <w:iCs/>
          <w:color w:val="002060"/>
        </w:rPr>
        <w:br w:type="page"/>
      </w:r>
    </w:p>
    <w:p w14:paraId="15942AC0" w14:textId="1A350848" w:rsidR="001B4E5C" w:rsidRDefault="001B4E5C" w:rsidP="00BB3014">
      <w:pPr>
        <w:spacing w:line="240" w:lineRule="auto"/>
        <w:rPr>
          <w:rFonts w:ascii="Calibri" w:eastAsia="Calibri" w:hAnsi="Calibri" w:cs="Calibri"/>
          <w:i/>
          <w:iCs/>
          <w:color w:val="002060"/>
        </w:rPr>
      </w:pPr>
      <w:bookmarkStart w:id="15" w:name="_Toc54252352"/>
      <w:bookmarkStart w:id="16" w:name="_Toc54252382"/>
      <w:bookmarkEnd w:id="5"/>
      <w:bookmarkEnd w:id="6"/>
      <w:bookmarkEnd w:id="7"/>
      <w:r w:rsidRPr="0057452D">
        <w:rPr>
          <w:rFonts w:ascii="Calibri" w:eastAsia="Calibri" w:hAnsi="Calibri" w:cs="Calibri"/>
          <w:i/>
          <w:iCs/>
          <w:color w:val="002060"/>
        </w:rPr>
        <w:lastRenderedPageBreak/>
        <w:t>The Department of Education, Skills and Employment acknowledges the traditional owners and custodians of country throughout Australia and their continuing connection to land, waters, and community. We pay our respects to them and their cultures, and Elders past, present and emerging.</w:t>
      </w:r>
    </w:p>
    <w:p w14:paraId="7038B2AE" w14:textId="77777777" w:rsidR="001B4E5C" w:rsidRPr="00914634" w:rsidRDefault="001B4E5C" w:rsidP="001B4E5C">
      <w:pPr>
        <w:pStyle w:val="Heading1"/>
      </w:pPr>
      <w:bookmarkStart w:id="17" w:name="_Toc54856981"/>
      <w:bookmarkStart w:id="18" w:name="_Toc79134280"/>
      <w:r w:rsidRPr="00914634">
        <w:t>Preface</w:t>
      </w:r>
      <w:bookmarkEnd w:id="15"/>
      <w:bookmarkEnd w:id="16"/>
      <w:bookmarkEnd w:id="17"/>
      <w:bookmarkEnd w:id="18"/>
    </w:p>
    <w:p w14:paraId="5FD535E6" w14:textId="1EFC6158" w:rsidR="00552589" w:rsidRPr="006E48BA" w:rsidRDefault="00552589" w:rsidP="00552589">
      <w:bookmarkStart w:id="19" w:name="_Toc54252353"/>
      <w:bookmarkStart w:id="20" w:name="_Toc54252383"/>
      <w:bookmarkStart w:id="21" w:name="_Toc54856982"/>
      <w:r w:rsidRPr="006E48BA">
        <w:t>The Local Jobs Program (LJP) brings together expertise, resources and access to funding at the local level to focus on the reskilling</w:t>
      </w:r>
      <w:r>
        <w:t xml:space="preserve"> and </w:t>
      </w:r>
      <w:r w:rsidRPr="006E48BA">
        <w:t xml:space="preserve">upskilling </w:t>
      </w:r>
      <w:r>
        <w:t xml:space="preserve">of jobseekers and the enhancement of </w:t>
      </w:r>
      <w:r w:rsidRPr="006E48BA">
        <w:t>employment pathways in</w:t>
      </w:r>
      <w:r>
        <w:t xml:space="preserve"> </w:t>
      </w:r>
      <w:r w:rsidRPr="006E48BA">
        <w:t>51 Employment Regions</w:t>
      </w:r>
      <w:r w:rsidR="00BB3014">
        <w:t xml:space="preserve"> </w:t>
      </w:r>
      <w:r w:rsidR="003530F9">
        <w:t xml:space="preserve">(ERs) </w:t>
      </w:r>
      <w:r>
        <w:t>across</w:t>
      </w:r>
      <w:r w:rsidRPr="006E48BA">
        <w:t xml:space="preserve"> Australia from 1 July 2021.</w:t>
      </w:r>
      <w:r>
        <w:t xml:space="preserve"> </w:t>
      </w:r>
      <w:r w:rsidRPr="006E48BA">
        <w:t>The LJP</w:t>
      </w:r>
      <w:r>
        <w:t>,</w:t>
      </w:r>
      <w:r w:rsidRPr="006E48BA">
        <w:t xml:space="preserve"> </w:t>
      </w:r>
      <w:r>
        <w:t>through targeted activities</w:t>
      </w:r>
      <w:r w:rsidR="003F4927">
        <w:t>,</w:t>
      </w:r>
      <w:r>
        <w:t xml:space="preserve"> </w:t>
      </w:r>
      <w:r w:rsidRPr="006E48BA">
        <w:t xml:space="preserve">is supporting Australia’s economic recovery from the COVID-19 pandemic and will run until 30 June 2025.  </w:t>
      </w:r>
    </w:p>
    <w:p w14:paraId="1181B40A" w14:textId="20F043A4" w:rsidR="00552589" w:rsidRPr="006E48BA" w:rsidRDefault="00552589" w:rsidP="00552589">
      <w:r>
        <w:t xml:space="preserve">Under </w:t>
      </w:r>
      <w:r w:rsidR="006045FA">
        <w:t xml:space="preserve">the </w:t>
      </w:r>
      <w:r>
        <w:t xml:space="preserve">LJP, each </w:t>
      </w:r>
      <w:r w:rsidR="00747F0D">
        <w:t>ER</w:t>
      </w:r>
      <w:r>
        <w:t xml:space="preserve"> has a designated Employment Facilitator, who is there to </w:t>
      </w:r>
      <w:r w:rsidRPr="006E48BA">
        <w:t xml:space="preserve">support the delivery of the </w:t>
      </w:r>
      <w:r>
        <w:t xml:space="preserve">program </w:t>
      </w:r>
      <w:r w:rsidRPr="006E48BA">
        <w:t xml:space="preserve">and chair </w:t>
      </w:r>
      <w:r>
        <w:t xml:space="preserve">the </w:t>
      </w:r>
      <w:r w:rsidRPr="006E48BA">
        <w:t xml:space="preserve">Local Jobs and Skills Taskforce (Taskforce). Taskforce members are locals with experience in upskilling, </w:t>
      </w:r>
      <w:r w:rsidR="00747F0D">
        <w:t xml:space="preserve">and </w:t>
      </w:r>
      <w:r w:rsidRPr="006E48BA">
        <w:t xml:space="preserve">reskilling </w:t>
      </w:r>
      <w:r>
        <w:t xml:space="preserve">jobseekers with knowledge and expertise in </w:t>
      </w:r>
      <w:r w:rsidRPr="006E48BA">
        <w:t xml:space="preserve">local economic development and are responsible for </w:t>
      </w:r>
      <w:r>
        <w:t>the development of</w:t>
      </w:r>
      <w:r w:rsidRPr="006E48BA">
        <w:t xml:space="preserve"> a Local Jobs Plan</w:t>
      </w:r>
      <w:r w:rsidR="00F83DB7">
        <w:t xml:space="preserve"> (Plan)</w:t>
      </w:r>
      <w:r>
        <w:t xml:space="preserve">, </w:t>
      </w:r>
      <w:r w:rsidR="005E790E">
        <w:t xml:space="preserve">which </w:t>
      </w:r>
      <w:r w:rsidR="005E790E" w:rsidRPr="006E48BA">
        <w:t>identifies</w:t>
      </w:r>
      <w:r w:rsidRPr="006E48BA">
        <w:t xml:space="preserve"> key employment and training opportunities for the</w:t>
      </w:r>
      <w:r w:rsidR="00F86405">
        <w:t xml:space="preserve"> ER.</w:t>
      </w:r>
      <w:r w:rsidRPr="006E48BA">
        <w:t xml:space="preserve">  </w:t>
      </w:r>
    </w:p>
    <w:p w14:paraId="37E4A44C" w14:textId="02055597" w:rsidR="00552589" w:rsidRPr="006E48BA" w:rsidRDefault="00552589" w:rsidP="00552589">
      <w:r w:rsidRPr="006E48BA">
        <w:t>Th</w:t>
      </w:r>
      <w:r>
        <w:t>is</w:t>
      </w:r>
      <w:r w:rsidRPr="006E48BA">
        <w:t xml:space="preserve"> Plan describes key priorities for the </w:t>
      </w:r>
      <w:r>
        <w:t xml:space="preserve">Mackay </w:t>
      </w:r>
      <w:r w:rsidRPr="006E48BA">
        <w:t>E</w:t>
      </w:r>
      <w:r w:rsidR="00F83DB7">
        <w:t>R</w:t>
      </w:r>
      <w:r w:rsidRPr="006E48BA">
        <w:t>, focus</w:t>
      </w:r>
      <w:r>
        <w:t>ing</w:t>
      </w:r>
      <w:r w:rsidRPr="006E48BA">
        <w:t xml:space="preserve"> on the objectives of the L</w:t>
      </w:r>
      <w:r>
        <w:t>JP</w:t>
      </w:r>
      <w:r w:rsidRPr="006E48BA">
        <w:t xml:space="preserve">: creating employment opportunities, meeting local employer demands and </w:t>
      </w:r>
      <w:r>
        <w:t>up-</w:t>
      </w:r>
      <w:r w:rsidRPr="006E48BA">
        <w:t xml:space="preserve">skilling local jobseekers. The Plan will be reviewed by the Employment Facilitator and the Taskforce every six months </w:t>
      </w:r>
      <w:r>
        <w:t xml:space="preserve">or </w:t>
      </w:r>
      <w:r w:rsidRPr="006E48BA">
        <w:t xml:space="preserve">when </w:t>
      </w:r>
      <w:r w:rsidR="00BB3014">
        <w:t>ER</w:t>
      </w:r>
      <w:r w:rsidR="003F4927" w:rsidRPr="006E48BA">
        <w:t xml:space="preserve"> </w:t>
      </w:r>
      <w:r w:rsidRPr="006E48BA">
        <w:t>priorities change.</w:t>
      </w:r>
    </w:p>
    <w:p w14:paraId="4F8F638B" w14:textId="74B92F2E" w:rsidR="00C628A8" w:rsidRDefault="00C628A8" w:rsidP="00C628A8">
      <w:pPr>
        <w:pStyle w:val="Heading1"/>
      </w:pPr>
      <w:bookmarkStart w:id="22" w:name="_Toc79134281"/>
      <w:bookmarkEnd w:id="19"/>
      <w:bookmarkEnd w:id="20"/>
      <w:bookmarkEnd w:id="21"/>
      <w:r>
        <w:t>Key Priorities</w:t>
      </w:r>
      <w:bookmarkEnd w:id="22"/>
    </w:p>
    <w:p w14:paraId="4AEAB691" w14:textId="142D09C0" w:rsidR="00C628A8" w:rsidRPr="00077E43" w:rsidRDefault="00C628A8" w:rsidP="00C628A8">
      <w:r w:rsidRPr="00077E43">
        <w:t xml:space="preserve">The Taskforce has considered the training and employment challenges of the </w:t>
      </w:r>
      <w:r>
        <w:t>Mackay</w:t>
      </w:r>
      <w:r w:rsidRPr="00077E43">
        <w:t xml:space="preserve"> E</w:t>
      </w:r>
      <w:r w:rsidR="00472B94">
        <w:t>R</w:t>
      </w:r>
      <w:r w:rsidRPr="00077E43">
        <w:t xml:space="preserve"> and supports the development of strategies that will drive the design and implementation of projects to address the following key priorities:</w:t>
      </w:r>
    </w:p>
    <w:p w14:paraId="58001218" w14:textId="1EDBCA4B" w:rsidR="00B8323F" w:rsidRPr="00B8323F" w:rsidRDefault="00B8323F" w:rsidP="00C628A8">
      <w:pPr>
        <w:pStyle w:val="ListParagraph"/>
        <w:numPr>
          <w:ilvl w:val="0"/>
          <w:numId w:val="47"/>
        </w:numPr>
      </w:pPr>
      <w:r>
        <w:t xml:space="preserve">Identify, upskill and place appropriate job seekers into sustainable employment opportunities within the Aged Care and Disability Support Services industry, </w:t>
      </w:r>
      <w:r w:rsidRPr="00B305EC">
        <w:rPr>
          <w:rFonts w:cstheme="minorHAnsi"/>
        </w:rPr>
        <w:t xml:space="preserve">which is expected to continue to grow significantly in the </w:t>
      </w:r>
      <w:r w:rsidR="00BB3014">
        <w:rPr>
          <w:rFonts w:cstheme="minorHAnsi"/>
        </w:rPr>
        <w:t xml:space="preserve">Mackay </w:t>
      </w:r>
      <w:r w:rsidRPr="00B305EC">
        <w:rPr>
          <w:rFonts w:cstheme="minorHAnsi"/>
        </w:rPr>
        <w:t>ER and is experiencing current labour shortages.</w:t>
      </w:r>
    </w:p>
    <w:p w14:paraId="28156E10" w14:textId="70EC53EB" w:rsidR="00F0257A" w:rsidRDefault="00F0257A" w:rsidP="00B8323F">
      <w:pPr>
        <w:pStyle w:val="ListParagraph"/>
        <w:numPr>
          <w:ilvl w:val="0"/>
          <w:numId w:val="47"/>
        </w:numPr>
        <w:spacing w:after="160" w:line="240" w:lineRule="auto"/>
      </w:pPr>
      <w:r>
        <w:t>Support job seekers to access entry level construction jobs in the ER via upskilling or applying transferable skills and filling apprenticeship</w:t>
      </w:r>
      <w:r w:rsidR="00F94DB1">
        <w:t>/</w:t>
      </w:r>
      <w:r>
        <w:t>traineeship opportunities to obtain sustainable job outcomes</w:t>
      </w:r>
      <w:r w:rsidR="00BB3014">
        <w:t>.</w:t>
      </w:r>
    </w:p>
    <w:p w14:paraId="2AFBC946" w14:textId="29511EC0" w:rsidR="00B8323F" w:rsidRDefault="00B8323F" w:rsidP="00B8323F">
      <w:pPr>
        <w:pStyle w:val="ListParagraph"/>
        <w:numPr>
          <w:ilvl w:val="0"/>
          <w:numId w:val="47"/>
        </w:numPr>
        <w:spacing w:after="160" w:line="240" w:lineRule="auto"/>
      </w:pPr>
      <w:r>
        <w:t xml:space="preserve">Provide employment pathways for </w:t>
      </w:r>
      <w:r w:rsidRPr="006D4695">
        <w:t xml:space="preserve">job seekers </w:t>
      </w:r>
      <w:r>
        <w:t xml:space="preserve">in tourism and hospitality, leveraging transferable technical, interpersonal and communication </w:t>
      </w:r>
      <w:r w:rsidRPr="006D4695">
        <w:t>skills</w:t>
      </w:r>
      <w:r>
        <w:t>ets or up-skilling those with current industry experience.</w:t>
      </w:r>
    </w:p>
    <w:p w14:paraId="5F5E4C5F" w14:textId="3722C93F" w:rsidR="007224E7" w:rsidRDefault="007224E7" w:rsidP="00C628A8">
      <w:pPr>
        <w:pStyle w:val="ListParagraph"/>
        <w:numPr>
          <w:ilvl w:val="0"/>
          <w:numId w:val="47"/>
        </w:numPr>
      </w:pPr>
      <w:r>
        <w:t>Support jobseekers to upskill, train and gain appropriate work experience to build a job ready, skilled local workforce to meet manufacturing vacancies</w:t>
      </w:r>
      <w:r w:rsidR="00BB3014">
        <w:t>.</w:t>
      </w:r>
      <w:r>
        <w:t xml:space="preserve"> </w:t>
      </w:r>
    </w:p>
    <w:p w14:paraId="38EDDDDD" w14:textId="52C4D613" w:rsidR="00871CA8" w:rsidRDefault="00871CA8" w:rsidP="00871CA8">
      <w:pPr>
        <w:pStyle w:val="ListParagraph"/>
        <w:numPr>
          <w:ilvl w:val="0"/>
          <w:numId w:val="47"/>
        </w:numPr>
      </w:pPr>
      <w:r>
        <w:t>Provide local people the skills, technical knowledge and work experience required to fulfill seasonal and on-going roles in the ER’s agriculture and aquaculture industries.</w:t>
      </w:r>
    </w:p>
    <w:p w14:paraId="6B9DBC8C" w14:textId="2D25CE1F" w:rsidR="003F55ED" w:rsidRPr="00552589" w:rsidRDefault="00C628A8" w:rsidP="00C628A8">
      <w:pPr>
        <w:rPr>
          <w:i/>
          <w:iCs/>
        </w:rPr>
      </w:pPr>
      <w:r>
        <w:t xml:space="preserve">A full description of these key priorities and the strategies to address these can be found in </w:t>
      </w:r>
      <w:r w:rsidRPr="00BB3014">
        <w:rPr>
          <w:u w:val="single"/>
        </w:rPr>
        <w:t>Attachment A</w:t>
      </w:r>
      <w:r>
        <w:t>.</w:t>
      </w:r>
      <w:r w:rsidR="001B4E5C">
        <w:rPr>
          <w:rStyle w:val="SubtleEmphasis"/>
        </w:rPr>
        <w:br w:type="page"/>
      </w:r>
      <w:bookmarkStart w:id="23" w:name="_Toc54252357"/>
      <w:bookmarkStart w:id="24" w:name="_Toc54252386"/>
      <w:bookmarkStart w:id="25" w:name="_Toc54856985"/>
    </w:p>
    <w:p w14:paraId="1AE08DCA" w14:textId="485F9543" w:rsidR="001B4E5C" w:rsidRPr="00914634" w:rsidRDefault="00552589" w:rsidP="001B4E5C">
      <w:pPr>
        <w:pStyle w:val="Heading1"/>
      </w:pPr>
      <w:bookmarkStart w:id="26" w:name="_Toc79134282"/>
      <w:bookmarkEnd w:id="23"/>
      <w:bookmarkEnd w:id="24"/>
      <w:bookmarkEnd w:id="25"/>
      <w:r>
        <w:lastRenderedPageBreak/>
        <w:t>Regional snapshot</w:t>
      </w:r>
      <w:bookmarkEnd w:id="26"/>
    </w:p>
    <w:p w14:paraId="00D7EED8" w14:textId="35A9DF9C" w:rsidR="00F0683D" w:rsidRDefault="00F0683D" w:rsidP="00552589">
      <w:r w:rsidRPr="00E815AA">
        <w:rPr>
          <w:rFonts w:ascii="Calibri" w:eastAsia="Calibri" w:hAnsi="Calibri" w:cs="Times New Roman"/>
          <w:noProof/>
        </w:rPr>
        <w:drawing>
          <wp:inline distT="0" distB="0" distL="0" distR="0" wp14:anchorId="50F42AC7" wp14:editId="189CFFB8">
            <wp:extent cx="4055776" cy="3038159"/>
            <wp:effectExtent l="0" t="0" r="1905" b="0"/>
            <wp:docPr id="3" name="Picture 3" descr="Map of the Mackay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the Mackay Employment Region"/>
                    <pic:cNvPicPr/>
                  </pic:nvPicPr>
                  <pic:blipFill>
                    <a:blip r:embed="rId15"/>
                    <a:stretch>
                      <a:fillRect/>
                    </a:stretch>
                  </pic:blipFill>
                  <pic:spPr>
                    <a:xfrm>
                      <a:off x="0" y="0"/>
                      <a:ext cx="4073762" cy="3051632"/>
                    </a:xfrm>
                    <a:prstGeom prst="rect">
                      <a:avLst/>
                    </a:prstGeom>
                  </pic:spPr>
                </pic:pic>
              </a:graphicData>
            </a:graphic>
          </wp:inline>
        </w:drawing>
      </w:r>
    </w:p>
    <w:p w14:paraId="0AF9D1E1" w14:textId="3AB12433" w:rsidR="00F0683D" w:rsidRDefault="00F0683D" w:rsidP="00F0683D">
      <w:pPr>
        <w:spacing w:line="240" w:lineRule="auto"/>
        <w:contextualSpacing/>
      </w:pPr>
      <w:r w:rsidRPr="00F47F0B">
        <w:t>The Mackay E</w:t>
      </w:r>
      <w:r w:rsidR="00892735">
        <w:t>R</w:t>
      </w:r>
      <w:r w:rsidRPr="00F47F0B">
        <w:t xml:space="preserve"> is located about 1</w:t>
      </w:r>
      <w:r>
        <w:t>,</w:t>
      </w:r>
      <w:r w:rsidRPr="00F47F0B">
        <w:t>000 kms north of Brisbane</w:t>
      </w:r>
      <w:r>
        <w:t xml:space="preserve">; from St Lawrence to </w:t>
      </w:r>
      <w:proofErr w:type="spellStart"/>
      <w:r>
        <w:t>Gumlu</w:t>
      </w:r>
      <w:proofErr w:type="spellEnd"/>
      <w:r w:rsidRPr="00F47F0B">
        <w:t xml:space="preserve">, and </w:t>
      </w:r>
      <w:r>
        <w:t xml:space="preserve">west to </w:t>
      </w:r>
      <w:r w:rsidRPr="00F47F0B">
        <w:t>Clermont</w:t>
      </w:r>
      <w:r>
        <w:t>,</w:t>
      </w:r>
      <w:r w:rsidRPr="00F47F0B">
        <w:t xml:space="preserve"> Moranbah</w:t>
      </w:r>
      <w:r w:rsidR="00310C1A">
        <w:t>,</w:t>
      </w:r>
      <w:r w:rsidRPr="00F47F0B">
        <w:t xml:space="preserve"> and Dysart.  </w:t>
      </w:r>
    </w:p>
    <w:p w14:paraId="35EEC4B5" w14:textId="77777777" w:rsidR="00747F0D" w:rsidRDefault="00747F0D" w:rsidP="00F0683D">
      <w:pPr>
        <w:spacing w:line="240" w:lineRule="auto"/>
        <w:contextualSpacing/>
      </w:pPr>
    </w:p>
    <w:p w14:paraId="5A93CFAB" w14:textId="549055BB" w:rsidR="00F0683D" w:rsidRDefault="00F0683D" w:rsidP="00F0683D">
      <w:pPr>
        <w:spacing w:line="240" w:lineRule="auto"/>
        <w:contextualSpacing/>
      </w:pPr>
      <w:r>
        <w:t>Census (ABS,</w:t>
      </w:r>
      <w:r w:rsidR="0069493F">
        <w:t xml:space="preserve"> </w:t>
      </w:r>
      <w:r>
        <w:t>2019) data identified the population within the Mackay ER as 173,006 individuals (</w:t>
      </w:r>
      <w:r w:rsidRPr="00C424CE">
        <w:t>4.9% identified as Aboriginal or Torres Strait Islander</w:t>
      </w:r>
      <w:r>
        <w:t>), with 65.6% of the whole population aged between 15 and 64, with 80.4%</w:t>
      </w:r>
      <w:r w:rsidR="00BB3014">
        <w:t xml:space="preserve"> of this cohort</w:t>
      </w:r>
      <w:r>
        <w:t xml:space="preserve"> </w:t>
      </w:r>
      <w:r w:rsidR="00BB3014">
        <w:t xml:space="preserve">in </w:t>
      </w:r>
      <w:r>
        <w:t xml:space="preserve">employment. </w:t>
      </w:r>
    </w:p>
    <w:p w14:paraId="7392C5D5" w14:textId="77777777" w:rsidR="00F0683D" w:rsidRDefault="00F0683D" w:rsidP="00F0683D">
      <w:pPr>
        <w:spacing w:line="240" w:lineRule="auto"/>
        <w:contextualSpacing/>
      </w:pPr>
    </w:p>
    <w:p w14:paraId="60BC801A" w14:textId="4A21622A" w:rsidR="00F0683D" w:rsidRDefault="00F0683D" w:rsidP="00F0683D">
      <w:pPr>
        <w:spacing w:line="240" w:lineRule="auto"/>
        <w:contextualSpacing/>
      </w:pPr>
      <w:r>
        <w:t>The ER is split into three regions</w:t>
      </w:r>
      <w:r w:rsidR="00481304">
        <w:t xml:space="preserve">, incorporating </w:t>
      </w:r>
      <w:r w:rsidR="00474810">
        <w:t>L</w:t>
      </w:r>
      <w:r w:rsidR="00481304">
        <w:t xml:space="preserve">ocal </w:t>
      </w:r>
      <w:r w:rsidR="00474810">
        <w:t>G</w:t>
      </w:r>
      <w:r w:rsidR="00481304">
        <w:t xml:space="preserve">overnment </w:t>
      </w:r>
      <w:r w:rsidR="00474810">
        <w:t>A</w:t>
      </w:r>
      <w:r w:rsidR="00481304">
        <w:t xml:space="preserve">reas </w:t>
      </w:r>
      <w:r w:rsidR="00474810">
        <w:t xml:space="preserve">(LGAs) </w:t>
      </w:r>
      <w:r w:rsidR="00481304">
        <w:t xml:space="preserve">of </w:t>
      </w:r>
      <w:r>
        <w:t>Mackay, Isaac and Whitsunday.</w:t>
      </w:r>
    </w:p>
    <w:p w14:paraId="5B0AD0E1" w14:textId="77777777" w:rsidR="00F0683D" w:rsidRDefault="00F0683D" w:rsidP="00F0683D">
      <w:pPr>
        <w:spacing w:line="240" w:lineRule="auto"/>
        <w:contextualSpacing/>
      </w:pPr>
    </w:p>
    <w:p w14:paraId="1F823134" w14:textId="0E1826FE" w:rsidR="00F0683D" w:rsidRDefault="00F0683D" w:rsidP="00F0683D">
      <w:pPr>
        <w:spacing w:line="240" w:lineRule="auto"/>
        <w:contextualSpacing/>
      </w:pPr>
      <w:r>
        <w:t xml:space="preserve">The Mackay region is home to a diverse and vibrant community – including rural and coastal living opportunities in 30 townships, small rural </w:t>
      </w:r>
      <w:r w:rsidR="005E790E">
        <w:t>settlements,</w:t>
      </w:r>
      <w:r>
        <w:t xml:space="preserve"> and rural residential areas. The Mackay regional government area is one of the fastest growing in Queensland</w:t>
      </w:r>
      <w:r w:rsidRPr="00C653B8">
        <w:t>,</w:t>
      </w:r>
      <w:r>
        <w:t xml:space="preserve"> with a population of over 116,000 people. The region’s prosperous economy is expected to continue to drive strong population growth over the next 20 years. Only a</w:t>
      </w:r>
      <w:r w:rsidR="003A31C8">
        <w:t xml:space="preserve"> </w:t>
      </w:r>
      <w:r w:rsidR="005E790E">
        <w:t>one-hour</w:t>
      </w:r>
      <w:r>
        <w:t xml:space="preserve"> flight from Brisbane, the Mackay region boasts an enviable lifestyle </w:t>
      </w:r>
      <w:r w:rsidR="005E790E">
        <w:t>and buoyant</w:t>
      </w:r>
      <w:r>
        <w:t xml:space="preserve"> economy with the benefits of a fast-growing coastal city. The Mackay region comprises spectacular natural beauty – including 31 beautiful beaches, a picturesque blue </w:t>
      </w:r>
      <w:r w:rsidR="005E790E">
        <w:t>river,</w:t>
      </w:r>
      <w:r>
        <w:t xml:space="preserve"> and a pristine rainforest hinterland. Mackay Regional Council is the region's governing council</w:t>
      </w:r>
      <w:r w:rsidR="00474810">
        <w:t>.</w:t>
      </w:r>
      <w:r>
        <w:t xml:space="preserve"> For more information</w:t>
      </w:r>
      <w:r w:rsidR="00DC6660">
        <w:t xml:space="preserve"> </w:t>
      </w:r>
      <w:r>
        <w:t xml:space="preserve">visit </w:t>
      </w:r>
      <w:hyperlink r:id="rId16" w:history="1">
        <w:r w:rsidRPr="00207815">
          <w:rPr>
            <w:rStyle w:val="Hyperlink"/>
          </w:rPr>
          <w:t>www.mackay.qld.gov.au</w:t>
        </w:r>
      </w:hyperlink>
      <w:r>
        <w:t xml:space="preserve"> </w:t>
      </w:r>
    </w:p>
    <w:p w14:paraId="60A66C09" w14:textId="77777777" w:rsidR="00F0683D" w:rsidRDefault="00F0683D" w:rsidP="00F0683D">
      <w:pPr>
        <w:spacing w:line="240" w:lineRule="auto"/>
        <w:contextualSpacing/>
      </w:pPr>
    </w:p>
    <w:p w14:paraId="5F187802" w14:textId="5E92ECA9" w:rsidR="00F0683D" w:rsidRDefault="00F0683D" w:rsidP="00F0683D">
      <w:pPr>
        <w:spacing w:line="240" w:lineRule="auto"/>
        <w:contextualSpacing/>
      </w:pPr>
      <w:r>
        <w:t>The Isaac LGA spans 58,869km</w:t>
      </w:r>
      <w:r w:rsidR="00343C3D">
        <w:rPr>
          <w:rFonts w:cstheme="minorHAnsi"/>
        </w:rPr>
        <w:t>²</w:t>
      </w:r>
      <w:r>
        <w:t xml:space="preserve"> and hosts 25 operating coal mines, with a further two under construction and 27 in advanced development phase. Agriculture is another key industry for the region with a growing livestock sector. The Isaac region has a vibrant and active culture which values its arts, </w:t>
      </w:r>
      <w:r w:rsidR="005E790E">
        <w:t>history,</w:t>
      </w:r>
      <w:r>
        <w:t xml:space="preserve"> and community, in particular the Clermont Historical Centre, Nebo Museum, Coalface Art Gallery and Dysart Art Space. The estimated resident population is 20,941, although with an additional 15,734 resource sector workers housed in temporary accommodation at any one time, the full-time equivalent population is estimated at 36,675.</w:t>
      </w:r>
    </w:p>
    <w:p w14:paraId="48C0BCEB" w14:textId="77777777" w:rsidR="00F0683D" w:rsidRDefault="00F0683D" w:rsidP="00F0683D">
      <w:pPr>
        <w:spacing w:line="240" w:lineRule="auto"/>
        <w:contextualSpacing/>
      </w:pPr>
      <w:r>
        <w:t xml:space="preserve">Isaac Regional Council is the Isaac region's governing council.  For more information visit </w:t>
      </w:r>
      <w:hyperlink r:id="rId17" w:history="1">
        <w:r w:rsidRPr="00207815">
          <w:rPr>
            <w:rStyle w:val="Hyperlink"/>
          </w:rPr>
          <w:t>www.isaac.qld.gov.au</w:t>
        </w:r>
      </w:hyperlink>
      <w:r>
        <w:t xml:space="preserve"> </w:t>
      </w:r>
    </w:p>
    <w:p w14:paraId="11D0ED9C" w14:textId="77777777" w:rsidR="00F0683D" w:rsidRDefault="00F0683D" w:rsidP="00F0683D">
      <w:pPr>
        <w:spacing w:line="240" w:lineRule="auto"/>
        <w:contextualSpacing/>
      </w:pPr>
    </w:p>
    <w:p w14:paraId="4AFD2020" w14:textId="1B11F8CB" w:rsidR="00F0683D" w:rsidRDefault="00F0683D" w:rsidP="00F0683D">
      <w:pPr>
        <w:spacing w:line="240" w:lineRule="auto"/>
        <w:contextualSpacing/>
      </w:pPr>
      <w:r>
        <w:t>The Whitsunday region is the gateway to the Great Barrier Reef – it encompasses a total land area of 23,863km</w:t>
      </w:r>
      <w:r w:rsidR="00343C3D">
        <w:rPr>
          <w:rFonts w:cstheme="minorHAnsi"/>
        </w:rPr>
        <w:t>²</w:t>
      </w:r>
      <w:r>
        <w:t xml:space="preserve"> and includes the major townships of Proserpine, Cannonvale, Airlie Beach, Bowen and </w:t>
      </w:r>
      <w:r>
        <w:lastRenderedPageBreak/>
        <w:t xml:space="preserve">Collinsville. With 74 Whitsunday islands, the region is one of the fastest growing populations in </w:t>
      </w:r>
      <w:r w:rsidR="0001162A">
        <w:t>Queensland</w:t>
      </w:r>
      <w:r>
        <w:t xml:space="preserve">. Boasting a strong and diverse economy driven by the agriculture, construction, mining and tourism industries, the Whitsunday region is on track to becoming an economic powerhouse in </w:t>
      </w:r>
      <w:r w:rsidR="009218B4">
        <w:t>Queensland</w:t>
      </w:r>
      <w:r>
        <w:t xml:space="preserve">.  Renowned for its relaxed lifestyle, the region is home to beaches, </w:t>
      </w:r>
      <w:r w:rsidR="005E790E">
        <w:t>rainforests,</w:t>
      </w:r>
      <w:r>
        <w:t xml:space="preserve"> and large tracts of national parkland</w:t>
      </w:r>
      <w:r w:rsidR="00BB3014">
        <w:t>.</w:t>
      </w:r>
      <w:r>
        <w:t xml:space="preserve"> </w:t>
      </w:r>
    </w:p>
    <w:p w14:paraId="08DCF3D0" w14:textId="0B7E0C8D" w:rsidR="00F0683D" w:rsidRDefault="00F0683D" w:rsidP="00F0683D">
      <w:pPr>
        <w:spacing w:line="240" w:lineRule="auto"/>
        <w:contextualSpacing/>
      </w:pPr>
    </w:p>
    <w:p w14:paraId="081E4DC7" w14:textId="77777777" w:rsidR="00F0683D" w:rsidRDefault="00F0683D" w:rsidP="00F0683D">
      <w:pPr>
        <w:spacing w:line="240" w:lineRule="auto"/>
        <w:contextualSpacing/>
      </w:pPr>
      <w:r w:rsidRPr="0052057F">
        <w:t>Subtropical weather patterns dominate most of the Mackay region, with heavy rainfalls experienced in summer and typically dry weather during winter.</w:t>
      </w:r>
    </w:p>
    <w:p w14:paraId="0D9A7196" w14:textId="77777777" w:rsidR="00F0683D" w:rsidRDefault="00F0683D" w:rsidP="00F0683D">
      <w:pPr>
        <w:spacing w:line="240" w:lineRule="auto"/>
        <w:contextualSpacing/>
      </w:pPr>
    </w:p>
    <w:p w14:paraId="790433FF" w14:textId="7D47B514" w:rsidR="00F0683D" w:rsidRDefault="00F0683D" w:rsidP="00F0683D">
      <w:pPr>
        <w:spacing w:line="240" w:lineRule="auto"/>
        <w:contextualSpacing/>
      </w:pPr>
      <w:r w:rsidRPr="00F47F0B">
        <w:t xml:space="preserve">The ER is accessible by road, rail, </w:t>
      </w:r>
      <w:r w:rsidR="005E790E" w:rsidRPr="00F47F0B">
        <w:t>air,</w:t>
      </w:r>
      <w:r w:rsidRPr="00F47F0B">
        <w:t xml:space="preserve"> and sea. The Bruce and Peak Downs Highway cross the region. Queensland Rail has three trains that service the region</w:t>
      </w:r>
      <w:r>
        <w:t xml:space="preserve"> and t</w:t>
      </w:r>
      <w:r w:rsidRPr="00F47F0B">
        <w:t xml:space="preserve">here are several flights to major population </w:t>
      </w:r>
      <w:r w:rsidR="005E790E" w:rsidRPr="00F47F0B">
        <w:t>centers</w:t>
      </w:r>
      <w:r w:rsidRPr="00F47F0B">
        <w:t xml:space="preserve"> daily.  </w:t>
      </w:r>
    </w:p>
    <w:p w14:paraId="314BB9CB" w14:textId="77777777" w:rsidR="00F0683D" w:rsidRDefault="00F0683D" w:rsidP="00F0683D">
      <w:pPr>
        <w:spacing w:line="240" w:lineRule="auto"/>
        <w:contextualSpacing/>
      </w:pPr>
    </w:p>
    <w:p w14:paraId="01ECE03E" w14:textId="3C034152" w:rsidR="00343C3D" w:rsidRDefault="00F0683D" w:rsidP="00F0683D">
      <w:pPr>
        <w:spacing w:line="240" w:lineRule="auto"/>
        <w:contextualSpacing/>
      </w:pPr>
      <w:r w:rsidRPr="0098632D">
        <w:t xml:space="preserve">The Mackay ER covers a large section of Central </w:t>
      </w:r>
      <w:r w:rsidR="009218B4">
        <w:t>Queensland</w:t>
      </w:r>
      <w:r w:rsidRPr="0098632D">
        <w:t xml:space="preserve"> and</w:t>
      </w:r>
      <w:r w:rsidR="00BB3014">
        <w:t>,</w:t>
      </w:r>
      <w:r w:rsidRPr="0098632D">
        <w:t xml:space="preserve"> as a result, there are a variety of employment opportunities in different industries. </w:t>
      </w:r>
      <w:r>
        <w:t xml:space="preserve">The ER supports an estimated 85,165 jobs, representing 4% of the 2,130,837 people working in </w:t>
      </w:r>
      <w:r w:rsidR="009218B4">
        <w:t>Queensland</w:t>
      </w:r>
      <w:r>
        <w:t>, and 0.8% of the 10,683,322 people working in Australia (ABS, 2016 Census). The locality of Mackay contains the highest number of jobs</w:t>
      </w:r>
      <w:r w:rsidR="00BB3014">
        <w:t xml:space="preserve"> in the ER</w:t>
      </w:r>
      <w:r>
        <w:t xml:space="preserve">, with 47,975 in Mackay (56.3%), 21,462 in Isaac (25.2%) and 15,805 in Whitsunday (18.6%). </w:t>
      </w:r>
      <w:r w:rsidRPr="0098632D">
        <w:t>The main industries in the Mackay ER are: Coal Mining and its supporting industries (Mackay, Clermont</w:t>
      </w:r>
      <w:r w:rsidR="00481304">
        <w:t>,</w:t>
      </w:r>
      <w:r w:rsidRPr="0098632D">
        <w:t xml:space="preserve"> and Moranbah area</w:t>
      </w:r>
      <w:r w:rsidR="00E17B21">
        <w:t>s</w:t>
      </w:r>
      <w:r w:rsidRPr="0098632D">
        <w:t>), Agricultural Industry Sugar Cane (Mackay Region) and Tourism (Bowen, Proserpine</w:t>
      </w:r>
      <w:r w:rsidR="00481304">
        <w:t>,</w:t>
      </w:r>
      <w:r w:rsidRPr="0098632D">
        <w:t xml:space="preserve"> and Whitsunday).</w:t>
      </w:r>
    </w:p>
    <w:p w14:paraId="412379D6" w14:textId="32E4786E" w:rsidR="00F0683D" w:rsidRPr="0098632D" w:rsidRDefault="00F0683D" w:rsidP="00F0683D">
      <w:pPr>
        <w:spacing w:line="240" w:lineRule="auto"/>
        <w:contextualSpacing/>
      </w:pPr>
      <w:r w:rsidRPr="0098632D">
        <w:t xml:space="preserve">   </w:t>
      </w:r>
    </w:p>
    <w:p w14:paraId="0905DF76" w14:textId="64ECECE1" w:rsidR="00F0683D" w:rsidRDefault="00F0683D" w:rsidP="00F0683D">
      <w:pPr>
        <w:spacing w:line="240" w:lineRule="auto"/>
        <w:contextualSpacing/>
      </w:pPr>
      <w:r w:rsidRPr="00630E95">
        <w:t xml:space="preserve">The </w:t>
      </w:r>
      <w:r w:rsidR="009218B4">
        <w:t>Queensland</w:t>
      </w:r>
      <w:r w:rsidR="00BB3014">
        <w:t xml:space="preserve"> </w:t>
      </w:r>
      <w:r w:rsidRPr="00630E95">
        <w:t xml:space="preserve">Department of Education and school directory identifies 78 schools across the ER, 59 </w:t>
      </w:r>
      <w:r w:rsidR="00F105C4">
        <w:t>s</w:t>
      </w:r>
      <w:r w:rsidRPr="00630E95">
        <w:t xml:space="preserve">tate primary and high schools, 16 are non-state schools and there is one special </w:t>
      </w:r>
      <w:r>
        <w:t xml:space="preserve">education </w:t>
      </w:r>
      <w:r w:rsidRPr="00630E95">
        <w:t xml:space="preserve">school. Nearly all the schools are in the major population </w:t>
      </w:r>
      <w:r w:rsidR="005E790E" w:rsidRPr="00630E95">
        <w:t>centers</w:t>
      </w:r>
      <w:r w:rsidRPr="00630E95">
        <w:t xml:space="preserve"> </w:t>
      </w:r>
      <w:r w:rsidR="007E1ADA">
        <w:t xml:space="preserve">of </w:t>
      </w:r>
      <w:r w:rsidRPr="00630E95">
        <w:t xml:space="preserve">Mackay, Moranbah, Sarina, </w:t>
      </w:r>
      <w:r w:rsidR="00B95534" w:rsidRPr="00630E95">
        <w:t>Clermont,</w:t>
      </w:r>
      <w:r w:rsidRPr="00630E95">
        <w:t xml:space="preserve"> and Bowen</w:t>
      </w:r>
      <w:r>
        <w:t>.</w:t>
      </w:r>
    </w:p>
    <w:p w14:paraId="415A67BE" w14:textId="77777777" w:rsidR="00F0683D" w:rsidRDefault="00F0683D" w:rsidP="00F0683D">
      <w:pPr>
        <w:spacing w:line="240" w:lineRule="auto"/>
        <w:contextualSpacing/>
      </w:pPr>
    </w:p>
    <w:p w14:paraId="444AAE81" w14:textId="7B792056" w:rsidR="00F0683D" w:rsidRDefault="00F0683D" w:rsidP="00F0683D">
      <w:pPr>
        <w:spacing w:line="240" w:lineRule="auto"/>
        <w:contextualSpacing/>
      </w:pPr>
      <w:r>
        <w:t>There are two universities located in the ER: James Cook University (JCU) and CQ University</w:t>
      </w:r>
      <w:r w:rsidR="00D62139">
        <w:t xml:space="preserve"> (CQU)</w:t>
      </w:r>
      <w:r>
        <w:t xml:space="preserve">. JCU’s campus is in Mackay and offers multiple fields of study including courses in marine science, </w:t>
      </w:r>
      <w:r w:rsidR="00B95534">
        <w:t>nursing,</w:t>
      </w:r>
      <w:r>
        <w:t xml:space="preserve"> and midwifery, teaching and education and </w:t>
      </w:r>
      <w:r w:rsidR="00D62139">
        <w:t>v</w:t>
      </w:r>
      <w:r>
        <w:t xml:space="preserve">eterinary and animal science. </w:t>
      </w:r>
      <w:r w:rsidRPr="00F47F0B">
        <w:t>CQ</w:t>
      </w:r>
      <w:r w:rsidR="00D62139">
        <w:t>U</w:t>
      </w:r>
      <w:r w:rsidRPr="00F47F0B">
        <w:t xml:space="preserve"> has </w:t>
      </w:r>
      <w:r>
        <w:t xml:space="preserve">two </w:t>
      </w:r>
      <w:r w:rsidRPr="00F47F0B">
        <w:t>campus</w:t>
      </w:r>
      <w:r>
        <w:t>’: Mackay City and the Ooralea Campus</w:t>
      </w:r>
      <w:r w:rsidRPr="00F47F0B">
        <w:t xml:space="preserve">. </w:t>
      </w:r>
      <w:r>
        <w:t xml:space="preserve">CQU offers multiple fields of study include </w:t>
      </w:r>
      <w:r w:rsidRPr="00F47F0B">
        <w:t xml:space="preserve">allied health, visual and creative arts, health, education, IT, law and </w:t>
      </w:r>
      <w:r>
        <w:t xml:space="preserve">following a merger with CQ TAFE in 2014, </w:t>
      </w:r>
      <w:r w:rsidRPr="00F47F0B">
        <w:t>trades</w:t>
      </w:r>
      <w:r>
        <w:t>.</w:t>
      </w:r>
    </w:p>
    <w:p w14:paraId="6C481519" w14:textId="245E4756" w:rsidR="00F0683D" w:rsidRDefault="00F0683D" w:rsidP="00F0683D">
      <w:pPr>
        <w:spacing w:line="240" w:lineRule="auto"/>
        <w:contextualSpacing/>
      </w:pPr>
    </w:p>
    <w:p w14:paraId="62E90D57" w14:textId="33A92858" w:rsidR="00F0683D" w:rsidRDefault="00F0683D" w:rsidP="00F0683D">
      <w:pPr>
        <w:spacing w:line="240" w:lineRule="auto"/>
        <w:contextualSpacing/>
      </w:pPr>
      <w:r>
        <w:t>TAFE training in the ER is delivered by TAFE Queensland and CQU (</w:t>
      </w:r>
      <w:hyperlink r:id="rId18" w:history="1">
        <w:r w:rsidRPr="0073235B">
          <w:rPr>
            <w:rStyle w:val="Hyperlink"/>
          </w:rPr>
          <w:t>DESBT, Building Future Skills Report, 2019</w:t>
        </w:r>
      </w:hyperlink>
      <w:r>
        <w:t xml:space="preserve">). TAFE Queensland’s Cannonvale and Bowen training centres deliver general education and training, </w:t>
      </w:r>
      <w:r w:rsidR="00B95534">
        <w:t>tourism,</w:t>
      </w:r>
      <w:r>
        <w:t xml:space="preserve"> and hospitality training. Bowen’s training centre delivers training in trades and technology-related fields as well as community services. The Mackay campus is at CQU and delivers programs in hair and beauty, fitness, childcare and hospitality utilising a training kitchen. Ooralea specialises in trade training, engineering technology and computer laboratories. The Clermont site no longer offers training and includes a single unused residential building. </w:t>
      </w:r>
    </w:p>
    <w:p w14:paraId="4FE36D68" w14:textId="244C5981" w:rsidR="00F0683D" w:rsidRDefault="00F0683D" w:rsidP="00F0683D">
      <w:pPr>
        <w:spacing w:line="240" w:lineRule="auto"/>
        <w:contextualSpacing/>
      </w:pPr>
    </w:p>
    <w:p w14:paraId="0102E5B0" w14:textId="3D42224A" w:rsidR="00F0683D" w:rsidRDefault="00F0683D" w:rsidP="00F0683D">
      <w:pPr>
        <w:spacing w:line="240" w:lineRule="auto"/>
        <w:contextualSpacing/>
      </w:pPr>
      <w:r w:rsidRPr="00CB6F31">
        <w:t xml:space="preserve">The Mackay ER has </w:t>
      </w:r>
      <w:r>
        <w:t>seven</w:t>
      </w:r>
      <w:r w:rsidRPr="00CB6F31">
        <w:t xml:space="preserve"> public hospitals and </w:t>
      </w:r>
      <w:r>
        <w:t>one</w:t>
      </w:r>
      <w:r w:rsidRPr="00CB6F31">
        <w:t xml:space="preserve"> private hospital. The Mackay Base Hospital is the largest public hospital for </w:t>
      </w:r>
      <w:r w:rsidR="00FB69FF">
        <w:t xml:space="preserve">the </w:t>
      </w:r>
      <w:r w:rsidRPr="00CB6F31">
        <w:t xml:space="preserve">region and is the major referral centre for patients in the region who need specialist services. The hospital offers general health support as well as coronary care, renal support, </w:t>
      </w:r>
      <w:r w:rsidR="00B95534" w:rsidRPr="00CB6F31">
        <w:t>oncology,</w:t>
      </w:r>
      <w:r w:rsidRPr="00CB6F31">
        <w:t xml:space="preserve"> and dental services. The </w:t>
      </w:r>
      <w:r w:rsidR="00D75EBB">
        <w:t>h</w:t>
      </w:r>
      <w:r w:rsidRPr="00CB6F31">
        <w:t xml:space="preserve">ospital was upgraded in 2014 and the total number of beds increased to 318. </w:t>
      </w:r>
    </w:p>
    <w:p w14:paraId="67324443" w14:textId="77777777" w:rsidR="00F0683D" w:rsidRDefault="00F0683D" w:rsidP="00F0683D">
      <w:pPr>
        <w:spacing w:line="240" w:lineRule="auto"/>
        <w:contextualSpacing/>
      </w:pPr>
    </w:p>
    <w:p w14:paraId="0E71A871" w14:textId="7C0E0CF1" w:rsidR="00F0683D" w:rsidRDefault="00F0683D" w:rsidP="00F0683D">
      <w:pPr>
        <w:spacing w:line="240" w:lineRule="auto"/>
        <w:contextualSpacing/>
      </w:pPr>
      <w:r>
        <w:t xml:space="preserve">The other </w:t>
      </w:r>
      <w:r w:rsidR="00B95534">
        <w:t>six</w:t>
      </w:r>
      <w:r w:rsidR="00B95534" w:rsidRPr="00CB6F31">
        <w:t xml:space="preserve"> </w:t>
      </w:r>
      <w:r w:rsidRPr="00CB6F31">
        <w:t xml:space="preserve">hospitals </w:t>
      </w:r>
      <w:r>
        <w:t xml:space="preserve">are </w:t>
      </w:r>
      <w:r w:rsidRPr="00CB6F31">
        <w:t>based in Sarina</w:t>
      </w:r>
      <w:r w:rsidR="00D75EBB">
        <w:t>,</w:t>
      </w:r>
      <w:r w:rsidRPr="00CB6F31">
        <w:t xml:space="preserve"> Proserpine</w:t>
      </w:r>
      <w:r w:rsidR="00D75EBB">
        <w:t>,</w:t>
      </w:r>
      <w:r w:rsidRPr="00CB6F31">
        <w:t xml:space="preserve"> Moranbah</w:t>
      </w:r>
      <w:r w:rsidR="00D75EBB">
        <w:t>,</w:t>
      </w:r>
      <w:r w:rsidRPr="00CB6F31">
        <w:t xml:space="preserve"> Bowen</w:t>
      </w:r>
      <w:r w:rsidR="00D75EBB">
        <w:t>,</w:t>
      </w:r>
      <w:r w:rsidRPr="00CB6F31">
        <w:t xml:space="preserve"> Dysart and Collinsvale</w:t>
      </w:r>
      <w:r>
        <w:t xml:space="preserve"> and </w:t>
      </w:r>
      <w:r w:rsidRPr="00CB6F31">
        <w:t xml:space="preserve">two Community Health Centres located in </w:t>
      </w:r>
      <w:r w:rsidRPr="00B95534">
        <w:t>the Whitsunday</w:t>
      </w:r>
      <w:r w:rsidR="00B95534" w:rsidRPr="00B95534">
        <w:t>s</w:t>
      </w:r>
      <w:r w:rsidRPr="00CB6F31">
        <w:t xml:space="preserve"> and Middlemount.  </w:t>
      </w:r>
    </w:p>
    <w:p w14:paraId="2012819B" w14:textId="26F869C6" w:rsidR="00F0683D" w:rsidRDefault="00F0683D" w:rsidP="00F0683D">
      <w:pPr>
        <w:spacing w:line="240" w:lineRule="auto"/>
        <w:contextualSpacing/>
      </w:pPr>
    </w:p>
    <w:p w14:paraId="21CA8113" w14:textId="1FE97DBE" w:rsidR="00F0683D" w:rsidRPr="00914634" w:rsidRDefault="00F0683D" w:rsidP="00F0683D">
      <w:pPr>
        <w:pStyle w:val="Heading1"/>
      </w:pPr>
      <w:bookmarkStart w:id="27" w:name="_Toc79134283"/>
      <w:r>
        <w:lastRenderedPageBreak/>
        <w:t>Industry Profile</w:t>
      </w:r>
      <w:bookmarkEnd w:id="27"/>
    </w:p>
    <w:p w14:paraId="22FE8C80" w14:textId="4A65B480" w:rsidR="00F0683D" w:rsidRDefault="00F0683D" w:rsidP="00F0683D">
      <w:pPr>
        <w:pStyle w:val="Heading2"/>
      </w:pPr>
      <w:bookmarkStart w:id="28" w:name="_Toc79134284"/>
      <w:r>
        <w:t>General Overview</w:t>
      </w:r>
      <w:bookmarkEnd w:id="28"/>
    </w:p>
    <w:p w14:paraId="0A925A2A" w14:textId="2D2A43E8" w:rsidR="00F0683D" w:rsidRDefault="00E40CFA" w:rsidP="00F0683D">
      <w:pPr>
        <w:spacing w:line="240" w:lineRule="auto"/>
        <w:contextualSpacing/>
      </w:pPr>
      <w:r>
        <w:br/>
      </w:r>
      <w:r w:rsidR="00F0683D">
        <w:t>Mackay features a diverse industrial sector that is a world leader in mining equipment, technology</w:t>
      </w:r>
      <w:r w:rsidR="0069493F">
        <w:t>,</w:t>
      </w:r>
      <w:r w:rsidR="00F0683D">
        <w:t xml:space="preserve"> and services (METs). As one of the six key growth industries identified by the Queensland State Government, Mackay’s METs sector will continue to expand and capitalise as the service industry hub of the Bowen and Galilee Basins.</w:t>
      </w:r>
    </w:p>
    <w:p w14:paraId="2B99B502" w14:textId="77777777" w:rsidR="00F0683D" w:rsidRDefault="00F0683D" w:rsidP="00F0683D">
      <w:pPr>
        <w:spacing w:line="240" w:lineRule="auto"/>
        <w:contextualSpacing/>
      </w:pPr>
    </w:p>
    <w:p w14:paraId="42C1C699" w14:textId="1A4D00EE" w:rsidR="00F0683D" w:rsidRDefault="00F0683D" w:rsidP="00F0683D">
      <w:pPr>
        <w:spacing w:line="240" w:lineRule="auto"/>
        <w:contextualSpacing/>
      </w:pPr>
      <w:r>
        <w:t xml:space="preserve">Coal is Queensland’s largest output in the resources sector, with a large portion of the </w:t>
      </w:r>
      <w:r w:rsidR="003740C9">
        <w:t>s</w:t>
      </w:r>
      <w:r>
        <w:t xml:space="preserve">tate’s coal coming out of the Mackay and Central </w:t>
      </w:r>
      <w:r w:rsidR="000E4EB6">
        <w:t>Queensland</w:t>
      </w:r>
      <w:r>
        <w:t xml:space="preserve"> regions. Within the Mackay region, substantial coal mining activity takes place around the Bowen Basin</w:t>
      </w:r>
      <w:r w:rsidR="005B1C11">
        <w:t xml:space="preserve"> </w:t>
      </w:r>
      <w:r w:rsidR="00B95534">
        <w:t>which makes</w:t>
      </w:r>
      <w:r>
        <w:t xml:space="preserve"> the Mackay ER subject to the boom or bust cycle of mining. </w:t>
      </w:r>
      <w:r w:rsidR="003740C9">
        <w:t>It is also unknown how the</w:t>
      </w:r>
      <w:r>
        <w:t xml:space="preserve"> uncertainty around </w:t>
      </w:r>
      <w:r w:rsidR="009F6268">
        <w:t xml:space="preserve">the trade issues with </w:t>
      </w:r>
      <w:r w:rsidR="00B95534">
        <w:t>China will</w:t>
      </w:r>
      <w:r>
        <w:t xml:space="preserve"> affect Mackay in the future.</w:t>
      </w:r>
    </w:p>
    <w:p w14:paraId="1EECB041" w14:textId="77777777" w:rsidR="00F0683D" w:rsidRDefault="00F0683D" w:rsidP="00F0683D">
      <w:pPr>
        <w:spacing w:line="240" w:lineRule="auto"/>
        <w:contextualSpacing/>
      </w:pPr>
    </w:p>
    <w:p w14:paraId="79326AD4" w14:textId="4934B3D2" w:rsidR="00F0683D" w:rsidRDefault="00F0683D" w:rsidP="00F0683D">
      <w:pPr>
        <w:spacing w:line="240" w:lineRule="auto"/>
        <w:contextualSpacing/>
      </w:pPr>
      <w:r>
        <w:t>Surrounding Mackay, Whitsunday, Isaac and Sarina LGAs</w:t>
      </w:r>
      <w:r w:rsidR="00DF15DF">
        <w:t>,</w:t>
      </w:r>
      <w:r w:rsidR="00037372">
        <w:t xml:space="preserve"> sugar production is still a mainstay of </w:t>
      </w:r>
      <w:r w:rsidR="00B95534">
        <w:t>the agricultural</w:t>
      </w:r>
      <w:r>
        <w:t xml:space="preserve"> </w:t>
      </w:r>
      <w:r w:rsidR="00AA527A">
        <w:t>sector</w:t>
      </w:r>
      <w:r>
        <w:t>. Beef and poultry are also produced in the region. While the seasonal nature of much primary produce provides opportunities for those seeking short term work options, there is also a growing demand for technical and scientific support for the agricultural sector.</w:t>
      </w:r>
    </w:p>
    <w:p w14:paraId="1E393038" w14:textId="77777777" w:rsidR="00F0683D" w:rsidRDefault="00F0683D" w:rsidP="00F0683D">
      <w:pPr>
        <w:spacing w:line="240" w:lineRule="auto"/>
        <w:contextualSpacing/>
      </w:pPr>
    </w:p>
    <w:p w14:paraId="12FB88B9" w14:textId="178F34EF" w:rsidR="00F0683D" w:rsidRDefault="00F0683D" w:rsidP="00F0683D">
      <w:pPr>
        <w:spacing w:line="240" w:lineRule="auto"/>
        <w:contextualSpacing/>
      </w:pPr>
      <w:r>
        <w:t>Ever increasing health needs are driving the growth of the health sector and are reflected in the focus on health-related qualifications at the regions universities. Allied health roles are in demand both in hospital settings and throughout the community</w:t>
      </w:r>
    </w:p>
    <w:p w14:paraId="56B8D368" w14:textId="77777777" w:rsidR="00F0683D" w:rsidRDefault="00F0683D" w:rsidP="00F0683D">
      <w:pPr>
        <w:spacing w:line="240" w:lineRule="auto"/>
        <w:contextualSpacing/>
      </w:pPr>
    </w:p>
    <w:p w14:paraId="0B933173" w14:textId="6BEE8538" w:rsidR="00F0683D" w:rsidRDefault="00F0683D" w:rsidP="00F0683D">
      <w:pPr>
        <w:spacing w:line="240" w:lineRule="auto"/>
        <w:contextualSpacing/>
      </w:pPr>
      <w:r w:rsidRPr="00484060">
        <w:t xml:space="preserve">The tourism sector is also key as </w:t>
      </w:r>
      <w:r w:rsidR="003C39D6">
        <w:t xml:space="preserve">both </w:t>
      </w:r>
      <w:r w:rsidRPr="00484060">
        <w:t>a large employing sector providing entry level jobs and as a growth stimulator. While employment in this sector is not recognised as secure, there are many introductory level opportunities which can develop skills in new entrants to the workforce and help orient them for working life.</w:t>
      </w:r>
    </w:p>
    <w:p w14:paraId="768540AC" w14:textId="510CDD6C" w:rsidR="00017DF8" w:rsidRDefault="00017DF8">
      <w:r>
        <w:br w:type="page"/>
      </w:r>
    </w:p>
    <w:p w14:paraId="7A1B898F" w14:textId="511A7BDF" w:rsidR="00F0683D" w:rsidRDefault="00F0683D" w:rsidP="00017DF8">
      <w:pPr>
        <w:pStyle w:val="Heading2"/>
      </w:pPr>
      <w:bookmarkStart w:id="29" w:name="_Toc79134285"/>
      <w:r>
        <w:lastRenderedPageBreak/>
        <w:t xml:space="preserve">Employing </w:t>
      </w:r>
      <w:r w:rsidR="00017DF8">
        <w:t>industries</w:t>
      </w:r>
      <w:bookmarkEnd w:id="29"/>
    </w:p>
    <w:p w14:paraId="5B2EC707" w14:textId="05E36DBD" w:rsidR="00017DF8" w:rsidRDefault="00E40CFA" w:rsidP="00017DF8">
      <w:pPr>
        <w:spacing w:line="240" w:lineRule="auto"/>
        <w:contextualSpacing/>
      </w:pPr>
      <w:r>
        <w:br/>
      </w:r>
      <w:r w:rsidR="00017DF8">
        <w:t xml:space="preserve">The largest employing industries in the Mackay ER are </w:t>
      </w:r>
      <w:r w:rsidR="0069493F">
        <w:t>m</w:t>
      </w:r>
      <w:r w:rsidR="00017DF8">
        <w:t xml:space="preserve">ining (16.9%), </w:t>
      </w:r>
      <w:r w:rsidR="0069493F">
        <w:t>h</w:t>
      </w:r>
      <w:r w:rsidR="00017DF8">
        <w:t xml:space="preserve">ealthcare and </w:t>
      </w:r>
      <w:r w:rsidR="0069493F">
        <w:t>s</w:t>
      </w:r>
      <w:r w:rsidR="00017DF8">
        <w:t xml:space="preserve">ocial </w:t>
      </w:r>
      <w:r w:rsidR="0069493F">
        <w:t>a</w:t>
      </w:r>
      <w:r w:rsidR="00017DF8">
        <w:t xml:space="preserve">ssistance (12.5%), </w:t>
      </w:r>
      <w:r w:rsidR="0069493F">
        <w:t>c</w:t>
      </w:r>
      <w:r w:rsidR="00017DF8">
        <w:t xml:space="preserve">onstruction (10.5%) and </w:t>
      </w:r>
      <w:r w:rsidR="0069493F">
        <w:t>r</w:t>
      </w:r>
      <w:r w:rsidR="00017DF8">
        <w:t xml:space="preserve">etail </w:t>
      </w:r>
      <w:r w:rsidR="0069493F">
        <w:t>t</w:t>
      </w:r>
      <w:r w:rsidR="00017DF8">
        <w:t>rade (8%). Together</w:t>
      </w:r>
      <w:r w:rsidR="003F71DF">
        <w:t>,</w:t>
      </w:r>
      <w:r w:rsidR="00017DF8">
        <w:t xml:space="preserve"> these top four employing industries account for 48% of employment</w:t>
      </w:r>
      <w:r w:rsidR="006E372A">
        <w:t xml:space="preserve"> in the region</w:t>
      </w:r>
      <w:r w:rsidR="00017DF8">
        <w:t>.</w:t>
      </w:r>
    </w:p>
    <w:p w14:paraId="041BAD1E" w14:textId="77777777" w:rsidR="00017DF8" w:rsidRDefault="00017DF8" w:rsidP="00017DF8">
      <w:pPr>
        <w:spacing w:line="240" w:lineRule="auto"/>
        <w:contextualSpacing/>
        <w:rPr>
          <w:b/>
          <w:bCs/>
        </w:rPr>
      </w:pPr>
    </w:p>
    <w:p w14:paraId="68E7DB07" w14:textId="00F5951A" w:rsidR="00F0683D" w:rsidRDefault="00017DF8" w:rsidP="00B95534">
      <w:pPr>
        <w:spacing w:line="240" w:lineRule="auto"/>
        <w:contextualSpacing/>
      </w:pPr>
      <w:r w:rsidRPr="008A7FA5">
        <w:rPr>
          <w:b/>
          <w:bCs/>
        </w:rPr>
        <w:t>Figure 1</w:t>
      </w:r>
      <w:r>
        <w:rPr>
          <w:b/>
          <w:bCs/>
        </w:rPr>
        <w:t>:</w:t>
      </w:r>
      <w:r w:rsidRPr="008A7FA5">
        <w:rPr>
          <w:b/>
          <w:bCs/>
        </w:rPr>
        <w:t xml:space="preserve"> </w:t>
      </w:r>
      <w:r>
        <w:rPr>
          <w:b/>
          <w:bCs/>
        </w:rPr>
        <w:t>E</w:t>
      </w:r>
      <w:r w:rsidRPr="008A7FA5">
        <w:rPr>
          <w:b/>
          <w:bCs/>
        </w:rPr>
        <w:t xml:space="preserve">mployment by </w:t>
      </w:r>
      <w:r>
        <w:rPr>
          <w:b/>
          <w:bCs/>
        </w:rPr>
        <w:t>I</w:t>
      </w:r>
      <w:r w:rsidRPr="008A7FA5">
        <w:rPr>
          <w:b/>
          <w:bCs/>
        </w:rPr>
        <w:t xml:space="preserve">ndustry </w:t>
      </w:r>
      <w:r>
        <w:rPr>
          <w:b/>
          <w:bCs/>
        </w:rPr>
        <w:t>(February 2021)</w:t>
      </w:r>
    </w:p>
    <w:p w14:paraId="7DB44740" w14:textId="198F5C4C" w:rsidR="00F0683D" w:rsidRDefault="00017DF8" w:rsidP="00017DF8">
      <w:pPr>
        <w:spacing w:line="240" w:lineRule="auto"/>
        <w:contextualSpacing/>
      </w:pPr>
      <w:r>
        <w:rPr>
          <w:noProof/>
        </w:rPr>
        <w:drawing>
          <wp:inline distT="0" distB="0" distL="0" distR="0" wp14:anchorId="2BD48C3A" wp14:editId="3D115598">
            <wp:extent cx="5819775" cy="4114800"/>
            <wp:effectExtent l="0" t="0" r="0" b="0"/>
            <wp:docPr id="1" name="Chart 1" descr="Pie chart showing the percentage of employment by industry ">
              <a:extLst xmlns:a="http://schemas.openxmlformats.org/drawingml/2006/main">
                <a:ext uri="{FF2B5EF4-FFF2-40B4-BE49-F238E27FC236}">
                  <a16:creationId xmlns:a16="http://schemas.microsoft.com/office/drawing/2014/main" id="{402AD607-6D57-4682-9366-5605C41C7C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544477" w14:textId="0560EC1F" w:rsidR="00F0683D" w:rsidRPr="00017DF8" w:rsidRDefault="00017DF8" w:rsidP="00017DF8">
      <w:pPr>
        <w:spacing w:line="240" w:lineRule="auto"/>
        <w:contextualSpacing/>
        <w:rPr>
          <w:sz w:val="14"/>
          <w:szCs w:val="14"/>
        </w:rPr>
      </w:pPr>
      <w:r w:rsidRPr="00017DF8">
        <w:rPr>
          <w:sz w:val="14"/>
          <w:szCs w:val="14"/>
        </w:rPr>
        <w:t>Source: Labour Market Information Portal, ABS Labour Force Regions – SA4 Data, Mackay – Isaac - Whitsunday, February 2021. ‘Other Services’ includes 8 industries: O</w:t>
      </w:r>
      <w:r w:rsidRPr="00017DF8">
        <w:rPr>
          <w:i/>
          <w:iCs/>
          <w:sz w:val="14"/>
          <w:szCs w:val="14"/>
        </w:rPr>
        <w:t>ther Services, Rental, Hiring and Real Estate Services, Electricity, Gas, Water and Waste Services, Arts and Recreation Services, Information Media and Telecommunications, Financial and Insurance Services, Public Administration and Safety and Wholesale Trade</w:t>
      </w:r>
      <w:r w:rsidRPr="00017DF8">
        <w:rPr>
          <w:sz w:val="14"/>
          <w:szCs w:val="14"/>
        </w:rPr>
        <w:t>.</w:t>
      </w:r>
    </w:p>
    <w:p w14:paraId="7D4B1995" w14:textId="3C716F1B" w:rsidR="001B4E5C" w:rsidRDefault="001B4E5C" w:rsidP="00017DF8">
      <w:pPr>
        <w:spacing w:line="240" w:lineRule="auto"/>
        <w:contextualSpacing/>
      </w:pPr>
      <w:r w:rsidRPr="00914634">
        <w:t xml:space="preserve"> </w:t>
      </w:r>
    </w:p>
    <w:p w14:paraId="66C0363F" w14:textId="26F07ABF" w:rsidR="00017DF8" w:rsidRDefault="00017DF8" w:rsidP="00017DF8">
      <w:pPr>
        <w:pStyle w:val="Heading2"/>
      </w:pPr>
      <w:bookmarkStart w:id="30" w:name="_Toc79134286"/>
      <w:r>
        <w:t>Top four employing industries highlights, plus Agriculture and Tourism</w:t>
      </w:r>
      <w:bookmarkEnd w:id="30"/>
    </w:p>
    <w:p w14:paraId="07B7DAF8" w14:textId="77777777" w:rsidR="00017DF8" w:rsidRPr="008A7FA5" w:rsidRDefault="00017DF8" w:rsidP="00017DF8">
      <w:pPr>
        <w:pStyle w:val="Heading3"/>
      </w:pPr>
      <w:bookmarkStart w:id="31" w:name="_Toc79134287"/>
      <w:r w:rsidRPr="008A7FA5">
        <w:t>Mining in the Bowen Basin</w:t>
      </w:r>
      <w:bookmarkEnd w:id="31"/>
    </w:p>
    <w:p w14:paraId="43572E79" w14:textId="3AC5FCEE" w:rsidR="00337EF9" w:rsidRDefault="00017DF8" w:rsidP="00017DF8">
      <w:pPr>
        <w:spacing w:line="240" w:lineRule="auto"/>
        <w:contextualSpacing/>
      </w:pPr>
      <w:r>
        <w:t>Currently</w:t>
      </w:r>
      <w:r w:rsidR="00700E8B">
        <w:t>,</w:t>
      </w:r>
      <w:r>
        <w:t xml:space="preserve"> the Bowen Basin </w:t>
      </w:r>
      <w:r w:rsidR="00544C0F">
        <w:t>(</w:t>
      </w:r>
      <w:r w:rsidR="00DE2991">
        <w:t xml:space="preserve">approximately </w:t>
      </w:r>
      <w:r w:rsidR="00544C0F">
        <w:t xml:space="preserve">220 kms from Moranbah) </w:t>
      </w:r>
      <w:r>
        <w:t>contains most of Australia</w:t>
      </w:r>
      <w:r w:rsidR="00700E8B">
        <w:t>’s</w:t>
      </w:r>
      <w:r>
        <w:t xml:space="preserve"> </w:t>
      </w:r>
      <w:r w:rsidR="00310C1A">
        <w:t>high-quality</w:t>
      </w:r>
      <w:r>
        <w:t xml:space="preserve"> coal reserves</w:t>
      </w:r>
      <w:r w:rsidR="00470A0C">
        <w:t xml:space="preserve"> and there </w:t>
      </w:r>
      <w:r>
        <w:t xml:space="preserve">are currently 47 operating or under construction coalmines. </w:t>
      </w:r>
      <w:r w:rsidR="008F101A">
        <w:t>The t</w:t>
      </w:r>
      <w:r>
        <w:t>wo types of coal mined in the basin</w:t>
      </w:r>
      <w:r w:rsidR="008F101A">
        <w:t xml:space="preserve"> are </w:t>
      </w:r>
      <w:r w:rsidR="00700E8B">
        <w:t>c</w:t>
      </w:r>
      <w:r>
        <w:t xml:space="preserve">oking and </w:t>
      </w:r>
      <w:r w:rsidR="00700E8B">
        <w:t>t</w:t>
      </w:r>
      <w:r>
        <w:t xml:space="preserve">hermal </w:t>
      </w:r>
      <w:r w:rsidR="00700E8B">
        <w:t>c</w:t>
      </w:r>
      <w:r>
        <w:t xml:space="preserve">oal. Coking coal is used in the steel production industry, while </w:t>
      </w:r>
      <w:r w:rsidR="00700E8B">
        <w:t>t</w:t>
      </w:r>
      <w:r>
        <w:t xml:space="preserve">hermal </w:t>
      </w:r>
      <w:r w:rsidR="00700E8B">
        <w:t>c</w:t>
      </w:r>
      <w:r>
        <w:t xml:space="preserve">oal is for power production. </w:t>
      </w:r>
    </w:p>
    <w:p w14:paraId="1D7C4C42" w14:textId="77777777" w:rsidR="00337EF9" w:rsidRDefault="00337EF9" w:rsidP="00017DF8">
      <w:pPr>
        <w:spacing w:line="240" w:lineRule="auto"/>
        <w:contextualSpacing/>
      </w:pPr>
    </w:p>
    <w:p w14:paraId="33580288" w14:textId="4FB37CF8" w:rsidR="00017DF8" w:rsidRDefault="00017DF8" w:rsidP="00017DF8">
      <w:pPr>
        <w:spacing w:line="240" w:lineRule="auto"/>
        <w:contextualSpacing/>
      </w:pPr>
      <w:r>
        <w:t>In June 2019</w:t>
      </w:r>
      <w:r w:rsidR="00A90773">
        <w:t>,</w:t>
      </w:r>
      <w:r>
        <w:t xml:space="preserve"> around 37,000 persons were involved in the coal industry workforce</w:t>
      </w:r>
      <w:r w:rsidR="00D10187">
        <w:t>. A</w:t>
      </w:r>
      <w:r>
        <w:t>round 19% of the full</w:t>
      </w:r>
      <w:r w:rsidR="00A90773">
        <w:t>-</w:t>
      </w:r>
      <w:r>
        <w:t xml:space="preserve">time mine workforce were fly-in-fly-out (FIYO) or drive-in-drive-out (DIDO) </w:t>
      </w:r>
      <w:r w:rsidR="00D10187">
        <w:t xml:space="preserve">workers who </w:t>
      </w:r>
      <w:r>
        <w:t>live</w:t>
      </w:r>
      <w:r w:rsidR="00D10187">
        <w:t>d</w:t>
      </w:r>
      <w:r>
        <w:t xml:space="preserve"> in </w:t>
      </w:r>
      <w:r w:rsidR="00700E8B">
        <w:t>w</w:t>
      </w:r>
      <w:r>
        <w:t>orkers</w:t>
      </w:r>
      <w:r w:rsidR="00700E8B">
        <w:t>’</w:t>
      </w:r>
      <w:r>
        <w:t xml:space="preserve"> accommodation </w:t>
      </w:r>
      <w:r w:rsidR="00700E8B">
        <w:t>v</w:t>
      </w:r>
      <w:r>
        <w:t>illage</w:t>
      </w:r>
      <w:r w:rsidR="00700E8B">
        <w:t>s</w:t>
      </w:r>
      <w:r>
        <w:t xml:space="preserve"> while on shift. The Isaac Region near Mackay and the towns of Moranbah, Dysart and Tieri supply workers to the Bowen Basin. There are also five </w:t>
      </w:r>
      <w:r w:rsidR="00A36E76">
        <w:t>c</w:t>
      </w:r>
      <w:r>
        <w:t xml:space="preserve">oal </w:t>
      </w:r>
      <w:r w:rsidR="00A36E76">
        <w:t>s</w:t>
      </w:r>
      <w:r>
        <w:t xml:space="preserve">eam </w:t>
      </w:r>
      <w:r w:rsidR="00A36E76">
        <w:t>g</w:t>
      </w:r>
      <w:r>
        <w:t xml:space="preserve">as operations and two </w:t>
      </w:r>
      <w:r w:rsidR="00700E8B">
        <w:t>m</w:t>
      </w:r>
      <w:r>
        <w:t>etalliferous (gold, copper etc</w:t>
      </w:r>
      <w:r w:rsidR="0069493F">
        <w:t>.</w:t>
      </w:r>
      <w:r>
        <w:t>) mines in the Bowen Basin</w:t>
      </w:r>
      <w:r w:rsidR="00A36E76">
        <w:t>,</w:t>
      </w:r>
      <w:r>
        <w:t xml:space="preserve"> with the extracted gas transported via pipelines to the Gladstone </w:t>
      </w:r>
      <w:r w:rsidR="00A36E76">
        <w:t xml:space="preserve">liquefied natural gas </w:t>
      </w:r>
      <w:r>
        <w:t>plants.</w:t>
      </w:r>
    </w:p>
    <w:p w14:paraId="2D899788" w14:textId="06F794F2" w:rsidR="00017DF8" w:rsidRDefault="00017DF8" w:rsidP="00017DF8">
      <w:pPr>
        <w:spacing w:line="240" w:lineRule="auto"/>
        <w:contextualSpacing/>
        <w:rPr>
          <w:sz w:val="14"/>
          <w:szCs w:val="14"/>
        </w:rPr>
      </w:pPr>
      <w:r w:rsidRPr="009C6E08">
        <w:rPr>
          <w:sz w:val="14"/>
          <w:szCs w:val="14"/>
        </w:rPr>
        <w:t xml:space="preserve">Source: </w:t>
      </w:r>
      <w:hyperlink r:id="rId20" w:history="1">
        <w:r w:rsidRPr="009C6E08">
          <w:rPr>
            <w:rStyle w:val="Hyperlink"/>
            <w:sz w:val="14"/>
            <w:szCs w:val="14"/>
          </w:rPr>
          <w:t>https://www.qgso.qld.gov.au/issues/3366/bowen-basin-population-report-2019.pdf</w:t>
        </w:r>
      </w:hyperlink>
      <w:r w:rsidRPr="009C6E08">
        <w:rPr>
          <w:sz w:val="14"/>
          <w:szCs w:val="14"/>
        </w:rPr>
        <w:t xml:space="preserve"> </w:t>
      </w:r>
    </w:p>
    <w:p w14:paraId="6319CECB" w14:textId="701F3B81" w:rsidR="00B95534" w:rsidRDefault="00B95534" w:rsidP="00017DF8">
      <w:pPr>
        <w:spacing w:line="240" w:lineRule="auto"/>
        <w:contextualSpacing/>
        <w:rPr>
          <w:sz w:val="14"/>
          <w:szCs w:val="14"/>
        </w:rPr>
      </w:pPr>
    </w:p>
    <w:p w14:paraId="793AA411" w14:textId="033C713A" w:rsidR="00B95534" w:rsidRDefault="00B95534" w:rsidP="00017DF8">
      <w:pPr>
        <w:spacing w:line="240" w:lineRule="auto"/>
        <w:contextualSpacing/>
        <w:rPr>
          <w:sz w:val="14"/>
          <w:szCs w:val="14"/>
        </w:rPr>
      </w:pPr>
    </w:p>
    <w:p w14:paraId="40D066E8" w14:textId="77777777" w:rsidR="00B95534" w:rsidRPr="009C6E08" w:rsidRDefault="00B95534" w:rsidP="00017DF8">
      <w:pPr>
        <w:spacing w:line="240" w:lineRule="auto"/>
        <w:contextualSpacing/>
        <w:rPr>
          <w:sz w:val="14"/>
          <w:szCs w:val="14"/>
        </w:rPr>
      </w:pPr>
    </w:p>
    <w:p w14:paraId="32446685" w14:textId="1B9DDEBA" w:rsidR="00017DF8" w:rsidRPr="00DB4BB6" w:rsidRDefault="00017DF8" w:rsidP="00017DF8">
      <w:pPr>
        <w:pStyle w:val="Heading3"/>
      </w:pPr>
      <w:bookmarkStart w:id="32" w:name="_Toc79134288"/>
      <w:r w:rsidRPr="00DB4BB6">
        <w:lastRenderedPageBreak/>
        <w:t>Coal Mining Support Industries</w:t>
      </w:r>
      <w:bookmarkEnd w:id="32"/>
      <w:r w:rsidRPr="00DB4BB6">
        <w:t xml:space="preserve">  </w:t>
      </w:r>
    </w:p>
    <w:p w14:paraId="3A693CB7" w14:textId="2921D460" w:rsidR="008E7B25" w:rsidRDefault="00017DF8" w:rsidP="00017DF8">
      <w:pPr>
        <w:spacing w:line="240" w:lineRule="auto"/>
        <w:contextualSpacing/>
      </w:pPr>
      <w:r w:rsidRPr="00DB4BB6">
        <w:t xml:space="preserve">The </w:t>
      </w:r>
      <w:r w:rsidR="009579C3">
        <w:t>c</w:t>
      </w:r>
      <w:r w:rsidRPr="00DB4BB6">
        <w:t xml:space="preserve">oal </w:t>
      </w:r>
      <w:r w:rsidR="009579C3">
        <w:t>m</w:t>
      </w:r>
      <w:r w:rsidRPr="00DB4BB6">
        <w:t xml:space="preserve">ining </w:t>
      </w:r>
      <w:r w:rsidR="009579C3">
        <w:t>i</w:t>
      </w:r>
      <w:r w:rsidRPr="00DB4BB6">
        <w:t xml:space="preserve">ndustry supports different industries in the Mackay ER, </w:t>
      </w:r>
      <w:r w:rsidR="00EE2381">
        <w:t>which</w:t>
      </w:r>
      <w:r w:rsidRPr="00DB4BB6">
        <w:t xml:space="preserve"> includes three ports </w:t>
      </w:r>
      <w:r w:rsidR="00632BBC">
        <w:t>(</w:t>
      </w:r>
      <w:r w:rsidR="00632BBC" w:rsidRPr="00DB4BB6">
        <w:t>Mackay, Abbott Point</w:t>
      </w:r>
      <w:r w:rsidR="00632BBC">
        <w:t>,</w:t>
      </w:r>
      <w:r w:rsidR="00632BBC" w:rsidRPr="00DB4BB6">
        <w:t xml:space="preserve"> and Port Hay Point</w:t>
      </w:r>
      <w:r w:rsidR="00632BBC">
        <w:t>)</w:t>
      </w:r>
      <w:r w:rsidR="00632BBC" w:rsidRPr="00DB4BB6">
        <w:t xml:space="preserve"> </w:t>
      </w:r>
      <w:r w:rsidRPr="00DB4BB6">
        <w:t>to export the coal. Abbot Point</w:t>
      </w:r>
      <w:r w:rsidR="006E2202">
        <w:t xml:space="preserve"> (</w:t>
      </w:r>
      <w:r w:rsidRPr="00DB4BB6">
        <w:t xml:space="preserve">located 25kms </w:t>
      </w:r>
      <w:r w:rsidR="006E2202">
        <w:t>from</w:t>
      </w:r>
      <w:r w:rsidRPr="00DB4BB6">
        <w:t xml:space="preserve"> Bowen</w:t>
      </w:r>
      <w:r w:rsidR="006E2202">
        <w:t>)</w:t>
      </w:r>
      <w:r w:rsidRPr="00DB4BB6">
        <w:t xml:space="preserve"> and Port Hay Point</w:t>
      </w:r>
      <w:r w:rsidR="006E2202">
        <w:t xml:space="preserve"> (</w:t>
      </w:r>
      <w:r w:rsidRPr="00DB4BB6">
        <w:t>located 40kms south of Mackay</w:t>
      </w:r>
      <w:r w:rsidR="006E2202">
        <w:t>)</w:t>
      </w:r>
      <w:r w:rsidRPr="00DB4BB6">
        <w:t xml:space="preserve"> </w:t>
      </w:r>
      <w:r w:rsidR="00A36E76">
        <w:t>are coal export only ports, with</w:t>
      </w:r>
      <w:r w:rsidR="00310C1A">
        <w:t xml:space="preserve"> </w:t>
      </w:r>
      <w:r w:rsidR="00A36E76">
        <w:t>about</w:t>
      </w:r>
      <w:r w:rsidRPr="00DB4BB6">
        <w:t xml:space="preserve"> 150 thousand tonnes of coal exported last year. The port operating at Mackay not only exports coal, but also fuel, </w:t>
      </w:r>
      <w:r w:rsidR="00B95534" w:rsidRPr="00DB4BB6">
        <w:t>sugar,</w:t>
      </w:r>
      <w:r w:rsidRPr="00DB4BB6">
        <w:t xml:space="preserve"> and grain. </w:t>
      </w:r>
    </w:p>
    <w:p w14:paraId="5ECB1A8B" w14:textId="77777777" w:rsidR="008E7B25" w:rsidRDefault="008E7B25" w:rsidP="00017DF8">
      <w:pPr>
        <w:spacing w:line="240" w:lineRule="auto"/>
        <w:contextualSpacing/>
      </w:pPr>
    </w:p>
    <w:p w14:paraId="04B149E3" w14:textId="14FD0558" w:rsidR="00017DF8" w:rsidRDefault="00017DF8" w:rsidP="00017DF8">
      <w:pPr>
        <w:spacing w:line="240" w:lineRule="auto"/>
        <w:contextualSpacing/>
      </w:pPr>
      <w:r w:rsidRPr="00DB4BB6">
        <w:t xml:space="preserve">There are also many businesses </w:t>
      </w:r>
      <w:r w:rsidR="007D4631">
        <w:t xml:space="preserve">in the Mackay ER </w:t>
      </w:r>
      <w:r w:rsidRPr="00DB4BB6">
        <w:t xml:space="preserve">that provide services and equipment to the coal industry, </w:t>
      </w:r>
      <w:r w:rsidR="00E77BEF">
        <w:t xml:space="preserve">including </w:t>
      </w:r>
      <w:r w:rsidRPr="00DB4BB6">
        <w:t xml:space="preserve">businesses that manufacture, maintain and service mining equipment; </w:t>
      </w:r>
      <w:r w:rsidR="008D0C54">
        <w:t xml:space="preserve">others </w:t>
      </w:r>
      <w:r w:rsidRPr="00DB4BB6">
        <w:t>that construct building and infrastructure</w:t>
      </w:r>
      <w:r w:rsidR="003740C9">
        <w:t>;</w:t>
      </w:r>
      <w:r w:rsidRPr="00DB4BB6">
        <w:t xml:space="preserve"> and </w:t>
      </w:r>
      <w:r w:rsidR="000A7E3F">
        <w:t xml:space="preserve">some </w:t>
      </w:r>
      <w:r w:rsidRPr="00DB4BB6">
        <w:t xml:space="preserve">that offer </w:t>
      </w:r>
      <w:r w:rsidR="00422E68">
        <w:t xml:space="preserve">transport, </w:t>
      </w:r>
      <w:r w:rsidRPr="00DB4BB6">
        <w:t xml:space="preserve">cleaning and catering services.  </w:t>
      </w:r>
    </w:p>
    <w:p w14:paraId="0A6FF2A6" w14:textId="49C2ADB3" w:rsidR="00017DF8" w:rsidRPr="00623F29" w:rsidRDefault="00017DF8" w:rsidP="00017DF8">
      <w:pPr>
        <w:pStyle w:val="Heading3"/>
      </w:pPr>
      <w:bookmarkStart w:id="33" w:name="_Toc79134289"/>
      <w:r w:rsidRPr="00623F29">
        <w:t xml:space="preserve">Health </w:t>
      </w:r>
      <w:r w:rsidR="009E3CB8">
        <w:t>C</w:t>
      </w:r>
      <w:r w:rsidRPr="00623F29">
        <w:t>are and Social Assistance</w:t>
      </w:r>
      <w:bookmarkEnd w:id="33"/>
      <w:r w:rsidRPr="00623F29">
        <w:t xml:space="preserve"> </w:t>
      </w:r>
    </w:p>
    <w:p w14:paraId="03BC8966" w14:textId="3F2F7671" w:rsidR="00017DF8" w:rsidRDefault="00017DF8" w:rsidP="00017DF8">
      <w:pPr>
        <w:spacing w:line="240" w:lineRule="auto"/>
        <w:contextualSpacing/>
      </w:pPr>
      <w:r w:rsidRPr="00623F29">
        <w:t xml:space="preserve">The second largest </w:t>
      </w:r>
      <w:r w:rsidR="00E77BEF" w:rsidRPr="00623F29">
        <w:t>employ</w:t>
      </w:r>
      <w:r w:rsidR="00E77BEF">
        <w:t>ment sector</w:t>
      </w:r>
      <w:r w:rsidR="00E77BEF" w:rsidRPr="00623F29">
        <w:t xml:space="preserve"> </w:t>
      </w:r>
      <w:r w:rsidRPr="00623F29">
        <w:t xml:space="preserve">in the Mackay ER is </w:t>
      </w:r>
      <w:r w:rsidR="00663649">
        <w:t>h</w:t>
      </w:r>
      <w:r w:rsidRPr="00623F29">
        <w:t xml:space="preserve">ealth </w:t>
      </w:r>
      <w:r w:rsidR="00663649">
        <w:t>c</w:t>
      </w:r>
      <w:r w:rsidRPr="00623F29">
        <w:t xml:space="preserve">are and </w:t>
      </w:r>
      <w:r w:rsidR="00663649">
        <w:t>s</w:t>
      </w:r>
      <w:r w:rsidRPr="00623F29">
        <w:t xml:space="preserve">ocial </w:t>
      </w:r>
      <w:r w:rsidR="00663649">
        <w:t>a</w:t>
      </w:r>
      <w:r w:rsidRPr="00F717A7">
        <w:t>ssistance, with 11,900</w:t>
      </w:r>
      <w:r w:rsidRPr="00623F29">
        <w:t xml:space="preserve"> people employed in this industry. The </w:t>
      </w:r>
      <w:r w:rsidR="009E3CB8">
        <w:t>r</w:t>
      </w:r>
      <w:r w:rsidRPr="00623F29">
        <w:t xml:space="preserve">oles </w:t>
      </w:r>
      <w:r w:rsidR="008E7B25" w:rsidRPr="00623F29">
        <w:t>include</w:t>
      </w:r>
      <w:r w:rsidRPr="00623F29">
        <w:t xml:space="preserve"> </w:t>
      </w:r>
      <w:r w:rsidR="00E77BEF">
        <w:t>n</w:t>
      </w:r>
      <w:r w:rsidRPr="00623F29">
        <w:t xml:space="preserve">ursing, personal care workers, receptionists, general </w:t>
      </w:r>
      <w:r w:rsidR="00B95534" w:rsidRPr="00623F29">
        <w:t>practitioners,</w:t>
      </w:r>
      <w:r w:rsidRPr="00623F29">
        <w:t xml:space="preserve"> and psychologists.</w:t>
      </w:r>
      <w:r>
        <w:t xml:space="preserve">  </w:t>
      </w:r>
      <w:r w:rsidRPr="00623F29">
        <w:t xml:space="preserve">Major employers in this industry include </w:t>
      </w:r>
      <w:r w:rsidR="0069493F">
        <w:t>h</w:t>
      </w:r>
      <w:r w:rsidRPr="00623F29">
        <w:t xml:space="preserve">ospitals, </w:t>
      </w:r>
      <w:r w:rsidR="0069493F">
        <w:t>m</w:t>
      </w:r>
      <w:r w:rsidRPr="00623F29">
        <w:t xml:space="preserve">edical </w:t>
      </w:r>
      <w:r w:rsidR="0069493F">
        <w:t>p</w:t>
      </w:r>
      <w:r w:rsidRPr="00623F29">
        <w:t xml:space="preserve">ractices and </w:t>
      </w:r>
      <w:r w:rsidR="0069493F">
        <w:t>c</w:t>
      </w:r>
      <w:r w:rsidRPr="00623F29">
        <w:t xml:space="preserve">entres, </w:t>
      </w:r>
      <w:r w:rsidR="0069493F">
        <w:t>a</w:t>
      </w:r>
      <w:r w:rsidRPr="00623F29">
        <w:t xml:space="preserve">ged </w:t>
      </w:r>
      <w:r w:rsidR="0069493F">
        <w:t>c</w:t>
      </w:r>
      <w:r w:rsidRPr="00623F29">
        <w:t>are</w:t>
      </w:r>
      <w:r w:rsidR="0069493F">
        <w:t xml:space="preserve"> </w:t>
      </w:r>
      <w:r w:rsidR="00DD25E0">
        <w:t>facilities</w:t>
      </w:r>
      <w:r w:rsidRPr="00623F29">
        <w:t xml:space="preserve"> and </w:t>
      </w:r>
      <w:r w:rsidR="0069493F">
        <w:t>d</w:t>
      </w:r>
      <w:r w:rsidR="00B550F6">
        <w:t xml:space="preserve">isability </w:t>
      </w:r>
      <w:r w:rsidR="0069493F">
        <w:t>s</w:t>
      </w:r>
      <w:r w:rsidR="00B550F6">
        <w:t xml:space="preserve">upport </w:t>
      </w:r>
      <w:r w:rsidR="0069493F">
        <w:t>s</w:t>
      </w:r>
      <w:r w:rsidR="00B550F6">
        <w:t>ervices</w:t>
      </w:r>
      <w:r w:rsidRPr="00623F29">
        <w:t>. In Central Queensland, including the Mackay ER,</w:t>
      </w:r>
      <w:r w:rsidR="00B550F6">
        <w:t xml:space="preserve"> </w:t>
      </w:r>
      <w:r w:rsidR="0069493F">
        <w:t>h</w:t>
      </w:r>
      <w:r w:rsidR="00B550F6">
        <w:t xml:space="preserve">ealth </w:t>
      </w:r>
      <w:r w:rsidR="0069493F">
        <w:t>c</w:t>
      </w:r>
      <w:r w:rsidR="00B550F6">
        <w:t xml:space="preserve">are and </w:t>
      </w:r>
      <w:r w:rsidR="0069493F">
        <w:t>s</w:t>
      </w:r>
      <w:r w:rsidR="00B550F6">
        <w:t xml:space="preserve">ocial </w:t>
      </w:r>
      <w:r w:rsidR="0069493F">
        <w:t>a</w:t>
      </w:r>
      <w:r w:rsidR="00B550F6">
        <w:t>ssistance</w:t>
      </w:r>
      <w:r w:rsidRPr="00623F29">
        <w:t xml:space="preserve"> </w:t>
      </w:r>
      <w:r w:rsidR="00B550F6">
        <w:t xml:space="preserve">is the largest employer of </w:t>
      </w:r>
      <w:r w:rsidRPr="00623F29">
        <w:t>women</w:t>
      </w:r>
      <w:r>
        <w:t>,</w:t>
      </w:r>
      <w:r w:rsidRPr="00623F29">
        <w:t xml:space="preserve"> with almost three times as many women than men </w:t>
      </w:r>
      <w:r w:rsidR="00B550F6" w:rsidRPr="00623F29">
        <w:t>employ</w:t>
      </w:r>
      <w:r w:rsidR="00B550F6">
        <w:t>ed in the</w:t>
      </w:r>
      <w:r w:rsidR="00B550F6" w:rsidRPr="00623F29">
        <w:t xml:space="preserve"> </w:t>
      </w:r>
      <w:r w:rsidRPr="00623F29">
        <w:t>industry.</w:t>
      </w:r>
    </w:p>
    <w:p w14:paraId="1ABA204C" w14:textId="08CC56E6" w:rsidR="00017DF8" w:rsidRPr="005C7039" w:rsidRDefault="00017DF8" w:rsidP="00017DF8">
      <w:pPr>
        <w:pStyle w:val="Heading3"/>
      </w:pPr>
      <w:bookmarkStart w:id="34" w:name="_Toc79134290"/>
      <w:r w:rsidRPr="005C7039">
        <w:t>Construction</w:t>
      </w:r>
      <w:bookmarkEnd w:id="34"/>
      <w:r w:rsidRPr="005C7039">
        <w:t xml:space="preserve"> </w:t>
      </w:r>
    </w:p>
    <w:p w14:paraId="7175D3A1" w14:textId="6E88A54E" w:rsidR="00017DF8" w:rsidRDefault="00017DF8" w:rsidP="00017DF8">
      <w:pPr>
        <w:spacing w:line="240" w:lineRule="auto"/>
        <w:contextualSpacing/>
      </w:pPr>
      <w:r w:rsidRPr="005C7039">
        <w:t xml:space="preserve">The </w:t>
      </w:r>
      <w:r w:rsidR="0069493F">
        <w:t>c</w:t>
      </w:r>
      <w:r w:rsidRPr="005C7039">
        <w:t xml:space="preserve">onstruction </w:t>
      </w:r>
      <w:r w:rsidR="0069493F">
        <w:t>i</w:t>
      </w:r>
      <w:r w:rsidRPr="005C7039">
        <w:t xml:space="preserve">ndustry in Mackay is the third largest area of employment </w:t>
      </w:r>
      <w:r w:rsidRPr="00F717A7">
        <w:t>with 10,000</w:t>
      </w:r>
      <w:r w:rsidRPr="005C7039">
        <w:t xml:space="preserve"> people employed. The construction industry includes occupations such as carpenters, electricians, plumbers, labourers, painters, architects, concreters, </w:t>
      </w:r>
      <w:r w:rsidR="00B95534" w:rsidRPr="005C7039">
        <w:t>plasterers,</w:t>
      </w:r>
      <w:r w:rsidRPr="005C7039">
        <w:t xml:space="preserve"> and earthmoving plant operators. </w:t>
      </w:r>
      <w:r w:rsidRPr="00F717A7">
        <w:t xml:space="preserve">The </w:t>
      </w:r>
      <w:r w:rsidR="005F2F3D">
        <w:t xml:space="preserve">Internet Vacancy Index </w:t>
      </w:r>
      <w:r w:rsidR="005F2F3D" w:rsidRPr="007471E4">
        <w:t>(</w:t>
      </w:r>
      <w:r w:rsidRPr="007471E4">
        <w:t>IVI</w:t>
      </w:r>
      <w:r w:rsidR="005F2F3D" w:rsidRPr="00B95534">
        <w:t>)</w:t>
      </w:r>
      <w:r w:rsidR="00942BA7">
        <w:t xml:space="preserve"> </w:t>
      </w:r>
      <w:r w:rsidR="00B95534">
        <w:t xml:space="preserve">Report </w:t>
      </w:r>
      <w:r w:rsidR="00B95534" w:rsidRPr="00F717A7">
        <w:t>(</w:t>
      </w:r>
      <w:r>
        <w:t xml:space="preserve">February 2021) </w:t>
      </w:r>
      <w:r w:rsidRPr="00F717A7">
        <w:t>indicate</w:t>
      </w:r>
      <w:r w:rsidR="007C0E5E">
        <w:t>d</w:t>
      </w:r>
      <w:r w:rsidRPr="00F717A7">
        <w:t xml:space="preserve"> that over the past 12 months</w:t>
      </w:r>
      <w:r w:rsidR="007C0E5E">
        <w:t>,</w:t>
      </w:r>
      <w:r w:rsidRPr="00F717A7">
        <w:t xml:space="preserve"> vacancies for construction and trade workers ha</w:t>
      </w:r>
      <w:r w:rsidR="008E7B25">
        <w:t>d</w:t>
      </w:r>
      <w:r w:rsidRPr="00F717A7">
        <w:t xml:space="preserve"> increased significantly</w:t>
      </w:r>
      <w:r w:rsidR="008E7B25">
        <w:t>, with v</w:t>
      </w:r>
      <w:r w:rsidRPr="00F717A7">
        <w:t xml:space="preserve">acancies in </w:t>
      </w:r>
      <w:r w:rsidR="008E7B25">
        <w:t xml:space="preserve">December 2020 </w:t>
      </w:r>
      <w:r w:rsidR="00B550F6">
        <w:t>up by</w:t>
      </w:r>
      <w:r w:rsidRPr="00F717A7">
        <w:t xml:space="preserve"> </w:t>
      </w:r>
      <w:r w:rsidRPr="00310C1A">
        <w:t>109</w:t>
      </w:r>
      <w:r w:rsidR="008E7B25">
        <w:t>%.</w:t>
      </w:r>
    </w:p>
    <w:p w14:paraId="5044C764" w14:textId="77777777" w:rsidR="00017DF8" w:rsidRDefault="00017DF8" w:rsidP="00017DF8">
      <w:pPr>
        <w:spacing w:line="240" w:lineRule="auto"/>
        <w:contextualSpacing/>
      </w:pPr>
    </w:p>
    <w:p w14:paraId="79A22390" w14:textId="77777777" w:rsidR="00017DF8" w:rsidRDefault="00017DF8" w:rsidP="00017DF8">
      <w:pPr>
        <w:spacing w:line="240" w:lineRule="auto"/>
        <w:contextualSpacing/>
      </w:pPr>
      <w:r w:rsidRPr="005C7039">
        <w:t>The</w:t>
      </w:r>
      <w:r>
        <w:t xml:space="preserve"> </w:t>
      </w:r>
      <w:hyperlink r:id="rId21" w:history="1">
        <w:r w:rsidRPr="009C6E08">
          <w:rPr>
            <w:rStyle w:val="Hyperlink"/>
          </w:rPr>
          <w:t>Construction Skills Queensland Major Projects Explorer</w:t>
        </w:r>
      </w:hyperlink>
      <w:r>
        <w:t xml:space="preserve"> (May 2021) lists planned or commenced construction </w:t>
      </w:r>
      <w:r w:rsidRPr="005C7039">
        <w:t>projects</w:t>
      </w:r>
      <w:r>
        <w:t>, including:</w:t>
      </w:r>
    </w:p>
    <w:p w14:paraId="5C3B3C27" w14:textId="77777777" w:rsidR="00017DF8" w:rsidRDefault="00017DF8" w:rsidP="00017DF8">
      <w:pPr>
        <w:spacing w:line="240" w:lineRule="auto"/>
        <w:contextualSpacing/>
      </w:pPr>
    </w:p>
    <w:p w14:paraId="677F9349" w14:textId="2F4768CB" w:rsidR="00017DF8" w:rsidRDefault="00017DF8" w:rsidP="00017DF8">
      <w:pPr>
        <w:spacing w:line="240" w:lineRule="auto"/>
        <w:ind w:left="720"/>
        <w:contextualSpacing/>
      </w:pPr>
      <w:r>
        <w:t xml:space="preserve">• East Point - Masterplan </w:t>
      </w:r>
      <w:r w:rsidR="00183E9E">
        <w:tab/>
      </w:r>
      <w:r w:rsidR="00183E9E">
        <w:tab/>
      </w:r>
      <w:r w:rsidR="00183E9E">
        <w:tab/>
      </w:r>
      <w:r w:rsidR="00183E9E">
        <w:tab/>
      </w:r>
      <w:r w:rsidR="00183E9E">
        <w:tab/>
      </w:r>
      <w:r>
        <w:t>($250M)</w:t>
      </w:r>
    </w:p>
    <w:p w14:paraId="24423FAC" w14:textId="55F044C6" w:rsidR="00017DF8" w:rsidRDefault="00017DF8" w:rsidP="00017DF8">
      <w:pPr>
        <w:spacing w:line="240" w:lineRule="auto"/>
        <w:ind w:left="720"/>
        <w:contextualSpacing/>
      </w:pPr>
      <w:r>
        <w:t xml:space="preserve">• South Mackay Secondary Catholic College </w:t>
      </w:r>
      <w:r w:rsidR="00183E9E">
        <w:tab/>
      </w:r>
      <w:r w:rsidR="00183E9E">
        <w:tab/>
      </w:r>
      <w:r w:rsidR="00183E9E">
        <w:tab/>
      </w:r>
      <w:r>
        <w:t>($50M)</w:t>
      </w:r>
    </w:p>
    <w:p w14:paraId="1C916F65" w14:textId="6D211CFF" w:rsidR="00017DF8" w:rsidRDefault="00017DF8" w:rsidP="00017DF8">
      <w:pPr>
        <w:spacing w:line="240" w:lineRule="auto"/>
        <w:ind w:left="720"/>
        <w:contextualSpacing/>
      </w:pPr>
      <w:r>
        <w:t xml:space="preserve">• Northern Beaches Community Hub </w:t>
      </w:r>
      <w:r w:rsidR="00183E9E">
        <w:tab/>
      </w:r>
      <w:r w:rsidR="00183E9E">
        <w:tab/>
      </w:r>
      <w:r w:rsidR="00183E9E">
        <w:tab/>
      </w:r>
      <w:r w:rsidR="00183E9E">
        <w:tab/>
      </w:r>
      <w:r>
        <w:t>($30M)</w:t>
      </w:r>
    </w:p>
    <w:p w14:paraId="126B3B3A" w14:textId="0B51B436" w:rsidR="00017DF8" w:rsidRDefault="00017DF8" w:rsidP="00017DF8">
      <w:pPr>
        <w:spacing w:line="240" w:lineRule="auto"/>
        <w:ind w:left="720"/>
        <w:contextualSpacing/>
      </w:pPr>
      <w:r>
        <w:t xml:space="preserve">• Sarina Hospital Redevelopment </w:t>
      </w:r>
      <w:r w:rsidR="00183E9E">
        <w:tab/>
      </w:r>
      <w:r w:rsidR="00183E9E">
        <w:tab/>
      </w:r>
      <w:r w:rsidR="00183E9E">
        <w:tab/>
      </w:r>
      <w:r w:rsidR="00183E9E">
        <w:tab/>
      </w:r>
      <w:r>
        <w:t>($31M)</w:t>
      </w:r>
    </w:p>
    <w:p w14:paraId="36CBE920" w14:textId="56A9C0F7" w:rsidR="00017DF8" w:rsidRDefault="00017DF8" w:rsidP="00017DF8">
      <w:pPr>
        <w:spacing w:line="240" w:lineRule="auto"/>
        <w:ind w:left="720"/>
        <w:contextualSpacing/>
      </w:pPr>
      <w:r>
        <w:t xml:space="preserve">• Clarke Creek Wind and Solar Farm </w:t>
      </w:r>
      <w:r w:rsidR="00183E9E">
        <w:tab/>
      </w:r>
      <w:r w:rsidR="00183E9E">
        <w:tab/>
      </w:r>
      <w:r w:rsidR="00183E9E">
        <w:tab/>
      </w:r>
      <w:r w:rsidR="00183E9E">
        <w:tab/>
      </w:r>
      <w:r>
        <w:t>($1500M)</w:t>
      </w:r>
    </w:p>
    <w:p w14:paraId="47BB4E49" w14:textId="0DE6D1C2" w:rsidR="00017DF8" w:rsidRDefault="00017DF8" w:rsidP="00017DF8">
      <w:pPr>
        <w:spacing w:line="240" w:lineRule="auto"/>
        <w:ind w:left="720"/>
        <w:contextualSpacing/>
      </w:pPr>
      <w:r>
        <w:t xml:space="preserve">• Shute Harbour Restoration Project </w:t>
      </w:r>
      <w:r w:rsidR="00183E9E">
        <w:tab/>
      </w:r>
      <w:r w:rsidR="00183E9E">
        <w:tab/>
      </w:r>
      <w:r w:rsidR="00183E9E">
        <w:tab/>
      </w:r>
      <w:r w:rsidR="00183E9E">
        <w:tab/>
      </w:r>
      <w:r>
        <w:t>($55M)</w:t>
      </w:r>
    </w:p>
    <w:p w14:paraId="77B7224E" w14:textId="7F31EA2E" w:rsidR="00017DF8" w:rsidRDefault="00017DF8" w:rsidP="00017DF8">
      <w:pPr>
        <w:spacing w:line="240" w:lineRule="auto"/>
        <w:ind w:left="720"/>
        <w:contextualSpacing/>
      </w:pPr>
      <w:r>
        <w:t xml:space="preserve">• Proserpine Entertainment Centre </w:t>
      </w:r>
      <w:r w:rsidR="00183E9E">
        <w:tab/>
      </w:r>
      <w:r w:rsidR="00183E9E">
        <w:tab/>
      </w:r>
      <w:r w:rsidR="00183E9E">
        <w:tab/>
      </w:r>
      <w:r w:rsidR="00183E9E">
        <w:tab/>
      </w:r>
      <w:r>
        <w:t>($14M)</w:t>
      </w:r>
    </w:p>
    <w:p w14:paraId="2B4BA244" w14:textId="4B3B568B" w:rsidR="00017DF8" w:rsidRDefault="00017DF8" w:rsidP="00EB53C5">
      <w:pPr>
        <w:spacing w:line="240" w:lineRule="auto"/>
        <w:ind w:left="720"/>
        <w:contextualSpacing/>
      </w:pPr>
      <w:r>
        <w:t xml:space="preserve">• Funnel Bay Hotel </w:t>
      </w:r>
      <w:r w:rsidR="00183E9E">
        <w:tab/>
      </w:r>
      <w:r w:rsidR="00183E9E">
        <w:tab/>
      </w:r>
      <w:r w:rsidR="00183E9E">
        <w:tab/>
      </w:r>
      <w:r w:rsidR="00183E9E">
        <w:tab/>
      </w:r>
      <w:r w:rsidR="00183E9E">
        <w:tab/>
      </w:r>
      <w:r w:rsidR="00183E9E">
        <w:tab/>
      </w:r>
      <w:r>
        <w:t>($160M)</w:t>
      </w:r>
    </w:p>
    <w:p w14:paraId="0F9CE2AC" w14:textId="78F6ED94" w:rsidR="00017DF8" w:rsidRDefault="00017DF8" w:rsidP="00017DF8">
      <w:pPr>
        <w:spacing w:line="240" w:lineRule="auto"/>
        <w:ind w:left="720"/>
        <w:contextualSpacing/>
      </w:pPr>
      <w:r>
        <w:t xml:space="preserve">• Whitsunday Paradise Housing </w:t>
      </w:r>
      <w:r w:rsidR="00183E9E">
        <w:tab/>
      </w:r>
      <w:r w:rsidR="00183E9E">
        <w:tab/>
      </w:r>
      <w:r w:rsidR="00183E9E">
        <w:tab/>
      </w:r>
      <w:r w:rsidR="00183E9E">
        <w:tab/>
      </w:r>
      <w:r w:rsidR="00183E9E">
        <w:tab/>
      </w:r>
      <w:r>
        <w:t>($1100M)</w:t>
      </w:r>
    </w:p>
    <w:p w14:paraId="10B09D67" w14:textId="77777777" w:rsidR="00017DF8" w:rsidRDefault="00017DF8" w:rsidP="00017DF8">
      <w:pPr>
        <w:spacing w:line="240" w:lineRule="auto"/>
        <w:contextualSpacing/>
      </w:pPr>
    </w:p>
    <w:p w14:paraId="629345BE" w14:textId="7D5D7562" w:rsidR="00017DF8" w:rsidRDefault="00017DF8" w:rsidP="00017DF8">
      <w:pPr>
        <w:spacing w:line="240" w:lineRule="auto"/>
        <w:contextualSpacing/>
        <w:rPr>
          <w:rStyle w:val="Hyperlink"/>
          <w:sz w:val="14"/>
          <w:szCs w:val="14"/>
        </w:rPr>
      </w:pPr>
      <w:r w:rsidRPr="00F717A7">
        <w:rPr>
          <w:sz w:val="14"/>
          <w:szCs w:val="14"/>
        </w:rPr>
        <w:t xml:space="preserve">Sources: </w:t>
      </w:r>
      <w:r>
        <w:rPr>
          <w:sz w:val="14"/>
          <w:szCs w:val="14"/>
        </w:rPr>
        <w:t xml:space="preserve"> </w:t>
      </w:r>
      <w:r w:rsidRPr="00F717A7">
        <w:rPr>
          <w:sz w:val="14"/>
          <w:szCs w:val="14"/>
        </w:rPr>
        <w:t>ABS Labour Force Survey, Employment Region – Employment by Industry, February 2021.</w:t>
      </w:r>
      <w:r>
        <w:rPr>
          <w:sz w:val="14"/>
          <w:szCs w:val="14"/>
        </w:rPr>
        <w:t xml:space="preserve"> </w:t>
      </w:r>
      <w:hyperlink r:id="rId22" w:history="1">
        <w:r w:rsidRPr="00F717A7">
          <w:rPr>
            <w:rStyle w:val="Hyperlink"/>
            <w:sz w:val="14"/>
            <w:szCs w:val="14"/>
          </w:rPr>
          <w:t>https://lmip.gov.au/default.aspx?LMIP/GainInsights/VacancyReport</w:t>
        </w:r>
      </w:hyperlink>
    </w:p>
    <w:p w14:paraId="056D39B9" w14:textId="4A4C3144" w:rsidR="00017DF8" w:rsidRDefault="00017DF8" w:rsidP="00017DF8">
      <w:pPr>
        <w:spacing w:line="240" w:lineRule="auto"/>
        <w:contextualSpacing/>
        <w:rPr>
          <w:rStyle w:val="Hyperlink"/>
          <w:sz w:val="14"/>
          <w:szCs w:val="14"/>
        </w:rPr>
      </w:pPr>
    </w:p>
    <w:p w14:paraId="680AED58" w14:textId="77777777" w:rsidR="00017DF8" w:rsidRPr="00F717A7" w:rsidRDefault="00017DF8" w:rsidP="00017DF8">
      <w:pPr>
        <w:spacing w:line="240" w:lineRule="auto"/>
        <w:contextualSpacing/>
        <w:rPr>
          <w:color w:val="0000FF"/>
          <w:sz w:val="14"/>
          <w:szCs w:val="14"/>
        </w:rPr>
      </w:pPr>
    </w:p>
    <w:p w14:paraId="3C88C06A" w14:textId="44B9FE5D" w:rsidR="00017DF8" w:rsidRPr="002F668A" w:rsidRDefault="00017DF8" w:rsidP="00017DF8">
      <w:pPr>
        <w:pStyle w:val="Heading3"/>
        <w:spacing w:line="240" w:lineRule="auto"/>
      </w:pPr>
      <w:bookmarkStart w:id="35" w:name="_Toc79134291"/>
      <w:r w:rsidRPr="002F668A">
        <w:t>Retail</w:t>
      </w:r>
      <w:bookmarkEnd w:id="35"/>
      <w:r w:rsidRPr="002F668A">
        <w:t xml:space="preserve"> </w:t>
      </w:r>
    </w:p>
    <w:p w14:paraId="654A692A" w14:textId="4EBD839A" w:rsidR="00017DF8" w:rsidRDefault="00017DF8" w:rsidP="00017DF8">
      <w:pPr>
        <w:spacing w:line="240" w:lineRule="auto"/>
        <w:contextualSpacing/>
      </w:pPr>
      <w:r w:rsidRPr="002F668A">
        <w:t xml:space="preserve">Retail </w:t>
      </w:r>
      <w:r w:rsidR="007B49ED">
        <w:t>t</w:t>
      </w:r>
      <w:r w:rsidRPr="002F668A">
        <w:t xml:space="preserve">rade is the </w:t>
      </w:r>
      <w:r>
        <w:t>fourth</w:t>
      </w:r>
      <w:r w:rsidRPr="002F668A">
        <w:t xml:space="preserve"> largest employer i</w:t>
      </w:r>
      <w:r w:rsidR="00557988">
        <w:t>n</w:t>
      </w:r>
      <w:r w:rsidRPr="002F668A">
        <w:t xml:space="preserve"> the region</w:t>
      </w:r>
      <w:r>
        <w:t xml:space="preserve">, </w:t>
      </w:r>
      <w:r w:rsidRPr="00F717A7">
        <w:t>employing 7,600 people.</w:t>
      </w:r>
      <w:r w:rsidRPr="002F668A">
        <w:t xml:space="preserve"> It includes occupations such as customer service representatives, cashiers, store managers, sales associates and inventory control specialists. Most workers are employed in shops and supermarkets, ranging in size from large chain stores and supermarkets to small </w:t>
      </w:r>
      <w:r>
        <w:t>or</w:t>
      </w:r>
      <w:r w:rsidRPr="002F668A">
        <w:t xml:space="preserve"> family run businesses. </w:t>
      </w:r>
    </w:p>
    <w:p w14:paraId="72B1551C" w14:textId="77777777" w:rsidR="00017DF8" w:rsidRDefault="00017DF8" w:rsidP="00017DF8">
      <w:pPr>
        <w:spacing w:line="240" w:lineRule="auto"/>
        <w:contextualSpacing/>
      </w:pPr>
    </w:p>
    <w:p w14:paraId="181AFFBF" w14:textId="4CAF0533" w:rsidR="00017DF8" w:rsidRDefault="00017DF8" w:rsidP="00017DF8">
      <w:pPr>
        <w:spacing w:line="240" w:lineRule="auto"/>
        <w:contextualSpacing/>
      </w:pPr>
      <w:r>
        <w:t xml:space="preserve">The demand for retail staff in the Mackay ER has declined mostly </w:t>
      </w:r>
      <w:r w:rsidR="00B332D0">
        <w:t xml:space="preserve">due to the </w:t>
      </w:r>
      <w:r>
        <w:t>COVID-19</w:t>
      </w:r>
      <w:r w:rsidR="00B332D0">
        <w:t xml:space="preserve"> pandemic</w:t>
      </w:r>
      <w:r>
        <w:t xml:space="preserve">. In 2017, </w:t>
      </w:r>
      <w:r w:rsidR="00B332D0">
        <w:t>r</w:t>
      </w:r>
      <w:r>
        <w:t xml:space="preserve">etail was the number one employing industry in the ER, followed by accommodation and food services, construction, </w:t>
      </w:r>
      <w:r w:rsidR="00B95534">
        <w:t>health,</w:t>
      </w:r>
      <w:r>
        <w:t xml:space="preserve"> and mining. However, following COVID-19 lockdowns and contingency </w:t>
      </w:r>
      <w:r w:rsidR="00C30C74">
        <w:lastRenderedPageBreak/>
        <w:t xml:space="preserve">planning </w:t>
      </w:r>
      <w:r>
        <w:t xml:space="preserve">the number of people employed in retail dropped to fourth highest employing industry in the ER.   </w:t>
      </w:r>
    </w:p>
    <w:p w14:paraId="5ED1FD81" w14:textId="77777777" w:rsidR="00017DF8" w:rsidRDefault="00017DF8" w:rsidP="00017DF8">
      <w:pPr>
        <w:spacing w:line="240" w:lineRule="auto"/>
        <w:contextualSpacing/>
      </w:pPr>
    </w:p>
    <w:p w14:paraId="38F723C4" w14:textId="65B3E7CD" w:rsidR="00017DF8" w:rsidRDefault="00017DF8" w:rsidP="00017DF8">
      <w:pPr>
        <w:spacing w:line="240" w:lineRule="auto"/>
        <w:contextualSpacing/>
      </w:pPr>
      <w:r>
        <w:t xml:space="preserve">Due to increased online and click and collect shopping behaviour and burgeoning economic recovery, there has been a gradual increase in retail </w:t>
      </w:r>
      <w:r w:rsidRPr="00F717A7">
        <w:t>vacancies. In the last 12 months</w:t>
      </w:r>
      <w:r w:rsidR="002B424B">
        <w:t>,</w:t>
      </w:r>
      <w:r w:rsidRPr="00F717A7">
        <w:t xml:space="preserve"> the </w:t>
      </w:r>
      <w:r w:rsidRPr="00B8419B">
        <w:t>IVI</w:t>
      </w:r>
      <w:r w:rsidRPr="00F717A7">
        <w:t xml:space="preserve"> data shows that vacancies for occupations relating to sales have generally increased. For example, vacancies for Sales Assistan</w:t>
      </w:r>
      <w:r w:rsidR="0052349E">
        <w:t>t</w:t>
      </w:r>
      <w:r w:rsidRPr="00F717A7">
        <w:t>s and Salesperson</w:t>
      </w:r>
      <w:r w:rsidR="0052349E">
        <w:t>s</w:t>
      </w:r>
      <w:r w:rsidRPr="00F717A7">
        <w:t xml:space="preserve"> increased from 42.2</w:t>
      </w:r>
      <w:r w:rsidR="008B69C0">
        <w:t>%</w:t>
      </w:r>
      <w:r w:rsidR="00C30C74">
        <w:t xml:space="preserve"> </w:t>
      </w:r>
      <w:r w:rsidRPr="00F717A7">
        <w:t>in January 2020 to 80.9</w:t>
      </w:r>
      <w:r w:rsidR="008B69C0">
        <w:t xml:space="preserve">% </w:t>
      </w:r>
      <w:r w:rsidRPr="00F717A7">
        <w:t>in December 2020, however within this period there was a drop to 28.8</w:t>
      </w:r>
      <w:r w:rsidR="008B69C0">
        <w:t>%</w:t>
      </w:r>
      <w:r w:rsidRPr="00F717A7">
        <w:t xml:space="preserve"> in May 2020, before large increases in October and November of 2020.</w:t>
      </w:r>
    </w:p>
    <w:p w14:paraId="7C23F13D" w14:textId="77777777" w:rsidR="00017DF8" w:rsidRDefault="00017DF8" w:rsidP="00017DF8">
      <w:pPr>
        <w:spacing w:line="240" w:lineRule="auto"/>
        <w:contextualSpacing/>
      </w:pPr>
    </w:p>
    <w:p w14:paraId="09EAA59A" w14:textId="41D09AC2" w:rsidR="00017DF8" w:rsidRPr="009C6E08" w:rsidRDefault="00017DF8" w:rsidP="00017DF8">
      <w:pPr>
        <w:spacing w:line="240" w:lineRule="auto"/>
        <w:contextualSpacing/>
        <w:rPr>
          <w:color w:val="0000FF"/>
          <w:sz w:val="14"/>
          <w:szCs w:val="14"/>
        </w:rPr>
      </w:pPr>
      <w:r w:rsidRPr="009C6E08">
        <w:rPr>
          <w:sz w:val="14"/>
          <w:szCs w:val="14"/>
        </w:rPr>
        <w:t>Source:</w:t>
      </w:r>
      <w:r>
        <w:rPr>
          <w:sz w:val="14"/>
          <w:szCs w:val="14"/>
        </w:rPr>
        <w:t xml:space="preserve"> </w:t>
      </w:r>
      <w:r w:rsidRPr="009C6E08">
        <w:rPr>
          <w:sz w:val="14"/>
          <w:szCs w:val="14"/>
        </w:rPr>
        <w:t>ABS Labour Force Survey, Employment Region – Employment by Industry, February 2021.</w:t>
      </w:r>
      <w:r>
        <w:rPr>
          <w:sz w:val="14"/>
          <w:szCs w:val="14"/>
        </w:rPr>
        <w:t xml:space="preserve"> </w:t>
      </w:r>
      <w:hyperlink r:id="rId23" w:history="1">
        <w:r w:rsidR="00663649" w:rsidRPr="00663649">
          <w:rPr>
            <w:rStyle w:val="Hyperlink"/>
            <w:sz w:val="14"/>
            <w:szCs w:val="14"/>
          </w:rPr>
          <w:t>https://lmip.gov.au/default.aspx?LMIP/GainInsights/VacancyReport</w:t>
        </w:r>
      </w:hyperlink>
    </w:p>
    <w:p w14:paraId="008F0999" w14:textId="222E7CAA" w:rsidR="00017DF8" w:rsidRDefault="00017DF8" w:rsidP="00017DF8">
      <w:pPr>
        <w:spacing w:line="240" w:lineRule="auto"/>
        <w:contextualSpacing/>
      </w:pPr>
    </w:p>
    <w:p w14:paraId="3BB353F8" w14:textId="77777777" w:rsidR="00017DF8" w:rsidRPr="00644F51" w:rsidRDefault="00017DF8" w:rsidP="00017DF8">
      <w:pPr>
        <w:pStyle w:val="Heading3"/>
        <w:spacing w:line="240" w:lineRule="auto"/>
        <w:contextualSpacing/>
      </w:pPr>
      <w:bookmarkStart w:id="36" w:name="_Toc79134292"/>
      <w:r w:rsidRPr="00644F51">
        <w:t>Agricultur</w:t>
      </w:r>
      <w:r>
        <w:t>e</w:t>
      </w:r>
      <w:bookmarkEnd w:id="36"/>
      <w:r w:rsidRPr="00644F51">
        <w:t xml:space="preserve"> </w:t>
      </w:r>
    </w:p>
    <w:p w14:paraId="6B2835C3" w14:textId="07F16AFA" w:rsidR="00385348" w:rsidRDefault="00017DF8" w:rsidP="00017DF8">
      <w:pPr>
        <w:spacing w:line="240" w:lineRule="auto"/>
        <w:contextualSpacing/>
      </w:pPr>
      <w:r w:rsidRPr="00644F51">
        <w:t xml:space="preserve">The </w:t>
      </w:r>
      <w:r w:rsidR="00DD16A7">
        <w:t>a</w:t>
      </w:r>
      <w:r w:rsidRPr="00644F51">
        <w:t xml:space="preserve">gricultural </w:t>
      </w:r>
      <w:r w:rsidR="00DD16A7">
        <w:t>i</w:t>
      </w:r>
      <w:r w:rsidRPr="00644F51">
        <w:t xml:space="preserve">ndustry in the Mackay ER is mostly known for sugarcane, beef, </w:t>
      </w:r>
      <w:r w:rsidR="00B95534" w:rsidRPr="00644F51">
        <w:t>vegetable,</w:t>
      </w:r>
      <w:r w:rsidRPr="00644F51">
        <w:t xml:space="preserve"> and salad crops, as well </w:t>
      </w:r>
      <w:r w:rsidR="0045092B">
        <w:t xml:space="preserve">as </w:t>
      </w:r>
      <w:r w:rsidRPr="00644F51">
        <w:t xml:space="preserve">grains and tropical fruits. </w:t>
      </w:r>
      <w:r>
        <w:t>S</w:t>
      </w:r>
      <w:r w:rsidRPr="00644F51">
        <w:t xml:space="preserve">ugar cane is the largest industry in the region with just over 57% of farms growing </w:t>
      </w:r>
      <w:r w:rsidR="00221FA3">
        <w:t>this product</w:t>
      </w:r>
      <w:r w:rsidRPr="00644F51">
        <w:t>. Th</w:t>
      </w:r>
      <w:r w:rsidR="009F393F">
        <w:t>e</w:t>
      </w:r>
      <w:r w:rsidRPr="00644F51">
        <w:t xml:space="preserve"> area also has a well</w:t>
      </w:r>
      <w:r>
        <w:t>-</w:t>
      </w:r>
      <w:r w:rsidRPr="00644F51">
        <w:t xml:space="preserve">established commercial and recreational fishing </w:t>
      </w:r>
      <w:r w:rsidR="00B95534" w:rsidRPr="00644F51">
        <w:t>industry</w:t>
      </w:r>
      <w:r w:rsidR="00B95534">
        <w:t xml:space="preserve"> and</w:t>
      </w:r>
      <w:r w:rsidR="008012BF">
        <w:t xml:space="preserve"> </w:t>
      </w:r>
      <w:r w:rsidRPr="00644F51">
        <w:t xml:space="preserve">is developing </w:t>
      </w:r>
      <w:r w:rsidR="001F5532">
        <w:t xml:space="preserve">a </w:t>
      </w:r>
      <w:r w:rsidRPr="00644F51">
        <w:t>small</w:t>
      </w:r>
      <w:r>
        <w:t>-</w:t>
      </w:r>
      <w:r w:rsidRPr="00644F51">
        <w:t>scale aqu</w:t>
      </w:r>
      <w:r>
        <w:t>a</w:t>
      </w:r>
      <w:r w:rsidRPr="00644F51">
        <w:t xml:space="preserve">culture industry in the ER which focuses mainly on the production of prawns and barramundi. </w:t>
      </w:r>
      <w:r w:rsidR="00385348">
        <w:t xml:space="preserve">The </w:t>
      </w:r>
      <w:r w:rsidR="008F0311">
        <w:t>Queensland</w:t>
      </w:r>
      <w:r w:rsidR="003740C9">
        <w:t xml:space="preserve"> </w:t>
      </w:r>
      <w:r w:rsidR="00385348">
        <w:t xml:space="preserve">Government’s 2021-2022 budget announced funding for industry specific training and commercial support, including a new Agricultural Centre of Excellence at Bowen TAFE, Aquaculture Training Centre at Cannonvale </w:t>
      </w:r>
      <w:r w:rsidR="00B95534">
        <w:t>TAFE,</w:t>
      </w:r>
      <w:r w:rsidR="00385348">
        <w:t xml:space="preserve"> and the development of a business case for the Future Foods Bio</w:t>
      </w:r>
      <w:r w:rsidR="008B69C0">
        <w:t>-</w:t>
      </w:r>
      <w:r w:rsidR="00385348">
        <w:t>hub Mackay.</w:t>
      </w:r>
    </w:p>
    <w:p w14:paraId="2EAC091C" w14:textId="77777777" w:rsidR="00385348" w:rsidRPr="00644F51" w:rsidRDefault="00385348" w:rsidP="00017DF8">
      <w:pPr>
        <w:spacing w:line="240" w:lineRule="auto"/>
        <w:contextualSpacing/>
      </w:pPr>
    </w:p>
    <w:p w14:paraId="76B9537E" w14:textId="1B54F54A" w:rsidR="00017DF8" w:rsidRDefault="00017DF8" w:rsidP="00017DF8">
      <w:pPr>
        <w:pStyle w:val="Heading3"/>
        <w:spacing w:line="240" w:lineRule="auto"/>
      </w:pPr>
      <w:bookmarkStart w:id="37" w:name="_Toc79134293"/>
      <w:r>
        <w:t>Tourism</w:t>
      </w:r>
      <w:bookmarkEnd w:id="37"/>
    </w:p>
    <w:p w14:paraId="237E4A22" w14:textId="657D8CE1" w:rsidR="00F331E3" w:rsidRDefault="00F331E3" w:rsidP="00F331E3">
      <w:pPr>
        <w:spacing w:line="240" w:lineRule="auto"/>
        <w:contextualSpacing/>
      </w:pPr>
      <w:r>
        <w:t xml:space="preserve">The </w:t>
      </w:r>
      <w:r w:rsidR="0069493F">
        <w:t>t</w:t>
      </w:r>
      <w:r>
        <w:t xml:space="preserve">ourism industry in the ER can be split into two distinct </w:t>
      </w:r>
      <w:r w:rsidR="008E7B25">
        <w:t>areas</w:t>
      </w:r>
      <w:r w:rsidR="00256C99">
        <w:t xml:space="preserve"> </w:t>
      </w:r>
      <w:r w:rsidR="00B2289B">
        <w:t>-</w:t>
      </w:r>
      <w:r>
        <w:t xml:space="preserve"> the Whitsundays and Mackay.</w:t>
      </w:r>
    </w:p>
    <w:p w14:paraId="0A182E2A" w14:textId="77777777" w:rsidR="00F331E3" w:rsidRDefault="00F331E3" w:rsidP="00F331E3">
      <w:pPr>
        <w:spacing w:line="240" w:lineRule="auto"/>
        <w:contextualSpacing/>
      </w:pPr>
    </w:p>
    <w:p w14:paraId="3EEEB22C" w14:textId="450A94DD" w:rsidR="00F331E3" w:rsidRDefault="00F331E3" w:rsidP="00F331E3">
      <w:pPr>
        <w:spacing w:line="240" w:lineRule="auto"/>
        <w:contextualSpacing/>
      </w:pPr>
      <w:r>
        <w:t>The Whitsunday area encompasses the regional hubs of Proserpine</w:t>
      </w:r>
      <w:r w:rsidR="00414A57">
        <w:t>,</w:t>
      </w:r>
      <w:r w:rsidR="00B95534">
        <w:t xml:space="preserve"> </w:t>
      </w:r>
      <w:r>
        <w:t>Bowen</w:t>
      </w:r>
      <w:r w:rsidR="00B95534">
        <w:t>,</w:t>
      </w:r>
      <w:r>
        <w:t xml:space="preserve"> and Airlie Beach, </w:t>
      </w:r>
      <w:r w:rsidR="00C51E46">
        <w:t xml:space="preserve">which is </w:t>
      </w:r>
      <w:r>
        <w:t>the gateway to the 74 islands off the Queensland coast in the middle of the Great Barrier Reef. A mix of accommodation is offered, from camping in national parks, AirBNB</w:t>
      </w:r>
      <w:r w:rsidR="001C52DB">
        <w:t>s</w:t>
      </w:r>
      <w:r>
        <w:t xml:space="preserve">, caravan parks and motels to high-end all-inclusive resorts and island ‘glamping’. The Whitsundays is serviced by two </w:t>
      </w:r>
      <w:r w:rsidR="008E7B25">
        <w:t>airports</w:t>
      </w:r>
      <w:r w:rsidR="003740C9">
        <w:t>,</w:t>
      </w:r>
      <w:r>
        <w:t xml:space="preserve"> Whitsunday Coast Airport in </w:t>
      </w:r>
      <w:r w:rsidR="00B95534">
        <w:t>Proserpine,</w:t>
      </w:r>
      <w:r>
        <w:t xml:space="preserve"> and Great Barrier Reef Airport on Hamilton Island.</w:t>
      </w:r>
    </w:p>
    <w:p w14:paraId="59B898DC" w14:textId="77777777" w:rsidR="00F331E3" w:rsidRDefault="00F331E3" w:rsidP="00F331E3">
      <w:pPr>
        <w:spacing w:line="240" w:lineRule="auto"/>
        <w:contextualSpacing/>
      </w:pPr>
    </w:p>
    <w:p w14:paraId="6636282F" w14:textId="56EBB1A5" w:rsidR="00F331E3" w:rsidRDefault="00F331E3" w:rsidP="00F331E3">
      <w:pPr>
        <w:spacing w:line="240" w:lineRule="auto"/>
        <w:contextualSpacing/>
      </w:pPr>
      <w:r>
        <w:t xml:space="preserve">The Whitsundays are a hub for domestic and international tourists, including self-drive, grey nomads, </w:t>
      </w:r>
      <w:r w:rsidR="00B95534">
        <w:t>backpackers,</w:t>
      </w:r>
      <w:r>
        <w:t xml:space="preserve"> and </w:t>
      </w:r>
      <w:r w:rsidRPr="006A098B">
        <w:t>intra</w:t>
      </w:r>
      <w:r w:rsidRPr="00D87814">
        <w:t>-state</w:t>
      </w:r>
      <w:r>
        <w:t xml:space="preserve"> holidaymakers. </w:t>
      </w:r>
      <w:r w:rsidRPr="00B95534">
        <w:t>Tourism and Events Queensland (TEQ) Whitsundays Regional Snapshot</w:t>
      </w:r>
      <w:r>
        <w:t xml:space="preserve"> </w:t>
      </w:r>
      <w:r w:rsidR="00B95534">
        <w:t xml:space="preserve">(December 2020) </w:t>
      </w:r>
      <w:r>
        <w:t>shows the area hosted 575,000 visitors to December 2020</w:t>
      </w:r>
      <w:r w:rsidR="00F23A1E">
        <w:t xml:space="preserve"> </w:t>
      </w:r>
      <w:r w:rsidR="0039623A">
        <w:t>-</w:t>
      </w:r>
      <w:r>
        <w:t xml:space="preserve"> 92% of visitors were domestic holiday makers, with 90% of these being from </w:t>
      </w:r>
      <w:r w:rsidR="00BB525F">
        <w:t>intrastate</w:t>
      </w:r>
      <w:r>
        <w:t xml:space="preserve">. For international visitors to Queensland, the Whitsundays is the fifth top holiday destination in the state (9%). Whilst </w:t>
      </w:r>
      <w:r w:rsidR="00661707">
        <w:t>most</w:t>
      </w:r>
      <w:r>
        <w:t xml:space="preserve"> visitors to the Whitsundays </w:t>
      </w:r>
      <w:r w:rsidR="00A5226E">
        <w:t>are</w:t>
      </w:r>
      <w:r>
        <w:t xml:space="preserve"> domestic, the area only attracts three percent of the share of total domestic visitors to Queensland.</w:t>
      </w:r>
    </w:p>
    <w:p w14:paraId="69FF2F61" w14:textId="77777777" w:rsidR="00F331E3" w:rsidRDefault="00F331E3" w:rsidP="00F331E3">
      <w:pPr>
        <w:spacing w:line="240" w:lineRule="auto"/>
        <w:contextualSpacing/>
      </w:pPr>
    </w:p>
    <w:p w14:paraId="7DAA6C7F" w14:textId="1D54BC22" w:rsidR="00F331E3" w:rsidRDefault="002F7230" w:rsidP="00F331E3">
      <w:pPr>
        <w:spacing w:line="240" w:lineRule="auto"/>
        <w:contextualSpacing/>
      </w:pPr>
      <w:r>
        <w:t>I</w:t>
      </w:r>
      <w:r w:rsidR="00F331E3">
        <w:t>n the three years ending December 2020</w:t>
      </w:r>
      <w:r w:rsidR="003B6180">
        <w:t>,</w:t>
      </w:r>
      <w:r w:rsidR="00F331E3">
        <w:t xml:space="preserve"> annual domestic Overnight Visitor Expenditure (OVE) in the Whitsundays grew by 9.7</w:t>
      </w:r>
      <w:r w:rsidR="0053493F">
        <w:t>%</w:t>
      </w:r>
      <w:r w:rsidR="00F331E3">
        <w:t xml:space="preserve"> on average to $630.9 million</w:t>
      </w:r>
      <w:r>
        <w:t xml:space="preserve"> even with the effects of COVID from March 2020</w:t>
      </w:r>
      <w:r w:rsidR="00F331E3">
        <w:t>. While visitation was steady (down 0.4</w:t>
      </w:r>
      <w:r w:rsidR="00E43A7B">
        <w:t>%</w:t>
      </w:r>
      <w:r w:rsidR="00F331E3">
        <w:t xml:space="preserve"> on average) at 532,000, spend per night grew by 17.7</w:t>
      </w:r>
      <w:r w:rsidR="008B69C0">
        <w:t>%</w:t>
      </w:r>
      <w:r w:rsidR="00F331E3">
        <w:t xml:space="preserve"> on average to $297 per night. Part of the increase in spend </w:t>
      </w:r>
      <w:r w:rsidR="00310C1A">
        <w:t xml:space="preserve">per night </w:t>
      </w:r>
      <w:r w:rsidR="00F331E3">
        <w:t>over the last three years reflects the impacts of Cyclone Debbie in 2017 and the recovery work which followed. In 2019, recovery workers gradually left the region and Hayman Island and Daydream Island both reopened in mid-2019. It also reflects the large increase in intrastate visitors who have increasingly preferred to stay in 4-5-star accommodation</w:t>
      </w:r>
      <w:r w:rsidR="00C35F9B">
        <w:t>;</w:t>
      </w:r>
      <w:r w:rsidR="00F331E3">
        <w:t xml:space="preserve"> and are increasingly likely to be Millennial and Generation X visitors </w:t>
      </w:r>
      <w:r w:rsidR="00C30C74">
        <w:t xml:space="preserve">in comparison to </w:t>
      </w:r>
      <w:r w:rsidR="00F331E3">
        <w:t xml:space="preserve">Generation Z visitors </w:t>
      </w:r>
      <w:r w:rsidR="005025B1">
        <w:t>who</w:t>
      </w:r>
      <w:r w:rsidR="00F331E3">
        <w:t xml:space="preserve"> are likely to spend less. </w:t>
      </w:r>
    </w:p>
    <w:p w14:paraId="414C554F" w14:textId="77777777" w:rsidR="00F331E3" w:rsidRDefault="00F331E3" w:rsidP="00F331E3">
      <w:pPr>
        <w:spacing w:line="240" w:lineRule="auto"/>
        <w:contextualSpacing/>
      </w:pPr>
    </w:p>
    <w:p w14:paraId="0E11502E" w14:textId="13120F9A" w:rsidR="00F331E3" w:rsidRDefault="00F331E3" w:rsidP="00F331E3">
      <w:pPr>
        <w:spacing w:line="240" w:lineRule="auto"/>
        <w:contextualSpacing/>
      </w:pPr>
      <w:r>
        <w:t xml:space="preserve">The Mackay tourism area is </w:t>
      </w:r>
      <w:r w:rsidR="00661707">
        <w:t>centered</w:t>
      </w:r>
      <w:r>
        <w:t xml:space="preserve"> around Mackay city and is popular with </w:t>
      </w:r>
      <w:r w:rsidR="00661707">
        <w:t>business travelers</w:t>
      </w:r>
      <w:r>
        <w:t>, grey nomads, backpackers</w:t>
      </w:r>
      <w:r w:rsidR="00C30C74">
        <w:t>,</w:t>
      </w:r>
      <w:r>
        <w:t xml:space="preserve"> </w:t>
      </w:r>
      <w:r w:rsidR="008E7B25">
        <w:t>self-drive</w:t>
      </w:r>
      <w:r w:rsidR="00C30C74">
        <w:t xml:space="preserve"> and </w:t>
      </w:r>
      <w:r>
        <w:t xml:space="preserve">intrastate holidaymakers. Being the ER’s commercial </w:t>
      </w:r>
      <w:r w:rsidR="00661707">
        <w:t>center</w:t>
      </w:r>
      <w:r>
        <w:t xml:space="preserve">, </w:t>
      </w:r>
      <w:r>
        <w:lastRenderedPageBreak/>
        <w:t xml:space="preserve">63% of domestic visitors to </w:t>
      </w:r>
      <w:r w:rsidR="00C30C74">
        <w:t>Mackay</w:t>
      </w:r>
      <w:r>
        <w:t xml:space="preserve"> stated their purpose was ‘business’ (TEQ, Dec</w:t>
      </w:r>
      <w:r w:rsidR="00962270">
        <w:t>ember</w:t>
      </w:r>
      <w:r>
        <w:t xml:space="preserve"> 2020). To December 2020, the Mackay area hosted 946,000 visitors, with 92% of all visitors being domestic and from </w:t>
      </w:r>
      <w:r w:rsidR="00C30C74" w:rsidRPr="00B95534">
        <w:t>i</w:t>
      </w:r>
      <w:r w:rsidRPr="00B95534">
        <w:t>ntrastate</w:t>
      </w:r>
      <w:r>
        <w:t xml:space="preserve">. Mackay is the sixth most visited Queensland holiday destination, with </w:t>
      </w:r>
      <w:r w:rsidR="00B550F6">
        <w:t xml:space="preserve">a </w:t>
      </w:r>
      <w:r>
        <w:t xml:space="preserve">six percent share of total visitors to Queensland. International tourists are the least likely to visit the Mackay region, with only </w:t>
      </w:r>
      <w:r w:rsidR="00C83037">
        <w:t>one per cent</w:t>
      </w:r>
      <w:r>
        <w:t xml:space="preserve"> of total international visitor share</w:t>
      </w:r>
      <w:r w:rsidR="002F7230">
        <w:t xml:space="preserve"> in Queensland</w:t>
      </w:r>
      <w:r>
        <w:t>.</w:t>
      </w:r>
    </w:p>
    <w:p w14:paraId="44BDC3C6" w14:textId="77777777" w:rsidR="00F331E3" w:rsidRDefault="00F331E3" w:rsidP="00F331E3">
      <w:pPr>
        <w:spacing w:line="240" w:lineRule="auto"/>
        <w:contextualSpacing/>
      </w:pPr>
    </w:p>
    <w:p w14:paraId="493DBAEB" w14:textId="2FF35961" w:rsidR="00F331E3" w:rsidRPr="009E1BCA" w:rsidRDefault="00F331E3" w:rsidP="00F331E3">
      <w:pPr>
        <w:autoSpaceDE w:val="0"/>
        <w:autoSpaceDN w:val="0"/>
        <w:adjustRightInd w:val="0"/>
        <w:spacing w:after="0" w:line="240" w:lineRule="auto"/>
        <w:contextualSpacing/>
      </w:pPr>
      <w:r>
        <w:t xml:space="preserve">Looking at visitor trends, </w:t>
      </w:r>
      <w:r w:rsidR="00F65C20">
        <w:t>i</w:t>
      </w:r>
      <w:r>
        <w:t>ntrastate visitation grew by 7.6% on average over the past three years.  The largest intrastate markets were intraregional travelers (up 11.8</w:t>
      </w:r>
      <w:r w:rsidR="00EA27F2">
        <w:t>%</w:t>
      </w:r>
      <w:r>
        <w:t xml:space="preserve"> on average to a record 301,000 and Brisbane (up 14.2</w:t>
      </w:r>
      <w:r w:rsidR="00CB1BDE">
        <w:t>%</w:t>
      </w:r>
      <w:r>
        <w:t xml:space="preserve"> on average to 178 000). </w:t>
      </w:r>
      <w:r w:rsidRPr="009E1BCA">
        <w:t xml:space="preserve">International visitation to Mackay decreased by </w:t>
      </w:r>
      <w:r>
        <w:t>27.8%</w:t>
      </w:r>
      <w:r w:rsidRPr="009E1BCA">
        <w:t xml:space="preserve"> on</w:t>
      </w:r>
      <w:r>
        <w:t xml:space="preserve"> </w:t>
      </w:r>
      <w:r w:rsidRPr="009E1BCA">
        <w:t>average over the past three years to 7</w:t>
      </w:r>
      <w:r>
        <w:t>,</w:t>
      </w:r>
      <w:r w:rsidRPr="009E1BCA">
        <w:t>000 visitors in the year ending</w:t>
      </w:r>
    </w:p>
    <w:p w14:paraId="6038AAC7" w14:textId="25B8B1DC" w:rsidR="00F331E3" w:rsidRDefault="00F331E3" w:rsidP="00F331E3">
      <w:pPr>
        <w:autoSpaceDE w:val="0"/>
        <w:autoSpaceDN w:val="0"/>
        <w:adjustRightInd w:val="0"/>
        <w:spacing w:after="0" w:line="240" w:lineRule="auto"/>
        <w:contextualSpacing/>
      </w:pPr>
      <w:r w:rsidRPr="009E1BCA">
        <w:t>December 2020</w:t>
      </w:r>
      <w:r>
        <w:t>.</w:t>
      </w:r>
      <w:r w:rsidRPr="009E1BCA">
        <w:t xml:space="preserve"> The international market contributed </w:t>
      </w:r>
      <w:r w:rsidR="00CB1BDE">
        <w:t>one</w:t>
      </w:r>
      <w:r w:rsidRPr="009E1BCA">
        <w:t xml:space="preserve"> per cent of all</w:t>
      </w:r>
      <w:r>
        <w:t xml:space="preserve"> </w:t>
      </w:r>
      <w:r w:rsidRPr="009E1BCA">
        <w:t>overnight visitors to the region</w:t>
      </w:r>
      <w:r>
        <w:t>.</w:t>
      </w:r>
    </w:p>
    <w:p w14:paraId="78FC7339" w14:textId="3FECA2AD" w:rsidR="00F331E3" w:rsidRDefault="00F331E3" w:rsidP="00F331E3">
      <w:pPr>
        <w:spacing w:line="240" w:lineRule="auto"/>
        <w:contextualSpacing/>
      </w:pPr>
      <w:r>
        <w:br/>
        <w:t xml:space="preserve">Looking forward, </w:t>
      </w:r>
      <w:r w:rsidR="00742A91">
        <w:t xml:space="preserve">the </w:t>
      </w:r>
      <w:r>
        <w:t>COVID</w:t>
      </w:r>
      <w:r w:rsidR="00742A91">
        <w:t>-19 pandemic</w:t>
      </w:r>
      <w:r>
        <w:t xml:space="preserve"> will continue to impact the tourism industry in both the Whitsunday and Mackay tourism areas in the ER. International borders will potentially remain closed </w:t>
      </w:r>
      <w:r w:rsidR="003740C9">
        <w:t>for a significant period of time</w:t>
      </w:r>
      <w:r>
        <w:t xml:space="preserve">, which will limit international </w:t>
      </w:r>
      <w:r w:rsidR="00817C42">
        <w:t>visitors’</w:t>
      </w:r>
      <w:r>
        <w:t xml:space="preserve"> ability to enter Australia, whether it be for a short holiday, working holiday or </w:t>
      </w:r>
      <w:r w:rsidR="00977DBA">
        <w:t>backpacking</w:t>
      </w:r>
      <w:r>
        <w:t xml:space="preserve">. Domestic tourism is an opportunity for the region, but ongoing sporadic lockdowns and a trend to holiday intrastate will continue to be challenging to manage. Tourism Australia’s Aviation Capacity Report (March 2021), showed that 123 flights </w:t>
      </w:r>
      <w:r w:rsidR="00977DBA">
        <w:t xml:space="preserve">are scheduled </w:t>
      </w:r>
      <w:r>
        <w:t xml:space="preserve">per week from Brisbane to either Mackay, </w:t>
      </w:r>
      <w:r w:rsidR="00817C42">
        <w:t>Proserpine,</w:t>
      </w:r>
      <w:r>
        <w:t xml:space="preserve"> and Hamilton Island and only three direct from Hamilton Island to Sydney. The number of aviation seats available further illustrates the downward trend</w:t>
      </w:r>
      <w:r w:rsidR="00D45CE5">
        <w:t>-</w:t>
      </w:r>
      <w:r>
        <w:t xml:space="preserve"> </w:t>
      </w:r>
      <w:r w:rsidR="00977DBA">
        <w:t xml:space="preserve">seat </w:t>
      </w:r>
      <w:r w:rsidR="00142903">
        <w:t>numbers are</w:t>
      </w:r>
      <w:r w:rsidR="00977DBA">
        <w:t xml:space="preserve"> </w:t>
      </w:r>
      <w:r>
        <w:t xml:space="preserve">down 43.8% </w:t>
      </w:r>
      <w:r w:rsidR="00F673DA">
        <w:t>on</w:t>
      </w:r>
      <w:r>
        <w:t xml:space="preserve"> the Brisbane to Mackay route, 31.3% down </w:t>
      </w:r>
      <w:r w:rsidR="00F673DA">
        <w:t>on</w:t>
      </w:r>
      <w:r>
        <w:t xml:space="preserve"> </w:t>
      </w:r>
      <w:r w:rsidR="00977DBA">
        <w:t xml:space="preserve">the </w:t>
      </w:r>
      <w:r>
        <w:t xml:space="preserve">Brisbane to Proserpine route and the direct flight from Hamilton Island to Sydney </w:t>
      </w:r>
      <w:r w:rsidR="00977DBA">
        <w:t xml:space="preserve">is </w:t>
      </w:r>
      <w:r>
        <w:t xml:space="preserve">down 91.5%.  </w:t>
      </w:r>
    </w:p>
    <w:p w14:paraId="099044B9" w14:textId="77777777" w:rsidR="00F331E3" w:rsidRDefault="00F331E3" w:rsidP="00F331E3">
      <w:pPr>
        <w:spacing w:line="240" w:lineRule="auto"/>
        <w:contextualSpacing/>
      </w:pPr>
    </w:p>
    <w:p w14:paraId="07DD573C" w14:textId="075CE7C9" w:rsidR="00F331E3" w:rsidRDefault="00F331E3" w:rsidP="00F331E3">
      <w:pPr>
        <w:spacing w:line="240" w:lineRule="auto"/>
        <w:contextualSpacing/>
      </w:pPr>
      <w:r>
        <w:t xml:space="preserve">Potentially reflecting the increase in intrastate, self-drive holidays, Tourism and Events Queensland, Queensland Accommodation Report (April 2021), showed that </w:t>
      </w:r>
      <w:r w:rsidR="00234D16">
        <w:t>Queensland’s</w:t>
      </w:r>
      <w:r>
        <w:t xml:space="preserve"> accommodation sector is recovering, with the industry reporting higher levels of average daily rates (ADR) and revenue per available room. The April period was strong in Mackay, with accommodation providers reporting higher levels of ADR and </w:t>
      </w:r>
      <w:r w:rsidR="00AE15D9">
        <w:t>o</w:t>
      </w:r>
      <w:r>
        <w:t xml:space="preserve">ccupancy rates compared with the pre-COVID </w:t>
      </w:r>
      <w:r w:rsidR="00977DBA">
        <w:t xml:space="preserve">month </w:t>
      </w:r>
      <w:r>
        <w:t>of April 2019.</w:t>
      </w:r>
    </w:p>
    <w:p w14:paraId="3F9E3B5D" w14:textId="345824B2" w:rsidR="00017DF8" w:rsidRDefault="00017DF8" w:rsidP="00017DF8">
      <w:pPr>
        <w:spacing w:line="240" w:lineRule="auto"/>
        <w:contextualSpacing/>
      </w:pPr>
    </w:p>
    <w:p w14:paraId="668DFC7B" w14:textId="77777777" w:rsidR="00DB034D" w:rsidRDefault="00DB034D">
      <w:pPr>
        <w:rPr>
          <w:rFonts w:ascii="Calibri" w:eastAsiaTheme="majorEastAsia" w:hAnsi="Calibri" w:cstheme="majorBidi"/>
          <w:b/>
          <w:bCs/>
          <w:color w:val="646363"/>
          <w:sz w:val="28"/>
          <w:szCs w:val="26"/>
        </w:rPr>
      </w:pPr>
      <w:r>
        <w:br w:type="page"/>
      </w:r>
    </w:p>
    <w:p w14:paraId="34848633" w14:textId="28A53FD1" w:rsidR="00017DF8" w:rsidRDefault="00017DF8" w:rsidP="00017DF8">
      <w:pPr>
        <w:pStyle w:val="Heading2"/>
      </w:pPr>
      <w:bookmarkStart w:id="38" w:name="_Toc79134294"/>
      <w:r>
        <w:lastRenderedPageBreak/>
        <w:t>Vacancies and job advertisements</w:t>
      </w:r>
      <w:bookmarkEnd w:id="38"/>
    </w:p>
    <w:p w14:paraId="161E7F7A" w14:textId="18640CAA" w:rsidR="00017DF8" w:rsidRDefault="00E40CFA" w:rsidP="00017DF8">
      <w:pPr>
        <w:spacing w:line="240" w:lineRule="auto"/>
        <w:contextualSpacing/>
      </w:pPr>
      <w:r>
        <w:br/>
      </w:r>
      <w:r w:rsidR="00017DF8">
        <w:t>The March 2021</w:t>
      </w:r>
      <w:r w:rsidR="00017DF8" w:rsidRPr="00253033">
        <w:t xml:space="preserve"> </w:t>
      </w:r>
      <w:r w:rsidR="00017DF8">
        <w:t xml:space="preserve">IVI Central </w:t>
      </w:r>
      <w:r w:rsidR="00234D16">
        <w:t>Queensland</w:t>
      </w:r>
      <w:r w:rsidR="00017DF8">
        <w:t xml:space="preserve"> indicates that vacancies in the ER are returning to pre-COVID levels. Figure </w:t>
      </w:r>
      <w:r w:rsidR="001C3FEA">
        <w:t>2</w:t>
      </w:r>
      <w:r w:rsidR="00017DF8">
        <w:t xml:space="preserve"> shows online job advertisements have increased 14.6% versus </w:t>
      </w:r>
      <w:r w:rsidR="00E77BEF">
        <w:t xml:space="preserve">the </w:t>
      </w:r>
      <w:r w:rsidR="00017DF8">
        <w:t xml:space="preserve">previous month and 72.4% </w:t>
      </w:r>
      <w:r w:rsidR="008B69C0">
        <w:t xml:space="preserve">versus </w:t>
      </w:r>
      <w:r w:rsidR="00017DF8">
        <w:t xml:space="preserve">March 2020.  </w:t>
      </w:r>
    </w:p>
    <w:p w14:paraId="2B0D23E5" w14:textId="77777777" w:rsidR="00017DF8" w:rsidRDefault="00017DF8" w:rsidP="00017DF8">
      <w:pPr>
        <w:spacing w:line="240" w:lineRule="auto"/>
        <w:contextualSpacing/>
      </w:pPr>
    </w:p>
    <w:p w14:paraId="3226C0FD" w14:textId="77777777" w:rsidR="00017DF8" w:rsidRPr="009C6E08" w:rsidRDefault="00017DF8" w:rsidP="00017DF8">
      <w:pPr>
        <w:spacing w:line="240" w:lineRule="auto"/>
        <w:contextualSpacing/>
        <w:rPr>
          <w:b/>
          <w:bCs/>
        </w:rPr>
      </w:pPr>
      <w:r w:rsidRPr="009C6E08">
        <w:rPr>
          <w:b/>
          <w:bCs/>
        </w:rPr>
        <w:t>Figure 2: Online job advertisements (March 2021)</w:t>
      </w:r>
    </w:p>
    <w:p w14:paraId="14D59DF6" w14:textId="70AE96E9" w:rsidR="00017DF8" w:rsidRDefault="00017DF8" w:rsidP="00017DF8">
      <w:pPr>
        <w:spacing w:line="240" w:lineRule="auto"/>
        <w:contextualSpacing/>
      </w:pPr>
      <w:r>
        <w:rPr>
          <w:noProof/>
        </w:rPr>
        <w:drawing>
          <wp:inline distT="0" distB="0" distL="0" distR="0" wp14:anchorId="74E04CF8" wp14:editId="6F999783">
            <wp:extent cx="4578824" cy="2241549"/>
            <wp:effectExtent l="0" t="0" r="0" b="6985"/>
            <wp:docPr id="4" name="Picture 4" descr="Graph showing online job advertisements in 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 showing online job advertisements in March 2021"/>
                    <pic:cNvPicPr/>
                  </pic:nvPicPr>
                  <pic:blipFill>
                    <a:blip r:embed="rId24"/>
                    <a:stretch>
                      <a:fillRect/>
                    </a:stretch>
                  </pic:blipFill>
                  <pic:spPr>
                    <a:xfrm>
                      <a:off x="0" y="0"/>
                      <a:ext cx="4632955" cy="2268048"/>
                    </a:xfrm>
                    <a:prstGeom prst="rect">
                      <a:avLst/>
                    </a:prstGeom>
                  </pic:spPr>
                </pic:pic>
              </a:graphicData>
            </a:graphic>
          </wp:inline>
        </w:drawing>
      </w:r>
    </w:p>
    <w:p w14:paraId="19A72D92" w14:textId="3D8BEC77" w:rsidR="00017DF8" w:rsidRDefault="00017DF8" w:rsidP="00017DF8">
      <w:pPr>
        <w:spacing w:line="240" w:lineRule="auto"/>
        <w:contextualSpacing/>
      </w:pPr>
    </w:p>
    <w:p w14:paraId="42183452" w14:textId="47791D3A" w:rsidR="00017DF8" w:rsidRDefault="00017DF8" w:rsidP="00017DF8">
      <w:pPr>
        <w:spacing w:line="240" w:lineRule="auto"/>
        <w:contextualSpacing/>
      </w:pPr>
      <w:r>
        <w:t xml:space="preserve">The top </w:t>
      </w:r>
      <w:r w:rsidR="00712C92">
        <w:t>ten</w:t>
      </w:r>
      <w:r>
        <w:t xml:space="preserve"> advertised occupations reflect the top four employers in the region, namely mining, health and allied services, </w:t>
      </w:r>
      <w:r w:rsidR="00817C42">
        <w:t>construction,</w:t>
      </w:r>
      <w:r>
        <w:t xml:space="preserve"> and retail. In Table 1, </w:t>
      </w:r>
      <w:r w:rsidR="0069493F">
        <w:t>h</w:t>
      </w:r>
      <w:r>
        <w:t xml:space="preserve">ealth and allied health services accounted for 610 jobs or 40.2% of the top </w:t>
      </w:r>
      <w:r w:rsidR="00BE0BED">
        <w:t>ten</w:t>
      </w:r>
      <w:r>
        <w:t xml:space="preserve"> advertised roles. </w:t>
      </w:r>
      <w:r w:rsidR="000B3F28">
        <w:t>B</w:t>
      </w:r>
      <w:r>
        <w:t xml:space="preserve">y number of jobs, </w:t>
      </w:r>
      <w:r w:rsidR="0069493F">
        <w:t>h</w:t>
      </w:r>
      <w:r>
        <w:t>ospitality is the tenth highest advertised occupation</w:t>
      </w:r>
      <w:r w:rsidR="009E45AB">
        <w:t xml:space="preserve"> category</w:t>
      </w:r>
      <w:r w:rsidR="00817C42">
        <w:t xml:space="preserve">, </w:t>
      </w:r>
      <w:r w:rsidR="00817C42" w:rsidRPr="00817C42">
        <w:t xml:space="preserve">however </w:t>
      </w:r>
      <w:r w:rsidRPr="00817C42">
        <w:t xml:space="preserve">in </w:t>
      </w:r>
      <w:r w:rsidR="00817C42" w:rsidRPr="00817C42">
        <w:t xml:space="preserve">specific </w:t>
      </w:r>
      <w:r w:rsidRPr="00817C42">
        <w:t xml:space="preserve">regions </w:t>
      </w:r>
      <w:r w:rsidR="00817C42" w:rsidRPr="00817C42">
        <w:t>(</w:t>
      </w:r>
      <w:r w:rsidRPr="00817C42">
        <w:t>such as the Whitsundays</w:t>
      </w:r>
      <w:r w:rsidR="00817C42" w:rsidRPr="00817C42">
        <w:t xml:space="preserve">), </w:t>
      </w:r>
      <w:r w:rsidRPr="00817C42">
        <w:t>the industry has great</w:t>
      </w:r>
      <w:r w:rsidR="00817C42" w:rsidRPr="00817C42">
        <w:t>er</w:t>
      </w:r>
      <w:r w:rsidRPr="00817C42">
        <w:t xml:space="preserve"> representation.</w:t>
      </w:r>
    </w:p>
    <w:p w14:paraId="3BFB7470" w14:textId="4BD071C4" w:rsidR="00017DF8" w:rsidRDefault="00017DF8" w:rsidP="00017DF8">
      <w:pPr>
        <w:spacing w:line="240" w:lineRule="auto"/>
        <w:contextualSpacing/>
      </w:pPr>
    </w:p>
    <w:p w14:paraId="0C7689E5" w14:textId="68F772EF" w:rsidR="00017DF8" w:rsidRPr="00993688" w:rsidRDefault="00017DF8" w:rsidP="00017DF8">
      <w:pPr>
        <w:spacing w:line="240" w:lineRule="auto"/>
        <w:contextualSpacing/>
        <w:rPr>
          <w:b/>
          <w:bCs/>
        </w:rPr>
      </w:pPr>
      <w:r w:rsidRPr="00993688">
        <w:rPr>
          <w:b/>
          <w:bCs/>
        </w:rPr>
        <w:t>Table 1: Top 10 advertised occupations (April 2021)</w:t>
      </w:r>
      <w:r>
        <w:rPr>
          <w:b/>
          <w:bCs/>
        </w:rPr>
        <w:br/>
      </w:r>
    </w:p>
    <w:tbl>
      <w:tblPr>
        <w:tblStyle w:val="TableGrid"/>
        <w:tblW w:w="0" w:type="auto"/>
        <w:tblLook w:val="04A0" w:firstRow="1" w:lastRow="0" w:firstColumn="1" w:lastColumn="0" w:noHBand="0" w:noVBand="1"/>
      </w:tblPr>
      <w:tblGrid>
        <w:gridCol w:w="5228"/>
        <w:gridCol w:w="2280"/>
      </w:tblGrid>
      <w:tr w:rsidR="00017DF8" w14:paraId="41A053D9" w14:textId="77777777" w:rsidTr="00385348">
        <w:tc>
          <w:tcPr>
            <w:tcW w:w="5228" w:type="dxa"/>
            <w:shd w:val="clear" w:color="auto" w:fill="C2DFF5" w:themeFill="text2" w:themeFillTint="33"/>
          </w:tcPr>
          <w:p w14:paraId="0940941A" w14:textId="77777777" w:rsidR="00017DF8" w:rsidRDefault="00017DF8" w:rsidP="00385348">
            <w:pPr>
              <w:contextualSpacing/>
            </w:pPr>
            <w:r>
              <w:t>ANZSCO Occupation</w:t>
            </w:r>
          </w:p>
        </w:tc>
        <w:tc>
          <w:tcPr>
            <w:tcW w:w="2280" w:type="dxa"/>
            <w:shd w:val="clear" w:color="auto" w:fill="C2DFF5" w:themeFill="text2" w:themeFillTint="33"/>
          </w:tcPr>
          <w:p w14:paraId="0D7E4EC3" w14:textId="77777777" w:rsidR="00017DF8" w:rsidRDefault="00017DF8" w:rsidP="00385348">
            <w:pPr>
              <w:contextualSpacing/>
            </w:pPr>
            <w:r>
              <w:t># Jobs Advertised</w:t>
            </w:r>
          </w:p>
        </w:tc>
      </w:tr>
      <w:tr w:rsidR="00017DF8" w14:paraId="4AA21EA1" w14:textId="77777777" w:rsidTr="00385348">
        <w:tc>
          <w:tcPr>
            <w:tcW w:w="5228" w:type="dxa"/>
          </w:tcPr>
          <w:p w14:paraId="3EBD90D6" w14:textId="77777777" w:rsidR="00017DF8" w:rsidRDefault="00017DF8" w:rsidP="00385348">
            <w:pPr>
              <w:contextualSpacing/>
            </w:pPr>
            <w:r>
              <w:t>Automotive and Engineering Trades Workers</w:t>
            </w:r>
          </w:p>
        </w:tc>
        <w:tc>
          <w:tcPr>
            <w:tcW w:w="2280" w:type="dxa"/>
          </w:tcPr>
          <w:p w14:paraId="096A35E4" w14:textId="77777777" w:rsidR="00017DF8" w:rsidRDefault="00017DF8" w:rsidP="00385348">
            <w:pPr>
              <w:contextualSpacing/>
            </w:pPr>
            <w:r>
              <w:t>194</w:t>
            </w:r>
          </w:p>
        </w:tc>
      </w:tr>
      <w:tr w:rsidR="00017DF8" w14:paraId="4B67F64C" w14:textId="77777777" w:rsidTr="00385348">
        <w:tc>
          <w:tcPr>
            <w:tcW w:w="5228" w:type="dxa"/>
          </w:tcPr>
          <w:p w14:paraId="487DE62C" w14:textId="77777777" w:rsidR="00017DF8" w:rsidRDefault="00017DF8" w:rsidP="00385348">
            <w:pPr>
              <w:contextualSpacing/>
            </w:pPr>
            <w:r w:rsidRPr="00D96322">
              <w:t>General-Inquiry Clerks, Call Centre Workers, and Receptionists</w:t>
            </w:r>
          </w:p>
        </w:tc>
        <w:tc>
          <w:tcPr>
            <w:tcW w:w="2280" w:type="dxa"/>
          </w:tcPr>
          <w:p w14:paraId="20F3FE1A" w14:textId="77777777" w:rsidR="00017DF8" w:rsidRDefault="00017DF8" w:rsidP="00385348">
            <w:pPr>
              <w:contextualSpacing/>
            </w:pPr>
            <w:r>
              <w:t>193</w:t>
            </w:r>
          </w:p>
        </w:tc>
      </w:tr>
      <w:tr w:rsidR="00017DF8" w14:paraId="46E2B58C" w14:textId="77777777" w:rsidTr="00385348">
        <w:tc>
          <w:tcPr>
            <w:tcW w:w="5228" w:type="dxa"/>
          </w:tcPr>
          <w:p w14:paraId="6E60AD0E" w14:textId="77777777" w:rsidR="00017DF8" w:rsidRDefault="00017DF8" w:rsidP="00385348">
            <w:pPr>
              <w:contextualSpacing/>
            </w:pPr>
            <w:r w:rsidRPr="00D96322">
              <w:t>Sales Assistants and Salespersons</w:t>
            </w:r>
          </w:p>
        </w:tc>
        <w:tc>
          <w:tcPr>
            <w:tcW w:w="2280" w:type="dxa"/>
          </w:tcPr>
          <w:p w14:paraId="0DDBDE10" w14:textId="77777777" w:rsidR="00017DF8" w:rsidRDefault="00017DF8" w:rsidP="00385348">
            <w:pPr>
              <w:contextualSpacing/>
            </w:pPr>
            <w:r>
              <w:t>179</w:t>
            </w:r>
          </w:p>
        </w:tc>
      </w:tr>
      <w:tr w:rsidR="00017DF8" w14:paraId="534A0DB0" w14:textId="77777777" w:rsidTr="00385348">
        <w:tc>
          <w:tcPr>
            <w:tcW w:w="5228" w:type="dxa"/>
          </w:tcPr>
          <w:p w14:paraId="025B9C5F" w14:textId="77777777" w:rsidR="00017DF8" w:rsidRDefault="00017DF8" w:rsidP="00385348">
            <w:pPr>
              <w:contextualSpacing/>
            </w:pPr>
            <w:r w:rsidRPr="00D96322">
              <w:t>Medical Practitioners and Nurses</w:t>
            </w:r>
          </w:p>
        </w:tc>
        <w:tc>
          <w:tcPr>
            <w:tcW w:w="2280" w:type="dxa"/>
          </w:tcPr>
          <w:p w14:paraId="0F8A9A31" w14:textId="77777777" w:rsidR="00017DF8" w:rsidRDefault="00017DF8" w:rsidP="00385348">
            <w:pPr>
              <w:contextualSpacing/>
            </w:pPr>
            <w:r>
              <w:t>174</w:t>
            </w:r>
          </w:p>
        </w:tc>
      </w:tr>
      <w:tr w:rsidR="00017DF8" w14:paraId="6ABD3ED3" w14:textId="77777777" w:rsidTr="00385348">
        <w:tc>
          <w:tcPr>
            <w:tcW w:w="5228" w:type="dxa"/>
          </w:tcPr>
          <w:p w14:paraId="5AFBF925" w14:textId="77777777" w:rsidR="00017DF8" w:rsidRDefault="00017DF8" w:rsidP="00385348">
            <w:pPr>
              <w:contextualSpacing/>
            </w:pPr>
            <w:r w:rsidRPr="00D96322">
              <w:t>Carers and Aides</w:t>
            </w:r>
          </w:p>
        </w:tc>
        <w:tc>
          <w:tcPr>
            <w:tcW w:w="2280" w:type="dxa"/>
          </w:tcPr>
          <w:p w14:paraId="0F91E2FA" w14:textId="77777777" w:rsidR="00017DF8" w:rsidRDefault="00017DF8" w:rsidP="00385348">
            <w:pPr>
              <w:contextualSpacing/>
            </w:pPr>
            <w:r>
              <w:t>174</w:t>
            </w:r>
          </w:p>
        </w:tc>
      </w:tr>
      <w:tr w:rsidR="00017DF8" w14:paraId="331C1249" w14:textId="77777777" w:rsidTr="00385348">
        <w:tc>
          <w:tcPr>
            <w:tcW w:w="5228" w:type="dxa"/>
          </w:tcPr>
          <w:p w14:paraId="792012B8" w14:textId="77777777" w:rsidR="00017DF8" w:rsidRDefault="00017DF8" w:rsidP="00385348">
            <w:pPr>
              <w:contextualSpacing/>
            </w:pPr>
            <w:r>
              <w:t>Other Labourers</w:t>
            </w:r>
          </w:p>
        </w:tc>
        <w:tc>
          <w:tcPr>
            <w:tcW w:w="2280" w:type="dxa"/>
          </w:tcPr>
          <w:p w14:paraId="5E7B1687" w14:textId="77777777" w:rsidR="00017DF8" w:rsidRDefault="00017DF8" w:rsidP="00385348">
            <w:pPr>
              <w:contextualSpacing/>
            </w:pPr>
            <w:r>
              <w:t>136</w:t>
            </w:r>
          </w:p>
        </w:tc>
      </w:tr>
      <w:tr w:rsidR="00017DF8" w14:paraId="525DA864" w14:textId="77777777" w:rsidTr="00385348">
        <w:tc>
          <w:tcPr>
            <w:tcW w:w="5228" w:type="dxa"/>
          </w:tcPr>
          <w:p w14:paraId="56F63ACF" w14:textId="77777777" w:rsidR="00017DF8" w:rsidRDefault="00017DF8" w:rsidP="00385348">
            <w:pPr>
              <w:contextualSpacing/>
            </w:pPr>
            <w:r w:rsidRPr="00D96322">
              <w:t>Legal, Social and Welfare Professionals</w:t>
            </w:r>
          </w:p>
        </w:tc>
        <w:tc>
          <w:tcPr>
            <w:tcW w:w="2280" w:type="dxa"/>
          </w:tcPr>
          <w:p w14:paraId="3F3AEB32" w14:textId="77777777" w:rsidR="00017DF8" w:rsidRDefault="00017DF8" w:rsidP="00385348">
            <w:pPr>
              <w:contextualSpacing/>
            </w:pPr>
            <w:r>
              <w:t>132</w:t>
            </w:r>
          </w:p>
        </w:tc>
      </w:tr>
      <w:tr w:rsidR="00017DF8" w14:paraId="07AC7F3C" w14:textId="77777777" w:rsidTr="00385348">
        <w:tc>
          <w:tcPr>
            <w:tcW w:w="5228" w:type="dxa"/>
          </w:tcPr>
          <w:p w14:paraId="6E11EC40" w14:textId="77777777" w:rsidR="00017DF8" w:rsidRPr="00D96322" w:rsidRDefault="00017DF8" w:rsidP="00385348">
            <w:pPr>
              <w:contextualSpacing/>
            </w:pPr>
            <w:r w:rsidRPr="00D96322">
              <w:t>Health Diagnostic and Therapy Professionals</w:t>
            </w:r>
          </w:p>
        </w:tc>
        <w:tc>
          <w:tcPr>
            <w:tcW w:w="2280" w:type="dxa"/>
          </w:tcPr>
          <w:p w14:paraId="40A150FB" w14:textId="77777777" w:rsidR="00017DF8" w:rsidRDefault="00017DF8" w:rsidP="00385348">
            <w:pPr>
              <w:contextualSpacing/>
            </w:pPr>
            <w:r>
              <w:t>130</w:t>
            </w:r>
          </w:p>
        </w:tc>
      </w:tr>
      <w:tr w:rsidR="00017DF8" w14:paraId="00F9F9B5" w14:textId="77777777" w:rsidTr="00385348">
        <w:tc>
          <w:tcPr>
            <w:tcW w:w="5228" w:type="dxa"/>
          </w:tcPr>
          <w:p w14:paraId="7F99D04C" w14:textId="77777777" w:rsidR="00017DF8" w:rsidRPr="00D96322" w:rsidRDefault="00017DF8" w:rsidP="00385348">
            <w:pPr>
              <w:contextualSpacing/>
            </w:pPr>
            <w:r w:rsidRPr="00D96322">
              <w:t>Drivers and Store</w:t>
            </w:r>
            <w:r>
              <w:t xml:space="preserve"> </w:t>
            </w:r>
            <w:r w:rsidRPr="00D96322">
              <w:t>persons</w:t>
            </w:r>
          </w:p>
        </w:tc>
        <w:tc>
          <w:tcPr>
            <w:tcW w:w="2280" w:type="dxa"/>
          </w:tcPr>
          <w:p w14:paraId="4AD8F9F5" w14:textId="77777777" w:rsidR="00017DF8" w:rsidRDefault="00017DF8" w:rsidP="00385348">
            <w:pPr>
              <w:contextualSpacing/>
            </w:pPr>
            <w:r>
              <w:t>119</w:t>
            </w:r>
          </w:p>
        </w:tc>
      </w:tr>
      <w:tr w:rsidR="00017DF8" w14:paraId="0A5D637A" w14:textId="77777777" w:rsidTr="00385348">
        <w:tc>
          <w:tcPr>
            <w:tcW w:w="5228" w:type="dxa"/>
          </w:tcPr>
          <w:p w14:paraId="10ED5618" w14:textId="77777777" w:rsidR="00017DF8" w:rsidRPr="00D96322" w:rsidRDefault="00017DF8" w:rsidP="00385348">
            <w:pPr>
              <w:contextualSpacing/>
            </w:pPr>
            <w:r w:rsidRPr="00D96322">
              <w:t>Hospitality, Retail and Service Managers</w:t>
            </w:r>
          </w:p>
        </w:tc>
        <w:tc>
          <w:tcPr>
            <w:tcW w:w="2280" w:type="dxa"/>
          </w:tcPr>
          <w:p w14:paraId="7C0C992E" w14:textId="77777777" w:rsidR="00017DF8" w:rsidRDefault="00017DF8" w:rsidP="00385348">
            <w:pPr>
              <w:contextualSpacing/>
            </w:pPr>
            <w:r>
              <w:t>88</w:t>
            </w:r>
          </w:p>
        </w:tc>
      </w:tr>
    </w:tbl>
    <w:p w14:paraId="0CFFEB55" w14:textId="0C630EBE" w:rsidR="00017DF8" w:rsidRPr="009C6E08" w:rsidRDefault="00017DF8" w:rsidP="00017DF8">
      <w:pPr>
        <w:pStyle w:val="Source"/>
        <w:rPr>
          <w:sz w:val="14"/>
          <w:szCs w:val="14"/>
        </w:rPr>
      </w:pPr>
      <w:r>
        <w:rPr>
          <w:sz w:val="14"/>
          <w:szCs w:val="14"/>
        </w:rPr>
        <w:br/>
      </w:r>
      <w:r w:rsidRPr="009C6E08">
        <w:rPr>
          <w:sz w:val="14"/>
          <w:szCs w:val="14"/>
        </w:rPr>
        <w:t xml:space="preserve">Source: National Skills Commission, Internet Vacancy Index, April 2021. Raw data </w:t>
      </w:r>
      <w:r w:rsidR="00EC7F89">
        <w:rPr>
          <w:sz w:val="14"/>
          <w:szCs w:val="14"/>
        </w:rPr>
        <w:t>is</w:t>
      </w:r>
      <w:r w:rsidRPr="009C6E08">
        <w:rPr>
          <w:sz w:val="14"/>
          <w:szCs w:val="14"/>
        </w:rPr>
        <w:t xml:space="preserve"> used for this analysis. Note: </w:t>
      </w:r>
      <w:proofErr w:type="gramStart"/>
      <w:r w:rsidRPr="009C6E08">
        <w:rPr>
          <w:sz w:val="14"/>
          <w:szCs w:val="14"/>
        </w:rPr>
        <w:t>the</w:t>
      </w:r>
      <w:proofErr w:type="gramEnd"/>
      <w:r w:rsidRPr="009C6E08">
        <w:rPr>
          <w:sz w:val="14"/>
          <w:szCs w:val="14"/>
        </w:rPr>
        <w:t xml:space="preserve"> Central Queensland region is the best fit from the regions available from the contributing job boards and does not precisely correspond to the Mackay Employment Region.</w:t>
      </w:r>
    </w:p>
    <w:p w14:paraId="16A9516F" w14:textId="77777777" w:rsidR="00017DF8" w:rsidRDefault="00017DF8" w:rsidP="00017DF8">
      <w:pPr>
        <w:spacing w:line="240" w:lineRule="auto"/>
        <w:contextualSpacing/>
      </w:pPr>
    </w:p>
    <w:p w14:paraId="7963EB71" w14:textId="77777777" w:rsidR="00DB034D" w:rsidRDefault="00DB034D">
      <w:pPr>
        <w:rPr>
          <w:rFonts w:ascii="Calibri" w:eastAsia="Times New Roman" w:hAnsi="Calibri" w:cstheme="majorBidi"/>
          <w:noProof/>
          <w:color w:val="1D4289"/>
          <w:sz w:val="48"/>
          <w:szCs w:val="48"/>
          <w:lang w:val="en-AU"/>
        </w:rPr>
      </w:pPr>
      <w:r>
        <w:br w:type="page"/>
      </w:r>
    </w:p>
    <w:p w14:paraId="09D3F4CB" w14:textId="701BE66E" w:rsidR="00017DF8" w:rsidRDefault="00017DF8" w:rsidP="00017DF8">
      <w:pPr>
        <w:pStyle w:val="Heading1"/>
      </w:pPr>
      <w:bookmarkStart w:id="39" w:name="_Toc79134295"/>
      <w:r>
        <w:lastRenderedPageBreak/>
        <w:t>Employment Services – Providers and Caseload</w:t>
      </w:r>
      <w:bookmarkEnd w:id="39"/>
    </w:p>
    <w:p w14:paraId="1ED41449" w14:textId="4C23C0B2" w:rsidR="00017DF8" w:rsidRDefault="00017DF8" w:rsidP="00017DF8">
      <w:pPr>
        <w:pStyle w:val="Heading2"/>
      </w:pPr>
      <w:bookmarkStart w:id="40" w:name="_Toc79134296"/>
      <w:r>
        <w:t>Employment Overview</w:t>
      </w:r>
      <w:bookmarkEnd w:id="40"/>
    </w:p>
    <w:p w14:paraId="63061ADD" w14:textId="1A2C14F2" w:rsidR="00017DF8" w:rsidRPr="00E92448" w:rsidRDefault="00E40CFA" w:rsidP="00017DF8">
      <w:pPr>
        <w:spacing w:line="240" w:lineRule="auto"/>
      </w:pPr>
      <w:r>
        <w:br/>
      </w:r>
      <w:r w:rsidR="00017DF8" w:rsidRPr="00E92448">
        <w:t xml:space="preserve">The current unemployment rate (March 2021) for the ER is 5.2%, which is a decrease of 0.1% on this time last year. The Mackay ER has a much lower unemployment rate than </w:t>
      </w:r>
      <w:r w:rsidR="00C77F8D">
        <w:t>Queensland</w:t>
      </w:r>
      <w:r w:rsidR="00017DF8" w:rsidRPr="00E92448">
        <w:t xml:space="preserve">, with the state unemployment </w:t>
      </w:r>
      <w:r w:rsidR="00A42A67">
        <w:t xml:space="preserve">rate </w:t>
      </w:r>
      <w:r w:rsidR="00017DF8" w:rsidRPr="00E92448">
        <w:t>currently at 5.9%. The ER overall has a higher participation rate th</w:t>
      </w:r>
      <w:r w:rsidR="00BD4BFF">
        <w:t>a</w:t>
      </w:r>
      <w:r w:rsidR="00017DF8" w:rsidRPr="00E92448">
        <w:t xml:space="preserve">n </w:t>
      </w:r>
      <w:r w:rsidR="003C7843">
        <w:t>Queensland</w:t>
      </w:r>
      <w:r w:rsidR="00017DF8" w:rsidRPr="00E92448">
        <w:t xml:space="preserve"> at 76.1%. </w:t>
      </w:r>
    </w:p>
    <w:p w14:paraId="7C416BEB" w14:textId="26924F64" w:rsidR="00017DF8" w:rsidRDefault="00017DF8" w:rsidP="00017DF8">
      <w:pPr>
        <w:spacing w:line="240" w:lineRule="auto"/>
        <w:contextualSpacing/>
      </w:pPr>
      <w:r w:rsidRPr="00E92448">
        <w:t>Unemployment rates across the ER vary widely</w:t>
      </w:r>
      <w:r w:rsidR="00B954F7">
        <w:t xml:space="preserve"> with</w:t>
      </w:r>
      <w:r w:rsidR="00817C42">
        <w:t xml:space="preserve"> </w:t>
      </w:r>
      <w:r w:rsidRPr="00E92448">
        <w:t xml:space="preserve">the highest rate of unemployment within the Mackay Local Government Area (LGA). The Mackay City suburb is a mix of both residential and business dwellings and is subject to flooding. Rents in these suburbs are lower compared to surrounding areas and </w:t>
      </w:r>
      <w:r w:rsidR="000A53A8">
        <w:t>are</w:t>
      </w:r>
      <w:r w:rsidR="00817C42">
        <w:t xml:space="preserve"> </w:t>
      </w:r>
      <w:r w:rsidRPr="00E92448">
        <w:t>more affordable for those on low income or Centrelink payments</w:t>
      </w:r>
      <w:r w:rsidR="000A609D">
        <w:t>. M</w:t>
      </w:r>
      <w:r w:rsidRPr="00E92448">
        <w:t>ost other suburbs in Mackay show on average a much lower unemployment rate of around 4</w:t>
      </w:r>
      <w:r w:rsidR="000A609D">
        <w:t>.0</w:t>
      </w:r>
      <w:r w:rsidRPr="00E92448">
        <w:t xml:space="preserve">%. In the </w:t>
      </w:r>
      <w:r w:rsidR="0068123A">
        <w:t>r</w:t>
      </w:r>
      <w:r w:rsidRPr="00E92448">
        <w:t xml:space="preserve">egional areas of the ER, the unemployment rate is lower again </w:t>
      </w:r>
      <w:r w:rsidR="00FF0D97">
        <w:t xml:space="preserve">- </w:t>
      </w:r>
      <w:r w:rsidRPr="00E92448">
        <w:t>for example Moranbah and Clermont are 2.2% and 3.9% respectively. Moranbah is a main employment hub for the coal mines and supports a large workforce that live locally or fly</w:t>
      </w:r>
      <w:r w:rsidR="00FF0D97">
        <w:t>-</w:t>
      </w:r>
      <w:r w:rsidRPr="00E92448">
        <w:t>in</w:t>
      </w:r>
      <w:r w:rsidR="00FF0D97">
        <w:t>-</w:t>
      </w:r>
      <w:r w:rsidRPr="00E92448">
        <w:t>fly</w:t>
      </w:r>
      <w:r w:rsidR="00FF0D97">
        <w:t>-</w:t>
      </w:r>
      <w:r w:rsidRPr="00E92448">
        <w:t>out</w:t>
      </w:r>
      <w:r>
        <w:t>.</w:t>
      </w:r>
    </w:p>
    <w:p w14:paraId="74D61C31" w14:textId="77777777" w:rsidR="00017DF8" w:rsidRPr="00AE1979" w:rsidRDefault="00017DF8" w:rsidP="00017DF8">
      <w:pPr>
        <w:spacing w:line="240" w:lineRule="auto"/>
        <w:contextualSpacing/>
      </w:pPr>
    </w:p>
    <w:p w14:paraId="55046D86" w14:textId="2E6A32E6" w:rsidR="00017DF8" w:rsidRDefault="00017DF8" w:rsidP="00017DF8">
      <w:pPr>
        <w:spacing w:line="240" w:lineRule="auto"/>
        <w:contextualSpacing/>
      </w:pPr>
      <w:r>
        <w:t>Historically, t</w:t>
      </w:r>
      <w:r w:rsidRPr="00E92448">
        <w:t xml:space="preserve">he Mackay </w:t>
      </w:r>
      <w:r>
        <w:t xml:space="preserve">ER </w:t>
      </w:r>
      <w:r w:rsidRPr="00E92448">
        <w:t>has been subject to the ebb and flow of the mining industry. The unemployment rate in the region has averaged 5.1</w:t>
      </w:r>
      <w:r w:rsidR="008E7B25">
        <w:t>%</w:t>
      </w:r>
      <w:r w:rsidRPr="00E92448">
        <w:t xml:space="preserve"> over the last five years, below the 6.2</w:t>
      </w:r>
      <w:r w:rsidR="008B69C0">
        <w:t>%</w:t>
      </w:r>
      <w:r w:rsidRPr="00E92448">
        <w:t xml:space="preserve"> recorded for </w:t>
      </w:r>
      <w:r w:rsidR="003C7843">
        <w:t>Queensland</w:t>
      </w:r>
      <w:r w:rsidRPr="00E92448">
        <w:t xml:space="preserve"> and 5.6</w:t>
      </w:r>
      <w:r w:rsidR="008B69C0">
        <w:t>%</w:t>
      </w:r>
      <w:r w:rsidRPr="00E92448">
        <w:t xml:space="preserve"> recorded for Australia.</w:t>
      </w:r>
      <w:r>
        <w:t xml:space="preserve">  </w:t>
      </w:r>
    </w:p>
    <w:p w14:paraId="54164F69" w14:textId="12A44575" w:rsidR="00017DF8" w:rsidRDefault="00017DF8" w:rsidP="00017DF8"/>
    <w:p w14:paraId="7A4E4DBD" w14:textId="26AB6DCC" w:rsidR="00017DF8" w:rsidRDefault="00017DF8" w:rsidP="00017DF8">
      <w:pPr>
        <w:pStyle w:val="Heading2"/>
      </w:pPr>
      <w:bookmarkStart w:id="41" w:name="_Toc79134297"/>
      <w:r>
        <w:t>Employment Services Providers</w:t>
      </w:r>
      <w:bookmarkEnd w:id="41"/>
    </w:p>
    <w:p w14:paraId="3C54A429" w14:textId="1DEA07B2" w:rsidR="00017DF8" w:rsidRDefault="00E40CFA" w:rsidP="00017DF8">
      <w:pPr>
        <w:spacing w:line="240" w:lineRule="auto"/>
        <w:contextualSpacing/>
      </w:pPr>
      <w:r>
        <w:br/>
      </w:r>
      <w:r w:rsidR="00017DF8" w:rsidRPr="00817C42">
        <w:t xml:space="preserve">The Mackay ER’s nine Employment Services Providers (ESP) support seven </w:t>
      </w:r>
      <w:r w:rsidR="006A5E1C" w:rsidRPr="00817C42">
        <w:t>p</w:t>
      </w:r>
      <w:r w:rsidR="00017DF8" w:rsidRPr="00817C42">
        <w:t>rograms, namely jobactive, N</w:t>
      </w:r>
      <w:r w:rsidR="00817C42" w:rsidRPr="00817C42">
        <w:t>ew Enterprise Incentive Scheme</w:t>
      </w:r>
      <w:r w:rsidR="00017DF8" w:rsidRPr="00817C42">
        <w:t xml:space="preserve">, Transition to </w:t>
      </w:r>
      <w:r w:rsidR="00817C42" w:rsidRPr="00817C42">
        <w:t>Work,</w:t>
      </w:r>
      <w:r w:rsidR="00017DF8" w:rsidRPr="00817C42">
        <w:t xml:space="preserve"> ParentsNext, C</w:t>
      </w:r>
      <w:r w:rsidR="00817C42" w:rsidRPr="00817C42">
        <w:t xml:space="preserve">areer </w:t>
      </w:r>
      <w:r w:rsidR="00017DF8" w:rsidRPr="00817C42">
        <w:t>T</w:t>
      </w:r>
      <w:r w:rsidR="00817C42" w:rsidRPr="00817C42">
        <w:t xml:space="preserve">ransition </w:t>
      </w:r>
      <w:r w:rsidR="00017DF8" w:rsidRPr="00817C42">
        <w:t>A</w:t>
      </w:r>
      <w:r w:rsidR="00817C42" w:rsidRPr="00817C42">
        <w:t>ssistance</w:t>
      </w:r>
      <w:r w:rsidR="00017DF8" w:rsidRPr="00817C42">
        <w:t>, E</w:t>
      </w:r>
      <w:r w:rsidR="00817C42" w:rsidRPr="00817C42">
        <w:t>mployability Skills Training</w:t>
      </w:r>
      <w:r w:rsidR="00017DF8" w:rsidRPr="00817C42">
        <w:t xml:space="preserve"> and Harvest Trail Services (HTS).</w:t>
      </w:r>
    </w:p>
    <w:p w14:paraId="44E9F515" w14:textId="77777777" w:rsidR="00017DF8" w:rsidRDefault="00017DF8" w:rsidP="00017DF8">
      <w:pPr>
        <w:spacing w:line="240" w:lineRule="auto"/>
        <w:contextualSpacing/>
      </w:pPr>
    </w:p>
    <w:p w14:paraId="162A9EBA" w14:textId="2C293BDA" w:rsidR="00017DF8" w:rsidRDefault="00017DF8" w:rsidP="00017DF8">
      <w:pPr>
        <w:spacing w:line="240" w:lineRule="auto"/>
        <w:contextualSpacing/>
      </w:pPr>
      <w:r>
        <w:t xml:space="preserve">The ESPs have physical premises throughout the region, with either full-time or outreach hours to support jobseekers and Program participants.  </w:t>
      </w:r>
    </w:p>
    <w:p w14:paraId="639026B1" w14:textId="77777777" w:rsidR="00017DF8" w:rsidRDefault="00017DF8" w:rsidP="00017DF8">
      <w:pPr>
        <w:spacing w:line="240" w:lineRule="auto"/>
        <w:contextualSpacing/>
      </w:pPr>
    </w:p>
    <w:p w14:paraId="7E8DDAB4" w14:textId="799A7E18" w:rsidR="00017DF8" w:rsidRDefault="00017DF8" w:rsidP="00017DF8">
      <w:pPr>
        <w:spacing w:after="0" w:line="240" w:lineRule="auto"/>
        <w:contextualSpacing/>
        <w:rPr>
          <w:rFonts w:cs="Arial"/>
        </w:rPr>
      </w:pPr>
      <w:r>
        <w:rPr>
          <w:rFonts w:cs="Arial"/>
        </w:rPr>
        <w:t xml:space="preserve">All ESPs have physical offices </w:t>
      </w:r>
      <w:r w:rsidR="002A3944">
        <w:rPr>
          <w:rFonts w:cs="Arial"/>
        </w:rPr>
        <w:t xml:space="preserve">located in Mackay that are </w:t>
      </w:r>
      <w:r>
        <w:rPr>
          <w:rFonts w:cs="Arial"/>
        </w:rPr>
        <w:t xml:space="preserve">staffed full-time, apart from HTS who is based in Bowen and staffed </w:t>
      </w:r>
      <w:r w:rsidRPr="003850DC">
        <w:rPr>
          <w:rFonts w:cs="Arial"/>
        </w:rPr>
        <w:t>part</w:t>
      </w:r>
      <w:r w:rsidR="00381553">
        <w:rPr>
          <w:rFonts w:cs="Arial"/>
        </w:rPr>
        <w:t>-</w:t>
      </w:r>
      <w:r w:rsidRPr="003850DC">
        <w:rPr>
          <w:rFonts w:cs="Arial"/>
        </w:rPr>
        <w:t>time</w:t>
      </w:r>
      <w:r>
        <w:rPr>
          <w:rFonts w:cs="Arial"/>
        </w:rPr>
        <w:t>. Outside Mackay, ESPs physical locations are in key regional towns or industry centres, namely Bowen (</w:t>
      </w:r>
      <w:r w:rsidR="00953B75">
        <w:rPr>
          <w:rFonts w:cs="Arial"/>
        </w:rPr>
        <w:t>four</w:t>
      </w:r>
      <w:r>
        <w:rPr>
          <w:rFonts w:cs="Arial"/>
        </w:rPr>
        <w:t xml:space="preserve"> sites), Cannonvale (</w:t>
      </w:r>
      <w:r w:rsidR="00953B75">
        <w:rPr>
          <w:rFonts w:cs="Arial"/>
        </w:rPr>
        <w:t>three</w:t>
      </w:r>
      <w:r>
        <w:rPr>
          <w:rFonts w:cs="Arial"/>
        </w:rPr>
        <w:t xml:space="preserve"> sites), Prose</w:t>
      </w:r>
      <w:r w:rsidR="00142903">
        <w:rPr>
          <w:rFonts w:cs="Arial"/>
        </w:rPr>
        <w:t>r</w:t>
      </w:r>
      <w:r>
        <w:rPr>
          <w:rFonts w:cs="Arial"/>
        </w:rPr>
        <w:t>pine (</w:t>
      </w:r>
      <w:r w:rsidR="00953B75">
        <w:rPr>
          <w:rFonts w:cs="Arial"/>
        </w:rPr>
        <w:t>one</w:t>
      </w:r>
      <w:r>
        <w:rPr>
          <w:rFonts w:cs="Arial"/>
        </w:rPr>
        <w:t xml:space="preserve"> site), Sarina (</w:t>
      </w:r>
      <w:r w:rsidR="00953B75">
        <w:rPr>
          <w:rFonts w:cs="Arial"/>
        </w:rPr>
        <w:t xml:space="preserve">two </w:t>
      </w:r>
      <w:r>
        <w:rPr>
          <w:rFonts w:cs="Arial"/>
        </w:rPr>
        <w:t>site</w:t>
      </w:r>
      <w:r w:rsidR="00E77BEF">
        <w:rPr>
          <w:rFonts w:cs="Arial"/>
        </w:rPr>
        <w:t>s</w:t>
      </w:r>
      <w:r>
        <w:rPr>
          <w:rFonts w:cs="Arial"/>
        </w:rPr>
        <w:t>), Clermont (</w:t>
      </w:r>
      <w:r w:rsidR="00953B75">
        <w:rPr>
          <w:rFonts w:cs="Arial"/>
        </w:rPr>
        <w:t>one</w:t>
      </w:r>
      <w:r w:rsidR="00817C42">
        <w:rPr>
          <w:rFonts w:cs="Arial"/>
        </w:rPr>
        <w:t xml:space="preserve"> </w:t>
      </w:r>
      <w:r>
        <w:rPr>
          <w:rFonts w:cs="Arial"/>
        </w:rPr>
        <w:t>site) and Moranbah (</w:t>
      </w:r>
      <w:r w:rsidR="00953B75">
        <w:rPr>
          <w:rFonts w:cs="Arial"/>
        </w:rPr>
        <w:t>one</w:t>
      </w:r>
      <w:r w:rsidR="00817C42">
        <w:rPr>
          <w:rFonts w:cs="Arial"/>
        </w:rPr>
        <w:t xml:space="preserve"> </w:t>
      </w:r>
      <w:r>
        <w:rPr>
          <w:rFonts w:cs="Arial"/>
        </w:rPr>
        <w:t xml:space="preserve">site). </w:t>
      </w:r>
    </w:p>
    <w:p w14:paraId="1E998000" w14:textId="77777777" w:rsidR="00E40CFA" w:rsidRDefault="00E40CFA" w:rsidP="00017DF8">
      <w:pPr>
        <w:spacing w:after="0" w:line="240" w:lineRule="auto"/>
        <w:contextualSpacing/>
        <w:rPr>
          <w:rFonts w:cs="Arial"/>
        </w:rPr>
      </w:pPr>
    </w:p>
    <w:p w14:paraId="4B74D2A0" w14:textId="77777777" w:rsidR="00DB034D" w:rsidRDefault="00DB034D">
      <w:pPr>
        <w:rPr>
          <w:rFonts w:ascii="Calibri" w:eastAsiaTheme="majorEastAsia" w:hAnsi="Calibri" w:cstheme="majorBidi"/>
          <w:b/>
          <w:bCs/>
          <w:color w:val="646363"/>
          <w:sz w:val="28"/>
          <w:szCs w:val="26"/>
        </w:rPr>
      </w:pPr>
      <w:r>
        <w:br w:type="page"/>
      </w:r>
    </w:p>
    <w:p w14:paraId="72409768" w14:textId="094C3408" w:rsidR="00017DF8" w:rsidRDefault="00017DF8" w:rsidP="00017DF8">
      <w:pPr>
        <w:pStyle w:val="Heading2"/>
      </w:pPr>
      <w:bookmarkStart w:id="42" w:name="_Toc79134298"/>
      <w:r>
        <w:lastRenderedPageBreak/>
        <w:t>Caseload</w:t>
      </w:r>
      <w:bookmarkEnd w:id="42"/>
    </w:p>
    <w:p w14:paraId="120676AB" w14:textId="36E46691" w:rsidR="00017DF8" w:rsidRPr="0033037B" w:rsidRDefault="00E40CFA" w:rsidP="00017DF8">
      <w:pPr>
        <w:spacing w:after="0" w:line="240" w:lineRule="auto"/>
        <w:contextualSpacing/>
        <w:rPr>
          <w:rFonts w:eastAsia="Times New Roman" w:cs="Arial"/>
          <w:color w:val="000000"/>
          <w:lang w:eastAsia="en-AU"/>
        </w:rPr>
      </w:pPr>
      <w:r>
        <w:rPr>
          <w:rFonts w:cs="Arial"/>
        </w:rPr>
        <w:br/>
      </w:r>
      <w:r w:rsidR="00017DF8">
        <w:rPr>
          <w:rFonts w:cs="Arial"/>
        </w:rPr>
        <w:t>Reflecting the downward unemployment rate trend, t</w:t>
      </w:r>
      <w:r w:rsidR="00017DF8" w:rsidRPr="0033037B">
        <w:rPr>
          <w:rFonts w:cs="Arial"/>
        </w:rPr>
        <w:t xml:space="preserve">he </w:t>
      </w:r>
      <w:r w:rsidR="00017DF8">
        <w:rPr>
          <w:rFonts w:cs="Arial"/>
        </w:rPr>
        <w:t xml:space="preserve">ER’s </w:t>
      </w:r>
      <w:r w:rsidR="00017DF8" w:rsidRPr="0033037B">
        <w:rPr>
          <w:rFonts w:cs="Arial"/>
        </w:rPr>
        <w:t xml:space="preserve">caseload decreased from </w:t>
      </w:r>
      <w:r w:rsidR="00017DF8" w:rsidRPr="0033037B">
        <w:rPr>
          <w:rFonts w:eastAsia="Times New Roman" w:cs="Arial"/>
          <w:color w:val="000000"/>
          <w:lang w:eastAsia="en-AU"/>
        </w:rPr>
        <w:t>9,536 people in December 2020 to 8,115 in May 2021, a decrease of 15</w:t>
      </w:r>
      <w:r w:rsidR="008B69C0">
        <w:rPr>
          <w:rFonts w:eastAsia="Times New Roman" w:cs="Arial"/>
          <w:color w:val="000000"/>
          <w:lang w:eastAsia="en-AU"/>
        </w:rPr>
        <w:t>%</w:t>
      </w:r>
      <w:r w:rsidR="00017DF8">
        <w:rPr>
          <w:rFonts w:eastAsia="Times New Roman" w:cs="Arial"/>
          <w:color w:val="000000"/>
          <w:lang w:eastAsia="en-AU"/>
        </w:rPr>
        <w:t xml:space="preserve"> (</w:t>
      </w:r>
      <w:r w:rsidR="004B450A">
        <w:rPr>
          <w:rFonts w:eastAsia="Times New Roman" w:cs="Arial"/>
          <w:color w:val="000000"/>
          <w:lang w:eastAsia="en-AU"/>
        </w:rPr>
        <w:t>F</w:t>
      </w:r>
      <w:r w:rsidR="00017DF8">
        <w:rPr>
          <w:rFonts w:eastAsia="Times New Roman" w:cs="Arial"/>
          <w:color w:val="000000"/>
          <w:lang w:eastAsia="en-AU"/>
        </w:rPr>
        <w:t xml:space="preserve">igure 3).    </w:t>
      </w:r>
    </w:p>
    <w:p w14:paraId="1D033BB7" w14:textId="77777777" w:rsidR="00017DF8" w:rsidRDefault="00017DF8" w:rsidP="00017DF8">
      <w:pPr>
        <w:spacing w:line="240" w:lineRule="auto"/>
        <w:contextualSpacing/>
      </w:pPr>
    </w:p>
    <w:p w14:paraId="20169ACC" w14:textId="0BB8A53D" w:rsidR="00017DF8" w:rsidRPr="001A42B1" w:rsidRDefault="00017DF8" w:rsidP="00017DF8">
      <w:pPr>
        <w:spacing w:line="240" w:lineRule="auto"/>
        <w:contextualSpacing/>
        <w:rPr>
          <w:b/>
          <w:bCs/>
        </w:rPr>
      </w:pPr>
      <w:r w:rsidRPr="001A42B1">
        <w:rPr>
          <w:b/>
          <w:bCs/>
        </w:rPr>
        <w:t>Figure 3: Employment services caseload</w:t>
      </w:r>
      <w:r>
        <w:rPr>
          <w:b/>
          <w:bCs/>
        </w:rPr>
        <w:br/>
      </w:r>
    </w:p>
    <w:p w14:paraId="05180BE5" w14:textId="1A488673" w:rsidR="00017DF8" w:rsidRDefault="00017DF8" w:rsidP="00017DF8">
      <w:pPr>
        <w:spacing w:after="0" w:line="240" w:lineRule="auto"/>
        <w:contextualSpacing/>
      </w:pPr>
      <w:r>
        <w:rPr>
          <w:noProof/>
        </w:rPr>
        <w:drawing>
          <wp:inline distT="0" distB="0" distL="0" distR="0" wp14:anchorId="6B5AA63E" wp14:editId="7F39F2F5">
            <wp:extent cx="4422826" cy="1724167"/>
            <wp:effectExtent l="0" t="0" r="0" b="9525"/>
            <wp:docPr id="17" name="Picture 17" descr="Graph showing the employment services caseload from January 2020 to April 2021 - published in Ma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 showing the employment services caseload from January 2020 to April 2021 - published in May 2021"/>
                    <pic:cNvPicPr/>
                  </pic:nvPicPr>
                  <pic:blipFill>
                    <a:blip r:embed="rId25"/>
                    <a:stretch>
                      <a:fillRect/>
                    </a:stretch>
                  </pic:blipFill>
                  <pic:spPr>
                    <a:xfrm>
                      <a:off x="0" y="0"/>
                      <a:ext cx="4439529" cy="1730679"/>
                    </a:xfrm>
                    <a:prstGeom prst="rect">
                      <a:avLst/>
                    </a:prstGeom>
                  </pic:spPr>
                </pic:pic>
              </a:graphicData>
            </a:graphic>
          </wp:inline>
        </w:drawing>
      </w:r>
    </w:p>
    <w:p w14:paraId="56510A8E" w14:textId="45A7DB98" w:rsidR="00017DF8" w:rsidRDefault="00017DF8" w:rsidP="00017DF8">
      <w:pPr>
        <w:spacing w:line="240" w:lineRule="auto"/>
        <w:contextualSpacing/>
      </w:pPr>
      <w:r>
        <w:rPr>
          <w:sz w:val="14"/>
          <w:szCs w:val="14"/>
        </w:rPr>
        <w:br/>
      </w:r>
      <w:r w:rsidRPr="009C6E08">
        <w:rPr>
          <w:sz w:val="14"/>
          <w:szCs w:val="14"/>
        </w:rPr>
        <w:t xml:space="preserve">Source: </w:t>
      </w:r>
      <w:r>
        <w:rPr>
          <w:sz w:val="14"/>
          <w:szCs w:val="14"/>
        </w:rPr>
        <w:t>Monthly Labour Market Data Dashboard, Employment Services Caseload (published 12 May 2021)</w:t>
      </w:r>
    </w:p>
    <w:p w14:paraId="7E0EBFAD" w14:textId="77777777" w:rsidR="00017DF8" w:rsidRDefault="00017DF8" w:rsidP="00017DF8">
      <w:pPr>
        <w:spacing w:line="240" w:lineRule="auto"/>
        <w:contextualSpacing/>
      </w:pPr>
    </w:p>
    <w:p w14:paraId="6C73560A" w14:textId="5DFDD4C8" w:rsidR="00017DF8" w:rsidRDefault="00017DF8" w:rsidP="00017DF8">
      <w:pPr>
        <w:spacing w:after="0" w:line="240" w:lineRule="auto"/>
        <w:contextualSpacing/>
      </w:pPr>
      <w:r>
        <w:t xml:space="preserve">The May 2021 caseload reflects the regional employment, industry and employer distribution throughout the region. The Mackay </w:t>
      </w:r>
      <w:r w:rsidR="00C753EE">
        <w:t>r</w:t>
      </w:r>
      <w:r>
        <w:t xml:space="preserve">egion accounts for 83% of the jobactive caseload, followed by 15% in Whitsunday and 2% in the Isaac </w:t>
      </w:r>
      <w:r w:rsidR="00A46F92">
        <w:t>r</w:t>
      </w:r>
      <w:r>
        <w:t xml:space="preserve">egions </w:t>
      </w:r>
      <w:r w:rsidRPr="0068123A">
        <w:rPr>
          <w:i/>
          <w:iCs/>
        </w:rPr>
        <w:t>(Qlik, jobactive current caseload (jCASE02), May 2021).</w:t>
      </w:r>
    </w:p>
    <w:p w14:paraId="09F6537F" w14:textId="77777777" w:rsidR="00017DF8" w:rsidRPr="00017DF8" w:rsidRDefault="00017DF8" w:rsidP="00017DF8">
      <w:pPr>
        <w:spacing w:after="0" w:line="240" w:lineRule="auto"/>
        <w:contextualSpacing/>
        <w:rPr>
          <w:rFonts w:cs="Arial"/>
        </w:rPr>
      </w:pPr>
    </w:p>
    <w:p w14:paraId="5FE2873C" w14:textId="2E167632" w:rsidR="00017DF8" w:rsidRDefault="00017DF8" w:rsidP="00017DF8">
      <w:pPr>
        <w:spacing w:after="0" w:line="240" w:lineRule="auto"/>
        <w:contextualSpacing/>
        <w:rPr>
          <w:rFonts w:cs="Arial"/>
        </w:rPr>
      </w:pPr>
      <w:r>
        <w:rPr>
          <w:rFonts w:cs="Arial"/>
        </w:rPr>
        <w:t xml:space="preserve">Figure </w:t>
      </w:r>
      <w:r w:rsidR="00A46F92">
        <w:rPr>
          <w:rFonts w:cs="Arial"/>
        </w:rPr>
        <w:t>4</w:t>
      </w:r>
      <w:r>
        <w:rPr>
          <w:rFonts w:cs="Arial"/>
        </w:rPr>
        <w:t xml:space="preserve"> shows the caseload cohort compared with Queensland. </w:t>
      </w:r>
      <w:r w:rsidR="00C628A8">
        <w:rPr>
          <w:rFonts w:cs="Arial"/>
        </w:rPr>
        <w:t xml:space="preserve"> </w:t>
      </w:r>
      <w:r w:rsidR="00C4590E">
        <w:rPr>
          <w:rFonts w:cs="Arial"/>
        </w:rPr>
        <w:t>O</w:t>
      </w:r>
      <w:r w:rsidR="00C628A8">
        <w:rPr>
          <w:rFonts w:cs="Arial"/>
        </w:rPr>
        <w:t>verall</w:t>
      </w:r>
      <w:r>
        <w:rPr>
          <w:rFonts w:cs="Arial"/>
        </w:rPr>
        <w:t xml:space="preserve">, Mackay has a higher percentage of Indigenous, People with a Disability (PWD), Homeless and </w:t>
      </w:r>
      <w:r w:rsidR="00FD4EE0">
        <w:rPr>
          <w:rFonts w:cs="Arial"/>
        </w:rPr>
        <w:t>E</w:t>
      </w:r>
      <w:r>
        <w:rPr>
          <w:rFonts w:cs="Arial"/>
        </w:rPr>
        <w:t>x-</w:t>
      </w:r>
      <w:r w:rsidR="00FD4EE0">
        <w:rPr>
          <w:rFonts w:cs="Arial"/>
        </w:rPr>
        <w:t>O</w:t>
      </w:r>
      <w:r>
        <w:rPr>
          <w:rFonts w:cs="Arial"/>
        </w:rPr>
        <w:t xml:space="preserve">ffender caseload and significantly lower </w:t>
      </w:r>
      <w:r w:rsidRPr="00FD7B5E">
        <w:rPr>
          <w:rFonts w:cs="Arial"/>
        </w:rPr>
        <w:t xml:space="preserve">Culturally and Linguistically Diverse (CALD) and </w:t>
      </w:r>
      <w:r w:rsidR="006B406B">
        <w:rPr>
          <w:rFonts w:cs="Arial"/>
        </w:rPr>
        <w:t>R</w:t>
      </w:r>
      <w:r w:rsidRPr="00FD7B5E">
        <w:rPr>
          <w:rFonts w:cs="Arial"/>
        </w:rPr>
        <w:t>efugee cohorts.</w:t>
      </w:r>
      <w:r>
        <w:rPr>
          <w:rFonts w:cs="Arial"/>
        </w:rPr>
        <w:t xml:space="preserve"> Anecdotally, Mackay’s position as a regional hub is responsible for the ER’s higher Indigenous, PWD and </w:t>
      </w:r>
      <w:r w:rsidR="006B406B">
        <w:rPr>
          <w:rFonts w:cs="Arial"/>
        </w:rPr>
        <w:t>E</w:t>
      </w:r>
      <w:r>
        <w:rPr>
          <w:rFonts w:cs="Arial"/>
        </w:rPr>
        <w:t>x-</w:t>
      </w:r>
      <w:r w:rsidR="006B406B">
        <w:rPr>
          <w:rFonts w:cs="Arial"/>
        </w:rPr>
        <w:t>O</w:t>
      </w:r>
      <w:r>
        <w:rPr>
          <w:rFonts w:cs="Arial"/>
        </w:rPr>
        <w:t>ffender cohort representation. There is no prison in the Mackay ER, with prisoners sentenced to either Capricornia Correctional Centre in Rockhampton or the Townsville Correctional Centre. The Ex-</w:t>
      </w:r>
      <w:r w:rsidR="00B87C62">
        <w:rPr>
          <w:rFonts w:cs="Arial"/>
        </w:rPr>
        <w:t>O</w:t>
      </w:r>
      <w:r>
        <w:rPr>
          <w:rFonts w:cs="Arial"/>
        </w:rPr>
        <w:t xml:space="preserve">ffender </w:t>
      </w:r>
      <w:r w:rsidR="00B87C62">
        <w:rPr>
          <w:rFonts w:cs="Arial"/>
        </w:rPr>
        <w:t>c</w:t>
      </w:r>
      <w:r>
        <w:rPr>
          <w:rFonts w:cs="Arial"/>
        </w:rPr>
        <w:t>ohort includes those returning to the region once their custodial sentence has ended.</w:t>
      </w:r>
    </w:p>
    <w:p w14:paraId="28CB8AEA" w14:textId="77777777" w:rsidR="00DB034D" w:rsidRDefault="00DB034D" w:rsidP="00017DF8">
      <w:pPr>
        <w:spacing w:after="0" w:line="240" w:lineRule="auto"/>
        <w:contextualSpacing/>
        <w:rPr>
          <w:rFonts w:cs="Arial"/>
        </w:rPr>
      </w:pPr>
    </w:p>
    <w:p w14:paraId="3787A752" w14:textId="77777777" w:rsidR="00DB034D" w:rsidRDefault="00DB034D" w:rsidP="00E40CFA">
      <w:pPr>
        <w:rPr>
          <w:b/>
          <w:bCs/>
        </w:rPr>
      </w:pPr>
      <w:r>
        <w:rPr>
          <w:b/>
          <w:bCs/>
        </w:rPr>
        <w:t>F</w:t>
      </w:r>
      <w:r w:rsidR="00017DF8" w:rsidRPr="00E40CFA">
        <w:rPr>
          <w:b/>
          <w:bCs/>
        </w:rPr>
        <w:t>igure 4: Employment services caseload for selected cohorts (May 2021)</w:t>
      </w:r>
    </w:p>
    <w:p w14:paraId="586D8741" w14:textId="0147DC0C" w:rsidR="00E40CFA" w:rsidRPr="00B00D96" w:rsidRDefault="00DB034D" w:rsidP="00DB034D">
      <w:pPr>
        <w:rPr>
          <w:sz w:val="14"/>
          <w:szCs w:val="14"/>
        </w:rPr>
      </w:pPr>
      <w:r>
        <w:rPr>
          <w:noProof/>
        </w:rPr>
        <w:drawing>
          <wp:inline distT="0" distB="0" distL="0" distR="0" wp14:anchorId="7AF21716" wp14:editId="2A97ECB1">
            <wp:extent cx="5133975" cy="2333625"/>
            <wp:effectExtent l="0" t="0" r="9525" b="9525"/>
            <wp:docPr id="2" name="Chart 2" descr="Graph showing the employment services caseload for selected cohorts - published in May 2021">
              <a:extLst xmlns:a="http://schemas.openxmlformats.org/drawingml/2006/main">
                <a:ext uri="{FF2B5EF4-FFF2-40B4-BE49-F238E27FC236}">
                  <a16:creationId xmlns:a16="http://schemas.microsoft.com/office/drawing/2014/main" id="{E3DC95EE-FC07-499F-BA13-2C3B7E4E2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017DF8" w:rsidRPr="00E40CFA">
        <w:rPr>
          <w:b/>
          <w:bCs/>
        </w:rPr>
        <w:br/>
      </w:r>
      <w:r w:rsidR="00E40CFA" w:rsidRPr="00B00D96">
        <w:rPr>
          <w:sz w:val="14"/>
          <w:szCs w:val="14"/>
        </w:rPr>
        <w:t>Source: Qlik, jobactive current caseload (jCASE02), May 2021</w:t>
      </w:r>
      <w:r w:rsidR="00E40CFA">
        <w:rPr>
          <w:sz w:val="14"/>
          <w:szCs w:val="14"/>
        </w:rPr>
        <w:t xml:space="preserve">.  </w:t>
      </w:r>
      <w:r w:rsidR="00E40CFA" w:rsidRPr="00B00D96">
        <w:rPr>
          <w:sz w:val="14"/>
          <w:szCs w:val="14"/>
        </w:rPr>
        <w:t>PWD = Persons with disability. CALD = Culturally and Linguistically Diverse.</w:t>
      </w:r>
    </w:p>
    <w:p w14:paraId="56E9A262" w14:textId="77777777" w:rsidR="0068123A" w:rsidRDefault="0068123A">
      <w:pPr>
        <w:rPr>
          <w:rFonts w:ascii="Calibri" w:eastAsia="Times New Roman" w:hAnsi="Calibri" w:cstheme="majorBidi"/>
          <w:noProof/>
          <w:color w:val="1D4289"/>
          <w:sz w:val="48"/>
          <w:szCs w:val="48"/>
          <w:lang w:val="en-AU"/>
        </w:rPr>
      </w:pPr>
      <w:r>
        <w:br w:type="page"/>
      </w:r>
    </w:p>
    <w:p w14:paraId="1214399A" w14:textId="28211491" w:rsidR="00E40CFA" w:rsidRDefault="00E40CFA" w:rsidP="00E40CFA">
      <w:pPr>
        <w:pStyle w:val="Heading1"/>
      </w:pPr>
      <w:bookmarkStart w:id="43" w:name="_Toc79134299"/>
      <w:r>
        <w:lastRenderedPageBreak/>
        <w:t>Key Challenges</w:t>
      </w:r>
      <w:bookmarkEnd w:id="43"/>
      <w:r>
        <w:t xml:space="preserve"> </w:t>
      </w:r>
    </w:p>
    <w:p w14:paraId="02FDFEF5" w14:textId="6F79B33F" w:rsidR="00E40CFA" w:rsidRDefault="00E40CFA" w:rsidP="00E40CFA">
      <w:pPr>
        <w:spacing w:line="240" w:lineRule="auto"/>
        <w:contextualSpacing/>
      </w:pPr>
      <w:r>
        <w:t>The region has many outlying areas which lack (or have very limited) public transport</w:t>
      </w:r>
      <w:r w:rsidR="00650074">
        <w:t>,</w:t>
      </w:r>
      <w:r>
        <w:t xml:space="preserve"> making it difficult or infeasible for some seeking work to access job opportunities or training in the major centres. </w:t>
      </w:r>
    </w:p>
    <w:p w14:paraId="652A9E6C" w14:textId="77777777" w:rsidR="00E40CFA" w:rsidRDefault="00E40CFA" w:rsidP="00E40CFA">
      <w:pPr>
        <w:spacing w:line="240" w:lineRule="auto"/>
        <w:contextualSpacing/>
      </w:pPr>
    </w:p>
    <w:p w14:paraId="2F0C6F87" w14:textId="2ADE74F2" w:rsidR="00E40CFA" w:rsidRDefault="00E40CFA" w:rsidP="00E40CFA">
      <w:pPr>
        <w:spacing w:line="240" w:lineRule="auto"/>
        <w:contextualSpacing/>
      </w:pPr>
      <w:r>
        <w:t>Internet access is patchy</w:t>
      </w:r>
      <w:r w:rsidR="000D43B0">
        <w:t>,</w:t>
      </w:r>
      <w:r>
        <w:t xml:space="preserve"> ranging from Mackay, where access is strongest, to towns to the west such as Clermont, where access relies on satellite and mobile </w:t>
      </w:r>
      <w:r w:rsidR="00E77BEF">
        <w:t xml:space="preserve">data </w:t>
      </w:r>
      <w:r>
        <w:t>coverage</w:t>
      </w:r>
      <w:r w:rsidR="00E77BEF">
        <w:t xml:space="preserve"> </w:t>
      </w:r>
      <w:r>
        <w:t>is intermittent. Additionally, many young people and those on the jobactive caseloads either do not have their own mobile phones or do not have sufficient data capability to utilise online support.</w:t>
      </w:r>
    </w:p>
    <w:p w14:paraId="0B1F53CE" w14:textId="77777777" w:rsidR="00E40CFA" w:rsidRDefault="00E40CFA" w:rsidP="00E40CFA">
      <w:pPr>
        <w:spacing w:line="240" w:lineRule="auto"/>
        <w:contextualSpacing/>
      </w:pPr>
    </w:p>
    <w:p w14:paraId="4BDEBD6F" w14:textId="77777777" w:rsidR="00E40CFA" w:rsidRDefault="00E40CFA" w:rsidP="00E40CFA">
      <w:pPr>
        <w:spacing w:line="240" w:lineRule="auto"/>
        <w:contextualSpacing/>
      </w:pPr>
      <w:r>
        <w:t>In the current climate, Mackay is struggling to retain skilled workers in the region. The cessation of tourist activity and the ongoing travel limitations both domestically and internationally will continue to be a challenge for the Mackay workforce.</w:t>
      </w:r>
    </w:p>
    <w:p w14:paraId="3B161C9F" w14:textId="77777777" w:rsidR="00E40CFA" w:rsidRDefault="00E40CFA" w:rsidP="00E40CFA">
      <w:pPr>
        <w:spacing w:line="240" w:lineRule="auto"/>
        <w:contextualSpacing/>
      </w:pPr>
    </w:p>
    <w:p w14:paraId="5A54DCAC" w14:textId="33392189" w:rsidR="00E40CFA" w:rsidRDefault="00E40CFA" w:rsidP="00E40CFA">
      <w:pPr>
        <w:spacing w:line="240" w:lineRule="auto"/>
        <w:contextualSpacing/>
      </w:pPr>
      <w:r>
        <w:t>Conversely, there is early indication that migration from southern states may increase over the short to mid</w:t>
      </w:r>
      <w:r w:rsidR="00B9296B">
        <w:t>-</w:t>
      </w:r>
      <w:r>
        <w:t>term</w:t>
      </w:r>
      <w:r w:rsidR="00155F97">
        <w:t>,</w:t>
      </w:r>
      <w:r>
        <w:t xml:space="preserve"> and Mackay business infrastructure will need to adapt quickly to ensure that skilled workers have suitable </w:t>
      </w:r>
      <w:r w:rsidR="00E77BEF">
        <w:t xml:space="preserve">support </w:t>
      </w:r>
      <w:r>
        <w:t>to engage in work activities from the region.</w:t>
      </w:r>
    </w:p>
    <w:p w14:paraId="04A29552" w14:textId="77777777" w:rsidR="00E40CFA" w:rsidRDefault="00E40CFA" w:rsidP="00E40CFA">
      <w:pPr>
        <w:spacing w:line="240" w:lineRule="auto"/>
        <w:contextualSpacing/>
      </w:pPr>
    </w:p>
    <w:p w14:paraId="6C470E4D" w14:textId="230FE34F" w:rsidR="00E40CFA" w:rsidRDefault="00E40CFA" w:rsidP="00E40CFA">
      <w:pPr>
        <w:spacing w:line="240" w:lineRule="auto"/>
        <w:contextualSpacing/>
      </w:pPr>
      <w:r>
        <w:t>Agricultural output is still strong</w:t>
      </w:r>
      <w:r w:rsidR="00C81B67">
        <w:t>,</w:t>
      </w:r>
      <w:r>
        <w:t xml:space="preserve"> however the diverse workforce base previously available for seasonal work is now limited, resulting in significant income loss from some crops. The sugar industry seems somewhat immune to this due to most of the</w:t>
      </w:r>
      <w:r w:rsidR="003B4963">
        <w:t>ir</w:t>
      </w:r>
      <w:r>
        <w:t xml:space="preserve"> seasonal workers being locals.</w:t>
      </w:r>
    </w:p>
    <w:p w14:paraId="3EEFF05D" w14:textId="77777777" w:rsidR="00017DF8" w:rsidRDefault="00017DF8" w:rsidP="00017DF8">
      <w:pPr>
        <w:spacing w:line="240" w:lineRule="auto"/>
        <w:contextualSpacing/>
      </w:pPr>
    </w:p>
    <w:p w14:paraId="76CE02A0" w14:textId="21025C0C" w:rsidR="00017DF8" w:rsidRDefault="00E40CFA" w:rsidP="00E40CFA">
      <w:pPr>
        <w:pStyle w:val="Heading1"/>
      </w:pPr>
      <w:bookmarkStart w:id="44" w:name="_Toc79134300"/>
      <w:r>
        <w:t>Impacts of COVID-19</w:t>
      </w:r>
      <w:bookmarkEnd w:id="44"/>
    </w:p>
    <w:p w14:paraId="2B420767" w14:textId="6D0DCD6C" w:rsidR="00E40CFA" w:rsidRDefault="00E40CFA" w:rsidP="00E40CFA">
      <w:pPr>
        <w:spacing w:line="240" w:lineRule="auto"/>
        <w:contextualSpacing/>
      </w:pPr>
      <w:r>
        <w:t xml:space="preserve">COVID-19 had a disparate impact across the Mackay ER. Mining in the Isaac region continued with minimal impact, however all other industries and employers experienced forced closures due to the </w:t>
      </w:r>
      <w:r w:rsidR="00FD32A1">
        <w:t>n</w:t>
      </w:r>
      <w:r>
        <w:t>ational lockdown in March 2020 and subsequent challenges posed by transportation restrictions, social distancing requirements and global supply chain disruptions. While the ER’s unemployment rate trend continues to follow the national downward trend, the region continues to struggle with shortages in skilled labour and pickers and packers in the agricultur</w:t>
      </w:r>
      <w:r w:rsidR="005E7A41">
        <w:t>al</w:t>
      </w:r>
      <w:r>
        <w:t xml:space="preserve"> industry. </w:t>
      </w:r>
    </w:p>
    <w:p w14:paraId="1F22D695" w14:textId="77777777" w:rsidR="00E40CFA" w:rsidRDefault="00E40CFA" w:rsidP="00E40CFA">
      <w:pPr>
        <w:spacing w:line="240" w:lineRule="auto"/>
        <w:contextualSpacing/>
      </w:pPr>
    </w:p>
    <w:p w14:paraId="168ED5A4" w14:textId="5B57C5DE" w:rsidR="00E40CFA" w:rsidRDefault="00E40CFA" w:rsidP="00E40CFA">
      <w:pPr>
        <w:spacing w:line="240" w:lineRule="auto"/>
        <w:contextualSpacing/>
      </w:pPr>
      <w:r w:rsidRPr="00E24062">
        <w:t>COVID -19 severely affected tourism and hospitality across Australia</w:t>
      </w:r>
      <w:r>
        <w:t xml:space="preserve">. With </w:t>
      </w:r>
      <w:r w:rsidRPr="00E24062">
        <w:t xml:space="preserve">the closure of </w:t>
      </w:r>
      <w:r w:rsidR="0069493F">
        <w:t>i</w:t>
      </w:r>
      <w:r w:rsidRPr="00E24062">
        <w:t xml:space="preserve">nternational and </w:t>
      </w:r>
      <w:r w:rsidR="0069493F">
        <w:t>s</w:t>
      </w:r>
      <w:r w:rsidRPr="00E24062">
        <w:t xml:space="preserve">tate </w:t>
      </w:r>
      <w:r w:rsidR="0069493F">
        <w:t>b</w:t>
      </w:r>
      <w:r w:rsidRPr="00E24062">
        <w:t xml:space="preserve">orders </w:t>
      </w:r>
      <w:r>
        <w:t xml:space="preserve">and state and national lock-down protocols, </w:t>
      </w:r>
      <w:r w:rsidRPr="00E24062">
        <w:t xml:space="preserve">virtually all </w:t>
      </w:r>
      <w:r>
        <w:t xml:space="preserve">tourism operators </w:t>
      </w:r>
      <w:r w:rsidRPr="00E24062">
        <w:t>and accommodation were forced to close</w:t>
      </w:r>
      <w:r>
        <w:t xml:space="preserve">. Hospitality providers were </w:t>
      </w:r>
      <w:r w:rsidR="00142903">
        <w:t>limited</w:t>
      </w:r>
      <w:r>
        <w:t xml:space="preserve"> to take-away service only, operate</w:t>
      </w:r>
      <w:r w:rsidR="00142903">
        <w:t>d</w:t>
      </w:r>
      <w:r>
        <w:t xml:space="preserve"> with reduced hours and skeleton staff or close</w:t>
      </w:r>
      <w:r w:rsidR="00142903">
        <w:t>d</w:t>
      </w:r>
      <w:r>
        <w:t xml:space="preserve"> completely</w:t>
      </w:r>
      <w:r w:rsidRPr="00E24062">
        <w:t xml:space="preserve">. </w:t>
      </w:r>
      <w:r w:rsidR="002800AE">
        <w:t xml:space="preserve">In 2019, </w:t>
      </w:r>
      <w:r>
        <w:t xml:space="preserve">37% of tourists to the </w:t>
      </w:r>
      <w:r w:rsidRPr="00E24062">
        <w:t xml:space="preserve">Mackay and Whitsunday regions </w:t>
      </w:r>
      <w:r>
        <w:t xml:space="preserve">were </w:t>
      </w:r>
      <w:r w:rsidR="00476682">
        <w:t>from overseas</w:t>
      </w:r>
      <w:r w:rsidR="00877DC9">
        <w:t xml:space="preserve"> so</w:t>
      </w:r>
      <w:r w:rsidR="00817C42">
        <w:t xml:space="preserve"> </w:t>
      </w:r>
      <w:r>
        <w:t xml:space="preserve">this region </w:t>
      </w:r>
      <w:r w:rsidR="00877DC9">
        <w:t>has been</w:t>
      </w:r>
      <w:r w:rsidR="006F46F2">
        <w:t xml:space="preserve"> </w:t>
      </w:r>
      <w:r>
        <w:t xml:space="preserve">impacted heavily. </w:t>
      </w:r>
      <w:r w:rsidR="00812EED">
        <w:t>T</w:t>
      </w:r>
      <w:r w:rsidRPr="00E24062">
        <w:t xml:space="preserve">he Whitsunday Council, </w:t>
      </w:r>
      <w:hyperlink r:id="rId27" w:history="1">
        <w:r w:rsidRPr="005D18F9">
          <w:rPr>
            <w:rStyle w:val="Hyperlink"/>
            <w:i/>
            <w:iCs/>
          </w:rPr>
          <w:t>Whitsunday Region Priorities</w:t>
        </w:r>
      </w:hyperlink>
      <w:r w:rsidRPr="00E24062">
        <w:t xml:space="preserve"> </w:t>
      </w:r>
      <w:r w:rsidR="00812EED">
        <w:t xml:space="preserve">report </w:t>
      </w:r>
      <w:r w:rsidRPr="00E24062">
        <w:t>states that in May 2020 alone, there were 2,700 jobs lost</w:t>
      </w:r>
      <w:r>
        <w:t xml:space="preserve"> and 38% of employers were registered for JobKeeper.</w:t>
      </w:r>
    </w:p>
    <w:p w14:paraId="00A6C14F" w14:textId="77777777" w:rsidR="00E40CFA" w:rsidRDefault="00E40CFA" w:rsidP="00E40CFA">
      <w:pPr>
        <w:spacing w:line="240" w:lineRule="auto"/>
        <w:contextualSpacing/>
      </w:pPr>
    </w:p>
    <w:p w14:paraId="1852A72D" w14:textId="55F9F7EF" w:rsidR="00E40CFA" w:rsidRDefault="00817C42" w:rsidP="00E40CFA">
      <w:pPr>
        <w:spacing w:line="240" w:lineRule="auto"/>
        <w:contextualSpacing/>
      </w:pPr>
      <w:r>
        <w:t>Similarly,</w:t>
      </w:r>
      <w:r w:rsidR="00E40CFA">
        <w:t xml:space="preserve"> to the rest of Australia, the Mackay ER is facing accommodation challenges. Southern state migration to regional Queensland, overseas residents returning to Australia and continuing low interest rates has resulted in increasing residential accommodation prices, and rental vacancy rates </w:t>
      </w:r>
      <w:r w:rsidR="002B37E3">
        <w:t xml:space="preserve">are </w:t>
      </w:r>
      <w:r w:rsidR="00E40CFA">
        <w:t>among the lowest on record, especially in the lower value end of the rental market. Building new homes is becoming increasingly challenging with</w:t>
      </w:r>
      <w:r w:rsidR="002B37E3">
        <w:t xml:space="preserve"> interruptions occurring</w:t>
      </w:r>
      <w:r w:rsidR="00E40CFA">
        <w:t xml:space="preserve"> in the building supply chain and </w:t>
      </w:r>
      <w:r w:rsidR="002B37E3">
        <w:t xml:space="preserve">a lack of availability </w:t>
      </w:r>
      <w:r w:rsidR="00E40CFA">
        <w:t xml:space="preserve">of </w:t>
      </w:r>
      <w:r w:rsidR="00016284">
        <w:t xml:space="preserve">qualified </w:t>
      </w:r>
      <w:r w:rsidR="00E40CFA">
        <w:t xml:space="preserve">trade workers to meet regional demand. Accommodation availability and affordability is compounding existing transportation limitations, especially outside the population centres of Mackay and Airlie Beach.    </w:t>
      </w:r>
    </w:p>
    <w:p w14:paraId="35E43B06" w14:textId="77777777" w:rsidR="00E40CFA" w:rsidRDefault="00E40CFA" w:rsidP="00E40CFA">
      <w:pPr>
        <w:spacing w:line="240" w:lineRule="auto"/>
        <w:contextualSpacing/>
      </w:pPr>
    </w:p>
    <w:p w14:paraId="49C388C7" w14:textId="77777777" w:rsidR="0068123A" w:rsidRDefault="0068123A">
      <w:r>
        <w:br w:type="page"/>
      </w:r>
    </w:p>
    <w:p w14:paraId="0FB913B6" w14:textId="71A9794B" w:rsidR="00E40CFA" w:rsidRDefault="006F3694" w:rsidP="00E40CFA">
      <w:pPr>
        <w:spacing w:line="240" w:lineRule="auto"/>
        <w:contextualSpacing/>
      </w:pPr>
      <w:r>
        <w:lastRenderedPageBreak/>
        <w:t>Following</w:t>
      </w:r>
      <w:r w:rsidR="00E40CFA">
        <w:t xml:space="preserve"> </w:t>
      </w:r>
      <w:r w:rsidR="00D666BD">
        <w:t xml:space="preserve">the </w:t>
      </w:r>
      <w:r w:rsidR="00E40CFA">
        <w:t>COVID</w:t>
      </w:r>
      <w:r w:rsidR="00D666BD">
        <w:t>-19 pandemic</w:t>
      </w:r>
      <w:r w:rsidR="00E40CFA">
        <w:t>, the Queensland and Federal Government</w:t>
      </w:r>
      <w:r w:rsidR="001B4F9C">
        <w:t>s</w:t>
      </w:r>
      <w:r w:rsidR="00E40CFA">
        <w:t xml:space="preserve"> have announced programs to stimulate the ER’s economy and employment.  Announced programs include:</w:t>
      </w:r>
    </w:p>
    <w:p w14:paraId="4A35E3AA" w14:textId="77777777" w:rsidR="00E40CFA" w:rsidRDefault="00E40CFA" w:rsidP="00E40CFA">
      <w:pPr>
        <w:pStyle w:val="ListParagraph"/>
        <w:numPr>
          <w:ilvl w:val="0"/>
          <w:numId w:val="46"/>
        </w:numPr>
        <w:spacing w:line="240" w:lineRule="auto"/>
      </w:pPr>
      <w:r>
        <w:t xml:space="preserve">Department of Education, Skills and Employment (DESE) introduced </w:t>
      </w:r>
      <w:r w:rsidRPr="00463907">
        <w:rPr>
          <w:i/>
          <w:iCs/>
        </w:rPr>
        <w:t xml:space="preserve">Local Jobs </w:t>
      </w:r>
      <w:r w:rsidRPr="00817C42">
        <w:rPr>
          <w:i/>
          <w:iCs/>
        </w:rPr>
        <w:t>Program</w:t>
      </w:r>
      <w:r>
        <w:t xml:space="preserve"> to the Mackay ER in July 2021. Federally funded to 2025, the Mackay Employment Facilitator will work with local employers and industry throughout the ER to deliver funded activities with jobseekers to fill defined job outcomes.</w:t>
      </w:r>
    </w:p>
    <w:p w14:paraId="106BD397" w14:textId="0D9F1A8D" w:rsidR="00E40CFA" w:rsidRDefault="00E40CFA" w:rsidP="00E40CFA">
      <w:pPr>
        <w:pStyle w:val="ListParagraph"/>
        <w:numPr>
          <w:ilvl w:val="0"/>
          <w:numId w:val="46"/>
        </w:numPr>
        <w:spacing w:line="240" w:lineRule="auto"/>
      </w:pPr>
      <w:r w:rsidRPr="00463907">
        <w:rPr>
          <w:i/>
          <w:iCs/>
        </w:rPr>
        <w:t>COVID Works for Queensland</w:t>
      </w:r>
      <w:r>
        <w:t xml:space="preserve"> </w:t>
      </w:r>
      <w:r w:rsidR="009F7742" w:rsidRPr="00817C42">
        <w:rPr>
          <w:i/>
          <w:iCs/>
        </w:rPr>
        <w:t>P</w:t>
      </w:r>
      <w:r w:rsidRPr="00817C42">
        <w:rPr>
          <w:i/>
          <w:iCs/>
        </w:rPr>
        <w:t>rogram</w:t>
      </w:r>
      <w:r>
        <w:t xml:space="preserve"> allocated $2.7m to the Whitsunday Regional </w:t>
      </w:r>
      <w:r w:rsidR="00C4290C">
        <w:t>C</w:t>
      </w:r>
      <w:r>
        <w:t>ouncil to start regional infrastructure projects.</w:t>
      </w:r>
    </w:p>
    <w:p w14:paraId="13A111BD" w14:textId="77777777" w:rsidR="00E40CFA" w:rsidRDefault="00E40CFA" w:rsidP="00E40CFA">
      <w:pPr>
        <w:pStyle w:val="ListParagraph"/>
        <w:numPr>
          <w:ilvl w:val="0"/>
          <w:numId w:val="46"/>
        </w:numPr>
        <w:spacing w:line="240" w:lineRule="auto"/>
      </w:pPr>
      <w:r w:rsidRPr="00463907">
        <w:t xml:space="preserve">Queensland Department of Transport and Main Roads </w:t>
      </w:r>
      <w:r>
        <w:t>funded major transportation projects, including the Mackay Ring Road ($497.3m), Mackay Northern Access Road ($120.35m) and Bruce Highway safety and overtaking lane upgrades.</w:t>
      </w:r>
    </w:p>
    <w:p w14:paraId="253236E2" w14:textId="5A0C64E0" w:rsidR="00E40CFA" w:rsidRDefault="00E40CFA" w:rsidP="00E40CFA">
      <w:pPr>
        <w:pStyle w:val="ListParagraph"/>
        <w:numPr>
          <w:ilvl w:val="0"/>
          <w:numId w:val="46"/>
        </w:numPr>
        <w:spacing w:line="240" w:lineRule="auto"/>
      </w:pPr>
      <w:r>
        <w:t xml:space="preserve">Department of Tourism, Innovation and Sport’s </w:t>
      </w:r>
      <w:r w:rsidRPr="00463907">
        <w:rPr>
          <w:i/>
          <w:iCs/>
        </w:rPr>
        <w:t>Work in Paradise</w:t>
      </w:r>
      <w:r>
        <w:t xml:space="preserve"> </w:t>
      </w:r>
      <w:r w:rsidRPr="00817C42">
        <w:rPr>
          <w:i/>
          <w:iCs/>
        </w:rPr>
        <w:t>Program</w:t>
      </w:r>
      <w:r>
        <w:t xml:space="preserve"> aims to fill regional tourism and hospitality roles with eligible participants able to apply for a $1,500 incentive and $250 travel bonus from</w:t>
      </w:r>
      <w:r w:rsidR="00DD5C4E">
        <w:t xml:space="preserve"> 01</w:t>
      </w:r>
      <w:r>
        <w:t xml:space="preserve"> July 2021.</w:t>
      </w:r>
    </w:p>
    <w:p w14:paraId="127050EC" w14:textId="2886BE51" w:rsidR="00E40CFA" w:rsidRDefault="00E40CFA" w:rsidP="00E40CFA">
      <w:pPr>
        <w:pStyle w:val="ListParagraph"/>
        <w:numPr>
          <w:ilvl w:val="0"/>
          <w:numId w:val="46"/>
        </w:numPr>
        <w:spacing w:line="240" w:lineRule="auto"/>
      </w:pPr>
      <w:r>
        <w:t xml:space="preserve">Tourism and Events Queensland’s $2m marketing campaign </w:t>
      </w:r>
      <w:r w:rsidRPr="00D3406B">
        <w:rPr>
          <w:i/>
          <w:iCs/>
        </w:rPr>
        <w:t>Good to Go</w:t>
      </w:r>
      <w:r>
        <w:t xml:space="preserve"> target</w:t>
      </w:r>
      <w:r w:rsidR="00A82714">
        <w:t>ed</w:t>
      </w:r>
      <w:r>
        <w:t xml:space="preserve"> intra</w:t>
      </w:r>
      <w:r w:rsidR="00B550F6">
        <w:t>state</w:t>
      </w:r>
      <w:r>
        <w:t xml:space="preserve"> and interstate domestic and New Zealand tourists to drive $1b in tourism and accommodation bookings in Queensland between March and July 2021.   </w:t>
      </w:r>
    </w:p>
    <w:p w14:paraId="5B490EAE" w14:textId="1CC50826" w:rsidR="00E40CFA" w:rsidRDefault="00E40CFA" w:rsidP="00E40CFA">
      <w:pPr>
        <w:pStyle w:val="ListParagraph"/>
        <w:spacing w:line="240" w:lineRule="auto"/>
      </w:pPr>
    </w:p>
    <w:p w14:paraId="4DD6529A" w14:textId="77777777" w:rsidR="00E40CFA" w:rsidRDefault="00E40CFA" w:rsidP="00E40CFA">
      <w:pPr>
        <w:pStyle w:val="ListParagraph"/>
        <w:spacing w:line="240" w:lineRule="auto"/>
      </w:pPr>
    </w:p>
    <w:p w14:paraId="1E786450" w14:textId="0BAD019F" w:rsidR="00017DF8" w:rsidRDefault="00017DF8" w:rsidP="00017DF8"/>
    <w:p w14:paraId="505CA85E" w14:textId="0DB40554" w:rsidR="00017DF8" w:rsidRDefault="00017DF8" w:rsidP="00017DF8"/>
    <w:p w14:paraId="4E3D1F90" w14:textId="19F0AC0F" w:rsidR="00017DF8" w:rsidRDefault="00017DF8" w:rsidP="00017DF8"/>
    <w:p w14:paraId="41057FA2" w14:textId="0AFE4EEF" w:rsidR="00017DF8" w:rsidRDefault="00017DF8" w:rsidP="00017DF8"/>
    <w:p w14:paraId="5926DB93" w14:textId="42C26B72" w:rsidR="00017DF8" w:rsidRDefault="00017DF8" w:rsidP="00017DF8"/>
    <w:p w14:paraId="37A0D479" w14:textId="3003FA8D" w:rsidR="00017DF8" w:rsidRDefault="00017DF8" w:rsidP="00017DF8"/>
    <w:p w14:paraId="23AFCFD6" w14:textId="77777777" w:rsidR="00017DF8" w:rsidRDefault="00017DF8" w:rsidP="00017DF8"/>
    <w:p w14:paraId="3DAB06DF" w14:textId="77777777" w:rsidR="00017DF8" w:rsidRPr="00017DF8" w:rsidRDefault="00017DF8" w:rsidP="00017DF8"/>
    <w:p w14:paraId="45217745" w14:textId="160A24BC" w:rsidR="001B4E5C" w:rsidRDefault="001B4E5C" w:rsidP="00017DF8">
      <w:pPr>
        <w:pStyle w:val="Heading1"/>
      </w:pPr>
      <w:bookmarkStart w:id="45" w:name="_Toc54252375"/>
      <w:bookmarkStart w:id="46" w:name="_Toc54252404"/>
      <w:r>
        <w:br w:type="column"/>
      </w:r>
      <w:bookmarkStart w:id="47" w:name="_Toc54857008"/>
      <w:bookmarkStart w:id="48" w:name="_Toc79134301"/>
      <w:bookmarkEnd w:id="45"/>
      <w:bookmarkEnd w:id="46"/>
      <w:r>
        <w:lastRenderedPageBreak/>
        <w:t>Attachment A: Key Priorities</w:t>
      </w:r>
      <w:bookmarkEnd w:id="47"/>
      <w:bookmarkEnd w:id="48"/>
    </w:p>
    <w:p w14:paraId="7A17DE1F" w14:textId="77777777" w:rsidR="00B305EC" w:rsidRDefault="00B305EC" w:rsidP="00B305EC">
      <w:pPr>
        <w:pStyle w:val="ListParagraph"/>
        <w:spacing w:after="160" w:line="259" w:lineRule="auto"/>
        <w:ind w:left="0"/>
      </w:pPr>
    </w:p>
    <w:p w14:paraId="4246C2D1" w14:textId="70513CE7" w:rsidR="00B305EC" w:rsidRPr="0068123A" w:rsidRDefault="00E40CFA" w:rsidP="0068123A">
      <w:pPr>
        <w:pStyle w:val="BodyText"/>
        <w:rPr>
          <w:b/>
          <w:bCs/>
        </w:rPr>
      </w:pPr>
      <w:r w:rsidRPr="007224E7">
        <w:rPr>
          <w:b/>
          <w:bCs/>
        </w:rPr>
        <w:t>Priority One:</w:t>
      </w:r>
      <w:r w:rsidR="0068123A">
        <w:rPr>
          <w:b/>
          <w:bCs/>
        </w:rPr>
        <w:t xml:space="preserve"> </w:t>
      </w:r>
      <w:r w:rsidR="00B305EC" w:rsidRPr="0068123A">
        <w:rPr>
          <w:b/>
          <w:bCs/>
        </w:rPr>
        <w:t xml:space="preserve">Identify, upskill, and place appropriate job seekers into sustainable employment opportunities within the Aged Care and Disability Support Services industry, which is expected to continue to grow significantly in the ER and is </w:t>
      </w:r>
      <w:r w:rsidR="009A487D">
        <w:rPr>
          <w:b/>
          <w:bCs/>
        </w:rPr>
        <w:t xml:space="preserve">currently </w:t>
      </w:r>
      <w:r w:rsidR="00B305EC" w:rsidRPr="0068123A">
        <w:rPr>
          <w:b/>
          <w:bCs/>
        </w:rPr>
        <w:t>experiencing labour shortages.</w:t>
      </w:r>
    </w:p>
    <w:p w14:paraId="65CAFC37" w14:textId="135FB090" w:rsidR="00E40CFA" w:rsidRDefault="00E40CFA" w:rsidP="00E40CFA">
      <w:pPr>
        <w:spacing w:line="240" w:lineRule="auto"/>
        <w:contextualSpacing/>
      </w:pPr>
      <w:r>
        <w:br/>
        <w:t xml:space="preserve">As the second highest employer in the Mackay ER, the </w:t>
      </w:r>
      <w:r w:rsidR="009A487D">
        <w:t>h</w:t>
      </w:r>
      <w:r>
        <w:t xml:space="preserve">ealthcare and social assistance industry would provide a variety of employment outcomes for the region’s jobseekers. However, as not all health and social assistance roles are entry level and either require a degree or minimum Certificate III qualification, </w:t>
      </w:r>
      <w:bookmarkStart w:id="49" w:name="_Hlk78438031"/>
      <w:r w:rsidR="00F275E1">
        <w:t>this</w:t>
      </w:r>
      <w:r>
        <w:t xml:space="preserve"> priority aims to upskill jobseekers with transferrable skills into the sector with the highest growth rate, Aged Care and Disability Support Services</w:t>
      </w:r>
      <w:bookmarkEnd w:id="49"/>
      <w:r>
        <w:t>.</w:t>
      </w:r>
    </w:p>
    <w:p w14:paraId="3A240CA4" w14:textId="77777777" w:rsidR="00E40CFA" w:rsidRDefault="00E40CFA" w:rsidP="00E40CFA">
      <w:pPr>
        <w:spacing w:line="240" w:lineRule="auto"/>
        <w:contextualSpacing/>
      </w:pPr>
    </w:p>
    <w:p w14:paraId="373AB714" w14:textId="235B84C0" w:rsidR="00E40CFA" w:rsidRDefault="00E40CFA" w:rsidP="00E40CFA">
      <w:pPr>
        <w:spacing w:line="240" w:lineRule="auto"/>
        <w:contextualSpacing/>
      </w:pPr>
      <w:r w:rsidRPr="0049398A">
        <w:t xml:space="preserve">Aged Care and Disability Support </w:t>
      </w:r>
      <w:r w:rsidR="00207566">
        <w:t>S</w:t>
      </w:r>
      <w:r w:rsidRPr="0049398A">
        <w:t>ervices roles have grown exponentially with the introduction of</w:t>
      </w:r>
      <w:r w:rsidR="0066370A">
        <w:t xml:space="preserve"> the</w:t>
      </w:r>
      <w:r w:rsidRPr="0049398A">
        <w:t xml:space="preserve"> National Disability Insurance Scheme (NDIS) and Australia’s aging population. </w:t>
      </w:r>
      <w:r w:rsidR="00D42166">
        <w:t>S</w:t>
      </w:r>
      <w:r w:rsidRPr="0049398A">
        <w:t xml:space="preserve">ervice providers </w:t>
      </w:r>
      <w:r w:rsidR="0069103B">
        <w:t xml:space="preserve">in this sector </w:t>
      </w:r>
      <w:r w:rsidRPr="0049398A">
        <w:t xml:space="preserve">support those with a disability who require varying levels of personal support or </w:t>
      </w:r>
      <w:r w:rsidR="00EA45B7">
        <w:t xml:space="preserve">are an </w:t>
      </w:r>
      <w:r w:rsidRPr="0049398A">
        <w:t xml:space="preserve">advanced age with in-home care or </w:t>
      </w:r>
      <w:r w:rsidR="0069103B">
        <w:t xml:space="preserve">undertake </w:t>
      </w:r>
      <w:r w:rsidRPr="0049398A">
        <w:t>various roles in aged or disability care homes.</w:t>
      </w:r>
      <w:r>
        <w:t xml:space="preserve"> Most entry-level roles are in personal support, which require a minimum Certificate III in Individual Support and 120 hours of work experience.</w:t>
      </w:r>
    </w:p>
    <w:p w14:paraId="3A581EB6" w14:textId="77777777" w:rsidR="00E40CFA" w:rsidRDefault="00E40CFA" w:rsidP="00E40CFA">
      <w:pPr>
        <w:spacing w:line="240" w:lineRule="auto"/>
        <w:contextualSpacing/>
      </w:pPr>
    </w:p>
    <w:p w14:paraId="628E3FB9" w14:textId="2151391C" w:rsidR="00E40CFA" w:rsidRDefault="00E40CFA" w:rsidP="00E40CFA">
      <w:pPr>
        <w:spacing w:line="240" w:lineRule="auto"/>
        <w:contextualSpacing/>
      </w:pPr>
      <w:bookmarkStart w:id="50" w:name="_Hlk78438077"/>
      <w:r>
        <w:t xml:space="preserve">Activities will be developed to effectively meet the recruitment needs of disability support and aged care employers in the Mackay ER by identifying, training, </w:t>
      </w:r>
      <w:r w:rsidR="00817C42">
        <w:t>upskilling,</w:t>
      </w:r>
      <w:r>
        <w:t xml:space="preserve"> and placing appropriate job seekers into sustainable employment opportunities</w:t>
      </w:r>
      <w:bookmarkEnd w:id="50"/>
      <w:r>
        <w:t>.</w:t>
      </w:r>
    </w:p>
    <w:p w14:paraId="2BFF41D3" w14:textId="77777777" w:rsidR="00E40CFA" w:rsidRDefault="00E40CFA" w:rsidP="00E40CFA">
      <w:pPr>
        <w:spacing w:line="240" w:lineRule="auto"/>
        <w:contextualSpacing/>
      </w:pPr>
    </w:p>
    <w:p w14:paraId="062F84A9" w14:textId="77777777" w:rsidR="00E40CFA" w:rsidRDefault="00E40CFA" w:rsidP="00E40CFA">
      <w:pPr>
        <w:spacing w:line="240" w:lineRule="auto"/>
        <w:contextualSpacing/>
      </w:pPr>
      <w:r>
        <w:t>Strategies:</w:t>
      </w:r>
    </w:p>
    <w:p w14:paraId="680102D0" w14:textId="01067B35" w:rsidR="00E40CFA" w:rsidRDefault="00E40CFA" w:rsidP="00E40CFA">
      <w:pPr>
        <w:pStyle w:val="ListParagraph"/>
        <w:numPr>
          <w:ilvl w:val="0"/>
          <w:numId w:val="48"/>
        </w:numPr>
        <w:spacing w:line="240" w:lineRule="auto"/>
      </w:pPr>
      <w:r>
        <w:t xml:space="preserve">Review of </w:t>
      </w:r>
      <w:r w:rsidR="007F220A">
        <w:t>a</w:t>
      </w:r>
      <w:r w:rsidRPr="00AE7227">
        <w:t xml:space="preserve">ged </w:t>
      </w:r>
      <w:r w:rsidR="007F220A">
        <w:t>c</w:t>
      </w:r>
      <w:r w:rsidRPr="00AE7227">
        <w:t xml:space="preserve">are and </w:t>
      </w:r>
      <w:r w:rsidR="007F220A">
        <w:t>d</w:t>
      </w:r>
      <w:r w:rsidRPr="00AE7227">
        <w:t xml:space="preserve">isability </w:t>
      </w:r>
      <w:r w:rsidR="007F220A">
        <w:t>s</w:t>
      </w:r>
      <w:r w:rsidRPr="00AE7227">
        <w:t xml:space="preserve">upport </w:t>
      </w:r>
      <w:r w:rsidR="007F220A">
        <w:t>s</w:t>
      </w:r>
      <w:r w:rsidRPr="00AE7227">
        <w:t>ervices</w:t>
      </w:r>
      <w:r>
        <w:t xml:space="preserve"> in Mackay, </w:t>
      </w:r>
      <w:r w:rsidR="00817C42">
        <w:t>Isaac,</w:t>
      </w:r>
      <w:r>
        <w:t xml:space="preserve"> and Whitsunday regions to identify employers, the range of roles/jobs and immediate to mid-term job outcomes and map both the job demand and seasonable employment peaks and troughs (if any)</w:t>
      </w:r>
      <w:r w:rsidR="0068123A">
        <w:t>.</w:t>
      </w:r>
    </w:p>
    <w:p w14:paraId="09D5C0FB" w14:textId="41BF1EED" w:rsidR="00E40CFA" w:rsidRDefault="00E40CFA" w:rsidP="00E40CFA">
      <w:pPr>
        <w:pStyle w:val="ListParagraph"/>
        <w:numPr>
          <w:ilvl w:val="0"/>
          <w:numId w:val="48"/>
        </w:numPr>
        <w:spacing w:line="240" w:lineRule="auto"/>
      </w:pPr>
      <w:r>
        <w:t xml:space="preserve">For identified roles and jobs within </w:t>
      </w:r>
      <w:r w:rsidR="00A302D9">
        <w:t>a</w:t>
      </w:r>
      <w:r w:rsidRPr="00AE7227">
        <w:t xml:space="preserve">ged </w:t>
      </w:r>
      <w:r w:rsidR="00A302D9">
        <w:t>c</w:t>
      </w:r>
      <w:r w:rsidRPr="00AE7227">
        <w:t xml:space="preserve">are and </w:t>
      </w:r>
      <w:r w:rsidR="00A302D9">
        <w:t>d</w:t>
      </w:r>
      <w:r w:rsidRPr="00AE7227">
        <w:t xml:space="preserve">isability </w:t>
      </w:r>
      <w:r w:rsidR="00A302D9">
        <w:t>s</w:t>
      </w:r>
      <w:r w:rsidRPr="00AE7227">
        <w:t xml:space="preserve">upport </w:t>
      </w:r>
      <w:r w:rsidR="00A302D9">
        <w:t>s</w:t>
      </w:r>
      <w:r w:rsidRPr="00AE7227">
        <w:t>ervices</w:t>
      </w:r>
      <w:r>
        <w:t>, assess the minimum training, education, work experience, competency baselines and personal and physical attributes job seekers require to either enter or maintain sustainable employment within the industry and create defined job descriptions</w:t>
      </w:r>
      <w:r w:rsidR="0068123A">
        <w:t>.</w:t>
      </w:r>
    </w:p>
    <w:p w14:paraId="6859015F" w14:textId="70B157D9" w:rsidR="00E40CFA" w:rsidRDefault="00E40CFA" w:rsidP="00E40CFA">
      <w:pPr>
        <w:pStyle w:val="ListParagraph"/>
        <w:numPr>
          <w:ilvl w:val="0"/>
          <w:numId w:val="48"/>
        </w:numPr>
        <w:spacing w:line="240" w:lineRule="auto"/>
      </w:pPr>
      <w:r>
        <w:t xml:space="preserve">Map the location of employers in the distinct Mackay, </w:t>
      </w:r>
      <w:r w:rsidR="00817C42">
        <w:t>Isaac,</w:t>
      </w:r>
      <w:r>
        <w:t xml:space="preserve"> and Whitsunday regions to direct </w:t>
      </w:r>
      <w:r w:rsidR="0068123A">
        <w:t>LJP</w:t>
      </w:r>
      <w:r>
        <w:t xml:space="preserve"> activities to the most appropriate location within the E</w:t>
      </w:r>
      <w:r w:rsidR="008A259F">
        <w:t>R</w:t>
      </w:r>
      <w:r w:rsidR="0068123A">
        <w:t>.</w:t>
      </w:r>
    </w:p>
    <w:p w14:paraId="39968F73" w14:textId="243CC00E" w:rsidR="00E40CFA" w:rsidRDefault="00E40CFA" w:rsidP="00E40CFA">
      <w:pPr>
        <w:pStyle w:val="ListParagraph"/>
        <w:numPr>
          <w:ilvl w:val="0"/>
          <w:numId w:val="48"/>
        </w:numPr>
        <w:spacing w:line="240" w:lineRule="auto"/>
      </w:pPr>
      <w:r>
        <w:t xml:space="preserve">Identify the key stakeholders including employers, local, </w:t>
      </w:r>
      <w:r w:rsidR="00817C42">
        <w:t>state,</w:t>
      </w:r>
      <w:r>
        <w:t xml:space="preserve"> and federal government agencies or departments, advocacy groups, professional associations</w:t>
      </w:r>
      <w:r w:rsidR="00243980">
        <w:t xml:space="preserve"> and </w:t>
      </w:r>
      <w:r>
        <w:t>subject matter experts</w:t>
      </w:r>
      <w:r w:rsidR="00817C42">
        <w:t>.</w:t>
      </w:r>
      <w:r>
        <w:t xml:space="preserve"> Create a stakeholder engagement plan to ensure professional relationships are made with individuals/organisations who will guide and deliver successful </w:t>
      </w:r>
      <w:r w:rsidR="0068123A">
        <w:t>LJP</w:t>
      </w:r>
      <w:r>
        <w:t xml:space="preserve"> activities</w:t>
      </w:r>
      <w:r w:rsidR="0068123A">
        <w:t>.</w:t>
      </w:r>
      <w:r>
        <w:t xml:space="preserve"> </w:t>
      </w:r>
    </w:p>
    <w:p w14:paraId="600A04DE" w14:textId="0C86254D" w:rsidR="00E40CFA" w:rsidRDefault="00E40CFA" w:rsidP="00E40CFA">
      <w:pPr>
        <w:pStyle w:val="ListParagraph"/>
        <w:numPr>
          <w:ilvl w:val="0"/>
          <w:numId w:val="48"/>
        </w:numPr>
        <w:spacing w:line="240" w:lineRule="auto"/>
      </w:pPr>
      <w:r>
        <w:t xml:space="preserve">For identified roles in </w:t>
      </w:r>
      <w:r w:rsidR="00A302D9">
        <w:t>a</w:t>
      </w:r>
      <w:r w:rsidRPr="00AE7227">
        <w:t xml:space="preserve">ged </w:t>
      </w:r>
      <w:r w:rsidR="00A302D9">
        <w:t>c</w:t>
      </w:r>
      <w:r w:rsidRPr="00AE7227">
        <w:t xml:space="preserve">are and </w:t>
      </w:r>
      <w:r w:rsidR="00A302D9">
        <w:t>d</w:t>
      </w:r>
      <w:r w:rsidRPr="00AE7227">
        <w:t xml:space="preserve">isability </w:t>
      </w:r>
      <w:r w:rsidR="00A302D9">
        <w:t>s</w:t>
      </w:r>
      <w:r w:rsidRPr="00AE7227">
        <w:t xml:space="preserve">upport </w:t>
      </w:r>
      <w:r w:rsidR="00A302D9">
        <w:t>s</w:t>
      </w:r>
      <w:r w:rsidRPr="00AE7227">
        <w:t>ervices</w:t>
      </w:r>
      <w:r>
        <w:t xml:space="preserve">, determine knowledge, </w:t>
      </w:r>
      <w:r w:rsidR="00817C42">
        <w:t>skills,</w:t>
      </w:r>
      <w:r>
        <w:t xml:space="preserve"> and experience gaps in the Mackay ER’s jobactive cohort and map short to mid-term opportunities for employment</w:t>
      </w:r>
    </w:p>
    <w:p w14:paraId="7B69AD89" w14:textId="77777777" w:rsidR="00E40CFA" w:rsidRDefault="00E40CFA" w:rsidP="00E40CFA">
      <w:pPr>
        <w:pStyle w:val="ListParagraph"/>
      </w:pPr>
      <w:r>
        <w:softHyphen/>
      </w:r>
    </w:p>
    <w:p w14:paraId="1017049D" w14:textId="77777777" w:rsidR="00E40CFA" w:rsidRDefault="00E40CFA">
      <w:pPr>
        <w:rPr>
          <w:b/>
          <w:bCs/>
        </w:rPr>
      </w:pPr>
      <w:r>
        <w:rPr>
          <w:b/>
          <w:bCs/>
        </w:rPr>
        <w:br w:type="page"/>
      </w:r>
    </w:p>
    <w:p w14:paraId="20334866" w14:textId="1151BD5D" w:rsidR="00E40CFA" w:rsidRPr="00F0257A" w:rsidRDefault="00E40CFA" w:rsidP="00F0257A">
      <w:pPr>
        <w:pStyle w:val="BodyText"/>
        <w:rPr>
          <w:b/>
          <w:bCs/>
        </w:rPr>
      </w:pPr>
      <w:r w:rsidRPr="00F0257A">
        <w:rPr>
          <w:b/>
          <w:bCs/>
        </w:rPr>
        <w:lastRenderedPageBreak/>
        <w:t>Priority Two:</w:t>
      </w:r>
      <w:r w:rsidR="0068123A">
        <w:rPr>
          <w:b/>
          <w:bCs/>
        </w:rPr>
        <w:t xml:space="preserve"> </w:t>
      </w:r>
      <w:r w:rsidR="00F0257A" w:rsidRPr="00F0257A">
        <w:rPr>
          <w:b/>
          <w:bCs/>
        </w:rPr>
        <w:t>Support job seekers to access entry level construction jobs via upskilling or applying transferable skills and filling apprenticeship or traineeship opportunities to obtain sustainable job outcomes</w:t>
      </w:r>
    </w:p>
    <w:p w14:paraId="6A6D2C9F" w14:textId="40CC2484" w:rsidR="00E40CFA" w:rsidRDefault="00E40CFA" w:rsidP="00E40CFA">
      <w:pPr>
        <w:spacing w:line="240" w:lineRule="auto"/>
        <w:contextualSpacing/>
      </w:pPr>
      <w:r>
        <w:br/>
      </w:r>
      <w:bookmarkStart w:id="51" w:name="_Hlk78441121"/>
      <w:r>
        <w:t xml:space="preserve">With a funded project pipeline over the next two-to-five </w:t>
      </w:r>
      <w:r w:rsidR="00817C42">
        <w:t>years, construction</w:t>
      </w:r>
      <w:r>
        <w:t xml:space="preserve"> presents significant employment opportunities.</w:t>
      </w:r>
    </w:p>
    <w:p w14:paraId="65152323" w14:textId="77777777" w:rsidR="00E40CFA" w:rsidRDefault="00E40CFA" w:rsidP="00E40CFA">
      <w:pPr>
        <w:spacing w:line="240" w:lineRule="auto"/>
        <w:contextualSpacing/>
      </w:pPr>
    </w:p>
    <w:p w14:paraId="7955B91C" w14:textId="77777777" w:rsidR="00E40CFA" w:rsidRDefault="00E40CFA" w:rsidP="00E40CFA">
      <w:pPr>
        <w:spacing w:line="240" w:lineRule="auto"/>
        <w:contextualSpacing/>
      </w:pPr>
      <w:bookmarkStart w:id="52" w:name="_Hlk78438129"/>
      <w:r>
        <w:t xml:space="preserve">The Local Jobs Plan will aim to collaboratively develop activities that build skills for local jobseekers to access entry level careers via upskilling or applying transferable skills and filling apprenticeship opportunities.  </w:t>
      </w:r>
    </w:p>
    <w:p w14:paraId="3A1839B1" w14:textId="77777777" w:rsidR="00E40CFA" w:rsidRDefault="00E40CFA" w:rsidP="00E40CFA">
      <w:pPr>
        <w:spacing w:line="240" w:lineRule="auto"/>
        <w:contextualSpacing/>
      </w:pPr>
    </w:p>
    <w:p w14:paraId="68AB4FD8" w14:textId="5C4ABC68" w:rsidR="00E40CFA" w:rsidRDefault="00E40CFA" w:rsidP="00E40CFA">
      <w:pPr>
        <w:spacing w:line="240" w:lineRule="auto"/>
        <w:contextualSpacing/>
      </w:pPr>
      <w:r>
        <w:t>Strategies will increase the region’s pool of jobseekers with construction-specific skillset</w:t>
      </w:r>
      <w:r w:rsidR="00CB7C30">
        <w:t>s</w:t>
      </w:r>
      <w:r>
        <w:t>, tickets and formal qualifications to retain and build a locally-based workforce, by supporting participants through agile training, upskilling opportunities and innovative activities that provide valuable, role specific work experience to obtain sustainable job outcomes</w:t>
      </w:r>
      <w:bookmarkEnd w:id="52"/>
      <w:r>
        <w:t>.</w:t>
      </w:r>
    </w:p>
    <w:bookmarkEnd w:id="51"/>
    <w:p w14:paraId="56A89886" w14:textId="77777777" w:rsidR="00E40CFA" w:rsidRDefault="00E40CFA" w:rsidP="00E40CFA">
      <w:pPr>
        <w:spacing w:line="240" w:lineRule="auto"/>
        <w:contextualSpacing/>
      </w:pPr>
    </w:p>
    <w:p w14:paraId="4DFF9573" w14:textId="4E6A14B1" w:rsidR="00E40CFA" w:rsidRDefault="00E40CFA" w:rsidP="00E40CFA">
      <w:pPr>
        <w:spacing w:line="240" w:lineRule="auto"/>
        <w:contextualSpacing/>
      </w:pPr>
      <w:r>
        <w:t>Strategies:</w:t>
      </w:r>
    </w:p>
    <w:p w14:paraId="61154AB2" w14:textId="6DAF6501" w:rsidR="00E40CFA" w:rsidRDefault="00E40CFA" w:rsidP="00E40CFA">
      <w:pPr>
        <w:pStyle w:val="ListParagraph"/>
        <w:numPr>
          <w:ilvl w:val="0"/>
          <w:numId w:val="48"/>
        </w:numPr>
        <w:spacing w:line="240" w:lineRule="auto"/>
      </w:pPr>
      <w:r>
        <w:t xml:space="preserve">Review the Mackay, </w:t>
      </w:r>
      <w:r w:rsidR="00817C42">
        <w:t>Isaac</w:t>
      </w:r>
      <w:r>
        <w:t xml:space="preserve"> and Whitsunday regions </w:t>
      </w:r>
      <w:r w:rsidR="00A302D9">
        <w:t>c</w:t>
      </w:r>
      <w:r>
        <w:t>onstruction industry to identify employers, the range of roles/jobs and immediate to mid-term job outcomes and map both the job demand and seasonable employment peaks and troughs (if any)</w:t>
      </w:r>
      <w:r w:rsidR="0068123A">
        <w:t>.</w:t>
      </w:r>
    </w:p>
    <w:p w14:paraId="08DF7A6A" w14:textId="7655C1FD" w:rsidR="00E40CFA" w:rsidRDefault="00E40CFA" w:rsidP="00E40CFA">
      <w:pPr>
        <w:pStyle w:val="ListParagraph"/>
        <w:numPr>
          <w:ilvl w:val="0"/>
          <w:numId w:val="48"/>
        </w:numPr>
        <w:spacing w:line="240" w:lineRule="auto"/>
      </w:pPr>
      <w:r>
        <w:t xml:space="preserve">For identified roles within </w:t>
      </w:r>
      <w:r w:rsidR="00A302D9">
        <w:t>c</w:t>
      </w:r>
      <w:r>
        <w:t>onstruction, assess the minimum training, education, work experience, competency baselines and personal and physical attributes job seekers require to either enter or maintain sustainable employment within the industry and create defined job descriptions</w:t>
      </w:r>
      <w:r w:rsidR="0068123A">
        <w:t>.</w:t>
      </w:r>
    </w:p>
    <w:p w14:paraId="0067EFA1" w14:textId="6D77A158" w:rsidR="00E40CFA" w:rsidRDefault="00E40CFA" w:rsidP="00E40CFA">
      <w:pPr>
        <w:pStyle w:val="ListParagraph"/>
        <w:numPr>
          <w:ilvl w:val="0"/>
          <w:numId w:val="48"/>
        </w:numPr>
        <w:spacing w:line="240" w:lineRule="auto"/>
      </w:pPr>
      <w:r>
        <w:t xml:space="preserve">Map the location of employers in the distinct Mackay, </w:t>
      </w:r>
      <w:r w:rsidR="00817C42">
        <w:t>Isaac,</w:t>
      </w:r>
      <w:r>
        <w:t xml:space="preserve"> and Whitsunday regions to direct Local Jobs Program activities to the most appropriate location within the</w:t>
      </w:r>
      <w:r w:rsidR="00810372">
        <w:t xml:space="preserve"> </w:t>
      </w:r>
      <w:r w:rsidR="00677A5D">
        <w:t>ER.</w:t>
      </w:r>
      <w:r>
        <w:t xml:space="preserve"> </w:t>
      </w:r>
    </w:p>
    <w:p w14:paraId="2E60B307" w14:textId="12484C64" w:rsidR="00E40CFA" w:rsidRDefault="00E40CFA" w:rsidP="00E40CFA">
      <w:pPr>
        <w:pStyle w:val="ListParagraph"/>
        <w:numPr>
          <w:ilvl w:val="0"/>
          <w:numId w:val="48"/>
        </w:numPr>
        <w:spacing w:line="240" w:lineRule="auto"/>
      </w:pPr>
      <w:r>
        <w:t>Identify the key stakeholders within the Mackay E</w:t>
      </w:r>
      <w:r w:rsidR="00677A5D">
        <w:t>R</w:t>
      </w:r>
      <w:r>
        <w:t xml:space="preserve">, including employers, local, </w:t>
      </w:r>
      <w:r w:rsidR="00817C42">
        <w:t>state,</w:t>
      </w:r>
      <w:r>
        <w:t xml:space="preserve"> and federal government agencies or departments, advocacy groups, professional associations</w:t>
      </w:r>
      <w:r w:rsidR="00B5673D">
        <w:t xml:space="preserve"> and</w:t>
      </w:r>
      <w:r>
        <w:t xml:space="preserve"> subject matter experts. Create a Mackay </w:t>
      </w:r>
      <w:r w:rsidR="0068123A">
        <w:t>ER</w:t>
      </w:r>
      <w:r>
        <w:t xml:space="preserve"> stakeholder engagement plan to ensure professional relationships are made with individuals/organisations who will guide and deliver successful L</w:t>
      </w:r>
      <w:r w:rsidR="00EA65FC">
        <w:t>JP</w:t>
      </w:r>
      <w:r>
        <w:t xml:space="preserve"> activities</w:t>
      </w:r>
      <w:r w:rsidR="0068123A">
        <w:t>.</w:t>
      </w:r>
      <w:r>
        <w:t xml:space="preserve"> </w:t>
      </w:r>
    </w:p>
    <w:p w14:paraId="4EC0EE95" w14:textId="377645B4" w:rsidR="00E40CFA" w:rsidRDefault="00E40CFA" w:rsidP="00E40CFA">
      <w:pPr>
        <w:pStyle w:val="ListParagraph"/>
        <w:numPr>
          <w:ilvl w:val="0"/>
          <w:numId w:val="48"/>
        </w:numPr>
        <w:spacing w:line="240" w:lineRule="auto"/>
      </w:pPr>
      <w:r>
        <w:t xml:space="preserve">For identified </w:t>
      </w:r>
      <w:r w:rsidR="00EA65FC">
        <w:t xml:space="preserve">construction </w:t>
      </w:r>
      <w:r>
        <w:t xml:space="preserve">roles, determine knowledge, </w:t>
      </w:r>
      <w:r w:rsidR="00817C42">
        <w:t>skills,</w:t>
      </w:r>
      <w:r>
        <w:t xml:space="preserve"> and experience gaps in the Mackay ER’s jobactive cohort and map short to mid-term opportunities for employment</w:t>
      </w:r>
      <w:r w:rsidR="0068123A">
        <w:t>.</w:t>
      </w:r>
    </w:p>
    <w:p w14:paraId="5A8DA697" w14:textId="7AA75FA8" w:rsidR="00E40CFA" w:rsidRDefault="00E40CFA" w:rsidP="00E40CFA">
      <w:pPr>
        <w:pStyle w:val="ListParagraph"/>
        <w:numPr>
          <w:ilvl w:val="0"/>
          <w:numId w:val="48"/>
        </w:numPr>
        <w:spacing w:line="240" w:lineRule="auto"/>
      </w:pPr>
      <w:r>
        <w:t xml:space="preserve">Review local, </w:t>
      </w:r>
      <w:r w:rsidR="00817C42">
        <w:t>state</w:t>
      </w:r>
      <w:r>
        <w:t xml:space="preserve"> and federal government, not-for-profit and private sector employment incentives, including wage subsidies, employment programs and </w:t>
      </w:r>
      <w:r w:rsidRPr="00817C42">
        <w:t xml:space="preserve">funding and </w:t>
      </w:r>
      <w:r w:rsidR="00817C42" w:rsidRPr="00817C42">
        <w:t xml:space="preserve">identify </w:t>
      </w:r>
      <w:r>
        <w:t xml:space="preserve">opportunities for the </w:t>
      </w:r>
      <w:r w:rsidR="00A302D9">
        <w:t>c</w:t>
      </w:r>
      <w:r>
        <w:t xml:space="preserve">onstruction </w:t>
      </w:r>
      <w:r w:rsidR="00A302D9">
        <w:t>i</w:t>
      </w:r>
      <w:r>
        <w:t>ndustry</w:t>
      </w:r>
      <w:r w:rsidR="0068123A">
        <w:t>.</w:t>
      </w:r>
    </w:p>
    <w:p w14:paraId="073CCE3E" w14:textId="77777777" w:rsidR="00E40CFA" w:rsidRDefault="00E40CFA" w:rsidP="00E40CFA"/>
    <w:p w14:paraId="47A5E416" w14:textId="77777777" w:rsidR="00E40CFA" w:rsidRDefault="00E40CFA">
      <w:pPr>
        <w:rPr>
          <w:b/>
          <w:bCs/>
        </w:rPr>
      </w:pPr>
      <w:r>
        <w:rPr>
          <w:b/>
          <w:bCs/>
        </w:rPr>
        <w:br w:type="page"/>
      </w:r>
    </w:p>
    <w:p w14:paraId="1EFC5CD1" w14:textId="6AFB3FDD" w:rsidR="00B8323F" w:rsidRPr="007224E7" w:rsidRDefault="00E40CFA" w:rsidP="007224E7">
      <w:pPr>
        <w:pStyle w:val="BodyText"/>
        <w:rPr>
          <w:b/>
          <w:bCs/>
        </w:rPr>
      </w:pPr>
      <w:r w:rsidRPr="007224E7">
        <w:rPr>
          <w:b/>
          <w:bCs/>
        </w:rPr>
        <w:lastRenderedPageBreak/>
        <w:t>Priority Three:</w:t>
      </w:r>
      <w:r w:rsidR="0068123A">
        <w:rPr>
          <w:b/>
          <w:bCs/>
        </w:rPr>
        <w:t xml:space="preserve"> </w:t>
      </w:r>
      <w:r w:rsidR="00B8323F" w:rsidRPr="007224E7">
        <w:rPr>
          <w:b/>
          <w:bCs/>
        </w:rPr>
        <w:t>Provide employment pathways for job seekers in tourism and hospitality, leveraging transferable technical, interpersonal and communication skillsets or upskilling those with current industry experience.</w:t>
      </w:r>
    </w:p>
    <w:p w14:paraId="7BE2268A" w14:textId="6AF64DAA" w:rsidR="00E40CFA" w:rsidRDefault="00E40CFA" w:rsidP="00E40CFA">
      <w:pPr>
        <w:spacing w:line="240" w:lineRule="auto"/>
        <w:contextualSpacing/>
      </w:pPr>
      <w:r>
        <w:br/>
        <w:t xml:space="preserve">Hospitality and </w:t>
      </w:r>
      <w:r w:rsidR="00A302D9">
        <w:t>t</w:t>
      </w:r>
      <w:r>
        <w:t>ourism employers are spread throughout the</w:t>
      </w:r>
      <w:r w:rsidR="0068123A">
        <w:t xml:space="preserve"> Mackay</w:t>
      </w:r>
      <w:r>
        <w:t xml:space="preserve"> ER. However, there are distinct sections of the ER where </w:t>
      </w:r>
      <w:r w:rsidR="00A302D9">
        <w:t>h</w:t>
      </w:r>
      <w:r>
        <w:t xml:space="preserve">ospitality and </w:t>
      </w:r>
      <w:r w:rsidR="00A302D9">
        <w:t>t</w:t>
      </w:r>
      <w:r>
        <w:t xml:space="preserve">ourism are the primary employers, especially in the tourist hubs of Airlie Beach and the Whitsunday Island chain. </w:t>
      </w:r>
      <w:bookmarkStart w:id="53" w:name="_Hlk78438148"/>
      <w:r w:rsidR="00202145">
        <w:t xml:space="preserve">This </w:t>
      </w:r>
      <w:r w:rsidR="00C03238">
        <w:t>p</w:t>
      </w:r>
      <w:r>
        <w:t>riority aims to develop regionally appropriate activities to meet tourism and hospitality employer seasonal workforce needs.</w:t>
      </w:r>
    </w:p>
    <w:p w14:paraId="2F7F33DA" w14:textId="77777777" w:rsidR="00E40CFA" w:rsidRDefault="00E40CFA" w:rsidP="00E40CFA">
      <w:pPr>
        <w:spacing w:line="240" w:lineRule="auto"/>
        <w:contextualSpacing/>
      </w:pPr>
    </w:p>
    <w:p w14:paraId="2DED6615" w14:textId="16A57DA1" w:rsidR="00E40CFA" w:rsidRDefault="00E40CFA" w:rsidP="00E40CFA">
      <w:pPr>
        <w:spacing w:line="240" w:lineRule="auto"/>
        <w:contextualSpacing/>
      </w:pPr>
      <w:r>
        <w:t>In addition, as tourism and hospitality roles require foundational</w:t>
      </w:r>
      <w:r w:rsidR="009D5512">
        <w:t>,</w:t>
      </w:r>
      <w:r>
        <w:t xml:space="preserve"> interpersonal and communication skills, there is an opportunity for jobseekers with transferrable soft skills to retrain, gain relevant work experience and transition into this industry. </w:t>
      </w:r>
      <w:r w:rsidR="00C91B75">
        <w:t>This p</w:t>
      </w:r>
      <w:r>
        <w:t xml:space="preserve">riority will create opportunities for </w:t>
      </w:r>
      <w:r w:rsidRPr="006D4695">
        <w:t xml:space="preserve">job seekers </w:t>
      </w:r>
      <w:r>
        <w:t xml:space="preserve">to gain entry level job outcomes leveraging </w:t>
      </w:r>
      <w:r w:rsidRPr="006D4695">
        <w:t>transferable skills</w:t>
      </w:r>
      <w:r>
        <w:t>ets or upskill those with existing industry experience.</w:t>
      </w:r>
    </w:p>
    <w:bookmarkEnd w:id="53"/>
    <w:p w14:paraId="7A26C61B" w14:textId="77777777" w:rsidR="00E40CFA" w:rsidRDefault="00E40CFA" w:rsidP="00E40CFA">
      <w:pPr>
        <w:spacing w:line="240" w:lineRule="auto"/>
        <w:contextualSpacing/>
      </w:pPr>
    </w:p>
    <w:p w14:paraId="0772077A" w14:textId="77777777" w:rsidR="00E40CFA" w:rsidRDefault="00E40CFA" w:rsidP="00E40CFA">
      <w:pPr>
        <w:spacing w:line="240" w:lineRule="auto"/>
        <w:contextualSpacing/>
      </w:pPr>
      <w:r>
        <w:t>Strategies:</w:t>
      </w:r>
    </w:p>
    <w:p w14:paraId="3C95909D" w14:textId="3CDF17F9" w:rsidR="00E40CFA" w:rsidRDefault="00E40CFA" w:rsidP="00E40CFA">
      <w:pPr>
        <w:pStyle w:val="ListParagraph"/>
        <w:numPr>
          <w:ilvl w:val="0"/>
          <w:numId w:val="48"/>
        </w:numPr>
        <w:spacing w:line="240" w:lineRule="auto"/>
      </w:pPr>
      <w:r>
        <w:t xml:space="preserve">Review Mackay, Isaac and Whitsunday regions </w:t>
      </w:r>
      <w:r w:rsidR="00A302D9">
        <w:t>h</w:t>
      </w:r>
      <w:r>
        <w:t xml:space="preserve">ospitality and </w:t>
      </w:r>
      <w:r w:rsidR="00A302D9">
        <w:t>t</w:t>
      </w:r>
      <w:r>
        <w:t>ourism industry to identify employers, the range of roles/jobs and immediate to mid-term job outcomes and map both the job demand and seasonable employment peaks and troughs (if any)</w:t>
      </w:r>
      <w:r w:rsidR="0068123A">
        <w:t>.</w:t>
      </w:r>
    </w:p>
    <w:p w14:paraId="50D9A0D7" w14:textId="31CBA61D" w:rsidR="00E40CFA" w:rsidRDefault="00E40CFA" w:rsidP="00E40CFA">
      <w:pPr>
        <w:pStyle w:val="ListParagraph"/>
        <w:numPr>
          <w:ilvl w:val="0"/>
          <w:numId w:val="48"/>
        </w:numPr>
        <w:spacing w:line="240" w:lineRule="auto"/>
      </w:pPr>
      <w:r>
        <w:t xml:space="preserve">For identified roles and jobs within </w:t>
      </w:r>
      <w:r w:rsidR="00A302D9">
        <w:t>h</w:t>
      </w:r>
      <w:r>
        <w:t xml:space="preserve">ospitality and </w:t>
      </w:r>
      <w:r w:rsidR="00A302D9">
        <w:t>t</w:t>
      </w:r>
      <w:r>
        <w:t>ourism, assess the minimum training, education, work experience, competency baselines and personal and physical attributes job seekers require to either enter or maintain sustainable employment within the industry and create defined job descriptions</w:t>
      </w:r>
      <w:r w:rsidR="0068123A">
        <w:t>.</w:t>
      </w:r>
    </w:p>
    <w:p w14:paraId="47FC2EB9" w14:textId="4B64AAE5" w:rsidR="00E40CFA" w:rsidRDefault="00E40CFA" w:rsidP="00E40CFA">
      <w:pPr>
        <w:pStyle w:val="ListParagraph"/>
        <w:numPr>
          <w:ilvl w:val="0"/>
          <w:numId w:val="48"/>
        </w:numPr>
        <w:spacing w:line="240" w:lineRule="auto"/>
      </w:pPr>
      <w:r>
        <w:t xml:space="preserve">Map the location of employers in the distinct Mackay, </w:t>
      </w:r>
      <w:r w:rsidR="00817C42">
        <w:t>Isaac,</w:t>
      </w:r>
      <w:r>
        <w:t xml:space="preserve"> and Whitsunday regions to direct L</w:t>
      </w:r>
      <w:r w:rsidR="00C21254">
        <w:t>JP</w:t>
      </w:r>
      <w:r>
        <w:t xml:space="preserve"> activities to the most appropriate location within the E</w:t>
      </w:r>
      <w:r w:rsidR="00C21254">
        <w:t>R</w:t>
      </w:r>
      <w:r w:rsidR="0068123A">
        <w:t>.</w:t>
      </w:r>
    </w:p>
    <w:p w14:paraId="30994826" w14:textId="4EC50FD0" w:rsidR="00E40CFA" w:rsidRDefault="00E40CFA" w:rsidP="00E40CFA">
      <w:pPr>
        <w:pStyle w:val="ListParagraph"/>
        <w:numPr>
          <w:ilvl w:val="0"/>
          <w:numId w:val="48"/>
        </w:numPr>
        <w:spacing w:line="240" w:lineRule="auto"/>
      </w:pPr>
      <w:r>
        <w:t>Identify the key stakeholders within the Mackay E</w:t>
      </w:r>
      <w:r w:rsidR="00C21254">
        <w:t>R</w:t>
      </w:r>
      <w:r>
        <w:t xml:space="preserve">, including employers, local, </w:t>
      </w:r>
      <w:r w:rsidR="00817C42">
        <w:t>state</w:t>
      </w:r>
      <w:r>
        <w:t xml:space="preserve"> and federal government agencies or departments, advocacy groups, professional associations</w:t>
      </w:r>
      <w:r w:rsidR="00A94A27">
        <w:t xml:space="preserve"> and</w:t>
      </w:r>
      <w:r>
        <w:t xml:space="preserve"> subject matter experts. Create a Mackay E</w:t>
      </w:r>
      <w:r w:rsidR="003743D3">
        <w:t>R</w:t>
      </w:r>
      <w:r>
        <w:t xml:space="preserve"> stakeholder engagement plan to ensure professional relationships are made with individuals/organisations who will guide and deliver successful L</w:t>
      </w:r>
      <w:r w:rsidR="003743D3">
        <w:t>JP</w:t>
      </w:r>
      <w:r>
        <w:t xml:space="preserve"> activities</w:t>
      </w:r>
      <w:r w:rsidR="0068123A">
        <w:t>.</w:t>
      </w:r>
      <w:r>
        <w:t xml:space="preserve"> </w:t>
      </w:r>
    </w:p>
    <w:p w14:paraId="0371A496" w14:textId="546345FC" w:rsidR="00E40CFA" w:rsidRDefault="00E40CFA" w:rsidP="00E40CFA">
      <w:pPr>
        <w:pStyle w:val="ListParagraph"/>
        <w:numPr>
          <w:ilvl w:val="0"/>
          <w:numId w:val="48"/>
        </w:numPr>
        <w:spacing w:line="240" w:lineRule="auto"/>
      </w:pPr>
      <w:r>
        <w:t xml:space="preserve">For identified roles in hospitality and tourism, determine knowledge, </w:t>
      </w:r>
      <w:r w:rsidR="00817C42">
        <w:t>skills,</w:t>
      </w:r>
      <w:r>
        <w:t xml:space="preserve"> and experience gaps in the Mackay ER’s jobactive cohort and map short to mid-term opportunities for employment</w:t>
      </w:r>
      <w:r w:rsidR="0068123A">
        <w:t>.</w:t>
      </w:r>
    </w:p>
    <w:p w14:paraId="39C3CC9C" w14:textId="77777777" w:rsidR="00E40CFA" w:rsidRDefault="00E40CFA" w:rsidP="00E40CFA"/>
    <w:p w14:paraId="2D27F415" w14:textId="77777777" w:rsidR="00E40CFA" w:rsidRDefault="00E40CFA">
      <w:pPr>
        <w:rPr>
          <w:rFonts w:ascii="Calibri" w:eastAsiaTheme="majorEastAsia" w:hAnsi="Calibri" w:cstheme="majorBidi"/>
          <w:b/>
          <w:bCs/>
          <w:color w:val="646363"/>
          <w:sz w:val="28"/>
          <w:szCs w:val="26"/>
        </w:rPr>
      </w:pPr>
      <w:r>
        <w:br w:type="page"/>
      </w:r>
    </w:p>
    <w:p w14:paraId="278D4667" w14:textId="5E1D3360" w:rsidR="00E40CFA" w:rsidRPr="007224E7" w:rsidRDefault="00E40CFA" w:rsidP="007224E7">
      <w:pPr>
        <w:pStyle w:val="BodyText"/>
        <w:rPr>
          <w:b/>
          <w:bCs/>
        </w:rPr>
      </w:pPr>
      <w:r w:rsidRPr="007224E7">
        <w:rPr>
          <w:b/>
          <w:bCs/>
        </w:rPr>
        <w:lastRenderedPageBreak/>
        <w:t xml:space="preserve">Priority Four: </w:t>
      </w:r>
      <w:r w:rsidR="007224E7" w:rsidRPr="007224E7">
        <w:rPr>
          <w:b/>
          <w:bCs/>
        </w:rPr>
        <w:t>Support jobseekers to upskill, train and gain appropriate work experience to build a job ready, skilled local workforce to meet manufacturing vacancies</w:t>
      </w:r>
    </w:p>
    <w:p w14:paraId="71D2AD10" w14:textId="78FC739A" w:rsidR="00E40CFA" w:rsidRDefault="00E40CFA" w:rsidP="00E40CFA">
      <w:pPr>
        <w:spacing w:line="240" w:lineRule="auto"/>
        <w:contextualSpacing/>
      </w:pPr>
      <w:r>
        <w:br/>
        <w:t xml:space="preserve">As the hub for Central </w:t>
      </w:r>
      <w:r w:rsidR="0068123A">
        <w:t>Q</w:t>
      </w:r>
      <w:r w:rsidR="009424D6">
        <w:t>ueensland</w:t>
      </w:r>
      <w:r>
        <w:t xml:space="preserve">’s agriculture, mining and commercial industries, </w:t>
      </w:r>
      <w:r w:rsidR="00A302D9">
        <w:t>m</w:t>
      </w:r>
      <w:r>
        <w:t>anufacturing is an important employer in the ER’s employment ecosystem. Manufacturers in the ER provide secondary and tertiary production of commercial goods or are the regional warehousing base for distribution to North Q</w:t>
      </w:r>
      <w:r w:rsidR="0097235C">
        <w:t>ueensland</w:t>
      </w:r>
      <w:r>
        <w:t xml:space="preserve">, supported by an army of warehouse, storage and distribution, road transport or courier, </w:t>
      </w:r>
      <w:r w:rsidR="00817C42">
        <w:t>driver</w:t>
      </w:r>
      <w:r>
        <w:t xml:space="preserve"> and postage personnel.    </w:t>
      </w:r>
    </w:p>
    <w:p w14:paraId="577EF913" w14:textId="77777777" w:rsidR="00E40CFA" w:rsidRDefault="00E40CFA" w:rsidP="00E40CFA">
      <w:pPr>
        <w:spacing w:line="240" w:lineRule="auto"/>
        <w:contextualSpacing/>
      </w:pPr>
    </w:p>
    <w:p w14:paraId="3A46423D" w14:textId="4BEDD188" w:rsidR="00E40CFA" w:rsidRDefault="0097235C" w:rsidP="00E40CFA">
      <w:pPr>
        <w:spacing w:line="240" w:lineRule="auto"/>
        <w:contextualSpacing/>
      </w:pPr>
      <w:bookmarkStart w:id="54" w:name="_Hlk78438165"/>
      <w:r>
        <w:t>This p</w:t>
      </w:r>
      <w:r w:rsidR="00E40CFA">
        <w:t>riority will support the growth of manufacturing jobs in the ER’s manufacturing sector by upskilling or training jobseekers to build a job ready, skilled local workforce, with a focus on providing appropriate work experience and qualifications to fulfill entry level packing, transport, warehouse and storage and distribution coordination roles</w:t>
      </w:r>
      <w:bookmarkEnd w:id="54"/>
      <w:r w:rsidR="00E40CFA">
        <w:t>.</w:t>
      </w:r>
    </w:p>
    <w:p w14:paraId="7F72CBCA" w14:textId="77777777" w:rsidR="00E40CFA" w:rsidRDefault="00E40CFA" w:rsidP="00E40CFA">
      <w:pPr>
        <w:spacing w:line="240" w:lineRule="auto"/>
        <w:contextualSpacing/>
      </w:pPr>
    </w:p>
    <w:p w14:paraId="3467E8B7" w14:textId="77777777" w:rsidR="00E40CFA" w:rsidRDefault="00E40CFA" w:rsidP="00E40CFA">
      <w:pPr>
        <w:spacing w:line="240" w:lineRule="auto"/>
        <w:contextualSpacing/>
      </w:pPr>
      <w:r>
        <w:t>Strategies:</w:t>
      </w:r>
    </w:p>
    <w:p w14:paraId="1157840F" w14:textId="69FB8871" w:rsidR="00E40CFA" w:rsidRDefault="00E40CFA" w:rsidP="00E40CFA">
      <w:pPr>
        <w:pStyle w:val="ListParagraph"/>
        <w:numPr>
          <w:ilvl w:val="0"/>
          <w:numId w:val="48"/>
        </w:numPr>
        <w:spacing w:line="240" w:lineRule="auto"/>
      </w:pPr>
      <w:r>
        <w:t xml:space="preserve">Review </w:t>
      </w:r>
      <w:r w:rsidR="00600067">
        <w:t>m</w:t>
      </w:r>
      <w:r>
        <w:t xml:space="preserve">anufacturing in the Mackay, </w:t>
      </w:r>
      <w:r w:rsidR="00817C42">
        <w:t>Isaac,</w:t>
      </w:r>
      <w:r>
        <w:t xml:space="preserve"> and Whitsunday regions to identify employers, the range of roles/jobs and immediate to mid-term job outcomes and map both the job demand and seasonable employment peaks and troughs (if any)</w:t>
      </w:r>
      <w:r w:rsidR="0068123A">
        <w:t>.</w:t>
      </w:r>
    </w:p>
    <w:p w14:paraId="6571E32D" w14:textId="79FBB1FA" w:rsidR="00E40CFA" w:rsidRDefault="00E40CFA" w:rsidP="00E40CFA">
      <w:pPr>
        <w:pStyle w:val="ListParagraph"/>
        <w:numPr>
          <w:ilvl w:val="0"/>
          <w:numId w:val="48"/>
        </w:numPr>
        <w:spacing w:line="240" w:lineRule="auto"/>
      </w:pPr>
      <w:r>
        <w:t xml:space="preserve">For identified roles and jobs within </w:t>
      </w:r>
      <w:r w:rsidR="00A302D9">
        <w:t>m</w:t>
      </w:r>
      <w:r>
        <w:t>anufacturing, assess the minimum training, education, work experience, competency baselines and personal and physical attributes job seekers require to either enter or maintain sustainable employment within the industry and create defined job descriptions</w:t>
      </w:r>
      <w:r w:rsidR="0068123A">
        <w:t>.</w:t>
      </w:r>
    </w:p>
    <w:p w14:paraId="5D252A3C" w14:textId="71AE4CAF" w:rsidR="00E40CFA" w:rsidRDefault="00E40CFA" w:rsidP="00E40CFA">
      <w:pPr>
        <w:pStyle w:val="ListParagraph"/>
        <w:numPr>
          <w:ilvl w:val="0"/>
          <w:numId w:val="48"/>
        </w:numPr>
        <w:spacing w:line="240" w:lineRule="auto"/>
      </w:pPr>
      <w:r>
        <w:t xml:space="preserve">Map the location of employers in the distinct Mackay, </w:t>
      </w:r>
      <w:r w:rsidR="00817C42">
        <w:t>Isaac,</w:t>
      </w:r>
      <w:r>
        <w:t xml:space="preserve"> and Whitsunday regions to direct L</w:t>
      </w:r>
      <w:r w:rsidR="009E5AC4">
        <w:t>JP</w:t>
      </w:r>
      <w:r>
        <w:t xml:space="preserve"> activities to the most appropriate location within the E</w:t>
      </w:r>
      <w:r w:rsidR="009E5AC4">
        <w:t>R</w:t>
      </w:r>
      <w:r w:rsidR="0068123A">
        <w:t>.</w:t>
      </w:r>
    </w:p>
    <w:p w14:paraId="75D2276B" w14:textId="205E28FA" w:rsidR="00E40CFA" w:rsidRDefault="00E40CFA" w:rsidP="00E40CFA">
      <w:pPr>
        <w:pStyle w:val="ListParagraph"/>
        <w:numPr>
          <w:ilvl w:val="0"/>
          <w:numId w:val="48"/>
        </w:numPr>
        <w:spacing w:line="240" w:lineRule="auto"/>
      </w:pPr>
      <w:r>
        <w:t>Identify the key stakeholders within the Mackay E</w:t>
      </w:r>
      <w:r w:rsidR="00546606">
        <w:t>R</w:t>
      </w:r>
      <w:r>
        <w:t xml:space="preserve">, including employers, local, </w:t>
      </w:r>
      <w:r w:rsidR="00817C42">
        <w:t>state,</w:t>
      </w:r>
      <w:r w:rsidR="00A302D9">
        <w:t xml:space="preserve"> </w:t>
      </w:r>
      <w:r>
        <w:t>and federal government agencies or departments, advocacy groups, professional associations</w:t>
      </w:r>
      <w:r w:rsidR="00F17D3F">
        <w:t xml:space="preserve"> and</w:t>
      </w:r>
      <w:r>
        <w:t xml:space="preserve"> subject matter experts. Create a Mackay E</w:t>
      </w:r>
      <w:r w:rsidR="00546606">
        <w:t>R</w:t>
      </w:r>
      <w:r>
        <w:t xml:space="preserve"> stakeholder engagement plan to ensure professional relationships are made with individuals/organisations who will guide and deliver successful L</w:t>
      </w:r>
      <w:r w:rsidR="00524B8A">
        <w:t>JP</w:t>
      </w:r>
      <w:r>
        <w:t xml:space="preserve"> activities</w:t>
      </w:r>
      <w:r w:rsidR="0068123A">
        <w:t>.</w:t>
      </w:r>
      <w:r>
        <w:t xml:space="preserve"> </w:t>
      </w:r>
    </w:p>
    <w:p w14:paraId="1A3F3C18" w14:textId="6FD8B966" w:rsidR="00E40CFA" w:rsidRDefault="00E40CFA" w:rsidP="00E40CFA">
      <w:pPr>
        <w:pStyle w:val="ListParagraph"/>
        <w:numPr>
          <w:ilvl w:val="0"/>
          <w:numId w:val="48"/>
        </w:numPr>
        <w:spacing w:line="240" w:lineRule="auto"/>
      </w:pPr>
      <w:r>
        <w:t xml:space="preserve">For identified roles in </w:t>
      </w:r>
      <w:r w:rsidR="0068123A">
        <w:t>m</w:t>
      </w:r>
      <w:r>
        <w:t xml:space="preserve">anufacturing, determine knowledge, </w:t>
      </w:r>
      <w:r w:rsidR="00817C42">
        <w:t>skills,</w:t>
      </w:r>
      <w:r>
        <w:t xml:space="preserve"> and experience gaps in the Mackay ER’s jobactive cohort and map short to mid-term opportunities for employment</w:t>
      </w:r>
      <w:r w:rsidR="0068123A">
        <w:t>.</w:t>
      </w:r>
    </w:p>
    <w:p w14:paraId="06F120E4" w14:textId="77777777" w:rsidR="00E40CFA" w:rsidRDefault="00E40CFA" w:rsidP="00E40CFA"/>
    <w:p w14:paraId="28AC599F" w14:textId="77777777" w:rsidR="00E40CFA" w:rsidRDefault="00E40CFA">
      <w:pPr>
        <w:rPr>
          <w:b/>
          <w:bCs/>
        </w:rPr>
      </w:pPr>
      <w:r>
        <w:rPr>
          <w:b/>
          <w:bCs/>
        </w:rPr>
        <w:br w:type="page"/>
      </w:r>
    </w:p>
    <w:p w14:paraId="279873F9" w14:textId="7474293A" w:rsidR="00871CA8" w:rsidRPr="00871CA8" w:rsidRDefault="00E40CFA" w:rsidP="00871CA8">
      <w:pPr>
        <w:pStyle w:val="BodyText"/>
        <w:rPr>
          <w:b/>
          <w:bCs/>
        </w:rPr>
      </w:pPr>
      <w:r w:rsidRPr="00871CA8">
        <w:rPr>
          <w:b/>
          <w:bCs/>
        </w:rPr>
        <w:lastRenderedPageBreak/>
        <w:t>Priority Five:</w:t>
      </w:r>
      <w:r w:rsidR="0068123A">
        <w:rPr>
          <w:b/>
          <w:bCs/>
        </w:rPr>
        <w:t xml:space="preserve"> </w:t>
      </w:r>
      <w:r w:rsidR="00871CA8">
        <w:rPr>
          <w:b/>
          <w:bCs/>
        </w:rPr>
        <w:t>P</w:t>
      </w:r>
      <w:r w:rsidR="00871CA8" w:rsidRPr="00871CA8">
        <w:rPr>
          <w:b/>
          <w:bCs/>
        </w:rPr>
        <w:t xml:space="preserve">rovide local people </w:t>
      </w:r>
      <w:r w:rsidR="00F3441E">
        <w:rPr>
          <w:b/>
          <w:bCs/>
        </w:rPr>
        <w:t xml:space="preserve">with </w:t>
      </w:r>
      <w:r w:rsidR="00871CA8" w:rsidRPr="00871CA8">
        <w:rPr>
          <w:b/>
          <w:bCs/>
        </w:rPr>
        <w:t>the skills, technical knowledge and work experience required to fulfill seasonal and ongoing roles in the ER’s agriculture and aquaculture industries.</w:t>
      </w:r>
    </w:p>
    <w:p w14:paraId="47337173" w14:textId="690F428E" w:rsidR="00E40CFA" w:rsidRDefault="00E40CFA" w:rsidP="00E40CFA">
      <w:pPr>
        <w:spacing w:line="240" w:lineRule="auto"/>
        <w:contextualSpacing/>
      </w:pPr>
      <w:r>
        <w:br/>
        <w:t xml:space="preserve">Agriculture in the Mackay ER is seasonal and employment opportunities are regionally based, with farms concentrated in distinct rural areas. </w:t>
      </w:r>
      <w:bookmarkStart w:id="55" w:name="_Hlk78438215"/>
      <w:r w:rsidR="00F3441E">
        <w:t>This p</w:t>
      </w:r>
      <w:r>
        <w:t>riority</w:t>
      </w:r>
      <w:r w:rsidR="00817C42">
        <w:t xml:space="preserve"> </w:t>
      </w:r>
      <w:r>
        <w:t xml:space="preserve">aims to provide local people </w:t>
      </w:r>
      <w:r w:rsidR="00FB26D2">
        <w:t xml:space="preserve">with </w:t>
      </w:r>
      <w:r>
        <w:t>the skills, technical knowledge and work experience required to fulfill regional agriculture jobs throughout the growing/primary production season/s. Jobseekers with appropriate transferrable skills will be identified and linked with employers to meet industry demand in both periods of high demand and longer-term sustainable employment for crop maintenance and/or secondary or tertiary primary production employment opportunities.</w:t>
      </w:r>
    </w:p>
    <w:p w14:paraId="1B941C2D" w14:textId="20C626DB" w:rsidR="00E40CFA" w:rsidRDefault="00E40CFA" w:rsidP="00E40CFA">
      <w:pPr>
        <w:spacing w:line="240" w:lineRule="auto"/>
        <w:contextualSpacing/>
      </w:pPr>
      <w:r>
        <w:br/>
        <w:t xml:space="preserve">Whilst a smaller subset of the ER’s agricultural industry, aquaculture is a growth industry and will provide sustainable employment for qualified individuals. </w:t>
      </w:r>
      <w:r w:rsidR="003E755E">
        <w:t>This p</w:t>
      </w:r>
      <w:r>
        <w:t>riority will support the growth of the region’s aquaculture sector by upskilling and re-training local jobseekers to access entry level careers and pathways to sustainable employment outcomes within the burgeoning marine farming sector.</w:t>
      </w:r>
    </w:p>
    <w:bookmarkEnd w:id="55"/>
    <w:p w14:paraId="5C0877A6" w14:textId="77777777" w:rsidR="00E40CFA" w:rsidRDefault="00E40CFA" w:rsidP="00E40CFA">
      <w:pPr>
        <w:spacing w:line="240" w:lineRule="auto"/>
        <w:contextualSpacing/>
      </w:pPr>
    </w:p>
    <w:p w14:paraId="1C09A432" w14:textId="2DD83F7D" w:rsidR="00E40CFA" w:rsidRDefault="00E40CFA" w:rsidP="00E40CFA">
      <w:pPr>
        <w:spacing w:line="240" w:lineRule="auto"/>
        <w:contextualSpacing/>
      </w:pPr>
      <w:r>
        <w:t>Strategies:</w:t>
      </w:r>
    </w:p>
    <w:p w14:paraId="38ECCE55" w14:textId="5756C8A0" w:rsidR="00E40CFA" w:rsidRDefault="00E40CFA" w:rsidP="00E40CFA">
      <w:pPr>
        <w:pStyle w:val="ListParagraph"/>
        <w:numPr>
          <w:ilvl w:val="0"/>
          <w:numId w:val="48"/>
        </w:numPr>
        <w:spacing w:line="240" w:lineRule="auto"/>
      </w:pPr>
      <w:r>
        <w:t xml:space="preserve">Review </w:t>
      </w:r>
      <w:r w:rsidR="00EE5152">
        <w:t>a</w:t>
      </w:r>
      <w:r>
        <w:t xml:space="preserve">griculture industries in the Mackay, </w:t>
      </w:r>
      <w:r w:rsidR="00817C42">
        <w:t>Isaac</w:t>
      </w:r>
      <w:r>
        <w:t xml:space="preserve"> and Whitsunday regions to identify employers, the range of roles/jobs and immediate to mid-term job outcomes and map both the job demand and seasonable employment peaks and troughs (if any)</w:t>
      </w:r>
      <w:r w:rsidR="00760CEC">
        <w:t>.</w:t>
      </w:r>
    </w:p>
    <w:p w14:paraId="6FB4673F" w14:textId="77B0EE30" w:rsidR="00E40CFA" w:rsidRDefault="00E40CFA" w:rsidP="00E40CFA">
      <w:pPr>
        <w:pStyle w:val="ListParagraph"/>
        <w:numPr>
          <w:ilvl w:val="0"/>
          <w:numId w:val="48"/>
        </w:numPr>
        <w:spacing w:line="240" w:lineRule="auto"/>
      </w:pPr>
      <w:r>
        <w:t xml:space="preserve">For identified roles and jobs within </w:t>
      </w:r>
      <w:r w:rsidR="00A302D9">
        <w:t>a</w:t>
      </w:r>
      <w:r>
        <w:t>griculture, assess the minimum training, education, work experience, competency baselines and personal and physical attributes job seekers require to either enter or maintain sustainable employment within the industry and create defined job descriptions</w:t>
      </w:r>
      <w:r w:rsidR="00760CEC">
        <w:t>.</w:t>
      </w:r>
    </w:p>
    <w:p w14:paraId="76E9C9F4" w14:textId="49476936" w:rsidR="00E40CFA" w:rsidRDefault="00E40CFA" w:rsidP="00E40CFA">
      <w:pPr>
        <w:pStyle w:val="ListParagraph"/>
        <w:numPr>
          <w:ilvl w:val="0"/>
          <w:numId w:val="48"/>
        </w:numPr>
        <w:spacing w:line="240" w:lineRule="auto"/>
      </w:pPr>
      <w:r>
        <w:t xml:space="preserve">Map the location of employers in the distinct Mackay, </w:t>
      </w:r>
      <w:r w:rsidR="00817C42">
        <w:t>Isaac</w:t>
      </w:r>
      <w:r>
        <w:t xml:space="preserve"> and Whitsunday regions to direct L</w:t>
      </w:r>
      <w:r w:rsidR="00115058">
        <w:t>JP</w:t>
      </w:r>
      <w:r>
        <w:t xml:space="preserve"> activities to the most appropriate location within the E</w:t>
      </w:r>
      <w:r w:rsidR="005E5DFD">
        <w:t>R</w:t>
      </w:r>
      <w:r w:rsidR="00760CEC">
        <w:t>.</w:t>
      </w:r>
    </w:p>
    <w:p w14:paraId="01F58F67" w14:textId="6A614627" w:rsidR="00E40CFA" w:rsidRDefault="00E40CFA" w:rsidP="00E40CFA">
      <w:pPr>
        <w:pStyle w:val="ListParagraph"/>
        <w:numPr>
          <w:ilvl w:val="0"/>
          <w:numId w:val="48"/>
        </w:numPr>
        <w:spacing w:line="240" w:lineRule="auto"/>
      </w:pPr>
      <w:r>
        <w:t>Identify the key stakeholders within the Mackay E</w:t>
      </w:r>
      <w:r w:rsidR="005E5DFD">
        <w:t>R</w:t>
      </w:r>
      <w:r>
        <w:t xml:space="preserve">, including employers, local, </w:t>
      </w:r>
      <w:r w:rsidR="00817C42">
        <w:t>state</w:t>
      </w:r>
      <w:r>
        <w:t xml:space="preserve"> and federal government agencies or departments, advocacy groups, professional associations</w:t>
      </w:r>
      <w:r w:rsidR="00EB1E33">
        <w:t xml:space="preserve"> and</w:t>
      </w:r>
      <w:r>
        <w:t xml:space="preserve"> subject matter experts. Create a Mackay E</w:t>
      </w:r>
      <w:r w:rsidR="005E5DFD">
        <w:t>R</w:t>
      </w:r>
      <w:r>
        <w:t xml:space="preserve"> stakeholder engagement plan to ensure professional relationships are made with individuals/organisations who will guide and deliver successful L</w:t>
      </w:r>
      <w:r w:rsidR="00CB4BB4">
        <w:t>JP</w:t>
      </w:r>
      <w:r>
        <w:t xml:space="preserve"> activities</w:t>
      </w:r>
      <w:r w:rsidR="00760CEC">
        <w:t>.</w:t>
      </w:r>
      <w:r>
        <w:t xml:space="preserve"> </w:t>
      </w:r>
    </w:p>
    <w:p w14:paraId="448B1C56" w14:textId="152CE9D4" w:rsidR="00E40CFA" w:rsidRDefault="00E40CFA" w:rsidP="00E40CFA">
      <w:pPr>
        <w:pStyle w:val="ListParagraph"/>
        <w:numPr>
          <w:ilvl w:val="0"/>
          <w:numId w:val="48"/>
        </w:numPr>
        <w:spacing w:line="240" w:lineRule="auto"/>
      </w:pPr>
      <w:r>
        <w:t xml:space="preserve">For identified </w:t>
      </w:r>
      <w:r w:rsidR="00CB4BB4">
        <w:t>a</w:t>
      </w:r>
      <w:r>
        <w:t xml:space="preserve">gricultural roles, determine knowledge, </w:t>
      </w:r>
      <w:r w:rsidR="00817C42">
        <w:t>skills,</w:t>
      </w:r>
      <w:r>
        <w:t xml:space="preserve"> and experience gaps in the Mackay ER’s jobactive cohort and map short to mid-term opportunities for employment</w:t>
      </w:r>
      <w:r w:rsidR="00760CEC">
        <w:t>.</w:t>
      </w:r>
    </w:p>
    <w:p w14:paraId="324F08D5" w14:textId="77777777" w:rsidR="001B4E5C" w:rsidRDefault="001B4E5C" w:rsidP="001B4E5C">
      <w:pPr>
        <w:rPr>
          <w:rFonts w:eastAsiaTheme="majorEastAsia" w:cstheme="minorHAnsi"/>
          <w:color w:val="104165" w:themeColor="accent1" w:themeShade="BF"/>
        </w:rPr>
      </w:pPr>
    </w:p>
    <w:p w14:paraId="321E36AD" w14:textId="72166122" w:rsidR="00552589" w:rsidRPr="003F55ED" w:rsidRDefault="00552589" w:rsidP="00552589"/>
    <w:p w14:paraId="4C244D3C" w14:textId="4B546DFA" w:rsidR="001B4E5C" w:rsidRPr="003F55ED" w:rsidRDefault="001B4E5C" w:rsidP="00552589">
      <w:r w:rsidRPr="003F55ED">
        <w:t xml:space="preserve"> </w:t>
      </w:r>
    </w:p>
    <w:sectPr w:rsidR="001B4E5C" w:rsidRPr="003F55ED" w:rsidSect="00E307C4">
      <w:footerReference w:type="even" r:id="rId28"/>
      <w:footerReference w:type="default" r:id="rId29"/>
      <w:pgSz w:w="11906" w:h="16838"/>
      <w:pgMar w:top="1276" w:right="1418" w:bottom="1135"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48981" w14:textId="77777777" w:rsidR="00B95534" w:rsidRDefault="00B95534" w:rsidP="009B031C">
      <w:r>
        <w:separator/>
      </w:r>
    </w:p>
  </w:endnote>
  <w:endnote w:type="continuationSeparator" w:id="0">
    <w:p w14:paraId="3413B19E" w14:textId="77777777" w:rsidR="00B95534" w:rsidRDefault="00B95534" w:rsidP="009B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A7C79623605747A9B1C631F7176AF38E"/>
      </w:placeholder>
      <w:temporary/>
      <w:showingPlcHdr/>
      <w15:appearance w15:val="hidden"/>
    </w:sdtPr>
    <w:sdtEndPr/>
    <w:sdtContent>
      <w:p w14:paraId="0AC68053" w14:textId="77777777" w:rsidR="00B95534" w:rsidRDefault="00B95534">
        <w:pPr>
          <w:pStyle w:val="Footer"/>
        </w:pPr>
        <w:r>
          <w:t>[Type here]</w:t>
        </w:r>
      </w:p>
    </w:sdtContent>
  </w:sdt>
  <w:p w14:paraId="56BB2D65" w14:textId="77777777" w:rsidR="00B95534" w:rsidRDefault="00B95534" w:rsidP="009B0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6143083"/>
      <w:docPartObj>
        <w:docPartGallery w:val="Page Numbers (Bottom of Page)"/>
        <w:docPartUnique/>
      </w:docPartObj>
    </w:sdtPr>
    <w:sdtEndPr>
      <w:rPr>
        <w:rStyle w:val="PageNumber"/>
      </w:rPr>
    </w:sdtEndPr>
    <w:sdtContent>
      <w:p w14:paraId="05254948" w14:textId="77777777" w:rsidR="00B95534" w:rsidRDefault="00B95534" w:rsidP="007D54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902C9" w14:textId="77777777" w:rsidR="00B95534" w:rsidRDefault="00B95534" w:rsidP="007D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5625664"/>
      <w:docPartObj>
        <w:docPartGallery w:val="Page Numbers (Bottom of Page)"/>
        <w:docPartUnique/>
      </w:docPartObj>
    </w:sdtPr>
    <w:sdtEndPr>
      <w:rPr>
        <w:rStyle w:val="PageNumber"/>
      </w:rPr>
    </w:sdtEndPr>
    <w:sdtContent>
      <w:p w14:paraId="1B340BDB" w14:textId="77777777" w:rsidR="00B95534" w:rsidRDefault="00B95534" w:rsidP="007D54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6B7902C" w14:textId="77777777" w:rsidR="00B95534" w:rsidRDefault="00B95534" w:rsidP="007D54A5">
    <w:pPr>
      <w:pStyle w:val="Footer"/>
      <w:ind w:right="360"/>
      <w:jc w:val="center"/>
      <w:rPr>
        <w:caps/>
        <w:noProof/>
        <w:color w:val="165788" w:themeColor="accent1"/>
      </w:rPr>
    </w:pPr>
  </w:p>
  <w:p w14:paraId="3B22C9FE" w14:textId="77777777" w:rsidR="00B95534" w:rsidRDefault="00B95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18A41" w14:textId="77777777" w:rsidR="00B95534" w:rsidRDefault="00B95534" w:rsidP="009B031C">
      <w:r>
        <w:separator/>
      </w:r>
    </w:p>
  </w:footnote>
  <w:footnote w:type="continuationSeparator" w:id="0">
    <w:p w14:paraId="5CF98B11" w14:textId="77777777" w:rsidR="00B95534" w:rsidRDefault="00B95534" w:rsidP="009B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C85AD" w14:textId="77777777" w:rsidR="00B95534" w:rsidRDefault="00B95534" w:rsidP="009B031C">
    <w:pPr>
      <w:pStyle w:val="Header"/>
    </w:pPr>
    <w:r>
      <w:rPr>
        <w:noProof/>
        <w:lang w:eastAsia="en-AU"/>
      </w:rPr>
      <w:drawing>
        <wp:anchor distT="0" distB="0" distL="114300" distR="114300" simplePos="0" relativeHeight="251659264" behindDoc="1" locked="0" layoutInCell="1" allowOverlap="1" wp14:anchorId="7ED42A98" wp14:editId="2C72F9FD">
          <wp:simplePos x="0" y="0"/>
          <wp:positionH relativeFrom="page">
            <wp:posOffset>118110</wp:posOffset>
          </wp:positionH>
          <wp:positionV relativeFrom="paragraph">
            <wp:posOffset>-442595</wp:posOffset>
          </wp:positionV>
          <wp:extent cx="7437528" cy="36108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8DF8B" w14:textId="77777777" w:rsidR="00B95534" w:rsidRDefault="00B95534" w:rsidP="009B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7EEE"/>
    <w:multiLevelType w:val="hybridMultilevel"/>
    <w:tmpl w:val="AED6BB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F7343"/>
    <w:multiLevelType w:val="multilevel"/>
    <w:tmpl w:val="2892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C6F93"/>
    <w:multiLevelType w:val="hybridMultilevel"/>
    <w:tmpl w:val="5D6C5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3498B"/>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77CFB"/>
    <w:multiLevelType w:val="hybridMultilevel"/>
    <w:tmpl w:val="732A6B58"/>
    <w:lvl w:ilvl="0" w:tplc="22AA47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6B13F51"/>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C6CC1"/>
    <w:multiLevelType w:val="hybridMultilevel"/>
    <w:tmpl w:val="C4740920"/>
    <w:lvl w:ilvl="0" w:tplc="5CBCEFD2">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1A329FF"/>
    <w:multiLevelType w:val="hybridMultilevel"/>
    <w:tmpl w:val="B3BC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DE7A9A"/>
    <w:multiLevelType w:val="hybridMultilevel"/>
    <w:tmpl w:val="AD229E0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34DC7"/>
    <w:multiLevelType w:val="hybridMultilevel"/>
    <w:tmpl w:val="29F40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7933AF"/>
    <w:multiLevelType w:val="multilevel"/>
    <w:tmpl w:val="10A6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A80A8A"/>
    <w:multiLevelType w:val="hybridMultilevel"/>
    <w:tmpl w:val="1DC69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D7B8A"/>
    <w:multiLevelType w:val="hybridMultilevel"/>
    <w:tmpl w:val="4A74B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8C377E"/>
    <w:multiLevelType w:val="hybridMultilevel"/>
    <w:tmpl w:val="404AE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47EDB"/>
    <w:multiLevelType w:val="multilevel"/>
    <w:tmpl w:val="EE72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1C7CA3"/>
    <w:multiLevelType w:val="hybridMultilevel"/>
    <w:tmpl w:val="A3FC9056"/>
    <w:lvl w:ilvl="0" w:tplc="14D455B4">
      <w:start w:val="1"/>
      <w:numFmt w:val="decimal"/>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BB4719"/>
    <w:multiLevelType w:val="hybridMultilevel"/>
    <w:tmpl w:val="B37E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EB04F3"/>
    <w:multiLevelType w:val="hybridMultilevel"/>
    <w:tmpl w:val="D50E0620"/>
    <w:lvl w:ilvl="0" w:tplc="41C0D310">
      <w:start w:val="1"/>
      <w:numFmt w:val="decimal"/>
      <w:lvlText w:val="%1."/>
      <w:lvlJc w:val="left"/>
      <w:pPr>
        <w:ind w:left="720"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B24380"/>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4A7DDB"/>
    <w:multiLevelType w:val="hybridMultilevel"/>
    <w:tmpl w:val="0F42D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55700C"/>
    <w:multiLevelType w:val="hybridMultilevel"/>
    <w:tmpl w:val="BDE80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F562D6"/>
    <w:multiLevelType w:val="hybridMultilevel"/>
    <w:tmpl w:val="D00E2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5C61BF"/>
    <w:multiLevelType w:val="hybridMultilevel"/>
    <w:tmpl w:val="4B4E7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164C61"/>
    <w:multiLevelType w:val="hybridMultilevel"/>
    <w:tmpl w:val="E926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F76349"/>
    <w:multiLevelType w:val="multilevel"/>
    <w:tmpl w:val="8342F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13792A"/>
    <w:multiLevelType w:val="multilevel"/>
    <w:tmpl w:val="2D323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BF4AE2"/>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3030C2"/>
    <w:multiLevelType w:val="hybridMultilevel"/>
    <w:tmpl w:val="E73451E8"/>
    <w:lvl w:ilvl="0" w:tplc="864EBF4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99912A1"/>
    <w:multiLevelType w:val="hybridMultilevel"/>
    <w:tmpl w:val="A744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483ED5"/>
    <w:multiLevelType w:val="hybridMultilevel"/>
    <w:tmpl w:val="AEB01C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B173E40"/>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8670A8"/>
    <w:multiLevelType w:val="hybridMultilevel"/>
    <w:tmpl w:val="6212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133D86"/>
    <w:multiLevelType w:val="hybridMultilevel"/>
    <w:tmpl w:val="5BB0E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FD49FD"/>
    <w:multiLevelType w:val="hybridMultilevel"/>
    <w:tmpl w:val="778E0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EE41EB"/>
    <w:multiLevelType w:val="hybridMultilevel"/>
    <w:tmpl w:val="11D0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897445"/>
    <w:multiLevelType w:val="multilevel"/>
    <w:tmpl w:val="0E148252"/>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2F536B"/>
    <w:multiLevelType w:val="hybridMultilevel"/>
    <w:tmpl w:val="E756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3A4299"/>
    <w:multiLevelType w:val="hybridMultilevel"/>
    <w:tmpl w:val="4ECC799C"/>
    <w:lvl w:ilvl="0" w:tplc="5CBCEFD2">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1602BF"/>
    <w:multiLevelType w:val="hybridMultilevel"/>
    <w:tmpl w:val="1BBEA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B07FD5"/>
    <w:multiLevelType w:val="hybridMultilevel"/>
    <w:tmpl w:val="BD1E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DC2E2F"/>
    <w:multiLevelType w:val="hybridMultilevel"/>
    <w:tmpl w:val="8BB6584C"/>
    <w:lvl w:ilvl="0" w:tplc="14D455B4">
      <w:start w:val="1"/>
      <w:numFmt w:val="decimal"/>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A40955"/>
    <w:multiLevelType w:val="hybridMultilevel"/>
    <w:tmpl w:val="3F90D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E342BA"/>
    <w:multiLevelType w:val="hybridMultilevel"/>
    <w:tmpl w:val="21368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310879"/>
    <w:multiLevelType w:val="hybridMultilevel"/>
    <w:tmpl w:val="56AC8054"/>
    <w:lvl w:ilvl="0" w:tplc="BA6EA85A">
      <w:start w:val="1"/>
      <w:numFmt w:val="bullet"/>
      <w:lvlText w:val=""/>
      <w:lvlJc w:val="left"/>
      <w:pPr>
        <w:ind w:left="720" w:hanging="360"/>
      </w:pPr>
      <w:rPr>
        <w:rFonts w:ascii="Symbol" w:hAnsi="Symbol" w:hint="default"/>
      </w:rPr>
    </w:lvl>
    <w:lvl w:ilvl="1" w:tplc="08CA6D92">
      <w:start w:val="1"/>
      <w:numFmt w:val="bullet"/>
      <w:lvlText w:val="o"/>
      <w:lvlJc w:val="left"/>
      <w:pPr>
        <w:ind w:left="1440" w:hanging="360"/>
      </w:pPr>
      <w:rPr>
        <w:rFonts w:ascii="Courier New" w:hAnsi="Courier New" w:hint="default"/>
      </w:rPr>
    </w:lvl>
    <w:lvl w:ilvl="2" w:tplc="EB90A74E">
      <w:start w:val="1"/>
      <w:numFmt w:val="bullet"/>
      <w:lvlText w:val=""/>
      <w:lvlJc w:val="left"/>
      <w:pPr>
        <w:ind w:left="2160" w:hanging="360"/>
      </w:pPr>
      <w:rPr>
        <w:rFonts w:ascii="Wingdings" w:hAnsi="Wingdings" w:hint="default"/>
      </w:rPr>
    </w:lvl>
    <w:lvl w:ilvl="3" w:tplc="0CFC7D8A">
      <w:start w:val="1"/>
      <w:numFmt w:val="bullet"/>
      <w:lvlText w:val=""/>
      <w:lvlJc w:val="left"/>
      <w:pPr>
        <w:ind w:left="2880" w:hanging="360"/>
      </w:pPr>
      <w:rPr>
        <w:rFonts w:ascii="Symbol" w:hAnsi="Symbol" w:hint="default"/>
      </w:rPr>
    </w:lvl>
    <w:lvl w:ilvl="4" w:tplc="B2EA6598">
      <w:start w:val="1"/>
      <w:numFmt w:val="bullet"/>
      <w:lvlText w:val="o"/>
      <w:lvlJc w:val="left"/>
      <w:pPr>
        <w:ind w:left="3600" w:hanging="360"/>
      </w:pPr>
      <w:rPr>
        <w:rFonts w:ascii="Courier New" w:hAnsi="Courier New" w:hint="default"/>
      </w:rPr>
    </w:lvl>
    <w:lvl w:ilvl="5" w:tplc="CE0899DC">
      <w:start w:val="1"/>
      <w:numFmt w:val="bullet"/>
      <w:lvlText w:val=""/>
      <w:lvlJc w:val="left"/>
      <w:pPr>
        <w:ind w:left="4320" w:hanging="360"/>
      </w:pPr>
      <w:rPr>
        <w:rFonts w:ascii="Wingdings" w:hAnsi="Wingdings" w:hint="default"/>
      </w:rPr>
    </w:lvl>
    <w:lvl w:ilvl="6" w:tplc="FCDE6D52">
      <w:start w:val="1"/>
      <w:numFmt w:val="bullet"/>
      <w:lvlText w:val=""/>
      <w:lvlJc w:val="left"/>
      <w:pPr>
        <w:ind w:left="5040" w:hanging="360"/>
      </w:pPr>
      <w:rPr>
        <w:rFonts w:ascii="Symbol" w:hAnsi="Symbol" w:hint="default"/>
      </w:rPr>
    </w:lvl>
    <w:lvl w:ilvl="7" w:tplc="5532E4F2">
      <w:start w:val="1"/>
      <w:numFmt w:val="bullet"/>
      <w:lvlText w:val="o"/>
      <w:lvlJc w:val="left"/>
      <w:pPr>
        <w:ind w:left="5760" w:hanging="360"/>
      </w:pPr>
      <w:rPr>
        <w:rFonts w:ascii="Courier New" w:hAnsi="Courier New" w:hint="default"/>
      </w:rPr>
    </w:lvl>
    <w:lvl w:ilvl="8" w:tplc="B68A4BE6">
      <w:start w:val="1"/>
      <w:numFmt w:val="bullet"/>
      <w:lvlText w:val=""/>
      <w:lvlJc w:val="left"/>
      <w:pPr>
        <w:ind w:left="6480" w:hanging="360"/>
      </w:pPr>
      <w:rPr>
        <w:rFonts w:ascii="Wingdings" w:hAnsi="Wingdings" w:hint="default"/>
      </w:rPr>
    </w:lvl>
  </w:abstractNum>
  <w:abstractNum w:abstractNumId="48" w15:restartNumberingAfterBreak="0">
    <w:nsid w:val="7EE90FEE"/>
    <w:multiLevelType w:val="multilevel"/>
    <w:tmpl w:val="90AC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num>
  <w:num w:numId="6">
    <w:abstractNumId w:val="34"/>
  </w:num>
  <w:num w:numId="7">
    <w:abstractNumId w:val="40"/>
  </w:num>
  <w:num w:numId="8">
    <w:abstractNumId w:val="4"/>
  </w:num>
  <w:num w:numId="9">
    <w:abstractNumId w:val="28"/>
  </w:num>
  <w:num w:numId="10">
    <w:abstractNumId w:val="1"/>
  </w:num>
  <w:num w:numId="11">
    <w:abstractNumId w:val="48"/>
  </w:num>
  <w:num w:numId="12">
    <w:abstractNumId w:val="12"/>
  </w:num>
  <w:num w:numId="13">
    <w:abstractNumId w:val="16"/>
  </w:num>
  <w:num w:numId="14">
    <w:abstractNumId w:val="39"/>
  </w:num>
  <w:num w:numId="15">
    <w:abstractNumId w:val="20"/>
  </w:num>
  <w:num w:numId="16">
    <w:abstractNumId w:val="6"/>
  </w:num>
  <w:num w:numId="17">
    <w:abstractNumId w:val="30"/>
  </w:num>
  <w:num w:numId="18">
    <w:abstractNumId w:val="3"/>
  </w:num>
  <w:num w:numId="19">
    <w:abstractNumId w:val="38"/>
  </w:num>
  <w:num w:numId="20">
    <w:abstractNumId w:val="13"/>
  </w:num>
  <w:num w:numId="21">
    <w:abstractNumId w:val="37"/>
  </w:num>
  <w:num w:numId="22">
    <w:abstractNumId w:val="32"/>
  </w:num>
  <w:num w:numId="23">
    <w:abstractNumId w:val="9"/>
  </w:num>
  <w:num w:numId="24">
    <w:abstractNumId w:val="46"/>
  </w:num>
  <w:num w:numId="25">
    <w:abstractNumId w:val="18"/>
  </w:num>
  <w:num w:numId="26">
    <w:abstractNumId w:val="21"/>
  </w:num>
  <w:num w:numId="27">
    <w:abstractNumId w:val="10"/>
  </w:num>
  <w:num w:numId="28">
    <w:abstractNumId w:val="35"/>
  </w:num>
  <w:num w:numId="29">
    <w:abstractNumId w:val="19"/>
  </w:num>
  <w:num w:numId="30">
    <w:abstractNumId w:val="47"/>
  </w:num>
  <w:num w:numId="31">
    <w:abstractNumId w:val="2"/>
  </w:num>
  <w:num w:numId="32">
    <w:abstractNumId w:val="24"/>
  </w:num>
  <w:num w:numId="33">
    <w:abstractNumId w:val="11"/>
  </w:num>
  <w:num w:numId="34">
    <w:abstractNumId w:val="43"/>
  </w:num>
  <w:num w:numId="35">
    <w:abstractNumId w:val="0"/>
  </w:num>
  <w:num w:numId="36">
    <w:abstractNumId w:val="17"/>
  </w:num>
  <w:num w:numId="37">
    <w:abstractNumId w:val="7"/>
  </w:num>
  <w:num w:numId="38">
    <w:abstractNumId w:val="23"/>
  </w:num>
  <w:num w:numId="39">
    <w:abstractNumId w:val="44"/>
  </w:num>
  <w:num w:numId="40">
    <w:abstractNumId w:val="41"/>
  </w:num>
  <w:num w:numId="41">
    <w:abstractNumId w:val="31"/>
  </w:num>
  <w:num w:numId="42">
    <w:abstractNumId w:val="45"/>
  </w:num>
  <w:num w:numId="43">
    <w:abstractNumId w:val="15"/>
  </w:num>
  <w:num w:numId="44">
    <w:abstractNumId w:val="14"/>
  </w:num>
  <w:num w:numId="45">
    <w:abstractNumId w:val="22"/>
  </w:num>
  <w:num w:numId="46">
    <w:abstractNumId w:val="42"/>
  </w:num>
  <w:num w:numId="47">
    <w:abstractNumId w:val="33"/>
  </w:num>
  <w:num w:numId="48">
    <w:abstractNumId w:val="25"/>
  </w:num>
  <w:num w:numId="49">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B35FF7"/>
    <w:rsid w:val="00000B20"/>
    <w:rsid w:val="00001EEF"/>
    <w:rsid w:val="00002721"/>
    <w:rsid w:val="0000411F"/>
    <w:rsid w:val="00004982"/>
    <w:rsid w:val="00006138"/>
    <w:rsid w:val="00006877"/>
    <w:rsid w:val="0001162A"/>
    <w:rsid w:val="000121DC"/>
    <w:rsid w:val="0001251C"/>
    <w:rsid w:val="00014055"/>
    <w:rsid w:val="00016284"/>
    <w:rsid w:val="00017DF8"/>
    <w:rsid w:val="00024E24"/>
    <w:rsid w:val="0002700E"/>
    <w:rsid w:val="00031081"/>
    <w:rsid w:val="00034EAA"/>
    <w:rsid w:val="000360FF"/>
    <w:rsid w:val="00037372"/>
    <w:rsid w:val="00042276"/>
    <w:rsid w:val="00053A09"/>
    <w:rsid w:val="00056CF0"/>
    <w:rsid w:val="000653F7"/>
    <w:rsid w:val="00066C6C"/>
    <w:rsid w:val="0007537A"/>
    <w:rsid w:val="00077125"/>
    <w:rsid w:val="00081C31"/>
    <w:rsid w:val="00085410"/>
    <w:rsid w:val="000861A6"/>
    <w:rsid w:val="00092420"/>
    <w:rsid w:val="00097F26"/>
    <w:rsid w:val="000A53A8"/>
    <w:rsid w:val="000A609D"/>
    <w:rsid w:val="000A6FBB"/>
    <w:rsid w:val="000A7E3F"/>
    <w:rsid w:val="000B02C7"/>
    <w:rsid w:val="000B3F28"/>
    <w:rsid w:val="000B682E"/>
    <w:rsid w:val="000C3D58"/>
    <w:rsid w:val="000D43B0"/>
    <w:rsid w:val="000E4EB6"/>
    <w:rsid w:val="000E6FBB"/>
    <w:rsid w:val="000F03DC"/>
    <w:rsid w:val="000F3111"/>
    <w:rsid w:val="000F3BA2"/>
    <w:rsid w:val="00100680"/>
    <w:rsid w:val="0010546D"/>
    <w:rsid w:val="00105968"/>
    <w:rsid w:val="00115058"/>
    <w:rsid w:val="001175BF"/>
    <w:rsid w:val="00126C4D"/>
    <w:rsid w:val="00130923"/>
    <w:rsid w:val="001414F3"/>
    <w:rsid w:val="00142903"/>
    <w:rsid w:val="00143FCD"/>
    <w:rsid w:val="00145346"/>
    <w:rsid w:val="00151455"/>
    <w:rsid w:val="00155C5B"/>
    <w:rsid w:val="00155F97"/>
    <w:rsid w:val="001569D1"/>
    <w:rsid w:val="00183990"/>
    <w:rsid w:val="00183E9E"/>
    <w:rsid w:val="00190523"/>
    <w:rsid w:val="00191EC4"/>
    <w:rsid w:val="001A08EE"/>
    <w:rsid w:val="001A21F9"/>
    <w:rsid w:val="001B4E5C"/>
    <w:rsid w:val="001B4F9C"/>
    <w:rsid w:val="001B6467"/>
    <w:rsid w:val="001C07B1"/>
    <w:rsid w:val="001C37A1"/>
    <w:rsid w:val="001C3FEA"/>
    <w:rsid w:val="001C52DB"/>
    <w:rsid w:val="001E6B89"/>
    <w:rsid w:val="001F5532"/>
    <w:rsid w:val="002016B2"/>
    <w:rsid w:val="00202145"/>
    <w:rsid w:val="00202AFF"/>
    <w:rsid w:val="002035B1"/>
    <w:rsid w:val="00206EC2"/>
    <w:rsid w:val="00207566"/>
    <w:rsid w:val="00215220"/>
    <w:rsid w:val="00215834"/>
    <w:rsid w:val="00221FA3"/>
    <w:rsid w:val="00222F8C"/>
    <w:rsid w:val="00223219"/>
    <w:rsid w:val="00223EB1"/>
    <w:rsid w:val="002301B7"/>
    <w:rsid w:val="00234D16"/>
    <w:rsid w:val="00236917"/>
    <w:rsid w:val="00243980"/>
    <w:rsid w:val="002439F1"/>
    <w:rsid w:val="002508C9"/>
    <w:rsid w:val="00251790"/>
    <w:rsid w:val="00253A0E"/>
    <w:rsid w:val="00253C85"/>
    <w:rsid w:val="00256C99"/>
    <w:rsid w:val="00256DEF"/>
    <w:rsid w:val="00261C66"/>
    <w:rsid w:val="00262867"/>
    <w:rsid w:val="00275F23"/>
    <w:rsid w:val="00276230"/>
    <w:rsid w:val="00276236"/>
    <w:rsid w:val="002800AE"/>
    <w:rsid w:val="0029144C"/>
    <w:rsid w:val="00293094"/>
    <w:rsid w:val="00295119"/>
    <w:rsid w:val="002963AB"/>
    <w:rsid w:val="002A3944"/>
    <w:rsid w:val="002A3F96"/>
    <w:rsid w:val="002B06E6"/>
    <w:rsid w:val="002B3304"/>
    <w:rsid w:val="002B37E3"/>
    <w:rsid w:val="002B424B"/>
    <w:rsid w:val="002B4E2A"/>
    <w:rsid w:val="002D01B4"/>
    <w:rsid w:val="002D271F"/>
    <w:rsid w:val="002D40C8"/>
    <w:rsid w:val="002D5705"/>
    <w:rsid w:val="002D6386"/>
    <w:rsid w:val="002E0666"/>
    <w:rsid w:val="002E7A75"/>
    <w:rsid w:val="002F1C10"/>
    <w:rsid w:val="002F2A39"/>
    <w:rsid w:val="002F2BAE"/>
    <w:rsid w:val="002F52ED"/>
    <w:rsid w:val="002F7230"/>
    <w:rsid w:val="00300230"/>
    <w:rsid w:val="00301B4C"/>
    <w:rsid w:val="003040A9"/>
    <w:rsid w:val="00305B35"/>
    <w:rsid w:val="00310C1A"/>
    <w:rsid w:val="003242B9"/>
    <w:rsid w:val="003253A0"/>
    <w:rsid w:val="003273FB"/>
    <w:rsid w:val="00330FCC"/>
    <w:rsid w:val="00337EF9"/>
    <w:rsid w:val="00343C3D"/>
    <w:rsid w:val="00346F3C"/>
    <w:rsid w:val="003530F9"/>
    <w:rsid w:val="003531F8"/>
    <w:rsid w:val="003555F5"/>
    <w:rsid w:val="003616B4"/>
    <w:rsid w:val="00362D16"/>
    <w:rsid w:val="003641B3"/>
    <w:rsid w:val="00366DE5"/>
    <w:rsid w:val="00367387"/>
    <w:rsid w:val="003740C9"/>
    <w:rsid w:val="003743D3"/>
    <w:rsid w:val="00380167"/>
    <w:rsid w:val="00381553"/>
    <w:rsid w:val="00385348"/>
    <w:rsid w:val="0039101A"/>
    <w:rsid w:val="00392106"/>
    <w:rsid w:val="003926DB"/>
    <w:rsid w:val="00395C58"/>
    <w:rsid w:val="00395EF4"/>
    <w:rsid w:val="0039623A"/>
    <w:rsid w:val="003A31C8"/>
    <w:rsid w:val="003B4963"/>
    <w:rsid w:val="003B6180"/>
    <w:rsid w:val="003B664E"/>
    <w:rsid w:val="003C39D6"/>
    <w:rsid w:val="003C7843"/>
    <w:rsid w:val="003D67FC"/>
    <w:rsid w:val="003E755E"/>
    <w:rsid w:val="003F4927"/>
    <w:rsid w:val="003F55ED"/>
    <w:rsid w:val="003F5BBA"/>
    <w:rsid w:val="003F613D"/>
    <w:rsid w:val="003F71DF"/>
    <w:rsid w:val="003F7272"/>
    <w:rsid w:val="003F7850"/>
    <w:rsid w:val="00405581"/>
    <w:rsid w:val="00406E5A"/>
    <w:rsid w:val="00414A57"/>
    <w:rsid w:val="00422E68"/>
    <w:rsid w:val="00431AE1"/>
    <w:rsid w:val="00441119"/>
    <w:rsid w:val="00444B29"/>
    <w:rsid w:val="00444D9A"/>
    <w:rsid w:val="0045092B"/>
    <w:rsid w:val="00454761"/>
    <w:rsid w:val="00455760"/>
    <w:rsid w:val="00455B34"/>
    <w:rsid w:val="00461B56"/>
    <w:rsid w:val="00467B88"/>
    <w:rsid w:val="00470A0C"/>
    <w:rsid w:val="00472B94"/>
    <w:rsid w:val="00474810"/>
    <w:rsid w:val="00474EB9"/>
    <w:rsid w:val="00475A64"/>
    <w:rsid w:val="00476682"/>
    <w:rsid w:val="00481304"/>
    <w:rsid w:val="0048762C"/>
    <w:rsid w:val="00487D0D"/>
    <w:rsid w:val="004967B6"/>
    <w:rsid w:val="004A06B4"/>
    <w:rsid w:val="004A6448"/>
    <w:rsid w:val="004A719A"/>
    <w:rsid w:val="004B256F"/>
    <w:rsid w:val="004B450A"/>
    <w:rsid w:val="004B65C3"/>
    <w:rsid w:val="004C11CA"/>
    <w:rsid w:val="004D09D7"/>
    <w:rsid w:val="004D3C3C"/>
    <w:rsid w:val="004E2B1A"/>
    <w:rsid w:val="004E53AA"/>
    <w:rsid w:val="004F30F8"/>
    <w:rsid w:val="005007D8"/>
    <w:rsid w:val="005025B1"/>
    <w:rsid w:val="00507C99"/>
    <w:rsid w:val="005113B6"/>
    <w:rsid w:val="005146EF"/>
    <w:rsid w:val="0052349E"/>
    <w:rsid w:val="00524B8A"/>
    <w:rsid w:val="00525C00"/>
    <w:rsid w:val="00531817"/>
    <w:rsid w:val="0053493F"/>
    <w:rsid w:val="00540E22"/>
    <w:rsid w:val="0054253B"/>
    <w:rsid w:val="005435CF"/>
    <w:rsid w:val="00544C0F"/>
    <w:rsid w:val="005462C3"/>
    <w:rsid w:val="00546606"/>
    <w:rsid w:val="00552589"/>
    <w:rsid w:val="00554050"/>
    <w:rsid w:val="00556F06"/>
    <w:rsid w:val="00557988"/>
    <w:rsid w:val="00560CA0"/>
    <w:rsid w:val="00562455"/>
    <w:rsid w:val="005624F3"/>
    <w:rsid w:val="0056601F"/>
    <w:rsid w:val="00570E4A"/>
    <w:rsid w:val="0057452D"/>
    <w:rsid w:val="00575845"/>
    <w:rsid w:val="005811EF"/>
    <w:rsid w:val="00594D7F"/>
    <w:rsid w:val="00595A71"/>
    <w:rsid w:val="00597283"/>
    <w:rsid w:val="005A0C44"/>
    <w:rsid w:val="005A74CB"/>
    <w:rsid w:val="005B0878"/>
    <w:rsid w:val="005B1C11"/>
    <w:rsid w:val="005B6043"/>
    <w:rsid w:val="005C15C0"/>
    <w:rsid w:val="005C2253"/>
    <w:rsid w:val="005C3C43"/>
    <w:rsid w:val="005C7C59"/>
    <w:rsid w:val="005D6406"/>
    <w:rsid w:val="005E5DFD"/>
    <w:rsid w:val="005E790E"/>
    <w:rsid w:val="005E7A41"/>
    <w:rsid w:val="005F2F3D"/>
    <w:rsid w:val="00600067"/>
    <w:rsid w:val="00600375"/>
    <w:rsid w:val="006045FA"/>
    <w:rsid w:val="00610654"/>
    <w:rsid w:val="006266AF"/>
    <w:rsid w:val="00631ECB"/>
    <w:rsid w:val="00632BBC"/>
    <w:rsid w:val="006363BD"/>
    <w:rsid w:val="00636A85"/>
    <w:rsid w:val="00640614"/>
    <w:rsid w:val="00643BF4"/>
    <w:rsid w:val="006442E6"/>
    <w:rsid w:val="00650074"/>
    <w:rsid w:val="00650E0B"/>
    <w:rsid w:val="006512B4"/>
    <w:rsid w:val="00661707"/>
    <w:rsid w:val="00663649"/>
    <w:rsid w:val="0066370A"/>
    <w:rsid w:val="0067026C"/>
    <w:rsid w:val="006707E8"/>
    <w:rsid w:val="00677A5D"/>
    <w:rsid w:val="0068123A"/>
    <w:rsid w:val="0069103B"/>
    <w:rsid w:val="00691833"/>
    <w:rsid w:val="0069493F"/>
    <w:rsid w:val="006963A1"/>
    <w:rsid w:val="006A098B"/>
    <w:rsid w:val="006A5E1C"/>
    <w:rsid w:val="006A6ABD"/>
    <w:rsid w:val="006B0D62"/>
    <w:rsid w:val="006B406B"/>
    <w:rsid w:val="006C364C"/>
    <w:rsid w:val="006C499E"/>
    <w:rsid w:val="006C6E25"/>
    <w:rsid w:val="006E16F9"/>
    <w:rsid w:val="006E2202"/>
    <w:rsid w:val="006E256A"/>
    <w:rsid w:val="006E2D49"/>
    <w:rsid w:val="006E372A"/>
    <w:rsid w:val="006E6C38"/>
    <w:rsid w:val="006E730D"/>
    <w:rsid w:val="006F071E"/>
    <w:rsid w:val="006F1047"/>
    <w:rsid w:val="006F227C"/>
    <w:rsid w:val="006F346A"/>
    <w:rsid w:val="006F3694"/>
    <w:rsid w:val="006F3CCC"/>
    <w:rsid w:val="006F46F2"/>
    <w:rsid w:val="006F7628"/>
    <w:rsid w:val="00700E8B"/>
    <w:rsid w:val="007016E3"/>
    <w:rsid w:val="00702CA5"/>
    <w:rsid w:val="00704E28"/>
    <w:rsid w:val="00712C92"/>
    <w:rsid w:val="00715B5D"/>
    <w:rsid w:val="00716CDB"/>
    <w:rsid w:val="007224E7"/>
    <w:rsid w:val="00725E70"/>
    <w:rsid w:val="00730C40"/>
    <w:rsid w:val="00733095"/>
    <w:rsid w:val="00740250"/>
    <w:rsid w:val="00740C8B"/>
    <w:rsid w:val="00742A91"/>
    <w:rsid w:val="007468C2"/>
    <w:rsid w:val="007468FC"/>
    <w:rsid w:val="007471E4"/>
    <w:rsid w:val="00747F0D"/>
    <w:rsid w:val="007529FD"/>
    <w:rsid w:val="007546A3"/>
    <w:rsid w:val="00760CEC"/>
    <w:rsid w:val="00764625"/>
    <w:rsid w:val="007650F8"/>
    <w:rsid w:val="00765125"/>
    <w:rsid w:val="00775992"/>
    <w:rsid w:val="00777DE9"/>
    <w:rsid w:val="00780769"/>
    <w:rsid w:val="00780F00"/>
    <w:rsid w:val="00792CA3"/>
    <w:rsid w:val="007A5DB4"/>
    <w:rsid w:val="007B0390"/>
    <w:rsid w:val="007B2FDD"/>
    <w:rsid w:val="007B310E"/>
    <w:rsid w:val="007B49ED"/>
    <w:rsid w:val="007C0D44"/>
    <w:rsid w:val="007C0E5E"/>
    <w:rsid w:val="007D4631"/>
    <w:rsid w:val="007D54A5"/>
    <w:rsid w:val="007E1ADA"/>
    <w:rsid w:val="007E58D9"/>
    <w:rsid w:val="007F15C0"/>
    <w:rsid w:val="007F220A"/>
    <w:rsid w:val="007F22F2"/>
    <w:rsid w:val="007F2614"/>
    <w:rsid w:val="007F712A"/>
    <w:rsid w:val="008012BF"/>
    <w:rsid w:val="008069BA"/>
    <w:rsid w:val="00810372"/>
    <w:rsid w:val="00811BB5"/>
    <w:rsid w:val="00812EED"/>
    <w:rsid w:val="008141D6"/>
    <w:rsid w:val="008163EB"/>
    <w:rsid w:val="0081715D"/>
    <w:rsid w:val="0081782E"/>
    <w:rsid w:val="00817C42"/>
    <w:rsid w:val="00823B15"/>
    <w:rsid w:val="0082434E"/>
    <w:rsid w:val="00824A42"/>
    <w:rsid w:val="0083468A"/>
    <w:rsid w:val="00842D43"/>
    <w:rsid w:val="00854BFB"/>
    <w:rsid w:val="00855CB9"/>
    <w:rsid w:val="00856D1C"/>
    <w:rsid w:val="008664FA"/>
    <w:rsid w:val="00871CA8"/>
    <w:rsid w:val="00876AC0"/>
    <w:rsid w:val="00877DC9"/>
    <w:rsid w:val="00877EA6"/>
    <w:rsid w:val="00882398"/>
    <w:rsid w:val="0089093F"/>
    <w:rsid w:val="00892735"/>
    <w:rsid w:val="00894480"/>
    <w:rsid w:val="008A2376"/>
    <w:rsid w:val="008A259F"/>
    <w:rsid w:val="008B39F3"/>
    <w:rsid w:val="008B69C0"/>
    <w:rsid w:val="008C3832"/>
    <w:rsid w:val="008C3BCF"/>
    <w:rsid w:val="008D0BB9"/>
    <w:rsid w:val="008D0C54"/>
    <w:rsid w:val="008D2703"/>
    <w:rsid w:val="008D6904"/>
    <w:rsid w:val="008E3257"/>
    <w:rsid w:val="008E7B25"/>
    <w:rsid w:val="008F0311"/>
    <w:rsid w:val="008F101A"/>
    <w:rsid w:val="008F3483"/>
    <w:rsid w:val="009116EA"/>
    <w:rsid w:val="00914D91"/>
    <w:rsid w:val="009164B1"/>
    <w:rsid w:val="009218B4"/>
    <w:rsid w:val="00921ADC"/>
    <w:rsid w:val="00926288"/>
    <w:rsid w:val="00927E8B"/>
    <w:rsid w:val="00933671"/>
    <w:rsid w:val="00935DA6"/>
    <w:rsid w:val="009424D6"/>
    <w:rsid w:val="00942A55"/>
    <w:rsid w:val="00942BA7"/>
    <w:rsid w:val="0094720E"/>
    <w:rsid w:val="00947E2F"/>
    <w:rsid w:val="009508B8"/>
    <w:rsid w:val="00953B75"/>
    <w:rsid w:val="009579C3"/>
    <w:rsid w:val="00961F8F"/>
    <w:rsid w:val="00962270"/>
    <w:rsid w:val="00963FC1"/>
    <w:rsid w:val="00966166"/>
    <w:rsid w:val="0097057C"/>
    <w:rsid w:val="0097235C"/>
    <w:rsid w:val="00972DD5"/>
    <w:rsid w:val="00973B8B"/>
    <w:rsid w:val="00976443"/>
    <w:rsid w:val="00977DBA"/>
    <w:rsid w:val="00980839"/>
    <w:rsid w:val="00984879"/>
    <w:rsid w:val="00985632"/>
    <w:rsid w:val="00991B63"/>
    <w:rsid w:val="00997333"/>
    <w:rsid w:val="009A0D3F"/>
    <w:rsid w:val="009A487D"/>
    <w:rsid w:val="009B031C"/>
    <w:rsid w:val="009B2428"/>
    <w:rsid w:val="009B5CB7"/>
    <w:rsid w:val="009B7CDA"/>
    <w:rsid w:val="009C437B"/>
    <w:rsid w:val="009D1F0D"/>
    <w:rsid w:val="009D3023"/>
    <w:rsid w:val="009D454F"/>
    <w:rsid w:val="009D5512"/>
    <w:rsid w:val="009D57F5"/>
    <w:rsid w:val="009E3CB8"/>
    <w:rsid w:val="009E45AB"/>
    <w:rsid w:val="009E5AC4"/>
    <w:rsid w:val="009F393F"/>
    <w:rsid w:val="009F6268"/>
    <w:rsid w:val="009F7437"/>
    <w:rsid w:val="009F7742"/>
    <w:rsid w:val="00A02487"/>
    <w:rsid w:val="00A140E1"/>
    <w:rsid w:val="00A16DC9"/>
    <w:rsid w:val="00A246B6"/>
    <w:rsid w:val="00A302D9"/>
    <w:rsid w:val="00A31242"/>
    <w:rsid w:val="00A35EA3"/>
    <w:rsid w:val="00A36E76"/>
    <w:rsid w:val="00A42A67"/>
    <w:rsid w:val="00A46764"/>
    <w:rsid w:val="00A46CF5"/>
    <w:rsid w:val="00A46F92"/>
    <w:rsid w:val="00A5226E"/>
    <w:rsid w:val="00A52530"/>
    <w:rsid w:val="00A54AB2"/>
    <w:rsid w:val="00A551BF"/>
    <w:rsid w:val="00A61653"/>
    <w:rsid w:val="00A70524"/>
    <w:rsid w:val="00A73406"/>
    <w:rsid w:val="00A8086F"/>
    <w:rsid w:val="00A82714"/>
    <w:rsid w:val="00A86394"/>
    <w:rsid w:val="00A90773"/>
    <w:rsid w:val="00A94A27"/>
    <w:rsid w:val="00AA423A"/>
    <w:rsid w:val="00AA527A"/>
    <w:rsid w:val="00AA616C"/>
    <w:rsid w:val="00AA7130"/>
    <w:rsid w:val="00AB51B5"/>
    <w:rsid w:val="00AC4B34"/>
    <w:rsid w:val="00AC65DA"/>
    <w:rsid w:val="00AC68CC"/>
    <w:rsid w:val="00AE15D9"/>
    <w:rsid w:val="00AE7E2C"/>
    <w:rsid w:val="00AF374D"/>
    <w:rsid w:val="00AF7517"/>
    <w:rsid w:val="00B02B37"/>
    <w:rsid w:val="00B15CA5"/>
    <w:rsid w:val="00B2289B"/>
    <w:rsid w:val="00B23EFF"/>
    <w:rsid w:val="00B2722A"/>
    <w:rsid w:val="00B305EC"/>
    <w:rsid w:val="00B325E0"/>
    <w:rsid w:val="00B332D0"/>
    <w:rsid w:val="00B35FF7"/>
    <w:rsid w:val="00B54B4D"/>
    <w:rsid w:val="00B550F6"/>
    <w:rsid w:val="00B5673D"/>
    <w:rsid w:val="00B57D59"/>
    <w:rsid w:val="00B618BA"/>
    <w:rsid w:val="00B66C3E"/>
    <w:rsid w:val="00B6733E"/>
    <w:rsid w:val="00B76FA3"/>
    <w:rsid w:val="00B808BF"/>
    <w:rsid w:val="00B81B63"/>
    <w:rsid w:val="00B82D38"/>
    <w:rsid w:val="00B8323F"/>
    <w:rsid w:val="00B83EC0"/>
    <w:rsid w:val="00B8419B"/>
    <w:rsid w:val="00B86CDE"/>
    <w:rsid w:val="00B87C62"/>
    <w:rsid w:val="00B9296B"/>
    <w:rsid w:val="00B949E6"/>
    <w:rsid w:val="00B954F7"/>
    <w:rsid w:val="00B95534"/>
    <w:rsid w:val="00BA6C1B"/>
    <w:rsid w:val="00BB037D"/>
    <w:rsid w:val="00BB3014"/>
    <w:rsid w:val="00BB4263"/>
    <w:rsid w:val="00BB525F"/>
    <w:rsid w:val="00BB5E91"/>
    <w:rsid w:val="00BC030D"/>
    <w:rsid w:val="00BC0A63"/>
    <w:rsid w:val="00BC16CC"/>
    <w:rsid w:val="00BC29DD"/>
    <w:rsid w:val="00BC762D"/>
    <w:rsid w:val="00BD12D8"/>
    <w:rsid w:val="00BD277E"/>
    <w:rsid w:val="00BD4BFF"/>
    <w:rsid w:val="00BE0BED"/>
    <w:rsid w:val="00BE1B51"/>
    <w:rsid w:val="00BE2B14"/>
    <w:rsid w:val="00BE3273"/>
    <w:rsid w:val="00C00A8B"/>
    <w:rsid w:val="00C03238"/>
    <w:rsid w:val="00C05E74"/>
    <w:rsid w:val="00C10C19"/>
    <w:rsid w:val="00C15BFE"/>
    <w:rsid w:val="00C21254"/>
    <w:rsid w:val="00C30968"/>
    <w:rsid w:val="00C30C74"/>
    <w:rsid w:val="00C33586"/>
    <w:rsid w:val="00C34E32"/>
    <w:rsid w:val="00C352E3"/>
    <w:rsid w:val="00C35F9B"/>
    <w:rsid w:val="00C4290C"/>
    <w:rsid w:val="00C44E00"/>
    <w:rsid w:val="00C4590E"/>
    <w:rsid w:val="00C47E48"/>
    <w:rsid w:val="00C51E46"/>
    <w:rsid w:val="00C54E11"/>
    <w:rsid w:val="00C5649C"/>
    <w:rsid w:val="00C601ED"/>
    <w:rsid w:val="00C6192A"/>
    <w:rsid w:val="00C62265"/>
    <w:rsid w:val="00C628A8"/>
    <w:rsid w:val="00C653B8"/>
    <w:rsid w:val="00C753EE"/>
    <w:rsid w:val="00C75486"/>
    <w:rsid w:val="00C75A3D"/>
    <w:rsid w:val="00C7703A"/>
    <w:rsid w:val="00C77F8D"/>
    <w:rsid w:val="00C81B67"/>
    <w:rsid w:val="00C8202C"/>
    <w:rsid w:val="00C83037"/>
    <w:rsid w:val="00C90F2A"/>
    <w:rsid w:val="00C91B75"/>
    <w:rsid w:val="00C92A5B"/>
    <w:rsid w:val="00CA46EC"/>
    <w:rsid w:val="00CA6C70"/>
    <w:rsid w:val="00CB0CED"/>
    <w:rsid w:val="00CB1BDE"/>
    <w:rsid w:val="00CB4BB4"/>
    <w:rsid w:val="00CB6894"/>
    <w:rsid w:val="00CB7C30"/>
    <w:rsid w:val="00CC1C42"/>
    <w:rsid w:val="00CC799F"/>
    <w:rsid w:val="00CD1267"/>
    <w:rsid w:val="00CE1569"/>
    <w:rsid w:val="00CE1786"/>
    <w:rsid w:val="00CE77BB"/>
    <w:rsid w:val="00CF4911"/>
    <w:rsid w:val="00CF6D5E"/>
    <w:rsid w:val="00D10187"/>
    <w:rsid w:val="00D1394D"/>
    <w:rsid w:val="00D153AA"/>
    <w:rsid w:val="00D1683D"/>
    <w:rsid w:val="00D25492"/>
    <w:rsid w:val="00D3108D"/>
    <w:rsid w:val="00D31E8D"/>
    <w:rsid w:val="00D32552"/>
    <w:rsid w:val="00D34C11"/>
    <w:rsid w:val="00D42166"/>
    <w:rsid w:val="00D42293"/>
    <w:rsid w:val="00D42AE8"/>
    <w:rsid w:val="00D442AE"/>
    <w:rsid w:val="00D45CE5"/>
    <w:rsid w:val="00D564EE"/>
    <w:rsid w:val="00D575BA"/>
    <w:rsid w:val="00D62139"/>
    <w:rsid w:val="00D633CD"/>
    <w:rsid w:val="00D666BD"/>
    <w:rsid w:val="00D75EBB"/>
    <w:rsid w:val="00D83326"/>
    <w:rsid w:val="00D85A53"/>
    <w:rsid w:val="00D87814"/>
    <w:rsid w:val="00D903FD"/>
    <w:rsid w:val="00D919D9"/>
    <w:rsid w:val="00D94BC5"/>
    <w:rsid w:val="00D96C08"/>
    <w:rsid w:val="00DB034D"/>
    <w:rsid w:val="00DB385F"/>
    <w:rsid w:val="00DB5605"/>
    <w:rsid w:val="00DC4AE5"/>
    <w:rsid w:val="00DC6660"/>
    <w:rsid w:val="00DD16A7"/>
    <w:rsid w:val="00DD25E0"/>
    <w:rsid w:val="00DD2FB1"/>
    <w:rsid w:val="00DD5C4E"/>
    <w:rsid w:val="00DD6169"/>
    <w:rsid w:val="00DE2991"/>
    <w:rsid w:val="00DF15DF"/>
    <w:rsid w:val="00DF2FA8"/>
    <w:rsid w:val="00E00604"/>
    <w:rsid w:val="00E04528"/>
    <w:rsid w:val="00E06016"/>
    <w:rsid w:val="00E06617"/>
    <w:rsid w:val="00E077F9"/>
    <w:rsid w:val="00E11FBF"/>
    <w:rsid w:val="00E17B21"/>
    <w:rsid w:val="00E24DBD"/>
    <w:rsid w:val="00E307C4"/>
    <w:rsid w:val="00E32B6D"/>
    <w:rsid w:val="00E40CFA"/>
    <w:rsid w:val="00E43A7B"/>
    <w:rsid w:val="00E44672"/>
    <w:rsid w:val="00E47E42"/>
    <w:rsid w:val="00E56F10"/>
    <w:rsid w:val="00E5753D"/>
    <w:rsid w:val="00E57856"/>
    <w:rsid w:val="00E62B11"/>
    <w:rsid w:val="00E65AE3"/>
    <w:rsid w:val="00E700AF"/>
    <w:rsid w:val="00E71DC3"/>
    <w:rsid w:val="00E74270"/>
    <w:rsid w:val="00E77BEF"/>
    <w:rsid w:val="00E962B3"/>
    <w:rsid w:val="00EA27F2"/>
    <w:rsid w:val="00EA45B7"/>
    <w:rsid w:val="00EA65FC"/>
    <w:rsid w:val="00EB1E33"/>
    <w:rsid w:val="00EB2D49"/>
    <w:rsid w:val="00EB33DD"/>
    <w:rsid w:val="00EB53C5"/>
    <w:rsid w:val="00EB682E"/>
    <w:rsid w:val="00EC61F6"/>
    <w:rsid w:val="00EC7F89"/>
    <w:rsid w:val="00ED43D2"/>
    <w:rsid w:val="00EE2381"/>
    <w:rsid w:val="00EE3B8C"/>
    <w:rsid w:val="00EE5152"/>
    <w:rsid w:val="00EE6BEA"/>
    <w:rsid w:val="00EF214C"/>
    <w:rsid w:val="00EF4A38"/>
    <w:rsid w:val="00EF4DE9"/>
    <w:rsid w:val="00EF5E90"/>
    <w:rsid w:val="00F00B51"/>
    <w:rsid w:val="00F01C3D"/>
    <w:rsid w:val="00F0257A"/>
    <w:rsid w:val="00F05869"/>
    <w:rsid w:val="00F0683D"/>
    <w:rsid w:val="00F105C4"/>
    <w:rsid w:val="00F16519"/>
    <w:rsid w:val="00F16AE1"/>
    <w:rsid w:val="00F17D3F"/>
    <w:rsid w:val="00F21715"/>
    <w:rsid w:val="00F23A1E"/>
    <w:rsid w:val="00F275E1"/>
    <w:rsid w:val="00F331E3"/>
    <w:rsid w:val="00F3441E"/>
    <w:rsid w:val="00F34FCE"/>
    <w:rsid w:val="00F36796"/>
    <w:rsid w:val="00F4045B"/>
    <w:rsid w:val="00F50414"/>
    <w:rsid w:val="00F5719C"/>
    <w:rsid w:val="00F61352"/>
    <w:rsid w:val="00F651CB"/>
    <w:rsid w:val="00F65C20"/>
    <w:rsid w:val="00F6673B"/>
    <w:rsid w:val="00F673DA"/>
    <w:rsid w:val="00F74445"/>
    <w:rsid w:val="00F83721"/>
    <w:rsid w:val="00F83DB7"/>
    <w:rsid w:val="00F845C7"/>
    <w:rsid w:val="00F86405"/>
    <w:rsid w:val="00F874D5"/>
    <w:rsid w:val="00F94417"/>
    <w:rsid w:val="00F94DB1"/>
    <w:rsid w:val="00FA1D74"/>
    <w:rsid w:val="00FA207C"/>
    <w:rsid w:val="00FA2667"/>
    <w:rsid w:val="00FA2C85"/>
    <w:rsid w:val="00FB10CB"/>
    <w:rsid w:val="00FB26D2"/>
    <w:rsid w:val="00FB36D4"/>
    <w:rsid w:val="00FB69FF"/>
    <w:rsid w:val="00FC182F"/>
    <w:rsid w:val="00FC55DB"/>
    <w:rsid w:val="00FC5C75"/>
    <w:rsid w:val="00FD0644"/>
    <w:rsid w:val="00FD09E7"/>
    <w:rsid w:val="00FD2030"/>
    <w:rsid w:val="00FD2715"/>
    <w:rsid w:val="00FD32A1"/>
    <w:rsid w:val="00FD4EE0"/>
    <w:rsid w:val="00FD50E4"/>
    <w:rsid w:val="00FD7E5E"/>
    <w:rsid w:val="00FE09B3"/>
    <w:rsid w:val="00FE0B45"/>
    <w:rsid w:val="00FE4798"/>
    <w:rsid w:val="00FF0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656E2"/>
  <w15:docId w15:val="{9F13F49C-F63F-4513-A6CC-55F966D2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FB"/>
    <w:rPr>
      <w:lang w:val="en"/>
    </w:rPr>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lang w:val="en-AU"/>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ind w:left="369" w:hanging="369"/>
      <w:contextualSpacing/>
    </w:pPr>
  </w:style>
  <w:style w:type="paragraph" w:styleId="ListBullet2">
    <w:name w:val="List Bullet 2"/>
    <w:basedOn w:val="Normal"/>
    <w:uiPriority w:val="99"/>
    <w:unhideWhenUsed/>
    <w:qFormat/>
    <w:rsid w:val="00CA46EC"/>
    <w:pPr>
      <w:numPr>
        <w:ilvl w:val="1"/>
        <w:numId w:val="2"/>
      </w:numPr>
      <w:spacing w:after="120"/>
      <w:ind w:left="766" w:hanging="369"/>
      <w:contextualSpacing/>
    </w:pPr>
  </w:style>
  <w:style w:type="paragraph" w:styleId="ListBullet3">
    <w:name w:val="List Bullet 3"/>
    <w:basedOn w:val="Normal"/>
    <w:uiPriority w:val="99"/>
    <w:unhideWhenUsed/>
    <w:qFormat/>
    <w:rsid w:val="00CA46EC"/>
    <w:pPr>
      <w:numPr>
        <w:ilvl w:val="2"/>
        <w:numId w:val="2"/>
      </w:numPr>
      <w:spacing w:after="120"/>
      <w:ind w:left="1163" w:hanging="369"/>
      <w:contextualSpacing/>
    </w:pPr>
  </w:style>
  <w:style w:type="paragraph" w:styleId="ListBullet4">
    <w:name w:val="List Bullet 4"/>
    <w:basedOn w:val="Normal"/>
    <w:uiPriority w:val="99"/>
    <w:unhideWhenUsed/>
    <w:qFormat/>
    <w:rsid w:val="00CA46EC"/>
    <w:pPr>
      <w:numPr>
        <w:ilvl w:val="3"/>
        <w:numId w:val="2"/>
      </w:numPr>
      <w:spacing w:after="120"/>
      <w:ind w:left="1503" w:hanging="369"/>
      <w:contextualSpacing/>
    </w:pPr>
  </w:style>
  <w:style w:type="table" w:styleId="TableGrid">
    <w:name w:val="Table Grid"/>
    <w:aliases w:val="NRSB Table"/>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uiPriority w:val="1"/>
    <w:qFormat/>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styleId="UnresolvedMention">
    <w:name w:val="Unresolved Mention"/>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uiPriority w:val="99"/>
    <w:qFormat/>
    <w:rsid w:val="009B7CDA"/>
    <w:pPr>
      <w:spacing w:before="120" w:after="120" w:line="240" w:lineRule="auto"/>
    </w:pPr>
    <w:rPr>
      <w:rFonts w:ascii="Calibri" w:eastAsiaTheme="minorHAnsi" w:hAnsi="Calibri"/>
      <w:sz w:val="18"/>
      <w:szCs w:val="20"/>
      <w:lang w:val="en-AU"/>
    </w:rPr>
  </w:style>
  <w:style w:type="character" w:customStyle="1" w:styleId="FootnoteTextChar">
    <w:name w:val="Footnote Text Char"/>
    <w:basedOn w:val="DefaultParagraphFont"/>
    <w:link w:val="FootnoteText"/>
    <w:uiPriority w:val="99"/>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lang w:val="en-AU"/>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lang w:val="en-AU"/>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lang w:val="en-AU"/>
    </w:rPr>
  </w:style>
  <w:style w:type="paragraph" w:customStyle="1" w:styleId="BoxHeading-Recommendation">
    <w:name w:val="Box Heading - Recommendation"/>
    <w:qFormat/>
    <w:rsid w:val="009B7CDA"/>
    <w:pPr>
      <w:numPr>
        <w:numId w:val="4"/>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lang w:val="en-AU"/>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lang w:val="en-AU"/>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lang w:val="en-AU"/>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lang w:val="en-AU"/>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lang w:val="en-AU"/>
    </w:rPr>
  </w:style>
  <w:style w:type="paragraph" w:customStyle="1" w:styleId="TableBody">
    <w:name w:val="Table Body"/>
    <w:basedOn w:val="Normal"/>
    <w:qFormat/>
    <w:rsid w:val="003273FB"/>
    <w:pPr>
      <w:spacing w:before="120" w:after="40" w:line="240" w:lineRule="auto"/>
    </w:pPr>
    <w:rPr>
      <w:rFonts w:ascii="Calibri" w:eastAsia="Calibri" w:hAnsi="Calibri" w:cs="Times New Roman"/>
      <w:lang w:val="en-AU"/>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qFormat/>
    <w:rsid w:val="00E307C4"/>
    <w:rPr>
      <w:lang w:val="en"/>
    </w:rPr>
  </w:style>
  <w:style w:type="table" w:customStyle="1" w:styleId="DESE">
    <w:name w:val="DESE"/>
    <w:basedOn w:val="TableNormal"/>
    <w:uiPriority w:val="99"/>
    <w:rsid w:val="00E307C4"/>
    <w:pPr>
      <w:spacing w:before="100" w:beforeAutospacing="1" w:after="100" w:afterAutospacing="1"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7F7F7F" w:themeColor="background1"/>
      </w:rPr>
      <w:tblPr/>
      <w:tcPr>
        <w:shd w:val="clear" w:color="auto" w:fill="165788" w:themeFill="text2"/>
      </w:tcPr>
    </w:tblStylePr>
    <w:tblStylePr w:type="firstCol">
      <w:rPr>
        <w:b w:val="0"/>
      </w:rPr>
    </w:tblStylePr>
    <w:tblStylePr w:type="nwCell">
      <w:rPr>
        <w:b w:val="0"/>
      </w:rPr>
    </w:tblStylePr>
  </w:style>
  <w:style w:type="character" w:styleId="PageNumber">
    <w:name w:val="page number"/>
    <w:basedOn w:val="DefaultParagraphFont"/>
    <w:uiPriority w:val="99"/>
    <w:semiHidden/>
    <w:unhideWhenUsed/>
    <w:rsid w:val="00E307C4"/>
  </w:style>
  <w:style w:type="character" w:customStyle="1" w:styleId="TitleChar1">
    <w:name w:val="Title Char1"/>
    <w:basedOn w:val="DefaultParagraphFont"/>
    <w:uiPriority w:val="10"/>
    <w:rsid w:val="00EF214C"/>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EF214C"/>
    <w:rPr>
      <w:color w:val="605E5C"/>
      <w:shd w:val="clear" w:color="auto" w:fill="E1DFDD"/>
    </w:rPr>
  </w:style>
  <w:style w:type="table" w:customStyle="1" w:styleId="TableGrid1">
    <w:name w:val="Table Grid1"/>
    <w:basedOn w:val="TableNormal"/>
    <w:next w:val="TableGrid"/>
    <w:uiPriority w:val="59"/>
    <w:rsid w:val="00EF214C"/>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EF214C"/>
    <w:pPr>
      <w:widowControl w:val="0"/>
      <w:autoSpaceDE w:val="0"/>
      <w:autoSpaceDN w:val="0"/>
      <w:spacing w:before="35" w:after="0" w:line="240" w:lineRule="auto"/>
      <w:jc w:val="right"/>
    </w:pPr>
    <w:rPr>
      <w:rFonts w:ascii="Arial" w:eastAsia="Arial" w:hAnsi="Arial" w:cs="Arial"/>
      <w:lang w:val="en-US"/>
    </w:rPr>
  </w:style>
  <w:style w:type="paragraph" w:styleId="NormalWeb">
    <w:name w:val="Normal (Web)"/>
    <w:basedOn w:val="Normal"/>
    <w:uiPriority w:val="99"/>
    <w:semiHidden/>
    <w:unhideWhenUsed/>
    <w:rsid w:val="00EF214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DarkList-Accent6">
    <w:name w:val="Dark List Accent 6"/>
    <w:basedOn w:val="TableNormal"/>
    <w:uiPriority w:val="70"/>
    <w:rsid w:val="00EF214C"/>
    <w:pPr>
      <w:spacing w:after="0" w:line="240" w:lineRule="auto"/>
    </w:pPr>
    <w:rPr>
      <w:rFonts w:eastAsiaTheme="minorHAnsi"/>
      <w:color w:val="7F7F7F" w:themeColor="background1"/>
    </w:rPr>
    <w:tblPr>
      <w:tblStyleRowBandSize w:val="1"/>
      <w:tblStyleColBandSize w:val="1"/>
    </w:tblPr>
    <w:tcPr>
      <w:shd w:val="clear" w:color="auto" w:fill="A75534" w:themeFill="accent6"/>
    </w:tcPr>
    <w:tblStylePr w:type="firstRow">
      <w:rPr>
        <w:b/>
        <w:bCs/>
      </w:rPr>
      <w:tblPr/>
      <w:tcPr>
        <w:tcBorders>
          <w:top w:val="nil"/>
          <w:left w:val="nil"/>
          <w:bottom w:val="single" w:sz="18" w:space="0" w:color="7F7F7F" w:themeColor="background1"/>
          <w:right w:val="nil"/>
          <w:insideH w:val="nil"/>
          <w:insideV w:val="nil"/>
        </w:tcBorders>
        <w:shd w:val="clear" w:color="auto" w:fill="000000" w:themeFill="text1"/>
      </w:tcPr>
    </w:tblStylePr>
    <w:tblStylePr w:type="lastRow">
      <w:tblPr/>
      <w:tcPr>
        <w:tcBorders>
          <w:top w:val="single" w:sz="18" w:space="0" w:color="7F7F7F" w:themeColor="background1"/>
          <w:left w:val="nil"/>
          <w:bottom w:val="nil"/>
          <w:right w:val="nil"/>
          <w:insideH w:val="nil"/>
          <w:insideV w:val="nil"/>
        </w:tcBorders>
        <w:shd w:val="clear" w:color="auto" w:fill="532A1A" w:themeFill="accent6" w:themeFillShade="7F"/>
      </w:tcPr>
    </w:tblStylePr>
    <w:tblStylePr w:type="firstCol">
      <w:tblPr/>
      <w:tcPr>
        <w:tcBorders>
          <w:top w:val="nil"/>
          <w:left w:val="nil"/>
          <w:bottom w:val="nil"/>
          <w:right w:val="single" w:sz="18" w:space="0" w:color="7F7F7F" w:themeColor="background1"/>
          <w:insideH w:val="nil"/>
          <w:insideV w:val="nil"/>
        </w:tcBorders>
        <w:shd w:val="clear" w:color="auto" w:fill="7D3F27" w:themeFill="accent6" w:themeFillShade="BF"/>
      </w:tcPr>
    </w:tblStylePr>
    <w:tblStylePr w:type="lastCol">
      <w:tblPr/>
      <w:tcPr>
        <w:tcBorders>
          <w:top w:val="nil"/>
          <w:left w:val="single" w:sz="18" w:space="0" w:color="7F7F7F" w:themeColor="background1"/>
          <w:bottom w:val="nil"/>
          <w:right w:val="nil"/>
          <w:insideH w:val="nil"/>
          <w:insideV w:val="nil"/>
        </w:tcBorders>
        <w:shd w:val="clear" w:color="auto" w:fill="7D3F27" w:themeFill="accent6" w:themeFillShade="BF"/>
      </w:tcPr>
    </w:tblStylePr>
    <w:tblStylePr w:type="band1Vert">
      <w:tblPr/>
      <w:tcPr>
        <w:tcBorders>
          <w:top w:val="nil"/>
          <w:left w:val="nil"/>
          <w:bottom w:val="nil"/>
          <w:right w:val="nil"/>
          <w:insideH w:val="nil"/>
          <w:insideV w:val="nil"/>
        </w:tcBorders>
        <w:shd w:val="clear" w:color="auto" w:fill="7D3F27" w:themeFill="accent6" w:themeFillShade="BF"/>
      </w:tcPr>
    </w:tblStylePr>
    <w:tblStylePr w:type="band1Horz">
      <w:tblPr/>
      <w:tcPr>
        <w:tcBorders>
          <w:top w:val="nil"/>
          <w:left w:val="nil"/>
          <w:bottom w:val="nil"/>
          <w:right w:val="nil"/>
          <w:insideH w:val="nil"/>
          <w:insideV w:val="nil"/>
        </w:tcBorders>
        <w:shd w:val="clear" w:color="auto" w:fill="7D3F27" w:themeFill="accent6"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esbt.qld.gov.au/__data/assets/pdf_file/0011/11027/tafe-infrastructure-plan-mackay.pdf"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yperlink" Target="https://www.csq.org.au/major-projects-explorer/explore-by-reg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saac.qld.gov.au"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mackay.qld.gov.au" TargetMode="External"/><Relationship Id="rId20" Type="http://schemas.openxmlformats.org/officeDocument/2006/relationships/hyperlink" Target="https://www.qgso.qld.gov.au/issues/3366/bowen-basin-population-report-2019.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lmip.gov.au/default.aspx?LMIP/GainInsights/VacancyRepor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mip.gov.au/default.aspx?LMIP/GainInsights/VacancyReport" TargetMode="External"/><Relationship Id="rId27" Type="http://schemas.openxmlformats.org/officeDocument/2006/relationships/hyperlink" Target="https://www.whitsundayrc.qld.gov.au/downloads/file/260/whitsunday-region-priorities-202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734251050786483"/>
          <c:y val="9.2554537240222015E-2"/>
          <c:w val="0.52074606758071329"/>
          <c:h val="0.7629783572135451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F02-46AF-91AB-CE064DA541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F02-46AF-91AB-CE064DA5414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F02-46AF-91AB-CE064DA5414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F02-46AF-91AB-CE064DA5414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F02-46AF-91AB-CE064DA5414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F02-46AF-91AB-CE064DA5414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F02-46AF-91AB-CE064DA5414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F02-46AF-91AB-CE064DA5414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F02-46AF-91AB-CE064DA5414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F02-46AF-91AB-CE064DA54140}"/>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F02-46AF-91AB-CE064DA54140}"/>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0F02-46AF-91AB-CE064DA54140}"/>
              </c:ext>
            </c:extLst>
          </c:dPt>
          <c:dLbls>
            <c:dLbl>
              <c:idx val="0"/>
              <c:layout>
                <c:manualLayout>
                  <c:x val="7.4592074592074592E-2"/>
                  <c:y val="9.836065573770488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0F02-46AF-91AB-CE064DA54140}"/>
                </c:ext>
              </c:extLst>
            </c:dLbl>
            <c:dLbl>
              <c:idx val="11"/>
              <c:layout>
                <c:manualLayout>
                  <c:x val="0.16037296037296037"/>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7-0F02-46AF-91AB-CE064DA5414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'[SA4 Employment by Industry - February 2021 - MIW.xlsx]MIW'!$C$2:$C$13</c:f>
              <c:strCache>
                <c:ptCount val="12"/>
                <c:pt idx="0">
                  <c:v>Mining</c:v>
                </c:pt>
                <c:pt idx="1">
                  <c:v>Health Care and Social Assistance</c:v>
                </c:pt>
                <c:pt idx="2">
                  <c:v>Construction</c:v>
                </c:pt>
                <c:pt idx="3">
                  <c:v>Retail Trade</c:v>
                </c:pt>
                <c:pt idx="4">
                  <c:v>Manufacturing</c:v>
                </c:pt>
                <c:pt idx="5">
                  <c:v>Accommodation and Food Services</c:v>
                </c:pt>
                <c:pt idx="6">
                  <c:v>Education and Training</c:v>
                </c:pt>
                <c:pt idx="7">
                  <c:v>Professional, Scientific and Technical Services</c:v>
                </c:pt>
                <c:pt idx="8">
                  <c:v>Transport, Postal and Warehousing</c:v>
                </c:pt>
                <c:pt idx="9">
                  <c:v>Administrative and Support Services</c:v>
                </c:pt>
                <c:pt idx="10">
                  <c:v>Other Services</c:v>
                </c:pt>
                <c:pt idx="11">
                  <c:v>Agriculture, Forestry and Fishing</c:v>
                </c:pt>
              </c:strCache>
            </c:strRef>
          </c:cat>
          <c:val>
            <c:numRef>
              <c:f>'[SA4 Employment by Industry - February 2021 - MIW.xlsx]MIW'!$J$2:$J$13</c:f>
              <c:numCache>
                <c:formatCode>0.0%</c:formatCode>
                <c:ptCount val="12"/>
                <c:pt idx="0">
                  <c:v>0.16894018887722981</c:v>
                </c:pt>
                <c:pt idx="1">
                  <c:v>0.12486883525708289</c:v>
                </c:pt>
                <c:pt idx="2">
                  <c:v>0.1049317943336831</c:v>
                </c:pt>
                <c:pt idx="3">
                  <c:v>7.9748163693599161E-2</c:v>
                </c:pt>
                <c:pt idx="4">
                  <c:v>6.5057712486883523E-2</c:v>
                </c:pt>
                <c:pt idx="5">
                  <c:v>6.190975865687303E-2</c:v>
                </c:pt>
                <c:pt idx="6">
                  <c:v>5.4564533053515218E-2</c:v>
                </c:pt>
                <c:pt idx="7">
                  <c:v>4.8268625393494226E-2</c:v>
                </c:pt>
                <c:pt idx="8">
                  <c:v>4.6169989506820566E-2</c:v>
                </c:pt>
                <c:pt idx="9">
                  <c:v>3.9874081846799581E-2</c:v>
                </c:pt>
                <c:pt idx="10">
                  <c:v>0.1825813221406086</c:v>
                </c:pt>
                <c:pt idx="11">
                  <c:v>2.3084994753410283E-2</c:v>
                </c:pt>
              </c:numCache>
            </c:numRef>
          </c:val>
          <c:extLst>
            <c:ext xmlns:c16="http://schemas.microsoft.com/office/drawing/2014/chart" uri="{C3380CC4-5D6E-409C-BE32-E72D297353CC}">
              <c16:uniqueId val="{00000018-0F02-46AF-91AB-CE064DA54140}"/>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Sheet1!$B$4</c:f>
              <c:strCache>
                <c:ptCount val="1"/>
                <c:pt idx="0">
                  <c:v>Mackay</c:v>
                </c:pt>
              </c:strCache>
            </c:strRef>
          </c:tx>
          <c:spPr>
            <a:solidFill>
              <a:schemeClr val="accent1"/>
            </a:solidFill>
            <a:ln>
              <a:noFill/>
            </a:ln>
            <a:effectLst/>
          </c:spPr>
          <c:invertIfNegative val="0"/>
          <c:cat>
            <c:strRef>
              <c:f>Sheet1!$A$5:$A$13</c:f>
              <c:strCache>
                <c:ptCount val="9"/>
                <c:pt idx="0">
                  <c:v>Indigenous</c:v>
                </c:pt>
                <c:pt idx="1">
                  <c:v>PWD</c:v>
                </c:pt>
                <c:pt idx="2">
                  <c:v>CALD</c:v>
                </c:pt>
                <c:pt idx="3">
                  <c:v>Refugee</c:v>
                </c:pt>
                <c:pt idx="4">
                  <c:v>Homeless</c:v>
                </c:pt>
                <c:pt idx="5">
                  <c:v>Ex Offender</c:v>
                </c:pt>
                <c:pt idx="6">
                  <c:v>Female</c:v>
                </c:pt>
                <c:pt idx="7">
                  <c:v>Mature Aged (50+)</c:v>
                </c:pt>
                <c:pt idx="8">
                  <c:v>Youth</c:v>
                </c:pt>
              </c:strCache>
            </c:strRef>
          </c:cat>
          <c:val>
            <c:numRef>
              <c:f>Sheet1!$B$5:$B$13</c:f>
              <c:numCache>
                <c:formatCode>0.00%</c:formatCode>
                <c:ptCount val="9"/>
                <c:pt idx="0">
                  <c:v>0.19719999999999999</c:v>
                </c:pt>
                <c:pt idx="1">
                  <c:v>0.34189999999999998</c:v>
                </c:pt>
                <c:pt idx="2">
                  <c:v>3.27E-2</c:v>
                </c:pt>
                <c:pt idx="3">
                  <c:v>1.8E-3</c:v>
                </c:pt>
                <c:pt idx="4">
                  <c:v>0.157</c:v>
                </c:pt>
                <c:pt idx="5">
                  <c:v>0.1653</c:v>
                </c:pt>
                <c:pt idx="6">
                  <c:v>0.51300000000000001</c:v>
                </c:pt>
                <c:pt idx="7">
                  <c:v>0.29139999999999999</c:v>
                </c:pt>
                <c:pt idx="8">
                  <c:v>8.3699999999999997E-2</c:v>
                </c:pt>
              </c:numCache>
            </c:numRef>
          </c:val>
          <c:extLst>
            <c:ext xmlns:c16="http://schemas.microsoft.com/office/drawing/2014/chart" uri="{C3380CC4-5D6E-409C-BE32-E72D297353CC}">
              <c16:uniqueId val="{00000000-6B8E-43FF-B572-BEF1B16CB29F}"/>
            </c:ext>
          </c:extLst>
        </c:ser>
        <c:ser>
          <c:idx val="1"/>
          <c:order val="1"/>
          <c:tx>
            <c:strRef>
              <c:f>Sheet1!$C$4</c:f>
              <c:strCache>
                <c:ptCount val="1"/>
                <c:pt idx="0">
                  <c:v>Queensland</c:v>
                </c:pt>
              </c:strCache>
            </c:strRef>
          </c:tx>
          <c:spPr>
            <a:solidFill>
              <a:schemeClr val="accent2"/>
            </a:solidFill>
            <a:ln>
              <a:noFill/>
            </a:ln>
            <a:effectLst/>
          </c:spPr>
          <c:invertIfNegative val="0"/>
          <c:cat>
            <c:strRef>
              <c:f>Sheet1!$A$5:$A$13</c:f>
              <c:strCache>
                <c:ptCount val="9"/>
                <c:pt idx="0">
                  <c:v>Indigenous</c:v>
                </c:pt>
                <c:pt idx="1">
                  <c:v>PWD</c:v>
                </c:pt>
                <c:pt idx="2">
                  <c:v>CALD</c:v>
                </c:pt>
                <c:pt idx="3">
                  <c:v>Refugee</c:v>
                </c:pt>
                <c:pt idx="4">
                  <c:v>Homeless</c:v>
                </c:pt>
                <c:pt idx="5">
                  <c:v>Ex Offender</c:v>
                </c:pt>
                <c:pt idx="6">
                  <c:v>Female</c:v>
                </c:pt>
                <c:pt idx="7">
                  <c:v>Mature Aged (50+)</c:v>
                </c:pt>
                <c:pt idx="8">
                  <c:v>Youth</c:v>
                </c:pt>
              </c:strCache>
            </c:strRef>
          </c:cat>
          <c:val>
            <c:numRef>
              <c:f>Sheet1!$C$5:$C$13</c:f>
              <c:numCache>
                <c:formatCode>0.00%</c:formatCode>
                <c:ptCount val="9"/>
                <c:pt idx="0">
                  <c:v>0.1537</c:v>
                </c:pt>
                <c:pt idx="1">
                  <c:v>0.2712</c:v>
                </c:pt>
                <c:pt idx="2">
                  <c:v>0.1321</c:v>
                </c:pt>
                <c:pt idx="3">
                  <c:v>3.3099999999999997E-2</c:v>
                </c:pt>
                <c:pt idx="4">
                  <c:v>0.114</c:v>
                </c:pt>
                <c:pt idx="5">
                  <c:v>0.12280000000000001</c:v>
                </c:pt>
                <c:pt idx="6">
                  <c:v>0.503</c:v>
                </c:pt>
                <c:pt idx="7">
                  <c:v>0.28160000000000002</c:v>
                </c:pt>
                <c:pt idx="8">
                  <c:v>9.6699999999999994E-2</c:v>
                </c:pt>
              </c:numCache>
            </c:numRef>
          </c:val>
          <c:extLst>
            <c:ext xmlns:c16="http://schemas.microsoft.com/office/drawing/2014/chart" uri="{C3380CC4-5D6E-409C-BE32-E72D297353CC}">
              <c16:uniqueId val="{00000001-6B8E-43FF-B572-BEF1B16CB29F}"/>
            </c:ext>
          </c:extLst>
        </c:ser>
        <c:dLbls>
          <c:showLegendKey val="0"/>
          <c:showVal val="0"/>
          <c:showCatName val="0"/>
          <c:showSerName val="0"/>
          <c:showPercent val="0"/>
          <c:showBubbleSize val="0"/>
        </c:dLbls>
        <c:gapWidth val="219"/>
        <c:overlap val="-27"/>
        <c:axId val="1764307599"/>
        <c:axId val="1194946527"/>
      </c:barChart>
      <c:catAx>
        <c:axId val="176430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4946527"/>
        <c:crosses val="autoZero"/>
        <c:auto val="1"/>
        <c:lblAlgn val="ctr"/>
        <c:lblOffset val="100"/>
        <c:noMultiLvlLbl val="0"/>
      </c:catAx>
      <c:valAx>
        <c:axId val="11949465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r>
                  <a:rPr lang="en-AU" baseline="0"/>
                  <a:t> of caseload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430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C79623605747A9B1C631F7176AF38E"/>
        <w:category>
          <w:name w:val="General"/>
          <w:gallery w:val="placeholder"/>
        </w:category>
        <w:types>
          <w:type w:val="bbPlcHdr"/>
        </w:types>
        <w:behaviors>
          <w:behavior w:val="content"/>
        </w:behaviors>
        <w:guid w:val="{38CE61B6-5D68-4DB0-BFE8-AA6447DAD9C9}"/>
      </w:docPartPr>
      <w:docPartBody>
        <w:p w:rsidR="00EA6FB3" w:rsidRDefault="004229CE" w:rsidP="004229CE">
          <w:pPr>
            <w:pStyle w:val="A7C79623605747A9B1C631F7176AF38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CE"/>
    <w:rsid w:val="00216276"/>
    <w:rsid w:val="004229CE"/>
    <w:rsid w:val="004D4EDA"/>
    <w:rsid w:val="006054C4"/>
    <w:rsid w:val="00630088"/>
    <w:rsid w:val="00665A94"/>
    <w:rsid w:val="00A3052B"/>
    <w:rsid w:val="00AC7207"/>
    <w:rsid w:val="00DA36AD"/>
    <w:rsid w:val="00EA6FB3"/>
    <w:rsid w:val="00F4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C79623605747A9B1C631F7176AF38E">
    <w:name w:val="A7C79623605747A9B1C631F7176AF38E"/>
    <w:rsid w:val="00422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71_xy2 xmlns="e65dc78a-081f-42c1-acdb-e3260877761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7B3C1674685145921A871DD6A378D3" ma:contentTypeVersion="1" ma:contentTypeDescription="Create a new document." ma:contentTypeScope="" ma:versionID="f7d01cfe3a2a25597c25f7d1a6ae1281">
  <xsd:schema xmlns:xsd="http://www.w3.org/2001/XMLSchema" xmlns:xs="http://www.w3.org/2001/XMLSchema" xmlns:p="http://schemas.microsoft.com/office/2006/metadata/properties" xmlns:ns2="e65dc78a-081f-42c1-acdb-e32608777612" targetNamespace="http://schemas.microsoft.com/office/2006/metadata/properties" ma:root="true" ma:fieldsID="51a073ef5deeae9ab5e1e5643b67cad5" ns2:_="">
    <xsd:import namespace="e65dc78a-081f-42c1-acdb-e32608777612"/>
    <xsd:element name="properties">
      <xsd:complexType>
        <xsd:sequence>
          <xsd:element name="documentManagement">
            <xsd:complexType>
              <xsd:all>
                <xsd:element ref="ns2:_x0071_x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c78a-081f-42c1-acdb-e32608777612" elementFormDefault="qualified">
    <xsd:import namespace="http://schemas.microsoft.com/office/2006/documentManagement/types"/>
    <xsd:import namespace="http://schemas.microsoft.com/office/infopath/2007/PartnerControls"/>
    <xsd:element name="_x0071_xy2" ma:index="8" nillable="true" ma:displayName="Number" ma:internalName="_x0071_xy2">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82BD6-5A4D-4530-915B-03523CDC7219}">
  <ds:schemaRefs>
    <ds:schemaRef ds:uri="http://schemas.microsoft.com/sharepoint/v3/contenttype/forms"/>
  </ds:schemaRefs>
</ds:datastoreItem>
</file>

<file path=customXml/itemProps2.xml><?xml version="1.0" encoding="utf-8"?>
<ds:datastoreItem xmlns:ds="http://schemas.openxmlformats.org/officeDocument/2006/customXml" ds:itemID="{8A88984E-8555-4BA4-AC00-790F52B8B571}">
  <ds:schemaRefs>
    <ds:schemaRef ds:uri="http://schemas.microsoft.com/office/2006/metadata/properties"/>
    <ds:schemaRef ds:uri="http://schemas.microsoft.com/office/infopath/2007/PartnerControls"/>
    <ds:schemaRef ds:uri="e65dc78a-081f-42c1-acdb-e32608777612"/>
  </ds:schemaRefs>
</ds:datastoreItem>
</file>

<file path=customXml/itemProps3.xml><?xml version="1.0" encoding="utf-8"?>
<ds:datastoreItem xmlns:ds="http://schemas.openxmlformats.org/officeDocument/2006/customXml" ds:itemID="{B7380B7E-62D7-4DE9-A50F-EBEDC11E438D}">
  <ds:schemaRefs>
    <ds:schemaRef ds:uri="http://schemas.openxmlformats.org/officeDocument/2006/bibliography"/>
  </ds:schemaRefs>
</ds:datastoreItem>
</file>

<file path=customXml/itemProps4.xml><?xml version="1.0" encoding="utf-8"?>
<ds:datastoreItem xmlns:ds="http://schemas.openxmlformats.org/officeDocument/2006/customXml" ds:itemID="{DCB1F9B6-C396-4965-ACE8-455EC8E58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c78a-081f-42c1-acdb-e32608777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20</Pages>
  <Words>6995</Words>
  <Characters>39875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KEEN,Melanie</dc:creator>
  <cp:lastModifiedBy>PURCELL,Bronwyn</cp:lastModifiedBy>
  <cp:revision>305</cp:revision>
  <cp:lastPrinted>2020-10-30T01:41:00Z</cp:lastPrinted>
  <dcterms:created xsi:type="dcterms:W3CDTF">2021-07-21T01:16:00Z</dcterms:created>
  <dcterms:modified xsi:type="dcterms:W3CDTF">2021-08-09T06:35:00Z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0x010100DC7B3C1674685145921A871DD6A378D3</vt:lpwstr>
  </property>
</Properties>
</file>