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E4BC7" w14:textId="77777777" w:rsidR="00E307C4" w:rsidRDefault="00E307C4" w:rsidP="009B031C">
      <w:pPr>
        <w:pStyle w:val="Title"/>
      </w:pPr>
      <w:bookmarkStart w:id="0" w:name="_Hlk79142726"/>
      <w:bookmarkEnd w:id="0"/>
    </w:p>
    <w:p w14:paraId="63B5E8C6" w14:textId="58532F66" w:rsidR="004D09D7" w:rsidRPr="009A0D3F" w:rsidRDefault="003F7272" w:rsidP="009B031C">
      <w:pPr>
        <w:pStyle w:val="Title"/>
        <w:sectPr w:rsidR="004D09D7" w:rsidRPr="009A0D3F" w:rsidSect="009A0D3F">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985" w:right="1418" w:bottom="993" w:left="1440" w:header="709" w:footer="567" w:gutter="0"/>
          <w:cols w:space="708"/>
          <w:docGrid w:linePitch="360"/>
        </w:sectPr>
      </w:pPr>
      <w:r>
        <w:rPr>
          <w:noProof/>
          <w:lang w:eastAsia="en-AU"/>
        </w:rPr>
        <w:drawing>
          <wp:inline distT="0" distB="0" distL="0" distR="0" wp14:anchorId="7CC873B6" wp14:editId="0885A16B">
            <wp:extent cx="4144645" cy="960120"/>
            <wp:effectExtent l="0" t="0" r="8255" b="0"/>
            <wp:docPr id="5" name="Picture 5" descr="Federal Government Coat of Arms and Local Jobs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ederal Government Coat of Arms and Local Jobs Program Logo"/>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147744" cy="960710"/>
                    </a:xfrm>
                    <a:prstGeom prst="rect">
                      <a:avLst/>
                    </a:prstGeom>
                  </pic:spPr>
                </pic:pic>
              </a:graphicData>
            </a:graphic>
          </wp:inline>
        </w:drawing>
      </w:r>
      <w:bookmarkStart w:id="1" w:name="_Toc364946114"/>
    </w:p>
    <w:p w14:paraId="6A2F8399" w14:textId="77777777" w:rsidR="00B518BC" w:rsidRDefault="00B518BC" w:rsidP="003D6A62">
      <w:pPr>
        <w:jc w:val="center"/>
        <w:rPr>
          <w:rFonts w:ascii="Calibri" w:hAnsi="Calibri" w:cs="Calibri"/>
          <w:b/>
          <w:bCs/>
          <w:color w:val="1D4289"/>
          <w:sz w:val="72"/>
          <w:szCs w:val="72"/>
        </w:rPr>
      </w:pPr>
      <w:bookmarkStart w:id="2" w:name="_Toc54878833"/>
      <w:bookmarkStart w:id="3" w:name="_Toc54944344"/>
      <w:bookmarkStart w:id="4" w:name="_Toc54950129"/>
      <w:bookmarkStart w:id="5" w:name="_Toc54950592"/>
      <w:bookmarkStart w:id="6" w:name="_Toc77758507"/>
      <w:bookmarkEnd w:id="1"/>
    </w:p>
    <w:p w14:paraId="25C8189C" w14:textId="53126A66" w:rsidR="00435C0E" w:rsidRPr="008F7516" w:rsidRDefault="00EF214C" w:rsidP="00801837">
      <w:pPr>
        <w:jc w:val="center"/>
        <w:rPr>
          <w:b/>
          <w:sz w:val="72"/>
          <w:szCs w:val="72"/>
        </w:rPr>
      </w:pPr>
      <w:r w:rsidRPr="00801837">
        <w:rPr>
          <w:b/>
          <w:sz w:val="72"/>
          <w:szCs w:val="72"/>
        </w:rPr>
        <w:t>L</w:t>
      </w:r>
      <w:r w:rsidR="00E307C4" w:rsidRPr="00A7113C">
        <w:rPr>
          <w:b/>
          <w:sz w:val="72"/>
          <w:szCs w:val="72"/>
        </w:rPr>
        <w:t>ocal Jobs Plan</w:t>
      </w:r>
      <w:bookmarkStart w:id="7" w:name="_Toc77758508"/>
      <w:bookmarkEnd w:id="2"/>
      <w:bookmarkEnd w:id="3"/>
      <w:bookmarkEnd w:id="4"/>
      <w:bookmarkEnd w:id="5"/>
      <w:bookmarkEnd w:id="6"/>
    </w:p>
    <w:p w14:paraId="17A6CAEA" w14:textId="3EE4887B" w:rsidR="009D3023" w:rsidRPr="00A14FF5" w:rsidRDefault="00BB7EB6" w:rsidP="00801837">
      <w:pPr>
        <w:jc w:val="center"/>
        <w:rPr>
          <w:b/>
          <w:sz w:val="72"/>
          <w:szCs w:val="72"/>
        </w:rPr>
      </w:pPr>
      <w:r w:rsidRPr="001B5E8C">
        <w:rPr>
          <w:b/>
          <w:sz w:val="72"/>
          <w:szCs w:val="72"/>
        </w:rPr>
        <w:t>Fitzroy</w:t>
      </w:r>
      <w:bookmarkEnd w:id="7"/>
      <w:r w:rsidR="009E053A" w:rsidRPr="001B5E8C">
        <w:rPr>
          <w:b/>
          <w:sz w:val="72"/>
          <w:szCs w:val="72"/>
        </w:rPr>
        <w:t xml:space="preserve"> Employment Region</w:t>
      </w:r>
    </w:p>
    <w:p w14:paraId="24ACD5E3" w14:textId="4D4A232B" w:rsidR="00E307C4" w:rsidRPr="00D11EF9" w:rsidRDefault="00EF214C" w:rsidP="00801837">
      <w:pPr>
        <w:jc w:val="center"/>
        <w:rPr>
          <w:b/>
          <w:sz w:val="72"/>
          <w:szCs w:val="72"/>
        </w:rPr>
      </w:pPr>
      <w:bookmarkStart w:id="8" w:name="_Toc54944346"/>
      <w:bookmarkStart w:id="9" w:name="_Toc54950131"/>
      <w:bookmarkStart w:id="10" w:name="_Toc54950594"/>
      <w:bookmarkStart w:id="11" w:name="_Toc77758509"/>
      <w:r w:rsidRPr="000147A5">
        <w:rPr>
          <w:b/>
          <w:sz w:val="72"/>
          <w:szCs w:val="72"/>
        </w:rPr>
        <w:t>Queensland</w:t>
      </w:r>
      <w:bookmarkEnd w:id="8"/>
      <w:bookmarkEnd w:id="9"/>
      <w:bookmarkEnd w:id="10"/>
      <w:bookmarkEnd w:id="11"/>
    </w:p>
    <w:p w14:paraId="15963438" w14:textId="474BD7C1" w:rsidR="00E307C4" w:rsidRPr="00801837" w:rsidRDefault="0036780B" w:rsidP="00801837">
      <w:pPr>
        <w:jc w:val="center"/>
        <w:rPr>
          <w:color w:val="1D4289"/>
          <w:sz w:val="72"/>
          <w:szCs w:val="72"/>
        </w:rPr>
      </w:pPr>
      <w:r>
        <w:rPr>
          <w:sz w:val="72"/>
          <w:szCs w:val="72"/>
        </w:rPr>
        <w:t>April</w:t>
      </w:r>
      <w:r w:rsidRPr="00801837">
        <w:rPr>
          <w:sz w:val="72"/>
          <w:szCs w:val="72"/>
        </w:rPr>
        <w:t xml:space="preserve"> </w:t>
      </w:r>
      <w:r w:rsidR="00A6542D" w:rsidRPr="00801837">
        <w:rPr>
          <w:sz w:val="72"/>
          <w:szCs w:val="72"/>
        </w:rPr>
        <w:t>2022</w:t>
      </w:r>
    </w:p>
    <w:p w14:paraId="119024A7" w14:textId="77777777" w:rsidR="00E307C4" w:rsidRDefault="00E307C4" w:rsidP="00597283">
      <w:pPr>
        <w:pStyle w:val="Heading1"/>
      </w:pPr>
    </w:p>
    <w:p w14:paraId="3F39DCC4" w14:textId="77777777" w:rsidR="00E307C4" w:rsidRDefault="00E307C4" w:rsidP="00597283">
      <w:pPr>
        <w:pStyle w:val="Heading1"/>
        <w:sectPr w:rsidR="00E307C4" w:rsidSect="009A0D3F">
          <w:headerReference w:type="default" r:id="rId18"/>
          <w:footerReference w:type="default" r:id="rId19"/>
          <w:type w:val="continuous"/>
          <w:pgSz w:w="11906" w:h="16838"/>
          <w:pgMar w:top="1276" w:right="1418" w:bottom="1135" w:left="1440" w:header="709" w:footer="567" w:gutter="0"/>
          <w:cols w:space="708"/>
          <w:docGrid w:linePitch="360"/>
        </w:sectPr>
      </w:pPr>
    </w:p>
    <w:sdt>
      <w:sdtPr>
        <w:rPr>
          <w:rFonts w:asciiTheme="minorHAnsi" w:eastAsiaTheme="minorEastAsia" w:hAnsiTheme="minorHAnsi" w:cstheme="minorBidi"/>
          <w:noProof w:val="0"/>
          <w:color w:val="auto"/>
          <w:sz w:val="22"/>
          <w:szCs w:val="22"/>
          <w:lang w:val="en" w:bidi="ar-SA"/>
        </w:rPr>
        <w:id w:val="1924605440"/>
        <w:docPartObj>
          <w:docPartGallery w:val="Table of Contents"/>
          <w:docPartUnique/>
        </w:docPartObj>
      </w:sdtPr>
      <w:sdtEndPr>
        <w:rPr>
          <w:b/>
          <w:bCs/>
        </w:rPr>
      </w:sdtEndPr>
      <w:sdtContent>
        <w:p w14:paraId="717F3034" w14:textId="25834E34" w:rsidR="00900C81" w:rsidRDefault="00900C81">
          <w:pPr>
            <w:pStyle w:val="TOCHeading"/>
          </w:pPr>
          <w:r>
            <w:t>Contents</w:t>
          </w:r>
        </w:p>
        <w:p w14:paraId="1FD2BFEB" w14:textId="070E403D" w:rsidR="002923A3" w:rsidRDefault="00900C81" w:rsidP="00BA134D">
          <w:pPr>
            <w:pStyle w:val="TOC1"/>
            <w:rPr>
              <w:rFonts w:eastAsiaTheme="minorEastAsia"/>
              <w:lang w:val="en-AU" w:eastAsia="en-AU"/>
            </w:rPr>
          </w:pPr>
          <w:r>
            <w:fldChar w:fldCharType="begin"/>
          </w:r>
          <w:r>
            <w:instrText xml:space="preserve"> TOC \o "1-3" \h \z \u </w:instrText>
          </w:r>
          <w:r>
            <w:fldChar w:fldCharType="separate"/>
          </w:r>
          <w:hyperlink w:anchor="_Toc94614523" w:history="1">
            <w:r w:rsidR="002923A3" w:rsidRPr="0064605D">
              <w:rPr>
                <w:rStyle w:val="Hyperlink"/>
              </w:rPr>
              <w:t>The Local Jobs Program</w:t>
            </w:r>
            <w:r w:rsidR="002923A3">
              <w:rPr>
                <w:webHidden/>
              </w:rPr>
              <w:tab/>
            </w:r>
            <w:r w:rsidR="002923A3">
              <w:rPr>
                <w:webHidden/>
              </w:rPr>
              <w:fldChar w:fldCharType="begin"/>
            </w:r>
            <w:r w:rsidR="002923A3">
              <w:rPr>
                <w:webHidden/>
              </w:rPr>
              <w:instrText xml:space="preserve"> PAGEREF _Toc94614523 \h </w:instrText>
            </w:r>
            <w:r w:rsidR="002923A3">
              <w:rPr>
                <w:webHidden/>
              </w:rPr>
            </w:r>
            <w:r w:rsidR="002923A3">
              <w:rPr>
                <w:webHidden/>
              </w:rPr>
              <w:fldChar w:fldCharType="separate"/>
            </w:r>
            <w:r w:rsidR="002C674B">
              <w:rPr>
                <w:webHidden/>
              </w:rPr>
              <w:t>3</w:t>
            </w:r>
            <w:r w:rsidR="002923A3">
              <w:rPr>
                <w:webHidden/>
              </w:rPr>
              <w:fldChar w:fldCharType="end"/>
            </w:r>
          </w:hyperlink>
        </w:p>
        <w:p w14:paraId="7319544A" w14:textId="29837562" w:rsidR="002923A3" w:rsidRDefault="002C674B" w:rsidP="00BA134D">
          <w:pPr>
            <w:pStyle w:val="TOC1"/>
            <w:rPr>
              <w:rFonts w:eastAsiaTheme="minorEastAsia"/>
              <w:lang w:val="en-AU" w:eastAsia="en-AU"/>
            </w:rPr>
          </w:pPr>
          <w:hyperlink w:anchor="_Toc94614524" w:history="1">
            <w:r w:rsidR="002923A3" w:rsidRPr="0064605D">
              <w:rPr>
                <w:rStyle w:val="Hyperlink"/>
              </w:rPr>
              <w:t>Key employment and training priorities</w:t>
            </w:r>
            <w:r w:rsidR="002923A3">
              <w:rPr>
                <w:webHidden/>
              </w:rPr>
              <w:tab/>
            </w:r>
            <w:r w:rsidR="002923A3">
              <w:rPr>
                <w:webHidden/>
              </w:rPr>
              <w:fldChar w:fldCharType="begin"/>
            </w:r>
            <w:r w:rsidR="002923A3">
              <w:rPr>
                <w:webHidden/>
              </w:rPr>
              <w:instrText xml:space="preserve"> PAGEREF _Toc94614524 \h </w:instrText>
            </w:r>
            <w:r w:rsidR="002923A3">
              <w:rPr>
                <w:webHidden/>
              </w:rPr>
            </w:r>
            <w:r w:rsidR="002923A3">
              <w:rPr>
                <w:webHidden/>
              </w:rPr>
              <w:fldChar w:fldCharType="separate"/>
            </w:r>
            <w:r>
              <w:rPr>
                <w:webHidden/>
              </w:rPr>
              <w:t>3</w:t>
            </w:r>
            <w:r w:rsidR="002923A3">
              <w:rPr>
                <w:webHidden/>
              </w:rPr>
              <w:fldChar w:fldCharType="end"/>
            </w:r>
          </w:hyperlink>
        </w:p>
        <w:p w14:paraId="2DC38462" w14:textId="77E4A70F" w:rsidR="002923A3" w:rsidRDefault="002C674B" w:rsidP="00BA134D">
          <w:pPr>
            <w:pStyle w:val="TOC1"/>
            <w:rPr>
              <w:rFonts w:eastAsiaTheme="minorEastAsia"/>
              <w:lang w:val="en-AU" w:eastAsia="en-AU"/>
            </w:rPr>
          </w:pPr>
          <w:hyperlink w:anchor="_Toc94614525" w:history="1">
            <w:r w:rsidR="002923A3" w:rsidRPr="0064605D">
              <w:rPr>
                <w:rStyle w:val="Hyperlink"/>
              </w:rPr>
              <w:t>Employment Region Overview</w:t>
            </w:r>
            <w:r w:rsidR="002923A3">
              <w:rPr>
                <w:webHidden/>
              </w:rPr>
              <w:tab/>
            </w:r>
            <w:r w:rsidR="002923A3">
              <w:rPr>
                <w:webHidden/>
              </w:rPr>
              <w:fldChar w:fldCharType="begin"/>
            </w:r>
            <w:r w:rsidR="002923A3">
              <w:rPr>
                <w:webHidden/>
              </w:rPr>
              <w:instrText xml:space="preserve"> PAGEREF _Toc94614525 \h </w:instrText>
            </w:r>
            <w:r w:rsidR="002923A3">
              <w:rPr>
                <w:webHidden/>
              </w:rPr>
            </w:r>
            <w:r w:rsidR="002923A3">
              <w:rPr>
                <w:webHidden/>
              </w:rPr>
              <w:fldChar w:fldCharType="separate"/>
            </w:r>
            <w:r>
              <w:rPr>
                <w:webHidden/>
              </w:rPr>
              <w:t>4</w:t>
            </w:r>
            <w:r w:rsidR="002923A3">
              <w:rPr>
                <w:webHidden/>
              </w:rPr>
              <w:fldChar w:fldCharType="end"/>
            </w:r>
          </w:hyperlink>
        </w:p>
        <w:p w14:paraId="40BA73DA" w14:textId="3EDBAED5" w:rsidR="002923A3" w:rsidRDefault="002C674B" w:rsidP="00BA134D">
          <w:pPr>
            <w:pStyle w:val="TOC1"/>
            <w:rPr>
              <w:rFonts w:eastAsiaTheme="minorEastAsia"/>
              <w:lang w:val="en-AU" w:eastAsia="en-AU"/>
            </w:rPr>
          </w:pPr>
          <w:hyperlink w:anchor="_Toc94614526" w:history="1">
            <w:r w:rsidR="002923A3" w:rsidRPr="0064605D">
              <w:rPr>
                <w:rStyle w:val="Hyperlink"/>
              </w:rPr>
              <w:t>Key challenges in the Fitzroy region</w:t>
            </w:r>
            <w:r w:rsidR="002923A3">
              <w:rPr>
                <w:webHidden/>
              </w:rPr>
              <w:tab/>
            </w:r>
            <w:r w:rsidR="002923A3">
              <w:rPr>
                <w:webHidden/>
              </w:rPr>
              <w:fldChar w:fldCharType="begin"/>
            </w:r>
            <w:r w:rsidR="002923A3">
              <w:rPr>
                <w:webHidden/>
              </w:rPr>
              <w:instrText xml:space="preserve"> PAGEREF _Toc94614526 \h </w:instrText>
            </w:r>
            <w:r w:rsidR="002923A3">
              <w:rPr>
                <w:webHidden/>
              </w:rPr>
            </w:r>
            <w:r w:rsidR="002923A3">
              <w:rPr>
                <w:webHidden/>
              </w:rPr>
              <w:fldChar w:fldCharType="separate"/>
            </w:r>
            <w:r>
              <w:rPr>
                <w:webHidden/>
              </w:rPr>
              <w:t>9</w:t>
            </w:r>
            <w:r w:rsidR="002923A3">
              <w:rPr>
                <w:webHidden/>
              </w:rPr>
              <w:fldChar w:fldCharType="end"/>
            </w:r>
          </w:hyperlink>
        </w:p>
        <w:p w14:paraId="4BFB3A47" w14:textId="783E2AE8" w:rsidR="002923A3" w:rsidRDefault="002C674B" w:rsidP="00BA134D">
          <w:pPr>
            <w:pStyle w:val="TOC1"/>
            <w:rPr>
              <w:rFonts w:eastAsiaTheme="minorEastAsia"/>
              <w:lang w:val="en-AU" w:eastAsia="en-AU"/>
            </w:rPr>
          </w:pPr>
          <w:hyperlink w:anchor="_Toc94614527" w:history="1">
            <w:r w:rsidR="002923A3" w:rsidRPr="0064605D">
              <w:rPr>
                <w:rStyle w:val="Hyperlink"/>
              </w:rPr>
              <w:t>Local Stakeholders and Opportunities</w:t>
            </w:r>
            <w:r w:rsidR="002923A3">
              <w:rPr>
                <w:webHidden/>
              </w:rPr>
              <w:tab/>
            </w:r>
            <w:r w:rsidR="002923A3">
              <w:rPr>
                <w:webHidden/>
              </w:rPr>
              <w:fldChar w:fldCharType="begin"/>
            </w:r>
            <w:r w:rsidR="002923A3">
              <w:rPr>
                <w:webHidden/>
              </w:rPr>
              <w:instrText xml:space="preserve"> PAGEREF _Toc94614527 \h </w:instrText>
            </w:r>
            <w:r w:rsidR="002923A3">
              <w:rPr>
                <w:webHidden/>
              </w:rPr>
            </w:r>
            <w:r w:rsidR="002923A3">
              <w:rPr>
                <w:webHidden/>
              </w:rPr>
              <w:fldChar w:fldCharType="separate"/>
            </w:r>
            <w:r>
              <w:rPr>
                <w:webHidden/>
              </w:rPr>
              <w:t>11</w:t>
            </w:r>
            <w:r w:rsidR="002923A3">
              <w:rPr>
                <w:webHidden/>
              </w:rPr>
              <w:fldChar w:fldCharType="end"/>
            </w:r>
          </w:hyperlink>
        </w:p>
        <w:p w14:paraId="7FF78597" w14:textId="334C1849" w:rsidR="002923A3" w:rsidRDefault="002C674B" w:rsidP="00BA134D">
          <w:pPr>
            <w:pStyle w:val="TOC1"/>
            <w:rPr>
              <w:rFonts w:eastAsiaTheme="minorEastAsia"/>
              <w:lang w:val="en-AU" w:eastAsia="en-AU"/>
            </w:rPr>
          </w:pPr>
          <w:hyperlink w:anchor="_Toc94614528" w:history="1">
            <w:r w:rsidR="002923A3" w:rsidRPr="0064605D">
              <w:rPr>
                <w:rStyle w:val="Hyperlink"/>
              </w:rPr>
              <w:t>Attachment A: Key Priorities</w:t>
            </w:r>
            <w:r w:rsidR="002923A3">
              <w:rPr>
                <w:webHidden/>
              </w:rPr>
              <w:tab/>
            </w:r>
            <w:r w:rsidR="002923A3">
              <w:rPr>
                <w:webHidden/>
              </w:rPr>
              <w:fldChar w:fldCharType="begin"/>
            </w:r>
            <w:r w:rsidR="002923A3">
              <w:rPr>
                <w:webHidden/>
              </w:rPr>
              <w:instrText xml:space="preserve"> PAGEREF _Toc94614528 \h </w:instrText>
            </w:r>
            <w:r w:rsidR="002923A3">
              <w:rPr>
                <w:webHidden/>
              </w:rPr>
            </w:r>
            <w:r w:rsidR="002923A3">
              <w:rPr>
                <w:webHidden/>
              </w:rPr>
              <w:fldChar w:fldCharType="separate"/>
            </w:r>
            <w:r>
              <w:rPr>
                <w:webHidden/>
              </w:rPr>
              <w:t>15</w:t>
            </w:r>
            <w:r w:rsidR="002923A3">
              <w:rPr>
                <w:webHidden/>
              </w:rPr>
              <w:fldChar w:fldCharType="end"/>
            </w:r>
          </w:hyperlink>
        </w:p>
        <w:p w14:paraId="55CCDCDA" w14:textId="547D1443" w:rsidR="002923A3" w:rsidRDefault="002C674B" w:rsidP="00BA134D">
          <w:pPr>
            <w:pStyle w:val="TOC1"/>
            <w:rPr>
              <w:rFonts w:eastAsiaTheme="minorEastAsia"/>
              <w:lang w:val="en-AU" w:eastAsia="en-AU"/>
            </w:rPr>
          </w:pPr>
          <w:hyperlink w:anchor="_Toc94614529" w:history="1">
            <w:r w:rsidR="002923A3" w:rsidRPr="0064605D">
              <w:rPr>
                <w:rStyle w:val="Hyperlink"/>
              </w:rPr>
              <w:t xml:space="preserve">Attachment B: Labour Market Data Dashboard – </w:t>
            </w:r>
            <w:r w:rsidR="00A41CD9">
              <w:rPr>
                <w:rStyle w:val="Hyperlink"/>
              </w:rPr>
              <w:t>April</w:t>
            </w:r>
            <w:r w:rsidR="00A41CD9" w:rsidRPr="0064605D">
              <w:rPr>
                <w:rStyle w:val="Hyperlink"/>
              </w:rPr>
              <w:t xml:space="preserve"> </w:t>
            </w:r>
            <w:r w:rsidR="002923A3" w:rsidRPr="0064605D">
              <w:rPr>
                <w:rStyle w:val="Hyperlink"/>
              </w:rPr>
              <w:t>202</w:t>
            </w:r>
            <w:r w:rsidR="00A41CD9">
              <w:rPr>
                <w:rStyle w:val="Hyperlink"/>
              </w:rPr>
              <w:t>2</w:t>
            </w:r>
            <w:r w:rsidR="002923A3">
              <w:rPr>
                <w:webHidden/>
              </w:rPr>
              <w:tab/>
            </w:r>
            <w:r w:rsidR="002923A3">
              <w:rPr>
                <w:webHidden/>
              </w:rPr>
              <w:fldChar w:fldCharType="begin"/>
            </w:r>
            <w:r w:rsidR="002923A3">
              <w:rPr>
                <w:webHidden/>
              </w:rPr>
              <w:instrText xml:space="preserve"> PAGEREF _Toc94614529 \h </w:instrText>
            </w:r>
            <w:r w:rsidR="002923A3">
              <w:rPr>
                <w:webHidden/>
              </w:rPr>
            </w:r>
            <w:r w:rsidR="002923A3">
              <w:rPr>
                <w:webHidden/>
              </w:rPr>
              <w:fldChar w:fldCharType="separate"/>
            </w:r>
            <w:r>
              <w:rPr>
                <w:webHidden/>
              </w:rPr>
              <w:t>17</w:t>
            </w:r>
            <w:r w:rsidR="002923A3">
              <w:rPr>
                <w:webHidden/>
              </w:rPr>
              <w:fldChar w:fldCharType="end"/>
            </w:r>
          </w:hyperlink>
        </w:p>
        <w:p w14:paraId="37693FE4" w14:textId="578EFA77" w:rsidR="00900C81" w:rsidRDefault="00900C81">
          <w:r>
            <w:rPr>
              <w:b/>
              <w:bCs/>
              <w:noProof/>
            </w:rPr>
            <w:fldChar w:fldCharType="end"/>
          </w:r>
        </w:p>
      </w:sdtContent>
    </w:sdt>
    <w:p w14:paraId="1E925074" w14:textId="77777777" w:rsidR="007C7DC7" w:rsidRDefault="007C7DC7" w:rsidP="00BA134D">
      <w:pPr>
        <w:pStyle w:val="TOC1"/>
        <w:sectPr w:rsidR="007C7DC7" w:rsidSect="001C5E08">
          <w:footerReference w:type="even" r:id="rId20"/>
          <w:footerReference w:type="default" r:id="rId21"/>
          <w:pgSz w:w="11906" w:h="16838"/>
          <w:pgMar w:top="1276" w:right="1418" w:bottom="1135" w:left="1440" w:header="709" w:footer="567" w:gutter="0"/>
          <w:cols w:space="708"/>
          <w:docGrid w:linePitch="360"/>
        </w:sectPr>
      </w:pPr>
    </w:p>
    <w:p w14:paraId="15942AC0" w14:textId="7D755710" w:rsidR="001B4E5C" w:rsidRDefault="001B4E5C" w:rsidP="00BA134D">
      <w:pPr>
        <w:pStyle w:val="TOC1"/>
      </w:pPr>
      <w:r w:rsidRPr="0057452D">
        <w:lastRenderedPageBreak/>
        <w:t>The Department of Education, Skills and Employment acknowledges the traditional owners and custodians of country throughout Australia and their continuing connection to land, waters, and community. We pay our respects to them and their cultures, and Elders past, present and emerging.</w:t>
      </w:r>
      <w:r w:rsidR="00FE0521">
        <w:t xml:space="preserve"> </w:t>
      </w:r>
      <w:r w:rsidR="006A26DC">
        <w:t xml:space="preserve">We </w:t>
      </w:r>
      <w:r w:rsidR="00A44ECE">
        <w:t>acknowledge</w:t>
      </w:r>
      <w:r w:rsidR="00D46AF1">
        <w:t xml:space="preserve"> </w:t>
      </w:r>
      <w:r w:rsidR="00FC0F78">
        <w:t xml:space="preserve">and respect </w:t>
      </w:r>
      <w:r w:rsidR="00844092">
        <w:t xml:space="preserve">the many </w:t>
      </w:r>
      <w:r w:rsidR="00DF1F3E">
        <w:t>traditional owner</w:t>
      </w:r>
      <w:r w:rsidR="00844092">
        <w:t xml:space="preserve"> groups</w:t>
      </w:r>
      <w:r w:rsidR="00DF1F3E">
        <w:t xml:space="preserve"> and custodian</w:t>
      </w:r>
      <w:r w:rsidR="00FC0F78">
        <w:t>s</w:t>
      </w:r>
      <w:r w:rsidR="00DF1F3E">
        <w:t xml:space="preserve"> of</w:t>
      </w:r>
      <w:r w:rsidR="00314CFB">
        <w:t xml:space="preserve"> country</w:t>
      </w:r>
      <w:r w:rsidR="0008399A">
        <w:t xml:space="preserve"> within the Fitzroy Employment region</w:t>
      </w:r>
      <w:r w:rsidR="00205B2E">
        <w:t xml:space="preserve"> and </w:t>
      </w:r>
      <w:r w:rsidR="00236B23">
        <w:t>we</w:t>
      </w:r>
      <w:r w:rsidR="00205B2E">
        <w:t xml:space="preserve"> acknowledge the Darumbal People </w:t>
      </w:r>
      <w:r w:rsidR="00236B23">
        <w:t xml:space="preserve">on </w:t>
      </w:r>
      <w:r w:rsidR="00205B2E">
        <w:t>whose land this Local Jobs Plan was written</w:t>
      </w:r>
      <w:r w:rsidR="008A56E7">
        <w:t>.</w:t>
      </w:r>
    </w:p>
    <w:p w14:paraId="23B0D1F7" w14:textId="77777777" w:rsidR="009F1695" w:rsidRPr="00216A2F" w:rsidRDefault="009F1695" w:rsidP="009F1695">
      <w:pPr>
        <w:rPr>
          <w:sz w:val="16"/>
          <w:szCs w:val="16"/>
        </w:rPr>
      </w:pPr>
    </w:p>
    <w:p w14:paraId="7038B2AE" w14:textId="1254B4A3" w:rsidR="001B4E5C" w:rsidRPr="00914634" w:rsidRDefault="00383DAB" w:rsidP="0036780B">
      <w:pPr>
        <w:pStyle w:val="Heading1"/>
        <w:tabs>
          <w:tab w:val="right" w:pos="9048"/>
        </w:tabs>
      </w:pPr>
      <w:bookmarkStart w:id="12" w:name="_The_Local_Jobs"/>
      <w:bookmarkStart w:id="13" w:name="_Toc916160426"/>
      <w:bookmarkStart w:id="14" w:name="_Toc94614523"/>
      <w:bookmarkEnd w:id="12"/>
      <w:r>
        <w:t>The Local Jobs Program</w:t>
      </w:r>
      <w:bookmarkEnd w:id="13"/>
      <w:bookmarkEnd w:id="14"/>
      <w:r w:rsidR="00221246">
        <w:tab/>
      </w:r>
    </w:p>
    <w:p w14:paraId="61B623C9" w14:textId="582DDB99" w:rsidR="00D83F4A" w:rsidRPr="00D83F4A" w:rsidRDefault="00D83F4A" w:rsidP="00216A2F">
      <w:pPr>
        <w:spacing w:after="0"/>
      </w:pPr>
      <w:r w:rsidRPr="00D83F4A">
        <w:t xml:space="preserve">As part of supporting Australia’s economic recovery from the COVID-19 pandemic, the Australian Government’s Local Jobs Program (LJP) brings together expertise, </w:t>
      </w:r>
      <w:r w:rsidR="00505FEB" w:rsidRPr="00D83F4A">
        <w:t>resources,</w:t>
      </w:r>
      <w:r w:rsidRPr="00D83F4A">
        <w:t xml:space="preserve"> and access to funding at the local level to accelerate reskilling, upskilling and employment pathways in 51 Employment Regions.</w:t>
      </w:r>
    </w:p>
    <w:p w14:paraId="2387ADFD" w14:textId="77777777" w:rsidR="00D83F4A" w:rsidRPr="00D83F4A" w:rsidRDefault="00D83F4A" w:rsidP="00216A2F">
      <w:pPr>
        <w:spacing w:after="0"/>
      </w:pPr>
    </w:p>
    <w:p w14:paraId="272A7FD4" w14:textId="77777777" w:rsidR="00D83F4A" w:rsidRPr="00D83F4A" w:rsidRDefault="00D83F4A" w:rsidP="00216A2F">
      <w:pPr>
        <w:spacing w:after="0"/>
      </w:pPr>
      <w:r w:rsidRPr="00D83F4A">
        <w:t>Recognising the importance of local knowledge in getting people back into jobs quickly, the LJP includes the following key elements in each region:</w:t>
      </w:r>
    </w:p>
    <w:p w14:paraId="7917B5D3" w14:textId="2C7DF382" w:rsidR="00D83F4A" w:rsidRPr="00D83F4A" w:rsidRDefault="00D83F4A" w:rsidP="00216A2F">
      <w:pPr>
        <w:pStyle w:val="ListParagraph"/>
        <w:numPr>
          <w:ilvl w:val="0"/>
          <w:numId w:val="52"/>
        </w:numPr>
        <w:spacing w:after="0"/>
      </w:pPr>
      <w:r w:rsidRPr="00D83F4A">
        <w:t>a local Employment Facilitator</w:t>
      </w:r>
    </w:p>
    <w:p w14:paraId="38AACB2B" w14:textId="6701C827" w:rsidR="00D83F4A" w:rsidRPr="00D83F4A" w:rsidRDefault="00D83F4A" w:rsidP="00216A2F">
      <w:pPr>
        <w:pStyle w:val="ListParagraph"/>
        <w:numPr>
          <w:ilvl w:val="0"/>
          <w:numId w:val="52"/>
        </w:numPr>
        <w:spacing w:after="0"/>
      </w:pPr>
      <w:r w:rsidRPr="00D83F4A">
        <w:t>a Local Jobs and Skills Taskforce</w:t>
      </w:r>
    </w:p>
    <w:p w14:paraId="555B6F28" w14:textId="0EBE9C47" w:rsidR="00D83F4A" w:rsidRPr="00D83F4A" w:rsidRDefault="00D83F4A" w:rsidP="00216A2F">
      <w:pPr>
        <w:pStyle w:val="ListParagraph"/>
        <w:numPr>
          <w:ilvl w:val="0"/>
          <w:numId w:val="52"/>
        </w:numPr>
        <w:spacing w:after="0"/>
      </w:pPr>
      <w:r w:rsidRPr="00D83F4A">
        <w:t>a Local Jobs Plan</w:t>
      </w:r>
    </w:p>
    <w:p w14:paraId="140889F4" w14:textId="6B5B89E2" w:rsidR="00D83F4A" w:rsidRPr="00D83F4A" w:rsidRDefault="00D83F4A" w:rsidP="00216A2F">
      <w:pPr>
        <w:pStyle w:val="ListParagraph"/>
        <w:numPr>
          <w:ilvl w:val="0"/>
          <w:numId w:val="52"/>
        </w:numPr>
        <w:spacing w:after="0"/>
      </w:pPr>
      <w:r w:rsidRPr="00D83F4A">
        <w:t>a Local Recovery Fund to support small scale activities</w:t>
      </w:r>
    </w:p>
    <w:p w14:paraId="0CA52187" w14:textId="3858D481" w:rsidR="00D83F4A" w:rsidRPr="00D83F4A" w:rsidRDefault="00D83F4A" w:rsidP="00216A2F">
      <w:pPr>
        <w:pStyle w:val="ListParagraph"/>
        <w:numPr>
          <w:ilvl w:val="0"/>
          <w:numId w:val="52"/>
        </w:numPr>
        <w:spacing w:after="0"/>
      </w:pPr>
      <w:r w:rsidRPr="00D83F4A">
        <w:t>access to the National Priority Funding Pool.</w:t>
      </w:r>
    </w:p>
    <w:p w14:paraId="3603F87B" w14:textId="77777777" w:rsidR="00D83F4A" w:rsidRPr="00D83F4A" w:rsidRDefault="00D83F4A" w:rsidP="00216A2F">
      <w:pPr>
        <w:spacing w:after="0"/>
      </w:pPr>
    </w:p>
    <w:p w14:paraId="5160689D" w14:textId="3956BE54" w:rsidR="00D83F4A" w:rsidRPr="00D83F4A" w:rsidRDefault="00D83F4A" w:rsidP="00216A2F">
      <w:pPr>
        <w:spacing w:after="0"/>
      </w:pPr>
      <w:r w:rsidRPr="00D83F4A">
        <w:t xml:space="preserve">The Taskforces, each chaired by the respective region’s Employment Facilitator, </w:t>
      </w:r>
      <w:r w:rsidR="00BC6572" w:rsidRPr="00D83F4A">
        <w:t>develop,</w:t>
      </w:r>
      <w:r w:rsidRPr="00D83F4A">
        <w:t xml:space="preserve"> and update a Local Jobs Plan for their region that identifies key employment and training priorities and provides a framework for driving employment outcomes in the context of the local labour market.</w:t>
      </w:r>
    </w:p>
    <w:p w14:paraId="7A9A3862" w14:textId="77777777" w:rsidR="00D83F4A" w:rsidRPr="00D83F4A" w:rsidRDefault="00D83F4A" w:rsidP="00216A2F">
      <w:pPr>
        <w:spacing w:after="0"/>
      </w:pPr>
    </w:p>
    <w:p w14:paraId="2D2352FC" w14:textId="67B3F6CF" w:rsidR="009D2940" w:rsidRDefault="00D83F4A" w:rsidP="009D2940">
      <w:pPr>
        <w:spacing w:after="0"/>
      </w:pPr>
      <w:r w:rsidRPr="00D83F4A">
        <w:t xml:space="preserve">This Local Jobs Plan for the </w:t>
      </w:r>
      <w:r>
        <w:t>Fitzroy</w:t>
      </w:r>
      <w:r w:rsidRPr="00D83F4A">
        <w:t xml:space="preserve"> Employment Region identifies the key LJP priorities with a focus on creating employment opportunities, actively upskilling or reskilling local job seekers and meeting local employer demands.</w:t>
      </w:r>
    </w:p>
    <w:p w14:paraId="0178F0BD" w14:textId="77777777" w:rsidR="009D2940" w:rsidRPr="00914634" w:rsidRDefault="009D2940" w:rsidP="00216A2F">
      <w:pPr>
        <w:spacing w:after="0"/>
      </w:pPr>
    </w:p>
    <w:p w14:paraId="6A607C9E" w14:textId="7E10455A" w:rsidR="001B4E5C" w:rsidRPr="00A275DD" w:rsidRDefault="001B4E5C">
      <w:pPr>
        <w:pStyle w:val="Heading1"/>
      </w:pPr>
      <w:bookmarkStart w:id="15" w:name="_Toc54252353"/>
      <w:bookmarkStart w:id="16" w:name="_Toc54252383"/>
      <w:bookmarkStart w:id="17" w:name="_Toc54856982"/>
      <w:bookmarkStart w:id="18" w:name="_Toc94614524"/>
      <w:bookmarkStart w:id="19" w:name="_Toc1805992030"/>
      <w:r w:rsidRPr="00A275DD">
        <w:t xml:space="preserve">Key </w:t>
      </w:r>
      <w:bookmarkEnd w:id="15"/>
      <w:bookmarkEnd w:id="16"/>
      <w:bookmarkEnd w:id="17"/>
      <w:r w:rsidR="00F14F20">
        <w:t>e</w:t>
      </w:r>
      <w:r w:rsidR="00EA3246" w:rsidRPr="00A275DD">
        <w:t xml:space="preserve">mployment and </w:t>
      </w:r>
      <w:r w:rsidR="00F14F20">
        <w:t>t</w:t>
      </w:r>
      <w:r w:rsidR="00EA3246" w:rsidRPr="00A275DD">
        <w:t xml:space="preserve">raining </w:t>
      </w:r>
      <w:r w:rsidR="00F14F20">
        <w:t>p</w:t>
      </w:r>
      <w:r w:rsidR="00EA3246" w:rsidRPr="00A275DD">
        <w:t>riorities</w:t>
      </w:r>
      <w:bookmarkEnd w:id="18"/>
      <w:r w:rsidR="00EA3246" w:rsidRPr="00A275DD">
        <w:t xml:space="preserve"> </w:t>
      </w:r>
      <w:bookmarkEnd w:id="19"/>
    </w:p>
    <w:p w14:paraId="20FC3E6E" w14:textId="2EE4BBE1" w:rsidR="00FC5417" w:rsidRDefault="00585D73" w:rsidP="00227EBE">
      <w:pPr>
        <w:pStyle w:val="ListParagraph"/>
        <w:numPr>
          <w:ilvl w:val="0"/>
          <w:numId w:val="41"/>
        </w:numPr>
        <w:spacing w:before="120" w:after="120" w:line="257" w:lineRule="auto"/>
        <w:ind w:left="357" w:hanging="357"/>
        <w:contextualSpacing w:val="0"/>
        <w:rPr>
          <w:rFonts w:cstheme="minorHAnsi"/>
        </w:rPr>
      </w:pPr>
      <w:bookmarkStart w:id="20" w:name="_Hlk78967659"/>
      <w:r>
        <w:rPr>
          <w:rFonts w:cstheme="minorHAnsi"/>
        </w:rPr>
        <w:t>C</w:t>
      </w:r>
      <w:r w:rsidR="00F826DC">
        <w:rPr>
          <w:rFonts w:cstheme="minorHAnsi"/>
        </w:rPr>
        <w:t>ollaborat</w:t>
      </w:r>
      <w:r>
        <w:rPr>
          <w:rFonts w:cstheme="minorHAnsi"/>
        </w:rPr>
        <w:t>e</w:t>
      </w:r>
      <w:r w:rsidR="00F826DC">
        <w:rPr>
          <w:rFonts w:cstheme="minorHAnsi"/>
        </w:rPr>
        <w:t>, co-ordinat</w:t>
      </w:r>
      <w:r w:rsidR="001C1F5F">
        <w:rPr>
          <w:rFonts w:cstheme="minorHAnsi"/>
        </w:rPr>
        <w:t>e</w:t>
      </w:r>
      <w:r w:rsidR="00F826DC">
        <w:rPr>
          <w:rFonts w:cstheme="minorHAnsi"/>
        </w:rPr>
        <w:t xml:space="preserve"> and</w:t>
      </w:r>
      <w:r w:rsidR="004631EF">
        <w:rPr>
          <w:rFonts w:cstheme="minorHAnsi"/>
        </w:rPr>
        <w:t xml:space="preserve"> utilis</w:t>
      </w:r>
      <w:r w:rsidR="001C1F5F">
        <w:rPr>
          <w:rFonts w:cstheme="minorHAnsi"/>
        </w:rPr>
        <w:t>e</w:t>
      </w:r>
      <w:r w:rsidR="004631EF">
        <w:rPr>
          <w:rFonts w:cstheme="minorHAnsi"/>
        </w:rPr>
        <w:t xml:space="preserve"> current programs</w:t>
      </w:r>
      <w:r w:rsidR="00714821">
        <w:rPr>
          <w:rFonts w:cstheme="minorHAnsi"/>
        </w:rPr>
        <w:t xml:space="preserve"> and funding</w:t>
      </w:r>
      <w:r w:rsidR="004631EF">
        <w:rPr>
          <w:rFonts w:cstheme="minorHAnsi"/>
        </w:rPr>
        <w:t xml:space="preserve"> </w:t>
      </w:r>
      <w:r w:rsidR="002C078D">
        <w:rPr>
          <w:rFonts w:cstheme="minorHAnsi"/>
        </w:rPr>
        <w:t>to</w:t>
      </w:r>
      <w:r w:rsidR="004631EF" w:rsidRPr="00377B56">
        <w:rPr>
          <w:rFonts w:cstheme="minorHAnsi"/>
        </w:rPr>
        <w:t xml:space="preserve"> </w:t>
      </w:r>
      <w:r w:rsidR="00625ACA">
        <w:rPr>
          <w:rFonts w:cstheme="minorHAnsi"/>
        </w:rPr>
        <w:t>i</w:t>
      </w:r>
      <w:r w:rsidR="001B4E5C" w:rsidRPr="00377B56">
        <w:rPr>
          <w:rFonts w:cstheme="minorHAnsi"/>
        </w:rPr>
        <w:t xml:space="preserve">dentify, </w:t>
      </w:r>
      <w:r w:rsidR="00FC5417" w:rsidRPr="00377B56">
        <w:rPr>
          <w:rFonts w:cstheme="minorHAnsi"/>
        </w:rPr>
        <w:t>upskill,</w:t>
      </w:r>
      <w:r w:rsidR="001B4E5C" w:rsidRPr="00377B56">
        <w:rPr>
          <w:rFonts w:cstheme="minorHAnsi"/>
        </w:rPr>
        <w:t xml:space="preserve"> and place appropriate job seekers</w:t>
      </w:r>
      <w:r w:rsidR="003517AA">
        <w:rPr>
          <w:rFonts w:cstheme="minorHAnsi"/>
        </w:rPr>
        <w:t xml:space="preserve"> within the Fitzroy ER</w:t>
      </w:r>
      <w:r w:rsidR="00AA1B0D">
        <w:rPr>
          <w:rFonts w:cstheme="minorHAnsi"/>
        </w:rPr>
        <w:t xml:space="preserve"> </w:t>
      </w:r>
      <w:r w:rsidR="00FB575E">
        <w:rPr>
          <w:rFonts w:cstheme="minorHAnsi"/>
        </w:rPr>
        <w:t>into</w:t>
      </w:r>
      <w:r w:rsidR="00AA1B0D">
        <w:rPr>
          <w:rFonts w:cstheme="minorHAnsi"/>
        </w:rPr>
        <w:t xml:space="preserve"> </w:t>
      </w:r>
      <w:r w:rsidR="00521404">
        <w:rPr>
          <w:rFonts w:cstheme="minorHAnsi"/>
        </w:rPr>
        <w:t>industries experiencing on-going labour shortages</w:t>
      </w:r>
      <w:r w:rsidR="005D6075">
        <w:rPr>
          <w:rFonts w:cstheme="minorHAnsi"/>
        </w:rPr>
        <w:t>, namely</w:t>
      </w:r>
      <w:r w:rsidR="00A60695" w:rsidRPr="00377B56">
        <w:rPr>
          <w:rFonts w:cstheme="minorHAnsi"/>
        </w:rPr>
        <w:t>:</w:t>
      </w:r>
      <w:r w:rsidR="001B4E5C" w:rsidRPr="00377B56">
        <w:rPr>
          <w:rFonts w:cstheme="minorHAnsi"/>
        </w:rPr>
        <w:t xml:space="preserve"> </w:t>
      </w:r>
    </w:p>
    <w:p w14:paraId="35FF382E" w14:textId="270ECFEF" w:rsidR="0088344C" w:rsidRPr="0088344C" w:rsidRDefault="0088344C" w:rsidP="00FC5417">
      <w:pPr>
        <w:pStyle w:val="ListParagraph"/>
        <w:numPr>
          <w:ilvl w:val="1"/>
          <w:numId w:val="41"/>
        </w:numPr>
        <w:spacing w:before="120" w:after="120" w:line="257" w:lineRule="auto"/>
        <w:contextualSpacing w:val="0"/>
        <w:rPr>
          <w:rFonts w:cstheme="minorHAnsi"/>
        </w:rPr>
      </w:pPr>
      <w:r>
        <w:rPr>
          <w:rFonts w:cstheme="minorHAnsi"/>
        </w:rPr>
        <w:t>A</w:t>
      </w:r>
      <w:r w:rsidR="00CA6DEE" w:rsidRPr="00377B56">
        <w:t xml:space="preserve">griculture, </w:t>
      </w:r>
      <w:r w:rsidR="00FC5417">
        <w:t>F</w:t>
      </w:r>
      <w:r w:rsidR="006B51DB" w:rsidRPr="00377B56">
        <w:t>orestry</w:t>
      </w:r>
      <w:r w:rsidR="00CA6DEE" w:rsidRPr="00377B56">
        <w:t xml:space="preserve"> and </w:t>
      </w:r>
      <w:r w:rsidR="00FC5417">
        <w:t>F</w:t>
      </w:r>
      <w:r w:rsidR="00CA6DEE" w:rsidRPr="00377B56">
        <w:t>ishing</w:t>
      </w:r>
    </w:p>
    <w:p w14:paraId="5177DA99" w14:textId="3BF05955" w:rsidR="00FC5417" w:rsidRPr="00FC5417" w:rsidRDefault="0088344C" w:rsidP="00FC5417">
      <w:pPr>
        <w:pStyle w:val="ListParagraph"/>
        <w:numPr>
          <w:ilvl w:val="1"/>
          <w:numId w:val="41"/>
        </w:numPr>
        <w:spacing w:before="120" w:after="120" w:line="257" w:lineRule="auto"/>
        <w:contextualSpacing w:val="0"/>
        <w:rPr>
          <w:rFonts w:cstheme="minorHAnsi"/>
        </w:rPr>
      </w:pPr>
      <w:r>
        <w:t>M</w:t>
      </w:r>
      <w:r w:rsidR="00CA6DEE" w:rsidRPr="00377B56">
        <w:t xml:space="preserve">ining </w:t>
      </w:r>
    </w:p>
    <w:p w14:paraId="1E0B67DF" w14:textId="4D1030E9" w:rsidR="00FC5417" w:rsidRPr="00FC5417" w:rsidRDefault="00FC5417" w:rsidP="00FC5417">
      <w:pPr>
        <w:pStyle w:val="ListParagraph"/>
        <w:numPr>
          <w:ilvl w:val="1"/>
          <w:numId w:val="41"/>
        </w:numPr>
        <w:spacing w:before="120" w:after="120" w:line="257" w:lineRule="auto"/>
        <w:contextualSpacing w:val="0"/>
        <w:rPr>
          <w:rFonts w:cstheme="minorHAnsi"/>
        </w:rPr>
      </w:pPr>
      <w:r>
        <w:t>H</w:t>
      </w:r>
      <w:r w:rsidR="00CA6DEE" w:rsidRPr="00377B56">
        <w:t xml:space="preserve">ealth </w:t>
      </w:r>
      <w:r w:rsidR="009D6B72">
        <w:t>C</w:t>
      </w:r>
      <w:r w:rsidR="00CA6DEE" w:rsidRPr="00377B56">
        <w:t xml:space="preserve">are and </w:t>
      </w:r>
      <w:r w:rsidR="009D6B72">
        <w:t>S</w:t>
      </w:r>
      <w:r w:rsidR="00CA6DEE" w:rsidRPr="00377B56">
        <w:t xml:space="preserve">ocial </w:t>
      </w:r>
      <w:r w:rsidR="009D6B72">
        <w:t>A</w:t>
      </w:r>
      <w:r w:rsidR="00CA6DEE" w:rsidRPr="00377B56">
        <w:t>ssistance</w:t>
      </w:r>
    </w:p>
    <w:p w14:paraId="053DCBDB" w14:textId="77777777" w:rsidR="00FC5417" w:rsidRPr="00FC5417" w:rsidRDefault="00FC5417" w:rsidP="00FC5417">
      <w:pPr>
        <w:pStyle w:val="ListParagraph"/>
        <w:numPr>
          <w:ilvl w:val="1"/>
          <w:numId w:val="41"/>
        </w:numPr>
        <w:spacing w:before="120" w:after="120" w:line="257" w:lineRule="auto"/>
        <w:contextualSpacing w:val="0"/>
        <w:rPr>
          <w:rFonts w:cstheme="minorHAnsi"/>
        </w:rPr>
      </w:pPr>
      <w:r>
        <w:t>M</w:t>
      </w:r>
      <w:r w:rsidR="00CA6DEE" w:rsidRPr="00377B56">
        <w:t xml:space="preserve">anufacturing </w:t>
      </w:r>
    </w:p>
    <w:p w14:paraId="2077FBBF" w14:textId="7F6A047D" w:rsidR="00FC5417" w:rsidRPr="00FC5417" w:rsidRDefault="00FC5417" w:rsidP="00FC5417">
      <w:pPr>
        <w:pStyle w:val="ListParagraph"/>
        <w:numPr>
          <w:ilvl w:val="1"/>
          <w:numId w:val="41"/>
        </w:numPr>
        <w:spacing w:before="120" w:after="120" w:line="257" w:lineRule="auto"/>
        <w:contextualSpacing w:val="0"/>
        <w:rPr>
          <w:rFonts w:cstheme="minorHAnsi"/>
        </w:rPr>
      </w:pPr>
      <w:r>
        <w:t>C</w:t>
      </w:r>
      <w:r w:rsidR="00CA6DEE" w:rsidRPr="00377B56">
        <w:t>onstruction</w:t>
      </w:r>
      <w:r w:rsidR="00377B56" w:rsidRPr="00377B56">
        <w:t xml:space="preserve"> </w:t>
      </w:r>
    </w:p>
    <w:p w14:paraId="79B9744E" w14:textId="77777777" w:rsidR="00F80309" w:rsidRPr="00F80309" w:rsidRDefault="00FC5417" w:rsidP="00FC5417">
      <w:pPr>
        <w:pStyle w:val="ListParagraph"/>
        <w:numPr>
          <w:ilvl w:val="1"/>
          <w:numId w:val="41"/>
        </w:numPr>
        <w:spacing w:before="120" w:after="120" w:line="257" w:lineRule="auto"/>
        <w:contextualSpacing w:val="0"/>
        <w:rPr>
          <w:rFonts w:cstheme="minorHAnsi"/>
        </w:rPr>
      </w:pPr>
      <w:r w:rsidRPr="00377B56">
        <w:t>Tourism</w:t>
      </w:r>
      <w:r>
        <w:t xml:space="preserve"> &amp; </w:t>
      </w:r>
      <w:r w:rsidR="00377B56" w:rsidRPr="00377B56">
        <w:t>Hospitality</w:t>
      </w:r>
    </w:p>
    <w:p w14:paraId="170E2472" w14:textId="7757BCF9" w:rsidR="00F80309" w:rsidRDefault="00F80309" w:rsidP="00F80309">
      <w:pPr>
        <w:pStyle w:val="ListParagraph"/>
        <w:spacing w:before="120" w:after="120" w:line="257" w:lineRule="auto"/>
        <w:ind w:left="357"/>
        <w:contextualSpacing w:val="0"/>
        <w:rPr>
          <w:rFonts w:cstheme="minorHAnsi"/>
        </w:rPr>
      </w:pPr>
    </w:p>
    <w:p w14:paraId="67F1C470" w14:textId="7AEDB6B9" w:rsidR="00FC5417" w:rsidRDefault="002B1FA6" w:rsidP="00227EBE">
      <w:pPr>
        <w:pStyle w:val="ListParagraph"/>
        <w:numPr>
          <w:ilvl w:val="0"/>
          <w:numId w:val="41"/>
        </w:numPr>
        <w:spacing w:before="120" w:after="120" w:line="257" w:lineRule="auto"/>
        <w:ind w:left="357" w:hanging="357"/>
        <w:contextualSpacing w:val="0"/>
        <w:rPr>
          <w:rFonts w:cstheme="minorHAnsi"/>
        </w:rPr>
      </w:pPr>
      <w:r>
        <w:rPr>
          <w:rFonts w:cstheme="minorHAnsi"/>
        </w:rPr>
        <w:lastRenderedPageBreak/>
        <w:t>Increase the number of</w:t>
      </w:r>
      <w:r w:rsidRPr="00FC5417">
        <w:rPr>
          <w:rFonts w:cstheme="minorHAnsi"/>
        </w:rPr>
        <w:t xml:space="preserve"> </w:t>
      </w:r>
      <w:r w:rsidR="00FC5417" w:rsidRPr="00FC5417">
        <w:rPr>
          <w:rFonts w:cstheme="minorHAnsi"/>
        </w:rPr>
        <w:t xml:space="preserve">young job seekers </w:t>
      </w:r>
      <w:r w:rsidR="00A505B6">
        <w:rPr>
          <w:rFonts w:cstheme="minorHAnsi"/>
        </w:rPr>
        <w:t xml:space="preserve">aged between 15 and 24 </w:t>
      </w:r>
      <w:r w:rsidR="00FC5417" w:rsidRPr="00FC5417">
        <w:rPr>
          <w:rFonts w:cstheme="minorHAnsi"/>
        </w:rPr>
        <w:t>to undertake apprenticeships and traineeships to fill current and emerging employment opportunities</w:t>
      </w:r>
      <w:r w:rsidR="00AF1DB1">
        <w:rPr>
          <w:rFonts w:cstheme="minorHAnsi"/>
        </w:rPr>
        <w:t xml:space="preserve"> across the region</w:t>
      </w:r>
      <w:r w:rsidR="0072630B">
        <w:rPr>
          <w:rFonts w:cstheme="minorHAnsi"/>
        </w:rPr>
        <w:t xml:space="preserve"> by improving their employability and suitability for </w:t>
      </w:r>
      <w:r w:rsidR="000613C4">
        <w:rPr>
          <w:rFonts w:cstheme="minorHAnsi"/>
        </w:rPr>
        <w:t>vacancies</w:t>
      </w:r>
      <w:r w:rsidR="00FC5417" w:rsidRPr="00FC5417">
        <w:rPr>
          <w:rFonts w:cstheme="minorHAnsi"/>
        </w:rPr>
        <w:t>.</w:t>
      </w:r>
    </w:p>
    <w:p w14:paraId="4ACBA10E" w14:textId="7BF9953D" w:rsidR="00F80309" w:rsidRDefault="00F80309" w:rsidP="00F80309">
      <w:pPr>
        <w:pStyle w:val="ListParagraph"/>
        <w:spacing w:before="120" w:after="120" w:line="257" w:lineRule="auto"/>
        <w:ind w:left="357"/>
        <w:contextualSpacing w:val="0"/>
        <w:rPr>
          <w:rFonts w:cstheme="minorHAnsi"/>
        </w:rPr>
      </w:pPr>
    </w:p>
    <w:p w14:paraId="0FA805BA" w14:textId="6E70B6F4" w:rsidR="00FC5417" w:rsidRDefault="00C679B6" w:rsidP="00227EBE">
      <w:pPr>
        <w:pStyle w:val="ListParagraph"/>
        <w:numPr>
          <w:ilvl w:val="0"/>
          <w:numId w:val="41"/>
        </w:numPr>
        <w:spacing w:before="120" w:after="120" w:line="257" w:lineRule="auto"/>
        <w:ind w:left="357" w:hanging="357"/>
        <w:contextualSpacing w:val="0"/>
        <w:rPr>
          <w:rFonts w:cstheme="minorHAnsi"/>
        </w:rPr>
      </w:pPr>
      <w:r w:rsidRPr="00C679B6">
        <w:rPr>
          <w:rFonts w:cstheme="minorHAnsi"/>
        </w:rPr>
        <w:t>Leveraging new and existing programs through collaboration and communication to increase employment pathway opportunities through training and upskilling for</w:t>
      </w:r>
      <w:r w:rsidR="005327EA" w:rsidRPr="00377B56">
        <w:rPr>
          <w:rFonts w:cstheme="minorHAnsi"/>
        </w:rPr>
        <w:t>:</w:t>
      </w:r>
    </w:p>
    <w:p w14:paraId="14F132A0" w14:textId="77777777" w:rsidR="00FC5417" w:rsidRDefault="006F162E" w:rsidP="00FC5417">
      <w:pPr>
        <w:pStyle w:val="ListParagraph"/>
        <w:numPr>
          <w:ilvl w:val="1"/>
          <w:numId w:val="41"/>
        </w:numPr>
        <w:spacing w:before="120" w:after="120" w:line="257" w:lineRule="auto"/>
        <w:contextualSpacing w:val="0"/>
        <w:rPr>
          <w:rFonts w:cstheme="minorHAnsi"/>
        </w:rPr>
      </w:pPr>
      <w:r w:rsidRPr="00377B56">
        <w:rPr>
          <w:rFonts w:cstheme="minorHAnsi"/>
        </w:rPr>
        <w:t>Indigenous</w:t>
      </w:r>
      <w:r w:rsidR="005327EA" w:rsidRPr="00377B56">
        <w:rPr>
          <w:rFonts w:cstheme="minorHAnsi"/>
        </w:rPr>
        <w:t xml:space="preserve"> job seekers</w:t>
      </w:r>
    </w:p>
    <w:p w14:paraId="01B64A6A" w14:textId="1407D08D" w:rsidR="00FC5417" w:rsidRDefault="00FC5417" w:rsidP="00FC5417">
      <w:pPr>
        <w:pStyle w:val="ListParagraph"/>
        <w:numPr>
          <w:ilvl w:val="1"/>
          <w:numId w:val="41"/>
        </w:numPr>
        <w:spacing w:before="120" w:after="120" w:line="257" w:lineRule="auto"/>
        <w:contextualSpacing w:val="0"/>
        <w:rPr>
          <w:rFonts w:cstheme="minorHAnsi"/>
        </w:rPr>
      </w:pPr>
      <w:r>
        <w:rPr>
          <w:rFonts w:cstheme="minorHAnsi"/>
        </w:rPr>
        <w:t>M</w:t>
      </w:r>
      <w:r w:rsidR="006F162E" w:rsidRPr="00377B56">
        <w:rPr>
          <w:rFonts w:cstheme="minorHAnsi"/>
        </w:rPr>
        <w:t xml:space="preserve">ature </w:t>
      </w:r>
      <w:r w:rsidR="00F7790F">
        <w:rPr>
          <w:rFonts w:cstheme="minorHAnsi"/>
        </w:rPr>
        <w:t>A</w:t>
      </w:r>
      <w:r w:rsidR="006F162E" w:rsidRPr="00377B56">
        <w:rPr>
          <w:rFonts w:cstheme="minorHAnsi"/>
        </w:rPr>
        <w:t>ged job seekers</w:t>
      </w:r>
    </w:p>
    <w:p w14:paraId="4711DD12" w14:textId="0AD87809" w:rsidR="00FC5417" w:rsidRDefault="00FC5417" w:rsidP="00FC5417">
      <w:pPr>
        <w:pStyle w:val="ListParagraph"/>
        <w:numPr>
          <w:ilvl w:val="1"/>
          <w:numId w:val="41"/>
        </w:numPr>
        <w:spacing w:before="120" w:after="120" w:line="257" w:lineRule="auto"/>
        <w:contextualSpacing w:val="0"/>
        <w:rPr>
          <w:rFonts w:cstheme="minorHAnsi"/>
        </w:rPr>
      </w:pPr>
      <w:r>
        <w:rPr>
          <w:rFonts w:cstheme="minorHAnsi"/>
        </w:rPr>
        <w:t>J</w:t>
      </w:r>
      <w:r w:rsidR="001B4E5C" w:rsidRPr="00377B56">
        <w:rPr>
          <w:rFonts w:cstheme="minorHAnsi"/>
        </w:rPr>
        <w:t>ob seekers</w:t>
      </w:r>
      <w:r w:rsidR="006F162E" w:rsidRPr="00377B56">
        <w:rPr>
          <w:rFonts w:cstheme="minorHAnsi"/>
        </w:rPr>
        <w:t xml:space="preserve"> with a </w:t>
      </w:r>
      <w:r w:rsidR="00F7790F">
        <w:rPr>
          <w:rFonts w:cstheme="minorHAnsi"/>
        </w:rPr>
        <w:t>D</w:t>
      </w:r>
      <w:r w:rsidR="006F162E" w:rsidRPr="00377B56">
        <w:rPr>
          <w:rFonts w:cstheme="minorHAnsi"/>
        </w:rPr>
        <w:t>isability</w:t>
      </w:r>
    </w:p>
    <w:p w14:paraId="0A636DEF" w14:textId="2D819756" w:rsidR="001B4E5C" w:rsidRDefault="00B84894" w:rsidP="00FC5417">
      <w:pPr>
        <w:pStyle w:val="ListParagraph"/>
        <w:numPr>
          <w:ilvl w:val="1"/>
          <w:numId w:val="41"/>
        </w:numPr>
        <w:spacing w:before="120" w:after="120" w:line="257" w:lineRule="auto"/>
        <w:contextualSpacing w:val="0"/>
        <w:rPr>
          <w:rFonts w:cstheme="minorHAnsi"/>
        </w:rPr>
      </w:pPr>
      <w:r w:rsidRPr="00377B56">
        <w:rPr>
          <w:rFonts w:cstheme="minorHAnsi"/>
        </w:rPr>
        <w:t>Long</w:t>
      </w:r>
      <w:r>
        <w:rPr>
          <w:rFonts w:cstheme="minorHAnsi"/>
        </w:rPr>
        <w:t>-</w:t>
      </w:r>
      <w:r w:rsidRPr="00377B56">
        <w:rPr>
          <w:rFonts w:cstheme="minorHAnsi"/>
        </w:rPr>
        <w:t xml:space="preserve">Term </w:t>
      </w:r>
      <w:r w:rsidR="00F7790F">
        <w:rPr>
          <w:rFonts w:cstheme="minorHAnsi"/>
        </w:rPr>
        <w:t>U</w:t>
      </w:r>
      <w:r w:rsidRPr="00377B56">
        <w:rPr>
          <w:rFonts w:cstheme="minorHAnsi"/>
        </w:rPr>
        <w:t>nemployed</w:t>
      </w:r>
      <w:r>
        <w:rPr>
          <w:rFonts w:cstheme="minorHAnsi"/>
        </w:rPr>
        <w:t xml:space="preserve"> (12 months and above)</w:t>
      </w:r>
      <w:r w:rsidR="005327EA" w:rsidRPr="00377B56">
        <w:rPr>
          <w:rFonts w:cstheme="minorHAnsi"/>
        </w:rPr>
        <w:t>.</w:t>
      </w:r>
    </w:p>
    <w:bookmarkEnd w:id="20"/>
    <w:p w14:paraId="1512FC9E" w14:textId="77777777" w:rsidR="005E6CFD" w:rsidRPr="00FD59EF" w:rsidRDefault="005E6CFD" w:rsidP="005E6CFD">
      <w:pPr>
        <w:pStyle w:val="ListParagraph"/>
        <w:spacing w:before="120" w:after="120" w:line="257" w:lineRule="auto"/>
        <w:ind w:left="357"/>
        <w:contextualSpacing w:val="0"/>
        <w:rPr>
          <w:rFonts w:cstheme="minorHAnsi"/>
        </w:rPr>
      </w:pPr>
    </w:p>
    <w:p w14:paraId="1C35C8E0" w14:textId="6F25BB1A" w:rsidR="001B4E5C" w:rsidRDefault="001B4E5C" w:rsidP="008E3721">
      <w:pPr>
        <w:spacing w:before="120" w:after="120" w:line="257" w:lineRule="auto"/>
      </w:pPr>
      <w:r w:rsidRPr="00F05E70">
        <w:t>A full description of these key priorities, the strategies to address the</w:t>
      </w:r>
      <w:r w:rsidR="008046BD">
        <w:t>m</w:t>
      </w:r>
      <w:r w:rsidRPr="00F05E70">
        <w:t xml:space="preserve"> and a list of key stakeholders can be found at </w:t>
      </w:r>
      <w:r w:rsidRPr="005E6CFD">
        <w:rPr>
          <w:u w:val="single"/>
        </w:rPr>
        <w:t>Attachment A</w:t>
      </w:r>
      <w:r w:rsidRPr="00F05E70">
        <w:t>.</w:t>
      </w:r>
    </w:p>
    <w:p w14:paraId="29639750" w14:textId="77777777" w:rsidR="00DE2AE2" w:rsidRPr="000B76E8" w:rsidRDefault="00DE2AE2" w:rsidP="000B76E8">
      <w:pPr>
        <w:rPr>
          <w:sz w:val="16"/>
          <w:szCs w:val="16"/>
          <w:lang w:val="en-AU"/>
        </w:rPr>
      </w:pPr>
    </w:p>
    <w:p w14:paraId="1AE08DCA" w14:textId="11F55BCB" w:rsidR="001B4E5C" w:rsidRPr="006F417B" w:rsidRDefault="001B4E5C">
      <w:pPr>
        <w:pStyle w:val="Heading1"/>
      </w:pPr>
      <w:bookmarkStart w:id="21" w:name="_Toc54252357"/>
      <w:bookmarkStart w:id="22" w:name="_Toc54252386"/>
      <w:bookmarkStart w:id="23" w:name="_Toc54856985"/>
      <w:bookmarkStart w:id="24" w:name="_Toc569664753"/>
      <w:bookmarkStart w:id="25" w:name="_Toc94614525"/>
      <w:r w:rsidRPr="006F417B">
        <w:t>Employment Region</w:t>
      </w:r>
      <w:bookmarkEnd w:id="21"/>
      <w:bookmarkEnd w:id="22"/>
      <w:bookmarkEnd w:id="23"/>
      <w:r w:rsidR="00952B94" w:rsidRPr="006F417B">
        <w:t xml:space="preserve"> Overview</w:t>
      </w:r>
      <w:bookmarkEnd w:id="24"/>
      <w:bookmarkEnd w:id="25"/>
    </w:p>
    <w:p w14:paraId="33AC3C33" w14:textId="32E07F84" w:rsidR="001B4E5C" w:rsidRPr="00914634" w:rsidRDefault="008820D1" w:rsidP="001B4E5C">
      <w:r>
        <w:rPr>
          <w:noProof/>
          <w:lang w:eastAsia="en-AU"/>
        </w:rPr>
        <w:drawing>
          <wp:inline distT="0" distB="0" distL="0" distR="0" wp14:anchorId="6988CA7C" wp14:editId="2BFCE1C6">
            <wp:extent cx="4705350" cy="3207385"/>
            <wp:effectExtent l="0" t="0" r="0" b="0"/>
            <wp:docPr id="4" name="Picture 4" descr="Map Showcasing the Fitzroy Employment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ap Showcasing the Fitzroy Employment Region"/>
                    <pic:cNvPicPr/>
                  </pic:nvPicPr>
                  <pic:blipFill>
                    <a:blip r:embed="rId22"/>
                    <a:stretch>
                      <a:fillRect/>
                    </a:stretch>
                  </pic:blipFill>
                  <pic:spPr>
                    <a:xfrm>
                      <a:off x="0" y="0"/>
                      <a:ext cx="4705350" cy="3207385"/>
                    </a:xfrm>
                    <a:prstGeom prst="rect">
                      <a:avLst/>
                    </a:prstGeom>
                  </pic:spPr>
                </pic:pic>
              </a:graphicData>
            </a:graphic>
          </wp:inline>
        </w:drawing>
      </w:r>
    </w:p>
    <w:p w14:paraId="7CA86813" w14:textId="467C756A" w:rsidR="00F4096F" w:rsidRDefault="00B127AF" w:rsidP="0031584C">
      <w:pPr>
        <w:contextualSpacing/>
      </w:pPr>
      <w:r>
        <w:t>Situated</w:t>
      </w:r>
      <w:r w:rsidR="00AB3057">
        <w:t xml:space="preserve"> </w:t>
      </w:r>
      <w:r w:rsidR="00151B6F">
        <w:t>betwee</w:t>
      </w:r>
      <w:r w:rsidR="00E70D4C">
        <w:t>n</w:t>
      </w:r>
      <w:r w:rsidR="00954FB4">
        <w:t xml:space="preserve"> the</w:t>
      </w:r>
      <w:r w:rsidR="00E70D4C">
        <w:t xml:space="preserve"> </w:t>
      </w:r>
      <w:r w:rsidR="008E5044">
        <w:t xml:space="preserve">Mackay ER in the north and </w:t>
      </w:r>
      <w:r w:rsidR="00650217">
        <w:t xml:space="preserve">Darling Downs, </w:t>
      </w:r>
      <w:r w:rsidR="008E5044">
        <w:t>Wide Bay and Sunshine Coast ER</w:t>
      </w:r>
      <w:r w:rsidR="00650217">
        <w:t>’s</w:t>
      </w:r>
      <w:r w:rsidR="008E5044">
        <w:t xml:space="preserve"> in the </w:t>
      </w:r>
      <w:r w:rsidR="00F50B56">
        <w:t xml:space="preserve">south, </w:t>
      </w:r>
      <w:r w:rsidR="00430ED8">
        <w:t>t</w:t>
      </w:r>
      <w:r w:rsidR="001B4E5C" w:rsidRPr="00F9115D">
        <w:t xml:space="preserve">he </w:t>
      </w:r>
      <w:r w:rsidR="009D1B52">
        <w:t>Fitzroy ER has a total land area of 117,588.0 km</w:t>
      </w:r>
      <w:r w:rsidR="000717F2">
        <w:t>²</w:t>
      </w:r>
      <w:r w:rsidR="009D1B52">
        <w:t xml:space="preserve">, </w:t>
      </w:r>
      <w:r w:rsidR="008007DD">
        <w:t>a</w:t>
      </w:r>
      <w:r w:rsidR="009D1B52">
        <w:t xml:space="preserve">n average daily temperature range of 14.9°C to 28.2°C and an average annual rainfall of 711mm. </w:t>
      </w:r>
    </w:p>
    <w:p w14:paraId="2FB13F25" w14:textId="77777777" w:rsidR="00F771F0" w:rsidRDefault="00F771F0" w:rsidP="0031584C">
      <w:pPr>
        <w:contextualSpacing/>
      </w:pPr>
    </w:p>
    <w:p w14:paraId="5B19A2ED" w14:textId="5F977C35" w:rsidR="00DB3F43" w:rsidRDefault="004E6897" w:rsidP="0031584C">
      <w:pPr>
        <w:contextualSpacing/>
      </w:pPr>
      <w:r w:rsidRPr="00F9115D">
        <w:t xml:space="preserve">Fitzroy has six </w:t>
      </w:r>
      <w:r w:rsidR="001B4E5C" w:rsidRPr="00F9115D">
        <w:t>Local Government Areas (LGAs</w:t>
      </w:r>
      <w:r w:rsidR="00F9115D" w:rsidDel="00C85F94">
        <w:t>)</w:t>
      </w:r>
      <w:r w:rsidR="001B4E5C" w:rsidRPr="00F9115D">
        <w:t>:</w:t>
      </w:r>
      <w:r w:rsidR="001B4E5C" w:rsidRPr="00F9115D" w:rsidDel="00C85F94">
        <w:t xml:space="preserve"> </w:t>
      </w:r>
      <w:r w:rsidRPr="00F9115D">
        <w:t xml:space="preserve">Rockhampton, </w:t>
      </w:r>
      <w:r w:rsidR="00CC422B" w:rsidRPr="00F9115D">
        <w:t>Gladstone</w:t>
      </w:r>
      <w:r w:rsidR="000E341D">
        <w:t>,</w:t>
      </w:r>
      <w:r w:rsidR="00CC422B" w:rsidRPr="00F9115D">
        <w:t xml:space="preserve"> </w:t>
      </w:r>
      <w:r w:rsidRPr="00F9115D">
        <w:t xml:space="preserve">Livingstone, </w:t>
      </w:r>
      <w:r w:rsidR="000E341D" w:rsidRPr="00F9115D">
        <w:t>Central Highlands</w:t>
      </w:r>
      <w:r w:rsidRPr="00F9115D">
        <w:t>, Banana,</w:t>
      </w:r>
      <w:r w:rsidR="00CD7AB5">
        <w:t xml:space="preserve"> and</w:t>
      </w:r>
      <w:r w:rsidRPr="00F9115D">
        <w:t xml:space="preserve"> Woorabinda.</w:t>
      </w:r>
      <w:r w:rsidR="007F7693">
        <w:t xml:space="preserve"> </w:t>
      </w:r>
      <w:r w:rsidR="00CC422B">
        <w:t xml:space="preserve">The largest </w:t>
      </w:r>
      <w:r w:rsidR="00CC0AB5">
        <w:t>cities/town</w:t>
      </w:r>
      <w:r w:rsidR="00EF0520">
        <w:t>s</w:t>
      </w:r>
      <w:r w:rsidR="00CC0AB5">
        <w:t xml:space="preserve"> in each area being</w:t>
      </w:r>
      <w:r w:rsidR="00E042A8">
        <w:t xml:space="preserve"> </w:t>
      </w:r>
    </w:p>
    <w:p w14:paraId="16F91B56" w14:textId="4CBA4B8D" w:rsidR="00F4096F" w:rsidRDefault="00C64A20" w:rsidP="0031584C">
      <w:pPr>
        <w:contextualSpacing/>
      </w:pPr>
      <w:r>
        <w:t>Rockhampton</w:t>
      </w:r>
      <w:r w:rsidR="00CC0AB5">
        <w:t>,</w:t>
      </w:r>
      <w:r>
        <w:t xml:space="preserve"> Gladstone</w:t>
      </w:r>
      <w:r w:rsidR="008227A3">
        <w:t>, Yeppoon</w:t>
      </w:r>
      <w:r w:rsidR="000E341D">
        <w:t>, Emerald, Biloela</w:t>
      </w:r>
      <w:r w:rsidR="005071F9">
        <w:t xml:space="preserve"> and Woorabinda.</w:t>
      </w:r>
    </w:p>
    <w:p w14:paraId="43BE2137" w14:textId="77777777" w:rsidR="005A6125" w:rsidRDefault="005A6125" w:rsidP="005A6125">
      <w:pPr>
        <w:spacing w:before="120" w:after="120" w:line="240" w:lineRule="auto"/>
        <w:contextualSpacing/>
      </w:pPr>
    </w:p>
    <w:p w14:paraId="79F03384" w14:textId="26B6276C" w:rsidR="001B4E5C" w:rsidRDefault="001B4E5C" w:rsidP="007740A8">
      <w:pPr>
        <w:pStyle w:val="BoxHeading-Box"/>
      </w:pPr>
      <w:bookmarkStart w:id="26" w:name="_Toc54252358"/>
      <w:bookmarkStart w:id="27" w:name="_Toc54252387"/>
      <w:bookmarkStart w:id="28" w:name="_Toc54856986"/>
      <w:r w:rsidRPr="00914634">
        <w:lastRenderedPageBreak/>
        <w:t xml:space="preserve">Population </w:t>
      </w:r>
      <w:r>
        <w:t>d</w:t>
      </w:r>
      <w:r w:rsidRPr="00914634">
        <w:t xml:space="preserve">istribution and </w:t>
      </w:r>
      <w:r>
        <w:t>m</w:t>
      </w:r>
      <w:r w:rsidRPr="00914634">
        <w:t xml:space="preserve">edian </w:t>
      </w:r>
      <w:r>
        <w:t>a</w:t>
      </w:r>
      <w:r w:rsidRPr="00914634">
        <w:t>ge</w:t>
      </w:r>
      <w:bookmarkEnd w:id="26"/>
      <w:bookmarkEnd w:id="27"/>
      <w:bookmarkEnd w:id="28"/>
    </w:p>
    <w:p w14:paraId="6126535E" w14:textId="5B1C50AE" w:rsidR="00DB3F43" w:rsidRDefault="003C048D" w:rsidP="003F55ED">
      <w:pPr>
        <w:spacing w:before="120" w:after="120" w:line="257" w:lineRule="auto"/>
      </w:pPr>
      <w:r w:rsidRPr="00DB3F43">
        <w:t>On</w:t>
      </w:r>
      <w:r w:rsidR="001B4E5C" w:rsidRPr="00DB3F43">
        <w:t xml:space="preserve"> 30 June 20</w:t>
      </w:r>
      <w:r w:rsidR="00DB3F43" w:rsidRPr="00DB3F43">
        <w:t>20</w:t>
      </w:r>
      <w:r w:rsidR="0033302C">
        <w:t>,</w:t>
      </w:r>
      <w:r w:rsidR="001B4E5C" w:rsidRPr="00DB3F43">
        <w:t xml:space="preserve"> </w:t>
      </w:r>
      <w:r w:rsidR="00ED223A">
        <w:t>according to the ABS</w:t>
      </w:r>
      <w:r w:rsidR="00B5563D">
        <w:t xml:space="preserve">, </w:t>
      </w:r>
      <w:r w:rsidR="001B4E5C" w:rsidRPr="00DB3F43">
        <w:t xml:space="preserve">the </w:t>
      </w:r>
      <w:r w:rsidR="00DB3F43" w:rsidRPr="00DB3F43">
        <w:t xml:space="preserve">Fitzroy </w:t>
      </w:r>
      <w:r w:rsidR="008F41DB">
        <w:t>ER</w:t>
      </w:r>
      <w:r w:rsidR="001B4E5C" w:rsidRPr="00DB3F43">
        <w:t xml:space="preserve"> had an estimated population of </w:t>
      </w:r>
      <w:r w:rsidR="00DB3F43" w:rsidRPr="00DB3F43">
        <w:t>228,264</w:t>
      </w:r>
      <w:r w:rsidR="001B4E5C" w:rsidRPr="00DB3F43">
        <w:t xml:space="preserve"> persons. </w:t>
      </w:r>
      <w:r w:rsidR="00D1420B">
        <w:t>Rockhampton ha</w:t>
      </w:r>
      <w:r w:rsidR="0033302C">
        <w:t>d</w:t>
      </w:r>
      <w:r w:rsidR="00D1420B">
        <w:t xml:space="preserve"> the largest population of 81,999</w:t>
      </w:r>
      <w:r w:rsidR="0033302C">
        <w:t>,</w:t>
      </w:r>
      <w:r w:rsidR="00F430B2">
        <w:t xml:space="preserve"> followed by Gladstone with</w:t>
      </w:r>
      <w:r w:rsidR="00E55252">
        <w:t xml:space="preserve"> 63,861 persons.</w:t>
      </w:r>
      <w:r w:rsidR="00D1420B">
        <w:t xml:space="preserve"> </w:t>
      </w:r>
      <w:r w:rsidR="00650217">
        <w:t>However,</w:t>
      </w:r>
      <w:r w:rsidR="00D1420B">
        <w:t xml:space="preserve"> Livingstone</w:t>
      </w:r>
      <w:r w:rsidR="001A60CB">
        <w:t xml:space="preserve"> Shire</w:t>
      </w:r>
      <w:r w:rsidR="00D1420B">
        <w:t xml:space="preserve"> ha</w:t>
      </w:r>
      <w:r w:rsidR="001A60CB">
        <w:t>d</w:t>
      </w:r>
      <w:r w:rsidR="00D1420B">
        <w:t xml:space="preserve"> the fastest growth over the previous </w:t>
      </w:r>
      <w:r w:rsidR="0033302C">
        <w:t>five</w:t>
      </w:r>
      <w:r w:rsidR="00D1420B">
        <w:t xml:space="preserve"> years with </w:t>
      </w:r>
      <w:r w:rsidR="00E042A8">
        <w:t xml:space="preserve">the average annual growth rate of </w:t>
      </w:r>
      <w:r w:rsidR="00D1420B">
        <w:t>1.1%.</w:t>
      </w:r>
    </w:p>
    <w:p w14:paraId="31623D8F" w14:textId="02EA7986" w:rsidR="005D277D" w:rsidDel="00F83F57" w:rsidRDefault="002473A1" w:rsidP="003F55ED">
      <w:pPr>
        <w:spacing w:before="120" w:after="120" w:line="257" w:lineRule="auto"/>
        <w:rPr>
          <w:b/>
          <w:bCs/>
        </w:rPr>
      </w:pPr>
      <w:r>
        <w:rPr>
          <w:b/>
          <w:bCs/>
        </w:rPr>
        <w:t>Figure</w:t>
      </w:r>
      <w:r w:rsidR="005D277D" w:rsidRPr="005D277D" w:rsidDel="00F83F57">
        <w:rPr>
          <w:b/>
          <w:bCs/>
        </w:rPr>
        <w:t>1</w:t>
      </w:r>
      <w:r w:rsidR="005A6125" w:rsidDel="00F83F57">
        <w:rPr>
          <w:b/>
          <w:bCs/>
        </w:rPr>
        <w:t>:</w:t>
      </w:r>
      <w:r w:rsidR="005D277D" w:rsidRPr="005D277D" w:rsidDel="00F83F57">
        <w:rPr>
          <w:b/>
          <w:bCs/>
        </w:rPr>
        <w:t xml:space="preserve"> Estimated resident population by LGA, Fitzroy Employment Region and Queensland</w:t>
      </w:r>
    </w:p>
    <w:p w14:paraId="775185D9" w14:textId="4894EAB8" w:rsidR="00DB3F43" w:rsidRPr="00BB7EB6" w:rsidDel="00F83F57" w:rsidRDefault="00DB3F43" w:rsidP="003F55ED">
      <w:pPr>
        <w:spacing w:before="120" w:after="120" w:line="257" w:lineRule="auto"/>
        <w:rPr>
          <w:color w:val="FF0000"/>
        </w:rPr>
      </w:pPr>
      <w:r w:rsidDel="00F83F57">
        <w:rPr>
          <w:noProof/>
        </w:rPr>
        <w:drawing>
          <wp:inline distT="0" distB="0" distL="0" distR="0" wp14:anchorId="6BB64984" wp14:editId="779FBF7B">
            <wp:extent cx="5731510" cy="2275484"/>
            <wp:effectExtent l="0" t="0" r="2540" b="0"/>
            <wp:docPr id="17" name="Picture 17" descr="A table showing Estimated resident population by LGA, Fitzroy Employment Region and Queen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table showing Estimated resident population by LGA, Fitzroy Employment Region and Queensland"/>
                    <pic:cNvPicPr/>
                  </pic:nvPicPr>
                  <pic:blipFill rotWithShape="1">
                    <a:blip r:embed="rId23"/>
                    <a:srcRect t="8258"/>
                    <a:stretch/>
                  </pic:blipFill>
                  <pic:spPr bwMode="auto">
                    <a:xfrm>
                      <a:off x="0" y="0"/>
                      <a:ext cx="5731510" cy="2275484"/>
                    </a:xfrm>
                    <a:prstGeom prst="rect">
                      <a:avLst/>
                    </a:prstGeom>
                    <a:ln>
                      <a:noFill/>
                    </a:ln>
                    <a:extLst>
                      <a:ext uri="{53640926-AAD7-44D8-BBD7-CCE9431645EC}">
                        <a14:shadowObscured xmlns:a14="http://schemas.microsoft.com/office/drawing/2010/main"/>
                      </a:ext>
                    </a:extLst>
                  </pic:spPr>
                </pic:pic>
              </a:graphicData>
            </a:graphic>
          </wp:inline>
        </w:drawing>
      </w:r>
    </w:p>
    <w:p w14:paraId="5D550886" w14:textId="2E2FC004" w:rsidR="001B4E5C" w:rsidDel="00B5563D" w:rsidRDefault="00AF10B8" w:rsidP="00430860">
      <w:pPr>
        <w:spacing w:before="120" w:after="120" w:line="257" w:lineRule="auto"/>
      </w:pPr>
      <w:r w:rsidRPr="00F955C4">
        <w:t>On</w:t>
      </w:r>
      <w:r w:rsidR="001B4E5C" w:rsidRPr="00F955C4">
        <w:t xml:space="preserve"> 30 June 2019</w:t>
      </w:r>
      <w:r w:rsidR="00110652">
        <w:t>,</w:t>
      </w:r>
      <w:r w:rsidR="001B4E5C" w:rsidRPr="00F955C4">
        <w:t xml:space="preserve"> the</w:t>
      </w:r>
      <w:r w:rsidR="001B4E5C">
        <w:t xml:space="preserve"> medi</w:t>
      </w:r>
      <w:r w:rsidR="00C1135A">
        <w:t>an</w:t>
      </w:r>
      <w:r w:rsidR="001B4E5C">
        <w:t xml:space="preserve"> age in the </w:t>
      </w:r>
      <w:r w:rsidR="008F41DB">
        <w:t>ER</w:t>
      </w:r>
      <w:r w:rsidR="001B4E5C">
        <w:t xml:space="preserve"> was </w:t>
      </w:r>
      <w:r w:rsidR="00D1420B">
        <w:t>36.8</w:t>
      </w:r>
      <w:r w:rsidR="001B4E5C">
        <w:t xml:space="preserve"> years, </w:t>
      </w:r>
      <w:r w:rsidR="001B4E5C" w:rsidRPr="00F955C4">
        <w:t xml:space="preserve">which represents an increase of </w:t>
      </w:r>
      <w:r w:rsidR="00D1420B">
        <w:t>1.</w:t>
      </w:r>
      <w:r w:rsidR="00D1420B" w:rsidDel="0022302E">
        <w:t>8</w:t>
      </w:r>
      <w:r w:rsidR="00D1420B">
        <w:t xml:space="preserve"> </w:t>
      </w:r>
      <w:r w:rsidR="001B4E5C" w:rsidRPr="00F955C4">
        <w:t xml:space="preserve">years from </w:t>
      </w:r>
      <w:r w:rsidR="001B4E5C">
        <w:t xml:space="preserve">ten years earlier and is </w:t>
      </w:r>
      <w:r w:rsidR="00D1420B">
        <w:t>below</w:t>
      </w:r>
      <w:r w:rsidR="001B4E5C">
        <w:t xml:space="preserve"> the Q</w:t>
      </w:r>
      <w:r w:rsidR="00110652">
        <w:t>ueensland</w:t>
      </w:r>
      <w:r w:rsidR="001B4E5C">
        <w:t xml:space="preserve"> average of 37.4 years</w:t>
      </w:r>
      <w:r w:rsidR="001B4E5C" w:rsidRPr="00F955C4">
        <w:t xml:space="preserve">. </w:t>
      </w:r>
    </w:p>
    <w:p w14:paraId="5CC329C9" w14:textId="367B1A7B" w:rsidR="005A6125" w:rsidDel="00B5563D" w:rsidRDefault="005A6125" w:rsidP="00430860">
      <w:pPr>
        <w:spacing w:before="120" w:after="120" w:line="257" w:lineRule="auto"/>
      </w:pPr>
    </w:p>
    <w:p w14:paraId="1BF0DD62" w14:textId="024CCA96" w:rsidR="005A6125" w:rsidDel="00F83F57" w:rsidRDefault="002473A1" w:rsidP="003F55ED">
      <w:pPr>
        <w:spacing w:before="120" w:after="120" w:line="257" w:lineRule="auto"/>
      </w:pPr>
      <w:r>
        <w:rPr>
          <w:b/>
          <w:bCs/>
        </w:rPr>
        <w:t>Figure</w:t>
      </w:r>
      <w:r w:rsidR="005A6125" w:rsidRPr="005D277D" w:rsidDel="00F83F57">
        <w:rPr>
          <w:b/>
          <w:bCs/>
        </w:rPr>
        <w:t xml:space="preserve"> </w:t>
      </w:r>
      <w:r w:rsidR="005A6125" w:rsidDel="00F83F57">
        <w:rPr>
          <w:b/>
          <w:bCs/>
        </w:rPr>
        <w:t>2:</w:t>
      </w:r>
      <w:r w:rsidR="005A6125" w:rsidRPr="005D277D" w:rsidDel="00F83F57">
        <w:rPr>
          <w:b/>
          <w:bCs/>
        </w:rPr>
        <w:t xml:space="preserve"> </w:t>
      </w:r>
      <w:r w:rsidR="005A6125" w:rsidDel="00F83F57">
        <w:rPr>
          <w:b/>
          <w:bCs/>
        </w:rPr>
        <w:t>Median age by LGA, Fitzroy Employment Region and Queensland</w:t>
      </w:r>
    </w:p>
    <w:p w14:paraId="34D83F16" w14:textId="2BB3AC83" w:rsidR="00D1420B" w:rsidDel="00B5563D" w:rsidRDefault="00D1420B" w:rsidP="003F55ED">
      <w:pPr>
        <w:spacing w:before="120" w:after="120" w:line="257" w:lineRule="auto"/>
      </w:pPr>
      <w:r w:rsidDel="00ED223A">
        <w:rPr>
          <w:noProof/>
        </w:rPr>
        <w:drawing>
          <wp:inline distT="0" distB="0" distL="0" distR="0" wp14:anchorId="546BB7D9" wp14:editId="06F095E2">
            <wp:extent cx="5730473" cy="1960939"/>
            <wp:effectExtent l="0" t="0" r="3810" b="1270"/>
            <wp:docPr id="19" name="Picture 19" descr="A table showing  Median age by LGA, Fitzroy Employment Region and Queen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table showing  Median age by LGA, Fitzroy Employment Region and Queensland"/>
                    <pic:cNvPicPr/>
                  </pic:nvPicPr>
                  <pic:blipFill rotWithShape="1">
                    <a:blip r:embed="rId24"/>
                    <a:srcRect t="7563" b="18581"/>
                    <a:stretch/>
                  </pic:blipFill>
                  <pic:spPr bwMode="auto">
                    <a:xfrm>
                      <a:off x="0" y="0"/>
                      <a:ext cx="5731510" cy="1961294"/>
                    </a:xfrm>
                    <a:prstGeom prst="rect">
                      <a:avLst/>
                    </a:prstGeom>
                    <a:ln>
                      <a:noFill/>
                    </a:ln>
                    <a:extLst>
                      <a:ext uri="{53640926-AAD7-44D8-BBD7-CCE9431645EC}">
                        <a14:shadowObscured xmlns:a14="http://schemas.microsoft.com/office/drawing/2010/main"/>
                      </a:ext>
                    </a:extLst>
                  </pic:spPr>
                </pic:pic>
              </a:graphicData>
            </a:graphic>
          </wp:inline>
        </w:drawing>
      </w:r>
    </w:p>
    <w:p w14:paraId="797E9470" w14:textId="3C919B0B" w:rsidR="00D1420B" w:rsidDel="00ED223A" w:rsidRDefault="005A6125" w:rsidP="003F55ED">
      <w:pPr>
        <w:spacing w:before="120" w:after="120" w:line="257" w:lineRule="auto"/>
        <w:rPr>
          <w:sz w:val="14"/>
          <w:szCs w:val="14"/>
        </w:rPr>
      </w:pPr>
      <w:r w:rsidRPr="00017DF8" w:rsidDel="00ED223A">
        <w:rPr>
          <w:sz w:val="14"/>
          <w:szCs w:val="14"/>
        </w:rPr>
        <w:t xml:space="preserve">Source: </w:t>
      </w:r>
      <w:r w:rsidDel="00ED223A">
        <w:rPr>
          <w:sz w:val="14"/>
          <w:szCs w:val="14"/>
        </w:rPr>
        <w:t xml:space="preserve">ABS 3235.0, Population by Age and Sex, </w:t>
      </w:r>
      <w:r w:rsidRPr="005A6125" w:rsidDel="00ED223A">
        <w:rPr>
          <w:i/>
          <w:iCs/>
          <w:sz w:val="14"/>
          <w:szCs w:val="14"/>
        </w:rPr>
        <w:t>Regions of Australia</w:t>
      </w:r>
      <w:r w:rsidDel="00ED223A">
        <w:rPr>
          <w:sz w:val="14"/>
          <w:szCs w:val="14"/>
        </w:rPr>
        <w:t xml:space="preserve"> unpublished data and Queensland Treasury estimates.</w:t>
      </w:r>
    </w:p>
    <w:p w14:paraId="5E9DF5A0" w14:textId="26EDF08A" w:rsidR="005A6125" w:rsidDel="00B5563D" w:rsidRDefault="005A6125" w:rsidP="003F55ED">
      <w:pPr>
        <w:spacing w:before="120" w:after="120" w:line="257" w:lineRule="auto"/>
        <w:rPr>
          <w:sz w:val="14"/>
          <w:szCs w:val="14"/>
        </w:rPr>
      </w:pPr>
    </w:p>
    <w:p w14:paraId="64D94727" w14:textId="073AE7B8" w:rsidR="001B4E5C" w:rsidRPr="007321CE" w:rsidRDefault="001B4E5C" w:rsidP="007321CE">
      <w:pPr>
        <w:rPr>
          <w:b/>
          <w:sz w:val="26"/>
          <w:szCs w:val="26"/>
        </w:rPr>
      </w:pPr>
      <w:bookmarkStart w:id="29" w:name="_Toc54252359"/>
      <w:bookmarkStart w:id="30" w:name="_Toc54252388"/>
      <w:bookmarkStart w:id="31" w:name="_Toc54856987"/>
      <w:bookmarkStart w:id="32" w:name="_Toc741287553"/>
      <w:r w:rsidRPr="007321CE">
        <w:rPr>
          <w:b/>
          <w:sz w:val="26"/>
          <w:szCs w:val="26"/>
        </w:rPr>
        <w:t>Schooling completion rates</w:t>
      </w:r>
      <w:bookmarkEnd w:id="29"/>
      <w:bookmarkEnd w:id="30"/>
      <w:bookmarkEnd w:id="31"/>
      <w:bookmarkEnd w:id="32"/>
    </w:p>
    <w:p w14:paraId="54950ABF" w14:textId="68EB9F59" w:rsidR="00441A85" w:rsidRDefault="001B4E5C" w:rsidP="003F55ED">
      <w:pPr>
        <w:spacing w:before="120" w:after="120" w:line="257" w:lineRule="auto"/>
      </w:pPr>
      <w:r w:rsidRPr="00441A85">
        <w:t xml:space="preserve">An understanding of education levels in each LGA is critical for assessing the effectiveness and feasibility of any proposed training and development strategies. The percentage of students </w:t>
      </w:r>
      <w:r w:rsidR="00441A85" w:rsidRPr="00441A85">
        <w:t>w</w:t>
      </w:r>
      <w:r w:rsidR="00441A85">
        <w:t>i</w:t>
      </w:r>
      <w:r w:rsidR="00441A85" w:rsidRPr="00441A85">
        <w:t>th the highest level of schooling of year 11 or 12 is 49.9%. Gladstone had the largest percentage at 52.7%.</w:t>
      </w:r>
      <w:r w:rsidR="00441A85">
        <w:t xml:space="preserve">  This indicates that high school completion rates</w:t>
      </w:r>
      <w:r w:rsidR="005E6CFD">
        <w:t xml:space="preserve"> in the ER</w:t>
      </w:r>
      <w:r w:rsidR="00441A85">
        <w:t xml:space="preserve"> are</w:t>
      </w:r>
      <w:r w:rsidR="005E6CFD">
        <w:t xml:space="preserve"> still</w:t>
      </w:r>
      <w:r w:rsidR="00441A85">
        <w:t xml:space="preserve"> lower than the Q</w:t>
      </w:r>
      <w:r w:rsidR="004B1E19">
        <w:t>ueensland</w:t>
      </w:r>
      <w:r w:rsidR="00441A85">
        <w:t xml:space="preserve"> average of 58.9%.</w:t>
      </w:r>
      <w:r w:rsidR="004C0653">
        <w:t xml:space="preserve"> As a result, any </w:t>
      </w:r>
      <w:r w:rsidR="00586F2E">
        <w:t xml:space="preserve">training strategies may need to </w:t>
      </w:r>
      <w:r w:rsidR="00015240">
        <w:t xml:space="preserve">focus on </w:t>
      </w:r>
      <w:r w:rsidR="00EE4A89">
        <w:t xml:space="preserve">foundation </w:t>
      </w:r>
      <w:r w:rsidR="00015240">
        <w:t>skills to ensure that participants can successfully compete their training</w:t>
      </w:r>
      <w:r w:rsidR="00B467DF">
        <w:t xml:space="preserve">, particularly any non-school qualifications. </w:t>
      </w:r>
    </w:p>
    <w:p w14:paraId="3D29E9A0" w14:textId="77777777" w:rsidR="00F3549F" w:rsidRDefault="00F3549F" w:rsidP="003F55ED">
      <w:pPr>
        <w:spacing w:before="120" w:after="120" w:line="257" w:lineRule="auto"/>
        <w:rPr>
          <w:b/>
          <w:bCs/>
        </w:rPr>
      </w:pPr>
    </w:p>
    <w:p w14:paraId="37826181" w14:textId="08F8A39D" w:rsidR="00441A85" w:rsidRDefault="002473A1" w:rsidP="003F55ED">
      <w:pPr>
        <w:spacing w:before="120" w:after="120" w:line="257" w:lineRule="auto"/>
        <w:rPr>
          <w:color w:val="FF0000"/>
        </w:rPr>
      </w:pPr>
      <w:r>
        <w:rPr>
          <w:b/>
          <w:bCs/>
        </w:rPr>
        <w:lastRenderedPageBreak/>
        <w:t>Figure</w:t>
      </w:r>
      <w:r w:rsidR="005A6125" w:rsidRPr="005D277D">
        <w:rPr>
          <w:b/>
          <w:bCs/>
        </w:rPr>
        <w:t xml:space="preserve"> </w:t>
      </w:r>
      <w:r w:rsidR="005A6125">
        <w:rPr>
          <w:b/>
          <w:bCs/>
        </w:rPr>
        <w:t>3:</w:t>
      </w:r>
      <w:r w:rsidR="005A6125" w:rsidRPr="005D277D">
        <w:rPr>
          <w:b/>
          <w:bCs/>
        </w:rPr>
        <w:t xml:space="preserve"> </w:t>
      </w:r>
      <w:r w:rsidR="005A6125">
        <w:rPr>
          <w:b/>
          <w:bCs/>
        </w:rPr>
        <w:t>Highest level of schooling completed by LGA, Fitzroy Employment Region and Queensland, 2016</w:t>
      </w:r>
    </w:p>
    <w:p w14:paraId="3774BBF9" w14:textId="4417826F" w:rsidR="00B03296" w:rsidRDefault="00441A85">
      <w:pPr>
        <w:rPr>
          <w:rFonts w:ascii="Calibri" w:eastAsiaTheme="majorEastAsia" w:hAnsi="Calibri" w:cstheme="majorBidi"/>
          <w:b/>
          <w:bCs/>
          <w:color w:val="646363"/>
          <w:sz w:val="28"/>
          <w:szCs w:val="26"/>
        </w:rPr>
      </w:pPr>
      <w:r>
        <w:rPr>
          <w:noProof/>
        </w:rPr>
        <w:drawing>
          <wp:inline distT="0" distB="0" distL="0" distR="0" wp14:anchorId="57726BCA" wp14:editId="5E2CFF72">
            <wp:extent cx="5731510" cy="2060142"/>
            <wp:effectExtent l="0" t="0" r="2540" b="0"/>
            <wp:docPr id="20" name="Picture 20" descr="A table showing highest level of schooling completed by LGA, ER and state for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table showing highest level of schooling completed by LGA, ER and state for 2016"/>
                    <pic:cNvPicPr/>
                  </pic:nvPicPr>
                  <pic:blipFill rotWithShape="1">
                    <a:blip r:embed="rId25"/>
                    <a:srcRect t="7806"/>
                    <a:stretch/>
                  </pic:blipFill>
                  <pic:spPr bwMode="auto">
                    <a:xfrm>
                      <a:off x="0" y="0"/>
                      <a:ext cx="5731510" cy="2060142"/>
                    </a:xfrm>
                    <a:prstGeom prst="rect">
                      <a:avLst/>
                    </a:prstGeom>
                    <a:ln>
                      <a:noFill/>
                    </a:ln>
                    <a:extLst>
                      <a:ext uri="{53640926-AAD7-44D8-BBD7-CCE9431645EC}">
                        <a14:shadowObscured xmlns:a14="http://schemas.microsoft.com/office/drawing/2010/main"/>
                      </a:ext>
                    </a:extLst>
                  </pic:spPr>
                </pic:pic>
              </a:graphicData>
            </a:graphic>
          </wp:inline>
        </w:drawing>
      </w:r>
      <w:r w:rsidR="006205CB">
        <w:t xml:space="preserve">Many entry level </w:t>
      </w:r>
      <w:r w:rsidR="00D545CE">
        <w:t>jobs across the region now require a minimum Certificate qualification</w:t>
      </w:r>
      <w:r w:rsidR="00B5524A">
        <w:t xml:space="preserve"> and it is hoped </w:t>
      </w:r>
      <w:r w:rsidR="001B7657">
        <w:t>the number of people with a non</w:t>
      </w:r>
      <w:r w:rsidR="00480AEE">
        <w:t>-</w:t>
      </w:r>
      <w:r w:rsidR="001B7657">
        <w:t xml:space="preserve">school qualification will increase over the </w:t>
      </w:r>
      <w:r w:rsidR="00595AA4">
        <w:t>coming years.</w:t>
      </w:r>
      <w:bookmarkStart w:id="33" w:name="_Toc54252361"/>
      <w:bookmarkStart w:id="34" w:name="_Toc54252390"/>
      <w:bookmarkStart w:id="35" w:name="_Toc54856989"/>
    </w:p>
    <w:p w14:paraId="5DCBB531" w14:textId="601597FD" w:rsidR="001B4E5C" w:rsidRPr="00914634" w:rsidRDefault="001B4E5C" w:rsidP="00480AEE">
      <w:pPr>
        <w:pStyle w:val="BoxHeading-Box"/>
        <w:rPr>
          <w:rFonts w:asciiTheme="minorHAnsi" w:hAnsiTheme="minorHAnsi" w:cstheme="minorBidi"/>
        </w:rPr>
      </w:pPr>
      <w:r>
        <w:t>Labour market characteristics</w:t>
      </w:r>
      <w:bookmarkEnd w:id="33"/>
      <w:bookmarkEnd w:id="34"/>
      <w:bookmarkEnd w:id="35"/>
    </w:p>
    <w:p w14:paraId="115966F4" w14:textId="0411C2BF" w:rsidR="009B64E7" w:rsidRPr="00E13393" w:rsidRDefault="009B64E7" w:rsidP="00480AEE">
      <w:bookmarkStart w:id="36" w:name="_Toc54856990"/>
      <w:r w:rsidRPr="003E2BC6">
        <w:t xml:space="preserve">The </w:t>
      </w:r>
      <w:r w:rsidR="00A75933" w:rsidRPr="000E6520">
        <w:t>Fitzroy</w:t>
      </w:r>
      <w:r w:rsidRPr="00F50B56">
        <w:t xml:space="preserve"> </w:t>
      </w:r>
      <w:r w:rsidR="008F41DB" w:rsidRPr="00F50B56">
        <w:t>ER</w:t>
      </w:r>
      <w:r w:rsidRPr="00F50B56">
        <w:t xml:space="preserve"> </w:t>
      </w:r>
      <w:r w:rsidR="001D2308" w:rsidRPr="00F50B56">
        <w:t xml:space="preserve">contains </w:t>
      </w:r>
      <w:r w:rsidR="00520DFB">
        <w:t>four</w:t>
      </w:r>
      <w:r w:rsidR="00520DFB" w:rsidRPr="00162B31">
        <w:t xml:space="preserve"> </w:t>
      </w:r>
      <w:r w:rsidRPr="00162B31">
        <w:t>S</w:t>
      </w:r>
      <w:r w:rsidR="00414F35" w:rsidRPr="00520DFB">
        <w:t>tatistical</w:t>
      </w:r>
      <w:r w:rsidR="004A7285" w:rsidRPr="00520DFB">
        <w:t xml:space="preserve"> Area </w:t>
      </w:r>
      <w:r w:rsidR="00453868">
        <w:t>3</w:t>
      </w:r>
      <w:r w:rsidR="004A7285" w:rsidRPr="00520DFB">
        <w:t xml:space="preserve"> regions (</w:t>
      </w:r>
      <w:r w:rsidR="009502C2" w:rsidRPr="004068F9">
        <w:rPr>
          <w:shd w:val="clear" w:color="auto" w:fill="FFFFFF"/>
        </w:rPr>
        <w:t>SA</w:t>
      </w:r>
      <w:r w:rsidR="00051A35">
        <w:rPr>
          <w:shd w:val="clear" w:color="auto" w:fill="FFFFFF"/>
        </w:rPr>
        <w:t>3</w:t>
      </w:r>
      <w:r w:rsidR="009502C2" w:rsidRPr="004068F9">
        <w:rPr>
          <w:shd w:val="clear" w:color="auto" w:fill="FFFFFF"/>
        </w:rPr>
        <w:t>)</w:t>
      </w:r>
      <w:r w:rsidR="0042001D">
        <w:rPr>
          <w:shd w:val="clear" w:color="auto" w:fill="FFFFFF"/>
        </w:rPr>
        <w:t xml:space="preserve"> accord</w:t>
      </w:r>
      <w:r w:rsidR="00C1016F">
        <w:rPr>
          <w:shd w:val="clear" w:color="auto" w:fill="FFFFFF"/>
        </w:rPr>
        <w:t xml:space="preserve">ing to the </w:t>
      </w:r>
      <w:r w:rsidR="00C80AD9">
        <w:rPr>
          <w:shd w:val="clear" w:color="auto" w:fill="FFFFFF"/>
        </w:rPr>
        <w:t>A</w:t>
      </w:r>
      <w:r w:rsidR="00C1016F">
        <w:rPr>
          <w:shd w:val="clear" w:color="auto" w:fill="FFFFFF"/>
        </w:rPr>
        <w:t>BS,</w:t>
      </w:r>
      <w:r w:rsidR="009502C2" w:rsidRPr="004068F9">
        <w:rPr>
          <w:shd w:val="clear" w:color="auto" w:fill="FFFFFF"/>
        </w:rPr>
        <w:t xml:space="preserve"> </w:t>
      </w:r>
      <w:r w:rsidRPr="003E2BC6">
        <w:t>which all have different labour market characteristics</w:t>
      </w:r>
      <w:r w:rsidR="00B247D2" w:rsidRPr="000E6520">
        <w:t>; Rockhampton, Gladstone</w:t>
      </w:r>
      <w:r w:rsidR="001A4BE0">
        <w:t>,</w:t>
      </w:r>
      <w:r w:rsidR="00B247D2" w:rsidRPr="000E6520">
        <w:t xml:space="preserve"> </w:t>
      </w:r>
      <w:r w:rsidR="00431250" w:rsidRPr="00E13393">
        <w:t>Central Highlands</w:t>
      </w:r>
      <w:r w:rsidR="00051A35" w:rsidRPr="00051A35">
        <w:t xml:space="preserve"> </w:t>
      </w:r>
      <w:r w:rsidR="00051A35" w:rsidRPr="000E6520">
        <w:t>and</w:t>
      </w:r>
      <w:r w:rsidR="00051A35">
        <w:t xml:space="preserve"> Biloela</w:t>
      </w:r>
      <w:r w:rsidRPr="00E13393">
        <w:t>.</w:t>
      </w:r>
    </w:p>
    <w:p w14:paraId="05141219" w14:textId="5599E2A8" w:rsidR="001B4E5C" w:rsidRPr="006B51DB" w:rsidRDefault="009B64E7" w:rsidP="00B03296">
      <w:pPr>
        <w:spacing w:line="240" w:lineRule="auto"/>
        <w:contextualSpacing/>
        <w:rPr>
          <w:b/>
          <w:bCs/>
        </w:rPr>
      </w:pPr>
      <w:r w:rsidRPr="006B51DB">
        <w:rPr>
          <w:b/>
          <w:bCs/>
        </w:rPr>
        <w:t>Rockhampton SA</w:t>
      </w:r>
      <w:r w:rsidR="000B55B6">
        <w:rPr>
          <w:b/>
          <w:bCs/>
        </w:rPr>
        <w:t>3</w:t>
      </w:r>
      <w:r w:rsidR="001B4E5C" w:rsidRPr="006B51DB">
        <w:rPr>
          <w:b/>
          <w:bCs/>
        </w:rPr>
        <w:t xml:space="preserve"> region - Labour market overview</w:t>
      </w:r>
      <w:bookmarkEnd w:id="36"/>
    </w:p>
    <w:p w14:paraId="5A3774BE" w14:textId="717B9708" w:rsidR="005E6CFD" w:rsidRDefault="009B64E7" w:rsidP="00B03296">
      <w:pPr>
        <w:spacing w:line="240" w:lineRule="auto"/>
        <w:contextualSpacing/>
      </w:pPr>
      <w:bookmarkStart w:id="37" w:name="_Toc54856991"/>
      <w:r w:rsidRPr="006B51DB">
        <w:t>Rockhampton is known as the gateway to the west and the beef capital</w:t>
      </w:r>
      <w:r w:rsidR="004D25A6" w:rsidRPr="006B51DB">
        <w:t xml:space="preserve"> of Australia</w:t>
      </w:r>
      <w:r w:rsidRPr="006B51DB">
        <w:t xml:space="preserve">. The </w:t>
      </w:r>
      <w:r w:rsidR="0094552F">
        <w:t>B</w:t>
      </w:r>
      <w:r w:rsidRPr="006B51DB">
        <w:t>eef industry is one of the main industries in the Rockhampton region. There are two beef</w:t>
      </w:r>
      <w:r w:rsidRPr="005E6CFD">
        <w:t xml:space="preserve"> </w:t>
      </w:r>
      <w:r w:rsidRPr="006B51DB">
        <w:t xml:space="preserve">processing plants or </w:t>
      </w:r>
      <w:r w:rsidR="000C5934" w:rsidRPr="006B51DB">
        <w:t>meat-works</w:t>
      </w:r>
      <w:r w:rsidRPr="006B51DB">
        <w:t xml:space="preserve"> located in Rockhampton, </w:t>
      </w:r>
      <w:r w:rsidR="00CF34E1" w:rsidRPr="006B51DB">
        <w:t>which</w:t>
      </w:r>
      <w:r w:rsidRPr="006B51DB">
        <w:t xml:space="preserve"> are operated by Teys </w:t>
      </w:r>
      <w:r w:rsidR="008A5386">
        <w:t>Australia</w:t>
      </w:r>
      <w:r w:rsidR="008A5386" w:rsidRPr="006B51DB">
        <w:t xml:space="preserve"> </w:t>
      </w:r>
      <w:r w:rsidRPr="006B51DB">
        <w:t xml:space="preserve">and JBS </w:t>
      </w:r>
      <w:r w:rsidR="000D47A2" w:rsidRPr="006B51DB">
        <w:t>S</w:t>
      </w:r>
      <w:r w:rsidRPr="006B51DB">
        <w:t xml:space="preserve">wift. </w:t>
      </w:r>
    </w:p>
    <w:p w14:paraId="381D5422" w14:textId="77777777" w:rsidR="00B03296" w:rsidRPr="006B51DB" w:rsidRDefault="00B03296" w:rsidP="00B03296">
      <w:pPr>
        <w:spacing w:line="240" w:lineRule="auto"/>
        <w:contextualSpacing/>
      </w:pPr>
    </w:p>
    <w:p w14:paraId="118B6256" w14:textId="41D4A31B" w:rsidR="0081522F" w:rsidRDefault="00AC2E72" w:rsidP="00B03296">
      <w:pPr>
        <w:spacing w:line="240" w:lineRule="auto"/>
        <w:contextualSpacing/>
      </w:pPr>
      <w:r>
        <w:t>The largest</w:t>
      </w:r>
      <w:r w:rsidR="00E461AF">
        <w:t xml:space="preserve"> </w:t>
      </w:r>
      <w:r w:rsidR="00177838">
        <w:t>employ</w:t>
      </w:r>
      <w:r w:rsidR="00A20D4F">
        <w:t>ing</w:t>
      </w:r>
      <w:r w:rsidR="009B64E7" w:rsidRPr="006B51DB">
        <w:t xml:space="preserve"> industries in the area </w:t>
      </w:r>
      <w:r>
        <w:t xml:space="preserve">(by number of people) </w:t>
      </w:r>
      <w:r w:rsidR="009B64E7" w:rsidRPr="006B51DB">
        <w:t xml:space="preserve">are </w:t>
      </w:r>
      <w:r w:rsidR="00414137">
        <w:t>H</w:t>
      </w:r>
      <w:r w:rsidR="00804B9F" w:rsidRPr="006B51DB">
        <w:t xml:space="preserve">ealth </w:t>
      </w:r>
      <w:r w:rsidR="00414137">
        <w:t xml:space="preserve">Care </w:t>
      </w:r>
      <w:r w:rsidR="00804B9F" w:rsidRPr="006B51DB">
        <w:t xml:space="preserve">and </w:t>
      </w:r>
      <w:r w:rsidR="00414137">
        <w:t>S</w:t>
      </w:r>
      <w:r w:rsidR="00804B9F" w:rsidRPr="006B51DB">
        <w:t xml:space="preserve">ocial </w:t>
      </w:r>
      <w:r w:rsidR="00414137">
        <w:t>A</w:t>
      </w:r>
      <w:r w:rsidR="00804B9F" w:rsidRPr="006B51DB">
        <w:t>ssistance</w:t>
      </w:r>
      <w:r w:rsidR="00804B9F">
        <w:t xml:space="preserve">; </w:t>
      </w:r>
      <w:r w:rsidR="00414137">
        <w:t>C</w:t>
      </w:r>
      <w:r w:rsidR="009B64E7" w:rsidRPr="006B51DB">
        <w:t xml:space="preserve">onstruction; </w:t>
      </w:r>
      <w:r w:rsidR="00414137">
        <w:t>R</w:t>
      </w:r>
      <w:r w:rsidR="009B64E7" w:rsidRPr="006B51DB">
        <w:t>etail</w:t>
      </w:r>
      <w:r w:rsidR="008078DF">
        <w:t xml:space="preserve"> Trade</w:t>
      </w:r>
      <w:r w:rsidR="009B64E7" w:rsidRPr="006B51DB">
        <w:t xml:space="preserve">; </w:t>
      </w:r>
      <w:r w:rsidR="00414137">
        <w:t>E</w:t>
      </w:r>
      <w:r w:rsidR="009B64E7" w:rsidRPr="006B51DB">
        <w:t xml:space="preserve">ducation and </w:t>
      </w:r>
      <w:r w:rsidR="00414137">
        <w:t>T</w:t>
      </w:r>
      <w:r w:rsidR="009B64E7" w:rsidRPr="006B51DB">
        <w:t xml:space="preserve">raining; and </w:t>
      </w:r>
      <w:r w:rsidR="00414137">
        <w:t>T</w:t>
      </w:r>
      <w:r w:rsidR="001D557C">
        <w:t>ourism</w:t>
      </w:r>
      <w:r w:rsidR="009B64E7" w:rsidRPr="006B51DB" w:rsidDel="00804B9F">
        <w:t xml:space="preserve"> and </w:t>
      </w:r>
      <w:r w:rsidR="00414137">
        <w:t>H</w:t>
      </w:r>
      <w:r w:rsidR="00B247D2">
        <w:t>ospitality</w:t>
      </w:r>
      <w:r w:rsidR="009B64E7" w:rsidRPr="006B51DB">
        <w:t xml:space="preserve">. </w:t>
      </w:r>
      <w:r w:rsidR="00900BF6">
        <w:t xml:space="preserve"> </w:t>
      </w:r>
      <w:r w:rsidR="009B64E7" w:rsidRPr="006B51DB">
        <w:t>Rockhampton</w:t>
      </w:r>
      <w:r w:rsidR="00DB6BC7">
        <w:t xml:space="preserve"> </w:t>
      </w:r>
      <w:r w:rsidR="003877FB">
        <w:t>has</w:t>
      </w:r>
      <w:r w:rsidR="00350FA8">
        <w:t xml:space="preserve"> </w:t>
      </w:r>
      <w:r w:rsidR="00DB6BC7">
        <w:t>the largest</w:t>
      </w:r>
      <w:r w:rsidR="00350FA8">
        <w:t xml:space="preserve"> population of the three regions</w:t>
      </w:r>
      <w:r w:rsidR="003877FB">
        <w:t xml:space="preserve"> and</w:t>
      </w:r>
      <w:r w:rsidR="009B64E7" w:rsidRPr="006B51DB">
        <w:t xml:space="preserve"> is </w:t>
      </w:r>
      <w:r w:rsidR="00900BF6">
        <w:t>the</w:t>
      </w:r>
      <w:r w:rsidR="00900BF6" w:rsidRPr="006B51DB">
        <w:t xml:space="preserve"> </w:t>
      </w:r>
      <w:r w:rsidR="009B64E7" w:rsidRPr="006B51DB">
        <w:t>retail and support hub for the ER</w:t>
      </w:r>
      <w:r w:rsidR="000D7B49">
        <w:t xml:space="preserve">, with </w:t>
      </w:r>
      <w:r w:rsidR="000E0E01">
        <w:t xml:space="preserve">the </w:t>
      </w:r>
      <w:r w:rsidR="00AA1B24">
        <w:t>largest road, train</w:t>
      </w:r>
      <w:r w:rsidR="00650217">
        <w:t>,</w:t>
      </w:r>
      <w:r w:rsidR="00AA1B24">
        <w:t xml:space="preserve"> and air </w:t>
      </w:r>
      <w:r w:rsidR="00186EFF">
        <w:t>hubs</w:t>
      </w:r>
      <w:r w:rsidR="001121FD">
        <w:t>, shopping centres and hospitals</w:t>
      </w:r>
      <w:r w:rsidR="00186EFF">
        <w:t xml:space="preserve"> in the region</w:t>
      </w:r>
      <w:r w:rsidR="009B64E7" w:rsidRPr="006B51DB" w:rsidDel="000D7B49">
        <w:t>.</w:t>
      </w:r>
    </w:p>
    <w:p w14:paraId="13EA8A69" w14:textId="77777777" w:rsidR="00672AA7" w:rsidRDefault="00672AA7" w:rsidP="00B03296">
      <w:pPr>
        <w:spacing w:line="240" w:lineRule="auto"/>
        <w:contextualSpacing/>
      </w:pPr>
    </w:p>
    <w:p w14:paraId="17E6A410" w14:textId="0264B55B" w:rsidR="00F50FA3" w:rsidRDefault="009B64E7" w:rsidP="00B03296">
      <w:pPr>
        <w:spacing w:line="240" w:lineRule="auto"/>
        <w:contextualSpacing/>
      </w:pPr>
      <w:r w:rsidRPr="006B51DB">
        <w:t xml:space="preserve">The Stanwell Power Plant is a major employer in the </w:t>
      </w:r>
      <w:r w:rsidR="001121FD">
        <w:t>Rockhampton</w:t>
      </w:r>
      <w:r w:rsidRPr="006B51DB">
        <w:t xml:space="preserve"> region</w:t>
      </w:r>
      <w:r w:rsidR="006F7993">
        <w:t xml:space="preserve">, </w:t>
      </w:r>
      <w:r w:rsidR="00534A29">
        <w:t xml:space="preserve">employing 717 full time </w:t>
      </w:r>
      <w:r w:rsidR="0050014D">
        <w:t>equivalent direct employees</w:t>
      </w:r>
      <w:r w:rsidRPr="006B51DB">
        <w:t xml:space="preserve">. The </w:t>
      </w:r>
      <w:r w:rsidR="005E6CFD" w:rsidRPr="006B51DB">
        <w:t>Q</w:t>
      </w:r>
      <w:r w:rsidR="00A67812" w:rsidRPr="006B51DB">
        <w:t>ueensland</w:t>
      </w:r>
      <w:r w:rsidRPr="006B51DB">
        <w:t xml:space="preserve"> Government </w:t>
      </w:r>
      <w:r w:rsidR="00672AA7">
        <w:t xml:space="preserve">also </w:t>
      </w:r>
      <w:r w:rsidRPr="006B51DB">
        <w:t xml:space="preserve">recently granted approval for the development of a hydrogen plant at </w:t>
      </w:r>
      <w:r w:rsidR="00764764" w:rsidRPr="006B51DB">
        <w:t>Stanwell.</w:t>
      </w:r>
      <w:r w:rsidRPr="006B51DB">
        <w:t xml:space="preserve"> </w:t>
      </w:r>
    </w:p>
    <w:p w14:paraId="12CE9751" w14:textId="77777777" w:rsidR="00BA241F" w:rsidRDefault="00BA241F" w:rsidP="00B03296">
      <w:pPr>
        <w:spacing w:line="240" w:lineRule="auto"/>
        <w:contextualSpacing/>
      </w:pPr>
    </w:p>
    <w:p w14:paraId="66E094CE" w14:textId="15470A2E" w:rsidR="002F370C" w:rsidRDefault="002F370C" w:rsidP="00065DEF">
      <w:pPr>
        <w:spacing w:line="240" w:lineRule="auto"/>
        <w:contextualSpacing/>
      </w:pPr>
      <w:r>
        <w:t>Rockhampton is</w:t>
      </w:r>
      <w:r w:rsidR="002C5218">
        <w:t xml:space="preserve"> also a part of the </w:t>
      </w:r>
      <w:r w:rsidR="000E7235">
        <w:t>Regional</w:t>
      </w:r>
      <w:r w:rsidR="00DE5C5F">
        <w:t xml:space="preserve"> Manufacturing </w:t>
      </w:r>
      <w:r w:rsidR="00280300">
        <w:t xml:space="preserve">Hubs </w:t>
      </w:r>
      <w:r w:rsidR="00DE5C5F">
        <w:t>program</w:t>
      </w:r>
      <w:r w:rsidR="00513DC0">
        <w:t xml:space="preserve"> </w:t>
      </w:r>
      <w:r w:rsidR="00065DEF">
        <w:t>established</w:t>
      </w:r>
      <w:r w:rsidR="006808B2">
        <w:t xml:space="preserve"> in 2018</w:t>
      </w:r>
      <w:r w:rsidR="00065DEF">
        <w:t xml:space="preserve">, specialising in </w:t>
      </w:r>
      <w:r w:rsidR="00880B5B">
        <w:t>r</w:t>
      </w:r>
      <w:r w:rsidR="00065DEF">
        <w:t xml:space="preserve">ail manufacturing and technology, </w:t>
      </w:r>
      <w:r w:rsidR="00880B5B">
        <w:t>a</w:t>
      </w:r>
      <w:r w:rsidR="00065DEF">
        <w:t xml:space="preserve">dvanced technologies for metal production and </w:t>
      </w:r>
      <w:r w:rsidR="00880B5B">
        <w:t>f</w:t>
      </w:r>
      <w:r w:rsidR="00065DEF">
        <w:t>ood product innovation</w:t>
      </w:r>
      <w:r w:rsidR="00F82D10">
        <w:t>.</w:t>
      </w:r>
    </w:p>
    <w:p w14:paraId="7D22A0E0" w14:textId="77777777" w:rsidR="00B03296" w:rsidRPr="006B51DB" w:rsidRDefault="00B03296" w:rsidP="00B03296">
      <w:pPr>
        <w:spacing w:line="240" w:lineRule="auto"/>
        <w:contextualSpacing/>
      </w:pPr>
    </w:p>
    <w:p w14:paraId="0BDD1084" w14:textId="53A1BAB1" w:rsidR="009B64E7" w:rsidRDefault="009A3817" w:rsidP="00B03296">
      <w:pPr>
        <w:spacing w:line="240" w:lineRule="auto"/>
        <w:contextualSpacing/>
      </w:pPr>
      <w:r>
        <w:t>T</w:t>
      </w:r>
      <w:r w:rsidR="00900BF6">
        <w:t xml:space="preserve">he Rockhampton region </w:t>
      </w:r>
      <w:r w:rsidR="00945DDC">
        <w:t>al</w:t>
      </w:r>
      <w:r w:rsidR="00900BF6">
        <w:t>s</w:t>
      </w:r>
      <w:r w:rsidR="00945DDC">
        <w:t>o includes</w:t>
      </w:r>
      <w:r w:rsidR="00900BF6">
        <w:t xml:space="preserve"> t</w:t>
      </w:r>
      <w:r w:rsidR="009B64E7" w:rsidRPr="005E6CFD">
        <w:t xml:space="preserve">he Capricorn Coast </w:t>
      </w:r>
      <w:r w:rsidR="00900BF6">
        <w:t xml:space="preserve">which </w:t>
      </w:r>
      <w:r w:rsidR="009B64E7" w:rsidRPr="005E6CFD">
        <w:t>consists of Yeppoon</w:t>
      </w:r>
      <w:r w:rsidR="00E47C6D">
        <w:t>,</w:t>
      </w:r>
      <w:r w:rsidR="009B64E7" w:rsidRPr="005E6CFD">
        <w:t xml:space="preserve"> Emu Park</w:t>
      </w:r>
      <w:r w:rsidR="00E47C6D">
        <w:t>,</w:t>
      </w:r>
      <w:r w:rsidR="009B64E7" w:rsidRPr="005E6CFD">
        <w:t xml:space="preserve"> Byfield Forest and Shoalwater Bay. The main industries are </w:t>
      </w:r>
      <w:r w:rsidR="00C7284D">
        <w:t>T</w:t>
      </w:r>
      <w:r w:rsidR="00900BF6" w:rsidRPr="005E6CFD">
        <w:t>ourism</w:t>
      </w:r>
      <w:r w:rsidR="00900BF6">
        <w:t xml:space="preserve"> </w:t>
      </w:r>
      <w:r w:rsidR="00943A1C">
        <w:t xml:space="preserve">and </w:t>
      </w:r>
      <w:r w:rsidR="00C7284D">
        <w:t>H</w:t>
      </w:r>
      <w:r w:rsidR="00900BF6">
        <w:t>ospitality</w:t>
      </w:r>
      <w:r w:rsidR="00A112BD">
        <w:t>,</w:t>
      </w:r>
      <w:r w:rsidR="009B64E7" w:rsidRPr="005E6CFD">
        <w:t xml:space="preserve"> </w:t>
      </w:r>
      <w:r w:rsidR="00C7284D">
        <w:t>C</w:t>
      </w:r>
      <w:r w:rsidR="00900BF6" w:rsidRPr="005E6CFD">
        <w:t>onstruction</w:t>
      </w:r>
      <w:r w:rsidR="00A112BD">
        <w:t>,</w:t>
      </w:r>
      <w:r w:rsidR="009B64E7" w:rsidRPr="005E6CFD">
        <w:t xml:space="preserve"> </w:t>
      </w:r>
      <w:r w:rsidR="00C7284D">
        <w:t>R</w:t>
      </w:r>
      <w:r w:rsidR="00900BF6" w:rsidRPr="005E6CFD">
        <w:t>etail</w:t>
      </w:r>
      <w:r w:rsidR="00C7284D">
        <w:t xml:space="preserve"> Trade</w:t>
      </w:r>
      <w:r w:rsidR="00A112BD">
        <w:t>,</w:t>
      </w:r>
      <w:r w:rsidR="009B64E7" w:rsidRPr="005E6CFD" w:rsidDel="00900BF6">
        <w:t xml:space="preserve"> </w:t>
      </w:r>
      <w:r w:rsidR="00156879">
        <w:t>M</w:t>
      </w:r>
      <w:r w:rsidR="00900BF6" w:rsidRPr="005E6CFD">
        <w:t xml:space="preserve">anufacturing </w:t>
      </w:r>
      <w:r w:rsidR="009B64E7" w:rsidRPr="005E6CFD">
        <w:t xml:space="preserve">and </w:t>
      </w:r>
      <w:r w:rsidR="00156879">
        <w:t>A</w:t>
      </w:r>
      <w:r w:rsidR="00900BF6" w:rsidRPr="005E6CFD">
        <w:t>griculture</w:t>
      </w:r>
      <w:r w:rsidR="00943A1C">
        <w:t>.</w:t>
      </w:r>
      <w:r w:rsidR="00F50FA3">
        <w:t xml:space="preserve"> </w:t>
      </w:r>
      <w:r w:rsidR="00900BF6">
        <w:t xml:space="preserve"> </w:t>
      </w:r>
      <w:r w:rsidR="00943A1C">
        <w:t>T</w:t>
      </w:r>
      <w:r w:rsidR="009B64E7" w:rsidRPr="005E6CFD">
        <w:t xml:space="preserve">he area </w:t>
      </w:r>
      <w:r w:rsidR="00F50FA3">
        <w:t xml:space="preserve">is </w:t>
      </w:r>
      <w:r w:rsidR="009B64E7" w:rsidRPr="005E6CFD">
        <w:t>known for its pineapples and other tropical fruits</w:t>
      </w:r>
      <w:r w:rsidR="00900BF6">
        <w:t>,</w:t>
      </w:r>
      <w:r w:rsidR="009B64E7" w:rsidRPr="005E6CFD">
        <w:t xml:space="preserve"> </w:t>
      </w:r>
      <w:r w:rsidR="00DC711A">
        <w:t>as well as being</w:t>
      </w:r>
      <w:r w:rsidR="009B64E7" w:rsidRPr="005E6CFD">
        <w:t xml:space="preserve"> a gateway to the Southern Great Barrier Reef.</w:t>
      </w:r>
    </w:p>
    <w:p w14:paraId="1211CCE7" w14:textId="77777777" w:rsidR="00B03296" w:rsidRPr="005E6CFD" w:rsidRDefault="00B03296" w:rsidP="00B03296">
      <w:pPr>
        <w:spacing w:line="240" w:lineRule="auto"/>
        <w:contextualSpacing/>
        <w:rPr>
          <w:b/>
          <w:bCs/>
        </w:rPr>
      </w:pPr>
    </w:p>
    <w:p w14:paraId="1F193458" w14:textId="3084D2F8" w:rsidR="001B4E5C" w:rsidRPr="006B51DB" w:rsidRDefault="009B64E7" w:rsidP="006B51DB">
      <w:pPr>
        <w:spacing w:line="240" w:lineRule="auto"/>
        <w:contextualSpacing/>
        <w:rPr>
          <w:b/>
          <w:bCs/>
        </w:rPr>
      </w:pPr>
      <w:r w:rsidRPr="006B51DB">
        <w:rPr>
          <w:b/>
          <w:bCs/>
        </w:rPr>
        <w:t>Gladstone SA</w:t>
      </w:r>
      <w:r w:rsidR="000B55B6">
        <w:rPr>
          <w:b/>
          <w:bCs/>
        </w:rPr>
        <w:t>3</w:t>
      </w:r>
      <w:r w:rsidR="001B4E5C" w:rsidRPr="006B51DB">
        <w:rPr>
          <w:b/>
          <w:bCs/>
        </w:rPr>
        <w:t xml:space="preserve"> region - Labour market overview</w:t>
      </w:r>
      <w:bookmarkEnd w:id="37"/>
    </w:p>
    <w:p w14:paraId="3DC3037E" w14:textId="2A6DF867" w:rsidR="00F44E37" w:rsidRDefault="009B64E7" w:rsidP="00C65BAC">
      <w:pPr>
        <w:spacing w:line="240" w:lineRule="auto"/>
        <w:contextualSpacing/>
      </w:pPr>
      <w:r w:rsidRPr="005E6CFD">
        <w:t xml:space="preserve">Gladstone has a large natural deep harbour which permits the import and export of goods and commodities. The Gladstone Port </w:t>
      </w:r>
      <w:r w:rsidR="00DE7C3C">
        <w:t>A</w:t>
      </w:r>
      <w:r w:rsidRPr="005E6CFD">
        <w:t>uthority reports that last year the largest imported commodity was bauxite</w:t>
      </w:r>
      <w:r w:rsidR="00722C0E">
        <w:t>,</w:t>
      </w:r>
      <w:r w:rsidRPr="005E6CFD">
        <w:t xml:space="preserve"> </w:t>
      </w:r>
      <w:r w:rsidR="00582632">
        <w:t>with</w:t>
      </w:r>
      <w:r w:rsidR="00582632" w:rsidRPr="005E6CFD">
        <w:t xml:space="preserve"> </w:t>
      </w:r>
      <w:r w:rsidR="00764764" w:rsidRPr="005E6CFD">
        <w:t>c</w:t>
      </w:r>
      <w:r w:rsidRPr="005E6CFD">
        <w:t xml:space="preserve">oal </w:t>
      </w:r>
      <w:r w:rsidR="004464CC">
        <w:t>being</w:t>
      </w:r>
      <w:r w:rsidRPr="005E6CFD">
        <w:t xml:space="preserve"> the largest export. </w:t>
      </w:r>
    </w:p>
    <w:p w14:paraId="142D4DAA" w14:textId="77777777" w:rsidR="00BA241F" w:rsidRDefault="00BA241F" w:rsidP="00C65BAC">
      <w:pPr>
        <w:spacing w:line="240" w:lineRule="auto"/>
        <w:contextualSpacing/>
      </w:pPr>
    </w:p>
    <w:p w14:paraId="5FB90318" w14:textId="57DF4D2D" w:rsidR="00F44E37" w:rsidRDefault="009B64E7" w:rsidP="00C65BAC">
      <w:pPr>
        <w:spacing w:line="240" w:lineRule="auto"/>
        <w:contextualSpacing/>
      </w:pPr>
      <w:r w:rsidRPr="005E6CFD">
        <w:t>Gladstone</w:t>
      </w:r>
      <w:r w:rsidR="00C1730C">
        <w:t xml:space="preserve"> </w:t>
      </w:r>
      <w:r w:rsidR="00103754">
        <w:t xml:space="preserve">is part of </w:t>
      </w:r>
      <w:r w:rsidR="00360B0C">
        <w:t>Q</w:t>
      </w:r>
      <w:r w:rsidR="002E34A8">
        <w:t>ueensland</w:t>
      </w:r>
      <w:r w:rsidR="00360B0C">
        <w:t xml:space="preserve">’s </w:t>
      </w:r>
      <w:r w:rsidR="00547AAA">
        <w:t>Industry and Manufacturing Hub Programs</w:t>
      </w:r>
      <w:r w:rsidR="00D63EB5">
        <w:t>, specialising in</w:t>
      </w:r>
      <w:r w:rsidR="00A870EC">
        <w:t xml:space="preserve"> </w:t>
      </w:r>
      <w:r w:rsidR="00374025">
        <w:t>biofuels</w:t>
      </w:r>
      <w:r w:rsidR="00A870EC">
        <w:t xml:space="preserve">, </w:t>
      </w:r>
      <w:r w:rsidR="00AD655E">
        <w:t>h</w:t>
      </w:r>
      <w:r w:rsidR="00A870EC">
        <w:t xml:space="preserve">ydrogen and </w:t>
      </w:r>
      <w:r w:rsidR="00AD655E">
        <w:t>r</w:t>
      </w:r>
      <w:r w:rsidR="00A870EC">
        <w:t>enewable energy</w:t>
      </w:r>
      <w:r w:rsidR="006D5BBF">
        <w:t>.</w:t>
      </w:r>
    </w:p>
    <w:p w14:paraId="6003D258" w14:textId="77777777" w:rsidR="00BA241F" w:rsidRDefault="00BA241F" w:rsidP="00C65BAC">
      <w:pPr>
        <w:spacing w:line="240" w:lineRule="auto"/>
        <w:contextualSpacing/>
      </w:pPr>
    </w:p>
    <w:p w14:paraId="6CF4FC95" w14:textId="13FF2756" w:rsidR="001E2677" w:rsidRDefault="009B64E7" w:rsidP="00C65BAC">
      <w:pPr>
        <w:spacing w:line="240" w:lineRule="auto"/>
        <w:contextualSpacing/>
      </w:pPr>
      <w:r w:rsidRPr="005E6CFD">
        <w:lastRenderedPageBreak/>
        <w:t>Queensland Alumina Ltd</w:t>
      </w:r>
      <w:r w:rsidR="003E4E0E">
        <w:t>, owned by Rio Tinto and Rusal</w:t>
      </w:r>
      <w:r w:rsidR="006C6A9E">
        <w:t>,</w:t>
      </w:r>
      <w:r w:rsidRPr="005E6CFD">
        <w:t xml:space="preserve"> </w:t>
      </w:r>
      <w:r w:rsidR="00863837">
        <w:t xml:space="preserve">is </w:t>
      </w:r>
      <w:r w:rsidRPr="005E6CFD">
        <w:t xml:space="preserve">the largest </w:t>
      </w:r>
      <w:r w:rsidR="00DD1B8B">
        <w:t>a</w:t>
      </w:r>
      <w:r w:rsidRPr="005E6CFD">
        <w:t>lumina processing plant in the southern hemisphere</w:t>
      </w:r>
      <w:r w:rsidR="00E12859">
        <w:t xml:space="preserve"> with the capability to produce 3.95 </w:t>
      </w:r>
      <w:r w:rsidR="001426D4">
        <w:t>tons</w:t>
      </w:r>
      <w:r w:rsidR="00E12859">
        <w:t xml:space="preserve"> of alumina each yea</w:t>
      </w:r>
      <w:r w:rsidR="0063475D">
        <w:t>r</w:t>
      </w:r>
      <w:r w:rsidRPr="005E6CFD">
        <w:t>.</w:t>
      </w:r>
      <w:r w:rsidR="006946EB">
        <w:t xml:space="preserve"> </w:t>
      </w:r>
    </w:p>
    <w:p w14:paraId="75A787B7" w14:textId="77777777" w:rsidR="006B51DB" w:rsidRDefault="006B51DB" w:rsidP="00C65BAC">
      <w:pPr>
        <w:spacing w:line="240" w:lineRule="auto"/>
        <w:contextualSpacing/>
        <w:rPr>
          <w:b/>
          <w:bCs/>
        </w:rPr>
      </w:pPr>
    </w:p>
    <w:p w14:paraId="39AC5322" w14:textId="77910BC6" w:rsidR="009B64E7" w:rsidRPr="005E6CFD" w:rsidRDefault="009B64E7" w:rsidP="00C65BAC">
      <w:pPr>
        <w:spacing w:line="240" w:lineRule="auto"/>
        <w:contextualSpacing/>
        <w:rPr>
          <w:b/>
          <w:bCs/>
        </w:rPr>
      </w:pPr>
      <w:r w:rsidRPr="005E6CFD">
        <w:t xml:space="preserve">Other manufacturing </w:t>
      </w:r>
      <w:r w:rsidR="00DD1B8B">
        <w:t>companies</w:t>
      </w:r>
      <w:r w:rsidRPr="005E6CFD">
        <w:t xml:space="preserve"> in Gladstone include Cement Australia</w:t>
      </w:r>
      <w:r w:rsidR="009859A7">
        <w:t>,</w:t>
      </w:r>
      <w:r w:rsidRPr="005E6CFD">
        <w:t xml:space="preserve"> NRG Gladstone Power Station and the Boyne Smelters where alumina </w:t>
      </w:r>
      <w:r w:rsidR="00764764" w:rsidRPr="005E6CFD">
        <w:t xml:space="preserve">is </w:t>
      </w:r>
      <w:r w:rsidRPr="005E6CFD">
        <w:t xml:space="preserve">smelted into </w:t>
      </w:r>
      <w:r w:rsidR="00A75933" w:rsidRPr="005E6CFD">
        <w:t>aluminum</w:t>
      </w:r>
      <w:r w:rsidRPr="005E6CFD">
        <w:t xml:space="preserve">. The unemployment rate in Gladstone has been higher than the state average since the conclusion of the construction of the </w:t>
      </w:r>
      <w:r w:rsidR="00900BF6">
        <w:t xml:space="preserve">liquefied natural gas </w:t>
      </w:r>
      <w:r w:rsidRPr="005E6CFD">
        <w:t>projects</w:t>
      </w:r>
      <w:r w:rsidR="00900BF6">
        <w:t xml:space="preserve"> </w:t>
      </w:r>
      <w:r w:rsidR="00ED1A31">
        <w:t>in 2015</w:t>
      </w:r>
      <w:r w:rsidRPr="005E6CFD">
        <w:t xml:space="preserve">. </w:t>
      </w:r>
    </w:p>
    <w:p w14:paraId="3FD3349A" w14:textId="77777777" w:rsidR="006B51DB" w:rsidRDefault="006B51DB" w:rsidP="00C65BAC">
      <w:pPr>
        <w:spacing w:line="240" w:lineRule="auto"/>
        <w:contextualSpacing/>
      </w:pPr>
    </w:p>
    <w:p w14:paraId="054C8B83" w14:textId="46B2CCB1" w:rsidR="009B64E7" w:rsidRDefault="00431250" w:rsidP="00C65BAC">
      <w:pPr>
        <w:spacing w:line="240" w:lineRule="auto"/>
        <w:contextualSpacing/>
      </w:pPr>
      <w:r>
        <w:rPr>
          <w:b/>
          <w:bCs/>
        </w:rPr>
        <w:t>Central Highlands</w:t>
      </w:r>
      <w:r w:rsidRPr="006B51DB">
        <w:rPr>
          <w:b/>
          <w:bCs/>
        </w:rPr>
        <w:t xml:space="preserve"> </w:t>
      </w:r>
      <w:r w:rsidR="009B64E7" w:rsidRPr="006B51DB">
        <w:rPr>
          <w:b/>
          <w:bCs/>
        </w:rPr>
        <w:t>SA</w:t>
      </w:r>
      <w:r w:rsidR="00D02FBF">
        <w:rPr>
          <w:b/>
          <w:bCs/>
        </w:rPr>
        <w:t>3</w:t>
      </w:r>
      <w:r w:rsidR="009B64E7" w:rsidRPr="006B51DB">
        <w:rPr>
          <w:b/>
          <w:bCs/>
        </w:rPr>
        <w:t xml:space="preserve"> region - Labour market overview</w:t>
      </w:r>
      <w:r w:rsidR="006B51DB">
        <w:br/>
      </w:r>
      <w:r w:rsidR="009B64E7" w:rsidRPr="005E6CFD">
        <w:t xml:space="preserve">The </w:t>
      </w:r>
      <w:r w:rsidR="00805BE2">
        <w:t xml:space="preserve">main industries in the </w:t>
      </w:r>
      <w:r w:rsidR="009B64E7" w:rsidRPr="005E6CFD">
        <w:t xml:space="preserve">Central Highlands region are the </w:t>
      </w:r>
      <w:r w:rsidR="00A40047">
        <w:t>R</w:t>
      </w:r>
      <w:r w:rsidR="009B64E7" w:rsidRPr="005E6CFD">
        <w:t>esource sector</w:t>
      </w:r>
      <w:r w:rsidR="007560A1">
        <w:t xml:space="preserve">, predominately </w:t>
      </w:r>
      <w:r w:rsidR="00E50634" w:rsidRPr="005E6CFD">
        <w:t>located in the Bowen and Galilee Basin</w:t>
      </w:r>
      <w:r w:rsidR="009B64E7" w:rsidRPr="005E6CFD">
        <w:t xml:space="preserve"> and </w:t>
      </w:r>
      <w:r w:rsidR="00F32EF5">
        <w:t>A</w:t>
      </w:r>
      <w:r w:rsidR="009B64E7" w:rsidRPr="005E6CFD">
        <w:t>gricultur</w:t>
      </w:r>
      <w:r w:rsidR="00D1011E">
        <w:t>e.</w:t>
      </w:r>
      <w:r w:rsidR="009B64E7" w:rsidRPr="005E6CFD">
        <w:t xml:space="preserve"> The </w:t>
      </w:r>
      <w:r w:rsidR="00A40047">
        <w:t>A</w:t>
      </w:r>
      <w:r w:rsidR="009B64E7" w:rsidRPr="005E6CFD">
        <w:t>gricultural industry inc</w:t>
      </w:r>
      <w:r w:rsidR="00D1011E">
        <w:t>l</w:t>
      </w:r>
      <w:r w:rsidR="009B64E7" w:rsidRPr="005E6CFD">
        <w:t>udes beef</w:t>
      </w:r>
      <w:r w:rsidR="008D584A">
        <w:t>,</w:t>
      </w:r>
      <w:r w:rsidR="009B64E7" w:rsidRPr="005E6CFD">
        <w:t xml:space="preserve"> grains</w:t>
      </w:r>
      <w:r w:rsidR="008D584A">
        <w:t>,</w:t>
      </w:r>
      <w:r w:rsidR="009B64E7" w:rsidRPr="005E6CFD">
        <w:t xml:space="preserve"> macadamias</w:t>
      </w:r>
      <w:r w:rsidR="008D584A">
        <w:t>,</w:t>
      </w:r>
      <w:r w:rsidR="009B64E7" w:rsidRPr="005E6CFD">
        <w:t xml:space="preserve"> cotton</w:t>
      </w:r>
      <w:r w:rsidR="008D584A">
        <w:t>,</w:t>
      </w:r>
      <w:r w:rsidR="009B64E7" w:rsidRPr="005E6CFD">
        <w:t xml:space="preserve"> grapes</w:t>
      </w:r>
      <w:r w:rsidR="008D584A">
        <w:t>,</w:t>
      </w:r>
      <w:r w:rsidR="009B64E7" w:rsidRPr="005E6CFD">
        <w:t xml:space="preserve"> melons</w:t>
      </w:r>
      <w:r w:rsidR="006B51DB">
        <w:t>,</w:t>
      </w:r>
      <w:r w:rsidR="009B64E7" w:rsidRPr="005E6CFD">
        <w:t xml:space="preserve"> and citrus. </w:t>
      </w:r>
      <w:r w:rsidR="007560A1">
        <w:t xml:space="preserve"> </w:t>
      </w:r>
      <w:r w:rsidR="00F3677C">
        <w:t>Another industry the Central Highlands relies</w:t>
      </w:r>
      <w:r w:rsidR="00C43F6F">
        <w:t xml:space="preserve"> on is</w:t>
      </w:r>
      <w:r w:rsidR="00581C7D">
        <w:t xml:space="preserve">, </w:t>
      </w:r>
      <w:r w:rsidR="00A40047">
        <w:t>T</w:t>
      </w:r>
      <w:r w:rsidR="007560A1">
        <w:t>ourism</w:t>
      </w:r>
      <w:r w:rsidR="006475E9">
        <w:t>, with</w:t>
      </w:r>
      <w:r w:rsidR="00817670">
        <w:t xml:space="preserve"> many popular</w:t>
      </w:r>
      <w:r w:rsidR="00B80113">
        <w:t xml:space="preserve"> tourist attractions in the region such as</w:t>
      </w:r>
      <w:r w:rsidR="008C348C">
        <w:t xml:space="preserve"> </w:t>
      </w:r>
      <w:r w:rsidR="009B64E7" w:rsidRPr="005E6CFD">
        <w:t>Carnarvon Gorge</w:t>
      </w:r>
      <w:r w:rsidR="00FB7547">
        <w:t>,</w:t>
      </w:r>
      <w:r w:rsidR="009B64E7" w:rsidRPr="005E6CFD">
        <w:t xml:space="preserve"> </w:t>
      </w:r>
      <w:r w:rsidR="004B0F55">
        <w:t>t</w:t>
      </w:r>
      <w:r>
        <w:t>he</w:t>
      </w:r>
      <w:r w:rsidR="008C348C">
        <w:t xml:space="preserve"> </w:t>
      </w:r>
      <w:r w:rsidR="00DF06C1">
        <w:t xml:space="preserve">Sapphire </w:t>
      </w:r>
      <w:r w:rsidR="009B64E7" w:rsidRPr="005E6CFD">
        <w:t>Gemfields</w:t>
      </w:r>
      <w:r w:rsidR="000937C6">
        <w:t xml:space="preserve"> and </w:t>
      </w:r>
      <w:r w:rsidR="004B0F55">
        <w:t>t</w:t>
      </w:r>
      <w:r w:rsidR="000937C6">
        <w:t xml:space="preserve">he Australian </w:t>
      </w:r>
      <w:r w:rsidR="006C1A5E">
        <w:t xml:space="preserve">Coal </w:t>
      </w:r>
      <w:r w:rsidR="000937C6">
        <w:t>Mining</w:t>
      </w:r>
      <w:r w:rsidR="009C6136">
        <w:t xml:space="preserve"> Museum</w:t>
      </w:r>
      <w:r w:rsidR="009D608E">
        <w:t>, which</w:t>
      </w:r>
      <w:r w:rsidR="008C348C">
        <w:t xml:space="preserve"> attracts</w:t>
      </w:r>
      <w:r w:rsidR="0079376A">
        <w:t xml:space="preserve"> </w:t>
      </w:r>
      <w:r w:rsidR="00CA46D5">
        <w:t>tourists</w:t>
      </w:r>
      <w:r w:rsidR="00615F95">
        <w:t xml:space="preserve"> from all over Australia</w:t>
      </w:r>
      <w:r w:rsidR="002E1D47">
        <w:t xml:space="preserve"> </w:t>
      </w:r>
      <w:r w:rsidR="002862E4">
        <w:t xml:space="preserve">exploring </w:t>
      </w:r>
      <w:r w:rsidR="002862E4" w:rsidRPr="002862E4">
        <w:t xml:space="preserve">the </w:t>
      </w:r>
      <w:r w:rsidR="002949F3">
        <w:t>p</w:t>
      </w:r>
      <w:r w:rsidR="002862E4" w:rsidRPr="002862E4">
        <w:t xml:space="preserve">ast, </w:t>
      </w:r>
      <w:r w:rsidR="002949F3">
        <w:t>p</w:t>
      </w:r>
      <w:r w:rsidR="002862E4" w:rsidRPr="002862E4">
        <w:t xml:space="preserve">resent and </w:t>
      </w:r>
      <w:r w:rsidR="002949F3">
        <w:t>f</w:t>
      </w:r>
      <w:r w:rsidR="002862E4" w:rsidRPr="002862E4">
        <w:t>uture of the Australian coal mining industry.</w:t>
      </w:r>
    </w:p>
    <w:p w14:paraId="0546986D" w14:textId="7C381978" w:rsidR="002862E4" w:rsidRDefault="002862E4" w:rsidP="00C65BAC">
      <w:pPr>
        <w:spacing w:line="240" w:lineRule="auto"/>
        <w:contextualSpacing/>
      </w:pPr>
    </w:p>
    <w:p w14:paraId="0F360BDB" w14:textId="0BCEDCF5" w:rsidR="00D02FBF" w:rsidRDefault="00D02FBF" w:rsidP="00C65BAC">
      <w:pPr>
        <w:spacing w:line="240" w:lineRule="auto"/>
        <w:contextualSpacing/>
        <w:rPr>
          <w:b/>
          <w:bCs/>
        </w:rPr>
      </w:pPr>
      <w:r w:rsidRPr="00B35806">
        <w:rPr>
          <w:b/>
        </w:rPr>
        <w:t>Biloela</w:t>
      </w:r>
      <w:r>
        <w:rPr>
          <w:b/>
          <w:bCs/>
        </w:rPr>
        <w:t xml:space="preserve"> </w:t>
      </w:r>
      <w:r w:rsidRPr="00D02FBF">
        <w:rPr>
          <w:b/>
          <w:bCs/>
        </w:rPr>
        <w:t>SA3 region - Labour market overview</w:t>
      </w:r>
    </w:p>
    <w:p w14:paraId="3DBCE717" w14:textId="01603014" w:rsidR="001615DB" w:rsidRDefault="00843B67" w:rsidP="00C65BAC">
      <w:pPr>
        <w:spacing w:line="240" w:lineRule="auto"/>
        <w:contextualSpacing/>
      </w:pPr>
      <w:r>
        <w:t xml:space="preserve">Beef, </w:t>
      </w:r>
      <w:r w:rsidR="006112E4">
        <w:t>Agriculture</w:t>
      </w:r>
      <w:r w:rsidR="00252785">
        <w:t>,</w:t>
      </w:r>
      <w:r>
        <w:t xml:space="preserve"> Energy and Mining are the largest employing industries in the Biloela</w:t>
      </w:r>
      <w:r w:rsidR="003D0BC8">
        <w:t xml:space="preserve"> area</w:t>
      </w:r>
      <w:r w:rsidR="001615DB">
        <w:t>.</w:t>
      </w:r>
    </w:p>
    <w:p w14:paraId="19FF5C07" w14:textId="48ED1345" w:rsidR="00372CD4" w:rsidRDefault="00372CD4" w:rsidP="00C65BAC">
      <w:pPr>
        <w:spacing w:line="240" w:lineRule="auto"/>
        <w:contextualSpacing/>
      </w:pPr>
      <w:r w:rsidRPr="00B35806">
        <w:t xml:space="preserve">Beef is supported by the operation of Teys </w:t>
      </w:r>
      <w:r w:rsidR="00406356">
        <w:t>Australia</w:t>
      </w:r>
      <w:r w:rsidRPr="00B35806">
        <w:t xml:space="preserve"> located on the </w:t>
      </w:r>
      <w:r w:rsidR="00CC3988" w:rsidRPr="006D2AC3">
        <w:t>outskirts</w:t>
      </w:r>
      <w:r w:rsidRPr="00B35806">
        <w:t xml:space="preserve"> of Biloela. Teys</w:t>
      </w:r>
      <w:r w:rsidRPr="00B35806" w:rsidDel="009F2980">
        <w:t xml:space="preserve"> </w:t>
      </w:r>
      <w:r w:rsidRPr="00B35806">
        <w:t>is actively involved in resettlement of refugees to stabilize the workforce.</w:t>
      </w:r>
    </w:p>
    <w:p w14:paraId="6D07E118" w14:textId="77777777" w:rsidR="00C91F23" w:rsidRDefault="00C91F23" w:rsidP="00C65BAC">
      <w:pPr>
        <w:spacing w:line="240" w:lineRule="auto"/>
        <w:contextualSpacing/>
      </w:pPr>
    </w:p>
    <w:p w14:paraId="44F7ECEA" w14:textId="54636C2E" w:rsidR="007E025F" w:rsidRDefault="007E025F" w:rsidP="007E025F">
      <w:pPr>
        <w:spacing w:line="240" w:lineRule="auto"/>
        <w:contextualSpacing/>
      </w:pPr>
      <w:r>
        <w:t>Agriculture has always been a big part of Biloela and the Callide Valley and continues to be one of the main industries in the region.</w:t>
      </w:r>
      <w:r w:rsidR="00C91F23">
        <w:t xml:space="preserve"> </w:t>
      </w:r>
      <w:r>
        <w:t xml:space="preserve">With both irrigation and dryland farming there is a vast range of produce grown in the area, such as </w:t>
      </w:r>
      <w:r w:rsidR="000406CB">
        <w:t>l</w:t>
      </w:r>
      <w:r>
        <w:t>ucerne, cotton, sorghum, wheat, legumes and herbs.</w:t>
      </w:r>
    </w:p>
    <w:p w14:paraId="5C8061CD" w14:textId="77777777" w:rsidR="00C91F23" w:rsidRDefault="00C91F23" w:rsidP="007E025F">
      <w:pPr>
        <w:spacing w:line="240" w:lineRule="auto"/>
        <w:contextualSpacing/>
      </w:pPr>
    </w:p>
    <w:p w14:paraId="3CA738E8" w14:textId="5DF2A64C" w:rsidR="00A110B6" w:rsidRDefault="00A110B6" w:rsidP="00A110B6">
      <w:pPr>
        <w:spacing w:line="240" w:lineRule="auto"/>
        <w:contextualSpacing/>
      </w:pPr>
      <w:r w:rsidRPr="005E6CFD">
        <w:t xml:space="preserve">There are two coal mines located in the Callide Valley which supply coal to the Callide Power </w:t>
      </w:r>
      <w:r>
        <w:t>S</w:t>
      </w:r>
      <w:r w:rsidRPr="005E6CFD">
        <w:t>tation.</w:t>
      </w:r>
    </w:p>
    <w:p w14:paraId="40E292B7" w14:textId="4F235FE7" w:rsidR="00BA134D" w:rsidRDefault="00BA134D">
      <w:r>
        <w:br w:type="page"/>
      </w:r>
    </w:p>
    <w:p w14:paraId="5EBE2BF4" w14:textId="2534DEF3" w:rsidR="000F56EA" w:rsidRPr="005C1FAB" w:rsidRDefault="000F56EA" w:rsidP="00F201B7">
      <w:pPr>
        <w:pStyle w:val="BoxHeading-Box"/>
      </w:pPr>
      <w:r>
        <w:lastRenderedPageBreak/>
        <w:t xml:space="preserve">Major employing industries </w:t>
      </w:r>
    </w:p>
    <w:p w14:paraId="40A9085B" w14:textId="2C60BBED" w:rsidR="000F56EA" w:rsidRDefault="000F56EA" w:rsidP="000F56EA">
      <w:pPr>
        <w:spacing w:before="120" w:after="120" w:line="240" w:lineRule="auto"/>
        <w:contextualSpacing/>
      </w:pPr>
      <w:r w:rsidRPr="007C1DA3">
        <w:t xml:space="preserve">As of </w:t>
      </w:r>
      <w:r w:rsidR="00FF75A4">
        <w:t>February 2022</w:t>
      </w:r>
      <w:r w:rsidRPr="007C1DA3">
        <w:t>, the largest employing industries</w:t>
      </w:r>
      <w:r w:rsidR="00FF75A4">
        <w:t xml:space="preserve"> in the Fitzroy ER</w:t>
      </w:r>
      <w:r w:rsidRPr="007C1DA3">
        <w:t xml:space="preserve"> </w:t>
      </w:r>
      <w:r w:rsidR="00716E6D">
        <w:t xml:space="preserve">collectively account for over </w:t>
      </w:r>
      <w:r w:rsidR="00435E44">
        <w:t>50</w:t>
      </w:r>
      <w:r w:rsidR="00716E6D">
        <w:t xml:space="preserve">% of </w:t>
      </w:r>
      <w:r w:rsidR="00E31234">
        <w:t xml:space="preserve">all </w:t>
      </w:r>
      <w:r w:rsidR="00716E6D">
        <w:t xml:space="preserve">employment in the </w:t>
      </w:r>
      <w:r w:rsidRPr="007C1DA3">
        <w:t xml:space="preserve">Fitzroy </w:t>
      </w:r>
      <w:r>
        <w:t>ER</w:t>
      </w:r>
      <w:r w:rsidR="007342D6">
        <w:t xml:space="preserve">. </w:t>
      </w:r>
      <w:r w:rsidR="00392FD4">
        <w:t xml:space="preserve">These include Health Care and Social Assistance, Construction, Agriculture, Forestry and Fishing, Mining and Retail Trade. </w:t>
      </w:r>
      <w:r w:rsidR="00BF6E7F">
        <w:t>P</w:t>
      </w:r>
      <w:r w:rsidR="004D72D2">
        <w:t xml:space="preserve">ublic </w:t>
      </w:r>
      <w:r w:rsidR="00BF6E7F">
        <w:t>A</w:t>
      </w:r>
      <w:r w:rsidR="004D72D2">
        <w:t>dministration</w:t>
      </w:r>
      <w:r w:rsidR="00841EB6">
        <w:t xml:space="preserve"> and Safety</w:t>
      </w:r>
      <w:r w:rsidR="004D72D2">
        <w:t xml:space="preserve">, </w:t>
      </w:r>
      <w:r w:rsidR="00BF6E7F">
        <w:t>M</w:t>
      </w:r>
      <w:r w:rsidR="00BF6E7F" w:rsidRPr="007C1DA3">
        <w:t>anufacturing</w:t>
      </w:r>
      <w:r>
        <w:t>,</w:t>
      </w:r>
      <w:r w:rsidRPr="007C1DA3">
        <w:t xml:space="preserve"> and </w:t>
      </w:r>
      <w:r w:rsidR="00BF6E7F">
        <w:t>A</w:t>
      </w:r>
      <w:r w:rsidR="004D72D2">
        <w:t xml:space="preserve">ccommodation and </w:t>
      </w:r>
      <w:r w:rsidR="009320DA">
        <w:t>F</w:t>
      </w:r>
      <w:r w:rsidR="004D72D2">
        <w:t>ood Services</w:t>
      </w:r>
      <w:r w:rsidRPr="007C1DA3">
        <w:t xml:space="preserve"> </w:t>
      </w:r>
      <w:r w:rsidR="007B0B80">
        <w:t xml:space="preserve">are </w:t>
      </w:r>
      <w:r w:rsidR="00F24176">
        <w:t xml:space="preserve">all around half the size </w:t>
      </w:r>
      <w:r w:rsidR="000E1931">
        <w:t xml:space="preserve">of the largest employing industry, Health Care and Social Assistance, at </w:t>
      </w:r>
      <w:r w:rsidR="00F24176">
        <w:t xml:space="preserve">just </w:t>
      </w:r>
      <w:r w:rsidR="00B808EE">
        <w:t xml:space="preserve">over </w:t>
      </w:r>
      <w:r w:rsidR="00F24176">
        <w:t>6% each.</w:t>
      </w:r>
      <w:r w:rsidR="007B0B80">
        <w:t xml:space="preserve"> </w:t>
      </w:r>
    </w:p>
    <w:p w14:paraId="23061A5D" w14:textId="77777777" w:rsidR="00967FB7" w:rsidRDefault="00967FB7" w:rsidP="000F56EA">
      <w:pPr>
        <w:spacing w:before="120" w:after="120" w:line="240" w:lineRule="auto"/>
        <w:contextualSpacing/>
      </w:pPr>
    </w:p>
    <w:p w14:paraId="6FC7C401" w14:textId="7C309537" w:rsidR="00E31234" w:rsidRDefault="00E31234" w:rsidP="00E31234">
      <w:pPr>
        <w:spacing w:before="120" w:after="120" w:line="240" w:lineRule="auto"/>
        <w:contextualSpacing/>
        <w:rPr>
          <w:b/>
          <w:bCs/>
          <w:noProof/>
        </w:rPr>
      </w:pPr>
      <w:r>
        <w:rPr>
          <w:b/>
          <w:bCs/>
          <w:noProof/>
        </w:rPr>
        <w:t xml:space="preserve">Figure 4: Share of employment by industry in Fitzroy ER, February 2022 </w:t>
      </w:r>
    </w:p>
    <w:p w14:paraId="159D9B15" w14:textId="77777777" w:rsidR="001A1FE3" w:rsidRDefault="001A1FE3" w:rsidP="000F56EA">
      <w:pPr>
        <w:spacing w:before="120" w:after="120" w:line="240" w:lineRule="auto"/>
        <w:contextualSpacing/>
        <w:rPr>
          <w:b/>
          <w:bCs/>
          <w:noProof/>
        </w:rPr>
      </w:pPr>
    </w:p>
    <w:tbl>
      <w:tblPr>
        <w:tblW w:w="10065" w:type="dxa"/>
        <w:tblLook w:val="04A0" w:firstRow="1" w:lastRow="0" w:firstColumn="1" w:lastColumn="0" w:noHBand="0" w:noVBand="1"/>
      </w:tblPr>
      <w:tblGrid>
        <w:gridCol w:w="6848"/>
        <w:gridCol w:w="1009"/>
        <w:gridCol w:w="1606"/>
        <w:gridCol w:w="602"/>
      </w:tblGrid>
      <w:tr w:rsidR="00BF0E93" w:rsidRPr="00BF0E93" w14:paraId="4D886846" w14:textId="77777777" w:rsidTr="00BC73C7">
        <w:trPr>
          <w:gridAfter w:val="1"/>
          <w:wAfter w:w="602" w:type="dxa"/>
          <w:trHeight w:val="509"/>
        </w:trPr>
        <w:tc>
          <w:tcPr>
            <w:tcW w:w="9463" w:type="dxa"/>
            <w:gridSpan w:val="3"/>
            <w:vMerge w:val="restart"/>
            <w:tcBorders>
              <w:top w:val="nil"/>
              <w:left w:val="nil"/>
              <w:bottom w:val="nil"/>
              <w:right w:val="nil"/>
            </w:tcBorders>
            <w:shd w:val="clear" w:color="000000" w:fill="D6DCE4"/>
            <w:vAlign w:val="center"/>
            <w:hideMark/>
          </w:tcPr>
          <w:p w14:paraId="4F2B5C80" w14:textId="77777777" w:rsidR="00BF0E93" w:rsidRPr="00BF0E93" w:rsidRDefault="00BF0E93" w:rsidP="00BF0E93">
            <w:pPr>
              <w:spacing w:after="0" w:line="240" w:lineRule="auto"/>
              <w:jc w:val="center"/>
              <w:rPr>
                <w:rFonts w:ascii="Montserrat Regular" w:eastAsia="Times New Roman" w:hAnsi="Montserrat Regular" w:cs="Calibri"/>
                <w:b/>
                <w:bCs/>
                <w:color w:val="161471"/>
                <w:sz w:val="24"/>
                <w:szCs w:val="24"/>
                <w:lang w:val="en-AU" w:eastAsia="en-AU"/>
              </w:rPr>
            </w:pPr>
            <w:r w:rsidRPr="00BF0E93">
              <w:rPr>
                <w:rFonts w:ascii="Montserrat Regular" w:eastAsia="Times New Roman" w:hAnsi="Montserrat Regular" w:cs="Calibri"/>
                <w:b/>
                <w:bCs/>
                <w:color w:val="161471"/>
                <w:sz w:val="24"/>
                <w:szCs w:val="24"/>
                <w:lang w:val="en-AU" w:eastAsia="en-AU"/>
              </w:rPr>
              <w:t>Share of Employment by Industry, February 2022, Fitzroy</w:t>
            </w:r>
          </w:p>
        </w:tc>
      </w:tr>
      <w:tr w:rsidR="00BF0E93" w:rsidRPr="00BF0E93" w14:paraId="597208A7" w14:textId="77777777" w:rsidTr="00BC73C7">
        <w:trPr>
          <w:trHeight w:val="300"/>
        </w:trPr>
        <w:tc>
          <w:tcPr>
            <w:tcW w:w="9463" w:type="dxa"/>
            <w:gridSpan w:val="3"/>
            <w:vMerge/>
            <w:tcBorders>
              <w:top w:val="nil"/>
              <w:left w:val="nil"/>
              <w:bottom w:val="nil"/>
              <w:right w:val="nil"/>
            </w:tcBorders>
            <w:vAlign w:val="center"/>
            <w:hideMark/>
          </w:tcPr>
          <w:p w14:paraId="0515341A" w14:textId="77777777" w:rsidR="00BF0E93" w:rsidRPr="00BF0E93" w:rsidRDefault="00BF0E93" w:rsidP="00BF0E93">
            <w:pPr>
              <w:spacing w:after="0" w:line="240" w:lineRule="auto"/>
              <w:rPr>
                <w:rFonts w:ascii="Montserrat Regular" w:eastAsia="Times New Roman" w:hAnsi="Montserrat Regular" w:cs="Calibri"/>
                <w:b/>
                <w:bCs/>
                <w:color w:val="161471"/>
                <w:sz w:val="24"/>
                <w:szCs w:val="24"/>
                <w:lang w:val="en-AU" w:eastAsia="en-AU"/>
              </w:rPr>
            </w:pPr>
          </w:p>
        </w:tc>
        <w:tc>
          <w:tcPr>
            <w:tcW w:w="602" w:type="dxa"/>
            <w:tcBorders>
              <w:top w:val="nil"/>
              <w:left w:val="nil"/>
              <w:bottom w:val="nil"/>
              <w:right w:val="nil"/>
            </w:tcBorders>
            <w:shd w:val="clear" w:color="auto" w:fill="auto"/>
            <w:noWrap/>
            <w:vAlign w:val="bottom"/>
            <w:hideMark/>
          </w:tcPr>
          <w:p w14:paraId="197C87CA" w14:textId="77777777" w:rsidR="00BF0E93" w:rsidRPr="00BF0E93" w:rsidRDefault="00BF0E93" w:rsidP="00BF0E93">
            <w:pPr>
              <w:spacing w:after="0" w:line="240" w:lineRule="auto"/>
              <w:jc w:val="center"/>
              <w:rPr>
                <w:rFonts w:ascii="Montserrat Regular" w:eastAsia="Times New Roman" w:hAnsi="Montserrat Regular" w:cs="Calibri"/>
                <w:b/>
                <w:bCs/>
                <w:color w:val="161471"/>
                <w:sz w:val="24"/>
                <w:szCs w:val="24"/>
                <w:lang w:val="en-AU" w:eastAsia="en-AU"/>
              </w:rPr>
            </w:pPr>
          </w:p>
        </w:tc>
      </w:tr>
      <w:tr w:rsidR="00BF0E93" w:rsidRPr="00BF0E93" w14:paraId="7BD7D1C3" w14:textId="77777777" w:rsidTr="00BC73C7">
        <w:trPr>
          <w:trHeight w:val="300"/>
        </w:trPr>
        <w:tc>
          <w:tcPr>
            <w:tcW w:w="6848" w:type="dxa"/>
            <w:tcBorders>
              <w:top w:val="single" w:sz="4" w:space="0" w:color="auto"/>
              <w:left w:val="single" w:sz="4" w:space="0" w:color="auto"/>
              <w:bottom w:val="single" w:sz="4" w:space="0" w:color="auto"/>
              <w:right w:val="single" w:sz="4" w:space="0" w:color="auto"/>
            </w:tcBorders>
            <w:shd w:val="clear" w:color="000000" w:fill="D6DCE4"/>
            <w:vAlign w:val="bottom"/>
            <w:hideMark/>
          </w:tcPr>
          <w:p w14:paraId="06C2D852" w14:textId="77777777" w:rsidR="00BF0E93" w:rsidRPr="00BF0E93" w:rsidRDefault="00BF0E93" w:rsidP="00BF0E93">
            <w:pPr>
              <w:spacing w:after="0" w:line="240" w:lineRule="auto"/>
              <w:jc w:val="center"/>
              <w:rPr>
                <w:rFonts w:ascii="Montserrat Regular" w:eastAsia="Times New Roman" w:hAnsi="Montserrat Regular" w:cs="Calibri"/>
                <w:b/>
                <w:bCs/>
                <w:color w:val="212529"/>
                <w:lang w:val="en-AU" w:eastAsia="en-AU"/>
              </w:rPr>
            </w:pPr>
            <w:r w:rsidRPr="00BF0E93">
              <w:rPr>
                <w:rFonts w:ascii="Montserrat Regular" w:eastAsia="Times New Roman" w:hAnsi="Montserrat Regular" w:cs="Calibri"/>
                <w:b/>
                <w:bCs/>
                <w:color w:val="212529"/>
                <w:lang w:val="en-AU" w:eastAsia="en-AU"/>
              </w:rPr>
              <w:t>Industry</w:t>
            </w:r>
          </w:p>
        </w:tc>
        <w:tc>
          <w:tcPr>
            <w:tcW w:w="1009" w:type="dxa"/>
            <w:tcBorders>
              <w:top w:val="single" w:sz="4" w:space="0" w:color="auto"/>
              <w:left w:val="nil"/>
              <w:bottom w:val="single" w:sz="4" w:space="0" w:color="auto"/>
              <w:right w:val="single" w:sz="4" w:space="0" w:color="auto"/>
            </w:tcBorders>
            <w:shd w:val="clear" w:color="000000" w:fill="D6DCE4"/>
            <w:vAlign w:val="bottom"/>
            <w:hideMark/>
          </w:tcPr>
          <w:p w14:paraId="7BF1799B" w14:textId="77777777" w:rsidR="00BF0E93" w:rsidRPr="00BF0E93" w:rsidRDefault="00BF0E93" w:rsidP="00BF0E93">
            <w:pPr>
              <w:spacing w:after="0" w:line="240" w:lineRule="auto"/>
              <w:jc w:val="center"/>
              <w:rPr>
                <w:rFonts w:ascii="Montserrat Regular" w:eastAsia="Times New Roman" w:hAnsi="Montserrat Regular" w:cs="Calibri"/>
                <w:b/>
                <w:bCs/>
                <w:color w:val="212529"/>
                <w:lang w:val="en-AU" w:eastAsia="en-AU"/>
              </w:rPr>
            </w:pPr>
            <w:r w:rsidRPr="00BF0E93">
              <w:rPr>
                <w:rFonts w:ascii="Montserrat Regular" w:eastAsia="Times New Roman" w:hAnsi="Montserrat Regular" w:cs="Calibri"/>
                <w:b/>
                <w:bCs/>
                <w:color w:val="212529"/>
                <w:lang w:val="en-AU" w:eastAsia="en-AU"/>
              </w:rPr>
              <w:t>Fitzroy</w:t>
            </w:r>
          </w:p>
        </w:tc>
        <w:tc>
          <w:tcPr>
            <w:tcW w:w="1606" w:type="dxa"/>
            <w:tcBorders>
              <w:top w:val="single" w:sz="4" w:space="0" w:color="auto"/>
              <w:left w:val="nil"/>
              <w:bottom w:val="single" w:sz="4" w:space="0" w:color="auto"/>
              <w:right w:val="single" w:sz="4" w:space="0" w:color="auto"/>
            </w:tcBorders>
            <w:shd w:val="clear" w:color="000000" w:fill="D6DCE4"/>
            <w:vAlign w:val="bottom"/>
            <w:hideMark/>
          </w:tcPr>
          <w:p w14:paraId="79D33BDF" w14:textId="77777777" w:rsidR="00BF0E93" w:rsidRPr="00BF0E93" w:rsidRDefault="00BF0E93" w:rsidP="00BF0E93">
            <w:pPr>
              <w:spacing w:after="0" w:line="240" w:lineRule="auto"/>
              <w:jc w:val="center"/>
              <w:rPr>
                <w:rFonts w:ascii="Montserrat Regular" w:eastAsia="Times New Roman" w:hAnsi="Montserrat Regular" w:cs="Calibri"/>
                <w:b/>
                <w:bCs/>
                <w:color w:val="212529"/>
                <w:lang w:val="en-AU" w:eastAsia="en-AU"/>
              </w:rPr>
            </w:pPr>
            <w:r w:rsidRPr="00BF0E93">
              <w:rPr>
                <w:rFonts w:ascii="Montserrat Regular" w:eastAsia="Times New Roman" w:hAnsi="Montserrat Regular" w:cs="Calibri"/>
                <w:b/>
                <w:bCs/>
                <w:color w:val="212529"/>
                <w:lang w:val="en-AU" w:eastAsia="en-AU"/>
              </w:rPr>
              <w:t>Queensland</w:t>
            </w:r>
          </w:p>
        </w:tc>
        <w:tc>
          <w:tcPr>
            <w:tcW w:w="602" w:type="dxa"/>
            <w:vAlign w:val="center"/>
            <w:hideMark/>
          </w:tcPr>
          <w:p w14:paraId="37ACD0EC" w14:textId="77777777" w:rsidR="00BF0E93" w:rsidRPr="00BF0E93" w:rsidRDefault="00BF0E93" w:rsidP="00BF0E93">
            <w:pPr>
              <w:spacing w:after="0" w:line="240" w:lineRule="auto"/>
              <w:rPr>
                <w:rFonts w:ascii="Times New Roman" w:eastAsia="Times New Roman" w:hAnsi="Times New Roman" w:cs="Times New Roman"/>
                <w:sz w:val="20"/>
                <w:szCs w:val="20"/>
                <w:lang w:val="en-AU" w:eastAsia="en-AU"/>
              </w:rPr>
            </w:pPr>
          </w:p>
        </w:tc>
      </w:tr>
      <w:tr w:rsidR="00BF0E93" w:rsidRPr="00BF0E93" w14:paraId="7085D7D9" w14:textId="77777777" w:rsidTr="00BC73C7">
        <w:trPr>
          <w:trHeight w:val="300"/>
        </w:trPr>
        <w:tc>
          <w:tcPr>
            <w:tcW w:w="6848" w:type="dxa"/>
            <w:tcBorders>
              <w:top w:val="nil"/>
              <w:left w:val="single" w:sz="4" w:space="0" w:color="auto"/>
              <w:bottom w:val="single" w:sz="4" w:space="0" w:color="auto"/>
              <w:right w:val="single" w:sz="4" w:space="0" w:color="auto"/>
            </w:tcBorders>
            <w:shd w:val="clear" w:color="000000" w:fill="D6DCE4"/>
            <w:hideMark/>
          </w:tcPr>
          <w:p w14:paraId="2197127D" w14:textId="77777777" w:rsidR="00BF0E93" w:rsidRPr="00BF0E93" w:rsidRDefault="00BF0E93" w:rsidP="00BF0E93">
            <w:pPr>
              <w:spacing w:after="0" w:line="240" w:lineRule="auto"/>
              <w:rPr>
                <w:rFonts w:ascii="Montserrat Regular" w:eastAsia="Times New Roman" w:hAnsi="Montserrat Regular" w:cs="Calibri"/>
                <w:color w:val="212529"/>
                <w:lang w:val="en-AU" w:eastAsia="en-AU"/>
              </w:rPr>
            </w:pPr>
            <w:r w:rsidRPr="00BF0E93">
              <w:rPr>
                <w:rFonts w:ascii="Montserrat Regular" w:eastAsia="Times New Roman" w:hAnsi="Montserrat Regular" w:cs="Calibri"/>
                <w:color w:val="212529"/>
                <w:lang w:val="en-AU" w:eastAsia="en-AU"/>
              </w:rPr>
              <w:t>Health Care and Social Assistance</w:t>
            </w:r>
          </w:p>
        </w:tc>
        <w:tc>
          <w:tcPr>
            <w:tcW w:w="1009" w:type="dxa"/>
            <w:tcBorders>
              <w:top w:val="nil"/>
              <w:left w:val="nil"/>
              <w:bottom w:val="single" w:sz="4" w:space="0" w:color="auto"/>
              <w:right w:val="single" w:sz="4" w:space="0" w:color="auto"/>
            </w:tcBorders>
            <w:shd w:val="clear" w:color="000000" w:fill="D6DCE4"/>
            <w:hideMark/>
          </w:tcPr>
          <w:p w14:paraId="3BAD0793" w14:textId="77777777" w:rsidR="00BF0E93" w:rsidRPr="00BF0E93" w:rsidRDefault="00BF0E93" w:rsidP="00BF0E93">
            <w:pPr>
              <w:spacing w:after="0" w:line="240" w:lineRule="auto"/>
              <w:jc w:val="right"/>
              <w:rPr>
                <w:rFonts w:ascii="Montserrat Regular" w:eastAsia="Times New Roman" w:hAnsi="Montserrat Regular" w:cs="Calibri"/>
                <w:color w:val="212529"/>
                <w:lang w:val="en-AU" w:eastAsia="en-AU"/>
              </w:rPr>
            </w:pPr>
            <w:r w:rsidRPr="00BF0E93">
              <w:rPr>
                <w:rFonts w:ascii="Montserrat Regular" w:eastAsia="Times New Roman" w:hAnsi="Montserrat Regular" w:cs="Calibri"/>
                <w:color w:val="212529"/>
                <w:lang w:val="en-AU" w:eastAsia="en-AU"/>
              </w:rPr>
              <w:t>13.20%</w:t>
            </w:r>
          </w:p>
        </w:tc>
        <w:tc>
          <w:tcPr>
            <w:tcW w:w="1606" w:type="dxa"/>
            <w:tcBorders>
              <w:top w:val="nil"/>
              <w:left w:val="nil"/>
              <w:bottom w:val="single" w:sz="4" w:space="0" w:color="auto"/>
              <w:right w:val="single" w:sz="4" w:space="0" w:color="auto"/>
            </w:tcBorders>
            <w:shd w:val="clear" w:color="000000" w:fill="D6DCE4"/>
            <w:hideMark/>
          </w:tcPr>
          <w:p w14:paraId="780854C9" w14:textId="77777777" w:rsidR="00BF0E93" w:rsidRPr="00BF0E93" w:rsidRDefault="00BF0E93" w:rsidP="00BF0E93">
            <w:pPr>
              <w:spacing w:after="0" w:line="240" w:lineRule="auto"/>
              <w:jc w:val="right"/>
              <w:rPr>
                <w:rFonts w:ascii="Montserrat Regular" w:eastAsia="Times New Roman" w:hAnsi="Montserrat Regular" w:cs="Calibri"/>
                <w:color w:val="212529"/>
                <w:lang w:val="en-AU" w:eastAsia="en-AU"/>
              </w:rPr>
            </w:pPr>
            <w:r w:rsidRPr="00BF0E93">
              <w:rPr>
                <w:rFonts w:ascii="Montserrat Regular" w:eastAsia="Times New Roman" w:hAnsi="Montserrat Regular" w:cs="Calibri"/>
                <w:color w:val="212529"/>
                <w:lang w:val="en-AU" w:eastAsia="en-AU"/>
              </w:rPr>
              <w:t>15.10%</w:t>
            </w:r>
          </w:p>
        </w:tc>
        <w:tc>
          <w:tcPr>
            <w:tcW w:w="602" w:type="dxa"/>
            <w:vAlign w:val="center"/>
            <w:hideMark/>
          </w:tcPr>
          <w:p w14:paraId="72A9A0AC" w14:textId="77777777" w:rsidR="00BF0E93" w:rsidRPr="00BF0E93" w:rsidRDefault="00BF0E93" w:rsidP="00BF0E93">
            <w:pPr>
              <w:spacing w:after="0" w:line="240" w:lineRule="auto"/>
              <w:rPr>
                <w:rFonts w:ascii="Times New Roman" w:eastAsia="Times New Roman" w:hAnsi="Times New Roman" w:cs="Times New Roman"/>
                <w:sz w:val="20"/>
                <w:szCs w:val="20"/>
                <w:lang w:val="en-AU" w:eastAsia="en-AU"/>
              </w:rPr>
            </w:pPr>
          </w:p>
        </w:tc>
      </w:tr>
      <w:tr w:rsidR="00BF0E93" w:rsidRPr="00BF0E93" w14:paraId="65312E09" w14:textId="77777777" w:rsidTr="00BC73C7">
        <w:trPr>
          <w:trHeight w:val="300"/>
        </w:trPr>
        <w:tc>
          <w:tcPr>
            <w:tcW w:w="6848" w:type="dxa"/>
            <w:tcBorders>
              <w:top w:val="nil"/>
              <w:left w:val="single" w:sz="4" w:space="0" w:color="auto"/>
              <w:bottom w:val="single" w:sz="4" w:space="0" w:color="auto"/>
              <w:right w:val="single" w:sz="4" w:space="0" w:color="auto"/>
            </w:tcBorders>
            <w:shd w:val="clear" w:color="000000" w:fill="D6DCE4"/>
            <w:hideMark/>
          </w:tcPr>
          <w:p w14:paraId="59B6994A" w14:textId="77777777" w:rsidR="00BF0E93" w:rsidRPr="00BF0E93" w:rsidRDefault="00BF0E93" w:rsidP="00BF0E93">
            <w:pPr>
              <w:spacing w:after="0" w:line="240" w:lineRule="auto"/>
              <w:rPr>
                <w:rFonts w:ascii="Montserrat Regular" w:eastAsia="Times New Roman" w:hAnsi="Montserrat Regular" w:cs="Calibri"/>
                <w:color w:val="212529"/>
                <w:lang w:val="en-AU" w:eastAsia="en-AU"/>
              </w:rPr>
            </w:pPr>
            <w:r w:rsidRPr="00BF0E93">
              <w:rPr>
                <w:rFonts w:ascii="Montserrat Regular" w:eastAsia="Times New Roman" w:hAnsi="Montserrat Regular" w:cs="Calibri"/>
                <w:color w:val="212529"/>
                <w:lang w:val="en-AU" w:eastAsia="en-AU"/>
              </w:rPr>
              <w:t>Construction</w:t>
            </w:r>
          </w:p>
        </w:tc>
        <w:tc>
          <w:tcPr>
            <w:tcW w:w="1009" w:type="dxa"/>
            <w:tcBorders>
              <w:top w:val="nil"/>
              <w:left w:val="nil"/>
              <w:bottom w:val="single" w:sz="4" w:space="0" w:color="auto"/>
              <w:right w:val="single" w:sz="4" w:space="0" w:color="auto"/>
            </w:tcBorders>
            <w:shd w:val="clear" w:color="000000" w:fill="D6DCE4"/>
            <w:hideMark/>
          </w:tcPr>
          <w:p w14:paraId="4D2396A8" w14:textId="77777777" w:rsidR="00BF0E93" w:rsidRPr="00BF0E93" w:rsidRDefault="00BF0E93" w:rsidP="00BF0E93">
            <w:pPr>
              <w:spacing w:after="0" w:line="240" w:lineRule="auto"/>
              <w:jc w:val="right"/>
              <w:rPr>
                <w:rFonts w:ascii="Montserrat Regular" w:eastAsia="Times New Roman" w:hAnsi="Montserrat Regular" w:cs="Calibri"/>
                <w:color w:val="212529"/>
                <w:lang w:val="en-AU" w:eastAsia="en-AU"/>
              </w:rPr>
            </w:pPr>
            <w:r w:rsidRPr="00BF0E93">
              <w:rPr>
                <w:rFonts w:ascii="Montserrat Regular" w:eastAsia="Times New Roman" w:hAnsi="Montserrat Regular" w:cs="Calibri"/>
                <w:color w:val="212529"/>
                <w:lang w:val="en-AU" w:eastAsia="en-AU"/>
              </w:rPr>
              <w:t>10.70%</w:t>
            </w:r>
          </w:p>
        </w:tc>
        <w:tc>
          <w:tcPr>
            <w:tcW w:w="1606" w:type="dxa"/>
            <w:tcBorders>
              <w:top w:val="nil"/>
              <w:left w:val="nil"/>
              <w:bottom w:val="single" w:sz="4" w:space="0" w:color="auto"/>
              <w:right w:val="single" w:sz="4" w:space="0" w:color="auto"/>
            </w:tcBorders>
            <w:shd w:val="clear" w:color="000000" w:fill="D6DCE4"/>
            <w:hideMark/>
          </w:tcPr>
          <w:p w14:paraId="69577EA6" w14:textId="77777777" w:rsidR="00BF0E93" w:rsidRPr="00BF0E93" w:rsidRDefault="00BF0E93" w:rsidP="00BF0E93">
            <w:pPr>
              <w:spacing w:after="0" w:line="240" w:lineRule="auto"/>
              <w:jc w:val="right"/>
              <w:rPr>
                <w:rFonts w:ascii="Montserrat Regular" w:eastAsia="Times New Roman" w:hAnsi="Montserrat Regular" w:cs="Calibri"/>
                <w:color w:val="212529"/>
                <w:lang w:val="en-AU" w:eastAsia="en-AU"/>
              </w:rPr>
            </w:pPr>
            <w:r w:rsidRPr="00BF0E93">
              <w:rPr>
                <w:rFonts w:ascii="Montserrat Regular" w:eastAsia="Times New Roman" w:hAnsi="Montserrat Regular" w:cs="Calibri"/>
                <w:color w:val="212529"/>
                <w:lang w:val="en-AU" w:eastAsia="en-AU"/>
              </w:rPr>
              <w:t>8.80%</w:t>
            </w:r>
          </w:p>
        </w:tc>
        <w:tc>
          <w:tcPr>
            <w:tcW w:w="602" w:type="dxa"/>
            <w:vAlign w:val="center"/>
            <w:hideMark/>
          </w:tcPr>
          <w:p w14:paraId="5CA29B6B" w14:textId="77777777" w:rsidR="00BF0E93" w:rsidRPr="00BF0E93" w:rsidRDefault="00BF0E93" w:rsidP="00BF0E93">
            <w:pPr>
              <w:spacing w:after="0" w:line="240" w:lineRule="auto"/>
              <w:rPr>
                <w:rFonts w:ascii="Times New Roman" w:eastAsia="Times New Roman" w:hAnsi="Times New Roman" w:cs="Times New Roman"/>
                <w:sz w:val="20"/>
                <w:szCs w:val="20"/>
                <w:lang w:val="en-AU" w:eastAsia="en-AU"/>
              </w:rPr>
            </w:pPr>
          </w:p>
        </w:tc>
      </w:tr>
      <w:tr w:rsidR="00BF0E93" w:rsidRPr="00BF0E93" w14:paraId="5089D415" w14:textId="77777777" w:rsidTr="00BC73C7">
        <w:trPr>
          <w:trHeight w:val="300"/>
        </w:trPr>
        <w:tc>
          <w:tcPr>
            <w:tcW w:w="6848" w:type="dxa"/>
            <w:tcBorders>
              <w:top w:val="nil"/>
              <w:left w:val="single" w:sz="4" w:space="0" w:color="auto"/>
              <w:bottom w:val="single" w:sz="4" w:space="0" w:color="auto"/>
              <w:right w:val="single" w:sz="4" w:space="0" w:color="auto"/>
            </w:tcBorders>
            <w:shd w:val="clear" w:color="000000" w:fill="D6DCE4"/>
            <w:hideMark/>
          </w:tcPr>
          <w:p w14:paraId="2AC00B21" w14:textId="77777777" w:rsidR="00BF0E93" w:rsidRPr="00BF0E93" w:rsidRDefault="00BF0E93" w:rsidP="00BF0E93">
            <w:pPr>
              <w:spacing w:after="0" w:line="240" w:lineRule="auto"/>
              <w:rPr>
                <w:rFonts w:ascii="Montserrat Regular" w:eastAsia="Times New Roman" w:hAnsi="Montserrat Regular" w:cs="Calibri"/>
                <w:color w:val="212529"/>
                <w:lang w:val="en-AU" w:eastAsia="en-AU"/>
              </w:rPr>
            </w:pPr>
            <w:r w:rsidRPr="00BF0E93">
              <w:rPr>
                <w:rFonts w:ascii="Montserrat Regular" w:eastAsia="Times New Roman" w:hAnsi="Montserrat Regular" w:cs="Calibri"/>
                <w:color w:val="212529"/>
                <w:lang w:val="en-AU" w:eastAsia="en-AU"/>
              </w:rPr>
              <w:t>Mining</w:t>
            </w:r>
          </w:p>
        </w:tc>
        <w:tc>
          <w:tcPr>
            <w:tcW w:w="1009" w:type="dxa"/>
            <w:tcBorders>
              <w:top w:val="nil"/>
              <w:left w:val="nil"/>
              <w:bottom w:val="single" w:sz="4" w:space="0" w:color="auto"/>
              <w:right w:val="single" w:sz="4" w:space="0" w:color="auto"/>
            </w:tcBorders>
            <w:shd w:val="clear" w:color="000000" w:fill="D6DCE4"/>
            <w:hideMark/>
          </w:tcPr>
          <w:p w14:paraId="2477AE22" w14:textId="77777777" w:rsidR="00BF0E93" w:rsidRPr="00BF0E93" w:rsidRDefault="00BF0E93" w:rsidP="00BF0E93">
            <w:pPr>
              <w:spacing w:after="0" w:line="240" w:lineRule="auto"/>
              <w:jc w:val="right"/>
              <w:rPr>
                <w:rFonts w:ascii="Montserrat Regular" w:eastAsia="Times New Roman" w:hAnsi="Montserrat Regular" w:cs="Calibri"/>
                <w:color w:val="212529"/>
                <w:lang w:val="en-AU" w:eastAsia="en-AU"/>
              </w:rPr>
            </w:pPr>
            <w:r w:rsidRPr="00BF0E93">
              <w:rPr>
                <w:rFonts w:ascii="Montserrat Regular" w:eastAsia="Times New Roman" w:hAnsi="Montserrat Regular" w:cs="Calibri"/>
                <w:color w:val="212529"/>
                <w:lang w:val="en-AU" w:eastAsia="en-AU"/>
              </w:rPr>
              <w:t>9.50%</w:t>
            </w:r>
          </w:p>
        </w:tc>
        <w:tc>
          <w:tcPr>
            <w:tcW w:w="1606" w:type="dxa"/>
            <w:tcBorders>
              <w:top w:val="nil"/>
              <w:left w:val="nil"/>
              <w:bottom w:val="single" w:sz="4" w:space="0" w:color="auto"/>
              <w:right w:val="single" w:sz="4" w:space="0" w:color="auto"/>
            </w:tcBorders>
            <w:shd w:val="clear" w:color="000000" w:fill="D6DCE4"/>
            <w:hideMark/>
          </w:tcPr>
          <w:p w14:paraId="1E600A39" w14:textId="77777777" w:rsidR="00BF0E93" w:rsidRPr="00BF0E93" w:rsidRDefault="00BF0E93" w:rsidP="00BF0E93">
            <w:pPr>
              <w:spacing w:after="0" w:line="240" w:lineRule="auto"/>
              <w:jc w:val="right"/>
              <w:rPr>
                <w:rFonts w:ascii="Montserrat Regular" w:eastAsia="Times New Roman" w:hAnsi="Montserrat Regular" w:cs="Calibri"/>
                <w:color w:val="212529"/>
                <w:lang w:val="en-AU" w:eastAsia="en-AU"/>
              </w:rPr>
            </w:pPr>
            <w:r w:rsidRPr="00BF0E93">
              <w:rPr>
                <w:rFonts w:ascii="Montserrat Regular" w:eastAsia="Times New Roman" w:hAnsi="Montserrat Regular" w:cs="Calibri"/>
                <w:color w:val="212529"/>
                <w:lang w:val="en-AU" w:eastAsia="en-AU"/>
              </w:rPr>
              <w:t>2.90%</w:t>
            </w:r>
          </w:p>
        </w:tc>
        <w:tc>
          <w:tcPr>
            <w:tcW w:w="602" w:type="dxa"/>
            <w:vAlign w:val="center"/>
            <w:hideMark/>
          </w:tcPr>
          <w:p w14:paraId="6574E533" w14:textId="77777777" w:rsidR="00BF0E93" w:rsidRPr="00BF0E93" w:rsidRDefault="00BF0E93" w:rsidP="00BF0E93">
            <w:pPr>
              <w:spacing w:after="0" w:line="240" w:lineRule="auto"/>
              <w:rPr>
                <w:rFonts w:ascii="Times New Roman" w:eastAsia="Times New Roman" w:hAnsi="Times New Roman" w:cs="Times New Roman"/>
                <w:sz w:val="20"/>
                <w:szCs w:val="20"/>
                <w:lang w:val="en-AU" w:eastAsia="en-AU"/>
              </w:rPr>
            </w:pPr>
          </w:p>
        </w:tc>
      </w:tr>
      <w:tr w:rsidR="00BF0E93" w:rsidRPr="00BF0E93" w14:paraId="2D4226ED" w14:textId="77777777" w:rsidTr="00BC73C7">
        <w:trPr>
          <w:trHeight w:val="300"/>
        </w:trPr>
        <w:tc>
          <w:tcPr>
            <w:tcW w:w="6848" w:type="dxa"/>
            <w:tcBorders>
              <w:top w:val="nil"/>
              <w:left w:val="single" w:sz="4" w:space="0" w:color="auto"/>
              <w:bottom w:val="single" w:sz="4" w:space="0" w:color="auto"/>
              <w:right w:val="single" w:sz="4" w:space="0" w:color="auto"/>
            </w:tcBorders>
            <w:shd w:val="clear" w:color="000000" w:fill="D6DCE4"/>
            <w:hideMark/>
          </w:tcPr>
          <w:p w14:paraId="5299FB73" w14:textId="77777777" w:rsidR="00BF0E93" w:rsidRPr="00BF0E93" w:rsidRDefault="00BF0E93" w:rsidP="00BF0E93">
            <w:pPr>
              <w:spacing w:after="0" w:line="240" w:lineRule="auto"/>
              <w:rPr>
                <w:rFonts w:ascii="Montserrat Regular" w:eastAsia="Times New Roman" w:hAnsi="Montserrat Regular" w:cs="Calibri"/>
                <w:color w:val="212529"/>
                <w:lang w:val="en-AU" w:eastAsia="en-AU"/>
              </w:rPr>
            </w:pPr>
            <w:r w:rsidRPr="00BF0E93">
              <w:rPr>
                <w:rFonts w:ascii="Montserrat Regular" w:eastAsia="Times New Roman" w:hAnsi="Montserrat Regular" w:cs="Calibri"/>
                <w:color w:val="212529"/>
                <w:lang w:val="en-AU" w:eastAsia="en-AU"/>
              </w:rPr>
              <w:t>Agriculture, Forestry and Fishing</w:t>
            </w:r>
          </w:p>
        </w:tc>
        <w:tc>
          <w:tcPr>
            <w:tcW w:w="1009" w:type="dxa"/>
            <w:tcBorders>
              <w:top w:val="nil"/>
              <w:left w:val="nil"/>
              <w:bottom w:val="single" w:sz="4" w:space="0" w:color="auto"/>
              <w:right w:val="single" w:sz="4" w:space="0" w:color="auto"/>
            </w:tcBorders>
            <w:shd w:val="clear" w:color="000000" w:fill="D6DCE4"/>
            <w:hideMark/>
          </w:tcPr>
          <w:p w14:paraId="7850521A" w14:textId="77777777" w:rsidR="00BF0E93" w:rsidRPr="00BF0E93" w:rsidRDefault="00BF0E93" w:rsidP="00BF0E93">
            <w:pPr>
              <w:spacing w:after="0" w:line="240" w:lineRule="auto"/>
              <w:jc w:val="right"/>
              <w:rPr>
                <w:rFonts w:ascii="Montserrat Regular" w:eastAsia="Times New Roman" w:hAnsi="Montserrat Regular" w:cs="Calibri"/>
                <w:color w:val="212529"/>
                <w:lang w:val="en-AU" w:eastAsia="en-AU"/>
              </w:rPr>
            </w:pPr>
            <w:r w:rsidRPr="00BF0E93">
              <w:rPr>
                <w:rFonts w:ascii="Montserrat Regular" w:eastAsia="Times New Roman" w:hAnsi="Montserrat Regular" w:cs="Calibri"/>
                <w:color w:val="212529"/>
                <w:lang w:val="en-AU" w:eastAsia="en-AU"/>
              </w:rPr>
              <w:t>8.60%</w:t>
            </w:r>
          </w:p>
        </w:tc>
        <w:tc>
          <w:tcPr>
            <w:tcW w:w="1606" w:type="dxa"/>
            <w:tcBorders>
              <w:top w:val="nil"/>
              <w:left w:val="nil"/>
              <w:bottom w:val="single" w:sz="4" w:space="0" w:color="auto"/>
              <w:right w:val="single" w:sz="4" w:space="0" w:color="auto"/>
            </w:tcBorders>
            <w:shd w:val="clear" w:color="000000" w:fill="D6DCE4"/>
            <w:hideMark/>
          </w:tcPr>
          <w:p w14:paraId="3C6A9BCB" w14:textId="77777777" w:rsidR="00BF0E93" w:rsidRPr="00BF0E93" w:rsidRDefault="00BF0E93" w:rsidP="00BF0E93">
            <w:pPr>
              <w:spacing w:after="0" w:line="240" w:lineRule="auto"/>
              <w:jc w:val="right"/>
              <w:rPr>
                <w:rFonts w:ascii="Montserrat Regular" w:eastAsia="Times New Roman" w:hAnsi="Montserrat Regular" w:cs="Calibri"/>
                <w:color w:val="212529"/>
                <w:lang w:val="en-AU" w:eastAsia="en-AU"/>
              </w:rPr>
            </w:pPr>
            <w:r w:rsidRPr="00BF0E93">
              <w:rPr>
                <w:rFonts w:ascii="Montserrat Regular" w:eastAsia="Times New Roman" w:hAnsi="Montserrat Regular" w:cs="Calibri"/>
                <w:color w:val="212529"/>
                <w:lang w:val="en-AU" w:eastAsia="en-AU"/>
              </w:rPr>
              <w:t>2.60%</w:t>
            </w:r>
          </w:p>
        </w:tc>
        <w:tc>
          <w:tcPr>
            <w:tcW w:w="602" w:type="dxa"/>
            <w:vAlign w:val="center"/>
            <w:hideMark/>
          </w:tcPr>
          <w:p w14:paraId="60E78765" w14:textId="77777777" w:rsidR="00BF0E93" w:rsidRPr="00BF0E93" w:rsidRDefault="00BF0E93" w:rsidP="00BF0E93">
            <w:pPr>
              <w:spacing w:after="0" w:line="240" w:lineRule="auto"/>
              <w:rPr>
                <w:rFonts w:ascii="Times New Roman" w:eastAsia="Times New Roman" w:hAnsi="Times New Roman" w:cs="Times New Roman"/>
                <w:sz w:val="20"/>
                <w:szCs w:val="20"/>
                <w:lang w:val="en-AU" w:eastAsia="en-AU"/>
              </w:rPr>
            </w:pPr>
          </w:p>
        </w:tc>
      </w:tr>
      <w:tr w:rsidR="00BF0E93" w:rsidRPr="00BF0E93" w14:paraId="66D44FB5" w14:textId="77777777" w:rsidTr="00BC73C7">
        <w:trPr>
          <w:trHeight w:val="300"/>
        </w:trPr>
        <w:tc>
          <w:tcPr>
            <w:tcW w:w="6848" w:type="dxa"/>
            <w:tcBorders>
              <w:top w:val="nil"/>
              <w:left w:val="single" w:sz="4" w:space="0" w:color="auto"/>
              <w:bottom w:val="single" w:sz="4" w:space="0" w:color="auto"/>
              <w:right w:val="single" w:sz="4" w:space="0" w:color="auto"/>
            </w:tcBorders>
            <w:shd w:val="clear" w:color="000000" w:fill="D6DCE4"/>
            <w:hideMark/>
          </w:tcPr>
          <w:p w14:paraId="5DDC27E4" w14:textId="77777777" w:rsidR="00BF0E93" w:rsidRPr="00BF0E93" w:rsidRDefault="00BF0E93" w:rsidP="00BF0E93">
            <w:pPr>
              <w:spacing w:after="0" w:line="240" w:lineRule="auto"/>
              <w:rPr>
                <w:rFonts w:ascii="Montserrat Regular" w:eastAsia="Times New Roman" w:hAnsi="Montserrat Regular" w:cs="Calibri"/>
                <w:color w:val="212529"/>
                <w:lang w:val="en-AU" w:eastAsia="en-AU"/>
              </w:rPr>
            </w:pPr>
            <w:r w:rsidRPr="00BF0E93">
              <w:rPr>
                <w:rFonts w:ascii="Montserrat Regular" w:eastAsia="Times New Roman" w:hAnsi="Montserrat Regular" w:cs="Calibri"/>
                <w:color w:val="212529"/>
                <w:lang w:val="en-AU" w:eastAsia="en-AU"/>
              </w:rPr>
              <w:t>Retail Trade</w:t>
            </w:r>
          </w:p>
        </w:tc>
        <w:tc>
          <w:tcPr>
            <w:tcW w:w="1009" w:type="dxa"/>
            <w:tcBorders>
              <w:top w:val="nil"/>
              <w:left w:val="nil"/>
              <w:bottom w:val="single" w:sz="4" w:space="0" w:color="auto"/>
              <w:right w:val="single" w:sz="4" w:space="0" w:color="auto"/>
            </w:tcBorders>
            <w:shd w:val="clear" w:color="000000" w:fill="D6DCE4"/>
            <w:hideMark/>
          </w:tcPr>
          <w:p w14:paraId="61F32ED7" w14:textId="77777777" w:rsidR="00BF0E93" w:rsidRPr="00BF0E93" w:rsidRDefault="00BF0E93" w:rsidP="00BF0E93">
            <w:pPr>
              <w:spacing w:after="0" w:line="240" w:lineRule="auto"/>
              <w:jc w:val="right"/>
              <w:rPr>
                <w:rFonts w:ascii="Montserrat Regular" w:eastAsia="Times New Roman" w:hAnsi="Montserrat Regular" w:cs="Calibri"/>
                <w:color w:val="212529"/>
                <w:lang w:val="en-AU" w:eastAsia="en-AU"/>
              </w:rPr>
            </w:pPr>
            <w:r w:rsidRPr="00BF0E93">
              <w:rPr>
                <w:rFonts w:ascii="Montserrat Regular" w:eastAsia="Times New Roman" w:hAnsi="Montserrat Regular" w:cs="Calibri"/>
                <w:color w:val="212529"/>
                <w:lang w:val="en-AU" w:eastAsia="en-AU"/>
              </w:rPr>
              <w:t>8.40%</w:t>
            </w:r>
          </w:p>
        </w:tc>
        <w:tc>
          <w:tcPr>
            <w:tcW w:w="1606" w:type="dxa"/>
            <w:tcBorders>
              <w:top w:val="nil"/>
              <w:left w:val="nil"/>
              <w:bottom w:val="single" w:sz="4" w:space="0" w:color="auto"/>
              <w:right w:val="single" w:sz="4" w:space="0" w:color="auto"/>
            </w:tcBorders>
            <w:shd w:val="clear" w:color="000000" w:fill="D6DCE4"/>
            <w:hideMark/>
          </w:tcPr>
          <w:p w14:paraId="4958E637" w14:textId="77777777" w:rsidR="00BF0E93" w:rsidRPr="00BF0E93" w:rsidRDefault="00BF0E93" w:rsidP="00BF0E93">
            <w:pPr>
              <w:spacing w:after="0" w:line="240" w:lineRule="auto"/>
              <w:jc w:val="right"/>
              <w:rPr>
                <w:rFonts w:ascii="Montserrat Regular" w:eastAsia="Times New Roman" w:hAnsi="Montserrat Regular" w:cs="Calibri"/>
                <w:color w:val="212529"/>
                <w:lang w:val="en-AU" w:eastAsia="en-AU"/>
              </w:rPr>
            </w:pPr>
            <w:r w:rsidRPr="00BF0E93">
              <w:rPr>
                <w:rFonts w:ascii="Montserrat Regular" w:eastAsia="Times New Roman" w:hAnsi="Montserrat Regular" w:cs="Calibri"/>
                <w:color w:val="212529"/>
                <w:lang w:val="en-AU" w:eastAsia="en-AU"/>
              </w:rPr>
              <w:t>9.70%</w:t>
            </w:r>
          </w:p>
        </w:tc>
        <w:tc>
          <w:tcPr>
            <w:tcW w:w="602" w:type="dxa"/>
            <w:vAlign w:val="center"/>
            <w:hideMark/>
          </w:tcPr>
          <w:p w14:paraId="7284AC56" w14:textId="77777777" w:rsidR="00BF0E93" w:rsidRPr="00BF0E93" w:rsidRDefault="00BF0E93" w:rsidP="00BF0E93">
            <w:pPr>
              <w:spacing w:after="0" w:line="240" w:lineRule="auto"/>
              <w:rPr>
                <w:rFonts w:ascii="Times New Roman" w:eastAsia="Times New Roman" w:hAnsi="Times New Roman" w:cs="Times New Roman"/>
                <w:sz w:val="20"/>
                <w:szCs w:val="20"/>
                <w:lang w:val="en-AU" w:eastAsia="en-AU"/>
              </w:rPr>
            </w:pPr>
          </w:p>
        </w:tc>
      </w:tr>
      <w:tr w:rsidR="00BF0E93" w:rsidRPr="00BF0E93" w14:paraId="7A49FEB5" w14:textId="77777777" w:rsidTr="00BC73C7">
        <w:trPr>
          <w:trHeight w:val="300"/>
        </w:trPr>
        <w:tc>
          <w:tcPr>
            <w:tcW w:w="6848" w:type="dxa"/>
            <w:tcBorders>
              <w:top w:val="nil"/>
              <w:left w:val="single" w:sz="4" w:space="0" w:color="auto"/>
              <w:bottom w:val="single" w:sz="4" w:space="0" w:color="auto"/>
              <w:right w:val="single" w:sz="4" w:space="0" w:color="auto"/>
            </w:tcBorders>
            <w:shd w:val="clear" w:color="000000" w:fill="D6DCE4"/>
            <w:hideMark/>
          </w:tcPr>
          <w:p w14:paraId="7A02C551" w14:textId="77777777" w:rsidR="00BF0E93" w:rsidRPr="00BF0E93" w:rsidRDefault="00BF0E93" w:rsidP="00BF0E93">
            <w:pPr>
              <w:spacing w:after="0" w:line="240" w:lineRule="auto"/>
              <w:rPr>
                <w:rFonts w:ascii="Montserrat Regular" w:eastAsia="Times New Roman" w:hAnsi="Montserrat Regular" w:cs="Calibri"/>
                <w:color w:val="212529"/>
                <w:lang w:val="en-AU" w:eastAsia="en-AU"/>
              </w:rPr>
            </w:pPr>
            <w:r w:rsidRPr="00BF0E93">
              <w:rPr>
                <w:rFonts w:ascii="Montserrat Regular" w:eastAsia="Times New Roman" w:hAnsi="Montserrat Regular" w:cs="Calibri"/>
                <w:color w:val="212529"/>
                <w:lang w:val="en-AU" w:eastAsia="en-AU"/>
              </w:rPr>
              <w:t>Public Administration and Safety</w:t>
            </w:r>
          </w:p>
        </w:tc>
        <w:tc>
          <w:tcPr>
            <w:tcW w:w="1009" w:type="dxa"/>
            <w:tcBorders>
              <w:top w:val="nil"/>
              <w:left w:val="nil"/>
              <w:bottom w:val="single" w:sz="4" w:space="0" w:color="auto"/>
              <w:right w:val="single" w:sz="4" w:space="0" w:color="auto"/>
            </w:tcBorders>
            <w:shd w:val="clear" w:color="000000" w:fill="D6DCE4"/>
            <w:hideMark/>
          </w:tcPr>
          <w:p w14:paraId="5758AA36" w14:textId="77777777" w:rsidR="00BF0E93" w:rsidRPr="00BF0E93" w:rsidRDefault="00BF0E93" w:rsidP="00BF0E93">
            <w:pPr>
              <w:spacing w:after="0" w:line="240" w:lineRule="auto"/>
              <w:jc w:val="right"/>
              <w:rPr>
                <w:rFonts w:ascii="Montserrat Regular" w:eastAsia="Times New Roman" w:hAnsi="Montserrat Regular" w:cs="Calibri"/>
                <w:color w:val="212529"/>
                <w:lang w:val="en-AU" w:eastAsia="en-AU"/>
              </w:rPr>
            </w:pPr>
            <w:r w:rsidRPr="00BF0E93">
              <w:rPr>
                <w:rFonts w:ascii="Montserrat Regular" w:eastAsia="Times New Roman" w:hAnsi="Montserrat Regular" w:cs="Calibri"/>
                <w:color w:val="212529"/>
                <w:lang w:val="en-AU" w:eastAsia="en-AU"/>
              </w:rPr>
              <w:t>6.90%</w:t>
            </w:r>
          </w:p>
        </w:tc>
        <w:tc>
          <w:tcPr>
            <w:tcW w:w="1606" w:type="dxa"/>
            <w:tcBorders>
              <w:top w:val="nil"/>
              <w:left w:val="nil"/>
              <w:bottom w:val="single" w:sz="4" w:space="0" w:color="auto"/>
              <w:right w:val="single" w:sz="4" w:space="0" w:color="auto"/>
            </w:tcBorders>
            <w:shd w:val="clear" w:color="000000" w:fill="D6DCE4"/>
            <w:hideMark/>
          </w:tcPr>
          <w:p w14:paraId="7F86C822" w14:textId="77777777" w:rsidR="00BF0E93" w:rsidRPr="00BF0E93" w:rsidRDefault="00BF0E93" w:rsidP="00BF0E93">
            <w:pPr>
              <w:spacing w:after="0" w:line="240" w:lineRule="auto"/>
              <w:jc w:val="right"/>
              <w:rPr>
                <w:rFonts w:ascii="Montserrat Regular" w:eastAsia="Times New Roman" w:hAnsi="Montserrat Regular" w:cs="Calibri"/>
                <w:color w:val="212529"/>
                <w:lang w:val="en-AU" w:eastAsia="en-AU"/>
              </w:rPr>
            </w:pPr>
            <w:r w:rsidRPr="00BF0E93">
              <w:rPr>
                <w:rFonts w:ascii="Montserrat Regular" w:eastAsia="Times New Roman" w:hAnsi="Montserrat Regular" w:cs="Calibri"/>
                <w:color w:val="212529"/>
                <w:lang w:val="en-AU" w:eastAsia="en-AU"/>
              </w:rPr>
              <w:t>6.20%</w:t>
            </w:r>
          </w:p>
        </w:tc>
        <w:tc>
          <w:tcPr>
            <w:tcW w:w="602" w:type="dxa"/>
            <w:vAlign w:val="center"/>
            <w:hideMark/>
          </w:tcPr>
          <w:p w14:paraId="70B8BD7B" w14:textId="77777777" w:rsidR="00BF0E93" w:rsidRPr="00BF0E93" w:rsidRDefault="00BF0E93" w:rsidP="00BF0E93">
            <w:pPr>
              <w:spacing w:after="0" w:line="240" w:lineRule="auto"/>
              <w:rPr>
                <w:rFonts w:ascii="Times New Roman" w:eastAsia="Times New Roman" w:hAnsi="Times New Roman" w:cs="Times New Roman"/>
                <w:sz w:val="20"/>
                <w:szCs w:val="20"/>
                <w:lang w:val="en-AU" w:eastAsia="en-AU"/>
              </w:rPr>
            </w:pPr>
          </w:p>
        </w:tc>
      </w:tr>
      <w:tr w:rsidR="00BF0E93" w:rsidRPr="00BF0E93" w14:paraId="607E1D2A" w14:textId="77777777" w:rsidTr="00BC73C7">
        <w:trPr>
          <w:trHeight w:val="300"/>
        </w:trPr>
        <w:tc>
          <w:tcPr>
            <w:tcW w:w="6848" w:type="dxa"/>
            <w:tcBorders>
              <w:top w:val="nil"/>
              <w:left w:val="single" w:sz="4" w:space="0" w:color="auto"/>
              <w:bottom w:val="single" w:sz="4" w:space="0" w:color="auto"/>
              <w:right w:val="single" w:sz="4" w:space="0" w:color="auto"/>
            </w:tcBorders>
            <w:shd w:val="clear" w:color="000000" w:fill="D6DCE4"/>
            <w:hideMark/>
          </w:tcPr>
          <w:p w14:paraId="03BD5CAB" w14:textId="77777777" w:rsidR="00BF0E93" w:rsidRPr="00BF0E93" w:rsidRDefault="00BF0E93" w:rsidP="00BF0E93">
            <w:pPr>
              <w:spacing w:after="0" w:line="240" w:lineRule="auto"/>
              <w:rPr>
                <w:rFonts w:ascii="Montserrat Regular" w:eastAsia="Times New Roman" w:hAnsi="Montserrat Regular" w:cs="Calibri"/>
                <w:color w:val="212529"/>
                <w:lang w:val="en-AU" w:eastAsia="en-AU"/>
              </w:rPr>
            </w:pPr>
            <w:r w:rsidRPr="00BF0E93">
              <w:rPr>
                <w:rFonts w:ascii="Montserrat Regular" w:eastAsia="Times New Roman" w:hAnsi="Montserrat Regular" w:cs="Calibri"/>
                <w:color w:val="212529"/>
                <w:lang w:val="en-AU" w:eastAsia="en-AU"/>
              </w:rPr>
              <w:t>Education and Training</w:t>
            </w:r>
          </w:p>
        </w:tc>
        <w:tc>
          <w:tcPr>
            <w:tcW w:w="1009" w:type="dxa"/>
            <w:tcBorders>
              <w:top w:val="nil"/>
              <w:left w:val="nil"/>
              <w:bottom w:val="single" w:sz="4" w:space="0" w:color="auto"/>
              <w:right w:val="single" w:sz="4" w:space="0" w:color="auto"/>
            </w:tcBorders>
            <w:shd w:val="clear" w:color="000000" w:fill="D6DCE4"/>
            <w:hideMark/>
          </w:tcPr>
          <w:p w14:paraId="1298C9CA" w14:textId="77777777" w:rsidR="00BF0E93" w:rsidRPr="00BF0E93" w:rsidRDefault="00BF0E93" w:rsidP="00BF0E93">
            <w:pPr>
              <w:spacing w:after="0" w:line="240" w:lineRule="auto"/>
              <w:jc w:val="right"/>
              <w:rPr>
                <w:rFonts w:ascii="Montserrat Regular" w:eastAsia="Times New Roman" w:hAnsi="Montserrat Regular" w:cs="Calibri"/>
                <w:color w:val="212529"/>
                <w:lang w:val="en-AU" w:eastAsia="en-AU"/>
              </w:rPr>
            </w:pPr>
            <w:r w:rsidRPr="00BF0E93">
              <w:rPr>
                <w:rFonts w:ascii="Montserrat Regular" w:eastAsia="Times New Roman" w:hAnsi="Montserrat Regular" w:cs="Calibri"/>
                <w:color w:val="212529"/>
                <w:lang w:val="en-AU" w:eastAsia="en-AU"/>
              </w:rPr>
              <w:t>6.80%</w:t>
            </w:r>
          </w:p>
        </w:tc>
        <w:tc>
          <w:tcPr>
            <w:tcW w:w="1606" w:type="dxa"/>
            <w:tcBorders>
              <w:top w:val="nil"/>
              <w:left w:val="nil"/>
              <w:bottom w:val="single" w:sz="4" w:space="0" w:color="auto"/>
              <w:right w:val="single" w:sz="4" w:space="0" w:color="auto"/>
            </w:tcBorders>
            <w:shd w:val="clear" w:color="000000" w:fill="D6DCE4"/>
            <w:hideMark/>
          </w:tcPr>
          <w:p w14:paraId="0A8210AB" w14:textId="77777777" w:rsidR="00BF0E93" w:rsidRPr="00BF0E93" w:rsidRDefault="00BF0E93" w:rsidP="00BF0E93">
            <w:pPr>
              <w:spacing w:after="0" w:line="240" w:lineRule="auto"/>
              <w:jc w:val="right"/>
              <w:rPr>
                <w:rFonts w:ascii="Montserrat Regular" w:eastAsia="Times New Roman" w:hAnsi="Montserrat Regular" w:cs="Calibri"/>
                <w:color w:val="212529"/>
                <w:lang w:val="en-AU" w:eastAsia="en-AU"/>
              </w:rPr>
            </w:pPr>
            <w:r w:rsidRPr="00BF0E93">
              <w:rPr>
                <w:rFonts w:ascii="Montserrat Regular" w:eastAsia="Times New Roman" w:hAnsi="Montserrat Regular" w:cs="Calibri"/>
                <w:color w:val="212529"/>
                <w:lang w:val="en-AU" w:eastAsia="en-AU"/>
              </w:rPr>
              <w:t>8.40%</w:t>
            </w:r>
          </w:p>
        </w:tc>
        <w:tc>
          <w:tcPr>
            <w:tcW w:w="602" w:type="dxa"/>
            <w:vAlign w:val="center"/>
            <w:hideMark/>
          </w:tcPr>
          <w:p w14:paraId="3AC63222" w14:textId="77777777" w:rsidR="00BF0E93" w:rsidRPr="00BF0E93" w:rsidRDefault="00BF0E93" w:rsidP="00BF0E93">
            <w:pPr>
              <w:spacing w:after="0" w:line="240" w:lineRule="auto"/>
              <w:rPr>
                <w:rFonts w:ascii="Times New Roman" w:eastAsia="Times New Roman" w:hAnsi="Times New Roman" w:cs="Times New Roman"/>
                <w:sz w:val="20"/>
                <w:szCs w:val="20"/>
                <w:lang w:val="en-AU" w:eastAsia="en-AU"/>
              </w:rPr>
            </w:pPr>
          </w:p>
        </w:tc>
      </w:tr>
      <w:tr w:rsidR="00BF0E93" w:rsidRPr="00BF0E93" w14:paraId="164F7028" w14:textId="77777777" w:rsidTr="00BC73C7">
        <w:trPr>
          <w:trHeight w:val="300"/>
        </w:trPr>
        <w:tc>
          <w:tcPr>
            <w:tcW w:w="6848" w:type="dxa"/>
            <w:tcBorders>
              <w:top w:val="nil"/>
              <w:left w:val="single" w:sz="4" w:space="0" w:color="auto"/>
              <w:bottom w:val="single" w:sz="4" w:space="0" w:color="auto"/>
              <w:right w:val="single" w:sz="4" w:space="0" w:color="auto"/>
            </w:tcBorders>
            <w:shd w:val="clear" w:color="000000" w:fill="D6DCE4"/>
            <w:hideMark/>
          </w:tcPr>
          <w:p w14:paraId="6131B3CA" w14:textId="77777777" w:rsidR="00BF0E93" w:rsidRPr="00BF0E93" w:rsidRDefault="00BF0E93" w:rsidP="00BF0E93">
            <w:pPr>
              <w:spacing w:after="0" w:line="240" w:lineRule="auto"/>
              <w:rPr>
                <w:rFonts w:ascii="Montserrat Regular" w:eastAsia="Times New Roman" w:hAnsi="Montserrat Regular" w:cs="Calibri"/>
                <w:color w:val="212529"/>
                <w:lang w:val="en-AU" w:eastAsia="en-AU"/>
              </w:rPr>
            </w:pPr>
            <w:r w:rsidRPr="00BF0E93">
              <w:rPr>
                <w:rFonts w:ascii="Montserrat Regular" w:eastAsia="Times New Roman" w:hAnsi="Montserrat Regular" w:cs="Calibri"/>
                <w:color w:val="212529"/>
                <w:lang w:val="en-AU" w:eastAsia="en-AU"/>
              </w:rPr>
              <w:t>Accommodation and Food Services</w:t>
            </w:r>
          </w:p>
        </w:tc>
        <w:tc>
          <w:tcPr>
            <w:tcW w:w="1009" w:type="dxa"/>
            <w:tcBorders>
              <w:top w:val="nil"/>
              <w:left w:val="nil"/>
              <w:bottom w:val="single" w:sz="4" w:space="0" w:color="auto"/>
              <w:right w:val="single" w:sz="4" w:space="0" w:color="auto"/>
            </w:tcBorders>
            <w:shd w:val="clear" w:color="000000" w:fill="D6DCE4"/>
            <w:hideMark/>
          </w:tcPr>
          <w:p w14:paraId="4ACB3CED" w14:textId="77777777" w:rsidR="00BF0E93" w:rsidRPr="00BF0E93" w:rsidRDefault="00BF0E93" w:rsidP="00BF0E93">
            <w:pPr>
              <w:spacing w:after="0" w:line="240" w:lineRule="auto"/>
              <w:jc w:val="right"/>
              <w:rPr>
                <w:rFonts w:ascii="Montserrat Regular" w:eastAsia="Times New Roman" w:hAnsi="Montserrat Regular" w:cs="Calibri"/>
                <w:color w:val="212529"/>
                <w:lang w:val="en-AU" w:eastAsia="en-AU"/>
              </w:rPr>
            </w:pPr>
            <w:r w:rsidRPr="00BF0E93">
              <w:rPr>
                <w:rFonts w:ascii="Montserrat Regular" w:eastAsia="Times New Roman" w:hAnsi="Montserrat Regular" w:cs="Calibri"/>
                <w:color w:val="212529"/>
                <w:lang w:val="en-AU" w:eastAsia="en-AU"/>
              </w:rPr>
              <w:t>6.60%</w:t>
            </w:r>
          </w:p>
        </w:tc>
        <w:tc>
          <w:tcPr>
            <w:tcW w:w="1606" w:type="dxa"/>
            <w:tcBorders>
              <w:top w:val="nil"/>
              <w:left w:val="nil"/>
              <w:bottom w:val="single" w:sz="4" w:space="0" w:color="auto"/>
              <w:right w:val="single" w:sz="4" w:space="0" w:color="auto"/>
            </w:tcBorders>
            <w:shd w:val="clear" w:color="000000" w:fill="D6DCE4"/>
            <w:hideMark/>
          </w:tcPr>
          <w:p w14:paraId="71ED2331" w14:textId="77777777" w:rsidR="00BF0E93" w:rsidRPr="00BF0E93" w:rsidRDefault="00BF0E93" w:rsidP="00BF0E93">
            <w:pPr>
              <w:spacing w:after="0" w:line="240" w:lineRule="auto"/>
              <w:jc w:val="right"/>
              <w:rPr>
                <w:rFonts w:ascii="Montserrat Regular" w:eastAsia="Times New Roman" w:hAnsi="Montserrat Regular" w:cs="Calibri"/>
                <w:color w:val="212529"/>
                <w:lang w:val="en-AU" w:eastAsia="en-AU"/>
              </w:rPr>
            </w:pPr>
            <w:r w:rsidRPr="00BF0E93">
              <w:rPr>
                <w:rFonts w:ascii="Montserrat Regular" w:eastAsia="Times New Roman" w:hAnsi="Montserrat Regular" w:cs="Calibri"/>
                <w:color w:val="212529"/>
                <w:lang w:val="en-AU" w:eastAsia="en-AU"/>
              </w:rPr>
              <w:t>7.80%</w:t>
            </w:r>
          </w:p>
        </w:tc>
        <w:tc>
          <w:tcPr>
            <w:tcW w:w="602" w:type="dxa"/>
            <w:vAlign w:val="center"/>
            <w:hideMark/>
          </w:tcPr>
          <w:p w14:paraId="316BF980" w14:textId="77777777" w:rsidR="00BF0E93" w:rsidRPr="00BF0E93" w:rsidRDefault="00BF0E93" w:rsidP="00BF0E93">
            <w:pPr>
              <w:spacing w:after="0" w:line="240" w:lineRule="auto"/>
              <w:rPr>
                <w:rFonts w:ascii="Times New Roman" w:eastAsia="Times New Roman" w:hAnsi="Times New Roman" w:cs="Times New Roman"/>
                <w:sz w:val="20"/>
                <w:szCs w:val="20"/>
                <w:lang w:val="en-AU" w:eastAsia="en-AU"/>
              </w:rPr>
            </w:pPr>
          </w:p>
        </w:tc>
      </w:tr>
      <w:tr w:rsidR="00BF0E93" w:rsidRPr="00BF0E93" w14:paraId="688D8F2C" w14:textId="77777777" w:rsidTr="00BC73C7">
        <w:trPr>
          <w:trHeight w:val="300"/>
        </w:trPr>
        <w:tc>
          <w:tcPr>
            <w:tcW w:w="6848" w:type="dxa"/>
            <w:tcBorders>
              <w:top w:val="nil"/>
              <w:left w:val="single" w:sz="4" w:space="0" w:color="auto"/>
              <w:bottom w:val="single" w:sz="4" w:space="0" w:color="auto"/>
              <w:right w:val="single" w:sz="4" w:space="0" w:color="auto"/>
            </w:tcBorders>
            <w:shd w:val="clear" w:color="000000" w:fill="D6DCE4"/>
            <w:hideMark/>
          </w:tcPr>
          <w:p w14:paraId="008E5B0B" w14:textId="77777777" w:rsidR="00BF0E93" w:rsidRPr="00BF0E93" w:rsidRDefault="00BF0E93" w:rsidP="00BF0E93">
            <w:pPr>
              <w:spacing w:after="0" w:line="240" w:lineRule="auto"/>
              <w:rPr>
                <w:rFonts w:ascii="Montserrat Regular" w:eastAsia="Times New Roman" w:hAnsi="Montserrat Regular" w:cs="Calibri"/>
                <w:color w:val="212529"/>
                <w:lang w:val="en-AU" w:eastAsia="en-AU"/>
              </w:rPr>
            </w:pPr>
            <w:r w:rsidRPr="00BF0E93">
              <w:rPr>
                <w:rFonts w:ascii="Montserrat Regular" w:eastAsia="Times New Roman" w:hAnsi="Montserrat Regular" w:cs="Calibri"/>
                <w:color w:val="212529"/>
                <w:lang w:val="en-AU" w:eastAsia="en-AU"/>
              </w:rPr>
              <w:t>Manufacturing</w:t>
            </w:r>
          </w:p>
        </w:tc>
        <w:tc>
          <w:tcPr>
            <w:tcW w:w="1009" w:type="dxa"/>
            <w:tcBorders>
              <w:top w:val="nil"/>
              <w:left w:val="nil"/>
              <w:bottom w:val="single" w:sz="4" w:space="0" w:color="auto"/>
              <w:right w:val="single" w:sz="4" w:space="0" w:color="auto"/>
            </w:tcBorders>
            <w:shd w:val="clear" w:color="000000" w:fill="D6DCE4"/>
            <w:hideMark/>
          </w:tcPr>
          <w:p w14:paraId="7047646C" w14:textId="77777777" w:rsidR="00BF0E93" w:rsidRPr="00BF0E93" w:rsidRDefault="00BF0E93" w:rsidP="00BF0E93">
            <w:pPr>
              <w:spacing w:after="0" w:line="240" w:lineRule="auto"/>
              <w:jc w:val="right"/>
              <w:rPr>
                <w:rFonts w:ascii="Montserrat Regular" w:eastAsia="Times New Roman" w:hAnsi="Montserrat Regular" w:cs="Calibri"/>
                <w:color w:val="212529"/>
                <w:lang w:val="en-AU" w:eastAsia="en-AU"/>
              </w:rPr>
            </w:pPr>
            <w:r w:rsidRPr="00BF0E93">
              <w:rPr>
                <w:rFonts w:ascii="Montserrat Regular" w:eastAsia="Times New Roman" w:hAnsi="Montserrat Regular" w:cs="Calibri"/>
                <w:color w:val="212529"/>
                <w:lang w:val="en-AU" w:eastAsia="en-AU"/>
              </w:rPr>
              <w:t>5.60%</w:t>
            </w:r>
          </w:p>
        </w:tc>
        <w:tc>
          <w:tcPr>
            <w:tcW w:w="1606" w:type="dxa"/>
            <w:tcBorders>
              <w:top w:val="nil"/>
              <w:left w:val="nil"/>
              <w:bottom w:val="single" w:sz="4" w:space="0" w:color="auto"/>
              <w:right w:val="single" w:sz="4" w:space="0" w:color="auto"/>
            </w:tcBorders>
            <w:shd w:val="clear" w:color="000000" w:fill="D6DCE4"/>
            <w:hideMark/>
          </w:tcPr>
          <w:p w14:paraId="7DE4829C" w14:textId="77777777" w:rsidR="00BF0E93" w:rsidRPr="00BF0E93" w:rsidRDefault="00BF0E93" w:rsidP="00BF0E93">
            <w:pPr>
              <w:spacing w:after="0" w:line="240" w:lineRule="auto"/>
              <w:jc w:val="right"/>
              <w:rPr>
                <w:rFonts w:ascii="Montserrat Regular" w:eastAsia="Times New Roman" w:hAnsi="Montserrat Regular" w:cs="Calibri"/>
                <w:color w:val="212529"/>
                <w:lang w:val="en-AU" w:eastAsia="en-AU"/>
              </w:rPr>
            </w:pPr>
            <w:r w:rsidRPr="00BF0E93">
              <w:rPr>
                <w:rFonts w:ascii="Montserrat Regular" w:eastAsia="Times New Roman" w:hAnsi="Montserrat Regular" w:cs="Calibri"/>
                <w:color w:val="212529"/>
                <w:lang w:val="en-AU" w:eastAsia="en-AU"/>
              </w:rPr>
              <w:t>7.20%</w:t>
            </w:r>
          </w:p>
        </w:tc>
        <w:tc>
          <w:tcPr>
            <w:tcW w:w="602" w:type="dxa"/>
            <w:vAlign w:val="center"/>
            <w:hideMark/>
          </w:tcPr>
          <w:p w14:paraId="42739E52" w14:textId="77777777" w:rsidR="00BF0E93" w:rsidRPr="00BF0E93" w:rsidRDefault="00BF0E93" w:rsidP="00BF0E93">
            <w:pPr>
              <w:spacing w:after="0" w:line="240" w:lineRule="auto"/>
              <w:rPr>
                <w:rFonts w:ascii="Times New Roman" w:eastAsia="Times New Roman" w:hAnsi="Times New Roman" w:cs="Times New Roman"/>
                <w:sz w:val="20"/>
                <w:szCs w:val="20"/>
                <w:lang w:val="en-AU" w:eastAsia="en-AU"/>
              </w:rPr>
            </w:pPr>
          </w:p>
        </w:tc>
      </w:tr>
      <w:tr w:rsidR="00BF0E93" w:rsidRPr="00BF0E93" w14:paraId="7373F221" w14:textId="77777777" w:rsidTr="00BC73C7">
        <w:trPr>
          <w:trHeight w:val="300"/>
        </w:trPr>
        <w:tc>
          <w:tcPr>
            <w:tcW w:w="6848" w:type="dxa"/>
            <w:tcBorders>
              <w:top w:val="nil"/>
              <w:left w:val="single" w:sz="4" w:space="0" w:color="auto"/>
              <w:bottom w:val="single" w:sz="4" w:space="0" w:color="auto"/>
              <w:right w:val="single" w:sz="4" w:space="0" w:color="auto"/>
            </w:tcBorders>
            <w:shd w:val="clear" w:color="000000" w:fill="D6DCE4"/>
            <w:hideMark/>
          </w:tcPr>
          <w:p w14:paraId="19BA6D98" w14:textId="77777777" w:rsidR="00BF0E93" w:rsidRPr="00BF0E93" w:rsidRDefault="00BF0E93" w:rsidP="00BF0E93">
            <w:pPr>
              <w:spacing w:after="0" w:line="240" w:lineRule="auto"/>
              <w:rPr>
                <w:rFonts w:ascii="Montserrat Regular" w:eastAsia="Times New Roman" w:hAnsi="Montserrat Regular" w:cs="Calibri"/>
                <w:color w:val="212529"/>
                <w:lang w:val="en-AU" w:eastAsia="en-AU"/>
              </w:rPr>
            </w:pPr>
            <w:r w:rsidRPr="00BF0E93">
              <w:rPr>
                <w:rFonts w:ascii="Montserrat Regular" w:eastAsia="Times New Roman" w:hAnsi="Montserrat Regular" w:cs="Calibri"/>
                <w:color w:val="212529"/>
                <w:lang w:val="en-AU" w:eastAsia="en-AU"/>
              </w:rPr>
              <w:t>Other Services</w:t>
            </w:r>
          </w:p>
        </w:tc>
        <w:tc>
          <w:tcPr>
            <w:tcW w:w="1009" w:type="dxa"/>
            <w:tcBorders>
              <w:top w:val="nil"/>
              <w:left w:val="nil"/>
              <w:bottom w:val="single" w:sz="4" w:space="0" w:color="auto"/>
              <w:right w:val="single" w:sz="4" w:space="0" w:color="auto"/>
            </w:tcBorders>
            <w:shd w:val="clear" w:color="000000" w:fill="D6DCE4"/>
            <w:hideMark/>
          </w:tcPr>
          <w:p w14:paraId="200B1532" w14:textId="77777777" w:rsidR="00BF0E93" w:rsidRPr="00BF0E93" w:rsidRDefault="00BF0E93" w:rsidP="00BF0E93">
            <w:pPr>
              <w:spacing w:after="0" w:line="240" w:lineRule="auto"/>
              <w:jc w:val="right"/>
              <w:rPr>
                <w:rFonts w:ascii="Montserrat Regular" w:eastAsia="Times New Roman" w:hAnsi="Montserrat Regular" w:cs="Calibri"/>
                <w:color w:val="212529"/>
                <w:lang w:val="en-AU" w:eastAsia="en-AU"/>
              </w:rPr>
            </w:pPr>
            <w:r w:rsidRPr="00BF0E93">
              <w:rPr>
                <w:rFonts w:ascii="Montserrat Regular" w:eastAsia="Times New Roman" w:hAnsi="Montserrat Regular" w:cs="Calibri"/>
                <w:color w:val="212529"/>
                <w:lang w:val="en-AU" w:eastAsia="en-AU"/>
              </w:rPr>
              <w:t>5.30%</w:t>
            </w:r>
          </w:p>
        </w:tc>
        <w:tc>
          <w:tcPr>
            <w:tcW w:w="1606" w:type="dxa"/>
            <w:tcBorders>
              <w:top w:val="nil"/>
              <w:left w:val="nil"/>
              <w:bottom w:val="single" w:sz="4" w:space="0" w:color="auto"/>
              <w:right w:val="single" w:sz="4" w:space="0" w:color="auto"/>
            </w:tcBorders>
            <w:shd w:val="clear" w:color="000000" w:fill="D6DCE4"/>
            <w:hideMark/>
          </w:tcPr>
          <w:p w14:paraId="6438E2BF" w14:textId="77777777" w:rsidR="00BF0E93" w:rsidRPr="00BF0E93" w:rsidRDefault="00BF0E93" w:rsidP="00BF0E93">
            <w:pPr>
              <w:spacing w:after="0" w:line="240" w:lineRule="auto"/>
              <w:jc w:val="right"/>
              <w:rPr>
                <w:rFonts w:ascii="Montserrat Regular" w:eastAsia="Times New Roman" w:hAnsi="Montserrat Regular" w:cs="Calibri"/>
                <w:color w:val="212529"/>
                <w:lang w:val="en-AU" w:eastAsia="en-AU"/>
              </w:rPr>
            </w:pPr>
            <w:r w:rsidRPr="00BF0E93">
              <w:rPr>
                <w:rFonts w:ascii="Montserrat Regular" w:eastAsia="Times New Roman" w:hAnsi="Montserrat Regular" w:cs="Calibri"/>
                <w:color w:val="212529"/>
                <w:lang w:val="en-AU" w:eastAsia="en-AU"/>
              </w:rPr>
              <w:t>4.20%</w:t>
            </w:r>
          </w:p>
        </w:tc>
        <w:tc>
          <w:tcPr>
            <w:tcW w:w="602" w:type="dxa"/>
            <w:vAlign w:val="center"/>
            <w:hideMark/>
          </w:tcPr>
          <w:p w14:paraId="755FB371" w14:textId="77777777" w:rsidR="00BF0E93" w:rsidRPr="00BF0E93" w:rsidRDefault="00BF0E93" w:rsidP="00BF0E93">
            <w:pPr>
              <w:spacing w:after="0" w:line="240" w:lineRule="auto"/>
              <w:rPr>
                <w:rFonts w:ascii="Times New Roman" w:eastAsia="Times New Roman" w:hAnsi="Times New Roman" w:cs="Times New Roman"/>
                <w:sz w:val="20"/>
                <w:szCs w:val="20"/>
                <w:lang w:val="en-AU" w:eastAsia="en-AU"/>
              </w:rPr>
            </w:pPr>
          </w:p>
        </w:tc>
      </w:tr>
      <w:tr w:rsidR="00BF0E93" w:rsidRPr="00BF0E93" w14:paraId="3F109B9B" w14:textId="77777777" w:rsidTr="00BC73C7">
        <w:trPr>
          <w:trHeight w:val="300"/>
        </w:trPr>
        <w:tc>
          <w:tcPr>
            <w:tcW w:w="6848" w:type="dxa"/>
            <w:tcBorders>
              <w:top w:val="nil"/>
              <w:left w:val="single" w:sz="4" w:space="0" w:color="auto"/>
              <w:bottom w:val="single" w:sz="4" w:space="0" w:color="auto"/>
              <w:right w:val="single" w:sz="4" w:space="0" w:color="auto"/>
            </w:tcBorders>
            <w:shd w:val="clear" w:color="000000" w:fill="D6DCE4"/>
            <w:hideMark/>
          </w:tcPr>
          <w:p w14:paraId="421CD466" w14:textId="77777777" w:rsidR="00BF0E93" w:rsidRPr="00BF0E93" w:rsidRDefault="00BF0E93" w:rsidP="00BF0E93">
            <w:pPr>
              <w:spacing w:after="0" w:line="240" w:lineRule="auto"/>
              <w:rPr>
                <w:rFonts w:ascii="Montserrat Regular" w:eastAsia="Times New Roman" w:hAnsi="Montserrat Regular" w:cs="Calibri"/>
                <w:color w:val="212529"/>
                <w:lang w:val="en-AU" w:eastAsia="en-AU"/>
              </w:rPr>
            </w:pPr>
            <w:r w:rsidRPr="00BF0E93">
              <w:rPr>
                <w:rFonts w:ascii="Montserrat Regular" w:eastAsia="Times New Roman" w:hAnsi="Montserrat Regular" w:cs="Calibri"/>
                <w:color w:val="212529"/>
                <w:lang w:val="en-AU" w:eastAsia="en-AU"/>
              </w:rPr>
              <w:t>Administrative and Support Services</w:t>
            </w:r>
          </w:p>
        </w:tc>
        <w:tc>
          <w:tcPr>
            <w:tcW w:w="1009" w:type="dxa"/>
            <w:tcBorders>
              <w:top w:val="nil"/>
              <w:left w:val="nil"/>
              <w:bottom w:val="single" w:sz="4" w:space="0" w:color="auto"/>
              <w:right w:val="single" w:sz="4" w:space="0" w:color="auto"/>
            </w:tcBorders>
            <w:shd w:val="clear" w:color="000000" w:fill="D6DCE4"/>
            <w:hideMark/>
          </w:tcPr>
          <w:p w14:paraId="670D22FF" w14:textId="77777777" w:rsidR="00BF0E93" w:rsidRPr="00BF0E93" w:rsidRDefault="00BF0E93" w:rsidP="00BF0E93">
            <w:pPr>
              <w:spacing w:after="0" w:line="240" w:lineRule="auto"/>
              <w:jc w:val="right"/>
              <w:rPr>
                <w:rFonts w:ascii="Montserrat Regular" w:eastAsia="Times New Roman" w:hAnsi="Montserrat Regular" w:cs="Calibri"/>
                <w:color w:val="212529"/>
                <w:lang w:val="en-AU" w:eastAsia="en-AU"/>
              </w:rPr>
            </w:pPr>
            <w:r w:rsidRPr="00BF0E93">
              <w:rPr>
                <w:rFonts w:ascii="Montserrat Regular" w:eastAsia="Times New Roman" w:hAnsi="Montserrat Regular" w:cs="Calibri"/>
                <w:color w:val="212529"/>
                <w:lang w:val="en-AU" w:eastAsia="en-AU"/>
              </w:rPr>
              <w:t>4.80%</w:t>
            </w:r>
          </w:p>
        </w:tc>
        <w:tc>
          <w:tcPr>
            <w:tcW w:w="1606" w:type="dxa"/>
            <w:tcBorders>
              <w:top w:val="nil"/>
              <w:left w:val="nil"/>
              <w:bottom w:val="single" w:sz="4" w:space="0" w:color="auto"/>
              <w:right w:val="single" w:sz="4" w:space="0" w:color="auto"/>
            </w:tcBorders>
            <w:shd w:val="clear" w:color="000000" w:fill="D6DCE4"/>
            <w:hideMark/>
          </w:tcPr>
          <w:p w14:paraId="7E047796" w14:textId="77777777" w:rsidR="00BF0E93" w:rsidRPr="00BF0E93" w:rsidRDefault="00BF0E93" w:rsidP="00BF0E93">
            <w:pPr>
              <w:spacing w:after="0" w:line="240" w:lineRule="auto"/>
              <w:jc w:val="right"/>
              <w:rPr>
                <w:rFonts w:ascii="Montserrat Regular" w:eastAsia="Times New Roman" w:hAnsi="Montserrat Regular" w:cs="Calibri"/>
                <w:color w:val="212529"/>
                <w:lang w:val="en-AU" w:eastAsia="en-AU"/>
              </w:rPr>
            </w:pPr>
            <w:r w:rsidRPr="00BF0E93">
              <w:rPr>
                <w:rFonts w:ascii="Montserrat Regular" w:eastAsia="Times New Roman" w:hAnsi="Montserrat Regular" w:cs="Calibri"/>
                <w:color w:val="212529"/>
                <w:lang w:val="en-AU" w:eastAsia="en-AU"/>
              </w:rPr>
              <w:t>3.10%</w:t>
            </w:r>
          </w:p>
        </w:tc>
        <w:tc>
          <w:tcPr>
            <w:tcW w:w="602" w:type="dxa"/>
            <w:vAlign w:val="center"/>
            <w:hideMark/>
          </w:tcPr>
          <w:p w14:paraId="0C6CA55D" w14:textId="77777777" w:rsidR="00BF0E93" w:rsidRPr="00BF0E93" w:rsidRDefault="00BF0E93" w:rsidP="00BF0E93">
            <w:pPr>
              <w:spacing w:after="0" w:line="240" w:lineRule="auto"/>
              <w:rPr>
                <w:rFonts w:ascii="Times New Roman" w:eastAsia="Times New Roman" w:hAnsi="Times New Roman" w:cs="Times New Roman"/>
                <w:sz w:val="20"/>
                <w:szCs w:val="20"/>
                <w:lang w:val="en-AU" w:eastAsia="en-AU"/>
              </w:rPr>
            </w:pPr>
          </w:p>
        </w:tc>
      </w:tr>
      <w:tr w:rsidR="00BF0E93" w:rsidRPr="00BF0E93" w14:paraId="5A8C71C1" w14:textId="77777777" w:rsidTr="00BC73C7">
        <w:trPr>
          <w:trHeight w:val="300"/>
        </w:trPr>
        <w:tc>
          <w:tcPr>
            <w:tcW w:w="6848" w:type="dxa"/>
            <w:tcBorders>
              <w:top w:val="nil"/>
              <w:left w:val="single" w:sz="4" w:space="0" w:color="auto"/>
              <w:bottom w:val="single" w:sz="4" w:space="0" w:color="auto"/>
              <w:right w:val="single" w:sz="4" w:space="0" w:color="auto"/>
            </w:tcBorders>
            <w:shd w:val="clear" w:color="000000" w:fill="D6DCE4"/>
            <w:hideMark/>
          </w:tcPr>
          <w:p w14:paraId="7B2E5356" w14:textId="77777777" w:rsidR="00BF0E93" w:rsidRPr="00BF0E93" w:rsidRDefault="00BF0E93" w:rsidP="00BF0E93">
            <w:pPr>
              <w:spacing w:after="0" w:line="240" w:lineRule="auto"/>
              <w:rPr>
                <w:rFonts w:ascii="Montserrat Regular" w:eastAsia="Times New Roman" w:hAnsi="Montserrat Regular" w:cs="Calibri"/>
                <w:color w:val="212529"/>
                <w:lang w:val="en-AU" w:eastAsia="en-AU"/>
              </w:rPr>
            </w:pPr>
            <w:r w:rsidRPr="00BF0E93">
              <w:rPr>
                <w:rFonts w:ascii="Montserrat Regular" w:eastAsia="Times New Roman" w:hAnsi="Montserrat Regular" w:cs="Calibri"/>
                <w:color w:val="212529"/>
                <w:lang w:val="en-AU" w:eastAsia="en-AU"/>
              </w:rPr>
              <w:t>Transport, Postal and Warehousing</w:t>
            </w:r>
          </w:p>
        </w:tc>
        <w:tc>
          <w:tcPr>
            <w:tcW w:w="1009" w:type="dxa"/>
            <w:tcBorders>
              <w:top w:val="nil"/>
              <w:left w:val="nil"/>
              <w:bottom w:val="single" w:sz="4" w:space="0" w:color="auto"/>
              <w:right w:val="single" w:sz="4" w:space="0" w:color="auto"/>
            </w:tcBorders>
            <w:shd w:val="clear" w:color="000000" w:fill="D6DCE4"/>
            <w:hideMark/>
          </w:tcPr>
          <w:p w14:paraId="3B3FF5C4" w14:textId="77777777" w:rsidR="00BF0E93" w:rsidRPr="00BF0E93" w:rsidRDefault="00BF0E93" w:rsidP="00BF0E93">
            <w:pPr>
              <w:spacing w:after="0" w:line="240" w:lineRule="auto"/>
              <w:jc w:val="right"/>
              <w:rPr>
                <w:rFonts w:ascii="Montserrat Regular" w:eastAsia="Times New Roman" w:hAnsi="Montserrat Regular" w:cs="Calibri"/>
                <w:color w:val="212529"/>
                <w:lang w:val="en-AU" w:eastAsia="en-AU"/>
              </w:rPr>
            </w:pPr>
            <w:r w:rsidRPr="00BF0E93">
              <w:rPr>
                <w:rFonts w:ascii="Montserrat Regular" w:eastAsia="Times New Roman" w:hAnsi="Montserrat Regular" w:cs="Calibri"/>
                <w:color w:val="212529"/>
                <w:lang w:val="en-AU" w:eastAsia="en-AU"/>
              </w:rPr>
              <w:t>4.60%</w:t>
            </w:r>
          </w:p>
        </w:tc>
        <w:tc>
          <w:tcPr>
            <w:tcW w:w="1606" w:type="dxa"/>
            <w:tcBorders>
              <w:top w:val="nil"/>
              <w:left w:val="nil"/>
              <w:bottom w:val="single" w:sz="4" w:space="0" w:color="auto"/>
              <w:right w:val="single" w:sz="4" w:space="0" w:color="auto"/>
            </w:tcBorders>
            <w:shd w:val="clear" w:color="000000" w:fill="D6DCE4"/>
            <w:hideMark/>
          </w:tcPr>
          <w:p w14:paraId="1FC42CDB" w14:textId="77777777" w:rsidR="00BF0E93" w:rsidRPr="00BF0E93" w:rsidRDefault="00BF0E93" w:rsidP="00BF0E93">
            <w:pPr>
              <w:spacing w:after="0" w:line="240" w:lineRule="auto"/>
              <w:jc w:val="right"/>
              <w:rPr>
                <w:rFonts w:ascii="Montserrat Regular" w:eastAsia="Times New Roman" w:hAnsi="Montserrat Regular" w:cs="Calibri"/>
                <w:color w:val="212529"/>
                <w:lang w:val="en-AU" w:eastAsia="en-AU"/>
              </w:rPr>
            </w:pPr>
            <w:r w:rsidRPr="00BF0E93">
              <w:rPr>
                <w:rFonts w:ascii="Montserrat Regular" w:eastAsia="Times New Roman" w:hAnsi="Montserrat Regular" w:cs="Calibri"/>
                <w:color w:val="212529"/>
                <w:lang w:val="en-AU" w:eastAsia="en-AU"/>
              </w:rPr>
              <w:t>5.10%</w:t>
            </w:r>
          </w:p>
        </w:tc>
        <w:tc>
          <w:tcPr>
            <w:tcW w:w="602" w:type="dxa"/>
            <w:vAlign w:val="center"/>
            <w:hideMark/>
          </w:tcPr>
          <w:p w14:paraId="43F9A06E" w14:textId="77777777" w:rsidR="00BF0E93" w:rsidRPr="00BF0E93" w:rsidRDefault="00BF0E93" w:rsidP="00BF0E93">
            <w:pPr>
              <w:spacing w:after="0" w:line="240" w:lineRule="auto"/>
              <w:rPr>
                <w:rFonts w:ascii="Times New Roman" w:eastAsia="Times New Roman" w:hAnsi="Times New Roman" w:cs="Times New Roman"/>
                <w:sz w:val="20"/>
                <w:szCs w:val="20"/>
                <w:lang w:val="en-AU" w:eastAsia="en-AU"/>
              </w:rPr>
            </w:pPr>
          </w:p>
        </w:tc>
      </w:tr>
      <w:tr w:rsidR="00BF0E93" w:rsidRPr="00BF0E93" w14:paraId="30AB72D8" w14:textId="77777777" w:rsidTr="00BC73C7">
        <w:trPr>
          <w:trHeight w:val="300"/>
        </w:trPr>
        <w:tc>
          <w:tcPr>
            <w:tcW w:w="6848" w:type="dxa"/>
            <w:tcBorders>
              <w:top w:val="nil"/>
              <w:left w:val="single" w:sz="4" w:space="0" w:color="auto"/>
              <w:bottom w:val="single" w:sz="4" w:space="0" w:color="auto"/>
              <w:right w:val="single" w:sz="4" w:space="0" w:color="auto"/>
            </w:tcBorders>
            <w:shd w:val="clear" w:color="000000" w:fill="D6DCE4"/>
            <w:hideMark/>
          </w:tcPr>
          <w:p w14:paraId="58F4D220" w14:textId="77777777" w:rsidR="00BF0E93" w:rsidRPr="00BF0E93" w:rsidRDefault="00BF0E93" w:rsidP="00BF0E93">
            <w:pPr>
              <w:spacing w:after="0" w:line="240" w:lineRule="auto"/>
              <w:rPr>
                <w:rFonts w:ascii="Montserrat Regular" w:eastAsia="Times New Roman" w:hAnsi="Montserrat Regular" w:cs="Calibri"/>
                <w:color w:val="212529"/>
                <w:lang w:val="en-AU" w:eastAsia="en-AU"/>
              </w:rPr>
            </w:pPr>
            <w:r w:rsidRPr="00BF0E93">
              <w:rPr>
                <w:rFonts w:ascii="Montserrat Regular" w:eastAsia="Times New Roman" w:hAnsi="Montserrat Regular" w:cs="Calibri"/>
                <w:color w:val="212529"/>
                <w:lang w:val="en-AU" w:eastAsia="en-AU"/>
              </w:rPr>
              <w:t>Professional, Scientific and Technical Services</w:t>
            </w:r>
          </w:p>
        </w:tc>
        <w:tc>
          <w:tcPr>
            <w:tcW w:w="1009" w:type="dxa"/>
            <w:tcBorders>
              <w:top w:val="nil"/>
              <w:left w:val="nil"/>
              <w:bottom w:val="single" w:sz="4" w:space="0" w:color="auto"/>
              <w:right w:val="single" w:sz="4" w:space="0" w:color="auto"/>
            </w:tcBorders>
            <w:shd w:val="clear" w:color="000000" w:fill="D6DCE4"/>
            <w:hideMark/>
          </w:tcPr>
          <w:p w14:paraId="432E0DBC" w14:textId="77777777" w:rsidR="00BF0E93" w:rsidRPr="00BF0E93" w:rsidRDefault="00BF0E93" w:rsidP="00BF0E93">
            <w:pPr>
              <w:spacing w:after="0" w:line="240" w:lineRule="auto"/>
              <w:jc w:val="right"/>
              <w:rPr>
                <w:rFonts w:ascii="Montserrat Regular" w:eastAsia="Times New Roman" w:hAnsi="Montserrat Regular" w:cs="Calibri"/>
                <w:color w:val="212529"/>
                <w:lang w:val="en-AU" w:eastAsia="en-AU"/>
              </w:rPr>
            </w:pPr>
            <w:r w:rsidRPr="00BF0E93">
              <w:rPr>
                <w:rFonts w:ascii="Montserrat Regular" w:eastAsia="Times New Roman" w:hAnsi="Montserrat Regular" w:cs="Calibri"/>
                <w:color w:val="212529"/>
                <w:lang w:val="en-AU" w:eastAsia="en-AU"/>
              </w:rPr>
              <w:t>3.20%</w:t>
            </w:r>
          </w:p>
        </w:tc>
        <w:tc>
          <w:tcPr>
            <w:tcW w:w="1606" w:type="dxa"/>
            <w:tcBorders>
              <w:top w:val="nil"/>
              <w:left w:val="nil"/>
              <w:bottom w:val="single" w:sz="4" w:space="0" w:color="auto"/>
              <w:right w:val="single" w:sz="4" w:space="0" w:color="auto"/>
            </w:tcBorders>
            <w:shd w:val="clear" w:color="000000" w:fill="D6DCE4"/>
            <w:hideMark/>
          </w:tcPr>
          <w:p w14:paraId="58D1C5A7" w14:textId="77777777" w:rsidR="00BF0E93" w:rsidRPr="00BF0E93" w:rsidRDefault="00BF0E93" w:rsidP="00BF0E93">
            <w:pPr>
              <w:spacing w:after="0" w:line="240" w:lineRule="auto"/>
              <w:jc w:val="right"/>
              <w:rPr>
                <w:rFonts w:ascii="Montserrat Regular" w:eastAsia="Times New Roman" w:hAnsi="Montserrat Regular" w:cs="Calibri"/>
                <w:color w:val="212529"/>
                <w:lang w:val="en-AU" w:eastAsia="en-AU"/>
              </w:rPr>
            </w:pPr>
            <w:r w:rsidRPr="00BF0E93">
              <w:rPr>
                <w:rFonts w:ascii="Montserrat Regular" w:eastAsia="Times New Roman" w:hAnsi="Montserrat Regular" w:cs="Calibri"/>
                <w:color w:val="212529"/>
                <w:lang w:val="en-AU" w:eastAsia="en-AU"/>
              </w:rPr>
              <w:t>7.80%</w:t>
            </w:r>
          </w:p>
        </w:tc>
        <w:tc>
          <w:tcPr>
            <w:tcW w:w="602" w:type="dxa"/>
            <w:vAlign w:val="center"/>
            <w:hideMark/>
          </w:tcPr>
          <w:p w14:paraId="02988824" w14:textId="77777777" w:rsidR="00BF0E93" w:rsidRPr="00BF0E93" w:rsidRDefault="00BF0E93" w:rsidP="00BF0E93">
            <w:pPr>
              <w:spacing w:after="0" w:line="240" w:lineRule="auto"/>
              <w:rPr>
                <w:rFonts w:ascii="Times New Roman" w:eastAsia="Times New Roman" w:hAnsi="Times New Roman" w:cs="Times New Roman"/>
                <w:sz w:val="20"/>
                <w:szCs w:val="20"/>
                <w:lang w:val="en-AU" w:eastAsia="en-AU"/>
              </w:rPr>
            </w:pPr>
          </w:p>
        </w:tc>
      </w:tr>
      <w:tr w:rsidR="00BF0E93" w:rsidRPr="00BF0E93" w14:paraId="00789AD7" w14:textId="77777777" w:rsidTr="00BC73C7">
        <w:trPr>
          <w:trHeight w:val="300"/>
        </w:trPr>
        <w:tc>
          <w:tcPr>
            <w:tcW w:w="6848" w:type="dxa"/>
            <w:tcBorders>
              <w:top w:val="nil"/>
              <w:left w:val="single" w:sz="4" w:space="0" w:color="auto"/>
              <w:bottom w:val="single" w:sz="4" w:space="0" w:color="auto"/>
              <w:right w:val="single" w:sz="4" w:space="0" w:color="auto"/>
            </w:tcBorders>
            <w:shd w:val="clear" w:color="000000" w:fill="D6DCE4"/>
            <w:hideMark/>
          </w:tcPr>
          <w:p w14:paraId="3C6190ED" w14:textId="77777777" w:rsidR="00BF0E93" w:rsidRPr="00BF0E93" w:rsidRDefault="00BF0E93" w:rsidP="00BF0E93">
            <w:pPr>
              <w:spacing w:after="0" w:line="240" w:lineRule="auto"/>
              <w:rPr>
                <w:rFonts w:ascii="Montserrat Regular" w:eastAsia="Times New Roman" w:hAnsi="Montserrat Regular" w:cs="Calibri"/>
                <w:color w:val="212529"/>
                <w:lang w:val="en-AU" w:eastAsia="en-AU"/>
              </w:rPr>
            </w:pPr>
            <w:r w:rsidRPr="00BF0E93">
              <w:rPr>
                <w:rFonts w:ascii="Montserrat Regular" w:eastAsia="Times New Roman" w:hAnsi="Montserrat Regular" w:cs="Calibri"/>
                <w:color w:val="212529"/>
                <w:lang w:val="en-AU" w:eastAsia="en-AU"/>
              </w:rPr>
              <w:t>Wholesale Trade</w:t>
            </w:r>
          </w:p>
        </w:tc>
        <w:tc>
          <w:tcPr>
            <w:tcW w:w="1009" w:type="dxa"/>
            <w:tcBorders>
              <w:top w:val="nil"/>
              <w:left w:val="nil"/>
              <w:bottom w:val="single" w:sz="4" w:space="0" w:color="auto"/>
              <w:right w:val="single" w:sz="4" w:space="0" w:color="auto"/>
            </w:tcBorders>
            <w:shd w:val="clear" w:color="000000" w:fill="D6DCE4"/>
            <w:hideMark/>
          </w:tcPr>
          <w:p w14:paraId="0601B762" w14:textId="77777777" w:rsidR="00BF0E93" w:rsidRPr="00BF0E93" w:rsidRDefault="00BF0E93" w:rsidP="00BF0E93">
            <w:pPr>
              <w:spacing w:after="0" w:line="240" w:lineRule="auto"/>
              <w:jc w:val="right"/>
              <w:rPr>
                <w:rFonts w:ascii="Montserrat Regular" w:eastAsia="Times New Roman" w:hAnsi="Montserrat Regular" w:cs="Calibri"/>
                <w:color w:val="212529"/>
                <w:lang w:val="en-AU" w:eastAsia="en-AU"/>
              </w:rPr>
            </w:pPr>
            <w:r w:rsidRPr="00BF0E93">
              <w:rPr>
                <w:rFonts w:ascii="Montserrat Regular" w:eastAsia="Times New Roman" w:hAnsi="Montserrat Regular" w:cs="Calibri"/>
                <w:color w:val="212529"/>
                <w:lang w:val="en-AU" w:eastAsia="en-AU"/>
              </w:rPr>
              <w:t>2.20%</w:t>
            </w:r>
          </w:p>
        </w:tc>
        <w:tc>
          <w:tcPr>
            <w:tcW w:w="1606" w:type="dxa"/>
            <w:tcBorders>
              <w:top w:val="nil"/>
              <w:left w:val="nil"/>
              <w:bottom w:val="single" w:sz="4" w:space="0" w:color="auto"/>
              <w:right w:val="single" w:sz="4" w:space="0" w:color="auto"/>
            </w:tcBorders>
            <w:shd w:val="clear" w:color="000000" w:fill="D6DCE4"/>
            <w:hideMark/>
          </w:tcPr>
          <w:p w14:paraId="0AE4D191" w14:textId="77777777" w:rsidR="00BF0E93" w:rsidRPr="00BF0E93" w:rsidRDefault="00BF0E93" w:rsidP="00BF0E93">
            <w:pPr>
              <w:spacing w:after="0" w:line="240" w:lineRule="auto"/>
              <w:jc w:val="right"/>
              <w:rPr>
                <w:rFonts w:ascii="Montserrat Regular" w:eastAsia="Times New Roman" w:hAnsi="Montserrat Regular" w:cs="Calibri"/>
                <w:color w:val="212529"/>
                <w:lang w:val="en-AU" w:eastAsia="en-AU"/>
              </w:rPr>
            </w:pPr>
            <w:r w:rsidRPr="00BF0E93">
              <w:rPr>
                <w:rFonts w:ascii="Montserrat Regular" w:eastAsia="Times New Roman" w:hAnsi="Montserrat Regular" w:cs="Calibri"/>
                <w:color w:val="212529"/>
                <w:lang w:val="en-AU" w:eastAsia="en-AU"/>
              </w:rPr>
              <w:t>2.70%</w:t>
            </w:r>
          </w:p>
        </w:tc>
        <w:tc>
          <w:tcPr>
            <w:tcW w:w="602" w:type="dxa"/>
            <w:vAlign w:val="center"/>
            <w:hideMark/>
          </w:tcPr>
          <w:p w14:paraId="07486C8A" w14:textId="77777777" w:rsidR="00BF0E93" w:rsidRPr="00BF0E93" w:rsidRDefault="00BF0E93" w:rsidP="00BF0E93">
            <w:pPr>
              <w:spacing w:after="0" w:line="240" w:lineRule="auto"/>
              <w:rPr>
                <w:rFonts w:ascii="Times New Roman" w:eastAsia="Times New Roman" w:hAnsi="Times New Roman" w:cs="Times New Roman"/>
                <w:sz w:val="20"/>
                <w:szCs w:val="20"/>
                <w:lang w:val="en-AU" w:eastAsia="en-AU"/>
              </w:rPr>
            </w:pPr>
          </w:p>
        </w:tc>
      </w:tr>
      <w:tr w:rsidR="00BF0E93" w:rsidRPr="00BF0E93" w14:paraId="454190E9" w14:textId="77777777" w:rsidTr="00BC73C7">
        <w:trPr>
          <w:trHeight w:val="300"/>
        </w:trPr>
        <w:tc>
          <w:tcPr>
            <w:tcW w:w="6848" w:type="dxa"/>
            <w:tcBorders>
              <w:top w:val="nil"/>
              <w:left w:val="single" w:sz="4" w:space="0" w:color="auto"/>
              <w:bottom w:val="single" w:sz="4" w:space="0" w:color="auto"/>
              <w:right w:val="single" w:sz="4" w:space="0" w:color="auto"/>
            </w:tcBorders>
            <w:shd w:val="clear" w:color="000000" w:fill="D6DCE4"/>
            <w:hideMark/>
          </w:tcPr>
          <w:p w14:paraId="2DD8E021" w14:textId="77777777" w:rsidR="00BF0E93" w:rsidRPr="00BF0E93" w:rsidRDefault="00BF0E93" w:rsidP="00BF0E93">
            <w:pPr>
              <w:spacing w:after="0" w:line="240" w:lineRule="auto"/>
              <w:rPr>
                <w:rFonts w:ascii="Montserrat Regular" w:eastAsia="Times New Roman" w:hAnsi="Montserrat Regular" w:cs="Calibri"/>
                <w:color w:val="212529"/>
                <w:lang w:val="en-AU" w:eastAsia="en-AU"/>
              </w:rPr>
            </w:pPr>
            <w:r w:rsidRPr="00BF0E93">
              <w:rPr>
                <w:rFonts w:ascii="Montserrat Regular" w:eastAsia="Times New Roman" w:hAnsi="Montserrat Regular" w:cs="Calibri"/>
                <w:color w:val="212529"/>
                <w:lang w:val="en-AU" w:eastAsia="en-AU"/>
              </w:rPr>
              <w:t>Electricity, Gas, Water and Waste Services</w:t>
            </w:r>
          </w:p>
        </w:tc>
        <w:tc>
          <w:tcPr>
            <w:tcW w:w="1009" w:type="dxa"/>
            <w:tcBorders>
              <w:top w:val="nil"/>
              <w:left w:val="nil"/>
              <w:bottom w:val="single" w:sz="4" w:space="0" w:color="auto"/>
              <w:right w:val="single" w:sz="4" w:space="0" w:color="auto"/>
            </w:tcBorders>
            <w:shd w:val="clear" w:color="000000" w:fill="D6DCE4"/>
            <w:hideMark/>
          </w:tcPr>
          <w:p w14:paraId="741B2A67" w14:textId="77777777" w:rsidR="00BF0E93" w:rsidRPr="00BF0E93" w:rsidRDefault="00BF0E93" w:rsidP="00BF0E93">
            <w:pPr>
              <w:spacing w:after="0" w:line="240" w:lineRule="auto"/>
              <w:jc w:val="right"/>
              <w:rPr>
                <w:rFonts w:ascii="Montserrat Regular" w:eastAsia="Times New Roman" w:hAnsi="Montserrat Regular" w:cs="Calibri"/>
                <w:color w:val="212529"/>
                <w:lang w:val="en-AU" w:eastAsia="en-AU"/>
              </w:rPr>
            </w:pPr>
            <w:r w:rsidRPr="00BF0E93">
              <w:rPr>
                <w:rFonts w:ascii="Montserrat Regular" w:eastAsia="Times New Roman" w:hAnsi="Montserrat Regular" w:cs="Calibri"/>
                <w:color w:val="212529"/>
                <w:lang w:val="en-AU" w:eastAsia="en-AU"/>
              </w:rPr>
              <w:t>1.20%</w:t>
            </w:r>
          </w:p>
        </w:tc>
        <w:tc>
          <w:tcPr>
            <w:tcW w:w="1606" w:type="dxa"/>
            <w:tcBorders>
              <w:top w:val="nil"/>
              <w:left w:val="nil"/>
              <w:bottom w:val="single" w:sz="4" w:space="0" w:color="auto"/>
              <w:right w:val="single" w:sz="4" w:space="0" w:color="auto"/>
            </w:tcBorders>
            <w:shd w:val="clear" w:color="000000" w:fill="D6DCE4"/>
            <w:hideMark/>
          </w:tcPr>
          <w:p w14:paraId="5136A3A5" w14:textId="77777777" w:rsidR="00BF0E93" w:rsidRPr="00BF0E93" w:rsidRDefault="00BF0E93" w:rsidP="00BF0E93">
            <w:pPr>
              <w:spacing w:after="0" w:line="240" w:lineRule="auto"/>
              <w:jc w:val="right"/>
              <w:rPr>
                <w:rFonts w:ascii="Montserrat Regular" w:eastAsia="Times New Roman" w:hAnsi="Montserrat Regular" w:cs="Calibri"/>
                <w:color w:val="212529"/>
                <w:lang w:val="en-AU" w:eastAsia="en-AU"/>
              </w:rPr>
            </w:pPr>
            <w:r w:rsidRPr="00BF0E93">
              <w:rPr>
                <w:rFonts w:ascii="Montserrat Regular" w:eastAsia="Times New Roman" w:hAnsi="Montserrat Regular" w:cs="Calibri"/>
                <w:color w:val="212529"/>
                <w:lang w:val="en-AU" w:eastAsia="en-AU"/>
              </w:rPr>
              <w:t>1.20%</w:t>
            </w:r>
          </w:p>
        </w:tc>
        <w:tc>
          <w:tcPr>
            <w:tcW w:w="602" w:type="dxa"/>
            <w:vAlign w:val="center"/>
            <w:hideMark/>
          </w:tcPr>
          <w:p w14:paraId="3830DAAB" w14:textId="77777777" w:rsidR="00BF0E93" w:rsidRPr="00BF0E93" w:rsidRDefault="00BF0E93" w:rsidP="00BF0E93">
            <w:pPr>
              <w:spacing w:after="0" w:line="240" w:lineRule="auto"/>
              <w:rPr>
                <w:rFonts w:ascii="Times New Roman" w:eastAsia="Times New Roman" w:hAnsi="Times New Roman" w:cs="Times New Roman"/>
                <w:sz w:val="20"/>
                <w:szCs w:val="20"/>
                <w:lang w:val="en-AU" w:eastAsia="en-AU"/>
              </w:rPr>
            </w:pPr>
          </w:p>
        </w:tc>
      </w:tr>
      <w:tr w:rsidR="00BF0E93" w:rsidRPr="00BF0E93" w14:paraId="74707685" w14:textId="77777777" w:rsidTr="00BC73C7">
        <w:trPr>
          <w:trHeight w:val="300"/>
        </w:trPr>
        <w:tc>
          <w:tcPr>
            <w:tcW w:w="6848" w:type="dxa"/>
            <w:tcBorders>
              <w:top w:val="nil"/>
              <w:left w:val="single" w:sz="4" w:space="0" w:color="auto"/>
              <w:bottom w:val="single" w:sz="4" w:space="0" w:color="auto"/>
              <w:right w:val="single" w:sz="4" w:space="0" w:color="auto"/>
            </w:tcBorders>
            <w:shd w:val="clear" w:color="000000" w:fill="D6DCE4"/>
            <w:hideMark/>
          </w:tcPr>
          <w:p w14:paraId="7F611CB9" w14:textId="77777777" w:rsidR="00BF0E93" w:rsidRPr="00BF0E93" w:rsidRDefault="00BF0E93" w:rsidP="00BF0E93">
            <w:pPr>
              <w:spacing w:after="0" w:line="240" w:lineRule="auto"/>
              <w:rPr>
                <w:rFonts w:ascii="Montserrat Regular" w:eastAsia="Times New Roman" w:hAnsi="Montserrat Regular" w:cs="Calibri"/>
                <w:color w:val="212529"/>
                <w:lang w:val="en-AU" w:eastAsia="en-AU"/>
              </w:rPr>
            </w:pPr>
            <w:r w:rsidRPr="00BF0E93">
              <w:rPr>
                <w:rFonts w:ascii="Montserrat Regular" w:eastAsia="Times New Roman" w:hAnsi="Montserrat Regular" w:cs="Calibri"/>
                <w:color w:val="212529"/>
                <w:lang w:val="en-AU" w:eastAsia="en-AU"/>
              </w:rPr>
              <w:t>Rental, Hiring and Real Estate Services</w:t>
            </w:r>
          </w:p>
        </w:tc>
        <w:tc>
          <w:tcPr>
            <w:tcW w:w="1009" w:type="dxa"/>
            <w:tcBorders>
              <w:top w:val="nil"/>
              <w:left w:val="nil"/>
              <w:bottom w:val="single" w:sz="4" w:space="0" w:color="auto"/>
              <w:right w:val="single" w:sz="4" w:space="0" w:color="auto"/>
            </w:tcBorders>
            <w:shd w:val="clear" w:color="000000" w:fill="D6DCE4"/>
            <w:hideMark/>
          </w:tcPr>
          <w:p w14:paraId="4B97DC7E" w14:textId="77777777" w:rsidR="00BF0E93" w:rsidRPr="00BF0E93" w:rsidRDefault="00BF0E93" w:rsidP="00BF0E93">
            <w:pPr>
              <w:spacing w:after="0" w:line="240" w:lineRule="auto"/>
              <w:jc w:val="right"/>
              <w:rPr>
                <w:rFonts w:ascii="Montserrat Regular" w:eastAsia="Times New Roman" w:hAnsi="Montserrat Regular" w:cs="Calibri"/>
                <w:color w:val="212529"/>
                <w:lang w:val="en-AU" w:eastAsia="en-AU"/>
              </w:rPr>
            </w:pPr>
            <w:r w:rsidRPr="00BF0E93">
              <w:rPr>
                <w:rFonts w:ascii="Montserrat Regular" w:eastAsia="Times New Roman" w:hAnsi="Montserrat Regular" w:cs="Calibri"/>
                <w:color w:val="212529"/>
                <w:lang w:val="en-AU" w:eastAsia="en-AU"/>
              </w:rPr>
              <w:t>1.10%</w:t>
            </w:r>
          </w:p>
        </w:tc>
        <w:tc>
          <w:tcPr>
            <w:tcW w:w="1606" w:type="dxa"/>
            <w:tcBorders>
              <w:top w:val="nil"/>
              <w:left w:val="nil"/>
              <w:bottom w:val="single" w:sz="4" w:space="0" w:color="auto"/>
              <w:right w:val="single" w:sz="4" w:space="0" w:color="auto"/>
            </w:tcBorders>
            <w:shd w:val="clear" w:color="000000" w:fill="D6DCE4"/>
            <w:hideMark/>
          </w:tcPr>
          <w:p w14:paraId="1BF2AE35" w14:textId="77777777" w:rsidR="00BF0E93" w:rsidRPr="00BF0E93" w:rsidRDefault="00BF0E93" w:rsidP="00BF0E93">
            <w:pPr>
              <w:spacing w:after="0" w:line="240" w:lineRule="auto"/>
              <w:jc w:val="right"/>
              <w:rPr>
                <w:rFonts w:ascii="Montserrat Regular" w:eastAsia="Times New Roman" w:hAnsi="Montserrat Regular" w:cs="Calibri"/>
                <w:color w:val="212529"/>
                <w:lang w:val="en-AU" w:eastAsia="en-AU"/>
              </w:rPr>
            </w:pPr>
            <w:r w:rsidRPr="00BF0E93">
              <w:rPr>
                <w:rFonts w:ascii="Montserrat Regular" w:eastAsia="Times New Roman" w:hAnsi="Montserrat Regular" w:cs="Calibri"/>
                <w:color w:val="212529"/>
                <w:lang w:val="en-AU" w:eastAsia="en-AU"/>
              </w:rPr>
              <w:t>2.10%</w:t>
            </w:r>
          </w:p>
        </w:tc>
        <w:tc>
          <w:tcPr>
            <w:tcW w:w="602" w:type="dxa"/>
            <w:vAlign w:val="center"/>
            <w:hideMark/>
          </w:tcPr>
          <w:p w14:paraId="4811F853" w14:textId="77777777" w:rsidR="00BF0E93" w:rsidRPr="00BF0E93" w:rsidRDefault="00BF0E93" w:rsidP="00BF0E93">
            <w:pPr>
              <w:spacing w:after="0" w:line="240" w:lineRule="auto"/>
              <w:rPr>
                <w:rFonts w:ascii="Times New Roman" w:eastAsia="Times New Roman" w:hAnsi="Times New Roman" w:cs="Times New Roman"/>
                <w:sz w:val="20"/>
                <w:szCs w:val="20"/>
                <w:lang w:val="en-AU" w:eastAsia="en-AU"/>
              </w:rPr>
            </w:pPr>
          </w:p>
        </w:tc>
      </w:tr>
      <w:tr w:rsidR="00BF0E93" w:rsidRPr="00BF0E93" w14:paraId="4774D185" w14:textId="77777777" w:rsidTr="00BC73C7">
        <w:trPr>
          <w:trHeight w:val="300"/>
        </w:trPr>
        <w:tc>
          <w:tcPr>
            <w:tcW w:w="6848" w:type="dxa"/>
            <w:tcBorders>
              <w:top w:val="nil"/>
              <w:left w:val="single" w:sz="4" w:space="0" w:color="auto"/>
              <w:bottom w:val="single" w:sz="4" w:space="0" w:color="auto"/>
              <w:right w:val="single" w:sz="4" w:space="0" w:color="auto"/>
            </w:tcBorders>
            <w:shd w:val="clear" w:color="000000" w:fill="D6DCE4"/>
            <w:hideMark/>
          </w:tcPr>
          <w:p w14:paraId="197FBB83" w14:textId="77777777" w:rsidR="00BF0E93" w:rsidRPr="00BF0E93" w:rsidRDefault="00BF0E93" w:rsidP="00BF0E93">
            <w:pPr>
              <w:spacing w:after="0" w:line="240" w:lineRule="auto"/>
              <w:rPr>
                <w:rFonts w:ascii="Montserrat Regular" w:eastAsia="Times New Roman" w:hAnsi="Montserrat Regular" w:cs="Calibri"/>
                <w:color w:val="212529"/>
                <w:lang w:val="en-AU" w:eastAsia="en-AU"/>
              </w:rPr>
            </w:pPr>
            <w:r w:rsidRPr="00BF0E93">
              <w:rPr>
                <w:rFonts w:ascii="Montserrat Regular" w:eastAsia="Times New Roman" w:hAnsi="Montserrat Regular" w:cs="Calibri"/>
                <w:color w:val="212529"/>
                <w:lang w:val="en-AU" w:eastAsia="en-AU"/>
              </w:rPr>
              <w:t>Arts and Recreation Services</w:t>
            </w:r>
          </w:p>
        </w:tc>
        <w:tc>
          <w:tcPr>
            <w:tcW w:w="1009" w:type="dxa"/>
            <w:tcBorders>
              <w:top w:val="nil"/>
              <w:left w:val="nil"/>
              <w:bottom w:val="single" w:sz="4" w:space="0" w:color="auto"/>
              <w:right w:val="single" w:sz="4" w:space="0" w:color="auto"/>
            </w:tcBorders>
            <w:shd w:val="clear" w:color="000000" w:fill="D6DCE4"/>
            <w:hideMark/>
          </w:tcPr>
          <w:p w14:paraId="54495958" w14:textId="77777777" w:rsidR="00BF0E93" w:rsidRPr="00BF0E93" w:rsidRDefault="00BF0E93" w:rsidP="00BF0E93">
            <w:pPr>
              <w:spacing w:after="0" w:line="240" w:lineRule="auto"/>
              <w:jc w:val="right"/>
              <w:rPr>
                <w:rFonts w:ascii="Montserrat Regular" w:eastAsia="Times New Roman" w:hAnsi="Montserrat Regular" w:cs="Calibri"/>
                <w:color w:val="212529"/>
                <w:lang w:val="en-AU" w:eastAsia="en-AU"/>
              </w:rPr>
            </w:pPr>
            <w:r w:rsidRPr="00BF0E93">
              <w:rPr>
                <w:rFonts w:ascii="Montserrat Regular" w:eastAsia="Times New Roman" w:hAnsi="Montserrat Regular" w:cs="Calibri"/>
                <w:color w:val="212529"/>
                <w:lang w:val="en-AU" w:eastAsia="en-AU"/>
              </w:rPr>
              <w:t>0.80%</w:t>
            </w:r>
          </w:p>
        </w:tc>
        <w:tc>
          <w:tcPr>
            <w:tcW w:w="1606" w:type="dxa"/>
            <w:tcBorders>
              <w:top w:val="nil"/>
              <w:left w:val="nil"/>
              <w:bottom w:val="single" w:sz="4" w:space="0" w:color="auto"/>
              <w:right w:val="single" w:sz="4" w:space="0" w:color="auto"/>
            </w:tcBorders>
            <w:shd w:val="clear" w:color="000000" w:fill="D6DCE4"/>
            <w:hideMark/>
          </w:tcPr>
          <w:p w14:paraId="1CF56D1F" w14:textId="77777777" w:rsidR="00BF0E93" w:rsidRPr="00BF0E93" w:rsidRDefault="00BF0E93" w:rsidP="00BF0E93">
            <w:pPr>
              <w:spacing w:after="0" w:line="240" w:lineRule="auto"/>
              <w:jc w:val="right"/>
              <w:rPr>
                <w:rFonts w:ascii="Montserrat Regular" w:eastAsia="Times New Roman" w:hAnsi="Montserrat Regular" w:cs="Calibri"/>
                <w:color w:val="212529"/>
                <w:lang w:val="en-AU" w:eastAsia="en-AU"/>
              </w:rPr>
            </w:pPr>
            <w:r w:rsidRPr="00BF0E93">
              <w:rPr>
                <w:rFonts w:ascii="Montserrat Regular" w:eastAsia="Times New Roman" w:hAnsi="Montserrat Regular" w:cs="Calibri"/>
                <w:color w:val="212529"/>
                <w:lang w:val="en-AU" w:eastAsia="en-AU"/>
              </w:rPr>
              <w:t>1.50%</w:t>
            </w:r>
          </w:p>
        </w:tc>
        <w:tc>
          <w:tcPr>
            <w:tcW w:w="602" w:type="dxa"/>
            <w:vAlign w:val="center"/>
            <w:hideMark/>
          </w:tcPr>
          <w:p w14:paraId="0E68042C" w14:textId="77777777" w:rsidR="00BF0E93" w:rsidRPr="00BF0E93" w:rsidRDefault="00BF0E93" w:rsidP="00BF0E93">
            <w:pPr>
              <w:spacing w:after="0" w:line="240" w:lineRule="auto"/>
              <w:rPr>
                <w:rFonts w:ascii="Times New Roman" w:eastAsia="Times New Roman" w:hAnsi="Times New Roman" w:cs="Times New Roman"/>
                <w:sz w:val="20"/>
                <w:szCs w:val="20"/>
                <w:lang w:val="en-AU" w:eastAsia="en-AU"/>
              </w:rPr>
            </w:pPr>
          </w:p>
        </w:tc>
      </w:tr>
      <w:tr w:rsidR="00BF0E93" w:rsidRPr="00BF0E93" w14:paraId="0184D9B4" w14:textId="77777777" w:rsidTr="00BC73C7">
        <w:trPr>
          <w:trHeight w:val="300"/>
        </w:trPr>
        <w:tc>
          <w:tcPr>
            <w:tcW w:w="6848" w:type="dxa"/>
            <w:tcBorders>
              <w:top w:val="nil"/>
              <w:left w:val="single" w:sz="4" w:space="0" w:color="auto"/>
              <w:bottom w:val="single" w:sz="4" w:space="0" w:color="auto"/>
              <w:right w:val="single" w:sz="4" w:space="0" w:color="auto"/>
            </w:tcBorders>
            <w:shd w:val="clear" w:color="000000" w:fill="D6DCE4"/>
            <w:hideMark/>
          </w:tcPr>
          <w:p w14:paraId="6796A45F" w14:textId="77777777" w:rsidR="00BF0E93" w:rsidRPr="00BF0E93" w:rsidRDefault="00BF0E93" w:rsidP="00BF0E93">
            <w:pPr>
              <w:spacing w:after="0" w:line="240" w:lineRule="auto"/>
              <w:rPr>
                <w:rFonts w:ascii="Montserrat Regular" w:eastAsia="Times New Roman" w:hAnsi="Montserrat Regular" w:cs="Calibri"/>
                <w:color w:val="212529"/>
                <w:lang w:val="en-AU" w:eastAsia="en-AU"/>
              </w:rPr>
            </w:pPr>
            <w:r w:rsidRPr="00BF0E93">
              <w:rPr>
                <w:rFonts w:ascii="Montserrat Regular" w:eastAsia="Times New Roman" w:hAnsi="Montserrat Regular" w:cs="Calibri"/>
                <w:color w:val="212529"/>
                <w:lang w:val="en-AU" w:eastAsia="en-AU"/>
              </w:rPr>
              <w:t>Information Media and Telecommunications</w:t>
            </w:r>
          </w:p>
        </w:tc>
        <w:tc>
          <w:tcPr>
            <w:tcW w:w="1009" w:type="dxa"/>
            <w:tcBorders>
              <w:top w:val="nil"/>
              <w:left w:val="nil"/>
              <w:bottom w:val="single" w:sz="4" w:space="0" w:color="auto"/>
              <w:right w:val="single" w:sz="4" w:space="0" w:color="auto"/>
            </w:tcBorders>
            <w:shd w:val="clear" w:color="000000" w:fill="D6DCE4"/>
            <w:hideMark/>
          </w:tcPr>
          <w:p w14:paraId="192CAE2D" w14:textId="77777777" w:rsidR="00BF0E93" w:rsidRPr="00BF0E93" w:rsidRDefault="00BF0E93" w:rsidP="00BF0E93">
            <w:pPr>
              <w:spacing w:after="0" w:line="240" w:lineRule="auto"/>
              <w:jc w:val="right"/>
              <w:rPr>
                <w:rFonts w:ascii="Montserrat Regular" w:eastAsia="Times New Roman" w:hAnsi="Montserrat Regular" w:cs="Calibri"/>
                <w:color w:val="212529"/>
                <w:lang w:val="en-AU" w:eastAsia="en-AU"/>
              </w:rPr>
            </w:pPr>
            <w:r w:rsidRPr="00BF0E93">
              <w:rPr>
                <w:rFonts w:ascii="Montserrat Regular" w:eastAsia="Times New Roman" w:hAnsi="Montserrat Regular" w:cs="Calibri"/>
                <w:color w:val="212529"/>
                <w:lang w:val="en-AU" w:eastAsia="en-AU"/>
              </w:rPr>
              <w:t>0.50%</w:t>
            </w:r>
          </w:p>
        </w:tc>
        <w:tc>
          <w:tcPr>
            <w:tcW w:w="1606" w:type="dxa"/>
            <w:tcBorders>
              <w:top w:val="nil"/>
              <w:left w:val="nil"/>
              <w:bottom w:val="single" w:sz="4" w:space="0" w:color="auto"/>
              <w:right w:val="single" w:sz="4" w:space="0" w:color="auto"/>
            </w:tcBorders>
            <w:shd w:val="clear" w:color="000000" w:fill="D6DCE4"/>
            <w:hideMark/>
          </w:tcPr>
          <w:p w14:paraId="6222A9C5" w14:textId="77777777" w:rsidR="00BF0E93" w:rsidRPr="00BF0E93" w:rsidRDefault="00BF0E93" w:rsidP="00BF0E93">
            <w:pPr>
              <w:spacing w:after="0" w:line="240" w:lineRule="auto"/>
              <w:jc w:val="right"/>
              <w:rPr>
                <w:rFonts w:ascii="Montserrat Regular" w:eastAsia="Times New Roman" w:hAnsi="Montserrat Regular" w:cs="Calibri"/>
                <w:color w:val="212529"/>
                <w:lang w:val="en-AU" w:eastAsia="en-AU"/>
              </w:rPr>
            </w:pPr>
            <w:r w:rsidRPr="00BF0E93">
              <w:rPr>
                <w:rFonts w:ascii="Montserrat Regular" w:eastAsia="Times New Roman" w:hAnsi="Montserrat Regular" w:cs="Calibri"/>
                <w:color w:val="212529"/>
                <w:lang w:val="en-AU" w:eastAsia="en-AU"/>
              </w:rPr>
              <w:t>1%</w:t>
            </w:r>
          </w:p>
        </w:tc>
        <w:tc>
          <w:tcPr>
            <w:tcW w:w="602" w:type="dxa"/>
            <w:vAlign w:val="center"/>
            <w:hideMark/>
          </w:tcPr>
          <w:p w14:paraId="66D7D7F6" w14:textId="77777777" w:rsidR="00BF0E93" w:rsidRPr="00BF0E93" w:rsidRDefault="00BF0E93" w:rsidP="00BF0E93">
            <w:pPr>
              <w:spacing w:after="0" w:line="240" w:lineRule="auto"/>
              <w:rPr>
                <w:rFonts w:ascii="Times New Roman" w:eastAsia="Times New Roman" w:hAnsi="Times New Roman" w:cs="Times New Roman"/>
                <w:sz w:val="20"/>
                <w:szCs w:val="20"/>
                <w:lang w:val="en-AU" w:eastAsia="en-AU"/>
              </w:rPr>
            </w:pPr>
          </w:p>
        </w:tc>
      </w:tr>
      <w:tr w:rsidR="00BF0E93" w:rsidRPr="00BF0E93" w14:paraId="54BEE7FC" w14:textId="77777777" w:rsidTr="00BC73C7">
        <w:trPr>
          <w:trHeight w:val="300"/>
        </w:trPr>
        <w:tc>
          <w:tcPr>
            <w:tcW w:w="6848" w:type="dxa"/>
            <w:tcBorders>
              <w:top w:val="nil"/>
              <w:left w:val="single" w:sz="4" w:space="0" w:color="auto"/>
              <w:bottom w:val="single" w:sz="4" w:space="0" w:color="auto"/>
              <w:right w:val="single" w:sz="4" w:space="0" w:color="auto"/>
            </w:tcBorders>
            <w:shd w:val="clear" w:color="000000" w:fill="D6DCE4"/>
            <w:hideMark/>
          </w:tcPr>
          <w:p w14:paraId="60A07FFE" w14:textId="77777777" w:rsidR="00BF0E93" w:rsidRPr="00BF0E93" w:rsidRDefault="00BF0E93" w:rsidP="00BF0E93">
            <w:pPr>
              <w:spacing w:after="0" w:line="240" w:lineRule="auto"/>
              <w:rPr>
                <w:rFonts w:ascii="Montserrat Regular" w:eastAsia="Times New Roman" w:hAnsi="Montserrat Regular" w:cs="Calibri"/>
                <w:color w:val="212529"/>
                <w:lang w:val="en-AU" w:eastAsia="en-AU"/>
              </w:rPr>
            </w:pPr>
            <w:r w:rsidRPr="00BF0E93">
              <w:rPr>
                <w:rFonts w:ascii="Montserrat Regular" w:eastAsia="Times New Roman" w:hAnsi="Montserrat Regular" w:cs="Calibri"/>
                <w:color w:val="212529"/>
                <w:lang w:val="en-AU" w:eastAsia="en-AU"/>
              </w:rPr>
              <w:t>Financial and Insurance Services</w:t>
            </w:r>
          </w:p>
        </w:tc>
        <w:tc>
          <w:tcPr>
            <w:tcW w:w="1009" w:type="dxa"/>
            <w:tcBorders>
              <w:top w:val="nil"/>
              <w:left w:val="nil"/>
              <w:bottom w:val="single" w:sz="4" w:space="0" w:color="auto"/>
              <w:right w:val="single" w:sz="4" w:space="0" w:color="auto"/>
            </w:tcBorders>
            <w:shd w:val="clear" w:color="000000" w:fill="D6DCE4"/>
            <w:hideMark/>
          </w:tcPr>
          <w:p w14:paraId="085B168F" w14:textId="77777777" w:rsidR="00BF0E93" w:rsidRPr="00BF0E93" w:rsidRDefault="00BF0E93" w:rsidP="00BF0E93">
            <w:pPr>
              <w:spacing w:after="0" w:line="240" w:lineRule="auto"/>
              <w:jc w:val="right"/>
              <w:rPr>
                <w:rFonts w:ascii="Montserrat Regular" w:eastAsia="Times New Roman" w:hAnsi="Montserrat Regular" w:cs="Calibri"/>
                <w:color w:val="212529"/>
                <w:lang w:val="en-AU" w:eastAsia="en-AU"/>
              </w:rPr>
            </w:pPr>
            <w:r w:rsidRPr="00BF0E93">
              <w:rPr>
                <w:rFonts w:ascii="Montserrat Regular" w:eastAsia="Times New Roman" w:hAnsi="Montserrat Regular" w:cs="Calibri"/>
                <w:color w:val="212529"/>
                <w:lang w:val="en-AU" w:eastAsia="en-AU"/>
              </w:rPr>
              <w:t>0.10%</w:t>
            </w:r>
          </w:p>
        </w:tc>
        <w:tc>
          <w:tcPr>
            <w:tcW w:w="1606" w:type="dxa"/>
            <w:tcBorders>
              <w:top w:val="nil"/>
              <w:left w:val="nil"/>
              <w:bottom w:val="single" w:sz="4" w:space="0" w:color="auto"/>
              <w:right w:val="single" w:sz="4" w:space="0" w:color="auto"/>
            </w:tcBorders>
            <w:shd w:val="clear" w:color="000000" w:fill="D6DCE4"/>
            <w:hideMark/>
          </w:tcPr>
          <w:p w14:paraId="297D1E61" w14:textId="77777777" w:rsidR="00BF0E93" w:rsidRPr="00BF0E93" w:rsidRDefault="00BF0E93" w:rsidP="00BF0E93">
            <w:pPr>
              <w:spacing w:after="0" w:line="240" w:lineRule="auto"/>
              <w:jc w:val="right"/>
              <w:rPr>
                <w:rFonts w:ascii="Montserrat Regular" w:eastAsia="Times New Roman" w:hAnsi="Montserrat Regular" w:cs="Calibri"/>
                <w:color w:val="212529"/>
                <w:lang w:val="en-AU" w:eastAsia="en-AU"/>
              </w:rPr>
            </w:pPr>
            <w:r w:rsidRPr="00BF0E93">
              <w:rPr>
                <w:rFonts w:ascii="Montserrat Regular" w:eastAsia="Times New Roman" w:hAnsi="Montserrat Regular" w:cs="Calibri"/>
                <w:color w:val="212529"/>
                <w:lang w:val="en-AU" w:eastAsia="en-AU"/>
              </w:rPr>
              <w:t>2.70%</w:t>
            </w:r>
          </w:p>
        </w:tc>
        <w:tc>
          <w:tcPr>
            <w:tcW w:w="602" w:type="dxa"/>
            <w:vAlign w:val="center"/>
            <w:hideMark/>
          </w:tcPr>
          <w:p w14:paraId="40032C15" w14:textId="77777777" w:rsidR="00BF0E93" w:rsidRPr="00BF0E93" w:rsidRDefault="00BF0E93" w:rsidP="00BF0E93">
            <w:pPr>
              <w:spacing w:after="0" w:line="240" w:lineRule="auto"/>
              <w:rPr>
                <w:rFonts w:ascii="Times New Roman" w:eastAsia="Times New Roman" w:hAnsi="Times New Roman" w:cs="Times New Roman"/>
                <w:sz w:val="20"/>
                <w:szCs w:val="20"/>
                <w:lang w:val="en-AU" w:eastAsia="en-AU"/>
              </w:rPr>
            </w:pPr>
          </w:p>
        </w:tc>
      </w:tr>
      <w:tr w:rsidR="00BF0E93" w:rsidRPr="00BF0E93" w14:paraId="6E8AEF6C" w14:textId="77777777" w:rsidTr="00BC73C7">
        <w:trPr>
          <w:trHeight w:val="300"/>
        </w:trPr>
        <w:tc>
          <w:tcPr>
            <w:tcW w:w="6848" w:type="dxa"/>
            <w:tcBorders>
              <w:top w:val="nil"/>
              <w:left w:val="nil"/>
              <w:bottom w:val="nil"/>
              <w:right w:val="nil"/>
            </w:tcBorders>
            <w:shd w:val="clear" w:color="000000" w:fill="D6DCE4"/>
            <w:noWrap/>
            <w:vAlign w:val="bottom"/>
            <w:hideMark/>
          </w:tcPr>
          <w:p w14:paraId="3AD69DE4" w14:textId="77777777" w:rsidR="00BF0E93" w:rsidRPr="00BF0E93" w:rsidRDefault="00BF0E93" w:rsidP="00BF0E93">
            <w:pPr>
              <w:spacing w:after="0" w:line="240" w:lineRule="auto"/>
              <w:rPr>
                <w:rFonts w:ascii="Montserrat Regular" w:eastAsia="Times New Roman" w:hAnsi="Montserrat Regular" w:cs="Calibri"/>
                <w:color w:val="707070"/>
                <w:sz w:val="15"/>
                <w:szCs w:val="15"/>
                <w:lang w:val="en-AU" w:eastAsia="en-AU"/>
              </w:rPr>
            </w:pPr>
            <w:r w:rsidRPr="00BF0E93">
              <w:rPr>
                <w:rFonts w:ascii="Montserrat Regular" w:eastAsia="Times New Roman" w:hAnsi="Montserrat Regular" w:cs="Calibri"/>
                <w:color w:val="707070"/>
                <w:sz w:val="15"/>
                <w:szCs w:val="15"/>
                <w:lang w:val="en-AU" w:eastAsia="en-AU"/>
              </w:rPr>
              <w:t>Source: ABS Labour Force, Detailed, February 2022, four-quarter averages.</w:t>
            </w:r>
          </w:p>
        </w:tc>
        <w:tc>
          <w:tcPr>
            <w:tcW w:w="1009" w:type="dxa"/>
            <w:tcBorders>
              <w:top w:val="nil"/>
              <w:left w:val="nil"/>
              <w:bottom w:val="nil"/>
              <w:right w:val="nil"/>
            </w:tcBorders>
            <w:shd w:val="clear" w:color="000000" w:fill="D6DCE4"/>
            <w:noWrap/>
            <w:vAlign w:val="bottom"/>
            <w:hideMark/>
          </w:tcPr>
          <w:p w14:paraId="56740A85" w14:textId="77777777" w:rsidR="00BF0E93" w:rsidRPr="00BF0E93" w:rsidRDefault="00BF0E93" w:rsidP="00BF0E93">
            <w:pPr>
              <w:spacing w:after="0" w:line="240" w:lineRule="auto"/>
              <w:rPr>
                <w:rFonts w:ascii="Calibri" w:eastAsia="Times New Roman" w:hAnsi="Calibri" w:cs="Calibri"/>
                <w:color w:val="000000"/>
                <w:lang w:val="en-AU" w:eastAsia="en-AU"/>
              </w:rPr>
            </w:pPr>
            <w:r w:rsidRPr="00BF0E93">
              <w:rPr>
                <w:rFonts w:ascii="Calibri" w:eastAsia="Times New Roman" w:hAnsi="Calibri" w:cs="Calibri"/>
                <w:color w:val="000000"/>
                <w:lang w:val="en-AU" w:eastAsia="en-AU"/>
              </w:rPr>
              <w:t> </w:t>
            </w:r>
          </w:p>
        </w:tc>
        <w:tc>
          <w:tcPr>
            <w:tcW w:w="1606" w:type="dxa"/>
            <w:tcBorders>
              <w:top w:val="nil"/>
              <w:left w:val="nil"/>
              <w:bottom w:val="nil"/>
              <w:right w:val="nil"/>
            </w:tcBorders>
            <w:shd w:val="clear" w:color="000000" w:fill="D6DCE4"/>
            <w:noWrap/>
            <w:vAlign w:val="bottom"/>
            <w:hideMark/>
          </w:tcPr>
          <w:p w14:paraId="3CC4703A" w14:textId="77777777" w:rsidR="00BF0E93" w:rsidRPr="00BF0E93" w:rsidRDefault="00BF0E93" w:rsidP="00BF0E93">
            <w:pPr>
              <w:spacing w:after="0" w:line="240" w:lineRule="auto"/>
              <w:rPr>
                <w:rFonts w:ascii="Calibri" w:eastAsia="Times New Roman" w:hAnsi="Calibri" w:cs="Calibri"/>
                <w:color w:val="000000"/>
                <w:lang w:val="en-AU" w:eastAsia="en-AU"/>
              </w:rPr>
            </w:pPr>
            <w:r w:rsidRPr="00BF0E93">
              <w:rPr>
                <w:rFonts w:ascii="Calibri" w:eastAsia="Times New Roman" w:hAnsi="Calibri" w:cs="Calibri"/>
                <w:color w:val="000000"/>
                <w:lang w:val="en-AU" w:eastAsia="en-AU"/>
              </w:rPr>
              <w:t> </w:t>
            </w:r>
          </w:p>
        </w:tc>
        <w:tc>
          <w:tcPr>
            <w:tcW w:w="602" w:type="dxa"/>
            <w:vAlign w:val="center"/>
            <w:hideMark/>
          </w:tcPr>
          <w:p w14:paraId="571227BA" w14:textId="77777777" w:rsidR="00BF0E93" w:rsidRPr="00BF0E93" w:rsidRDefault="00BF0E93" w:rsidP="00BF0E93">
            <w:pPr>
              <w:spacing w:after="0" w:line="240" w:lineRule="auto"/>
              <w:rPr>
                <w:rFonts w:ascii="Times New Roman" w:eastAsia="Times New Roman" w:hAnsi="Times New Roman" w:cs="Times New Roman"/>
                <w:sz w:val="20"/>
                <w:szCs w:val="20"/>
                <w:lang w:val="en-AU" w:eastAsia="en-AU"/>
              </w:rPr>
            </w:pPr>
          </w:p>
        </w:tc>
      </w:tr>
      <w:tr w:rsidR="00BF0E93" w:rsidRPr="00BF0E93" w14:paraId="14B5A755" w14:textId="77777777" w:rsidTr="00BC73C7">
        <w:trPr>
          <w:trHeight w:val="435"/>
        </w:trPr>
        <w:tc>
          <w:tcPr>
            <w:tcW w:w="9463" w:type="dxa"/>
            <w:gridSpan w:val="3"/>
            <w:tcBorders>
              <w:top w:val="nil"/>
              <w:left w:val="nil"/>
              <w:bottom w:val="nil"/>
              <w:right w:val="nil"/>
            </w:tcBorders>
            <w:shd w:val="clear" w:color="000000" w:fill="D6DCE4"/>
            <w:vAlign w:val="bottom"/>
            <w:hideMark/>
          </w:tcPr>
          <w:p w14:paraId="630FEECE" w14:textId="77777777" w:rsidR="00BF0E93" w:rsidRPr="00BF0E93" w:rsidRDefault="00BF0E93" w:rsidP="00BF0E93">
            <w:pPr>
              <w:spacing w:after="0" w:line="240" w:lineRule="auto"/>
              <w:rPr>
                <w:rFonts w:ascii="Montserrat Regular" w:eastAsia="Times New Roman" w:hAnsi="Montserrat Regular" w:cs="Calibri"/>
                <w:color w:val="707070"/>
                <w:sz w:val="15"/>
                <w:szCs w:val="15"/>
                <w:lang w:val="en-AU" w:eastAsia="en-AU"/>
              </w:rPr>
            </w:pPr>
            <w:r w:rsidRPr="00BF0E93">
              <w:rPr>
                <w:rFonts w:ascii="Montserrat Regular" w:eastAsia="Times New Roman" w:hAnsi="Montserrat Regular" w:cs="Calibri"/>
                <w:color w:val="707070"/>
                <w:sz w:val="15"/>
                <w:szCs w:val="15"/>
                <w:lang w:val="en-AU" w:eastAsia="en-AU"/>
              </w:rPr>
              <w:t>Caution: These data can be subject to significant statistical variability and should be interpreted with care. For more information see the download file available from the Data Downloads page.</w:t>
            </w:r>
          </w:p>
        </w:tc>
        <w:tc>
          <w:tcPr>
            <w:tcW w:w="602" w:type="dxa"/>
            <w:vAlign w:val="center"/>
            <w:hideMark/>
          </w:tcPr>
          <w:p w14:paraId="75493651" w14:textId="77777777" w:rsidR="00BF0E93" w:rsidRPr="00BF0E93" w:rsidRDefault="00BF0E93" w:rsidP="00BF0E93">
            <w:pPr>
              <w:spacing w:after="0" w:line="240" w:lineRule="auto"/>
              <w:rPr>
                <w:rFonts w:ascii="Times New Roman" w:eastAsia="Times New Roman" w:hAnsi="Times New Roman" w:cs="Times New Roman"/>
                <w:sz w:val="20"/>
                <w:szCs w:val="20"/>
                <w:lang w:val="en-AU" w:eastAsia="en-AU"/>
              </w:rPr>
            </w:pPr>
          </w:p>
        </w:tc>
      </w:tr>
    </w:tbl>
    <w:p w14:paraId="4749D689" w14:textId="77777777" w:rsidR="001A1FE3" w:rsidRDefault="001A1FE3" w:rsidP="000F56EA">
      <w:pPr>
        <w:spacing w:before="120" w:after="120" w:line="240" w:lineRule="auto"/>
        <w:contextualSpacing/>
        <w:rPr>
          <w:b/>
          <w:bCs/>
          <w:noProof/>
        </w:rPr>
      </w:pPr>
    </w:p>
    <w:p w14:paraId="1098D5BC" w14:textId="77777777" w:rsidR="001A1FE3" w:rsidRDefault="001A1FE3" w:rsidP="000F56EA">
      <w:pPr>
        <w:spacing w:before="120" w:after="120" w:line="240" w:lineRule="auto"/>
        <w:contextualSpacing/>
        <w:rPr>
          <w:b/>
          <w:bCs/>
          <w:noProof/>
        </w:rPr>
      </w:pPr>
    </w:p>
    <w:p w14:paraId="5429A8E9" w14:textId="77777777" w:rsidR="001A1FE3" w:rsidRDefault="001A1FE3" w:rsidP="000F56EA">
      <w:pPr>
        <w:spacing w:before="120" w:after="120" w:line="240" w:lineRule="auto"/>
        <w:contextualSpacing/>
        <w:rPr>
          <w:b/>
          <w:bCs/>
          <w:noProof/>
        </w:rPr>
      </w:pPr>
    </w:p>
    <w:p w14:paraId="1DB3C978" w14:textId="77777777" w:rsidR="00BA134D" w:rsidRDefault="00BA134D" w:rsidP="000417EF">
      <w:pPr>
        <w:pStyle w:val="Heading1"/>
      </w:pPr>
      <w:bookmarkStart w:id="38" w:name="_Toc94614526"/>
    </w:p>
    <w:p w14:paraId="3768DC65" w14:textId="77777777" w:rsidR="00BA134D" w:rsidRDefault="00BA134D" w:rsidP="000417EF">
      <w:pPr>
        <w:pStyle w:val="Heading1"/>
      </w:pPr>
    </w:p>
    <w:p w14:paraId="2AFEA062" w14:textId="77777777" w:rsidR="00BA134D" w:rsidRDefault="00BA134D" w:rsidP="000417EF">
      <w:pPr>
        <w:pStyle w:val="Heading1"/>
      </w:pPr>
    </w:p>
    <w:p w14:paraId="25022DF2" w14:textId="77777777" w:rsidR="00BA134D" w:rsidRDefault="00BA134D" w:rsidP="000417EF">
      <w:pPr>
        <w:pStyle w:val="Heading1"/>
      </w:pPr>
    </w:p>
    <w:p w14:paraId="7FC563BE" w14:textId="77777777" w:rsidR="00BA134D" w:rsidRDefault="00BA134D" w:rsidP="000417EF">
      <w:pPr>
        <w:pStyle w:val="Heading1"/>
      </w:pPr>
    </w:p>
    <w:p w14:paraId="7D18C08D" w14:textId="5FA95F99" w:rsidR="00D14843" w:rsidRPr="00A14FF5" w:rsidRDefault="00D14843" w:rsidP="000417EF">
      <w:pPr>
        <w:pStyle w:val="Heading1"/>
      </w:pPr>
      <w:r w:rsidRPr="00A14FF5">
        <w:lastRenderedPageBreak/>
        <w:t xml:space="preserve">Key challenges </w:t>
      </w:r>
      <w:r w:rsidR="001605E6">
        <w:t>in</w:t>
      </w:r>
      <w:r w:rsidRPr="00A14FF5">
        <w:t xml:space="preserve"> the</w:t>
      </w:r>
      <w:r w:rsidR="001605E6">
        <w:t xml:space="preserve"> Fitzroy</w:t>
      </w:r>
      <w:r w:rsidRPr="00A14FF5">
        <w:t xml:space="preserve"> region</w:t>
      </w:r>
      <w:bookmarkEnd w:id="38"/>
    </w:p>
    <w:p w14:paraId="399FED44" w14:textId="502626FF" w:rsidR="00D14843" w:rsidRPr="008F7516" w:rsidRDefault="00D14843" w:rsidP="000417EF">
      <w:r w:rsidRPr="000417EF">
        <w:rPr>
          <w:b/>
        </w:rPr>
        <w:t>COVID-19 pandemic</w:t>
      </w:r>
    </w:p>
    <w:p w14:paraId="7E953F0C" w14:textId="49FB2A64" w:rsidR="00D14843" w:rsidRDefault="00D14843" w:rsidP="00D14843">
      <w:pPr>
        <w:spacing w:line="240" w:lineRule="auto"/>
        <w:contextualSpacing/>
      </w:pPr>
      <w:r>
        <w:t>Like the rest of Australia, t</w:t>
      </w:r>
      <w:r w:rsidRPr="005E6CFD">
        <w:t>he Fitzroy ER</w:t>
      </w:r>
      <w:r w:rsidRPr="005E6CFD" w:rsidDel="007560A1">
        <w:t xml:space="preserve"> </w:t>
      </w:r>
      <w:r w:rsidRPr="005E6CFD">
        <w:t xml:space="preserve">was initially affected </w:t>
      </w:r>
      <w:r>
        <w:t xml:space="preserve">in March 2020 </w:t>
      </w:r>
      <w:r w:rsidRPr="005E6CFD">
        <w:t xml:space="preserve">by COVID-19 and the required lockdowns and restrictions. Businesses whose main industry were </w:t>
      </w:r>
      <w:r w:rsidR="00A319FA">
        <w:t>R</w:t>
      </w:r>
      <w:r w:rsidRPr="005E6CFD">
        <w:t xml:space="preserve">etail, </w:t>
      </w:r>
      <w:r w:rsidR="00A319FA">
        <w:t>S</w:t>
      </w:r>
      <w:r w:rsidRPr="005E6CFD">
        <w:t xml:space="preserve">ervices </w:t>
      </w:r>
      <w:r w:rsidR="00A319FA">
        <w:t>S</w:t>
      </w:r>
      <w:r w:rsidRPr="005E6CFD">
        <w:t xml:space="preserve">ector, </w:t>
      </w:r>
      <w:r w:rsidR="00A319FA">
        <w:t>H</w:t>
      </w:r>
      <w:r w:rsidRPr="005E6CFD">
        <w:t xml:space="preserve">ospitality, </w:t>
      </w:r>
      <w:r w:rsidR="00A319FA">
        <w:t>E</w:t>
      </w:r>
      <w:r w:rsidRPr="005E6CFD">
        <w:t>ntertainment</w:t>
      </w:r>
      <w:r>
        <w:t>,</w:t>
      </w:r>
      <w:r w:rsidRPr="005E6CFD">
        <w:t xml:space="preserve"> and </w:t>
      </w:r>
      <w:r w:rsidR="00A319FA">
        <w:t>C</w:t>
      </w:r>
      <w:r w:rsidRPr="005E6CFD">
        <w:t xml:space="preserve">ommunity </w:t>
      </w:r>
      <w:r w:rsidR="00A319FA">
        <w:t>S</w:t>
      </w:r>
      <w:r w:rsidRPr="005E6CFD">
        <w:t xml:space="preserve">upport were forced to either lay off workers or cut their hours. </w:t>
      </w:r>
      <w:r>
        <w:t>Many e</w:t>
      </w:r>
      <w:r w:rsidRPr="005E6CFD">
        <w:t xml:space="preserve">mployers across the </w:t>
      </w:r>
      <w:r w:rsidRPr="005E6CFD" w:rsidDel="00297AF0">
        <w:t xml:space="preserve">region </w:t>
      </w:r>
      <w:r w:rsidR="00297AF0" w:rsidRPr="005E6CFD">
        <w:t>supported</w:t>
      </w:r>
      <w:r w:rsidRPr="005E6CFD">
        <w:t xml:space="preserve"> their staff with the use of JobKeeper payments where possible</w:t>
      </w:r>
      <w:r>
        <w:t>, and for as long as possible</w:t>
      </w:r>
      <w:r w:rsidR="00F071DC">
        <w:t>.</w:t>
      </w:r>
    </w:p>
    <w:p w14:paraId="1D0805F0" w14:textId="77777777" w:rsidR="00F071DC" w:rsidRDefault="00F071DC" w:rsidP="00D14843">
      <w:pPr>
        <w:spacing w:line="240" w:lineRule="auto"/>
        <w:contextualSpacing/>
      </w:pPr>
    </w:p>
    <w:p w14:paraId="3EA0B4A8" w14:textId="64D786D0" w:rsidR="00D14843" w:rsidRDefault="00D14843" w:rsidP="00D14843">
      <w:pPr>
        <w:spacing w:line="240" w:lineRule="auto"/>
        <w:contextualSpacing/>
        <w:rPr>
          <w:b/>
          <w:bCs/>
        </w:rPr>
      </w:pPr>
      <w:r w:rsidRPr="005E6CFD">
        <w:t xml:space="preserve">Investment by both </w:t>
      </w:r>
      <w:r w:rsidR="00DC555E">
        <w:t>Co</w:t>
      </w:r>
      <w:r w:rsidR="001C5BEE">
        <w:t>mm</w:t>
      </w:r>
      <w:r w:rsidR="00DC555E">
        <w:t xml:space="preserve">onwealth </w:t>
      </w:r>
      <w:r w:rsidRPr="005E6CFD">
        <w:t xml:space="preserve">and </w:t>
      </w:r>
      <w:r w:rsidR="00E46FB4">
        <w:t>S</w:t>
      </w:r>
      <w:r w:rsidRPr="005E6CFD">
        <w:t>tate governments in infrastructure projects in the region such as the Rockhampton Ring Road</w:t>
      </w:r>
      <w:r>
        <w:t>,</w:t>
      </w:r>
      <w:r w:rsidRPr="005E6CFD">
        <w:t xml:space="preserve"> Rookwood Weir and </w:t>
      </w:r>
      <w:r>
        <w:t>upgrades</w:t>
      </w:r>
      <w:r w:rsidRPr="005E6CFD">
        <w:t xml:space="preserve"> </w:t>
      </w:r>
      <w:r>
        <w:t>to the</w:t>
      </w:r>
      <w:r w:rsidRPr="005E6CFD">
        <w:t xml:space="preserve"> Shoalwater Bay </w:t>
      </w:r>
      <w:r>
        <w:t xml:space="preserve">Defence Training Area </w:t>
      </w:r>
      <w:r w:rsidRPr="005E6CFD">
        <w:t>have supported employment</w:t>
      </w:r>
      <w:r>
        <w:t>.</w:t>
      </w:r>
    </w:p>
    <w:p w14:paraId="363F7044" w14:textId="77777777" w:rsidR="00D14843" w:rsidRPr="005E6CFD" w:rsidRDefault="00D14843" w:rsidP="00D14843">
      <w:pPr>
        <w:spacing w:line="240" w:lineRule="auto"/>
        <w:contextualSpacing/>
        <w:rPr>
          <w:b/>
          <w:bCs/>
        </w:rPr>
      </w:pPr>
    </w:p>
    <w:p w14:paraId="3AC2B55F" w14:textId="43961C37" w:rsidR="00D14843" w:rsidRDefault="00D14843" w:rsidP="00D14843">
      <w:pPr>
        <w:spacing w:line="240" w:lineRule="auto"/>
        <w:contextualSpacing/>
      </w:pPr>
      <w:r w:rsidRPr="005E6CFD">
        <w:t xml:space="preserve">However, not all industries have recovered from COVID-19 restrictions and are finding it hard to attract employees, such as the </w:t>
      </w:r>
      <w:r w:rsidR="00F64917">
        <w:t>A</w:t>
      </w:r>
      <w:r w:rsidRPr="005E6CFD">
        <w:t xml:space="preserve">gricultural industry, who </w:t>
      </w:r>
      <w:r w:rsidR="006F4DE0">
        <w:t xml:space="preserve">have </w:t>
      </w:r>
      <w:r>
        <w:t xml:space="preserve">historically </w:t>
      </w:r>
      <w:r w:rsidRPr="005E6CFD">
        <w:t>rel</w:t>
      </w:r>
      <w:r>
        <w:t>ied</w:t>
      </w:r>
      <w:r w:rsidRPr="005E6CFD">
        <w:t xml:space="preserve"> on backpackers for the harvesting of some crops</w:t>
      </w:r>
      <w:r>
        <w:t>.</w:t>
      </w:r>
      <w:r w:rsidRPr="005E6CFD">
        <w:t xml:space="preserve"> </w:t>
      </w:r>
    </w:p>
    <w:p w14:paraId="25E60BC5" w14:textId="77777777" w:rsidR="00834474" w:rsidRDefault="00834474" w:rsidP="00D14843">
      <w:pPr>
        <w:spacing w:line="240" w:lineRule="auto"/>
        <w:contextualSpacing/>
      </w:pPr>
    </w:p>
    <w:p w14:paraId="6B15D291" w14:textId="58749BBB" w:rsidR="00606D20" w:rsidRDefault="00D14843" w:rsidP="00D14843">
      <w:pPr>
        <w:spacing w:line="240" w:lineRule="auto"/>
        <w:contextualSpacing/>
      </w:pPr>
      <w:r>
        <w:t>The</w:t>
      </w:r>
      <w:r w:rsidRPr="005E6CFD">
        <w:t xml:space="preserve"> </w:t>
      </w:r>
      <w:r w:rsidR="00211657">
        <w:t>T</w:t>
      </w:r>
      <w:r w:rsidRPr="005E6CFD">
        <w:t xml:space="preserve">ourism and </w:t>
      </w:r>
      <w:r w:rsidR="00211657">
        <w:t>H</w:t>
      </w:r>
      <w:r w:rsidRPr="005E6CFD">
        <w:t>ospitality indust</w:t>
      </w:r>
      <w:r>
        <w:t>ry which has been directly affected by the pandemic is</w:t>
      </w:r>
      <w:r w:rsidRPr="005E6CFD">
        <w:t xml:space="preserve"> </w:t>
      </w:r>
      <w:r>
        <w:t xml:space="preserve">also experiencing staff shortages. </w:t>
      </w:r>
      <w:r w:rsidRPr="005E6CFD">
        <w:t>Labour supply from international students and other overseas visitors has dried up due to pandemic travel restrictions</w:t>
      </w:r>
      <w:r>
        <w:t xml:space="preserve">, which has </w:t>
      </w:r>
      <w:r w:rsidRPr="005E6CFD">
        <w:t xml:space="preserve">impacted staffing in </w:t>
      </w:r>
      <w:r w:rsidR="000468FE">
        <w:t>this largely casual workfo</w:t>
      </w:r>
      <w:r w:rsidR="00F86EF2">
        <w:t>rce</w:t>
      </w:r>
      <w:r w:rsidR="009E2944">
        <w:t>.</w:t>
      </w:r>
      <w:r w:rsidR="0006105C">
        <w:t xml:space="preserve"> </w:t>
      </w:r>
      <w:r w:rsidR="009E2944">
        <w:t>R</w:t>
      </w:r>
      <w:r w:rsidR="009D6B80">
        <w:t>estrictions and lockdowns</w:t>
      </w:r>
      <w:r w:rsidR="00713808">
        <w:t xml:space="preserve"> </w:t>
      </w:r>
      <w:r w:rsidR="009E2944">
        <w:t>have</w:t>
      </w:r>
      <w:r w:rsidR="0021423F">
        <w:t xml:space="preserve"> </w:t>
      </w:r>
      <w:r w:rsidR="00330B86">
        <w:t>hit this industry</w:t>
      </w:r>
      <w:r w:rsidR="00FE1C24">
        <w:t xml:space="preserve"> </w:t>
      </w:r>
      <w:r w:rsidR="00D72165">
        <w:t xml:space="preserve">hard with </w:t>
      </w:r>
      <w:r w:rsidR="007335BA">
        <w:t xml:space="preserve">restaurants and </w:t>
      </w:r>
      <w:r w:rsidR="00F6127D">
        <w:t>cafés</w:t>
      </w:r>
      <w:r w:rsidR="00EA2899">
        <w:t xml:space="preserve"> </w:t>
      </w:r>
      <w:r w:rsidR="005A6E07">
        <w:t xml:space="preserve">in some cases having to </w:t>
      </w:r>
      <w:r w:rsidR="002B7B05">
        <w:t>change the hours they operate or even</w:t>
      </w:r>
      <w:r w:rsidR="005A6E07">
        <w:t xml:space="preserve"> close</w:t>
      </w:r>
      <w:r w:rsidR="001D02B9">
        <w:t xml:space="preserve">. </w:t>
      </w:r>
    </w:p>
    <w:p w14:paraId="6D0433B1" w14:textId="77777777" w:rsidR="00605395" w:rsidRDefault="00605395" w:rsidP="00D14843">
      <w:pPr>
        <w:spacing w:line="240" w:lineRule="auto"/>
        <w:contextualSpacing/>
      </w:pPr>
    </w:p>
    <w:p w14:paraId="79FA4A8C" w14:textId="0C873778" w:rsidR="00413D60" w:rsidRDefault="00606D20" w:rsidP="00D14843">
      <w:pPr>
        <w:spacing w:line="240" w:lineRule="auto"/>
        <w:contextualSpacing/>
      </w:pPr>
      <w:r>
        <w:t>T</w:t>
      </w:r>
      <w:r w:rsidR="00D14843" w:rsidRPr="005E6CFD">
        <w:t xml:space="preserve">he </w:t>
      </w:r>
      <w:r w:rsidR="00335A5E">
        <w:t xml:space="preserve">staff </w:t>
      </w:r>
      <w:r w:rsidR="00D95963" w:rsidRPr="005E6CFD">
        <w:t>shortages</w:t>
      </w:r>
      <w:r w:rsidR="00D95963">
        <w:t xml:space="preserve"> in </w:t>
      </w:r>
      <w:r w:rsidR="00D14843" w:rsidRPr="005E6CFD">
        <w:t xml:space="preserve">the </w:t>
      </w:r>
      <w:r w:rsidR="00211657">
        <w:t>H</w:t>
      </w:r>
      <w:r w:rsidR="00D14843" w:rsidRPr="005E6CFD">
        <w:t>ealth</w:t>
      </w:r>
      <w:r w:rsidR="00DA4BAD">
        <w:t>, Aged and Community Care</w:t>
      </w:r>
      <w:r w:rsidR="00D14843" w:rsidRPr="005E6CFD">
        <w:t xml:space="preserve"> sector </w:t>
      </w:r>
      <w:r w:rsidR="00D95963">
        <w:t>have been exacerbated by the pandemic</w:t>
      </w:r>
      <w:r w:rsidR="002B7B05">
        <w:t>,</w:t>
      </w:r>
      <w:r w:rsidR="0034425C">
        <w:t xml:space="preserve"> specifically in times of outbreak,</w:t>
      </w:r>
      <w:r w:rsidR="00D95963">
        <w:t xml:space="preserve"> </w:t>
      </w:r>
      <w:r w:rsidR="00761B41">
        <w:t xml:space="preserve">pushing </w:t>
      </w:r>
      <w:r w:rsidR="00D14843" w:rsidRPr="005E6CFD">
        <w:t>nursing and personal care workers</w:t>
      </w:r>
      <w:r w:rsidR="00761B41">
        <w:t xml:space="preserve"> to exhaustion</w:t>
      </w:r>
      <w:r w:rsidR="00846C9A">
        <w:t xml:space="preserve"> </w:t>
      </w:r>
      <w:r w:rsidR="00A800AD">
        <w:t>as they</w:t>
      </w:r>
      <w:r w:rsidR="005E7608">
        <w:t xml:space="preserve"> cover multiple shifts to cope with </w:t>
      </w:r>
      <w:r w:rsidR="00AF4B2B">
        <w:t xml:space="preserve">other staff </w:t>
      </w:r>
      <w:r w:rsidR="007F2097">
        <w:t>in isolation</w:t>
      </w:r>
      <w:r w:rsidR="00D14843" w:rsidRPr="005E6CFD">
        <w:t>.</w:t>
      </w:r>
      <w:r w:rsidR="004C087E">
        <w:t xml:space="preserve"> </w:t>
      </w:r>
    </w:p>
    <w:p w14:paraId="438DBAA1" w14:textId="77777777" w:rsidR="00413D60" w:rsidRDefault="00413D60" w:rsidP="00D14843">
      <w:pPr>
        <w:spacing w:line="240" w:lineRule="auto"/>
        <w:contextualSpacing/>
      </w:pPr>
    </w:p>
    <w:p w14:paraId="5B13CB08" w14:textId="3A67A49A" w:rsidR="00C76DA3" w:rsidRDefault="00F43870" w:rsidP="00910BD7">
      <w:pPr>
        <w:spacing w:line="240" w:lineRule="auto"/>
        <w:contextualSpacing/>
      </w:pPr>
      <w:r>
        <w:t>The recent Rockhampton Jobs Fair showed that vaccination rates were on ongoing issue</w:t>
      </w:r>
      <w:r w:rsidR="00E66898">
        <w:t>.</w:t>
      </w:r>
      <w:r>
        <w:t xml:space="preserve"> </w:t>
      </w:r>
      <w:r w:rsidR="004C6D33">
        <w:t>Over 300 job</w:t>
      </w:r>
      <w:r w:rsidR="0050717F">
        <w:t xml:space="preserve"> </w:t>
      </w:r>
      <w:r w:rsidR="004C6D33">
        <w:t>seekers attended the day in March 2022</w:t>
      </w:r>
      <w:r w:rsidR="00C52419">
        <w:t xml:space="preserve"> perusing</w:t>
      </w:r>
      <w:r>
        <w:t xml:space="preserve"> over 1</w:t>
      </w:r>
      <w:r w:rsidR="00DD7247">
        <w:t>,</w:t>
      </w:r>
      <w:r>
        <w:t xml:space="preserve">200 jobs </w:t>
      </w:r>
      <w:r w:rsidR="000A10E1">
        <w:t>from employers</w:t>
      </w:r>
      <w:r w:rsidR="00C52419">
        <w:t xml:space="preserve"> that</w:t>
      </w:r>
      <w:r>
        <w:t xml:space="preserve"> </w:t>
      </w:r>
      <w:r w:rsidR="00E66898">
        <w:t xml:space="preserve">were </w:t>
      </w:r>
      <w:r w:rsidR="000A10E1">
        <w:t>currently employing</w:t>
      </w:r>
      <w:r w:rsidR="006E4F10">
        <w:t xml:space="preserve">. </w:t>
      </w:r>
      <w:r w:rsidR="00557605">
        <w:t>M</w:t>
      </w:r>
      <w:r>
        <w:t xml:space="preserve">ore than a third of </w:t>
      </w:r>
      <w:r w:rsidR="005B1280">
        <w:t>these jobs</w:t>
      </w:r>
      <w:r>
        <w:t xml:space="preserve"> </w:t>
      </w:r>
      <w:r w:rsidR="007005FD">
        <w:t>were</w:t>
      </w:r>
      <w:r>
        <w:t xml:space="preserve"> in the </w:t>
      </w:r>
      <w:r w:rsidR="00DD7247">
        <w:t>H</w:t>
      </w:r>
      <w:r w:rsidR="00537F7E">
        <w:t>ealth</w:t>
      </w:r>
      <w:r w:rsidR="005C39B5">
        <w:t>, Aged and Community Care</w:t>
      </w:r>
      <w:r>
        <w:t xml:space="preserve"> sector. </w:t>
      </w:r>
      <w:r w:rsidR="00E17A5D">
        <w:t>The main feedback</w:t>
      </w:r>
      <w:r w:rsidR="00DB1C82">
        <w:t xml:space="preserve"> from ESP’s</w:t>
      </w:r>
      <w:r w:rsidR="000425B1">
        <w:t xml:space="preserve"> as to the reason m</w:t>
      </w:r>
      <w:r w:rsidR="00CE113E">
        <w:t>ore</w:t>
      </w:r>
      <w:r w:rsidR="00DB1C82">
        <w:t xml:space="preserve"> </w:t>
      </w:r>
      <w:r w:rsidR="00BC3272">
        <w:t>didn’t attend</w:t>
      </w:r>
      <w:r w:rsidR="00DB1C82">
        <w:t xml:space="preserve"> </w:t>
      </w:r>
      <w:r w:rsidR="00705CA1">
        <w:t xml:space="preserve">was the large </w:t>
      </w:r>
      <w:r w:rsidR="00F51B17">
        <w:t>amount</w:t>
      </w:r>
      <w:r w:rsidR="00705CA1">
        <w:t xml:space="preserve"> of job</w:t>
      </w:r>
      <w:r w:rsidR="0050717F">
        <w:t xml:space="preserve"> </w:t>
      </w:r>
      <w:r w:rsidR="00705CA1">
        <w:t xml:space="preserve">seekers that were not fully </w:t>
      </w:r>
      <w:r w:rsidR="004E592C">
        <w:t xml:space="preserve">vaccinated, a mandate </w:t>
      </w:r>
      <w:r w:rsidR="00533D20">
        <w:t>on</w:t>
      </w:r>
      <w:r w:rsidR="005D251E">
        <w:t xml:space="preserve"> the </w:t>
      </w:r>
      <w:r w:rsidR="00533D20">
        <w:t>venue.</w:t>
      </w:r>
      <w:r w:rsidR="00F24A11">
        <w:t xml:space="preserve"> </w:t>
      </w:r>
    </w:p>
    <w:p w14:paraId="16AFD455" w14:textId="77777777" w:rsidR="00C93B5F" w:rsidRDefault="00C93B5F" w:rsidP="00910BD7">
      <w:pPr>
        <w:spacing w:line="240" w:lineRule="auto"/>
        <w:contextualSpacing/>
      </w:pPr>
    </w:p>
    <w:p w14:paraId="4BCA819D" w14:textId="0B24BF27" w:rsidR="005504B7" w:rsidRDefault="00D84429" w:rsidP="00D14843">
      <w:pPr>
        <w:spacing w:line="240" w:lineRule="auto"/>
        <w:contextualSpacing/>
      </w:pPr>
      <w:r>
        <w:t>According to</w:t>
      </w:r>
      <w:r w:rsidR="00E0349A">
        <w:t xml:space="preserve"> </w:t>
      </w:r>
      <w:hyperlink r:id="rId26" w:history="1">
        <w:r w:rsidR="00E0349A" w:rsidRPr="008227AC">
          <w:rPr>
            <w:rStyle w:val="Hyperlink"/>
          </w:rPr>
          <w:t>https://www.health.gov.au/resources/publications/covid-19-vaccination-geographic-vaccination-rates-sa4-19-april-2022</w:t>
        </w:r>
      </w:hyperlink>
      <w:r w:rsidR="00DD7247">
        <w:t xml:space="preserve"> </w:t>
      </w:r>
      <w:r w:rsidR="00910BD7">
        <w:t>the</w:t>
      </w:r>
      <w:r w:rsidR="000D2C39">
        <w:t xml:space="preserve"> Australian Government’s </w:t>
      </w:r>
      <w:r w:rsidR="00910BD7">
        <w:t xml:space="preserve">SA4 </w:t>
      </w:r>
      <w:r w:rsidR="00A95A14">
        <w:t xml:space="preserve">Covid-19 </w:t>
      </w:r>
      <w:r w:rsidR="00910BD7">
        <w:t>Geographic Vaccination Rates</w:t>
      </w:r>
      <w:r w:rsidR="00844A03">
        <w:t xml:space="preserve">, </w:t>
      </w:r>
      <w:r w:rsidR="005D251E">
        <w:t>a</w:t>
      </w:r>
      <w:r w:rsidR="00844A03">
        <w:t>s at</w:t>
      </w:r>
      <w:r w:rsidR="001A0AA8">
        <w:t xml:space="preserve"> </w:t>
      </w:r>
      <w:r w:rsidR="00910BD7">
        <w:t>19 April 2022</w:t>
      </w:r>
      <w:r w:rsidR="00F24A11">
        <w:t xml:space="preserve"> </w:t>
      </w:r>
      <w:r w:rsidR="001A2E11">
        <w:t>for</w:t>
      </w:r>
      <w:r w:rsidR="00C0260A">
        <w:t xml:space="preserve"> </w:t>
      </w:r>
      <w:r w:rsidR="006515B5">
        <w:t xml:space="preserve">Central </w:t>
      </w:r>
      <w:r w:rsidR="00C93B5F">
        <w:t>Queensland (SA4)</w:t>
      </w:r>
      <w:r w:rsidR="000F2087">
        <w:t xml:space="preserve">, </w:t>
      </w:r>
      <w:r w:rsidR="009D2464">
        <w:t>over 91% of people</w:t>
      </w:r>
      <w:r w:rsidR="003151E5">
        <w:t xml:space="preserve"> </w:t>
      </w:r>
      <w:r w:rsidR="001A0AA8">
        <w:t>were</w:t>
      </w:r>
      <w:r w:rsidR="003151E5">
        <w:t xml:space="preserve"> double vaccinated</w:t>
      </w:r>
      <w:r w:rsidR="00F24A11">
        <w:t xml:space="preserve"> in the region</w:t>
      </w:r>
      <w:r w:rsidR="001A0AA8">
        <w:t>.</w:t>
      </w:r>
      <w:r w:rsidR="00F24A11">
        <w:t xml:space="preserve"> </w:t>
      </w:r>
      <w:r w:rsidR="001A0AA8">
        <w:t>This</w:t>
      </w:r>
      <w:r w:rsidR="00F24A11">
        <w:t xml:space="preserve"> falls to 56.8%</w:t>
      </w:r>
      <w:r w:rsidR="0097791F">
        <w:t xml:space="preserve"> of people</w:t>
      </w:r>
      <w:r w:rsidR="00FE574C">
        <w:t xml:space="preserve"> receiving their booster shot, which is </w:t>
      </w:r>
      <w:r w:rsidR="00E672FD">
        <w:t>essential to be fully vaccinated</w:t>
      </w:r>
      <w:r w:rsidR="00F51B17">
        <w:t>, and</w:t>
      </w:r>
      <w:r w:rsidR="00FE574C">
        <w:t xml:space="preserve"> mandatory to work in the </w:t>
      </w:r>
      <w:r w:rsidR="00FE574C" w:rsidDel="00655396">
        <w:t xml:space="preserve">Health </w:t>
      </w:r>
      <w:r w:rsidR="002976FB" w:rsidDel="00655396">
        <w:t>and</w:t>
      </w:r>
      <w:r w:rsidR="002976FB">
        <w:t xml:space="preserve"> Education </w:t>
      </w:r>
      <w:r w:rsidR="00FE574C">
        <w:t>sectors.</w:t>
      </w:r>
      <w:r w:rsidR="006F0DC8">
        <w:t xml:space="preserve"> </w:t>
      </w:r>
    </w:p>
    <w:p w14:paraId="45A96A0B" w14:textId="0F560AFB" w:rsidR="00DE5A82" w:rsidRDefault="00DE5A82" w:rsidP="00D14843">
      <w:pPr>
        <w:spacing w:line="240" w:lineRule="auto"/>
        <w:contextualSpacing/>
      </w:pPr>
    </w:p>
    <w:p w14:paraId="7EB6DA52" w14:textId="154C8B80" w:rsidR="00D14843" w:rsidRPr="008F7516" w:rsidRDefault="00D14843" w:rsidP="002B7B05">
      <w:r w:rsidRPr="002B7B05">
        <w:rPr>
          <w:b/>
        </w:rPr>
        <w:t xml:space="preserve">Schooling completion and </w:t>
      </w:r>
      <w:r w:rsidR="006D78CA">
        <w:rPr>
          <w:b/>
        </w:rPr>
        <w:t>n</w:t>
      </w:r>
      <w:r w:rsidRPr="002B7B05">
        <w:rPr>
          <w:b/>
        </w:rPr>
        <w:t>on-</w:t>
      </w:r>
      <w:r w:rsidR="006D78CA">
        <w:rPr>
          <w:b/>
        </w:rPr>
        <w:t>s</w:t>
      </w:r>
      <w:r w:rsidRPr="002B7B05">
        <w:rPr>
          <w:b/>
        </w:rPr>
        <w:t>chool qualification rates</w:t>
      </w:r>
    </w:p>
    <w:p w14:paraId="47E27AB8" w14:textId="5CD247BA" w:rsidR="00D14843" w:rsidRDefault="00D14843" w:rsidP="00D14843">
      <w:pPr>
        <w:spacing w:before="120" w:after="120" w:line="257" w:lineRule="auto"/>
      </w:pPr>
      <w:r w:rsidRPr="00441A85">
        <w:t>An understanding of education levels in each LGA is critical for assessing the effectiveness and feasibility of any proposed training and development strategies.</w:t>
      </w:r>
      <w:r>
        <w:t xml:space="preserve"> According to the A</w:t>
      </w:r>
      <w:r w:rsidR="00045DE5">
        <w:t xml:space="preserve">ustralian </w:t>
      </w:r>
      <w:r>
        <w:t>B</w:t>
      </w:r>
      <w:r w:rsidR="00045DE5">
        <w:t xml:space="preserve">ureau of </w:t>
      </w:r>
      <w:r>
        <w:t>S</w:t>
      </w:r>
      <w:r w:rsidR="00045DE5">
        <w:t>tatistics</w:t>
      </w:r>
      <w:r>
        <w:t xml:space="preserve">, </w:t>
      </w:r>
      <w:r w:rsidR="005A7A2A">
        <w:t>Census of Population and Housin</w:t>
      </w:r>
      <w:r w:rsidR="004D347A">
        <w:t>g, 2016</w:t>
      </w:r>
      <w:r>
        <w:t xml:space="preserve">, </w:t>
      </w:r>
      <w:r w:rsidR="00A92DDE">
        <w:t>General Community Profile</w:t>
      </w:r>
      <w:r>
        <w:t>, t</w:t>
      </w:r>
      <w:r w:rsidRPr="00441A85">
        <w:t>he percentage of students</w:t>
      </w:r>
      <w:r>
        <w:t xml:space="preserve"> in the region</w:t>
      </w:r>
      <w:r w:rsidRPr="00441A85">
        <w:t xml:space="preserve"> w</w:t>
      </w:r>
      <w:r>
        <w:t>i</w:t>
      </w:r>
      <w:r w:rsidRPr="00441A85">
        <w:t>th the highest level of schooling of year 11 or 12 is 49.9%. Gladstone had the largest percentage at 52.7%.</w:t>
      </w:r>
      <w:r>
        <w:t xml:space="preserve"> Woorabinda had the lowest completion rate at 31.7%</w:t>
      </w:r>
      <w:r w:rsidR="00F071DC">
        <w:t>.</w:t>
      </w:r>
      <w:r>
        <w:t xml:space="preserve"> This indicates that high school completion rates in the ER are still lower than the Queensland average of 58.9%.</w:t>
      </w:r>
    </w:p>
    <w:p w14:paraId="220D24E8" w14:textId="66FA1EBE" w:rsidR="00D14843" w:rsidRDefault="00D14843" w:rsidP="00D14843">
      <w:pPr>
        <w:spacing w:before="120" w:after="120" w:line="240" w:lineRule="auto"/>
        <w:contextualSpacing/>
      </w:pPr>
      <w:r w:rsidRPr="00A85BFA">
        <w:t>Non-school qualification</w:t>
      </w:r>
      <w:r>
        <w:t>s</w:t>
      </w:r>
      <w:r w:rsidRPr="00A85BFA">
        <w:t xml:space="preserve"> describe the highest non-school qualification </w:t>
      </w:r>
      <w:r>
        <w:t>(</w:t>
      </w:r>
      <w:r w:rsidRPr="00A85BFA">
        <w:t>e.g. bachelor degree, diploma</w:t>
      </w:r>
      <w:r>
        <w:t>)</w:t>
      </w:r>
      <w:r w:rsidRPr="00A85BFA">
        <w:t xml:space="preserve"> completed as stated in the 2016 Census of Population and Housing. This information is based on persons aged 15 years and over.</w:t>
      </w:r>
      <w:r w:rsidR="0002614B">
        <w:t xml:space="preserve"> </w:t>
      </w:r>
      <w:r w:rsidRPr="00A85BFA">
        <w:t xml:space="preserve">In the Fitzroy </w:t>
      </w:r>
      <w:r>
        <w:t>ER,</w:t>
      </w:r>
      <w:r w:rsidRPr="00A85BFA">
        <w:t xml:space="preserve"> 55</w:t>
      </w:r>
      <w:r>
        <w:t>%</w:t>
      </w:r>
      <w:r w:rsidRPr="00A85BFA">
        <w:t xml:space="preserve"> of persons have completed a non-</w:t>
      </w:r>
      <w:r w:rsidRPr="00A85BFA">
        <w:lastRenderedPageBreak/>
        <w:t>school qualification, compared to the Q</w:t>
      </w:r>
      <w:r>
        <w:t>ueensland</w:t>
      </w:r>
      <w:r w:rsidRPr="00A85BFA">
        <w:t xml:space="preserve"> state average </w:t>
      </w:r>
      <w:r>
        <w:t xml:space="preserve">of </w:t>
      </w:r>
      <w:r w:rsidRPr="00A85BFA">
        <w:t>59.1</w:t>
      </w:r>
      <w:r>
        <w:t>%</w:t>
      </w:r>
      <w:r w:rsidRPr="00A85BFA">
        <w:t>. The Livingstone LGA had the largest percentage of people with a non-school qualification at 57.5</w:t>
      </w:r>
      <w:r>
        <w:t>%</w:t>
      </w:r>
      <w:r w:rsidRPr="00A85BFA">
        <w:t xml:space="preserve">. </w:t>
      </w:r>
    </w:p>
    <w:p w14:paraId="6D4D97E5" w14:textId="77777777" w:rsidR="00D14843" w:rsidRDefault="00D14843" w:rsidP="00D14843">
      <w:pPr>
        <w:spacing w:before="120" w:after="120" w:line="240" w:lineRule="auto"/>
        <w:contextualSpacing/>
      </w:pPr>
    </w:p>
    <w:p w14:paraId="54C90E32" w14:textId="34D20F96" w:rsidR="00D14843" w:rsidRDefault="00D14843" w:rsidP="00D14843">
      <w:r w:rsidRPr="00CA2A5B">
        <w:t xml:space="preserve">Individuals without Year 12 is </w:t>
      </w:r>
      <w:r>
        <w:t>a</w:t>
      </w:r>
      <w:r w:rsidR="00314106">
        <w:t xml:space="preserve"> reliable</w:t>
      </w:r>
      <w:r>
        <w:t xml:space="preserve"> </w:t>
      </w:r>
      <w:r w:rsidRPr="00CA2A5B">
        <w:t xml:space="preserve">indicator of disadvantage </w:t>
      </w:r>
      <w:r>
        <w:t>in</w:t>
      </w:r>
      <w:r w:rsidRPr="00CA2A5B">
        <w:t xml:space="preserve"> people aged 15 years and over whose highest level of education is Year 11 or lower (includes Certificate I and II). Low levels of language, </w:t>
      </w:r>
      <w:r w:rsidRPr="00410E88">
        <w:t>literacy</w:t>
      </w:r>
      <w:r w:rsidRPr="00CA2A5B">
        <w:t xml:space="preserve"> and numeracy, as well as limited digital literacy, impacts training and education engagement and completion rates.</w:t>
      </w:r>
      <w:r>
        <w:t xml:space="preserve"> </w:t>
      </w:r>
    </w:p>
    <w:p w14:paraId="4032847B" w14:textId="77777777" w:rsidR="00D14843" w:rsidRDefault="00D14843" w:rsidP="00D14843">
      <w:pPr>
        <w:rPr>
          <w:rFonts w:ascii="Calibri" w:eastAsiaTheme="majorEastAsia" w:hAnsi="Calibri" w:cstheme="majorBidi"/>
          <w:b/>
          <w:bCs/>
          <w:color w:val="646363"/>
          <w:sz w:val="28"/>
          <w:szCs w:val="26"/>
        </w:rPr>
      </w:pPr>
      <w:r>
        <w:t>Internet access is also patchy across the Fitzroy ER. Although internet access is good in Rockhampton and Gladstone, outside the major population areas, access can be poor, making it difficult for job seekers to access online services including training.</w:t>
      </w:r>
    </w:p>
    <w:p w14:paraId="6D11473C" w14:textId="4A11BBFD" w:rsidR="00D14843" w:rsidRPr="008F7516" w:rsidRDefault="00D14843" w:rsidP="002B7B05">
      <w:r w:rsidRPr="002B7B05">
        <w:rPr>
          <w:b/>
        </w:rPr>
        <w:t>Long Term Unemployed (12months+)</w:t>
      </w:r>
    </w:p>
    <w:p w14:paraId="4AE6BFDC" w14:textId="03D6C2C1" w:rsidR="00D14843" w:rsidRPr="008D3F18" w:rsidRDefault="00D14843" w:rsidP="00D14843">
      <w:r>
        <w:t>The continued growth of the Long</w:t>
      </w:r>
      <w:r w:rsidR="00374025">
        <w:t>-</w:t>
      </w:r>
      <w:r>
        <w:t xml:space="preserve">Term Unemployed cohort in the Fitzroy ER is of particular concern in the Region. LJP caseload data as </w:t>
      </w:r>
      <w:r w:rsidR="00374025">
        <w:t>of</w:t>
      </w:r>
      <w:r>
        <w:t xml:space="preserve"> </w:t>
      </w:r>
      <w:r w:rsidR="00F61CDA">
        <w:t xml:space="preserve">31 March </w:t>
      </w:r>
      <w:r>
        <w:t>202</w:t>
      </w:r>
      <w:r w:rsidR="00F61CDA">
        <w:t>2</w:t>
      </w:r>
      <w:r>
        <w:t xml:space="preserve"> stat</w:t>
      </w:r>
      <w:r w:rsidR="00BC084A">
        <w:t>es</w:t>
      </w:r>
      <w:r>
        <w:t xml:space="preserve"> that </w:t>
      </w:r>
      <w:r w:rsidR="00F61CDA">
        <w:t>76</w:t>
      </w:r>
      <w:r>
        <w:t>.</w:t>
      </w:r>
      <w:r w:rsidR="00F61CDA">
        <w:t>7</w:t>
      </w:r>
      <w:r>
        <w:t xml:space="preserve">% of all participants </w:t>
      </w:r>
      <w:r w:rsidR="005C49C1">
        <w:t>in</w:t>
      </w:r>
      <w:r>
        <w:t xml:space="preserve"> </w:t>
      </w:r>
      <w:r w:rsidR="00BA134D">
        <w:t>JobActive</w:t>
      </w:r>
      <w:r>
        <w:t xml:space="preserve">, </w:t>
      </w:r>
      <w:r w:rsidR="00AE4AED">
        <w:t>Transition to Work (</w:t>
      </w:r>
      <w:r>
        <w:t>TTW</w:t>
      </w:r>
      <w:r w:rsidR="00AE4AED">
        <w:t>)</w:t>
      </w:r>
      <w:r>
        <w:t xml:space="preserve"> and ParentsNext have been </w:t>
      </w:r>
      <w:r w:rsidR="00367080">
        <w:t xml:space="preserve">registered with Employment Services </w:t>
      </w:r>
      <w:r>
        <w:t xml:space="preserve">for over 12 months. </w:t>
      </w:r>
      <w:r w:rsidR="00124D8E">
        <w:t xml:space="preserve">The </w:t>
      </w:r>
      <w:r w:rsidR="00664C50">
        <w:t>de</w:t>
      </w:r>
      <w:r w:rsidR="006E6DD1">
        <w:t>-</w:t>
      </w:r>
      <w:r w:rsidR="00664C50">
        <w:t>casualisation</w:t>
      </w:r>
      <w:r w:rsidR="00D4428A">
        <w:t xml:space="preserve"> of</w:t>
      </w:r>
      <w:r w:rsidR="00124D8E">
        <w:t xml:space="preserve"> </w:t>
      </w:r>
      <w:r w:rsidR="006E6DD1">
        <w:t>employment in the Fitzroy ER as well as</w:t>
      </w:r>
      <w:r w:rsidR="00B97DC4">
        <w:t xml:space="preserve"> </w:t>
      </w:r>
      <w:r w:rsidR="00C33256">
        <w:t>focus</w:t>
      </w:r>
      <w:r w:rsidR="00B97DC4">
        <w:t>ing</w:t>
      </w:r>
      <w:r w:rsidR="00124D8E">
        <w:t xml:space="preserve"> </w:t>
      </w:r>
      <w:r w:rsidR="00167680">
        <w:t>on</w:t>
      </w:r>
      <w:r>
        <w:t xml:space="preserve"> unskilled, entry level employment opportunities </w:t>
      </w:r>
      <w:r w:rsidR="00124D8E">
        <w:t xml:space="preserve">will </w:t>
      </w:r>
      <w:r w:rsidR="00D76D35">
        <w:t xml:space="preserve">go a long way to </w:t>
      </w:r>
      <w:r>
        <w:t>help address this issue.</w:t>
      </w:r>
    </w:p>
    <w:p w14:paraId="115B2687" w14:textId="77777777" w:rsidR="00D14843" w:rsidRPr="008F7516" w:rsidRDefault="00D14843" w:rsidP="002B7B05">
      <w:r w:rsidRPr="002B7B05">
        <w:rPr>
          <w:b/>
        </w:rPr>
        <w:t>Youth unemployment</w:t>
      </w:r>
    </w:p>
    <w:p w14:paraId="70E1C715" w14:textId="27A63824" w:rsidR="00D14843" w:rsidRDefault="00D14843" w:rsidP="001E1A97">
      <w:pPr>
        <w:contextualSpacing/>
      </w:pPr>
      <w:r>
        <w:t xml:space="preserve">According to the Queensland Government Statisticians </w:t>
      </w:r>
      <w:r w:rsidR="001D78A6">
        <w:t>O</w:t>
      </w:r>
      <w:r>
        <w:t>ffice, t</w:t>
      </w:r>
      <w:r w:rsidRPr="00351C52">
        <w:t xml:space="preserve">he youth unemployment rate in the Fitzroy </w:t>
      </w:r>
      <w:r>
        <w:t>ER</w:t>
      </w:r>
      <w:r w:rsidRPr="00351C52">
        <w:t xml:space="preserve"> </w:t>
      </w:r>
      <w:r w:rsidR="002144B2">
        <w:t>was</w:t>
      </w:r>
      <w:r w:rsidR="002144B2" w:rsidRPr="00351C52">
        <w:t xml:space="preserve"> </w:t>
      </w:r>
      <w:r w:rsidR="00B51A96">
        <w:t>7.5</w:t>
      </w:r>
      <w:r>
        <w:t>%</w:t>
      </w:r>
      <w:r w:rsidRPr="00351C52">
        <w:t xml:space="preserve"> in </w:t>
      </w:r>
      <w:r w:rsidR="00B51A96">
        <w:t xml:space="preserve">March </w:t>
      </w:r>
      <w:r>
        <w:t>202</w:t>
      </w:r>
      <w:r w:rsidR="00B51A96">
        <w:t>2</w:t>
      </w:r>
      <w:r w:rsidRPr="00351C52">
        <w:t xml:space="preserve"> </w:t>
      </w:r>
      <w:r>
        <w:t>down from 10.</w:t>
      </w:r>
      <w:r w:rsidR="00D368C1">
        <w:t>3</w:t>
      </w:r>
      <w:r w:rsidR="00A20C73">
        <w:t>%</w:t>
      </w:r>
      <w:r>
        <w:t xml:space="preserve"> in </w:t>
      </w:r>
      <w:r w:rsidR="00D368C1">
        <w:t xml:space="preserve">March </w:t>
      </w:r>
      <w:r>
        <w:t>202</w:t>
      </w:r>
      <w:r w:rsidR="00D368C1">
        <w:t>1</w:t>
      </w:r>
      <w:r>
        <w:t>.</w:t>
      </w:r>
      <w:r w:rsidRPr="00351C52">
        <w:t xml:space="preserve"> While this is significantly less than the </w:t>
      </w:r>
      <w:r w:rsidR="004A2D4A">
        <w:t>Queensland rate of</w:t>
      </w:r>
      <w:r w:rsidRPr="00351C52">
        <w:t xml:space="preserve"> </w:t>
      </w:r>
      <w:r w:rsidR="004A2D4A">
        <w:t>10.2</w:t>
      </w:r>
      <w:r w:rsidR="004A2D4A" w:rsidRPr="00351C52">
        <w:t xml:space="preserve">% </w:t>
      </w:r>
      <w:r w:rsidR="00B90BC8">
        <w:t>P</w:t>
      </w:r>
      <w:r w:rsidR="004A2D4A">
        <w:t>in March</w:t>
      </w:r>
      <w:r w:rsidR="009B03DF">
        <w:t xml:space="preserve"> 2</w:t>
      </w:r>
      <w:r w:rsidRPr="00351C52">
        <w:t>02</w:t>
      </w:r>
      <w:r w:rsidR="009B03DF">
        <w:t>2,</w:t>
      </w:r>
      <w:r w:rsidRPr="00351C52">
        <w:t xml:space="preserve"> this cohort of youth are the most disadvantaged, with multiple barriers to employment</w:t>
      </w:r>
      <w:r w:rsidR="00C4642E">
        <w:t xml:space="preserve"> </w:t>
      </w:r>
      <w:r w:rsidR="00CA217A">
        <w:t xml:space="preserve">including </w:t>
      </w:r>
      <w:r w:rsidR="00F40348">
        <w:t>housing</w:t>
      </w:r>
      <w:r w:rsidR="00DB61E6">
        <w:t xml:space="preserve">, </w:t>
      </w:r>
      <w:r w:rsidR="00C67DC5">
        <w:t>low levels of</w:t>
      </w:r>
      <w:r w:rsidR="00AF40B4">
        <w:t xml:space="preserve"> literacy and numeracy, mental health</w:t>
      </w:r>
      <w:r w:rsidR="00CD5400">
        <w:t xml:space="preserve"> </w:t>
      </w:r>
      <w:r w:rsidR="00092BD0">
        <w:t>and</w:t>
      </w:r>
      <w:r w:rsidR="000F2B38">
        <w:t xml:space="preserve"> transport</w:t>
      </w:r>
      <w:r w:rsidR="008D4E42">
        <w:t xml:space="preserve"> </w:t>
      </w:r>
      <w:r w:rsidR="00E64D98">
        <w:t>issues</w:t>
      </w:r>
      <w:r>
        <w:t xml:space="preserve">, and still represent a large proportion of the caseload – 20.5%. Youth in the Fitzroy ER are more likely to be employed in insecure casual employment within </w:t>
      </w:r>
      <w:r w:rsidR="009D59DB">
        <w:t>R</w:t>
      </w:r>
      <w:r>
        <w:t xml:space="preserve">etail 21.3% and </w:t>
      </w:r>
      <w:r w:rsidR="009D59DB">
        <w:t>A</w:t>
      </w:r>
      <w:r>
        <w:t xml:space="preserve">ccommodation and </w:t>
      </w:r>
      <w:r w:rsidR="009D59DB">
        <w:t>F</w:t>
      </w:r>
      <w:r>
        <w:t xml:space="preserve">ood </w:t>
      </w:r>
      <w:r w:rsidR="009D59DB">
        <w:t>S</w:t>
      </w:r>
      <w:r>
        <w:t>ervices 20.7% with a combined 42% of youth aged 15-24 employed in these industries.</w:t>
      </w:r>
    </w:p>
    <w:p w14:paraId="3F0B68CA" w14:textId="77777777" w:rsidR="0036780B" w:rsidRDefault="0036780B" w:rsidP="00D14843">
      <w:pPr>
        <w:spacing w:before="120" w:after="120" w:line="240" w:lineRule="auto"/>
        <w:contextualSpacing/>
      </w:pPr>
    </w:p>
    <w:p w14:paraId="740CBFB3" w14:textId="1A266CB4" w:rsidR="00AD636C" w:rsidRDefault="00AD636C">
      <w:pPr>
        <w:rPr>
          <w:b/>
        </w:rPr>
      </w:pPr>
      <w:r>
        <w:rPr>
          <w:b/>
        </w:rPr>
        <w:t>Homelessness</w:t>
      </w:r>
    </w:p>
    <w:p w14:paraId="5C9E7F79" w14:textId="0188D31E" w:rsidR="0024703E" w:rsidRDefault="00AD636C" w:rsidP="00BC4DAD">
      <w:pPr>
        <w:spacing w:after="0"/>
        <w:rPr>
          <w:bCs/>
        </w:rPr>
      </w:pPr>
      <w:r w:rsidRPr="002B7B05">
        <w:t xml:space="preserve">There </w:t>
      </w:r>
      <w:r>
        <w:rPr>
          <w:bCs/>
        </w:rPr>
        <w:t>were</w:t>
      </w:r>
      <w:r w:rsidRPr="002B7B05">
        <w:t xml:space="preserve"> 929 people who </w:t>
      </w:r>
      <w:r>
        <w:rPr>
          <w:bCs/>
        </w:rPr>
        <w:t xml:space="preserve">were </w:t>
      </w:r>
      <w:r w:rsidRPr="002B7B05">
        <w:t>experienc</w:t>
      </w:r>
      <w:r>
        <w:rPr>
          <w:bCs/>
        </w:rPr>
        <w:t>ing</w:t>
      </w:r>
      <w:r w:rsidRPr="002B7B05">
        <w:t xml:space="preserve"> homelessness in the Central</w:t>
      </w:r>
      <w:r>
        <w:rPr>
          <w:bCs/>
        </w:rPr>
        <w:t xml:space="preserve"> </w:t>
      </w:r>
      <w:r w:rsidRPr="002B7B05">
        <w:t>Queensland Region according the to 2016 Census.</w:t>
      </w:r>
      <w:r>
        <w:rPr>
          <w:bCs/>
        </w:rPr>
        <w:t xml:space="preserve"> </w:t>
      </w:r>
      <w:r w:rsidRPr="002B7B05">
        <w:t>Of these 126 were young people, accounting for roughly 14% of the</w:t>
      </w:r>
      <w:r>
        <w:rPr>
          <w:bCs/>
        </w:rPr>
        <w:t xml:space="preserve"> </w:t>
      </w:r>
      <w:r w:rsidRPr="002B7B05">
        <w:t>total homeless population. Of those young people, 42% identified as</w:t>
      </w:r>
      <w:r>
        <w:rPr>
          <w:bCs/>
        </w:rPr>
        <w:t xml:space="preserve"> </w:t>
      </w:r>
      <w:r w:rsidRPr="002B7B05">
        <w:t>Aboriginal</w:t>
      </w:r>
      <w:r w:rsidR="0092481F">
        <w:t xml:space="preserve"> and</w:t>
      </w:r>
      <w:r w:rsidRPr="002B7B05">
        <w:t xml:space="preserve"> Torres Strait Islander or both</w:t>
      </w:r>
      <w:r>
        <w:rPr>
          <w:bCs/>
        </w:rPr>
        <w:t xml:space="preserve">. </w:t>
      </w:r>
    </w:p>
    <w:p w14:paraId="09183217" w14:textId="77777777" w:rsidR="00A3064F" w:rsidRDefault="00A3064F" w:rsidP="00BC4DAD">
      <w:pPr>
        <w:spacing w:after="0"/>
        <w:rPr>
          <w:bCs/>
        </w:rPr>
      </w:pPr>
    </w:p>
    <w:p w14:paraId="4F24FE72" w14:textId="5BB374FC" w:rsidR="00AD636C" w:rsidRDefault="00A665BC" w:rsidP="00BC4DAD">
      <w:pPr>
        <w:spacing w:after="0"/>
        <w:rPr>
          <w:bCs/>
        </w:rPr>
      </w:pPr>
      <w:r>
        <w:rPr>
          <w:bCs/>
        </w:rPr>
        <w:t xml:space="preserve">Housing availability and affordability is an issue across the Fitzroy ER. </w:t>
      </w:r>
      <w:r w:rsidR="009C1444">
        <w:rPr>
          <w:bCs/>
        </w:rPr>
        <w:t xml:space="preserve">The </w:t>
      </w:r>
      <w:r w:rsidR="004048AA">
        <w:rPr>
          <w:bCs/>
        </w:rPr>
        <w:t>Residential</w:t>
      </w:r>
      <w:r w:rsidR="009C1444">
        <w:rPr>
          <w:bCs/>
        </w:rPr>
        <w:t xml:space="preserve"> Tenants Authority (RTA) advised that the average </w:t>
      </w:r>
      <w:r w:rsidR="00596867">
        <w:rPr>
          <w:bCs/>
        </w:rPr>
        <w:t xml:space="preserve">weekly </w:t>
      </w:r>
      <w:r w:rsidR="009C1444">
        <w:rPr>
          <w:bCs/>
        </w:rPr>
        <w:t xml:space="preserve">price for a </w:t>
      </w:r>
      <w:r w:rsidR="00596867">
        <w:rPr>
          <w:bCs/>
        </w:rPr>
        <w:t>3-bedroom</w:t>
      </w:r>
      <w:r w:rsidR="009C1444">
        <w:rPr>
          <w:bCs/>
        </w:rPr>
        <w:t xml:space="preserve"> house</w:t>
      </w:r>
      <w:r w:rsidR="00CF539F">
        <w:rPr>
          <w:bCs/>
        </w:rPr>
        <w:t xml:space="preserve"> rental in the December 2021 quarter</w:t>
      </w:r>
      <w:r w:rsidR="00475B34">
        <w:rPr>
          <w:bCs/>
        </w:rPr>
        <w:t xml:space="preserve"> by LGA was:</w:t>
      </w:r>
      <w:r w:rsidR="00596867">
        <w:rPr>
          <w:bCs/>
        </w:rPr>
        <w:t xml:space="preserve"> </w:t>
      </w:r>
      <w:r w:rsidR="009C1444">
        <w:rPr>
          <w:bCs/>
        </w:rPr>
        <w:t xml:space="preserve">Rockhampton </w:t>
      </w:r>
      <w:r w:rsidR="008661DE">
        <w:rPr>
          <w:bCs/>
        </w:rPr>
        <w:t>$370</w:t>
      </w:r>
      <w:r w:rsidR="009C1444">
        <w:rPr>
          <w:bCs/>
        </w:rPr>
        <w:t>, Gladstone $330</w:t>
      </w:r>
      <w:r w:rsidR="00EA0F87">
        <w:rPr>
          <w:bCs/>
        </w:rPr>
        <w:t>,</w:t>
      </w:r>
      <w:r w:rsidR="008661DE" w:rsidRPr="008661DE">
        <w:rPr>
          <w:bCs/>
        </w:rPr>
        <w:t xml:space="preserve"> </w:t>
      </w:r>
      <w:r w:rsidR="00EA0F87">
        <w:rPr>
          <w:bCs/>
        </w:rPr>
        <w:t>t</w:t>
      </w:r>
      <w:r w:rsidR="00FD503F">
        <w:rPr>
          <w:bCs/>
        </w:rPr>
        <w:t>he Central Highlands $320</w:t>
      </w:r>
      <w:r w:rsidR="0020746F">
        <w:rPr>
          <w:bCs/>
        </w:rPr>
        <w:t>, Banana $380</w:t>
      </w:r>
      <w:r w:rsidR="00FD503F">
        <w:rPr>
          <w:bCs/>
        </w:rPr>
        <w:t xml:space="preserve"> and Livingstone</w:t>
      </w:r>
      <w:r w:rsidR="0020746F">
        <w:rPr>
          <w:bCs/>
        </w:rPr>
        <w:t xml:space="preserve"> </w:t>
      </w:r>
      <w:r w:rsidR="0077732A">
        <w:rPr>
          <w:bCs/>
        </w:rPr>
        <w:t xml:space="preserve">LGA </w:t>
      </w:r>
      <w:r w:rsidR="0020746F">
        <w:rPr>
          <w:bCs/>
        </w:rPr>
        <w:t xml:space="preserve">the most expensive </w:t>
      </w:r>
      <w:r w:rsidR="00596867">
        <w:rPr>
          <w:bCs/>
        </w:rPr>
        <w:t xml:space="preserve">to rent at $400. </w:t>
      </w:r>
      <w:r w:rsidR="00C441AF">
        <w:rPr>
          <w:bCs/>
        </w:rPr>
        <w:t xml:space="preserve">According to </w:t>
      </w:r>
      <w:r w:rsidR="008874F8">
        <w:rPr>
          <w:bCs/>
        </w:rPr>
        <w:t>the Real Estate Institute of Queensland</w:t>
      </w:r>
      <w:r w:rsidR="00C71F8B">
        <w:rPr>
          <w:bCs/>
        </w:rPr>
        <w:t xml:space="preserve">, </w:t>
      </w:r>
      <w:r w:rsidR="00BC4DAD" w:rsidRPr="00BC4DAD">
        <w:rPr>
          <w:bCs/>
        </w:rPr>
        <w:t>Rockhampton</w:t>
      </w:r>
      <w:r w:rsidR="00BC4DAD">
        <w:rPr>
          <w:bCs/>
        </w:rPr>
        <w:t xml:space="preserve"> </w:t>
      </w:r>
      <w:r w:rsidR="00BC4DAD" w:rsidRPr="00BC4DAD">
        <w:rPr>
          <w:bCs/>
        </w:rPr>
        <w:t xml:space="preserve">recorded </w:t>
      </w:r>
      <w:r w:rsidR="00E457B8">
        <w:rPr>
          <w:bCs/>
        </w:rPr>
        <w:t>one of the</w:t>
      </w:r>
      <w:r w:rsidR="00BC4DAD" w:rsidRPr="00BC4DAD">
        <w:rPr>
          <w:bCs/>
        </w:rPr>
        <w:t xml:space="preserve"> lowest rental vacanc</w:t>
      </w:r>
      <w:r w:rsidR="009C12B7">
        <w:rPr>
          <w:bCs/>
        </w:rPr>
        <w:t>y</w:t>
      </w:r>
      <w:r w:rsidR="00381E6A">
        <w:rPr>
          <w:bCs/>
        </w:rPr>
        <w:t xml:space="preserve"> rate</w:t>
      </w:r>
      <w:r w:rsidR="00E457B8">
        <w:rPr>
          <w:bCs/>
        </w:rPr>
        <w:t>s</w:t>
      </w:r>
      <w:r w:rsidR="00BC4DAD" w:rsidRPr="00BC4DAD">
        <w:rPr>
          <w:bCs/>
        </w:rPr>
        <w:t xml:space="preserve"> for the</w:t>
      </w:r>
      <w:r w:rsidR="00E457B8">
        <w:rPr>
          <w:bCs/>
        </w:rPr>
        <w:t xml:space="preserve"> state in the December</w:t>
      </w:r>
      <w:r w:rsidR="00BC4DAD" w:rsidRPr="00BC4DAD">
        <w:rPr>
          <w:bCs/>
        </w:rPr>
        <w:t xml:space="preserve"> </w:t>
      </w:r>
      <w:r w:rsidR="005E05F3">
        <w:rPr>
          <w:bCs/>
        </w:rPr>
        <w:t>2021</w:t>
      </w:r>
      <w:r w:rsidR="00BC4DAD" w:rsidRPr="00BC4DAD">
        <w:rPr>
          <w:bCs/>
        </w:rPr>
        <w:t xml:space="preserve"> quarter at 0.</w:t>
      </w:r>
      <w:r w:rsidR="005E05F3">
        <w:rPr>
          <w:bCs/>
        </w:rPr>
        <w:t>4</w:t>
      </w:r>
      <w:r w:rsidR="00BC4DAD" w:rsidRPr="00BC4DAD">
        <w:rPr>
          <w:bCs/>
        </w:rPr>
        <w:t>%.</w:t>
      </w:r>
      <w:r w:rsidR="005E6484">
        <w:rPr>
          <w:bCs/>
        </w:rPr>
        <w:t xml:space="preserve"> </w:t>
      </w:r>
      <w:r w:rsidR="00FD4475">
        <w:rPr>
          <w:bCs/>
        </w:rPr>
        <w:t>Gladstone was a little higher at 1.2%, but both were w</w:t>
      </w:r>
      <w:r w:rsidR="005E6484">
        <w:rPr>
          <w:bCs/>
        </w:rPr>
        <w:t>ell below the average QLD rate of 1.8</w:t>
      </w:r>
      <w:r w:rsidR="009C1444">
        <w:rPr>
          <w:bCs/>
        </w:rPr>
        <w:t>%.</w:t>
      </w:r>
      <w:r w:rsidR="005329F7">
        <w:rPr>
          <w:bCs/>
        </w:rPr>
        <w:t xml:space="preserve"> With rental </w:t>
      </w:r>
      <w:r w:rsidR="00A05D5A">
        <w:rPr>
          <w:bCs/>
        </w:rPr>
        <w:t>vacanc</w:t>
      </w:r>
      <w:r w:rsidR="0061380A">
        <w:rPr>
          <w:bCs/>
        </w:rPr>
        <w:t>y rates</w:t>
      </w:r>
      <w:r w:rsidR="005329F7">
        <w:rPr>
          <w:bCs/>
        </w:rPr>
        <w:t xml:space="preserve"> so low</w:t>
      </w:r>
      <w:r w:rsidR="002F2B4A">
        <w:rPr>
          <w:bCs/>
        </w:rPr>
        <w:t xml:space="preserve"> and prices so high, </w:t>
      </w:r>
      <w:r w:rsidR="002A4810">
        <w:rPr>
          <w:bCs/>
        </w:rPr>
        <w:t xml:space="preserve">it is no surprise that those </w:t>
      </w:r>
      <w:r w:rsidR="002F2B4A">
        <w:rPr>
          <w:bCs/>
        </w:rPr>
        <w:t xml:space="preserve">on </w:t>
      </w:r>
      <w:r w:rsidR="00E97525">
        <w:rPr>
          <w:bCs/>
        </w:rPr>
        <w:t>government assistance</w:t>
      </w:r>
      <w:r w:rsidR="002A4810">
        <w:rPr>
          <w:bCs/>
        </w:rPr>
        <w:t xml:space="preserve"> are driven to </w:t>
      </w:r>
      <w:r w:rsidR="00B346E0">
        <w:rPr>
          <w:bCs/>
        </w:rPr>
        <w:t>outlying areas</w:t>
      </w:r>
      <w:r w:rsidR="002A4810">
        <w:rPr>
          <w:bCs/>
        </w:rPr>
        <w:t xml:space="preserve"> </w:t>
      </w:r>
      <w:r w:rsidR="006431B8">
        <w:rPr>
          <w:bCs/>
        </w:rPr>
        <w:t xml:space="preserve">with cheaper rent </w:t>
      </w:r>
      <w:r w:rsidR="002A4810">
        <w:rPr>
          <w:bCs/>
        </w:rPr>
        <w:t>such as Mt Morgan</w:t>
      </w:r>
      <w:r w:rsidR="00BF7925">
        <w:rPr>
          <w:bCs/>
        </w:rPr>
        <w:t xml:space="preserve"> </w:t>
      </w:r>
      <w:r w:rsidR="00BA7FC8">
        <w:rPr>
          <w:bCs/>
        </w:rPr>
        <w:t xml:space="preserve">(40kms from Rockhampton) </w:t>
      </w:r>
      <w:r w:rsidR="00BF7925">
        <w:rPr>
          <w:bCs/>
        </w:rPr>
        <w:t>w</w:t>
      </w:r>
      <w:r w:rsidR="008D2F43">
        <w:rPr>
          <w:bCs/>
        </w:rPr>
        <w:t xml:space="preserve">hich is $250 a week on average for a </w:t>
      </w:r>
      <w:r w:rsidR="005A38CF">
        <w:rPr>
          <w:bCs/>
        </w:rPr>
        <w:t>3-bedroom</w:t>
      </w:r>
      <w:r w:rsidR="008D2F43">
        <w:rPr>
          <w:bCs/>
        </w:rPr>
        <w:t xml:space="preserve"> house</w:t>
      </w:r>
      <w:r w:rsidR="009E73A2">
        <w:rPr>
          <w:bCs/>
        </w:rPr>
        <w:t>. Transport</w:t>
      </w:r>
      <w:r w:rsidR="005A38CF">
        <w:rPr>
          <w:bCs/>
        </w:rPr>
        <w:t xml:space="preserve"> </w:t>
      </w:r>
      <w:r w:rsidR="00C22EEF">
        <w:rPr>
          <w:bCs/>
        </w:rPr>
        <w:t xml:space="preserve">to employment </w:t>
      </w:r>
      <w:r w:rsidR="005E3DE6">
        <w:rPr>
          <w:bCs/>
        </w:rPr>
        <w:t xml:space="preserve">opportunities </w:t>
      </w:r>
      <w:r w:rsidR="00835565">
        <w:rPr>
          <w:bCs/>
        </w:rPr>
        <w:t>then becomes an issue,</w:t>
      </w:r>
      <w:r w:rsidR="005A38CF">
        <w:rPr>
          <w:bCs/>
        </w:rPr>
        <w:t xml:space="preserve"> with little to no public transport available.</w:t>
      </w:r>
    </w:p>
    <w:p w14:paraId="272A245A" w14:textId="77777777" w:rsidR="00AD636C" w:rsidRPr="00CF23A9" w:rsidRDefault="00AD636C" w:rsidP="00CF23A9">
      <w:pPr>
        <w:spacing w:after="0"/>
      </w:pPr>
    </w:p>
    <w:p w14:paraId="1C4314F6" w14:textId="1D12C498" w:rsidR="00D14843" w:rsidRPr="008F7516" w:rsidRDefault="00D14843">
      <w:pPr>
        <w:rPr>
          <w:b/>
        </w:rPr>
      </w:pPr>
      <w:r w:rsidRPr="008F7516">
        <w:rPr>
          <w:b/>
        </w:rPr>
        <w:lastRenderedPageBreak/>
        <w:t>Limited access to transport</w:t>
      </w:r>
    </w:p>
    <w:p w14:paraId="5487DEA8" w14:textId="2E950E9D" w:rsidR="00D04079" w:rsidRPr="00D04079" w:rsidRDefault="00D14843" w:rsidP="00D04079">
      <w:pPr>
        <w:spacing w:after="0" w:line="259" w:lineRule="auto"/>
      </w:pPr>
      <w:r w:rsidRPr="00CA2A5B">
        <w:t xml:space="preserve">The geographical makeup of the Fitzroy ER is a challenge within itself. Population centres are quite dispersed throughout the region, often requiring an overnight stay to visit another major town/city. This can prevent local job seekers from undertaking education and accessing employment opportunities. Public transport </w:t>
      </w:r>
      <w:r w:rsidR="008125AC">
        <w:t xml:space="preserve">in the region </w:t>
      </w:r>
      <w:r w:rsidRPr="00CA2A5B">
        <w:t xml:space="preserve">is </w:t>
      </w:r>
      <w:r w:rsidR="00F70FCB">
        <w:t>restricted</w:t>
      </w:r>
      <w:r w:rsidR="003D7308">
        <w:t xml:space="preserve"> and</w:t>
      </w:r>
      <w:r w:rsidR="005B48C4">
        <w:t>,</w:t>
      </w:r>
      <w:r w:rsidR="003D7308">
        <w:t xml:space="preserve"> </w:t>
      </w:r>
      <w:r w:rsidR="006C5500">
        <w:t>in some areas</w:t>
      </w:r>
      <w:r w:rsidR="005B48C4">
        <w:t>,</w:t>
      </w:r>
      <w:r w:rsidR="006C5500">
        <w:t xml:space="preserve"> </w:t>
      </w:r>
      <w:r w:rsidRPr="00CA2A5B">
        <w:t>no</w:t>
      </w:r>
      <w:r w:rsidR="0061380A">
        <w:t>t available at al</w:t>
      </w:r>
      <w:r w:rsidR="0027654F">
        <w:t>l</w:t>
      </w:r>
      <w:r w:rsidR="005F7F35">
        <w:t>.</w:t>
      </w:r>
      <w:r w:rsidR="005E52B5">
        <w:t xml:space="preserve"> </w:t>
      </w:r>
      <w:r w:rsidR="005F7F35">
        <w:t>R</w:t>
      </w:r>
      <w:r w:rsidRPr="00CA2A5B">
        <w:t>outes and timetables in the region</w:t>
      </w:r>
      <w:r w:rsidR="008D10C6">
        <w:t xml:space="preserve"> are</w:t>
      </w:r>
      <w:r w:rsidRPr="00CA2A5B">
        <w:t xml:space="preserve"> limited and often incompatible with the location and shift times of available employment opportunities</w:t>
      </w:r>
      <w:r w:rsidR="00E71CC9">
        <w:t>.</w:t>
      </w:r>
      <w:r w:rsidRPr="00CA2A5B">
        <w:t xml:space="preserve"> </w:t>
      </w:r>
      <w:r w:rsidR="00E71CC9">
        <w:t>T</w:t>
      </w:r>
      <w:r w:rsidRPr="00CA2A5B">
        <w:t xml:space="preserve">his is especially prevalent in manufacturing and processing roles as well as </w:t>
      </w:r>
      <w:r w:rsidR="000A2094">
        <w:t>t</w:t>
      </w:r>
      <w:r w:rsidRPr="00CA2A5B">
        <w:t>ourism</w:t>
      </w:r>
      <w:r w:rsidR="000A2094">
        <w:t>,</w:t>
      </w:r>
      <w:r w:rsidRPr="00CA2A5B">
        <w:t xml:space="preserve"> </w:t>
      </w:r>
      <w:r w:rsidR="000A2094">
        <w:t>h</w:t>
      </w:r>
      <w:r w:rsidRPr="00CA2A5B">
        <w:t xml:space="preserve">ospitality </w:t>
      </w:r>
      <w:r w:rsidRPr="00CA2A5B" w:rsidDel="000A2094">
        <w:t xml:space="preserve">and </w:t>
      </w:r>
      <w:r w:rsidR="000A2094">
        <w:t>r</w:t>
      </w:r>
      <w:r w:rsidRPr="00CA2A5B">
        <w:t>etail where shifts often finish late with no public transport a</w:t>
      </w:r>
      <w:r w:rsidR="002C0EC6">
        <w:t xml:space="preserve">vailable </w:t>
      </w:r>
      <w:r w:rsidR="008516BB">
        <w:t>at those times.</w:t>
      </w:r>
      <w:r w:rsidRPr="00CA2A5B">
        <w:t xml:space="preserve"> </w:t>
      </w:r>
    </w:p>
    <w:p w14:paraId="71CEFFD9" w14:textId="77777777" w:rsidR="009A5238" w:rsidRDefault="009A5238" w:rsidP="00D14843">
      <w:pPr>
        <w:spacing w:after="0" w:line="259" w:lineRule="auto"/>
      </w:pPr>
    </w:p>
    <w:p w14:paraId="1E171A5F" w14:textId="24E1BDC3" w:rsidR="00672F5A" w:rsidRDefault="00672F5A" w:rsidP="00D14843">
      <w:pPr>
        <w:spacing w:after="0" w:line="259" w:lineRule="auto"/>
      </w:pPr>
      <w:r>
        <w:t>A current</w:t>
      </w:r>
      <w:r w:rsidR="00BD28D9">
        <w:t xml:space="preserve"> snapshot of the Fitzroy ER Labour Market can be found </w:t>
      </w:r>
      <w:r w:rsidR="000640A6">
        <w:t xml:space="preserve">at </w:t>
      </w:r>
      <w:r w:rsidR="00BA7FC8">
        <w:t>Attachment</w:t>
      </w:r>
      <w:r w:rsidR="000640A6">
        <w:t xml:space="preserve"> B</w:t>
      </w:r>
      <w:r w:rsidR="007160BF">
        <w:t>.</w:t>
      </w:r>
    </w:p>
    <w:p w14:paraId="7AACDBB5" w14:textId="71C76836" w:rsidR="000F56EA" w:rsidRPr="00D503FF" w:rsidRDefault="000F56EA">
      <w:pPr>
        <w:pStyle w:val="Heading1"/>
      </w:pPr>
      <w:bookmarkStart w:id="39" w:name="_Toc94614527"/>
      <w:r w:rsidRPr="00D503FF">
        <w:t>Local Stakeholders and Opportunities</w:t>
      </w:r>
      <w:bookmarkEnd w:id="39"/>
    </w:p>
    <w:p w14:paraId="54759687" w14:textId="12A56DC9" w:rsidR="000F56EA" w:rsidRDefault="000F56EA" w:rsidP="000F56EA">
      <w:r>
        <w:t>There are six local government councils in the Fitzroy ER</w:t>
      </w:r>
      <w:r w:rsidR="00374025">
        <w:t>:</w:t>
      </w:r>
      <w:r>
        <w:t xml:space="preserve"> Rockhampton Regional Council, Livingstone Shire Council, Gladstone Regional Council, Central Highlands Regional Council, Banana Shire Council and Woorabinda</w:t>
      </w:r>
      <w:r w:rsidR="002D2C35">
        <w:t xml:space="preserve"> Aboriginal</w:t>
      </w:r>
      <w:r>
        <w:t xml:space="preserve"> Shire Council.</w:t>
      </w:r>
    </w:p>
    <w:p w14:paraId="6C88D3C0" w14:textId="5F518525" w:rsidR="000F56EA" w:rsidRDefault="000F56EA" w:rsidP="000F56EA">
      <w:r>
        <w:t xml:space="preserve">Significant stakeholder groups within Fitzroy include Advance Rockhampton, Capricorn Enterprise, Central Highlands Development Corporation, </w:t>
      </w:r>
      <w:r w:rsidR="001A46EC">
        <w:t xml:space="preserve">Construction Skills Queensland, </w:t>
      </w:r>
      <w:r>
        <w:t xml:space="preserve">Gladstone Area Ports and Development Limited, Queensland Agriculture Workforce Network, Regional Development Australia, Central and Western Queensland Region, State Government Departments such as </w:t>
      </w:r>
      <w:r w:rsidR="00786F6D">
        <w:t>t</w:t>
      </w:r>
      <w:r>
        <w:t xml:space="preserve">he Department of Employment, Small Business and Training (DESBT), </w:t>
      </w:r>
      <w:r w:rsidR="006C778E">
        <w:t>t</w:t>
      </w:r>
      <w:r>
        <w:t xml:space="preserve">he Department of Regional Development, Manufacturing and Water, </w:t>
      </w:r>
      <w:r w:rsidR="009834C0">
        <w:t>t</w:t>
      </w:r>
      <w:r>
        <w:t>he Department of Seniors, Disability Services and Aboriginal and Torres Strait Islander Partnerships</w:t>
      </w:r>
      <w:r w:rsidR="009D197E">
        <w:t xml:space="preserve"> and</w:t>
      </w:r>
      <w:r>
        <w:t xml:space="preserve"> </w:t>
      </w:r>
      <w:r w:rsidR="009D197E">
        <w:t>t</w:t>
      </w:r>
      <w:r>
        <w:t>he Department of Premier and Cabinet. Given the existing local partnerships,</w:t>
      </w:r>
      <w:r w:rsidR="00B01D11">
        <w:t xml:space="preserve"> the Fitzroy Local Jobs Team</w:t>
      </w:r>
      <w:r w:rsidR="00001171">
        <w:t xml:space="preserve"> is</w:t>
      </w:r>
      <w:r w:rsidR="00852694">
        <w:t xml:space="preserve"> regularly </w:t>
      </w:r>
      <w:r w:rsidR="006865EB">
        <w:t>collaborating with Local and State Government Departments</w:t>
      </w:r>
      <w:r w:rsidR="000A6D9C">
        <w:t xml:space="preserve"> and other stakeholders</w:t>
      </w:r>
      <w:r w:rsidR="006865EB">
        <w:t xml:space="preserve"> to develop local</w:t>
      </w:r>
      <w:r w:rsidR="006E2A49">
        <w:t xml:space="preserve"> approaches</w:t>
      </w:r>
      <w:r w:rsidR="00CA09E0">
        <w:t xml:space="preserve"> to employment in the region</w:t>
      </w:r>
      <w:r w:rsidR="00FA1F06">
        <w:t xml:space="preserve">. </w:t>
      </w:r>
      <w:r w:rsidR="00F601B0">
        <w:t xml:space="preserve">Industry specific taskforce meetings </w:t>
      </w:r>
      <w:r w:rsidR="00001171">
        <w:t>are being held</w:t>
      </w:r>
      <w:r w:rsidR="00C16BB7">
        <w:t xml:space="preserve"> </w:t>
      </w:r>
      <w:r w:rsidR="00807AEE">
        <w:t>utilis</w:t>
      </w:r>
      <w:r w:rsidR="00C16BB7">
        <w:t>ing</w:t>
      </w:r>
      <w:r w:rsidR="00A3609A">
        <w:t xml:space="preserve"> the experience of</w:t>
      </w:r>
      <w:r w:rsidR="00E562DE">
        <w:t xml:space="preserve"> </w:t>
      </w:r>
      <w:r w:rsidR="00A279FA">
        <w:t xml:space="preserve">specific </w:t>
      </w:r>
      <w:r w:rsidR="00E562DE">
        <w:t>stakeholders being brought in as guests</w:t>
      </w:r>
      <w:r w:rsidR="0001280F">
        <w:t>/specialists in the industry,</w:t>
      </w:r>
      <w:r w:rsidR="00E562DE">
        <w:t xml:space="preserve"> to </w:t>
      </w:r>
      <w:r w:rsidR="00492C9E">
        <w:t>present</w:t>
      </w:r>
      <w:r w:rsidR="00D324C0">
        <w:t xml:space="preserve"> </w:t>
      </w:r>
      <w:r w:rsidR="001B005B">
        <w:t>data</w:t>
      </w:r>
      <w:r w:rsidR="00D324C0">
        <w:t xml:space="preserve"> and answer questions about how we can better</w:t>
      </w:r>
      <w:r w:rsidR="001B005B">
        <w:t xml:space="preserve"> service that industry.</w:t>
      </w:r>
      <w:r w:rsidR="003920A3">
        <w:t xml:space="preserve"> </w:t>
      </w:r>
    </w:p>
    <w:p w14:paraId="5830562C" w14:textId="6A122D2C" w:rsidR="000F56EA" w:rsidRDefault="000F56EA" w:rsidP="000F56EA">
      <w:r>
        <w:t xml:space="preserve">There are seven Australian Government employment programs delivered by 11 employment services providers (ESP’s) in the region. </w:t>
      </w:r>
      <w:r w:rsidR="00BA134D">
        <w:t>JobActive</w:t>
      </w:r>
      <w:r w:rsidR="00FF0122">
        <w:t xml:space="preserve"> will finish on 30 June 2022 and</w:t>
      </w:r>
      <w:r w:rsidR="0070402F">
        <w:t xml:space="preserve"> is now being transitioned into the new Workforce Australia model</w:t>
      </w:r>
      <w:r w:rsidR="003B3A32">
        <w:t xml:space="preserve"> </w:t>
      </w:r>
      <w:r w:rsidR="00FF0122">
        <w:t>which</w:t>
      </w:r>
      <w:r w:rsidR="003B3A32">
        <w:t xml:space="preserve"> will co</w:t>
      </w:r>
      <w:r w:rsidR="00D4691D">
        <w:t>mmence on 1 July 2022</w:t>
      </w:r>
      <w:r w:rsidR="002C0256">
        <w:t>.</w:t>
      </w:r>
      <w:r w:rsidR="008435D0">
        <w:t xml:space="preserve"> </w:t>
      </w:r>
      <w:r>
        <w:t xml:space="preserve">Three providers </w:t>
      </w:r>
      <w:r w:rsidR="008435D0">
        <w:t>will</w:t>
      </w:r>
      <w:r>
        <w:t xml:space="preserve"> deliver </w:t>
      </w:r>
      <w:r w:rsidR="008435D0">
        <w:t>Workforce Australia</w:t>
      </w:r>
      <w:r>
        <w:t xml:space="preserve"> services in the region: </w:t>
      </w:r>
      <w:r w:rsidR="004539D2">
        <w:t>Community Solutions</w:t>
      </w:r>
      <w:r>
        <w:t xml:space="preserve">, </w:t>
      </w:r>
      <w:r w:rsidR="00AC2527">
        <w:t xml:space="preserve">MAX Employment and </w:t>
      </w:r>
      <w:r w:rsidR="009B0FFA">
        <w:t>MRAEL</w:t>
      </w:r>
      <w:r>
        <w:t>. Other employment services in the region include ParentsNext, Transition to Work (TtW), New Enterprise Incentive Scheme (NEIS), Career Transition Assistance (CTA), Employability Skills Training (EST), Time to Work Employment Services (TWES) and the Entrepreneurship Facilitator.</w:t>
      </w:r>
      <w:r w:rsidRPr="004D623E">
        <w:t xml:space="preserve"> </w:t>
      </w:r>
    </w:p>
    <w:p w14:paraId="5166C5B4" w14:textId="1E9E3D83" w:rsidR="000F56EA" w:rsidRDefault="000F56EA" w:rsidP="000F56EA">
      <w:r>
        <w:t>All ESPs have a physical presence throughout the region, with either full-time, part-time or outreach hours to support job seekers and program participants. Most ESPs have physical offices staffed full-time in Rockhampton and Gladstone, apart from the Entrepreneurship Facilitator who travels regularly throughout the ER. Outside Rockhampton, physical locations are in key regional towns namely Emerald, Biloela, Yeppoon, Agnes Water and Mount Morgan. All ESPs service the discrete Aboriginal community of Woorabinda, on an outreach basis</w:t>
      </w:r>
      <w:r w:rsidR="00AF70A9">
        <w:t>.</w:t>
      </w:r>
      <w:r w:rsidR="00ED2EBF">
        <w:t xml:space="preserve"> </w:t>
      </w:r>
    </w:p>
    <w:p w14:paraId="6EBB5D8F" w14:textId="74B05A7D" w:rsidR="000F56EA" w:rsidRDefault="000F56EA" w:rsidP="000F56EA">
      <w:r>
        <w:lastRenderedPageBreak/>
        <w:t xml:space="preserve">Other Australian Government programs include </w:t>
      </w:r>
      <w:r w:rsidR="00B5755A">
        <w:t xml:space="preserve">Disability </w:t>
      </w:r>
      <w:r w:rsidR="005C19B2">
        <w:t>Employment</w:t>
      </w:r>
      <w:r w:rsidR="00B5755A">
        <w:t xml:space="preserve"> Services</w:t>
      </w:r>
      <w:r>
        <w:t xml:space="preserve"> </w:t>
      </w:r>
      <w:r w:rsidR="005C19B2">
        <w:t>(DES),</w:t>
      </w:r>
      <w:r>
        <w:t xml:space="preserve"> Disability Management Service (DMS</w:t>
      </w:r>
      <w:r w:rsidR="00795267">
        <w:t>), Employment</w:t>
      </w:r>
      <w:r>
        <w:t xml:space="preserve"> Support Service (ESS), National Disability Insurance Scheme (NDIS)</w:t>
      </w:r>
      <w:r w:rsidR="0098240B">
        <w:t xml:space="preserve"> and</w:t>
      </w:r>
      <w:r>
        <w:t xml:space="preserve"> Australian Apprenticeship Support Network (AASN).</w:t>
      </w:r>
    </w:p>
    <w:p w14:paraId="5FCC5F28" w14:textId="6B91F199" w:rsidR="009B125D" w:rsidRDefault="009B125D" w:rsidP="000F56EA">
      <w:r>
        <w:t xml:space="preserve">A number of labour hire and private recruitment companies also operate within </w:t>
      </w:r>
      <w:r w:rsidR="00A42FEE">
        <w:t xml:space="preserve">the </w:t>
      </w:r>
      <w:r>
        <w:t>Fitzroy</w:t>
      </w:r>
      <w:r w:rsidR="00A42FEE">
        <w:t xml:space="preserve"> ER</w:t>
      </w:r>
      <w:r>
        <w:t>.</w:t>
      </w:r>
    </w:p>
    <w:p w14:paraId="2501289E" w14:textId="78CF018E" w:rsidR="000F56EA" w:rsidRDefault="000F56EA" w:rsidP="000F56EA">
      <w:r>
        <w:t xml:space="preserve">Education providers include Central Queensland University (4 campuses in the region) and Registered Training Organisations </w:t>
      </w:r>
      <w:r w:rsidR="00F3673C">
        <w:t>(RTO)’s</w:t>
      </w:r>
      <w:r>
        <w:t xml:space="preserve"> such as TAFE Queensland, Designer Life, Axiom College, Occupational Skills Centre Australia, Narbil Training, DTE Training and Safety, Civil Safety among many more. </w:t>
      </w:r>
      <w:r w:rsidR="00B8031E">
        <w:t xml:space="preserve">RTOs are </w:t>
      </w:r>
      <w:r w:rsidR="00C53730">
        <w:t>primarily</w:t>
      </w:r>
      <w:r w:rsidR="00B8031E">
        <w:t xml:space="preserve"> located</w:t>
      </w:r>
      <w:r w:rsidR="00E719D9">
        <w:t xml:space="preserve"> within populat</w:t>
      </w:r>
      <w:r w:rsidR="00D34B75">
        <w:t>ed</w:t>
      </w:r>
      <w:r w:rsidR="00E719D9">
        <w:t xml:space="preserve"> are</w:t>
      </w:r>
      <w:r w:rsidR="00702AC5">
        <w:t>as such as Rockhampton and Gladstone</w:t>
      </w:r>
      <w:r w:rsidR="0012336C">
        <w:t xml:space="preserve"> which makes it difficult to </w:t>
      </w:r>
      <w:r w:rsidR="00985B8C">
        <w:t>get</w:t>
      </w:r>
      <w:r w:rsidR="00E439A4">
        <w:t xml:space="preserve"> </w:t>
      </w:r>
      <w:r w:rsidR="003357C2">
        <w:t>education</w:t>
      </w:r>
      <w:r w:rsidR="00E439A4">
        <w:t>/training</w:t>
      </w:r>
      <w:r w:rsidR="00A670D5">
        <w:t xml:space="preserve"> in</w:t>
      </w:r>
      <w:r w:rsidR="008E5900">
        <w:t xml:space="preserve"> the smaller </w:t>
      </w:r>
      <w:r w:rsidR="003357C2">
        <w:t>town centres</w:t>
      </w:r>
      <w:r w:rsidR="003535A3">
        <w:t xml:space="preserve"> if you don’t have access to transport</w:t>
      </w:r>
      <w:r w:rsidR="00F85F30">
        <w:t xml:space="preserve"> or the ability to attend courses </w:t>
      </w:r>
      <w:r w:rsidR="00794F63">
        <w:t xml:space="preserve">within </w:t>
      </w:r>
      <w:r w:rsidR="00906E7C">
        <w:t xml:space="preserve">the </w:t>
      </w:r>
      <w:r w:rsidR="00794F63">
        <w:t>Gladstone and Rockhampton</w:t>
      </w:r>
      <w:r w:rsidR="00906E7C">
        <w:t xml:space="preserve"> area</w:t>
      </w:r>
      <w:r w:rsidR="00F950DD">
        <w:t>s</w:t>
      </w:r>
      <w:r w:rsidR="003357C2" w:rsidDel="003535A3">
        <w:t>.</w:t>
      </w:r>
      <w:r w:rsidR="003A5129">
        <w:t xml:space="preserve"> </w:t>
      </w:r>
    </w:p>
    <w:p w14:paraId="1D099EBF" w14:textId="565BD46A" w:rsidR="00D14843" w:rsidRPr="001D0004" w:rsidRDefault="000F56EA" w:rsidP="00D21DF3">
      <w:pPr>
        <w:rPr>
          <w:b/>
          <w:sz w:val="26"/>
          <w:szCs w:val="26"/>
        </w:rPr>
      </w:pPr>
      <w:r>
        <w:t xml:space="preserve"> </w:t>
      </w:r>
      <w:r w:rsidR="00D14843" w:rsidRPr="001D0004">
        <w:rPr>
          <w:b/>
          <w:sz w:val="26"/>
          <w:szCs w:val="26"/>
        </w:rPr>
        <w:t xml:space="preserve">Employment Service Provider (ESP) caseload composition, </w:t>
      </w:r>
      <w:r w:rsidR="0013657A">
        <w:rPr>
          <w:b/>
          <w:sz w:val="26"/>
          <w:szCs w:val="26"/>
        </w:rPr>
        <w:t>March</w:t>
      </w:r>
      <w:r w:rsidR="0013657A" w:rsidRPr="001D0004">
        <w:rPr>
          <w:b/>
          <w:sz w:val="26"/>
          <w:szCs w:val="26"/>
        </w:rPr>
        <w:t xml:space="preserve"> </w:t>
      </w:r>
      <w:r w:rsidR="0013657A">
        <w:rPr>
          <w:b/>
          <w:sz w:val="26"/>
          <w:szCs w:val="26"/>
        </w:rPr>
        <w:t>2022</w:t>
      </w:r>
    </w:p>
    <w:p w14:paraId="34F898FB" w14:textId="4888C0AE" w:rsidR="0070451B" w:rsidRDefault="00D14843" w:rsidP="00D14843">
      <w:r>
        <w:t xml:space="preserve">Fitzroy ER has </w:t>
      </w:r>
      <w:r w:rsidR="00544C00">
        <w:t xml:space="preserve">a </w:t>
      </w:r>
      <w:r>
        <w:t>significantly high number of job seekers who identify as Indigenous</w:t>
      </w:r>
      <w:r w:rsidR="00B31998">
        <w:t xml:space="preserve"> </w:t>
      </w:r>
      <w:r w:rsidR="007312FF">
        <w:t>–</w:t>
      </w:r>
      <w:r w:rsidR="00B31998">
        <w:t xml:space="preserve"> </w:t>
      </w:r>
      <w:r w:rsidR="007312FF">
        <w:t>3,385</w:t>
      </w:r>
      <w:r w:rsidR="00DC305F">
        <w:t xml:space="preserve"> </w:t>
      </w:r>
      <w:r w:rsidR="003C3BBF">
        <w:t>(</w:t>
      </w:r>
      <w:r w:rsidR="00F85F56">
        <w:t>26.9%</w:t>
      </w:r>
      <w:r w:rsidR="003C3BBF">
        <w:t>)</w:t>
      </w:r>
      <w:r>
        <w:t xml:space="preserve">, mature-aged </w:t>
      </w:r>
      <w:r w:rsidR="00185B01">
        <w:t>–</w:t>
      </w:r>
      <w:r w:rsidR="00F85F56">
        <w:t xml:space="preserve"> </w:t>
      </w:r>
      <w:r w:rsidR="00DC305F">
        <w:t>3,</w:t>
      </w:r>
      <w:r w:rsidR="00C1076F">
        <w:t>035</w:t>
      </w:r>
      <w:r w:rsidR="00DC305F">
        <w:t xml:space="preserve"> </w:t>
      </w:r>
      <w:r w:rsidR="003C3BBF">
        <w:t>(</w:t>
      </w:r>
      <w:r w:rsidR="00185B01">
        <w:t>24.1</w:t>
      </w:r>
      <w:r w:rsidR="00340469">
        <w:t>%</w:t>
      </w:r>
      <w:r w:rsidR="003C3BBF">
        <w:t>)</w:t>
      </w:r>
      <w:r>
        <w:t xml:space="preserve"> and people with disability</w:t>
      </w:r>
      <w:r w:rsidR="00340469">
        <w:t xml:space="preserve"> </w:t>
      </w:r>
      <w:r w:rsidR="00DC4C76">
        <w:t>–</w:t>
      </w:r>
      <w:r w:rsidR="00340469">
        <w:t xml:space="preserve"> </w:t>
      </w:r>
      <w:r w:rsidR="00793B3A">
        <w:t>3,521</w:t>
      </w:r>
      <w:r w:rsidR="00340469">
        <w:t xml:space="preserve"> </w:t>
      </w:r>
      <w:r w:rsidR="003C3BBF">
        <w:t>(</w:t>
      </w:r>
      <w:r w:rsidR="00DC4C76">
        <w:t>28%</w:t>
      </w:r>
      <w:r w:rsidR="003C3BBF">
        <w:t>)</w:t>
      </w:r>
      <w:r w:rsidR="00041915">
        <w:t xml:space="preserve"> according to the </w:t>
      </w:r>
      <w:r w:rsidR="00F1509C" w:rsidRPr="00F1509C">
        <w:t>Fitzroy ER, LJP Caseload Data (31 March 2022)</w:t>
      </w:r>
      <w:r w:rsidR="000F7AA9">
        <w:t xml:space="preserve"> </w:t>
      </w:r>
      <w:r w:rsidR="003C3BBF">
        <w:t>in F</w:t>
      </w:r>
      <w:r w:rsidR="000F7AA9">
        <w:t>igure 5</w:t>
      </w:r>
      <w:r w:rsidR="00544C00">
        <w:t>.</w:t>
      </w:r>
      <w:r>
        <w:t xml:space="preserve"> </w:t>
      </w:r>
    </w:p>
    <w:p w14:paraId="6FB11047" w14:textId="3D567E82" w:rsidR="00117380" w:rsidRDefault="00263B60" w:rsidP="00D14843">
      <w:r>
        <w:t>Indigenous people face a number of barriers</w:t>
      </w:r>
      <w:r w:rsidR="00C545FE">
        <w:t xml:space="preserve"> to employment. </w:t>
      </w:r>
      <w:r w:rsidR="0049043D">
        <w:t>T</w:t>
      </w:r>
      <w:r w:rsidR="004E0DE9" w:rsidRPr="004E0DE9">
        <w:t>he location of jobs</w:t>
      </w:r>
      <w:r w:rsidR="00B84748">
        <w:t>,</w:t>
      </w:r>
      <w:r w:rsidR="008969F8">
        <w:t xml:space="preserve"> </w:t>
      </w:r>
      <w:r w:rsidR="004E0DE9" w:rsidRPr="004E0DE9">
        <w:t xml:space="preserve">employer discrimination </w:t>
      </w:r>
      <w:r w:rsidR="00B84748">
        <w:t xml:space="preserve">and lack of work experience </w:t>
      </w:r>
      <w:r w:rsidR="004E0DE9" w:rsidRPr="004E0DE9">
        <w:t xml:space="preserve">impact on Indigenous </w:t>
      </w:r>
      <w:r w:rsidR="003C24DB" w:rsidRPr="004E0DE9">
        <w:t>people’s</w:t>
      </w:r>
      <w:r w:rsidR="004E0DE9" w:rsidRPr="004E0DE9">
        <w:t xml:space="preserve"> chance of finding employment. </w:t>
      </w:r>
      <w:r w:rsidR="0049043D">
        <w:t xml:space="preserve">Additional barriers include </w:t>
      </w:r>
      <w:r w:rsidR="00F63219">
        <w:t xml:space="preserve">health/mental health issues and </w:t>
      </w:r>
      <w:r w:rsidR="009011EF">
        <w:t xml:space="preserve">low levels of literacy and numeracy due to </w:t>
      </w:r>
      <w:r w:rsidR="001E202D">
        <w:t>low school, further educatio</w:t>
      </w:r>
      <w:r w:rsidR="00423CCB">
        <w:t>n</w:t>
      </w:r>
      <w:r w:rsidR="001E202D">
        <w:t xml:space="preserve"> or training</w:t>
      </w:r>
      <w:r w:rsidR="000C032A">
        <w:t xml:space="preserve"> completion rates</w:t>
      </w:r>
      <w:r w:rsidR="000F0E37">
        <w:t>.</w:t>
      </w:r>
      <w:r w:rsidR="00452AAC">
        <w:t xml:space="preserve"> </w:t>
      </w:r>
      <w:r w:rsidR="00B84748">
        <w:t>C</w:t>
      </w:r>
      <w:r w:rsidR="004E0DE9" w:rsidRPr="004E0DE9">
        <w:t xml:space="preserve">aring responsibilities </w:t>
      </w:r>
      <w:r w:rsidR="00B84748">
        <w:t xml:space="preserve">can further </w:t>
      </w:r>
      <w:r w:rsidR="004E0DE9" w:rsidRPr="004E0DE9">
        <w:t>limit participation</w:t>
      </w:r>
      <w:r w:rsidR="00C405C7">
        <w:t>.</w:t>
      </w:r>
      <w:r w:rsidR="009D3A7A">
        <w:t xml:space="preserve"> </w:t>
      </w:r>
      <w:r w:rsidR="00EE0DC3">
        <w:t>Concepts to start to address these barriers would include l</w:t>
      </w:r>
      <w:r w:rsidR="009D3A7A" w:rsidRPr="009D3A7A">
        <w:t>ife skills training contextualised to the cohort (</w:t>
      </w:r>
      <w:r w:rsidR="0096168C" w:rsidRPr="009D3A7A">
        <w:t>i.e.</w:t>
      </w:r>
      <w:r w:rsidR="009D3A7A" w:rsidRPr="009D3A7A">
        <w:t xml:space="preserve"> </w:t>
      </w:r>
      <w:r w:rsidR="0018675F">
        <w:t>a</w:t>
      </w:r>
      <w:r w:rsidR="009D3A7A" w:rsidRPr="009D3A7A">
        <w:t xml:space="preserve"> classroom environment doesn’t always work), cultural training for employers and </w:t>
      </w:r>
      <w:r w:rsidR="007173EA">
        <w:t xml:space="preserve">ongoing </w:t>
      </w:r>
      <w:r w:rsidR="009D3A7A" w:rsidRPr="009D3A7A">
        <w:t>holistic mentoring</w:t>
      </w:r>
      <w:r w:rsidR="00EE0DC3">
        <w:t xml:space="preserve"> for not only the job</w:t>
      </w:r>
      <w:r w:rsidR="0096168C">
        <w:t xml:space="preserve"> </w:t>
      </w:r>
      <w:r w:rsidR="00EE0DC3">
        <w:t>seeker but their family</w:t>
      </w:r>
      <w:r w:rsidR="007173EA">
        <w:t>.</w:t>
      </w:r>
    </w:p>
    <w:p w14:paraId="5BB4DB76" w14:textId="4ACC899A" w:rsidR="00655583" w:rsidRDefault="008B4DD0" w:rsidP="00655583">
      <w:r>
        <w:t>B</w:t>
      </w:r>
      <w:r w:rsidR="00232625">
        <w:t xml:space="preserve">arriers </w:t>
      </w:r>
      <w:r>
        <w:t>job seekers with disability</w:t>
      </w:r>
      <w:r w:rsidR="009E212B">
        <w:t xml:space="preserve"> face include</w:t>
      </w:r>
      <w:r w:rsidR="002D4E0A">
        <w:t xml:space="preserve"> </w:t>
      </w:r>
      <w:r w:rsidR="001858C1">
        <w:t>i</w:t>
      </w:r>
      <w:r w:rsidR="002D4E0A">
        <w:t>naccessible workplaces</w:t>
      </w:r>
      <w:r w:rsidR="000A1255">
        <w:t>, m</w:t>
      </w:r>
      <w:r w:rsidR="00655583">
        <w:t>isinformed attitudes towards disability (</w:t>
      </w:r>
      <w:r w:rsidR="00012881">
        <w:t>i.e.</w:t>
      </w:r>
      <w:r w:rsidR="00655583">
        <w:t xml:space="preserve"> people with disability are costly to employ and are less productive than people without disability)</w:t>
      </w:r>
      <w:r w:rsidR="002D4E0A">
        <w:t xml:space="preserve">, </w:t>
      </w:r>
      <w:r w:rsidR="009A523C">
        <w:t>e</w:t>
      </w:r>
      <w:r w:rsidR="00655583">
        <w:t>mployers’ lack of understanding and confidence to talk about disability and its impact on those who currently work, and who might work, in their organisations</w:t>
      </w:r>
      <w:r w:rsidR="005D36DA">
        <w:t>.</w:t>
      </w:r>
      <w:r w:rsidR="00601765">
        <w:t xml:space="preserve"> </w:t>
      </w:r>
      <w:r w:rsidR="00655583">
        <w:t>Employers</w:t>
      </w:r>
      <w:r w:rsidR="00416196">
        <w:t xml:space="preserve"> may also have</w:t>
      </w:r>
      <w:r w:rsidR="00655583">
        <w:t xml:space="preserve"> concern</w:t>
      </w:r>
      <w:r w:rsidR="00416196">
        <w:t>s</w:t>
      </w:r>
      <w:r w:rsidR="00655583">
        <w:t xml:space="preserve"> </w:t>
      </w:r>
      <w:r w:rsidR="00416196">
        <w:t>around</w:t>
      </w:r>
      <w:r w:rsidR="00655583">
        <w:t xml:space="preserve"> potential risks, including superannuation implications</w:t>
      </w:r>
      <w:r w:rsidR="002D4E0A">
        <w:t>,</w:t>
      </w:r>
      <w:r w:rsidR="00655583">
        <w:t xml:space="preserve"> Workcover costs and exclusions</w:t>
      </w:r>
      <w:r w:rsidR="002D4E0A">
        <w:t>.</w:t>
      </w:r>
      <w:r w:rsidR="00BF55EC">
        <w:t xml:space="preserve"> Some of these </w:t>
      </w:r>
      <w:r w:rsidR="00BF55EC" w:rsidRPr="00BF55EC">
        <w:t>barriers are real and some are perceived</w:t>
      </w:r>
      <w:r w:rsidR="0033562E">
        <w:t xml:space="preserve">, but it is clear that a lot more </w:t>
      </w:r>
      <w:r w:rsidR="00BF05F0">
        <w:t xml:space="preserve">education </w:t>
      </w:r>
      <w:r w:rsidR="005A618A">
        <w:t>needs</w:t>
      </w:r>
      <w:r w:rsidR="00BF05F0">
        <w:t xml:space="preserve"> to be done</w:t>
      </w:r>
      <w:r w:rsidR="00574862">
        <w:t xml:space="preserve"> to change minds</w:t>
      </w:r>
      <w:r w:rsidR="00AA5011">
        <w:t>e</w:t>
      </w:r>
      <w:r w:rsidR="00574862">
        <w:t>ts</w:t>
      </w:r>
      <w:r w:rsidR="00546DB4">
        <w:t xml:space="preserve"> as </w:t>
      </w:r>
      <w:r w:rsidR="00546DB4" w:rsidRPr="00546DB4">
        <w:t xml:space="preserve">people with </w:t>
      </w:r>
      <w:r w:rsidR="001728ED">
        <w:t>d</w:t>
      </w:r>
      <w:r w:rsidR="00546DB4" w:rsidRPr="00546DB4">
        <w:t>isability have significant potential that can be brought to the workforce in a wide range of industries and positions</w:t>
      </w:r>
      <w:r w:rsidR="00546DB4">
        <w:t>.</w:t>
      </w:r>
    </w:p>
    <w:p w14:paraId="04514A64" w14:textId="1755EC74" w:rsidR="00384E17" w:rsidRDefault="00584DCF" w:rsidP="00384E17">
      <w:r>
        <w:t xml:space="preserve">The mature age cohort represents </w:t>
      </w:r>
      <w:r w:rsidR="000C440D">
        <w:t>almost a quarter</w:t>
      </w:r>
      <w:r>
        <w:t xml:space="preserve"> of the caseload </w:t>
      </w:r>
      <w:r w:rsidR="000C440D">
        <w:t>in Fitzroy</w:t>
      </w:r>
      <w:r w:rsidR="00384E17">
        <w:t xml:space="preserve"> and have their own specific barriers to gaining employment. </w:t>
      </w:r>
      <w:r w:rsidR="004B77C2">
        <w:t>Age d</w:t>
      </w:r>
      <w:r w:rsidR="00384E17">
        <w:t xml:space="preserve">iscrimination </w:t>
      </w:r>
      <w:r w:rsidR="00A13E93">
        <w:t xml:space="preserve">occurs </w:t>
      </w:r>
      <w:r w:rsidR="00BF798E">
        <w:t xml:space="preserve">regularly </w:t>
      </w:r>
      <w:r w:rsidR="00843CAD">
        <w:t xml:space="preserve">with younger staff being cheaper to </w:t>
      </w:r>
      <w:r w:rsidR="005E6220">
        <w:t>employ</w:t>
      </w:r>
      <w:r w:rsidR="00BF798E">
        <w:t xml:space="preserve"> </w:t>
      </w:r>
      <w:r w:rsidR="004C54A5">
        <w:t>and</w:t>
      </w:r>
      <w:r w:rsidR="00F90735">
        <w:t>,</w:t>
      </w:r>
      <w:r w:rsidR="00BF798E">
        <w:t xml:space="preserve"> </w:t>
      </w:r>
      <w:r w:rsidR="00065B9E">
        <w:t>in some cases</w:t>
      </w:r>
      <w:r w:rsidR="00F90735">
        <w:t>,</w:t>
      </w:r>
      <w:r w:rsidR="00BF798E">
        <w:t xml:space="preserve"> </w:t>
      </w:r>
      <w:r w:rsidR="0069650B">
        <w:t>the mature age</w:t>
      </w:r>
      <w:r w:rsidR="00E80922">
        <w:t>d</w:t>
      </w:r>
      <w:r w:rsidR="0069650B">
        <w:t xml:space="preserve"> </w:t>
      </w:r>
      <w:r w:rsidR="00EA1DAA">
        <w:t xml:space="preserve">are perceived to be set in their ways and not </w:t>
      </w:r>
      <w:r w:rsidR="009B5232">
        <w:t>willing to learn</w:t>
      </w:r>
      <w:r w:rsidR="00EA1DAA">
        <w:t>.</w:t>
      </w:r>
      <w:r w:rsidR="00BF798E">
        <w:t xml:space="preserve"> </w:t>
      </w:r>
      <w:r w:rsidR="00214FB8">
        <w:t xml:space="preserve">Other barriers </w:t>
      </w:r>
      <w:r w:rsidR="004A5D9E">
        <w:t>include</w:t>
      </w:r>
      <w:r w:rsidR="00F3361A">
        <w:t xml:space="preserve"> </w:t>
      </w:r>
      <w:r w:rsidR="009856AE">
        <w:t xml:space="preserve">lack of digital </w:t>
      </w:r>
      <w:r w:rsidR="00E80922">
        <w:t>literacy</w:t>
      </w:r>
      <w:r w:rsidR="00F3361A">
        <w:t>,</w:t>
      </w:r>
      <w:r w:rsidR="00384E17">
        <w:t xml:space="preserve"> </w:t>
      </w:r>
      <w:r w:rsidR="00501863">
        <w:t xml:space="preserve">low levels of </w:t>
      </w:r>
      <w:r w:rsidR="00071E98">
        <w:t xml:space="preserve">literacy and numeracy, </w:t>
      </w:r>
      <w:r w:rsidR="00384E17">
        <w:t>care-giving responsibilities</w:t>
      </w:r>
      <w:r w:rsidR="00F3361A">
        <w:t>,</w:t>
      </w:r>
      <w:r w:rsidR="00384E17">
        <w:t xml:space="preserve"> </w:t>
      </w:r>
      <w:r w:rsidR="00352B79">
        <w:t>in</w:t>
      </w:r>
      <w:r w:rsidR="00384E17">
        <w:t>flexibility of employment arrangements</w:t>
      </w:r>
      <w:r w:rsidR="00F3361A">
        <w:t xml:space="preserve">, </w:t>
      </w:r>
      <w:r w:rsidR="00A13E93">
        <w:t>physical illness, injury and disability</w:t>
      </w:r>
      <w:r w:rsidR="00F90735">
        <w:t xml:space="preserve"> among others</w:t>
      </w:r>
      <w:r w:rsidR="009856AE">
        <w:t>.</w:t>
      </w:r>
      <w:r w:rsidR="00123E25">
        <w:t xml:space="preserve"> </w:t>
      </w:r>
      <w:r w:rsidR="009269C2">
        <w:t>E</w:t>
      </w:r>
      <w:r w:rsidR="007553BC">
        <w:t xml:space="preserve">mployers </w:t>
      </w:r>
      <w:r w:rsidR="009269C2">
        <w:t>may</w:t>
      </w:r>
      <w:r w:rsidR="007553BC">
        <w:t xml:space="preserve"> </w:t>
      </w:r>
      <w:r w:rsidR="00747E9F">
        <w:t>overlook</w:t>
      </w:r>
      <w:r w:rsidR="007553BC">
        <w:t xml:space="preserve"> a mature aged candidate</w:t>
      </w:r>
      <w:r w:rsidR="00F8377E">
        <w:t>,</w:t>
      </w:r>
      <w:r w:rsidR="007553BC">
        <w:t xml:space="preserve"> </w:t>
      </w:r>
      <w:r w:rsidR="00F8377E">
        <w:t xml:space="preserve">even though those </w:t>
      </w:r>
      <w:r w:rsidR="00B112FE">
        <w:t>over 55</w:t>
      </w:r>
      <w:r w:rsidR="00FD3E54">
        <w:t xml:space="preserve"> </w:t>
      </w:r>
      <w:r w:rsidR="00425D8C">
        <w:t xml:space="preserve">are </w:t>
      </w:r>
      <w:r w:rsidR="009269C2">
        <w:t xml:space="preserve">often found to more </w:t>
      </w:r>
      <w:r w:rsidR="00425D8C">
        <w:t>reliable</w:t>
      </w:r>
      <w:r w:rsidR="00EE2948">
        <w:t xml:space="preserve"> and</w:t>
      </w:r>
      <w:r w:rsidR="009269C2">
        <w:t xml:space="preserve"> loyal </w:t>
      </w:r>
      <w:r w:rsidR="000C6F48">
        <w:t>workers</w:t>
      </w:r>
      <w:r w:rsidR="00037183">
        <w:t xml:space="preserve">. </w:t>
      </w:r>
    </w:p>
    <w:p w14:paraId="151BC1DB" w14:textId="58601E58" w:rsidR="00D14843" w:rsidRDefault="00D14843" w:rsidP="00D14843">
      <w:r>
        <w:t xml:space="preserve">The culturally and linguistically diverse (CALD) and refugee cohorts reflected in the caseload are indicative of the low number of CALD people in the region, although the meat processing plants in Rockhampton and Biloela have historically employed significant numbers of </w:t>
      </w:r>
      <w:r w:rsidR="003543AD">
        <w:t>migrant</w:t>
      </w:r>
      <w:r>
        <w:t xml:space="preserve"> labour.</w:t>
      </w:r>
      <w:r w:rsidR="00323494">
        <w:t xml:space="preserve"> </w:t>
      </w:r>
      <w:r w:rsidR="0085065E">
        <w:t>It is hoped that the</w:t>
      </w:r>
      <w:r w:rsidR="00CE68AA">
        <w:t xml:space="preserve"> recent lightening of </w:t>
      </w:r>
      <w:r w:rsidR="00A06828">
        <w:t>restrictions</w:t>
      </w:r>
      <w:r w:rsidR="00CE68AA">
        <w:t xml:space="preserve"> including international travel</w:t>
      </w:r>
      <w:r w:rsidR="007907C9">
        <w:t xml:space="preserve"> will</w:t>
      </w:r>
      <w:r w:rsidR="00366DEA">
        <w:t xml:space="preserve"> bring back more</w:t>
      </w:r>
      <w:r w:rsidR="00201AE6">
        <w:t xml:space="preserve"> CALD </w:t>
      </w:r>
      <w:r w:rsidR="00870879">
        <w:t xml:space="preserve">people </w:t>
      </w:r>
      <w:r w:rsidR="00201AE6">
        <w:t xml:space="preserve">to the </w:t>
      </w:r>
      <w:r w:rsidR="00A06828">
        <w:t>region.</w:t>
      </w:r>
    </w:p>
    <w:p w14:paraId="64E8B870" w14:textId="5ABBE5FB" w:rsidR="00D14843" w:rsidRDefault="0038560F" w:rsidP="00D14843">
      <w:pPr>
        <w:rPr>
          <w:b/>
          <w:bCs/>
        </w:rPr>
      </w:pPr>
      <w:r>
        <w:rPr>
          <w:b/>
          <w:bCs/>
        </w:rPr>
        <w:lastRenderedPageBreak/>
        <w:t>Figure</w:t>
      </w:r>
      <w:r w:rsidR="00D14843" w:rsidRPr="00D4105C">
        <w:rPr>
          <w:b/>
          <w:bCs/>
        </w:rPr>
        <w:t xml:space="preserve"> </w:t>
      </w:r>
      <w:r w:rsidR="005B1645">
        <w:rPr>
          <w:b/>
          <w:bCs/>
        </w:rPr>
        <w:t>5</w:t>
      </w:r>
      <w:r w:rsidR="00D14843">
        <w:rPr>
          <w:b/>
          <w:bCs/>
        </w:rPr>
        <w:t>: Fitzroy ER, LJP Caseload Data</w:t>
      </w:r>
      <w:r w:rsidR="00E067EB">
        <w:rPr>
          <w:b/>
          <w:bCs/>
        </w:rPr>
        <w:t xml:space="preserve"> </w:t>
      </w:r>
      <w:r w:rsidR="00D14843">
        <w:rPr>
          <w:b/>
          <w:bCs/>
        </w:rPr>
        <w:t>(</w:t>
      </w:r>
      <w:r w:rsidR="00F41266">
        <w:rPr>
          <w:b/>
          <w:bCs/>
        </w:rPr>
        <w:t>3</w:t>
      </w:r>
      <w:r w:rsidR="00BC73C7">
        <w:rPr>
          <w:b/>
          <w:bCs/>
        </w:rPr>
        <w:t>0</w:t>
      </w:r>
      <w:r w:rsidR="00F41266">
        <w:rPr>
          <w:b/>
          <w:bCs/>
        </w:rPr>
        <w:t xml:space="preserve"> </w:t>
      </w:r>
      <w:r w:rsidR="00765B9C">
        <w:rPr>
          <w:b/>
          <w:bCs/>
        </w:rPr>
        <w:t xml:space="preserve">April </w:t>
      </w:r>
      <w:r w:rsidR="00F41266">
        <w:rPr>
          <w:b/>
          <w:bCs/>
        </w:rPr>
        <w:t>2022)</w:t>
      </w:r>
    </w:p>
    <w:tbl>
      <w:tblPr>
        <w:tblStyle w:val="TableGrid"/>
        <w:tblW w:w="9288" w:type="dxa"/>
        <w:shd w:val="clear" w:color="auto" w:fill="C2DFF5" w:themeFill="accent1" w:themeFillTint="33"/>
        <w:tblLook w:val="04A0" w:firstRow="1" w:lastRow="0" w:firstColumn="1" w:lastColumn="0" w:noHBand="0" w:noVBand="1"/>
      </w:tblPr>
      <w:tblGrid>
        <w:gridCol w:w="3096"/>
        <w:gridCol w:w="3096"/>
        <w:gridCol w:w="3096"/>
      </w:tblGrid>
      <w:tr w:rsidR="008A64CC" w:rsidRPr="007069F0" w14:paraId="6B671288" w14:textId="77777777" w:rsidTr="00E62827">
        <w:trPr>
          <w:trHeight w:val="860"/>
        </w:trPr>
        <w:tc>
          <w:tcPr>
            <w:tcW w:w="3096" w:type="dxa"/>
            <w:shd w:val="clear" w:color="auto" w:fill="1D4289"/>
          </w:tcPr>
          <w:p w14:paraId="2F69ED3E" w14:textId="718C8EA4" w:rsidR="008A64CC" w:rsidRDefault="008A64CC" w:rsidP="008A64CC">
            <w:pPr>
              <w:pStyle w:val="Tableheader"/>
              <w:jc w:val="center"/>
              <w:rPr>
                <w:sz w:val="22"/>
                <w:szCs w:val="22"/>
              </w:rPr>
            </w:pPr>
            <w:r>
              <w:rPr>
                <w:sz w:val="22"/>
                <w:szCs w:val="22"/>
              </w:rPr>
              <w:t>Employment Service Provider</w:t>
            </w:r>
            <w:r w:rsidRPr="0000411F">
              <w:rPr>
                <w:sz w:val="22"/>
                <w:szCs w:val="22"/>
              </w:rPr>
              <w:t xml:space="preserve"> cohort</w:t>
            </w:r>
            <w:r>
              <w:rPr>
                <w:sz w:val="22"/>
                <w:szCs w:val="22"/>
              </w:rPr>
              <w:t xml:space="preserve"> (inc. </w:t>
            </w:r>
            <w:r w:rsidRPr="008A64CC">
              <w:rPr>
                <w:sz w:val="22"/>
                <w:szCs w:val="22"/>
              </w:rPr>
              <w:t>Online Employment Services (OES), New Employment Services Trial (NEST), Transition to Work (TTW) &amp; ParentsNext)</w:t>
            </w:r>
          </w:p>
        </w:tc>
        <w:tc>
          <w:tcPr>
            <w:tcW w:w="3096" w:type="dxa"/>
            <w:shd w:val="clear" w:color="auto" w:fill="1D4289"/>
          </w:tcPr>
          <w:p w14:paraId="0DBF2025" w14:textId="67865E2F" w:rsidR="008A64CC" w:rsidRPr="0000411F" w:rsidRDefault="008A64CC" w:rsidP="008A64CC">
            <w:pPr>
              <w:pStyle w:val="Tableheader"/>
              <w:jc w:val="center"/>
              <w:rPr>
                <w:sz w:val="22"/>
                <w:szCs w:val="22"/>
              </w:rPr>
            </w:pPr>
            <w:r w:rsidRPr="0000411F">
              <w:rPr>
                <w:sz w:val="22"/>
                <w:szCs w:val="22"/>
              </w:rPr>
              <w:t>Number of job seekers</w:t>
            </w:r>
          </w:p>
        </w:tc>
        <w:tc>
          <w:tcPr>
            <w:tcW w:w="3096" w:type="dxa"/>
            <w:shd w:val="clear" w:color="auto" w:fill="1D4289"/>
          </w:tcPr>
          <w:p w14:paraId="7840DCE4" w14:textId="727E23AC" w:rsidR="008A64CC" w:rsidRPr="0000411F" w:rsidRDefault="008A64CC" w:rsidP="008A64CC">
            <w:pPr>
              <w:pStyle w:val="Tableheader"/>
              <w:jc w:val="center"/>
              <w:rPr>
                <w:sz w:val="22"/>
                <w:szCs w:val="22"/>
              </w:rPr>
            </w:pPr>
            <w:r w:rsidRPr="0000411F">
              <w:rPr>
                <w:sz w:val="22"/>
                <w:szCs w:val="22"/>
              </w:rPr>
              <w:t xml:space="preserve">Percentage of </w:t>
            </w:r>
            <w:r w:rsidR="00BA134D" w:rsidRPr="0000411F">
              <w:rPr>
                <w:sz w:val="22"/>
                <w:szCs w:val="22"/>
              </w:rPr>
              <w:t>JobActive</w:t>
            </w:r>
            <w:r w:rsidRPr="0000411F">
              <w:rPr>
                <w:sz w:val="22"/>
                <w:szCs w:val="22"/>
              </w:rPr>
              <w:t xml:space="preserve"> caseload</w:t>
            </w:r>
          </w:p>
        </w:tc>
      </w:tr>
      <w:tr w:rsidR="008A64CC" w:rsidRPr="007069F0" w14:paraId="7BF81386" w14:textId="77777777" w:rsidTr="00E62827">
        <w:trPr>
          <w:trHeight w:val="379"/>
        </w:trPr>
        <w:tc>
          <w:tcPr>
            <w:tcW w:w="3096" w:type="dxa"/>
            <w:shd w:val="clear" w:color="auto" w:fill="auto"/>
            <w:vAlign w:val="center"/>
          </w:tcPr>
          <w:p w14:paraId="1A46B85D" w14:textId="77777777" w:rsidR="008A64CC" w:rsidRDefault="008A64CC" w:rsidP="008A64CC">
            <w:r>
              <w:t>Indigenous</w:t>
            </w:r>
          </w:p>
        </w:tc>
        <w:tc>
          <w:tcPr>
            <w:tcW w:w="3096" w:type="dxa"/>
            <w:shd w:val="clear" w:color="auto" w:fill="auto"/>
            <w:vAlign w:val="center"/>
          </w:tcPr>
          <w:p w14:paraId="261B9962" w14:textId="6C2B7930" w:rsidR="008A64CC" w:rsidRDefault="000C3C03" w:rsidP="008A64CC">
            <w:r>
              <w:t>3,</w:t>
            </w:r>
            <w:r w:rsidR="00712FC7">
              <w:t>326</w:t>
            </w:r>
          </w:p>
        </w:tc>
        <w:tc>
          <w:tcPr>
            <w:tcW w:w="3096" w:type="dxa"/>
            <w:shd w:val="clear" w:color="auto" w:fill="auto"/>
            <w:vAlign w:val="center"/>
          </w:tcPr>
          <w:p w14:paraId="0BD81707" w14:textId="5AD52271" w:rsidR="008A64CC" w:rsidRDefault="008A64CC" w:rsidP="008A64CC">
            <w:r>
              <w:t>26.</w:t>
            </w:r>
            <w:r w:rsidR="00712FC7">
              <w:t>8</w:t>
            </w:r>
            <w:r>
              <w:t>%</w:t>
            </w:r>
          </w:p>
        </w:tc>
      </w:tr>
      <w:tr w:rsidR="008A64CC" w:rsidRPr="007069F0" w14:paraId="499CF388" w14:textId="77777777" w:rsidTr="00E62827">
        <w:trPr>
          <w:trHeight w:val="379"/>
        </w:trPr>
        <w:tc>
          <w:tcPr>
            <w:tcW w:w="3096" w:type="dxa"/>
            <w:shd w:val="clear" w:color="auto" w:fill="auto"/>
            <w:vAlign w:val="center"/>
          </w:tcPr>
          <w:p w14:paraId="7711ED6B" w14:textId="77777777" w:rsidR="008A64CC" w:rsidRPr="007069F0" w:rsidRDefault="008A64CC" w:rsidP="008A64CC">
            <w:r>
              <w:t>Culturally and Linguistically Diverse (CALD)</w:t>
            </w:r>
          </w:p>
        </w:tc>
        <w:tc>
          <w:tcPr>
            <w:tcW w:w="3096" w:type="dxa"/>
            <w:shd w:val="clear" w:color="auto" w:fill="auto"/>
            <w:vAlign w:val="center"/>
          </w:tcPr>
          <w:p w14:paraId="05CE17E3" w14:textId="6DAEADA1" w:rsidR="008A64CC" w:rsidRPr="007069F0" w:rsidRDefault="00712FC7" w:rsidP="008A64CC">
            <w:r>
              <w:t>367</w:t>
            </w:r>
          </w:p>
        </w:tc>
        <w:tc>
          <w:tcPr>
            <w:tcW w:w="3096" w:type="dxa"/>
            <w:shd w:val="clear" w:color="auto" w:fill="auto"/>
            <w:vAlign w:val="center"/>
          </w:tcPr>
          <w:p w14:paraId="4E77163D" w14:textId="33148F62" w:rsidR="008A64CC" w:rsidRPr="007069F0" w:rsidRDefault="00A76F71" w:rsidP="008A64CC">
            <w:r>
              <w:t>3.0</w:t>
            </w:r>
            <w:r w:rsidR="008A64CC">
              <w:t>%</w:t>
            </w:r>
          </w:p>
        </w:tc>
      </w:tr>
      <w:tr w:rsidR="008A64CC" w:rsidRPr="007069F0" w14:paraId="75E2FA00" w14:textId="77777777" w:rsidTr="00E62827">
        <w:trPr>
          <w:trHeight w:val="417"/>
        </w:trPr>
        <w:tc>
          <w:tcPr>
            <w:tcW w:w="3096" w:type="dxa"/>
            <w:shd w:val="clear" w:color="auto" w:fill="auto"/>
            <w:vAlign w:val="center"/>
          </w:tcPr>
          <w:p w14:paraId="25378C4A" w14:textId="77777777" w:rsidR="008A64CC" w:rsidRPr="007069F0" w:rsidRDefault="008A64CC" w:rsidP="008A64CC">
            <w:r>
              <w:t>Person with a disability (PWD)</w:t>
            </w:r>
          </w:p>
        </w:tc>
        <w:tc>
          <w:tcPr>
            <w:tcW w:w="3096" w:type="dxa"/>
            <w:shd w:val="clear" w:color="auto" w:fill="auto"/>
            <w:vAlign w:val="center"/>
          </w:tcPr>
          <w:p w14:paraId="5F0DAB3A" w14:textId="21820A34" w:rsidR="008A64CC" w:rsidRPr="007069F0" w:rsidRDefault="008A64CC" w:rsidP="008A64CC">
            <w:r>
              <w:t>3,</w:t>
            </w:r>
            <w:r w:rsidR="00712FC7">
              <w:t>424</w:t>
            </w:r>
          </w:p>
        </w:tc>
        <w:tc>
          <w:tcPr>
            <w:tcW w:w="3096" w:type="dxa"/>
            <w:shd w:val="clear" w:color="auto" w:fill="auto"/>
            <w:vAlign w:val="center"/>
          </w:tcPr>
          <w:p w14:paraId="2A6EC0B0" w14:textId="3D4C3186" w:rsidR="008A64CC" w:rsidRPr="007069F0" w:rsidRDefault="008A64CC" w:rsidP="008A64CC">
            <w:r>
              <w:t>2</w:t>
            </w:r>
            <w:r w:rsidR="00712FC7">
              <w:t>7.6</w:t>
            </w:r>
            <w:r>
              <w:t>%</w:t>
            </w:r>
          </w:p>
        </w:tc>
      </w:tr>
      <w:tr w:rsidR="008A64CC" w:rsidRPr="007069F0" w14:paraId="77AA3B29" w14:textId="77777777" w:rsidTr="00E62827">
        <w:trPr>
          <w:trHeight w:val="379"/>
        </w:trPr>
        <w:tc>
          <w:tcPr>
            <w:tcW w:w="3096" w:type="dxa"/>
            <w:shd w:val="clear" w:color="auto" w:fill="auto"/>
            <w:vAlign w:val="center"/>
          </w:tcPr>
          <w:p w14:paraId="1F9DB894" w14:textId="77777777" w:rsidR="008A64CC" w:rsidRPr="007069F0" w:rsidRDefault="008A64CC" w:rsidP="008A64CC">
            <w:r>
              <w:t>Refugee</w:t>
            </w:r>
          </w:p>
        </w:tc>
        <w:tc>
          <w:tcPr>
            <w:tcW w:w="3096" w:type="dxa"/>
            <w:shd w:val="clear" w:color="auto" w:fill="auto"/>
            <w:vAlign w:val="center"/>
          </w:tcPr>
          <w:p w14:paraId="00BED2DF" w14:textId="47DE00D6" w:rsidR="008A64CC" w:rsidRPr="007069F0" w:rsidRDefault="00712FC7" w:rsidP="008A64CC">
            <w:r>
              <w:t>35</w:t>
            </w:r>
          </w:p>
        </w:tc>
        <w:tc>
          <w:tcPr>
            <w:tcW w:w="3096" w:type="dxa"/>
            <w:shd w:val="clear" w:color="auto" w:fill="auto"/>
            <w:vAlign w:val="center"/>
          </w:tcPr>
          <w:p w14:paraId="33AC64F8" w14:textId="77777777" w:rsidR="008A64CC" w:rsidRPr="007069F0" w:rsidRDefault="008A64CC" w:rsidP="008A64CC">
            <w:r>
              <w:t>0.3%</w:t>
            </w:r>
          </w:p>
        </w:tc>
      </w:tr>
      <w:tr w:rsidR="008A64CC" w:rsidRPr="007069F0" w14:paraId="39498032" w14:textId="77777777" w:rsidTr="00E62827">
        <w:trPr>
          <w:trHeight w:val="356"/>
        </w:trPr>
        <w:tc>
          <w:tcPr>
            <w:tcW w:w="3096" w:type="dxa"/>
            <w:shd w:val="clear" w:color="auto" w:fill="auto"/>
            <w:vAlign w:val="center"/>
          </w:tcPr>
          <w:p w14:paraId="58AC7AA8" w14:textId="77777777" w:rsidR="008A64CC" w:rsidRPr="007069F0" w:rsidRDefault="008A64CC" w:rsidP="008A64CC">
            <w:r>
              <w:t>Youth (15-24 years)</w:t>
            </w:r>
          </w:p>
        </w:tc>
        <w:tc>
          <w:tcPr>
            <w:tcW w:w="3096" w:type="dxa"/>
            <w:shd w:val="clear" w:color="auto" w:fill="auto"/>
            <w:vAlign w:val="center"/>
          </w:tcPr>
          <w:p w14:paraId="6BEA70B2" w14:textId="77909137" w:rsidR="008A64CC" w:rsidRPr="007069F0" w:rsidRDefault="008A64CC" w:rsidP="008A64CC">
            <w:r>
              <w:t>2,</w:t>
            </w:r>
            <w:r w:rsidR="00712FC7">
              <w:t>496</w:t>
            </w:r>
          </w:p>
        </w:tc>
        <w:tc>
          <w:tcPr>
            <w:tcW w:w="3096" w:type="dxa"/>
            <w:shd w:val="clear" w:color="auto" w:fill="auto"/>
            <w:vAlign w:val="center"/>
          </w:tcPr>
          <w:p w14:paraId="1BF24B8F" w14:textId="001FD05D" w:rsidR="008A64CC" w:rsidRPr="007069F0" w:rsidRDefault="008A64CC" w:rsidP="008A64CC">
            <w:r>
              <w:t>20.</w:t>
            </w:r>
            <w:r w:rsidR="00712FC7">
              <w:t>1</w:t>
            </w:r>
            <w:r>
              <w:t>%</w:t>
            </w:r>
          </w:p>
        </w:tc>
      </w:tr>
      <w:tr w:rsidR="008A64CC" w:rsidRPr="007069F0" w14:paraId="618C9723" w14:textId="77777777" w:rsidTr="00E62827">
        <w:trPr>
          <w:trHeight w:val="356"/>
        </w:trPr>
        <w:tc>
          <w:tcPr>
            <w:tcW w:w="3096" w:type="dxa"/>
            <w:shd w:val="clear" w:color="auto" w:fill="auto"/>
            <w:vAlign w:val="center"/>
          </w:tcPr>
          <w:p w14:paraId="53C7D06F" w14:textId="77777777" w:rsidR="008A64CC" w:rsidRDefault="008A64CC" w:rsidP="008A64CC">
            <w:r>
              <w:t>Mature Age (50+)</w:t>
            </w:r>
          </w:p>
        </w:tc>
        <w:tc>
          <w:tcPr>
            <w:tcW w:w="3096" w:type="dxa"/>
            <w:shd w:val="clear" w:color="auto" w:fill="auto"/>
            <w:vAlign w:val="center"/>
          </w:tcPr>
          <w:p w14:paraId="33941D19" w14:textId="2C21B2CB" w:rsidR="008A64CC" w:rsidRDefault="008A64CC" w:rsidP="008A64CC">
            <w:r>
              <w:t>3,</w:t>
            </w:r>
            <w:r w:rsidR="00712FC7">
              <w:t>026</w:t>
            </w:r>
          </w:p>
        </w:tc>
        <w:tc>
          <w:tcPr>
            <w:tcW w:w="3096" w:type="dxa"/>
            <w:shd w:val="clear" w:color="auto" w:fill="auto"/>
            <w:vAlign w:val="center"/>
          </w:tcPr>
          <w:p w14:paraId="542D1BB3" w14:textId="23D4DB35" w:rsidR="008A64CC" w:rsidRDefault="008A64CC" w:rsidP="008A64CC">
            <w:r>
              <w:t>24.</w:t>
            </w:r>
            <w:r w:rsidR="00712FC7">
              <w:t>4</w:t>
            </w:r>
            <w:r>
              <w:t>%</w:t>
            </w:r>
          </w:p>
        </w:tc>
      </w:tr>
      <w:tr w:rsidR="008A64CC" w:rsidRPr="007069F0" w14:paraId="714DFB40" w14:textId="77777777" w:rsidTr="00E62827">
        <w:trPr>
          <w:trHeight w:val="356"/>
        </w:trPr>
        <w:tc>
          <w:tcPr>
            <w:tcW w:w="3096" w:type="dxa"/>
            <w:shd w:val="clear" w:color="auto" w:fill="auto"/>
            <w:vAlign w:val="center"/>
          </w:tcPr>
          <w:p w14:paraId="698F163E" w14:textId="77777777" w:rsidR="008A64CC" w:rsidRPr="007069F0" w:rsidRDefault="008A64CC" w:rsidP="008A64CC">
            <w:r>
              <w:t>Parents</w:t>
            </w:r>
          </w:p>
        </w:tc>
        <w:tc>
          <w:tcPr>
            <w:tcW w:w="3096" w:type="dxa"/>
            <w:shd w:val="clear" w:color="auto" w:fill="auto"/>
            <w:vAlign w:val="center"/>
          </w:tcPr>
          <w:p w14:paraId="31554462" w14:textId="30FFE563" w:rsidR="008A64CC" w:rsidRPr="007069F0" w:rsidRDefault="008A64CC" w:rsidP="008A64CC">
            <w:r>
              <w:t>3,</w:t>
            </w:r>
            <w:r w:rsidR="00712FC7">
              <w:t>492</w:t>
            </w:r>
          </w:p>
        </w:tc>
        <w:tc>
          <w:tcPr>
            <w:tcW w:w="3096" w:type="dxa"/>
            <w:shd w:val="clear" w:color="auto" w:fill="auto"/>
            <w:vAlign w:val="center"/>
          </w:tcPr>
          <w:p w14:paraId="2F2D20BF" w14:textId="506C6DCB" w:rsidR="008A64CC" w:rsidRPr="007069F0" w:rsidRDefault="008A64CC" w:rsidP="008A64CC">
            <w:r>
              <w:t>2</w:t>
            </w:r>
            <w:r w:rsidR="00712FC7">
              <w:t>8.1</w:t>
            </w:r>
            <w:r>
              <w:t>%</w:t>
            </w:r>
          </w:p>
        </w:tc>
      </w:tr>
      <w:tr w:rsidR="008A64CC" w:rsidRPr="007069F0" w14:paraId="42B98D3C" w14:textId="77777777" w:rsidTr="00E62827">
        <w:trPr>
          <w:trHeight w:val="356"/>
        </w:trPr>
        <w:tc>
          <w:tcPr>
            <w:tcW w:w="3096" w:type="dxa"/>
            <w:shd w:val="clear" w:color="auto" w:fill="auto"/>
            <w:vAlign w:val="center"/>
          </w:tcPr>
          <w:p w14:paraId="57ACCB79" w14:textId="77777777" w:rsidR="008A64CC" w:rsidRDefault="008A64CC" w:rsidP="008A64CC">
            <w:r>
              <w:t>+ 12 months</w:t>
            </w:r>
            <w:r w:rsidRPr="00150330">
              <w:rPr>
                <w:vertAlign w:val="superscript"/>
              </w:rPr>
              <w:t>4</w:t>
            </w:r>
          </w:p>
        </w:tc>
        <w:tc>
          <w:tcPr>
            <w:tcW w:w="3096" w:type="dxa"/>
            <w:shd w:val="clear" w:color="auto" w:fill="auto"/>
            <w:vAlign w:val="center"/>
          </w:tcPr>
          <w:p w14:paraId="1B06B94D" w14:textId="6ABCD451" w:rsidR="008A64CC" w:rsidRDefault="008A64CC" w:rsidP="008A64CC">
            <w:r>
              <w:t>9,</w:t>
            </w:r>
            <w:r w:rsidR="00712FC7">
              <w:t>459</w:t>
            </w:r>
          </w:p>
        </w:tc>
        <w:tc>
          <w:tcPr>
            <w:tcW w:w="3096" w:type="dxa"/>
            <w:shd w:val="clear" w:color="auto" w:fill="auto"/>
            <w:vAlign w:val="center"/>
          </w:tcPr>
          <w:p w14:paraId="6BFF785E" w14:textId="692A23E1" w:rsidR="008A64CC" w:rsidRDefault="008A64CC" w:rsidP="008A64CC">
            <w:r>
              <w:t>7</w:t>
            </w:r>
            <w:r w:rsidR="00E5331A">
              <w:t>6</w:t>
            </w:r>
            <w:r>
              <w:t>.</w:t>
            </w:r>
            <w:r w:rsidR="00712FC7">
              <w:t>2</w:t>
            </w:r>
            <w:r>
              <w:t>%</w:t>
            </w:r>
          </w:p>
        </w:tc>
      </w:tr>
      <w:tr w:rsidR="008A64CC" w:rsidRPr="007069F0" w14:paraId="48EA5348" w14:textId="77777777" w:rsidTr="00E62827">
        <w:trPr>
          <w:trHeight w:val="356"/>
        </w:trPr>
        <w:tc>
          <w:tcPr>
            <w:tcW w:w="3096" w:type="dxa"/>
            <w:shd w:val="clear" w:color="auto" w:fill="auto"/>
            <w:vAlign w:val="center"/>
          </w:tcPr>
          <w:p w14:paraId="636BFD9A" w14:textId="77777777" w:rsidR="008A64CC" w:rsidRDefault="008A64CC" w:rsidP="008A64CC">
            <w:r>
              <w:t>Total caseload</w:t>
            </w:r>
          </w:p>
        </w:tc>
        <w:tc>
          <w:tcPr>
            <w:tcW w:w="3096" w:type="dxa"/>
            <w:shd w:val="clear" w:color="auto" w:fill="auto"/>
            <w:vAlign w:val="center"/>
          </w:tcPr>
          <w:p w14:paraId="40ECEFBC" w14:textId="338DD8C0" w:rsidR="008A64CC" w:rsidRDefault="008A64CC" w:rsidP="008A64CC">
            <w:r>
              <w:t>12,</w:t>
            </w:r>
            <w:r w:rsidR="00712FC7">
              <w:t>406</w:t>
            </w:r>
          </w:p>
        </w:tc>
        <w:tc>
          <w:tcPr>
            <w:tcW w:w="3096" w:type="dxa"/>
            <w:shd w:val="clear" w:color="auto" w:fill="auto"/>
            <w:vAlign w:val="center"/>
          </w:tcPr>
          <w:p w14:paraId="5CB5E3A0" w14:textId="77777777" w:rsidR="008A64CC" w:rsidRDefault="008A64CC" w:rsidP="008A64CC"/>
        </w:tc>
      </w:tr>
    </w:tbl>
    <w:p w14:paraId="6089C90C" w14:textId="02E65FB2" w:rsidR="00D14843" w:rsidRDefault="00D14843" w:rsidP="00D14843">
      <w:pPr>
        <w:pStyle w:val="Source"/>
        <w:spacing w:after="0"/>
      </w:pPr>
      <w:r>
        <w:rPr>
          <w:b/>
        </w:rPr>
        <w:br/>
      </w:r>
      <w:r w:rsidRPr="00C1135A">
        <w:rPr>
          <w:b/>
        </w:rPr>
        <w:t>Source:</w:t>
      </w:r>
      <w:r w:rsidRPr="00C1135A">
        <w:t xml:space="preserve"> </w:t>
      </w:r>
      <w:r>
        <w:t>Fitzroy LJP Data</w:t>
      </w:r>
      <w:r w:rsidR="007042C2">
        <w:t xml:space="preserve"> – Provided by DESE not publicly released</w:t>
      </w:r>
      <w:r>
        <w:t>,</w:t>
      </w:r>
      <w:r w:rsidRPr="00C1135A">
        <w:t xml:space="preserve"> </w:t>
      </w:r>
      <w:r w:rsidR="005E2F1D">
        <w:t>April</w:t>
      </w:r>
      <w:r w:rsidR="005E2F1D" w:rsidRPr="00C1135A">
        <w:t xml:space="preserve"> </w:t>
      </w:r>
      <w:r w:rsidRPr="00C1135A">
        <w:t>202</w:t>
      </w:r>
      <w:r w:rsidR="00C9131B">
        <w:t>2</w:t>
      </w:r>
      <w:r w:rsidRPr="00C1135A">
        <w:t xml:space="preserve">. </w:t>
      </w:r>
      <w:r>
        <w:br/>
      </w:r>
      <w:r w:rsidRPr="00C1135A">
        <w:rPr>
          <w:b/>
        </w:rPr>
        <w:t xml:space="preserve">Data disclaimer: </w:t>
      </w:r>
      <w:r>
        <w:t>Data</w:t>
      </w:r>
      <w:r w:rsidRPr="00C1135A">
        <w:t xml:space="preserve"> is regularly changing and should be only considered as an indication of characteristics at the time of publication. Data is expected to change and should be reviewed and referenced no less than every quarterly reporting period. </w:t>
      </w:r>
    </w:p>
    <w:p w14:paraId="20F2ADAC" w14:textId="77777777" w:rsidR="00D14843" w:rsidRDefault="00D14843" w:rsidP="00D14843">
      <w:pPr>
        <w:pStyle w:val="Source"/>
        <w:spacing w:after="0"/>
      </w:pPr>
      <w:r>
        <w:t>(1) The Employment Region and Local Government Areas (LGA) are mapped using the participants residential address, with a small number of participants with an Employment Region or LGA of 'Not Stated', these are addresses either not able to be mapped to an Employment Region/LGA, or their address is not recorded. These may differ slightly from caseload figures that use provider address.</w:t>
      </w:r>
    </w:p>
    <w:p w14:paraId="18FD70EF" w14:textId="77777777" w:rsidR="00D14843" w:rsidRDefault="00D14843" w:rsidP="00D14843">
      <w:pPr>
        <w:pStyle w:val="Source"/>
        <w:spacing w:after="0"/>
      </w:pPr>
      <w:r>
        <w:t xml:space="preserve">(2) Caseload participants in TTW, PN, and JA by Local Government Areas (LGA). Note that LGA boundaries may extend beyond the Employment Region. </w:t>
      </w:r>
    </w:p>
    <w:p w14:paraId="4DE2454F" w14:textId="77777777" w:rsidR="00D14843" w:rsidRDefault="00D14843" w:rsidP="00D14843">
      <w:pPr>
        <w:pStyle w:val="Source"/>
        <w:spacing w:after="0"/>
      </w:pPr>
      <w:r>
        <w:t>(3) A participant can have multiple characteristics; therefore, the sum of participant characteristics will not equal the total caseload.</w:t>
      </w:r>
    </w:p>
    <w:p w14:paraId="7C89C249" w14:textId="77777777" w:rsidR="00D14843" w:rsidRDefault="00D14843" w:rsidP="00D14843">
      <w:pPr>
        <w:pStyle w:val="Source"/>
        <w:spacing w:after="0"/>
      </w:pPr>
      <w:r>
        <w:t>(4) Participants who have been registered with Employment Services for 12 months or longer.</w:t>
      </w:r>
    </w:p>
    <w:p w14:paraId="3412BA48" w14:textId="4BEF5B83" w:rsidR="000F56EA" w:rsidRDefault="000F56EA" w:rsidP="00EE50E5">
      <w:pPr>
        <w:pStyle w:val="BoxHeading-Box"/>
      </w:pPr>
    </w:p>
    <w:p w14:paraId="1E54D687" w14:textId="77777777" w:rsidR="009C0487" w:rsidRDefault="009C0487" w:rsidP="00B313B8">
      <w:pPr>
        <w:rPr>
          <w:b/>
        </w:rPr>
      </w:pPr>
      <w:bookmarkStart w:id="40" w:name="_Toc54252373"/>
      <w:bookmarkStart w:id="41" w:name="_Toc54252402"/>
    </w:p>
    <w:p w14:paraId="75C8DEB3" w14:textId="77777777" w:rsidR="009C0487" w:rsidRDefault="009C0487" w:rsidP="00B313B8">
      <w:pPr>
        <w:rPr>
          <w:b/>
        </w:rPr>
      </w:pPr>
    </w:p>
    <w:p w14:paraId="4BE2EDF0" w14:textId="77777777" w:rsidR="009C0487" w:rsidRDefault="009C0487" w:rsidP="00B313B8">
      <w:pPr>
        <w:rPr>
          <w:b/>
        </w:rPr>
      </w:pPr>
    </w:p>
    <w:p w14:paraId="2F2DDB1A" w14:textId="77777777" w:rsidR="009C0487" w:rsidRDefault="009C0487" w:rsidP="00B313B8">
      <w:pPr>
        <w:rPr>
          <w:b/>
        </w:rPr>
      </w:pPr>
    </w:p>
    <w:p w14:paraId="32602FEF" w14:textId="77777777" w:rsidR="009C0487" w:rsidRDefault="009C0487" w:rsidP="00B313B8">
      <w:pPr>
        <w:rPr>
          <w:b/>
        </w:rPr>
      </w:pPr>
    </w:p>
    <w:p w14:paraId="522EC3A2" w14:textId="77777777" w:rsidR="009C0487" w:rsidRDefault="009C0487" w:rsidP="00B313B8">
      <w:pPr>
        <w:rPr>
          <w:b/>
        </w:rPr>
      </w:pPr>
    </w:p>
    <w:p w14:paraId="053465EA" w14:textId="77777777" w:rsidR="009C0487" w:rsidRDefault="009C0487" w:rsidP="00B313B8">
      <w:pPr>
        <w:rPr>
          <w:b/>
        </w:rPr>
      </w:pPr>
    </w:p>
    <w:p w14:paraId="3311FE8A" w14:textId="77777777" w:rsidR="009C0487" w:rsidRDefault="009C0487" w:rsidP="00B313B8">
      <w:pPr>
        <w:rPr>
          <w:b/>
        </w:rPr>
      </w:pPr>
    </w:p>
    <w:p w14:paraId="5064A56B" w14:textId="77777777" w:rsidR="009C0487" w:rsidRDefault="009C0487" w:rsidP="00B313B8">
      <w:pPr>
        <w:rPr>
          <w:b/>
        </w:rPr>
      </w:pPr>
    </w:p>
    <w:p w14:paraId="46B25729" w14:textId="77777777" w:rsidR="009C0487" w:rsidRDefault="009C0487" w:rsidP="00B313B8">
      <w:pPr>
        <w:rPr>
          <w:b/>
        </w:rPr>
      </w:pPr>
    </w:p>
    <w:p w14:paraId="56020A1E" w14:textId="77777777" w:rsidR="009C0487" w:rsidRDefault="009C0487" w:rsidP="00B313B8">
      <w:pPr>
        <w:rPr>
          <w:b/>
        </w:rPr>
      </w:pPr>
    </w:p>
    <w:p w14:paraId="44C7BD6B" w14:textId="42C68C52" w:rsidR="004D72D2" w:rsidRDefault="004D72D2" w:rsidP="00B313B8">
      <w:r>
        <w:rPr>
          <w:b/>
        </w:rPr>
        <w:lastRenderedPageBreak/>
        <w:t>E</w:t>
      </w:r>
      <w:r w:rsidRPr="00D55F9D">
        <w:rPr>
          <w:b/>
        </w:rPr>
        <w:t>xisting local projects and strategies</w:t>
      </w:r>
    </w:p>
    <w:p w14:paraId="3F8854AA" w14:textId="5AF1CFBB" w:rsidR="00940419" w:rsidRDefault="001B4E5C" w:rsidP="00940419">
      <w:pPr>
        <w:spacing w:before="120" w:after="120" w:line="240" w:lineRule="auto"/>
        <w:contextualSpacing/>
      </w:pPr>
      <w:r w:rsidRPr="0046122B">
        <w:t xml:space="preserve">Across the </w:t>
      </w:r>
      <w:r w:rsidR="00AE2580" w:rsidRPr="0046122B">
        <w:t>Fitzroy</w:t>
      </w:r>
      <w:r w:rsidRPr="0046122B">
        <w:t xml:space="preserve"> </w:t>
      </w:r>
      <w:r w:rsidR="001D5C9D">
        <w:t>ER</w:t>
      </w:r>
      <w:r w:rsidRPr="0046122B">
        <w:t xml:space="preserve"> there are </w:t>
      </w:r>
      <w:proofErr w:type="gramStart"/>
      <w:r w:rsidR="005560B1">
        <w:t xml:space="preserve">a </w:t>
      </w:r>
      <w:r w:rsidR="00BA134D">
        <w:t>number of</w:t>
      </w:r>
      <w:proofErr w:type="gramEnd"/>
      <w:r w:rsidR="005560B1" w:rsidRPr="0046122B">
        <w:t xml:space="preserve"> </w:t>
      </w:r>
      <w:r w:rsidRPr="0046122B">
        <w:t xml:space="preserve">projects in planning and implementation phases that present significant opportunity for employment. The projects are funded by </w:t>
      </w:r>
      <w:r w:rsidR="00A10F03">
        <w:t>L</w:t>
      </w:r>
      <w:r w:rsidRPr="0046122B">
        <w:t xml:space="preserve">ocal </w:t>
      </w:r>
      <w:r w:rsidR="00A10F03">
        <w:t>C</w:t>
      </w:r>
      <w:r w:rsidRPr="0046122B">
        <w:t>ouncils, State</w:t>
      </w:r>
      <w:r w:rsidR="00204761">
        <w:t xml:space="preserve"> and </w:t>
      </w:r>
      <w:r w:rsidRPr="0046122B">
        <w:t>Federal Government</w:t>
      </w:r>
      <w:r w:rsidR="00890F57">
        <w:t>s</w:t>
      </w:r>
      <w:r w:rsidR="00F617DF">
        <w:t>, and through all three levels of government in a</w:t>
      </w:r>
      <w:r w:rsidRPr="0046122B">
        <w:t xml:space="preserve"> </w:t>
      </w:r>
      <w:r w:rsidRPr="00F617DF">
        <w:t>Regional Deal</w:t>
      </w:r>
      <w:r w:rsidR="00F617DF">
        <w:t xml:space="preserve">, which aims to improve the productivity and </w:t>
      </w:r>
      <w:r w:rsidR="00675374">
        <w:t>livability</w:t>
      </w:r>
      <w:r w:rsidR="00F617DF">
        <w:t xml:space="preserve"> of the Fitzroy region by stimulating economic growth, improving social </w:t>
      </w:r>
      <w:r w:rsidR="00F617DF" w:rsidDel="00A5220E">
        <w:t>outcomes</w:t>
      </w:r>
      <w:r w:rsidR="00A5220E">
        <w:t>,</w:t>
      </w:r>
      <w:r w:rsidR="00F617DF">
        <w:t xml:space="preserve"> and supporting local leadership</w:t>
      </w:r>
      <w:r w:rsidRPr="0046122B">
        <w:t xml:space="preserve">. </w:t>
      </w:r>
    </w:p>
    <w:p w14:paraId="5C981871" w14:textId="77777777" w:rsidR="00940419" w:rsidRDefault="00940419" w:rsidP="00940419">
      <w:pPr>
        <w:spacing w:before="120" w:after="120" w:line="240" w:lineRule="auto"/>
        <w:contextualSpacing/>
      </w:pPr>
    </w:p>
    <w:p w14:paraId="426DAC7A" w14:textId="59383E5F" w:rsidR="00675374" w:rsidRDefault="001B4E5C" w:rsidP="00940419">
      <w:pPr>
        <w:spacing w:before="120" w:after="120" w:line="240" w:lineRule="auto"/>
        <w:contextualSpacing/>
      </w:pPr>
      <w:r w:rsidRPr="0046122B">
        <w:t xml:space="preserve">Projects are typically promoted through </w:t>
      </w:r>
      <w:r w:rsidR="002F4A14">
        <w:t>L</w:t>
      </w:r>
      <w:r w:rsidRPr="0046122B">
        <w:t xml:space="preserve">ocal </w:t>
      </w:r>
      <w:r w:rsidR="002F4A14">
        <w:t>C</w:t>
      </w:r>
      <w:r w:rsidRPr="0046122B">
        <w:t xml:space="preserve">ouncil strategic implementation plans, Regional Development Australia project reports or Queensland State Government economic recovery plans. Project reports are generally published and reported via LGAs or </w:t>
      </w:r>
      <w:r w:rsidR="002F4A14">
        <w:t>L</w:t>
      </w:r>
      <w:r w:rsidRPr="0046122B">
        <w:t xml:space="preserve">ocal </w:t>
      </w:r>
      <w:r w:rsidR="002F4A14">
        <w:t>C</w:t>
      </w:r>
      <w:r w:rsidRPr="0046122B">
        <w:t xml:space="preserve">ouncil jurisdictions and Regional Development Australia committees. </w:t>
      </w:r>
    </w:p>
    <w:p w14:paraId="36D78261" w14:textId="76D64F49" w:rsidR="00223F0B" w:rsidRDefault="00223F0B" w:rsidP="00940419">
      <w:pPr>
        <w:spacing w:before="120" w:after="120" w:line="240" w:lineRule="auto"/>
        <w:contextualSpacing/>
      </w:pPr>
    </w:p>
    <w:p w14:paraId="16ACA8F8" w14:textId="75868F9A" w:rsidR="00223F0B" w:rsidRDefault="00223F0B" w:rsidP="00940419">
      <w:pPr>
        <w:spacing w:before="120" w:after="120" w:line="240" w:lineRule="auto"/>
        <w:contextualSpacing/>
      </w:pPr>
      <w:r>
        <w:t xml:space="preserve">Links to </w:t>
      </w:r>
      <w:r w:rsidR="004F44EA">
        <w:t>major</w:t>
      </w:r>
      <w:r>
        <w:t xml:space="preserve"> projects in the region can be found below:</w:t>
      </w:r>
    </w:p>
    <w:p w14:paraId="1F029A08" w14:textId="37FD7601" w:rsidR="00223F0B" w:rsidRDefault="002C674B" w:rsidP="00BC1B72">
      <w:pPr>
        <w:pStyle w:val="ListParagraph"/>
        <w:numPr>
          <w:ilvl w:val="0"/>
          <w:numId w:val="53"/>
        </w:numPr>
        <w:spacing w:before="120" w:after="120" w:line="240" w:lineRule="auto"/>
      </w:pPr>
      <w:hyperlink r:id="rId27" w:history="1">
        <w:r w:rsidR="006019D7" w:rsidRPr="00957815">
          <w:rPr>
            <w:rStyle w:val="Hyperlink"/>
          </w:rPr>
          <w:t>https://www.csq.org.au/major-projects-explorer/explore-by-project/</w:t>
        </w:r>
      </w:hyperlink>
    </w:p>
    <w:p w14:paraId="11A4DD02" w14:textId="7CE443C8" w:rsidR="00BC1B72" w:rsidRDefault="002C674B" w:rsidP="00BC1B72">
      <w:pPr>
        <w:pStyle w:val="ListParagraph"/>
        <w:numPr>
          <w:ilvl w:val="0"/>
          <w:numId w:val="53"/>
        </w:numPr>
        <w:spacing w:before="120" w:after="120" w:line="240" w:lineRule="auto"/>
      </w:pPr>
      <w:hyperlink r:id="rId28" w:history="1">
        <w:r w:rsidR="00F40261" w:rsidRPr="00957815">
          <w:rPr>
            <w:rStyle w:val="Hyperlink"/>
          </w:rPr>
          <w:t>https://www.rockhamptonregion.qld.gov.au/CouncilServices/Works-and-Projects/Major-Projects</w:t>
        </w:r>
      </w:hyperlink>
    </w:p>
    <w:p w14:paraId="36D70070" w14:textId="5468CD72" w:rsidR="00F40261" w:rsidRDefault="002C674B" w:rsidP="00BC1B72">
      <w:pPr>
        <w:pStyle w:val="ListParagraph"/>
        <w:numPr>
          <w:ilvl w:val="0"/>
          <w:numId w:val="53"/>
        </w:numPr>
        <w:spacing w:before="120" w:after="120" w:line="240" w:lineRule="auto"/>
      </w:pPr>
      <w:hyperlink r:id="rId29" w:history="1">
        <w:r w:rsidR="00F40261" w:rsidRPr="00957815">
          <w:rPr>
            <w:rStyle w:val="Hyperlink"/>
          </w:rPr>
          <w:t>https://www.gladstone.qld.gov.au/major-projects</w:t>
        </w:r>
      </w:hyperlink>
    </w:p>
    <w:p w14:paraId="01787656" w14:textId="49909516" w:rsidR="00F40261" w:rsidRDefault="002C674B" w:rsidP="00BC1B72">
      <w:pPr>
        <w:pStyle w:val="ListParagraph"/>
        <w:numPr>
          <w:ilvl w:val="0"/>
          <w:numId w:val="53"/>
        </w:numPr>
        <w:spacing w:before="120" w:after="120" w:line="240" w:lineRule="auto"/>
      </w:pPr>
      <w:hyperlink r:id="rId30" w:history="1">
        <w:r w:rsidR="00396FF2" w:rsidRPr="00957815">
          <w:rPr>
            <w:rStyle w:val="Hyperlink"/>
          </w:rPr>
          <w:t>https://www.chrc.qld.gov.au/building-planning-projects/council-projects/</w:t>
        </w:r>
      </w:hyperlink>
    </w:p>
    <w:p w14:paraId="0D322CE7" w14:textId="7385B364" w:rsidR="00396FF2" w:rsidRDefault="002C674B" w:rsidP="00CE3C0F">
      <w:pPr>
        <w:pStyle w:val="ListParagraph"/>
        <w:numPr>
          <w:ilvl w:val="0"/>
          <w:numId w:val="53"/>
        </w:numPr>
        <w:spacing w:before="120" w:after="120" w:line="240" w:lineRule="auto"/>
      </w:pPr>
      <w:hyperlink r:id="rId31" w:history="1">
        <w:r w:rsidR="00941256" w:rsidRPr="00B2719F">
          <w:rPr>
            <w:rStyle w:val="Hyperlink"/>
          </w:rPr>
          <w:t>https://www.livingstone.qld.gov.au/living-here/my-community/council-projects</w:t>
        </w:r>
      </w:hyperlink>
      <w:r w:rsidR="00941256">
        <w:t xml:space="preserve"> </w:t>
      </w:r>
    </w:p>
    <w:p w14:paraId="781E5E2A" w14:textId="77777777" w:rsidR="00BC1B72" w:rsidRDefault="00BC1B72" w:rsidP="00940419">
      <w:pPr>
        <w:spacing w:before="120" w:after="120" w:line="240" w:lineRule="auto"/>
        <w:contextualSpacing/>
      </w:pPr>
    </w:p>
    <w:p w14:paraId="1C27764C" w14:textId="438771EC" w:rsidR="002627F5" w:rsidRDefault="0071663C" w:rsidP="002627F5">
      <w:pPr>
        <w:rPr>
          <w:lang w:val="en-AU"/>
        </w:rPr>
      </w:pPr>
      <w:bookmarkStart w:id="42" w:name="_Toc54857008"/>
      <w:bookmarkEnd w:id="40"/>
      <w:bookmarkEnd w:id="41"/>
      <w:r>
        <w:t>The LJP aims to identify, upskill, and create pathways into these local projects by maximising and leveraging new and existing programs and funding to satisfy opportunities or gaps in the labour market. The Employment Facilitator and Taskforce will be leveraging existing networks to tailor local approaches to these projects, to accelerate the upskilling of job</w:t>
      </w:r>
      <w:r w:rsidR="0050717F">
        <w:t xml:space="preserve"> </w:t>
      </w:r>
      <w:r>
        <w:t>seekers, and move them into employment as quickly as possible</w:t>
      </w:r>
      <w:r w:rsidR="00437D0F">
        <w:t>.</w:t>
      </w:r>
    </w:p>
    <w:p w14:paraId="7B5B9E68" w14:textId="77777777" w:rsidR="00E45186" w:rsidRDefault="00E45186" w:rsidP="002627F5">
      <w:pPr>
        <w:rPr>
          <w:lang w:val="en-AU"/>
        </w:rPr>
        <w:sectPr w:rsidR="00E45186" w:rsidSect="001C5E08">
          <w:pgSz w:w="11906" w:h="16838"/>
          <w:pgMar w:top="1276" w:right="1418" w:bottom="1135" w:left="1440" w:header="709" w:footer="567" w:gutter="0"/>
          <w:cols w:space="708"/>
          <w:docGrid w:linePitch="360"/>
        </w:sectPr>
      </w:pPr>
    </w:p>
    <w:p w14:paraId="45217745" w14:textId="073AE7B8" w:rsidR="001B4E5C" w:rsidRPr="00B90C5F" w:rsidRDefault="001B4E5C" w:rsidP="00246F3C">
      <w:pPr>
        <w:pStyle w:val="Heading1"/>
      </w:pPr>
      <w:bookmarkStart w:id="43" w:name="_Toc1667716346"/>
      <w:bookmarkStart w:id="44" w:name="_Toc94614528"/>
      <w:r w:rsidRPr="0052499C">
        <w:lastRenderedPageBreak/>
        <w:t>Attachment A: Key Priorities</w:t>
      </w:r>
      <w:bookmarkEnd w:id="42"/>
      <w:bookmarkEnd w:id="43"/>
      <w:bookmarkEnd w:id="44"/>
    </w:p>
    <w:tbl>
      <w:tblPr>
        <w:tblStyle w:val="TableGrid1"/>
        <w:tblW w:w="9351" w:type="dxa"/>
        <w:tblLook w:val="06A0" w:firstRow="1" w:lastRow="0" w:firstColumn="1" w:lastColumn="0" w:noHBand="1" w:noVBand="1"/>
      </w:tblPr>
      <w:tblGrid>
        <w:gridCol w:w="4815"/>
        <w:gridCol w:w="4536"/>
      </w:tblGrid>
      <w:tr w:rsidR="001B4E5C" w14:paraId="6AE661DD" w14:textId="77777777" w:rsidTr="00246F3C">
        <w:tc>
          <w:tcPr>
            <w:tcW w:w="93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AD126" w14:textId="4ED0C9DE" w:rsidR="001B4E5C" w:rsidRPr="00E829C9" w:rsidRDefault="001B4E5C" w:rsidP="003E0726">
            <w:pPr>
              <w:spacing w:before="120" w:after="120" w:line="257" w:lineRule="auto"/>
              <w:rPr>
                <w:b/>
                <w:bCs/>
              </w:rPr>
            </w:pPr>
            <w:r w:rsidRPr="001D4FEC">
              <w:rPr>
                <w:b/>
                <w:i/>
              </w:rPr>
              <w:t>Priority One</w:t>
            </w:r>
            <w:r w:rsidR="00374025" w:rsidRPr="00246F3C">
              <w:rPr>
                <w:b/>
                <w:bCs/>
                <w:i/>
                <w:iCs/>
              </w:rPr>
              <w:t>:</w:t>
            </w:r>
            <w:r w:rsidR="006B0BD6">
              <w:rPr>
                <w:b/>
                <w:bCs/>
                <w:i/>
                <w:iCs/>
              </w:rPr>
              <w:t xml:space="preserve"> </w:t>
            </w:r>
            <w:r w:rsidR="00D55F9D" w:rsidRPr="00757C2A">
              <w:rPr>
                <w:rFonts w:cstheme="minorHAnsi"/>
              </w:rPr>
              <w:t xml:space="preserve">Collaborate, co-ordinate and utilise current programs and funding to identify, upskill, and place appropriate job seekers within the Fitzroy </w:t>
            </w:r>
            <w:r w:rsidR="005E49B6" w:rsidRPr="00757C2A">
              <w:rPr>
                <w:rFonts w:cstheme="minorHAnsi"/>
              </w:rPr>
              <w:t>ER into</w:t>
            </w:r>
            <w:r w:rsidR="00D55F9D" w:rsidRPr="00757C2A">
              <w:rPr>
                <w:rFonts w:cstheme="minorHAnsi"/>
              </w:rPr>
              <w:t xml:space="preserve"> industries experiencing on-going labour shortages, namely: a. Agriculture, Forestry and Fishing, b.</w:t>
            </w:r>
            <w:r w:rsidR="001A2953">
              <w:rPr>
                <w:rFonts w:cstheme="minorHAnsi"/>
              </w:rPr>
              <w:t xml:space="preserve"> </w:t>
            </w:r>
            <w:r w:rsidR="00D55F9D" w:rsidRPr="00757C2A">
              <w:rPr>
                <w:rFonts w:cstheme="minorHAnsi"/>
              </w:rPr>
              <w:t xml:space="preserve">Mining, c. Health </w:t>
            </w:r>
            <w:r w:rsidR="006B0BD6">
              <w:rPr>
                <w:rFonts w:cstheme="minorHAnsi"/>
              </w:rPr>
              <w:t>C</w:t>
            </w:r>
            <w:r w:rsidR="00D55F9D" w:rsidRPr="00757C2A">
              <w:rPr>
                <w:rFonts w:cstheme="minorHAnsi"/>
              </w:rPr>
              <w:t xml:space="preserve">are and </w:t>
            </w:r>
            <w:r w:rsidR="006B0BD6">
              <w:rPr>
                <w:rFonts w:cstheme="minorHAnsi"/>
              </w:rPr>
              <w:t>S</w:t>
            </w:r>
            <w:r w:rsidR="00D55F9D" w:rsidRPr="00757C2A">
              <w:rPr>
                <w:rFonts w:cstheme="minorHAnsi"/>
              </w:rPr>
              <w:t xml:space="preserve">ocial </w:t>
            </w:r>
            <w:r w:rsidR="006B0BD6">
              <w:rPr>
                <w:rFonts w:cstheme="minorHAnsi"/>
              </w:rPr>
              <w:t>A</w:t>
            </w:r>
            <w:r w:rsidR="00D55F9D" w:rsidRPr="00757C2A">
              <w:rPr>
                <w:rFonts w:cstheme="minorHAnsi"/>
              </w:rPr>
              <w:t xml:space="preserve">ssistance, d. Manufacturing, e. Construction f. Tourism </w:t>
            </w:r>
            <w:r w:rsidR="0066187A">
              <w:rPr>
                <w:rFonts w:cstheme="minorHAnsi"/>
              </w:rPr>
              <w:t>and</w:t>
            </w:r>
            <w:r w:rsidR="00D55F9D" w:rsidRPr="00757C2A">
              <w:rPr>
                <w:rFonts w:cstheme="minorHAnsi"/>
              </w:rPr>
              <w:t xml:space="preserve"> Hospitality</w:t>
            </w:r>
            <w:r w:rsidR="006B0BD6">
              <w:rPr>
                <w:rFonts w:cstheme="minorHAnsi"/>
              </w:rPr>
              <w:t>.</w:t>
            </w:r>
            <w:r w:rsidR="00D55F9D" w:rsidRPr="00757C2A">
              <w:rPr>
                <w:rFonts w:cstheme="minorHAnsi"/>
              </w:rPr>
              <w:t xml:space="preserve"> </w:t>
            </w:r>
          </w:p>
        </w:tc>
      </w:tr>
      <w:tr w:rsidR="001B4E5C" w14:paraId="3C5400EC" w14:textId="77777777" w:rsidTr="00246F3C">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454AEE" w14:textId="3C1DD188" w:rsidR="001B4E5C" w:rsidRDefault="001B4E5C" w:rsidP="00262867">
            <w:pPr>
              <w:spacing w:line="276" w:lineRule="auto"/>
              <w:rPr>
                <w:rFonts w:cstheme="minorHAnsi"/>
                <w:b/>
                <w:bCs/>
              </w:rPr>
            </w:pPr>
            <w:r>
              <w:rPr>
                <w:rFonts w:cstheme="minorHAnsi"/>
                <w:b/>
                <w:bCs/>
              </w:rPr>
              <w:t>Strategies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5858D0" w14:textId="77777777" w:rsidR="001B4E5C" w:rsidRDefault="001B4E5C" w:rsidP="00E829C9">
            <w:pPr>
              <w:spacing w:line="276" w:lineRule="auto"/>
              <w:ind w:left="175"/>
              <w:rPr>
                <w:rFonts w:cstheme="minorHAnsi"/>
                <w:b/>
                <w:bCs/>
              </w:rPr>
            </w:pPr>
            <w:r>
              <w:rPr>
                <w:rFonts w:cstheme="minorHAnsi"/>
                <w:b/>
                <w:bCs/>
              </w:rPr>
              <w:t>Stakeholders</w:t>
            </w:r>
          </w:p>
        </w:tc>
      </w:tr>
      <w:tr w:rsidR="001B4E5C" w14:paraId="4643E944" w14:textId="77777777" w:rsidTr="00246F3C">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76DC2" w14:textId="5D425C32" w:rsidR="00E829C9" w:rsidRDefault="00D55F9D" w:rsidP="00E829C9">
            <w:pPr>
              <w:pStyle w:val="ListParagraph"/>
              <w:numPr>
                <w:ilvl w:val="0"/>
                <w:numId w:val="46"/>
              </w:numPr>
              <w:ind w:left="313" w:hanging="284"/>
            </w:pPr>
            <w:r>
              <w:t>Encourage collaboration</w:t>
            </w:r>
            <w:r w:rsidR="005E49B6">
              <w:t xml:space="preserve"> and communication</w:t>
            </w:r>
            <w:r>
              <w:t xml:space="preserve"> between</w:t>
            </w:r>
            <w:r w:rsidR="005E49B6">
              <w:t xml:space="preserve"> stakeholders to</w:t>
            </w:r>
            <w:r w:rsidR="001B4E5C" w:rsidRPr="00E829C9">
              <w:t xml:space="preserve"> identify suitable job seekers in the region who possess the right attributes and a desire to work in the industr</w:t>
            </w:r>
            <w:r w:rsidR="00497A47">
              <w:t>ies</w:t>
            </w:r>
            <w:r w:rsidR="001B4E5C" w:rsidRPr="00E829C9">
              <w:t>.</w:t>
            </w:r>
          </w:p>
          <w:p w14:paraId="32E41DE3" w14:textId="55D7E4AC" w:rsidR="00E829C9" w:rsidRDefault="001B4E5C" w:rsidP="00E829C9">
            <w:pPr>
              <w:pStyle w:val="ListParagraph"/>
              <w:numPr>
                <w:ilvl w:val="0"/>
                <w:numId w:val="46"/>
              </w:numPr>
              <w:ind w:left="313" w:hanging="284"/>
            </w:pPr>
            <w:r w:rsidRPr="00E829C9">
              <w:t xml:space="preserve">Create, </w:t>
            </w:r>
            <w:r w:rsidR="00940419" w:rsidRPr="00E829C9" w:rsidDel="00505FEB">
              <w:t>promote</w:t>
            </w:r>
            <w:r w:rsidR="00505FEB" w:rsidRPr="00E829C9">
              <w:t>,</w:t>
            </w:r>
            <w:r w:rsidRPr="00E829C9">
              <w:t xml:space="preserve"> and enhance training and development pathways for suitable job seekers to gain employment in the </w:t>
            </w:r>
            <w:r w:rsidR="00D55F9D">
              <w:t xml:space="preserve">listed </w:t>
            </w:r>
            <w:r w:rsidRPr="00E829C9">
              <w:t>sector</w:t>
            </w:r>
            <w:r w:rsidR="00497A47">
              <w:t>s</w:t>
            </w:r>
            <w:r w:rsidRPr="00E829C9">
              <w:t>.</w:t>
            </w:r>
          </w:p>
          <w:p w14:paraId="37D49B30" w14:textId="648FB5D6" w:rsidR="005E49B6" w:rsidRPr="005E49B6" w:rsidRDefault="001B4E5C" w:rsidP="00246F3C">
            <w:pPr>
              <w:pStyle w:val="ListParagraph"/>
              <w:numPr>
                <w:ilvl w:val="0"/>
                <w:numId w:val="46"/>
              </w:numPr>
              <w:ind w:left="306"/>
            </w:pPr>
            <w:r w:rsidRPr="00650217">
              <w:t xml:space="preserve">Consult with industry representatives, </w:t>
            </w:r>
            <w:r w:rsidR="00940419" w:rsidRPr="005E49B6">
              <w:t>employers,</w:t>
            </w:r>
            <w:r w:rsidRPr="005E49B6">
              <w:t xml:space="preserve"> and associations to develop and refine appropriate strategies to assist in </w:t>
            </w:r>
            <w:r w:rsidR="005E49B6">
              <w:t xml:space="preserve">upskilling and </w:t>
            </w:r>
            <w:r w:rsidRPr="00650217">
              <w:t>recruitment</w:t>
            </w:r>
            <w:r w:rsidR="005E49B6">
              <w:t xml:space="preserve">, </w:t>
            </w:r>
            <w:r w:rsidR="005E49B6" w:rsidRPr="00650217">
              <w:t>ensur</w:t>
            </w:r>
            <w:r w:rsidR="005E49B6">
              <w:t>ing</w:t>
            </w:r>
            <w:r w:rsidR="005E49B6" w:rsidRPr="00650217">
              <w:t xml:space="preserve"> </w:t>
            </w:r>
            <w:r w:rsidR="005E49B6" w:rsidRPr="005E49B6">
              <w:t>job seekers are skilled to meet the needs of major projects</w:t>
            </w:r>
            <w:r w:rsidR="005E49B6">
              <w:t xml:space="preserve"> in the region.</w:t>
            </w:r>
            <w:r w:rsidR="005E49B6" w:rsidRPr="00650217">
              <w:t xml:space="preserve"> </w:t>
            </w:r>
          </w:p>
          <w:p w14:paraId="3C76A474" w14:textId="566C73A6" w:rsidR="005E49B6" w:rsidRDefault="00F10FE0" w:rsidP="00650217">
            <w:pPr>
              <w:pStyle w:val="ListParagraph"/>
              <w:numPr>
                <w:ilvl w:val="0"/>
                <w:numId w:val="46"/>
              </w:numPr>
              <w:ind w:left="313" w:hanging="284"/>
            </w:pPr>
            <w:r>
              <w:t xml:space="preserve">Liaise with industry, </w:t>
            </w:r>
            <w:r w:rsidR="00505FEB">
              <w:t>employers,</w:t>
            </w:r>
            <w:r>
              <w:t xml:space="preserve"> and other stakeholders, to effectively create Local Recovery Fund activities that address the staff shortages in the region.</w:t>
            </w:r>
          </w:p>
          <w:p w14:paraId="6CB16024" w14:textId="39AE40E8" w:rsidR="00612722" w:rsidRPr="00E829C9" w:rsidRDefault="00612722" w:rsidP="00246F3C">
            <w:pPr>
              <w:pStyle w:val="ListParagraph"/>
              <w:ind w:left="313"/>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22B21" w14:textId="77777777" w:rsidR="001B4E5C" w:rsidRPr="002E5637" w:rsidRDefault="001B4E5C" w:rsidP="00E829C9">
            <w:pPr>
              <w:ind w:left="175"/>
            </w:pPr>
            <w:r w:rsidRPr="002E5637">
              <w:t>Employers</w:t>
            </w:r>
          </w:p>
          <w:p w14:paraId="12FD7A1E" w14:textId="77777777" w:rsidR="001B4E5C" w:rsidRPr="002E5637" w:rsidRDefault="001B4E5C" w:rsidP="00E829C9">
            <w:pPr>
              <w:ind w:left="175"/>
            </w:pPr>
            <w:r w:rsidRPr="002E5637">
              <w:t>Employment Service</w:t>
            </w:r>
            <w:r>
              <w:t>s</w:t>
            </w:r>
            <w:r w:rsidRPr="002E5637">
              <w:t xml:space="preserve"> Providers</w:t>
            </w:r>
          </w:p>
          <w:p w14:paraId="3C6844FF" w14:textId="0153E2B7" w:rsidR="001B4E5C" w:rsidRPr="002E5637" w:rsidRDefault="001B4E5C" w:rsidP="00E829C9">
            <w:pPr>
              <w:ind w:left="175"/>
            </w:pPr>
            <w:r w:rsidRPr="002E5637">
              <w:t xml:space="preserve">State </w:t>
            </w:r>
            <w:r w:rsidR="00E829C9">
              <w:t xml:space="preserve">and Local </w:t>
            </w:r>
            <w:r w:rsidRPr="002E5637">
              <w:t>Government</w:t>
            </w:r>
          </w:p>
          <w:p w14:paraId="04D8B4E3" w14:textId="77777777" w:rsidR="001B4E5C" w:rsidRDefault="001B4E5C" w:rsidP="00E829C9">
            <w:pPr>
              <w:ind w:left="175"/>
            </w:pPr>
            <w:r w:rsidRPr="002E5637">
              <w:t>Registered Training Organisations</w:t>
            </w:r>
          </w:p>
          <w:p w14:paraId="59482EA3" w14:textId="77777777" w:rsidR="00E829C9" w:rsidRDefault="00E829C9" w:rsidP="00E829C9">
            <w:pPr>
              <w:ind w:left="175"/>
            </w:pPr>
            <w:r>
              <w:t>Peak Bodies and Advocacy Groups</w:t>
            </w:r>
          </w:p>
          <w:p w14:paraId="3A72195D" w14:textId="3B61ECF7" w:rsidR="00E829C9" w:rsidRPr="002E5637" w:rsidRDefault="00F10FE0" w:rsidP="00E829C9">
            <w:pPr>
              <w:ind w:left="175"/>
            </w:pPr>
            <w:r>
              <w:t>Industry Representatives</w:t>
            </w:r>
          </w:p>
        </w:tc>
      </w:tr>
    </w:tbl>
    <w:p w14:paraId="2E3E0276" w14:textId="77777777" w:rsidR="00E60B7F" w:rsidRDefault="00E60B7F" w:rsidP="00E60B7F">
      <w:pPr>
        <w:spacing w:after="0" w:line="240" w:lineRule="auto"/>
        <w:rPr>
          <w:rFonts w:eastAsiaTheme="majorEastAsia" w:cstheme="minorHAnsi"/>
          <w:color w:val="104165" w:themeColor="accent1" w:themeShade="BF"/>
        </w:rPr>
      </w:pPr>
    </w:p>
    <w:tbl>
      <w:tblPr>
        <w:tblStyle w:val="TableGrid1"/>
        <w:tblW w:w="9493" w:type="dxa"/>
        <w:tblLook w:val="06A0" w:firstRow="1" w:lastRow="0" w:firstColumn="1" w:lastColumn="0" w:noHBand="1" w:noVBand="1"/>
      </w:tblPr>
      <w:tblGrid>
        <w:gridCol w:w="4248"/>
        <w:gridCol w:w="5245"/>
      </w:tblGrid>
      <w:tr w:rsidR="00E60B7F" w14:paraId="1D052FC1" w14:textId="77777777" w:rsidTr="00146BB5">
        <w:tc>
          <w:tcPr>
            <w:tcW w:w="94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CCD49C" w14:textId="0119528E" w:rsidR="00E60B7F" w:rsidRPr="003B22EA" w:rsidRDefault="00E60B7F" w:rsidP="00146BB5">
            <w:pPr>
              <w:spacing w:before="120" w:after="120" w:line="257" w:lineRule="auto"/>
              <w:rPr>
                <w:rFonts w:cstheme="minorHAnsi"/>
              </w:rPr>
            </w:pPr>
            <w:r>
              <w:rPr>
                <w:b/>
              </w:rPr>
              <w:t xml:space="preserve"> </w:t>
            </w:r>
            <w:r w:rsidRPr="001D2F18">
              <w:rPr>
                <w:b/>
                <w:i/>
              </w:rPr>
              <w:t xml:space="preserve">Priority Two:  </w:t>
            </w:r>
            <w:r w:rsidRPr="004F04F3">
              <w:rPr>
                <w:rFonts w:cstheme="minorHAnsi"/>
              </w:rPr>
              <w:t>Increase the number of young job seekers aged between 15 and 24 who are suitable to undertake apprenticeships and traineeships to fill current and emerging employment opportunities across the region by improving their employability and suitability for vacancies.</w:t>
            </w:r>
          </w:p>
        </w:tc>
      </w:tr>
      <w:tr w:rsidR="00E60B7F" w14:paraId="205D1437" w14:textId="77777777" w:rsidTr="00146BB5">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05B2BD" w14:textId="77777777" w:rsidR="00E60B7F" w:rsidRPr="002E5637" w:rsidRDefault="00E60B7F" w:rsidP="00146BB5">
            <w:pPr>
              <w:rPr>
                <w:b/>
                <w:bCs/>
              </w:rPr>
            </w:pPr>
            <w:r w:rsidRPr="002E5637">
              <w:rPr>
                <w:b/>
                <w:bCs/>
              </w:rPr>
              <w:t>Strategies</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A6DC45" w14:textId="77777777" w:rsidR="00E60B7F" w:rsidRDefault="00E60B7F" w:rsidP="00146BB5">
            <w:pPr>
              <w:spacing w:line="276" w:lineRule="auto"/>
              <w:rPr>
                <w:rFonts w:cstheme="minorHAnsi"/>
                <w:b/>
                <w:bCs/>
              </w:rPr>
            </w:pPr>
            <w:r>
              <w:rPr>
                <w:rFonts w:cstheme="minorHAnsi"/>
                <w:b/>
                <w:bCs/>
              </w:rPr>
              <w:t>Stakeholders</w:t>
            </w:r>
          </w:p>
        </w:tc>
      </w:tr>
      <w:tr w:rsidR="00E60B7F" w14:paraId="67DEA74C" w14:textId="77777777" w:rsidTr="00146BB5">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DD50F5" w14:textId="79D3D8F4" w:rsidR="00E60B7F" w:rsidRDefault="00E60B7F" w:rsidP="00146BB5">
            <w:pPr>
              <w:pStyle w:val="ListParagraph"/>
              <w:numPr>
                <w:ilvl w:val="0"/>
                <w:numId w:val="47"/>
              </w:numPr>
              <w:ind w:left="313" w:hanging="284"/>
            </w:pPr>
            <w:r>
              <w:t>Engag</w:t>
            </w:r>
            <w:r w:rsidR="00DF1FD3">
              <w:t>e</w:t>
            </w:r>
            <w:r>
              <w:t xml:space="preserve"> with employers and other local stakeholders </w:t>
            </w:r>
            <w:r w:rsidR="00E62E1F">
              <w:t>to determine the needs</w:t>
            </w:r>
            <w:r w:rsidR="008E7A71">
              <w:t xml:space="preserve"> and </w:t>
            </w:r>
            <w:r w:rsidR="00AF6224">
              <w:t>skilling shortages</w:t>
            </w:r>
            <w:r w:rsidR="008E7A71">
              <w:t xml:space="preserve"> </w:t>
            </w:r>
            <w:r w:rsidR="004D6189">
              <w:t>of the youth cohort.</w:t>
            </w:r>
            <w:r w:rsidR="008E7A71">
              <w:t xml:space="preserve"> </w:t>
            </w:r>
          </w:p>
          <w:p w14:paraId="1E778BB7" w14:textId="6B409405" w:rsidR="00E60B7F" w:rsidRDefault="00E60B7F" w:rsidP="00146BB5">
            <w:pPr>
              <w:pStyle w:val="ListParagraph"/>
              <w:numPr>
                <w:ilvl w:val="0"/>
                <w:numId w:val="47"/>
              </w:numPr>
              <w:ind w:left="313" w:hanging="284"/>
            </w:pPr>
            <w:r w:rsidRPr="00DC0C65">
              <w:t xml:space="preserve">Develop </w:t>
            </w:r>
            <w:r w:rsidR="001A2AE4">
              <w:t>a regular communication</w:t>
            </w:r>
            <w:r w:rsidR="00035774">
              <w:t xml:space="preserve"> tool</w:t>
            </w:r>
            <w:r w:rsidR="00846F39">
              <w:t xml:space="preserve"> to communicate</w:t>
            </w:r>
            <w:r w:rsidRPr="00DC0C65">
              <w:t xml:space="preserve"> </w:t>
            </w:r>
            <w:r w:rsidR="003D7191">
              <w:t>what</w:t>
            </w:r>
            <w:r w:rsidRPr="00DC0C65">
              <w:t xml:space="preserve"> </w:t>
            </w:r>
            <w:r w:rsidR="00AF0769">
              <w:t xml:space="preserve">financial incentives are available to employers and </w:t>
            </w:r>
            <w:r w:rsidR="00AB4D79">
              <w:t>how to utilise</w:t>
            </w:r>
            <w:r w:rsidRPr="00DC0C65">
              <w:t xml:space="preserve"> </w:t>
            </w:r>
            <w:r w:rsidR="00FD71ED">
              <w:t>them.</w:t>
            </w:r>
            <w:r w:rsidRPr="00DC0C65">
              <w:t xml:space="preserve"> </w:t>
            </w:r>
          </w:p>
          <w:p w14:paraId="6B37B49C" w14:textId="667EA59C" w:rsidR="00C64082" w:rsidRPr="00C64082" w:rsidRDefault="00F30DFC" w:rsidP="00C64082">
            <w:pPr>
              <w:pStyle w:val="ListParagraph"/>
              <w:numPr>
                <w:ilvl w:val="0"/>
                <w:numId w:val="47"/>
              </w:numPr>
              <w:ind w:left="306"/>
            </w:pPr>
            <w:r>
              <w:t>Increase</w:t>
            </w:r>
            <w:r w:rsidR="00E60B7F" w:rsidRPr="000226AA">
              <w:t xml:space="preserve"> apprenticeships, wage subsid</w:t>
            </w:r>
            <w:r w:rsidR="00E60B7F">
              <w:t>ies</w:t>
            </w:r>
            <w:r w:rsidR="00E60B7F" w:rsidRPr="000226AA">
              <w:t xml:space="preserve"> and training program uptake to increase local job seeker engagement.</w:t>
            </w:r>
          </w:p>
          <w:p w14:paraId="5840449F" w14:textId="71A692E4" w:rsidR="000834A4" w:rsidRPr="000226AA" w:rsidRDefault="000834A4" w:rsidP="001D2F18">
            <w:pPr>
              <w:pStyle w:val="ListParagraph"/>
              <w:ind w:left="306"/>
            </w:pPr>
          </w:p>
          <w:p w14:paraId="5318A94D" w14:textId="77777777" w:rsidR="00E60B7F" w:rsidRPr="002E5637" w:rsidRDefault="00E60B7F" w:rsidP="00146BB5"/>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23C6B6" w14:textId="77777777" w:rsidR="00E60B7F" w:rsidRPr="00E3496B" w:rsidRDefault="00E60B7F" w:rsidP="00146BB5">
            <w:r w:rsidRPr="00E3496B">
              <w:t>Employers</w:t>
            </w:r>
          </w:p>
          <w:p w14:paraId="1B8B28DC" w14:textId="77777777" w:rsidR="00CA1513" w:rsidRPr="00CA1513" w:rsidRDefault="00E60B7F" w:rsidP="00CA1513">
            <w:r w:rsidRPr="00E3496B">
              <w:t>Employment Service</w:t>
            </w:r>
            <w:r>
              <w:t>s</w:t>
            </w:r>
            <w:r w:rsidRPr="00E3496B">
              <w:t xml:space="preserve"> Providers</w:t>
            </w:r>
          </w:p>
          <w:p w14:paraId="1F8B08DB" w14:textId="3CFE9238" w:rsidR="00DA0FB4" w:rsidRPr="00E3496B" w:rsidRDefault="00DA0FB4" w:rsidP="005C7631">
            <w:r>
              <w:t>E</w:t>
            </w:r>
            <w:r w:rsidR="00877ABC">
              <w:t xml:space="preserve">mployment Skills Training (EST) providers </w:t>
            </w:r>
          </w:p>
          <w:p w14:paraId="44AB3366" w14:textId="77777777" w:rsidR="002D1D0D" w:rsidRPr="002D1D0D" w:rsidRDefault="00E60B7F" w:rsidP="002D1D0D">
            <w:r w:rsidRPr="00E3496B">
              <w:t xml:space="preserve">State </w:t>
            </w:r>
            <w:r>
              <w:t xml:space="preserve">and </w:t>
            </w:r>
            <w:r w:rsidRPr="00E3496B">
              <w:t>Local Government</w:t>
            </w:r>
          </w:p>
          <w:p w14:paraId="6BF5B831" w14:textId="3CC6F7CE" w:rsidR="00E73329" w:rsidRPr="00E3496B" w:rsidRDefault="00E73329" w:rsidP="00E836AC">
            <w:r>
              <w:t xml:space="preserve">Apprenticeship and </w:t>
            </w:r>
            <w:r w:rsidR="00883463">
              <w:t>Traineeship Networks</w:t>
            </w:r>
          </w:p>
          <w:p w14:paraId="76DFA1B9" w14:textId="77777777" w:rsidR="00E60B7F" w:rsidRDefault="00E60B7F" w:rsidP="00146BB5">
            <w:r w:rsidRPr="00E3496B">
              <w:t>Registered Training Organisations</w:t>
            </w:r>
          </w:p>
          <w:p w14:paraId="7C4C35F5" w14:textId="77777777" w:rsidR="00E60B7F" w:rsidRDefault="00E60B7F" w:rsidP="00146BB5">
            <w:r>
              <w:t>Peak Bodies and Advocacy Groups</w:t>
            </w:r>
          </w:p>
          <w:p w14:paraId="12BEECAC" w14:textId="77777777" w:rsidR="00E60B7F" w:rsidRDefault="00E60B7F" w:rsidP="00146BB5">
            <w:r>
              <w:t>Indigenous Employment Specialists</w:t>
            </w:r>
          </w:p>
          <w:p w14:paraId="418A2EEB" w14:textId="77777777" w:rsidR="00E60B7F" w:rsidRDefault="00E60B7F" w:rsidP="00146BB5">
            <w:r>
              <w:t>Disability Employment Specialists</w:t>
            </w:r>
          </w:p>
          <w:p w14:paraId="6D36BC31" w14:textId="77777777" w:rsidR="00E60B7F" w:rsidRDefault="00E60B7F" w:rsidP="00146BB5">
            <w:pPr>
              <w:rPr>
                <w:rFonts w:cstheme="minorHAnsi"/>
                <w:b/>
                <w:bCs/>
              </w:rPr>
            </w:pPr>
            <w:r>
              <w:t>Traditional Owner Groups</w:t>
            </w:r>
          </w:p>
        </w:tc>
      </w:tr>
    </w:tbl>
    <w:p w14:paraId="324F08D5" w14:textId="77777777" w:rsidR="001B4E5C" w:rsidRDefault="001B4E5C" w:rsidP="00DC0C65">
      <w:pPr>
        <w:spacing w:after="0" w:line="240" w:lineRule="auto"/>
        <w:rPr>
          <w:rFonts w:eastAsiaTheme="majorEastAsia" w:cstheme="minorHAnsi"/>
          <w:color w:val="104165" w:themeColor="accent1" w:themeShade="BF"/>
        </w:rPr>
      </w:pPr>
    </w:p>
    <w:p w14:paraId="16F620D8" w14:textId="77777777" w:rsidR="008301E9" w:rsidRDefault="008301E9" w:rsidP="00DC0C65">
      <w:pPr>
        <w:spacing w:after="0" w:line="240" w:lineRule="auto"/>
        <w:rPr>
          <w:rFonts w:eastAsiaTheme="majorEastAsia" w:cstheme="minorHAnsi"/>
          <w:color w:val="104165" w:themeColor="accent1" w:themeShade="BF"/>
        </w:rPr>
      </w:pPr>
    </w:p>
    <w:p w14:paraId="49B2EE8A" w14:textId="77777777" w:rsidR="008301E9" w:rsidRDefault="008301E9" w:rsidP="00DC0C65">
      <w:pPr>
        <w:spacing w:after="0" w:line="240" w:lineRule="auto"/>
        <w:rPr>
          <w:rFonts w:eastAsiaTheme="majorEastAsia" w:cstheme="minorHAnsi"/>
          <w:color w:val="104165" w:themeColor="accent1" w:themeShade="BF"/>
        </w:rPr>
      </w:pPr>
    </w:p>
    <w:p w14:paraId="74FF3CD1" w14:textId="77777777" w:rsidR="008301E9" w:rsidRDefault="008301E9" w:rsidP="00DC0C65">
      <w:pPr>
        <w:spacing w:after="0" w:line="240" w:lineRule="auto"/>
        <w:rPr>
          <w:rFonts w:eastAsiaTheme="majorEastAsia" w:cstheme="minorHAnsi"/>
          <w:color w:val="104165" w:themeColor="accent1" w:themeShade="BF"/>
        </w:rPr>
      </w:pPr>
    </w:p>
    <w:p w14:paraId="357FDDA7" w14:textId="77777777" w:rsidR="008966D0" w:rsidRDefault="008966D0" w:rsidP="00DC0C65">
      <w:pPr>
        <w:spacing w:after="0" w:line="240" w:lineRule="auto"/>
        <w:rPr>
          <w:rFonts w:eastAsiaTheme="majorEastAsia" w:cstheme="minorHAnsi"/>
          <w:color w:val="104165" w:themeColor="accent1" w:themeShade="BF"/>
        </w:rPr>
      </w:pPr>
      <w:bookmarkStart w:id="45" w:name="_Hlk94535846"/>
    </w:p>
    <w:tbl>
      <w:tblPr>
        <w:tblStyle w:val="TableGrid1"/>
        <w:tblW w:w="9493" w:type="dxa"/>
        <w:tblLook w:val="06A0" w:firstRow="1" w:lastRow="0" w:firstColumn="1" w:lastColumn="0" w:noHBand="1" w:noVBand="1"/>
      </w:tblPr>
      <w:tblGrid>
        <w:gridCol w:w="4248"/>
        <w:gridCol w:w="5245"/>
      </w:tblGrid>
      <w:tr w:rsidR="001B4E5C" w14:paraId="069860F1" w14:textId="77777777" w:rsidTr="001D2F18">
        <w:tc>
          <w:tcPr>
            <w:tcW w:w="94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C641DC" w14:textId="1DCFDBAC" w:rsidR="001B4E5C" w:rsidRDefault="001B4E5C" w:rsidP="003B22EA">
            <w:pPr>
              <w:spacing w:before="120" w:after="120" w:line="257" w:lineRule="auto"/>
            </w:pPr>
            <w:r w:rsidRPr="001D2F18">
              <w:rPr>
                <w:b/>
                <w:i/>
              </w:rPr>
              <w:lastRenderedPageBreak/>
              <w:t>Priority T</w:t>
            </w:r>
            <w:r>
              <w:rPr>
                <w:b/>
                <w:i/>
              </w:rPr>
              <w:t>hree</w:t>
            </w:r>
            <w:r w:rsidRPr="001D2F18">
              <w:rPr>
                <w:b/>
                <w:i/>
              </w:rPr>
              <w:t>:</w:t>
            </w:r>
            <w:r w:rsidRPr="001D2F18">
              <w:t xml:space="preserve"> </w:t>
            </w:r>
            <w:r w:rsidR="00E4618D" w:rsidRPr="001D2F18">
              <w:t>Leveraging</w:t>
            </w:r>
            <w:r w:rsidR="00D55F9D" w:rsidRPr="001D2F18">
              <w:t xml:space="preserve"> new and existing programs through collaboration and communication to </w:t>
            </w:r>
            <w:r w:rsidR="00054A1D">
              <w:t>increase</w:t>
            </w:r>
            <w:r w:rsidR="00D55F9D" w:rsidRPr="001D2F18">
              <w:t xml:space="preserve"> employment pathway opportunities through training and upskilling for</w:t>
            </w:r>
            <w:r w:rsidR="00F5135A">
              <w:t>:</w:t>
            </w:r>
          </w:p>
          <w:p w14:paraId="2D33DA63" w14:textId="77777777" w:rsidR="006A26BD" w:rsidRDefault="006A26BD" w:rsidP="006A26BD">
            <w:pPr>
              <w:spacing w:before="120" w:after="120" w:line="257" w:lineRule="auto"/>
            </w:pPr>
            <w:r>
              <w:t>a.</w:t>
            </w:r>
            <w:r>
              <w:tab/>
              <w:t>Indigenous job seekers</w:t>
            </w:r>
          </w:p>
          <w:p w14:paraId="394DE64D" w14:textId="77777777" w:rsidR="006A26BD" w:rsidRDefault="006A26BD" w:rsidP="006A26BD">
            <w:pPr>
              <w:spacing w:before="120" w:after="120" w:line="257" w:lineRule="auto"/>
            </w:pPr>
            <w:r>
              <w:t>b.</w:t>
            </w:r>
            <w:r>
              <w:tab/>
              <w:t>Mature aged job seekers</w:t>
            </w:r>
          </w:p>
          <w:p w14:paraId="7C88E5BF" w14:textId="4A2B22E3" w:rsidR="006A26BD" w:rsidRDefault="006A26BD" w:rsidP="006A26BD">
            <w:pPr>
              <w:spacing w:before="120" w:after="120" w:line="257" w:lineRule="auto"/>
            </w:pPr>
            <w:r>
              <w:t>c.</w:t>
            </w:r>
            <w:r>
              <w:tab/>
              <w:t>Job seekers with disability</w:t>
            </w:r>
          </w:p>
          <w:p w14:paraId="0DA4CEA6" w14:textId="2AE2BF0F" w:rsidR="006A26BD" w:rsidRPr="003B22EA" w:rsidRDefault="006A26BD" w:rsidP="006A26BD">
            <w:pPr>
              <w:spacing w:before="120" w:after="120" w:line="257" w:lineRule="auto"/>
            </w:pPr>
            <w:r>
              <w:t>d.</w:t>
            </w:r>
            <w:r>
              <w:tab/>
              <w:t>Long-Term Unemployed (12 months and above).</w:t>
            </w:r>
          </w:p>
        </w:tc>
      </w:tr>
      <w:tr w:rsidR="001B4E5C" w14:paraId="14769495" w14:textId="77777777" w:rsidTr="001D2F18">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BBE97" w14:textId="040360AF" w:rsidR="001B4E5C" w:rsidRPr="002E5637" w:rsidRDefault="001B4E5C" w:rsidP="00262867">
            <w:pPr>
              <w:rPr>
                <w:b/>
                <w:bCs/>
              </w:rPr>
            </w:pPr>
            <w:r w:rsidRPr="002E5637">
              <w:rPr>
                <w:b/>
                <w:bCs/>
              </w:rPr>
              <w:t>Strategies</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5B73CF" w14:textId="77777777" w:rsidR="001B4E5C" w:rsidRDefault="001B4E5C" w:rsidP="00262867">
            <w:pPr>
              <w:spacing w:line="276" w:lineRule="auto"/>
              <w:rPr>
                <w:rFonts w:cstheme="minorHAnsi"/>
                <w:b/>
                <w:bCs/>
              </w:rPr>
            </w:pPr>
            <w:r>
              <w:rPr>
                <w:rFonts w:cstheme="minorHAnsi"/>
                <w:b/>
                <w:bCs/>
              </w:rPr>
              <w:t>Stakeholders</w:t>
            </w:r>
          </w:p>
        </w:tc>
      </w:tr>
      <w:tr w:rsidR="001B4E5C" w14:paraId="206EE92C" w14:textId="77777777" w:rsidTr="001D2F18">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3B97F" w14:textId="1ABB69D7" w:rsidR="00DC0C65" w:rsidRDefault="00F10FE0" w:rsidP="00DC0C65">
            <w:pPr>
              <w:pStyle w:val="ListParagraph"/>
              <w:numPr>
                <w:ilvl w:val="0"/>
                <w:numId w:val="47"/>
              </w:numPr>
              <w:ind w:left="313" w:hanging="284"/>
            </w:pPr>
            <w:r>
              <w:t>Engaging with employers and other local stakeholders in order to communicate the makeup of the current job</w:t>
            </w:r>
            <w:r w:rsidR="00AF1A85">
              <w:t xml:space="preserve"> </w:t>
            </w:r>
            <w:r>
              <w:t xml:space="preserve">seeker cohorts </w:t>
            </w:r>
            <w:r w:rsidR="00AC0CD5">
              <w:t>looking for work</w:t>
            </w:r>
            <w:r w:rsidR="007A606C">
              <w:t>,</w:t>
            </w:r>
            <w:r>
              <w:t xml:space="preserve"> to create tailored training and employment programs</w:t>
            </w:r>
            <w:r w:rsidR="004D6189">
              <w:t xml:space="preserve"> to the caseload</w:t>
            </w:r>
            <w:r>
              <w:t>.</w:t>
            </w:r>
          </w:p>
          <w:p w14:paraId="70A871B3" w14:textId="295C0EC9" w:rsidR="00DC0C65" w:rsidRDefault="00DC0C65" w:rsidP="00DC0C65">
            <w:pPr>
              <w:pStyle w:val="ListParagraph"/>
              <w:numPr>
                <w:ilvl w:val="0"/>
                <w:numId w:val="47"/>
              </w:numPr>
              <w:ind w:left="313" w:hanging="284"/>
            </w:pPr>
            <w:r w:rsidRPr="00DC0C65">
              <w:t>Develop engagement and training plans to provide employment pathways</w:t>
            </w:r>
            <w:r w:rsidR="00A021CA">
              <w:t xml:space="preserve"> into</w:t>
            </w:r>
            <w:r w:rsidR="004502D9">
              <w:t xml:space="preserve"> growth industries</w:t>
            </w:r>
            <w:r w:rsidRPr="00DC0C65">
              <w:t>.</w:t>
            </w:r>
          </w:p>
          <w:p w14:paraId="25155811" w14:textId="06DFE837" w:rsidR="000226AA" w:rsidRPr="000226AA" w:rsidRDefault="00165B6A" w:rsidP="001D2F18">
            <w:pPr>
              <w:pStyle w:val="ListParagraph"/>
              <w:numPr>
                <w:ilvl w:val="0"/>
                <w:numId w:val="47"/>
              </w:numPr>
              <w:ind w:left="306"/>
            </w:pPr>
            <w:r>
              <w:t>Support</w:t>
            </w:r>
            <w:r w:rsidRPr="000226AA">
              <w:t xml:space="preserve"> job seeker engagement </w:t>
            </w:r>
            <w:r>
              <w:t>by</w:t>
            </w:r>
            <w:r w:rsidR="009D3301">
              <w:t xml:space="preserve"> supporting local </w:t>
            </w:r>
            <w:r w:rsidR="000226AA" w:rsidRPr="000226AA">
              <w:t>apprenticeships</w:t>
            </w:r>
            <w:r w:rsidR="009D3301">
              <w:t>/traineeships</w:t>
            </w:r>
            <w:r w:rsidR="000226AA" w:rsidRPr="000226AA">
              <w:t xml:space="preserve">, </w:t>
            </w:r>
            <w:r w:rsidR="001D5A97">
              <w:t xml:space="preserve">the utilisation of </w:t>
            </w:r>
            <w:r w:rsidR="000226AA" w:rsidRPr="000226AA">
              <w:t>wage subsid</w:t>
            </w:r>
            <w:r w:rsidR="000226AA">
              <w:t>ies</w:t>
            </w:r>
            <w:r w:rsidR="000226AA" w:rsidRPr="000226AA">
              <w:t xml:space="preserve"> and</w:t>
            </w:r>
            <w:r w:rsidR="00291852">
              <w:t xml:space="preserve"> communication</w:t>
            </w:r>
            <w:r w:rsidR="007F7748">
              <w:t xml:space="preserve"> of available</w:t>
            </w:r>
            <w:r w:rsidR="000226AA" w:rsidRPr="000226AA">
              <w:t xml:space="preserve"> training program</w:t>
            </w:r>
            <w:r w:rsidR="007F7748">
              <w:t>s</w:t>
            </w:r>
            <w:r w:rsidR="000226AA" w:rsidRPr="000226AA">
              <w:t xml:space="preserve"> </w:t>
            </w:r>
          </w:p>
          <w:p w14:paraId="37CAFC27" w14:textId="77777777" w:rsidR="00C23E2E" w:rsidRDefault="00C23E2E" w:rsidP="00C23E2E">
            <w:pPr>
              <w:pStyle w:val="ListParagraph"/>
              <w:numPr>
                <w:ilvl w:val="0"/>
                <w:numId w:val="47"/>
              </w:numPr>
              <w:ind w:left="306"/>
            </w:pPr>
            <w:r>
              <w:t xml:space="preserve">Encourage self-employment by education of available programs such as </w:t>
            </w:r>
            <w:r w:rsidRPr="00210C3C">
              <w:t>New Enterprise Incentive Scheme (NEIS)</w:t>
            </w:r>
            <w:r>
              <w:t xml:space="preserve"> and the Entrepreneurship Facilitator.</w:t>
            </w:r>
          </w:p>
          <w:p w14:paraId="3FFF4A8D" w14:textId="091EC7A8" w:rsidR="00DC0C65" w:rsidRPr="002E5637" w:rsidRDefault="00DC0C65" w:rsidP="00262867"/>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DDE3" w14:textId="77777777" w:rsidR="001B4E5C" w:rsidRPr="00E3496B" w:rsidRDefault="001B4E5C" w:rsidP="00262867">
            <w:r w:rsidRPr="00E3496B">
              <w:t>Employers</w:t>
            </w:r>
          </w:p>
          <w:p w14:paraId="70DC1F0F" w14:textId="77777777" w:rsidR="001B4E5C" w:rsidRPr="00E3496B" w:rsidRDefault="001B4E5C" w:rsidP="00262867">
            <w:r w:rsidRPr="00E3496B">
              <w:t>Employment Service</w:t>
            </w:r>
            <w:r>
              <w:t>s</w:t>
            </w:r>
            <w:r w:rsidRPr="00E3496B">
              <w:t xml:space="preserve"> Providers</w:t>
            </w:r>
          </w:p>
          <w:p w14:paraId="1E6A81A8" w14:textId="36755EC9" w:rsidR="001B4E5C" w:rsidRPr="00E3496B" w:rsidRDefault="001B4E5C" w:rsidP="00262867">
            <w:r w:rsidRPr="00E3496B">
              <w:t xml:space="preserve">State </w:t>
            </w:r>
            <w:r w:rsidR="00DC0C65">
              <w:t xml:space="preserve">and </w:t>
            </w:r>
            <w:r w:rsidRPr="00E3496B">
              <w:t>Local Government</w:t>
            </w:r>
          </w:p>
          <w:p w14:paraId="76FCCBBE" w14:textId="62D96A1B" w:rsidR="001B4E5C" w:rsidRDefault="001B4E5C" w:rsidP="00262867">
            <w:r w:rsidRPr="00E3496B">
              <w:t>Registered Training Organisations</w:t>
            </w:r>
          </w:p>
          <w:p w14:paraId="49C86806" w14:textId="0BA2AC2C" w:rsidR="00DC0C65" w:rsidRDefault="00DC0C65" w:rsidP="00262867">
            <w:r>
              <w:t>Peak Bodies and Advocacy Groups</w:t>
            </w:r>
          </w:p>
          <w:p w14:paraId="7AB3D4DE" w14:textId="20F64597" w:rsidR="00DC0C65" w:rsidRDefault="00DC0C65" w:rsidP="00262867">
            <w:r>
              <w:t>Indigenous Employment Specialists</w:t>
            </w:r>
          </w:p>
          <w:p w14:paraId="2A2CCD51" w14:textId="77777777" w:rsidR="001B4E5C" w:rsidRDefault="00DC0C65" w:rsidP="00262867">
            <w:r>
              <w:t>Disability Employment Specialists</w:t>
            </w:r>
          </w:p>
          <w:p w14:paraId="5B211D53" w14:textId="4B895F41" w:rsidR="00757C2A" w:rsidRDefault="00757C2A" w:rsidP="00262867">
            <w:pPr>
              <w:rPr>
                <w:rFonts w:cstheme="minorHAnsi"/>
                <w:b/>
                <w:bCs/>
              </w:rPr>
            </w:pPr>
            <w:r>
              <w:t>Traditional Owner Groups</w:t>
            </w:r>
          </w:p>
        </w:tc>
      </w:tr>
      <w:bookmarkEnd w:id="45"/>
    </w:tbl>
    <w:p w14:paraId="1B319BD2" w14:textId="77777777" w:rsidR="009C6957" w:rsidRDefault="009C6957" w:rsidP="00940419">
      <w:pPr>
        <w:rPr>
          <w:color w:val="165788" w:themeColor="text2"/>
          <w:sz w:val="48"/>
          <w:szCs w:val="48"/>
        </w:rPr>
        <w:sectPr w:rsidR="009C6957" w:rsidSect="001C5E08">
          <w:pgSz w:w="11906" w:h="16838"/>
          <w:pgMar w:top="1276" w:right="1418" w:bottom="1135" w:left="1440" w:header="709" w:footer="567" w:gutter="0"/>
          <w:cols w:space="708"/>
          <w:docGrid w:linePitch="360"/>
        </w:sectPr>
      </w:pPr>
    </w:p>
    <w:p w14:paraId="582E9D80" w14:textId="7D5BB674" w:rsidR="00BA134D" w:rsidRDefault="001C5E08" w:rsidP="00BA134D">
      <w:pPr>
        <w:rPr>
          <w:rStyle w:val="Heading1Char"/>
          <w:rFonts w:eastAsiaTheme="majorEastAsia"/>
        </w:rPr>
      </w:pPr>
      <w:bookmarkStart w:id="46" w:name="_Toc94614529"/>
      <w:r w:rsidRPr="00EF2265">
        <w:rPr>
          <w:rStyle w:val="Heading1Char"/>
          <w:rFonts w:eastAsiaTheme="majorEastAsia"/>
        </w:rPr>
        <w:lastRenderedPageBreak/>
        <w:t xml:space="preserve">Attachment B: </w:t>
      </w:r>
      <w:r w:rsidR="00D52CA3" w:rsidRPr="00EF2265">
        <w:rPr>
          <w:rStyle w:val="Heading1Char"/>
          <w:rFonts w:eastAsiaTheme="majorEastAsia"/>
        </w:rPr>
        <w:t xml:space="preserve">Labour Market Data </w:t>
      </w:r>
      <w:r w:rsidR="00BA134D" w:rsidRPr="00EF2265">
        <w:rPr>
          <w:rStyle w:val="Heading1Char"/>
          <w:rFonts w:eastAsiaTheme="majorEastAsia"/>
        </w:rPr>
        <w:t xml:space="preserve">Dashboard – </w:t>
      </w:r>
      <w:r w:rsidR="00BA134D">
        <w:rPr>
          <w:rStyle w:val="Heading1Char"/>
          <w:rFonts w:eastAsiaTheme="majorEastAsia"/>
          <w:b/>
        </w:rPr>
        <w:t>April</w:t>
      </w:r>
      <w:r w:rsidR="00BA134D" w:rsidRPr="00EF2265">
        <w:rPr>
          <w:rStyle w:val="Heading1Char"/>
          <w:rFonts w:eastAsiaTheme="majorEastAsia"/>
        </w:rPr>
        <w:t xml:space="preserve"> 202</w:t>
      </w:r>
      <w:r w:rsidR="00BA134D">
        <w:rPr>
          <w:rStyle w:val="Heading1Char"/>
          <w:rFonts w:eastAsiaTheme="majorEastAsia"/>
          <w:lang w:val="en-AU"/>
        </w:rPr>
        <w:t>2</w:t>
      </w:r>
    </w:p>
    <w:p w14:paraId="3376042C" w14:textId="69227E4C" w:rsidR="00EF214C" w:rsidRPr="00411C14" w:rsidRDefault="00BA134D" w:rsidP="00BC73C7">
      <w:pPr>
        <w:rPr>
          <w:rStyle w:val="SubtleEmphasis"/>
          <w:b/>
        </w:rPr>
      </w:pPr>
      <w:r>
        <w:rPr>
          <w:noProof/>
        </w:rPr>
        <w:drawing>
          <wp:inline distT="0" distB="0" distL="0" distR="0" wp14:anchorId="3726C66C" wp14:editId="3564053B">
            <wp:extent cx="9186530" cy="5581452"/>
            <wp:effectExtent l="0" t="0" r="0" b="635"/>
            <wp:docPr id="2" name="Picture 2" descr="This Labour Market Data Dashboard was published in April 2022 and provides a summary of the key indicators for the Fitzroy labour market.&#10; &#10;The dashboard combines a range of data for each of the 51 Employment Regions, to provide an overview of local labour market conditions. Dashboards are also available for each state and territory, and at the national level. The data used include the Labour Force Survey, Employment Services Caseload, Internet Vacancy Index and Small Area Labour Market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Labour Market Data Dashboard was published in April 2022 and provides a summary of the key indicators for the Fitzroy labour market.&#10; &#10;The dashboard combines a range of data for each of the 51 Employment Regions, to provide an overview of local labour market conditions. Dashboards are also available for each state and territory, and at the national level. The data used include the Labour Force Survey, Employment Services Caseload, Internet Vacancy Index and Small Area Labour Markets.&#10;&#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283835" cy="5640572"/>
                    </a:xfrm>
                    <a:prstGeom prst="rect">
                      <a:avLst/>
                    </a:prstGeom>
                    <a:noFill/>
                    <a:ln>
                      <a:noFill/>
                    </a:ln>
                  </pic:spPr>
                </pic:pic>
              </a:graphicData>
            </a:graphic>
          </wp:inline>
        </w:drawing>
      </w:r>
      <w:bookmarkEnd w:id="46"/>
    </w:p>
    <w:sectPr w:rsidR="00EF214C" w:rsidRPr="00411C14" w:rsidSect="00BC73C7">
      <w:pgSz w:w="16838" w:h="11906" w:orient="landscape"/>
      <w:pgMar w:top="1135" w:right="1276" w:bottom="993" w:left="1135"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A468D" w14:textId="77777777" w:rsidR="00DD10E1" w:rsidRDefault="00DD10E1" w:rsidP="009B031C">
      <w:r>
        <w:separator/>
      </w:r>
    </w:p>
  </w:endnote>
  <w:endnote w:type="continuationSeparator" w:id="0">
    <w:p w14:paraId="052BA3EF" w14:textId="77777777" w:rsidR="00DD10E1" w:rsidRDefault="00DD10E1" w:rsidP="009B031C">
      <w:r>
        <w:continuationSeparator/>
      </w:r>
    </w:p>
  </w:endnote>
  <w:endnote w:type="continuationNotice" w:id="1">
    <w:p w14:paraId="117D3B12" w14:textId="77777777" w:rsidR="00DD10E1" w:rsidRDefault="00DD10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ontserrat Regular">
    <w:altName w:val="Montserra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115C7" w14:textId="77777777" w:rsidR="00BC73C7" w:rsidRDefault="00BC73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1F47F" w14:textId="77777777" w:rsidR="00BC73C7" w:rsidRDefault="00BC73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73F40" w14:textId="77777777" w:rsidR="00BC73C7" w:rsidRDefault="00BC73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A7C79623605747A9B1C631F7176AF38E"/>
      </w:placeholder>
      <w:temporary/>
      <w:showingPlcHdr/>
      <w15:appearance w15:val="hidden"/>
    </w:sdtPr>
    <w:sdtEndPr/>
    <w:sdtContent>
      <w:p w14:paraId="0AC68053" w14:textId="77777777" w:rsidR="00142FCB" w:rsidRDefault="00142FCB">
        <w:pPr>
          <w:pStyle w:val="Footer"/>
        </w:pPr>
        <w:r>
          <w:t>[Type here]</w:t>
        </w:r>
      </w:p>
    </w:sdtContent>
  </w:sdt>
  <w:p w14:paraId="56BB2D65" w14:textId="77777777" w:rsidR="00142FCB" w:rsidRDefault="00142FCB" w:rsidP="009B031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77661125"/>
      <w:docPartObj>
        <w:docPartGallery w:val="Page Numbers (Bottom of Page)"/>
        <w:docPartUnique/>
      </w:docPartObj>
    </w:sdtPr>
    <w:sdtEndPr>
      <w:rPr>
        <w:rStyle w:val="PageNumber"/>
      </w:rPr>
    </w:sdtEndPr>
    <w:sdtContent>
      <w:p w14:paraId="05254948" w14:textId="77777777" w:rsidR="00142FCB" w:rsidRDefault="00142FCB" w:rsidP="007D54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7902C9" w14:textId="77777777" w:rsidR="00142FCB" w:rsidRDefault="00142FCB" w:rsidP="007D54A5">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52472079"/>
      <w:docPartObj>
        <w:docPartGallery w:val="Page Numbers (Bottom of Page)"/>
        <w:docPartUnique/>
      </w:docPartObj>
    </w:sdtPr>
    <w:sdtEndPr>
      <w:rPr>
        <w:rStyle w:val="PageNumber"/>
      </w:rPr>
    </w:sdtEndPr>
    <w:sdtContent>
      <w:p w14:paraId="1B340BDB" w14:textId="77777777" w:rsidR="00142FCB" w:rsidRDefault="00142FCB" w:rsidP="007D54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36B7902C" w14:textId="77777777" w:rsidR="00142FCB" w:rsidRDefault="00142FCB" w:rsidP="007D54A5">
    <w:pPr>
      <w:pStyle w:val="Footer"/>
      <w:ind w:right="360"/>
      <w:jc w:val="center"/>
      <w:rPr>
        <w:caps/>
        <w:noProof/>
        <w:color w:val="165788" w:themeColor="accent1"/>
      </w:rPr>
    </w:pPr>
  </w:p>
  <w:p w14:paraId="3B22C9FE" w14:textId="77777777" w:rsidR="00142FCB" w:rsidRDefault="00142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4AB16" w14:textId="77777777" w:rsidR="00DD10E1" w:rsidRDefault="00DD10E1" w:rsidP="009B031C">
      <w:r>
        <w:separator/>
      </w:r>
    </w:p>
  </w:footnote>
  <w:footnote w:type="continuationSeparator" w:id="0">
    <w:p w14:paraId="7A3B70FE" w14:textId="77777777" w:rsidR="00DD10E1" w:rsidRDefault="00DD10E1" w:rsidP="009B031C">
      <w:r>
        <w:continuationSeparator/>
      </w:r>
    </w:p>
  </w:footnote>
  <w:footnote w:type="continuationNotice" w:id="1">
    <w:p w14:paraId="78A9799F" w14:textId="77777777" w:rsidR="00DD10E1" w:rsidRDefault="00DD10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2ECC" w14:textId="77777777" w:rsidR="00BC73C7" w:rsidRDefault="00BC73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C85AD" w14:textId="77777777" w:rsidR="00142FCB" w:rsidRDefault="00142FCB" w:rsidP="009B031C">
    <w:pPr>
      <w:pStyle w:val="Header"/>
    </w:pPr>
    <w:r>
      <w:rPr>
        <w:noProof/>
        <w:lang w:eastAsia="en-AU"/>
      </w:rPr>
      <w:drawing>
        <wp:anchor distT="0" distB="0" distL="114300" distR="114300" simplePos="0" relativeHeight="251658240" behindDoc="1" locked="0" layoutInCell="1" allowOverlap="1" wp14:anchorId="7ED42A98" wp14:editId="2C72F9FD">
          <wp:simplePos x="0" y="0"/>
          <wp:positionH relativeFrom="page">
            <wp:posOffset>118110</wp:posOffset>
          </wp:positionH>
          <wp:positionV relativeFrom="paragraph">
            <wp:posOffset>-442595</wp:posOffset>
          </wp:positionV>
          <wp:extent cx="7437528" cy="36108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B18-0086 Career Transition Assistance_Factsheet Header_01.jpg"/>
                  <pic:cNvPicPr/>
                </pic:nvPicPr>
                <pic:blipFill>
                  <a:blip r:embed="rId1">
                    <a:extLst>
                      <a:ext uri="{28A0092B-C50C-407E-A947-70E740481C1C}">
                        <a14:useLocalDpi xmlns:a14="http://schemas.microsoft.com/office/drawing/2010/main" val="0"/>
                      </a:ext>
                    </a:extLst>
                  </a:blip>
                  <a:stretch>
                    <a:fillRect/>
                  </a:stretch>
                </pic:blipFill>
                <pic:spPr>
                  <a:xfrm>
                    <a:off x="0" y="0"/>
                    <a:ext cx="7437528" cy="361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2D4C5" w14:textId="77777777" w:rsidR="00BC73C7" w:rsidRDefault="00BC73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8DF8B" w14:textId="77777777" w:rsidR="00142FCB" w:rsidRDefault="00142FCB" w:rsidP="009B03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6954"/>
    <w:multiLevelType w:val="hybridMultilevel"/>
    <w:tmpl w:val="222A1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C97EEE"/>
    <w:multiLevelType w:val="hybridMultilevel"/>
    <w:tmpl w:val="AED6BB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9F7343"/>
    <w:multiLevelType w:val="multilevel"/>
    <w:tmpl w:val="2892E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AB27FB"/>
    <w:multiLevelType w:val="hybridMultilevel"/>
    <w:tmpl w:val="EBE2F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AC6F93"/>
    <w:multiLevelType w:val="hybridMultilevel"/>
    <w:tmpl w:val="5D6C5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F07C26"/>
    <w:multiLevelType w:val="hybridMultilevel"/>
    <w:tmpl w:val="492448B4"/>
    <w:lvl w:ilvl="0" w:tplc="32DC7F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C7107AF"/>
    <w:multiLevelType w:val="hybridMultilevel"/>
    <w:tmpl w:val="FAEAA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C3498B"/>
    <w:multiLevelType w:val="multilevel"/>
    <w:tmpl w:val="B6708382"/>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477CFB"/>
    <w:multiLevelType w:val="hybridMultilevel"/>
    <w:tmpl w:val="732A6B58"/>
    <w:lvl w:ilvl="0" w:tplc="22AA47F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0" w15:restartNumberingAfterBreak="0">
    <w:nsid w:val="16B13F51"/>
    <w:multiLevelType w:val="multilevel"/>
    <w:tmpl w:val="B6708382"/>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9C6CC1"/>
    <w:multiLevelType w:val="hybridMultilevel"/>
    <w:tmpl w:val="C4740920"/>
    <w:lvl w:ilvl="0" w:tplc="5CBCEFD2">
      <w:start w:val="1"/>
      <w:numFmt w:val="decimal"/>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A6B294E"/>
    <w:multiLevelType w:val="hybridMultilevel"/>
    <w:tmpl w:val="A718D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21A329FF"/>
    <w:multiLevelType w:val="hybridMultilevel"/>
    <w:tmpl w:val="B3BCD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DE7A9A"/>
    <w:multiLevelType w:val="hybridMultilevel"/>
    <w:tmpl w:val="AD229E0A"/>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734DC7"/>
    <w:multiLevelType w:val="hybridMultilevel"/>
    <w:tmpl w:val="29F40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7933AF"/>
    <w:multiLevelType w:val="multilevel"/>
    <w:tmpl w:val="10A61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A80A8A"/>
    <w:multiLevelType w:val="hybridMultilevel"/>
    <w:tmpl w:val="1DC69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DD7B8A"/>
    <w:multiLevelType w:val="hybridMultilevel"/>
    <w:tmpl w:val="4A74B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8C377E"/>
    <w:multiLevelType w:val="hybridMultilevel"/>
    <w:tmpl w:val="404AE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5647EDB"/>
    <w:multiLevelType w:val="multilevel"/>
    <w:tmpl w:val="EE724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1C7CA3"/>
    <w:multiLevelType w:val="hybridMultilevel"/>
    <w:tmpl w:val="A3FC9056"/>
    <w:lvl w:ilvl="0" w:tplc="14D455B4">
      <w:start w:val="1"/>
      <w:numFmt w:val="decimal"/>
      <w:lvlText w:val="Tabl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EBB4719"/>
    <w:multiLevelType w:val="hybridMultilevel"/>
    <w:tmpl w:val="B37E8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EB04F3"/>
    <w:multiLevelType w:val="hybridMultilevel"/>
    <w:tmpl w:val="D50E0620"/>
    <w:lvl w:ilvl="0" w:tplc="41C0D310">
      <w:start w:val="1"/>
      <w:numFmt w:val="decimal"/>
      <w:lvlText w:val="%1."/>
      <w:lvlJc w:val="left"/>
      <w:pPr>
        <w:ind w:left="720" w:hanging="360"/>
      </w:pPr>
      <w:rPr>
        <w:rFonts w:hint="default"/>
        <w:b w:val="0"/>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FB24380"/>
    <w:multiLevelType w:val="multilevel"/>
    <w:tmpl w:val="B6708382"/>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14A7DDB"/>
    <w:multiLevelType w:val="hybridMultilevel"/>
    <w:tmpl w:val="0F42D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255700C"/>
    <w:multiLevelType w:val="hybridMultilevel"/>
    <w:tmpl w:val="BDE80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2DC3A09"/>
    <w:multiLevelType w:val="hybridMultilevel"/>
    <w:tmpl w:val="6CF44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6F562D6"/>
    <w:multiLevelType w:val="hybridMultilevel"/>
    <w:tmpl w:val="D00E2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75C61BF"/>
    <w:multiLevelType w:val="hybridMultilevel"/>
    <w:tmpl w:val="4B4E7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7B6745"/>
    <w:multiLevelType w:val="hybridMultilevel"/>
    <w:tmpl w:val="3A006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5386109B"/>
    <w:multiLevelType w:val="multilevel"/>
    <w:tmpl w:val="39C0C77C"/>
    <w:lvl w:ilvl="0">
      <w:start w:val="1"/>
      <w:numFmt w:val="decimal"/>
      <w:pStyle w:val="BoxHeading-Recommendation"/>
      <w:suff w:val="nothing"/>
      <w:lvlText w:val="Recommendation %1."/>
      <w:lvlJc w:val="left"/>
      <w:pPr>
        <w:ind w:left="357" w:hanging="357"/>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3F76349"/>
    <w:multiLevelType w:val="multilevel"/>
    <w:tmpl w:val="8342F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513792A"/>
    <w:multiLevelType w:val="multilevel"/>
    <w:tmpl w:val="2D323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5BF4AE2"/>
    <w:multiLevelType w:val="multilevel"/>
    <w:tmpl w:val="B6708382"/>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63030C2"/>
    <w:multiLevelType w:val="hybridMultilevel"/>
    <w:tmpl w:val="E73451E8"/>
    <w:lvl w:ilvl="0" w:tplc="864EBF4A">
      <w:start w:val="1"/>
      <w:numFmt w:val="decimal"/>
      <w:lvlText w:val="%1."/>
      <w:lvlJc w:val="left"/>
      <w:pPr>
        <w:ind w:left="360" w:hanging="360"/>
      </w:pPr>
      <w:rPr>
        <w:b w:val="0"/>
        <w:bCs w:val="0"/>
      </w:rPr>
    </w:lvl>
    <w:lvl w:ilvl="1" w:tplc="0C090019">
      <w:start w:val="1"/>
      <w:numFmt w:val="lowerLetter"/>
      <w:lvlText w:val="%2."/>
      <w:lvlJc w:val="left"/>
      <w:pPr>
        <w:ind w:left="107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599912A1"/>
    <w:multiLevelType w:val="hybridMultilevel"/>
    <w:tmpl w:val="A74490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5B173E40"/>
    <w:multiLevelType w:val="multilevel"/>
    <w:tmpl w:val="B6708382"/>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F8670A8"/>
    <w:multiLevelType w:val="hybridMultilevel"/>
    <w:tmpl w:val="6212A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2FD49FD"/>
    <w:multiLevelType w:val="hybridMultilevel"/>
    <w:tmpl w:val="778E0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4EE41EB"/>
    <w:multiLevelType w:val="hybridMultilevel"/>
    <w:tmpl w:val="11D09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5897445"/>
    <w:multiLevelType w:val="multilevel"/>
    <w:tmpl w:val="0E148252"/>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62F536B"/>
    <w:multiLevelType w:val="hybridMultilevel"/>
    <w:tmpl w:val="E7566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83A4299"/>
    <w:multiLevelType w:val="hybridMultilevel"/>
    <w:tmpl w:val="4ECC799C"/>
    <w:lvl w:ilvl="0" w:tplc="5CBCEFD2">
      <w:start w:val="1"/>
      <w:numFmt w:val="decimal"/>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BB07FD5"/>
    <w:multiLevelType w:val="hybridMultilevel"/>
    <w:tmpl w:val="BD1ED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36D6C15"/>
    <w:multiLevelType w:val="hybridMultilevel"/>
    <w:tmpl w:val="61BCF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6DC2E2F"/>
    <w:multiLevelType w:val="hybridMultilevel"/>
    <w:tmpl w:val="8BB6584C"/>
    <w:lvl w:ilvl="0" w:tplc="14D455B4">
      <w:start w:val="1"/>
      <w:numFmt w:val="decimal"/>
      <w:lvlText w:val="Tabl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718201E"/>
    <w:multiLevelType w:val="hybridMultilevel"/>
    <w:tmpl w:val="B0F07C8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0" w15:restartNumberingAfterBreak="0">
    <w:nsid w:val="78A40955"/>
    <w:multiLevelType w:val="hybridMultilevel"/>
    <w:tmpl w:val="3F90D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9E342BA"/>
    <w:multiLevelType w:val="hybridMultilevel"/>
    <w:tmpl w:val="21368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D310879"/>
    <w:multiLevelType w:val="hybridMultilevel"/>
    <w:tmpl w:val="56AC8054"/>
    <w:lvl w:ilvl="0" w:tplc="BA6EA85A">
      <w:start w:val="1"/>
      <w:numFmt w:val="bullet"/>
      <w:lvlText w:val=""/>
      <w:lvlJc w:val="left"/>
      <w:pPr>
        <w:ind w:left="720" w:hanging="360"/>
      </w:pPr>
      <w:rPr>
        <w:rFonts w:ascii="Symbol" w:hAnsi="Symbol" w:hint="default"/>
      </w:rPr>
    </w:lvl>
    <w:lvl w:ilvl="1" w:tplc="08CA6D92">
      <w:start w:val="1"/>
      <w:numFmt w:val="bullet"/>
      <w:lvlText w:val="o"/>
      <w:lvlJc w:val="left"/>
      <w:pPr>
        <w:ind w:left="1440" w:hanging="360"/>
      </w:pPr>
      <w:rPr>
        <w:rFonts w:ascii="Courier New" w:hAnsi="Courier New" w:hint="default"/>
      </w:rPr>
    </w:lvl>
    <w:lvl w:ilvl="2" w:tplc="EB90A74E">
      <w:start w:val="1"/>
      <w:numFmt w:val="bullet"/>
      <w:lvlText w:val=""/>
      <w:lvlJc w:val="left"/>
      <w:pPr>
        <w:ind w:left="2160" w:hanging="360"/>
      </w:pPr>
      <w:rPr>
        <w:rFonts w:ascii="Wingdings" w:hAnsi="Wingdings" w:hint="default"/>
      </w:rPr>
    </w:lvl>
    <w:lvl w:ilvl="3" w:tplc="0CFC7D8A">
      <w:start w:val="1"/>
      <w:numFmt w:val="bullet"/>
      <w:lvlText w:val=""/>
      <w:lvlJc w:val="left"/>
      <w:pPr>
        <w:ind w:left="2880" w:hanging="360"/>
      </w:pPr>
      <w:rPr>
        <w:rFonts w:ascii="Symbol" w:hAnsi="Symbol" w:hint="default"/>
      </w:rPr>
    </w:lvl>
    <w:lvl w:ilvl="4" w:tplc="B2EA6598">
      <w:start w:val="1"/>
      <w:numFmt w:val="bullet"/>
      <w:lvlText w:val="o"/>
      <w:lvlJc w:val="left"/>
      <w:pPr>
        <w:ind w:left="3600" w:hanging="360"/>
      </w:pPr>
      <w:rPr>
        <w:rFonts w:ascii="Courier New" w:hAnsi="Courier New" w:hint="default"/>
      </w:rPr>
    </w:lvl>
    <w:lvl w:ilvl="5" w:tplc="CE0899DC">
      <w:start w:val="1"/>
      <w:numFmt w:val="bullet"/>
      <w:lvlText w:val=""/>
      <w:lvlJc w:val="left"/>
      <w:pPr>
        <w:ind w:left="4320" w:hanging="360"/>
      </w:pPr>
      <w:rPr>
        <w:rFonts w:ascii="Wingdings" w:hAnsi="Wingdings" w:hint="default"/>
      </w:rPr>
    </w:lvl>
    <w:lvl w:ilvl="6" w:tplc="FCDE6D52">
      <w:start w:val="1"/>
      <w:numFmt w:val="bullet"/>
      <w:lvlText w:val=""/>
      <w:lvlJc w:val="left"/>
      <w:pPr>
        <w:ind w:left="5040" w:hanging="360"/>
      </w:pPr>
      <w:rPr>
        <w:rFonts w:ascii="Symbol" w:hAnsi="Symbol" w:hint="default"/>
      </w:rPr>
    </w:lvl>
    <w:lvl w:ilvl="7" w:tplc="5532E4F2">
      <w:start w:val="1"/>
      <w:numFmt w:val="bullet"/>
      <w:lvlText w:val="o"/>
      <w:lvlJc w:val="left"/>
      <w:pPr>
        <w:ind w:left="5760" w:hanging="360"/>
      </w:pPr>
      <w:rPr>
        <w:rFonts w:ascii="Courier New" w:hAnsi="Courier New" w:hint="default"/>
      </w:rPr>
    </w:lvl>
    <w:lvl w:ilvl="8" w:tplc="B68A4BE6">
      <w:start w:val="1"/>
      <w:numFmt w:val="bullet"/>
      <w:lvlText w:val=""/>
      <w:lvlJc w:val="left"/>
      <w:pPr>
        <w:ind w:left="6480" w:hanging="360"/>
      </w:pPr>
      <w:rPr>
        <w:rFonts w:ascii="Wingdings" w:hAnsi="Wingdings" w:hint="default"/>
      </w:rPr>
    </w:lvl>
  </w:abstractNum>
  <w:abstractNum w:abstractNumId="53" w15:restartNumberingAfterBreak="0">
    <w:nsid w:val="7EA00277"/>
    <w:multiLevelType w:val="hybridMultilevel"/>
    <w:tmpl w:val="7EBC9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EE90FEE"/>
    <w:multiLevelType w:val="multilevel"/>
    <w:tmpl w:val="90ACB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3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35"/>
  </w:num>
  <w:num w:numId="6">
    <w:abstractNumId w:val="39"/>
  </w:num>
  <w:num w:numId="7">
    <w:abstractNumId w:val="44"/>
  </w:num>
  <w:num w:numId="8">
    <w:abstractNumId w:val="8"/>
  </w:num>
  <w:num w:numId="9">
    <w:abstractNumId w:val="34"/>
  </w:num>
  <w:num w:numId="10">
    <w:abstractNumId w:val="2"/>
  </w:num>
  <w:num w:numId="11">
    <w:abstractNumId w:val="54"/>
  </w:num>
  <w:num w:numId="12">
    <w:abstractNumId w:val="17"/>
  </w:num>
  <w:num w:numId="13">
    <w:abstractNumId w:val="21"/>
  </w:num>
  <w:num w:numId="14">
    <w:abstractNumId w:val="43"/>
  </w:num>
  <w:num w:numId="15">
    <w:abstractNumId w:val="25"/>
  </w:num>
  <w:num w:numId="16">
    <w:abstractNumId w:val="10"/>
  </w:num>
  <w:num w:numId="17">
    <w:abstractNumId w:val="36"/>
  </w:num>
  <w:num w:numId="18">
    <w:abstractNumId w:val="7"/>
  </w:num>
  <w:num w:numId="19">
    <w:abstractNumId w:val="42"/>
  </w:num>
  <w:num w:numId="20">
    <w:abstractNumId w:val="18"/>
  </w:num>
  <w:num w:numId="21">
    <w:abstractNumId w:val="41"/>
  </w:num>
  <w:num w:numId="22">
    <w:abstractNumId w:val="38"/>
  </w:num>
  <w:num w:numId="23">
    <w:abstractNumId w:val="14"/>
  </w:num>
  <w:num w:numId="24">
    <w:abstractNumId w:val="51"/>
  </w:num>
  <w:num w:numId="25">
    <w:abstractNumId w:val="23"/>
  </w:num>
  <w:num w:numId="26">
    <w:abstractNumId w:val="26"/>
  </w:num>
  <w:num w:numId="27">
    <w:abstractNumId w:val="15"/>
  </w:num>
  <w:num w:numId="28">
    <w:abstractNumId w:val="40"/>
  </w:num>
  <w:num w:numId="29">
    <w:abstractNumId w:val="24"/>
  </w:num>
  <w:num w:numId="30">
    <w:abstractNumId w:val="52"/>
  </w:num>
  <w:num w:numId="31">
    <w:abstractNumId w:val="4"/>
  </w:num>
  <w:num w:numId="32">
    <w:abstractNumId w:val="30"/>
  </w:num>
  <w:num w:numId="33">
    <w:abstractNumId w:val="16"/>
  </w:num>
  <w:num w:numId="34">
    <w:abstractNumId w:val="46"/>
  </w:num>
  <w:num w:numId="35">
    <w:abstractNumId w:val="1"/>
  </w:num>
  <w:num w:numId="36">
    <w:abstractNumId w:val="22"/>
  </w:num>
  <w:num w:numId="37">
    <w:abstractNumId w:val="11"/>
  </w:num>
  <w:num w:numId="38">
    <w:abstractNumId w:val="29"/>
  </w:num>
  <w:num w:numId="39">
    <w:abstractNumId w:val="48"/>
  </w:num>
  <w:num w:numId="40">
    <w:abstractNumId w:val="45"/>
  </w:num>
  <w:num w:numId="41">
    <w:abstractNumId w:val="37"/>
  </w:num>
  <w:num w:numId="42">
    <w:abstractNumId w:val="50"/>
  </w:num>
  <w:num w:numId="43">
    <w:abstractNumId w:val="20"/>
  </w:num>
  <w:num w:numId="44">
    <w:abstractNumId w:val="19"/>
  </w:num>
  <w:num w:numId="45">
    <w:abstractNumId w:val="27"/>
  </w:num>
  <w:num w:numId="46">
    <w:abstractNumId w:val="12"/>
  </w:num>
  <w:num w:numId="47">
    <w:abstractNumId w:val="47"/>
  </w:num>
  <w:num w:numId="48">
    <w:abstractNumId w:val="5"/>
  </w:num>
  <w:num w:numId="49">
    <w:abstractNumId w:val="31"/>
  </w:num>
  <w:num w:numId="50">
    <w:abstractNumId w:val="49"/>
  </w:num>
  <w:num w:numId="51">
    <w:abstractNumId w:val="28"/>
  </w:num>
  <w:num w:numId="52">
    <w:abstractNumId w:val="0"/>
  </w:num>
  <w:num w:numId="53">
    <w:abstractNumId w:val="53"/>
  </w:num>
  <w:num w:numId="54">
    <w:abstractNumId w:val="3"/>
  </w:num>
  <w:num w:numId="55">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B35FF7"/>
    <w:rsid w:val="00000470"/>
    <w:rsid w:val="00000B20"/>
    <w:rsid w:val="00001171"/>
    <w:rsid w:val="00001A58"/>
    <w:rsid w:val="00001EEF"/>
    <w:rsid w:val="00002228"/>
    <w:rsid w:val="00002721"/>
    <w:rsid w:val="000028E2"/>
    <w:rsid w:val="00002A7C"/>
    <w:rsid w:val="00003DF0"/>
    <w:rsid w:val="0000411F"/>
    <w:rsid w:val="00004933"/>
    <w:rsid w:val="0000556D"/>
    <w:rsid w:val="00006138"/>
    <w:rsid w:val="000061F3"/>
    <w:rsid w:val="0000680E"/>
    <w:rsid w:val="00006877"/>
    <w:rsid w:val="000072D9"/>
    <w:rsid w:val="000077BF"/>
    <w:rsid w:val="00007837"/>
    <w:rsid w:val="00007FC1"/>
    <w:rsid w:val="00010505"/>
    <w:rsid w:val="00011119"/>
    <w:rsid w:val="0001112F"/>
    <w:rsid w:val="000121DC"/>
    <w:rsid w:val="000122E5"/>
    <w:rsid w:val="0001280F"/>
    <w:rsid w:val="00012881"/>
    <w:rsid w:val="00013D28"/>
    <w:rsid w:val="00014055"/>
    <w:rsid w:val="000147A5"/>
    <w:rsid w:val="00015240"/>
    <w:rsid w:val="00016847"/>
    <w:rsid w:val="00017532"/>
    <w:rsid w:val="0002061E"/>
    <w:rsid w:val="00022667"/>
    <w:rsid w:val="000226AA"/>
    <w:rsid w:val="0002321D"/>
    <w:rsid w:val="000248D7"/>
    <w:rsid w:val="00024CF0"/>
    <w:rsid w:val="00024E24"/>
    <w:rsid w:val="0002570C"/>
    <w:rsid w:val="0002614B"/>
    <w:rsid w:val="0002700E"/>
    <w:rsid w:val="000303AC"/>
    <w:rsid w:val="00030F88"/>
    <w:rsid w:val="00031299"/>
    <w:rsid w:val="0003270F"/>
    <w:rsid w:val="000330FF"/>
    <w:rsid w:val="00034274"/>
    <w:rsid w:val="00034EAA"/>
    <w:rsid w:val="0003503D"/>
    <w:rsid w:val="00035774"/>
    <w:rsid w:val="000360FF"/>
    <w:rsid w:val="000365F3"/>
    <w:rsid w:val="00036C7E"/>
    <w:rsid w:val="00037051"/>
    <w:rsid w:val="00037183"/>
    <w:rsid w:val="00040537"/>
    <w:rsid w:val="0004060A"/>
    <w:rsid w:val="000406CB"/>
    <w:rsid w:val="000417EF"/>
    <w:rsid w:val="00041915"/>
    <w:rsid w:val="00042276"/>
    <w:rsid w:val="000425B1"/>
    <w:rsid w:val="00042BA8"/>
    <w:rsid w:val="00043B0D"/>
    <w:rsid w:val="00045DE5"/>
    <w:rsid w:val="000468FE"/>
    <w:rsid w:val="000469B8"/>
    <w:rsid w:val="00046EA5"/>
    <w:rsid w:val="00050316"/>
    <w:rsid w:val="00051183"/>
    <w:rsid w:val="0005150D"/>
    <w:rsid w:val="00051A0A"/>
    <w:rsid w:val="00051A35"/>
    <w:rsid w:val="00051B4C"/>
    <w:rsid w:val="00052C87"/>
    <w:rsid w:val="000532AF"/>
    <w:rsid w:val="00053A09"/>
    <w:rsid w:val="00054A1D"/>
    <w:rsid w:val="00054E7D"/>
    <w:rsid w:val="00056CF0"/>
    <w:rsid w:val="00057E15"/>
    <w:rsid w:val="0006105C"/>
    <w:rsid w:val="00061080"/>
    <w:rsid w:val="000613C4"/>
    <w:rsid w:val="0006248C"/>
    <w:rsid w:val="0006250B"/>
    <w:rsid w:val="000640A6"/>
    <w:rsid w:val="00065358"/>
    <w:rsid w:val="000653F7"/>
    <w:rsid w:val="000655CA"/>
    <w:rsid w:val="00065B9E"/>
    <w:rsid w:val="00065DEF"/>
    <w:rsid w:val="00065FA5"/>
    <w:rsid w:val="000663E8"/>
    <w:rsid w:val="000665AC"/>
    <w:rsid w:val="00066C6C"/>
    <w:rsid w:val="00071739"/>
    <w:rsid w:val="000717F2"/>
    <w:rsid w:val="00071E98"/>
    <w:rsid w:val="00072DFD"/>
    <w:rsid w:val="00072FF9"/>
    <w:rsid w:val="00073ED6"/>
    <w:rsid w:val="00074F13"/>
    <w:rsid w:val="0007537A"/>
    <w:rsid w:val="000761D2"/>
    <w:rsid w:val="000763F3"/>
    <w:rsid w:val="00076733"/>
    <w:rsid w:val="00077125"/>
    <w:rsid w:val="00080009"/>
    <w:rsid w:val="0008010B"/>
    <w:rsid w:val="000803DE"/>
    <w:rsid w:val="00081945"/>
    <w:rsid w:val="00081AE4"/>
    <w:rsid w:val="00081C31"/>
    <w:rsid w:val="00081E9B"/>
    <w:rsid w:val="00083234"/>
    <w:rsid w:val="000834A4"/>
    <w:rsid w:val="000835E6"/>
    <w:rsid w:val="0008399A"/>
    <w:rsid w:val="00083C01"/>
    <w:rsid w:val="00083FB5"/>
    <w:rsid w:val="00084885"/>
    <w:rsid w:val="00085410"/>
    <w:rsid w:val="000861A6"/>
    <w:rsid w:val="00086841"/>
    <w:rsid w:val="00086B30"/>
    <w:rsid w:val="00086BB1"/>
    <w:rsid w:val="00086F01"/>
    <w:rsid w:val="000912A7"/>
    <w:rsid w:val="0009211F"/>
    <w:rsid w:val="00092420"/>
    <w:rsid w:val="000924ED"/>
    <w:rsid w:val="00092BD0"/>
    <w:rsid w:val="00093199"/>
    <w:rsid w:val="000937C6"/>
    <w:rsid w:val="00094C6D"/>
    <w:rsid w:val="0009512A"/>
    <w:rsid w:val="00095C41"/>
    <w:rsid w:val="00095EA6"/>
    <w:rsid w:val="0009659A"/>
    <w:rsid w:val="0009668B"/>
    <w:rsid w:val="00096A79"/>
    <w:rsid w:val="0009762F"/>
    <w:rsid w:val="00097D67"/>
    <w:rsid w:val="000A005A"/>
    <w:rsid w:val="000A080F"/>
    <w:rsid w:val="000A10E1"/>
    <w:rsid w:val="000A1255"/>
    <w:rsid w:val="000A1572"/>
    <w:rsid w:val="000A201E"/>
    <w:rsid w:val="000A2094"/>
    <w:rsid w:val="000A2A9C"/>
    <w:rsid w:val="000A2C4A"/>
    <w:rsid w:val="000A30EB"/>
    <w:rsid w:val="000A36A4"/>
    <w:rsid w:val="000A39E1"/>
    <w:rsid w:val="000A3C21"/>
    <w:rsid w:val="000A4E61"/>
    <w:rsid w:val="000A5516"/>
    <w:rsid w:val="000A5F85"/>
    <w:rsid w:val="000A6C34"/>
    <w:rsid w:val="000A6D9C"/>
    <w:rsid w:val="000A6FBB"/>
    <w:rsid w:val="000B02C7"/>
    <w:rsid w:val="000B0FBD"/>
    <w:rsid w:val="000B1A7D"/>
    <w:rsid w:val="000B215D"/>
    <w:rsid w:val="000B2C3B"/>
    <w:rsid w:val="000B365C"/>
    <w:rsid w:val="000B36E1"/>
    <w:rsid w:val="000B374A"/>
    <w:rsid w:val="000B423C"/>
    <w:rsid w:val="000B4429"/>
    <w:rsid w:val="000B55B6"/>
    <w:rsid w:val="000B639F"/>
    <w:rsid w:val="000B682E"/>
    <w:rsid w:val="000B76E8"/>
    <w:rsid w:val="000C0021"/>
    <w:rsid w:val="000C00F9"/>
    <w:rsid w:val="000C032A"/>
    <w:rsid w:val="000C19ED"/>
    <w:rsid w:val="000C224A"/>
    <w:rsid w:val="000C274A"/>
    <w:rsid w:val="000C3C03"/>
    <w:rsid w:val="000C4183"/>
    <w:rsid w:val="000C440D"/>
    <w:rsid w:val="000C5934"/>
    <w:rsid w:val="000C6136"/>
    <w:rsid w:val="000C6656"/>
    <w:rsid w:val="000C6F48"/>
    <w:rsid w:val="000C6FCE"/>
    <w:rsid w:val="000C71AB"/>
    <w:rsid w:val="000D1995"/>
    <w:rsid w:val="000D19DA"/>
    <w:rsid w:val="000D2C39"/>
    <w:rsid w:val="000D2D27"/>
    <w:rsid w:val="000D47A2"/>
    <w:rsid w:val="000D497E"/>
    <w:rsid w:val="000D5B8E"/>
    <w:rsid w:val="000D697D"/>
    <w:rsid w:val="000D734E"/>
    <w:rsid w:val="000D7B49"/>
    <w:rsid w:val="000E0E01"/>
    <w:rsid w:val="000E12D7"/>
    <w:rsid w:val="000E1931"/>
    <w:rsid w:val="000E1BC1"/>
    <w:rsid w:val="000E2067"/>
    <w:rsid w:val="000E2C9C"/>
    <w:rsid w:val="000E341D"/>
    <w:rsid w:val="000E39B8"/>
    <w:rsid w:val="000E3A8A"/>
    <w:rsid w:val="000E4D76"/>
    <w:rsid w:val="000E50A2"/>
    <w:rsid w:val="000E6520"/>
    <w:rsid w:val="000E6FBB"/>
    <w:rsid w:val="000E7235"/>
    <w:rsid w:val="000F03DC"/>
    <w:rsid w:val="000F0E37"/>
    <w:rsid w:val="000F1466"/>
    <w:rsid w:val="000F1B58"/>
    <w:rsid w:val="000F1F90"/>
    <w:rsid w:val="000F2075"/>
    <w:rsid w:val="000F2087"/>
    <w:rsid w:val="000F2B38"/>
    <w:rsid w:val="000F3111"/>
    <w:rsid w:val="000F34C6"/>
    <w:rsid w:val="000F35BD"/>
    <w:rsid w:val="000F3BA2"/>
    <w:rsid w:val="000F4085"/>
    <w:rsid w:val="000F4759"/>
    <w:rsid w:val="000F56EA"/>
    <w:rsid w:val="000F572B"/>
    <w:rsid w:val="000F5A96"/>
    <w:rsid w:val="000F633A"/>
    <w:rsid w:val="000F78B9"/>
    <w:rsid w:val="000F7AA9"/>
    <w:rsid w:val="000F7C58"/>
    <w:rsid w:val="001000E1"/>
    <w:rsid w:val="00100680"/>
    <w:rsid w:val="00100702"/>
    <w:rsid w:val="00100AE3"/>
    <w:rsid w:val="00101C2B"/>
    <w:rsid w:val="00102C76"/>
    <w:rsid w:val="00102E6D"/>
    <w:rsid w:val="00102FFF"/>
    <w:rsid w:val="0010327F"/>
    <w:rsid w:val="00103754"/>
    <w:rsid w:val="00103B38"/>
    <w:rsid w:val="001058C9"/>
    <w:rsid w:val="00105968"/>
    <w:rsid w:val="00106ED3"/>
    <w:rsid w:val="0010717C"/>
    <w:rsid w:val="00107EC3"/>
    <w:rsid w:val="00110327"/>
    <w:rsid w:val="00110531"/>
    <w:rsid w:val="00110579"/>
    <w:rsid w:val="00110652"/>
    <w:rsid w:val="0011176F"/>
    <w:rsid w:val="00111A8C"/>
    <w:rsid w:val="00111F51"/>
    <w:rsid w:val="001121FD"/>
    <w:rsid w:val="00112368"/>
    <w:rsid w:val="001131BB"/>
    <w:rsid w:val="00113412"/>
    <w:rsid w:val="00113740"/>
    <w:rsid w:val="00113E4E"/>
    <w:rsid w:val="001143F4"/>
    <w:rsid w:val="00114B80"/>
    <w:rsid w:val="001159F0"/>
    <w:rsid w:val="001162FB"/>
    <w:rsid w:val="00116810"/>
    <w:rsid w:val="00116A69"/>
    <w:rsid w:val="00117352"/>
    <w:rsid w:val="00117380"/>
    <w:rsid w:val="001175BF"/>
    <w:rsid w:val="00117640"/>
    <w:rsid w:val="001178CD"/>
    <w:rsid w:val="00117906"/>
    <w:rsid w:val="00117EBC"/>
    <w:rsid w:val="0012154A"/>
    <w:rsid w:val="001219DC"/>
    <w:rsid w:val="00121DFC"/>
    <w:rsid w:val="00122A12"/>
    <w:rsid w:val="00122BED"/>
    <w:rsid w:val="0012336C"/>
    <w:rsid w:val="001234EA"/>
    <w:rsid w:val="0012360D"/>
    <w:rsid w:val="00123E25"/>
    <w:rsid w:val="0012422C"/>
    <w:rsid w:val="0012427B"/>
    <w:rsid w:val="00124861"/>
    <w:rsid w:val="00124A0A"/>
    <w:rsid w:val="00124BED"/>
    <w:rsid w:val="00124D8E"/>
    <w:rsid w:val="00126C4D"/>
    <w:rsid w:val="00126F73"/>
    <w:rsid w:val="001302AB"/>
    <w:rsid w:val="00130923"/>
    <w:rsid w:val="00130F37"/>
    <w:rsid w:val="001311D5"/>
    <w:rsid w:val="0013128D"/>
    <w:rsid w:val="00132268"/>
    <w:rsid w:val="0013295F"/>
    <w:rsid w:val="00133158"/>
    <w:rsid w:val="001339E2"/>
    <w:rsid w:val="001354D4"/>
    <w:rsid w:val="001354FC"/>
    <w:rsid w:val="001363D3"/>
    <w:rsid w:val="0013657A"/>
    <w:rsid w:val="00137FF9"/>
    <w:rsid w:val="00140ECC"/>
    <w:rsid w:val="001414F3"/>
    <w:rsid w:val="00141750"/>
    <w:rsid w:val="00141948"/>
    <w:rsid w:val="00142178"/>
    <w:rsid w:val="00142670"/>
    <w:rsid w:val="001426D4"/>
    <w:rsid w:val="00142C49"/>
    <w:rsid w:val="00142DAD"/>
    <w:rsid w:val="00142FCB"/>
    <w:rsid w:val="00143FCD"/>
    <w:rsid w:val="00144EC0"/>
    <w:rsid w:val="001450E9"/>
    <w:rsid w:val="00145407"/>
    <w:rsid w:val="00146BB5"/>
    <w:rsid w:val="00147BDB"/>
    <w:rsid w:val="001500F0"/>
    <w:rsid w:val="00150330"/>
    <w:rsid w:val="001513F0"/>
    <w:rsid w:val="00151455"/>
    <w:rsid w:val="00151B6F"/>
    <w:rsid w:val="00152A7B"/>
    <w:rsid w:val="0015361E"/>
    <w:rsid w:val="00153D07"/>
    <w:rsid w:val="00153D0B"/>
    <w:rsid w:val="001540A8"/>
    <w:rsid w:val="00155848"/>
    <w:rsid w:val="00156550"/>
    <w:rsid w:val="00156879"/>
    <w:rsid w:val="001602D7"/>
    <w:rsid w:val="001605E6"/>
    <w:rsid w:val="001615DB"/>
    <w:rsid w:val="00161EC2"/>
    <w:rsid w:val="00162588"/>
    <w:rsid w:val="00162B31"/>
    <w:rsid w:val="001632C8"/>
    <w:rsid w:val="00163899"/>
    <w:rsid w:val="00163E75"/>
    <w:rsid w:val="00164BBF"/>
    <w:rsid w:val="00165AA9"/>
    <w:rsid w:val="00165B6A"/>
    <w:rsid w:val="00166EC2"/>
    <w:rsid w:val="001672EA"/>
    <w:rsid w:val="0016749D"/>
    <w:rsid w:val="00167680"/>
    <w:rsid w:val="0017015A"/>
    <w:rsid w:val="001718E3"/>
    <w:rsid w:val="00171D93"/>
    <w:rsid w:val="00171FBA"/>
    <w:rsid w:val="001728ED"/>
    <w:rsid w:val="00172A9B"/>
    <w:rsid w:val="00172F4A"/>
    <w:rsid w:val="001731B6"/>
    <w:rsid w:val="00173AFB"/>
    <w:rsid w:val="0017435B"/>
    <w:rsid w:val="00177838"/>
    <w:rsid w:val="001804F9"/>
    <w:rsid w:val="00180D06"/>
    <w:rsid w:val="00181477"/>
    <w:rsid w:val="00181B54"/>
    <w:rsid w:val="0018229C"/>
    <w:rsid w:val="0018248A"/>
    <w:rsid w:val="00183990"/>
    <w:rsid w:val="001853B4"/>
    <w:rsid w:val="001858C1"/>
    <w:rsid w:val="00185B01"/>
    <w:rsid w:val="0018675F"/>
    <w:rsid w:val="00186EFF"/>
    <w:rsid w:val="00190523"/>
    <w:rsid w:val="0019080A"/>
    <w:rsid w:val="00191221"/>
    <w:rsid w:val="0019146A"/>
    <w:rsid w:val="00192C82"/>
    <w:rsid w:val="001931EE"/>
    <w:rsid w:val="00193695"/>
    <w:rsid w:val="001936DA"/>
    <w:rsid w:val="00193DC5"/>
    <w:rsid w:val="001944DB"/>
    <w:rsid w:val="00194E70"/>
    <w:rsid w:val="00196742"/>
    <w:rsid w:val="00196955"/>
    <w:rsid w:val="00196BF8"/>
    <w:rsid w:val="001A08EE"/>
    <w:rsid w:val="001A0AA8"/>
    <w:rsid w:val="001A19B9"/>
    <w:rsid w:val="001A1FE3"/>
    <w:rsid w:val="001A21F9"/>
    <w:rsid w:val="001A2953"/>
    <w:rsid w:val="001A2AE4"/>
    <w:rsid w:val="001A2BA5"/>
    <w:rsid w:val="001A2E11"/>
    <w:rsid w:val="001A3C38"/>
    <w:rsid w:val="001A46EC"/>
    <w:rsid w:val="001A49A7"/>
    <w:rsid w:val="001A4B7A"/>
    <w:rsid w:val="001A4BE0"/>
    <w:rsid w:val="001A60CB"/>
    <w:rsid w:val="001A7605"/>
    <w:rsid w:val="001B005B"/>
    <w:rsid w:val="001B0A84"/>
    <w:rsid w:val="001B295C"/>
    <w:rsid w:val="001B3D78"/>
    <w:rsid w:val="001B4E5C"/>
    <w:rsid w:val="001B580A"/>
    <w:rsid w:val="001B5E8C"/>
    <w:rsid w:val="001B62B4"/>
    <w:rsid w:val="001B6467"/>
    <w:rsid w:val="001B65DF"/>
    <w:rsid w:val="001B6A74"/>
    <w:rsid w:val="001B6F58"/>
    <w:rsid w:val="001B7657"/>
    <w:rsid w:val="001B77A6"/>
    <w:rsid w:val="001B78A4"/>
    <w:rsid w:val="001C10A9"/>
    <w:rsid w:val="001C1A84"/>
    <w:rsid w:val="001C1C8D"/>
    <w:rsid w:val="001C1F5F"/>
    <w:rsid w:val="001C38A6"/>
    <w:rsid w:val="001C3F40"/>
    <w:rsid w:val="001C4E5E"/>
    <w:rsid w:val="001C51D6"/>
    <w:rsid w:val="001C532E"/>
    <w:rsid w:val="001C5BEE"/>
    <w:rsid w:val="001C5E08"/>
    <w:rsid w:val="001C5E09"/>
    <w:rsid w:val="001C5EDB"/>
    <w:rsid w:val="001C67DE"/>
    <w:rsid w:val="001C77A1"/>
    <w:rsid w:val="001D0004"/>
    <w:rsid w:val="001D02B9"/>
    <w:rsid w:val="001D0862"/>
    <w:rsid w:val="001D227B"/>
    <w:rsid w:val="001D2308"/>
    <w:rsid w:val="001D25F6"/>
    <w:rsid w:val="001D2638"/>
    <w:rsid w:val="001D2A61"/>
    <w:rsid w:val="001D2CFA"/>
    <w:rsid w:val="001D2F18"/>
    <w:rsid w:val="001D3EFE"/>
    <w:rsid w:val="001D4B34"/>
    <w:rsid w:val="001D4FEC"/>
    <w:rsid w:val="001D557C"/>
    <w:rsid w:val="001D5A97"/>
    <w:rsid w:val="001D5C9D"/>
    <w:rsid w:val="001D604C"/>
    <w:rsid w:val="001D78A6"/>
    <w:rsid w:val="001D7AD1"/>
    <w:rsid w:val="001E1A97"/>
    <w:rsid w:val="001E202D"/>
    <w:rsid w:val="001E2092"/>
    <w:rsid w:val="001E2677"/>
    <w:rsid w:val="001E26CA"/>
    <w:rsid w:val="001E2D77"/>
    <w:rsid w:val="001E4476"/>
    <w:rsid w:val="001E4A7C"/>
    <w:rsid w:val="001E5E72"/>
    <w:rsid w:val="001E6B89"/>
    <w:rsid w:val="001E7A75"/>
    <w:rsid w:val="001F1F2F"/>
    <w:rsid w:val="001F3033"/>
    <w:rsid w:val="001F443D"/>
    <w:rsid w:val="001F4DD4"/>
    <w:rsid w:val="001F5C5D"/>
    <w:rsid w:val="001F703F"/>
    <w:rsid w:val="00200142"/>
    <w:rsid w:val="0020019A"/>
    <w:rsid w:val="0020083A"/>
    <w:rsid w:val="002014E0"/>
    <w:rsid w:val="002016B2"/>
    <w:rsid w:val="00201AE6"/>
    <w:rsid w:val="00202B55"/>
    <w:rsid w:val="00202F3B"/>
    <w:rsid w:val="002035B1"/>
    <w:rsid w:val="00203791"/>
    <w:rsid w:val="00204761"/>
    <w:rsid w:val="00204E16"/>
    <w:rsid w:val="00205286"/>
    <w:rsid w:val="002052DF"/>
    <w:rsid w:val="002056DE"/>
    <w:rsid w:val="00205796"/>
    <w:rsid w:val="00205B2E"/>
    <w:rsid w:val="00205B91"/>
    <w:rsid w:val="0020746F"/>
    <w:rsid w:val="00207727"/>
    <w:rsid w:val="00207CFD"/>
    <w:rsid w:val="00207D3B"/>
    <w:rsid w:val="0021017E"/>
    <w:rsid w:val="00210C3C"/>
    <w:rsid w:val="00211657"/>
    <w:rsid w:val="00211944"/>
    <w:rsid w:val="00212223"/>
    <w:rsid w:val="002128B5"/>
    <w:rsid w:val="0021300F"/>
    <w:rsid w:val="00213124"/>
    <w:rsid w:val="002139D0"/>
    <w:rsid w:val="0021423F"/>
    <w:rsid w:val="002144B2"/>
    <w:rsid w:val="00214FB8"/>
    <w:rsid w:val="00215028"/>
    <w:rsid w:val="002151E2"/>
    <w:rsid w:val="00215592"/>
    <w:rsid w:val="00215834"/>
    <w:rsid w:val="00215E9B"/>
    <w:rsid w:val="00216761"/>
    <w:rsid w:val="00216A2F"/>
    <w:rsid w:val="00217070"/>
    <w:rsid w:val="00217079"/>
    <w:rsid w:val="00217F94"/>
    <w:rsid w:val="00221246"/>
    <w:rsid w:val="00221260"/>
    <w:rsid w:val="00222081"/>
    <w:rsid w:val="0022302E"/>
    <w:rsid w:val="00223219"/>
    <w:rsid w:val="00223EB1"/>
    <w:rsid w:val="00223F0B"/>
    <w:rsid w:val="0022407A"/>
    <w:rsid w:val="00224FA4"/>
    <w:rsid w:val="002253A1"/>
    <w:rsid w:val="002256D7"/>
    <w:rsid w:val="00227EBE"/>
    <w:rsid w:val="00231137"/>
    <w:rsid w:val="00232625"/>
    <w:rsid w:val="00232C18"/>
    <w:rsid w:val="00232D48"/>
    <w:rsid w:val="00233EB8"/>
    <w:rsid w:val="0023426E"/>
    <w:rsid w:val="002345B6"/>
    <w:rsid w:val="00235891"/>
    <w:rsid w:val="00235E10"/>
    <w:rsid w:val="00235E86"/>
    <w:rsid w:val="00236917"/>
    <w:rsid w:val="00236B23"/>
    <w:rsid w:val="00236CC4"/>
    <w:rsid w:val="00236ECC"/>
    <w:rsid w:val="00237C89"/>
    <w:rsid w:val="00240564"/>
    <w:rsid w:val="00240F76"/>
    <w:rsid w:val="00241BEB"/>
    <w:rsid w:val="002439F1"/>
    <w:rsid w:val="00243CAA"/>
    <w:rsid w:val="002444DC"/>
    <w:rsid w:val="00244C4E"/>
    <w:rsid w:val="002451FD"/>
    <w:rsid w:val="00245205"/>
    <w:rsid w:val="002455A7"/>
    <w:rsid w:val="00245825"/>
    <w:rsid w:val="00245995"/>
    <w:rsid w:val="00245C19"/>
    <w:rsid w:val="00246F3C"/>
    <w:rsid w:val="0024703E"/>
    <w:rsid w:val="002472D7"/>
    <w:rsid w:val="002473A1"/>
    <w:rsid w:val="00247927"/>
    <w:rsid w:val="00247DC6"/>
    <w:rsid w:val="00247F23"/>
    <w:rsid w:val="00250546"/>
    <w:rsid w:val="00250767"/>
    <w:rsid w:val="002508C9"/>
    <w:rsid w:val="00251790"/>
    <w:rsid w:val="00251BC4"/>
    <w:rsid w:val="00252785"/>
    <w:rsid w:val="00253595"/>
    <w:rsid w:val="00253848"/>
    <w:rsid w:val="00253A0E"/>
    <w:rsid w:val="00253FCB"/>
    <w:rsid w:val="0025701B"/>
    <w:rsid w:val="002604A5"/>
    <w:rsid w:val="00261C66"/>
    <w:rsid w:val="002627F5"/>
    <w:rsid w:val="00262867"/>
    <w:rsid w:val="00262D6A"/>
    <w:rsid w:val="00263322"/>
    <w:rsid w:val="00263B60"/>
    <w:rsid w:val="002640EE"/>
    <w:rsid w:val="00264104"/>
    <w:rsid w:val="0026510E"/>
    <w:rsid w:val="0026629B"/>
    <w:rsid w:val="00266CC3"/>
    <w:rsid w:val="00267619"/>
    <w:rsid w:val="00270905"/>
    <w:rsid w:val="00271D38"/>
    <w:rsid w:val="002735BF"/>
    <w:rsid w:val="002736B7"/>
    <w:rsid w:val="00275651"/>
    <w:rsid w:val="00275F23"/>
    <w:rsid w:val="00276004"/>
    <w:rsid w:val="00276230"/>
    <w:rsid w:val="0027654F"/>
    <w:rsid w:val="00276959"/>
    <w:rsid w:val="00276982"/>
    <w:rsid w:val="00276A73"/>
    <w:rsid w:val="00277519"/>
    <w:rsid w:val="00280300"/>
    <w:rsid w:val="00280582"/>
    <w:rsid w:val="00281079"/>
    <w:rsid w:val="00281F5C"/>
    <w:rsid w:val="0028203C"/>
    <w:rsid w:val="00283C79"/>
    <w:rsid w:val="00285465"/>
    <w:rsid w:val="002862E4"/>
    <w:rsid w:val="0028655E"/>
    <w:rsid w:val="002868CE"/>
    <w:rsid w:val="00286B27"/>
    <w:rsid w:val="0028700D"/>
    <w:rsid w:val="00287422"/>
    <w:rsid w:val="00290424"/>
    <w:rsid w:val="00290915"/>
    <w:rsid w:val="0029144C"/>
    <w:rsid w:val="00291852"/>
    <w:rsid w:val="002923A3"/>
    <w:rsid w:val="00292A52"/>
    <w:rsid w:val="00292FC5"/>
    <w:rsid w:val="00293094"/>
    <w:rsid w:val="00293DE8"/>
    <w:rsid w:val="002949F3"/>
    <w:rsid w:val="00295790"/>
    <w:rsid w:val="002963AB"/>
    <w:rsid w:val="00296676"/>
    <w:rsid w:val="00296753"/>
    <w:rsid w:val="002976FB"/>
    <w:rsid w:val="00297AF0"/>
    <w:rsid w:val="002A12A9"/>
    <w:rsid w:val="002A1953"/>
    <w:rsid w:val="002A3F96"/>
    <w:rsid w:val="002A4062"/>
    <w:rsid w:val="002A42CF"/>
    <w:rsid w:val="002A4810"/>
    <w:rsid w:val="002A5904"/>
    <w:rsid w:val="002A67E4"/>
    <w:rsid w:val="002A6C8A"/>
    <w:rsid w:val="002A7EF3"/>
    <w:rsid w:val="002B02C9"/>
    <w:rsid w:val="002B06E6"/>
    <w:rsid w:val="002B09BA"/>
    <w:rsid w:val="002B1EA9"/>
    <w:rsid w:val="002B1FA6"/>
    <w:rsid w:val="002B24CB"/>
    <w:rsid w:val="002B32F9"/>
    <w:rsid w:val="002B3304"/>
    <w:rsid w:val="002B4607"/>
    <w:rsid w:val="002B4E2A"/>
    <w:rsid w:val="002B58DF"/>
    <w:rsid w:val="002B6206"/>
    <w:rsid w:val="002B6DA2"/>
    <w:rsid w:val="002B713C"/>
    <w:rsid w:val="002B7B05"/>
    <w:rsid w:val="002B7F9C"/>
    <w:rsid w:val="002C0116"/>
    <w:rsid w:val="002C0256"/>
    <w:rsid w:val="002C03FB"/>
    <w:rsid w:val="002C0411"/>
    <w:rsid w:val="002C06DE"/>
    <w:rsid w:val="002C078D"/>
    <w:rsid w:val="002C0AD8"/>
    <w:rsid w:val="002C0EC6"/>
    <w:rsid w:val="002C1430"/>
    <w:rsid w:val="002C21C3"/>
    <w:rsid w:val="002C3F09"/>
    <w:rsid w:val="002C4013"/>
    <w:rsid w:val="002C4885"/>
    <w:rsid w:val="002C4B31"/>
    <w:rsid w:val="002C5218"/>
    <w:rsid w:val="002C5420"/>
    <w:rsid w:val="002C662D"/>
    <w:rsid w:val="002C674B"/>
    <w:rsid w:val="002C688B"/>
    <w:rsid w:val="002C6F37"/>
    <w:rsid w:val="002C70C4"/>
    <w:rsid w:val="002C73D4"/>
    <w:rsid w:val="002D01B4"/>
    <w:rsid w:val="002D04EC"/>
    <w:rsid w:val="002D0E1D"/>
    <w:rsid w:val="002D18EC"/>
    <w:rsid w:val="002D1CF0"/>
    <w:rsid w:val="002D1D0D"/>
    <w:rsid w:val="002D271F"/>
    <w:rsid w:val="002D29D6"/>
    <w:rsid w:val="002D2C35"/>
    <w:rsid w:val="002D36EA"/>
    <w:rsid w:val="002D38BE"/>
    <w:rsid w:val="002D40C8"/>
    <w:rsid w:val="002D4E0A"/>
    <w:rsid w:val="002D5416"/>
    <w:rsid w:val="002D5676"/>
    <w:rsid w:val="002D5705"/>
    <w:rsid w:val="002D59D9"/>
    <w:rsid w:val="002D5ECD"/>
    <w:rsid w:val="002D6386"/>
    <w:rsid w:val="002E0666"/>
    <w:rsid w:val="002E1B78"/>
    <w:rsid w:val="002E1D47"/>
    <w:rsid w:val="002E34A8"/>
    <w:rsid w:val="002E3E63"/>
    <w:rsid w:val="002E4E24"/>
    <w:rsid w:val="002E57D4"/>
    <w:rsid w:val="002E6339"/>
    <w:rsid w:val="002E6433"/>
    <w:rsid w:val="002E6802"/>
    <w:rsid w:val="002E70C5"/>
    <w:rsid w:val="002E73B8"/>
    <w:rsid w:val="002E792E"/>
    <w:rsid w:val="002F0646"/>
    <w:rsid w:val="002F1882"/>
    <w:rsid w:val="002F1B4E"/>
    <w:rsid w:val="002F1C10"/>
    <w:rsid w:val="002F2A39"/>
    <w:rsid w:val="002F2B4A"/>
    <w:rsid w:val="002F2BAE"/>
    <w:rsid w:val="002F2C55"/>
    <w:rsid w:val="002F370C"/>
    <w:rsid w:val="002F39E3"/>
    <w:rsid w:val="002F4A14"/>
    <w:rsid w:val="002F5281"/>
    <w:rsid w:val="002F7515"/>
    <w:rsid w:val="002F793D"/>
    <w:rsid w:val="00301822"/>
    <w:rsid w:val="00301B4C"/>
    <w:rsid w:val="00302828"/>
    <w:rsid w:val="00303527"/>
    <w:rsid w:val="00303E03"/>
    <w:rsid w:val="003040A9"/>
    <w:rsid w:val="00304921"/>
    <w:rsid w:val="00304A59"/>
    <w:rsid w:val="003053A5"/>
    <w:rsid w:val="0030544B"/>
    <w:rsid w:val="003054FA"/>
    <w:rsid w:val="00305722"/>
    <w:rsid w:val="00305B35"/>
    <w:rsid w:val="00305F93"/>
    <w:rsid w:val="00307E0F"/>
    <w:rsid w:val="00307F9E"/>
    <w:rsid w:val="00310DB1"/>
    <w:rsid w:val="003114A3"/>
    <w:rsid w:val="00311EE1"/>
    <w:rsid w:val="0031214D"/>
    <w:rsid w:val="00314106"/>
    <w:rsid w:val="0031448C"/>
    <w:rsid w:val="003144D1"/>
    <w:rsid w:val="00314BB4"/>
    <w:rsid w:val="00314CF6"/>
    <w:rsid w:val="00314CFB"/>
    <w:rsid w:val="003151E5"/>
    <w:rsid w:val="0031584C"/>
    <w:rsid w:val="00317EB9"/>
    <w:rsid w:val="00320273"/>
    <w:rsid w:val="00320C3B"/>
    <w:rsid w:val="00321272"/>
    <w:rsid w:val="003216E6"/>
    <w:rsid w:val="003222BE"/>
    <w:rsid w:val="00322A3A"/>
    <w:rsid w:val="00323494"/>
    <w:rsid w:val="00323ACF"/>
    <w:rsid w:val="00323FF2"/>
    <w:rsid w:val="003242B9"/>
    <w:rsid w:val="003244D3"/>
    <w:rsid w:val="003246F0"/>
    <w:rsid w:val="00324E02"/>
    <w:rsid w:val="003253A0"/>
    <w:rsid w:val="0032569C"/>
    <w:rsid w:val="003273FB"/>
    <w:rsid w:val="0032769F"/>
    <w:rsid w:val="00327CF0"/>
    <w:rsid w:val="003305E7"/>
    <w:rsid w:val="00330B86"/>
    <w:rsid w:val="00331017"/>
    <w:rsid w:val="003318DE"/>
    <w:rsid w:val="0033231E"/>
    <w:rsid w:val="00332EA8"/>
    <w:rsid w:val="0033302C"/>
    <w:rsid w:val="0033309F"/>
    <w:rsid w:val="0033404A"/>
    <w:rsid w:val="00334F14"/>
    <w:rsid w:val="0033562E"/>
    <w:rsid w:val="003357C2"/>
    <w:rsid w:val="00335A5E"/>
    <w:rsid w:val="00335AAC"/>
    <w:rsid w:val="003367E8"/>
    <w:rsid w:val="003375F9"/>
    <w:rsid w:val="00337B5B"/>
    <w:rsid w:val="00337C8F"/>
    <w:rsid w:val="00337FD4"/>
    <w:rsid w:val="00340469"/>
    <w:rsid w:val="00340E03"/>
    <w:rsid w:val="00341ED7"/>
    <w:rsid w:val="0034425C"/>
    <w:rsid w:val="00345AB1"/>
    <w:rsid w:val="003466BF"/>
    <w:rsid w:val="00346F3C"/>
    <w:rsid w:val="00347A4B"/>
    <w:rsid w:val="00347BCC"/>
    <w:rsid w:val="00347D08"/>
    <w:rsid w:val="00350102"/>
    <w:rsid w:val="00350A50"/>
    <w:rsid w:val="00350C70"/>
    <w:rsid w:val="00350D2F"/>
    <w:rsid w:val="00350FA8"/>
    <w:rsid w:val="00351615"/>
    <w:rsid w:val="003517AA"/>
    <w:rsid w:val="00351943"/>
    <w:rsid w:val="00351B82"/>
    <w:rsid w:val="00351C52"/>
    <w:rsid w:val="00351C70"/>
    <w:rsid w:val="003529A7"/>
    <w:rsid w:val="00352AC6"/>
    <w:rsid w:val="00352B79"/>
    <w:rsid w:val="0035319D"/>
    <w:rsid w:val="003531F8"/>
    <w:rsid w:val="00353521"/>
    <w:rsid w:val="003535A3"/>
    <w:rsid w:val="003543AD"/>
    <w:rsid w:val="00354578"/>
    <w:rsid w:val="00354C75"/>
    <w:rsid w:val="003555F5"/>
    <w:rsid w:val="00355869"/>
    <w:rsid w:val="00355B7F"/>
    <w:rsid w:val="0035641D"/>
    <w:rsid w:val="00356A2D"/>
    <w:rsid w:val="00356B86"/>
    <w:rsid w:val="00357390"/>
    <w:rsid w:val="00357662"/>
    <w:rsid w:val="00357BF3"/>
    <w:rsid w:val="00357FE3"/>
    <w:rsid w:val="00360B0C"/>
    <w:rsid w:val="00361051"/>
    <w:rsid w:val="0036136A"/>
    <w:rsid w:val="003616B4"/>
    <w:rsid w:val="00361AE9"/>
    <w:rsid w:val="00361E3A"/>
    <w:rsid w:val="003625EA"/>
    <w:rsid w:val="00362705"/>
    <w:rsid w:val="0036358B"/>
    <w:rsid w:val="003638C2"/>
    <w:rsid w:val="00365378"/>
    <w:rsid w:val="0036579D"/>
    <w:rsid w:val="00365C66"/>
    <w:rsid w:val="0036612B"/>
    <w:rsid w:val="003668FE"/>
    <w:rsid w:val="00366AFA"/>
    <w:rsid w:val="00366BF0"/>
    <w:rsid w:val="00366DDD"/>
    <w:rsid w:val="00366DE5"/>
    <w:rsid w:val="00366DEA"/>
    <w:rsid w:val="00367080"/>
    <w:rsid w:val="00367659"/>
    <w:rsid w:val="0036780B"/>
    <w:rsid w:val="0037083E"/>
    <w:rsid w:val="00370A2F"/>
    <w:rsid w:val="00371E1E"/>
    <w:rsid w:val="00371F68"/>
    <w:rsid w:val="00372CD4"/>
    <w:rsid w:val="0037318F"/>
    <w:rsid w:val="00373767"/>
    <w:rsid w:val="00374025"/>
    <w:rsid w:val="0037415A"/>
    <w:rsid w:val="00374279"/>
    <w:rsid w:val="0037487E"/>
    <w:rsid w:val="00375908"/>
    <w:rsid w:val="00376694"/>
    <w:rsid w:val="0037670F"/>
    <w:rsid w:val="00377B56"/>
    <w:rsid w:val="00377C9E"/>
    <w:rsid w:val="00377D52"/>
    <w:rsid w:val="00377F07"/>
    <w:rsid w:val="00380DA1"/>
    <w:rsid w:val="003816EE"/>
    <w:rsid w:val="00381B96"/>
    <w:rsid w:val="00381E6A"/>
    <w:rsid w:val="003821BE"/>
    <w:rsid w:val="0038381A"/>
    <w:rsid w:val="00383DAB"/>
    <w:rsid w:val="00384E17"/>
    <w:rsid w:val="0038560F"/>
    <w:rsid w:val="00386CBD"/>
    <w:rsid w:val="003877FB"/>
    <w:rsid w:val="003909F8"/>
    <w:rsid w:val="0039158A"/>
    <w:rsid w:val="00391ECF"/>
    <w:rsid w:val="003920A3"/>
    <w:rsid w:val="00392106"/>
    <w:rsid w:val="0039268E"/>
    <w:rsid w:val="003926DB"/>
    <w:rsid w:val="00392FD4"/>
    <w:rsid w:val="00393D70"/>
    <w:rsid w:val="00393E74"/>
    <w:rsid w:val="003946AC"/>
    <w:rsid w:val="00394B6C"/>
    <w:rsid w:val="003950E3"/>
    <w:rsid w:val="003953EF"/>
    <w:rsid w:val="00395C58"/>
    <w:rsid w:val="00395EF4"/>
    <w:rsid w:val="00396875"/>
    <w:rsid w:val="00396FF2"/>
    <w:rsid w:val="003A1C4E"/>
    <w:rsid w:val="003A2811"/>
    <w:rsid w:val="003A3EDF"/>
    <w:rsid w:val="003A40F4"/>
    <w:rsid w:val="003A42DB"/>
    <w:rsid w:val="003A4D6B"/>
    <w:rsid w:val="003A4E78"/>
    <w:rsid w:val="003A5129"/>
    <w:rsid w:val="003A646E"/>
    <w:rsid w:val="003A6763"/>
    <w:rsid w:val="003A6767"/>
    <w:rsid w:val="003A68E9"/>
    <w:rsid w:val="003A6FDE"/>
    <w:rsid w:val="003B0580"/>
    <w:rsid w:val="003B0B4A"/>
    <w:rsid w:val="003B2114"/>
    <w:rsid w:val="003B22EA"/>
    <w:rsid w:val="003B2A4A"/>
    <w:rsid w:val="003B3598"/>
    <w:rsid w:val="003B3A32"/>
    <w:rsid w:val="003B3AED"/>
    <w:rsid w:val="003B420D"/>
    <w:rsid w:val="003B44B4"/>
    <w:rsid w:val="003B503C"/>
    <w:rsid w:val="003B5794"/>
    <w:rsid w:val="003B593A"/>
    <w:rsid w:val="003B664E"/>
    <w:rsid w:val="003B67C0"/>
    <w:rsid w:val="003B777E"/>
    <w:rsid w:val="003C025B"/>
    <w:rsid w:val="003C048D"/>
    <w:rsid w:val="003C1135"/>
    <w:rsid w:val="003C12A9"/>
    <w:rsid w:val="003C1940"/>
    <w:rsid w:val="003C1EA9"/>
    <w:rsid w:val="003C24DB"/>
    <w:rsid w:val="003C29F8"/>
    <w:rsid w:val="003C2BC2"/>
    <w:rsid w:val="003C3BBF"/>
    <w:rsid w:val="003C404F"/>
    <w:rsid w:val="003C4B58"/>
    <w:rsid w:val="003C5940"/>
    <w:rsid w:val="003C5B6D"/>
    <w:rsid w:val="003C5DB2"/>
    <w:rsid w:val="003C5E28"/>
    <w:rsid w:val="003C798C"/>
    <w:rsid w:val="003D0B51"/>
    <w:rsid w:val="003D0BC8"/>
    <w:rsid w:val="003D1D6C"/>
    <w:rsid w:val="003D2DD5"/>
    <w:rsid w:val="003D3865"/>
    <w:rsid w:val="003D3A0C"/>
    <w:rsid w:val="003D4CC0"/>
    <w:rsid w:val="003D5981"/>
    <w:rsid w:val="003D67FC"/>
    <w:rsid w:val="003D6A62"/>
    <w:rsid w:val="003D70CE"/>
    <w:rsid w:val="003D7191"/>
    <w:rsid w:val="003D7308"/>
    <w:rsid w:val="003E0216"/>
    <w:rsid w:val="003E0726"/>
    <w:rsid w:val="003E168D"/>
    <w:rsid w:val="003E19F3"/>
    <w:rsid w:val="003E1A52"/>
    <w:rsid w:val="003E2BC6"/>
    <w:rsid w:val="003E2CE2"/>
    <w:rsid w:val="003E2E0A"/>
    <w:rsid w:val="003E301C"/>
    <w:rsid w:val="003E3AEB"/>
    <w:rsid w:val="003E4561"/>
    <w:rsid w:val="003E4822"/>
    <w:rsid w:val="003E4A0F"/>
    <w:rsid w:val="003E4E0E"/>
    <w:rsid w:val="003E5B77"/>
    <w:rsid w:val="003E6078"/>
    <w:rsid w:val="003E7831"/>
    <w:rsid w:val="003F06DF"/>
    <w:rsid w:val="003F139F"/>
    <w:rsid w:val="003F29C6"/>
    <w:rsid w:val="003F2E6D"/>
    <w:rsid w:val="003F36A5"/>
    <w:rsid w:val="003F4AE8"/>
    <w:rsid w:val="003F4D07"/>
    <w:rsid w:val="003F55ED"/>
    <w:rsid w:val="003F5AF2"/>
    <w:rsid w:val="003F5BBA"/>
    <w:rsid w:val="003F6938"/>
    <w:rsid w:val="003F7272"/>
    <w:rsid w:val="003F77FC"/>
    <w:rsid w:val="003F786E"/>
    <w:rsid w:val="003F788E"/>
    <w:rsid w:val="003F7E46"/>
    <w:rsid w:val="004005AD"/>
    <w:rsid w:val="00401254"/>
    <w:rsid w:val="004013F3"/>
    <w:rsid w:val="00401FA6"/>
    <w:rsid w:val="00402B95"/>
    <w:rsid w:val="0040394E"/>
    <w:rsid w:val="00403980"/>
    <w:rsid w:val="004048AA"/>
    <w:rsid w:val="00405581"/>
    <w:rsid w:val="0040626E"/>
    <w:rsid w:val="00406356"/>
    <w:rsid w:val="004068F9"/>
    <w:rsid w:val="00406E5A"/>
    <w:rsid w:val="0040718B"/>
    <w:rsid w:val="0041036F"/>
    <w:rsid w:val="00410E88"/>
    <w:rsid w:val="00410ED4"/>
    <w:rsid w:val="0041148F"/>
    <w:rsid w:val="004116B1"/>
    <w:rsid w:val="0041243F"/>
    <w:rsid w:val="00412572"/>
    <w:rsid w:val="00412A27"/>
    <w:rsid w:val="00412B91"/>
    <w:rsid w:val="0041377A"/>
    <w:rsid w:val="00413D60"/>
    <w:rsid w:val="00413E33"/>
    <w:rsid w:val="00414137"/>
    <w:rsid w:val="00414F35"/>
    <w:rsid w:val="00414FBF"/>
    <w:rsid w:val="0041608A"/>
    <w:rsid w:val="00416196"/>
    <w:rsid w:val="004166A8"/>
    <w:rsid w:val="004167DE"/>
    <w:rsid w:val="004168FA"/>
    <w:rsid w:val="00416D56"/>
    <w:rsid w:val="004170BB"/>
    <w:rsid w:val="00417A04"/>
    <w:rsid w:val="0042001D"/>
    <w:rsid w:val="004212BE"/>
    <w:rsid w:val="004229CE"/>
    <w:rsid w:val="00422BB1"/>
    <w:rsid w:val="00423CCB"/>
    <w:rsid w:val="00424637"/>
    <w:rsid w:val="0042548F"/>
    <w:rsid w:val="00425D8C"/>
    <w:rsid w:val="00426F7D"/>
    <w:rsid w:val="004273F5"/>
    <w:rsid w:val="004274F9"/>
    <w:rsid w:val="00427921"/>
    <w:rsid w:val="00430312"/>
    <w:rsid w:val="004303FF"/>
    <w:rsid w:val="00430860"/>
    <w:rsid w:val="00430ED8"/>
    <w:rsid w:val="00431250"/>
    <w:rsid w:val="004318AD"/>
    <w:rsid w:val="00431AE1"/>
    <w:rsid w:val="00431E90"/>
    <w:rsid w:val="00431F36"/>
    <w:rsid w:val="004329DF"/>
    <w:rsid w:val="00432B03"/>
    <w:rsid w:val="004339EE"/>
    <w:rsid w:val="0043513F"/>
    <w:rsid w:val="00435C0E"/>
    <w:rsid w:val="00435E44"/>
    <w:rsid w:val="00437D0F"/>
    <w:rsid w:val="004404A8"/>
    <w:rsid w:val="00441119"/>
    <w:rsid w:val="00441507"/>
    <w:rsid w:val="00441A85"/>
    <w:rsid w:val="00441AA0"/>
    <w:rsid w:val="004428B8"/>
    <w:rsid w:val="00442CFF"/>
    <w:rsid w:val="0044402D"/>
    <w:rsid w:val="0044417D"/>
    <w:rsid w:val="004448EA"/>
    <w:rsid w:val="00444B29"/>
    <w:rsid w:val="00444D9A"/>
    <w:rsid w:val="00444E3C"/>
    <w:rsid w:val="004452AF"/>
    <w:rsid w:val="004464C3"/>
    <w:rsid w:val="004464CC"/>
    <w:rsid w:val="004471AC"/>
    <w:rsid w:val="004475B1"/>
    <w:rsid w:val="004475BA"/>
    <w:rsid w:val="004502D9"/>
    <w:rsid w:val="00452AAC"/>
    <w:rsid w:val="00452B40"/>
    <w:rsid w:val="00453868"/>
    <w:rsid w:val="004538DE"/>
    <w:rsid w:val="004539D2"/>
    <w:rsid w:val="00453D82"/>
    <w:rsid w:val="00454304"/>
    <w:rsid w:val="004549DB"/>
    <w:rsid w:val="00454F50"/>
    <w:rsid w:val="00455760"/>
    <w:rsid w:val="00455B34"/>
    <w:rsid w:val="00456C6B"/>
    <w:rsid w:val="00457690"/>
    <w:rsid w:val="00457DCE"/>
    <w:rsid w:val="00460191"/>
    <w:rsid w:val="004609AB"/>
    <w:rsid w:val="00461013"/>
    <w:rsid w:val="0046122B"/>
    <w:rsid w:val="00461790"/>
    <w:rsid w:val="00461B52"/>
    <w:rsid w:val="00461B56"/>
    <w:rsid w:val="004627DF"/>
    <w:rsid w:val="004631EF"/>
    <w:rsid w:val="0046480A"/>
    <w:rsid w:val="00464BF7"/>
    <w:rsid w:val="004651A8"/>
    <w:rsid w:val="00465F8F"/>
    <w:rsid w:val="0046650D"/>
    <w:rsid w:val="0046756E"/>
    <w:rsid w:val="00470666"/>
    <w:rsid w:val="00472A59"/>
    <w:rsid w:val="00473540"/>
    <w:rsid w:val="00474EB9"/>
    <w:rsid w:val="00474F58"/>
    <w:rsid w:val="00475A64"/>
    <w:rsid w:val="00475AFF"/>
    <w:rsid w:val="00475B34"/>
    <w:rsid w:val="0047613C"/>
    <w:rsid w:val="00476D84"/>
    <w:rsid w:val="004771FB"/>
    <w:rsid w:val="004803F2"/>
    <w:rsid w:val="00480AEE"/>
    <w:rsid w:val="004813F4"/>
    <w:rsid w:val="00481518"/>
    <w:rsid w:val="00483F18"/>
    <w:rsid w:val="00484312"/>
    <w:rsid w:val="0048550B"/>
    <w:rsid w:val="00485576"/>
    <w:rsid w:val="00485F64"/>
    <w:rsid w:val="00486044"/>
    <w:rsid w:val="00486540"/>
    <w:rsid w:val="00486833"/>
    <w:rsid w:val="00486D58"/>
    <w:rsid w:val="0048750F"/>
    <w:rsid w:val="0048762C"/>
    <w:rsid w:val="004902D4"/>
    <w:rsid w:val="0049043D"/>
    <w:rsid w:val="00490D7D"/>
    <w:rsid w:val="0049162D"/>
    <w:rsid w:val="00492359"/>
    <w:rsid w:val="0049254D"/>
    <w:rsid w:val="00492C9E"/>
    <w:rsid w:val="0049334C"/>
    <w:rsid w:val="0049376D"/>
    <w:rsid w:val="00494365"/>
    <w:rsid w:val="004943D5"/>
    <w:rsid w:val="00495A91"/>
    <w:rsid w:val="0049642F"/>
    <w:rsid w:val="00496514"/>
    <w:rsid w:val="00497A47"/>
    <w:rsid w:val="004A06B4"/>
    <w:rsid w:val="004A0A49"/>
    <w:rsid w:val="004A1D60"/>
    <w:rsid w:val="004A2CA2"/>
    <w:rsid w:val="004A2D4A"/>
    <w:rsid w:val="004A2EC5"/>
    <w:rsid w:val="004A332F"/>
    <w:rsid w:val="004A3737"/>
    <w:rsid w:val="004A4703"/>
    <w:rsid w:val="004A4825"/>
    <w:rsid w:val="004A511F"/>
    <w:rsid w:val="004A5190"/>
    <w:rsid w:val="004A5BEF"/>
    <w:rsid w:val="004A5D9E"/>
    <w:rsid w:val="004A6980"/>
    <w:rsid w:val="004A6EE1"/>
    <w:rsid w:val="004A719A"/>
    <w:rsid w:val="004A7285"/>
    <w:rsid w:val="004B05A2"/>
    <w:rsid w:val="004B0B7E"/>
    <w:rsid w:val="004B0F55"/>
    <w:rsid w:val="004B1E19"/>
    <w:rsid w:val="004B1EC5"/>
    <w:rsid w:val="004B2056"/>
    <w:rsid w:val="004B2168"/>
    <w:rsid w:val="004B21B9"/>
    <w:rsid w:val="004B256F"/>
    <w:rsid w:val="004B333E"/>
    <w:rsid w:val="004B3778"/>
    <w:rsid w:val="004B38C9"/>
    <w:rsid w:val="004B3F29"/>
    <w:rsid w:val="004B418D"/>
    <w:rsid w:val="004B41F2"/>
    <w:rsid w:val="004B4355"/>
    <w:rsid w:val="004B48F6"/>
    <w:rsid w:val="004B4AA1"/>
    <w:rsid w:val="004B5E28"/>
    <w:rsid w:val="004B6143"/>
    <w:rsid w:val="004B65C3"/>
    <w:rsid w:val="004B6A8E"/>
    <w:rsid w:val="004B7716"/>
    <w:rsid w:val="004B77C2"/>
    <w:rsid w:val="004B7ACD"/>
    <w:rsid w:val="004C0653"/>
    <w:rsid w:val="004C0854"/>
    <w:rsid w:val="004C087E"/>
    <w:rsid w:val="004C2596"/>
    <w:rsid w:val="004C2733"/>
    <w:rsid w:val="004C2DF1"/>
    <w:rsid w:val="004C3A63"/>
    <w:rsid w:val="004C4167"/>
    <w:rsid w:val="004C42C0"/>
    <w:rsid w:val="004C48B2"/>
    <w:rsid w:val="004C54A5"/>
    <w:rsid w:val="004C6D33"/>
    <w:rsid w:val="004C72AA"/>
    <w:rsid w:val="004D027E"/>
    <w:rsid w:val="004D04AE"/>
    <w:rsid w:val="004D09D7"/>
    <w:rsid w:val="004D2138"/>
    <w:rsid w:val="004D25A6"/>
    <w:rsid w:val="004D26DD"/>
    <w:rsid w:val="004D347A"/>
    <w:rsid w:val="004D3C3C"/>
    <w:rsid w:val="004D4E46"/>
    <w:rsid w:val="004D54BB"/>
    <w:rsid w:val="004D583C"/>
    <w:rsid w:val="004D6189"/>
    <w:rsid w:val="004D623E"/>
    <w:rsid w:val="004D6693"/>
    <w:rsid w:val="004D72D2"/>
    <w:rsid w:val="004D750C"/>
    <w:rsid w:val="004D7907"/>
    <w:rsid w:val="004D7A00"/>
    <w:rsid w:val="004D7F6B"/>
    <w:rsid w:val="004E066A"/>
    <w:rsid w:val="004E083E"/>
    <w:rsid w:val="004E0DE9"/>
    <w:rsid w:val="004E0E3D"/>
    <w:rsid w:val="004E2B1A"/>
    <w:rsid w:val="004E331E"/>
    <w:rsid w:val="004E33D3"/>
    <w:rsid w:val="004E3648"/>
    <w:rsid w:val="004E3810"/>
    <w:rsid w:val="004E47E9"/>
    <w:rsid w:val="004E4BC1"/>
    <w:rsid w:val="004E51D2"/>
    <w:rsid w:val="004E53AA"/>
    <w:rsid w:val="004E5736"/>
    <w:rsid w:val="004E592C"/>
    <w:rsid w:val="004E607D"/>
    <w:rsid w:val="004E67D4"/>
    <w:rsid w:val="004E6897"/>
    <w:rsid w:val="004E73C7"/>
    <w:rsid w:val="004E73E1"/>
    <w:rsid w:val="004E7B2F"/>
    <w:rsid w:val="004E7FDF"/>
    <w:rsid w:val="004F04F3"/>
    <w:rsid w:val="004F1AB5"/>
    <w:rsid w:val="004F1C0D"/>
    <w:rsid w:val="004F2305"/>
    <w:rsid w:val="004F290D"/>
    <w:rsid w:val="004F30F8"/>
    <w:rsid w:val="004F3E4A"/>
    <w:rsid w:val="004F44EA"/>
    <w:rsid w:val="004F5004"/>
    <w:rsid w:val="004F5169"/>
    <w:rsid w:val="004F52AD"/>
    <w:rsid w:val="004F54CF"/>
    <w:rsid w:val="004F5A5D"/>
    <w:rsid w:val="004F6E00"/>
    <w:rsid w:val="004F7680"/>
    <w:rsid w:val="004F7C56"/>
    <w:rsid w:val="0050014D"/>
    <w:rsid w:val="00500215"/>
    <w:rsid w:val="005007D8"/>
    <w:rsid w:val="00500B04"/>
    <w:rsid w:val="00501079"/>
    <w:rsid w:val="00501863"/>
    <w:rsid w:val="00501E72"/>
    <w:rsid w:val="005027C7"/>
    <w:rsid w:val="00502B3C"/>
    <w:rsid w:val="00502DC8"/>
    <w:rsid w:val="00503672"/>
    <w:rsid w:val="00503E51"/>
    <w:rsid w:val="00504DE6"/>
    <w:rsid w:val="00505DCD"/>
    <w:rsid w:val="00505FEB"/>
    <w:rsid w:val="00506AE8"/>
    <w:rsid w:val="00506BF2"/>
    <w:rsid w:val="0050717F"/>
    <w:rsid w:val="005071F9"/>
    <w:rsid w:val="0050743F"/>
    <w:rsid w:val="00510164"/>
    <w:rsid w:val="00510EAE"/>
    <w:rsid w:val="0051116F"/>
    <w:rsid w:val="005113B6"/>
    <w:rsid w:val="00512555"/>
    <w:rsid w:val="00512746"/>
    <w:rsid w:val="00512B39"/>
    <w:rsid w:val="00513565"/>
    <w:rsid w:val="00513DC0"/>
    <w:rsid w:val="00514048"/>
    <w:rsid w:val="005146EF"/>
    <w:rsid w:val="00516189"/>
    <w:rsid w:val="00516B7F"/>
    <w:rsid w:val="005201FA"/>
    <w:rsid w:val="00520DFB"/>
    <w:rsid w:val="00521404"/>
    <w:rsid w:val="00522078"/>
    <w:rsid w:val="00522906"/>
    <w:rsid w:val="0052499C"/>
    <w:rsid w:val="00525C00"/>
    <w:rsid w:val="00525CC1"/>
    <w:rsid w:val="00525E84"/>
    <w:rsid w:val="005260F7"/>
    <w:rsid w:val="00526FA5"/>
    <w:rsid w:val="00527EE3"/>
    <w:rsid w:val="005300C7"/>
    <w:rsid w:val="00531817"/>
    <w:rsid w:val="0053232A"/>
    <w:rsid w:val="005327EA"/>
    <w:rsid w:val="005329F7"/>
    <w:rsid w:val="00533387"/>
    <w:rsid w:val="00533D20"/>
    <w:rsid w:val="0053407B"/>
    <w:rsid w:val="005343A0"/>
    <w:rsid w:val="00534A29"/>
    <w:rsid w:val="00534F02"/>
    <w:rsid w:val="005354E5"/>
    <w:rsid w:val="00535A16"/>
    <w:rsid w:val="005365BC"/>
    <w:rsid w:val="005369E7"/>
    <w:rsid w:val="00536CD8"/>
    <w:rsid w:val="00537F7E"/>
    <w:rsid w:val="00540A55"/>
    <w:rsid w:val="00540DA1"/>
    <w:rsid w:val="00540E22"/>
    <w:rsid w:val="0054253B"/>
    <w:rsid w:val="005435CF"/>
    <w:rsid w:val="00543D2F"/>
    <w:rsid w:val="00544321"/>
    <w:rsid w:val="00544C00"/>
    <w:rsid w:val="00544D0F"/>
    <w:rsid w:val="00544FC8"/>
    <w:rsid w:val="00545D8C"/>
    <w:rsid w:val="00546059"/>
    <w:rsid w:val="0054621F"/>
    <w:rsid w:val="00546DB4"/>
    <w:rsid w:val="00546F44"/>
    <w:rsid w:val="00547AAA"/>
    <w:rsid w:val="005504B7"/>
    <w:rsid w:val="00551C79"/>
    <w:rsid w:val="00552058"/>
    <w:rsid w:val="00552294"/>
    <w:rsid w:val="00552343"/>
    <w:rsid w:val="0055295F"/>
    <w:rsid w:val="00552DB3"/>
    <w:rsid w:val="00552EEE"/>
    <w:rsid w:val="00552FC9"/>
    <w:rsid w:val="00554050"/>
    <w:rsid w:val="00554B08"/>
    <w:rsid w:val="00555F4D"/>
    <w:rsid w:val="005560B1"/>
    <w:rsid w:val="00556233"/>
    <w:rsid w:val="00556704"/>
    <w:rsid w:val="00556CD3"/>
    <w:rsid w:val="00556F06"/>
    <w:rsid w:val="00556FDF"/>
    <w:rsid w:val="00557605"/>
    <w:rsid w:val="00557A11"/>
    <w:rsid w:val="00560CA0"/>
    <w:rsid w:val="0056168E"/>
    <w:rsid w:val="005624F3"/>
    <w:rsid w:val="00562557"/>
    <w:rsid w:val="005626C6"/>
    <w:rsid w:val="00562872"/>
    <w:rsid w:val="00563465"/>
    <w:rsid w:val="00563F96"/>
    <w:rsid w:val="00564079"/>
    <w:rsid w:val="00564DBA"/>
    <w:rsid w:val="00565606"/>
    <w:rsid w:val="005659A2"/>
    <w:rsid w:val="00566CFF"/>
    <w:rsid w:val="00567222"/>
    <w:rsid w:val="00567AC1"/>
    <w:rsid w:val="00570E4A"/>
    <w:rsid w:val="005717C2"/>
    <w:rsid w:val="0057203A"/>
    <w:rsid w:val="005721BD"/>
    <w:rsid w:val="0057452D"/>
    <w:rsid w:val="00574862"/>
    <w:rsid w:val="00574D73"/>
    <w:rsid w:val="005750C7"/>
    <w:rsid w:val="00575350"/>
    <w:rsid w:val="00575845"/>
    <w:rsid w:val="00576FCD"/>
    <w:rsid w:val="0057738F"/>
    <w:rsid w:val="0057771C"/>
    <w:rsid w:val="00577FF3"/>
    <w:rsid w:val="0058078F"/>
    <w:rsid w:val="005811EF"/>
    <w:rsid w:val="005812D2"/>
    <w:rsid w:val="005815A4"/>
    <w:rsid w:val="00581799"/>
    <w:rsid w:val="00581C7D"/>
    <w:rsid w:val="00581C88"/>
    <w:rsid w:val="0058200A"/>
    <w:rsid w:val="00582632"/>
    <w:rsid w:val="0058370A"/>
    <w:rsid w:val="00583BE4"/>
    <w:rsid w:val="00584468"/>
    <w:rsid w:val="00584C7A"/>
    <w:rsid w:val="00584DCF"/>
    <w:rsid w:val="005851C7"/>
    <w:rsid w:val="00585BB7"/>
    <w:rsid w:val="00585D73"/>
    <w:rsid w:val="00585E02"/>
    <w:rsid w:val="00586AD0"/>
    <w:rsid w:val="00586B35"/>
    <w:rsid w:val="00586F2E"/>
    <w:rsid w:val="0058716A"/>
    <w:rsid w:val="0058752B"/>
    <w:rsid w:val="005902C3"/>
    <w:rsid w:val="00590434"/>
    <w:rsid w:val="005906D0"/>
    <w:rsid w:val="005908BE"/>
    <w:rsid w:val="00591122"/>
    <w:rsid w:val="005911B0"/>
    <w:rsid w:val="005918A2"/>
    <w:rsid w:val="00591A18"/>
    <w:rsid w:val="00591C3A"/>
    <w:rsid w:val="0059225F"/>
    <w:rsid w:val="00592547"/>
    <w:rsid w:val="0059361A"/>
    <w:rsid w:val="00593B7D"/>
    <w:rsid w:val="00594010"/>
    <w:rsid w:val="00594D7F"/>
    <w:rsid w:val="00595A71"/>
    <w:rsid w:val="00595AA4"/>
    <w:rsid w:val="00595E8B"/>
    <w:rsid w:val="00596215"/>
    <w:rsid w:val="00596867"/>
    <w:rsid w:val="00597267"/>
    <w:rsid w:val="00597283"/>
    <w:rsid w:val="00597489"/>
    <w:rsid w:val="005A028A"/>
    <w:rsid w:val="005A0356"/>
    <w:rsid w:val="005A0C44"/>
    <w:rsid w:val="005A10F3"/>
    <w:rsid w:val="005A1DBD"/>
    <w:rsid w:val="005A2296"/>
    <w:rsid w:val="005A2A53"/>
    <w:rsid w:val="005A2E7F"/>
    <w:rsid w:val="005A377C"/>
    <w:rsid w:val="005A38CF"/>
    <w:rsid w:val="005A40C2"/>
    <w:rsid w:val="005A47CF"/>
    <w:rsid w:val="005A483C"/>
    <w:rsid w:val="005A4964"/>
    <w:rsid w:val="005A5505"/>
    <w:rsid w:val="005A55CB"/>
    <w:rsid w:val="005A5DA2"/>
    <w:rsid w:val="005A6125"/>
    <w:rsid w:val="005A618A"/>
    <w:rsid w:val="005A6E07"/>
    <w:rsid w:val="005A71AB"/>
    <w:rsid w:val="005A74CB"/>
    <w:rsid w:val="005A7A2A"/>
    <w:rsid w:val="005B0878"/>
    <w:rsid w:val="005B1280"/>
    <w:rsid w:val="005B143C"/>
    <w:rsid w:val="005B1645"/>
    <w:rsid w:val="005B27DF"/>
    <w:rsid w:val="005B3867"/>
    <w:rsid w:val="005B392E"/>
    <w:rsid w:val="005B41B5"/>
    <w:rsid w:val="005B48C4"/>
    <w:rsid w:val="005B5C43"/>
    <w:rsid w:val="005B6043"/>
    <w:rsid w:val="005B6AC9"/>
    <w:rsid w:val="005B74FC"/>
    <w:rsid w:val="005C15C0"/>
    <w:rsid w:val="005C19B2"/>
    <w:rsid w:val="005C25C8"/>
    <w:rsid w:val="005C3800"/>
    <w:rsid w:val="005C39B5"/>
    <w:rsid w:val="005C49C1"/>
    <w:rsid w:val="005C4D7E"/>
    <w:rsid w:val="005C59A2"/>
    <w:rsid w:val="005C7631"/>
    <w:rsid w:val="005C7B7B"/>
    <w:rsid w:val="005C7C59"/>
    <w:rsid w:val="005D0284"/>
    <w:rsid w:val="005D1876"/>
    <w:rsid w:val="005D251E"/>
    <w:rsid w:val="005D277D"/>
    <w:rsid w:val="005D2922"/>
    <w:rsid w:val="005D2FCC"/>
    <w:rsid w:val="005D36DA"/>
    <w:rsid w:val="005D3ADA"/>
    <w:rsid w:val="005D3B2D"/>
    <w:rsid w:val="005D4053"/>
    <w:rsid w:val="005D4349"/>
    <w:rsid w:val="005D5850"/>
    <w:rsid w:val="005D5A0F"/>
    <w:rsid w:val="005D6058"/>
    <w:rsid w:val="005D6075"/>
    <w:rsid w:val="005D6406"/>
    <w:rsid w:val="005E0100"/>
    <w:rsid w:val="005E022A"/>
    <w:rsid w:val="005E04F3"/>
    <w:rsid w:val="005E055A"/>
    <w:rsid w:val="005E05F3"/>
    <w:rsid w:val="005E10EB"/>
    <w:rsid w:val="005E2238"/>
    <w:rsid w:val="005E2F1D"/>
    <w:rsid w:val="005E2FF4"/>
    <w:rsid w:val="005E3DE6"/>
    <w:rsid w:val="005E46D8"/>
    <w:rsid w:val="005E49B6"/>
    <w:rsid w:val="005E4D49"/>
    <w:rsid w:val="005E52B5"/>
    <w:rsid w:val="005E5C37"/>
    <w:rsid w:val="005E6220"/>
    <w:rsid w:val="005E6413"/>
    <w:rsid w:val="005E6484"/>
    <w:rsid w:val="005E6CD5"/>
    <w:rsid w:val="005E6CFD"/>
    <w:rsid w:val="005E7608"/>
    <w:rsid w:val="005E76BC"/>
    <w:rsid w:val="005E7842"/>
    <w:rsid w:val="005F1821"/>
    <w:rsid w:val="005F2117"/>
    <w:rsid w:val="005F29F1"/>
    <w:rsid w:val="005F437C"/>
    <w:rsid w:val="005F4904"/>
    <w:rsid w:val="005F56D1"/>
    <w:rsid w:val="005F6783"/>
    <w:rsid w:val="005F7103"/>
    <w:rsid w:val="005F7D97"/>
    <w:rsid w:val="005F7F35"/>
    <w:rsid w:val="00600E06"/>
    <w:rsid w:val="006010EE"/>
    <w:rsid w:val="00601765"/>
    <w:rsid w:val="006019D7"/>
    <w:rsid w:val="00601B54"/>
    <w:rsid w:val="00602045"/>
    <w:rsid w:val="00602470"/>
    <w:rsid w:val="00602507"/>
    <w:rsid w:val="00605395"/>
    <w:rsid w:val="0060557A"/>
    <w:rsid w:val="00606D20"/>
    <w:rsid w:val="00610654"/>
    <w:rsid w:val="0061077B"/>
    <w:rsid w:val="006112E4"/>
    <w:rsid w:val="00612722"/>
    <w:rsid w:val="006128CB"/>
    <w:rsid w:val="0061380A"/>
    <w:rsid w:val="0061398A"/>
    <w:rsid w:val="00614165"/>
    <w:rsid w:val="006150DC"/>
    <w:rsid w:val="00615484"/>
    <w:rsid w:val="00615F95"/>
    <w:rsid w:val="0061624C"/>
    <w:rsid w:val="00616296"/>
    <w:rsid w:val="00617904"/>
    <w:rsid w:val="0062036D"/>
    <w:rsid w:val="006205CB"/>
    <w:rsid w:val="006209F4"/>
    <w:rsid w:val="00620E18"/>
    <w:rsid w:val="00621551"/>
    <w:rsid w:val="006223E9"/>
    <w:rsid w:val="00622AE3"/>
    <w:rsid w:val="00623067"/>
    <w:rsid w:val="006231BA"/>
    <w:rsid w:val="00623618"/>
    <w:rsid w:val="00625ACA"/>
    <w:rsid w:val="00625D2C"/>
    <w:rsid w:val="006262C1"/>
    <w:rsid w:val="006266AF"/>
    <w:rsid w:val="00626A8E"/>
    <w:rsid w:val="0063125B"/>
    <w:rsid w:val="006313F1"/>
    <w:rsid w:val="00631BA6"/>
    <w:rsid w:val="00631ECB"/>
    <w:rsid w:val="00633253"/>
    <w:rsid w:val="006343EE"/>
    <w:rsid w:val="00634514"/>
    <w:rsid w:val="0063475D"/>
    <w:rsid w:val="00636252"/>
    <w:rsid w:val="00636797"/>
    <w:rsid w:val="00636804"/>
    <w:rsid w:val="0063681B"/>
    <w:rsid w:val="00636A85"/>
    <w:rsid w:val="00637141"/>
    <w:rsid w:val="00637643"/>
    <w:rsid w:val="006376BD"/>
    <w:rsid w:val="0064026B"/>
    <w:rsid w:val="0064045F"/>
    <w:rsid w:val="00640614"/>
    <w:rsid w:val="006407E4"/>
    <w:rsid w:val="00640978"/>
    <w:rsid w:val="00640D3B"/>
    <w:rsid w:val="00640DD6"/>
    <w:rsid w:val="00640ECB"/>
    <w:rsid w:val="00641DE5"/>
    <w:rsid w:val="00642020"/>
    <w:rsid w:val="00642220"/>
    <w:rsid w:val="0064253D"/>
    <w:rsid w:val="00642998"/>
    <w:rsid w:val="006431B8"/>
    <w:rsid w:val="0064320A"/>
    <w:rsid w:val="006433FD"/>
    <w:rsid w:val="00643487"/>
    <w:rsid w:val="00643A7E"/>
    <w:rsid w:val="00643BF4"/>
    <w:rsid w:val="006455C2"/>
    <w:rsid w:val="00645873"/>
    <w:rsid w:val="00646CB8"/>
    <w:rsid w:val="00646F61"/>
    <w:rsid w:val="006475E9"/>
    <w:rsid w:val="0064796E"/>
    <w:rsid w:val="00647AC8"/>
    <w:rsid w:val="00647F77"/>
    <w:rsid w:val="00650217"/>
    <w:rsid w:val="006509EB"/>
    <w:rsid w:val="00650C7B"/>
    <w:rsid w:val="006512B4"/>
    <w:rsid w:val="006515B5"/>
    <w:rsid w:val="006519ED"/>
    <w:rsid w:val="00652E8A"/>
    <w:rsid w:val="006532F1"/>
    <w:rsid w:val="00653E1B"/>
    <w:rsid w:val="00655396"/>
    <w:rsid w:val="00655583"/>
    <w:rsid w:val="00656284"/>
    <w:rsid w:val="006567D6"/>
    <w:rsid w:val="00656A6C"/>
    <w:rsid w:val="0066187A"/>
    <w:rsid w:val="00662893"/>
    <w:rsid w:val="00663051"/>
    <w:rsid w:val="00663438"/>
    <w:rsid w:val="00663845"/>
    <w:rsid w:val="00663E03"/>
    <w:rsid w:val="00664082"/>
    <w:rsid w:val="0066486C"/>
    <w:rsid w:val="00664C50"/>
    <w:rsid w:val="00665469"/>
    <w:rsid w:val="00665578"/>
    <w:rsid w:val="00665687"/>
    <w:rsid w:val="00665715"/>
    <w:rsid w:val="006659AB"/>
    <w:rsid w:val="00665BD4"/>
    <w:rsid w:val="00666724"/>
    <w:rsid w:val="0067026C"/>
    <w:rsid w:val="0067068B"/>
    <w:rsid w:val="006729BA"/>
    <w:rsid w:val="00672AA7"/>
    <w:rsid w:val="00672E92"/>
    <w:rsid w:val="00672F5A"/>
    <w:rsid w:val="00672F5C"/>
    <w:rsid w:val="00674257"/>
    <w:rsid w:val="0067448A"/>
    <w:rsid w:val="006747AD"/>
    <w:rsid w:val="00675374"/>
    <w:rsid w:val="006763EE"/>
    <w:rsid w:val="00676F04"/>
    <w:rsid w:val="00677B53"/>
    <w:rsid w:val="00677F3F"/>
    <w:rsid w:val="006808B2"/>
    <w:rsid w:val="0068115A"/>
    <w:rsid w:val="006820AF"/>
    <w:rsid w:val="006829EE"/>
    <w:rsid w:val="00682B28"/>
    <w:rsid w:val="006832FE"/>
    <w:rsid w:val="00683438"/>
    <w:rsid w:val="00684901"/>
    <w:rsid w:val="00684F87"/>
    <w:rsid w:val="00685A95"/>
    <w:rsid w:val="00685AEB"/>
    <w:rsid w:val="006861B5"/>
    <w:rsid w:val="0068632B"/>
    <w:rsid w:val="0068653F"/>
    <w:rsid w:val="006865EB"/>
    <w:rsid w:val="00686DC6"/>
    <w:rsid w:val="0068711E"/>
    <w:rsid w:val="006871EC"/>
    <w:rsid w:val="00687DF8"/>
    <w:rsid w:val="00691237"/>
    <w:rsid w:val="00691631"/>
    <w:rsid w:val="00691833"/>
    <w:rsid w:val="006946EB"/>
    <w:rsid w:val="00694A87"/>
    <w:rsid w:val="0069629B"/>
    <w:rsid w:val="006963A1"/>
    <w:rsid w:val="0069650B"/>
    <w:rsid w:val="00696A75"/>
    <w:rsid w:val="00696D44"/>
    <w:rsid w:val="00696F8A"/>
    <w:rsid w:val="006973A4"/>
    <w:rsid w:val="0069762F"/>
    <w:rsid w:val="00697851"/>
    <w:rsid w:val="006A02B4"/>
    <w:rsid w:val="006A05FD"/>
    <w:rsid w:val="006A26BD"/>
    <w:rsid w:val="006A26DC"/>
    <w:rsid w:val="006A5CB1"/>
    <w:rsid w:val="006A5DB4"/>
    <w:rsid w:val="006A6285"/>
    <w:rsid w:val="006A6536"/>
    <w:rsid w:val="006A6ABD"/>
    <w:rsid w:val="006A6E94"/>
    <w:rsid w:val="006A7881"/>
    <w:rsid w:val="006A799B"/>
    <w:rsid w:val="006B0BD6"/>
    <w:rsid w:val="006B0D62"/>
    <w:rsid w:val="006B112B"/>
    <w:rsid w:val="006B43E2"/>
    <w:rsid w:val="006B50E9"/>
    <w:rsid w:val="006B51DB"/>
    <w:rsid w:val="006B6081"/>
    <w:rsid w:val="006B60A9"/>
    <w:rsid w:val="006B74DE"/>
    <w:rsid w:val="006C0722"/>
    <w:rsid w:val="006C15E8"/>
    <w:rsid w:val="006C1A5E"/>
    <w:rsid w:val="006C30BE"/>
    <w:rsid w:val="006C3550"/>
    <w:rsid w:val="006C499E"/>
    <w:rsid w:val="006C5041"/>
    <w:rsid w:val="006C5083"/>
    <w:rsid w:val="006C5399"/>
    <w:rsid w:val="006C5500"/>
    <w:rsid w:val="006C5C17"/>
    <w:rsid w:val="006C6A9E"/>
    <w:rsid w:val="006C6F47"/>
    <w:rsid w:val="006C778E"/>
    <w:rsid w:val="006D00BA"/>
    <w:rsid w:val="006D0594"/>
    <w:rsid w:val="006D0B7C"/>
    <w:rsid w:val="006D13EA"/>
    <w:rsid w:val="006D16AC"/>
    <w:rsid w:val="006D2353"/>
    <w:rsid w:val="006D293F"/>
    <w:rsid w:val="006D2A16"/>
    <w:rsid w:val="006D2AC3"/>
    <w:rsid w:val="006D2AFA"/>
    <w:rsid w:val="006D33B5"/>
    <w:rsid w:val="006D40C8"/>
    <w:rsid w:val="006D4979"/>
    <w:rsid w:val="006D5BBF"/>
    <w:rsid w:val="006D5D4C"/>
    <w:rsid w:val="006D7555"/>
    <w:rsid w:val="006D78CA"/>
    <w:rsid w:val="006D7AA4"/>
    <w:rsid w:val="006D7E98"/>
    <w:rsid w:val="006E1138"/>
    <w:rsid w:val="006E1485"/>
    <w:rsid w:val="006E16F9"/>
    <w:rsid w:val="006E17EA"/>
    <w:rsid w:val="006E1DD0"/>
    <w:rsid w:val="006E2A49"/>
    <w:rsid w:val="006E2D49"/>
    <w:rsid w:val="006E35A1"/>
    <w:rsid w:val="006E3693"/>
    <w:rsid w:val="006E4073"/>
    <w:rsid w:val="006E449F"/>
    <w:rsid w:val="006E4F10"/>
    <w:rsid w:val="006E530F"/>
    <w:rsid w:val="006E5D04"/>
    <w:rsid w:val="006E6C38"/>
    <w:rsid w:val="006E6DD1"/>
    <w:rsid w:val="006E6F88"/>
    <w:rsid w:val="006E730D"/>
    <w:rsid w:val="006E76AC"/>
    <w:rsid w:val="006E7D02"/>
    <w:rsid w:val="006F0DC8"/>
    <w:rsid w:val="006F114F"/>
    <w:rsid w:val="006F162E"/>
    <w:rsid w:val="006F227C"/>
    <w:rsid w:val="006F2E29"/>
    <w:rsid w:val="006F3107"/>
    <w:rsid w:val="006F346A"/>
    <w:rsid w:val="006F3CCC"/>
    <w:rsid w:val="006F417B"/>
    <w:rsid w:val="006F4DE0"/>
    <w:rsid w:val="006F5B23"/>
    <w:rsid w:val="006F6939"/>
    <w:rsid w:val="006F6979"/>
    <w:rsid w:val="006F7505"/>
    <w:rsid w:val="006F76EE"/>
    <w:rsid w:val="006F7993"/>
    <w:rsid w:val="006F7E41"/>
    <w:rsid w:val="007000DF"/>
    <w:rsid w:val="00700539"/>
    <w:rsid w:val="007005FD"/>
    <w:rsid w:val="0070081A"/>
    <w:rsid w:val="007009BC"/>
    <w:rsid w:val="007016E3"/>
    <w:rsid w:val="00702AC5"/>
    <w:rsid w:val="00702CA5"/>
    <w:rsid w:val="0070352F"/>
    <w:rsid w:val="007039C7"/>
    <w:rsid w:val="007039D8"/>
    <w:rsid w:val="007039FB"/>
    <w:rsid w:val="00703BA8"/>
    <w:rsid w:val="0070402F"/>
    <w:rsid w:val="007042C2"/>
    <w:rsid w:val="0070451B"/>
    <w:rsid w:val="00704E28"/>
    <w:rsid w:val="00704FAF"/>
    <w:rsid w:val="00705CA1"/>
    <w:rsid w:val="00706CE3"/>
    <w:rsid w:val="007071AB"/>
    <w:rsid w:val="00707DAC"/>
    <w:rsid w:val="00710116"/>
    <w:rsid w:val="007101E4"/>
    <w:rsid w:val="007104BE"/>
    <w:rsid w:val="007107D7"/>
    <w:rsid w:val="007118B4"/>
    <w:rsid w:val="00711F37"/>
    <w:rsid w:val="007129BB"/>
    <w:rsid w:val="00712FC7"/>
    <w:rsid w:val="007131B1"/>
    <w:rsid w:val="00713808"/>
    <w:rsid w:val="00714015"/>
    <w:rsid w:val="00714821"/>
    <w:rsid w:val="00714EEE"/>
    <w:rsid w:val="007152AA"/>
    <w:rsid w:val="007152B3"/>
    <w:rsid w:val="00715379"/>
    <w:rsid w:val="00715414"/>
    <w:rsid w:val="00715B5D"/>
    <w:rsid w:val="00715B86"/>
    <w:rsid w:val="00715D90"/>
    <w:rsid w:val="007160BF"/>
    <w:rsid w:val="007162C5"/>
    <w:rsid w:val="0071663C"/>
    <w:rsid w:val="00716925"/>
    <w:rsid w:val="00716CDB"/>
    <w:rsid w:val="00716E6D"/>
    <w:rsid w:val="00717354"/>
    <w:rsid w:val="007173EA"/>
    <w:rsid w:val="00720093"/>
    <w:rsid w:val="00720B20"/>
    <w:rsid w:val="0072285B"/>
    <w:rsid w:val="00722B35"/>
    <w:rsid w:val="00722C0E"/>
    <w:rsid w:val="00722EF3"/>
    <w:rsid w:val="007230F1"/>
    <w:rsid w:val="00723885"/>
    <w:rsid w:val="007243E1"/>
    <w:rsid w:val="00725C27"/>
    <w:rsid w:val="00725E70"/>
    <w:rsid w:val="0072630B"/>
    <w:rsid w:val="00726885"/>
    <w:rsid w:val="00726D46"/>
    <w:rsid w:val="00727304"/>
    <w:rsid w:val="00730C40"/>
    <w:rsid w:val="007312FF"/>
    <w:rsid w:val="007321CE"/>
    <w:rsid w:val="00732A9C"/>
    <w:rsid w:val="00733095"/>
    <w:rsid w:val="007335BA"/>
    <w:rsid w:val="007342B8"/>
    <w:rsid w:val="007342D6"/>
    <w:rsid w:val="00734501"/>
    <w:rsid w:val="00734C1B"/>
    <w:rsid w:val="00735968"/>
    <w:rsid w:val="00737F44"/>
    <w:rsid w:val="00740250"/>
    <w:rsid w:val="0074074F"/>
    <w:rsid w:val="00740C8B"/>
    <w:rsid w:val="00740E59"/>
    <w:rsid w:val="00741115"/>
    <w:rsid w:val="00741D17"/>
    <w:rsid w:val="00742F53"/>
    <w:rsid w:val="00744DA1"/>
    <w:rsid w:val="00746259"/>
    <w:rsid w:val="00746274"/>
    <w:rsid w:val="007468C2"/>
    <w:rsid w:val="007468FC"/>
    <w:rsid w:val="00746CDB"/>
    <w:rsid w:val="00747B47"/>
    <w:rsid w:val="00747B55"/>
    <w:rsid w:val="00747E9F"/>
    <w:rsid w:val="00752500"/>
    <w:rsid w:val="00752545"/>
    <w:rsid w:val="007528FE"/>
    <w:rsid w:val="00752E54"/>
    <w:rsid w:val="00753370"/>
    <w:rsid w:val="00753495"/>
    <w:rsid w:val="00754EA5"/>
    <w:rsid w:val="007553BC"/>
    <w:rsid w:val="00755C6C"/>
    <w:rsid w:val="00755D5F"/>
    <w:rsid w:val="007560A1"/>
    <w:rsid w:val="0075638A"/>
    <w:rsid w:val="00757A97"/>
    <w:rsid w:val="00757C2A"/>
    <w:rsid w:val="00760D38"/>
    <w:rsid w:val="007614F7"/>
    <w:rsid w:val="007618DD"/>
    <w:rsid w:val="00761A6A"/>
    <w:rsid w:val="00761B41"/>
    <w:rsid w:val="00761D39"/>
    <w:rsid w:val="00762EFD"/>
    <w:rsid w:val="00763067"/>
    <w:rsid w:val="00764299"/>
    <w:rsid w:val="00764625"/>
    <w:rsid w:val="00764764"/>
    <w:rsid w:val="00764D25"/>
    <w:rsid w:val="00764F7B"/>
    <w:rsid w:val="007650F8"/>
    <w:rsid w:val="0076531C"/>
    <w:rsid w:val="00765B9C"/>
    <w:rsid w:val="0076603E"/>
    <w:rsid w:val="0076633B"/>
    <w:rsid w:val="007665C4"/>
    <w:rsid w:val="00766FF3"/>
    <w:rsid w:val="00767A66"/>
    <w:rsid w:val="00767BFB"/>
    <w:rsid w:val="00767D88"/>
    <w:rsid w:val="00770408"/>
    <w:rsid w:val="00773F2A"/>
    <w:rsid w:val="007740A8"/>
    <w:rsid w:val="00774806"/>
    <w:rsid w:val="00774930"/>
    <w:rsid w:val="00775690"/>
    <w:rsid w:val="00775992"/>
    <w:rsid w:val="007759A8"/>
    <w:rsid w:val="007767AE"/>
    <w:rsid w:val="00777241"/>
    <w:rsid w:val="0077732A"/>
    <w:rsid w:val="00777484"/>
    <w:rsid w:val="00777A8B"/>
    <w:rsid w:val="00777DE9"/>
    <w:rsid w:val="00777DED"/>
    <w:rsid w:val="007804F9"/>
    <w:rsid w:val="00780F00"/>
    <w:rsid w:val="0078218A"/>
    <w:rsid w:val="007821D9"/>
    <w:rsid w:val="00782318"/>
    <w:rsid w:val="007833E6"/>
    <w:rsid w:val="00783570"/>
    <w:rsid w:val="0078481A"/>
    <w:rsid w:val="00785833"/>
    <w:rsid w:val="00786D4F"/>
    <w:rsid w:val="00786F6D"/>
    <w:rsid w:val="00787452"/>
    <w:rsid w:val="00787D72"/>
    <w:rsid w:val="007907C9"/>
    <w:rsid w:val="00791BC7"/>
    <w:rsid w:val="007925A0"/>
    <w:rsid w:val="00792CA3"/>
    <w:rsid w:val="0079376A"/>
    <w:rsid w:val="00793783"/>
    <w:rsid w:val="0079386D"/>
    <w:rsid w:val="00793B3A"/>
    <w:rsid w:val="00793F67"/>
    <w:rsid w:val="007943CE"/>
    <w:rsid w:val="00794F63"/>
    <w:rsid w:val="00794FA1"/>
    <w:rsid w:val="007951AB"/>
    <w:rsid w:val="00795267"/>
    <w:rsid w:val="007955BE"/>
    <w:rsid w:val="007966CD"/>
    <w:rsid w:val="00796C29"/>
    <w:rsid w:val="00796CC1"/>
    <w:rsid w:val="00796F73"/>
    <w:rsid w:val="007970B5"/>
    <w:rsid w:val="00797AFD"/>
    <w:rsid w:val="00797F75"/>
    <w:rsid w:val="007A0153"/>
    <w:rsid w:val="007A0220"/>
    <w:rsid w:val="007A3933"/>
    <w:rsid w:val="007A4428"/>
    <w:rsid w:val="007A44AD"/>
    <w:rsid w:val="007A4F22"/>
    <w:rsid w:val="007A5CC6"/>
    <w:rsid w:val="007A5DB4"/>
    <w:rsid w:val="007A606C"/>
    <w:rsid w:val="007A68B4"/>
    <w:rsid w:val="007A6D87"/>
    <w:rsid w:val="007A7051"/>
    <w:rsid w:val="007A7449"/>
    <w:rsid w:val="007B0390"/>
    <w:rsid w:val="007B0853"/>
    <w:rsid w:val="007B0B80"/>
    <w:rsid w:val="007B23AF"/>
    <w:rsid w:val="007B2FDD"/>
    <w:rsid w:val="007B310E"/>
    <w:rsid w:val="007B347A"/>
    <w:rsid w:val="007B373D"/>
    <w:rsid w:val="007B49CC"/>
    <w:rsid w:val="007B4C5B"/>
    <w:rsid w:val="007B521B"/>
    <w:rsid w:val="007B53DB"/>
    <w:rsid w:val="007B561A"/>
    <w:rsid w:val="007B5A95"/>
    <w:rsid w:val="007B5AAA"/>
    <w:rsid w:val="007B7191"/>
    <w:rsid w:val="007B7B46"/>
    <w:rsid w:val="007C0400"/>
    <w:rsid w:val="007C055B"/>
    <w:rsid w:val="007C0D44"/>
    <w:rsid w:val="007C10C4"/>
    <w:rsid w:val="007C1DA3"/>
    <w:rsid w:val="007C1DE5"/>
    <w:rsid w:val="007C2267"/>
    <w:rsid w:val="007C2F42"/>
    <w:rsid w:val="007C3618"/>
    <w:rsid w:val="007C3CA2"/>
    <w:rsid w:val="007C5F2A"/>
    <w:rsid w:val="007C62E3"/>
    <w:rsid w:val="007C69D3"/>
    <w:rsid w:val="007C7DC7"/>
    <w:rsid w:val="007D0D66"/>
    <w:rsid w:val="007D0F56"/>
    <w:rsid w:val="007D1444"/>
    <w:rsid w:val="007D2899"/>
    <w:rsid w:val="007D2ECF"/>
    <w:rsid w:val="007D3D55"/>
    <w:rsid w:val="007D4A26"/>
    <w:rsid w:val="007D501A"/>
    <w:rsid w:val="007D54A5"/>
    <w:rsid w:val="007D619D"/>
    <w:rsid w:val="007D652E"/>
    <w:rsid w:val="007D77C5"/>
    <w:rsid w:val="007E025F"/>
    <w:rsid w:val="007E0414"/>
    <w:rsid w:val="007E043C"/>
    <w:rsid w:val="007E14E0"/>
    <w:rsid w:val="007E22E8"/>
    <w:rsid w:val="007E264C"/>
    <w:rsid w:val="007E44A9"/>
    <w:rsid w:val="007E4E70"/>
    <w:rsid w:val="007E50F6"/>
    <w:rsid w:val="007E5F39"/>
    <w:rsid w:val="007E62DB"/>
    <w:rsid w:val="007E677A"/>
    <w:rsid w:val="007E6CAD"/>
    <w:rsid w:val="007E6D53"/>
    <w:rsid w:val="007F01EB"/>
    <w:rsid w:val="007F0934"/>
    <w:rsid w:val="007F1BD9"/>
    <w:rsid w:val="007F1C9C"/>
    <w:rsid w:val="007F2097"/>
    <w:rsid w:val="007F22F2"/>
    <w:rsid w:val="007F2614"/>
    <w:rsid w:val="007F2EB1"/>
    <w:rsid w:val="007F3562"/>
    <w:rsid w:val="007F3E5E"/>
    <w:rsid w:val="007F47FF"/>
    <w:rsid w:val="007F4C87"/>
    <w:rsid w:val="007F52AD"/>
    <w:rsid w:val="007F712A"/>
    <w:rsid w:val="007F7693"/>
    <w:rsid w:val="007F7748"/>
    <w:rsid w:val="008007DD"/>
    <w:rsid w:val="00800A20"/>
    <w:rsid w:val="00801837"/>
    <w:rsid w:val="00802139"/>
    <w:rsid w:val="0080338D"/>
    <w:rsid w:val="008046BD"/>
    <w:rsid w:val="008049B3"/>
    <w:rsid w:val="00804B9F"/>
    <w:rsid w:val="00805BE2"/>
    <w:rsid w:val="008069BA"/>
    <w:rsid w:val="00806A87"/>
    <w:rsid w:val="008078DF"/>
    <w:rsid w:val="00807AEE"/>
    <w:rsid w:val="00810319"/>
    <w:rsid w:val="00810488"/>
    <w:rsid w:val="00810945"/>
    <w:rsid w:val="00810DE5"/>
    <w:rsid w:val="00811BB5"/>
    <w:rsid w:val="008125AC"/>
    <w:rsid w:val="008128AD"/>
    <w:rsid w:val="00813574"/>
    <w:rsid w:val="00813614"/>
    <w:rsid w:val="00814146"/>
    <w:rsid w:val="008141D6"/>
    <w:rsid w:val="00814A7F"/>
    <w:rsid w:val="0081522F"/>
    <w:rsid w:val="008157A1"/>
    <w:rsid w:val="00815B35"/>
    <w:rsid w:val="00815FD5"/>
    <w:rsid w:val="008163EB"/>
    <w:rsid w:val="008166B6"/>
    <w:rsid w:val="0081715D"/>
    <w:rsid w:val="00817670"/>
    <w:rsid w:val="0081782E"/>
    <w:rsid w:val="0082020A"/>
    <w:rsid w:val="008213E3"/>
    <w:rsid w:val="008215C2"/>
    <w:rsid w:val="0082168D"/>
    <w:rsid w:val="008227A3"/>
    <w:rsid w:val="00822BE8"/>
    <w:rsid w:val="00822F25"/>
    <w:rsid w:val="0082434E"/>
    <w:rsid w:val="00824A42"/>
    <w:rsid w:val="00824CE5"/>
    <w:rsid w:val="00825473"/>
    <w:rsid w:val="008260F7"/>
    <w:rsid w:val="00826224"/>
    <w:rsid w:val="0082645B"/>
    <w:rsid w:val="008265F4"/>
    <w:rsid w:val="0082774C"/>
    <w:rsid w:val="00827F7A"/>
    <w:rsid w:val="008301E9"/>
    <w:rsid w:val="0083075D"/>
    <w:rsid w:val="008307FC"/>
    <w:rsid w:val="008327C8"/>
    <w:rsid w:val="00832A01"/>
    <w:rsid w:val="008332E1"/>
    <w:rsid w:val="0083376E"/>
    <w:rsid w:val="00834474"/>
    <w:rsid w:val="0083468A"/>
    <w:rsid w:val="00834AE2"/>
    <w:rsid w:val="00834BD0"/>
    <w:rsid w:val="00834C73"/>
    <w:rsid w:val="008353DD"/>
    <w:rsid w:val="00835565"/>
    <w:rsid w:val="00835FF0"/>
    <w:rsid w:val="00836AD8"/>
    <w:rsid w:val="00836B75"/>
    <w:rsid w:val="008401B7"/>
    <w:rsid w:val="00840737"/>
    <w:rsid w:val="00841311"/>
    <w:rsid w:val="00841E6C"/>
    <w:rsid w:val="00841EB6"/>
    <w:rsid w:val="00842135"/>
    <w:rsid w:val="00842D43"/>
    <w:rsid w:val="00842F68"/>
    <w:rsid w:val="008435D0"/>
    <w:rsid w:val="0084362F"/>
    <w:rsid w:val="00843B67"/>
    <w:rsid w:val="00843CAD"/>
    <w:rsid w:val="00844092"/>
    <w:rsid w:val="008441A0"/>
    <w:rsid w:val="008445C1"/>
    <w:rsid w:val="00844A03"/>
    <w:rsid w:val="00844E09"/>
    <w:rsid w:val="0084504C"/>
    <w:rsid w:val="008452CD"/>
    <w:rsid w:val="00846C9A"/>
    <w:rsid w:val="00846CEE"/>
    <w:rsid w:val="00846F39"/>
    <w:rsid w:val="00847BC8"/>
    <w:rsid w:val="008502B0"/>
    <w:rsid w:val="0085065E"/>
    <w:rsid w:val="008507CB"/>
    <w:rsid w:val="008516BB"/>
    <w:rsid w:val="00852694"/>
    <w:rsid w:val="00852877"/>
    <w:rsid w:val="00852CE3"/>
    <w:rsid w:val="00853CD7"/>
    <w:rsid w:val="00854B50"/>
    <w:rsid w:val="0085581E"/>
    <w:rsid w:val="00855CB9"/>
    <w:rsid w:val="0085613D"/>
    <w:rsid w:val="00856361"/>
    <w:rsid w:val="00856A56"/>
    <w:rsid w:val="00856D1C"/>
    <w:rsid w:val="00856EE4"/>
    <w:rsid w:val="008612E7"/>
    <w:rsid w:val="008612F6"/>
    <w:rsid w:val="00861416"/>
    <w:rsid w:val="0086166A"/>
    <w:rsid w:val="00861F0C"/>
    <w:rsid w:val="008631B4"/>
    <w:rsid w:val="00863837"/>
    <w:rsid w:val="00864092"/>
    <w:rsid w:val="0086469F"/>
    <w:rsid w:val="00864AE2"/>
    <w:rsid w:val="00864EAA"/>
    <w:rsid w:val="00865046"/>
    <w:rsid w:val="008652C5"/>
    <w:rsid w:val="008661DE"/>
    <w:rsid w:val="008664FA"/>
    <w:rsid w:val="00866801"/>
    <w:rsid w:val="008675D9"/>
    <w:rsid w:val="00867BC8"/>
    <w:rsid w:val="00867F99"/>
    <w:rsid w:val="00870879"/>
    <w:rsid w:val="00871324"/>
    <w:rsid w:val="008715F4"/>
    <w:rsid w:val="00871EA2"/>
    <w:rsid w:val="0087477E"/>
    <w:rsid w:val="00874AE3"/>
    <w:rsid w:val="008764F2"/>
    <w:rsid w:val="00876AC0"/>
    <w:rsid w:val="00876BCD"/>
    <w:rsid w:val="00877ABC"/>
    <w:rsid w:val="00877E94"/>
    <w:rsid w:val="00877EA6"/>
    <w:rsid w:val="00880AB8"/>
    <w:rsid w:val="00880B5B"/>
    <w:rsid w:val="00881CEF"/>
    <w:rsid w:val="008820A9"/>
    <w:rsid w:val="008820D1"/>
    <w:rsid w:val="008822CD"/>
    <w:rsid w:val="00882398"/>
    <w:rsid w:val="0088327A"/>
    <w:rsid w:val="00883406"/>
    <w:rsid w:val="0088344C"/>
    <w:rsid w:val="00883463"/>
    <w:rsid w:val="0088474D"/>
    <w:rsid w:val="00884A0B"/>
    <w:rsid w:val="008852DF"/>
    <w:rsid w:val="0088530C"/>
    <w:rsid w:val="00885448"/>
    <w:rsid w:val="00885E14"/>
    <w:rsid w:val="008874F8"/>
    <w:rsid w:val="00890F57"/>
    <w:rsid w:val="00892ADA"/>
    <w:rsid w:val="008933D4"/>
    <w:rsid w:val="00893696"/>
    <w:rsid w:val="00893CD9"/>
    <w:rsid w:val="00893E02"/>
    <w:rsid w:val="008944E7"/>
    <w:rsid w:val="00896333"/>
    <w:rsid w:val="008966D0"/>
    <w:rsid w:val="008969F8"/>
    <w:rsid w:val="00897361"/>
    <w:rsid w:val="008A1710"/>
    <w:rsid w:val="008A2376"/>
    <w:rsid w:val="008A238B"/>
    <w:rsid w:val="008A2D00"/>
    <w:rsid w:val="008A386F"/>
    <w:rsid w:val="008A4A03"/>
    <w:rsid w:val="008A4A0F"/>
    <w:rsid w:val="008A5386"/>
    <w:rsid w:val="008A56DC"/>
    <w:rsid w:val="008A56E7"/>
    <w:rsid w:val="008A5DE1"/>
    <w:rsid w:val="008A6157"/>
    <w:rsid w:val="008A6285"/>
    <w:rsid w:val="008A649A"/>
    <w:rsid w:val="008A64CC"/>
    <w:rsid w:val="008A6626"/>
    <w:rsid w:val="008A66FD"/>
    <w:rsid w:val="008A6B4A"/>
    <w:rsid w:val="008A7908"/>
    <w:rsid w:val="008B027B"/>
    <w:rsid w:val="008B143E"/>
    <w:rsid w:val="008B14C0"/>
    <w:rsid w:val="008B3105"/>
    <w:rsid w:val="008B32F2"/>
    <w:rsid w:val="008B40F7"/>
    <w:rsid w:val="008B40FF"/>
    <w:rsid w:val="008B4DD0"/>
    <w:rsid w:val="008B4EE8"/>
    <w:rsid w:val="008B50D9"/>
    <w:rsid w:val="008B5867"/>
    <w:rsid w:val="008B58D5"/>
    <w:rsid w:val="008B5B07"/>
    <w:rsid w:val="008B678C"/>
    <w:rsid w:val="008C1999"/>
    <w:rsid w:val="008C22DD"/>
    <w:rsid w:val="008C2DF2"/>
    <w:rsid w:val="008C2E11"/>
    <w:rsid w:val="008C2E7F"/>
    <w:rsid w:val="008C302E"/>
    <w:rsid w:val="008C348C"/>
    <w:rsid w:val="008C3832"/>
    <w:rsid w:val="008C3BCF"/>
    <w:rsid w:val="008C45DA"/>
    <w:rsid w:val="008C4E84"/>
    <w:rsid w:val="008C52E1"/>
    <w:rsid w:val="008C5567"/>
    <w:rsid w:val="008C5A50"/>
    <w:rsid w:val="008C6E53"/>
    <w:rsid w:val="008D002C"/>
    <w:rsid w:val="008D0BB9"/>
    <w:rsid w:val="008D10C6"/>
    <w:rsid w:val="008D2050"/>
    <w:rsid w:val="008D2703"/>
    <w:rsid w:val="008D2B2F"/>
    <w:rsid w:val="008D2F43"/>
    <w:rsid w:val="008D33AF"/>
    <w:rsid w:val="008D368D"/>
    <w:rsid w:val="008D39F9"/>
    <w:rsid w:val="008D3F18"/>
    <w:rsid w:val="008D4587"/>
    <w:rsid w:val="008D4C5C"/>
    <w:rsid w:val="008D4E42"/>
    <w:rsid w:val="008D584A"/>
    <w:rsid w:val="008D5903"/>
    <w:rsid w:val="008D6A04"/>
    <w:rsid w:val="008D703F"/>
    <w:rsid w:val="008E0A74"/>
    <w:rsid w:val="008E1132"/>
    <w:rsid w:val="008E17EC"/>
    <w:rsid w:val="008E3721"/>
    <w:rsid w:val="008E3C69"/>
    <w:rsid w:val="008E5044"/>
    <w:rsid w:val="008E5467"/>
    <w:rsid w:val="008E547D"/>
    <w:rsid w:val="008E5900"/>
    <w:rsid w:val="008E5BA5"/>
    <w:rsid w:val="008E79B1"/>
    <w:rsid w:val="008E7A71"/>
    <w:rsid w:val="008E7A75"/>
    <w:rsid w:val="008F1C74"/>
    <w:rsid w:val="008F25B0"/>
    <w:rsid w:val="008F299D"/>
    <w:rsid w:val="008F3483"/>
    <w:rsid w:val="008F41DB"/>
    <w:rsid w:val="008F5317"/>
    <w:rsid w:val="008F56C2"/>
    <w:rsid w:val="008F5F10"/>
    <w:rsid w:val="008F690D"/>
    <w:rsid w:val="008F742F"/>
    <w:rsid w:val="008F7516"/>
    <w:rsid w:val="008F7BED"/>
    <w:rsid w:val="0090006F"/>
    <w:rsid w:val="00900846"/>
    <w:rsid w:val="00900BF6"/>
    <w:rsid w:val="00900C81"/>
    <w:rsid w:val="009011EF"/>
    <w:rsid w:val="00901546"/>
    <w:rsid w:val="00901E7F"/>
    <w:rsid w:val="0090268B"/>
    <w:rsid w:val="00904062"/>
    <w:rsid w:val="009046A9"/>
    <w:rsid w:val="00904AE6"/>
    <w:rsid w:val="00904BE3"/>
    <w:rsid w:val="00904FC5"/>
    <w:rsid w:val="009057EC"/>
    <w:rsid w:val="009067A2"/>
    <w:rsid w:val="00906A5C"/>
    <w:rsid w:val="00906E7C"/>
    <w:rsid w:val="009076E3"/>
    <w:rsid w:val="00910BD7"/>
    <w:rsid w:val="009115BD"/>
    <w:rsid w:val="009116EA"/>
    <w:rsid w:val="00911CAF"/>
    <w:rsid w:val="00912440"/>
    <w:rsid w:val="00912ABB"/>
    <w:rsid w:val="00913A2D"/>
    <w:rsid w:val="00913EA8"/>
    <w:rsid w:val="00914819"/>
    <w:rsid w:val="00914BF7"/>
    <w:rsid w:val="00914CBD"/>
    <w:rsid w:val="00914D91"/>
    <w:rsid w:val="009164B1"/>
    <w:rsid w:val="00916A9E"/>
    <w:rsid w:val="009217B5"/>
    <w:rsid w:val="00921ADC"/>
    <w:rsid w:val="00923042"/>
    <w:rsid w:val="00924494"/>
    <w:rsid w:val="00924740"/>
    <w:rsid w:val="0092481F"/>
    <w:rsid w:val="00924A3C"/>
    <w:rsid w:val="009258F8"/>
    <w:rsid w:val="00925C7E"/>
    <w:rsid w:val="00925D5F"/>
    <w:rsid w:val="009264CD"/>
    <w:rsid w:val="009269C2"/>
    <w:rsid w:val="00931773"/>
    <w:rsid w:val="00932059"/>
    <w:rsid w:val="009320DA"/>
    <w:rsid w:val="00932908"/>
    <w:rsid w:val="0093292A"/>
    <w:rsid w:val="00932936"/>
    <w:rsid w:val="00932ABC"/>
    <w:rsid w:val="00932DBF"/>
    <w:rsid w:val="009333CF"/>
    <w:rsid w:val="00933671"/>
    <w:rsid w:val="00935A80"/>
    <w:rsid w:val="00935DA6"/>
    <w:rsid w:val="00936424"/>
    <w:rsid w:val="00936B26"/>
    <w:rsid w:val="00937370"/>
    <w:rsid w:val="0093746C"/>
    <w:rsid w:val="00937FB3"/>
    <w:rsid w:val="00940419"/>
    <w:rsid w:val="00940B68"/>
    <w:rsid w:val="00940BAD"/>
    <w:rsid w:val="00941256"/>
    <w:rsid w:val="009414BA"/>
    <w:rsid w:val="009415E0"/>
    <w:rsid w:val="00941CBA"/>
    <w:rsid w:val="00942A55"/>
    <w:rsid w:val="00942E98"/>
    <w:rsid w:val="00943A1C"/>
    <w:rsid w:val="0094490B"/>
    <w:rsid w:val="00944E57"/>
    <w:rsid w:val="0094552F"/>
    <w:rsid w:val="00945DDC"/>
    <w:rsid w:val="009466AF"/>
    <w:rsid w:val="00946DB0"/>
    <w:rsid w:val="0094720E"/>
    <w:rsid w:val="00947E2F"/>
    <w:rsid w:val="009502C2"/>
    <w:rsid w:val="00950FBB"/>
    <w:rsid w:val="009519C2"/>
    <w:rsid w:val="00951DED"/>
    <w:rsid w:val="0095229D"/>
    <w:rsid w:val="00952B94"/>
    <w:rsid w:val="00952E18"/>
    <w:rsid w:val="0095389F"/>
    <w:rsid w:val="009538EE"/>
    <w:rsid w:val="0095442D"/>
    <w:rsid w:val="0095465D"/>
    <w:rsid w:val="00954FB4"/>
    <w:rsid w:val="00955C36"/>
    <w:rsid w:val="00957761"/>
    <w:rsid w:val="0095795B"/>
    <w:rsid w:val="0096038C"/>
    <w:rsid w:val="00960C9E"/>
    <w:rsid w:val="009614B8"/>
    <w:rsid w:val="0096168C"/>
    <w:rsid w:val="00961B0A"/>
    <w:rsid w:val="00961F8F"/>
    <w:rsid w:val="00962B02"/>
    <w:rsid w:val="00963264"/>
    <w:rsid w:val="00963FC1"/>
    <w:rsid w:val="0096467F"/>
    <w:rsid w:val="0096469E"/>
    <w:rsid w:val="00964718"/>
    <w:rsid w:val="00965728"/>
    <w:rsid w:val="00966166"/>
    <w:rsid w:val="00966466"/>
    <w:rsid w:val="009666BA"/>
    <w:rsid w:val="00966F36"/>
    <w:rsid w:val="00967511"/>
    <w:rsid w:val="009676D8"/>
    <w:rsid w:val="0096772A"/>
    <w:rsid w:val="00967FB7"/>
    <w:rsid w:val="0097003E"/>
    <w:rsid w:val="00970557"/>
    <w:rsid w:val="0097057C"/>
    <w:rsid w:val="009716AE"/>
    <w:rsid w:val="00971B86"/>
    <w:rsid w:val="0097240A"/>
    <w:rsid w:val="0097262F"/>
    <w:rsid w:val="00972775"/>
    <w:rsid w:val="00972A0B"/>
    <w:rsid w:val="00972DD5"/>
    <w:rsid w:val="00973047"/>
    <w:rsid w:val="00973203"/>
    <w:rsid w:val="009735A1"/>
    <w:rsid w:val="009737EE"/>
    <w:rsid w:val="00973CA1"/>
    <w:rsid w:val="00973CCF"/>
    <w:rsid w:val="00973F61"/>
    <w:rsid w:val="00974F15"/>
    <w:rsid w:val="009751AF"/>
    <w:rsid w:val="00976297"/>
    <w:rsid w:val="00976443"/>
    <w:rsid w:val="00976C96"/>
    <w:rsid w:val="0097791F"/>
    <w:rsid w:val="00977C7D"/>
    <w:rsid w:val="00977E9B"/>
    <w:rsid w:val="009804CD"/>
    <w:rsid w:val="00980839"/>
    <w:rsid w:val="00981461"/>
    <w:rsid w:val="00981565"/>
    <w:rsid w:val="0098240B"/>
    <w:rsid w:val="009834C0"/>
    <w:rsid w:val="00983520"/>
    <w:rsid w:val="00984879"/>
    <w:rsid w:val="00984FEF"/>
    <w:rsid w:val="009851E9"/>
    <w:rsid w:val="00985632"/>
    <w:rsid w:val="009856AE"/>
    <w:rsid w:val="009859A7"/>
    <w:rsid w:val="00985B8C"/>
    <w:rsid w:val="00985BA8"/>
    <w:rsid w:val="00987094"/>
    <w:rsid w:val="00991102"/>
    <w:rsid w:val="00991467"/>
    <w:rsid w:val="009914FE"/>
    <w:rsid w:val="00991B63"/>
    <w:rsid w:val="00992186"/>
    <w:rsid w:val="0099284A"/>
    <w:rsid w:val="0099352F"/>
    <w:rsid w:val="00993734"/>
    <w:rsid w:val="00993AA3"/>
    <w:rsid w:val="00994377"/>
    <w:rsid w:val="009950B0"/>
    <w:rsid w:val="00995849"/>
    <w:rsid w:val="009966CA"/>
    <w:rsid w:val="00996A92"/>
    <w:rsid w:val="009974C7"/>
    <w:rsid w:val="009A00F7"/>
    <w:rsid w:val="009A020E"/>
    <w:rsid w:val="009A03DD"/>
    <w:rsid w:val="009A09FD"/>
    <w:rsid w:val="009A0D3F"/>
    <w:rsid w:val="009A0E70"/>
    <w:rsid w:val="009A125E"/>
    <w:rsid w:val="009A1E80"/>
    <w:rsid w:val="009A378D"/>
    <w:rsid w:val="009A37D2"/>
    <w:rsid w:val="009A3817"/>
    <w:rsid w:val="009A4886"/>
    <w:rsid w:val="009A4AD9"/>
    <w:rsid w:val="009A4D37"/>
    <w:rsid w:val="009A5238"/>
    <w:rsid w:val="009A523C"/>
    <w:rsid w:val="009A5BE9"/>
    <w:rsid w:val="009A5EFD"/>
    <w:rsid w:val="009A6C03"/>
    <w:rsid w:val="009A6D0F"/>
    <w:rsid w:val="009B031C"/>
    <w:rsid w:val="009B03DF"/>
    <w:rsid w:val="009B0FFA"/>
    <w:rsid w:val="009B125D"/>
    <w:rsid w:val="009B2428"/>
    <w:rsid w:val="009B276C"/>
    <w:rsid w:val="009B3BFC"/>
    <w:rsid w:val="009B4194"/>
    <w:rsid w:val="009B5232"/>
    <w:rsid w:val="009B526B"/>
    <w:rsid w:val="009B53AC"/>
    <w:rsid w:val="009B5CB7"/>
    <w:rsid w:val="009B5D85"/>
    <w:rsid w:val="009B64E7"/>
    <w:rsid w:val="009B68A3"/>
    <w:rsid w:val="009B754D"/>
    <w:rsid w:val="009B7CDA"/>
    <w:rsid w:val="009C001D"/>
    <w:rsid w:val="009C0487"/>
    <w:rsid w:val="009C0D85"/>
    <w:rsid w:val="009C12B7"/>
    <w:rsid w:val="009C1444"/>
    <w:rsid w:val="009C2051"/>
    <w:rsid w:val="009C22DF"/>
    <w:rsid w:val="009C2D2E"/>
    <w:rsid w:val="009C2ED4"/>
    <w:rsid w:val="009C60F9"/>
    <w:rsid w:val="009C6136"/>
    <w:rsid w:val="009C6347"/>
    <w:rsid w:val="009C6957"/>
    <w:rsid w:val="009C7B6D"/>
    <w:rsid w:val="009D08E1"/>
    <w:rsid w:val="009D0D0F"/>
    <w:rsid w:val="009D0D87"/>
    <w:rsid w:val="009D0E11"/>
    <w:rsid w:val="009D14FC"/>
    <w:rsid w:val="009D18DB"/>
    <w:rsid w:val="009D197E"/>
    <w:rsid w:val="009D1B52"/>
    <w:rsid w:val="009D1D1B"/>
    <w:rsid w:val="009D2464"/>
    <w:rsid w:val="009D2940"/>
    <w:rsid w:val="009D3023"/>
    <w:rsid w:val="009D303E"/>
    <w:rsid w:val="009D3301"/>
    <w:rsid w:val="009D3A7A"/>
    <w:rsid w:val="009D3AA9"/>
    <w:rsid w:val="009D454F"/>
    <w:rsid w:val="009D4AF7"/>
    <w:rsid w:val="009D4C18"/>
    <w:rsid w:val="009D57F5"/>
    <w:rsid w:val="009D59DB"/>
    <w:rsid w:val="009D608E"/>
    <w:rsid w:val="009D6B72"/>
    <w:rsid w:val="009D6B80"/>
    <w:rsid w:val="009D7A56"/>
    <w:rsid w:val="009E053A"/>
    <w:rsid w:val="009E1868"/>
    <w:rsid w:val="009E1CBD"/>
    <w:rsid w:val="009E212B"/>
    <w:rsid w:val="009E2944"/>
    <w:rsid w:val="009E36D0"/>
    <w:rsid w:val="009E542E"/>
    <w:rsid w:val="009E5498"/>
    <w:rsid w:val="009E561C"/>
    <w:rsid w:val="009E5E2D"/>
    <w:rsid w:val="009E64C4"/>
    <w:rsid w:val="009E72DA"/>
    <w:rsid w:val="009E73A2"/>
    <w:rsid w:val="009E77D0"/>
    <w:rsid w:val="009E77EF"/>
    <w:rsid w:val="009F1695"/>
    <w:rsid w:val="009F1939"/>
    <w:rsid w:val="009F2980"/>
    <w:rsid w:val="009F3AEF"/>
    <w:rsid w:val="009F3DEA"/>
    <w:rsid w:val="009F5A9B"/>
    <w:rsid w:val="009F5B3B"/>
    <w:rsid w:val="009F700E"/>
    <w:rsid w:val="009F7182"/>
    <w:rsid w:val="009F733F"/>
    <w:rsid w:val="009F7437"/>
    <w:rsid w:val="009F7645"/>
    <w:rsid w:val="009F7CD6"/>
    <w:rsid w:val="00A00110"/>
    <w:rsid w:val="00A00268"/>
    <w:rsid w:val="00A00DD4"/>
    <w:rsid w:val="00A01058"/>
    <w:rsid w:val="00A0186F"/>
    <w:rsid w:val="00A021CA"/>
    <w:rsid w:val="00A02487"/>
    <w:rsid w:val="00A026B0"/>
    <w:rsid w:val="00A03ABA"/>
    <w:rsid w:val="00A03F91"/>
    <w:rsid w:val="00A04FDD"/>
    <w:rsid w:val="00A05D5A"/>
    <w:rsid w:val="00A06828"/>
    <w:rsid w:val="00A07643"/>
    <w:rsid w:val="00A07786"/>
    <w:rsid w:val="00A07F02"/>
    <w:rsid w:val="00A10960"/>
    <w:rsid w:val="00A10B4D"/>
    <w:rsid w:val="00A10F03"/>
    <w:rsid w:val="00A110B6"/>
    <w:rsid w:val="00A112BD"/>
    <w:rsid w:val="00A11918"/>
    <w:rsid w:val="00A124F0"/>
    <w:rsid w:val="00A13987"/>
    <w:rsid w:val="00A13E93"/>
    <w:rsid w:val="00A140E1"/>
    <w:rsid w:val="00A14638"/>
    <w:rsid w:val="00A146D6"/>
    <w:rsid w:val="00A1481C"/>
    <w:rsid w:val="00A14B6E"/>
    <w:rsid w:val="00A14C43"/>
    <w:rsid w:val="00A14FF5"/>
    <w:rsid w:val="00A161A2"/>
    <w:rsid w:val="00A16DC9"/>
    <w:rsid w:val="00A17CD1"/>
    <w:rsid w:val="00A2005B"/>
    <w:rsid w:val="00A20C73"/>
    <w:rsid w:val="00A20D25"/>
    <w:rsid w:val="00A20D4F"/>
    <w:rsid w:val="00A210D1"/>
    <w:rsid w:val="00A22045"/>
    <w:rsid w:val="00A22CD4"/>
    <w:rsid w:val="00A22D59"/>
    <w:rsid w:val="00A24232"/>
    <w:rsid w:val="00A243CE"/>
    <w:rsid w:val="00A246B6"/>
    <w:rsid w:val="00A24B3B"/>
    <w:rsid w:val="00A25B10"/>
    <w:rsid w:val="00A275DD"/>
    <w:rsid w:val="00A279FA"/>
    <w:rsid w:val="00A3064F"/>
    <w:rsid w:val="00A307FE"/>
    <w:rsid w:val="00A31242"/>
    <w:rsid w:val="00A319FA"/>
    <w:rsid w:val="00A32307"/>
    <w:rsid w:val="00A323DE"/>
    <w:rsid w:val="00A3256B"/>
    <w:rsid w:val="00A32F69"/>
    <w:rsid w:val="00A33787"/>
    <w:rsid w:val="00A33925"/>
    <w:rsid w:val="00A34D43"/>
    <w:rsid w:val="00A35EA3"/>
    <w:rsid w:val="00A3609A"/>
    <w:rsid w:val="00A362A8"/>
    <w:rsid w:val="00A3677D"/>
    <w:rsid w:val="00A368B3"/>
    <w:rsid w:val="00A374DE"/>
    <w:rsid w:val="00A37733"/>
    <w:rsid w:val="00A40047"/>
    <w:rsid w:val="00A40DDE"/>
    <w:rsid w:val="00A41CD9"/>
    <w:rsid w:val="00A4246C"/>
    <w:rsid w:val="00A42FEE"/>
    <w:rsid w:val="00A439F2"/>
    <w:rsid w:val="00A4436A"/>
    <w:rsid w:val="00A44ECE"/>
    <w:rsid w:val="00A44ED0"/>
    <w:rsid w:val="00A46C43"/>
    <w:rsid w:val="00A46C59"/>
    <w:rsid w:val="00A46CAA"/>
    <w:rsid w:val="00A46CF5"/>
    <w:rsid w:val="00A475A6"/>
    <w:rsid w:val="00A500D2"/>
    <w:rsid w:val="00A505B6"/>
    <w:rsid w:val="00A50689"/>
    <w:rsid w:val="00A50D3D"/>
    <w:rsid w:val="00A5159E"/>
    <w:rsid w:val="00A51B2C"/>
    <w:rsid w:val="00A5220E"/>
    <w:rsid w:val="00A52530"/>
    <w:rsid w:val="00A53290"/>
    <w:rsid w:val="00A5332F"/>
    <w:rsid w:val="00A535A7"/>
    <w:rsid w:val="00A542FD"/>
    <w:rsid w:val="00A54AB2"/>
    <w:rsid w:val="00A551BF"/>
    <w:rsid w:val="00A600C0"/>
    <w:rsid w:val="00A60695"/>
    <w:rsid w:val="00A609D7"/>
    <w:rsid w:val="00A60D51"/>
    <w:rsid w:val="00A60FA4"/>
    <w:rsid w:val="00A61653"/>
    <w:rsid w:val="00A6178D"/>
    <w:rsid w:val="00A61C17"/>
    <w:rsid w:val="00A62BFB"/>
    <w:rsid w:val="00A63595"/>
    <w:rsid w:val="00A63FD2"/>
    <w:rsid w:val="00A64A21"/>
    <w:rsid w:val="00A6542D"/>
    <w:rsid w:val="00A6614E"/>
    <w:rsid w:val="00A6638E"/>
    <w:rsid w:val="00A6647C"/>
    <w:rsid w:val="00A6653F"/>
    <w:rsid w:val="00A665BC"/>
    <w:rsid w:val="00A670D5"/>
    <w:rsid w:val="00A675BE"/>
    <w:rsid w:val="00A67812"/>
    <w:rsid w:val="00A678D3"/>
    <w:rsid w:val="00A70524"/>
    <w:rsid w:val="00A70863"/>
    <w:rsid w:val="00A7113C"/>
    <w:rsid w:val="00A7131A"/>
    <w:rsid w:val="00A72274"/>
    <w:rsid w:val="00A72931"/>
    <w:rsid w:val="00A72AD6"/>
    <w:rsid w:val="00A72E08"/>
    <w:rsid w:val="00A73406"/>
    <w:rsid w:val="00A744CB"/>
    <w:rsid w:val="00A74F31"/>
    <w:rsid w:val="00A75933"/>
    <w:rsid w:val="00A75C68"/>
    <w:rsid w:val="00A76953"/>
    <w:rsid w:val="00A76F71"/>
    <w:rsid w:val="00A777AB"/>
    <w:rsid w:val="00A77CEC"/>
    <w:rsid w:val="00A800AD"/>
    <w:rsid w:val="00A8086F"/>
    <w:rsid w:val="00A823C5"/>
    <w:rsid w:val="00A8392F"/>
    <w:rsid w:val="00A8405B"/>
    <w:rsid w:val="00A8425B"/>
    <w:rsid w:val="00A8432A"/>
    <w:rsid w:val="00A84414"/>
    <w:rsid w:val="00A84874"/>
    <w:rsid w:val="00A85492"/>
    <w:rsid w:val="00A85BFA"/>
    <w:rsid w:val="00A86394"/>
    <w:rsid w:val="00A86DCD"/>
    <w:rsid w:val="00A86E0F"/>
    <w:rsid w:val="00A86EB5"/>
    <w:rsid w:val="00A870EC"/>
    <w:rsid w:val="00A90F6B"/>
    <w:rsid w:val="00A911F8"/>
    <w:rsid w:val="00A92AE1"/>
    <w:rsid w:val="00A92DDE"/>
    <w:rsid w:val="00A94425"/>
    <w:rsid w:val="00A94805"/>
    <w:rsid w:val="00A948E1"/>
    <w:rsid w:val="00A94B2D"/>
    <w:rsid w:val="00A9575A"/>
    <w:rsid w:val="00A95A14"/>
    <w:rsid w:val="00A95DF2"/>
    <w:rsid w:val="00A9687E"/>
    <w:rsid w:val="00A96AF9"/>
    <w:rsid w:val="00A97F58"/>
    <w:rsid w:val="00AA1B0D"/>
    <w:rsid w:val="00AA1B24"/>
    <w:rsid w:val="00AA1C01"/>
    <w:rsid w:val="00AA2D8A"/>
    <w:rsid w:val="00AA3109"/>
    <w:rsid w:val="00AA39E4"/>
    <w:rsid w:val="00AA423A"/>
    <w:rsid w:val="00AA4489"/>
    <w:rsid w:val="00AA4CBE"/>
    <w:rsid w:val="00AA5011"/>
    <w:rsid w:val="00AA58CE"/>
    <w:rsid w:val="00AA5971"/>
    <w:rsid w:val="00AA5A35"/>
    <w:rsid w:val="00AA63FE"/>
    <w:rsid w:val="00AA654D"/>
    <w:rsid w:val="00AA6B9F"/>
    <w:rsid w:val="00AA6E0F"/>
    <w:rsid w:val="00AA6E4A"/>
    <w:rsid w:val="00AA7130"/>
    <w:rsid w:val="00AA7269"/>
    <w:rsid w:val="00AA75B8"/>
    <w:rsid w:val="00AA7C19"/>
    <w:rsid w:val="00AB0860"/>
    <w:rsid w:val="00AB2205"/>
    <w:rsid w:val="00AB2753"/>
    <w:rsid w:val="00AB3057"/>
    <w:rsid w:val="00AB316D"/>
    <w:rsid w:val="00AB3E2D"/>
    <w:rsid w:val="00AB428E"/>
    <w:rsid w:val="00AB43AD"/>
    <w:rsid w:val="00AB4BB0"/>
    <w:rsid w:val="00AB4D79"/>
    <w:rsid w:val="00AB4EF5"/>
    <w:rsid w:val="00AB51B5"/>
    <w:rsid w:val="00AB53DB"/>
    <w:rsid w:val="00AB559A"/>
    <w:rsid w:val="00AB61B9"/>
    <w:rsid w:val="00AB6400"/>
    <w:rsid w:val="00AB6892"/>
    <w:rsid w:val="00AB7D15"/>
    <w:rsid w:val="00AC00FF"/>
    <w:rsid w:val="00AC038D"/>
    <w:rsid w:val="00AC07C1"/>
    <w:rsid w:val="00AC087E"/>
    <w:rsid w:val="00AC0CD5"/>
    <w:rsid w:val="00AC0CFA"/>
    <w:rsid w:val="00AC206F"/>
    <w:rsid w:val="00AC2527"/>
    <w:rsid w:val="00AC2CF8"/>
    <w:rsid w:val="00AC2E72"/>
    <w:rsid w:val="00AC37C3"/>
    <w:rsid w:val="00AC4850"/>
    <w:rsid w:val="00AC4B34"/>
    <w:rsid w:val="00AC5384"/>
    <w:rsid w:val="00AC556B"/>
    <w:rsid w:val="00AC5A27"/>
    <w:rsid w:val="00AC5C33"/>
    <w:rsid w:val="00AC5FD1"/>
    <w:rsid w:val="00AC61C4"/>
    <w:rsid w:val="00AC65DA"/>
    <w:rsid w:val="00AC6A39"/>
    <w:rsid w:val="00AC6B46"/>
    <w:rsid w:val="00AC6D9E"/>
    <w:rsid w:val="00AC76E0"/>
    <w:rsid w:val="00AC79F1"/>
    <w:rsid w:val="00AC7B7A"/>
    <w:rsid w:val="00AD0609"/>
    <w:rsid w:val="00AD1330"/>
    <w:rsid w:val="00AD21D3"/>
    <w:rsid w:val="00AD2737"/>
    <w:rsid w:val="00AD3AAC"/>
    <w:rsid w:val="00AD3C1B"/>
    <w:rsid w:val="00AD4703"/>
    <w:rsid w:val="00AD493A"/>
    <w:rsid w:val="00AD520E"/>
    <w:rsid w:val="00AD56A7"/>
    <w:rsid w:val="00AD5711"/>
    <w:rsid w:val="00AD61AA"/>
    <w:rsid w:val="00AD636C"/>
    <w:rsid w:val="00AD655E"/>
    <w:rsid w:val="00AD65EC"/>
    <w:rsid w:val="00AD7B81"/>
    <w:rsid w:val="00AD7DE0"/>
    <w:rsid w:val="00AE1E1E"/>
    <w:rsid w:val="00AE23F8"/>
    <w:rsid w:val="00AE2580"/>
    <w:rsid w:val="00AE3343"/>
    <w:rsid w:val="00AE37F5"/>
    <w:rsid w:val="00AE47EE"/>
    <w:rsid w:val="00AE4AED"/>
    <w:rsid w:val="00AE696A"/>
    <w:rsid w:val="00AE6DA0"/>
    <w:rsid w:val="00AE747F"/>
    <w:rsid w:val="00AE7D7F"/>
    <w:rsid w:val="00AE7E2C"/>
    <w:rsid w:val="00AF01CA"/>
    <w:rsid w:val="00AF0769"/>
    <w:rsid w:val="00AF10B8"/>
    <w:rsid w:val="00AF1A85"/>
    <w:rsid w:val="00AF1B41"/>
    <w:rsid w:val="00AF1DB1"/>
    <w:rsid w:val="00AF241D"/>
    <w:rsid w:val="00AF2F2E"/>
    <w:rsid w:val="00AF3268"/>
    <w:rsid w:val="00AF374D"/>
    <w:rsid w:val="00AF40B4"/>
    <w:rsid w:val="00AF4B2B"/>
    <w:rsid w:val="00AF4ED0"/>
    <w:rsid w:val="00AF5EAF"/>
    <w:rsid w:val="00AF6224"/>
    <w:rsid w:val="00AF6C58"/>
    <w:rsid w:val="00AF6F23"/>
    <w:rsid w:val="00AF70A9"/>
    <w:rsid w:val="00AF79D0"/>
    <w:rsid w:val="00AF7BCD"/>
    <w:rsid w:val="00B00508"/>
    <w:rsid w:val="00B00703"/>
    <w:rsid w:val="00B00AF1"/>
    <w:rsid w:val="00B00E00"/>
    <w:rsid w:val="00B01057"/>
    <w:rsid w:val="00B01D11"/>
    <w:rsid w:val="00B02B37"/>
    <w:rsid w:val="00B03296"/>
    <w:rsid w:val="00B035CA"/>
    <w:rsid w:val="00B05012"/>
    <w:rsid w:val="00B055E7"/>
    <w:rsid w:val="00B05E3F"/>
    <w:rsid w:val="00B0642E"/>
    <w:rsid w:val="00B06C01"/>
    <w:rsid w:val="00B078DD"/>
    <w:rsid w:val="00B07D91"/>
    <w:rsid w:val="00B112A3"/>
    <w:rsid w:val="00B112FE"/>
    <w:rsid w:val="00B127AF"/>
    <w:rsid w:val="00B13412"/>
    <w:rsid w:val="00B134B5"/>
    <w:rsid w:val="00B14867"/>
    <w:rsid w:val="00B15CA5"/>
    <w:rsid w:val="00B16726"/>
    <w:rsid w:val="00B175CA"/>
    <w:rsid w:val="00B200DE"/>
    <w:rsid w:val="00B20BB7"/>
    <w:rsid w:val="00B2127E"/>
    <w:rsid w:val="00B22001"/>
    <w:rsid w:val="00B23737"/>
    <w:rsid w:val="00B238B0"/>
    <w:rsid w:val="00B23EFF"/>
    <w:rsid w:val="00B247D2"/>
    <w:rsid w:val="00B24FAA"/>
    <w:rsid w:val="00B263B3"/>
    <w:rsid w:val="00B264C8"/>
    <w:rsid w:val="00B2722A"/>
    <w:rsid w:val="00B31283"/>
    <w:rsid w:val="00B313B8"/>
    <w:rsid w:val="00B31936"/>
    <w:rsid w:val="00B31993"/>
    <w:rsid w:val="00B31998"/>
    <w:rsid w:val="00B324A5"/>
    <w:rsid w:val="00B325E0"/>
    <w:rsid w:val="00B32D5E"/>
    <w:rsid w:val="00B32DC4"/>
    <w:rsid w:val="00B342E2"/>
    <w:rsid w:val="00B346E0"/>
    <w:rsid w:val="00B34BB0"/>
    <w:rsid w:val="00B35135"/>
    <w:rsid w:val="00B3523D"/>
    <w:rsid w:val="00B35806"/>
    <w:rsid w:val="00B358CD"/>
    <w:rsid w:val="00B35FF7"/>
    <w:rsid w:val="00B36CAE"/>
    <w:rsid w:val="00B37CC9"/>
    <w:rsid w:val="00B37D91"/>
    <w:rsid w:val="00B413B6"/>
    <w:rsid w:val="00B4290A"/>
    <w:rsid w:val="00B42D2A"/>
    <w:rsid w:val="00B42FD5"/>
    <w:rsid w:val="00B43442"/>
    <w:rsid w:val="00B43C63"/>
    <w:rsid w:val="00B4415E"/>
    <w:rsid w:val="00B442D6"/>
    <w:rsid w:val="00B44608"/>
    <w:rsid w:val="00B44912"/>
    <w:rsid w:val="00B45603"/>
    <w:rsid w:val="00B467DF"/>
    <w:rsid w:val="00B474E6"/>
    <w:rsid w:val="00B47B20"/>
    <w:rsid w:val="00B5013A"/>
    <w:rsid w:val="00B50160"/>
    <w:rsid w:val="00B50CB0"/>
    <w:rsid w:val="00B51298"/>
    <w:rsid w:val="00B518BC"/>
    <w:rsid w:val="00B51A96"/>
    <w:rsid w:val="00B52AA1"/>
    <w:rsid w:val="00B536AB"/>
    <w:rsid w:val="00B54A2A"/>
    <w:rsid w:val="00B5524A"/>
    <w:rsid w:val="00B55309"/>
    <w:rsid w:val="00B5563D"/>
    <w:rsid w:val="00B55E69"/>
    <w:rsid w:val="00B56037"/>
    <w:rsid w:val="00B56054"/>
    <w:rsid w:val="00B56416"/>
    <w:rsid w:val="00B5755A"/>
    <w:rsid w:val="00B57746"/>
    <w:rsid w:val="00B57E76"/>
    <w:rsid w:val="00B60E4C"/>
    <w:rsid w:val="00B618BA"/>
    <w:rsid w:val="00B61A75"/>
    <w:rsid w:val="00B622C0"/>
    <w:rsid w:val="00B63310"/>
    <w:rsid w:val="00B64F69"/>
    <w:rsid w:val="00B653C1"/>
    <w:rsid w:val="00B66C3E"/>
    <w:rsid w:val="00B6733E"/>
    <w:rsid w:val="00B67FBF"/>
    <w:rsid w:val="00B70272"/>
    <w:rsid w:val="00B72593"/>
    <w:rsid w:val="00B72E5D"/>
    <w:rsid w:val="00B74171"/>
    <w:rsid w:val="00B7428D"/>
    <w:rsid w:val="00B74E5E"/>
    <w:rsid w:val="00B76FA3"/>
    <w:rsid w:val="00B80113"/>
    <w:rsid w:val="00B8031E"/>
    <w:rsid w:val="00B804A0"/>
    <w:rsid w:val="00B808BF"/>
    <w:rsid w:val="00B808EE"/>
    <w:rsid w:val="00B8103B"/>
    <w:rsid w:val="00B81137"/>
    <w:rsid w:val="00B81B63"/>
    <w:rsid w:val="00B8218D"/>
    <w:rsid w:val="00B82877"/>
    <w:rsid w:val="00B829B2"/>
    <w:rsid w:val="00B82CAC"/>
    <w:rsid w:val="00B8352A"/>
    <w:rsid w:val="00B83AB7"/>
    <w:rsid w:val="00B83EC0"/>
    <w:rsid w:val="00B84553"/>
    <w:rsid w:val="00B845EF"/>
    <w:rsid w:val="00B84748"/>
    <w:rsid w:val="00B84894"/>
    <w:rsid w:val="00B85A72"/>
    <w:rsid w:val="00B85B94"/>
    <w:rsid w:val="00B85E40"/>
    <w:rsid w:val="00B864E9"/>
    <w:rsid w:val="00B867F9"/>
    <w:rsid w:val="00B86CDE"/>
    <w:rsid w:val="00B87067"/>
    <w:rsid w:val="00B875A9"/>
    <w:rsid w:val="00B87848"/>
    <w:rsid w:val="00B90BC8"/>
    <w:rsid w:val="00B90C5F"/>
    <w:rsid w:val="00B91659"/>
    <w:rsid w:val="00B91723"/>
    <w:rsid w:val="00B91C48"/>
    <w:rsid w:val="00B92427"/>
    <w:rsid w:val="00B92607"/>
    <w:rsid w:val="00B93D27"/>
    <w:rsid w:val="00B94587"/>
    <w:rsid w:val="00B945CE"/>
    <w:rsid w:val="00B947AB"/>
    <w:rsid w:val="00B95796"/>
    <w:rsid w:val="00B95E96"/>
    <w:rsid w:val="00B964DE"/>
    <w:rsid w:val="00B97869"/>
    <w:rsid w:val="00B97DC4"/>
    <w:rsid w:val="00B97F7B"/>
    <w:rsid w:val="00BA01AB"/>
    <w:rsid w:val="00BA0D18"/>
    <w:rsid w:val="00BA134D"/>
    <w:rsid w:val="00BA139E"/>
    <w:rsid w:val="00BA19EE"/>
    <w:rsid w:val="00BA241F"/>
    <w:rsid w:val="00BA2B32"/>
    <w:rsid w:val="00BA2C0B"/>
    <w:rsid w:val="00BA2DBD"/>
    <w:rsid w:val="00BA30F9"/>
    <w:rsid w:val="00BA3500"/>
    <w:rsid w:val="00BA35C6"/>
    <w:rsid w:val="00BA3DBA"/>
    <w:rsid w:val="00BA4459"/>
    <w:rsid w:val="00BA457F"/>
    <w:rsid w:val="00BA5ED7"/>
    <w:rsid w:val="00BA68A9"/>
    <w:rsid w:val="00BA7FB0"/>
    <w:rsid w:val="00BA7FC8"/>
    <w:rsid w:val="00BB0BF4"/>
    <w:rsid w:val="00BB0F1D"/>
    <w:rsid w:val="00BB2CD4"/>
    <w:rsid w:val="00BB2DEB"/>
    <w:rsid w:val="00BB4241"/>
    <w:rsid w:val="00BB58F3"/>
    <w:rsid w:val="00BB5BC9"/>
    <w:rsid w:val="00BB5E91"/>
    <w:rsid w:val="00BB67F2"/>
    <w:rsid w:val="00BB6997"/>
    <w:rsid w:val="00BB6A74"/>
    <w:rsid w:val="00BB6E7D"/>
    <w:rsid w:val="00BB7852"/>
    <w:rsid w:val="00BB7C76"/>
    <w:rsid w:val="00BB7E4E"/>
    <w:rsid w:val="00BB7EB6"/>
    <w:rsid w:val="00BB7EE1"/>
    <w:rsid w:val="00BC030D"/>
    <w:rsid w:val="00BC055F"/>
    <w:rsid w:val="00BC084A"/>
    <w:rsid w:val="00BC16CC"/>
    <w:rsid w:val="00BC1B72"/>
    <w:rsid w:val="00BC29DD"/>
    <w:rsid w:val="00BC3272"/>
    <w:rsid w:val="00BC4DAD"/>
    <w:rsid w:val="00BC606E"/>
    <w:rsid w:val="00BC6572"/>
    <w:rsid w:val="00BC73C7"/>
    <w:rsid w:val="00BC76B7"/>
    <w:rsid w:val="00BC7C09"/>
    <w:rsid w:val="00BD13F7"/>
    <w:rsid w:val="00BD146C"/>
    <w:rsid w:val="00BD1EB9"/>
    <w:rsid w:val="00BD1EBA"/>
    <w:rsid w:val="00BD277E"/>
    <w:rsid w:val="00BD28D9"/>
    <w:rsid w:val="00BD2B55"/>
    <w:rsid w:val="00BD2F66"/>
    <w:rsid w:val="00BD300F"/>
    <w:rsid w:val="00BD44E6"/>
    <w:rsid w:val="00BD4675"/>
    <w:rsid w:val="00BD5995"/>
    <w:rsid w:val="00BD5D8F"/>
    <w:rsid w:val="00BD60BE"/>
    <w:rsid w:val="00BD65AF"/>
    <w:rsid w:val="00BD664B"/>
    <w:rsid w:val="00BD67A1"/>
    <w:rsid w:val="00BD6B88"/>
    <w:rsid w:val="00BD71D9"/>
    <w:rsid w:val="00BD75E6"/>
    <w:rsid w:val="00BD7BB2"/>
    <w:rsid w:val="00BE1B51"/>
    <w:rsid w:val="00BE1BB9"/>
    <w:rsid w:val="00BE1E2D"/>
    <w:rsid w:val="00BE1EB2"/>
    <w:rsid w:val="00BE22C7"/>
    <w:rsid w:val="00BE2735"/>
    <w:rsid w:val="00BE2B14"/>
    <w:rsid w:val="00BE2C3B"/>
    <w:rsid w:val="00BE333C"/>
    <w:rsid w:val="00BE36BD"/>
    <w:rsid w:val="00BE423F"/>
    <w:rsid w:val="00BE55E9"/>
    <w:rsid w:val="00BE66A2"/>
    <w:rsid w:val="00BE749C"/>
    <w:rsid w:val="00BE74AD"/>
    <w:rsid w:val="00BF05F0"/>
    <w:rsid w:val="00BF0E93"/>
    <w:rsid w:val="00BF1BF5"/>
    <w:rsid w:val="00BF2601"/>
    <w:rsid w:val="00BF4151"/>
    <w:rsid w:val="00BF4337"/>
    <w:rsid w:val="00BF44C2"/>
    <w:rsid w:val="00BF5514"/>
    <w:rsid w:val="00BF55EC"/>
    <w:rsid w:val="00BF6E7F"/>
    <w:rsid w:val="00BF7230"/>
    <w:rsid w:val="00BF7239"/>
    <w:rsid w:val="00BF7262"/>
    <w:rsid w:val="00BF7333"/>
    <w:rsid w:val="00BF74E1"/>
    <w:rsid w:val="00BF7925"/>
    <w:rsid w:val="00BF798E"/>
    <w:rsid w:val="00BF7B91"/>
    <w:rsid w:val="00C0019B"/>
    <w:rsid w:val="00C00A8B"/>
    <w:rsid w:val="00C00B99"/>
    <w:rsid w:val="00C0260A"/>
    <w:rsid w:val="00C03B23"/>
    <w:rsid w:val="00C04309"/>
    <w:rsid w:val="00C044B5"/>
    <w:rsid w:val="00C0478A"/>
    <w:rsid w:val="00C04A21"/>
    <w:rsid w:val="00C04B25"/>
    <w:rsid w:val="00C04E20"/>
    <w:rsid w:val="00C052E7"/>
    <w:rsid w:val="00C05B89"/>
    <w:rsid w:val="00C05D87"/>
    <w:rsid w:val="00C05E74"/>
    <w:rsid w:val="00C06B36"/>
    <w:rsid w:val="00C07710"/>
    <w:rsid w:val="00C07826"/>
    <w:rsid w:val="00C1016F"/>
    <w:rsid w:val="00C1076F"/>
    <w:rsid w:val="00C10B90"/>
    <w:rsid w:val="00C10C19"/>
    <w:rsid w:val="00C111CC"/>
    <w:rsid w:val="00C1135A"/>
    <w:rsid w:val="00C1163C"/>
    <w:rsid w:val="00C11B72"/>
    <w:rsid w:val="00C14477"/>
    <w:rsid w:val="00C14CD8"/>
    <w:rsid w:val="00C150AD"/>
    <w:rsid w:val="00C16BB7"/>
    <w:rsid w:val="00C1730C"/>
    <w:rsid w:val="00C1791A"/>
    <w:rsid w:val="00C20142"/>
    <w:rsid w:val="00C20629"/>
    <w:rsid w:val="00C20690"/>
    <w:rsid w:val="00C2189D"/>
    <w:rsid w:val="00C223DE"/>
    <w:rsid w:val="00C22E60"/>
    <w:rsid w:val="00C22EEF"/>
    <w:rsid w:val="00C22F2A"/>
    <w:rsid w:val="00C23078"/>
    <w:rsid w:val="00C2393D"/>
    <w:rsid w:val="00C23D0B"/>
    <w:rsid w:val="00C23E2E"/>
    <w:rsid w:val="00C24EE3"/>
    <w:rsid w:val="00C26662"/>
    <w:rsid w:val="00C2719F"/>
    <w:rsid w:val="00C27224"/>
    <w:rsid w:val="00C274B3"/>
    <w:rsid w:val="00C30042"/>
    <w:rsid w:val="00C30968"/>
    <w:rsid w:val="00C316CA"/>
    <w:rsid w:val="00C31718"/>
    <w:rsid w:val="00C33256"/>
    <w:rsid w:val="00C33586"/>
    <w:rsid w:val="00C337C7"/>
    <w:rsid w:val="00C3450B"/>
    <w:rsid w:val="00C34611"/>
    <w:rsid w:val="00C3489F"/>
    <w:rsid w:val="00C34E02"/>
    <w:rsid w:val="00C34E32"/>
    <w:rsid w:val="00C350BC"/>
    <w:rsid w:val="00C355BF"/>
    <w:rsid w:val="00C364B6"/>
    <w:rsid w:val="00C405C7"/>
    <w:rsid w:val="00C40DDC"/>
    <w:rsid w:val="00C41F31"/>
    <w:rsid w:val="00C42164"/>
    <w:rsid w:val="00C42BE3"/>
    <w:rsid w:val="00C43F6F"/>
    <w:rsid w:val="00C441AF"/>
    <w:rsid w:val="00C44E00"/>
    <w:rsid w:val="00C4517B"/>
    <w:rsid w:val="00C4543F"/>
    <w:rsid w:val="00C45D33"/>
    <w:rsid w:val="00C4642E"/>
    <w:rsid w:val="00C46796"/>
    <w:rsid w:val="00C46ABB"/>
    <w:rsid w:val="00C47E48"/>
    <w:rsid w:val="00C50B0E"/>
    <w:rsid w:val="00C51F5B"/>
    <w:rsid w:val="00C52419"/>
    <w:rsid w:val="00C52DC0"/>
    <w:rsid w:val="00C53730"/>
    <w:rsid w:val="00C538DE"/>
    <w:rsid w:val="00C541D4"/>
    <w:rsid w:val="00C545FE"/>
    <w:rsid w:val="00C54E11"/>
    <w:rsid w:val="00C55251"/>
    <w:rsid w:val="00C5649C"/>
    <w:rsid w:val="00C56CF5"/>
    <w:rsid w:val="00C57496"/>
    <w:rsid w:val="00C601ED"/>
    <w:rsid w:val="00C6032B"/>
    <w:rsid w:val="00C618A3"/>
    <w:rsid w:val="00C6192A"/>
    <w:rsid w:val="00C62265"/>
    <w:rsid w:val="00C629D5"/>
    <w:rsid w:val="00C62E17"/>
    <w:rsid w:val="00C63251"/>
    <w:rsid w:val="00C63BA1"/>
    <w:rsid w:val="00C64082"/>
    <w:rsid w:val="00C64A20"/>
    <w:rsid w:val="00C6555B"/>
    <w:rsid w:val="00C6560E"/>
    <w:rsid w:val="00C656D0"/>
    <w:rsid w:val="00C65BAC"/>
    <w:rsid w:val="00C66054"/>
    <w:rsid w:val="00C661C0"/>
    <w:rsid w:val="00C66820"/>
    <w:rsid w:val="00C67551"/>
    <w:rsid w:val="00C679B6"/>
    <w:rsid w:val="00C67DC5"/>
    <w:rsid w:val="00C70C4F"/>
    <w:rsid w:val="00C70FB1"/>
    <w:rsid w:val="00C71F8B"/>
    <w:rsid w:val="00C72711"/>
    <w:rsid w:val="00C7284D"/>
    <w:rsid w:val="00C74096"/>
    <w:rsid w:val="00C7447F"/>
    <w:rsid w:val="00C74E78"/>
    <w:rsid w:val="00C75486"/>
    <w:rsid w:val="00C7589A"/>
    <w:rsid w:val="00C75A3D"/>
    <w:rsid w:val="00C75FF2"/>
    <w:rsid w:val="00C76186"/>
    <w:rsid w:val="00C76DA3"/>
    <w:rsid w:val="00C7703A"/>
    <w:rsid w:val="00C77259"/>
    <w:rsid w:val="00C77EF2"/>
    <w:rsid w:val="00C80AD9"/>
    <w:rsid w:val="00C80B5A"/>
    <w:rsid w:val="00C80E1A"/>
    <w:rsid w:val="00C81EE6"/>
    <w:rsid w:val="00C8202C"/>
    <w:rsid w:val="00C8327A"/>
    <w:rsid w:val="00C83CA5"/>
    <w:rsid w:val="00C84225"/>
    <w:rsid w:val="00C8439F"/>
    <w:rsid w:val="00C84B77"/>
    <w:rsid w:val="00C84D2F"/>
    <w:rsid w:val="00C85D3D"/>
    <w:rsid w:val="00C85F94"/>
    <w:rsid w:val="00C87446"/>
    <w:rsid w:val="00C87C84"/>
    <w:rsid w:val="00C90397"/>
    <w:rsid w:val="00C905D0"/>
    <w:rsid w:val="00C9131B"/>
    <w:rsid w:val="00C91DDC"/>
    <w:rsid w:val="00C91F23"/>
    <w:rsid w:val="00C9251D"/>
    <w:rsid w:val="00C92A5B"/>
    <w:rsid w:val="00C939B9"/>
    <w:rsid w:val="00C93B5F"/>
    <w:rsid w:val="00C93E67"/>
    <w:rsid w:val="00C93F09"/>
    <w:rsid w:val="00CA062B"/>
    <w:rsid w:val="00CA09E0"/>
    <w:rsid w:val="00CA101F"/>
    <w:rsid w:val="00CA1513"/>
    <w:rsid w:val="00CA1E92"/>
    <w:rsid w:val="00CA217A"/>
    <w:rsid w:val="00CA2B6C"/>
    <w:rsid w:val="00CA40E0"/>
    <w:rsid w:val="00CA4240"/>
    <w:rsid w:val="00CA46D5"/>
    <w:rsid w:val="00CA46EC"/>
    <w:rsid w:val="00CA53AA"/>
    <w:rsid w:val="00CA63AC"/>
    <w:rsid w:val="00CA67EE"/>
    <w:rsid w:val="00CA6C70"/>
    <w:rsid w:val="00CA6DEE"/>
    <w:rsid w:val="00CA7F55"/>
    <w:rsid w:val="00CB051C"/>
    <w:rsid w:val="00CB1CC0"/>
    <w:rsid w:val="00CB1D12"/>
    <w:rsid w:val="00CB286B"/>
    <w:rsid w:val="00CB3299"/>
    <w:rsid w:val="00CB43AD"/>
    <w:rsid w:val="00CB548D"/>
    <w:rsid w:val="00CB58B4"/>
    <w:rsid w:val="00CB6894"/>
    <w:rsid w:val="00CB7B4E"/>
    <w:rsid w:val="00CC0AB5"/>
    <w:rsid w:val="00CC0B5D"/>
    <w:rsid w:val="00CC1C42"/>
    <w:rsid w:val="00CC1C7F"/>
    <w:rsid w:val="00CC2E83"/>
    <w:rsid w:val="00CC36AB"/>
    <w:rsid w:val="00CC3988"/>
    <w:rsid w:val="00CC3A87"/>
    <w:rsid w:val="00CC40E6"/>
    <w:rsid w:val="00CC422B"/>
    <w:rsid w:val="00CC485F"/>
    <w:rsid w:val="00CC4EAD"/>
    <w:rsid w:val="00CC59E3"/>
    <w:rsid w:val="00CC6278"/>
    <w:rsid w:val="00CC7446"/>
    <w:rsid w:val="00CC7797"/>
    <w:rsid w:val="00CD1267"/>
    <w:rsid w:val="00CD1587"/>
    <w:rsid w:val="00CD158D"/>
    <w:rsid w:val="00CD1C0B"/>
    <w:rsid w:val="00CD2BD9"/>
    <w:rsid w:val="00CD38E3"/>
    <w:rsid w:val="00CD4B43"/>
    <w:rsid w:val="00CD5400"/>
    <w:rsid w:val="00CD5870"/>
    <w:rsid w:val="00CD61E7"/>
    <w:rsid w:val="00CD6E66"/>
    <w:rsid w:val="00CD7AB5"/>
    <w:rsid w:val="00CE0852"/>
    <w:rsid w:val="00CE113E"/>
    <w:rsid w:val="00CE1786"/>
    <w:rsid w:val="00CE18FD"/>
    <w:rsid w:val="00CE1C8F"/>
    <w:rsid w:val="00CE3980"/>
    <w:rsid w:val="00CE3BE2"/>
    <w:rsid w:val="00CE3C0F"/>
    <w:rsid w:val="00CE4445"/>
    <w:rsid w:val="00CE5374"/>
    <w:rsid w:val="00CE5432"/>
    <w:rsid w:val="00CE5A10"/>
    <w:rsid w:val="00CE6480"/>
    <w:rsid w:val="00CE66DE"/>
    <w:rsid w:val="00CE68AA"/>
    <w:rsid w:val="00CE77BB"/>
    <w:rsid w:val="00CE7D7D"/>
    <w:rsid w:val="00CF0CFB"/>
    <w:rsid w:val="00CF13C0"/>
    <w:rsid w:val="00CF1A20"/>
    <w:rsid w:val="00CF2134"/>
    <w:rsid w:val="00CF2173"/>
    <w:rsid w:val="00CF23A9"/>
    <w:rsid w:val="00CF2BB3"/>
    <w:rsid w:val="00CF34E1"/>
    <w:rsid w:val="00CF4911"/>
    <w:rsid w:val="00CF525E"/>
    <w:rsid w:val="00CF539F"/>
    <w:rsid w:val="00CF551D"/>
    <w:rsid w:val="00CF59F5"/>
    <w:rsid w:val="00CF6190"/>
    <w:rsid w:val="00CF7585"/>
    <w:rsid w:val="00CF766C"/>
    <w:rsid w:val="00D00440"/>
    <w:rsid w:val="00D00AE3"/>
    <w:rsid w:val="00D01B06"/>
    <w:rsid w:val="00D027A8"/>
    <w:rsid w:val="00D02FBF"/>
    <w:rsid w:val="00D03757"/>
    <w:rsid w:val="00D04079"/>
    <w:rsid w:val="00D053D6"/>
    <w:rsid w:val="00D05488"/>
    <w:rsid w:val="00D060DC"/>
    <w:rsid w:val="00D062CC"/>
    <w:rsid w:val="00D06B31"/>
    <w:rsid w:val="00D10096"/>
    <w:rsid w:val="00D1011E"/>
    <w:rsid w:val="00D102AB"/>
    <w:rsid w:val="00D11EF9"/>
    <w:rsid w:val="00D127A5"/>
    <w:rsid w:val="00D12EA6"/>
    <w:rsid w:val="00D135F2"/>
    <w:rsid w:val="00D1387D"/>
    <w:rsid w:val="00D1394D"/>
    <w:rsid w:val="00D14142"/>
    <w:rsid w:val="00D1420B"/>
    <w:rsid w:val="00D147D0"/>
    <w:rsid w:val="00D14843"/>
    <w:rsid w:val="00D14D4E"/>
    <w:rsid w:val="00D153AA"/>
    <w:rsid w:val="00D15B36"/>
    <w:rsid w:val="00D1673A"/>
    <w:rsid w:val="00D1683D"/>
    <w:rsid w:val="00D168C9"/>
    <w:rsid w:val="00D172B3"/>
    <w:rsid w:val="00D179FF"/>
    <w:rsid w:val="00D20263"/>
    <w:rsid w:val="00D20415"/>
    <w:rsid w:val="00D211A1"/>
    <w:rsid w:val="00D2123A"/>
    <w:rsid w:val="00D21DF3"/>
    <w:rsid w:val="00D22036"/>
    <w:rsid w:val="00D23894"/>
    <w:rsid w:val="00D24176"/>
    <w:rsid w:val="00D24201"/>
    <w:rsid w:val="00D2439E"/>
    <w:rsid w:val="00D25492"/>
    <w:rsid w:val="00D257CF"/>
    <w:rsid w:val="00D25940"/>
    <w:rsid w:val="00D27AA4"/>
    <w:rsid w:val="00D27CC7"/>
    <w:rsid w:val="00D27E28"/>
    <w:rsid w:val="00D309DF"/>
    <w:rsid w:val="00D30E27"/>
    <w:rsid w:val="00D3108D"/>
    <w:rsid w:val="00D31338"/>
    <w:rsid w:val="00D324C0"/>
    <w:rsid w:val="00D325EF"/>
    <w:rsid w:val="00D32744"/>
    <w:rsid w:val="00D347DB"/>
    <w:rsid w:val="00D34B75"/>
    <w:rsid w:val="00D34C11"/>
    <w:rsid w:val="00D35CBB"/>
    <w:rsid w:val="00D368C1"/>
    <w:rsid w:val="00D36910"/>
    <w:rsid w:val="00D36AF2"/>
    <w:rsid w:val="00D37906"/>
    <w:rsid w:val="00D40D61"/>
    <w:rsid w:val="00D4105C"/>
    <w:rsid w:val="00D41433"/>
    <w:rsid w:val="00D419A4"/>
    <w:rsid w:val="00D42293"/>
    <w:rsid w:val="00D42AE8"/>
    <w:rsid w:val="00D4343C"/>
    <w:rsid w:val="00D4353A"/>
    <w:rsid w:val="00D43798"/>
    <w:rsid w:val="00D4428A"/>
    <w:rsid w:val="00D442AE"/>
    <w:rsid w:val="00D4438C"/>
    <w:rsid w:val="00D4447D"/>
    <w:rsid w:val="00D453F1"/>
    <w:rsid w:val="00D45E50"/>
    <w:rsid w:val="00D46858"/>
    <w:rsid w:val="00D4691D"/>
    <w:rsid w:val="00D46AF1"/>
    <w:rsid w:val="00D50087"/>
    <w:rsid w:val="00D503FF"/>
    <w:rsid w:val="00D50590"/>
    <w:rsid w:val="00D50B8F"/>
    <w:rsid w:val="00D51239"/>
    <w:rsid w:val="00D51D6A"/>
    <w:rsid w:val="00D52A07"/>
    <w:rsid w:val="00D52CA3"/>
    <w:rsid w:val="00D54382"/>
    <w:rsid w:val="00D545CE"/>
    <w:rsid w:val="00D549DE"/>
    <w:rsid w:val="00D54FFE"/>
    <w:rsid w:val="00D55A0A"/>
    <w:rsid w:val="00D55C80"/>
    <w:rsid w:val="00D55C8B"/>
    <w:rsid w:val="00D55EB4"/>
    <w:rsid w:val="00D55F86"/>
    <w:rsid w:val="00D55F9D"/>
    <w:rsid w:val="00D564EE"/>
    <w:rsid w:val="00D568D0"/>
    <w:rsid w:val="00D56B09"/>
    <w:rsid w:val="00D57AD1"/>
    <w:rsid w:val="00D6017A"/>
    <w:rsid w:val="00D60A95"/>
    <w:rsid w:val="00D614EA"/>
    <w:rsid w:val="00D63203"/>
    <w:rsid w:val="00D633CD"/>
    <w:rsid w:val="00D63EB5"/>
    <w:rsid w:val="00D6498D"/>
    <w:rsid w:val="00D64A2F"/>
    <w:rsid w:val="00D662ED"/>
    <w:rsid w:val="00D669A0"/>
    <w:rsid w:val="00D67689"/>
    <w:rsid w:val="00D70155"/>
    <w:rsid w:val="00D71500"/>
    <w:rsid w:val="00D71595"/>
    <w:rsid w:val="00D71D82"/>
    <w:rsid w:val="00D72165"/>
    <w:rsid w:val="00D7325A"/>
    <w:rsid w:val="00D742F1"/>
    <w:rsid w:val="00D749C0"/>
    <w:rsid w:val="00D75554"/>
    <w:rsid w:val="00D7650D"/>
    <w:rsid w:val="00D76D35"/>
    <w:rsid w:val="00D77B56"/>
    <w:rsid w:val="00D807DB"/>
    <w:rsid w:val="00D80F41"/>
    <w:rsid w:val="00D8242F"/>
    <w:rsid w:val="00D82D5C"/>
    <w:rsid w:val="00D82F78"/>
    <w:rsid w:val="00D8313B"/>
    <w:rsid w:val="00D83326"/>
    <w:rsid w:val="00D8333A"/>
    <w:rsid w:val="00D83433"/>
    <w:rsid w:val="00D83F4A"/>
    <w:rsid w:val="00D840E9"/>
    <w:rsid w:val="00D84429"/>
    <w:rsid w:val="00D847BA"/>
    <w:rsid w:val="00D850C6"/>
    <w:rsid w:val="00D85A53"/>
    <w:rsid w:val="00D86F0A"/>
    <w:rsid w:val="00D87010"/>
    <w:rsid w:val="00D87EB9"/>
    <w:rsid w:val="00D903FD"/>
    <w:rsid w:val="00D90C92"/>
    <w:rsid w:val="00D9167A"/>
    <w:rsid w:val="00D9171F"/>
    <w:rsid w:val="00D919D9"/>
    <w:rsid w:val="00D92219"/>
    <w:rsid w:val="00D92793"/>
    <w:rsid w:val="00D92EAB"/>
    <w:rsid w:val="00D93200"/>
    <w:rsid w:val="00D9417D"/>
    <w:rsid w:val="00D94BC5"/>
    <w:rsid w:val="00D9537D"/>
    <w:rsid w:val="00D95963"/>
    <w:rsid w:val="00D95BD5"/>
    <w:rsid w:val="00D95FF1"/>
    <w:rsid w:val="00D96604"/>
    <w:rsid w:val="00D96BB5"/>
    <w:rsid w:val="00D96C08"/>
    <w:rsid w:val="00D96CA2"/>
    <w:rsid w:val="00D975CB"/>
    <w:rsid w:val="00D97CC0"/>
    <w:rsid w:val="00DA02E9"/>
    <w:rsid w:val="00DA0FB4"/>
    <w:rsid w:val="00DA2481"/>
    <w:rsid w:val="00DA333F"/>
    <w:rsid w:val="00DA414A"/>
    <w:rsid w:val="00DA45E8"/>
    <w:rsid w:val="00DA47C1"/>
    <w:rsid w:val="00DA490D"/>
    <w:rsid w:val="00DA4AF6"/>
    <w:rsid w:val="00DA4BAD"/>
    <w:rsid w:val="00DA5F88"/>
    <w:rsid w:val="00DA7166"/>
    <w:rsid w:val="00DA71E8"/>
    <w:rsid w:val="00DA76EB"/>
    <w:rsid w:val="00DA7A04"/>
    <w:rsid w:val="00DB0004"/>
    <w:rsid w:val="00DB0D70"/>
    <w:rsid w:val="00DB14B1"/>
    <w:rsid w:val="00DB18C9"/>
    <w:rsid w:val="00DB1C82"/>
    <w:rsid w:val="00DB1DF7"/>
    <w:rsid w:val="00DB300D"/>
    <w:rsid w:val="00DB3460"/>
    <w:rsid w:val="00DB395D"/>
    <w:rsid w:val="00DB3F43"/>
    <w:rsid w:val="00DB4749"/>
    <w:rsid w:val="00DB4F29"/>
    <w:rsid w:val="00DB5605"/>
    <w:rsid w:val="00DB61E6"/>
    <w:rsid w:val="00DB6BC7"/>
    <w:rsid w:val="00DB773B"/>
    <w:rsid w:val="00DC0560"/>
    <w:rsid w:val="00DC06E1"/>
    <w:rsid w:val="00DC0C65"/>
    <w:rsid w:val="00DC1368"/>
    <w:rsid w:val="00DC1573"/>
    <w:rsid w:val="00DC1865"/>
    <w:rsid w:val="00DC269C"/>
    <w:rsid w:val="00DC2AD5"/>
    <w:rsid w:val="00DC2D99"/>
    <w:rsid w:val="00DC2FDD"/>
    <w:rsid w:val="00DC305F"/>
    <w:rsid w:val="00DC3CD1"/>
    <w:rsid w:val="00DC438E"/>
    <w:rsid w:val="00DC449A"/>
    <w:rsid w:val="00DC4C76"/>
    <w:rsid w:val="00DC555E"/>
    <w:rsid w:val="00DC5808"/>
    <w:rsid w:val="00DC6618"/>
    <w:rsid w:val="00DC711A"/>
    <w:rsid w:val="00DC7127"/>
    <w:rsid w:val="00DC7264"/>
    <w:rsid w:val="00DC74B9"/>
    <w:rsid w:val="00DC78B8"/>
    <w:rsid w:val="00DC7B6D"/>
    <w:rsid w:val="00DD0569"/>
    <w:rsid w:val="00DD10E1"/>
    <w:rsid w:val="00DD1B8B"/>
    <w:rsid w:val="00DD26F2"/>
    <w:rsid w:val="00DD2796"/>
    <w:rsid w:val="00DD2F75"/>
    <w:rsid w:val="00DD2FB1"/>
    <w:rsid w:val="00DD323E"/>
    <w:rsid w:val="00DD3D08"/>
    <w:rsid w:val="00DD3FA5"/>
    <w:rsid w:val="00DD4DEF"/>
    <w:rsid w:val="00DD6169"/>
    <w:rsid w:val="00DD7064"/>
    <w:rsid w:val="00DD71E9"/>
    <w:rsid w:val="00DD7247"/>
    <w:rsid w:val="00DE07B8"/>
    <w:rsid w:val="00DE1142"/>
    <w:rsid w:val="00DE1997"/>
    <w:rsid w:val="00DE19BF"/>
    <w:rsid w:val="00DE2777"/>
    <w:rsid w:val="00DE2AE2"/>
    <w:rsid w:val="00DE33E3"/>
    <w:rsid w:val="00DE3E7C"/>
    <w:rsid w:val="00DE4CE0"/>
    <w:rsid w:val="00DE5A82"/>
    <w:rsid w:val="00DE5C5F"/>
    <w:rsid w:val="00DE5DDF"/>
    <w:rsid w:val="00DE6E6D"/>
    <w:rsid w:val="00DE707D"/>
    <w:rsid w:val="00DE7C3C"/>
    <w:rsid w:val="00DE7E0F"/>
    <w:rsid w:val="00DF06C1"/>
    <w:rsid w:val="00DF071E"/>
    <w:rsid w:val="00DF0857"/>
    <w:rsid w:val="00DF0977"/>
    <w:rsid w:val="00DF0B02"/>
    <w:rsid w:val="00DF1C27"/>
    <w:rsid w:val="00DF1F3E"/>
    <w:rsid w:val="00DF1FD3"/>
    <w:rsid w:val="00DF240D"/>
    <w:rsid w:val="00DF2D10"/>
    <w:rsid w:val="00DF2FA8"/>
    <w:rsid w:val="00DF37B0"/>
    <w:rsid w:val="00DF3A55"/>
    <w:rsid w:val="00DF3B78"/>
    <w:rsid w:val="00DF3F9E"/>
    <w:rsid w:val="00DF471C"/>
    <w:rsid w:val="00DF5045"/>
    <w:rsid w:val="00DF56EB"/>
    <w:rsid w:val="00DF5BEA"/>
    <w:rsid w:val="00DF5E35"/>
    <w:rsid w:val="00DF77B4"/>
    <w:rsid w:val="00E0051C"/>
    <w:rsid w:val="00E01636"/>
    <w:rsid w:val="00E03485"/>
    <w:rsid w:val="00E0349A"/>
    <w:rsid w:val="00E042A8"/>
    <w:rsid w:val="00E04E3F"/>
    <w:rsid w:val="00E06016"/>
    <w:rsid w:val="00E06477"/>
    <w:rsid w:val="00E065F1"/>
    <w:rsid w:val="00E06617"/>
    <w:rsid w:val="00E067EB"/>
    <w:rsid w:val="00E0686B"/>
    <w:rsid w:val="00E06EBC"/>
    <w:rsid w:val="00E06F3F"/>
    <w:rsid w:val="00E077F9"/>
    <w:rsid w:val="00E10893"/>
    <w:rsid w:val="00E10DD7"/>
    <w:rsid w:val="00E11FBF"/>
    <w:rsid w:val="00E12859"/>
    <w:rsid w:val="00E13393"/>
    <w:rsid w:val="00E13DFE"/>
    <w:rsid w:val="00E14798"/>
    <w:rsid w:val="00E14A43"/>
    <w:rsid w:val="00E152A3"/>
    <w:rsid w:val="00E15407"/>
    <w:rsid w:val="00E15449"/>
    <w:rsid w:val="00E15546"/>
    <w:rsid w:val="00E15A75"/>
    <w:rsid w:val="00E15DEF"/>
    <w:rsid w:val="00E1614B"/>
    <w:rsid w:val="00E167B5"/>
    <w:rsid w:val="00E1796C"/>
    <w:rsid w:val="00E17A5D"/>
    <w:rsid w:val="00E20A56"/>
    <w:rsid w:val="00E20B20"/>
    <w:rsid w:val="00E20C8D"/>
    <w:rsid w:val="00E21B4F"/>
    <w:rsid w:val="00E24DBD"/>
    <w:rsid w:val="00E2508A"/>
    <w:rsid w:val="00E262D1"/>
    <w:rsid w:val="00E2692D"/>
    <w:rsid w:val="00E270FC"/>
    <w:rsid w:val="00E3060B"/>
    <w:rsid w:val="00E307C4"/>
    <w:rsid w:val="00E30E77"/>
    <w:rsid w:val="00E31234"/>
    <w:rsid w:val="00E329A7"/>
    <w:rsid w:val="00E32B6D"/>
    <w:rsid w:val="00E3320D"/>
    <w:rsid w:val="00E33296"/>
    <w:rsid w:val="00E335AA"/>
    <w:rsid w:val="00E33BAE"/>
    <w:rsid w:val="00E34038"/>
    <w:rsid w:val="00E34241"/>
    <w:rsid w:val="00E34B4C"/>
    <w:rsid w:val="00E367D9"/>
    <w:rsid w:val="00E37604"/>
    <w:rsid w:val="00E41CB8"/>
    <w:rsid w:val="00E427F2"/>
    <w:rsid w:val="00E43976"/>
    <w:rsid w:val="00E439A4"/>
    <w:rsid w:val="00E442F2"/>
    <w:rsid w:val="00E445D8"/>
    <w:rsid w:val="00E44672"/>
    <w:rsid w:val="00E45186"/>
    <w:rsid w:val="00E457B8"/>
    <w:rsid w:val="00E457ED"/>
    <w:rsid w:val="00E45BDC"/>
    <w:rsid w:val="00E46063"/>
    <w:rsid w:val="00E4618D"/>
    <w:rsid w:val="00E461AF"/>
    <w:rsid w:val="00E463F4"/>
    <w:rsid w:val="00E46BD1"/>
    <w:rsid w:val="00E46FB4"/>
    <w:rsid w:val="00E470E9"/>
    <w:rsid w:val="00E4720D"/>
    <w:rsid w:val="00E47438"/>
    <w:rsid w:val="00E47AD1"/>
    <w:rsid w:val="00E47C6D"/>
    <w:rsid w:val="00E504F4"/>
    <w:rsid w:val="00E50634"/>
    <w:rsid w:val="00E50AC2"/>
    <w:rsid w:val="00E51795"/>
    <w:rsid w:val="00E51ADB"/>
    <w:rsid w:val="00E5331A"/>
    <w:rsid w:val="00E53397"/>
    <w:rsid w:val="00E54753"/>
    <w:rsid w:val="00E55252"/>
    <w:rsid w:val="00E555F3"/>
    <w:rsid w:val="00E562DE"/>
    <w:rsid w:val="00E565FD"/>
    <w:rsid w:val="00E56F10"/>
    <w:rsid w:val="00E5749E"/>
    <w:rsid w:val="00E5753D"/>
    <w:rsid w:val="00E57856"/>
    <w:rsid w:val="00E57A3D"/>
    <w:rsid w:val="00E57CEE"/>
    <w:rsid w:val="00E57E45"/>
    <w:rsid w:val="00E60008"/>
    <w:rsid w:val="00E60B7F"/>
    <w:rsid w:val="00E6235F"/>
    <w:rsid w:val="00E62827"/>
    <w:rsid w:val="00E62B11"/>
    <w:rsid w:val="00E62E1F"/>
    <w:rsid w:val="00E63937"/>
    <w:rsid w:val="00E63ABB"/>
    <w:rsid w:val="00E63E59"/>
    <w:rsid w:val="00E63E69"/>
    <w:rsid w:val="00E64D98"/>
    <w:rsid w:val="00E64E2F"/>
    <w:rsid w:val="00E65226"/>
    <w:rsid w:val="00E65AE3"/>
    <w:rsid w:val="00E65BC7"/>
    <w:rsid w:val="00E66739"/>
    <w:rsid w:val="00E66898"/>
    <w:rsid w:val="00E6696F"/>
    <w:rsid w:val="00E672FD"/>
    <w:rsid w:val="00E703CA"/>
    <w:rsid w:val="00E70D4C"/>
    <w:rsid w:val="00E719D9"/>
    <w:rsid w:val="00E71BAD"/>
    <w:rsid w:val="00E71CC9"/>
    <w:rsid w:val="00E71DC3"/>
    <w:rsid w:val="00E72A28"/>
    <w:rsid w:val="00E73329"/>
    <w:rsid w:val="00E73DFA"/>
    <w:rsid w:val="00E740D3"/>
    <w:rsid w:val="00E741AF"/>
    <w:rsid w:val="00E74607"/>
    <w:rsid w:val="00E74773"/>
    <w:rsid w:val="00E757D2"/>
    <w:rsid w:val="00E7652C"/>
    <w:rsid w:val="00E76D20"/>
    <w:rsid w:val="00E776E9"/>
    <w:rsid w:val="00E77764"/>
    <w:rsid w:val="00E80922"/>
    <w:rsid w:val="00E80B14"/>
    <w:rsid w:val="00E81643"/>
    <w:rsid w:val="00E81A15"/>
    <w:rsid w:val="00E829C9"/>
    <w:rsid w:val="00E82B92"/>
    <w:rsid w:val="00E82E10"/>
    <w:rsid w:val="00E834D3"/>
    <w:rsid w:val="00E836AC"/>
    <w:rsid w:val="00E85185"/>
    <w:rsid w:val="00E853A6"/>
    <w:rsid w:val="00E853BB"/>
    <w:rsid w:val="00E85521"/>
    <w:rsid w:val="00E87BE9"/>
    <w:rsid w:val="00E9012B"/>
    <w:rsid w:val="00E90786"/>
    <w:rsid w:val="00E91824"/>
    <w:rsid w:val="00E91943"/>
    <w:rsid w:val="00E91C3A"/>
    <w:rsid w:val="00E93452"/>
    <w:rsid w:val="00E94A39"/>
    <w:rsid w:val="00E962B3"/>
    <w:rsid w:val="00E96BB0"/>
    <w:rsid w:val="00E971F0"/>
    <w:rsid w:val="00E97525"/>
    <w:rsid w:val="00E97635"/>
    <w:rsid w:val="00EA0F87"/>
    <w:rsid w:val="00EA1DAA"/>
    <w:rsid w:val="00EA1E33"/>
    <w:rsid w:val="00EA21F2"/>
    <w:rsid w:val="00EA2262"/>
    <w:rsid w:val="00EA2899"/>
    <w:rsid w:val="00EA2AD5"/>
    <w:rsid w:val="00EA3246"/>
    <w:rsid w:val="00EA3638"/>
    <w:rsid w:val="00EA3F3C"/>
    <w:rsid w:val="00EA4B68"/>
    <w:rsid w:val="00EA540D"/>
    <w:rsid w:val="00EA5779"/>
    <w:rsid w:val="00EA57FF"/>
    <w:rsid w:val="00EA5CA5"/>
    <w:rsid w:val="00EA5CDA"/>
    <w:rsid w:val="00EA64E7"/>
    <w:rsid w:val="00EA70B8"/>
    <w:rsid w:val="00EB015A"/>
    <w:rsid w:val="00EB028E"/>
    <w:rsid w:val="00EB054E"/>
    <w:rsid w:val="00EB0FBF"/>
    <w:rsid w:val="00EB1277"/>
    <w:rsid w:val="00EB1575"/>
    <w:rsid w:val="00EB17CA"/>
    <w:rsid w:val="00EB2D58"/>
    <w:rsid w:val="00EB315F"/>
    <w:rsid w:val="00EB33DD"/>
    <w:rsid w:val="00EB3FF7"/>
    <w:rsid w:val="00EB4098"/>
    <w:rsid w:val="00EB6054"/>
    <w:rsid w:val="00EB682E"/>
    <w:rsid w:val="00EB6CF7"/>
    <w:rsid w:val="00EB71D8"/>
    <w:rsid w:val="00EB71F8"/>
    <w:rsid w:val="00EB773B"/>
    <w:rsid w:val="00EB7DA4"/>
    <w:rsid w:val="00EC1522"/>
    <w:rsid w:val="00EC152A"/>
    <w:rsid w:val="00EC193F"/>
    <w:rsid w:val="00EC369E"/>
    <w:rsid w:val="00EC4667"/>
    <w:rsid w:val="00EC5692"/>
    <w:rsid w:val="00EC58AC"/>
    <w:rsid w:val="00EC6806"/>
    <w:rsid w:val="00ED024F"/>
    <w:rsid w:val="00ED1A31"/>
    <w:rsid w:val="00ED2055"/>
    <w:rsid w:val="00ED223A"/>
    <w:rsid w:val="00ED2B5E"/>
    <w:rsid w:val="00ED2CC7"/>
    <w:rsid w:val="00ED2CCD"/>
    <w:rsid w:val="00ED2EBF"/>
    <w:rsid w:val="00ED3874"/>
    <w:rsid w:val="00ED39FF"/>
    <w:rsid w:val="00ED43D2"/>
    <w:rsid w:val="00ED48D9"/>
    <w:rsid w:val="00ED5991"/>
    <w:rsid w:val="00ED65EE"/>
    <w:rsid w:val="00ED6D5B"/>
    <w:rsid w:val="00EE02F9"/>
    <w:rsid w:val="00EE03B5"/>
    <w:rsid w:val="00EE0DC3"/>
    <w:rsid w:val="00EE1918"/>
    <w:rsid w:val="00EE1A0C"/>
    <w:rsid w:val="00EE2088"/>
    <w:rsid w:val="00EE2948"/>
    <w:rsid w:val="00EE2B49"/>
    <w:rsid w:val="00EE39E6"/>
    <w:rsid w:val="00EE3B8C"/>
    <w:rsid w:val="00EE3F4B"/>
    <w:rsid w:val="00EE3FA0"/>
    <w:rsid w:val="00EE43D2"/>
    <w:rsid w:val="00EE4512"/>
    <w:rsid w:val="00EE4A89"/>
    <w:rsid w:val="00EE4B11"/>
    <w:rsid w:val="00EE4EE4"/>
    <w:rsid w:val="00EE50E5"/>
    <w:rsid w:val="00EE52EF"/>
    <w:rsid w:val="00EE5485"/>
    <w:rsid w:val="00EE7BE0"/>
    <w:rsid w:val="00EF0048"/>
    <w:rsid w:val="00EF0520"/>
    <w:rsid w:val="00EF058F"/>
    <w:rsid w:val="00EF0D85"/>
    <w:rsid w:val="00EF1FF4"/>
    <w:rsid w:val="00EF214C"/>
    <w:rsid w:val="00EF2265"/>
    <w:rsid w:val="00EF2B95"/>
    <w:rsid w:val="00EF34D8"/>
    <w:rsid w:val="00EF40B5"/>
    <w:rsid w:val="00EF45C5"/>
    <w:rsid w:val="00EF4A38"/>
    <w:rsid w:val="00EF4DE9"/>
    <w:rsid w:val="00EF4ED3"/>
    <w:rsid w:val="00EF5CB8"/>
    <w:rsid w:val="00EF5E90"/>
    <w:rsid w:val="00EF626A"/>
    <w:rsid w:val="00EF691D"/>
    <w:rsid w:val="00EF6B6A"/>
    <w:rsid w:val="00EF7869"/>
    <w:rsid w:val="00EF7A9B"/>
    <w:rsid w:val="00EF7F6F"/>
    <w:rsid w:val="00F00C93"/>
    <w:rsid w:val="00F011B6"/>
    <w:rsid w:val="00F01F56"/>
    <w:rsid w:val="00F01F73"/>
    <w:rsid w:val="00F0496D"/>
    <w:rsid w:val="00F04F43"/>
    <w:rsid w:val="00F0503E"/>
    <w:rsid w:val="00F0522A"/>
    <w:rsid w:val="00F05869"/>
    <w:rsid w:val="00F059E3"/>
    <w:rsid w:val="00F05C96"/>
    <w:rsid w:val="00F05DE7"/>
    <w:rsid w:val="00F05E70"/>
    <w:rsid w:val="00F0658F"/>
    <w:rsid w:val="00F06C57"/>
    <w:rsid w:val="00F071DC"/>
    <w:rsid w:val="00F10130"/>
    <w:rsid w:val="00F10FE0"/>
    <w:rsid w:val="00F111A3"/>
    <w:rsid w:val="00F11A14"/>
    <w:rsid w:val="00F127C6"/>
    <w:rsid w:val="00F12B8E"/>
    <w:rsid w:val="00F12C4C"/>
    <w:rsid w:val="00F1329C"/>
    <w:rsid w:val="00F1429C"/>
    <w:rsid w:val="00F148FD"/>
    <w:rsid w:val="00F14F20"/>
    <w:rsid w:val="00F1509C"/>
    <w:rsid w:val="00F15A0C"/>
    <w:rsid w:val="00F16428"/>
    <w:rsid w:val="00F16519"/>
    <w:rsid w:val="00F16CCA"/>
    <w:rsid w:val="00F16F4D"/>
    <w:rsid w:val="00F1749D"/>
    <w:rsid w:val="00F2017F"/>
    <w:rsid w:val="00F201B7"/>
    <w:rsid w:val="00F204D9"/>
    <w:rsid w:val="00F205B5"/>
    <w:rsid w:val="00F20976"/>
    <w:rsid w:val="00F2190C"/>
    <w:rsid w:val="00F21B0B"/>
    <w:rsid w:val="00F232AD"/>
    <w:rsid w:val="00F24176"/>
    <w:rsid w:val="00F245BC"/>
    <w:rsid w:val="00F2476D"/>
    <w:rsid w:val="00F2494A"/>
    <w:rsid w:val="00F24A11"/>
    <w:rsid w:val="00F24B1D"/>
    <w:rsid w:val="00F25F80"/>
    <w:rsid w:val="00F26C4B"/>
    <w:rsid w:val="00F27BB7"/>
    <w:rsid w:val="00F30402"/>
    <w:rsid w:val="00F30834"/>
    <w:rsid w:val="00F30A34"/>
    <w:rsid w:val="00F30C06"/>
    <w:rsid w:val="00F30DFC"/>
    <w:rsid w:val="00F311EB"/>
    <w:rsid w:val="00F32489"/>
    <w:rsid w:val="00F32EF5"/>
    <w:rsid w:val="00F3324F"/>
    <w:rsid w:val="00F3361A"/>
    <w:rsid w:val="00F347F4"/>
    <w:rsid w:val="00F3549F"/>
    <w:rsid w:val="00F35AA7"/>
    <w:rsid w:val="00F3673C"/>
    <w:rsid w:val="00F3677C"/>
    <w:rsid w:val="00F36796"/>
    <w:rsid w:val="00F370C9"/>
    <w:rsid w:val="00F372AA"/>
    <w:rsid w:val="00F40261"/>
    <w:rsid w:val="00F40272"/>
    <w:rsid w:val="00F40348"/>
    <w:rsid w:val="00F4045B"/>
    <w:rsid w:val="00F4096F"/>
    <w:rsid w:val="00F40FBF"/>
    <w:rsid w:val="00F41266"/>
    <w:rsid w:val="00F4247D"/>
    <w:rsid w:val="00F42723"/>
    <w:rsid w:val="00F430B2"/>
    <w:rsid w:val="00F431AA"/>
    <w:rsid w:val="00F435C4"/>
    <w:rsid w:val="00F43870"/>
    <w:rsid w:val="00F43920"/>
    <w:rsid w:val="00F44BE5"/>
    <w:rsid w:val="00F44CC8"/>
    <w:rsid w:val="00F44E37"/>
    <w:rsid w:val="00F45225"/>
    <w:rsid w:val="00F46AB4"/>
    <w:rsid w:val="00F479B9"/>
    <w:rsid w:val="00F47D6A"/>
    <w:rsid w:val="00F50414"/>
    <w:rsid w:val="00F508E2"/>
    <w:rsid w:val="00F50B56"/>
    <w:rsid w:val="00F50FA3"/>
    <w:rsid w:val="00F5135A"/>
    <w:rsid w:val="00F51A06"/>
    <w:rsid w:val="00F51B17"/>
    <w:rsid w:val="00F51F93"/>
    <w:rsid w:val="00F5250D"/>
    <w:rsid w:val="00F530BE"/>
    <w:rsid w:val="00F534E0"/>
    <w:rsid w:val="00F54019"/>
    <w:rsid w:val="00F545EE"/>
    <w:rsid w:val="00F54693"/>
    <w:rsid w:val="00F54940"/>
    <w:rsid w:val="00F558CD"/>
    <w:rsid w:val="00F5719C"/>
    <w:rsid w:val="00F571E7"/>
    <w:rsid w:val="00F571EB"/>
    <w:rsid w:val="00F57E6D"/>
    <w:rsid w:val="00F601B0"/>
    <w:rsid w:val="00F60B70"/>
    <w:rsid w:val="00F6127D"/>
    <w:rsid w:val="00F61352"/>
    <w:rsid w:val="00F617DF"/>
    <w:rsid w:val="00F61CDA"/>
    <w:rsid w:val="00F62E5D"/>
    <w:rsid w:val="00F63219"/>
    <w:rsid w:val="00F642BB"/>
    <w:rsid w:val="00F646E9"/>
    <w:rsid w:val="00F64899"/>
    <w:rsid w:val="00F64917"/>
    <w:rsid w:val="00F651CB"/>
    <w:rsid w:val="00F65895"/>
    <w:rsid w:val="00F65C4B"/>
    <w:rsid w:val="00F66040"/>
    <w:rsid w:val="00F66284"/>
    <w:rsid w:val="00F665F7"/>
    <w:rsid w:val="00F67B50"/>
    <w:rsid w:val="00F67DA6"/>
    <w:rsid w:val="00F70FCB"/>
    <w:rsid w:val="00F714C2"/>
    <w:rsid w:val="00F719BE"/>
    <w:rsid w:val="00F71CA2"/>
    <w:rsid w:val="00F71E38"/>
    <w:rsid w:val="00F7205E"/>
    <w:rsid w:val="00F7369C"/>
    <w:rsid w:val="00F73AE8"/>
    <w:rsid w:val="00F74445"/>
    <w:rsid w:val="00F748CE"/>
    <w:rsid w:val="00F752EB"/>
    <w:rsid w:val="00F76E82"/>
    <w:rsid w:val="00F771F0"/>
    <w:rsid w:val="00F776A9"/>
    <w:rsid w:val="00F7790F"/>
    <w:rsid w:val="00F77B9D"/>
    <w:rsid w:val="00F77E7B"/>
    <w:rsid w:val="00F80309"/>
    <w:rsid w:val="00F80E7E"/>
    <w:rsid w:val="00F826D2"/>
    <w:rsid w:val="00F826DC"/>
    <w:rsid w:val="00F82D10"/>
    <w:rsid w:val="00F83721"/>
    <w:rsid w:val="00F8377E"/>
    <w:rsid w:val="00F839CF"/>
    <w:rsid w:val="00F83F57"/>
    <w:rsid w:val="00F84C33"/>
    <w:rsid w:val="00F85B3F"/>
    <w:rsid w:val="00F85F30"/>
    <w:rsid w:val="00F85F56"/>
    <w:rsid w:val="00F86EF2"/>
    <w:rsid w:val="00F8762F"/>
    <w:rsid w:val="00F87C66"/>
    <w:rsid w:val="00F87F1F"/>
    <w:rsid w:val="00F90735"/>
    <w:rsid w:val="00F90EC2"/>
    <w:rsid w:val="00F9115D"/>
    <w:rsid w:val="00F92067"/>
    <w:rsid w:val="00F9327B"/>
    <w:rsid w:val="00F94417"/>
    <w:rsid w:val="00F9454A"/>
    <w:rsid w:val="00F950DD"/>
    <w:rsid w:val="00F95770"/>
    <w:rsid w:val="00F95D5F"/>
    <w:rsid w:val="00F96BDD"/>
    <w:rsid w:val="00F97572"/>
    <w:rsid w:val="00FA06D5"/>
    <w:rsid w:val="00FA1D74"/>
    <w:rsid w:val="00FA1F06"/>
    <w:rsid w:val="00FA2667"/>
    <w:rsid w:val="00FA2C85"/>
    <w:rsid w:val="00FA2FE8"/>
    <w:rsid w:val="00FA3376"/>
    <w:rsid w:val="00FA3607"/>
    <w:rsid w:val="00FA54E5"/>
    <w:rsid w:val="00FA6CD0"/>
    <w:rsid w:val="00FA7748"/>
    <w:rsid w:val="00FB091E"/>
    <w:rsid w:val="00FB10CB"/>
    <w:rsid w:val="00FB17B5"/>
    <w:rsid w:val="00FB2BCA"/>
    <w:rsid w:val="00FB3099"/>
    <w:rsid w:val="00FB36D4"/>
    <w:rsid w:val="00FB387B"/>
    <w:rsid w:val="00FB53AC"/>
    <w:rsid w:val="00FB575E"/>
    <w:rsid w:val="00FB5CE8"/>
    <w:rsid w:val="00FB6359"/>
    <w:rsid w:val="00FB6A6B"/>
    <w:rsid w:val="00FB7547"/>
    <w:rsid w:val="00FB76E3"/>
    <w:rsid w:val="00FC0186"/>
    <w:rsid w:val="00FC0198"/>
    <w:rsid w:val="00FC0F78"/>
    <w:rsid w:val="00FC182F"/>
    <w:rsid w:val="00FC2BF8"/>
    <w:rsid w:val="00FC3C09"/>
    <w:rsid w:val="00FC4242"/>
    <w:rsid w:val="00FC4275"/>
    <w:rsid w:val="00FC4BD5"/>
    <w:rsid w:val="00FC5417"/>
    <w:rsid w:val="00FC55DB"/>
    <w:rsid w:val="00FC589B"/>
    <w:rsid w:val="00FC62CC"/>
    <w:rsid w:val="00FC64C0"/>
    <w:rsid w:val="00FC6A59"/>
    <w:rsid w:val="00FD06EC"/>
    <w:rsid w:val="00FD15DC"/>
    <w:rsid w:val="00FD15FB"/>
    <w:rsid w:val="00FD1948"/>
    <w:rsid w:val="00FD1C4F"/>
    <w:rsid w:val="00FD2030"/>
    <w:rsid w:val="00FD227A"/>
    <w:rsid w:val="00FD250E"/>
    <w:rsid w:val="00FD2676"/>
    <w:rsid w:val="00FD2715"/>
    <w:rsid w:val="00FD3E54"/>
    <w:rsid w:val="00FD3FA1"/>
    <w:rsid w:val="00FD4475"/>
    <w:rsid w:val="00FD4537"/>
    <w:rsid w:val="00FD503F"/>
    <w:rsid w:val="00FD50E4"/>
    <w:rsid w:val="00FD5194"/>
    <w:rsid w:val="00FD5326"/>
    <w:rsid w:val="00FD57C1"/>
    <w:rsid w:val="00FD59EF"/>
    <w:rsid w:val="00FD5C85"/>
    <w:rsid w:val="00FD5F84"/>
    <w:rsid w:val="00FD5FD8"/>
    <w:rsid w:val="00FD6933"/>
    <w:rsid w:val="00FD71ED"/>
    <w:rsid w:val="00FE0521"/>
    <w:rsid w:val="00FE09B3"/>
    <w:rsid w:val="00FE0A48"/>
    <w:rsid w:val="00FE1C24"/>
    <w:rsid w:val="00FE1F90"/>
    <w:rsid w:val="00FE3D63"/>
    <w:rsid w:val="00FE41FF"/>
    <w:rsid w:val="00FE4798"/>
    <w:rsid w:val="00FE574C"/>
    <w:rsid w:val="00FE59FB"/>
    <w:rsid w:val="00FE6166"/>
    <w:rsid w:val="00FF0122"/>
    <w:rsid w:val="00FF06F9"/>
    <w:rsid w:val="00FF0D03"/>
    <w:rsid w:val="00FF1BC4"/>
    <w:rsid w:val="00FF2596"/>
    <w:rsid w:val="00FF27EC"/>
    <w:rsid w:val="00FF2F6B"/>
    <w:rsid w:val="00FF4663"/>
    <w:rsid w:val="00FF477C"/>
    <w:rsid w:val="00FF53F9"/>
    <w:rsid w:val="00FF5A5A"/>
    <w:rsid w:val="00FF5C6B"/>
    <w:rsid w:val="00FF5D56"/>
    <w:rsid w:val="00FF725C"/>
    <w:rsid w:val="00FF75A4"/>
    <w:rsid w:val="00FF7FD1"/>
    <w:rsid w:val="0FCC2C36"/>
    <w:rsid w:val="1C12B372"/>
    <w:rsid w:val="21A6EC9D"/>
    <w:rsid w:val="23DD6572"/>
    <w:rsid w:val="2714FE91"/>
    <w:rsid w:val="3463BD03"/>
    <w:rsid w:val="415CE6A2"/>
    <w:rsid w:val="63334811"/>
    <w:rsid w:val="6ACB3158"/>
    <w:rsid w:val="71FE841F"/>
    <w:rsid w:val="7ACACC1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8656E2"/>
  <w15:docId w15:val="{1417DBDA-BA66-4B27-A1FA-B97DCC8D8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3FB"/>
    <w:rPr>
      <w:lang w:val="en"/>
    </w:rPr>
  </w:style>
  <w:style w:type="paragraph" w:styleId="Heading1">
    <w:name w:val="heading 1"/>
    <w:basedOn w:val="Normal"/>
    <w:next w:val="Normal"/>
    <w:link w:val="Heading1Char"/>
    <w:uiPriority w:val="9"/>
    <w:qFormat/>
    <w:rsid w:val="00597283"/>
    <w:pPr>
      <w:spacing w:before="120" w:after="120" w:line="240" w:lineRule="auto"/>
      <w:contextualSpacing/>
      <w:outlineLvl w:val="0"/>
    </w:pPr>
    <w:rPr>
      <w:rFonts w:ascii="Calibri" w:eastAsia="Times New Roman" w:hAnsi="Calibri" w:cstheme="majorBidi"/>
      <w:noProof/>
      <w:color w:val="1D4289"/>
      <w:sz w:val="48"/>
      <w:szCs w:val="48"/>
      <w:lang w:val="en-AU"/>
    </w:rPr>
  </w:style>
  <w:style w:type="paragraph" w:styleId="Heading2">
    <w:name w:val="heading 2"/>
    <w:basedOn w:val="Normal"/>
    <w:next w:val="Normal"/>
    <w:link w:val="Heading2Char"/>
    <w:uiPriority w:val="9"/>
    <w:unhideWhenUsed/>
    <w:qFormat/>
    <w:rsid w:val="007B0390"/>
    <w:pPr>
      <w:spacing w:before="200" w:after="0"/>
      <w:outlineLvl w:val="1"/>
    </w:pPr>
    <w:rPr>
      <w:rFonts w:ascii="Calibri" w:eastAsiaTheme="majorEastAsia" w:hAnsi="Calibri" w:cstheme="majorBidi"/>
      <w:b/>
      <w:bCs/>
      <w:color w:val="646363"/>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597283"/>
    <w:rPr>
      <w:rFonts w:ascii="Calibri" w:eastAsia="Times New Roman" w:hAnsi="Calibri" w:cstheme="majorBidi"/>
      <w:noProof/>
      <w:color w:val="1D4289"/>
      <w:sz w:val="48"/>
      <w:szCs w:val="48"/>
    </w:rPr>
  </w:style>
  <w:style w:type="character" w:customStyle="1" w:styleId="Heading2Char">
    <w:name w:val="Heading 2 Char"/>
    <w:basedOn w:val="DefaultParagraphFont"/>
    <w:link w:val="Heading2"/>
    <w:uiPriority w:val="9"/>
    <w:rsid w:val="007B0390"/>
    <w:rPr>
      <w:rFonts w:ascii="Calibri" w:eastAsiaTheme="majorEastAsia" w:hAnsi="Calibri" w:cstheme="majorBidi"/>
      <w:b/>
      <w:bCs/>
      <w:color w:val="646363"/>
      <w:sz w:val="28"/>
      <w:szCs w:val="26"/>
      <w:lang w:val="en"/>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861A6"/>
    <w:pPr>
      <w:spacing w:after="120" w:line="240" w:lineRule="auto"/>
      <w:contextualSpacing/>
    </w:pPr>
    <w:rPr>
      <w:rFonts w:ascii="Calibri" w:eastAsiaTheme="majorEastAsia" w:hAnsi="Calibri" w:cstheme="majorBidi"/>
      <w:b/>
      <w:spacing w:val="5"/>
      <w:sz w:val="56"/>
      <w:szCs w:val="52"/>
    </w:rPr>
  </w:style>
  <w:style w:type="character" w:customStyle="1" w:styleId="TitleChar">
    <w:name w:val="Title Char"/>
    <w:basedOn w:val="DefaultParagraphFont"/>
    <w:link w:val="Title"/>
    <w:uiPriority w:val="10"/>
    <w:rsid w:val="000861A6"/>
    <w:rPr>
      <w:rFonts w:ascii="Calibri" w:eastAsiaTheme="majorEastAsia" w:hAnsi="Calibri" w:cstheme="majorBidi"/>
      <w:b/>
      <w:spacing w:val="5"/>
      <w:sz w:val="56"/>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aliases w:val="Recommendation,Bullet Point,List Paragraph1,List Paragraph11,L,Bullet points,Content descriptions,Body Bullets 1,Bullet point,0Bullet,Bulletr List Paragraph,FooterText,Indented bullet,List Paragraph Number,List Paragraph2,List Paragraph21"/>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
      </w:numPr>
      <w:spacing w:after="120"/>
      <w:ind w:left="369" w:hanging="369"/>
      <w:contextualSpacing/>
    </w:pPr>
  </w:style>
  <w:style w:type="paragraph" w:styleId="ListNumber2">
    <w:name w:val="List Number 2"/>
    <w:basedOn w:val="Normal"/>
    <w:uiPriority w:val="99"/>
    <w:unhideWhenUsed/>
    <w:rsid w:val="00985632"/>
    <w:pPr>
      <w:numPr>
        <w:ilvl w:val="1"/>
        <w:numId w:val="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
      </w:numPr>
      <w:spacing w:after="120"/>
      <w:ind w:left="1701" w:hanging="765"/>
      <w:contextualSpacing/>
    </w:pPr>
  </w:style>
  <w:style w:type="paragraph" w:styleId="ListNumber4">
    <w:name w:val="List Number 4"/>
    <w:basedOn w:val="Normal"/>
    <w:uiPriority w:val="99"/>
    <w:unhideWhenUsed/>
    <w:rsid w:val="00406E5A"/>
    <w:pPr>
      <w:numPr>
        <w:ilvl w:val="3"/>
        <w:numId w:val="1"/>
      </w:numPr>
      <w:spacing w:after="120"/>
      <w:ind w:left="2637" w:hanging="936"/>
      <w:contextualSpacing/>
    </w:pPr>
  </w:style>
  <w:style w:type="paragraph" w:styleId="ListBullet">
    <w:name w:val="List Bullet"/>
    <w:basedOn w:val="Normal"/>
    <w:uiPriority w:val="99"/>
    <w:unhideWhenUsed/>
    <w:qFormat/>
    <w:rsid w:val="00CA46EC"/>
    <w:pPr>
      <w:numPr>
        <w:numId w:val="2"/>
      </w:numPr>
      <w:spacing w:after="120"/>
      <w:ind w:left="369" w:hanging="369"/>
      <w:contextualSpacing/>
    </w:pPr>
  </w:style>
  <w:style w:type="paragraph" w:styleId="ListBullet2">
    <w:name w:val="List Bullet 2"/>
    <w:basedOn w:val="Normal"/>
    <w:uiPriority w:val="99"/>
    <w:unhideWhenUsed/>
    <w:qFormat/>
    <w:rsid w:val="00CA46EC"/>
    <w:pPr>
      <w:numPr>
        <w:ilvl w:val="1"/>
        <w:numId w:val="2"/>
      </w:numPr>
      <w:spacing w:after="120"/>
      <w:ind w:left="766" w:hanging="369"/>
      <w:contextualSpacing/>
    </w:pPr>
  </w:style>
  <w:style w:type="paragraph" w:styleId="ListBullet3">
    <w:name w:val="List Bullet 3"/>
    <w:basedOn w:val="Normal"/>
    <w:uiPriority w:val="99"/>
    <w:unhideWhenUsed/>
    <w:qFormat/>
    <w:rsid w:val="00CA46EC"/>
    <w:pPr>
      <w:numPr>
        <w:ilvl w:val="2"/>
        <w:numId w:val="2"/>
      </w:numPr>
      <w:spacing w:after="120"/>
      <w:ind w:left="1163" w:hanging="369"/>
      <w:contextualSpacing/>
    </w:pPr>
  </w:style>
  <w:style w:type="paragraph" w:styleId="ListBullet4">
    <w:name w:val="List Bullet 4"/>
    <w:basedOn w:val="Normal"/>
    <w:uiPriority w:val="99"/>
    <w:unhideWhenUsed/>
    <w:qFormat/>
    <w:rsid w:val="00CA46EC"/>
    <w:pPr>
      <w:numPr>
        <w:ilvl w:val="3"/>
        <w:numId w:val="2"/>
      </w:numPr>
      <w:spacing w:after="120"/>
      <w:ind w:left="1503" w:hanging="369"/>
      <w:contextualSpacing/>
    </w:pPr>
  </w:style>
  <w:style w:type="table" w:styleId="TableGrid">
    <w:name w:val="Table Grid"/>
    <w:aliases w:val="NRSB Table"/>
    <w:basedOn w:val="TableNormal"/>
    <w:uiPriority w:val="3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3D67FC"/>
    <w:pPr>
      <w:spacing w:after="0" w:line="240" w:lineRule="auto"/>
    </w:pPr>
    <w:rPr>
      <w:color w:val="000000" w:themeColor="text1"/>
      <w:sz w:val="20"/>
    </w:rPr>
    <w:tblPr>
      <w:tblStyleRowBandSize w:val="1"/>
      <w:tblBorders>
        <w:bottom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uiPriority w:val="1"/>
    <w:qFormat/>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uiPriority w:val="1"/>
    <w:rsid w:val="00130923"/>
    <w:rPr>
      <w:rFonts w:eastAsia="Times New Roman" w:cs="Times New Roman"/>
      <w:szCs w:val="24"/>
      <w:lang w:eastAsia="en-AU"/>
    </w:rPr>
  </w:style>
  <w:style w:type="paragraph" w:customStyle="1" w:styleId="numberedpara">
    <w:name w:val="numbered para"/>
    <w:basedOn w:val="Normal"/>
    <w:rsid w:val="00130923"/>
    <w:pPr>
      <w:numPr>
        <w:numId w:val="3"/>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BA134D"/>
    <w:pPr>
      <w:tabs>
        <w:tab w:val="right" w:leader="dot" w:pos="9016"/>
      </w:tabs>
      <w:spacing w:after="100"/>
    </w:pPr>
    <w:rPr>
      <w:rFonts w:eastAsiaTheme="majorEastAsia"/>
      <w:bCs/>
      <w:noProof/>
    </w:r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16"/>
    <w:unhideWhenUsed/>
    <w:qFormat/>
    <w:rsid w:val="00B2722A"/>
    <w:rPr>
      <w:i w:val="0"/>
    </w:rPr>
  </w:style>
  <w:style w:type="paragraph" w:customStyle="1" w:styleId="Source">
    <w:name w:val="Source"/>
    <w:basedOn w:val="Normal"/>
    <w:uiPriority w:val="17"/>
    <w:qFormat/>
    <w:rsid w:val="007B0390"/>
    <w:rPr>
      <w:rFonts w:cstheme="minorHAnsi"/>
      <w:bCs/>
      <w:sz w:val="16"/>
      <w:szCs w:val="16"/>
    </w:rPr>
  </w:style>
  <w:style w:type="paragraph" w:customStyle="1" w:styleId="IntroText">
    <w:name w:val="Intro Text"/>
    <w:basedOn w:val="Normal"/>
    <w:qFormat/>
    <w:rsid w:val="00E62B11"/>
    <w:rPr>
      <w:sz w:val="28"/>
    </w:rPr>
  </w:style>
  <w:style w:type="character" w:styleId="CommentReference">
    <w:name w:val="annotation reference"/>
    <w:basedOn w:val="DefaultParagraphFont"/>
    <w:uiPriority w:val="99"/>
    <w:semiHidden/>
    <w:unhideWhenUsed/>
    <w:rsid w:val="00F94417"/>
    <w:rPr>
      <w:sz w:val="16"/>
      <w:szCs w:val="16"/>
    </w:rPr>
  </w:style>
  <w:style w:type="paragraph" w:styleId="CommentText">
    <w:name w:val="annotation text"/>
    <w:basedOn w:val="Normal"/>
    <w:link w:val="CommentTextChar"/>
    <w:uiPriority w:val="99"/>
    <w:unhideWhenUsed/>
    <w:rsid w:val="00F94417"/>
    <w:pPr>
      <w:spacing w:line="240" w:lineRule="auto"/>
    </w:pPr>
    <w:rPr>
      <w:sz w:val="20"/>
      <w:szCs w:val="20"/>
    </w:rPr>
  </w:style>
  <w:style w:type="character" w:customStyle="1" w:styleId="CommentTextChar">
    <w:name w:val="Comment Text Char"/>
    <w:basedOn w:val="DefaultParagraphFont"/>
    <w:link w:val="CommentText"/>
    <w:uiPriority w:val="99"/>
    <w:rsid w:val="00F94417"/>
    <w:rPr>
      <w:sz w:val="20"/>
      <w:szCs w:val="20"/>
    </w:rPr>
  </w:style>
  <w:style w:type="paragraph" w:styleId="CommentSubject">
    <w:name w:val="annotation subject"/>
    <w:basedOn w:val="CommentText"/>
    <w:next w:val="CommentText"/>
    <w:link w:val="CommentSubjectChar"/>
    <w:uiPriority w:val="99"/>
    <w:semiHidden/>
    <w:unhideWhenUsed/>
    <w:rsid w:val="00F94417"/>
    <w:rPr>
      <w:b/>
      <w:bCs/>
    </w:rPr>
  </w:style>
  <w:style w:type="character" w:customStyle="1" w:styleId="CommentSubjectChar">
    <w:name w:val="Comment Subject Char"/>
    <w:basedOn w:val="CommentTextChar"/>
    <w:link w:val="CommentSubject"/>
    <w:uiPriority w:val="99"/>
    <w:semiHidden/>
    <w:rsid w:val="00F94417"/>
    <w:rPr>
      <w:b/>
      <w:bCs/>
      <w:sz w:val="20"/>
      <w:szCs w:val="20"/>
    </w:rPr>
  </w:style>
  <w:style w:type="character" w:styleId="FollowedHyperlink">
    <w:name w:val="FollowedHyperlink"/>
    <w:basedOn w:val="DefaultParagraphFont"/>
    <w:uiPriority w:val="99"/>
    <w:semiHidden/>
    <w:unhideWhenUsed/>
    <w:rsid w:val="00942A55"/>
    <w:rPr>
      <w:color w:val="000000" w:themeColor="followedHyperlink"/>
      <w:u w:val="single"/>
    </w:rPr>
  </w:style>
  <w:style w:type="character" w:styleId="UnresolvedMention">
    <w:name w:val="Unresolved Mention"/>
    <w:basedOn w:val="DefaultParagraphFont"/>
    <w:uiPriority w:val="99"/>
    <w:semiHidden/>
    <w:unhideWhenUsed/>
    <w:rsid w:val="00811BB5"/>
    <w:rPr>
      <w:color w:val="605E5C"/>
      <w:shd w:val="clear" w:color="auto" w:fill="E1DFDD"/>
    </w:rPr>
  </w:style>
  <w:style w:type="paragraph" w:styleId="Index1">
    <w:name w:val="index 1"/>
    <w:basedOn w:val="Normal"/>
    <w:next w:val="Normal"/>
    <w:autoRedefine/>
    <w:uiPriority w:val="99"/>
    <w:unhideWhenUsed/>
    <w:rsid w:val="00715B5D"/>
    <w:pPr>
      <w:spacing w:after="0" w:line="240" w:lineRule="auto"/>
      <w:ind w:left="220" w:hanging="220"/>
    </w:pPr>
  </w:style>
  <w:style w:type="paragraph" w:styleId="PlainText">
    <w:name w:val="Plain Text"/>
    <w:basedOn w:val="Normal"/>
    <w:link w:val="PlainTextChar"/>
    <w:uiPriority w:val="99"/>
    <w:unhideWhenUsed/>
    <w:rsid w:val="00715B5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15B5D"/>
    <w:rPr>
      <w:rFonts w:ascii="Consolas" w:hAnsi="Consolas"/>
      <w:sz w:val="21"/>
      <w:szCs w:val="21"/>
    </w:rPr>
  </w:style>
  <w:style w:type="paragraph" w:styleId="FootnoteText">
    <w:name w:val="footnote text"/>
    <w:basedOn w:val="Normal"/>
    <w:link w:val="FootnoteTextChar"/>
    <w:uiPriority w:val="99"/>
    <w:qFormat/>
    <w:rsid w:val="009B7CDA"/>
    <w:pPr>
      <w:spacing w:before="120" w:after="120" w:line="240" w:lineRule="auto"/>
    </w:pPr>
    <w:rPr>
      <w:rFonts w:ascii="Calibri" w:eastAsiaTheme="minorHAnsi" w:hAnsi="Calibri"/>
      <w:sz w:val="18"/>
      <w:szCs w:val="20"/>
      <w:lang w:val="en-AU"/>
    </w:rPr>
  </w:style>
  <w:style w:type="character" w:customStyle="1" w:styleId="FootnoteTextChar">
    <w:name w:val="Footnote Text Char"/>
    <w:basedOn w:val="DefaultParagraphFont"/>
    <w:link w:val="FootnoteText"/>
    <w:uiPriority w:val="99"/>
    <w:rsid w:val="009B7CDA"/>
    <w:rPr>
      <w:rFonts w:ascii="Calibri" w:eastAsiaTheme="minorHAnsi" w:hAnsi="Calibri"/>
      <w:sz w:val="18"/>
      <w:szCs w:val="20"/>
    </w:rPr>
  </w:style>
  <w:style w:type="character" w:styleId="FootnoteReference">
    <w:name w:val="footnote reference"/>
    <w:basedOn w:val="DefaultParagraphFont"/>
    <w:uiPriority w:val="99"/>
    <w:unhideWhenUsed/>
    <w:rsid w:val="009B7CDA"/>
    <w:rPr>
      <w:vertAlign w:val="superscript"/>
    </w:rPr>
  </w:style>
  <w:style w:type="paragraph" w:customStyle="1" w:styleId="Normal-Centred">
    <w:name w:val="Normal - Centred"/>
    <w:basedOn w:val="Normal"/>
    <w:qFormat/>
    <w:rsid w:val="009B7CDA"/>
    <w:pPr>
      <w:spacing w:before="120" w:after="120" w:line="240" w:lineRule="auto"/>
      <w:jc w:val="center"/>
    </w:pPr>
    <w:rPr>
      <w:rFonts w:ascii="Calibri" w:eastAsiaTheme="minorHAnsi" w:hAnsi="Calibri"/>
      <w:lang w:val="en-AU"/>
    </w:rPr>
  </w:style>
  <w:style w:type="paragraph" w:customStyle="1" w:styleId="Normal-AfterTableFigure">
    <w:name w:val="Normal - After Table/Figure"/>
    <w:basedOn w:val="Normal"/>
    <w:qFormat/>
    <w:rsid w:val="009B7CDA"/>
    <w:pPr>
      <w:spacing w:before="240" w:after="120" w:line="259" w:lineRule="auto"/>
    </w:pPr>
    <w:rPr>
      <w:rFonts w:ascii="Calibri" w:eastAsiaTheme="minorHAnsi" w:hAnsi="Calibri"/>
      <w:lang w:val="en-AU"/>
    </w:rPr>
  </w:style>
  <w:style w:type="table" w:customStyle="1" w:styleId="NRSBTable1">
    <w:name w:val="NRSB Table1"/>
    <w:basedOn w:val="TableNormal"/>
    <w:next w:val="TableGrid"/>
    <w:rsid w:val="003273FB"/>
    <w:pPr>
      <w:spacing w:after="40" w:line="240" w:lineRule="auto"/>
    </w:pPr>
    <w:rPr>
      <w:rFonts w:ascii="Calibri" w:eastAsia="Calibri" w:hAnsi="Calibri" w:cs="Times New Roman"/>
    </w:rPr>
    <w:tblPr>
      <w:tblStyleRowBandSize w:val="1"/>
      <w:tblInd w:w="0" w:type="nil"/>
      <w:tblCellMar>
        <w:top w:w="45" w:type="dxa"/>
      </w:tblCellMar>
    </w:tblPr>
    <w:tcPr>
      <w:vAlign w:val="center"/>
    </w:tcPr>
    <w:tblStylePr w:type="firstRow">
      <w:pPr>
        <w:jc w:val="left"/>
      </w:pPr>
      <w:rPr>
        <w:rFonts w:ascii="Calibri" w:hAnsi="Calibri" w:cs="Calibri" w:hint="default"/>
        <w:b/>
        <w:color w:val="FFFFFF"/>
        <w:sz w:val="24"/>
        <w:szCs w:val="24"/>
      </w:rPr>
      <w:tblPr/>
      <w:tcPr>
        <w:shd w:val="clear" w:color="auto" w:fill="0F294C"/>
      </w:tcPr>
    </w:tblStylePr>
    <w:tblStylePr w:type="lastRow">
      <w:tblPr/>
      <w:tcPr>
        <w:tcBorders>
          <w:bottom w:val="single" w:sz="4" w:space="0" w:color="0F294C"/>
        </w:tcBorders>
      </w:tcPr>
    </w:tblStylePr>
    <w:tblStylePr w:type="band1Horz">
      <w:tblPr/>
      <w:tcPr>
        <w:shd w:val="clear" w:color="auto" w:fill="D7E0F1"/>
      </w:tcPr>
    </w:tblStylePr>
  </w:style>
  <w:style w:type="table" w:customStyle="1" w:styleId="PullOutBox11">
    <w:name w:val="Pull Out Box 11"/>
    <w:basedOn w:val="TableNormal"/>
    <w:uiPriority w:val="99"/>
    <w:rsid w:val="003273FB"/>
    <w:pPr>
      <w:spacing w:before="120" w:after="0" w:line="240" w:lineRule="auto"/>
    </w:pPr>
    <w:rPr>
      <w:rFonts w:ascii="Calibri" w:eastAsia="Calibri" w:hAnsi="Calibri" w:cs="Times New Roman"/>
    </w:rPr>
    <w:tblPr>
      <w:tblInd w:w="0" w:type="nil"/>
    </w:tblPr>
    <w:tcPr>
      <w:shd w:val="clear" w:color="auto" w:fill="E3E8F4"/>
    </w:tcPr>
  </w:style>
  <w:style w:type="table" w:customStyle="1" w:styleId="PullOutBox1">
    <w:name w:val="Pull Out Box 1"/>
    <w:basedOn w:val="TableNormal"/>
    <w:uiPriority w:val="99"/>
    <w:rsid w:val="009B7CDA"/>
    <w:pPr>
      <w:spacing w:before="120" w:after="0" w:line="240" w:lineRule="auto"/>
    </w:pPr>
    <w:rPr>
      <w:rFonts w:eastAsiaTheme="minorHAnsi"/>
    </w:rPr>
    <w:tblPr/>
    <w:tcPr>
      <w:shd w:val="clear" w:color="auto" w:fill="E3E8F4"/>
    </w:tcPr>
  </w:style>
  <w:style w:type="paragraph" w:customStyle="1" w:styleId="BoxHeading-Finding">
    <w:name w:val="Box Heading - Finding"/>
    <w:basedOn w:val="Normal"/>
    <w:autoRedefine/>
    <w:rsid w:val="009B7CDA"/>
    <w:pPr>
      <w:keepNext/>
      <w:keepLines/>
      <w:spacing w:before="120" w:after="40" w:line="240" w:lineRule="auto"/>
    </w:pPr>
    <w:rPr>
      <w:rFonts w:ascii="Calibri" w:eastAsiaTheme="majorEastAsia" w:hAnsi="Calibri" w:cstheme="majorBidi"/>
      <w:b/>
      <w:color w:val="000000" w:themeColor="text1"/>
      <w:sz w:val="26"/>
      <w:szCs w:val="26"/>
      <w:lang w:val="en-AU"/>
    </w:rPr>
  </w:style>
  <w:style w:type="paragraph" w:customStyle="1" w:styleId="BoxHeading-Recommendation">
    <w:name w:val="Box Heading - Recommendation"/>
    <w:qFormat/>
    <w:rsid w:val="009B7CDA"/>
    <w:pPr>
      <w:numPr>
        <w:numId w:val="4"/>
      </w:numPr>
      <w:spacing w:before="120" w:after="0" w:line="240" w:lineRule="auto"/>
    </w:pPr>
    <w:rPr>
      <w:rFonts w:ascii="Calibri" w:eastAsiaTheme="majorEastAsia" w:hAnsi="Calibri" w:cstheme="majorBidi"/>
      <w:b/>
      <w:color w:val="000000" w:themeColor="text1"/>
      <w:sz w:val="26"/>
      <w:szCs w:val="26"/>
    </w:rPr>
  </w:style>
  <w:style w:type="paragraph" w:customStyle="1" w:styleId="Notes">
    <w:name w:val="Notes"/>
    <w:basedOn w:val="Source"/>
    <w:qFormat/>
    <w:rsid w:val="009B7CDA"/>
    <w:pPr>
      <w:pBdr>
        <w:bottom w:val="single" w:sz="4" w:space="6" w:color="auto"/>
      </w:pBdr>
      <w:tabs>
        <w:tab w:val="left" w:pos="590"/>
      </w:tabs>
      <w:spacing w:before="120" w:after="120" w:line="259" w:lineRule="auto"/>
      <w:ind w:left="590" w:hanging="590"/>
    </w:pPr>
    <w:rPr>
      <w:rFonts w:ascii="Calibri" w:eastAsiaTheme="minorHAnsi" w:hAnsi="Calibri" w:cstheme="minorBidi"/>
      <w:b/>
      <w:sz w:val="18"/>
      <w:szCs w:val="22"/>
      <w:lang w:val="en-AU"/>
    </w:rPr>
  </w:style>
  <w:style w:type="table" w:customStyle="1" w:styleId="PullOutBox32">
    <w:name w:val="Pull Out Box 32"/>
    <w:basedOn w:val="TableNormal"/>
    <w:uiPriority w:val="99"/>
    <w:rsid w:val="009B7CDA"/>
    <w:pPr>
      <w:spacing w:after="0" w:line="240" w:lineRule="auto"/>
    </w:pPr>
    <w:rPr>
      <w:rFonts w:eastAsiaTheme="minorHAnsi"/>
    </w:rPr>
    <w:tblPr/>
    <w:tcPr>
      <w:shd w:val="clear" w:color="auto" w:fill="ECECEC"/>
    </w:tcPr>
  </w:style>
  <w:style w:type="table" w:customStyle="1" w:styleId="PullOutBox22">
    <w:name w:val="Pull Out Box 22"/>
    <w:basedOn w:val="TableNormal"/>
    <w:uiPriority w:val="99"/>
    <w:rsid w:val="009B7CDA"/>
    <w:pPr>
      <w:spacing w:after="0" w:line="240" w:lineRule="auto"/>
    </w:pPr>
    <w:rPr>
      <w:rFonts w:eastAsiaTheme="minorHAnsi"/>
    </w:rPr>
    <w:tblPr/>
    <w:tcPr>
      <w:shd w:val="clear" w:color="auto" w:fill="F8E7DC"/>
    </w:tcPr>
  </w:style>
  <w:style w:type="paragraph" w:customStyle="1" w:styleId="ListBullet2-Pulloutbox">
    <w:name w:val="List Bullet 2 - Pullout box"/>
    <w:basedOn w:val="ListBullet2"/>
    <w:qFormat/>
    <w:rsid w:val="009B7CDA"/>
    <w:pPr>
      <w:numPr>
        <w:ilvl w:val="0"/>
        <w:numId w:val="0"/>
      </w:numPr>
      <w:tabs>
        <w:tab w:val="left" w:pos="567"/>
      </w:tabs>
      <w:spacing w:after="160" w:line="240" w:lineRule="auto"/>
      <w:ind w:left="568" w:hanging="284"/>
    </w:pPr>
    <w:rPr>
      <w:rFonts w:ascii="Calibri" w:eastAsiaTheme="minorHAnsi" w:hAnsi="Calibri"/>
      <w:lang w:val="en-AU"/>
    </w:rPr>
  </w:style>
  <w:style w:type="paragraph" w:customStyle="1" w:styleId="BoxHeading-Box">
    <w:name w:val="Box Heading - Box"/>
    <w:basedOn w:val="BoxHeading-Finding"/>
    <w:qFormat/>
    <w:rsid w:val="009B7CDA"/>
  </w:style>
  <w:style w:type="paragraph" w:customStyle="1" w:styleId="Normal-Pulloutboxlast">
    <w:name w:val="Normal - Pullout box last"/>
    <w:basedOn w:val="Normal"/>
    <w:qFormat/>
    <w:rsid w:val="009B7CDA"/>
    <w:pPr>
      <w:spacing w:before="120" w:after="160" w:line="240" w:lineRule="auto"/>
    </w:pPr>
    <w:rPr>
      <w:rFonts w:ascii="Calibri" w:eastAsiaTheme="minorHAnsi" w:hAnsi="Calibri"/>
      <w:lang w:val="en-AU"/>
    </w:rPr>
  </w:style>
  <w:style w:type="paragraph" w:customStyle="1" w:styleId="ListBullet-Pulloutbox">
    <w:name w:val="List Bullet - Pullout box"/>
    <w:basedOn w:val="ListBullet"/>
    <w:qFormat/>
    <w:rsid w:val="009B7CDA"/>
    <w:pPr>
      <w:tabs>
        <w:tab w:val="num" w:pos="284"/>
      </w:tabs>
      <w:spacing w:before="120" w:after="160" w:line="240" w:lineRule="auto"/>
      <w:ind w:left="284" w:hanging="284"/>
    </w:pPr>
    <w:rPr>
      <w:rFonts w:ascii="Calibri" w:eastAsiaTheme="minorHAnsi" w:hAnsi="Calibri"/>
      <w:noProof/>
      <w:lang w:val="en-AU"/>
    </w:rPr>
  </w:style>
  <w:style w:type="table" w:customStyle="1" w:styleId="PullOutBox321">
    <w:name w:val="Pull Out Box 321"/>
    <w:basedOn w:val="TableNormal"/>
    <w:uiPriority w:val="99"/>
    <w:rsid w:val="003273FB"/>
    <w:pPr>
      <w:spacing w:after="0" w:line="240" w:lineRule="auto"/>
    </w:pPr>
    <w:rPr>
      <w:rFonts w:ascii="Calibri" w:eastAsia="Calibri" w:hAnsi="Calibri" w:cs="Times New Roman"/>
    </w:rPr>
    <w:tblPr>
      <w:tblInd w:w="0" w:type="nil"/>
    </w:tblPr>
    <w:tcPr>
      <w:shd w:val="clear" w:color="auto" w:fill="ECECEC"/>
    </w:tcPr>
  </w:style>
  <w:style w:type="table" w:customStyle="1" w:styleId="PullOutBox221">
    <w:name w:val="Pull Out Box 221"/>
    <w:basedOn w:val="TableNormal"/>
    <w:uiPriority w:val="99"/>
    <w:rsid w:val="003273FB"/>
    <w:pPr>
      <w:spacing w:after="0" w:line="240" w:lineRule="auto"/>
    </w:pPr>
    <w:rPr>
      <w:rFonts w:ascii="Calibri" w:eastAsia="Calibri" w:hAnsi="Calibri" w:cs="Times New Roman"/>
    </w:rPr>
    <w:tblPr>
      <w:tblInd w:w="0" w:type="nil"/>
    </w:tblPr>
    <w:tcPr>
      <w:shd w:val="clear" w:color="auto" w:fill="F8E7DC"/>
    </w:tcPr>
  </w:style>
  <w:style w:type="paragraph" w:customStyle="1" w:styleId="Tableheader">
    <w:name w:val="Table header"/>
    <w:basedOn w:val="Normal"/>
    <w:qFormat/>
    <w:rsid w:val="003273FB"/>
    <w:pPr>
      <w:spacing w:before="120" w:after="40" w:line="240" w:lineRule="auto"/>
    </w:pPr>
    <w:rPr>
      <w:rFonts w:ascii="Calibri" w:eastAsia="Calibri" w:hAnsi="Calibri" w:cs="Times New Roman"/>
      <w:b/>
      <w:color w:val="FFFFFF"/>
      <w:sz w:val="24"/>
      <w:szCs w:val="24"/>
      <w:lang w:val="en-AU"/>
    </w:rPr>
  </w:style>
  <w:style w:type="paragraph" w:customStyle="1" w:styleId="TableBody">
    <w:name w:val="Table Body"/>
    <w:basedOn w:val="Normal"/>
    <w:qFormat/>
    <w:rsid w:val="003273FB"/>
    <w:pPr>
      <w:spacing w:before="120" w:after="40" w:line="240" w:lineRule="auto"/>
    </w:pPr>
    <w:rPr>
      <w:rFonts w:ascii="Calibri" w:eastAsia="Calibri" w:hAnsi="Calibri" w:cs="Times New Roman"/>
      <w:lang w:val="en-AU"/>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0Bullet Char,Bulletr List Paragraph Char,FooterText Char"/>
    <w:basedOn w:val="DefaultParagraphFont"/>
    <w:link w:val="ListParagraph"/>
    <w:uiPriority w:val="34"/>
    <w:qFormat/>
    <w:rsid w:val="00E307C4"/>
    <w:rPr>
      <w:lang w:val="en"/>
    </w:rPr>
  </w:style>
  <w:style w:type="table" w:customStyle="1" w:styleId="DESE">
    <w:name w:val="DESE"/>
    <w:basedOn w:val="TableNormal"/>
    <w:uiPriority w:val="99"/>
    <w:rsid w:val="00E307C4"/>
    <w:pPr>
      <w:spacing w:before="100" w:beforeAutospacing="1" w:after="100" w:afterAutospacing="1"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7F7F7F" w:themeColor="background1"/>
      </w:rPr>
      <w:tblPr/>
      <w:tcPr>
        <w:shd w:val="clear" w:color="auto" w:fill="165788" w:themeFill="text2"/>
      </w:tcPr>
    </w:tblStylePr>
    <w:tblStylePr w:type="firstCol">
      <w:rPr>
        <w:b w:val="0"/>
      </w:rPr>
    </w:tblStylePr>
    <w:tblStylePr w:type="nwCell">
      <w:rPr>
        <w:b w:val="0"/>
      </w:rPr>
    </w:tblStylePr>
  </w:style>
  <w:style w:type="character" w:styleId="PageNumber">
    <w:name w:val="page number"/>
    <w:basedOn w:val="DefaultParagraphFont"/>
    <w:uiPriority w:val="99"/>
    <w:semiHidden/>
    <w:unhideWhenUsed/>
    <w:rsid w:val="00E307C4"/>
  </w:style>
  <w:style w:type="character" w:customStyle="1" w:styleId="TitleChar1">
    <w:name w:val="Title Char1"/>
    <w:basedOn w:val="DefaultParagraphFont"/>
    <w:uiPriority w:val="10"/>
    <w:rsid w:val="00EF214C"/>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EF214C"/>
    <w:rPr>
      <w:color w:val="605E5C"/>
      <w:shd w:val="clear" w:color="auto" w:fill="E1DFDD"/>
    </w:rPr>
  </w:style>
  <w:style w:type="table" w:customStyle="1" w:styleId="TableGrid1">
    <w:name w:val="Table Grid1"/>
    <w:basedOn w:val="TableNormal"/>
    <w:next w:val="TableGrid"/>
    <w:uiPriority w:val="59"/>
    <w:rsid w:val="00EF214C"/>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EF214C"/>
    <w:pPr>
      <w:widowControl w:val="0"/>
      <w:autoSpaceDE w:val="0"/>
      <w:autoSpaceDN w:val="0"/>
      <w:spacing w:before="35" w:after="0" w:line="240" w:lineRule="auto"/>
      <w:jc w:val="right"/>
    </w:pPr>
    <w:rPr>
      <w:rFonts w:ascii="Arial" w:eastAsia="Arial" w:hAnsi="Arial" w:cs="Arial"/>
      <w:lang w:val="en-US"/>
    </w:rPr>
  </w:style>
  <w:style w:type="paragraph" w:styleId="NormalWeb">
    <w:name w:val="Normal (Web)"/>
    <w:basedOn w:val="Normal"/>
    <w:uiPriority w:val="99"/>
    <w:semiHidden/>
    <w:unhideWhenUsed/>
    <w:rsid w:val="00EF214C"/>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table" w:styleId="DarkList-Accent6">
    <w:name w:val="Dark List Accent 6"/>
    <w:basedOn w:val="TableNormal"/>
    <w:uiPriority w:val="70"/>
    <w:rsid w:val="00EF214C"/>
    <w:pPr>
      <w:spacing w:after="0" w:line="240" w:lineRule="auto"/>
    </w:pPr>
    <w:rPr>
      <w:rFonts w:eastAsiaTheme="minorHAnsi"/>
      <w:color w:val="7F7F7F" w:themeColor="background1"/>
    </w:rPr>
    <w:tblPr>
      <w:tblStyleRowBandSize w:val="1"/>
      <w:tblStyleColBandSize w:val="1"/>
    </w:tblPr>
    <w:tcPr>
      <w:shd w:val="clear" w:color="auto" w:fill="A75534" w:themeFill="accent6"/>
    </w:tcPr>
    <w:tblStylePr w:type="firstRow">
      <w:rPr>
        <w:b/>
        <w:bCs/>
      </w:rPr>
      <w:tblPr/>
      <w:tcPr>
        <w:tcBorders>
          <w:top w:val="nil"/>
          <w:left w:val="nil"/>
          <w:bottom w:val="single" w:sz="18" w:space="0" w:color="7F7F7F" w:themeColor="background1"/>
          <w:right w:val="nil"/>
          <w:insideH w:val="nil"/>
          <w:insideV w:val="nil"/>
        </w:tcBorders>
        <w:shd w:val="clear" w:color="auto" w:fill="000000" w:themeFill="text1"/>
      </w:tcPr>
    </w:tblStylePr>
    <w:tblStylePr w:type="lastRow">
      <w:tblPr/>
      <w:tcPr>
        <w:tcBorders>
          <w:top w:val="single" w:sz="18" w:space="0" w:color="7F7F7F" w:themeColor="background1"/>
          <w:left w:val="nil"/>
          <w:bottom w:val="nil"/>
          <w:right w:val="nil"/>
          <w:insideH w:val="nil"/>
          <w:insideV w:val="nil"/>
        </w:tcBorders>
        <w:shd w:val="clear" w:color="auto" w:fill="532A1A" w:themeFill="accent6" w:themeFillShade="7F"/>
      </w:tcPr>
    </w:tblStylePr>
    <w:tblStylePr w:type="firstCol">
      <w:tblPr/>
      <w:tcPr>
        <w:tcBorders>
          <w:top w:val="nil"/>
          <w:left w:val="nil"/>
          <w:bottom w:val="nil"/>
          <w:right w:val="single" w:sz="18" w:space="0" w:color="7F7F7F" w:themeColor="background1"/>
          <w:insideH w:val="nil"/>
          <w:insideV w:val="nil"/>
        </w:tcBorders>
        <w:shd w:val="clear" w:color="auto" w:fill="7D3F27" w:themeFill="accent6" w:themeFillShade="BF"/>
      </w:tcPr>
    </w:tblStylePr>
    <w:tblStylePr w:type="lastCol">
      <w:tblPr/>
      <w:tcPr>
        <w:tcBorders>
          <w:top w:val="nil"/>
          <w:left w:val="single" w:sz="18" w:space="0" w:color="7F7F7F" w:themeColor="background1"/>
          <w:bottom w:val="nil"/>
          <w:right w:val="nil"/>
          <w:insideH w:val="nil"/>
          <w:insideV w:val="nil"/>
        </w:tcBorders>
        <w:shd w:val="clear" w:color="auto" w:fill="7D3F27" w:themeFill="accent6" w:themeFillShade="BF"/>
      </w:tcPr>
    </w:tblStylePr>
    <w:tblStylePr w:type="band1Vert">
      <w:tblPr/>
      <w:tcPr>
        <w:tcBorders>
          <w:top w:val="nil"/>
          <w:left w:val="nil"/>
          <w:bottom w:val="nil"/>
          <w:right w:val="nil"/>
          <w:insideH w:val="nil"/>
          <w:insideV w:val="nil"/>
        </w:tcBorders>
        <w:shd w:val="clear" w:color="auto" w:fill="7D3F27" w:themeFill="accent6" w:themeFillShade="BF"/>
      </w:tcPr>
    </w:tblStylePr>
    <w:tblStylePr w:type="band1Horz">
      <w:tblPr/>
      <w:tcPr>
        <w:tcBorders>
          <w:top w:val="nil"/>
          <w:left w:val="nil"/>
          <w:bottom w:val="nil"/>
          <w:right w:val="nil"/>
          <w:insideH w:val="nil"/>
          <w:insideV w:val="nil"/>
        </w:tcBorders>
        <w:shd w:val="clear" w:color="auto" w:fill="7D3F27" w:themeFill="accent6" w:themeFillShade="BF"/>
      </w:tcPr>
    </w:tblStylePr>
  </w:style>
  <w:style w:type="table" w:styleId="GridTable2-Accent1">
    <w:name w:val="Grid Table 2 Accent 1"/>
    <w:basedOn w:val="TableNormal"/>
    <w:uiPriority w:val="47"/>
    <w:rsid w:val="00EA2AD5"/>
    <w:pPr>
      <w:spacing w:after="0" w:line="240" w:lineRule="auto"/>
    </w:pPr>
    <w:tblPr>
      <w:tblStyleRowBandSize w:val="1"/>
      <w:tblStyleColBandSize w:val="1"/>
      <w:tblBorders>
        <w:top w:val="single" w:sz="2" w:space="0" w:color="499FE1" w:themeColor="accent1" w:themeTint="99"/>
        <w:bottom w:val="single" w:sz="2" w:space="0" w:color="499FE1" w:themeColor="accent1" w:themeTint="99"/>
        <w:insideH w:val="single" w:sz="2" w:space="0" w:color="499FE1" w:themeColor="accent1" w:themeTint="99"/>
        <w:insideV w:val="single" w:sz="2" w:space="0" w:color="499FE1" w:themeColor="accent1" w:themeTint="99"/>
      </w:tblBorders>
    </w:tblPr>
    <w:tblStylePr w:type="firstRow">
      <w:rPr>
        <w:b/>
        <w:bCs/>
      </w:rPr>
      <w:tblPr/>
      <w:tcPr>
        <w:tcBorders>
          <w:top w:val="nil"/>
          <w:bottom w:val="single" w:sz="12" w:space="0" w:color="499FE1" w:themeColor="accent1" w:themeTint="99"/>
          <w:insideH w:val="nil"/>
          <w:insideV w:val="nil"/>
        </w:tcBorders>
        <w:shd w:val="clear" w:color="auto" w:fill="7F7F7F" w:themeFill="background1"/>
      </w:tcPr>
    </w:tblStylePr>
    <w:tblStylePr w:type="lastRow">
      <w:rPr>
        <w:b/>
        <w:bCs/>
      </w:rPr>
      <w:tblPr/>
      <w:tcPr>
        <w:tcBorders>
          <w:top w:val="double" w:sz="2" w:space="0" w:color="499FE1" w:themeColor="accent1" w:themeTint="99"/>
          <w:bottom w:val="nil"/>
          <w:insideH w:val="nil"/>
          <w:insideV w:val="nil"/>
        </w:tcBorders>
        <w:shd w:val="clear" w:color="auto" w:fill="7F7F7F" w:themeFill="background1"/>
      </w:tcPr>
    </w:tblStylePr>
    <w:tblStylePr w:type="firstCol">
      <w:rPr>
        <w:b/>
        <w:bCs/>
      </w:rPr>
    </w:tblStylePr>
    <w:tblStylePr w:type="lastCol">
      <w:rPr>
        <w:b/>
        <w:bCs/>
      </w:rPr>
    </w:tblStylePr>
    <w:tblStylePr w:type="band1Vert">
      <w:tblPr/>
      <w:tcPr>
        <w:shd w:val="clear" w:color="auto" w:fill="C2DFF5" w:themeFill="accent1" w:themeFillTint="33"/>
      </w:tcPr>
    </w:tblStylePr>
    <w:tblStylePr w:type="band1Horz">
      <w:tblPr/>
      <w:tcPr>
        <w:shd w:val="clear" w:color="auto" w:fill="C2DFF5" w:themeFill="accent1" w:themeFillTint="33"/>
      </w:tcPr>
    </w:tblStylePr>
  </w:style>
  <w:style w:type="table" w:styleId="GridTable1Light-Accent1">
    <w:name w:val="Grid Table 1 Light Accent 1"/>
    <w:basedOn w:val="TableNormal"/>
    <w:uiPriority w:val="46"/>
    <w:rsid w:val="00EA2AD5"/>
    <w:pPr>
      <w:spacing w:after="0" w:line="240" w:lineRule="auto"/>
    </w:pPr>
    <w:tblPr>
      <w:tblStyleRowBandSize w:val="1"/>
      <w:tblStyleColBandSize w:val="1"/>
      <w:tblBorders>
        <w:top w:val="single" w:sz="4" w:space="0" w:color="85BFEB" w:themeColor="accent1" w:themeTint="66"/>
        <w:left w:val="single" w:sz="4" w:space="0" w:color="85BFEB" w:themeColor="accent1" w:themeTint="66"/>
        <w:bottom w:val="single" w:sz="4" w:space="0" w:color="85BFEB" w:themeColor="accent1" w:themeTint="66"/>
        <w:right w:val="single" w:sz="4" w:space="0" w:color="85BFEB" w:themeColor="accent1" w:themeTint="66"/>
        <w:insideH w:val="single" w:sz="4" w:space="0" w:color="85BFEB" w:themeColor="accent1" w:themeTint="66"/>
        <w:insideV w:val="single" w:sz="4" w:space="0" w:color="85BFEB" w:themeColor="accent1" w:themeTint="66"/>
      </w:tblBorders>
    </w:tblPr>
    <w:tblStylePr w:type="firstRow">
      <w:rPr>
        <w:b/>
        <w:bCs/>
      </w:rPr>
      <w:tblPr/>
      <w:tcPr>
        <w:tcBorders>
          <w:bottom w:val="single" w:sz="12" w:space="0" w:color="499FE1" w:themeColor="accent1" w:themeTint="99"/>
        </w:tcBorders>
      </w:tcPr>
    </w:tblStylePr>
    <w:tblStylePr w:type="lastRow">
      <w:rPr>
        <w:b/>
        <w:bCs/>
      </w:rPr>
      <w:tblPr/>
      <w:tcPr>
        <w:tcBorders>
          <w:top w:val="double" w:sz="2" w:space="0" w:color="499FE1"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221246"/>
    <w:pPr>
      <w:spacing w:after="0" w:line="240" w:lineRule="auto"/>
    </w:pPr>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256443549">
      <w:bodyDiv w:val="1"/>
      <w:marLeft w:val="0"/>
      <w:marRight w:val="0"/>
      <w:marTop w:val="0"/>
      <w:marBottom w:val="0"/>
      <w:divBdr>
        <w:top w:val="none" w:sz="0" w:space="0" w:color="auto"/>
        <w:left w:val="none" w:sz="0" w:space="0" w:color="auto"/>
        <w:bottom w:val="none" w:sz="0" w:space="0" w:color="auto"/>
        <w:right w:val="none" w:sz="0" w:space="0" w:color="auto"/>
      </w:divBdr>
    </w:div>
    <w:div w:id="533228127">
      <w:bodyDiv w:val="1"/>
      <w:marLeft w:val="0"/>
      <w:marRight w:val="0"/>
      <w:marTop w:val="0"/>
      <w:marBottom w:val="0"/>
      <w:divBdr>
        <w:top w:val="none" w:sz="0" w:space="0" w:color="auto"/>
        <w:left w:val="none" w:sz="0" w:space="0" w:color="auto"/>
        <w:bottom w:val="none" w:sz="0" w:space="0" w:color="auto"/>
        <w:right w:val="none" w:sz="0" w:space="0" w:color="auto"/>
      </w:divBdr>
    </w:div>
    <w:div w:id="537740695">
      <w:bodyDiv w:val="1"/>
      <w:marLeft w:val="0"/>
      <w:marRight w:val="0"/>
      <w:marTop w:val="0"/>
      <w:marBottom w:val="0"/>
      <w:divBdr>
        <w:top w:val="none" w:sz="0" w:space="0" w:color="auto"/>
        <w:left w:val="none" w:sz="0" w:space="0" w:color="auto"/>
        <w:bottom w:val="none" w:sz="0" w:space="0" w:color="auto"/>
        <w:right w:val="none" w:sz="0" w:space="0" w:color="auto"/>
      </w:divBdr>
      <w:divsChild>
        <w:div w:id="1823622720">
          <w:marLeft w:val="0"/>
          <w:marRight w:val="0"/>
          <w:marTop w:val="0"/>
          <w:marBottom w:val="0"/>
          <w:divBdr>
            <w:top w:val="none" w:sz="0" w:space="0" w:color="auto"/>
            <w:left w:val="none" w:sz="0" w:space="0" w:color="auto"/>
            <w:bottom w:val="none" w:sz="0" w:space="0" w:color="auto"/>
            <w:right w:val="none" w:sz="0" w:space="0" w:color="auto"/>
          </w:divBdr>
          <w:divsChild>
            <w:div w:id="1199856769">
              <w:marLeft w:val="0"/>
              <w:marRight w:val="0"/>
              <w:marTop w:val="0"/>
              <w:marBottom w:val="0"/>
              <w:divBdr>
                <w:top w:val="none" w:sz="0" w:space="0" w:color="auto"/>
                <w:left w:val="none" w:sz="0" w:space="0" w:color="auto"/>
                <w:bottom w:val="none" w:sz="0" w:space="0" w:color="auto"/>
                <w:right w:val="none" w:sz="0" w:space="0" w:color="auto"/>
              </w:divBdr>
              <w:divsChild>
                <w:div w:id="402024756">
                  <w:marLeft w:val="0"/>
                  <w:marRight w:val="0"/>
                  <w:marTop w:val="0"/>
                  <w:marBottom w:val="0"/>
                  <w:divBdr>
                    <w:top w:val="none" w:sz="0" w:space="0" w:color="auto"/>
                    <w:left w:val="none" w:sz="0" w:space="0" w:color="auto"/>
                    <w:bottom w:val="none" w:sz="0" w:space="0" w:color="auto"/>
                    <w:right w:val="none" w:sz="0" w:space="0" w:color="auto"/>
                  </w:divBdr>
                  <w:divsChild>
                    <w:div w:id="1062220661">
                      <w:marLeft w:val="0"/>
                      <w:marRight w:val="0"/>
                      <w:marTop w:val="0"/>
                      <w:marBottom w:val="0"/>
                      <w:divBdr>
                        <w:top w:val="none" w:sz="0" w:space="0" w:color="auto"/>
                        <w:left w:val="none" w:sz="0" w:space="0" w:color="auto"/>
                        <w:bottom w:val="none" w:sz="0" w:space="0" w:color="auto"/>
                        <w:right w:val="none" w:sz="0" w:space="0" w:color="auto"/>
                      </w:divBdr>
                      <w:divsChild>
                        <w:div w:id="2623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5972">
                  <w:marLeft w:val="0"/>
                  <w:marRight w:val="0"/>
                  <w:marTop w:val="0"/>
                  <w:marBottom w:val="0"/>
                  <w:divBdr>
                    <w:top w:val="none" w:sz="0" w:space="0" w:color="auto"/>
                    <w:left w:val="none" w:sz="0" w:space="0" w:color="auto"/>
                    <w:bottom w:val="none" w:sz="0" w:space="0" w:color="auto"/>
                    <w:right w:val="none" w:sz="0" w:space="0" w:color="auto"/>
                  </w:divBdr>
                  <w:divsChild>
                    <w:div w:id="699937031">
                      <w:marLeft w:val="0"/>
                      <w:marRight w:val="0"/>
                      <w:marTop w:val="0"/>
                      <w:marBottom w:val="0"/>
                      <w:divBdr>
                        <w:top w:val="none" w:sz="0" w:space="0" w:color="auto"/>
                        <w:left w:val="none" w:sz="0" w:space="0" w:color="auto"/>
                        <w:bottom w:val="none" w:sz="0" w:space="0" w:color="auto"/>
                        <w:right w:val="none" w:sz="0" w:space="0" w:color="auto"/>
                      </w:divBdr>
                      <w:divsChild>
                        <w:div w:id="1993413714">
                          <w:marLeft w:val="0"/>
                          <w:marRight w:val="0"/>
                          <w:marTop w:val="0"/>
                          <w:marBottom w:val="0"/>
                          <w:divBdr>
                            <w:top w:val="none" w:sz="0" w:space="0" w:color="auto"/>
                            <w:left w:val="none" w:sz="0" w:space="0" w:color="auto"/>
                            <w:bottom w:val="none" w:sz="0" w:space="0" w:color="auto"/>
                            <w:right w:val="none" w:sz="0" w:space="0" w:color="auto"/>
                          </w:divBdr>
                          <w:divsChild>
                            <w:div w:id="100324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098760">
      <w:bodyDiv w:val="1"/>
      <w:marLeft w:val="0"/>
      <w:marRight w:val="0"/>
      <w:marTop w:val="0"/>
      <w:marBottom w:val="0"/>
      <w:divBdr>
        <w:top w:val="none" w:sz="0" w:space="0" w:color="auto"/>
        <w:left w:val="none" w:sz="0" w:space="0" w:color="auto"/>
        <w:bottom w:val="none" w:sz="0" w:space="0" w:color="auto"/>
        <w:right w:val="none" w:sz="0" w:space="0" w:color="auto"/>
      </w:divBdr>
    </w:div>
    <w:div w:id="798764917">
      <w:bodyDiv w:val="1"/>
      <w:marLeft w:val="0"/>
      <w:marRight w:val="0"/>
      <w:marTop w:val="0"/>
      <w:marBottom w:val="0"/>
      <w:divBdr>
        <w:top w:val="none" w:sz="0" w:space="0" w:color="auto"/>
        <w:left w:val="none" w:sz="0" w:space="0" w:color="auto"/>
        <w:bottom w:val="none" w:sz="0" w:space="0" w:color="auto"/>
        <w:right w:val="none" w:sz="0" w:space="0" w:color="auto"/>
      </w:divBdr>
    </w:div>
    <w:div w:id="845873621">
      <w:bodyDiv w:val="1"/>
      <w:marLeft w:val="0"/>
      <w:marRight w:val="0"/>
      <w:marTop w:val="0"/>
      <w:marBottom w:val="0"/>
      <w:divBdr>
        <w:top w:val="none" w:sz="0" w:space="0" w:color="auto"/>
        <w:left w:val="none" w:sz="0" w:space="0" w:color="auto"/>
        <w:bottom w:val="none" w:sz="0" w:space="0" w:color="auto"/>
        <w:right w:val="none" w:sz="0" w:space="0" w:color="auto"/>
      </w:divBdr>
      <w:divsChild>
        <w:div w:id="870410816">
          <w:marLeft w:val="0"/>
          <w:marRight w:val="0"/>
          <w:marTop w:val="0"/>
          <w:marBottom w:val="0"/>
          <w:divBdr>
            <w:top w:val="none" w:sz="0" w:space="0" w:color="auto"/>
            <w:left w:val="none" w:sz="0" w:space="0" w:color="auto"/>
            <w:bottom w:val="none" w:sz="0" w:space="0" w:color="auto"/>
            <w:right w:val="none" w:sz="0" w:space="0" w:color="auto"/>
          </w:divBdr>
          <w:divsChild>
            <w:div w:id="709184168">
              <w:marLeft w:val="0"/>
              <w:marRight w:val="0"/>
              <w:marTop w:val="0"/>
              <w:marBottom w:val="0"/>
              <w:divBdr>
                <w:top w:val="none" w:sz="0" w:space="0" w:color="auto"/>
                <w:left w:val="none" w:sz="0" w:space="0" w:color="auto"/>
                <w:bottom w:val="none" w:sz="0" w:space="0" w:color="auto"/>
                <w:right w:val="none" w:sz="0" w:space="0" w:color="auto"/>
              </w:divBdr>
              <w:divsChild>
                <w:div w:id="26300539">
                  <w:marLeft w:val="0"/>
                  <w:marRight w:val="0"/>
                  <w:marTop w:val="0"/>
                  <w:marBottom w:val="0"/>
                  <w:divBdr>
                    <w:top w:val="none" w:sz="0" w:space="0" w:color="auto"/>
                    <w:left w:val="none" w:sz="0" w:space="0" w:color="auto"/>
                    <w:bottom w:val="none" w:sz="0" w:space="0" w:color="auto"/>
                    <w:right w:val="none" w:sz="0" w:space="0" w:color="auto"/>
                  </w:divBdr>
                  <w:divsChild>
                    <w:div w:id="1844396247">
                      <w:marLeft w:val="0"/>
                      <w:marRight w:val="0"/>
                      <w:marTop w:val="0"/>
                      <w:marBottom w:val="0"/>
                      <w:divBdr>
                        <w:top w:val="none" w:sz="0" w:space="0" w:color="auto"/>
                        <w:left w:val="none" w:sz="0" w:space="0" w:color="auto"/>
                        <w:bottom w:val="none" w:sz="0" w:space="0" w:color="auto"/>
                        <w:right w:val="none" w:sz="0" w:space="0" w:color="auto"/>
                      </w:divBdr>
                      <w:divsChild>
                        <w:div w:id="2028944768">
                          <w:marLeft w:val="0"/>
                          <w:marRight w:val="0"/>
                          <w:marTop w:val="0"/>
                          <w:marBottom w:val="0"/>
                          <w:divBdr>
                            <w:top w:val="none" w:sz="0" w:space="0" w:color="auto"/>
                            <w:left w:val="none" w:sz="0" w:space="0" w:color="auto"/>
                            <w:bottom w:val="none" w:sz="0" w:space="0" w:color="auto"/>
                            <w:right w:val="none" w:sz="0" w:space="0" w:color="auto"/>
                          </w:divBdr>
                          <w:divsChild>
                            <w:div w:id="21306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965515">
                  <w:marLeft w:val="0"/>
                  <w:marRight w:val="0"/>
                  <w:marTop w:val="0"/>
                  <w:marBottom w:val="0"/>
                  <w:divBdr>
                    <w:top w:val="none" w:sz="0" w:space="0" w:color="auto"/>
                    <w:left w:val="none" w:sz="0" w:space="0" w:color="auto"/>
                    <w:bottom w:val="none" w:sz="0" w:space="0" w:color="auto"/>
                    <w:right w:val="none" w:sz="0" w:space="0" w:color="auto"/>
                  </w:divBdr>
                  <w:divsChild>
                    <w:div w:id="825517081">
                      <w:marLeft w:val="0"/>
                      <w:marRight w:val="0"/>
                      <w:marTop w:val="0"/>
                      <w:marBottom w:val="0"/>
                      <w:divBdr>
                        <w:top w:val="none" w:sz="0" w:space="0" w:color="auto"/>
                        <w:left w:val="none" w:sz="0" w:space="0" w:color="auto"/>
                        <w:bottom w:val="none" w:sz="0" w:space="0" w:color="auto"/>
                        <w:right w:val="none" w:sz="0" w:space="0" w:color="auto"/>
                      </w:divBdr>
                      <w:divsChild>
                        <w:div w:id="166489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756370">
      <w:bodyDiv w:val="1"/>
      <w:marLeft w:val="0"/>
      <w:marRight w:val="0"/>
      <w:marTop w:val="0"/>
      <w:marBottom w:val="0"/>
      <w:divBdr>
        <w:top w:val="none" w:sz="0" w:space="0" w:color="auto"/>
        <w:left w:val="none" w:sz="0" w:space="0" w:color="auto"/>
        <w:bottom w:val="none" w:sz="0" w:space="0" w:color="auto"/>
        <w:right w:val="none" w:sz="0" w:space="0" w:color="auto"/>
      </w:divBdr>
    </w:div>
    <w:div w:id="941184663">
      <w:bodyDiv w:val="1"/>
      <w:marLeft w:val="0"/>
      <w:marRight w:val="0"/>
      <w:marTop w:val="0"/>
      <w:marBottom w:val="0"/>
      <w:divBdr>
        <w:top w:val="none" w:sz="0" w:space="0" w:color="auto"/>
        <w:left w:val="none" w:sz="0" w:space="0" w:color="auto"/>
        <w:bottom w:val="none" w:sz="0" w:space="0" w:color="auto"/>
        <w:right w:val="none" w:sz="0" w:space="0" w:color="auto"/>
      </w:divBdr>
      <w:divsChild>
        <w:div w:id="1638073329">
          <w:marLeft w:val="0"/>
          <w:marRight w:val="0"/>
          <w:marTop w:val="0"/>
          <w:marBottom w:val="0"/>
          <w:divBdr>
            <w:top w:val="none" w:sz="0" w:space="0" w:color="auto"/>
            <w:left w:val="none" w:sz="0" w:space="0" w:color="auto"/>
            <w:bottom w:val="none" w:sz="0" w:space="0" w:color="auto"/>
            <w:right w:val="none" w:sz="0" w:space="0" w:color="auto"/>
          </w:divBdr>
          <w:divsChild>
            <w:div w:id="2052530010">
              <w:marLeft w:val="0"/>
              <w:marRight w:val="0"/>
              <w:marTop w:val="0"/>
              <w:marBottom w:val="0"/>
              <w:divBdr>
                <w:top w:val="none" w:sz="0" w:space="0" w:color="auto"/>
                <w:left w:val="none" w:sz="0" w:space="0" w:color="auto"/>
                <w:bottom w:val="none" w:sz="0" w:space="0" w:color="auto"/>
                <w:right w:val="none" w:sz="0" w:space="0" w:color="auto"/>
              </w:divBdr>
              <w:divsChild>
                <w:div w:id="398866919">
                  <w:marLeft w:val="0"/>
                  <w:marRight w:val="0"/>
                  <w:marTop w:val="0"/>
                  <w:marBottom w:val="0"/>
                  <w:divBdr>
                    <w:top w:val="none" w:sz="0" w:space="0" w:color="auto"/>
                    <w:left w:val="none" w:sz="0" w:space="0" w:color="auto"/>
                    <w:bottom w:val="none" w:sz="0" w:space="0" w:color="auto"/>
                    <w:right w:val="none" w:sz="0" w:space="0" w:color="auto"/>
                  </w:divBdr>
                  <w:divsChild>
                    <w:div w:id="585967946">
                      <w:marLeft w:val="0"/>
                      <w:marRight w:val="0"/>
                      <w:marTop w:val="0"/>
                      <w:marBottom w:val="0"/>
                      <w:divBdr>
                        <w:top w:val="none" w:sz="0" w:space="0" w:color="auto"/>
                        <w:left w:val="none" w:sz="0" w:space="0" w:color="auto"/>
                        <w:bottom w:val="none" w:sz="0" w:space="0" w:color="auto"/>
                        <w:right w:val="none" w:sz="0" w:space="0" w:color="auto"/>
                      </w:divBdr>
                      <w:divsChild>
                        <w:div w:id="360907423">
                          <w:marLeft w:val="0"/>
                          <w:marRight w:val="0"/>
                          <w:marTop w:val="0"/>
                          <w:marBottom w:val="0"/>
                          <w:divBdr>
                            <w:top w:val="none" w:sz="0" w:space="0" w:color="auto"/>
                            <w:left w:val="none" w:sz="0" w:space="0" w:color="auto"/>
                            <w:bottom w:val="none" w:sz="0" w:space="0" w:color="auto"/>
                            <w:right w:val="none" w:sz="0" w:space="0" w:color="auto"/>
                          </w:divBdr>
                          <w:divsChild>
                            <w:div w:id="5033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896001">
                  <w:marLeft w:val="0"/>
                  <w:marRight w:val="0"/>
                  <w:marTop w:val="0"/>
                  <w:marBottom w:val="0"/>
                  <w:divBdr>
                    <w:top w:val="none" w:sz="0" w:space="0" w:color="auto"/>
                    <w:left w:val="none" w:sz="0" w:space="0" w:color="auto"/>
                    <w:bottom w:val="none" w:sz="0" w:space="0" w:color="auto"/>
                    <w:right w:val="none" w:sz="0" w:space="0" w:color="auto"/>
                  </w:divBdr>
                  <w:divsChild>
                    <w:div w:id="474761255">
                      <w:marLeft w:val="0"/>
                      <w:marRight w:val="0"/>
                      <w:marTop w:val="0"/>
                      <w:marBottom w:val="0"/>
                      <w:divBdr>
                        <w:top w:val="none" w:sz="0" w:space="0" w:color="auto"/>
                        <w:left w:val="none" w:sz="0" w:space="0" w:color="auto"/>
                        <w:bottom w:val="none" w:sz="0" w:space="0" w:color="auto"/>
                        <w:right w:val="none" w:sz="0" w:space="0" w:color="auto"/>
                      </w:divBdr>
                      <w:divsChild>
                        <w:div w:id="19299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681940">
      <w:bodyDiv w:val="1"/>
      <w:marLeft w:val="0"/>
      <w:marRight w:val="0"/>
      <w:marTop w:val="0"/>
      <w:marBottom w:val="0"/>
      <w:divBdr>
        <w:top w:val="none" w:sz="0" w:space="0" w:color="auto"/>
        <w:left w:val="none" w:sz="0" w:space="0" w:color="auto"/>
        <w:bottom w:val="none" w:sz="0" w:space="0" w:color="auto"/>
        <w:right w:val="none" w:sz="0" w:space="0" w:color="auto"/>
      </w:divBdr>
    </w:div>
    <w:div w:id="1310818120">
      <w:bodyDiv w:val="1"/>
      <w:marLeft w:val="0"/>
      <w:marRight w:val="0"/>
      <w:marTop w:val="0"/>
      <w:marBottom w:val="0"/>
      <w:divBdr>
        <w:top w:val="none" w:sz="0" w:space="0" w:color="auto"/>
        <w:left w:val="none" w:sz="0" w:space="0" w:color="auto"/>
        <w:bottom w:val="none" w:sz="0" w:space="0" w:color="auto"/>
        <w:right w:val="none" w:sz="0" w:space="0" w:color="auto"/>
      </w:divBdr>
    </w:div>
    <w:div w:id="2085638415">
      <w:bodyDiv w:val="1"/>
      <w:marLeft w:val="0"/>
      <w:marRight w:val="0"/>
      <w:marTop w:val="0"/>
      <w:marBottom w:val="0"/>
      <w:divBdr>
        <w:top w:val="none" w:sz="0" w:space="0" w:color="auto"/>
        <w:left w:val="none" w:sz="0" w:space="0" w:color="auto"/>
        <w:bottom w:val="none" w:sz="0" w:space="0" w:color="auto"/>
        <w:right w:val="none" w:sz="0" w:space="0" w:color="auto"/>
      </w:divBdr>
      <w:divsChild>
        <w:div w:id="148641302">
          <w:marLeft w:val="0"/>
          <w:marRight w:val="0"/>
          <w:marTop w:val="0"/>
          <w:marBottom w:val="0"/>
          <w:divBdr>
            <w:top w:val="none" w:sz="0" w:space="0" w:color="auto"/>
            <w:left w:val="none" w:sz="0" w:space="0" w:color="auto"/>
            <w:bottom w:val="dashed" w:sz="6" w:space="0" w:color="CCCCCC"/>
            <w:right w:val="none" w:sz="0" w:space="0" w:color="auto"/>
          </w:divBdr>
        </w:div>
        <w:div w:id="174806305">
          <w:marLeft w:val="0"/>
          <w:marRight w:val="0"/>
          <w:marTop w:val="0"/>
          <w:marBottom w:val="0"/>
          <w:divBdr>
            <w:top w:val="none" w:sz="0" w:space="0" w:color="auto"/>
            <w:left w:val="none" w:sz="0" w:space="0" w:color="auto"/>
            <w:bottom w:val="dashed" w:sz="6" w:space="0" w:color="CCCCCC"/>
            <w:right w:val="none" w:sz="0" w:space="0" w:color="auto"/>
          </w:divBdr>
        </w:div>
        <w:div w:id="283969382">
          <w:marLeft w:val="0"/>
          <w:marRight w:val="0"/>
          <w:marTop w:val="0"/>
          <w:marBottom w:val="0"/>
          <w:divBdr>
            <w:top w:val="none" w:sz="0" w:space="0" w:color="auto"/>
            <w:left w:val="none" w:sz="0" w:space="0" w:color="auto"/>
            <w:bottom w:val="dashed" w:sz="6" w:space="0" w:color="CCCCCC"/>
            <w:right w:val="none" w:sz="0" w:space="0" w:color="auto"/>
          </w:divBdr>
        </w:div>
        <w:div w:id="365251557">
          <w:marLeft w:val="0"/>
          <w:marRight w:val="0"/>
          <w:marTop w:val="0"/>
          <w:marBottom w:val="0"/>
          <w:divBdr>
            <w:top w:val="none" w:sz="0" w:space="0" w:color="auto"/>
            <w:left w:val="none" w:sz="0" w:space="0" w:color="auto"/>
            <w:bottom w:val="dashed" w:sz="6" w:space="8" w:color="CCCCCC"/>
            <w:right w:val="none" w:sz="0" w:space="0" w:color="auto"/>
          </w:divBdr>
          <w:divsChild>
            <w:div w:id="1056243969">
              <w:marLeft w:val="0"/>
              <w:marRight w:val="0"/>
              <w:marTop w:val="0"/>
              <w:marBottom w:val="15"/>
              <w:divBdr>
                <w:top w:val="none" w:sz="0" w:space="0" w:color="auto"/>
                <w:left w:val="none" w:sz="0" w:space="0" w:color="auto"/>
                <w:bottom w:val="none" w:sz="0" w:space="0" w:color="auto"/>
                <w:right w:val="none" w:sz="0" w:space="0" w:color="auto"/>
              </w:divBdr>
            </w:div>
          </w:divsChild>
        </w:div>
        <w:div w:id="369571008">
          <w:marLeft w:val="0"/>
          <w:marRight w:val="0"/>
          <w:marTop w:val="0"/>
          <w:marBottom w:val="0"/>
          <w:divBdr>
            <w:top w:val="none" w:sz="0" w:space="0" w:color="auto"/>
            <w:left w:val="none" w:sz="0" w:space="0" w:color="auto"/>
            <w:bottom w:val="dashed" w:sz="6" w:space="8" w:color="CCCCCC"/>
            <w:right w:val="none" w:sz="0" w:space="0" w:color="auto"/>
          </w:divBdr>
          <w:divsChild>
            <w:div w:id="1747070673">
              <w:marLeft w:val="0"/>
              <w:marRight w:val="0"/>
              <w:marTop w:val="0"/>
              <w:marBottom w:val="15"/>
              <w:divBdr>
                <w:top w:val="none" w:sz="0" w:space="0" w:color="auto"/>
                <w:left w:val="none" w:sz="0" w:space="0" w:color="auto"/>
                <w:bottom w:val="none" w:sz="0" w:space="0" w:color="auto"/>
                <w:right w:val="none" w:sz="0" w:space="0" w:color="auto"/>
              </w:divBdr>
            </w:div>
          </w:divsChild>
        </w:div>
        <w:div w:id="372967676">
          <w:marLeft w:val="0"/>
          <w:marRight w:val="0"/>
          <w:marTop w:val="0"/>
          <w:marBottom w:val="0"/>
          <w:divBdr>
            <w:top w:val="none" w:sz="0" w:space="0" w:color="auto"/>
            <w:left w:val="none" w:sz="0" w:space="0" w:color="auto"/>
            <w:bottom w:val="dashed" w:sz="6" w:space="8" w:color="CCCCCC"/>
            <w:right w:val="none" w:sz="0" w:space="0" w:color="auto"/>
          </w:divBdr>
          <w:divsChild>
            <w:div w:id="762461526">
              <w:marLeft w:val="0"/>
              <w:marRight w:val="0"/>
              <w:marTop w:val="0"/>
              <w:marBottom w:val="15"/>
              <w:divBdr>
                <w:top w:val="none" w:sz="0" w:space="0" w:color="auto"/>
                <w:left w:val="none" w:sz="0" w:space="0" w:color="auto"/>
                <w:bottom w:val="none" w:sz="0" w:space="0" w:color="auto"/>
                <w:right w:val="none" w:sz="0" w:space="0" w:color="auto"/>
              </w:divBdr>
            </w:div>
          </w:divsChild>
        </w:div>
        <w:div w:id="427652001">
          <w:marLeft w:val="0"/>
          <w:marRight w:val="0"/>
          <w:marTop w:val="0"/>
          <w:marBottom w:val="0"/>
          <w:divBdr>
            <w:top w:val="none" w:sz="0" w:space="0" w:color="auto"/>
            <w:left w:val="none" w:sz="0" w:space="0" w:color="auto"/>
            <w:bottom w:val="dashed" w:sz="6" w:space="0" w:color="CCCCCC"/>
            <w:right w:val="none" w:sz="0" w:space="0" w:color="auto"/>
          </w:divBdr>
        </w:div>
        <w:div w:id="452142134">
          <w:marLeft w:val="0"/>
          <w:marRight w:val="0"/>
          <w:marTop w:val="0"/>
          <w:marBottom w:val="0"/>
          <w:divBdr>
            <w:top w:val="none" w:sz="0" w:space="0" w:color="auto"/>
            <w:left w:val="none" w:sz="0" w:space="0" w:color="auto"/>
            <w:bottom w:val="dashed" w:sz="6" w:space="8" w:color="CCCCCC"/>
            <w:right w:val="none" w:sz="0" w:space="0" w:color="auto"/>
          </w:divBdr>
          <w:divsChild>
            <w:div w:id="1725985884">
              <w:marLeft w:val="0"/>
              <w:marRight w:val="0"/>
              <w:marTop w:val="0"/>
              <w:marBottom w:val="15"/>
              <w:divBdr>
                <w:top w:val="none" w:sz="0" w:space="0" w:color="auto"/>
                <w:left w:val="none" w:sz="0" w:space="0" w:color="auto"/>
                <w:bottom w:val="none" w:sz="0" w:space="0" w:color="auto"/>
                <w:right w:val="none" w:sz="0" w:space="0" w:color="auto"/>
              </w:divBdr>
            </w:div>
          </w:divsChild>
        </w:div>
        <w:div w:id="460928037">
          <w:marLeft w:val="0"/>
          <w:marRight w:val="0"/>
          <w:marTop w:val="0"/>
          <w:marBottom w:val="0"/>
          <w:divBdr>
            <w:top w:val="none" w:sz="0" w:space="0" w:color="auto"/>
            <w:left w:val="none" w:sz="0" w:space="0" w:color="auto"/>
            <w:bottom w:val="dashed" w:sz="6" w:space="8" w:color="CCCCCC"/>
            <w:right w:val="none" w:sz="0" w:space="0" w:color="auto"/>
          </w:divBdr>
          <w:divsChild>
            <w:div w:id="2041514325">
              <w:marLeft w:val="0"/>
              <w:marRight w:val="0"/>
              <w:marTop w:val="0"/>
              <w:marBottom w:val="15"/>
              <w:divBdr>
                <w:top w:val="none" w:sz="0" w:space="0" w:color="auto"/>
                <w:left w:val="none" w:sz="0" w:space="0" w:color="auto"/>
                <w:bottom w:val="none" w:sz="0" w:space="0" w:color="auto"/>
                <w:right w:val="none" w:sz="0" w:space="0" w:color="auto"/>
              </w:divBdr>
            </w:div>
          </w:divsChild>
        </w:div>
        <w:div w:id="514268238">
          <w:marLeft w:val="0"/>
          <w:marRight w:val="0"/>
          <w:marTop w:val="0"/>
          <w:marBottom w:val="0"/>
          <w:divBdr>
            <w:top w:val="none" w:sz="0" w:space="0" w:color="auto"/>
            <w:left w:val="none" w:sz="0" w:space="0" w:color="auto"/>
            <w:bottom w:val="dashed" w:sz="6" w:space="8" w:color="CCCCCC"/>
            <w:right w:val="none" w:sz="0" w:space="0" w:color="auto"/>
          </w:divBdr>
          <w:divsChild>
            <w:div w:id="1246957887">
              <w:marLeft w:val="0"/>
              <w:marRight w:val="0"/>
              <w:marTop w:val="0"/>
              <w:marBottom w:val="15"/>
              <w:divBdr>
                <w:top w:val="none" w:sz="0" w:space="0" w:color="auto"/>
                <w:left w:val="none" w:sz="0" w:space="0" w:color="auto"/>
                <w:bottom w:val="none" w:sz="0" w:space="0" w:color="auto"/>
                <w:right w:val="none" w:sz="0" w:space="0" w:color="auto"/>
              </w:divBdr>
            </w:div>
          </w:divsChild>
        </w:div>
        <w:div w:id="546524434">
          <w:marLeft w:val="0"/>
          <w:marRight w:val="0"/>
          <w:marTop w:val="0"/>
          <w:marBottom w:val="0"/>
          <w:divBdr>
            <w:top w:val="none" w:sz="0" w:space="0" w:color="auto"/>
            <w:left w:val="none" w:sz="0" w:space="0" w:color="auto"/>
            <w:bottom w:val="dashed" w:sz="6" w:space="0" w:color="CCCCCC"/>
            <w:right w:val="none" w:sz="0" w:space="0" w:color="auto"/>
          </w:divBdr>
        </w:div>
        <w:div w:id="555974019">
          <w:marLeft w:val="0"/>
          <w:marRight w:val="0"/>
          <w:marTop w:val="0"/>
          <w:marBottom w:val="0"/>
          <w:divBdr>
            <w:top w:val="none" w:sz="0" w:space="0" w:color="auto"/>
            <w:left w:val="none" w:sz="0" w:space="0" w:color="auto"/>
            <w:bottom w:val="dashed" w:sz="6" w:space="8" w:color="CCCCCC"/>
            <w:right w:val="none" w:sz="0" w:space="0" w:color="auto"/>
          </w:divBdr>
          <w:divsChild>
            <w:div w:id="1519657203">
              <w:marLeft w:val="0"/>
              <w:marRight w:val="0"/>
              <w:marTop w:val="0"/>
              <w:marBottom w:val="15"/>
              <w:divBdr>
                <w:top w:val="none" w:sz="0" w:space="0" w:color="auto"/>
                <w:left w:val="none" w:sz="0" w:space="0" w:color="auto"/>
                <w:bottom w:val="none" w:sz="0" w:space="0" w:color="auto"/>
                <w:right w:val="none" w:sz="0" w:space="0" w:color="auto"/>
              </w:divBdr>
            </w:div>
          </w:divsChild>
        </w:div>
        <w:div w:id="678317128">
          <w:marLeft w:val="0"/>
          <w:marRight w:val="0"/>
          <w:marTop w:val="0"/>
          <w:marBottom w:val="0"/>
          <w:divBdr>
            <w:top w:val="none" w:sz="0" w:space="0" w:color="auto"/>
            <w:left w:val="none" w:sz="0" w:space="0" w:color="auto"/>
            <w:bottom w:val="dashed" w:sz="6" w:space="8" w:color="CCCCCC"/>
            <w:right w:val="none" w:sz="0" w:space="0" w:color="auto"/>
          </w:divBdr>
          <w:divsChild>
            <w:div w:id="1198928170">
              <w:marLeft w:val="0"/>
              <w:marRight w:val="0"/>
              <w:marTop w:val="0"/>
              <w:marBottom w:val="15"/>
              <w:divBdr>
                <w:top w:val="none" w:sz="0" w:space="0" w:color="auto"/>
                <w:left w:val="none" w:sz="0" w:space="0" w:color="auto"/>
                <w:bottom w:val="none" w:sz="0" w:space="0" w:color="auto"/>
                <w:right w:val="none" w:sz="0" w:space="0" w:color="auto"/>
              </w:divBdr>
            </w:div>
          </w:divsChild>
        </w:div>
        <w:div w:id="739836685">
          <w:marLeft w:val="0"/>
          <w:marRight w:val="0"/>
          <w:marTop w:val="0"/>
          <w:marBottom w:val="0"/>
          <w:divBdr>
            <w:top w:val="none" w:sz="0" w:space="0" w:color="auto"/>
            <w:left w:val="none" w:sz="0" w:space="0" w:color="auto"/>
            <w:bottom w:val="dashed" w:sz="6" w:space="8" w:color="CCCCCC"/>
            <w:right w:val="none" w:sz="0" w:space="0" w:color="auto"/>
          </w:divBdr>
          <w:divsChild>
            <w:div w:id="1210384398">
              <w:marLeft w:val="0"/>
              <w:marRight w:val="0"/>
              <w:marTop w:val="0"/>
              <w:marBottom w:val="15"/>
              <w:divBdr>
                <w:top w:val="none" w:sz="0" w:space="0" w:color="auto"/>
                <w:left w:val="none" w:sz="0" w:space="0" w:color="auto"/>
                <w:bottom w:val="none" w:sz="0" w:space="0" w:color="auto"/>
                <w:right w:val="none" w:sz="0" w:space="0" w:color="auto"/>
              </w:divBdr>
            </w:div>
          </w:divsChild>
        </w:div>
        <w:div w:id="902251350">
          <w:marLeft w:val="0"/>
          <w:marRight w:val="0"/>
          <w:marTop w:val="0"/>
          <w:marBottom w:val="0"/>
          <w:divBdr>
            <w:top w:val="none" w:sz="0" w:space="0" w:color="auto"/>
            <w:left w:val="none" w:sz="0" w:space="0" w:color="auto"/>
            <w:bottom w:val="dashed" w:sz="6" w:space="0" w:color="CCCCCC"/>
            <w:right w:val="none" w:sz="0" w:space="0" w:color="auto"/>
          </w:divBdr>
        </w:div>
        <w:div w:id="906113076">
          <w:marLeft w:val="0"/>
          <w:marRight w:val="0"/>
          <w:marTop w:val="0"/>
          <w:marBottom w:val="0"/>
          <w:divBdr>
            <w:top w:val="none" w:sz="0" w:space="0" w:color="auto"/>
            <w:left w:val="none" w:sz="0" w:space="0" w:color="auto"/>
            <w:bottom w:val="dashed" w:sz="6" w:space="0" w:color="CCCCCC"/>
            <w:right w:val="none" w:sz="0" w:space="0" w:color="auto"/>
          </w:divBdr>
        </w:div>
        <w:div w:id="938295925">
          <w:marLeft w:val="0"/>
          <w:marRight w:val="0"/>
          <w:marTop w:val="0"/>
          <w:marBottom w:val="0"/>
          <w:divBdr>
            <w:top w:val="none" w:sz="0" w:space="0" w:color="auto"/>
            <w:left w:val="none" w:sz="0" w:space="0" w:color="auto"/>
            <w:bottom w:val="dashed" w:sz="6" w:space="0" w:color="CCCCCC"/>
            <w:right w:val="none" w:sz="0" w:space="0" w:color="auto"/>
          </w:divBdr>
        </w:div>
        <w:div w:id="978653879">
          <w:marLeft w:val="0"/>
          <w:marRight w:val="0"/>
          <w:marTop w:val="0"/>
          <w:marBottom w:val="0"/>
          <w:divBdr>
            <w:top w:val="none" w:sz="0" w:space="0" w:color="auto"/>
            <w:left w:val="none" w:sz="0" w:space="0" w:color="auto"/>
            <w:bottom w:val="dashed" w:sz="6" w:space="0" w:color="CCCCCC"/>
            <w:right w:val="none" w:sz="0" w:space="0" w:color="auto"/>
          </w:divBdr>
        </w:div>
        <w:div w:id="1022051053">
          <w:marLeft w:val="0"/>
          <w:marRight w:val="0"/>
          <w:marTop w:val="0"/>
          <w:marBottom w:val="0"/>
          <w:divBdr>
            <w:top w:val="none" w:sz="0" w:space="0" w:color="auto"/>
            <w:left w:val="none" w:sz="0" w:space="0" w:color="auto"/>
            <w:bottom w:val="dashed" w:sz="6" w:space="8" w:color="CCCCCC"/>
            <w:right w:val="none" w:sz="0" w:space="0" w:color="auto"/>
          </w:divBdr>
          <w:divsChild>
            <w:div w:id="1836071912">
              <w:marLeft w:val="0"/>
              <w:marRight w:val="0"/>
              <w:marTop w:val="0"/>
              <w:marBottom w:val="15"/>
              <w:divBdr>
                <w:top w:val="none" w:sz="0" w:space="0" w:color="auto"/>
                <w:left w:val="none" w:sz="0" w:space="0" w:color="auto"/>
                <w:bottom w:val="none" w:sz="0" w:space="0" w:color="auto"/>
                <w:right w:val="none" w:sz="0" w:space="0" w:color="auto"/>
              </w:divBdr>
            </w:div>
          </w:divsChild>
        </w:div>
        <w:div w:id="1105804244">
          <w:marLeft w:val="0"/>
          <w:marRight w:val="0"/>
          <w:marTop w:val="0"/>
          <w:marBottom w:val="0"/>
          <w:divBdr>
            <w:top w:val="none" w:sz="0" w:space="0" w:color="auto"/>
            <w:left w:val="none" w:sz="0" w:space="0" w:color="auto"/>
            <w:bottom w:val="dashed" w:sz="6" w:space="0" w:color="CCCCCC"/>
            <w:right w:val="none" w:sz="0" w:space="0" w:color="auto"/>
          </w:divBdr>
        </w:div>
        <w:div w:id="1110929174">
          <w:marLeft w:val="0"/>
          <w:marRight w:val="0"/>
          <w:marTop w:val="0"/>
          <w:marBottom w:val="0"/>
          <w:divBdr>
            <w:top w:val="none" w:sz="0" w:space="0" w:color="auto"/>
            <w:left w:val="none" w:sz="0" w:space="0" w:color="auto"/>
            <w:bottom w:val="dashed" w:sz="6" w:space="0" w:color="CCCCCC"/>
            <w:right w:val="none" w:sz="0" w:space="0" w:color="auto"/>
          </w:divBdr>
        </w:div>
        <w:div w:id="1224416143">
          <w:marLeft w:val="0"/>
          <w:marRight w:val="0"/>
          <w:marTop w:val="0"/>
          <w:marBottom w:val="0"/>
          <w:divBdr>
            <w:top w:val="none" w:sz="0" w:space="0" w:color="auto"/>
            <w:left w:val="none" w:sz="0" w:space="0" w:color="auto"/>
            <w:bottom w:val="dashed" w:sz="6" w:space="8" w:color="CCCCCC"/>
            <w:right w:val="none" w:sz="0" w:space="0" w:color="auto"/>
          </w:divBdr>
          <w:divsChild>
            <w:div w:id="1954439090">
              <w:marLeft w:val="0"/>
              <w:marRight w:val="0"/>
              <w:marTop w:val="0"/>
              <w:marBottom w:val="15"/>
              <w:divBdr>
                <w:top w:val="none" w:sz="0" w:space="0" w:color="auto"/>
                <w:left w:val="none" w:sz="0" w:space="0" w:color="auto"/>
                <w:bottom w:val="none" w:sz="0" w:space="0" w:color="auto"/>
                <w:right w:val="none" w:sz="0" w:space="0" w:color="auto"/>
              </w:divBdr>
            </w:div>
          </w:divsChild>
        </w:div>
        <w:div w:id="1286765611">
          <w:marLeft w:val="0"/>
          <w:marRight w:val="0"/>
          <w:marTop w:val="0"/>
          <w:marBottom w:val="0"/>
          <w:divBdr>
            <w:top w:val="none" w:sz="0" w:space="0" w:color="auto"/>
            <w:left w:val="none" w:sz="0" w:space="0" w:color="auto"/>
            <w:bottom w:val="dashed" w:sz="6" w:space="0" w:color="CCCCCC"/>
            <w:right w:val="none" w:sz="0" w:space="0" w:color="auto"/>
          </w:divBdr>
        </w:div>
        <w:div w:id="1288394273">
          <w:marLeft w:val="0"/>
          <w:marRight w:val="0"/>
          <w:marTop w:val="0"/>
          <w:marBottom w:val="0"/>
          <w:divBdr>
            <w:top w:val="none" w:sz="0" w:space="0" w:color="auto"/>
            <w:left w:val="none" w:sz="0" w:space="0" w:color="auto"/>
            <w:bottom w:val="dashed" w:sz="6" w:space="8" w:color="CCCCCC"/>
            <w:right w:val="none" w:sz="0" w:space="0" w:color="auto"/>
          </w:divBdr>
          <w:divsChild>
            <w:div w:id="1043795234">
              <w:marLeft w:val="0"/>
              <w:marRight w:val="0"/>
              <w:marTop w:val="0"/>
              <w:marBottom w:val="15"/>
              <w:divBdr>
                <w:top w:val="none" w:sz="0" w:space="0" w:color="auto"/>
                <w:left w:val="none" w:sz="0" w:space="0" w:color="auto"/>
                <w:bottom w:val="none" w:sz="0" w:space="0" w:color="auto"/>
                <w:right w:val="none" w:sz="0" w:space="0" w:color="auto"/>
              </w:divBdr>
            </w:div>
          </w:divsChild>
        </w:div>
        <w:div w:id="1308122807">
          <w:marLeft w:val="0"/>
          <w:marRight w:val="0"/>
          <w:marTop w:val="0"/>
          <w:marBottom w:val="0"/>
          <w:divBdr>
            <w:top w:val="none" w:sz="0" w:space="0" w:color="auto"/>
            <w:left w:val="none" w:sz="0" w:space="0" w:color="auto"/>
            <w:bottom w:val="dashed" w:sz="6" w:space="8" w:color="CCCCCC"/>
            <w:right w:val="none" w:sz="0" w:space="0" w:color="auto"/>
          </w:divBdr>
          <w:divsChild>
            <w:div w:id="586891204">
              <w:marLeft w:val="0"/>
              <w:marRight w:val="0"/>
              <w:marTop w:val="0"/>
              <w:marBottom w:val="15"/>
              <w:divBdr>
                <w:top w:val="none" w:sz="0" w:space="0" w:color="auto"/>
                <w:left w:val="none" w:sz="0" w:space="0" w:color="auto"/>
                <w:bottom w:val="none" w:sz="0" w:space="0" w:color="auto"/>
                <w:right w:val="none" w:sz="0" w:space="0" w:color="auto"/>
              </w:divBdr>
            </w:div>
          </w:divsChild>
        </w:div>
        <w:div w:id="1446731381">
          <w:marLeft w:val="0"/>
          <w:marRight w:val="0"/>
          <w:marTop w:val="0"/>
          <w:marBottom w:val="0"/>
          <w:divBdr>
            <w:top w:val="none" w:sz="0" w:space="0" w:color="auto"/>
            <w:left w:val="none" w:sz="0" w:space="0" w:color="auto"/>
            <w:bottom w:val="dashed" w:sz="6" w:space="8" w:color="CCCCCC"/>
            <w:right w:val="none" w:sz="0" w:space="0" w:color="auto"/>
          </w:divBdr>
          <w:divsChild>
            <w:div w:id="2107260678">
              <w:marLeft w:val="0"/>
              <w:marRight w:val="0"/>
              <w:marTop w:val="0"/>
              <w:marBottom w:val="15"/>
              <w:divBdr>
                <w:top w:val="none" w:sz="0" w:space="0" w:color="auto"/>
                <w:left w:val="none" w:sz="0" w:space="0" w:color="auto"/>
                <w:bottom w:val="none" w:sz="0" w:space="0" w:color="auto"/>
                <w:right w:val="none" w:sz="0" w:space="0" w:color="auto"/>
              </w:divBdr>
            </w:div>
          </w:divsChild>
        </w:div>
        <w:div w:id="1452823695">
          <w:marLeft w:val="0"/>
          <w:marRight w:val="0"/>
          <w:marTop w:val="0"/>
          <w:marBottom w:val="0"/>
          <w:divBdr>
            <w:top w:val="none" w:sz="0" w:space="0" w:color="auto"/>
            <w:left w:val="none" w:sz="0" w:space="0" w:color="auto"/>
            <w:bottom w:val="dashed" w:sz="6" w:space="8" w:color="CCCCCC"/>
            <w:right w:val="none" w:sz="0" w:space="0" w:color="auto"/>
          </w:divBdr>
          <w:divsChild>
            <w:div w:id="980041494">
              <w:marLeft w:val="0"/>
              <w:marRight w:val="0"/>
              <w:marTop w:val="0"/>
              <w:marBottom w:val="15"/>
              <w:divBdr>
                <w:top w:val="none" w:sz="0" w:space="0" w:color="auto"/>
                <w:left w:val="none" w:sz="0" w:space="0" w:color="auto"/>
                <w:bottom w:val="none" w:sz="0" w:space="0" w:color="auto"/>
                <w:right w:val="none" w:sz="0" w:space="0" w:color="auto"/>
              </w:divBdr>
            </w:div>
          </w:divsChild>
        </w:div>
        <w:div w:id="1484852672">
          <w:marLeft w:val="0"/>
          <w:marRight w:val="0"/>
          <w:marTop w:val="0"/>
          <w:marBottom w:val="0"/>
          <w:divBdr>
            <w:top w:val="none" w:sz="0" w:space="0" w:color="auto"/>
            <w:left w:val="none" w:sz="0" w:space="0" w:color="auto"/>
            <w:bottom w:val="dashed" w:sz="6" w:space="8" w:color="CCCCCC"/>
            <w:right w:val="none" w:sz="0" w:space="0" w:color="auto"/>
          </w:divBdr>
          <w:divsChild>
            <w:div w:id="242111539">
              <w:marLeft w:val="0"/>
              <w:marRight w:val="0"/>
              <w:marTop w:val="0"/>
              <w:marBottom w:val="15"/>
              <w:divBdr>
                <w:top w:val="none" w:sz="0" w:space="0" w:color="auto"/>
                <w:left w:val="none" w:sz="0" w:space="0" w:color="auto"/>
                <w:bottom w:val="none" w:sz="0" w:space="0" w:color="auto"/>
                <w:right w:val="none" w:sz="0" w:space="0" w:color="auto"/>
              </w:divBdr>
            </w:div>
          </w:divsChild>
        </w:div>
        <w:div w:id="1531915707">
          <w:marLeft w:val="0"/>
          <w:marRight w:val="0"/>
          <w:marTop w:val="0"/>
          <w:marBottom w:val="0"/>
          <w:divBdr>
            <w:top w:val="none" w:sz="0" w:space="0" w:color="auto"/>
            <w:left w:val="none" w:sz="0" w:space="0" w:color="auto"/>
            <w:bottom w:val="dashed" w:sz="6" w:space="8" w:color="CCCCCC"/>
            <w:right w:val="none" w:sz="0" w:space="0" w:color="auto"/>
          </w:divBdr>
          <w:divsChild>
            <w:div w:id="1530071360">
              <w:marLeft w:val="0"/>
              <w:marRight w:val="0"/>
              <w:marTop w:val="0"/>
              <w:marBottom w:val="15"/>
              <w:divBdr>
                <w:top w:val="none" w:sz="0" w:space="0" w:color="auto"/>
                <w:left w:val="none" w:sz="0" w:space="0" w:color="auto"/>
                <w:bottom w:val="none" w:sz="0" w:space="0" w:color="auto"/>
                <w:right w:val="none" w:sz="0" w:space="0" w:color="auto"/>
              </w:divBdr>
            </w:div>
          </w:divsChild>
        </w:div>
        <w:div w:id="1553033977">
          <w:marLeft w:val="0"/>
          <w:marRight w:val="0"/>
          <w:marTop w:val="0"/>
          <w:marBottom w:val="0"/>
          <w:divBdr>
            <w:top w:val="none" w:sz="0" w:space="0" w:color="auto"/>
            <w:left w:val="none" w:sz="0" w:space="0" w:color="auto"/>
            <w:bottom w:val="dashed" w:sz="6" w:space="0" w:color="CCCCCC"/>
            <w:right w:val="none" w:sz="0" w:space="0" w:color="auto"/>
          </w:divBdr>
        </w:div>
        <w:div w:id="1622878967">
          <w:marLeft w:val="0"/>
          <w:marRight w:val="0"/>
          <w:marTop w:val="0"/>
          <w:marBottom w:val="0"/>
          <w:divBdr>
            <w:top w:val="none" w:sz="0" w:space="0" w:color="auto"/>
            <w:left w:val="none" w:sz="0" w:space="0" w:color="auto"/>
            <w:bottom w:val="dashed" w:sz="6" w:space="0" w:color="CCCCCC"/>
            <w:right w:val="none" w:sz="0" w:space="0" w:color="auto"/>
          </w:divBdr>
        </w:div>
        <w:div w:id="1845852788">
          <w:marLeft w:val="0"/>
          <w:marRight w:val="0"/>
          <w:marTop w:val="0"/>
          <w:marBottom w:val="0"/>
          <w:divBdr>
            <w:top w:val="none" w:sz="0" w:space="0" w:color="auto"/>
            <w:left w:val="none" w:sz="0" w:space="0" w:color="auto"/>
            <w:bottom w:val="dashed" w:sz="6" w:space="0" w:color="CCCCCC"/>
            <w:right w:val="none" w:sz="0" w:space="0" w:color="auto"/>
          </w:divBdr>
        </w:div>
        <w:div w:id="1921985831">
          <w:marLeft w:val="0"/>
          <w:marRight w:val="0"/>
          <w:marTop w:val="0"/>
          <w:marBottom w:val="0"/>
          <w:divBdr>
            <w:top w:val="none" w:sz="0" w:space="0" w:color="auto"/>
            <w:left w:val="none" w:sz="0" w:space="0" w:color="auto"/>
            <w:bottom w:val="dashed" w:sz="6" w:space="0" w:color="CCCCCC"/>
            <w:right w:val="none" w:sz="0" w:space="0" w:color="auto"/>
          </w:divBdr>
        </w:div>
        <w:div w:id="1931500040">
          <w:marLeft w:val="0"/>
          <w:marRight w:val="0"/>
          <w:marTop w:val="0"/>
          <w:marBottom w:val="0"/>
          <w:divBdr>
            <w:top w:val="none" w:sz="0" w:space="0" w:color="auto"/>
            <w:left w:val="none" w:sz="0" w:space="0" w:color="auto"/>
            <w:bottom w:val="dashed" w:sz="6" w:space="8" w:color="CCCCCC"/>
            <w:right w:val="none" w:sz="0" w:space="0" w:color="auto"/>
          </w:divBdr>
          <w:divsChild>
            <w:div w:id="1071998693">
              <w:marLeft w:val="0"/>
              <w:marRight w:val="0"/>
              <w:marTop w:val="0"/>
              <w:marBottom w:val="15"/>
              <w:divBdr>
                <w:top w:val="none" w:sz="0" w:space="0" w:color="auto"/>
                <w:left w:val="none" w:sz="0" w:space="0" w:color="auto"/>
                <w:bottom w:val="none" w:sz="0" w:space="0" w:color="auto"/>
                <w:right w:val="none" w:sz="0" w:space="0" w:color="auto"/>
              </w:divBdr>
            </w:div>
          </w:divsChild>
        </w:div>
        <w:div w:id="2009823038">
          <w:marLeft w:val="0"/>
          <w:marRight w:val="0"/>
          <w:marTop w:val="0"/>
          <w:marBottom w:val="0"/>
          <w:divBdr>
            <w:top w:val="none" w:sz="0" w:space="0" w:color="auto"/>
            <w:left w:val="none" w:sz="0" w:space="0" w:color="auto"/>
            <w:bottom w:val="dashed" w:sz="6" w:space="0" w:color="CCCCCC"/>
            <w:right w:val="none" w:sz="0" w:space="0" w:color="auto"/>
          </w:divBdr>
        </w:div>
        <w:div w:id="2078896953">
          <w:marLeft w:val="0"/>
          <w:marRight w:val="0"/>
          <w:marTop w:val="0"/>
          <w:marBottom w:val="0"/>
          <w:divBdr>
            <w:top w:val="single" w:sz="2" w:space="0" w:color="000000"/>
            <w:left w:val="single" w:sz="2" w:space="0" w:color="000000"/>
            <w:bottom w:val="single" w:sz="2" w:space="0" w:color="000000"/>
            <w:right w:val="single" w:sz="2" w:space="0" w:color="000000"/>
          </w:divBdr>
          <w:divsChild>
            <w:div w:id="5536653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81709226">
          <w:marLeft w:val="0"/>
          <w:marRight w:val="0"/>
          <w:marTop w:val="0"/>
          <w:marBottom w:val="0"/>
          <w:divBdr>
            <w:top w:val="none" w:sz="0" w:space="0" w:color="auto"/>
            <w:left w:val="none" w:sz="0" w:space="0" w:color="auto"/>
            <w:bottom w:val="dashed" w:sz="6" w:space="0" w:color="CCCCCC"/>
            <w:right w:val="none" w:sz="0" w:space="0" w:color="auto"/>
          </w:divBdr>
        </w:div>
        <w:div w:id="2082292146">
          <w:marLeft w:val="0"/>
          <w:marRight w:val="0"/>
          <w:marTop w:val="0"/>
          <w:marBottom w:val="0"/>
          <w:divBdr>
            <w:top w:val="none" w:sz="0" w:space="0" w:color="auto"/>
            <w:left w:val="none" w:sz="0" w:space="0" w:color="auto"/>
            <w:bottom w:val="dashed" w:sz="6" w:space="8" w:color="CCCCCC"/>
            <w:right w:val="none" w:sz="0" w:space="0" w:color="auto"/>
          </w:divBdr>
          <w:divsChild>
            <w:div w:id="1723093451">
              <w:marLeft w:val="0"/>
              <w:marRight w:val="0"/>
              <w:marTop w:val="0"/>
              <w:marBottom w:val="15"/>
              <w:divBdr>
                <w:top w:val="none" w:sz="0" w:space="0" w:color="auto"/>
                <w:left w:val="none" w:sz="0" w:space="0" w:color="auto"/>
                <w:bottom w:val="none" w:sz="0" w:space="0" w:color="auto"/>
                <w:right w:val="none" w:sz="0" w:space="0" w:color="auto"/>
              </w:divBdr>
            </w:div>
          </w:divsChild>
        </w:div>
        <w:div w:id="2126121189">
          <w:marLeft w:val="0"/>
          <w:marRight w:val="0"/>
          <w:marTop w:val="0"/>
          <w:marBottom w:val="0"/>
          <w:divBdr>
            <w:top w:val="none" w:sz="0" w:space="0" w:color="auto"/>
            <w:left w:val="none" w:sz="0" w:space="0" w:color="auto"/>
            <w:bottom w:val="dashed" w:sz="6" w:space="0" w:color="CCCCCC"/>
            <w:right w:val="none" w:sz="0" w:space="0" w:color="auto"/>
          </w:divBdr>
        </w:div>
      </w:divsChild>
    </w:div>
  </w:divs>
  <w:optimizeForBrowser/>
  <w:relyOnVML/>
  <w:allowPNG/>
  <w:doNotRelyOnCS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www.health.gov.au/resources/publications/covid-19-vaccination-geographic-vaccination-rates-sa4-19-april-2022" TargetMode="Externa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image" Target="media/image6.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yperlink" Target="https://www.gladstone.qld.gov.au/major-projec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5.png"/><Relationship Id="rId32" Type="http://schemas.openxmlformats.org/officeDocument/2006/relationships/image" Target="media/image7.jpe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4.png"/><Relationship Id="rId28" Type="http://schemas.openxmlformats.org/officeDocument/2006/relationships/hyperlink" Target="https://www.rockhamptonregion.qld.gov.au/CouncilServices/Works-and-Projects/Major-Projects"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www.livingstone.qld.gov.au/living-here/my-community/council-projec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png"/><Relationship Id="rId27" Type="http://schemas.openxmlformats.org/officeDocument/2006/relationships/hyperlink" Target="https://www.csq.org.au/major-projects-explorer/explore-by-project/" TargetMode="External"/><Relationship Id="rId30" Type="http://schemas.openxmlformats.org/officeDocument/2006/relationships/hyperlink" Target="https://www.chrc.qld.gov.au/building-planning-projects/council-projects/"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C79623605747A9B1C631F7176AF38E"/>
        <w:category>
          <w:name w:val="General"/>
          <w:gallery w:val="placeholder"/>
        </w:category>
        <w:types>
          <w:type w:val="bbPlcHdr"/>
        </w:types>
        <w:behaviors>
          <w:behavior w:val="content"/>
        </w:behaviors>
        <w:guid w:val="{38CE61B6-5D68-4DB0-BFE8-AA6447DAD9C9}"/>
      </w:docPartPr>
      <w:docPartBody>
        <w:p w:rsidR="006F5B89" w:rsidRDefault="004229CE" w:rsidP="004229CE">
          <w:pPr>
            <w:pStyle w:val="A7C79623605747A9B1C631F7176AF38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ontserrat Regular">
    <w:altName w:val="Montserrat"/>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9CE"/>
    <w:rsid w:val="0002427F"/>
    <w:rsid w:val="00072C93"/>
    <w:rsid w:val="000C78B6"/>
    <w:rsid w:val="0010798F"/>
    <w:rsid w:val="00165923"/>
    <w:rsid w:val="00196280"/>
    <w:rsid w:val="001C1659"/>
    <w:rsid w:val="002423EA"/>
    <w:rsid w:val="00271571"/>
    <w:rsid w:val="00277F5C"/>
    <w:rsid w:val="00291F26"/>
    <w:rsid w:val="00344A6C"/>
    <w:rsid w:val="003A078D"/>
    <w:rsid w:val="004229CE"/>
    <w:rsid w:val="00431C2D"/>
    <w:rsid w:val="00492322"/>
    <w:rsid w:val="004E1597"/>
    <w:rsid w:val="0054535F"/>
    <w:rsid w:val="00580ECC"/>
    <w:rsid w:val="006315ED"/>
    <w:rsid w:val="006937FF"/>
    <w:rsid w:val="006E0910"/>
    <w:rsid w:val="006F5B89"/>
    <w:rsid w:val="00813298"/>
    <w:rsid w:val="00894E5B"/>
    <w:rsid w:val="008B7E63"/>
    <w:rsid w:val="009E241E"/>
    <w:rsid w:val="00A0050A"/>
    <w:rsid w:val="00A23569"/>
    <w:rsid w:val="00B73C75"/>
    <w:rsid w:val="00BA2A98"/>
    <w:rsid w:val="00C0729D"/>
    <w:rsid w:val="00CC7FF2"/>
    <w:rsid w:val="00D64643"/>
    <w:rsid w:val="00E7133D"/>
    <w:rsid w:val="00EA0D6E"/>
    <w:rsid w:val="00EE20E7"/>
    <w:rsid w:val="00F149FE"/>
    <w:rsid w:val="00F41A99"/>
    <w:rsid w:val="00F87E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C79623605747A9B1C631F7176AF38E">
    <w:name w:val="A7C79623605747A9B1C631F7176AF38E"/>
    <w:rsid w:val="004229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684FFD513E214DB177B4B1E1CF8302" ma:contentTypeVersion="10" ma:contentTypeDescription="Create a new document." ma:contentTypeScope="" ma:versionID="c5bc35e042d1a0dd2951a512d34aeeb9">
  <xsd:schema xmlns:xsd="http://www.w3.org/2001/XMLSchema" xmlns:xs="http://www.w3.org/2001/XMLSchema" xmlns:p="http://schemas.microsoft.com/office/2006/metadata/properties" xmlns:ns2="663db55d-98e5-4f78-b1a0-f2c39b667bcd" xmlns:ns3="d40b6bd6-bee1-4000-bb3c-fa719dfaf400" targetNamespace="http://schemas.microsoft.com/office/2006/metadata/properties" ma:root="true" ma:fieldsID="7019b948f5b0282a740df85241e131bf" ns2:_="" ns3:_="">
    <xsd:import namespace="663db55d-98e5-4f78-b1a0-f2c39b667bcd"/>
    <xsd:import namespace="d40b6bd6-bee1-4000-bb3c-fa719dfaf4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db55d-98e5-4f78-b1a0-f2c39b667b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0b6bd6-bee1-4000-bb3c-fa719dfaf4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82BD6-5A4D-4530-915B-03523CDC7219}">
  <ds:schemaRefs>
    <ds:schemaRef ds:uri="http://schemas.microsoft.com/sharepoint/v3/contenttype/forms"/>
  </ds:schemaRefs>
</ds:datastoreItem>
</file>

<file path=customXml/itemProps2.xml><?xml version="1.0" encoding="utf-8"?>
<ds:datastoreItem xmlns:ds="http://schemas.openxmlformats.org/officeDocument/2006/customXml" ds:itemID="{073355D1-6185-4203-9778-9F2FED957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db55d-98e5-4f78-b1a0-f2c39b667bcd"/>
    <ds:schemaRef ds:uri="d40b6bd6-bee1-4000-bb3c-fa719dfaf4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88984E-8555-4BA4-AC00-790F52B8B571}">
  <ds:schemaRefs>
    <ds:schemaRef ds:uri="d40b6bd6-bee1-4000-bb3c-fa719dfaf400"/>
    <ds:schemaRef ds:uri="http://schemas.microsoft.com/office/2006/documentManagement/types"/>
    <ds:schemaRef ds:uri="http://schemas.microsoft.com/office/2006/metadata/properties"/>
    <ds:schemaRef ds:uri="http://www.w3.org/XML/1998/namespace"/>
    <ds:schemaRef ds:uri="http://purl.org/dc/elements/1.1/"/>
    <ds:schemaRef ds:uri="http://schemas.openxmlformats.org/package/2006/metadata/core-properties"/>
    <ds:schemaRef ds:uri="http://purl.org/dc/dcmitype/"/>
    <ds:schemaRef ds:uri="http://schemas.microsoft.com/office/infopath/2007/PartnerControls"/>
    <ds:schemaRef ds:uri="663db55d-98e5-4f78-b1a0-f2c39b667bcd"/>
    <ds:schemaRef ds:uri="http://purl.org/dc/terms/"/>
  </ds:schemaRefs>
</ds:datastoreItem>
</file>

<file path=customXml/itemProps4.xml><?xml version="1.0" encoding="utf-8"?>
<ds:datastoreItem xmlns:ds="http://schemas.openxmlformats.org/officeDocument/2006/customXml" ds:itemID="{F91935E5-6EE4-415E-A593-AE9A20BD8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4630</Words>
  <Characters>27185</Characters>
  <Application>Microsoft Office Word</Application>
  <DocSecurity>0</DocSecurity>
  <Lines>643</Lines>
  <Paragraphs>270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31623</CharactersWithSpaces>
  <SharedDoc>false</SharedDoc>
  <HLinks>
    <vt:vector size="78" baseType="variant">
      <vt:variant>
        <vt:i4>917584</vt:i4>
      </vt:variant>
      <vt:variant>
        <vt:i4>60</vt:i4>
      </vt:variant>
      <vt:variant>
        <vt:i4>0</vt:i4>
      </vt:variant>
      <vt:variant>
        <vt:i4>5</vt:i4>
      </vt:variant>
      <vt:variant>
        <vt:lpwstr>https://www.livingstone.qld.gov.au/living-here/my-community/council-projects</vt:lpwstr>
      </vt:variant>
      <vt:variant>
        <vt:lpwstr/>
      </vt:variant>
      <vt:variant>
        <vt:i4>1179717</vt:i4>
      </vt:variant>
      <vt:variant>
        <vt:i4>57</vt:i4>
      </vt:variant>
      <vt:variant>
        <vt:i4>0</vt:i4>
      </vt:variant>
      <vt:variant>
        <vt:i4>5</vt:i4>
      </vt:variant>
      <vt:variant>
        <vt:lpwstr>https://www.chrc.qld.gov.au/building-planning-projects/council-projects/</vt:lpwstr>
      </vt:variant>
      <vt:variant>
        <vt:lpwstr/>
      </vt:variant>
      <vt:variant>
        <vt:i4>7929901</vt:i4>
      </vt:variant>
      <vt:variant>
        <vt:i4>54</vt:i4>
      </vt:variant>
      <vt:variant>
        <vt:i4>0</vt:i4>
      </vt:variant>
      <vt:variant>
        <vt:i4>5</vt:i4>
      </vt:variant>
      <vt:variant>
        <vt:lpwstr>https://www.gladstone.qld.gov.au/major-projects</vt:lpwstr>
      </vt:variant>
      <vt:variant>
        <vt:lpwstr/>
      </vt:variant>
      <vt:variant>
        <vt:i4>7536693</vt:i4>
      </vt:variant>
      <vt:variant>
        <vt:i4>51</vt:i4>
      </vt:variant>
      <vt:variant>
        <vt:i4>0</vt:i4>
      </vt:variant>
      <vt:variant>
        <vt:i4>5</vt:i4>
      </vt:variant>
      <vt:variant>
        <vt:lpwstr>https://www.rockhamptonregion.qld.gov.au/CouncilServices/Works-and-Projects/Major-Projects</vt:lpwstr>
      </vt:variant>
      <vt:variant>
        <vt:lpwstr/>
      </vt:variant>
      <vt:variant>
        <vt:i4>7995443</vt:i4>
      </vt:variant>
      <vt:variant>
        <vt:i4>48</vt:i4>
      </vt:variant>
      <vt:variant>
        <vt:i4>0</vt:i4>
      </vt:variant>
      <vt:variant>
        <vt:i4>5</vt:i4>
      </vt:variant>
      <vt:variant>
        <vt:lpwstr>https://www.csq.org.au/major-projects-explorer/explore-by-project/</vt:lpwstr>
      </vt:variant>
      <vt:variant>
        <vt:lpwstr/>
      </vt:variant>
      <vt:variant>
        <vt:i4>720974</vt:i4>
      </vt:variant>
      <vt:variant>
        <vt:i4>45</vt:i4>
      </vt:variant>
      <vt:variant>
        <vt:i4>0</vt:i4>
      </vt:variant>
      <vt:variant>
        <vt:i4>5</vt:i4>
      </vt:variant>
      <vt:variant>
        <vt:lpwstr>https://www.health.gov.au/resources/publications/covid-19-vaccination-geographic-vaccination-rates-sa4-19-april-2022</vt:lpwstr>
      </vt:variant>
      <vt:variant>
        <vt:lpwstr/>
      </vt:variant>
      <vt:variant>
        <vt:i4>1966137</vt:i4>
      </vt:variant>
      <vt:variant>
        <vt:i4>38</vt:i4>
      </vt:variant>
      <vt:variant>
        <vt:i4>0</vt:i4>
      </vt:variant>
      <vt:variant>
        <vt:i4>5</vt:i4>
      </vt:variant>
      <vt:variant>
        <vt:lpwstr/>
      </vt:variant>
      <vt:variant>
        <vt:lpwstr>_Toc94614529</vt:lpwstr>
      </vt:variant>
      <vt:variant>
        <vt:i4>2031673</vt:i4>
      </vt:variant>
      <vt:variant>
        <vt:i4>32</vt:i4>
      </vt:variant>
      <vt:variant>
        <vt:i4>0</vt:i4>
      </vt:variant>
      <vt:variant>
        <vt:i4>5</vt:i4>
      </vt:variant>
      <vt:variant>
        <vt:lpwstr/>
      </vt:variant>
      <vt:variant>
        <vt:lpwstr>_Toc94614528</vt:lpwstr>
      </vt:variant>
      <vt:variant>
        <vt:i4>1048633</vt:i4>
      </vt:variant>
      <vt:variant>
        <vt:i4>26</vt:i4>
      </vt:variant>
      <vt:variant>
        <vt:i4>0</vt:i4>
      </vt:variant>
      <vt:variant>
        <vt:i4>5</vt:i4>
      </vt:variant>
      <vt:variant>
        <vt:lpwstr/>
      </vt:variant>
      <vt:variant>
        <vt:lpwstr>_Toc94614527</vt:lpwstr>
      </vt:variant>
      <vt:variant>
        <vt:i4>1114169</vt:i4>
      </vt:variant>
      <vt:variant>
        <vt:i4>20</vt:i4>
      </vt:variant>
      <vt:variant>
        <vt:i4>0</vt:i4>
      </vt:variant>
      <vt:variant>
        <vt:i4>5</vt:i4>
      </vt:variant>
      <vt:variant>
        <vt:lpwstr/>
      </vt:variant>
      <vt:variant>
        <vt:lpwstr>_Toc94614526</vt:lpwstr>
      </vt:variant>
      <vt:variant>
        <vt:i4>1179705</vt:i4>
      </vt:variant>
      <vt:variant>
        <vt:i4>14</vt:i4>
      </vt:variant>
      <vt:variant>
        <vt:i4>0</vt:i4>
      </vt:variant>
      <vt:variant>
        <vt:i4>5</vt:i4>
      </vt:variant>
      <vt:variant>
        <vt:lpwstr/>
      </vt:variant>
      <vt:variant>
        <vt:lpwstr>_Toc94614525</vt:lpwstr>
      </vt:variant>
      <vt:variant>
        <vt:i4>1245241</vt:i4>
      </vt:variant>
      <vt:variant>
        <vt:i4>8</vt:i4>
      </vt:variant>
      <vt:variant>
        <vt:i4>0</vt:i4>
      </vt:variant>
      <vt:variant>
        <vt:i4>5</vt:i4>
      </vt:variant>
      <vt:variant>
        <vt:lpwstr/>
      </vt:variant>
      <vt:variant>
        <vt:lpwstr>_Toc94614524</vt:lpwstr>
      </vt:variant>
      <vt:variant>
        <vt:i4>1310777</vt:i4>
      </vt:variant>
      <vt:variant>
        <vt:i4>2</vt:i4>
      </vt:variant>
      <vt:variant>
        <vt:i4>0</vt:i4>
      </vt:variant>
      <vt:variant>
        <vt:i4>5</vt:i4>
      </vt:variant>
      <vt:variant>
        <vt:lpwstr/>
      </vt:variant>
      <vt:variant>
        <vt:lpwstr>_Toc94614523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KEEN,Melanie</dc:creator>
  <cp:keywords/>
  <cp:lastModifiedBy>BELL,Ellie</cp:lastModifiedBy>
  <cp:revision>5</cp:revision>
  <cp:lastPrinted>2022-06-17T02:22:00Z</cp:lastPrinted>
  <dcterms:created xsi:type="dcterms:W3CDTF">2022-06-16T06:22:00Z</dcterms:created>
  <dcterms:modified xsi:type="dcterms:W3CDTF">2022-06-17T02:22:00Z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0x01010017684FFD513E214DB177B4B1E1CF8302</vt:lpwstr>
  </property>
  <property fmtid="{D5CDD505-2E9C-101B-9397-08002B2CF9AE}" pid="3" name="MSIP_Label_5f877481-9e35-4b68-b667-876a73c6db41_Enabled">
    <vt:lpwstr>true</vt:lpwstr>
  </property>
  <property fmtid="{D5CDD505-2E9C-101B-9397-08002B2CF9AE}" pid="4" name="MSIP_Label_5f877481-9e35-4b68-b667-876a73c6db41_SetDate">
    <vt:lpwstr>2022-04-13T23:30:36Z</vt:lpwstr>
  </property>
  <property fmtid="{D5CDD505-2E9C-101B-9397-08002B2CF9AE}" pid="5" name="MSIP_Label_5f877481-9e35-4b68-b667-876a73c6db41_Method">
    <vt:lpwstr>Privileged</vt:lpwstr>
  </property>
  <property fmtid="{D5CDD505-2E9C-101B-9397-08002B2CF9AE}" pid="6" name="MSIP_Label_5f877481-9e35-4b68-b667-876a73c6db41_Name">
    <vt:lpwstr>5f877481-9e35-4b68-b667-876a73c6db41</vt:lpwstr>
  </property>
  <property fmtid="{D5CDD505-2E9C-101B-9397-08002B2CF9AE}" pid="7" name="MSIP_Label_5f877481-9e35-4b68-b667-876a73c6db41_SiteId">
    <vt:lpwstr>dd0cfd15-4558-4b12-8bad-ea26984fc417</vt:lpwstr>
  </property>
  <property fmtid="{D5CDD505-2E9C-101B-9397-08002B2CF9AE}" pid="8" name="MSIP_Label_5f877481-9e35-4b68-b667-876a73c6db41_ActionId">
    <vt:lpwstr>2359250b-91a1-42a3-ab77-2e19da77d464</vt:lpwstr>
  </property>
  <property fmtid="{D5CDD505-2E9C-101B-9397-08002B2CF9AE}" pid="9" name="MSIP_Label_5f877481-9e35-4b68-b667-876a73c6db41_ContentBits">
    <vt:lpwstr>0</vt:lpwstr>
  </property>
</Properties>
</file>