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71D2" w14:textId="77777777" w:rsidR="0020723A" w:rsidRPr="00987C38" w:rsidRDefault="0020723A" w:rsidP="0020723A">
      <w:pPr>
        <w:pStyle w:val="Title"/>
        <w:jc w:val="center"/>
      </w:pPr>
      <w:r w:rsidRPr="00987C38">
        <w:t xml:space="preserve">                                                                                                                                                                                                                                                                                                                                                                                                                                                                                                                                                                                                                                                                                                                                                                                                                                                                                                                                                                                                                                                                                                                                                                                                                                                                                                                                                                                                                                                                                                                                                                                                                                                                                                                                                                                                                                                                                                                                                                                                                                                                                                                                                                                                                                                                                                                                                                                                                                                                                                                                                                                                                                                                                                                                                                                                                                                                                                                                                                                                                                                                                                                                                                                                                                                                                                                                                                                                                                                                                                                                                                                                                                                                                                                                                                                                                                                                                                                                                                                                                                                                                                                                                                                   </w:t>
      </w:r>
    </w:p>
    <w:p w14:paraId="53347382" w14:textId="77777777" w:rsidR="0020723A" w:rsidRPr="00987C38" w:rsidRDefault="0020723A" w:rsidP="0020723A">
      <w:pPr>
        <w:pStyle w:val="Title"/>
        <w:jc w:val="center"/>
        <w:sectPr w:rsidR="0020723A" w:rsidRPr="00987C38" w:rsidSect="0020723A">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993" w:left="1440" w:header="709" w:footer="567" w:gutter="0"/>
          <w:cols w:space="708"/>
          <w:docGrid w:linePitch="360"/>
        </w:sectPr>
      </w:pPr>
      <w:r w:rsidRPr="00987C38">
        <w:rPr>
          <w:noProof/>
          <w:lang w:eastAsia="en-AU"/>
        </w:rPr>
        <w:drawing>
          <wp:inline distT="0" distB="0" distL="0" distR="0" wp14:anchorId="6463B93D" wp14:editId="60C6407C">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bookmarkStart w:id="0" w:name="_Toc364946114"/>
    </w:p>
    <w:p w14:paraId="1E402390" w14:textId="77777777" w:rsidR="0020723A" w:rsidRPr="00987C38" w:rsidRDefault="0020723A" w:rsidP="0020723A">
      <w:bookmarkStart w:id="1" w:name="_Toc24447248"/>
      <w:bookmarkEnd w:id="0"/>
    </w:p>
    <w:p w14:paraId="1DA0FCEB" w14:textId="77777777" w:rsidR="0020723A" w:rsidRPr="00987C38" w:rsidRDefault="0020723A" w:rsidP="0020723A">
      <w:pPr>
        <w:jc w:val="center"/>
      </w:pPr>
    </w:p>
    <w:p w14:paraId="4413804A" w14:textId="77777777" w:rsidR="0020723A" w:rsidRPr="00987C38" w:rsidRDefault="0020723A" w:rsidP="0020723A">
      <w:pPr>
        <w:spacing w:before="120" w:after="480" w:line="240" w:lineRule="auto"/>
        <w:jc w:val="center"/>
        <w:rPr>
          <w:b/>
          <w:bCs/>
          <w:color w:val="002060"/>
          <w:sz w:val="72"/>
          <w:szCs w:val="72"/>
        </w:rPr>
      </w:pPr>
      <w:r w:rsidRPr="00987C38">
        <w:rPr>
          <w:b/>
          <w:bCs/>
          <w:color w:val="002060"/>
          <w:sz w:val="72"/>
          <w:szCs w:val="72"/>
        </w:rPr>
        <w:t>Local Jobs Plan</w:t>
      </w:r>
    </w:p>
    <w:p w14:paraId="3B2D6436" w14:textId="77777777" w:rsidR="0020723A" w:rsidRPr="00987C38" w:rsidRDefault="0020723A" w:rsidP="0020723A">
      <w:pPr>
        <w:spacing w:before="120" w:after="480" w:line="240" w:lineRule="auto"/>
        <w:jc w:val="center"/>
        <w:rPr>
          <w:b/>
          <w:bCs/>
          <w:color w:val="002060"/>
          <w:sz w:val="68"/>
          <w:szCs w:val="68"/>
        </w:rPr>
      </w:pPr>
      <w:r w:rsidRPr="00987C38">
        <w:rPr>
          <w:b/>
          <w:bCs/>
          <w:color w:val="002060"/>
          <w:sz w:val="68"/>
          <w:szCs w:val="68"/>
        </w:rPr>
        <w:t>Kalgoorlie</w:t>
      </w:r>
    </w:p>
    <w:p w14:paraId="576A307A" w14:textId="77777777" w:rsidR="0020723A" w:rsidRPr="00987C38" w:rsidRDefault="0020723A" w:rsidP="0020723A">
      <w:pPr>
        <w:spacing w:before="120" w:after="480" w:line="240" w:lineRule="auto"/>
        <w:jc w:val="center"/>
        <w:rPr>
          <w:b/>
          <w:bCs/>
          <w:color w:val="002060"/>
          <w:sz w:val="64"/>
          <w:szCs w:val="64"/>
        </w:rPr>
      </w:pPr>
      <w:r w:rsidRPr="00987C38">
        <w:rPr>
          <w:b/>
          <w:bCs/>
          <w:color w:val="002060"/>
          <w:sz w:val="64"/>
          <w:szCs w:val="64"/>
        </w:rPr>
        <w:t>Western Australia</w:t>
      </w:r>
    </w:p>
    <w:p w14:paraId="1FD28F64" w14:textId="46ABD9EB" w:rsidR="0020723A" w:rsidRPr="00987C38" w:rsidRDefault="001D0EEE" w:rsidP="0020723A">
      <w:pPr>
        <w:spacing w:before="120" w:after="480"/>
        <w:jc w:val="center"/>
        <w:rPr>
          <w:b/>
          <w:bCs/>
          <w:color w:val="002060"/>
          <w:sz w:val="60"/>
          <w:szCs w:val="60"/>
        </w:rPr>
      </w:pPr>
      <w:r>
        <w:rPr>
          <w:b/>
          <w:bCs/>
          <w:color w:val="002060"/>
          <w:sz w:val="60"/>
          <w:szCs w:val="60"/>
        </w:rPr>
        <w:t>May</w:t>
      </w:r>
      <w:r w:rsidR="0020723A" w:rsidRPr="00987C38">
        <w:rPr>
          <w:b/>
          <w:bCs/>
          <w:color w:val="002060"/>
          <w:sz w:val="60"/>
          <w:szCs w:val="60"/>
        </w:rPr>
        <w:t xml:space="preserve"> 202</w:t>
      </w:r>
      <w:r w:rsidR="00183343">
        <w:rPr>
          <w:b/>
          <w:bCs/>
          <w:color w:val="002060"/>
          <w:sz w:val="60"/>
          <w:szCs w:val="60"/>
        </w:rPr>
        <w:t>2</w:t>
      </w:r>
    </w:p>
    <w:p w14:paraId="6BD3A559" w14:textId="77777777" w:rsidR="0020723A" w:rsidRPr="00987C38" w:rsidRDefault="0020723A" w:rsidP="0020723A">
      <w:r w:rsidRPr="00987C38">
        <w:br w:type="page"/>
      </w:r>
    </w:p>
    <w:sdt>
      <w:sdtPr>
        <w:rPr>
          <w:rFonts w:asciiTheme="minorHAnsi" w:eastAsiaTheme="minorEastAsia" w:hAnsiTheme="minorHAnsi" w:cstheme="minorBidi"/>
          <w:noProof w:val="0"/>
          <w:color w:val="auto"/>
          <w:sz w:val="22"/>
          <w:szCs w:val="22"/>
          <w:lang w:bidi="ar-SA"/>
        </w:rPr>
        <w:id w:val="-476842593"/>
        <w:docPartObj>
          <w:docPartGallery w:val="Table of Contents"/>
          <w:docPartUnique/>
        </w:docPartObj>
      </w:sdtPr>
      <w:sdtEndPr>
        <w:rPr>
          <w:b/>
          <w:bCs/>
        </w:rPr>
      </w:sdtEndPr>
      <w:sdtContent>
        <w:p w14:paraId="317B461D" w14:textId="77777777" w:rsidR="0020723A" w:rsidRPr="00987C38" w:rsidRDefault="0020723A" w:rsidP="0020723A">
          <w:pPr>
            <w:pStyle w:val="TOCHeading"/>
            <w:rPr>
              <w:noProof w:val="0"/>
            </w:rPr>
          </w:pPr>
          <w:r w:rsidRPr="00987C38">
            <w:rPr>
              <w:noProof w:val="0"/>
            </w:rPr>
            <w:t>Contents</w:t>
          </w:r>
        </w:p>
        <w:p w14:paraId="494B429E" w14:textId="4E57ADC4" w:rsidR="008614F3" w:rsidRPr="00987C38" w:rsidRDefault="0020723A">
          <w:pPr>
            <w:pStyle w:val="TOC1"/>
            <w:tabs>
              <w:tab w:val="right" w:leader="dot" w:pos="9038"/>
            </w:tabs>
            <w:rPr>
              <w:noProof/>
              <w:lang w:eastAsia="en-AU"/>
            </w:rPr>
          </w:pPr>
          <w:r w:rsidRPr="00987C38">
            <w:fldChar w:fldCharType="begin"/>
          </w:r>
          <w:r w:rsidRPr="00987C38">
            <w:instrText xml:space="preserve"> TOC \o "1-3" \h \z \u </w:instrText>
          </w:r>
          <w:r w:rsidRPr="00987C38">
            <w:fldChar w:fldCharType="separate"/>
          </w:r>
          <w:hyperlink w:anchor="_Toc79411026" w:history="1">
            <w:r w:rsidR="008614F3" w:rsidRPr="00987C38">
              <w:rPr>
                <w:rStyle w:val="Hyperlink"/>
                <w:noProof/>
              </w:rPr>
              <w:t>The Local Jobs Program</w:t>
            </w:r>
            <w:r w:rsidR="008614F3" w:rsidRPr="00987C38">
              <w:rPr>
                <w:noProof/>
                <w:webHidden/>
              </w:rPr>
              <w:tab/>
            </w:r>
            <w:r w:rsidR="008614F3" w:rsidRPr="00987C38">
              <w:rPr>
                <w:noProof/>
                <w:webHidden/>
              </w:rPr>
              <w:fldChar w:fldCharType="begin"/>
            </w:r>
            <w:r w:rsidR="008614F3" w:rsidRPr="00987C38">
              <w:rPr>
                <w:noProof/>
                <w:webHidden/>
              </w:rPr>
              <w:instrText xml:space="preserve"> PAGEREF _Toc79411026 \h </w:instrText>
            </w:r>
            <w:r w:rsidR="008614F3" w:rsidRPr="00987C38">
              <w:rPr>
                <w:noProof/>
                <w:webHidden/>
              </w:rPr>
            </w:r>
            <w:r w:rsidR="008614F3" w:rsidRPr="00987C38">
              <w:rPr>
                <w:noProof/>
                <w:webHidden/>
              </w:rPr>
              <w:fldChar w:fldCharType="separate"/>
            </w:r>
            <w:r w:rsidR="00277823">
              <w:rPr>
                <w:noProof/>
                <w:webHidden/>
              </w:rPr>
              <w:t>3</w:t>
            </w:r>
            <w:r w:rsidR="008614F3" w:rsidRPr="00987C38">
              <w:rPr>
                <w:noProof/>
                <w:webHidden/>
              </w:rPr>
              <w:fldChar w:fldCharType="end"/>
            </w:r>
          </w:hyperlink>
        </w:p>
        <w:p w14:paraId="674793B5" w14:textId="0A3E0B42" w:rsidR="008614F3" w:rsidRPr="00987C38" w:rsidRDefault="00277823">
          <w:pPr>
            <w:pStyle w:val="TOC1"/>
            <w:tabs>
              <w:tab w:val="right" w:leader="dot" w:pos="9038"/>
            </w:tabs>
            <w:rPr>
              <w:noProof/>
              <w:lang w:eastAsia="en-AU"/>
            </w:rPr>
          </w:pPr>
          <w:hyperlink w:anchor="_Toc79411027" w:history="1">
            <w:r w:rsidR="008614F3" w:rsidRPr="00987C38">
              <w:rPr>
                <w:rStyle w:val="Hyperlink"/>
                <w:noProof/>
              </w:rPr>
              <w:t>Key employment and training priorities</w:t>
            </w:r>
            <w:r w:rsidR="008614F3" w:rsidRPr="00987C38">
              <w:rPr>
                <w:noProof/>
                <w:webHidden/>
              </w:rPr>
              <w:tab/>
            </w:r>
            <w:r w:rsidR="008614F3" w:rsidRPr="00987C38">
              <w:rPr>
                <w:noProof/>
                <w:webHidden/>
              </w:rPr>
              <w:fldChar w:fldCharType="begin"/>
            </w:r>
            <w:r w:rsidR="008614F3" w:rsidRPr="00987C38">
              <w:rPr>
                <w:noProof/>
                <w:webHidden/>
              </w:rPr>
              <w:instrText xml:space="preserve"> PAGEREF _Toc79411027 \h </w:instrText>
            </w:r>
            <w:r w:rsidR="008614F3" w:rsidRPr="00987C38">
              <w:rPr>
                <w:noProof/>
                <w:webHidden/>
              </w:rPr>
            </w:r>
            <w:r w:rsidR="008614F3" w:rsidRPr="00987C38">
              <w:rPr>
                <w:noProof/>
                <w:webHidden/>
              </w:rPr>
              <w:fldChar w:fldCharType="separate"/>
            </w:r>
            <w:r>
              <w:rPr>
                <w:noProof/>
                <w:webHidden/>
              </w:rPr>
              <w:t>3</w:t>
            </w:r>
            <w:r w:rsidR="008614F3" w:rsidRPr="00987C38">
              <w:rPr>
                <w:noProof/>
                <w:webHidden/>
              </w:rPr>
              <w:fldChar w:fldCharType="end"/>
            </w:r>
          </w:hyperlink>
        </w:p>
        <w:p w14:paraId="3FFA62EB" w14:textId="5AB25063" w:rsidR="008614F3" w:rsidRPr="00987C38" w:rsidRDefault="00277823">
          <w:pPr>
            <w:pStyle w:val="TOC1"/>
            <w:tabs>
              <w:tab w:val="right" w:leader="dot" w:pos="9038"/>
            </w:tabs>
            <w:rPr>
              <w:noProof/>
              <w:lang w:eastAsia="en-AU"/>
            </w:rPr>
          </w:pPr>
          <w:hyperlink w:anchor="_Toc79411028" w:history="1">
            <w:r w:rsidR="008614F3" w:rsidRPr="00987C38">
              <w:rPr>
                <w:rStyle w:val="Hyperlink"/>
                <w:noProof/>
              </w:rPr>
              <w:t>Employment Region overview</w:t>
            </w:r>
            <w:r w:rsidR="008614F3" w:rsidRPr="00987C38">
              <w:rPr>
                <w:noProof/>
                <w:webHidden/>
              </w:rPr>
              <w:tab/>
            </w:r>
            <w:r w:rsidR="008614F3" w:rsidRPr="00987C38">
              <w:rPr>
                <w:noProof/>
                <w:webHidden/>
              </w:rPr>
              <w:fldChar w:fldCharType="begin"/>
            </w:r>
            <w:r w:rsidR="008614F3" w:rsidRPr="00987C38">
              <w:rPr>
                <w:noProof/>
                <w:webHidden/>
              </w:rPr>
              <w:instrText xml:space="preserve"> PAGEREF _Toc79411028 \h </w:instrText>
            </w:r>
            <w:r w:rsidR="008614F3" w:rsidRPr="00987C38">
              <w:rPr>
                <w:noProof/>
                <w:webHidden/>
              </w:rPr>
            </w:r>
            <w:r w:rsidR="008614F3" w:rsidRPr="00987C38">
              <w:rPr>
                <w:noProof/>
                <w:webHidden/>
              </w:rPr>
              <w:fldChar w:fldCharType="separate"/>
            </w:r>
            <w:r>
              <w:rPr>
                <w:noProof/>
                <w:webHidden/>
              </w:rPr>
              <w:t>4</w:t>
            </w:r>
            <w:r w:rsidR="008614F3" w:rsidRPr="00987C38">
              <w:rPr>
                <w:noProof/>
                <w:webHidden/>
              </w:rPr>
              <w:fldChar w:fldCharType="end"/>
            </w:r>
          </w:hyperlink>
        </w:p>
        <w:p w14:paraId="03B194E3" w14:textId="1FE83E19" w:rsidR="008614F3" w:rsidRPr="00987C38" w:rsidRDefault="00277823">
          <w:pPr>
            <w:pStyle w:val="TOC1"/>
            <w:tabs>
              <w:tab w:val="right" w:leader="dot" w:pos="9038"/>
            </w:tabs>
            <w:rPr>
              <w:noProof/>
              <w:lang w:eastAsia="en-AU"/>
            </w:rPr>
          </w:pPr>
          <w:hyperlink w:anchor="_Toc79411029" w:history="1">
            <w:r w:rsidR="008614F3" w:rsidRPr="00987C38">
              <w:rPr>
                <w:rStyle w:val="Hyperlink"/>
                <w:noProof/>
              </w:rPr>
              <w:t>Key challenges in the Kalgoorlie Employment Region</w:t>
            </w:r>
            <w:r w:rsidR="008614F3" w:rsidRPr="00987C38">
              <w:rPr>
                <w:noProof/>
                <w:webHidden/>
              </w:rPr>
              <w:tab/>
            </w:r>
            <w:r w:rsidR="008614F3" w:rsidRPr="00987C38">
              <w:rPr>
                <w:noProof/>
                <w:webHidden/>
              </w:rPr>
              <w:fldChar w:fldCharType="begin"/>
            </w:r>
            <w:r w:rsidR="008614F3" w:rsidRPr="00987C38">
              <w:rPr>
                <w:noProof/>
                <w:webHidden/>
              </w:rPr>
              <w:instrText xml:space="preserve"> PAGEREF _Toc79411029 \h </w:instrText>
            </w:r>
            <w:r w:rsidR="008614F3" w:rsidRPr="00987C38">
              <w:rPr>
                <w:noProof/>
                <w:webHidden/>
              </w:rPr>
            </w:r>
            <w:r w:rsidR="008614F3" w:rsidRPr="00987C38">
              <w:rPr>
                <w:noProof/>
                <w:webHidden/>
              </w:rPr>
              <w:fldChar w:fldCharType="separate"/>
            </w:r>
            <w:r>
              <w:rPr>
                <w:noProof/>
                <w:webHidden/>
              </w:rPr>
              <w:t>5</w:t>
            </w:r>
            <w:r w:rsidR="008614F3" w:rsidRPr="00987C38">
              <w:rPr>
                <w:noProof/>
                <w:webHidden/>
              </w:rPr>
              <w:fldChar w:fldCharType="end"/>
            </w:r>
          </w:hyperlink>
          <w:r w:rsidR="00F15BF1">
            <w:rPr>
              <w:noProof/>
            </w:rPr>
            <w:t>-</w:t>
          </w:r>
          <w:r w:rsidR="004014EC">
            <w:rPr>
              <w:noProof/>
            </w:rPr>
            <w:t>8</w:t>
          </w:r>
        </w:p>
        <w:p w14:paraId="4EA96ED4" w14:textId="29BB4E5E" w:rsidR="008614F3" w:rsidRPr="00987C38" w:rsidRDefault="00277823">
          <w:pPr>
            <w:pStyle w:val="TOC1"/>
            <w:tabs>
              <w:tab w:val="right" w:leader="dot" w:pos="9038"/>
            </w:tabs>
            <w:rPr>
              <w:noProof/>
              <w:lang w:eastAsia="en-AU"/>
            </w:rPr>
          </w:pPr>
          <w:hyperlink w:anchor="_Toc79411030" w:history="1">
            <w:r w:rsidR="008614F3" w:rsidRPr="00987C38">
              <w:rPr>
                <w:rStyle w:val="Hyperlink"/>
                <w:noProof/>
              </w:rPr>
              <w:t>Local stakeholders and opportunities</w:t>
            </w:r>
            <w:r w:rsidR="008614F3" w:rsidRPr="00987C38">
              <w:rPr>
                <w:noProof/>
                <w:webHidden/>
              </w:rPr>
              <w:tab/>
            </w:r>
            <w:r w:rsidR="008614F3" w:rsidRPr="00987C38">
              <w:rPr>
                <w:noProof/>
                <w:webHidden/>
              </w:rPr>
              <w:fldChar w:fldCharType="begin"/>
            </w:r>
            <w:r w:rsidR="008614F3" w:rsidRPr="00987C38">
              <w:rPr>
                <w:noProof/>
                <w:webHidden/>
              </w:rPr>
              <w:instrText xml:space="preserve"> PAGEREF _Toc79411030 \h </w:instrText>
            </w:r>
            <w:r w:rsidR="008614F3" w:rsidRPr="00987C38">
              <w:rPr>
                <w:noProof/>
                <w:webHidden/>
              </w:rPr>
            </w:r>
            <w:r w:rsidR="008614F3" w:rsidRPr="00987C38">
              <w:rPr>
                <w:noProof/>
                <w:webHidden/>
              </w:rPr>
              <w:fldChar w:fldCharType="separate"/>
            </w:r>
            <w:r>
              <w:rPr>
                <w:noProof/>
                <w:webHidden/>
              </w:rPr>
              <w:t>8</w:t>
            </w:r>
            <w:r w:rsidR="008614F3" w:rsidRPr="00987C38">
              <w:rPr>
                <w:noProof/>
                <w:webHidden/>
              </w:rPr>
              <w:fldChar w:fldCharType="end"/>
            </w:r>
          </w:hyperlink>
          <w:r w:rsidR="00F15BF1">
            <w:rPr>
              <w:noProof/>
            </w:rPr>
            <w:t>-</w:t>
          </w:r>
          <w:r w:rsidR="002E229A">
            <w:rPr>
              <w:noProof/>
            </w:rPr>
            <w:t>9</w:t>
          </w:r>
        </w:p>
        <w:p w14:paraId="550D94DB" w14:textId="537E94A4" w:rsidR="008614F3" w:rsidRPr="00987C38" w:rsidRDefault="002E229A">
          <w:pPr>
            <w:pStyle w:val="TOC1"/>
            <w:tabs>
              <w:tab w:val="right" w:leader="dot" w:pos="9038"/>
            </w:tabs>
            <w:rPr>
              <w:noProof/>
              <w:lang w:eastAsia="en-AU"/>
            </w:rPr>
          </w:pPr>
          <w:r>
            <w:t xml:space="preserve">Attachment A - </w:t>
          </w:r>
          <w:r w:rsidRPr="002E229A">
            <w:t>Key employment and training priorities: strategies and stakeholders</w:t>
          </w:r>
          <w:r>
            <w:t xml:space="preserve">                     </w:t>
          </w:r>
          <w:hyperlink w:anchor="_Toc79411031" w:history="1">
            <w:r>
              <w:rPr>
                <w:rStyle w:val="Hyperlink"/>
                <w:noProof/>
              </w:rPr>
              <w:t>10</w:t>
            </w:r>
          </w:hyperlink>
          <w:r w:rsidR="0022689E">
            <w:rPr>
              <w:noProof/>
            </w:rPr>
            <w:t>-1</w:t>
          </w:r>
          <w:r>
            <w:rPr>
              <w:noProof/>
            </w:rPr>
            <w:t>1</w:t>
          </w:r>
        </w:p>
        <w:p w14:paraId="0514673C" w14:textId="3080BF14" w:rsidR="008614F3" w:rsidRPr="00987C38" w:rsidRDefault="00277823">
          <w:pPr>
            <w:pStyle w:val="TOC1"/>
            <w:tabs>
              <w:tab w:val="right" w:leader="dot" w:pos="9038"/>
            </w:tabs>
            <w:rPr>
              <w:noProof/>
              <w:lang w:eastAsia="en-AU"/>
            </w:rPr>
          </w:pPr>
          <w:hyperlink w:anchor="_Toc79411032" w:history="1">
            <w:r w:rsidR="008614F3" w:rsidRPr="00987C38">
              <w:rPr>
                <w:rStyle w:val="Hyperlink"/>
                <w:noProof/>
              </w:rPr>
              <w:t>Attachment B – Labour Market Data Dashboard (</w:t>
            </w:r>
            <w:r w:rsidR="002E229A">
              <w:rPr>
                <w:rStyle w:val="Hyperlink"/>
                <w:noProof/>
              </w:rPr>
              <w:t>April</w:t>
            </w:r>
            <w:r w:rsidR="00581093">
              <w:rPr>
                <w:rStyle w:val="Hyperlink"/>
                <w:noProof/>
              </w:rPr>
              <w:t xml:space="preserve"> 2022</w:t>
            </w:r>
            <w:r w:rsidR="008614F3" w:rsidRPr="00987C38">
              <w:rPr>
                <w:rStyle w:val="Hyperlink"/>
                <w:noProof/>
              </w:rPr>
              <w:t>)</w:t>
            </w:r>
            <w:r w:rsidR="002E229A">
              <w:rPr>
                <w:noProof/>
                <w:webHidden/>
              </w:rPr>
              <w:t xml:space="preserve">                                                                     </w:t>
            </w:r>
            <w:r w:rsidR="008614F3" w:rsidRPr="00987C38">
              <w:rPr>
                <w:noProof/>
                <w:webHidden/>
              </w:rPr>
              <w:fldChar w:fldCharType="begin"/>
            </w:r>
            <w:r w:rsidR="008614F3" w:rsidRPr="00987C38">
              <w:rPr>
                <w:noProof/>
                <w:webHidden/>
              </w:rPr>
              <w:instrText xml:space="preserve"> PAGEREF _Toc79411032 \h </w:instrText>
            </w:r>
            <w:r w:rsidR="008614F3" w:rsidRPr="00987C38">
              <w:rPr>
                <w:noProof/>
                <w:webHidden/>
              </w:rPr>
            </w:r>
            <w:r w:rsidR="008614F3" w:rsidRPr="00987C38">
              <w:rPr>
                <w:noProof/>
                <w:webHidden/>
              </w:rPr>
              <w:fldChar w:fldCharType="separate"/>
            </w:r>
            <w:r>
              <w:rPr>
                <w:noProof/>
                <w:webHidden/>
              </w:rPr>
              <w:t>12</w:t>
            </w:r>
            <w:r w:rsidR="008614F3" w:rsidRPr="00987C38">
              <w:rPr>
                <w:noProof/>
                <w:webHidden/>
              </w:rPr>
              <w:fldChar w:fldCharType="end"/>
            </w:r>
          </w:hyperlink>
        </w:p>
        <w:p w14:paraId="1B1C6D8A" w14:textId="7AC91BD2" w:rsidR="0020723A" w:rsidRPr="00987C38" w:rsidRDefault="0020723A" w:rsidP="0020723A">
          <w:r w:rsidRPr="00987C38">
            <w:rPr>
              <w:b/>
              <w:bCs/>
            </w:rPr>
            <w:fldChar w:fldCharType="end"/>
          </w:r>
        </w:p>
      </w:sdtContent>
    </w:sdt>
    <w:p w14:paraId="2CA311EA" w14:textId="77777777" w:rsidR="0020723A" w:rsidRPr="00987C38" w:rsidRDefault="0020723A" w:rsidP="0020723A">
      <w:r w:rsidRPr="00987C38">
        <w:br w:type="page"/>
      </w:r>
    </w:p>
    <w:p w14:paraId="13D73597" w14:textId="2618AE6A" w:rsidR="006D27E5" w:rsidRPr="00EA27E4" w:rsidRDefault="0020723A" w:rsidP="00EA27E4">
      <w:pPr>
        <w:jc w:val="center"/>
        <w:rPr>
          <w:rFonts w:ascii="Calibri" w:eastAsia="Calibri" w:hAnsi="Calibri" w:cs="Calibri"/>
          <w:b/>
          <w:bCs/>
          <w:i/>
          <w:iCs/>
          <w:color w:val="002060"/>
        </w:rPr>
      </w:pPr>
      <w:r w:rsidRPr="00987C38">
        <w:rPr>
          <w:rFonts w:ascii="Calibri" w:eastAsia="Calibri" w:hAnsi="Calibri" w:cs="Calibri"/>
          <w:b/>
          <w:bCs/>
          <w:i/>
          <w:iCs/>
          <w:color w:val="002060"/>
        </w:rPr>
        <w:lastRenderedPageBreak/>
        <w:t xml:space="preserve">The Department of Education, Skills and Employment acknowledges the traditional owners and custodians of the </w:t>
      </w:r>
      <w:r w:rsidR="00A75D41">
        <w:rPr>
          <w:rFonts w:ascii="Calibri" w:eastAsia="Calibri" w:hAnsi="Calibri" w:cs="Calibri"/>
          <w:b/>
          <w:bCs/>
          <w:i/>
          <w:iCs/>
          <w:color w:val="002060"/>
        </w:rPr>
        <w:t>lands</w:t>
      </w:r>
      <w:r w:rsidRPr="00987C38">
        <w:rPr>
          <w:rFonts w:ascii="Calibri" w:eastAsia="Calibri" w:hAnsi="Calibri" w:cs="Calibri"/>
          <w:b/>
          <w:bCs/>
          <w:i/>
          <w:iCs/>
          <w:color w:val="002060"/>
        </w:rPr>
        <w:t xml:space="preserve"> where we work and travel through. We pay our respects to their people, </w:t>
      </w:r>
      <w:proofErr w:type="gramStart"/>
      <w:r w:rsidRPr="00987C38">
        <w:rPr>
          <w:rFonts w:ascii="Calibri" w:eastAsia="Calibri" w:hAnsi="Calibri" w:cs="Calibri"/>
          <w:b/>
          <w:bCs/>
          <w:i/>
          <w:iCs/>
          <w:color w:val="002060"/>
        </w:rPr>
        <w:t>cultures</w:t>
      </w:r>
      <w:proofErr w:type="gramEnd"/>
      <w:r w:rsidRPr="00987C38">
        <w:rPr>
          <w:rFonts w:ascii="Calibri" w:eastAsia="Calibri" w:hAnsi="Calibri" w:cs="Calibri"/>
          <w:b/>
          <w:bCs/>
          <w:i/>
          <w:iCs/>
          <w:color w:val="002060"/>
        </w:rPr>
        <w:t xml:space="preserve"> and their Elders past, present and emerging.</w:t>
      </w:r>
    </w:p>
    <w:p w14:paraId="32BF215B" w14:textId="77777777" w:rsidR="0020723A" w:rsidRPr="00987C38" w:rsidRDefault="0020723A" w:rsidP="0020723A">
      <w:pPr>
        <w:pStyle w:val="Heading1"/>
        <w:rPr>
          <w:noProof w:val="0"/>
        </w:rPr>
      </w:pPr>
      <w:bookmarkStart w:id="2" w:name="_Toc79411026"/>
      <w:r w:rsidRPr="00987C38">
        <w:rPr>
          <w:noProof w:val="0"/>
        </w:rPr>
        <w:t>The Local Jobs Program</w:t>
      </w:r>
      <w:bookmarkEnd w:id="2"/>
    </w:p>
    <w:p w14:paraId="696F6FB5" w14:textId="77777777" w:rsidR="0020723A" w:rsidRPr="00987C38" w:rsidRDefault="0020723A" w:rsidP="0020723A">
      <w:pPr>
        <w:spacing w:before="120" w:after="120" w:line="256" w:lineRule="auto"/>
        <w:rPr>
          <w:rFonts w:ascii="Calibri" w:eastAsia="Calibri" w:hAnsi="Calibri" w:cs="Calibri"/>
        </w:rPr>
      </w:pPr>
      <w:bookmarkStart w:id="3" w:name="_Toc24447236"/>
      <w:r w:rsidRPr="00987C38">
        <w:rPr>
          <w:rFonts w:ascii="Calibri" w:eastAsia="Calibri" w:hAnsi="Calibri" w:cs="Calibri"/>
        </w:rPr>
        <w:t xml:space="preserve">As part of supporting Australia’s economic recovery from the COVID-19 pandemic, the Australian Government’s Local Jobs Program (LJP) brings together expertise, </w:t>
      </w:r>
      <w:proofErr w:type="gramStart"/>
      <w:r w:rsidRPr="00987C38">
        <w:rPr>
          <w:rFonts w:ascii="Calibri" w:eastAsia="Calibri" w:hAnsi="Calibri" w:cs="Calibri"/>
        </w:rPr>
        <w:t>resources</w:t>
      </w:r>
      <w:proofErr w:type="gramEnd"/>
      <w:r w:rsidRPr="00987C38">
        <w:rPr>
          <w:rFonts w:ascii="Calibri" w:eastAsia="Calibri" w:hAnsi="Calibri" w:cs="Calibri"/>
        </w:rPr>
        <w:t xml:space="preserve"> and access to funding at the local level to accelerate reskilling, upskilling and employment pathways in 51 Employment Regions.</w:t>
      </w:r>
    </w:p>
    <w:p w14:paraId="731D4FD0" w14:textId="77777777" w:rsidR="0020723A" w:rsidRPr="00987C38" w:rsidRDefault="0020723A" w:rsidP="0020723A">
      <w:pPr>
        <w:spacing w:after="120"/>
        <w:rPr>
          <w:rFonts w:ascii="Calibri" w:hAnsi="Calibri" w:cs="Calibri"/>
        </w:rPr>
      </w:pPr>
      <w:r w:rsidRPr="00987C38">
        <w:rPr>
          <w:rFonts w:ascii="Calibri" w:hAnsi="Calibri" w:cs="Calibri"/>
        </w:rPr>
        <w:t>Recognising the importance of local knowledge in getting people back into jobs quickly, the LJP includes the following key elements in each region:</w:t>
      </w:r>
    </w:p>
    <w:p w14:paraId="468BCF54" w14:textId="77777777" w:rsidR="0020723A" w:rsidRPr="00987C38" w:rsidRDefault="0020723A" w:rsidP="0020723A">
      <w:pPr>
        <w:pStyle w:val="ListParagraph"/>
        <w:numPr>
          <w:ilvl w:val="0"/>
          <w:numId w:val="1"/>
        </w:numPr>
        <w:spacing w:after="0"/>
        <w:rPr>
          <w:rFonts w:eastAsiaTheme="minorHAnsi"/>
        </w:rPr>
      </w:pPr>
      <w:r w:rsidRPr="00987C38">
        <w:t xml:space="preserve">a local </w:t>
      </w:r>
      <w:r w:rsidRPr="00987C38">
        <w:rPr>
          <w:rFonts w:eastAsiaTheme="minorHAnsi"/>
        </w:rPr>
        <w:t>Employment Facilitator</w:t>
      </w:r>
    </w:p>
    <w:p w14:paraId="7C9DB196" w14:textId="77777777" w:rsidR="0020723A" w:rsidRPr="00987C38" w:rsidRDefault="0020723A" w:rsidP="0020723A">
      <w:pPr>
        <w:pStyle w:val="ListParagraph"/>
        <w:numPr>
          <w:ilvl w:val="0"/>
          <w:numId w:val="1"/>
        </w:numPr>
        <w:spacing w:after="0"/>
        <w:rPr>
          <w:rFonts w:eastAsiaTheme="minorHAnsi"/>
        </w:rPr>
      </w:pPr>
      <w:r w:rsidRPr="00987C38">
        <w:t xml:space="preserve">a </w:t>
      </w:r>
      <w:r w:rsidRPr="00987C38">
        <w:rPr>
          <w:rFonts w:eastAsiaTheme="minorHAnsi"/>
        </w:rPr>
        <w:t xml:space="preserve">Local Jobs and Skills Taskforce </w:t>
      </w:r>
    </w:p>
    <w:p w14:paraId="48B2D329" w14:textId="77777777" w:rsidR="0020723A" w:rsidRPr="00987C38" w:rsidRDefault="0020723A" w:rsidP="0020723A">
      <w:pPr>
        <w:pStyle w:val="ListParagraph"/>
        <w:numPr>
          <w:ilvl w:val="0"/>
          <w:numId w:val="1"/>
        </w:numPr>
        <w:spacing w:after="0"/>
        <w:rPr>
          <w:rFonts w:eastAsiaTheme="minorHAnsi"/>
        </w:rPr>
      </w:pPr>
      <w:r w:rsidRPr="00987C38">
        <w:t xml:space="preserve">a </w:t>
      </w:r>
      <w:r w:rsidRPr="00987C38">
        <w:rPr>
          <w:rFonts w:eastAsiaTheme="minorHAnsi"/>
        </w:rPr>
        <w:t>Local Jobs Plan</w:t>
      </w:r>
    </w:p>
    <w:p w14:paraId="0F5B958D" w14:textId="77777777" w:rsidR="0020723A" w:rsidRPr="00987C38" w:rsidRDefault="0020723A" w:rsidP="0020723A">
      <w:pPr>
        <w:pStyle w:val="ListParagraph"/>
        <w:numPr>
          <w:ilvl w:val="0"/>
          <w:numId w:val="1"/>
        </w:numPr>
        <w:spacing w:after="0"/>
        <w:rPr>
          <w:rFonts w:eastAsiaTheme="minorHAnsi"/>
        </w:rPr>
      </w:pPr>
      <w:r w:rsidRPr="00987C38">
        <w:rPr>
          <w:rFonts w:eastAsiaTheme="minorHAnsi"/>
        </w:rPr>
        <w:t xml:space="preserve">a Local Recovery Fund to support small scale activities </w:t>
      </w:r>
    </w:p>
    <w:p w14:paraId="47850AE7" w14:textId="77777777" w:rsidR="0020723A" w:rsidRPr="00987C38" w:rsidRDefault="0020723A" w:rsidP="0020723A">
      <w:pPr>
        <w:pStyle w:val="ListParagraph"/>
        <w:numPr>
          <w:ilvl w:val="0"/>
          <w:numId w:val="1"/>
        </w:numPr>
        <w:spacing w:after="120"/>
        <w:rPr>
          <w:rFonts w:eastAsiaTheme="minorHAnsi"/>
        </w:rPr>
      </w:pPr>
      <w:r w:rsidRPr="00987C38">
        <w:rPr>
          <w:rFonts w:eastAsiaTheme="minorHAnsi"/>
        </w:rPr>
        <w:t>access to the National Priority Funding Pool.</w:t>
      </w:r>
    </w:p>
    <w:p w14:paraId="56002119" w14:textId="77777777" w:rsidR="0020723A" w:rsidRPr="00987C38" w:rsidRDefault="0020723A" w:rsidP="0020723A">
      <w:pPr>
        <w:spacing w:after="120"/>
      </w:pPr>
      <w:r w:rsidRPr="00987C38">
        <w:t xml:space="preserve">The Taskforces, each chaired by the respective region’s Employment Facilitator, </w:t>
      </w:r>
      <w:proofErr w:type="gramStart"/>
      <w:r w:rsidRPr="00987C38">
        <w:t>develop</w:t>
      </w:r>
      <w:proofErr w:type="gramEnd"/>
      <w:r w:rsidRPr="00987C38">
        <w:t xml:space="preserve"> and update a Local Jobs Plan for their region that identifies key employment and training priorities and provides a framework for driving employment outcomes in the context of the local labour market.</w:t>
      </w:r>
    </w:p>
    <w:p w14:paraId="5E02AC79" w14:textId="31BB41A0" w:rsidR="0020723A" w:rsidRPr="00987C38" w:rsidRDefault="00DF3A7F" w:rsidP="0020723A">
      <w:pPr>
        <w:spacing w:after="240"/>
        <w:rPr>
          <w:rFonts w:eastAsiaTheme="minorHAnsi"/>
        </w:rPr>
      </w:pPr>
      <w:r>
        <w:rPr>
          <w:rFonts w:eastAsiaTheme="minorHAnsi"/>
        </w:rPr>
        <w:t xml:space="preserve">The </w:t>
      </w:r>
      <w:r w:rsidR="0020723A" w:rsidRPr="00987C38">
        <w:rPr>
          <w:rFonts w:eastAsiaTheme="minorHAnsi"/>
        </w:rPr>
        <w:t xml:space="preserve">Local Jobs Plan for the Kalgoorlie Employment Region identifies the key LJP priorities with a focus on creating employment opportunities, actively </w:t>
      </w:r>
      <w:proofErr w:type="gramStart"/>
      <w:r w:rsidR="009A60E8" w:rsidRPr="00987C38">
        <w:rPr>
          <w:rFonts w:eastAsiaTheme="minorHAnsi"/>
        </w:rPr>
        <w:t>upskilling</w:t>
      </w:r>
      <w:proofErr w:type="gramEnd"/>
      <w:r w:rsidR="009A60E8" w:rsidRPr="00987C38">
        <w:rPr>
          <w:rFonts w:eastAsiaTheme="minorHAnsi"/>
        </w:rPr>
        <w:t xml:space="preserve"> or</w:t>
      </w:r>
      <w:r w:rsidR="0020723A" w:rsidRPr="00987C38">
        <w:rPr>
          <w:rFonts w:eastAsiaTheme="minorHAnsi"/>
        </w:rPr>
        <w:t xml:space="preserve"> reskilling local job seekers and meeting local employer demands.  </w:t>
      </w:r>
    </w:p>
    <w:p w14:paraId="2E6A0043" w14:textId="77777777" w:rsidR="0020723A" w:rsidRPr="00987C38" w:rsidRDefault="0020723A" w:rsidP="0020723A">
      <w:pPr>
        <w:pStyle w:val="Heading1"/>
        <w:rPr>
          <w:noProof w:val="0"/>
        </w:rPr>
      </w:pPr>
      <w:bookmarkStart w:id="4" w:name="_Toc79411027"/>
      <w:r w:rsidRPr="00987C38">
        <w:rPr>
          <w:noProof w:val="0"/>
        </w:rPr>
        <w:t>Key employment and training priorities</w:t>
      </w:r>
      <w:bookmarkEnd w:id="4"/>
    </w:p>
    <w:p w14:paraId="3398D63E" w14:textId="5EC867EE" w:rsidR="0020723A" w:rsidRPr="00987C38" w:rsidRDefault="0020723A" w:rsidP="007850B1">
      <w:pPr>
        <w:pStyle w:val="ListParagraph"/>
        <w:widowControl w:val="0"/>
        <w:tabs>
          <w:tab w:val="left" w:pos="461"/>
        </w:tabs>
        <w:autoSpaceDE w:val="0"/>
        <w:autoSpaceDN w:val="0"/>
        <w:spacing w:before="240" w:after="120" w:line="240" w:lineRule="auto"/>
        <w:ind w:left="460" w:right="-24" w:hanging="360"/>
        <w:contextualSpacing w:val="0"/>
        <w:rPr>
          <w:rFonts w:ascii="Calibri" w:eastAsia="Calibri" w:hAnsi="Calibri" w:cs="Calibri"/>
          <w:lang w:eastAsia="en-AU" w:bidi="en-AU"/>
        </w:rPr>
      </w:pPr>
      <w:r w:rsidRPr="00987C38">
        <w:rPr>
          <w:rFonts w:ascii="Calibri" w:eastAsia="Calibri" w:hAnsi="Calibri" w:cs="Calibri"/>
          <w:lang w:eastAsia="en-AU" w:bidi="en-AU"/>
        </w:rPr>
        <w:t>1.</w:t>
      </w:r>
      <w:r w:rsidR="00060ADA" w:rsidRPr="00987C38">
        <w:rPr>
          <w:rFonts w:ascii="Calibri" w:eastAsia="Calibri" w:hAnsi="Calibri" w:cs="Calibri"/>
          <w:lang w:eastAsia="en-AU" w:bidi="en-AU"/>
        </w:rPr>
        <w:tab/>
      </w:r>
      <w:r w:rsidRPr="00987C38">
        <w:rPr>
          <w:rFonts w:ascii="Calibri" w:eastAsia="Calibri" w:hAnsi="Calibri" w:cs="Calibri"/>
          <w:lang w:eastAsia="en-AU" w:bidi="en-AU"/>
        </w:rPr>
        <w:t xml:space="preserve">Engage with industry to articulate the needs of employers and job seekers and inform the development of response strategies which maximise local job placements. </w:t>
      </w:r>
    </w:p>
    <w:p w14:paraId="095FE271" w14:textId="413AB8AB" w:rsidR="0020723A" w:rsidRPr="00987C38" w:rsidRDefault="0020723A" w:rsidP="007850B1">
      <w:pPr>
        <w:pStyle w:val="ListParagraph"/>
        <w:widowControl w:val="0"/>
        <w:tabs>
          <w:tab w:val="left" w:pos="461"/>
        </w:tabs>
        <w:autoSpaceDE w:val="0"/>
        <w:autoSpaceDN w:val="0"/>
        <w:spacing w:before="240" w:after="120" w:line="240" w:lineRule="auto"/>
        <w:ind w:left="460" w:right="-24" w:hanging="360"/>
        <w:contextualSpacing w:val="0"/>
        <w:rPr>
          <w:rFonts w:ascii="Calibri" w:eastAsia="Calibri" w:hAnsi="Calibri" w:cs="Calibri"/>
          <w:lang w:eastAsia="en-AU" w:bidi="en-AU"/>
        </w:rPr>
      </w:pPr>
      <w:bookmarkStart w:id="5" w:name="_Hlk77766084"/>
      <w:r w:rsidRPr="00987C38">
        <w:rPr>
          <w:rFonts w:ascii="Calibri" w:eastAsia="Calibri" w:hAnsi="Calibri" w:cs="Calibri"/>
          <w:lang w:eastAsia="en-AU" w:bidi="en-AU"/>
        </w:rPr>
        <w:t>2.</w:t>
      </w:r>
      <w:r w:rsidR="00060ADA" w:rsidRPr="00987C38">
        <w:rPr>
          <w:rFonts w:ascii="Calibri" w:eastAsia="Calibri" w:hAnsi="Calibri" w:cs="Calibri"/>
          <w:lang w:eastAsia="en-AU" w:bidi="en-AU"/>
        </w:rPr>
        <w:tab/>
      </w:r>
      <w:r w:rsidRPr="00987C38">
        <w:rPr>
          <w:rFonts w:ascii="Calibri" w:eastAsia="Calibri" w:hAnsi="Calibri" w:cs="Calibri"/>
          <w:lang w:eastAsia="en-AU" w:bidi="en-AU"/>
        </w:rPr>
        <w:t xml:space="preserve">Ensure that local people are adequately skilled, prepared and supported for current and upcoming employment opportunities and projects, </w:t>
      </w:r>
      <w:r w:rsidR="00060ADA" w:rsidRPr="00987C38">
        <w:rPr>
          <w:rFonts w:ascii="Calibri" w:eastAsia="Calibri" w:hAnsi="Calibri" w:cs="Calibri"/>
          <w:lang w:eastAsia="en-AU" w:bidi="en-AU"/>
        </w:rPr>
        <w:t xml:space="preserve">including addressing </w:t>
      </w:r>
      <w:r w:rsidRPr="00987C38">
        <w:rPr>
          <w:rFonts w:ascii="Calibri" w:eastAsia="Calibri" w:hAnsi="Calibri" w:cs="Calibri"/>
          <w:lang w:eastAsia="en-AU" w:bidi="en-AU"/>
        </w:rPr>
        <w:t>factors impacting on job readiness, such as lack of transport, lack of work experience, justice issues, and drug and alcohol challenges.</w:t>
      </w:r>
    </w:p>
    <w:bookmarkEnd w:id="5"/>
    <w:p w14:paraId="3E7EBB54" w14:textId="3743D849" w:rsidR="0020723A" w:rsidRPr="00987C38" w:rsidRDefault="0020723A" w:rsidP="007850B1">
      <w:pPr>
        <w:pStyle w:val="ListParagraph"/>
        <w:widowControl w:val="0"/>
        <w:tabs>
          <w:tab w:val="left" w:pos="461"/>
        </w:tabs>
        <w:autoSpaceDE w:val="0"/>
        <w:autoSpaceDN w:val="0"/>
        <w:spacing w:before="240" w:after="120" w:line="240" w:lineRule="auto"/>
        <w:ind w:left="460" w:right="-24" w:hanging="360"/>
        <w:contextualSpacing w:val="0"/>
        <w:rPr>
          <w:rFonts w:ascii="Calibri" w:eastAsia="Calibri" w:hAnsi="Calibri" w:cs="Calibri"/>
          <w:lang w:eastAsia="en-AU" w:bidi="en-AU"/>
        </w:rPr>
      </w:pPr>
      <w:r w:rsidRPr="00987C38">
        <w:rPr>
          <w:rFonts w:ascii="Calibri" w:eastAsia="Calibri" w:hAnsi="Calibri" w:cs="Calibri"/>
          <w:lang w:eastAsia="en-AU" w:bidi="en-AU"/>
        </w:rPr>
        <w:t>3.</w:t>
      </w:r>
      <w:r w:rsidR="00060ADA" w:rsidRPr="00987C38">
        <w:rPr>
          <w:rFonts w:ascii="Calibri" w:eastAsia="Calibri" w:hAnsi="Calibri" w:cs="Calibri"/>
          <w:lang w:eastAsia="en-AU" w:bidi="en-AU"/>
        </w:rPr>
        <w:tab/>
      </w:r>
      <w:r w:rsidRPr="00987C38">
        <w:rPr>
          <w:rFonts w:ascii="Calibri" w:eastAsia="Calibri" w:hAnsi="Calibri" w:cs="Calibri"/>
          <w:lang w:eastAsia="en-AU" w:bidi="en-AU"/>
        </w:rPr>
        <w:t xml:space="preserve">Leverage existing </w:t>
      </w:r>
      <w:r w:rsidR="00060ADA" w:rsidRPr="00987C38">
        <w:rPr>
          <w:rFonts w:ascii="Calibri" w:eastAsia="Calibri" w:hAnsi="Calibri" w:cs="Calibri"/>
          <w:lang w:eastAsia="en-AU" w:bidi="en-AU"/>
        </w:rPr>
        <w:t xml:space="preserve">Australian </w:t>
      </w:r>
      <w:r w:rsidRPr="00987C38">
        <w:rPr>
          <w:rFonts w:ascii="Calibri" w:eastAsia="Calibri" w:hAnsi="Calibri" w:cs="Calibri"/>
          <w:lang w:eastAsia="en-AU" w:bidi="en-AU"/>
        </w:rPr>
        <w:t>and W</w:t>
      </w:r>
      <w:r w:rsidR="00060ADA" w:rsidRPr="00987C38">
        <w:rPr>
          <w:rFonts w:ascii="Calibri" w:eastAsia="Calibri" w:hAnsi="Calibri" w:cs="Calibri"/>
          <w:lang w:eastAsia="en-AU" w:bidi="en-AU"/>
        </w:rPr>
        <w:t xml:space="preserve">est </w:t>
      </w:r>
      <w:r w:rsidRPr="00987C38">
        <w:rPr>
          <w:rFonts w:ascii="Calibri" w:eastAsia="Calibri" w:hAnsi="Calibri" w:cs="Calibri"/>
          <w:lang w:eastAsia="en-AU" w:bidi="en-AU"/>
        </w:rPr>
        <w:t>A</w:t>
      </w:r>
      <w:r w:rsidR="00060ADA" w:rsidRPr="00987C38">
        <w:rPr>
          <w:rFonts w:ascii="Calibri" w:eastAsia="Calibri" w:hAnsi="Calibri" w:cs="Calibri"/>
          <w:lang w:eastAsia="en-AU" w:bidi="en-AU"/>
        </w:rPr>
        <w:t>ustralian</w:t>
      </w:r>
      <w:r w:rsidRPr="00987C38">
        <w:rPr>
          <w:rFonts w:ascii="Calibri" w:eastAsia="Calibri" w:hAnsi="Calibri" w:cs="Calibri"/>
          <w:lang w:eastAsia="en-AU" w:bidi="en-AU"/>
        </w:rPr>
        <w:t xml:space="preserve"> </w:t>
      </w:r>
      <w:r w:rsidR="00F51650" w:rsidRPr="00987C38">
        <w:rPr>
          <w:rFonts w:ascii="Calibri" w:eastAsia="Calibri" w:hAnsi="Calibri" w:cs="Calibri"/>
          <w:lang w:eastAsia="en-AU" w:bidi="en-AU"/>
        </w:rPr>
        <w:t>G</w:t>
      </w:r>
      <w:r w:rsidRPr="00987C38">
        <w:rPr>
          <w:rFonts w:ascii="Calibri" w:eastAsia="Calibri" w:hAnsi="Calibri" w:cs="Calibri"/>
          <w:lang w:eastAsia="en-AU" w:bidi="en-AU"/>
        </w:rPr>
        <w:t xml:space="preserve">overnment programs, to create pathways into local growth industries, particularly Mining/Resources, Hospitality and Health Care and Social Assistance, with a focus on youth and </w:t>
      </w:r>
      <w:r w:rsidR="00FA4B46">
        <w:rPr>
          <w:rFonts w:ascii="Calibri" w:eastAsia="Calibri" w:hAnsi="Calibri" w:cs="Calibri"/>
          <w:lang w:eastAsia="en-AU" w:bidi="en-AU"/>
        </w:rPr>
        <w:t xml:space="preserve">Aboriginal </w:t>
      </w:r>
      <w:r w:rsidRPr="00987C38">
        <w:rPr>
          <w:rFonts w:ascii="Calibri" w:eastAsia="Calibri" w:hAnsi="Calibri" w:cs="Calibri"/>
          <w:lang w:eastAsia="en-AU" w:bidi="en-AU"/>
        </w:rPr>
        <w:t>jobseekers.</w:t>
      </w:r>
    </w:p>
    <w:p w14:paraId="1EE55AC9" w14:textId="6E93B3A4" w:rsidR="0020723A" w:rsidRPr="00987C38" w:rsidRDefault="0020723A" w:rsidP="007850B1">
      <w:pPr>
        <w:pStyle w:val="ListParagraph"/>
        <w:widowControl w:val="0"/>
        <w:tabs>
          <w:tab w:val="left" w:pos="461"/>
        </w:tabs>
        <w:autoSpaceDE w:val="0"/>
        <w:autoSpaceDN w:val="0"/>
        <w:spacing w:before="240" w:after="120" w:line="240" w:lineRule="auto"/>
        <w:ind w:left="460" w:right="-24" w:hanging="360"/>
        <w:contextualSpacing w:val="0"/>
        <w:rPr>
          <w:rFonts w:ascii="Calibri" w:eastAsia="Calibri" w:hAnsi="Calibri" w:cs="Calibri"/>
          <w:lang w:eastAsia="en-AU" w:bidi="en-AU"/>
        </w:rPr>
      </w:pPr>
      <w:r w:rsidRPr="00987C38">
        <w:rPr>
          <w:rFonts w:ascii="Calibri" w:eastAsia="Calibri" w:hAnsi="Calibri" w:cs="Calibri"/>
          <w:lang w:eastAsia="en-AU" w:bidi="en-AU"/>
        </w:rPr>
        <w:t>4.</w:t>
      </w:r>
      <w:r w:rsidR="00060ADA" w:rsidRPr="00987C38">
        <w:rPr>
          <w:rFonts w:ascii="Calibri" w:eastAsia="Calibri" w:hAnsi="Calibri" w:cs="Calibri"/>
          <w:lang w:eastAsia="en-AU" w:bidi="en-AU"/>
        </w:rPr>
        <w:tab/>
      </w:r>
      <w:r w:rsidRPr="00987C38">
        <w:rPr>
          <w:rFonts w:ascii="Calibri" w:eastAsia="Calibri" w:hAnsi="Calibri" w:cs="Calibri"/>
          <w:lang w:eastAsia="en-AU" w:bidi="en-AU"/>
        </w:rPr>
        <w:t>Optimise communication and engagement with long term unemployed job seekers on education training and other entry pathways into key local industries.</w:t>
      </w:r>
    </w:p>
    <w:p w14:paraId="5FD89F9E" w14:textId="77777777" w:rsidR="0020723A" w:rsidRPr="00987C38" w:rsidRDefault="0020723A" w:rsidP="007850B1">
      <w:pPr>
        <w:spacing w:before="240" w:after="120"/>
      </w:pPr>
      <w:r w:rsidRPr="00987C38">
        <w:t xml:space="preserve">A full description of these key priorities, the strategies to address these and a list of key stakeholders can be found at </w:t>
      </w:r>
      <w:r w:rsidRPr="00987C38">
        <w:rPr>
          <w:b/>
          <w:bCs/>
        </w:rPr>
        <w:t>Attachment A</w:t>
      </w:r>
    </w:p>
    <w:p w14:paraId="1F1E6DDB" w14:textId="77777777" w:rsidR="007850B1" w:rsidRPr="00987C38" w:rsidRDefault="007850B1">
      <w:pPr>
        <w:spacing w:after="160" w:line="259" w:lineRule="auto"/>
        <w:rPr>
          <w:rFonts w:ascii="Calibri" w:eastAsia="Times New Roman" w:hAnsi="Calibri" w:cstheme="majorBidi"/>
          <w:color w:val="1D4289"/>
          <w:sz w:val="48"/>
          <w:szCs w:val="48"/>
        </w:rPr>
      </w:pPr>
      <w:r w:rsidRPr="00987C38">
        <w:br w:type="page"/>
      </w:r>
    </w:p>
    <w:p w14:paraId="743D642C" w14:textId="49D22D3E" w:rsidR="006D27E5" w:rsidRPr="00987C38" w:rsidRDefault="0020723A" w:rsidP="006D27E5">
      <w:pPr>
        <w:pStyle w:val="Heading1"/>
        <w:rPr>
          <w:noProof w:val="0"/>
        </w:rPr>
      </w:pPr>
      <w:bookmarkStart w:id="6" w:name="_Toc79411028"/>
      <w:r w:rsidRPr="00987C38">
        <w:rPr>
          <w:noProof w:val="0"/>
        </w:rPr>
        <w:lastRenderedPageBreak/>
        <w:t>Employment Region overview</w:t>
      </w:r>
      <w:bookmarkEnd w:id="6"/>
    </w:p>
    <w:p w14:paraId="41DBEF43" w14:textId="071FACCB" w:rsidR="007850B1" w:rsidRPr="00987C38" w:rsidRDefault="00892924" w:rsidP="007850B1">
      <w:pPr>
        <w:rPr>
          <w:rFonts w:ascii="Calibri" w:eastAsia="Calibri" w:hAnsi="Calibri" w:cs="Times New Roman"/>
        </w:rPr>
      </w:pPr>
      <w:r>
        <w:rPr>
          <w:rFonts w:ascii="Calibri" w:eastAsia="Calibri" w:hAnsi="Calibri" w:cs="Times New Roman"/>
        </w:rPr>
        <w:t xml:space="preserve">The </w:t>
      </w:r>
      <w:r w:rsidR="007850B1" w:rsidRPr="00987C38">
        <w:rPr>
          <w:rFonts w:ascii="Calibri" w:eastAsia="Calibri" w:hAnsi="Calibri" w:cs="Times New Roman"/>
        </w:rPr>
        <w:t>Kalgoorlie</w:t>
      </w:r>
      <w:r>
        <w:rPr>
          <w:rFonts w:ascii="Calibri" w:eastAsia="Calibri" w:hAnsi="Calibri" w:cs="Times New Roman"/>
        </w:rPr>
        <w:t xml:space="preserve"> Employment Region</w:t>
      </w:r>
      <w:r w:rsidR="007850B1" w:rsidRPr="00987C38">
        <w:rPr>
          <w:rFonts w:ascii="Calibri" w:eastAsia="Calibri" w:hAnsi="Calibri" w:cs="Times New Roman"/>
        </w:rPr>
        <w:t xml:space="preserve"> is located within the Eastern Goldfields region of Western Australia and is situated about 590 kilometres east - northeast of Perth. </w:t>
      </w:r>
      <w:r>
        <w:rPr>
          <w:rFonts w:ascii="Calibri" w:eastAsia="Calibri" w:hAnsi="Calibri" w:cs="Times New Roman"/>
        </w:rPr>
        <w:t xml:space="preserve">The </w:t>
      </w:r>
      <w:r w:rsidR="003C43B2">
        <w:rPr>
          <w:rFonts w:ascii="Calibri" w:eastAsia="Calibri" w:hAnsi="Calibri" w:cs="Times New Roman"/>
        </w:rPr>
        <w:t xml:space="preserve">area </w:t>
      </w:r>
      <w:r w:rsidR="003C43B2" w:rsidRPr="00987C38">
        <w:rPr>
          <w:rFonts w:ascii="Calibri" w:eastAsia="Calibri" w:hAnsi="Calibri" w:cs="Times New Roman"/>
        </w:rPr>
        <w:t>is</w:t>
      </w:r>
      <w:r w:rsidR="007850B1" w:rsidRPr="00987C38">
        <w:rPr>
          <w:rFonts w:ascii="Calibri" w:eastAsia="Calibri" w:hAnsi="Calibri" w:cs="Times New Roman"/>
        </w:rPr>
        <w:t xml:space="preserve"> </w:t>
      </w:r>
      <w:r w:rsidR="00967D8B">
        <w:rPr>
          <w:rFonts w:ascii="Calibri" w:eastAsia="Calibri" w:hAnsi="Calibri" w:cs="Times New Roman"/>
        </w:rPr>
        <w:t xml:space="preserve">also </w:t>
      </w:r>
      <w:r w:rsidR="007850B1" w:rsidRPr="00987C38">
        <w:rPr>
          <w:rFonts w:ascii="Calibri" w:eastAsia="Calibri" w:hAnsi="Calibri" w:cs="Times New Roman"/>
        </w:rPr>
        <w:t>referred to as Kalgoorlie</w:t>
      </w:r>
      <w:r w:rsidR="00967D8B">
        <w:rPr>
          <w:rFonts w:ascii="Calibri" w:eastAsia="Calibri" w:hAnsi="Calibri" w:cs="Times New Roman"/>
        </w:rPr>
        <w:t>-</w:t>
      </w:r>
      <w:r w:rsidR="007850B1" w:rsidRPr="00987C38">
        <w:rPr>
          <w:rFonts w:ascii="Calibri" w:eastAsia="Calibri" w:hAnsi="Calibri" w:cs="Times New Roman"/>
        </w:rPr>
        <w:t xml:space="preserve"> Boulder, as the surrounding urban area includes the historic townsite of Boulder.</w:t>
      </w:r>
      <w:r w:rsidR="00FD7C64" w:rsidRPr="00987C38">
        <w:rPr>
          <w:rFonts w:ascii="Calibri" w:eastAsia="Calibri" w:hAnsi="Calibri" w:cs="Times New Roman"/>
        </w:rPr>
        <w:t xml:space="preserve"> </w:t>
      </w:r>
      <w:r w:rsidR="007850B1" w:rsidRPr="00987C38">
        <w:rPr>
          <w:rFonts w:ascii="Calibri" w:eastAsia="Calibri" w:hAnsi="Calibri" w:cs="Times New Roman"/>
        </w:rPr>
        <w:t xml:space="preserve">The Kalgoorlie region is made up of one local government authority, the City of Kalgoorlie-Boulder. </w:t>
      </w:r>
    </w:p>
    <w:p w14:paraId="5678FA32" w14:textId="51449A43" w:rsidR="00C120E2" w:rsidRPr="00987C38" w:rsidRDefault="00DF7394" w:rsidP="00C120E2">
      <w:pPr>
        <w:rPr>
          <w:rFonts w:ascii="Calibri" w:eastAsia="Calibri" w:hAnsi="Calibri" w:cs="Times New Roman"/>
        </w:rPr>
      </w:pPr>
      <w:r w:rsidRPr="00987C38">
        <w:rPr>
          <w:rFonts w:ascii="Calibri" w:eastAsia="Calibri" w:hAnsi="Calibri" w:cs="Times New Roman"/>
        </w:rPr>
        <w:t xml:space="preserve">With a population of </w:t>
      </w:r>
      <w:r w:rsidR="00365094">
        <w:rPr>
          <w:rFonts w:ascii="Calibri" w:eastAsia="Calibri" w:hAnsi="Calibri" w:cs="Times New Roman"/>
        </w:rPr>
        <w:t xml:space="preserve">around </w:t>
      </w:r>
      <w:r w:rsidRPr="00987C38">
        <w:rPr>
          <w:rFonts w:ascii="Calibri" w:eastAsia="Calibri" w:hAnsi="Calibri" w:cs="Times New Roman"/>
        </w:rPr>
        <w:t xml:space="preserve">29,000 </w:t>
      </w:r>
      <w:r w:rsidR="00365094">
        <w:rPr>
          <w:rFonts w:ascii="Calibri" w:eastAsia="Calibri" w:hAnsi="Calibri" w:cs="Times New Roman"/>
        </w:rPr>
        <w:t xml:space="preserve">residents </w:t>
      </w:r>
      <w:r w:rsidRPr="00987C38">
        <w:rPr>
          <w:rFonts w:ascii="Calibri" w:eastAsia="Calibri" w:hAnsi="Calibri" w:cs="Times New Roman"/>
        </w:rPr>
        <w:t xml:space="preserve">and covering over 95,500 square kilometres, </w:t>
      </w:r>
      <w:r w:rsidR="00892924">
        <w:rPr>
          <w:rFonts w:ascii="Calibri" w:eastAsia="Calibri" w:hAnsi="Calibri" w:cs="Times New Roman"/>
        </w:rPr>
        <w:t xml:space="preserve">The City of </w:t>
      </w:r>
      <w:r w:rsidR="00641858" w:rsidRPr="00987C38">
        <w:rPr>
          <w:rFonts w:ascii="Calibri" w:eastAsia="Calibri" w:hAnsi="Calibri" w:cs="Times New Roman"/>
        </w:rPr>
        <w:t>Kalgoorlie</w:t>
      </w:r>
      <w:r w:rsidRPr="00987C38">
        <w:rPr>
          <w:rFonts w:ascii="Calibri" w:eastAsia="Calibri" w:hAnsi="Calibri" w:cs="Times New Roman"/>
        </w:rPr>
        <w:t xml:space="preserve"> </w:t>
      </w:r>
      <w:r w:rsidR="00054270">
        <w:rPr>
          <w:rFonts w:ascii="Calibri" w:eastAsia="Calibri" w:hAnsi="Calibri" w:cs="Times New Roman"/>
        </w:rPr>
        <w:t xml:space="preserve">- </w:t>
      </w:r>
      <w:r w:rsidRPr="00987C38">
        <w:rPr>
          <w:rFonts w:ascii="Calibri" w:eastAsia="Calibri" w:hAnsi="Calibri" w:cs="Times New Roman"/>
        </w:rPr>
        <w:t xml:space="preserve">Boulder is the largest urban centre in the Goldfields region and the fifth largest in Western Australia. </w:t>
      </w:r>
    </w:p>
    <w:p w14:paraId="1516EDC0" w14:textId="0B0E9FC3" w:rsidR="00FD7C64" w:rsidRPr="00987C38" w:rsidRDefault="00060ADA" w:rsidP="0020723A">
      <w:pPr>
        <w:rPr>
          <w:rFonts w:ascii="Calibri" w:eastAsia="Calibri" w:hAnsi="Calibri" w:cs="Times New Roman"/>
        </w:rPr>
      </w:pPr>
      <w:r w:rsidRPr="00987C38">
        <w:rPr>
          <w:rFonts w:ascii="Calibri" w:eastAsia="Calibri" w:hAnsi="Calibri" w:cs="Times New Roman"/>
        </w:rPr>
        <w:t xml:space="preserve">It is worth noting that the Kalgoorlie </w:t>
      </w:r>
      <w:r w:rsidR="00581093">
        <w:rPr>
          <w:rFonts w:ascii="Calibri" w:eastAsia="Calibri" w:hAnsi="Calibri" w:cs="Times New Roman"/>
        </w:rPr>
        <w:t xml:space="preserve">employment </w:t>
      </w:r>
      <w:r w:rsidRPr="00987C38">
        <w:rPr>
          <w:rFonts w:ascii="Calibri" w:eastAsia="Calibri" w:hAnsi="Calibri" w:cs="Times New Roman"/>
        </w:rPr>
        <w:t xml:space="preserve">region is defined as the geographical </w:t>
      </w:r>
      <w:r w:rsidR="00581093">
        <w:rPr>
          <w:rFonts w:ascii="Calibri" w:eastAsia="Calibri" w:hAnsi="Calibri" w:cs="Times New Roman"/>
        </w:rPr>
        <w:t>area</w:t>
      </w:r>
      <w:r w:rsidRPr="00987C38">
        <w:rPr>
          <w:rFonts w:ascii="Calibri" w:eastAsia="Calibri" w:hAnsi="Calibri" w:cs="Times New Roman"/>
        </w:rPr>
        <w:t xml:space="preserve"> of the town of Kalgoorlie-Boulder only and does not cover the area serviced by the Community Development Program (CDP), which is administered by the National Indigenous Australian Agency</w:t>
      </w:r>
      <w:r w:rsidR="006E62B1">
        <w:rPr>
          <w:rFonts w:ascii="Calibri" w:eastAsia="Calibri" w:hAnsi="Calibri" w:cs="Times New Roman"/>
        </w:rPr>
        <w:t xml:space="preserve"> (NIAA).</w:t>
      </w:r>
      <w:r w:rsidR="001657E7" w:rsidRPr="00987C38">
        <w:rPr>
          <w:rFonts w:ascii="Calibri" w:eastAsia="Calibri" w:hAnsi="Calibri" w:cs="Times New Roman"/>
        </w:rPr>
        <w:t xml:space="preserve"> Refer to the boundary map </w:t>
      </w:r>
      <w:r w:rsidR="00FD7C64" w:rsidRPr="00987C38">
        <w:rPr>
          <w:rFonts w:ascii="Calibri" w:eastAsia="Calibri" w:hAnsi="Calibri" w:cs="Times New Roman"/>
        </w:rPr>
        <w:t>below</w:t>
      </w:r>
      <w:r w:rsidR="001657E7" w:rsidRPr="00987C38">
        <w:rPr>
          <w:rFonts w:ascii="Calibri" w:eastAsia="Calibri" w:hAnsi="Calibri" w:cs="Times New Roman"/>
        </w:rPr>
        <w:t>.</w:t>
      </w:r>
      <w:r w:rsidR="00FD7C64" w:rsidRPr="00987C38">
        <w:rPr>
          <w:rFonts w:ascii="Calibri" w:eastAsia="Calibri" w:hAnsi="Calibri" w:cs="Times New Roman"/>
        </w:rPr>
        <w:t xml:space="preserve"> </w:t>
      </w:r>
    </w:p>
    <w:p w14:paraId="39C59C55" w14:textId="7235CD6E" w:rsidR="00060ADA" w:rsidRPr="00987C38" w:rsidRDefault="00FD7C64" w:rsidP="0020723A">
      <w:pPr>
        <w:rPr>
          <w:rFonts w:ascii="Calibri" w:eastAsia="Calibri" w:hAnsi="Calibri" w:cs="Times New Roman"/>
        </w:rPr>
      </w:pPr>
      <w:r w:rsidRPr="00987C38">
        <w:rPr>
          <w:rFonts w:ascii="Calibri" w:eastAsia="Calibri" w:hAnsi="Calibri" w:cs="Times New Roman"/>
          <w:noProof/>
        </w:rPr>
        <w:drawing>
          <wp:inline distT="0" distB="0" distL="0" distR="0" wp14:anchorId="0F2B7B1C" wp14:editId="121E9147">
            <wp:extent cx="5011833" cy="3577190"/>
            <wp:effectExtent l="0" t="0" r="0" b="4445"/>
            <wp:docPr id="8" name="Picture 8" descr="Map of the Kalgoorlie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 of the Kalgoorlie Employment Region"/>
                    <pic:cNvPicPr/>
                  </pic:nvPicPr>
                  <pic:blipFill>
                    <a:blip r:embed="rId18"/>
                    <a:stretch>
                      <a:fillRect/>
                    </a:stretch>
                  </pic:blipFill>
                  <pic:spPr>
                    <a:xfrm>
                      <a:off x="0" y="0"/>
                      <a:ext cx="5031968" cy="3591561"/>
                    </a:xfrm>
                    <a:prstGeom prst="rect">
                      <a:avLst/>
                    </a:prstGeom>
                  </pic:spPr>
                </pic:pic>
              </a:graphicData>
            </a:graphic>
          </wp:inline>
        </w:drawing>
      </w:r>
    </w:p>
    <w:p w14:paraId="2897C85C" w14:textId="4E47BBF1" w:rsidR="005C0E6D" w:rsidRDefault="0020723A" w:rsidP="005C0E6D">
      <w:pPr>
        <w:shd w:val="clear" w:color="auto" w:fill="FFFFFF"/>
        <w:spacing w:before="100" w:beforeAutospacing="1" w:after="100" w:afterAutospacing="1" w:line="240" w:lineRule="auto"/>
        <w:rPr>
          <w:rFonts w:eastAsia="Calibri" w:cstheme="minorHAnsi"/>
        </w:rPr>
      </w:pPr>
      <w:r w:rsidRPr="00E16333">
        <w:rPr>
          <w:rFonts w:ascii="Calibri" w:eastAsia="Calibri" w:hAnsi="Calibri" w:cs="Times New Roman"/>
        </w:rPr>
        <w:t xml:space="preserve">The city was established in 1893 during the Western Australian gold rush. It replaced Coolgardie as the largest settlement </w:t>
      </w:r>
      <w:r w:rsidR="006E62B1">
        <w:rPr>
          <w:rFonts w:ascii="Calibri" w:eastAsia="Calibri" w:hAnsi="Calibri" w:cs="Times New Roman"/>
        </w:rPr>
        <w:t>i</w:t>
      </w:r>
      <w:r w:rsidRPr="00E16333">
        <w:rPr>
          <w:rFonts w:ascii="Calibri" w:eastAsia="Calibri" w:hAnsi="Calibri" w:cs="Times New Roman"/>
        </w:rPr>
        <w:t xml:space="preserve">n the Eastern Goldfields. Kalgoorlie is the </w:t>
      </w:r>
      <w:r w:rsidR="003C43B2" w:rsidRPr="00E16333">
        <w:rPr>
          <w:rFonts w:ascii="Calibri" w:eastAsia="Calibri" w:hAnsi="Calibri" w:cs="Times New Roman"/>
        </w:rPr>
        <w:t>destination</w:t>
      </w:r>
      <w:r w:rsidRPr="00E16333">
        <w:rPr>
          <w:rFonts w:ascii="Calibri" w:eastAsia="Calibri" w:hAnsi="Calibri" w:cs="Times New Roman"/>
        </w:rPr>
        <w:t xml:space="preserve"> of the Goldfields Water Supply Scheme and the Golden Pipeline Heritage Trail. The nearby </w:t>
      </w:r>
      <w:r w:rsidR="00DE5C99" w:rsidRPr="00E16333">
        <w:rPr>
          <w:rFonts w:ascii="Calibri" w:eastAsia="Calibri" w:hAnsi="Calibri" w:cs="Times New Roman"/>
        </w:rPr>
        <w:t>Fimiston Open Pit (</w:t>
      </w:r>
      <w:r w:rsidRPr="00E16333">
        <w:rPr>
          <w:rFonts w:ascii="Calibri" w:eastAsia="Calibri" w:hAnsi="Calibri" w:cs="Times New Roman"/>
        </w:rPr>
        <w:t>Super Pit</w:t>
      </w:r>
      <w:r w:rsidR="00DE5C99" w:rsidRPr="00E16333">
        <w:rPr>
          <w:rFonts w:ascii="Calibri" w:eastAsia="Calibri" w:hAnsi="Calibri" w:cs="Times New Roman"/>
        </w:rPr>
        <w:t>)</w:t>
      </w:r>
      <w:r w:rsidRPr="00E16333">
        <w:rPr>
          <w:rFonts w:ascii="Calibri" w:eastAsia="Calibri" w:hAnsi="Calibri" w:cs="Times New Roman"/>
        </w:rPr>
        <w:t xml:space="preserve"> mine was Australia's largest open-cut gold mine for many years.</w:t>
      </w:r>
      <w:r w:rsidR="00917DB0" w:rsidRPr="00E16333">
        <w:rPr>
          <w:rFonts w:ascii="Calibri" w:eastAsia="Calibri" w:hAnsi="Calibri" w:cs="Times New Roman"/>
        </w:rPr>
        <w:t xml:space="preserve"> </w:t>
      </w:r>
      <w:r w:rsidR="001570BF" w:rsidRPr="00E16333">
        <w:rPr>
          <w:rFonts w:eastAsia="Calibri" w:cstheme="minorHAnsi"/>
        </w:rPr>
        <w:t xml:space="preserve">Owned by Northern Star Resources Limited, the life of the mine </w:t>
      </w:r>
      <w:r w:rsidR="00892924" w:rsidRPr="00E16333">
        <w:rPr>
          <w:rFonts w:eastAsia="Calibri" w:cstheme="minorHAnsi"/>
        </w:rPr>
        <w:t>will b</w:t>
      </w:r>
      <w:r w:rsidR="003C43B2" w:rsidRPr="00E16333">
        <w:rPr>
          <w:rFonts w:eastAsia="Calibri" w:cstheme="minorHAnsi"/>
        </w:rPr>
        <w:t>e</w:t>
      </w:r>
      <w:r w:rsidR="001570BF" w:rsidRPr="00E16333">
        <w:rPr>
          <w:rFonts w:eastAsia="Calibri" w:cstheme="minorHAnsi"/>
        </w:rPr>
        <w:t xml:space="preserve"> extended to 2034 with major expansions </w:t>
      </w:r>
      <w:r w:rsidR="001C1698" w:rsidRPr="00E16333">
        <w:rPr>
          <w:rFonts w:eastAsia="Calibri" w:cstheme="minorHAnsi"/>
        </w:rPr>
        <w:t>commencing in 2023</w:t>
      </w:r>
      <w:r w:rsidR="00542A7C" w:rsidRPr="00E16333">
        <w:rPr>
          <w:rFonts w:eastAsia="Calibri" w:cstheme="minorHAnsi"/>
        </w:rPr>
        <w:t xml:space="preserve">. </w:t>
      </w:r>
    </w:p>
    <w:p w14:paraId="7665FA2A" w14:textId="76D63C36" w:rsidR="001363FD" w:rsidRPr="00E16333" w:rsidRDefault="0020723A" w:rsidP="005C0E6D">
      <w:pPr>
        <w:shd w:val="clear" w:color="auto" w:fill="FFFFFF"/>
        <w:spacing w:before="100" w:beforeAutospacing="1" w:after="100" w:afterAutospacing="1" w:line="240" w:lineRule="auto"/>
        <w:rPr>
          <w:rFonts w:ascii="Calibri" w:eastAsia="Calibri" w:hAnsi="Calibri" w:cs="Times New Roman"/>
        </w:rPr>
      </w:pPr>
      <w:r w:rsidRPr="00E16333">
        <w:rPr>
          <w:rFonts w:ascii="Calibri" w:eastAsia="Calibri" w:hAnsi="Calibri" w:cs="Times New Roman"/>
        </w:rPr>
        <w:t xml:space="preserve">Mining is the largest employer within the </w:t>
      </w:r>
      <w:r w:rsidR="00FC575C">
        <w:rPr>
          <w:rFonts w:ascii="Calibri" w:eastAsia="Calibri" w:hAnsi="Calibri" w:cs="Times New Roman"/>
        </w:rPr>
        <w:t xml:space="preserve">Employment </w:t>
      </w:r>
      <w:r w:rsidR="00AC3F91">
        <w:rPr>
          <w:rFonts w:ascii="Calibri" w:eastAsia="Calibri" w:hAnsi="Calibri" w:cs="Times New Roman"/>
        </w:rPr>
        <w:t>Region</w:t>
      </w:r>
      <w:r w:rsidR="00FD7C64" w:rsidRPr="00E16333">
        <w:rPr>
          <w:rFonts w:ascii="Calibri" w:eastAsia="Calibri" w:hAnsi="Calibri" w:cs="Times New Roman"/>
        </w:rPr>
        <w:t xml:space="preserve">, </w:t>
      </w:r>
      <w:r w:rsidRPr="00E16333">
        <w:rPr>
          <w:rFonts w:ascii="Calibri" w:eastAsia="Calibri" w:hAnsi="Calibri" w:cs="Times New Roman"/>
        </w:rPr>
        <w:t xml:space="preserve">accounting for </w:t>
      </w:r>
      <w:r w:rsidR="002B279A" w:rsidRPr="002B279A">
        <w:rPr>
          <w:rFonts w:ascii="Calibri" w:eastAsia="Calibri" w:hAnsi="Calibri" w:cs="Times New Roman"/>
        </w:rPr>
        <w:t>19,000</w:t>
      </w:r>
      <w:r w:rsidR="002B279A">
        <w:rPr>
          <w:rFonts w:ascii="Calibri" w:eastAsia="Calibri" w:hAnsi="Calibri" w:cs="Times New Roman"/>
        </w:rPr>
        <w:t xml:space="preserve"> </w:t>
      </w:r>
      <w:r w:rsidRPr="00E16333">
        <w:rPr>
          <w:rFonts w:ascii="Calibri" w:eastAsia="Calibri" w:hAnsi="Calibri" w:cs="Times New Roman"/>
        </w:rPr>
        <w:t>jobs</w:t>
      </w:r>
      <w:r w:rsidR="00267630">
        <w:rPr>
          <w:rFonts w:ascii="Calibri" w:eastAsia="Calibri" w:hAnsi="Calibri" w:cs="Times New Roman"/>
        </w:rPr>
        <w:t xml:space="preserve"> as </w:t>
      </w:r>
      <w:proofErr w:type="gramStart"/>
      <w:r w:rsidR="00267630">
        <w:rPr>
          <w:rFonts w:ascii="Calibri" w:eastAsia="Calibri" w:hAnsi="Calibri" w:cs="Times New Roman"/>
        </w:rPr>
        <w:t>at</w:t>
      </w:r>
      <w:proofErr w:type="gramEnd"/>
      <w:r w:rsidR="00267630">
        <w:rPr>
          <w:rFonts w:ascii="Calibri" w:eastAsia="Calibri" w:hAnsi="Calibri" w:cs="Times New Roman"/>
        </w:rPr>
        <w:t xml:space="preserve"> February 2022</w:t>
      </w:r>
      <w:r w:rsidR="005E750F">
        <w:rPr>
          <w:rFonts w:ascii="Calibri" w:eastAsia="Calibri" w:hAnsi="Calibri" w:cs="Times New Roman"/>
        </w:rPr>
        <w:t xml:space="preserve"> (Source: National Skills Commission</w:t>
      </w:r>
      <w:r w:rsidR="006472CD">
        <w:rPr>
          <w:rFonts w:ascii="Calibri" w:eastAsia="Calibri" w:hAnsi="Calibri" w:cs="Times New Roman"/>
        </w:rPr>
        <w:t>)</w:t>
      </w:r>
      <w:r w:rsidR="00AC3F91">
        <w:rPr>
          <w:rFonts w:ascii="Calibri" w:eastAsia="Calibri" w:hAnsi="Calibri" w:cs="Times New Roman"/>
        </w:rPr>
        <w:t>. According to REMPLAN</w:t>
      </w:r>
      <w:r w:rsidRPr="00E16333">
        <w:rPr>
          <w:rFonts w:ascii="Calibri" w:eastAsia="Calibri" w:hAnsi="Calibri" w:cs="Times New Roman"/>
        </w:rPr>
        <w:t xml:space="preserve">, </w:t>
      </w:r>
      <w:r w:rsidR="00AC3F91">
        <w:rPr>
          <w:rFonts w:ascii="Calibri" w:eastAsia="Calibri" w:hAnsi="Calibri" w:cs="Times New Roman"/>
        </w:rPr>
        <w:t xml:space="preserve">the 11,000 mining jobs in </w:t>
      </w:r>
      <w:r w:rsidR="00AC3F91" w:rsidRPr="0007375A">
        <w:rPr>
          <w:rFonts w:ascii="Calibri" w:eastAsia="Calibri" w:hAnsi="Calibri" w:cs="Times New Roman"/>
        </w:rPr>
        <w:t xml:space="preserve">Goldfields-Esperance </w:t>
      </w:r>
      <w:r w:rsidRPr="00E16333">
        <w:rPr>
          <w:rFonts w:ascii="Calibri" w:eastAsia="Calibri" w:hAnsi="Calibri" w:cs="Times New Roman"/>
        </w:rPr>
        <w:t xml:space="preserve">constitute </w:t>
      </w:r>
      <w:r w:rsidR="006F5641">
        <w:rPr>
          <w:rFonts w:ascii="Calibri" w:eastAsia="Calibri" w:hAnsi="Calibri" w:cs="Times New Roman"/>
        </w:rPr>
        <w:t>14</w:t>
      </w:r>
      <w:r w:rsidRPr="00E16333">
        <w:rPr>
          <w:rFonts w:ascii="Calibri" w:eastAsia="Calibri" w:hAnsi="Calibri" w:cs="Times New Roman"/>
        </w:rPr>
        <w:t xml:space="preserve">% of all </w:t>
      </w:r>
      <w:r w:rsidR="00AC3F91">
        <w:rPr>
          <w:rFonts w:ascii="Calibri" w:eastAsia="Calibri" w:hAnsi="Calibri" w:cs="Times New Roman"/>
        </w:rPr>
        <w:t xml:space="preserve">80,000 </w:t>
      </w:r>
      <w:r w:rsidRPr="00E16333">
        <w:rPr>
          <w:rFonts w:ascii="Calibri" w:eastAsia="Calibri" w:hAnsi="Calibri" w:cs="Times New Roman"/>
        </w:rPr>
        <w:t xml:space="preserve">jobs in the </w:t>
      </w:r>
      <w:r w:rsidR="00AC3F91" w:rsidRPr="00E16333">
        <w:rPr>
          <w:rFonts w:ascii="Calibri" w:eastAsia="Calibri" w:hAnsi="Calibri" w:cs="Times New Roman"/>
        </w:rPr>
        <w:t xml:space="preserve">Western Australia </w:t>
      </w:r>
      <w:r w:rsidR="00AC3F91">
        <w:rPr>
          <w:rFonts w:ascii="Calibri" w:eastAsia="Calibri" w:hAnsi="Calibri" w:cs="Times New Roman"/>
        </w:rPr>
        <w:t>m</w:t>
      </w:r>
      <w:r w:rsidRPr="00E16333">
        <w:rPr>
          <w:rFonts w:ascii="Calibri" w:eastAsia="Calibri" w:hAnsi="Calibri" w:cs="Times New Roman"/>
        </w:rPr>
        <w:t>ining sector (Source: REMPLAN economic data,</w:t>
      </w:r>
      <w:r w:rsidR="00FD7C64" w:rsidRPr="00E16333">
        <w:rPr>
          <w:rFonts w:ascii="Calibri" w:eastAsia="Calibri" w:hAnsi="Calibri" w:cs="Times New Roman"/>
        </w:rPr>
        <w:t xml:space="preserve"> Western Australia – </w:t>
      </w:r>
      <w:r w:rsidR="0007375A" w:rsidRPr="0007375A">
        <w:rPr>
          <w:rFonts w:ascii="Calibri" w:eastAsia="Calibri" w:hAnsi="Calibri" w:cs="Times New Roman"/>
        </w:rPr>
        <w:t xml:space="preserve">Goldfields-Esperance </w:t>
      </w:r>
      <w:r w:rsidRPr="00E16333">
        <w:rPr>
          <w:rFonts w:ascii="Calibri" w:eastAsia="Calibri" w:hAnsi="Calibri" w:cs="Times New Roman"/>
        </w:rPr>
        <w:t>202</w:t>
      </w:r>
      <w:r w:rsidR="00FC575C">
        <w:rPr>
          <w:rFonts w:ascii="Calibri" w:eastAsia="Calibri" w:hAnsi="Calibri" w:cs="Times New Roman"/>
        </w:rPr>
        <w:t>2</w:t>
      </w:r>
      <w:r w:rsidRPr="00E16333">
        <w:rPr>
          <w:rFonts w:ascii="Calibri" w:eastAsia="Calibri" w:hAnsi="Calibri" w:cs="Times New Roman"/>
        </w:rPr>
        <w:t>)</w:t>
      </w:r>
      <w:r w:rsidR="00C120E2" w:rsidRPr="00365094">
        <w:rPr>
          <w:rFonts w:ascii="Calibri" w:eastAsia="Calibri" w:hAnsi="Calibri" w:cs="Times New Roman"/>
        </w:rPr>
        <w:t xml:space="preserve">. </w:t>
      </w:r>
    </w:p>
    <w:p w14:paraId="08F1E091" w14:textId="40D5EA1C" w:rsidR="0020723A" w:rsidRPr="00987C38" w:rsidRDefault="00C120E2" w:rsidP="0020723A">
      <w:pPr>
        <w:rPr>
          <w:rFonts w:ascii="Calibri" w:eastAsia="Calibri" w:hAnsi="Calibri" w:cs="Times New Roman"/>
        </w:rPr>
      </w:pPr>
      <w:r w:rsidRPr="00987C38">
        <w:rPr>
          <w:rFonts w:ascii="Calibri" w:eastAsia="Calibri" w:hAnsi="Calibri" w:cs="Times New Roman"/>
        </w:rPr>
        <w:lastRenderedPageBreak/>
        <w:t>The region has limited public transport infrastructure</w:t>
      </w:r>
      <w:r w:rsidR="006E62B1">
        <w:rPr>
          <w:rFonts w:ascii="Calibri" w:eastAsia="Calibri" w:hAnsi="Calibri" w:cs="Times New Roman"/>
        </w:rPr>
        <w:t xml:space="preserve">, </w:t>
      </w:r>
      <w:r w:rsidRPr="00987C38">
        <w:rPr>
          <w:rFonts w:ascii="Calibri" w:eastAsia="Calibri" w:hAnsi="Calibri" w:cs="Times New Roman"/>
        </w:rPr>
        <w:t xml:space="preserve">making access to private vehicles and </w:t>
      </w:r>
      <w:r w:rsidR="00641858" w:rsidRPr="00987C38">
        <w:rPr>
          <w:rFonts w:ascii="Calibri" w:eastAsia="Calibri" w:hAnsi="Calibri" w:cs="Times New Roman"/>
        </w:rPr>
        <w:t>drivers’</w:t>
      </w:r>
      <w:r w:rsidRPr="00987C38">
        <w:rPr>
          <w:rFonts w:ascii="Calibri" w:eastAsia="Calibri" w:hAnsi="Calibri" w:cs="Times New Roman"/>
        </w:rPr>
        <w:t xml:space="preserve"> licences highly desirable.</w:t>
      </w:r>
      <w:r w:rsidR="00A06CD3">
        <w:rPr>
          <w:rFonts w:ascii="Calibri" w:eastAsia="Calibri" w:hAnsi="Calibri" w:cs="Times New Roman"/>
        </w:rPr>
        <w:t xml:space="preserve"> A “C” Class Manual </w:t>
      </w:r>
      <w:r w:rsidR="00641858">
        <w:rPr>
          <w:rFonts w:ascii="Calibri" w:eastAsia="Calibri" w:hAnsi="Calibri" w:cs="Times New Roman"/>
        </w:rPr>
        <w:t>drivers’</w:t>
      </w:r>
      <w:r w:rsidR="00A06CD3">
        <w:rPr>
          <w:rFonts w:ascii="Calibri" w:eastAsia="Calibri" w:hAnsi="Calibri" w:cs="Times New Roman"/>
        </w:rPr>
        <w:t xml:space="preserve"> licence is an essential requirement </w:t>
      </w:r>
      <w:r w:rsidR="00FD4AD5">
        <w:rPr>
          <w:rFonts w:ascii="Calibri" w:eastAsia="Calibri" w:hAnsi="Calibri" w:cs="Times New Roman"/>
        </w:rPr>
        <w:t>for employment in the</w:t>
      </w:r>
      <w:r w:rsidR="005C0E6D">
        <w:rPr>
          <w:rFonts w:ascii="Calibri" w:eastAsia="Calibri" w:hAnsi="Calibri" w:cs="Times New Roman"/>
        </w:rPr>
        <w:t xml:space="preserve"> many of the</w:t>
      </w:r>
      <w:r w:rsidR="00FD4AD5">
        <w:rPr>
          <w:rFonts w:ascii="Calibri" w:eastAsia="Calibri" w:hAnsi="Calibri" w:cs="Times New Roman"/>
        </w:rPr>
        <w:t xml:space="preserve"> mining industr</w:t>
      </w:r>
      <w:r w:rsidR="005C0E6D">
        <w:rPr>
          <w:rFonts w:ascii="Calibri" w:eastAsia="Calibri" w:hAnsi="Calibri" w:cs="Times New Roman"/>
        </w:rPr>
        <w:t>ies</w:t>
      </w:r>
      <w:r w:rsidR="00FD4AD5">
        <w:rPr>
          <w:rFonts w:ascii="Calibri" w:eastAsia="Calibri" w:hAnsi="Calibri" w:cs="Times New Roman"/>
        </w:rPr>
        <w:t>.</w:t>
      </w:r>
    </w:p>
    <w:p w14:paraId="4240C2FD" w14:textId="50BE3AC7" w:rsidR="0020723A" w:rsidRPr="00987C38" w:rsidRDefault="0020723A" w:rsidP="0020723A">
      <w:pPr>
        <w:rPr>
          <w:rFonts w:ascii="Calibri" w:eastAsia="Calibri" w:hAnsi="Calibri" w:cs="Times New Roman"/>
        </w:rPr>
      </w:pPr>
      <w:r w:rsidRPr="00987C38">
        <w:rPr>
          <w:rFonts w:ascii="Calibri" w:eastAsia="Calibri" w:hAnsi="Calibri" w:cs="Times New Roman"/>
        </w:rPr>
        <w:t xml:space="preserve">There are </w:t>
      </w:r>
      <w:r w:rsidR="00764FD3">
        <w:rPr>
          <w:rFonts w:ascii="Calibri" w:eastAsia="Calibri" w:hAnsi="Calibri" w:cs="Times New Roman"/>
        </w:rPr>
        <w:t xml:space="preserve">five </w:t>
      </w:r>
      <w:r w:rsidRPr="00987C38">
        <w:rPr>
          <w:rFonts w:ascii="Calibri" w:eastAsia="Calibri" w:hAnsi="Calibri" w:cs="Times New Roman"/>
        </w:rPr>
        <w:t xml:space="preserve">secondary schools in the region: Eastern Goldfields College, John Paul College, </w:t>
      </w:r>
      <w:proofErr w:type="spellStart"/>
      <w:r w:rsidR="00EF1B27">
        <w:rPr>
          <w:rFonts w:ascii="Calibri" w:eastAsia="Calibri" w:hAnsi="Calibri" w:cs="Times New Roman"/>
        </w:rPr>
        <w:t>Fairbridge</w:t>
      </w:r>
      <w:proofErr w:type="spellEnd"/>
      <w:r w:rsidR="00E0691F">
        <w:rPr>
          <w:rFonts w:ascii="Calibri" w:eastAsia="Calibri" w:hAnsi="Calibri" w:cs="Times New Roman"/>
        </w:rPr>
        <w:t xml:space="preserve"> College, </w:t>
      </w:r>
      <w:r w:rsidRPr="00987C38">
        <w:rPr>
          <w:rFonts w:ascii="Calibri" w:eastAsia="Calibri" w:hAnsi="Calibri" w:cs="Times New Roman"/>
        </w:rPr>
        <w:t>Kalgoorlie</w:t>
      </w:r>
      <w:r w:rsidR="00B16D9F">
        <w:rPr>
          <w:rFonts w:ascii="Calibri" w:eastAsia="Calibri" w:hAnsi="Calibri" w:cs="Times New Roman"/>
        </w:rPr>
        <w:t>-</w:t>
      </w:r>
      <w:r w:rsidRPr="00987C38">
        <w:rPr>
          <w:rFonts w:ascii="Calibri" w:eastAsia="Calibri" w:hAnsi="Calibri" w:cs="Times New Roman"/>
        </w:rPr>
        <w:t xml:space="preserve">Boulder Community High School and Goldfields Baptist College. Kalgoorlie is also home to Central </w:t>
      </w:r>
      <w:r w:rsidR="00B71D65">
        <w:rPr>
          <w:rFonts w:ascii="Calibri" w:eastAsia="Calibri" w:hAnsi="Calibri" w:cs="Times New Roman"/>
        </w:rPr>
        <w:t xml:space="preserve">Regional </w:t>
      </w:r>
      <w:r w:rsidRPr="00987C38">
        <w:rPr>
          <w:rFonts w:ascii="Calibri" w:eastAsia="Calibri" w:hAnsi="Calibri" w:cs="Times New Roman"/>
        </w:rPr>
        <w:t xml:space="preserve">TAFE’s Kalgoorlie campus and Curtin University’s Schools of Mines. </w:t>
      </w:r>
    </w:p>
    <w:p w14:paraId="5D55AE69" w14:textId="6CA8E61E" w:rsidR="00E16333" w:rsidRPr="005C0E6D" w:rsidRDefault="0020723A" w:rsidP="0020723A">
      <w:pPr>
        <w:pStyle w:val="Heading1"/>
        <w:spacing w:after="240"/>
        <w:rPr>
          <w:rFonts w:eastAsia="Calibri" w:cs="Times New Roman"/>
          <w:i/>
          <w:iCs/>
          <w:color w:val="auto"/>
          <w:sz w:val="22"/>
          <w:szCs w:val="22"/>
        </w:rPr>
      </w:pPr>
      <w:r w:rsidRPr="005C0E6D">
        <w:rPr>
          <w:rFonts w:eastAsia="Calibri" w:cs="Times New Roman"/>
          <w:i/>
          <w:iCs/>
          <w:color w:val="auto"/>
          <w:sz w:val="22"/>
          <w:szCs w:val="22"/>
        </w:rPr>
        <w:t>Kalgoorlie lies on the traditional lands of the Wongatha/Wangkatha people</w:t>
      </w:r>
      <w:bookmarkStart w:id="7" w:name="_Toc79411029"/>
      <w:r w:rsidR="005C0E6D" w:rsidRPr="005C0E6D">
        <w:rPr>
          <w:rFonts w:eastAsia="Calibri" w:cs="Times New Roman"/>
          <w:i/>
          <w:iCs/>
          <w:color w:val="auto"/>
          <w:sz w:val="22"/>
          <w:szCs w:val="22"/>
        </w:rPr>
        <w:t>.</w:t>
      </w:r>
    </w:p>
    <w:p w14:paraId="1211AA52" w14:textId="77777777" w:rsidR="00E16333" w:rsidRPr="00365094" w:rsidRDefault="00E16333" w:rsidP="0020723A">
      <w:pPr>
        <w:pStyle w:val="Heading1"/>
        <w:spacing w:after="240"/>
        <w:rPr>
          <w:rFonts w:eastAsia="Calibri" w:cs="Times New Roman"/>
        </w:rPr>
      </w:pPr>
    </w:p>
    <w:p w14:paraId="160692CA" w14:textId="1EDEA7ED" w:rsidR="0020723A" w:rsidRDefault="0020723A" w:rsidP="0020723A">
      <w:pPr>
        <w:pStyle w:val="Heading1"/>
        <w:spacing w:after="240"/>
        <w:rPr>
          <w:noProof w:val="0"/>
        </w:rPr>
      </w:pPr>
      <w:r w:rsidRPr="00E16333">
        <w:rPr>
          <w:noProof w:val="0"/>
        </w:rPr>
        <w:t>Key challenges</w:t>
      </w:r>
      <w:r w:rsidR="00A27A70">
        <w:rPr>
          <w:noProof w:val="0"/>
        </w:rPr>
        <w:t xml:space="preserve"> and opportunities</w:t>
      </w:r>
      <w:r w:rsidRPr="00E16333">
        <w:rPr>
          <w:noProof w:val="0"/>
        </w:rPr>
        <w:t xml:space="preserve"> in the Kalgoorlie Employment Region</w:t>
      </w:r>
      <w:bookmarkEnd w:id="7"/>
    </w:p>
    <w:p w14:paraId="6D4C217D" w14:textId="1CADBA90" w:rsidR="006E62B1" w:rsidRDefault="006E62B1" w:rsidP="006E62B1"/>
    <w:p w14:paraId="4FDAED6B" w14:textId="5B4D8F52" w:rsidR="006E62B1" w:rsidRPr="006E62B1" w:rsidRDefault="006E62B1" w:rsidP="006E62B1">
      <w:pPr>
        <w:rPr>
          <w:color w:val="002060"/>
          <w:sz w:val="40"/>
          <w:szCs w:val="40"/>
        </w:rPr>
      </w:pPr>
      <w:r w:rsidRPr="006E62B1">
        <w:rPr>
          <w:color w:val="002060"/>
          <w:sz w:val="40"/>
          <w:szCs w:val="40"/>
        </w:rPr>
        <w:t>Industry</w:t>
      </w:r>
      <w:r w:rsidR="00A27A70">
        <w:rPr>
          <w:color w:val="002060"/>
          <w:sz w:val="40"/>
          <w:szCs w:val="40"/>
        </w:rPr>
        <w:t>:</w:t>
      </w:r>
    </w:p>
    <w:p w14:paraId="153A0C27" w14:textId="324B8E99" w:rsidR="0020723A" w:rsidRPr="00987C38" w:rsidRDefault="005C0E6D" w:rsidP="00FD7C64">
      <w:r>
        <w:t>T</w:t>
      </w:r>
      <w:r w:rsidR="0020723A" w:rsidRPr="00987C38">
        <w:t>he continued demands of the local mining</w:t>
      </w:r>
      <w:r w:rsidR="006E62B1">
        <w:t xml:space="preserve"> and </w:t>
      </w:r>
      <w:r w:rsidR="0020723A" w:rsidRPr="00987C38">
        <w:t xml:space="preserve">resources sector have seen an ongoing need for staff across a range of other industries, such as Hospitality and Accommodation Services, Health Care and Social Assistance, Retail and Child Care. Employers operating in non-resource related industries find it challenging to attract and retain staff, who are drawn to the generous </w:t>
      </w:r>
      <w:r w:rsidR="003C43B2" w:rsidRPr="00987C38">
        <w:t>remuneration offered</w:t>
      </w:r>
      <w:r w:rsidR="0020723A" w:rsidRPr="00987C38">
        <w:t xml:space="preserve"> by the </w:t>
      </w:r>
      <w:r w:rsidR="00EF1B27">
        <w:t xml:space="preserve">gold, nickel and </w:t>
      </w:r>
      <w:r w:rsidR="003C43B2">
        <w:t xml:space="preserve">lithium </w:t>
      </w:r>
      <w:r w:rsidR="003C43B2" w:rsidRPr="00987C38">
        <w:t>mining</w:t>
      </w:r>
      <w:r w:rsidR="0020723A" w:rsidRPr="00987C38">
        <w:t xml:space="preserve"> sector</w:t>
      </w:r>
      <w:r w:rsidR="00EF1B27">
        <w:t>s</w:t>
      </w:r>
      <w:r w:rsidR="0020723A" w:rsidRPr="00987C38">
        <w:t xml:space="preserve"> and the allied resources industries. Some local industries have also experienced a loss of their workforce to other higher wage locations such as the Pilbara, or to larger centres offering broader lifestyle and career options, such as Perth. </w:t>
      </w:r>
      <w:r w:rsidR="005E128A" w:rsidRPr="00987C38">
        <w:t>There is a degree of seasonal transience of job seekers</w:t>
      </w:r>
      <w:r w:rsidR="006E62B1">
        <w:t xml:space="preserve"> between the city and the traditional lands outside </w:t>
      </w:r>
      <w:r w:rsidR="005E128A" w:rsidRPr="00987C38">
        <w:t>the region</w:t>
      </w:r>
      <w:r w:rsidR="006E62B1">
        <w:t>,</w:t>
      </w:r>
      <w:r w:rsidR="005E128A" w:rsidRPr="00987C38">
        <w:t xml:space="preserve"> which</w:t>
      </w:r>
      <w:r w:rsidR="006E62B1">
        <w:t xml:space="preserve"> also</w:t>
      </w:r>
      <w:r w:rsidR="005E128A" w:rsidRPr="00987C38">
        <w:t xml:space="preserve"> impacts the available local workforce.</w:t>
      </w:r>
    </w:p>
    <w:p w14:paraId="6EF0F38E" w14:textId="74059FDE" w:rsidR="0020723A" w:rsidRPr="00987C38" w:rsidRDefault="0020723A" w:rsidP="00FD7C64">
      <w:r w:rsidRPr="00987C38">
        <w:t xml:space="preserve">The absorption of the available workforce into the mining industry, has also impacted the supplier chain in the </w:t>
      </w:r>
      <w:r w:rsidR="008B698D" w:rsidRPr="00987C38">
        <w:t>T</w:t>
      </w:r>
      <w:r w:rsidRPr="00987C38">
        <w:t xml:space="preserve">ransport, </w:t>
      </w:r>
      <w:r w:rsidR="00137F08">
        <w:t xml:space="preserve">Construction, </w:t>
      </w:r>
      <w:r w:rsidR="008B698D" w:rsidRPr="00987C38">
        <w:t>L</w:t>
      </w:r>
      <w:r w:rsidRPr="00987C38">
        <w:t xml:space="preserve">ogistics, </w:t>
      </w:r>
      <w:r w:rsidR="008B698D" w:rsidRPr="00987C38">
        <w:t>W</w:t>
      </w:r>
      <w:r w:rsidRPr="00987C38">
        <w:t xml:space="preserve">arehousing and </w:t>
      </w:r>
      <w:r w:rsidR="008B698D" w:rsidRPr="00987C38">
        <w:t>M</w:t>
      </w:r>
      <w:r w:rsidRPr="00987C38">
        <w:t xml:space="preserve">anufacturing </w:t>
      </w:r>
      <w:r w:rsidR="00956251" w:rsidRPr="00987C38">
        <w:t>industries,</w:t>
      </w:r>
      <w:r w:rsidRPr="00987C38">
        <w:t xml:space="preserve"> which support the resources sector. </w:t>
      </w:r>
    </w:p>
    <w:p w14:paraId="2CBC820D" w14:textId="7BCC410D" w:rsidR="0020723A" w:rsidRPr="00987C38" w:rsidRDefault="0020723A" w:rsidP="00FD7C64">
      <w:r w:rsidRPr="00987C38">
        <w:t xml:space="preserve">Attracting and retaining staff within the local hospitality and accommodation service industry, has been very challenging, </w:t>
      </w:r>
      <w:r w:rsidR="003C43B2">
        <w:t>several</w:t>
      </w:r>
      <w:r w:rsidR="003143D9">
        <w:t xml:space="preserve"> </w:t>
      </w:r>
      <w:r w:rsidR="003C43B2" w:rsidRPr="00987C38">
        <w:t>cafes</w:t>
      </w:r>
      <w:r w:rsidR="005C0E6D">
        <w:t xml:space="preserve"> and</w:t>
      </w:r>
      <w:r w:rsidR="003C43B2" w:rsidRPr="00987C38">
        <w:t xml:space="preserve"> restaurants</w:t>
      </w:r>
      <w:r w:rsidRPr="00987C38">
        <w:t xml:space="preserve"> are unable to operate at full capacity</w:t>
      </w:r>
      <w:r w:rsidR="00956251" w:rsidRPr="00987C38">
        <w:t>,</w:t>
      </w:r>
      <w:r w:rsidRPr="00987C38">
        <w:t xml:space="preserve"> or </w:t>
      </w:r>
      <w:r w:rsidR="008B698D" w:rsidRPr="00987C38">
        <w:t xml:space="preserve">on </w:t>
      </w:r>
      <w:r w:rsidRPr="00987C38">
        <w:t>weekends</w:t>
      </w:r>
      <w:r w:rsidR="00956251" w:rsidRPr="00987C38">
        <w:t xml:space="preserve"> and </w:t>
      </w:r>
      <w:r w:rsidR="008B698D" w:rsidRPr="00987C38">
        <w:t>p</w:t>
      </w:r>
      <w:r w:rsidR="00956251" w:rsidRPr="00987C38">
        <w:t xml:space="preserve">ublic </w:t>
      </w:r>
      <w:r w:rsidR="00987C38">
        <w:t>h</w:t>
      </w:r>
      <w:r w:rsidR="00956251" w:rsidRPr="00987C38">
        <w:t>olidays</w:t>
      </w:r>
      <w:r w:rsidR="00B5043E">
        <w:t xml:space="preserve"> and </w:t>
      </w:r>
      <w:r w:rsidR="005C0E6D">
        <w:t>some have ceased to operate</w:t>
      </w:r>
      <w:r w:rsidRPr="00987C38">
        <w:t xml:space="preserve">. Chefs are particularly difficult to find, as are kitchen and housekeeping staff. </w:t>
      </w:r>
      <w:r w:rsidR="00956251" w:rsidRPr="00987C38">
        <w:t>Some e</w:t>
      </w:r>
      <w:r w:rsidRPr="00987C38">
        <w:t>mployers are targeting mature aged chef apprentices and offer</w:t>
      </w:r>
      <w:r w:rsidR="00956251" w:rsidRPr="00987C38">
        <w:t>ing</w:t>
      </w:r>
      <w:r w:rsidRPr="00987C38">
        <w:t xml:space="preserve"> higher than normal hourly rate</w:t>
      </w:r>
      <w:r w:rsidR="00956251" w:rsidRPr="00987C38">
        <w:t>s,</w:t>
      </w:r>
      <w:r w:rsidRPr="00987C38">
        <w:t xml:space="preserve"> </w:t>
      </w:r>
      <w:r w:rsidR="00D85EF0" w:rsidRPr="00987C38">
        <w:t>to</w:t>
      </w:r>
      <w:r w:rsidRPr="00987C38">
        <w:t xml:space="preserve"> </w:t>
      </w:r>
      <w:r w:rsidR="008B698D" w:rsidRPr="00987C38">
        <w:t xml:space="preserve">attract and </w:t>
      </w:r>
      <w:r w:rsidRPr="00987C38">
        <w:t xml:space="preserve">retain staff. </w:t>
      </w:r>
      <w:r w:rsidR="00D76FC4">
        <w:t>Hotel/</w:t>
      </w:r>
      <w:r w:rsidR="005C0E6D">
        <w:t>m</w:t>
      </w:r>
      <w:r w:rsidR="00D76FC4">
        <w:t xml:space="preserve">otel chains are utilising a FIFO model of employment </w:t>
      </w:r>
      <w:r w:rsidR="001C7A27">
        <w:t>and providing accommodation for the</w:t>
      </w:r>
      <w:r w:rsidR="006E62B1">
        <w:t>ir</w:t>
      </w:r>
      <w:r w:rsidR="001C7A27">
        <w:t xml:space="preserve"> workers on site</w:t>
      </w:r>
      <w:r w:rsidR="005C0E6D">
        <w:t>,</w:t>
      </w:r>
      <w:r w:rsidR="00045B5C" w:rsidRPr="00045B5C">
        <w:t xml:space="preserve"> </w:t>
      </w:r>
      <w:r w:rsidR="00045B5C">
        <w:t xml:space="preserve">as they are unable to recruit </w:t>
      </w:r>
      <w:r w:rsidR="005C0E6D">
        <w:t xml:space="preserve">sufficient staff numbers </w:t>
      </w:r>
      <w:r w:rsidR="003C43B2">
        <w:t>locally.</w:t>
      </w:r>
    </w:p>
    <w:p w14:paraId="6B4259EE" w14:textId="2351A973" w:rsidR="0020723A" w:rsidRPr="003C43B2" w:rsidRDefault="0020723A" w:rsidP="00FD7C64">
      <w:r w:rsidRPr="00987C38">
        <w:t xml:space="preserve">Relative wages and working conditions favour mining over lower wage industries, with the mining industry </w:t>
      </w:r>
      <w:r w:rsidR="00D80CA0" w:rsidRPr="00987C38">
        <w:t>leveraging</w:t>
      </w:r>
      <w:r w:rsidRPr="00987C38">
        <w:t xml:space="preserve"> local hospitality and accommodation</w:t>
      </w:r>
      <w:r w:rsidR="00D80CA0" w:rsidRPr="00987C38">
        <w:t xml:space="preserve"> businesses</w:t>
      </w:r>
      <w:r w:rsidRPr="00987C38">
        <w:t xml:space="preserve"> </w:t>
      </w:r>
      <w:r w:rsidR="00D80CA0" w:rsidRPr="00987C38">
        <w:t xml:space="preserve">to </w:t>
      </w:r>
      <w:r w:rsidRPr="00987C38">
        <w:t xml:space="preserve">source workers during times of shortage. This means repeated efforts to attract </w:t>
      </w:r>
      <w:r w:rsidR="005C0E6D">
        <w:t xml:space="preserve">new </w:t>
      </w:r>
      <w:r w:rsidRPr="00987C38">
        <w:t xml:space="preserve">workers are required, with small and medium </w:t>
      </w:r>
      <w:r w:rsidRPr="003C43B2">
        <w:t>employers struggling to meet recruitment and retention costs.</w:t>
      </w:r>
    </w:p>
    <w:p w14:paraId="1710E6CE" w14:textId="62C1A76F" w:rsidR="006E62B1" w:rsidRDefault="005C0E6D" w:rsidP="00FD7C64">
      <w:pPr>
        <w:rPr>
          <w:rFonts w:cstheme="minorHAnsi"/>
          <w:shd w:val="clear" w:color="auto" w:fill="FFFFFF"/>
        </w:rPr>
      </w:pPr>
      <w:r>
        <w:rPr>
          <w:rFonts w:cstheme="minorHAnsi"/>
          <w:shd w:val="clear" w:color="auto" w:fill="FFFFFF"/>
        </w:rPr>
        <w:lastRenderedPageBreak/>
        <w:t>The</w:t>
      </w:r>
      <w:r w:rsidR="002F3D4B" w:rsidRPr="003C43B2">
        <w:rPr>
          <w:rFonts w:cstheme="minorHAnsi"/>
          <w:shd w:val="clear" w:color="auto" w:fill="FFFFFF"/>
        </w:rPr>
        <w:t xml:space="preserve"> Goldfields DAMA</w:t>
      </w:r>
      <w:r w:rsidR="00EF1B27" w:rsidRPr="003C43B2">
        <w:rPr>
          <w:rFonts w:cstheme="minorHAnsi"/>
          <w:shd w:val="clear" w:color="auto" w:fill="FFFFFF"/>
        </w:rPr>
        <w:t xml:space="preserve"> (Designated Area Migration</w:t>
      </w:r>
      <w:r w:rsidR="002F3D4B" w:rsidRPr="003C43B2">
        <w:rPr>
          <w:rFonts w:cstheme="minorHAnsi"/>
          <w:shd w:val="clear" w:color="auto" w:fill="FFFFFF"/>
        </w:rPr>
        <w:t xml:space="preserve"> </w:t>
      </w:r>
      <w:r w:rsidR="00EF1B27" w:rsidRPr="003C43B2">
        <w:rPr>
          <w:rFonts w:cstheme="minorHAnsi"/>
          <w:shd w:val="clear" w:color="auto" w:fill="FFFFFF"/>
        </w:rPr>
        <w:t>A</w:t>
      </w:r>
      <w:r w:rsidR="007A26AA" w:rsidRPr="003C43B2">
        <w:rPr>
          <w:rFonts w:cstheme="minorHAnsi"/>
          <w:shd w:val="clear" w:color="auto" w:fill="FFFFFF"/>
        </w:rPr>
        <w:t>greement</w:t>
      </w:r>
      <w:r>
        <w:rPr>
          <w:rFonts w:cstheme="minorHAnsi"/>
          <w:shd w:val="clear" w:color="auto" w:fill="FFFFFF"/>
        </w:rPr>
        <w:t>)</w:t>
      </w:r>
      <w:r w:rsidR="007A26AA" w:rsidRPr="003C43B2">
        <w:rPr>
          <w:rFonts w:cstheme="minorHAnsi"/>
          <w:shd w:val="clear" w:color="auto" w:fill="FFFFFF"/>
        </w:rPr>
        <w:t xml:space="preserve"> </w:t>
      </w:r>
      <w:r w:rsidR="002F3D4B" w:rsidRPr="003C43B2">
        <w:rPr>
          <w:rFonts w:cstheme="minorHAnsi"/>
          <w:shd w:val="clear" w:color="auto" w:fill="FFFFFF"/>
        </w:rPr>
        <w:t xml:space="preserve">is a five-year labour agreement between the </w:t>
      </w:r>
      <w:r>
        <w:rPr>
          <w:rFonts w:cstheme="minorHAnsi"/>
          <w:shd w:val="clear" w:color="auto" w:fill="FFFFFF"/>
        </w:rPr>
        <w:t>Commonwealth</w:t>
      </w:r>
      <w:r w:rsidR="002F3D4B" w:rsidRPr="003C43B2">
        <w:rPr>
          <w:rFonts w:cstheme="minorHAnsi"/>
          <w:shd w:val="clear" w:color="auto" w:fill="FFFFFF"/>
        </w:rPr>
        <w:t xml:space="preserve"> Government, the City of Kalgoorlie-Boulder and the Shires of Coolgardie, Dundas, Esperance, Leonora, </w:t>
      </w:r>
      <w:r w:rsidR="00641858" w:rsidRPr="003C43B2">
        <w:rPr>
          <w:rFonts w:cstheme="minorHAnsi"/>
          <w:shd w:val="clear" w:color="auto" w:fill="FFFFFF"/>
        </w:rPr>
        <w:t>Menzies,</w:t>
      </w:r>
      <w:r w:rsidR="002F3D4B" w:rsidRPr="003C43B2">
        <w:rPr>
          <w:rFonts w:cstheme="minorHAnsi"/>
          <w:shd w:val="clear" w:color="auto" w:fill="FFFFFF"/>
        </w:rPr>
        <w:t xml:space="preserve"> and Ravensthorpe. </w:t>
      </w:r>
    </w:p>
    <w:p w14:paraId="683EA998" w14:textId="0348B33D" w:rsidR="005E128A" w:rsidRDefault="002F3D4B" w:rsidP="00FD7C64">
      <w:pPr>
        <w:rPr>
          <w:rFonts w:cstheme="minorHAnsi"/>
          <w:shd w:val="clear" w:color="auto" w:fill="FFFFFF"/>
        </w:rPr>
      </w:pPr>
      <w:r w:rsidRPr="003C43B2">
        <w:rPr>
          <w:rFonts w:cstheme="minorHAnsi"/>
          <w:shd w:val="clear" w:color="auto" w:fill="FFFFFF"/>
        </w:rPr>
        <w:t xml:space="preserve">It aims to attract skilled migrants to work and live in the Goldfields DAMA Region, allowing </w:t>
      </w:r>
      <w:proofErr w:type="gramStart"/>
      <w:r w:rsidR="003C43B2" w:rsidRPr="003C43B2">
        <w:rPr>
          <w:rFonts w:cstheme="minorHAnsi"/>
          <w:shd w:val="clear" w:color="auto" w:fill="FFFFFF"/>
        </w:rPr>
        <w:t>Goldfields</w:t>
      </w:r>
      <w:proofErr w:type="gramEnd"/>
      <w:r w:rsidR="003C43B2" w:rsidRPr="003C43B2">
        <w:rPr>
          <w:rFonts w:cstheme="minorHAnsi"/>
          <w:shd w:val="clear" w:color="auto" w:fill="FFFFFF"/>
        </w:rPr>
        <w:t xml:space="preserve"> employers</w:t>
      </w:r>
      <w:r w:rsidRPr="003C43B2">
        <w:rPr>
          <w:rFonts w:cstheme="minorHAnsi"/>
          <w:shd w:val="clear" w:color="auto" w:fill="FFFFFF"/>
        </w:rPr>
        <w:t xml:space="preserve"> to sponsor skilled overseas workers in specified industries</w:t>
      </w:r>
      <w:r w:rsidR="006E62B1">
        <w:rPr>
          <w:rFonts w:cstheme="minorHAnsi"/>
          <w:shd w:val="clear" w:color="auto" w:fill="FFFFFF"/>
        </w:rPr>
        <w:t>,</w:t>
      </w:r>
      <w:r w:rsidRPr="003C43B2">
        <w:rPr>
          <w:rFonts w:cstheme="minorHAnsi"/>
          <w:shd w:val="clear" w:color="auto" w:fill="FFFFFF"/>
        </w:rPr>
        <w:t xml:space="preserve"> that are currently experiencing critical skill and labour shortages. </w:t>
      </w:r>
    </w:p>
    <w:p w14:paraId="316506E8" w14:textId="3DD73EE3" w:rsidR="00B00F8A" w:rsidRPr="003C43B2" w:rsidRDefault="009C1A91" w:rsidP="00FD7C64">
      <w:pPr>
        <w:rPr>
          <w:rFonts w:cstheme="minorHAnsi"/>
          <w:shd w:val="clear" w:color="auto" w:fill="FFFFFF"/>
        </w:rPr>
      </w:pPr>
      <w:r w:rsidRPr="003C43B2">
        <w:rPr>
          <w:rFonts w:cstheme="minorHAnsi"/>
          <w:shd w:val="clear" w:color="auto" w:fill="FFFFFF"/>
        </w:rPr>
        <w:t>The </w:t>
      </w:r>
      <w:r w:rsidRPr="003C43B2">
        <w:rPr>
          <w:rStyle w:val="Strong"/>
          <w:rFonts w:cstheme="minorHAnsi"/>
          <w:b w:val="0"/>
          <w:bCs w:val="0"/>
          <w:shd w:val="clear" w:color="auto" w:fill="FFFFFF"/>
        </w:rPr>
        <w:t>Goldfields Migrant Employment Project (GMEP</w:t>
      </w:r>
      <w:r w:rsidRPr="003C43B2">
        <w:rPr>
          <w:rStyle w:val="Strong"/>
          <w:rFonts w:cstheme="minorHAnsi"/>
          <w:shd w:val="clear" w:color="auto" w:fill="FFFFFF"/>
        </w:rPr>
        <w:t>)</w:t>
      </w:r>
      <w:r w:rsidRPr="003C43B2">
        <w:rPr>
          <w:rFonts w:cstheme="minorHAnsi"/>
          <w:shd w:val="clear" w:color="auto" w:fill="FFFFFF"/>
        </w:rPr>
        <w:t> </w:t>
      </w:r>
      <w:r w:rsidR="00F25ED8" w:rsidRPr="003C43B2">
        <w:rPr>
          <w:rStyle w:val="Strong"/>
          <w:rFonts w:cstheme="minorHAnsi"/>
          <w:b w:val="0"/>
          <w:bCs w:val="0"/>
          <w:shd w:val="clear" w:color="auto" w:fill="FFFFFF"/>
        </w:rPr>
        <w:t xml:space="preserve">funded through the </w:t>
      </w:r>
      <w:r w:rsidR="003C2D7D" w:rsidRPr="003C43B2">
        <w:rPr>
          <w:rStyle w:val="Strong"/>
          <w:rFonts w:cstheme="minorHAnsi"/>
          <w:b w:val="0"/>
          <w:bCs w:val="0"/>
          <w:shd w:val="clear" w:color="auto" w:fill="FFFFFF"/>
        </w:rPr>
        <w:t>Regional Economic Development grants program</w:t>
      </w:r>
      <w:r w:rsidR="00281DFE" w:rsidRPr="003C43B2">
        <w:rPr>
          <w:rStyle w:val="Strong"/>
          <w:rFonts w:cstheme="minorHAnsi"/>
          <w:b w:val="0"/>
          <w:bCs w:val="0"/>
          <w:shd w:val="clear" w:color="auto" w:fill="FFFFFF"/>
        </w:rPr>
        <w:t xml:space="preserve"> in </w:t>
      </w:r>
      <w:r w:rsidRPr="003C43B2">
        <w:rPr>
          <w:rStyle w:val="Strong"/>
          <w:rFonts w:cstheme="minorHAnsi"/>
          <w:b w:val="0"/>
          <w:bCs w:val="0"/>
          <w:shd w:val="clear" w:color="auto" w:fill="FFFFFF"/>
        </w:rPr>
        <w:t>2019</w:t>
      </w:r>
      <w:r w:rsidR="005C0E6D">
        <w:rPr>
          <w:rFonts w:cstheme="minorHAnsi"/>
          <w:b/>
          <w:bCs/>
          <w:shd w:val="clear" w:color="auto" w:fill="FFFFFF"/>
        </w:rPr>
        <w:t>,</w:t>
      </w:r>
      <w:r w:rsidR="004F3A0D" w:rsidRPr="003C43B2">
        <w:rPr>
          <w:rFonts w:cstheme="minorHAnsi"/>
          <w:shd w:val="clear" w:color="auto" w:fill="FFFFFF"/>
        </w:rPr>
        <w:t xml:space="preserve"> assists </w:t>
      </w:r>
      <w:r w:rsidRPr="003C43B2">
        <w:rPr>
          <w:rFonts w:cstheme="minorHAnsi"/>
          <w:shd w:val="clear" w:color="auto" w:fill="FFFFFF"/>
        </w:rPr>
        <w:t xml:space="preserve">new migrants and refugees in Perth </w:t>
      </w:r>
      <w:r w:rsidR="004C202A" w:rsidRPr="003C43B2">
        <w:rPr>
          <w:rFonts w:cstheme="minorHAnsi"/>
          <w:shd w:val="clear" w:color="auto" w:fill="FFFFFF"/>
        </w:rPr>
        <w:t xml:space="preserve">to </w:t>
      </w:r>
      <w:r w:rsidRPr="003C43B2">
        <w:rPr>
          <w:rFonts w:cstheme="minorHAnsi"/>
          <w:shd w:val="clear" w:color="auto" w:fill="FFFFFF"/>
        </w:rPr>
        <w:t>connect with employment opportunities in Kalgoorlie</w:t>
      </w:r>
      <w:r w:rsidR="005C0E6D">
        <w:rPr>
          <w:rFonts w:cstheme="minorHAnsi"/>
          <w:shd w:val="clear" w:color="auto" w:fill="FFFFFF"/>
        </w:rPr>
        <w:t xml:space="preserve"> </w:t>
      </w:r>
      <w:r w:rsidRPr="003C43B2">
        <w:rPr>
          <w:rFonts w:cstheme="minorHAnsi"/>
          <w:shd w:val="clear" w:color="auto" w:fill="FFFFFF"/>
        </w:rPr>
        <w:t>and the wider communities of the Goldfields</w:t>
      </w:r>
      <w:r w:rsidR="004477F5">
        <w:rPr>
          <w:rFonts w:cstheme="minorHAnsi"/>
          <w:shd w:val="clear" w:color="auto" w:fill="FFFFFF"/>
        </w:rPr>
        <w:t>.</w:t>
      </w:r>
      <w:r w:rsidR="005D773F">
        <w:rPr>
          <w:rFonts w:cstheme="minorHAnsi"/>
          <w:shd w:val="clear" w:color="auto" w:fill="FFFFFF"/>
        </w:rPr>
        <w:t xml:space="preserve"> </w:t>
      </w:r>
      <w:r w:rsidR="006E62B1">
        <w:rPr>
          <w:rFonts w:cstheme="minorHAnsi"/>
          <w:shd w:val="clear" w:color="auto" w:fill="FFFFFF"/>
        </w:rPr>
        <w:t xml:space="preserve">There has </w:t>
      </w:r>
      <w:r w:rsidR="005D773F">
        <w:rPr>
          <w:rFonts w:cstheme="minorHAnsi"/>
          <w:shd w:val="clear" w:color="auto" w:fill="FFFFFF"/>
        </w:rPr>
        <w:t>however</w:t>
      </w:r>
      <w:r w:rsidR="006E62B1">
        <w:rPr>
          <w:rFonts w:cstheme="minorHAnsi"/>
          <w:shd w:val="clear" w:color="auto" w:fill="FFFFFF"/>
        </w:rPr>
        <w:t xml:space="preserve">, </w:t>
      </w:r>
      <w:r w:rsidR="005D773F">
        <w:rPr>
          <w:rFonts w:cstheme="minorHAnsi"/>
          <w:shd w:val="clear" w:color="auto" w:fill="FFFFFF"/>
        </w:rPr>
        <w:t>been</w:t>
      </w:r>
      <w:r w:rsidR="00947D00" w:rsidRPr="003C43B2">
        <w:rPr>
          <w:rFonts w:cstheme="minorHAnsi"/>
          <w:shd w:val="clear" w:color="auto" w:fill="FFFFFF"/>
        </w:rPr>
        <w:t xml:space="preserve"> </w:t>
      </w:r>
      <w:r w:rsidR="005D773F">
        <w:rPr>
          <w:rFonts w:cstheme="minorHAnsi"/>
          <w:shd w:val="clear" w:color="auto" w:fill="FFFFFF"/>
        </w:rPr>
        <w:t>some</w:t>
      </w:r>
      <w:r w:rsidR="00947D00" w:rsidRPr="003C43B2">
        <w:rPr>
          <w:rFonts w:cstheme="minorHAnsi"/>
          <w:shd w:val="clear" w:color="auto" w:fill="FFFFFF"/>
        </w:rPr>
        <w:t xml:space="preserve"> reluctance from</w:t>
      </w:r>
      <w:r w:rsidR="005D773F">
        <w:rPr>
          <w:rFonts w:cstheme="minorHAnsi"/>
          <w:shd w:val="clear" w:color="auto" w:fill="FFFFFF"/>
        </w:rPr>
        <w:t xml:space="preserve"> the</w:t>
      </w:r>
      <w:r w:rsidR="00947D00" w:rsidRPr="003C43B2">
        <w:rPr>
          <w:rFonts w:cstheme="minorHAnsi"/>
          <w:shd w:val="clear" w:color="auto" w:fill="FFFFFF"/>
        </w:rPr>
        <w:t xml:space="preserve"> partners</w:t>
      </w:r>
      <w:r w:rsidR="005D773F">
        <w:rPr>
          <w:rFonts w:cstheme="minorHAnsi"/>
          <w:shd w:val="clear" w:color="auto" w:fill="FFFFFF"/>
        </w:rPr>
        <w:t xml:space="preserve"> of skilled migrants</w:t>
      </w:r>
      <w:r w:rsidR="00947D00" w:rsidRPr="003C43B2">
        <w:rPr>
          <w:rFonts w:cstheme="minorHAnsi"/>
          <w:shd w:val="clear" w:color="auto" w:fill="FFFFFF"/>
        </w:rPr>
        <w:t xml:space="preserve"> to relocate to the region.</w:t>
      </w:r>
    </w:p>
    <w:p w14:paraId="51960672" w14:textId="50BC16E6" w:rsidR="00091C73" w:rsidRDefault="0020723A" w:rsidP="00E51D85">
      <w:pPr>
        <w:pStyle w:val="NormalWeb"/>
        <w:shd w:val="clear" w:color="auto" w:fill="FFFFFF"/>
        <w:spacing w:before="0" w:beforeAutospacing="0"/>
        <w:rPr>
          <w:rFonts w:asciiTheme="minorHAnsi" w:hAnsiTheme="minorHAnsi" w:cstheme="minorHAnsi"/>
          <w:sz w:val="22"/>
          <w:szCs w:val="22"/>
        </w:rPr>
      </w:pPr>
      <w:r w:rsidRPr="00607553">
        <w:rPr>
          <w:rFonts w:asciiTheme="minorHAnsi" w:hAnsiTheme="minorHAnsi" w:cstheme="minorHAnsi"/>
          <w:sz w:val="22"/>
          <w:szCs w:val="22"/>
        </w:rPr>
        <w:t xml:space="preserve">Pressures created by skills shortages in the Health Care and Social Assistance sector across WA continue to impact local economies. This is by far the biggest growth and employing industry in the </w:t>
      </w:r>
      <w:r w:rsidR="003C43B2" w:rsidRPr="00607553">
        <w:rPr>
          <w:rFonts w:asciiTheme="minorHAnsi" w:hAnsiTheme="minorHAnsi" w:cstheme="minorHAnsi"/>
          <w:sz w:val="22"/>
          <w:szCs w:val="22"/>
        </w:rPr>
        <w:t>State and</w:t>
      </w:r>
      <w:r w:rsidRPr="00607553">
        <w:rPr>
          <w:rFonts w:asciiTheme="minorHAnsi" w:hAnsiTheme="minorHAnsi" w:cstheme="minorHAnsi"/>
          <w:sz w:val="22"/>
          <w:szCs w:val="22"/>
        </w:rPr>
        <w:t xml:space="preserve"> there is an urgent need to focus on identifying and skilling up this workforce, as the demands in th</w:t>
      </w:r>
      <w:r w:rsidR="00101B12">
        <w:rPr>
          <w:rFonts w:asciiTheme="minorHAnsi" w:hAnsiTheme="minorHAnsi" w:cstheme="minorHAnsi"/>
          <w:sz w:val="22"/>
          <w:szCs w:val="22"/>
        </w:rPr>
        <w:t>e</w:t>
      </w:r>
      <w:r w:rsidRPr="00607553">
        <w:rPr>
          <w:rFonts w:asciiTheme="minorHAnsi" w:hAnsiTheme="minorHAnsi" w:cstheme="minorHAnsi"/>
          <w:sz w:val="22"/>
          <w:szCs w:val="22"/>
        </w:rPr>
        <w:t xml:space="preserve"> sector continue to grow. </w:t>
      </w:r>
      <w:r w:rsidR="00EC573A" w:rsidRPr="00607553">
        <w:rPr>
          <w:rFonts w:asciiTheme="minorHAnsi" w:hAnsiTheme="minorHAnsi" w:cstheme="minorHAnsi"/>
          <w:sz w:val="22"/>
          <w:szCs w:val="22"/>
        </w:rPr>
        <w:t xml:space="preserve">Significant resources are being dedicated to support the </w:t>
      </w:r>
      <w:r w:rsidR="00470176" w:rsidRPr="00607553">
        <w:rPr>
          <w:rFonts w:asciiTheme="minorHAnsi" w:hAnsiTheme="minorHAnsi" w:cstheme="minorHAnsi"/>
          <w:sz w:val="22"/>
          <w:szCs w:val="22"/>
        </w:rPr>
        <w:t xml:space="preserve">aged and disability </w:t>
      </w:r>
      <w:r w:rsidR="00BA5A04" w:rsidRPr="00607553">
        <w:rPr>
          <w:rFonts w:asciiTheme="minorHAnsi" w:hAnsiTheme="minorHAnsi" w:cstheme="minorHAnsi"/>
          <w:sz w:val="22"/>
          <w:szCs w:val="22"/>
        </w:rPr>
        <w:t>sector</w:t>
      </w:r>
      <w:r w:rsidR="00470176" w:rsidRPr="00607553">
        <w:rPr>
          <w:rFonts w:asciiTheme="minorHAnsi" w:hAnsiTheme="minorHAnsi" w:cstheme="minorHAnsi"/>
          <w:sz w:val="22"/>
          <w:szCs w:val="22"/>
        </w:rPr>
        <w:t>s</w:t>
      </w:r>
      <w:r w:rsidR="0054636B" w:rsidRPr="00607553">
        <w:rPr>
          <w:rFonts w:asciiTheme="minorHAnsi" w:hAnsiTheme="minorHAnsi" w:cstheme="minorHAnsi"/>
          <w:sz w:val="22"/>
          <w:szCs w:val="22"/>
        </w:rPr>
        <w:t xml:space="preserve"> </w:t>
      </w:r>
      <w:r w:rsidR="00BA5A04" w:rsidRPr="00607553">
        <w:rPr>
          <w:rFonts w:asciiTheme="minorHAnsi" w:hAnsiTheme="minorHAnsi" w:cstheme="minorHAnsi"/>
          <w:sz w:val="22"/>
          <w:szCs w:val="22"/>
        </w:rPr>
        <w:t>with t</w:t>
      </w:r>
      <w:r w:rsidR="00317B4E" w:rsidRPr="00607553">
        <w:rPr>
          <w:rFonts w:asciiTheme="minorHAnsi" w:hAnsiTheme="minorHAnsi" w:cstheme="minorHAnsi"/>
          <w:sz w:val="22"/>
          <w:szCs w:val="22"/>
        </w:rPr>
        <w:t xml:space="preserve">he </w:t>
      </w:r>
      <w:r w:rsidR="00101B12">
        <w:rPr>
          <w:rFonts w:asciiTheme="minorHAnsi" w:hAnsiTheme="minorHAnsi" w:cstheme="minorHAnsi"/>
          <w:sz w:val="22"/>
          <w:szCs w:val="22"/>
        </w:rPr>
        <w:t xml:space="preserve">WA </w:t>
      </w:r>
      <w:r w:rsidR="00317B4E" w:rsidRPr="00607553">
        <w:rPr>
          <w:rFonts w:asciiTheme="minorHAnsi" w:hAnsiTheme="minorHAnsi" w:cstheme="minorHAnsi"/>
          <w:sz w:val="22"/>
          <w:szCs w:val="22"/>
        </w:rPr>
        <w:t xml:space="preserve">Department </w:t>
      </w:r>
      <w:r w:rsidR="00101B12">
        <w:rPr>
          <w:rFonts w:asciiTheme="minorHAnsi" w:hAnsiTheme="minorHAnsi" w:cstheme="minorHAnsi"/>
          <w:sz w:val="22"/>
          <w:szCs w:val="22"/>
        </w:rPr>
        <w:t xml:space="preserve">of </w:t>
      </w:r>
      <w:r w:rsidR="00317B4E" w:rsidRPr="00607553">
        <w:rPr>
          <w:rFonts w:asciiTheme="minorHAnsi" w:hAnsiTheme="minorHAnsi" w:cstheme="minorHAnsi"/>
          <w:sz w:val="22"/>
          <w:szCs w:val="22"/>
        </w:rPr>
        <w:t>Training and Workforce Development</w:t>
      </w:r>
      <w:r w:rsidR="00F64306" w:rsidRPr="00607553">
        <w:rPr>
          <w:rFonts w:asciiTheme="minorHAnsi" w:hAnsiTheme="minorHAnsi" w:cstheme="minorHAnsi"/>
          <w:sz w:val="22"/>
          <w:szCs w:val="22"/>
        </w:rPr>
        <w:t xml:space="preserve"> (DTWD)</w:t>
      </w:r>
      <w:r w:rsidR="00317B4E" w:rsidRPr="00607553">
        <w:rPr>
          <w:rFonts w:asciiTheme="minorHAnsi" w:hAnsiTheme="minorHAnsi" w:cstheme="minorHAnsi"/>
          <w:sz w:val="22"/>
          <w:szCs w:val="22"/>
        </w:rPr>
        <w:t xml:space="preserve"> </w:t>
      </w:r>
      <w:r w:rsidR="001E1E42" w:rsidRPr="00607553">
        <w:rPr>
          <w:rFonts w:asciiTheme="minorHAnsi" w:hAnsiTheme="minorHAnsi" w:cstheme="minorHAnsi"/>
          <w:sz w:val="22"/>
          <w:szCs w:val="22"/>
        </w:rPr>
        <w:t xml:space="preserve">funding </w:t>
      </w:r>
      <w:r w:rsidR="001B7633" w:rsidRPr="00607553">
        <w:rPr>
          <w:rFonts w:asciiTheme="minorHAnsi" w:hAnsiTheme="minorHAnsi" w:cstheme="minorHAnsi"/>
          <w:sz w:val="22"/>
          <w:szCs w:val="22"/>
        </w:rPr>
        <w:t xml:space="preserve">the NDIS Job Matching Service Program </w:t>
      </w:r>
      <w:r w:rsidR="001E1E42" w:rsidRPr="00607553">
        <w:rPr>
          <w:rFonts w:asciiTheme="minorHAnsi" w:hAnsiTheme="minorHAnsi" w:cstheme="minorHAnsi"/>
          <w:sz w:val="22"/>
          <w:szCs w:val="22"/>
        </w:rPr>
        <w:t>until June 2023</w:t>
      </w:r>
      <w:r w:rsidR="00BA5A04" w:rsidRPr="00607553">
        <w:rPr>
          <w:rFonts w:asciiTheme="minorHAnsi" w:hAnsiTheme="minorHAnsi" w:cstheme="minorHAnsi"/>
          <w:sz w:val="22"/>
          <w:szCs w:val="22"/>
        </w:rPr>
        <w:t xml:space="preserve">.  The aim of the program is to </w:t>
      </w:r>
      <w:r w:rsidR="00C97A33" w:rsidRPr="00607553">
        <w:rPr>
          <w:rFonts w:asciiTheme="minorHAnsi" w:hAnsiTheme="minorHAnsi" w:cstheme="minorHAnsi"/>
          <w:sz w:val="22"/>
          <w:szCs w:val="22"/>
        </w:rPr>
        <w:t>assist</w:t>
      </w:r>
      <w:r w:rsidR="00B6159F">
        <w:rPr>
          <w:rFonts w:asciiTheme="minorHAnsi" w:hAnsiTheme="minorHAnsi" w:cstheme="minorHAnsi"/>
          <w:sz w:val="22"/>
          <w:szCs w:val="22"/>
        </w:rPr>
        <w:t xml:space="preserve"> Disability Support Organisations </w:t>
      </w:r>
      <w:r w:rsidR="004D2A51" w:rsidRPr="00607553">
        <w:rPr>
          <w:rFonts w:asciiTheme="minorHAnsi" w:hAnsiTheme="minorHAnsi" w:cstheme="minorHAnsi"/>
          <w:sz w:val="22"/>
          <w:szCs w:val="22"/>
        </w:rPr>
        <w:t xml:space="preserve">with </w:t>
      </w:r>
      <w:r w:rsidR="00C97A33" w:rsidRPr="00607553">
        <w:rPr>
          <w:rFonts w:asciiTheme="minorHAnsi" w:hAnsiTheme="minorHAnsi" w:cstheme="minorHAnsi"/>
          <w:sz w:val="22"/>
          <w:szCs w:val="22"/>
        </w:rPr>
        <w:t>workforce planning</w:t>
      </w:r>
      <w:r w:rsidR="00E1472F">
        <w:rPr>
          <w:rFonts w:asciiTheme="minorHAnsi" w:hAnsiTheme="minorHAnsi" w:cstheme="minorHAnsi"/>
          <w:sz w:val="22"/>
          <w:szCs w:val="22"/>
        </w:rPr>
        <w:t xml:space="preserve"> and to connect </w:t>
      </w:r>
      <w:r w:rsidR="002A178C">
        <w:rPr>
          <w:rFonts w:asciiTheme="minorHAnsi" w:hAnsiTheme="minorHAnsi" w:cstheme="minorHAnsi"/>
          <w:sz w:val="22"/>
          <w:szCs w:val="22"/>
        </w:rPr>
        <w:t xml:space="preserve">them </w:t>
      </w:r>
      <w:r w:rsidR="004D2A51" w:rsidRPr="00607553">
        <w:rPr>
          <w:rFonts w:asciiTheme="minorHAnsi" w:hAnsiTheme="minorHAnsi" w:cstheme="minorHAnsi"/>
          <w:sz w:val="22"/>
          <w:szCs w:val="22"/>
        </w:rPr>
        <w:t xml:space="preserve">with existing </w:t>
      </w:r>
      <w:r w:rsidR="00573545" w:rsidRPr="00607553">
        <w:rPr>
          <w:rFonts w:asciiTheme="minorHAnsi" w:hAnsiTheme="minorHAnsi" w:cstheme="minorHAnsi"/>
          <w:sz w:val="22"/>
          <w:szCs w:val="22"/>
        </w:rPr>
        <w:t xml:space="preserve">services such as the Jobs and Skills Centre, </w:t>
      </w:r>
      <w:r w:rsidR="00D4007C" w:rsidRPr="00607553">
        <w:rPr>
          <w:rFonts w:asciiTheme="minorHAnsi" w:hAnsiTheme="minorHAnsi" w:cstheme="minorHAnsi"/>
          <w:sz w:val="22"/>
          <w:szCs w:val="22"/>
        </w:rPr>
        <w:t xml:space="preserve">Central Regional TAFE, </w:t>
      </w:r>
      <w:r w:rsidR="00101B12">
        <w:rPr>
          <w:rFonts w:asciiTheme="minorHAnsi" w:hAnsiTheme="minorHAnsi" w:cstheme="minorHAnsi"/>
          <w:sz w:val="22"/>
          <w:szCs w:val="22"/>
        </w:rPr>
        <w:t xml:space="preserve">and employment and </w:t>
      </w:r>
      <w:r w:rsidR="009F1B09" w:rsidRPr="00607553">
        <w:rPr>
          <w:rFonts w:asciiTheme="minorHAnsi" w:hAnsiTheme="minorHAnsi" w:cstheme="minorHAnsi"/>
          <w:sz w:val="22"/>
          <w:szCs w:val="22"/>
        </w:rPr>
        <w:t>Apprenti</w:t>
      </w:r>
      <w:r w:rsidR="00AF7C53" w:rsidRPr="00607553">
        <w:rPr>
          <w:rFonts w:asciiTheme="minorHAnsi" w:hAnsiTheme="minorHAnsi" w:cstheme="minorHAnsi"/>
          <w:sz w:val="22"/>
          <w:szCs w:val="22"/>
        </w:rPr>
        <w:t>ceship</w:t>
      </w:r>
      <w:r w:rsidR="00101B12">
        <w:rPr>
          <w:rFonts w:asciiTheme="minorHAnsi" w:hAnsiTheme="minorHAnsi" w:cstheme="minorHAnsi"/>
          <w:sz w:val="22"/>
          <w:szCs w:val="22"/>
        </w:rPr>
        <w:t>/Traineeship service providers</w:t>
      </w:r>
      <w:r w:rsidR="000C41FF" w:rsidRPr="00607553">
        <w:rPr>
          <w:rFonts w:asciiTheme="minorHAnsi" w:hAnsiTheme="minorHAnsi" w:cstheme="minorHAnsi"/>
          <w:sz w:val="22"/>
          <w:szCs w:val="22"/>
        </w:rPr>
        <w:t>.</w:t>
      </w:r>
      <w:r w:rsidR="002C09D1" w:rsidRPr="00607553">
        <w:rPr>
          <w:rFonts w:asciiTheme="minorHAnsi" w:hAnsiTheme="minorHAnsi" w:cstheme="minorHAnsi"/>
          <w:sz w:val="22"/>
          <w:szCs w:val="22"/>
        </w:rPr>
        <w:t xml:space="preserve"> </w:t>
      </w:r>
    </w:p>
    <w:p w14:paraId="158F19AF" w14:textId="3347F3B9" w:rsidR="006E62B1" w:rsidRDefault="004477F5" w:rsidP="00FC6E25">
      <w:pPr>
        <w:rPr>
          <w:rFonts w:cstheme="minorHAnsi"/>
        </w:rPr>
      </w:pPr>
      <w:r w:rsidRPr="00101B12">
        <w:rPr>
          <w:rFonts w:cstheme="minorHAnsi"/>
        </w:rPr>
        <w:t>The Boosting the Local Care Workforce (BLCW)</w:t>
      </w:r>
      <w:r>
        <w:rPr>
          <w:rFonts w:cstheme="minorHAnsi"/>
        </w:rPr>
        <w:t xml:space="preserve"> Program</w:t>
      </w:r>
      <w:r w:rsidR="00E51D85" w:rsidRPr="00101B12">
        <w:rPr>
          <w:rFonts w:cstheme="minorHAnsi"/>
        </w:rPr>
        <w:t xml:space="preserve"> is delivered by Ernst &amp; Young, with the First Peoples Disability Network (Australia), and the Community Services Industry Alliance. The BLCW Program is funded by the Department of Social Services</w:t>
      </w:r>
      <w:r w:rsidR="00101B12" w:rsidRPr="00101B12">
        <w:rPr>
          <w:rFonts w:cstheme="minorHAnsi"/>
        </w:rPr>
        <w:t xml:space="preserve"> and</w:t>
      </w:r>
      <w:r w:rsidR="00E51D85" w:rsidRPr="00101B12">
        <w:rPr>
          <w:rFonts w:cstheme="minorHAnsi"/>
        </w:rPr>
        <w:t xml:space="preserve"> aims to develop the capacity of disability and aged care service providers to operate effectively and expand their workforce</w:t>
      </w:r>
      <w:r w:rsidR="00FC6E25" w:rsidRPr="00101B12">
        <w:rPr>
          <w:rFonts w:cstheme="minorHAnsi"/>
        </w:rPr>
        <w:t>. A Regional Workforce Advisory Group has been established in Kalgoorlie-Boulder.</w:t>
      </w:r>
    </w:p>
    <w:p w14:paraId="22F660C9" w14:textId="498019ED" w:rsidR="006E62B1" w:rsidRPr="006E62B1" w:rsidRDefault="006E62B1" w:rsidP="00FC6E25">
      <w:pPr>
        <w:rPr>
          <w:rFonts w:cstheme="minorHAnsi"/>
          <w:color w:val="002060"/>
          <w:sz w:val="40"/>
          <w:szCs w:val="40"/>
        </w:rPr>
      </w:pPr>
      <w:r w:rsidRPr="006E62B1">
        <w:rPr>
          <w:rFonts w:cstheme="minorHAnsi"/>
          <w:color w:val="002060"/>
          <w:sz w:val="40"/>
          <w:szCs w:val="40"/>
        </w:rPr>
        <w:t>Employment</w:t>
      </w:r>
      <w:r w:rsidR="00A27A70">
        <w:rPr>
          <w:rFonts w:cstheme="minorHAnsi"/>
          <w:color w:val="002060"/>
          <w:sz w:val="40"/>
          <w:szCs w:val="40"/>
        </w:rPr>
        <w:t>:</w:t>
      </w:r>
    </w:p>
    <w:p w14:paraId="1278DCA9" w14:textId="0508B2DA" w:rsidR="005E128A" w:rsidRDefault="005E128A" w:rsidP="005E128A">
      <w:r w:rsidRPr="00987C38">
        <w:t xml:space="preserve">As at May 2021, the WA – Outback (North and South) had an unemployment rate of </w:t>
      </w:r>
      <w:r w:rsidR="001232B1">
        <w:t>3</w:t>
      </w:r>
      <w:r w:rsidRPr="00987C38">
        <w:t xml:space="preserve">%, compared with </w:t>
      </w:r>
      <w:r w:rsidR="00FF6690">
        <w:t>3.4</w:t>
      </w:r>
      <w:r w:rsidRPr="00987C38">
        <w:t>% for Western Australia.</w:t>
      </w:r>
      <w:r w:rsidRPr="0022689E">
        <w:rPr>
          <w:vertAlign w:val="superscript"/>
        </w:rPr>
        <w:footnoteReference w:id="1"/>
      </w:r>
      <w:r w:rsidRPr="0022689E">
        <w:rPr>
          <w:vertAlign w:val="superscript"/>
        </w:rPr>
        <w:t>.</w:t>
      </w:r>
      <w:r w:rsidRPr="00987C38">
        <w:t xml:space="preserve"> It should be noted however that the regional unemployment rate dropped </w:t>
      </w:r>
      <w:r w:rsidR="00051134">
        <w:t>5.1</w:t>
      </w:r>
      <w:r w:rsidRPr="00987C38">
        <w:t xml:space="preserve">% between March 2020 and </w:t>
      </w:r>
      <w:r w:rsidR="008D053E">
        <w:t>March 2022</w:t>
      </w:r>
      <w:r w:rsidRPr="00987C38">
        <w:t>.</w:t>
      </w:r>
      <w:r w:rsidRPr="005E128A">
        <w:t xml:space="preserve"> </w:t>
      </w:r>
    </w:p>
    <w:p w14:paraId="7555FD3A" w14:textId="190F8102" w:rsidR="005E128A" w:rsidRPr="00987C38" w:rsidRDefault="005E128A" w:rsidP="005E128A">
      <w:r w:rsidRPr="00987C38">
        <w:t xml:space="preserve">The regional participation rate increased by 4% to </w:t>
      </w:r>
      <w:r w:rsidR="00530A29">
        <w:t>73.2</w:t>
      </w:r>
      <w:r w:rsidRPr="00987C38">
        <w:t xml:space="preserve">% from March 2020 to </w:t>
      </w:r>
      <w:r w:rsidR="00AD5C89">
        <w:t>Feb</w:t>
      </w:r>
      <w:r w:rsidR="00530A29">
        <w:t>ruary 2022</w:t>
      </w:r>
      <w:r w:rsidRPr="00987C38">
        <w:t xml:space="preserve">, in comparison to the </w:t>
      </w:r>
      <w:r w:rsidR="00B43DFB">
        <w:t xml:space="preserve">current </w:t>
      </w:r>
      <w:r w:rsidRPr="00987C38">
        <w:t xml:space="preserve">WA participation rate which </w:t>
      </w:r>
      <w:r w:rsidR="008926EB">
        <w:t xml:space="preserve">increased </w:t>
      </w:r>
      <w:r w:rsidR="00C47D66">
        <w:t>1.5% to 69.7%</w:t>
      </w:r>
      <w:r w:rsidRPr="00987C38">
        <w:t xml:space="preserve"> in the same period. </w:t>
      </w:r>
    </w:p>
    <w:p w14:paraId="5D782CAD" w14:textId="2A865887" w:rsidR="005E128A" w:rsidRDefault="005E128A" w:rsidP="00FD7C64">
      <w:r w:rsidRPr="00987C38">
        <w:t>While most job ready job seekers can secure employment with relative ease</w:t>
      </w:r>
      <w:r>
        <w:t xml:space="preserve"> and leverage the available job opportunities</w:t>
      </w:r>
      <w:r w:rsidRPr="00987C38">
        <w:t xml:space="preserve">, the long-term unemployed caseload continues to increase steadily.  These job seekers encounter </w:t>
      </w:r>
      <w:r>
        <w:t xml:space="preserve">a range of vocational and non-vocational </w:t>
      </w:r>
      <w:r w:rsidRPr="00987C38">
        <w:t>barriers to employment</w:t>
      </w:r>
      <w:r>
        <w:t>, m</w:t>
      </w:r>
      <w:r w:rsidRPr="00987C38">
        <w:t>ost</w:t>
      </w:r>
      <w:r>
        <w:t xml:space="preserve"> </w:t>
      </w:r>
      <w:r w:rsidRPr="00987C38">
        <w:t xml:space="preserve">notably relating to lack of skills and work experience, intergenerational unemployment, </w:t>
      </w:r>
      <w:proofErr w:type="gramStart"/>
      <w:r w:rsidRPr="00987C38">
        <w:t>homelessness</w:t>
      </w:r>
      <w:proofErr w:type="gramEnd"/>
      <w:r w:rsidRPr="00987C38">
        <w:t xml:space="preserve"> and justice issue</w:t>
      </w:r>
      <w:r>
        <w:t xml:space="preserve">s. </w:t>
      </w:r>
    </w:p>
    <w:p w14:paraId="4E757329" w14:textId="0FD3B3CA" w:rsidR="0020723A" w:rsidRPr="005E128A" w:rsidRDefault="005E128A" w:rsidP="00FD7C64">
      <w:r>
        <w:lastRenderedPageBreak/>
        <w:t>B</w:t>
      </w:r>
      <w:r w:rsidR="00101B12">
        <w:t>arriers</w:t>
      </w:r>
      <w:r w:rsidR="0020723A" w:rsidRPr="00987C38">
        <w:t xml:space="preserve"> such as a lack of transport,</w:t>
      </w:r>
      <w:r w:rsidR="00101B12">
        <w:t xml:space="preserve"> difficulties in obtaining/retaining a driver’s licence, lack of ID documentation, inability to</w:t>
      </w:r>
      <w:r w:rsidR="0020723A" w:rsidRPr="00987C38">
        <w:t xml:space="preserve"> obtain police clearances</w:t>
      </w:r>
      <w:r>
        <w:t xml:space="preserve"> </w:t>
      </w:r>
      <w:r w:rsidR="0020723A" w:rsidRPr="00987C38">
        <w:t>and poor employability skills</w:t>
      </w:r>
      <w:r w:rsidR="00101B12">
        <w:t>,</w:t>
      </w:r>
      <w:r w:rsidR="0020723A" w:rsidRPr="00987C38">
        <w:t xml:space="preserve"> have had a marked impact on the job readiness of some people in Kalgoorlie. </w:t>
      </w:r>
    </w:p>
    <w:p w14:paraId="19DBD87D" w14:textId="6197BE7F" w:rsidR="00AA7417" w:rsidRDefault="0020723A" w:rsidP="00AA7417">
      <w:r w:rsidRPr="00987C38">
        <w:t xml:space="preserve">Drug and Alcohol clearances are a mandatory prerequisite for </w:t>
      </w:r>
      <w:r w:rsidR="00D85EF0" w:rsidRPr="00987C38">
        <w:t>most</w:t>
      </w:r>
      <w:r w:rsidRPr="00987C38">
        <w:t xml:space="preserve"> positions across Kalgoorlie, especially in the resources sector. Ongoing onsite testing and low employer tolerance for positive results</w:t>
      </w:r>
      <w:r w:rsidR="00AF1089" w:rsidRPr="00987C38">
        <w:t>,</w:t>
      </w:r>
      <w:r w:rsidRPr="00987C38">
        <w:t xml:space="preserve"> mean</w:t>
      </w:r>
      <w:r w:rsidR="00AF1089" w:rsidRPr="00987C38">
        <w:t>s</w:t>
      </w:r>
      <w:r w:rsidRPr="00987C38">
        <w:t xml:space="preserve"> that job seekers with drug and alcohol issues</w:t>
      </w:r>
      <w:r w:rsidR="00AA7417">
        <w:t>,</w:t>
      </w:r>
      <w:r w:rsidRPr="00987C38">
        <w:t xml:space="preserve"> face a major barrier to securing and/or retaining employment within th</w:t>
      </w:r>
      <w:r w:rsidR="00AF1089" w:rsidRPr="00987C38">
        <w:t>is</w:t>
      </w:r>
      <w:r w:rsidRPr="00987C38">
        <w:t xml:space="preserve"> indust</w:t>
      </w:r>
      <w:r w:rsidR="00AF1089" w:rsidRPr="00987C38">
        <w:t>ry</w:t>
      </w:r>
      <w:r w:rsidRPr="00987C38">
        <w:t xml:space="preserve">. The relatively high rate of drug and alcohol barriers in the region, mean that a significant proportion of local job seekers are unable to access many of the job opportunities which the region has to offer. </w:t>
      </w:r>
      <w:r w:rsidR="00AA7417">
        <w:t>It is noted that many industries, including the mining/resource sector</w:t>
      </w:r>
      <w:r w:rsidR="00A27A70">
        <w:t>, now</w:t>
      </w:r>
      <w:r w:rsidR="00AA7417">
        <w:t xml:space="preserve"> have mandatory COVID-19 vaccination </w:t>
      </w:r>
      <w:r w:rsidR="00A27A70">
        <w:t xml:space="preserve">pre-employment </w:t>
      </w:r>
      <w:r w:rsidR="00AA7417">
        <w:t>requirements.</w:t>
      </w:r>
    </w:p>
    <w:p w14:paraId="1573FE62" w14:textId="5512CB0B" w:rsidR="00A27A70" w:rsidRPr="00987C38" w:rsidRDefault="00A27A70" w:rsidP="00AA7417">
      <w:r>
        <w:t>Aboriginal people represent over 50 per cent of the local employment service provider caseloads, and yet are the most disadvantaged and underrepresented group within the local labour market.</w:t>
      </w:r>
    </w:p>
    <w:p w14:paraId="601B0C61" w14:textId="4D043A6A" w:rsidR="0020723A" w:rsidRDefault="0020723A" w:rsidP="00FD7C64">
      <w:r w:rsidRPr="00987C38">
        <w:t>Further investigation is needed as to the extent of these issues amongst the pool of unemployed people in Kalgoorlie, with a focus on developing strategies in consultation with industry, to address these barriers.</w:t>
      </w:r>
      <w:r w:rsidR="00A27A70">
        <w:t xml:space="preserve"> </w:t>
      </w:r>
      <w:r w:rsidRPr="00987C38">
        <w:t xml:space="preserve">Developing soft skills and teamwork, building resilience and </w:t>
      </w:r>
      <w:r w:rsidR="00641858" w:rsidRPr="00987C38">
        <w:t>motivation,</w:t>
      </w:r>
      <w:r w:rsidRPr="00987C38">
        <w:t xml:space="preserve"> and providing on the job mentoring support and wrap around services</w:t>
      </w:r>
      <w:r w:rsidR="00AF1089" w:rsidRPr="00987C38">
        <w:t>,</w:t>
      </w:r>
      <w:r w:rsidRPr="00987C38">
        <w:t xml:space="preserve"> ha</w:t>
      </w:r>
      <w:r w:rsidR="00AF1089" w:rsidRPr="00987C38">
        <w:t>ve</w:t>
      </w:r>
      <w:r w:rsidRPr="00987C38">
        <w:t xml:space="preserve"> been identified as crucial to building employment pathways for the most disadvantaged job seekers in Kalgoorlie.</w:t>
      </w:r>
    </w:p>
    <w:p w14:paraId="3641D10C" w14:textId="180335CC" w:rsidR="00A27A70" w:rsidRPr="00A27A70" w:rsidRDefault="00A27A70" w:rsidP="00FD7C64">
      <w:pPr>
        <w:rPr>
          <w:color w:val="002060"/>
          <w:sz w:val="40"/>
          <w:szCs w:val="40"/>
        </w:rPr>
      </w:pPr>
      <w:r w:rsidRPr="00A27A70">
        <w:rPr>
          <w:color w:val="002060"/>
          <w:sz w:val="40"/>
          <w:szCs w:val="40"/>
        </w:rPr>
        <w:t>Partnerships</w:t>
      </w:r>
      <w:r>
        <w:rPr>
          <w:color w:val="002060"/>
          <w:sz w:val="40"/>
          <w:szCs w:val="40"/>
        </w:rPr>
        <w:t>:</w:t>
      </w:r>
    </w:p>
    <w:p w14:paraId="6AA13C53" w14:textId="3DD9D011" w:rsidR="0020723A" w:rsidRPr="00987C38" w:rsidRDefault="0020723A" w:rsidP="00FD7C64">
      <w:r w:rsidRPr="00987C38">
        <w:t xml:space="preserve">The Goldfields region is part of the Cashless Debit Card initiative administered by the Department of Social Services. The objective of the Cashless Debit Card (CDC) is to ensure that welfare payments are spent in responsible and meaningful ways and not on products and activities that contribute to social harm. </w:t>
      </w:r>
    </w:p>
    <w:p w14:paraId="46943490" w14:textId="7FEFCE67" w:rsidR="0020723A" w:rsidRPr="00987C38" w:rsidRDefault="0020723A" w:rsidP="00FD7C64">
      <w:r w:rsidRPr="00987C38">
        <w:t>To further support this initiative, a Jobs Fund and Job Ready initiative was announced in the 2021-22 Federal Budget. The aim of the initiative is to create employment opportunities for CDC participants, and to uplift and upskill them to be job ready.</w:t>
      </w:r>
    </w:p>
    <w:p w14:paraId="3EB14E2E" w14:textId="271FE70F" w:rsidR="0020723A" w:rsidRPr="008D6051" w:rsidRDefault="004F2C2E" w:rsidP="00FD7C64">
      <w:pPr>
        <w:rPr>
          <w:rFonts w:cstheme="minorHAnsi"/>
        </w:rPr>
      </w:pPr>
      <w:r w:rsidRPr="008D6051">
        <w:t xml:space="preserve">The </w:t>
      </w:r>
      <w:r w:rsidR="0020723A" w:rsidRPr="008D6051">
        <w:t xml:space="preserve">aims and objectives of the </w:t>
      </w:r>
      <w:r w:rsidR="001303D1" w:rsidRPr="008D6051">
        <w:t xml:space="preserve">Department of Education, </w:t>
      </w:r>
      <w:r w:rsidR="00641858" w:rsidRPr="008D6051">
        <w:t>Skills,</w:t>
      </w:r>
      <w:r w:rsidR="001303D1" w:rsidRPr="008D6051">
        <w:t xml:space="preserve"> and Employment’s (DESE) </w:t>
      </w:r>
      <w:r w:rsidR="0020723A" w:rsidRPr="008D6051">
        <w:t>Local Jobs Program align</w:t>
      </w:r>
      <w:r w:rsidRPr="008D6051">
        <w:t>s</w:t>
      </w:r>
      <w:r w:rsidR="0020723A" w:rsidRPr="008D6051">
        <w:t xml:space="preserve"> closely with those of the Jobs Fund and Job Ready initiative</w:t>
      </w:r>
      <w:r w:rsidR="008D6051" w:rsidRPr="008D6051">
        <w:t xml:space="preserve">. </w:t>
      </w:r>
      <w:r w:rsidR="00A27A70" w:rsidRPr="008D6051">
        <w:t>The Cashless Debit Card Service</w:t>
      </w:r>
      <w:r w:rsidR="00A27A70">
        <w:t>’</w:t>
      </w:r>
      <w:r w:rsidR="00A27A70" w:rsidRPr="008D6051">
        <w:t>s</w:t>
      </w:r>
      <w:r w:rsidR="00A27A70" w:rsidRPr="008D6051">
        <w:rPr>
          <w:b/>
          <w:bCs/>
        </w:rPr>
        <w:t xml:space="preserve"> </w:t>
      </w:r>
      <w:r w:rsidR="00A27A70">
        <w:t>Employment Support Hub in Kalgoorlie</w:t>
      </w:r>
      <w:r w:rsidR="008D6051">
        <w:t xml:space="preserve"> is one of four Hubs established in the Goldfields region. Other Hubs have been established in the Local Shires of Coolgardie, </w:t>
      </w:r>
      <w:proofErr w:type="gramStart"/>
      <w:r w:rsidR="008D6051">
        <w:t>Laverton</w:t>
      </w:r>
      <w:proofErr w:type="gramEnd"/>
      <w:r w:rsidR="008D6051">
        <w:t xml:space="preserve"> and Leonora. </w:t>
      </w:r>
    </w:p>
    <w:p w14:paraId="663AA73D" w14:textId="2CB5C687" w:rsidR="00365094" w:rsidRDefault="0020723A" w:rsidP="00FD7C64">
      <w:r w:rsidRPr="00987C38">
        <w:t xml:space="preserve">An additional challenge for the region, is the </w:t>
      </w:r>
      <w:r w:rsidR="005E128A">
        <w:t xml:space="preserve">general </w:t>
      </w:r>
      <w:r w:rsidRPr="00987C38">
        <w:t>lack of affordable long and short-term accommodation options</w:t>
      </w:r>
      <w:r w:rsidR="00365094">
        <w:t xml:space="preserve"> to house incoming workers and their families</w:t>
      </w:r>
      <w:r w:rsidR="005E128A">
        <w:t xml:space="preserve">. </w:t>
      </w:r>
      <w:r w:rsidR="0081512D">
        <w:t>Kalgoorlie</w:t>
      </w:r>
      <w:r w:rsidR="00682BD5">
        <w:t xml:space="preserve"> </w:t>
      </w:r>
      <w:r w:rsidR="0081512D">
        <w:t xml:space="preserve">has a substantial non-resident </w:t>
      </w:r>
      <w:r w:rsidR="00365094">
        <w:t xml:space="preserve">(FIFO) </w:t>
      </w:r>
      <w:r w:rsidR="0081512D">
        <w:t xml:space="preserve">workforce which </w:t>
      </w:r>
      <w:r w:rsidR="00A27A70">
        <w:t>f</w:t>
      </w:r>
      <w:r w:rsidR="00365094">
        <w:t xml:space="preserve">urther </w:t>
      </w:r>
      <w:r w:rsidR="0081512D">
        <w:t>impact</w:t>
      </w:r>
      <w:r w:rsidR="00A27A70">
        <w:t>s</w:t>
      </w:r>
      <w:r w:rsidR="00365094">
        <w:t xml:space="preserve"> on the availability of residential propert</w:t>
      </w:r>
      <w:r w:rsidR="005E128A">
        <w:t>y stock</w:t>
      </w:r>
      <w:r w:rsidR="00365094">
        <w:t xml:space="preserve"> for workers seeking to move to the region permanently. </w:t>
      </w:r>
      <w:r w:rsidR="00EC43A7">
        <w:t xml:space="preserve"> </w:t>
      </w:r>
    </w:p>
    <w:p w14:paraId="732AB39D" w14:textId="44CC0692" w:rsidR="0020723A" w:rsidRPr="00987C38" w:rsidRDefault="006E42E5" w:rsidP="00FD7C64">
      <w:r w:rsidRPr="00A0236D">
        <w:rPr>
          <w:rFonts w:ascii="Calibri" w:eastAsia="Calibri" w:hAnsi="Calibri" w:cs="Times New Roman"/>
          <w:noProof/>
        </w:rPr>
        <w:t>The Goldfields Esperance Development Commission</w:t>
      </w:r>
      <w:r>
        <w:rPr>
          <w:rFonts w:ascii="Calibri" w:eastAsia="Calibri" w:hAnsi="Calibri" w:cs="Times New Roman"/>
          <w:noProof/>
        </w:rPr>
        <w:t>’</w:t>
      </w:r>
      <w:r w:rsidRPr="00A0236D">
        <w:rPr>
          <w:rFonts w:ascii="Calibri" w:eastAsia="Calibri" w:hAnsi="Calibri" w:cs="Times New Roman"/>
          <w:noProof/>
        </w:rPr>
        <w:t>s report on Housing and Land Summary reported a</w:t>
      </w:r>
      <w:r w:rsidR="005E128A">
        <w:rPr>
          <w:rFonts w:ascii="Calibri" w:eastAsia="Calibri" w:hAnsi="Calibri" w:cs="Times New Roman"/>
          <w:noProof/>
        </w:rPr>
        <w:t xml:space="preserve"> vacancy</w:t>
      </w:r>
      <w:r w:rsidRPr="00A0236D">
        <w:rPr>
          <w:rFonts w:ascii="Calibri" w:eastAsia="Calibri" w:hAnsi="Calibri" w:cs="Times New Roman"/>
          <w:noProof/>
        </w:rPr>
        <w:t xml:space="preserve"> rate of 2.1% with t</w:t>
      </w:r>
      <w:r>
        <w:t xml:space="preserve">he region’s rental market </w:t>
      </w:r>
      <w:r w:rsidR="005E128A">
        <w:t xml:space="preserve">further </w:t>
      </w:r>
      <w:r>
        <w:t>tighten</w:t>
      </w:r>
      <w:r w:rsidR="005E128A">
        <w:t>ing</w:t>
      </w:r>
      <w:r>
        <w:t xml:space="preserve"> during the second half of 2021. Weekly rents jumped by 18.2 percent over the year, reaching an average of $416 in the final half of 2021.</w:t>
      </w:r>
      <w:r w:rsidRPr="008D56C3">
        <w:t xml:space="preserve"> </w:t>
      </w:r>
      <w:r>
        <w:t>Stakeholders continue to indicate that the limited availability of affordable rental properties is having an adverse effect on the ability to attract and retain workers</w:t>
      </w:r>
      <w:r w:rsidR="005E128A">
        <w:t>.</w:t>
      </w:r>
    </w:p>
    <w:p w14:paraId="50C9561E" w14:textId="646BF8B9" w:rsidR="0020723A" w:rsidRPr="00987C38" w:rsidRDefault="0020723A" w:rsidP="007850B1">
      <w:r w:rsidRPr="00987C38">
        <w:lastRenderedPageBreak/>
        <w:t xml:space="preserve">The City of Kalgoorlie Boulder, together with the Kalgoorlie Chamber of Commerce and Industry have been driving a long-term liveability plan to promote Kalgoorlie as a lifestyle destination and encourage new employees and their families to move to Kalgoorlie permanently to help build the local population. </w:t>
      </w:r>
      <w:r w:rsidR="00CE2B68">
        <w:t>The Department of Training and Workforce Development</w:t>
      </w:r>
      <w:r w:rsidR="00265A19">
        <w:t>’s</w:t>
      </w:r>
      <w:r w:rsidR="00CE2B68">
        <w:t xml:space="preserve"> </w:t>
      </w:r>
      <w:r w:rsidR="00265A19">
        <w:t xml:space="preserve">(DTWD) </w:t>
      </w:r>
      <w:r w:rsidR="00CE2B68">
        <w:t xml:space="preserve">Skills Summit identified </w:t>
      </w:r>
      <w:r w:rsidR="00765481">
        <w:t xml:space="preserve">this as a priority </w:t>
      </w:r>
      <w:r w:rsidR="00265A19">
        <w:t xml:space="preserve">with a recommendation </w:t>
      </w:r>
      <w:r w:rsidR="00A6524C">
        <w:t>to promote the benefits of living in the region and the diverse range of employment opportunities available to grow the working population. The lead agency for</w:t>
      </w:r>
      <w:r w:rsidR="00265A19">
        <w:t xml:space="preserve"> addressing</w:t>
      </w:r>
      <w:r w:rsidR="00A6524C">
        <w:t xml:space="preserve"> this priority will be the Goldfields-Esperance Development Commission.</w:t>
      </w:r>
    </w:p>
    <w:p w14:paraId="56F9AF17" w14:textId="77777777" w:rsidR="0020723A" w:rsidRPr="00987C38" w:rsidRDefault="0020723A" w:rsidP="0020723A">
      <w:pPr>
        <w:pStyle w:val="Heading1"/>
        <w:spacing w:after="240"/>
        <w:rPr>
          <w:noProof w:val="0"/>
        </w:rPr>
      </w:pPr>
      <w:bookmarkStart w:id="8" w:name="_Toc79411030"/>
      <w:r w:rsidRPr="00987C38">
        <w:rPr>
          <w:noProof w:val="0"/>
        </w:rPr>
        <w:t>Local stakeholders and opportunities</w:t>
      </w:r>
      <w:bookmarkEnd w:id="8"/>
    </w:p>
    <w:p w14:paraId="43BEE3C4" w14:textId="73B9E1B8" w:rsidR="0020723A" w:rsidRPr="00987C38" w:rsidRDefault="0020723A" w:rsidP="00FD7C64">
      <w:r w:rsidRPr="00987C38">
        <w:t>The Goldfields</w:t>
      </w:r>
      <w:r w:rsidR="00B81875">
        <w:t>-</w:t>
      </w:r>
      <w:r w:rsidRPr="00987C38">
        <w:t xml:space="preserve"> Esperance Development Commission</w:t>
      </w:r>
      <w:r w:rsidR="00670A57">
        <w:t xml:space="preserve"> (GEDC)</w:t>
      </w:r>
      <w:r w:rsidRPr="00987C38">
        <w:t>, Regional Development Australia</w:t>
      </w:r>
      <w:r w:rsidR="005719AE" w:rsidRPr="00987C38">
        <w:t xml:space="preserve"> Goldfields Esperance</w:t>
      </w:r>
      <w:r w:rsidR="00670A57">
        <w:t xml:space="preserve"> (RDA)</w:t>
      </w:r>
      <w:r w:rsidRPr="00987C38">
        <w:t>, City of Kalgoorlie</w:t>
      </w:r>
      <w:r w:rsidR="00807757">
        <w:t>-</w:t>
      </w:r>
      <w:r w:rsidRPr="00987C38">
        <w:t xml:space="preserve"> Boulder</w:t>
      </w:r>
      <w:r w:rsidR="00CF764B">
        <w:t xml:space="preserve"> and the </w:t>
      </w:r>
      <w:r w:rsidRPr="00987C38">
        <w:t>Kalgoorlie Boulder Chamber of Commerce and Industry</w:t>
      </w:r>
      <w:r w:rsidR="0003620F">
        <w:t xml:space="preserve"> </w:t>
      </w:r>
      <w:r w:rsidRPr="00987C38">
        <w:t>are several of the major stakeholders in the region.</w:t>
      </w:r>
    </w:p>
    <w:p w14:paraId="0D34AAF3" w14:textId="417B4059" w:rsidR="0020723A" w:rsidRPr="00987C38" w:rsidRDefault="0020723A" w:rsidP="00FD7C64">
      <w:r w:rsidRPr="00987C38">
        <w:t>The region has access to</w:t>
      </w:r>
      <w:r w:rsidR="00147F3C">
        <w:t xml:space="preserve"> a range of</w:t>
      </w:r>
      <w:r w:rsidRPr="00987C38">
        <w:t xml:space="preserve"> </w:t>
      </w:r>
      <w:r w:rsidR="0015512C" w:rsidRPr="00987C38">
        <w:t xml:space="preserve">Australian </w:t>
      </w:r>
      <w:r w:rsidR="00F51650" w:rsidRPr="00987C38">
        <w:t>G</w:t>
      </w:r>
      <w:r w:rsidR="0015512C" w:rsidRPr="00987C38">
        <w:t>overnment</w:t>
      </w:r>
      <w:r w:rsidRPr="00987C38">
        <w:t xml:space="preserve"> programs</w:t>
      </w:r>
      <w:r w:rsidR="00147F3C">
        <w:t xml:space="preserve"> </w:t>
      </w:r>
      <w:r w:rsidR="004477F5">
        <w:t>including</w:t>
      </w:r>
      <w:r w:rsidRPr="00987C38">
        <w:t xml:space="preserve"> </w:t>
      </w:r>
      <w:r w:rsidR="00147F3C">
        <w:t xml:space="preserve">jobactive, </w:t>
      </w:r>
      <w:r w:rsidRPr="00987C38">
        <w:t>ParentsNext, Transition to Work (TtW), New Enterprise Incentive Scheme (NEIS), Career Transition Assistance (CTA), Employability Skills Training (EST), Skills for Education and Employment (SEE), Australian Apprenticeship Support Network (AASN), Vocational Training and Employment Centre (VTEC)</w:t>
      </w:r>
      <w:r w:rsidR="008F6F89">
        <w:t>,</w:t>
      </w:r>
      <w:r w:rsidR="007C66B4">
        <w:rPr>
          <w:rFonts w:ascii="Roboto" w:hAnsi="Roboto"/>
          <w:color w:val="343741"/>
          <w:sz w:val="27"/>
          <w:szCs w:val="27"/>
          <w:shd w:val="clear" w:color="auto" w:fill="FFFFFF"/>
        </w:rPr>
        <w:t xml:space="preserve"> </w:t>
      </w:r>
      <w:r w:rsidR="007C66B4" w:rsidRPr="003C43B2">
        <w:rPr>
          <w:rFonts w:cstheme="minorHAnsi"/>
          <w:color w:val="343741"/>
          <w:shd w:val="clear" w:color="auto" w:fill="FFFFFF"/>
        </w:rPr>
        <w:t>The Time to Work Employment Service</w:t>
      </w:r>
      <w:r w:rsidR="007C66B4">
        <w:rPr>
          <w:rFonts w:cstheme="minorHAnsi"/>
          <w:color w:val="343741"/>
          <w:shd w:val="clear" w:color="auto" w:fill="FFFFFF"/>
        </w:rPr>
        <w:t xml:space="preserve"> </w:t>
      </w:r>
      <w:r w:rsidR="00162DA9">
        <w:rPr>
          <w:rFonts w:cstheme="minorHAnsi"/>
          <w:color w:val="343741"/>
          <w:shd w:val="clear" w:color="auto" w:fill="FFFFFF"/>
        </w:rPr>
        <w:t>(</w:t>
      </w:r>
      <w:r w:rsidR="00641858">
        <w:rPr>
          <w:rFonts w:cstheme="minorHAnsi"/>
          <w:color w:val="343741"/>
          <w:shd w:val="clear" w:color="auto" w:fill="FFFFFF"/>
        </w:rPr>
        <w:t>TWES)</w:t>
      </w:r>
      <w:r w:rsidR="00641858">
        <w:t xml:space="preserve"> </w:t>
      </w:r>
      <w:r w:rsidR="00641858" w:rsidRPr="00987C38">
        <w:t>and</w:t>
      </w:r>
      <w:r w:rsidRPr="00987C38">
        <w:t xml:space="preserve"> Disability Employment Services (DES).</w:t>
      </w:r>
      <w:r w:rsidR="00147F3C">
        <w:t xml:space="preserve"> As of </w:t>
      </w:r>
      <w:proofErr w:type="gramStart"/>
      <w:r w:rsidR="00147F3C">
        <w:t>1 July 2022</w:t>
      </w:r>
      <w:proofErr w:type="gramEnd"/>
      <w:r w:rsidR="00147F3C">
        <w:t xml:space="preserve"> these programs with be delivered under the new Workforce Australia suite of services.</w:t>
      </w:r>
    </w:p>
    <w:p w14:paraId="388EF076" w14:textId="6FBF2CC0" w:rsidR="0020723A" w:rsidRPr="00987C38" w:rsidRDefault="0020723A" w:rsidP="00FD7C64">
      <w:r w:rsidRPr="00987C38">
        <w:t xml:space="preserve">Other </w:t>
      </w:r>
      <w:r w:rsidR="00F51650" w:rsidRPr="00987C38">
        <w:t xml:space="preserve">government </w:t>
      </w:r>
      <w:r w:rsidRPr="00987C38">
        <w:t xml:space="preserve">agencies within the region include </w:t>
      </w:r>
      <w:r w:rsidR="00B36904" w:rsidRPr="00987C38">
        <w:t xml:space="preserve">the </w:t>
      </w:r>
      <w:r w:rsidRPr="00987C38">
        <w:t xml:space="preserve">National Indigenous Australian Agency, </w:t>
      </w:r>
      <w:r w:rsidR="00F51650" w:rsidRPr="00987C38">
        <w:t>Services</w:t>
      </w:r>
      <w:r w:rsidRPr="00987C38">
        <w:t xml:space="preserve"> </w:t>
      </w:r>
      <w:r w:rsidR="00F51650" w:rsidRPr="00987C38">
        <w:t xml:space="preserve">Australia </w:t>
      </w:r>
      <w:r w:rsidRPr="00987C38">
        <w:t>and the</w:t>
      </w:r>
      <w:r w:rsidR="00F51650" w:rsidRPr="00987C38">
        <w:t xml:space="preserve"> </w:t>
      </w:r>
      <w:r w:rsidRPr="00987C38">
        <w:t>Jobs and Skills Centre (Kalgoorlie).</w:t>
      </w:r>
    </w:p>
    <w:p w14:paraId="5EABC3F2" w14:textId="18CEFCDB" w:rsidR="0020723A" w:rsidRPr="00987C38" w:rsidRDefault="0020723A" w:rsidP="0020723A">
      <w:bookmarkStart w:id="9" w:name="_Hlk76987937"/>
      <w:r w:rsidRPr="00987C38">
        <w:t xml:space="preserve">The </w:t>
      </w:r>
      <w:r w:rsidR="009F381F">
        <w:t>Kalgoorlie</w:t>
      </w:r>
      <w:r w:rsidRPr="00987C38">
        <w:t xml:space="preserve"> </w:t>
      </w:r>
      <w:r w:rsidR="009F381F">
        <w:t>R</w:t>
      </w:r>
      <w:r w:rsidRPr="00987C38">
        <w:t xml:space="preserve">egion has a diverse economy, with the largest employing industries as </w:t>
      </w:r>
      <w:r w:rsidR="003C43B2" w:rsidRPr="00987C38">
        <w:t>of</w:t>
      </w:r>
      <w:r w:rsidRPr="00987C38">
        <w:t xml:space="preserve"> </w:t>
      </w:r>
      <w:r w:rsidR="00D25DDD">
        <w:t>February 2022</w:t>
      </w:r>
      <w:r w:rsidRPr="00987C38">
        <w:t xml:space="preserve"> being Mining (</w:t>
      </w:r>
      <w:r w:rsidR="005500DC">
        <w:t>15</w:t>
      </w:r>
      <w:r w:rsidRPr="00987C38">
        <w:t>.5%</w:t>
      </w:r>
      <w:r w:rsidR="002D027F">
        <w:t xml:space="preserve">, down </w:t>
      </w:r>
      <w:r w:rsidR="00D40B5C">
        <w:t>5</w:t>
      </w:r>
      <w:r w:rsidR="002D027F">
        <w:t>%</w:t>
      </w:r>
      <w:r w:rsidR="000566D8">
        <w:t xml:space="preserve"> since February 202</w:t>
      </w:r>
      <w:r w:rsidR="00894355">
        <w:t>0</w:t>
      </w:r>
      <w:r w:rsidRPr="00987C38">
        <w:t>), Public Administration and Safety (</w:t>
      </w:r>
      <w:r w:rsidR="005500DC">
        <w:t>11</w:t>
      </w:r>
      <w:r w:rsidRPr="00987C38">
        <w:t>%</w:t>
      </w:r>
      <w:r w:rsidR="000566D8">
        <w:t xml:space="preserve">, </w:t>
      </w:r>
      <w:r w:rsidR="003E344B">
        <w:t>down</w:t>
      </w:r>
      <w:r w:rsidR="00DD4013">
        <w:t xml:space="preserve"> 9%</w:t>
      </w:r>
      <w:r w:rsidRPr="00987C38">
        <w:t xml:space="preserve">) and </w:t>
      </w:r>
      <w:r w:rsidR="00005D8F" w:rsidRPr="00005D8F">
        <w:t xml:space="preserve">Construction </w:t>
      </w:r>
      <w:r w:rsidRPr="00987C38">
        <w:t>(</w:t>
      </w:r>
      <w:r w:rsidR="00883298">
        <w:t>10.9</w:t>
      </w:r>
      <w:r w:rsidRPr="00987C38">
        <w:t>%</w:t>
      </w:r>
      <w:r w:rsidR="0093703C">
        <w:t xml:space="preserve">, up </w:t>
      </w:r>
      <w:r w:rsidR="00453EA0">
        <w:t>11</w:t>
      </w:r>
      <w:r w:rsidR="0093703C">
        <w:t>%</w:t>
      </w:r>
      <w:r w:rsidRPr="00987C38">
        <w:t>).</w:t>
      </w:r>
    </w:p>
    <w:bookmarkEnd w:id="9"/>
    <w:p w14:paraId="4D87C186" w14:textId="5EDE8F08" w:rsidR="00E16333" w:rsidRDefault="0020723A" w:rsidP="00E16333">
      <w:pPr>
        <w:shd w:val="clear" w:color="auto" w:fill="FFFFFF"/>
        <w:spacing w:before="100" w:beforeAutospacing="1" w:after="100" w:afterAutospacing="1" w:line="240" w:lineRule="auto"/>
      </w:pPr>
      <w:r w:rsidRPr="00987C38">
        <w:t xml:space="preserve">The gold mining industry, including the secondary industries which support the resources sector, </w:t>
      </w:r>
      <w:r w:rsidR="00147F3C">
        <w:t>are</w:t>
      </w:r>
      <w:r w:rsidRPr="00987C38">
        <w:t xml:space="preserve"> by far the largest and most profitable primary industry which drives the Kalgoorlie economy. </w:t>
      </w:r>
    </w:p>
    <w:p w14:paraId="7B0925B3" w14:textId="2A47E07F" w:rsidR="00147F3C" w:rsidRDefault="009B5127" w:rsidP="0020723A">
      <w:r w:rsidRPr="00987C38">
        <w:t xml:space="preserve">Kalgoorlie Consolidated Gold Mines (KCGM), Northern Star, </w:t>
      </w:r>
      <w:r w:rsidR="0020723A" w:rsidRPr="00987C38">
        <w:t>Ashanti Gold, Carey Mining, Downer, Goldfields St Ives, Linkforce, Mondadelphous, Ora Banda</w:t>
      </w:r>
      <w:r w:rsidR="00F51650" w:rsidRPr="00987C38">
        <w:t xml:space="preserve"> and</w:t>
      </w:r>
      <w:r w:rsidR="0020723A" w:rsidRPr="00987C38">
        <w:t xml:space="preserve"> Yonga Djena are just some of the </w:t>
      </w:r>
      <w:r w:rsidRPr="00987C38">
        <w:t xml:space="preserve">large </w:t>
      </w:r>
      <w:r w:rsidR="0020723A" w:rsidRPr="00987C38">
        <w:t>resource employers operating in the region, who have ongoing vacanci</w:t>
      </w:r>
      <w:r w:rsidR="00147F3C">
        <w:t>es.</w:t>
      </w:r>
    </w:p>
    <w:p w14:paraId="0F24FD3C" w14:textId="77777777" w:rsidR="00147F3C" w:rsidRDefault="0020723A" w:rsidP="0020723A">
      <w:r w:rsidRPr="00987C38">
        <w:t xml:space="preserve">Many provide differing career pathways and support, via work placements and traineeships. Subsequent supply chain and supporting </w:t>
      </w:r>
      <w:r w:rsidR="009B5127" w:rsidRPr="00987C38">
        <w:t>businesses</w:t>
      </w:r>
      <w:r w:rsidRPr="00987C38">
        <w:t xml:space="preserve"> such as </w:t>
      </w:r>
      <w:r w:rsidR="009B5127" w:rsidRPr="00987C38">
        <w:t xml:space="preserve">engineering, </w:t>
      </w:r>
      <w:r w:rsidRPr="00987C38">
        <w:t xml:space="preserve">mechanical workshops, parts </w:t>
      </w:r>
      <w:proofErr w:type="gramStart"/>
      <w:r w:rsidRPr="00987C38">
        <w:t>suppliers</w:t>
      </w:r>
      <w:proofErr w:type="gramEnd"/>
      <w:r w:rsidRPr="00987C38">
        <w:t xml:space="preserve"> and maintenance </w:t>
      </w:r>
      <w:r w:rsidR="009B5127" w:rsidRPr="00987C38">
        <w:t>industries</w:t>
      </w:r>
      <w:r w:rsidR="00D57192" w:rsidRPr="00987C38">
        <w:t>,</w:t>
      </w:r>
      <w:r w:rsidRPr="00987C38">
        <w:t xml:space="preserve"> are useful </w:t>
      </w:r>
      <w:r w:rsidR="00D85EF0" w:rsidRPr="00987C38">
        <w:t>steppingstones</w:t>
      </w:r>
      <w:r w:rsidRPr="00987C38">
        <w:t xml:space="preserve"> into the resources </w:t>
      </w:r>
      <w:r w:rsidR="00C21E7E" w:rsidRPr="00987C38">
        <w:t xml:space="preserve">sectors. </w:t>
      </w:r>
    </w:p>
    <w:p w14:paraId="21B8CE18" w14:textId="286E3A85" w:rsidR="00147F3C" w:rsidRDefault="00147F3C" w:rsidP="00147F3C">
      <w:pPr>
        <w:shd w:val="clear" w:color="auto" w:fill="FFFFFF"/>
        <w:spacing w:before="100" w:beforeAutospacing="1" w:after="100" w:afterAutospacing="1" w:line="240" w:lineRule="auto"/>
        <w:rPr>
          <w:rFonts w:eastAsia="Times New Roman" w:cstheme="minorHAnsi"/>
          <w:lang w:eastAsia="en-AU"/>
        </w:rPr>
      </w:pPr>
      <w:r w:rsidRPr="00EE28E0">
        <w:rPr>
          <w:rFonts w:eastAsia="Calibri" w:cstheme="minorHAnsi"/>
        </w:rPr>
        <w:t xml:space="preserve">The first of </w:t>
      </w:r>
      <w:r w:rsidRPr="00EE28E0">
        <w:rPr>
          <w:rFonts w:cstheme="minorHAnsi"/>
          <w:shd w:val="clear" w:color="auto" w:fill="FFFFFF"/>
        </w:rPr>
        <w:t>thirty-nine new Caterpillar 793F trucks have arrived at Northern Star’s KCGM Operation. The Caterpillar 793F’s will replace the existing fleet that has been operating in the Fimiston Open Pit (Super Pit) for over 20 years. </w:t>
      </w:r>
      <w:r w:rsidRPr="00EE28E0">
        <w:rPr>
          <w:rFonts w:eastAsia="Times New Roman" w:cstheme="minorHAnsi"/>
          <w:lang w:eastAsia="en-AU"/>
        </w:rPr>
        <w:t>Trainee positions for CAT 793 and 777 Haul Truck Operators are available with trainees enrolled in the Certificate III in Surface Extraction</w:t>
      </w:r>
      <w:r w:rsidRPr="00EE28E0">
        <w:rPr>
          <w:rFonts w:eastAsia="Times New Roman" w:cstheme="minorHAnsi"/>
          <w:b/>
          <w:bCs/>
          <w:lang w:eastAsia="en-AU"/>
        </w:rPr>
        <w:t xml:space="preserve">, </w:t>
      </w:r>
      <w:r w:rsidRPr="00EE28E0">
        <w:rPr>
          <w:rFonts w:eastAsia="Times New Roman" w:cstheme="minorHAnsi"/>
          <w:lang w:eastAsia="en-AU"/>
        </w:rPr>
        <w:t xml:space="preserve">completed over a 24-month period. </w:t>
      </w:r>
    </w:p>
    <w:p w14:paraId="27C7DB5B" w14:textId="39370022" w:rsidR="00F76D0F" w:rsidRDefault="00F76D0F" w:rsidP="00147F3C">
      <w:pPr>
        <w:shd w:val="clear" w:color="auto" w:fill="FFFFFF"/>
        <w:spacing w:before="100" w:beforeAutospacing="1" w:after="100" w:afterAutospacing="1" w:line="240" w:lineRule="auto"/>
        <w:rPr>
          <w:rFonts w:eastAsia="Times New Roman" w:cstheme="minorHAnsi"/>
          <w:lang w:eastAsia="en-AU"/>
        </w:rPr>
      </w:pPr>
    </w:p>
    <w:p w14:paraId="0650F743" w14:textId="77777777" w:rsidR="00F76D0F" w:rsidRPr="00147F3C" w:rsidRDefault="00F76D0F" w:rsidP="00147F3C">
      <w:pPr>
        <w:shd w:val="clear" w:color="auto" w:fill="FFFFFF"/>
        <w:spacing w:before="100" w:beforeAutospacing="1" w:after="100" w:afterAutospacing="1" w:line="240" w:lineRule="auto"/>
        <w:rPr>
          <w:rFonts w:eastAsia="Calibri" w:cstheme="minorHAnsi"/>
        </w:rPr>
      </w:pPr>
    </w:p>
    <w:p w14:paraId="7FBB3D9F" w14:textId="1913A54A" w:rsidR="0020723A" w:rsidRPr="00987C38" w:rsidRDefault="00C21E7E" w:rsidP="0020723A">
      <w:r w:rsidRPr="00987C38">
        <w:lastRenderedPageBreak/>
        <w:t>The</w:t>
      </w:r>
      <w:r w:rsidR="0020723A" w:rsidRPr="00987C38">
        <w:t xml:space="preserve"> City of </w:t>
      </w:r>
      <w:r w:rsidR="003C43B2" w:rsidRPr="00987C38">
        <w:t>Kalgoorlie Boulder</w:t>
      </w:r>
      <w:r w:rsidR="0020723A" w:rsidRPr="00987C38">
        <w:t xml:space="preserve"> is spearheading a raft of future projects with will present a variety of </w:t>
      </w:r>
      <w:r w:rsidR="00641858" w:rsidRPr="00987C38">
        <w:t>long-term</w:t>
      </w:r>
      <w:r w:rsidR="0020723A" w:rsidRPr="00987C38">
        <w:t xml:space="preserve"> job opportunities, including the proposed Hilton DoubleTree Hotel, $7 million dollar Golf Course resort development, residential apartment development (80 units),</w:t>
      </w:r>
      <w:r w:rsidR="00554E4E" w:rsidRPr="00987C38">
        <w:t xml:space="preserve"> </w:t>
      </w:r>
      <w:r w:rsidR="0020723A" w:rsidRPr="00987C38">
        <w:t xml:space="preserve">$15 million refurbishment of the CBD, airport and depot projects and various roadworks. The </w:t>
      </w:r>
      <w:proofErr w:type="gramStart"/>
      <w:r w:rsidR="0020723A" w:rsidRPr="00987C38">
        <w:t>City</w:t>
      </w:r>
      <w:proofErr w:type="gramEnd"/>
      <w:r w:rsidR="0020723A" w:rsidRPr="00987C38">
        <w:t xml:space="preserve"> itself has a range of administrative roles available.</w:t>
      </w:r>
    </w:p>
    <w:p w14:paraId="4D37FEB0" w14:textId="2E257E96" w:rsidR="0020723A" w:rsidRPr="00987C38" w:rsidRDefault="0020723A" w:rsidP="0020723A">
      <w:r w:rsidRPr="00987C38">
        <w:t xml:space="preserve">A large new Coles store recently opened in Kalgoorlie and together with </w:t>
      </w:r>
      <w:r w:rsidR="00641858" w:rsidRPr="00987C38">
        <w:t>Woolworths</w:t>
      </w:r>
      <w:r w:rsidR="00641858">
        <w:t>,</w:t>
      </w:r>
      <w:r w:rsidR="00641858" w:rsidRPr="00987C38">
        <w:t xml:space="preserve"> </w:t>
      </w:r>
      <w:proofErr w:type="gramStart"/>
      <w:r w:rsidR="00641858" w:rsidRPr="00987C38">
        <w:t>Bunnings</w:t>
      </w:r>
      <w:proofErr w:type="gramEnd"/>
      <w:r w:rsidRPr="00987C38">
        <w:t xml:space="preserve"> </w:t>
      </w:r>
      <w:r w:rsidR="00FD53BC">
        <w:t>and KMART</w:t>
      </w:r>
      <w:r w:rsidR="00F91650">
        <w:t>,</w:t>
      </w:r>
      <w:r w:rsidR="00FD53BC">
        <w:t xml:space="preserve"> </w:t>
      </w:r>
      <w:r w:rsidRPr="00987C38">
        <w:t>offer</w:t>
      </w:r>
      <w:r w:rsidR="00F91650">
        <w:t>s</w:t>
      </w:r>
      <w:r w:rsidRPr="00987C38">
        <w:t xml:space="preserve"> a variety of retail employment pathways specifically targeted at </w:t>
      </w:r>
      <w:r w:rsidR="00FD53BC">
        <w:t xml:space="preserve">Aboriginal </w:t>
      </w:r>
      <w:r w:rsidRPr="00987C38">
        <w:t>people.</w:t>
      </w:r>
      <w:r w:rsidR="00A51368" w:rsidRPr="00987C38">
        <w:t xml:space="preserve"> A range of facility maintenance, cleaning and security roles are also available through employers such as Compass and Delron/Ventia.</w:t>
      </w:r>
    </w:p>
    <w:p w14:paraId="67EE2E70" w14:textId="27640F88" w:rsidR="00EE28E0" w:rsidRDefault="0020723A" w:rsidP="00FD7C64">
      <w:r w:rsidRPr="00987C38">
        <w:t>Additionally, two new childcare centres are being built in the region, which will also require significant local staffing resources.</w:t>
      </w:r>
      <w:r w:rsidR="00E468F3">
        <w:t xml:space="preserve"> </w:t>
      </w:r>
    </w:p>
    <w:p w14:paraId="09D70F0B" w14:textId="20B0747A" w:rsidR="0020723A" w:rsidRDefault="0020723A" w:rsidP="00FD7C64">
      <w:r w:rsidRPr="00987C38">
        <w:t>In August 2020, the City of Kalgoorlie-Boulder signed a sublease for its strategic industrial land with Lynas Corporation Limited for their new Rare Earth Processing Facility in Kalgoorlie-</w:t>
      </w:r>
      <w:r w:rsidR="00D85EF0" w:rsidRPr="00987C38">
        <w:t>Boulder. The</w:t>
      </w:r>
      <w:r w:rsidRPr="00987C38">
        <w:t xml:space="preserve"> project is expected to create up to </w:t>
      </w:r>
      <w:r w:rsidR="00093F75">
        <w:t>260</w:t>
      </w:r>
      <w:r w:rsidRPr="00987C38">
        <w:t xml:space="preserve"> jobs during construction and over </w:t>
      </w:r>
      <w:r w:rsidR="00151481">
        <w:t>130</w:t>
      </w:r>
      <w:r w:rsidRPr="00987C38">
        <w:t xml:space="preserve"> ongoing residential jobs in Kalgoorlie.</w:t>
      </w:r>
      <w:r w:rsidR="00BB0FA7">
        <w:t xml:space="preserve"> Other new developments </w:t>
      </w:r>
      <w:r w:rsidR="00A80DED">
        <w:t>approved by the City of Kalgoorlie-Boulder include an Aldi store.</w:t>
      </w:r>
    </w:p>
    <w:p w14:paraId="2C712BA3" w14:textId="6224FD95" w:rsidR="00156B15" w:rsidRPr="00156B15" w:rsidRDefault="00156B15" w:rsidP="00156B15">
      <w:pPr>
        <w:spacing w:after="160" w:line="259" w:lineRule="auto"/>
        <w:rPr>
          <w:rFonts w:cstheme="minorHAnsi"/>
        </w:rPr>
      </w:pPr>
      <w:r>
        <w:t xml:space="preserve">In its 2022/2023 Budget, the WA State government announced </w:t>
      </w:r>
      <w:r w:rsidRPr="00156B15">
        <w:rPr>
          <w:rFonts w:cstheme="minorHAnsi"/>
          <w:shd w:val="clear" w:color="auto" w:fill="FFFFFF"/>
        </w:rPr>
        <w:t>$19.1 million for the development of new residential land in two regional locations, including Kalgoorlie</w:t>
      </w:r>
      <w:r>
        <w:rPr>
          <w:rFonts w:cstheme="minorHAnsi"/>
          <w:shd w:val="clear" w:color="auto" w:fill="FFFFFF"/>
        </w:rPr>
        <w:t xml:space="preserve"> and </w:t>
      </w:r>
      <w:r w:rsidRPr="00C110CB">
        <w:t>$11 million for industrial development at Lot 350 in Kalgoorlie</w:t>
      </w:r>
      <w:r>
        <w:t>.</w:t>
      </w:r>
    </w:p>
    <w:p w14:paraId="1A68D624" w14:textId="10A7B919" w:rsidR="0020723A" w:rsidRPr="00987C38" w:rsidRDefault="00BB5FA2" w:rsidP="00FD7C64">
      <w:r w:rsidRPr="00987C38">
        <w:rPr>
          <w:rFonts w:ascii="Calibri" w:eastAsia="Calibri" w:hAnsi="Calibri" w:cs="Times New Roman"/>
        </w:rPr>
        <w:t xml:space="preserve">The Regional Economic Development Grants (RED Grants) program is a $28.8 million over five years State Government initiative that invests in local projects to stimulate economic growth and development in regional Western Australia. </w:t>
      </w:r>
      <w:r w:rsidR="0020723A" w:rsidRPr="00987C38">
        <w:t>The Goldfields-Esperance Development Commission (GEDC) received 21 RED Grant</w:t>
      </w:r>
      <w:r w:rsidRPr="00987C38">
        <w:t xml:space="preserve"> </w:t>
      </w:r>
      <w:r w:rsidR="0020723A" w:rsidRPr="00987C38">
        <w:t xml:space="preserve">applications across the 2020-21 round. Applicants were seeking </w:t>
      </w:r>
      <w:r w:rsidR="00987C38" w:rsidRPr="00987C38">
        <w:t>more than</w:t>
      </w:r>
      <w:r w:rsidR="0020723A" w:rsidRPr="00987C38">
        <w:t xml:space="preserve"> $3.3 million in funding to support projects to the total value of $7.9 million. </w:t>
      </w:r>
    </w:p>
    <w:p w14:paraId="42EBDEF2" w14:textId="048FC6E3" w:rsidR="0020723A" w:rsidRPr="00987C38" w:rsidRDefault="0020723A" w:rsidP="00FD7C64">
      <w:r w:rsidRPr="00987C38">
        <w:t xml:space="preserve">New housing options are being </w:t>
      </w:r>
      <w:r w:rsidR="00D85EF0" w:rsidRPr="00987C38">
        <w:t>opened</w:t>
      </w:r>
      <w:r w:rsidRPr="00987C38">
        <w:t xml:space="preserve"> in Kalgoorlie-Boulder with the construction of 31 new residential lots in GreenView at the Karlkurla residential estate. Civil works will commence in the coming months to deliver lots, ranging in size from 544sqm to 888sqm. </w:t>
      </w:r>
      <w:r w:rsidR="00BB5FA2" w:rsidRPr="00987C38">
        <w:t xml:space="preserve">Approximately </w:t>
      </w:r>
      <w:r w:rsidRPr="00987C38">
        <w:t xml:space="preserve">20 local workers will be based onsite to prepare earthworks, drainage, electrical and retaining work. </w:t>
      </w:r>
      <w:r w:rsidR="003C43B2" w:rsidRPr="00987C38">
        <w:t>Lots were</w:t>
      </w:r>
      <w:r w:rsidR="007B5653">
        <w:t xml:space="preserve"> </w:t>
      </w:r>
      <w:r w:rsidRPr="00987C38">
        <w:t xml:space="preserve">released for sale </w:t>
      </w:r>
      <w:r w:rsidR="00B93710">
        <w:t xml:space="preserve">late </w:t>
      </w:r>
      <w:r w:rsidR="003C43B2">
        <w:t>2021.</w:t>
      </w:r>
      <w:r w:rsidRPr="00987C38">
        <w:t xml:space="preserve"> </w:t>
      </w:r>
    </w:p>
    <w:p w14:paraId="1B78F17D" w14:textId="09D51969" w:rsidR="003C43B2" w:rsidRDefault="003C43B2" w:rsidP="0020723A"/>
    <w:p w14:paraId="4F3C922F" w14:textId="215308E9" w:rsidR="003C43B2" w:rsidRDefault="003C43B2" w:rsidP="0020723A"/>
    <w:p w14:paraId="0989A85E" w14:textId="35C4E92C" w:rsidR="00EE28E0" w:rsidRDefault="00EE28E0" w:rsidP="0020723A"/>
    <w:p w14:paraId="5E321B51" w14:textId="21CDA191" w:rsidR="00EE28E0" w:rsidRDefault="00EE28E0" w:rsidP="0020723A"/>
    <w:p w14:paraId="68BBF38B" w14:textId="0D1A26BF" w:rsidR="00EE28E0" w:rsidRDefault="00EE28E0" w:rsidP="0020723A"/>
    <w:p w14:paraId="3F4D1A1F" w14:textId="35766FC7" w:rsidR="00EE28E0" w:rsidRDefault="00EE28E0" w:rsidP="0020723A"/>
    <w:p w14:paraId="1BAB01AF" w14:textId="1AA0CA39" w:rsidR="00EE28E0" w:rsidRDefault="00EE28E0" w:rsidP="0020723A"/>
    <w:p w14:paraId="57873246" w14:textId="77777777" w:rsidR="00EE28E0" w:rsidRDefault="00EE28E0" w:rsidP="0020723A"/>
    <w:p w14:paraId="73839881" w14:textId="73A3FD75" w:rsidR="0020723A" w:rsidRPr="00210D8D" w:rsidRDefault="00BB5FA2" w:rsidP="00210D8D">
      <w:pPr>
        <w:pStyle w:val="Heading1"/>
        <w:spacing w:after="240"/>
        <w:rPr>
          <w:noProof w:val="0"/>
          <w:sz w:val="36"/>
          <w:szCs w:val="36"/>
        </w:rPr>
      </w:pPr>
      <w:bookmarkStart w:id="10" w:name="_Toc79158656"/>
      <w:bookmarkStart w:id="11" w:name="_Toc79411031"/>
      <w:r w:rsidRPr="00987C38">
        <w:rPr>
          <w:noProof w:val="0"/>
          <w:sz w:val="36"/>
          <w:szCs w:val="36"/>
        </w:rPr>
        <w:lastRenderedPageBreak/>
        <w:t xml:space="preserve">Attachment A: </w:t>
      </w:r>
      <w:bookmarkStart w:id="12" w:name="_Hlk104973768"/>
      <w:r w:rsidRPr="00987C38">
        <w:rPr>
          <w:noProof w:val="0"/>
          <w:sz w:val="36"/>
          <w:szCs w:val="36"/>
        </w:rPr>
        <w:t>Key employment and training priorities: strategies and stakeholders</w:t>
      </w:r>
      <w:bookmarkStart w:id="13" w:name="_Toc25859225"/>
      <w:bookmarkStart w:id="14" w:name="_Toc25859302"/>
      <w:bookmarkStart w:id="15" w:name="_Toc25860024"/>
      <w:bookmarkStart w:id="16" w:name="_Toc25859229"/>
      <w:bookmarkStart w:id="17" w:name="_Toc25859306"/>
      <w:bookmarkStart w:id="18" w:name="_Toc25860028"/>
      <w:bookmarkStart w:id="19" w:name="_Toc25859230"/>
      <w:bookmarkStart w:id="20" w:name="_Toc25859307"/>
      <w:bookmarkStart w:id="21" w:name="_Toc25860029"/>
      <w:bookmarkStart w:id="22" w:name="_Toc25859233"/>
      <w:bookmarkStart w:id="23" w:name="_Toc25859310"/>
      <w:bookmarkStart w:id="24" w:name="_Toc25860032"/>
      <w:bookmarkEnd w:id="1"/>
      <w:bookmarkEnd w:id="3"/>
      <w:bookmarkEnd w:id="10"/>
      <w:bookmarkEnd w:id="11"/>
      <w:bookmarkEnd w:id="13"/>
      <w:bookmarkEnd w:id="14"/>
      <w:bookmarkEnd w:id="15"/>
      <w:bookmarkEnd w:id="16"/>
      <w:bookmarkEnd w:id="17"/>
      <w:bookmarkEnd w:id="18"/>
      <w:bookmarkEnd w:id="19"/>
      <w:bookmarkEnd w:id="20"/>
      <w:bookmarkEnd w:id="21"/>
      <w:bookmarkEnd w:id="22"/>
      <w:bookmarkEnd w:id="23"/>
      <w:bookmarkEnd w:id="24"/>
    </w:p>
    <w:bookmarkEnd w:id="12"/>
    <w:p w14:paraId="1A7E7684" w14:textId="7783E8CF" w:rsidR="0020723A" w:rsidRPr="00987C38" w:rsidRDefault="0020723A" w:rsidP="0020723A">
      <w:pPr>
        <w:rPr>
          <w:b/>
          <w:bCs/>
          <w:sz w:val="24"/>
          <w:szCs w:val="24"/>
        </w:rPr>
      </w:pPr>
      <w:r w:rsidRPr="00987C38">
        <w:rPr>
          <w:b/>
          <w:bCs/>
          <w:color w:val="2F5496" w:themeColor="accent1" w:themeShade="BF"/>
          <w:sz w:val="24"/>
          <w:szCs w:val="24"/>
        </w:rPr>
        <w:t xml:space="preserve">Priority One: </w:t>
      </w:r>
      <w:r w:rsidRPr="00987C38">
        <w:rPr>
          <w:b/>
          <w:bCs/>
          <w:sz w:val="24"/>
          <w:szCs w:val="24"/>
        </w:rPr>
        <w:t xml:space="preserve">Engage with industry to articulate the needs of employers and job seekers and inform the development of strategies which maximise local job placements. </w:t>
      </w:r>
    </w:p>
    <w:p w14:paraId="00955DEE" w14:textId="77777777" w:rsidR="0020723A" w:rsidRPr="00987C38" w:rsidRDefault="0020723A" w:rsidP="0020723A">
      <w:pPr>
        <w:spacing w:line="240" w:lineRule="auto"/>
        <w:rPr>
          <w:b/>
          <w:bCs/>
          <w:u w:val="single"/>
        </w:rPr>
      </w:pPr>
      <w:r w:rsidRPr="00987C38">
        <w:rPr>
          <w:b/>
          <w:bCs/>
          <w:u w:val="single"/>
        </w:rPr>
        <w:t>Strategies</w:t>
      </w:r>
    </w:p>
    <w:p w14:paraId="45B0CBAF" w14:textId="1B5F1C82" w:rsidR="0020723A" w:rsidRPr="00987C38" w:rsidRDefault="0020723A" w:rsidP="00A4664D">
      <w:pPr>
        <w:pStyle w:val="ListParagraph"/>
        <w:numPr>
          <w:ilvl w:val="0"/>
          <w:numId w:val="3"/>
        </w:numPr>
        <w:ind w:left="360"/>
        <w:rPr>
          <w:rFonts w:eastAsiaTheme="minorHAnsi"/>
        </w:rPr>
      </w:pPr>
      <w:r w:rsidRPr="00987C38">
        <w:rPr>
          <w:rFonts w:eastAsiaTheme="minorHAnsi"/>
        </w:rPr>
        <w:t>Conduct analysis to map out local industry need</w:t>
      </w:r>
      <w:r w:rsidR="001303D1" w:rsidRPr="00987C38">
        <w:rPr>
          <w:rFonts w:eastAsiaTheme="minorHAnsi"/>
        </w:rPr>
        <w:t>s</w:t>
      </w:r>
      <w:r w:rsidRPr="00987C38">
        <w:rPr>
          <w:rFonts w:eastAsiaTheme="minorHAnsi"/>
        </w:rPr>
        <w:t xml:space="preserve"> and understand skills gaps, leveraging the outcomes of the </w:t>
      </w:r>
      <w:r w:rsidR="001303D1" w:rsidRPr="00987C38">
        <w:rPr>
          <w:rFonts w:eastAsiaTheme="minorHAnsi"/>
        </w:rPr>
        <w:t xml:space="preserve">DESE </w:t>
      </w:r>
      <w:r w:rsidRPr="00987C38">
        <w:rPr>
          <w:rFonts w:eastAsiaTheme="minorHAnsi"/>
        </w:rPr>
        <w:t>Kalgoorlie Roundtable conducted in March 2021.</w:t>
      </w:r>
    </w:p>
    <w:p w14:paraId="756D9998" w14:textId="5E142F81" w:rsidR="0020723A" w:rsidRPr="00987C38" w:rsidRDefault="0020723A" w:rsidP="00A4664D">
      <w:pPr>
        <w:pStyle w:val="ListParagraph"/>
        <w:numPr>
          <w:ilvl w:val="0"/>
          <w:numId w:val="3"/>
        </w:numPr>
        <w:ind w:left="360"/>
        <w:rPr>
          <w:b/>
          <w:bCs/>
        </w:rPr>
      </w:pPr>
      <w:r w:rsidRPr="00987C38">
        <w:rPr>
          <w:rFonts w:eastAsiaTheme="minorHAnsi"/>
        </w:rPr>
        <w:t xml:space="preserve">Identify non-negotiable </w:t>
      </w:r>
      <w:r w:rsidR="00641858" w:rsidRPr="00987C38">
        <w:rPr>
          <w:rFonts w:eastAsiaTheme="minorHAnsi"/>
        </w:rPr>
        <w:t>pre-employment</w:t>
      </w:r>
      <w:r w:rsidRPr="00987C38">
        <w:rPr>
          <w:rFonts w:eastAsiaTheme="minorHAnsi"/>
        </w:rPr>
        <w:t xml:space="preserve"> requirements as well as flexibilities available in key industries of need. </w:t>
      </w:r>
    </w:p>
    <w:p w14:paraId="08AA5349" w14:textId="77777777" w:rsidR="0020723A" w:rsidRPr="00987C38" w:rsidRDefault="0020723A" w:rsidP="0020723A">
      <w:pPr>
        <w:spacing w:line="240" w:lineRule="auto"/>
        <w:rPr>
          <w:b/>
          <w:bCs/>
          <w:u w:val="single"/>
        </w:rPr>
      </w:pPr>
      <w:r w:rsidRPr="00987C38">
        <w:rPr>
          <w:b/>
          <w:bCs/>
          <w:u w:val="single"/>
        </w:rPr>
        <w:t>Stakeholders</w:t>
      </w:r>
    </w:p>
    <w:p w14:paraId="23350E75" w14:textId="73A64DC5" w:rsidR="001303D1" w:rsidRPr="00987C38" w:rsidRDefault="0020723A" w:rsidP="0020723A">
      <w:pPr>
        <w:spacing w:after="360" w:line="240" w:lineRule="auto"/>
      </w:pPr>
      <w:r w:rsidRPr="00987C38">
        <w:t xml:space="preserve">Employment Facilitator, Local Jobs and Skills Taskforce, </w:t>
      </w:r>
      <w:r w:rsidR="00B25857" w:rsidRPr="00987C38">
        <w:t xml:space="preserve">key </w:t>
      </w:r>
      <w:r w:rsidRPr="00987C38">
        <w:t>employers</w:t>
      </w:r>
      <w:r w:rsidR="001303D1" w:rsidRPr="00987C38">
        <w:t>,</w:t>
      </w:r>
      <w:r w:rsidRPr="00987C38">
        <w:t xml:space="preserve"> Kalgoorlie Boulder Chamber of Commerce</w:t>
      </w:r>
      <w:r w:rsidR="009B5328" w:rsidRPr="00987C38">
        <w:t xml:space="preserve"> and Industry, City of Kalgoorlie Boulder, Goldfields Esperance Development Commission, Regional Development Australia</w:t>
      </w:r>
      <w:r w:rsidR="0027515E" w:rsidRPr="00987C38">
        <w:t xml:space="preserve"> Goldfields Esperance</w:t>
      </w:r>
      <w:r w:rsidR="009B5328" w:rsidRPr="00987C38">
        <w:t xml:space="preserve"> </w:t>
      </w:r>
      <w:r w:rsidRPr="00987C38">
        <w:t>and industry representatives and peak bodies</w:t>
      </w:r>
    </w:p>
    <w:p w14:paraId="32A19ADD" w14:textId="4348AA28" w:rsidR="0020723A" w:rsidRPr="00987C38" w:rsidRDefault="0020723A" w:rsidP="0020723A">
      <w:pPr>
        <w:spacing w:line="240" w:lineRule="auto"/>
        <w:rPr>
          <w:b/>
          <w:bCs/>
          <w:sz w:val="24"/>
          <w:szCs w:val="24"/>
        </w:rPr>
      </w:pPr>
      <w:r w:rsidRPr="00987C38">
        <w:rPr>
          <w:b/>
          <w:bCs/>
          <w:color w:val="2F5496" w:themeColor="accent1" w:themeShade="BF"/>
          <w:sz w:val="24"/>
          <w:szCs w:val="24"/>
        </w:rPr>
        <w:t xml:space="preserve">Priority Two: </w:t>
      </w:r>
      <w:r w:rsidRPr="00987C38">
        <w:rPr>
          <w:b/>
          <w:bCs/>
          <w:sz w:val="24"/>
          <w:szCs w:val="24"/>
        </w:rPr>
        <w:t xml:space="preserve">Ensure that local people are adequately skilled, prepared and supported for current and upcoming employment opportunities and projects, </w:t>
      </w:r>
      <w:r w:rsidR="007913A6" w:rsidRPr="00987C38">
        <w:rPr>
          <w:b/>
          <w:bCs/>
          <w:sz w:val="24"/>
          <w:szCs w:val="24"/>
        </w:rPr>
        <w:t xml:space="preserve">including addressing </w:t>
      </w:r>
      <w:r w:rsidRPr="00987C38">
        <w:rPr>
          <w:b/>
          <w:bCs/>
          <w:sz w:val="24"/>
          <w:szCs w:val="24"/>
        </w:rPr>
        <w:t>factors impacting on job readiness, such as lack of transport, lack of work experience, justice issues, and drug and alcohol challenges.</w:t>
      </w:r>
    </w:p>
    <w:p w14:paraId="7CBEE420" w14:textId="77777777" w:rsidR="0020723A" w:rsidRPr="00987C38" w:rsidRDefault="0020723A" w:rsidP="0020723A">
      <w:pPr>
        <w:spacing w:line="240" w:lineRule="auto"/>
        <w:rPr>
          <w:b/>
          <w:bCs/>
          <w:u w:val="single"/>
        </w:rPr>
      </w:pPr>
      <w:r w:rsidRPr="00987C38">
        <w:rPr>
          <w:b/>
          <w:bCs/>
          <w:u w:val="single"/>
        </w:rPr>
        <w:t>Strategies</w:t>
      </w:r>
    </w:p>
    <w:p w14:paraId="4242A9A5" w14:textId="77777777" w:rsidR="0020723A" w:rsidRPr="00987C38" w:rsidRDefault="0020723A" w:rsidP="00A4664D">
      <w:pPr>
        <w:pStyle w:val="ListParagraph"/>
        <w:numPr>
          <w:ilvl w:val="0"/>
          <w:numId w:val="3"/>
        </w:numPr>
        <w:ind w:left="360"/>
        <w:rPr>
          <w:rFonts w:eastAsiaTheme="minorHAnsi"/>
        </w:rPr>
      </w:pPr>
      <w:r w:rsidRPr="00987C38">
        <w:rPr>
          <w:rFonts w:eastAsiaTheme="minorHAnsi"/>
        </w:rPr>
        <w:t xml:space="preserve">Map out the scope of the challenges facing the local workforce and identify areas of opportunity </w:t>
      </w:r>
    </w:p>
    <w:p w14:paraId="1272E8E6" w14:textId="77777777" w:rsidR="0020723A" w:rsidRPr="00987C38" w:rsidRDefault="0020723A" w:rsidP="00A4664D">
      <w:pPr>
        <w:pStyle w:val="ListParagraph"/>
        <w:numPr>
          <w:ilvl w:val="0"/>
          <w:numId w:val="3"/>
        </w:numPr>
        <w:ind w:left="360"/>
        <w:rPr>
          <w:rFonts w:eastAsiaTheme="minorHAnsi"/>
        </w:rPr>
      </w:pPr>
      <w:r w:rsidRPr="00987C38">
        <w:rPr>
          <w:rFonts w:eastAsiaTheme="minorHAnsi"/>
        </w:rPr>
        <w:t xml:space="preserve">Broker solutions utilising the Local Recovery Fund and other existing programs, to develop projects that will address specific barriers and train and prepare job seekers to meet labour requirements of local employers and industries. </w:t>
      </w:r>
    </w:p>
    <w:p w14:paraId="5D5D7DBE" w14:textId="77777777" w:rsidR="0020723A" w:rsidRPr="00987C38" w:rsidRDefault="0020723A" w:rsidP="0020723A">
      <w:pPr>
        <w:spacing w:line="240" w:lineRule="auto"/>
        <w:rPr>
          <w:b/>
          <w:bCs/>
          <w:u w:val="single"/>
        </w:rPr>
      </w:pPr>
      <w:r w:rsidRPr="00987C38">
        <w:rPr>
          <w:b/>
          <w:bCs/>
          <w:u w:val="single"/>
        </w:rPr>
        <w:t>Stakeholders</w:t>
      </w:r>
    </w:p>
    <w:p w14:paraId="268DB087" w14:textId="3135AFCE" w:rsidR="001303D1" w:rsidRPr="0022689E" w:rsidRDefault="0020723A" w:rsidP="0020723A">
      <w:pPr>
        <w:spacing w:line="240" w:lineRule="auto"/>
      </w:pPr>
      <w:r w:rsidRPr="00987C38">
        <w:t>Employment service</w:t>
      </w:r>
      <w:r w:rsidR="008614F3" w:rsidRPr="00987C38">
        <w:t>s</w:t>
      </w:r>
      <w:r w:rsidRPr="00987C38">
        <w:t xml:space="preserve"> providers, community support services, Employment Facilitator and Local Jobs and Skills Taskforce</w:t>
      </w:r>
      <w:r w:rsidR="009B5328" w:rsidRPr="00987C38">
        <w:t xml:space="preserve">, Kalgoorlie Boulder Chamber of Commerce and Industry, City of Kalgoorlie Boulder, </w:t>
      </w:r>
      <w:bookmarkStart w:id="25" w:name="_Hlk78970016"/>
      <w:r w:rsidR="009B5328" w:rsidRPr="00987C38">
        <w:t>Goldfields Esperance Development Commission, Regional Development Australia</w:t>
      </w:r>
      <w:bookmarkEnd w:id="25"/>
      <w:r w:rsidR="0027515E" w:rsidRPr="00987C38">
        <w:t xml:space="preserve"> Goldfields Esperance</w:t>
      </w:r>
    </w:p>
    <w:p w14:paraId="108B398C" w14:textId="58CF82F4" w:rsidR="0020723A" w:rsidRPr="00987C38" w:rsidRDefault="0020723A" w:rsidP="0020723A">
      <w:pPr>
        <w:spacing w:line="240" w:lineRule="auto"/>
        <w:rPr>
          <w:b/>
          <w:bCs/>
          <w:sz w:val="24"/>
          <w:szCs w:val="24"/>
        </w:rPr>
      </w:pPr>
      <w:r w:rsidRPr="00987C38">
        <w:rPr>
          <w:b/>
          <w:bCs/>
          <w:color w:val="2F5496" w:themeColor="accent1" w:themeShade="BF"/>
          <w:sz w:val="24"/>
          <w:szCs w:val="24"/>
        </w:rPr>
        <w:t xml:space="preserve">Priority Three: </w:t>
      </w:r>
      <w:r w:rsidRPr="00987C38">
        <w:rPr>
          <w:b/>
          <w:bCs/>
          <w:sz w:val="24"/>
          <w:szCs w:val="24"/>
        </w:rPr>
        <w:t xml:space="preserve">Leverage existing </w:t>
      </w:r>
      <w:r w:rsidR="00051DCA" w:rsidRPr="00987C38">
        <w:rPr>
          <w:b/>
          <w:bCs/>
          <w:sz w:val="24"/>
          <w:szCs w:val="24"/>
        </w:rPr>
        <w:t xml:space="preserve">Australian </w:t>
      </w:r>
      <w:r w:rsidRPr="00987C38">
        <w:rPr>
          <w:b/>
          <w:bCs/>
          <w:sz w:val="24"/>
          <w:szCs w:val="24"/>
        </w:rPr>
        <w:t>and WA Government programs, to create pathways into local growth industries, particularly Mining/Resources, Hospitality and Health Care and Social Assistance, with a focus on youth and Indigenous jobseekers.</w:t>
      </w:r>
    </w:p>
    <w:p w14:paraId="482B7791" w14:textId="77777777" w:rsidR="0020723A" w:rsidRPr="00987C38" w:rsidRDefault="0020723A" w:rsidP="0020723A">
      <w:pPr>
        <w:spacing w:line="240" w:lineRule="auto"/>
        <w:rPr>
          <w:b/>
          <w:bCs/>
          <w:u w:val="single"/>
        </w:rPr>
      </w:pPr>
      <w:r w:rsidRPr="00987C38">
        <w:rPr>
          <w:b/>
          <w:bCs/>
          <w:u w:val="single"/>
        </w:rPr>
        <w:t>Strategies</w:t>
      </w:r>
    </w:p>
    <w:p w14:paraId="4696C8FF" w14:textId="220342B5" w:rsidR="0020723A" w:rsidRPr="00987C38" w:rsidRDefault="0020723A" w:rsidP="00A4664D">
      <w:pPr>
        <w:pStyle w:val="ListParagraph"/>
        <w:numPr>
          <w:ilvl w:val="0"/>
          <w:numId w:val="3"/>
        </w:numPr>
        <w:ind w:left="360"/>
        <w:rPr>
          <w:rFonts w:eastAsiaTheme="minorHAnsi"/>
        </w:rPr>
      </w:pPr>
      <w:r w:rsidRPr="00987C38">
        <w:rPr>
          <w:rFonts w:eastAsiaTheme="minorHAnsi"/>
        </w:rPr>
        <w:t>Connect local employment service</w:t>
      </w:r>
      <w:r w:rsidR="008614F3" w:rsidRPr="00987C38">
        <w:rPr>
          <w:rFonts w:eastAsiaTheme="minorHAnsi"/>
        </w:rPr>
        <w:t>s</w:t>
      </w:r>
      <w:r w:rsidRPr="00987C38">
        <w:rPr>
          <w:rFonts w:eastAsiaTheme="minorHAnsi"/>
        </w:rPr>
        <w:t xml:space="preserve"> providers with key representatives of the Mining/Resources, Hospitality, Health Care and Social Assistance industries to develop and promote specific career paths and build aspiration to work within these industries </w:t>
      </w:r>
    </w:p>
    <w:p w14:paraId="06FFF308" w14:textId="703A0AD3" w:rsidR="0020723A" w:rsidRPr="00987C38" w:rsidRDefault="0020723A" w:rsidP="00A4664D">
      <w:pPr>
        <w:pStyle w:val="ListParagraph"/>
        <w:numPr>
          <w:ilvl w:val="0"/>
          <w:numId w:val="3"/>
        </w:numPr>
        <w:ind w:left="360"/>
        <w:rPr>
          <w:rFonts w:eastAsiaTheme="minorHAnsi"/>
        </w:rPr>
      </w:pPr>
      <w:r w:rsidRPr="00987C38">
        <w:rPr>
          <w:rFonts w:eastAsiaTheme="minorHAnsi"/>
        </w:rPr>
        <w:t xml:space="preserve">Identify transferable skills across industries to open alternate pathways </w:t>
      </w:r>
    </w:p>
    <w:p w14:paraId="241B278A" w14:textId="77777777" w:rsidR="0020723A" w:rsidRPr="00987C38" w:rsidRDefault="0020723A" w:rsidP="00A4664D">
      <w:pPr>
        <w:pStyle w:val="ListParagraph"/>
        <w:numPr>
          <w:ilvl w:val="0"/>
          <w:numId w:val="3"/>
        </w:numPr>
        <w:ind w:left="360"/>
        <w:rPr>
          <w:rFonts w:eastAsiaTheme="minorHAnsi"/>
        </w:rPr>
      </w:pPr>
      <w:r w:rsidRPr="00987C38">
        <w:rPr>
          <w:rFonts w:eastAsiaTheme="minorHAnsi"/>
        </w:rPr>
        <w:t>Engage youth and Indigenous support services in workforce development appropriate and specific to these cohorts</w:t>
      </w:r>
    </w:p>
    <w:p w14:paraId="40C8A45C" w14:textId="77777777" w:rsidR="0020723A" w:rsidRPr="00987C38" w:rsidRDefault="0020723A" w:rsidP="0020723A">
      <w:pPr>
        <w:spacing w:line="240" w:lineRule="auto"/>
        <w:rPr>
          <w:b/>
          <w:bCs/>
          <w:u w:val="single"/>
        </w:rPr>
      </w:pPr>
      <w:r w:rsidRPr="00987C38">
        <w:rPr>
          <w:b/>
          <w:bCs/>
          <w:u w:val="single"/>
        </w:rPr>
        <w:lastRenderedPageBreak/>
        <w:t>Stakeholders</w:t>
      </w:r>
    </w:p>
    <w:p w14:paraId="6A53F046" w14:textId="4E0279E6" w:rsidR="0022689E" w:rsidRPr="0022689E" w:rsidRDefault="006E4996" w:rsidP="0020723A">
      <w:pPr>
        <w:spacing w:line="240" w:lineRule="auto"/>
      </w:pPr>
      <w:r w:rsidRPr="00987C38">
        <w:t xml:space="preserve">jobactive, </w:t>
      </w:r>
      <w:r w:rsidR="0020723A" w:rsidRPr="00987C38">
        <w:t xml:space="preserve">Transition to Work </w:t>
      </w:r>
      <w:r w:rsidRPr="00987C38">
        <w:t xml:space="preserve">and ParentsNext </w:t>
      </w:r>
      <w:r w:rsidR="0020723A" w:rsidRPr="00987C38">
        <w:t xml:space="preserve">providers, Department of Education (state), high schools, </w:t>
      </w:r>
      <w:r w:rsidR="00FA1303" w:rsidRPr="00987C38">
        <w:t xml:space="preserve">Central Regional </w:t>
      </w:r>
      <w:r w:rsidR="0020723A" w:rsidRPr="00987C38">
        <w:t xml:space="preserve">TAFE, Chamber of Minerals and Energy, Kalgoorlie Boulder Chamber of Commerce and Industry, Australian Hoteliers Association, Aged and Community Services Australia, </w:t>
      </w:r>
      <w:r w:rsidR="002845C4" w:rsidRPr="00987C38">
        <w:t xml:space="preserve">WA Department of Training and Workforce Development, </w:t>
      </w:r>
      <w:r w:rsidR="005E78E1" w:rsidRPr="00987C38">
        <w:t>Goldfields Esperance Development Commission, Regional Development Australia</w:t>
      </w:r>
      <w:r w:rsidR="0027515E" w:rsidRPr="00987C38">
        <w:t xml:space="preserve"> Goldfields Esperance</w:t>
      </w:r>
      <w:r w:rsidR="005E78E1" w:rsidRPr="00987C38">
        <w:t xml:space="preserve">, </w:t>
      </w:r>
      <w:r w:rsidR="0020723A" w:rsidRPr="00987C38">
        <w:t>Building Local Care Workforce Advisory Group, Wirrpanda Foundation</w:t>
      </w:r>
      <w:r w:rsidRPr="00987C38">
        <w:t xml:space="preserve"> (VTEC)</w:t>
      </w:r>
      <w:r w:rsidR="0020723A" w:rsidRPr="00987C38">
        <w:t>, National Indigenous Australians Agency, Aboriginal employers and community organisations</w:t>
      </w:r>
    </w:p>
    <w:p w14:paraId="12052B14" w14:textId="77777777" w:rsidR="0020723A" w:rsidRPr="00987C38" w:rsidRDefault="0020723A" w:rsidP="0020723A">
      <w:pPr>
        <w:spacing w:line="240" w:lineRule="auto"/>
        <w:rPr>
          <w:b/>
          <w:bCs/>
          <w:sz w:val="24"/>
          <w:szCs w:val="24"/>
        </w:rPr>
      </w:pPr>
      <w:r w:rsidRPr="00987C38">
        <w:rPr>
          <w:b/>
          <w:bCs/>
          <w:color w:val="2F5496" w:themeColor="accent1" w:themeShade="BF"/>
          <w:sz w:val="24"/>
          <w:szCs w:val="24"/>
        </w:rPr>
        <w:t xml:space="preserve">Priority Four: </w:t>
      </w:r>
      <w:r w:rsidRPr="00987C38">
        <w:rPr>
          <w:b/>
          <w:bCs/>
          <w:sz w:val="24"/>
          <w:szCs w:val="24"/>
        </w:rPr>
        <w:t xml:space="preserve">Optimise communication and engagement with long term unemployed job seekers on education, </w:t>
      </w:r>
      <w:proofErr w:type="gramStart"/>
      <w:r w:rsidRPr="00987C38">
        <w:rPr>
          <w:b/>
          <w:bCs/>
          <w:sz w:val="24"/>
          <w:szCs w:val="24"/>
        </w:rPr>
        <w:t>training</w:t>
      </w:r>
      <w:proofErr w:type="gramEnd"/>
      <w:r w:rsidRPr="00987C38">
        <w:rPr>
          <w:b/>
          <w:bCs/>
          <w:sz w:val="24"/>
          <w:szCs w:val="24"/>
        </w:rPr>
        <w:t xml:space="preserve"> and other entry pathways into key local industries.</w:t>
      </w:r>
    </w:p>
    <w:p w14:paraId="6B524DC5" w14:textId="77777777" w:rsidR="0020723A" w:rsidRPr="00987C38" w:rsidRDefault="0020723A" w:rsidP="0020723A">
      <w:pPr>
        <w:spacing w:line="240" w:lineRule="auto"/>
        <w:rPr>
          <w:b/>
          <w:bCs/>
          <w:u w:val="single"/>
        </w:rPr>
      </w:pPr>
      <w:r w:rsidRPr="00987C38">
        <w:rPr>
          <w:b/>
          <w:bCs/>
          <w:u w:val="single"/>
        </w:rPr>
        <w:t>Strategies</w:t>
      </w:r>
    </w:p>
    <w:p w14:paraId="4F7E5E8D" w14:textId="69A9F8CC" w:rsidR="0020723A" w:rsidRPr="00987C38" w:rsidRDefault="0020723A" w:rsidP="0020723A">
      <w:pPr>
        <w:pStyle w:val="ListParagraph"/>
        <w:numPr>
          <w:ilvl w:val="0"/>
          <w:numId w:val="4"/>
        </w:numPr>
        <w:spacing w:line="240" w:lineRule="auto"/>
      </w:pPr>
      <w:bookmarkStart w:id="26" w:name="_Hlk77841476"/>
      <w:r w:rsidRPr="00987C38">
        <w:t>Leverage existing promotion</w:t>
      </w:r>
      <w:r w:rsidR="007913A6" w:rsidRPr="00987C38">
        <w:t xml:space="preserve">al </w:t>
      </w:r>
      <w:r w:rsidRPr="00987C38">
        <w:t>opportunities at events such as Jobs Fairs, expos and employer run industry days</w:t>
      </w:r>
      <w:r w:rsidR="007913A6" w:rsidRPr="00987C38">
        <w:t xml:space="preserve"> and develop new promotional initiatives as guided by the Local Jobs Plan. </w:t>
      </w:r>
      <w:r w:rsidRPr="00987C38">
        <w:t xml:space="preserve"> </w:t>
      </w:r>
    </w:p>
    <w:p w14:paraId="3DFE14EC" w14:textId="77777777" w:rsidR="0020723A" w:rsidRPr="00987C38" w:rsidRDefault="0020723A" w:rsidP="0020723A">
      <w:pPr>
        <w:pStyle w:val="ListParagraph"/>
        <w:numPr>
          <w:ilvl w:val="0"/>
          <w:numId w:val="4"/>
        </w:numPr>
        <w:spacing w:line="240" w:lineRule="auto"/>
      </w:pPr>
      <w:r w:rsidRPr="00987C38">
        <w:t xml:space="preserve">Deliver regular workshops and information sessions to job seekers on current opportunities and support services available. </w:t>
      </w:r>
    </w:p>
    <w:bookmarkEnd w:id="26"/>
    <w:p w14:paraId="5775896F" w14:textId="77777777" w:rsidR="0020723A" w:rsidRPr="00987C38" w:rsidRDefault="0020723A" w:rsidP="0020723A">
      <w:pPr>
        <w:spacing w:line="240" w:lineRule="auto"/>
        <w:rPr>
          <w:b/>
          <w:bCs/>
          <w:u w:val="single"/>
        </w:rPr>
      </w:pPr>
      <w:r w:rsidRPr="00987C38">
        <w:rPr>
          <w:b/>
          <w:bCs/>
          <w:u w:val="single"/>
        </w:rPr>
        <w:t>Stakeholders</w:t>
      </w:r>
    </w:p>
    <w:p w14:paraId="3EB289BB" w14:textId="377868A3" w:rsidR="0020723A" w:rsidRPr="00EE28E0" w:rsidRDefault="0020723A" w:rsidP="00EE28E0">
      <w:pPr>
        <w:spacing w:line="240" w:lineRule="auto"/>
      </w:pPr>
      <w:bookmarkStart w:id="27" w:name="_Hlk77841541"/>
      <w:r w:rsidRPr="00987C38">
        <w:t xml:space="preserve">DESE, </w:t>
      </w:r>
      <w:r w:rsidR="008614F3" w:rsidRPr="00987C38">
        <w:t>Services Australia</w:t>
      </w:r>
      <w:r w:rsidRPr="00987C38">
        <w:t>, Employment Facilitator, Local Jobs and Skills Taskforce, employment service</w:t>
      </w:r>
      <w:r w:rsidR="008614F3" w:rsidRPr="00987C38">
        <w:t>s</w:t>
      </w:r>
      <w:r w:rsidRPr="00987C38">
        <w:t xml:space="preserve"> providers, Jobs and Skills Centre, </w:t>
      </w:r>
      <w:r w:rsidR="002845C4" w:rsidRPr="00987C38">
        <w:t xml:space="preserve">WA Department of Training and Workforce Development, Central Regional </w:t>
      </w:r>
      <w:r w:rsidRPr="00987C38">
        <w:t>TAFE, Kalgoorlie Boulder Chamber of Commerce and Industry</w:t>
      </w:r>
      <w:r w:rsidR="005E78E1" w:rsidRPr="00987C38">
        <w:t>, City of Kalgoorlie Boulder, Goldfields Esperance Development Commission, Regional Development Australia</w:t>
      </w:r>
      <w:r w:rsidR="0027515E" w:rsidRPr="00987C38">
        <w:t xml:space="preserve"> Goldfields Esperance</w:t>
      </w:r>
      <w:bookmarkEnd w:id="27"/>
    </w:p>
    <w:p w14:paraId="625AAFEF" w14:textId="77777777" w:rsidR="0020723A" w:rsidRPr="00987C38" w:rsidRDefault="0020723A" w:rsidP="0020723A">
      <w:pPr>
        <w:rPr>
          <w:color w:val="4472C4" w:themeColor="accent1"/>
        </w:rPr>
      </w:pPr>
    </w:p>
    <w:p w14:paraId="4C1C5E55" w14:textId="77777777" w:rsidR="0020723A" w:rsidRPr="00987C38" w:rsidRDefault="0020723A" w:rsidP="0020723A">
      <w:pPr>
        <w:sectPr w:rsidR="0020723A" w:rsidRPr="00987C38" w:rsidSect="009A0D3F">
          <w:headerReference w:type="default" r:id="rId19"/>
          <w:footerReference w:type="default" r:id="rId20"/>
          <w:type w:val="continuous"/>
          <w:pgSz w:w="11906" w:h="16838"/>
          <w:pgMar w:top="1276" w:right="1418" w:bottom="1135" w:left="1440" w:header="709" w:footer="567" w:gutter="0"/>
          <w:cols w:space="708"/>
          <w:docGrid w:linePitch="360"/>
        </w:sectPr>
      </w:pPr>
    </w:p>
    <w:p w14:paraId="1549D1AF" w14:textId="2A3FEFE2" w:rsidR="0020723A" w:rsidRDefault="008614F3" w:rsidP="008614F3">
      <w:pPr>
        <w:pStyle w:val="Heading1"/>
        <w:spacing w:after="240"/>
        <w:rPr>
          <w:noProof w:val="0"/>
          <w:sz w:val="36"/>
          <w:szCs w:val="36"/>
        </w:rPr>
      </w:pPr>
      <w:bookmarkStart w:id="28" w:name="_Toc79158657"/>
      <w:bookmarkStart w:id="29" w:name="_Toc79411032"/>
      <w:r w:rsidRPr="00987C38">
        <w:rPr>
          <w:noProof w:val="0"/>
          <w:sz w:val="36"/>
          <w:szCs w:val="36"/>
        </w:rPr>
        <w:lastRenderedPageBreak/>
        <w:t xml:space="preserve">Attachment B – Labour Market Data Dashboard </w:t>
      </w:r>
      <w:r w:rsidR="00510C1E">
        <w:rPr>
          <w:noProof w:val="0"/>
          <w:sz w:val="36"/>
          <w:szCs w:val="36"/>
        </w:rPr>
        <w:t>(April</w:t>
      </w:r>
      <w:r w:rsidR="00D90A53">
        <w:rPr>
          <w:noProof w:val="0"/>
          <w:sz w:val="36"/>
          <w:szCs w:val="36"/>
        </w:rPr>
        <w:t xml:space="preserve"> </w:t>
      </w:r>
      <w:r w:rsidRPr="00987C38">
        <w:rPr>
          <w:noProof w:val="0"/>
          <w:sz w:val="36"/>
          <w:szCs w:val="36"/>
        </w:rPr>
        <w:t>20</w:t>
      </w:r>
      <w:r w:rsidR="00D90A53">
        <w:rPr>
          <w:noProof w:val="0"/>
          <w:sz w:val="36"/>
          <w:szCs w:val="36"/>
        </w:rPr>
        <w:t>22</w:t>
      </w:r>
      <w:r w:rsidRPr="00987C38">
        <w:rPr>
          <w:noProof w:val="0"/>
          <w:sz w:val="36"/>
          <w:szCs w:val="36"/>
        </w:rPr>
        <w:t>)</w:t>
      </w:r>
      <w:bookmarkEnd w:id="28"/>
      <w:bookmarkEnd w:id="29"/>
    </w:p>
    <w:p w14:paraId="13F2711A" w14:textId="723A42F2" w:rsidR="003972DF" w:rsidRPr="003972DF" w:rsidRDefault="00476D86" w:rsidP="003972DF">
      <w:r>
        <w:object w:dxaOrig="14292" w:dyaOrig="10104" w14:anchorId="7F9D3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Labour Market Data Dashboard was published in April 2022 and provides a summary of the key indicators for the Kalgoorlie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style="width:590.25pt;height:417pt" o:ole="">
            <v:imagedata r:id="rId21" o:title=""/>
          </v:shape>
          <o:OLEObject Type="Embed" ProgID="AcroExch.Document.DC" ShapeID="_x0000_i1025" DrawAspect="Content" ObjectID="_1716923719" r:id="rId22"/>
        </w:object>
      </w:r>
    </w:p>
    <w:sectPr w:rsidR="003972DF" w:rsidRPr="003972DF" w:rsidSect="004E1E0C">
      <w:pgSz w:w="16838" w:h="11906" w:orient="landscape"/>
      <w:pgMar w:top="1440" w:right="1276" w:bottom="1418" w:left="11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DA89" w14:textId="77777777" w:rsidR="00A47DEA" w:rsidRDefault="00A47DEA" w:rsidP="00705681">
      <w:pPr>
        <w:spacing w:after="0" w:line="240" w:lineRule="auto"/>
      </w:pPr>
      <w:r>
        <w:separator/>
      </w:r>
    </w:p>
  </w:endnote>
  <w:endnote w:type="continuationSeparator" w:id="0">
    <w:p w14:paraId="37B49E76" w14:textId="77777777" w:rsidR="00A47DEA" w:rsidRDefault="00A47DEA" w:rsidP="0070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C138" w14:textId="77777777" w:rsidR="00D90A53" w:rsidRDefault="00D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00A0" w14:textId="77777777" w:rsidR="00D90A53" w:rsidRDefault="00D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55D6" w14:textId="77777777" w:rsidR="00D90A53" w:rsidRDefault="00D90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10346"/>
      <w:docPartObj>
        <w:docPartGallery w:val="Page Numbers (Bottom of Page)"/>
        <w:docPartUnique/>
      </w:docPartObj>
    </w:sdtPr>
    <w:sdtEndPr>
      <w:rPr>
        <w:noProof/>
        <w:color w:val="E7E6E6"/>
      </w:rPr>
    </w:sdtEndPr>
    <w:sdtContent>
      <w:p w14:paraId="0B981F9E" w14:textId="77777777" w:rsidR="006266AF" w:rsidRPr="008D0C0E" w:rsidRDefault="001657E7" w:rsidP="008D0C0E">
        <w:pPr>
          <w:pStyle w:val="Footer"/>
          <w:jc w:val="right"/>
          <w:rPr>
            <w:color w:val="E7E6E6"/>
          </w:rPr>
        </w:pPr>
        <w:r>
          <w:rPr>
            <w:noProof/>
          </w:rPr>
          <w:drawing>
            <wp:anchor distT="0" distB="0" distL="114300" distR="114300" simplePos="0" relativeHeight="251660288" behindDoc="1" locked="0" layoutInCell="1" allowOverlap="1" wp14:anchorId="731F033B" wp14:editId="07CBE353">
              <wp:simplePos x="0" y="0"/>
              <wp:positionH relativeFrom="page">
                <wp:align>right</wp:align>
              </wp:positionH>
              <wp:positionV relativeFrom="paragraph">
                <wp:posOffset>-1098550</wp:posOffset>
              </wp:positionV>
              <wp:extent cx="2517866" cy="179237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3273FB">
          <w:rPr>
            <w:color w:val="E7E6E6"/>
          </w:rPr>
          <w:fldChar w:fldCharType="begin"/>
        </w:r>
        <w:r w:rsidRPr="003273FB">
          <w:rPr>
            <w:color w:val="E7E6E6"/>
          </w:rPr>
          <w:instrText xml:space="preserve"> PAGE   \* MERGEFORMAT </w:instrText>
        </w:r>
        <w:r w:rsidRPr="003273FB">
          <w:rPr>
            <w:color w:val="E7E6E6"/>
          </w:rPr>
          <w:fldChar w:fldCharType="separate"/>
        </w:r>
        <w:r w:rsidRPr="003273FB">
          <w:rPr>
            <w:noProof/>
            <w:color w:val="E7E6E6"/>
          </w:rPr>
          <w:t>2</w:t>
        </w:r>
        <w:r w:rsidRPr="003273FB">
          <w:rPr>
            <w:noProof/>
            <w:color w:val="E7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AFE6" w14:textId="77777777" w:rsidR="00A47DEA" w:rsidRDefault="00A47DEA" w:rsidP="00705681">
      <w:pPr>
        <w:spacing w:after="0" w:line="240" w:lineRule="auto"/>
      </w:pPr>
      <w:r>
        <w:separator/>
      </w:r>
    </w:p>
  </w:footnote>
  <w:footnote w:type="continuationSeparator" w:id="0">
    <w:p w14:paraId="7FF99EFA" w14:textId="77777777" w:rsidR="00A47DEA" w:rsidRDefault="00A47DEA" w:rsidP="00705681">
      <w:pPr>
        <w:spacing w:after="0" w:line="240" w:lineRule="auto"/>
      </w:pPr>
      <w:r>
        <w:continuationSeparator/>
      </w:r>
    </w:p>
  </w:footnote>
  <w:footnote w:id="1">
    <w:p w14:paraId="2C29FDD4" w14:textId="77777777" w:rsidR="005E128A" w:rsidRPr="00705681" w:rsidRDefault="005E128A" w:rsidP="005E128A">
      <w:pPr>
        <w:pStyle w:val="FootnoteText"/>
        <w:rPr>
          <w:sz w:val="18"/>
          <w:szCs w:val="18"/>
        </w:rPr>
      </w:pPr>
      <w:r w:rsidRPr="00705681">
        <w:rPr>
          <w:rStyle w:val="FootnoteReference"/>
          <w:sz w:val="18"/>
          <w:szCs w:val="18"/>
        </w:rPr>
        <w:footnoteRef/>
      </w:r>
      <w:r w:rsidRPr="00705681">
        <w:rPr>
          <w:sz w:val="18"/>
          <w:szCs w:val="18"/>
        </w:rPr>
        <w:t xml:space="preserve"> Note: The Kalgoorlie Region falls within the SA4 Western Australia – Outback (North and South). This SA4 is very large and covers much of regional and remote WA, including Kalgoorlie, Esperance, Geraldton and Broome. While the WA Outback SA4 is not a good fit for this Employment Region it is the only data readily available at present.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86FB" w14:textId="77777777" w:rsidR="00D90A53" w:rsidRDefault="00D9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5C75" w14:textId="77777777" w:rsidR="006266AF" w:rsidRDefault="001657E7" w:rsidP="009B031C">
    <w:pPr>
      <w:pStyle w:val="Header"/>
    </w:pPr>
    <w:r>
      <w:rPr>
        <w:noProof/>
        <w:lang w:eastAsia="en-AU"/>
      </w:rPr>
      <w:drawing>
        <wp:anchor distT="0" distB="0" distL="114300" distR="114300" simplePos="0" relativeHeight="251659264" behindDoc="1" locked="0" layoutInCell="1" allowOverlap="1" wp14:anchorId="6834F754" wp14:editId="53014774">
          <wp:simplePos x="0" y="0"/>
          <wp:positionH relativeFrom="page">
            <wp:posOffset>118110</wp:posOffset>
          </wp:positionH>
          <wp:positionV relativeFrom="paragraph">
            <wp:posOffset>-442595</wp:posOffset>
          </wp:positionV>
          <wp:extent cx="7437528" cy="3610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A902" w14:textId="77777777" w:rsidR="00D90A53" w:rsidRDefault="00D90A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D89E" w14:textId="77777777" w:rsidR="006266AF" w:rsidRPr="00E36599" w:rsidRDefault="00277823" w:rsidP="00E3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124"/>
    <w:multiLevelType w:val="multilevel"/>
    <w:tmpl w:val="BDECAA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35A31"/>
    <w:multiLevelType w:val="hybridMultilevel"/>
    <w:tmpl w:val="BF36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DE7A9A"/>
    <w:multiLevelType w:val="hybridMultilevel"/>
    <w:tmpl w:val="AD229E0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D75426C"/>
    <w:multiLevelType w:val="hybridMultilevel"/>
    <w:tmpl w:val="E4AC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D8515F"/>
    <w:multiLevelType w:val="hybridMultilevel"/>
    <w:tmpl w:val="05BC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3A"/>
    <w:rsid w:val="0000045E"/>
    <w:rsid w:val="00005D8F"/>
    <w:rsid w:val="00016973"/>
    <w:rsid w:val="00024FEE"/>
    <w:rsid w:val="0003620F"/>
    <w:rsid w:val="00040083"/>
    <w:rsid w:val="00041364"/>
    <w:rsid w:val="00045B5C"/>
    <w:rsid w:val="00051134"/>
    <w:rsid w:val="00051DCA"/>
    <w:rsid w:val="00054270"/>
    <w:rsid w:val="000566D8"/>
    <w:rsid w:val="00057F54"/>
    <w:rsid w:val="00060ADA"/>
    <w:rsid w:val="0007375A"/>
    <w:rsid w:val="0008377C"/>
    <w:rsid w:val="00085C73"/>
    <w:rsid w:val="00091064"/>
    <w:rsid w:val="00091C73"/>
    <w:rsid w:val="00093F75"/>
    <w:rsid w:val="0009445F"/>
    <w:rsid w:val="000A5647"/>
    <w:rsid w:val="000B61E4"/>
    <w:rsid w:val="000C41FF"/>
    <w:rsid w:val="000D33FD"/>
    <w:rsid w:val="000E2352"/>
    <w:rsid w:val="000E44B7"/>
    <w:rsid w:val="000F2CE2"/>
    <w:rsid w:val="000F473D"/>
    <w:rsid w:val="00101B12"/>
    <w:rsid w:val="00102874"/>
    <w:rsid w:val="00120FC4"/>
    <w:rsid w:val="00121210"/>
    <w:rsid w:val="00121315"/>
    <w:rsid w:val="001232B1"/>
    <w:rsid w:val="001303D1"/>
    <w:rsid w:val="001363FD"/>
    <w:rsid w:val="00137F08"/>
    <w:rsid w:val="00147F3C"/>
    <w:rsid w:val="00151481"/>
    <w:rsid w:val="0015512C"/>
    <w:rsid w:val="00156B15"/>
    <w:rsid w:val="001570BF"/>
    <w:rsid w:val="00162DA9"/>
    <w:rsid w:val="00163BCD"/>
    <w:rsid w:val="001657E7"/>
    <w:rsid w:val="00183343"/>
    <w:rsid w:val="001A3444"/>
    <w:rsid w:val="001A72BE"/>
    <w:rsid w:val="001A7BE1"/>
    <w:rsid w:val="001B243E"/>
    <w:rsid w:val="001B5514"/>
    <w:rsid w:val="001B7633"/>
    <w:rsid w:val="001C1698"/>
    <w:rsid w:val="001C7A27"/>
    <w:rsid w:val="001D0EEE"/>
    <w:rsid w:val="001E1E42"/>
    <w:rsid w:val="001E5170"/>
    <w:rsid w:val="001F08C9"/>
    <w:rsid w:val="001F19EF"/>
    <w:rsid w:val="0020723A"/>
    <w:rsid w:val="00207724"/>
    <w:rsid w:val="00210D8D"/>
    <w:rsid w:val="00215894"/>
    <w:rsid w:val="00222F82"/>
    <w:rsid w:val="00223475"/>
    <w:rsid w:val="0022689E"/>
    <w:rsid w:val="00233959"/>
    <w:rsid w:val="00252CA7"/>
    <w:rsid w:val="00254D71"/>
    <w:rsid w:val="00255354"/>
    <w:rsid w:val="00265A19"/>
    <w:rsid w:val="00267630"/>
    <w:rsid w:val="0027515E"/>
    <w:rsid w:val="00277823"/>
    <w:rsid w:val="00281DFE"/>
    <w:rsid w:val="002845C4"/>
    <w:rsid w:val="00286212"/>
    <w:rsid w:val="00290DB6"/>
    <w:rsid w:val="002A178C"/>
    <w:rsid w:val="002A1D4C"/>
    <w:rsid w:val="002A2E39"/>
    <w:rsid w:val="002A423C"/>
    <w:rsid w:val="002A7B41"/>
    <w:rsid w:val="002A7BCB"/>
    <w:rsid w:val="002B279A"/>
    <w:rsid w:val="002C09D1"/>
    <w:rsid w:val="002D027F"/>
    <w:rsid w:val="002D180A"/>
    <w:rsid w:val="002E229A"/>
    <w:rsid w:val="002F17EB"/>
    <w:rsid w:val="002F3D4B"/>
    <w:rsid w:val="00310F45"/>
    <w:rsid w:val="003143D9"/>
    <w:rsid w:val="00317B4E"/>
    <w:rsid w:val="00321EAE"/>
    <w:rsid w:val="0033347A"/>
    <w:rsid w:val="00333C1A"/>
    <w:rsid w:val="00341487"/>
    <w:rsid w:val="0034495C"/>
    <w:rsid w:val="00352E8F"/>
    <w:rsid w:val="00365094"/>
    <w:rsid w:val="003847EC"/>
    <w:rsid w:val="00391EF4"/>
    <w:rsid w:val="00394113"/>
    <w:rsid w:val="003972DF"/>
    <w:rsid w:val="003A1C3B"/>
    <w:rsid w:val="003A31D4"/>
    <w:rsid w:val="003B029A"/>
    <w:rsid w:val="003C2D7D"/>
    <w:rsid w:val="003C43B2"/>
    <w:rsid w:val="003C4E8B"/>
    <w:rsid w:val="003D1FF6"/>
    <w:rsid w:val="003E344B"/>
    <w:rsid w:val="003F5708"/>
    <w:rsid w:val="004014EC"/>
    <w:rsid w:val="004137F4"/>
    <w:rsid w:val="00420CF1"/>
    <w:rsid w:val="00434A2A"/>
    <w:rsid w:val="0044104E"/>
    <w:rsid w:val="00446091"/>
    <w:rsid w:val="004477F5"/>
    <w:rsid w:val="004504A0"/>
    <w:rsid w:val="00453EA0"/>
    <w:rsid w:val="004550B0"/>
    <w:rsid w:val="00456062"/>
    <w:rsid w:val="00456466"/>
    <w:rsid w:val="00470176"/>
    <w:rsid w:val="00473B03"/>
    <w:rsid w:val="004754C4"/>
    <w:rsid w:val="00476D86"/>
    <w:rsid w:val="00490F89"/>
    <w:rsid w:val="00495A52"/>
    <w:rsid w:val="004A6018"/>
    <w:rsid w:val="004A772F"/>
    <w:rsid w:val="004C202A"/>
    <w:rsid w:val="004D2A51"/>
    <w:rsid w:val="004D394C"/>
    <w:rsid w:val="004E00A5"/>
    <w:rsid w:val="004E2112"/>
    <w:rsid w:val="004E2A5A"/>
    <w:rsid w:val="004E6039"/>
    <w:rsid w:val="004E7F58"/>
    <w:rsid w:val="004F2C2E"/>
    <w:rsid w:val="004F3A0D"/>
    <w:rsid w:val="005057B5"/>
    <w:rsid w:val="00510C1E"/>
    <w:rsid w:val="00530A29"/>
    <w:rsid w:val="00542A7C"/>
    <w:rsid w:val="0054636B"/>
    <w:rsid w:val="00547DCB"/>
    <w:rsid w:val="005500DC"/>
    <w:rsid w:val="005529A7"/>
    <w:rsid w:val="00552E7B"/>
    <w:rsid w:val="00554E4E"/>
    <w:rsid w:val="00561A09"/>
    <w:rsid w:val="00561DA8"/>
    <w:rsid w:val="00562A93"/>
    <w:rsid w:val="00567A20"/>
    <w:rsid w:val="005719AE"/>
    <w:rsid w:val="00573545"/>
    <w:rsid w:val="00581093"/>
    <w:rsid w:val="005840C8"/>
    <w:rsid w:val="00584630"/>
    <w:rsid w:val="005A5CF8"/>
    <w:rsid w:val="005A69A5"/>
    <w:rsid w:val="005B15CF"/>
    <w:rsid w:val="005B69A3"/>
    <w:rsid w:val="005C0461"/>
    <w:rsid w:val="005C0E6D"/>
    <w:rsid w:val="005C1244"/>
    <w:rsid w:val="005C273F"/>
    <w:rsid w:val="005D28AB"/>
    <w:rsid w:val="005D773F"/>
    <w:rsid w:val="005E128A"/>
    <w:rsid w:val="005E750F"/>
    <w:rsid w:val="005E78E1"/>
    <w:rsid w:val="005F2B38"/>
    <w:rsid w:val="005F5666"/>
    <w:rsid w:val="005F7F6A"/>
    <w:rsid w:val="00605BD5"/>
    <w:rsid w:val="00607553"/>
    <w:rsid w:val="006325F2"/>
    <w:rsid w:val="00634B25"/>
    <w:rsid w:val="00641858"/>
    <w:rsid w:val="006472CD"/>
    <w:rsid w:val="00660339"/>
    <w:rsid w:val="00665BE2"/>
    <w:rsid w:val="00670A57"/>
    <w:rsid w:val="00682BD5"/>
    <w:rsid w:val="006861F3"/>
    <w:rsid w:val="006A65A2"/>
    <w:rsid w:val="006A723D"/>
    <w:rsid w:val="006D27E5"/>
    <w:rsid w:val="006E42E5"/>
    <w:rsid w:val="006E4996"/>
    <w:rsid w:val="006E62B1"/>
    <w:rsid w:val="006F37B5"/>
    <w:rsid w:val="006F5641"/>
    <w:rsid w:val="006F6B01"/>
    <w:rsid w:val="00705681"/>
    <w:rsid w:val="00712993"/>
    <w:rsid w:val="007148D6"/>
    <w:rsid w:val="007303E9"/>
    <w:rsid w:val="00763176"/>
    <w:rsid w:val="00764FD3"/>
    <w:rsid w:val="00765481"/>
    <w:rsid w:val="00782260"/>
    <w:rsid w:val="007850B1"/>
    <w:rsid w:val="007913A6"/>
    <w:rsid w:val="00791C8B"/>
    <w:rsid w:val="007A26AA"/>
    <w:rsid w:val="007B5653"/>
    <w:rsid w:val="007C00CF"/>
    <w:rsid w:val="007C2129"/>
    <w:rsid w:val="007C5907"/>
    <w:rsid w:val="007C66B4"/>
    <w:rsid w:val="007E7DB5"/>
    <w:rsid w:val="007F6666"/>
    <w:rsid w:val="0080532B"/>
    <w:rsid w:val="00807757"/>
    <w:rsid w:val="00813026"/>
    <w:rsid w:val="0081512D"/>
    <w:rsid w:val="00816423"/>
    <w:rsid w:val="00823627"/>
    <w:rsid w:val="00832DBF"/>
    <w:rsid w:val="0083696F"/>
    <w:rsid w:val="00842647"/>
    <w:rsid w:val="008508B8"/>
    <w:rsid w:val="00853CDB"/>
    <w:rsid w:val="008602C4"/>
    <w:rsid w:val="008614F3"/>
    <w:rsid w:val="00866B5D"/>
    <w:rsid w:val="00883298"/>
    <w:rsid w:val="0089227B"/>
    <w:rsid w:val="008926EB"/>
    <w:rsid w:val="00892924"/>
    <w:rsid w:val="00894355"/>
    <w:rsid w:val="008B0B48"/>
    <w:rsid w:val="008B698D"/>
    <w:rsid w:val="008D053E"/>
    <w:rsid w:val="008D6051"/>
    <w:rsid w:val="008E327B"/>
    <w:rsid w:val="008F2C52"/>
    <w:rsid w:val="008F6F89"/>
    <w:rsid w:val="008F6FC8"/>
    <w:rsid w:val="009027FD"/>
    <w:rsid w:val="00904377"/>
    <w:rsid w:val="00917DB0"/>
    <w:rsid w:val="009218A0"/>
    <w:rsid w:val="0093703C"/>
    <w:rsid w:val="00941CEB"/>
    <w:rsid w:val="00947D00"/>
    <w:rsid w:val="00950D34"/>
    <w:rsid w:val="0095135F"/>
    <w:rsid w:val="009535B8"/>
    <w:rsid w:val="00956251"/>
    <w:rsid w:val="00964FB9"/>
    <w:rsid w:val="00967D8B"/>
    <w:rsid w:val="00972641"/>
    <w:rsid w:val="00980DE2"/>
    <w:rsid w:val="00985CFF"/>
    <w:rsid w:val="00987C38"/>
    <w:rsid w:val="00992795"/>
    <w:rsid w:val="00994230"/>
    <w:rsid w:val="00996CD8"/>
    <w:rsid w:val="009A4681"/>
    <w:rsid w:val="009A60E8"/>
    <w:rsid w:val="009B2095"/>
    <w:rsid w:val="009B5127"/>
    <w:rsid w:val="009B5328"/>
    <w:rsid w:val="009B724D"/>
    <w:rsid w:val="009C0297"/>
    <w:rsid w:val="009C1A91"/>
    <w:rsid w:val="009C2F96"/>
    <w:rsid w:val="009C3D54"/>
    <w:rsid w:val="009E3BC5"/>
    <w:rsid w:val="009E5D25"/>
    <w:rsid w:val="009F1B09"/>
    <w:rsid w:val="009F381F"/>
    <w:rsid w:val="009F4888"/>
    <w:rsid w:val="00A06CD3"/>
    <w:rsid w:val="00A07B39"/>
    <w:rsid w:val="00A122C9"/>
    <w:rsid w:val="00A16724"/>
    <w:rsid w:val="00A27A70"/>
    <w:rsid w:val="00A34BE2"/>
    <w:rsid w:val="00A4151F"/>
    <w:rsid w:val="00A4664D"/>
    <w:rsid w:val="00A47DEA"/>
    <w:rsid w:val="00A51368"/>
    <w:rsid w:val="00A61D71"/>
    <w:rsid w:val="00A6406A"/>
    <w:rsid w:val="00A6524C"/>
    <w:rsid w:val="00A75D41"/>
    <w:rsid w:val="00A80DED"/>
    <w:rsid w:val="00A931C4"/>
    <w:rsid w:val="00AA7417"/>
    <w:rsid w:val="00AB27FE"/>
    <w:rsid w:val="00AB5EEB"/>
    <w:rsid w:val="00AC3F91"/>
    <w:rsid w:val="00AC44A4"/>
    <w:rsid w:val="00AC60AC"/>
    <w:rsid w:val="00AC6769"/>
    <w:rsid w:val="00AD5C89"/>
    <w:rsid w:val="00AD77D9"/>
    <w:rsid w:val="00AF1089"/>
    <w:rsid w:val="00AF27ED"/>
    <w:rsid w:val="00AF7970"/>
    <w:rsid w:val="00AF7C53"/>
    <w:rsid w:val="00B00F8A"/>
    <w:rsid w:val="00B069E0"/>
    <w:rsid w:val="00B160CD"/>
    <w:rsid w:val="00B16D9F"/>
    <w:rsid w:val="00B25857"/>
    <w:rsid w:val="00B36904"/>
    <w:rsid w:val="00B37473"/>
    <w:rsid w:val="00B43DFB"/>
    <w:rsid w:val="00B5043E"/>
    <w:rsid w:val="00B6159F"/>
    <w:rsid w:val="00B71D65"/>
    <w:rsid w:val="00B74568"/>
    <w:rsid w:val="00B80171"/>
    <w:rsid w:val="00B81875"/>
    <w:rsid w:val="00B93710"/>
    <w:rsid w:val="00B95503"/>
    <w:rsid w:val="00B971BC"/>
    <w:rsid w:val="00BA18BB"/>
    <w:rsid w:val="00BA5A04"/>
    <w:rsid w:val="00BA7ECD"/>
    <w:rsid w:val="00BB0FA7"/>
    <w:rsid w:val="00BB1D29"/>
    <w:rsid w:val="00BB5FA2"/>
    <w:rsid w:val="00BD5086"/>
    <w:rsid w:val="00BE046D"/>
    <w:rsid w:val="00BF6464"/>
    <w:rsid w:val="00C05A9D"/>
    <w:rsid w:val="00C11183"/>
    <w:rsid w:val="00C120E2"/>
    <w:rsid w:val="00C128E9"/>
    <w:rsid w:val="00C14956"/>
    <w:rsid w:val="00C202C1"/>
    <w:rsid w:val="00C20E78"/>
    <w:rsid w:val="00C21E7E"/>
    <w:rsid w:val="00C27073"/>
    <w:rsid w:val="00C32606"/>
    <w:rsid w:val="00C3326E"/>
    <w:rsid w:val="00C47D66"/>
    <w:rsid w:val="00C5507E"/>
    <w:rsid w:val="00C622C5"/>
    <w:rsid w:val="00C67086"/>
    <w:rsid w:val="00C73BDD"/>
    <w:rsid w:val="00C73C25"/>
    <w:rsid w:val="00C83CB4"/>
    <w:rsid w:val="00C8579E"/>
    <w:rsid w:val="00C97A33"/>
    <w:rsid w:val="00CA41C2"/>
    <w:rsid w:val="00CC17A3"/>
    <w:rsid w:val="00CE2B68"/>
    <w:rsid w:val="00CF764B"/>
    <w:rsid w:val="00D10AF3"/>
    <w:rsid w:val="00D25DDD"/>
    <w:rsid w:val="00D4007C"/>
    <w:rsid w:val="00D40B5C"/>
    <w:rsid w:val="00D44CFF"/>
    <w:rsid w:val="00D54C0D"/>
    <w:rsid w:val="00D57192"/>
    <w:rsid w:val="00D6096D"/>
    <w:rsid w:val="00D61890"/>
    <w:rsid w:val="00D621F1"/>
    <w:rsid w:val="00D6789A"/>
    <w:rsid w:val="00D759B6"/>
    <w:rsid w:val="00D76FC4"/>
    <w:rsid w:val="00D80CA0"/>
    <w:rsid w:val="00D857A2"/>
    <w:rsid w:val="00D85EF0"/>
    <w:rsid w:val="00D87218"/>
    <w:rsid w:val="00D87313"/>
    <w:rsid w:val="00D90A53"/>
    <w:rsid w:val="00D92516"/>
    <w:rsid w:val="00DB7145"/>
    <w:rsid w:val="00DC03E5"/>
    <w:rsid w:val="00DD4013"/>
    <w:rsid w:val="00DE3A0F"/>
    <w:rsid w:val="00DE5C99"/>
    <w:rsid w:val="00DF3A7F"/>
    <w:rsid w:val="00DF7394"/>
    <w:rsid w:val="00E03BDA"/>
    <w:rsid w:val="00E0691F"/>
    <w:rsid w:val="00E07E09"/>
    <w:rsid w:val="00E1472F"/>
    <w:rsid w:val="00E16333"/>
    <w:rsid w:val="00E30539"/>
    <w:rsid w:val="00E33590"/>
    <w:rsid w:val="00E353E2"/>
    <w:rsid w:val="00E36599"/>
    <w:rsid w:val="00E468F3"/>
    <w:rsid w:val="00E51D85"/>
    <w:rsid w:val="00E605C3"/>
    <w:rsid w:val="00E62170"/>
    <w:rsid w:val="00E70CEC"/>
    <w:rsid w:val="00E81B89"/>
    <w:rsid w:val="00EA0169"/>
    <w:rsid w:val="00EA27E4"/>
    <w:rsid w:val="00EA3C1C"/>
    <w:rsid w:val="00EB502D"/>
    <w:rsid w:val="00EC055E"/>
    <w:rsid w:val="00EC43A7"/>
    <w:rsid w:val="00EC573A"/>
    <w:rsid w:val="00EC6EA7"/>
    <w:rsid w:val="00EE28E0"/>
    <w:rsid w:val="00EE3FA3"/>
    <w:rsid w:val="00EF1B27"/>
    <w:rsid w:val="00EF2F72"/>
    <w:rsid w:val="00F15BF1"/>
    <w:rsid w:val="00F25ED8"/>
    <w:rsid w:val="00F2745A"/>
    <w:rsid w:val="00F37872"/>
    <w:rsid w:val="00F51650"/>
    <w:rsid w:val="00F64306"/>
    <w:rsid w:val="00F76D0F"/>
    <w:rsid w:val="00F83180"/>
    <w:rsid w:val="00F91650"/>
    <w:rsid w:val="00FA1303"/>
    <w:rsid w:val="00FA4B46"/>
    <w:rsid w:val="00FA69EC"/>
    <w:rsid w:val="00FB01CD"/>
    <w:rsid w:val="00FB1FCA"/>
    <w:rsid w:val="00FC575C"/>
    <w:rsid w:val="00FC6E25"/>
    <w:rsid w:val="00FD4AD5"/>
    <w:rsid w:val="00FD53BC"/>
    <w:rsid w:val="00FD7C64"/>
    <w:rsid w:val="00FE6F7A"/>
    <w:rsid w:val="00FF6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CA1B0"/>
  <w15:chartTrackingRefBased/>
  <w15:docId w15:val="{AC6F392F-C931-4B2E-999F-81DCA0C7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3A"/>
    <w:pPr>
      <w:spacing w:after="200" w:line="276" w:lineRule="auto"/>
    </w:pPr>
    <w:rPr>
      <w:rFonts w:eastAsiaTheme="minorEastAsia"/>
    </w:rPr>
  </w:style>
  <w:style w:type="paragraph" w:styleId="Heading1">
    <w:name w:val="heading 1"/>
    <w:basedOn w:val="Normal"/>
    <w:next w:val="Normal"/>
    <w:link w:val="Heading1Char"/>
    <w:uiPriority w:val="9"/>
    <w:qFormat/>
    <w:rsid w:val="0020723A"/>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20723A"/>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20723A"/>
    <w:pPr>
      <w:spacing w:before="20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A"/>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20723A"/>
    <w:rPr>
      <w:rFonts w:ascii="Calibri" w:eastAsiaTheme="majorEastAsia" w:hAnsi="Calibri" w:cstheme="majorBidi"/>
      <w:b/>
      <w:bCs/>
      <w:color w:val="646363"/>
      <w:sz w:val="28"/>
      <w:szCs w:val="26"/>
    </w:rPr>
  </w:style>
  <w:style w:type="character" w:customStyle="1" w:styleId="Heading3Char">
    <w:name w:val="Heading 3 Char"/>
    <w:basedOn w:val="DefaultParagraphFont"/>
    <w:link w:val="Heading3"/>
    <w:uiPriority w:val="9"/>
    <w:rsid w:val="0020723A"/>
    <w:rPr>
      <w:rFonts w:ascii="Calibri" w:eastAsiaTheme="majorEastAsia" w:hAnsi="Calibri" w:cstheme="majorBidi"/>
      <w:b/>
      <w:bCs/>
    </w:rPr>
  </w:style>
  <w:style w:type="character" w:styleId="Hyperlink">
    <w:name w:val="Hyperlink"/>
    <w:basedOn w:val="DefaultParagraphFont"/>
    <w:uiPriority w:val="99"/>
    <w:unhideWhenUsed/>
    <w:rsid w:val="0020723A"/>
    <w:rPr>
      <w:color w:val="0563C1" w:themeColor="hyperlink"/>
      <w:u w:val="single"/>
    </w:rPr>
  </w:style>
  <w:style w:type="paragraph" w:styleId="Title">
    <w:name w:val="Title"/>
    <w:basedOn w:val="Normal"/>
    <w:next w:val="Normal"/>
    <w:link w:val="TitleChar"/>
    <w:uiPriority w:val="10"/>
    <w:qFormat/>
    <w:rsid w:val="0020723A"/>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20723A"/>
    <w:rPr>
      <w:rFonts w:ascii="Calibri" w:eastAsiaTheme="majorEastAsia" w:hAnsi="Calibri" w:cstheme="majorBidi"/>
      <w:b/>
      <w:spacing w:val="5"/>
      <w:sz w:val="56"/>
      <w:szCs w:val="52"/>
    </w:r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20723A"/>
    <w:pPr>
      <w:ind w:left="720"/>
      <w:contextualSpacing/>
    </w:pPr>
  </w:style>
  <w:style w:type="paragraph" w:styleId="TOCHeading">
    <w:name w:val="TOC Heading"/>
    <w:basedOn w:val="Heading1"/>
    <w:next w:val="Normal"/>
    <w:uiPriority w:val="39"/>
    <w:unhideWhenUsed/>
    <w:qFormat/>
    <w:rsid w:val="0020723A"/>
    <w:pPr>
      <w:outlineLvl w:val="9"/>
    </w:pPr>
    <w:rPr>
      <w:lang w:bidi="en-US"/>
    </w:rPr>
  </w:style>
  <w:style w:type="paragraph" w:styleId="Header">
    <w:name w:val="header"/>
    <w:basedOn w:val="Normal"/>
    <w:link w:val="HeaderChar"/>
    <w:uiPriority w:val="99"/>
    <w:unhideWhenUsed/>
    <w:rsid w:val="00207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23A"/>
    <w:rPr>
      <w:rFonts w:eastAsiaTheme="minorEastAsia"/>
    </w:rPr>
  </w:style>
  <w:style w:type="paragraph" w:styleId="Footer">
    <w:name w:val="footer"/>
    <w:basedOn w:val="Normal"/>
    <w:link w:val="FooterChar"/>
    <w:uiPriority w:val="99"/>
    <w:unhideWhenUsed/>
    <w:rsid w:val="00207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23A"/>
    <w:rPr>
      <w:rFonts w:eastAsiaTheme="minorEastAsia"/>
    </w:rPr>
  </w:style>
  <w:style w:type="paragraph" w:styleId="TOC1">
    <w:name w:val="toc 1"/>
    <w:basedOn w:val="Normal"/>
    <w:next w:val="Normal"/>
    <w:autoRedefine/>
    <w:uiPriority w:val="39"/>
    <w:unhideWhenUsed/>
    <w:rsid w:val="0020723A"/>
    <w:pPr>
      <w:spacing w:after="100"/>
    </w:pPr>
  </w:style>
  <w:style w:type="paragraph" w:styleId="TOC2">
    <w:name w:val="toc 2"/>
    <w:basedOn w:val="Normal"/>
    <w:next w:val="Normal"/>
    <w:autoRedefine/>
    <w:uiPriority w:val="39"/>
    <w:unhideWhenUsed/>
    <w:rsid w:val="00060ADA"/>
    <w:pPr>
      <w:tabs>
        <w:tab w:val="right" w:leader="dot" w:pos="9038"/>
      </w:tabs>
      <w:spacing w:after="100"/>
    </w:pPr>
    <w:rPr>
      <w:rFonts w:eastAsia="Times New Roman"/>
      <w:noProof/>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20723A"/>
    <w:rPr>
      <w:rFonts w:eastAsiaTheme="minorEastAsia"/>
    </w:rPr>
  </w:style>
  <w:style w:type="paragraph" w:styleId="BalloonText">
    <w:name w:val="Balloon Text"/>
    <w:basedOn w:val="Normal"/>
    <w:link w:val="BalloonTextChar"/>
    <w:uiPriority w:val="99"/>
    <w:semiHidden/>
    <w:unhideWhenUsed/>
    <w:rsid w:val="00060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DA"/>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7056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681"/>
    <w:rPr>
      <w:rFonts w:eastAsiaTheme="minorEastAsia"/>
      <w:sz w:val="20"/>
      <w:szCs w:val="20"/>
    </w:rPr>
  </w:style>
  <w:style w:type="character" w:styleId="FootnoteReference">
    <w:name w:val="footnote reference"/>
    <w:basedOn w:val="DefaultParagraphFont"/>
    <w:uiPriority w:val="99"/>
    <w:semiHidden/>
    <w:unhideWhenUsed/>
    <w:rsid w:val="00705681"/>
    <w:rPr>
      <w:vertAlign w:val="superscript"/>
    </w:rPr>
  </w:style>
  <w:style w:type="character" w:styleId="CommentReference">
    <w:name w:val="annotation reference"/>
    <w:basedOn w:val="DefaultParagraphFont"/>
    <w:uiPriority w:val="99"/>
    <w:semiHidden/>
    <w:unhideWhenUsed/>
    <w:rsid w:val="003C4E8B"/>
    <w:rPr>
      <w:sz w:val="16"/>
      <w:szCs w:val="16"/>
    </w:rPr>
  </w:style>
  <w:style w:type="paragraph" w:styleId="CommentText">
    <w:name w:val="annotation text"/>
    <w:basedOn w:val="Normal"/>
    <w:link w:val="CommentTextChar"/>
    <w:uiPriority w:val="99"/>
    <w:unhideWhenUsed/>
    <w:rsid w:val="003C4E8B"/>
    <w:pPr>
      <w:spacing w:line="240" w:lineRule="auto"/>
    </w:pPr>
    <w:rPr>
      <w:sz w:val="20"/>
      <w:szCs w:val="20"/>
    </w:rPr>
  </w:style>
  <w:style w:type="character" w:customStyle="1" w:styleId="CommentTextChar">
    <w:name w:val="Comment Text Char"/>
    <w:basedOn w:val="DefaultParagraphFont"/>
    <w:link w:val="CommentText"/>
    <w:uiPriority w:val="99"/>
    <w:rsid w:val="003C4E8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C4E8B"/>
    <w:rPr>
      <w:b/>
      <w:bCs/>
    </w:rPr>
  </w:style>
  <w:style w:type="character" w:customStyle="1" w:styleId="CommentSubjectChar">
    <w:name w:val="Comment Subject Char"/>
    <w:basedOn w:val="CommentTextChar"/>
    <w:link w:val="CommentSubject"/>
    <w:uiPriority w:val="99"/>
    <w:semiHidden/>
    <w:rsid w:val="003C4E8B"/>
    <w:rPr>
      <w:rFonts w:eastAsiaTheme="minorEastAsia"/>
      <w:b/>
      <w:bCs/>
      <w:sz w:val="20"/>
      <w:szCs w:val="20"/>
    </w:rPr>
  </w:style>
  <w:style w:type="character" w:styleId="Strong">
    <w:name w:val="Strong"/>
    <w:basedOn w:val="DefaultParagraphFont"/>
    <w:uiPriority w:val="22"/>
    <w:qFormat/>
    <w:rsid w:val="009C1A91"/>
    <w:rPr>
      <w:b/>
      <w:bCs/>
    </w:rPr>
  </w:style>
  <w:style w:type="paragraph" w:styleId="Revision">
    <w:name w:val="Revision"/>
    <w:hidden/>
    <w:uiPriority w:val="99"/>
    <w:semiHidden/>
    <w:rsid w:val="009B724D"/>
    <w:pPr>
      <w:spacing w:after="0" w:line="240" w:lineRule="auto"/>
    </w:pPr>
    <w:rPr>
      <w:rFonts w:eastAsiaTheme="minorEastAsia"/>
    </w:rPr>
  </w:style>
  <w:style w:type="paragraph" w:styleId="NormalWeb">
    <w:name w:val="Normal (Web)"/>
    <w:basedOn w:val="Normal"/>
    <w:uiPriority w:val="99"/>
    <w:semiHidden/>
    <w:unhideWhenUsed/>
    <w:rsid w:val="00E51D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1hzxw">
    <w:name w:val="_1hzxw"/>
    <w:basedOn w:val="Normal"/>
    <w:rsid w:val="001A72B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89562">
      <w:bodyDiv w:val="1"/>
      <w:marLeft w:val="0"/>
      <w:marRight w:val="0"/>
      <w:marTop w:val="0"/>
      <w:marBottom w:val="0"/>
      <w:divBdr>
        <w:top w:val="none" w:sz="0" w:space="0" w:color="auto"/>
        <w:left w:val="none" w:sz="0" w:space="0" w:color="auto"/>
        <w:bottom w:val="none" w:sz="0" w:space="0" w:color="auto"/>
        <w:right w:val="none" w:sz="0" w:space="0" w:color="auto"/>
      </w:divBdr>
    </w:div>
    <w:div w:id="1069575470">
      <w:bodyDiv w:val="1"/>
      <w:marLeft w:val="0"/>
      <w:marRight w:val="0"/>
      <w:marTop w:val="0"/>
      <w:marBottom w:val="0"/>
      <w:divBdr>
        <w:top w:val="none" w:sz="0" w:space="0" w:color="auto"/>
        <w:left w:val="none" w:sz="0" w:space="0" w:color="auto"/>
        <w:bottom w:val="none" w:sz="0" w:space="0" w:color="auto"/>
        <w:right w:val="none" w:sz="0" w:space="0" w:color="auto"/>
      </w:divBdr>
    </w:div>
    <w:div w:id="20288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1.bin"/></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65EAD-4531-4642-8F47-1A1F6C367785}">
  <ds:schemaRefs>
    <ds:schemaRef ds:uri="http://schemas.openxmlformats.org/officeDocument/2006/bibliography"/>
  </ds:schemaRefs>
</ds:datastoreItem>
</file>

<file path=customXml/itemProps2.xml><?xml version="1.0" encoding="utf-8"?>
<ds:datastoreItem xmlns:ds="http://schemas.openxmlformats.org/officeDocument/2006/customXml" ds:itemID="{9D44BFB5-5119-486D-BD6E-7FD3AD17F8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A7FFB-59B2-4FDD-8E7E-F3A098093126}">
  <ds:schemaRefs>
    <ds:schemaRef ds:uri="http://schemas.microsoft.com/sharepoint/v3/contenttype/forms"/>
  </ds:schemaRefs>
</ds:datastoreItem>
</file>

<file path=customXml/itemProps4.xml><?xml version="1.0" encoding="utf-8"?>
<ds:datastoreItem xmlns:ds="http://schemas.openxmlformats.org/officeDocument/2006/customXml" ds:itemID="{736B6CA6-2397-4DDE-A85D-9C02DCE68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3383</Words>
  <Characters>20043</Characters>
  <Application>Microsoft Office Word</Application>
  <DocSecurity>0</DocSecurity>
  <Lines>324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HELDT,Joanna</dc:creator>
  <cp:keywords/>
  <dc:description/>
  <cp:lastModifiedBy>BELL,Ellie</cp:lastModifiedBy>
  <cp:revision>7</cp:revision>
  <cp:lastPrinted>2022-06-16T12:28:00Z</cp:lastPrinted>
  <dcterms:created xsi:type="dcterms:W3CDTF">2022-06-01T03:04:00Z</dcterms:created>
  <dcterms:modified xsi:type="dcterms:W3CDTF">2022-06-16T12:28:00Z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2022-05-25T07:23:53Z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b269d15d-2dfa-4f77-a29d-20022e266939</vt:lpwstr>
  </property>
  <property fmtid="{D5CDD505-2E9C-101B-9397-08002B2CF9AE}" pid="8" name="MSIP_Label_79d889eb-932f-4752-8739-64d25806ef64_ContentBits">
    <vt:lpwstr>0</vt:lpwstr>
  </property>
</Properties>
</file>