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002A1461" w:rsidR="00BE7592" w:rsidRPr="0025214E" w:rsidRDefault="0025214E" w:rsidP="00BE7592">
                            <w:pPr>
                              <w:spacing w:after="0" w:line="240" w:lineRule="auto"/>
                              <w:jc w:val="right"/>
                              <w:rPr>
                                <w:rFonts w:ascii="Public Sans" w:hAnsi="Public Sans"/>
                                <w:color w:val="FFFFFF" w:themeColor="background1"/>
                                <w:sz w:val="40"/>
                                <w:szCs w:val="40"/>
                                <w:lang w:val="en-US"/>
                              </w:rPr>
                            </w:pPr>
                            <w:r w:rsidRPr="0025214E">
                              <w:rPr>
                                <w:rFonts w:ascii="Public Sans" w:hAnsi="Public Sans"/>
                                <w:color w:val="FFFFFF" w:themeColor="background1"/>
                                <w:sz w:val="40"/>
                                <w:szCs w:val="40"/>
                                <w:lang w:val="en-US"/>
                              </w:rPr>
                              <w:t xml:space="preserve">Perth </w:t>
                            </w:r>
                            <w:proofErr w:type="gramStart"/>
                            <w:r w:rsidRPr="0025214E">
                              <w:rPr>
                                <w:rFonts w:ascii="Public Sans" w:hAnsi="Public Sans"/>
                                <w:color w:val="FFFFFF" w:themeColor="background1"/>
                                <w:sz w:val="40"/>
                                <w:szCs w:val="40"/>
                                <w:lang w:val="en-US"/>
                              </w:rPr>
                              <w:t>South Western</w:t>
                            </w:r>
                            <w:proofErr w:type="gramEnd"/>
                            <w:r w:rsidR="00A4568F" w:rsidRPr="0025214E">
                              <w:rPr>
                                <w:rFonts w:ascii="Public Sans" w:hAnsi="Public Sans"/>
                                <w:color w:val="FFFFFF" w:themeColor="background1"/>
                                <w:sz w:val="40"/>
                                <w:szCs w:val="40"/>
                                <w:lang w:val="en-US"/>
                              </w:rPr>
                              <w:t xml:space="preserve"> Australia</w:t>
                            </w:r>
                            <w:r w:rsidR="00BE7592" w:rsidRPr="0025214E">
                              <w:rPr>
                                <w:rFonts w:ascii="Public Sans" w:hAnsi="Public Sans"/>
                                <w:color w:val="FFFFFF" w:themeColor="background1"/>
                                <w:sz w:val="40"/>
                                <w:szCs w:val="40"/>
                                <w:lang w:val="en-US"/>
                              </w:rPr>
                              <w:t xml:space="preserve"> Participant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002A1461" w:rsidR="00BE7592" w:rsidRPr="0025214E" w:rsidRDefault="0025214E" w:rsidP="00BE7592">
                      <w:pPr>
                        <w:spacing w:after="0" w:line="240" w:lineRule="auto"/>
                        <w:jc w:val="right"/>
                        <w:rPr>
                          <w:rFonts w:ascii="Public Sans" w:hAnsi="Public Sans"/>
                          <w:color w:val="FFFFFF" w:themeColor="background1"/>
                          <w:sz w:val="40"/>
                          <w:szCs w:val="40"/>
                          <w:lang w:val="en-US"/>
                        </w:rPr>
                      </w:pPr>
                      <w:r w:rsidRPr="0025214E">
                        <w:rPr>
                          <w:rFonts w:ascii="Public Sans" w:hAnsi="Public Sans"/>
                          <w:color w:val="FFFFFF" w:themeColor="background1"/>
                          <w:sz w:val="40"/>
                          <w:szCs w:val="40"/>
                          <w:lang w:val="en-US"/>
                        </w:rPr>
                        <w:t xml:space="preserve">Perth </w:t>
                      </w:r>
                      <w:proofErr w:type="gramStart"/>
                      <w:r w:rsidRPr="0025214E">
                        <w:rPr>
                          <w:rFonts w:ascii="Public Sans" w:hAnsi="Public Sans"/>
                          <w:color w:val="FFFFFF" w:themeColor="background1"/>
                          <w:sz w:val="40"/>
                          <w:szCs w:val="40"/>
                          <w:lang w:val="en-US"/>
                        </w:rPr>
                        <w:t>South Western</w:t>
                      </w:r>
                      <w:proofErr w:type="gramEnd"/>
                      <w:r w:rsidR="00A4568F" w:rsidRPr="0025214E">
                        <w:rPr>
                          <w:rFonts w:ascii="Public Sans" w:hAnsi="Public Sans"/>
                          <w:color w:val="FFFFFF" w:themeColor="background1"/>
                          <w:sz w:val="40"/>
                          <w:szCs w:val="40"/>
                          <w:lang w:val="en-US"/>
                        </w:rPr>
                        <w:t xml:space="preserve"> Australia</w:t>
                      </w:r>
                      <w:r w:rsidR="00BE7592" w:rsidRPr="0025214E">
                        <w:rPr>
                          <w:rFonts w:ascii="Public Sans" w:hAnsi="Public Sans"/>
                          <w:color w:val="FFFFFF" w:themeColor="background1"/>
                          <w:sz w:val="40"/>
                          <w:szCs w:val="40"/>
                          <w:lang w:val="en-US"/>
                        </w:rPr>
                        <w:t xml:space="preserve"> Participant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1C4877"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1C4877"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1C4877"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7CC4573A"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107EAB" w:rsidRPr="001D7E43">
                                    <w:rPr>
                                      <w:rFonts w:ascii="Calibri" w:hAnsi="Calibri" w:cs="Calibri"/>
                                      <w:b/>
                                      <w:bCs/>
                                      <w:sz w:val="17"/>
                                      <w:szCs w:val="17"/>
                                      <w:lang w:val="en-US"/>
                                    </w:rPr>
                                    <w:t>pace</w:t>
                                  </w:r>
                                  <w:r w:rsidR="00107EAB"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4C51E746"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1C4877"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1C4877"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1C4877"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7CC4573A"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107EAB" w:rsidRPr="001D7E43">
                              <w:rPr>
                                <w:rFonts w:ascii="Calibri" w:hAnsi="Calibri" w:cs="Calibri"/>
                                <w:b/>
                                <w:bCs/>
                                <w:sz w:val="17"/>
                                <w:szCs w:val="17"/>
                                <w:lang w:val="en-US"/>
                              </w:rPr>
                              <w:t>pace</w:t>
                            </w:r>
                            <w:r w:rsidR="00107EAB"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4C51E746"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5266" w14:textId="77777777" w:rsidR="00825C70" w:rsidRDefault="00825C70" w:rsidP="000E5CBE">
      <w:pPr>
        <w:spacing w:after="0" w:line="240" w:lineRule="auto"/>
      </w:pPr>
      <w:r>
        <w:separator/>
      </w:r>
    </w:p>
  </w:endnote>
  <w:endnote w:type="continuationSeparator" w:id="0">
    <w:p w14:paraId="42B6E335" w14:textId="77777777" w:rsidR="00825C70" w:rsidRDefault="00825C70"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EFB2" w14:textId="77777777" w:rsidR="00825C70" w:rsidRDefault="00825C70" w:rsidP="000E5CBE">
      <w:pPr>
        <w:spacing w:after="0" w:line="240" w:lineRule="auto"/>
      </w:pPr>
      <w:r>
        <w:separator/>
      </w:r>
    </w:p>
  </w:footnote>
  <w:footnote w:type="continuationSeparator" w:id="0">
    <w:p w14:paraId="78255938" w14:textId="77777777" w:rsidR="00825C70" w:rsidRDefault="00825C70"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33pt;height:32.25pt;visibility:visible;mso-wrap-style:square" o:bullet="t">
        <v:imagedata r:id="rId1" o:title=""/>
        <o:lock v:ext="edit" aspectratio="f"/>
      </v:shape>
    </w:pict>
  </w:numPicBullet>
  <w:numPicBullet w:numPicBulletId="1">
    <w:pict>
      <v:shape w14:anchorId="7EB2A188" id="_x0000_i1240" type="#_x0000_t75" style="width:10.8pt;height:10.8pt;visibility:visible;mso-wrap-style:square" o:bullet="t">
        <v:imagedata r:id="rId2" o:title=""/>
      </v:shape>
    </w:pict>
  </w:numPicBullet>
  <w:numPicBullet w:numPicBulletId="2">
    <w:pict>
      <v:shape w14:anchorId="658C17BD" id="_x0000_i1241" type="#_x0000_t75" style="width:22.5pt;height:24pt;visibility:visible;mso-wrap-style:square" o:bullet="t">
        <v:imagedata r:id="rId3" o:title=""/>
        <o:lock v:ext="edit" aspectratio="f"/>
      </v:shape>
    </w:pict>
  </w:numPicBullet>
  <w:numPicBullet w:numPicBulletId="3">
    <w:pict>
      <v:shape id="_x0000_i1242" type="#_x0000_t75" style="width:32.25pt;height:23.25pt;visibility:visible;mso-wrap-style:square" o:bullet="t">
        <v:imagedata r:id="rId4" o:title=""/>
        <o:lock v:ext="edit" aspectratio="f"/>
      </v:shape>
    </w:pict>
  </w:numPicBullet>
  <w:numPicBullet w:numPicBulletId="4">
    <w:pict>
      <v:shape id="_x0000_i1243" type="#_x0000_t75" style="width:22.5pt;height:24.75pt;visibility:visible;mso-wrap-style:square" o:bullet="t">
        <v:imagedata r:id="rId5" o:title=""/>
        <o:lock v:ext="edit" aspectratio="f"/>
      </v:shape>
    </w:pict>
  </w:numPicBullet>
  <w:numPicBullet w:numPicBulletId="5">
    <w:pict>
      <v:shape id="_x0000_i1244" type="#_x0000_t75" style="width:28.5pt;height:28.5pt;visibility:visible;mso-wrap-style:square" o:bullet="t">
        <v:imagedata r:id="rId6" o:title=""/>
        <o:lock v:ext="edit" aspectratio="f"/>
      </v:shape>
    </w:pict>
  </w:numPicBullet>
  <w:numPicBullet w:numPicBulletId="6">
    <w:pict>
      <v:shape id="_x0000_i1245" type="#_x0000_t75" style="width:27.75pt;height:30pt;visibility:visible;mso-wrap-style:square" o:bullet="t">
        <v:imagedata r:id="rId7" o:title=""/>
        <o:lock v:ext="edit" aspectratio="f"/>
      </v:shape>
    </w:pict>
  </w:numPicBullet>
  <w:numPicBullet w:numPicBulletId="7">
    <w:pict>
      <v:shape id="_x0000_i1246" type="#_x0000_t75" style="width:20.25pt;height:30pt;visibility:visible;mso-wrap-style:square" o:bullet="t">
        <v:imagedata r:id="rId8" o:title=""/>
        <o:lock v:ext="edit" aspectratio="f"/>
      </v:shape>
    </w:pict>
  </w:numPicBullet>
  <w:numPicBullet w:numPicBulletId="8">
    <w:pict>
      <v:shape id="_x0000_i1247"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07EAB"/>
    <w:rsid w:val="0011737C"/>
    <w:rsid w:val="00154266"/>
    <w:rsid w:val="001868D5"/>
    <w:rsid w:val="00197273"/>
    <w:rsid w:val="001B3951"/>
    <w:rsid w:val="001D7E43"/>
    <w:rsid w:val="001F5578"/>
    <w:rsid w:val="0025214E"/>
    <w:rsid w:val="00257297"/>
    <w:rsid w:val="002779B0"/>
    <w:rsid w:val="00336EE5"/>
    <w:rsid w:val="00340DF7"/>
    <w:rsid w:val="00352307"/>
    <w:rsid w:val="0039776A"/>
    <w:rsid w:val="00452AC8"/>
    <w:rsid w:val="0046371E"/>
    <w:rsid w:val="00487B3C"/>
    <w:rsid w:val="004C2536"/>
    <w:rsid w:val="00514E71"/>
    <w:rsid w:val="00570E62"/>
    <w:rsid w:val="00615A58"/>
    <w:rsid w:val="00617DB7"/>
    <w:rsid w:val="00684EE7"/>
    <w:rsid w:val="0068507A"/>
    <w:rsid w:val="0073096F"/>
    <w:rsid w:val="00731792"/>
    <w:rsid w:val="0077269F"/>
    <w:rsid w:val="007C691C"/>
    <w:rsid w:val="007D36DA"/>
    <w:rsid w:val="00825C70"/>
    <w:rsid w:val="00831A94"/>
    <w:rsid w:val="00853E61"/>
    <w:rsid w:val="008542BD"/>
    <w:rsid w:val="008667E5"/>
    <w:rsid w:val="0089645B"/>
    <w:rsid w:val="008D1585"/>
    <w:rsid w:val="008D200E"/>
    <w:rsid w:val="008E6ED5"/>
    <w:rsid w:val="00957241"/>
    <w:rsid w:val="00A173DA"/>
    <w:rsid w:val="00A4568F"/>
    <w:rsid w:val="00AB6592"/>
    <w:rsid w:val="00AD5122"/>
    <w:rsid w:val="00AF548F"/>
    <w:rsid w:val="00B13CFA"/>
    <w:rsid w:val="00B36845"/>
    <w:rsid w:val="00B40B02"/>
    <w:rsid w:val="00B72169"/>
    <w:rsid w:val="00BB2B05"/>
    <w:rsid w:val="00BC39D0"/>
    <w:rsid w:val="00BD3EB0"/>
    <w:rsid w:val="00BE7592"/>
    <w:rsid w:val="00C02EED"/>
    <w:rsid w:val="00C05E5D"/>
    <w:rsid w:val="00C34791"/>
    <w:rsid w:val="00C932AF"/>
    <w:rsid w:val="00CF0F76"/>
    <w:rsid w:val="00D26335"/>
    <w:rsid w:val="00D74F83"/>
    <w:rsid w:val="00DF315F"/>
    <w:rsid w:val="00E429A1"/>
    <w:rsid w:val="00E92123"/>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2025-08-29T00:16:00Z</cp:lastPrinted>
  <dcterms:created xsi:type="dcterms:W3CDTF">2025-08-28T06:23:00Z</dcterms:created>
  <dcterms:modified xsi:type="dcterms:W3CDTF">2025-08-29T00:16:00Z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2025-08-29T00:16:06Z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49944ff9-3499-4fc5-a181-8cbb712675ba</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