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61D06" w14:textId="3BF1EA8B" w:rsidR="00C26290" w:rsidRPr="002F76BC" w:rsidRDefault="0039518B" w:rsidP="002F76BC">
      <w:pPr>
        <w:pStyle w:val="Title"/>
      </w:pPr>
      <w:bookmarkStart w:id="0" w:name="_Toc33496911"/>
      <w:bookmarkStart w:id="1" w:name="_GoBack"/>
      <w:r w:rsidRPr="002F76BC">
        <w:t xml:space="preserve">Deemed Diseases approach - information to support </w:t>
      </w:r>
      <w:r w:rsidR="006E342C" w:rsidRPr="002F76BC">
        <w:t xml:space="preserve">the </w:t>
      </w:r>
      <w:r w:rsidR="004B55ED" w:rsidRPr="002F76BC">
        <w:t>updat</w:t>
      </w:r>
      <w:r w:rsidR="006E342C" w:rsidRPr="002F76BC">
        <w:t>e</w:t>
      </w:r>
      <w:r w:rsidR="004B55ED" w:rsidRPr="002F76BC">
        <w:t xml:space="preserve"> of the </w:t>
      </w:r>
      <w:r w:rsidR="001B26EA" w:rsidRPr="002F76BC">
        <w:t xml:space="preserve">Comcare Scheme's </w:t>
      </w:r>
      <w:r w:rsidR="004B55ED" w:rsidRPr="002F76BC">
        <w:t>current deemed diseases legislative instrument</w:t>
      </w:r>
    </w:p>
    <w:bookmarkEnd w:id="1"/>
    <w:p w14:paraId="0778C863" w14:textId="77777777" w:rsidR="00C26290" w:rsidRPr="002F76BC" w:rsidRDefault="00DF2DDF" w:rsidP="002F76BC">
      <w:pPr>
        <w:pStyle w:val="Title"/>
        <w:spacing w:before="1080"/>
      </w:pPr>
      <w:r w:rsidRPr="002F76BC">
        <w:t>Final</w:t>
      </w:r>
      <w:r w:rsidR="00C955F2" w:rsidRPr="002F76BC">
        <w:t xml:space="preserve"> report</w:t>
      </w:r>
    </w:p>
    <w:p w14:paraId="67E576C2" w14:textId="77777777" w:rsidR="00886959" w:rsidRPr="001566FD" w:rsidRDefault="00886959" w:rsidP="00B74D8C">
      <w:pPr>
        <w:pStyle w:val="FootnoteText"/>
        <w:spacing w:before="2400" w:after="120"/>
        <w:jc w:val="center"/>
        <w:rPr>
          <w:rFonts w:ascii="Verdana" w:hAnsi="Verdana"/>
          <w:b/>
          <w:sz w:val="28"/>
        </w:rPr>
      </w:pPr>
      <w:r w:rsidRPr="001566FD">
        <w:rPr>
          <w:rFonts w:ascii="Verdana" w:hAnsi="Verdana"/>
          <w:b/>
          <w:sz w:val="28"/>
        </w:rPr>
        <w:t>Tim Driscoll</w:t>
      </w:r>
    </w:p>
    <w:p w14:paraId="3D887334" w14:textId="77777777" w:rsidR="00886959" w:rsidRPr="001566FD" w:rsidRDefault="00886959" w:rsidP="00552D58">
      <w:pPr>
        <w:pStyle w:val="FootnoteText"/>
        <w:spacing w:before="600" w:after="120"/>
        <w:jc w:val="center"/>
        <w:rPr>
          <w:rFonts w:ascii="Verdana" w:hAnsi="Verdana"/>
          <w:b/>
          <w:sz w:val="28"/>
        </w:rPr>
      </w:pPr>
      <w:r w:rsidRPr="001566FD">
        <w:rPr>
          <w:rFonts w:ascii="Verdana" w:hAnsi="Verdana"/>
          <w:b/>
          <w:sz w:val="28"/>
        </w:rPr>
        <w:t>ELMATOM Pty Ltd</w:t>
      </w:r>
    </w:p>
    <w:p w14:paraId="0B455C70" w14:textId="77777777" w:rsidR="00886959" w:rsidRPr="001566FD" w:rsidRDefault="006E342C" w:rsidP="00552D58">
      <w:pPr>
        <w:pStyle w:val="PHD-normaltext"/>
        <w:spacing w:before="3240"/>
        <w:jc w:val="center"/>
        <w:rPr>
          <w:b/>
          <w:sz w:val="32"/>
        </w:rPr>
      </w:pPr>
      <w:r>
        <w:rPr>
          <w:b/>
          <w:sz w:val="32"/>
        </w:rPr>
        <w:t>August 2017</w:t>
      </w:r>
    </w:p>
    <w:p w14:paraId="066425E2" w14:textId="1F2DE2ED" w:rsidR="00C26290" w:rsidRPr="0039518B" w:rsidRDefault="00C26290">
      <w:pPr>
        <w:tabs>
          <w:tab w:val="right" w:pos="8222"/>
        </w:tabs>
        <w:spacing w:after="120"/>
        <w:rPr>
          <w:rFonts w:ascii="Arial" w:hAnsi="Arial"/>
          <w:highlight w:val="green"/>
        </w:rPr>
        <w:sectPr w:rsidR="00C26290" w:rsidRPr="0039518B" w:rsidSect="00BA4898">
          <w:footerReference w:type="even" r:id="rId11"/>
          <w:footerReference w:type="default" r:id="rId12"/>
          <w:footnotePr>
            <w:numRestart w:val="eachSect"/>
          </w:footnotePr>
          <w:endnotePr>
            <w:numFmt w:val="decimal"/>
          </w:endnotePr>
          <w:pgSz w:w="11906" w:h="16838"/>
          <w:pgMar w:top="1134" w:right="1134" w:bottom="1134" w:left="1134" w:header="720" w:footer="720" w:gutter="0"/>
          <w:cols w:space="720"/>
        </w:sectPr>
      </w:pPr>
    </w:p>
    <w:p w14:paraId="4B0E0BCB" w14:textId="77777777" w:rsidR="00C26290" w:rsidRPr="002F76BC" w:rsidRDefault="00C26290" w:rsidP="002F76BC">
      <w:pPr>
        <w:pStyle w:val="Heading1"/>
      </w:pPr>
      <w:bookmarkStart w:id="2" w:name="_Toc493068312"/>
      <w:r w:rsidRPr="002F76BC">
        <w:lastRenderedPageBreak/>
        <w:t>TABLE OF CONTENTS</w:t>
      </w:r>
      <w:bookmarkEnd w:id="2"/>
    </w:p>
    <w:p w14:paraId="5DE31999" w14:textId="6A3C0BB6" w:rsidR="00C341EB" w:rsidRDefault="002972A9">
      <w:pPr>
        <w:pStyle w:val="TOC7"/>
        <w:rPr>
          <w:rFonts w:asciiTheme="minorHAnsi" w:eastAsiaTheme="minorEastAsia" w:hAnsiTheme="minorHAnsi" w:cstheme="minorBidi"/>
          <w:b w:val="0"/>
          <w:sz w:val="22"/>
          <w:szCs w:val="22"/>
          <w:lang w:val="en-US"/>
        </w:rPr>
      </w:pPr>
      <w:r w:rsidRPr="0039518B">
        <w:rPr>
          <w:highlight w:val="green"/>
        </w:rPr>
        <w:fldChar w:fldCharType="begin"/>
      </w:r>
      <w:r w:rsidR="00C26290" w:rsidRPr="0039518B">
        <w:rPr>
          <w:highlight w:val="green"/>
        </w:rPr>
        <w:instrText xml:space="preserve"> TOC \o "1-3" \h \z \t "PhD - level 2 heading,8,PHD - chapter heading,6,PhD level one heading,7" </w:instrText>
      </w:r>
      <w:r w:rsidRPr="0039518B">
        <w:rPr>
          <w:highlight w:val="green"/>
        </w:rPr>
        <w:fldChar w:fldCharType="separate"/>
      </w:r>
      <w:hyperlink w:anchor="_Toc493068312" w:history="1">
        <w:r w:rsidR="00C341EB" w:rsidRPr="0067542F">
          <w:rPr>
            <w:rStyle w:val="Hyperlink"/>
          </w:rPr>
          <w:t>TABLE OF CONTENTS</w:t>
        </w:r>
        <w:r w:rsidR="00C341EB">
          <w:rPr>
            <w:webHidden/>
          </w:rPr>
          <w:tab/>
        </w:r>
        <w:r w:rsidR="00C341EB">
          <w:rPr>
            <w:webHidden/>
          </w:rPr>
          <w:fldChar w:fldCharType="begin"/>
        </w:r>
        <w:r w:rsidR="00C341EB">
          <w:rPr>
            <w:webHidden/>
          </w:rPr>
          <w:instrText xml:space="preserve"> PAGEREF _Toc493068312 \h </w:instrText>
        </w:r>
        <w:r w:rsidR="00C341EB">
          <w:rPr>
            <w:webHidden/>
          </w:rPr>
        </w:r>
        <w:r w:rsidR="00C341EB">
          <w:rPr>
            <w:webHidden/>
          </w:rPr>
          <w:fldChar w:fldCharType="separate"/>
        </w:r>
        <w:r w:rsidR="00715C85">
          <w:rPr>
            <w:webHidden/>
          </w:rPr>
          <w:t>ii</w:t>
        </w:r>
        <w:r w:rsidR="00C341EB">
          <w:rPr>
            <w:webHidden/>
          </w:rPr>
          <w:fldChar w:fldCharType="end"/>
        </w:r>
      </w:hyperlink>
    </w:p>
    <w:p w14:paraId="6C59F5AB" w14:textId="11A25713" w:rsidR="00C341EB" w:rsidRDefault="00D11278">
      <w:pPr>
        <w:pStyle w:val="TOC7"/>
        <w:rPr>
          <w:rFonts w:asciiTheme="minorHAnsi" w:eastAsiaTheme="minorEastAsia" w:hAnsiTheme="minorHAnsi" w:cstheme="minorBidi"/>
          <w:b w:val="0"/>
          <w:sz w:val="22"/>
          <w:szCs w:val="22"/>
          <w:lang w:val="en-US"/>
        </w:rPr>
      </w:pPr>
      <w:hyperlink w:anchor="_Toc493068313" w:history="1">
        <w:r w:rsidR="00C341EB" w:rsidRPr="0067542F">
          <w:rPr>
            <w:rStyle w:val="Hyperlink"/>
          </w:rPr>
          <w:t>BACKGROUND OF THE AUTHOR</w:t>
        </w:r>
        <w:r w:rsidR="00C341EB">
          <w:rPr>
            <w:webHidden/>
          </w:rPr>
          <w:tab/>
        </w:r>
        <w:r w:rsidR="00C341EB">
          <w:rPr>
            <w:webHidden/>
          </w:rPr>
          <w:fldChar w:fldCharType="begin"/>
        </w:r>
        <w:r w:rsidR="00C341EB">
          <w:rPr>
            <w:webHidden/>
          </w:rPr>
          <w:instrText xml:space="preserve"> PAGEREF _Toc493068313 \h </w:instrText>
        </w:r>
        <w:r w:rsidR="00C341EB">
          <w:rPr>
            <w:webHidden/>
          </w:rPr>
        </w:r>
        <w:r w:rsidR="00C341EB">
          <w:rPr>
            <w:webHidden/>
          </w:rPr>
          <w:fldChar w:fldCharType="separate"/>
        </w:r>
        <w:r w:rsidR="00715C85">
          <w:rPr>
            <w:webHidden/>
          </w:rPr>
          <w:t>iv</w:t>
        </w:r>
        <w:r w:rsidR="00C341EB">
          <w:rPr>
            <w:webHidden/>
          </w:rPr>
          <w:fldChar w:fldCharType="end"/>
        </w:r>
      </w:hyperlink>
    </w:p>
    <w:p w14:paraId="5232A153" w14:textId="5A9681C5" w:rsidR="00C341EB" w:rsidRDefault="00D11278">
      <w:pPr>
        <w:pStyle w:val="TOC7"/>
        <w:rPr>
          <w:rFonts w:asciiTheme="minorHAnsi" w:eastAsiaTheme="minorEastAsia" w:hAnsiTheme="minorHAnsi" w:cstheme="minorBidi"/>
          <w:b w:val="0"/>
          <w:sz w:val="22"/>
          <w:szCs w:val="22"/>
          <w:lang w:val="en-US"/>
        </w:rPr>
      </w:pPr>
      <w:hyperlink w:anchor="_Toc493068314" w:history="1">
        <w:r w:rsidR="00C341EB" w:rsidRPr="0067542F">
          <w:rPr>
            <w:rStyle w:val="Hyperlink"/>
          </w:rPr>
          <w:t>GLOSSARY</w:t>
        </w:r>
        <w:r w:rsidR="00C341EB">
          <w:rPr>
            <w:webHidden/>
          </w:rPr>
          <w:tab/>
        </w:r>
        <w:r w:rsidR="00C341EB">
          <w:rPr>
            <w:webHidden/>
          </w:rPr>
          <w:fldChar w:fldCharType="begin"/>
        </w:r>
        <w:r w:rsidR="00C341EB">
          <w:rPr>
            <w:webHidden/>
          </w:rPr>
          <w:instrText xml:space="preserve"> PAGEREF _Toc493068314 \h </w:instrText>
        </w:r>
        <w:r w:rsidR="00C341EB">
          <w:rPr>
            <w:webHidden/>
          </w:rPr>
        </w:r>
        <w:r w:rsidR="00C341EB">
          <w:rPr>
            <w:webHidden/>
          </w:rPr>
          <w:fldChar w:fldCharType="separate"/>
        </w:r>
        <w:r w:rsidR="00715C85">
          <w:rPr>
            <w:webHidden/>
          </w:rPr>
          <w:t>v</w:t>
        </w:r>
        <w:r w:rsidR="00C341EB">
          <w:rPr>
            <w:webHidden/>
          </w:rPr>
          <w:fldChar w:fldCharType="end"/>
        </w:r>
      </w:hyperlink>
    </w:p>
    <w:p w14:paraId="7B63BEE5" w14:textId="432DCEFC" w:rsidR="00C341EB" w:rsidRDefault="00D11278">
      <w:pPr>
        <w:pStyle w:val="TOC7"/>
        <w:rPr>
          <w:rFonts w:asciiTheme="minorHAnsi" w:eastAsiaTheme="minorEastAsia" w:hAnsiTheme="minorHAnsi" w:cstheme="minorBidi"/>
          <w:b w:val="0"/>
          <w:sz w:val="22"/>
          <w:szCs w:val="22"/>
          <w:lang w:val="en-US"/>
        </w:rPr>
      </w:pPr>
      <w:hyperlink w:anchor="_Toc493068315" w:history="1">
        <w:r w:rsidR="00C341EB" w:rsidRPr="0067542F">
          <w:rPr>
            <w:rStyle w:val="Hyperlink"/>
          </w:rPr>
          <w:t>EXECUTIVE SUMMARY</w:t>
        </w:r>
        <w:r w:rsidR="00C341EB">
          <w:rPr>
            <w:webHidden/>
          </w:rPr>
          <w:tab/>
        </w:r>
        <w:r w:rsidR="00C341EB">
          <w:rPr>
            <w:webHidden/>
          </w:rPr>
          <w:fldChar w:fldCharType="begin"/>
        </w:r>
        <w:r w:rsidR="00C341EB">
          <w:rPr>
            <w:webHidden/>
          </w:rPr>
          <w:instrText xml:space="preserve"> PAGEREF _Toc493068315 \h </w:instrText>
        </w:r>
        <w:r w:rsidR="00C341EB">
          <w:rPr>
            <w:webHidden/>
          </w:rPr>
        </w:r>
        <w:r w:rsidR="00C341EB">
          <w:rPr>
            <w:webHidden/>
          </w:rPr>
          <w:fldChar w:fldCharType="separate"/>
        </w:r>
        <w:r w:rsidR="00715C85">
          <w:rPr>
            <w:webHidden/>
          </w:rPr>
          <w:t>vi</w:t>
        </w:r>
        <w:r w:rsidR="00C341EB">
          <w:rPr>
            <w:webHidden/>
          </w:rPr>
          <w:fldChar w:fldCharType="end"/>
        </w:r>
      </w:hyperlink>
    </w:p>
    <w:p w14:paraId="3C9F5DEA" w14:textId="401902D0" w:rsidR="00C341EB" w:rsidRDefault="00D11278">
      <w:pPr>
        <w:pStyle w:val="TOC6"/>
        <w:rPr>
          <w:rFonts w:asciiTheme="minorHAnsi" w:eastAsiaTheme="minorEastAsia" w:hAnsiTheme="minorHAnsi" w:cstheme="minorBidi"/>
          <w:b w:val="0"/>
          <w:smallCaps w:val="0"/>
          <w:sz w:val="22"/>
          <w:szCs w:val="22"/>
        </w:rPr>
      </w:pPr>
      <w:hyperlink w:anchor="_Toc493068316" w:history="1">
        <w:r w:rsidR="00C341EB" w:rsidRPr="0067542F">
          <w:rPr>
            <w:rStyle w:val="Hyperlink"/>
          </w:rPr>
          <w:t>1.</w:t>
        </w:r>
        <w:r w:rsidR="00C341EB">
          <w:rPr>
            <w:rFonts w:asciiTheme="minorHAnsi" w:eastAsiaTheme="minorEastAsia" w:hAnsiTheme="minorHAnsi" w:cstheme="minorBidi"/>
            <w:b w:val="0"/>
            <w:smallCaps w:val="0"/>
            <w:sz w:val="22"/>
            <w:szCs w:val="22"/>
          </w:rPr>
          <w:tab/>
        </w:r>
        <w:r w:rsidR="00C341EB" w:rsidRPr="0067542F">
          <w:rPr>
            <w:rStyle w:val="Hyperlink"/>
          </w:rPr>
          <w:t>INTRODUCTION</w:t>
        </w:r>
        <w:r w:rsidR="00C341EB">
          <w:rPr>
            <w:webHidden/>
          </w:rPr>
          <w:tab/>
        </w:r>
        <w:r w:rsidR="00C341EB">
          <w:rPr>
            <w:webHidden/>
          </w:rPr>
          <w:fldChar w:fldCharType="begin"/>
        </w:r>
        <w:r w:rsidR="00C341EB">
          <w:rPr>
            <w:webHidden/>
          </w:rPr>
          <w:instrText xml:space="preserve"> PAGEREF _Toc493068316 \h </w:instrText>
        </w:r>
        <w:r w:rsidR="00C341EB">
          <w:rPr>
            <w:webHidden/>
          </w:rPr>
        </w:r>
        <w:r w:rsidR="00C341EB">
          <w:rPr>
            <w:webHidden/>
          </w:rPr>
          <w:fldChar w:fldCharType="separate"/>
        </w:r>
        <w:r w:rsidR="00715C85">
          <w:rPr>
            <w:webHidden/>
          </w:rPr>
          <w:t>7</w:t>
        </w:r>
        <w:r w:rsidR="00C341EB">
          <w:rPr>
            <w:webHidden/>
          </w:rPr>
          <w:fldChar w:fldCharType="end"/>
        </w:r>
      </w:hyperlink>
    </w:p>
    <w:p w14:paraId="48E2A41D" w14:textId="497EF4E7" w:rsidR="00C341EB" w:rsidRDefault="00D11278">
      <w:pPr>
        <w:pStyle w:val="TOC6"/>
        <w:rPr>
          <w:rFonts w:asciiTheme="minorHAnsi" w:eastAsiaTheme="minorEastAsia" w:hAnsiTheme="minorHAnsi" w:cstheme="minorBidi"/>
          <w:b w:val="0"/>
          <w:smallCaps w:val="0"/>
          <w:sz w:val="22"/>
          <w:szCs w:val="22"/>
        </w:rPr>
      </w:pPr>
      <w:hyperlink w:anchor="_Toc493068317" w:history="1">
        <w:r w:rsidR="00C341EB" w:rsidRPr="0067542F">
          <w:rPr>
            <w:rStyle w:val="Hyperlink"/>
          </w:rPr>
          <w:t>2.</w:t>
        </w:r>
        <w:r w:rsidR="00C341EB">
          <w:rPr>
            <w:rFonts w:asciiTheme="minorHAnsi" w:eastAsiaTheme="minorEastAsia" w:hAnsiTheme="minorHAnsi" w:cstheme="minorBidi"/>
            <w:b w:val="0"/>
            <w:smallCaps w:val="0"/>
            <w:sz w:val="22"/>
            <w:szCs w:val="22"/>
          </w:rPr>
          <w:tab/>
        </w:r>
        <w:r w:rsidR="00C341EB" w:rsidRPr="0067542F">
          <w:rPr>
            <w:rStyle w:val="Hyperlink"/>
          </w:rPr>
          <w:t>APPROACH</w:t>
        </w:r>
        <w:r w:rsidR="00C341EB">
          <w:rPr>
            <w:webHidden/>
          </w:rPr>
          <w:tab/>
        </w:r>
        <w:r w:rsidR="00C341EB">
          <w:rPr>
            <w:webHidden/>
          </w:rPr>
          <w:fldChar w:fldCharType="begin"/>
        </w:r>
        <w:r w:rsidR="00C341EB">
          <w:rPr>
            <w:webHidden/>
          </w:rPr>
          <w:instrText xml:space="preserve"> PAGEREF _Toc493068317 \h </w:instrText>
        </w:r>
        <w:r w:rsidR="00C341EB">
          <w:rPr>
            <w:webHidden/>
          </w:rPr>
        </w:r>
        <w:r w:rsidR="00C341EB">
          <w:rPr>
            <w:webHidden/>
          </w:rPr>
          <w:fldChar w:fldCharType="separate"/>
        </w:r>
        <w:r w:rsidR="00715C85">
          <w:rPr>
            <w:webHidden/>
          </w:rPr>
          <w:t>8</w:t>
        </w:r>
        <w:r w:rsidR="00C341EB">
          <w:rPr>
            <w:webHidden/>
          </w:rPr>
          <w:fldChar w:fldCharType="end"/>
        </w:r>
      </w:hyperlink>
    </w:p>
    <w:p w14:paraId="39BEB8AA" w14:textId="019EB642" w:rsidR="00C341EB" w:rsidRDefault="00D11278">
      <w:pPr>
        <w:pStyle w:val="TOC6"/>
        <w:rPr>
          <w:rFonts w:asciiTheme="minorHAnsi" w:eastAsiaTheme="minorEastAsia" w:hAnsiTheme="minorHAnsi" w:cstheme="minorBidi"/>
          <w:b w:val="0"/>
          <w:smallCaps w:val="0"/>
          <w:sz w:val="22"/>
          <w:szCs w:val="22"/>
        </w:rPr>
      </w:pPr>
      <w:hyperlink w:anchor="_Toc493068318" w:history="1">
        <w:r w:rsidR="00C341EB" w:rsidRPr="0067542F">
          <w:rPr>
            <w:rStyle w:val="Hyperlink"/>
          </w:rPr>
          <w:t>3.</w:t>
        </w:r>
        <w:r w:rsidR="00C341EB">
          <w:rPr>
            <w:rFonts w:asciiTheme="minorHAnsi" w:eastAsiaTheme="minorEastAsia" w:hAnsiTheme="minorHAnsi" w:cstheme="minorBidi"/>
            <w:b w:val="0"/>
            <w:smallCaps w:val="0"/>
            <w:sz w:val="22"/>
            <w:szCs w:val="22"/>
          </w:rPr>
          <w:tab/>
        </w:r>
        <w:r w:rsidR="00C341EB" w:rsidRPr="0067542F">
          <w:rPr>
            <w:rStyle w:val="Hyperlink"/>
          </w:rPr>
          <w:t>RELATIVE RISKS FOR CANCERS AND OTHER DISEASES INCLUDED IN THE DEEMED DISEASES LIST</w:t>
        </w:r>
        <w:r w:rsidR="00C341EB">
          <w:rPr>
            <w:webHidden/>
          </w:rPr>
          <w:tab/>
        </w:r>
        <w:r w:rsidR="00C341EB">
          <w:rPr>
            <w:webHidden/>
          </w:rPr>
          <w:fldChar w:fldCharType="begin"/>
        </w:r>
        <w:r w:rsidR="00C341EB">
          <w:rPr>
            <w:webHidden/>
          </w:rPr>
          <w:instrText xml:space="preserve"> PAGEREF _Toc493068318 \h </w:instrText>
        </w:r>
        <w:r w:rsidR="00C341EB">
          <w:rPr>
            <w:webHidden/>
          </w:rPr>
        </w:r>
        <w:r w:rsidR="00C341EB">
          <w:rPr>
            <w:webHidden/>
          </w:rPr>
          <w:fldChar w:fldCharType="separate"/>
        </w:r>
        <w:r w:rsidR="00715C85">
          <w:rPr>
            <w:webHidden/>
          </w:rPr>
          <w:t>9</w:t>
        </w:r>
        <w:r w:rsidR="00C341EB">
          <w:rPr>
            <w:webHidden/>
          </w:rPr>
          <w:fldChar w:fldCharType="end"/>
        </w:r>
      </w:hyperlink>
    </w:p>
    <w:p w14:paraId="64BF1A36" w14:textId="0639D187" w:rsidR="00C341EB" w:rsidRDefault="00D11278">
      <w:pPr>
        <w:pStyle w:val="TOC7"/>
        <w:rPr>
          <w:rFonts w:asciiTheme="minorHAnsi" w:eastAsiaTheme="minorEastAsia" w:hAnsiTheme="minorHAnsi" w:cstheme="minorBidi"/>
          <w:b w:val="0"/>
          <w:sz w:val="22"/>
          <w:szCs w:val="22"/>
          <w:lang w:val="en-US"/>
        </w:rPr>
      </w:pPr>
      <w:hyperlink w:anchor="_Toc493068319" w:history="1">
        <w:r w:rsidR="00C341EB" w:rsidRPr="0067542F">
          <w:rPr>
            <w:rStyle w:val="Hyperlink"/>
          </w:rPr>
          <w:t>Introduction</w:t>
        </w:r>
        <w:r w:rsidR="00C341EB">
          <w:rPr>
            <w:webHidden/>
          </w:rPr>
          <w:tab/>
        </w:r>
        <w:r w:rsidR="00C341EB">
          <w:rPr>
            <w:webHidden/>
          </w:rPr>
          <w:fldChar w:fldCharType="begin"/>
        </w:r>
        <w:r w:rsidR="00C341EB">
          <w:rPr>
            <w:webHidden/>
          </w:rPr>
          <w:instrText xml:space="preserve"> PAGEREF _Toc493068319 \h </w:instrText>
        </w:r>
        <w:r w:rsidR="00C341EB">
          <w:rPr>
            <w:webHidden/>
          </w:rPr>
        </w:r>
        <w:r w:rsidR="00C341EB">
          <w:rPr>
            <w:webHidden/>
          </w:rPr>
          <w:fldChar w:fldCharType="separate"/>
        </w:r>
        <w:r w:rsidR="00715C85">
          <w:rPr>
            <w:webHidden/>
          </w:rPr>
          <w:t>9</w:t>
        </w:r>
        <w:r w:rsidR="00C341EB">
          <w:rPr>
            <w:webHidden/>
          </w:rPr>
          <w:fldChar w:fldCharType="end"/>
        </w:r>
      </w:hyperlink>
    </w:p>
    <w:p w14:paraId="125D7C43" w14:textId="5BE3A610" w:rsidR="00C341EB" w:rsidRDefault="00D11278">
      <w:pPr>
        <w:pStyle w:val="TOC7"/>
        <w:rPr>
          <w:rFonts w:asciiTheme="minorHAnsi" w:eastAsiaTheme="minorEastAsia" w:hAnsiTheme="minorHAnsi" w:cstheme="minorBidi"/>
          <w:b w:val="0"/>
          <w:sz w:val="22"/>
          <w:szCs w:val="22"/>
          <w:lang w:val="en-US"/>
        </w:rPr>
      </w:pPr>
      <w:hyperlink w:anchor="_Toc493068320" w:history="1">
        <w:r w:rsidR="00C341EB" w:rsidRPr="0067542F">
          <w:rPr>
            <w:rStyle w:val="Hyperlink"/>
          </w:rPr>
          <w:t>Cancers</w:t>
        </w:r>
        <w:r w:rsidR="00C341EB">
          <w:rPr>
            <w:webHidden/>
          </w:rPr>
          <w:tab/>
        </w:r>
        <w:r w:rsidR="00C341EB">
          <w:rPr>
            <w:webHidden/>
          </w:rPr>
          <w:fldChar w:fldCharType="begin"/>
        </w:r>
        <w:r w:rsidR="00C341EB">
          <w:rPr>
            <w:webHidden/>
          </w:rPr>
          <w:instrText xml:space="preserve"> PAGEREF _Toc493068320 \h </w:instrText>
        </w:r>
        <w:r w:rsidR="00C341EB">
          <w:rPr>
            <w:webHidden/>
          </w:rPr>
        </w:r>
        <w:r w:rsidR="00C341EB">
          <w:rPr>
            <w:webHidden/>
          </w:rPr>
          <w:fldChar w:fldCharType="separate"/>
        </w:r>
        <w:r w:rsidR="00715C85">
          <w:rPr>
            <w:webHidden/>
          </w:rPr>
          <w:t>9</w:t>
        </w:r>
        <w:r w:rsidR="00C341EB">
          <w:rPr>
            <w:webHidden/>
          </w:rPr>
          <w:fldChar w:fldCharType="end"/>
        </w:r>
      </w:hyperlink>
    </w:p>
    <w:p w14:paraId="2774C65F" w14:textId="47A7EB0F" w:rsidR="00C341EB" w:rsidRDefault="00D11278">
      <w:pPr>
        <w:pStyle w:val="TOC7"/>
        <w:rPr>
          <w:rFonts w:asciiTheme="minorHAnsi" w:eastAsiaTheme="minorEastAsia" w:hAnsiTheme="minorHAnsi" w:cstheme="minorBidi"/>
          <w:b w:val="0"/>
          <w:sz w:val="22"/>
          <w:szCs w:val="22"/>
          <w:lang w:val="en-US"/>
        </w:rPr>
      </w:pPr>
      <w:hyperlink w:anchor="_Toc493068321" w:history="1">
        <w:r w:rsidR="00C341EB" w:rsidRPr="0067542F">
          <w:rPr>
            <w:rStyle w:val="Hyperlink"/>
          </w:rPr>
          <w:t>Asthma</w:t>
        </w:r>
        <w:r w:rsidR="00C341EB">
          <w:rPr>
            <w:webHidden/>
          </w:rPr>
          <w:tab/>
        </w:r>
        <w:r w:rsidR="00C341EB">
          <w:rPr>
            <w:webHidden/>
          </w:rPr>
          <w:fldChar w:fldCharType="begin"/>
        </w:r>
        <w:r w:rsidR="00C341EB">
          <w:rPr>
            <w:webHidden/>
          </w:rPr>
          <w:instrText xml:space="preserve"> PAGEREF _Toc493068321 \h </w:instrText>
        </w:r>
        <w:r w:rsidR="00C341EB">
          <w:rPr>
            <w:webHidden/>
          </w:rPr>
        </w:r>
        <w:r w:rsidR="00C341EB">
          <w:rPr>
            <w:webHidden/>
          </w:rPr>
          <w:fldChar w:fldCharType="separate"/>
        </w:r>
        <w:r w:rsidR="00715C85">
          <w:rPr>
            <w:webHidden/>
          </w:rPr>
          <w:t>12</w:t>
        </w:r>
        <w:r w:rsidR="00C341EB">
          <w:rPr>
            <w:webHidden/>
          </w:rPr>
          <w:fldChar w:fldCharType="end"/>
        </w:r>
      </w:hyperlink>
    </w:p>
    <w:p w14:paraId="45EAEE8C" w14:textId="3EBA33E2" w:rsidR="00C341EB" w:rsidRDefault="00D11278">
      <w:pPr>
        <w:pStyle w:val="TOC6"/>
        <w:rPr>
          <w:rFonts w:asciiTheme="minorHAnsi" w:eastAsiaTheme="minorEastAsia" w:hAnsiTheme="minorHAnsi" w:cstheme="minorBidi"/>
          <w:b w:val="0"/>
          <w:smallCaps w:val="0"/>
          <w:sz w:val="22"/>
          <w:szCs w:val="22"/>
        </w:rPr>
      </w:pPr>
      <w:hyperlink w:anchor="_Toc493068322" w:history="1">
        <w:r w:rsidR="00C341EB" w:rsidRPr="0067542F">
          <w:rPr>
            <w:rStyle w:val="Hyperlink"/>
          </w:rPr>
          <w:t>4.</w:t>
        </w:r>
        <w:r w:rsidR="00C341EB">
          <w:rPr>
            <w:rFonts w:asciiTheme="minorHAnsi" w:eastAsiaTheme="minorEastAsia" w:hAnsiTheme="minorHAnsi" w:cstheme="minorBidi"/>
            <w:b w:val="0"/>
            <w:smallCaps w:val="0"/>
            <w:sz w:val="22"/>
            <w:szCs w:val="22"/>
          </w:rPr>
          <w:tab/>
        </w:r>
        <w:r w:rsidR="00C341EB" w:rsidRPr="0067542F">
          <w:rPr>
            <w:rStyle w:val="Hyperlink"/>
          </w:rPr>
          <w:t>INCIDENCE RATES FOR CANCERS AND OTHER DISEASES IN THE POPULATION</w:t>
        </w:r>
        <w:r w:rsidR="00C341EB">
          <w:rPr>
            <w:webHidden/>
          </w:rPr>
          <w:tab/>
        </w:r>
        <w:r w:rsidR="00C341EB">
          <w:rPr>
            <w:webHidden/>
          </w:rPr>
          <w:fldChar w:fldCharType="begin"/>
        </w:r>
        <w:r w:rsidR="00C341EB">
          <w:rPr>
            <w:webHidden/>
          </w:rPr>
          <w:instrText xml:space="preserve"> PAGEREF _Toc493068322 \h </w:instrText>
        </w:r>
        <w:r w:rsidR="00C341EB">
          <w:rPr>
            <w:webHidden/>
          </w:rPr>
        </w:r>
        <w:r w:rsidR="00C341EB">
          <w:rPr>
            <w:webHidden/>
          </w:rPr>
          <w:fldChar w:fldCharType="separate"/>
        </w:r>
        <w:r w:rsidR="00715C85">
          <w:rPr>
            <w:webHidden/>
          </w:rPr>
          <w:t>13</w:t>
        </w:r>
        <w:r w:rsidR="00C341EB">
          <w:rPr>
            <w:webHidden/>
          </w:rPr>
          <w:fldChar w:fldCharType="end"/>
        </w:r>
      </w:hyperlink>
    </w:p>
    <w:p w14:paraId="60CE4800" w14:textId="2C1318EB" w:rsidR="00C341EB" w:rsidRDefault="00D11278">
      <w:pPr>
        <w:pStyle w:val="TOC7"/>
        <w:rPr>
          <w:rFonts w:asciiTheme="minorHAnsi" w:eastAsiaTheme="minorEastAsia" w:hAnsiTheme="minorHAnsi" w:cstheme="minorBidi"/>
          <w:b w:val="0"/>
          <w:sz w:val="22"/>
          <w:szCs w:val="22"/>
          <w:lang w:val="en-US"/>
        </w:rPr>
      </w:pPr>
      <w:hyperlink w:anchor="_Toc493068323" w:history="1">
        <w:r w:rsidR="00C341EB" w:rsidRPr="0067542F">
          <w:rPr>
            <w:rStyle w:val="Hyperlink"/>
          </w:rPr>
          <w:t>Introduction</w:t>
        </w:r>
        <w:r w:rsidR="00C341EB">
          <w:rPr>
            <w:webHidden/>
          </w:rPr>
          <w:tab/>
        </w:r>
        <w:r w:rsidR="00C341EB">
          <w:rPr>
            <w:webHidden/>
          </w:rPr>
          <w:fldChar w:fldCharType="begin"/>
        </w:r>
        <w:r w:rsidR="00C341EB">
          <w:rPr>
            <w:webHidden/>
          </w:rPr>
          <w:instrText xml:space="preserve"> PAGEREF _Toc493068323 \h </w:instrText>
        </w:r>
        <w:r w:rsidR="00C341EB">
          <w:rPr>
            <w:webHidden/>
          </w:rPr>
        </w:r>
        <w:r w:rsidR="00C341EB">
          <w:rPr>
            <w:webHidden/>
          </w:rPr>
          <w:fldChar w:fldCharType="separate"/>
        </w:r>
        <w:r w:rsidR="00715C85">
          <w:rPr>
            <w:webHidden/>
          </w:rPr>
          <w:t>13</w:t>
        </w:r>
        <w:r w:rsidR="00C341EB">
          <w:rPr>
            <w:webHidden/>
          </w:rPr>
          <w:fldChar w:fldCharType="end"/>
        </w:r>
      </w:hyperlink>
    </w:p>
    <w:p w14:paraId="64AD0B5A" w14:textId="37B04658" w:rsidR="00C341EB" w:rsidRDefault="00D11278">
      <w:pPr>
        <w:pStyle w:val="TOC7"/>
        <w:rPr>
          <w:rFonts w:asciiTheme="minorHAnsi" w:eastAsiaTheme="minorEastAsia" w:hAnsiTheme="minorHAnsi" w:cstheme="minorBidi"/>
          <w:b w:val="0"/>
          <w:sz w:val="22"/>
          <w:szCs w:val="22"/>
          <w:lang w:val="en-US"/>
        </w:rPr>
      </w:pPr>
      <w:hyperlink w:anchor="_Toc493068324" w:history="1">
        <w:r w:rsidR="00C341EB" w:rsidRPr="0067542F">
          <w:rPr>
            <w:rStyle w:val="Hyperlink"/>
          </w:rPr>
          <w:t>Cancer</w:t>
        </w:r>
        <w:r w:rsidR="00C341EB">
          <w:rPr>
            <w:webHidden/>
          </w:rPr>
          <w:tab/>
        </w:r>
        <w:r w:rsidR="00C341EB">
          <w:rPr>
            <w:webHidden/>
          </w:rPr>
          <w:fldChar w:fldCharType="begin"/>
        </w:r>
        <w:r w:rsidR="00C341EB">
          <w:rPr>
            <w:webHidden/>
          </w:rPr>
          <w:instrText xml:space="preserve"> PAGEREF _Toc493068324 \h </w:instrText>
        </w:r>
        <w:r w:rsidR="00C341EB">
          <w:rPr>
            <w:webHidden/>
          </w:rPr>
        </w:r>
        <w:r w:rsidR="00C341EB">
          <w:rPr>
            <w:webHidden/>
          </w:rPr>
          <w:fldChar w:fldCharType="separate"/>
        </w:r>
        <w:r w:rsidR="00715C85">
          <w:rPr>
            <w:webHidden/>
          </w:rPr>
          <w:t>13</w:t>
        </w:r>
        <w:r w:rsidR="00C341EB">
          <w:rPr>
            <w:webHidden/>
          </w:rPr>
          <w:fldChar w:fldCharType="end"/>
        </w:r>
      </w:hyperlink>
    </w:p>
    <w:p w14:paraId="5D99765A" w14:textId="67DE13F0" w:rsidR="00C341EB" w:rsidRDefault="00D11278">
      <w:pPr>
        <w:pStyle w:val="TOC7"/>
        <w:rPr>
          <w:rFonts w:asciiTheme="minorHAnsi" w:eastAsiaTheme="minorEastAsia" w:hAnsiTheme="minorHAnsi" w:cstheme="minorBidi"/>
          <w:b w:val="0"/>
          <w:sz w:val="22"/>
          <w:szCs w:val="22"/>
          <w:lang w:val="en-US"/>
        </w:rPr>
      </w:pPr>
      <w:hyperlink w:anchor="_Toc493068325" w:history="1">
        <w:r w:rsidR="00C341EB" w:rsidRPr="0067542F">
          <w:rPr>
            <w:rStyle w:val="Hyperlink"/>
          </w:rPr>
          <w:t>Infectious disease</w:t>
        </w:r>
        <w:r w:rsidR="00C341EB">
          <w:rPr>
            <w:webHidden/>
          </w:rPr>
          <w:tab/>
        </w:r>
        <w:r w:rsidR="00C341EB">
          <w:rPr>
            <w:webHidden/>
          </w:rPr>
          <w:fldChar w:fldCharType="begin"/>
        </w:r>
        <w:r w:rsidR="00C341EB">
          <w:rPr>
            <w:webHidden/>
          </w:rPr>
          <w:instrText xml:space="preserve"> PAGEREF _Toc493068325 \h </w:instrText>
        </w:r>
        <w:r w:rsidR="00C341EB">
          <w:rPr>
            <w:webHidden/>
          </w:rPr>
        </w:r>
        <w:r w:rsidR="00C341EB">
          <w:rPr>
            <w:webHidden/>
          </w:rPr>
          <w:fldChar w:fldCharType="separate"/>
        </w:r>
        <w:r w:rsidR="00715C85">
          <w:rPr>
            <w:webHidden/>
          </w:rPr>
          <w:t>14</w:t>
        </w:r>
        <w:r w:rsidR="00C341EB">
          <w:rPr>
            <w:webHidden/>
          </w:rPr>
          <w:fldChar w:fldCharType="end"/>
        </w:r>
      </w:hyperlink>
    </w:p>
    <w:p w14:paraId="635E41CB" w14:textId="6D4452DC" w:rsidR="00C341EB" w:rsidRDefault="00D11278">
      <w:pPr>
        <w:pStyle w:val="TOC7"/>
        <w:rPr>
          <w:rFonts w:asciiTheme="minorHAnsi" w:eastAsiaTheme="minorEastAsia" w:hAnsiTheme="minorHAnsi" w:cstheme="minorBidi"/>
          <w:b w:val="0"/>
          <w:sz w:val="22"/>
          <w:szCs w:val="22"/>
          <w:lang w:val="en-US"/>
        </w:rPr>
      </w:pPr>
      <w:hyperlink w:anchor="_Toc493068326" w:history="1">
        <w:r w:rsidR="00C341EB" w:rsidRPr="0067542F">
          <w:rPr>
            <w:rStyle w:val="Hyperlink"/>
          </w:rPr>
          <w:t>Diseases of the nervous system</w:t>
        </w:r>
        <w:r w:rsidR="00C341EB">
          <w:rPr>
            <w:webHidden/>
          </w:rPr>
          <w:tab/>
        </w:r>
        <w:r w:rsidR="00C341EB">
          <w:rPr>
            <w:webHidden/>
          </w:rPr>
          <w:fldChar w:fldCharType="begin"/>
        </w:r>
        <w:r w:rsidR="00C341EB">
          <w:rPr>
            <w:webHidden/>
          </w:rPr>
          <w:instrText xml:space="preserve"> PAGEREF _Toc493068326 \h </w:instrText>
        </w:r>
        <w:r w:rsidR="00C341EB">
          <w:rPr>
            <w:webHidden/>
          </w:rPr>
        </w:r>
        <w:r w:rsidR="00C341EB">
          <w:rPr>
            <w:webHidden/>
          </w:rPr>
          <w:fldChar w:fldCharType="separate"/>
        </w:r>
        <w:r w:rsidR="00715C85">
          <w:rPr>
            <w:webHidden/>
          </w:rPr>
          <w:t>14</w:t>
        </w:r>
        <w:r w:rsidR="00C341EB">
          <w:rPr>
            <w:webHidden/>
          </w:rPr>
          <w:fldChar w:fldCharType="end"/>
        </w:r>
      </w:hyperlink>
    </w:p>
    <w:p w14:paraId="320F068D" w14:textId="3624FE69" w:rsidR="00C341EB" w:rsidRDefault="00D11278">
      <w:pPr>
        <w:pStyle w:val="TOC8"/>
        <w:rPr>
          <w:rFonts w:asciiTheme="minorHAnsi" w:eastAsiaTheme="minorEastAsia" w:hAnsiTheme="minorHAnsi" w:cstheme="minorBidi"/>
          <w:sz w:val="22"/>
          <w:szCs w:val="22"/>
        </w:rPr>
      </w:pPr>
      <w:hyperlink w:anchor="_Toc493068327" w:history="1">
        <w:r w:rsidR="00C341EB" w:rsidRPr="0067542F">
          <w:rPr>
            <w:rStyle w:val="Hyperlink"/>
          </w:rPr>
          <w:t>Parkinson's disease</w:t>
        </w:r>
        <w:r w:rsidR="00C341EB">
          <w:rPr>
            <w:webHidden/>
          </w:rPr>
          <w:tab/>
        </w:r>
        <w:r w:rsidR="00C341EB">
          <w:rPr>
            <w:webHidden/>
          </w:rPr>
          <w:fldChar w:fldCharType="begin"/>
        </w:r>
        <w:r w:rsidR="00C341EB">
          <w:rPr>
            <w:webHidden/>
          </w:rPr>
          <w:instrText xml:space="preserve"> PAGEREF _Toc493068327 \h </w:instrText>
        </w:r>
        <w:r w:rsidR="00C341EB">
          <w:rPr>
            <w:webHidden/>
          </w:rPr>
        </w:r>
        <w:r w:rsidR="00C341EB">
          <w:rPr>
            <w:webHidden/>
          </w:rPr>
          <w:fldChar w:fldCharType="separate"/>
        </w:r>
        <w:r w:rsidR="00715C85">
          <w:rPr>
            <w:webHidden/>
          </w:rPr>
          <w:t>14</w:t>
        </w:r>
        <w:r w:rsidR="00C341EB">
          <w:rPr>
            <w:webHidden/>
          </w:rPr>
          <w:fldChar w:fldCharType="end"/>
        </w:r>
      </w:hyperlink>
    </w:p>
    <w:p w14:paraId="057B2817" w14:textId="06AEAAF3" w:rsidR="00C341EB" w:rsidRDefault="00D11278">
      <w:pPr>
        <w:pStyle w:val="TOC8"/>
        <w:rPr>
          <w:rFonts w:asciiTheme="minorHAnsi" w:eastAsiaTheme="minorEastAsia" w:hAnsiTheme="minorHAnsi" w:cstheme="minorBidi"/>
          <w:sz w:val="22"/>
          <w:szCs w:val="22"/>
        </w:rPr>
      </w:pPr>
      <w:hyperlink w:anchor="_Toc493068328" w:history="1">
        <w:r w:rsidR="00C341EB" w:rsidRPr="0067542F">
          <w:rPr>
            <w:rStyle w:val="Hyperlink"/>
          </w:rPr>
          <w:t>Peripheral neuropathy</w:t>
        </w:r>
        <w:r w:rsidR="00C341EB">
          <w:rPr>
            <w:webHidden/>
          </w:rPr>
          <w:tab/>
        </w:r>
        <w:r w:rsidR="00C341EB">
          <w:rPr>
            <w:webHidden/>
          </w:rPr>
          <w:fldChar w:fldCharType="begin"/>
        </w:r>
        <w:r w:rsidR="00C341EB">
          <w:rPr>
            <w:webHidden/>
          </w:rPr>
          <w:instrText xml:space="preserve"> PAGEREF _Toc493068328 \h </w:instrText>
        </w:r>
        <w:r w:rsidR="00C341EB">
          <w:rPr>
            <w:webHidden/>
          </w:rPr>
        </w:r>
        <w:r w:rsidR="00C341EB">
          <w:rPr>
            <w:webHidden/>
          </w:rPr>
          <w:fldChar w:fldCharType="separate"/>
        </w:r>
        <w:r w:rsidR="00715C85">
          <w:rPr>
            <w:webHidden/>
          </w:rPr>
          <w:t>14</w:t>
        </w:r>
        <w:r w:rsidR="00C341EB">
          <w:rPr>
            <w:webHidden/>
          </w:rPr>
          <w:fldChar w:fldCharType="end"/>
        </w:r>
      </w:hyperlink>
    </w:p>
    <w:p w14:paraId="60BDBE2A" w14:textId="4C821CFA" w:rsidR="00C341EB" w:rsidRDefault="00D11278">
      <w:pPr>
        <w:pStyle w:val="TOC7"/>
        <w:rPr>
          <w:rFonts w:asciiTheme="minorHAnsi" w:eastAsiaTheme="minorEastAsia" w:hAnsiTheme="minorHAnsi" w:cstheme="minorBidi"/>
          <w:b w:val="0"/>
          <w:sz w:val="22"/>
          <w:szCs w:val="22"/>
          <w:lang w:val="en-US"/>
        </w:rPr>
      </w:pPr>
      <w:hyperlink w:anchor="_Toc493068329" w:history="1">
        <w:r w:rsidR="00C341EB" w:rsidRPr="0067542F">
          <w:rPr>
            <w:rStyle w:val="Hyperlink"/>
          </w:rPr>
          <w:t>Diseases of the respiratory system</w:t>
        </w:r>
        <w:r w:rsidR="00C341EB">
          <w:rPr>
            <w:webHidden/>
          </w:rPr>
          <w:tab/>
        </w:r>
        <w:r w:rsidR="00C341EB">
          <w:rPr>
            <w:webHidden/>
          </w:rPr>
          <w:fldChar w:fldCharType="begin"/>
        </w:r>
        <w:r w:rsidR="00C341EB">
          <w:rPr>
            <w:webHidden/>
          </w:rPr>
          <w:instrText xml:space="preserve"> PAGEREF _Toc493068329 \h </w:instrText>
        </w:r>
        <w:r w:rsidR="00C341EB">
          <w:rPr>
            <w:webHidden/>
          </w:rPr>
        </w:r>
        <w:r w:rsidR="00C341EB">
          <w:rPr>
            <w:webHidden/>
          </w:rPr>
          <w:fldChar w:fldCharType="separate"/>
        </w:r>
        <w:r w:rsidR="00715C85">
          <w:rPr>
            <w:webHidden/>
          </w:rPr>
          <w:t>14</w:t>
        </w:r>
        <w:r w:rsidR="00C341EB">
          <w:rPr>
            <w:webHidden/>
          </w:rPr>
          <w:fldChar w:fldCharType="end"/>
        </w:r>
      </w:hyperlink>
    </w:p>
    <w:p w14:paraId="6A3539DB" w14:textId="7B77162A" w:rsidR="00C341EB" w:rsidRDefault="00D11278">
      <w:pPr>
        <w:pStyle w:val="TOC8"/>
        <w:rPr>
          <w:rFonts w:asciiTheme="minorHAnsi" w:eastAsiaTheme="minorEastAsia" w:hAnsiTheme="minorHAnsi" w:cstheme="minorBidi"/>
          <w:sz w:val="22"/>
          <w:szCs w:val="22"/>
        </w:rPr>
      </w:pPr>
      <w:hyperlink w:anchor="_Toc493068330" w:history="1">
        <w:r w:rsidR="00C341EB" w:rsidRPr="0067542F">
          <w:rPr>
            <w:rStyle w:val="Hyperlink"/>
          </w:rPr>
          <w:t>Asthma</w:t>
        </w:r>
        <w:r w:rsidR="00C341EB">
          <w:rPr>
            <w:webHidden/>
          </w:rPr>
          <w:tab/>
        </w:r>
        <w:r w:rsidR="00C341EB">
          <w:rPr>
            <w:webHidden/>
          </w:rPr>
          <w:fldChar w:fldCharType="begin"/>
        </w:r>
        <w:r w:rsidR="00C341EB">
          <w:rPr>
            <w:webHidden/>
          </w:rPr>
          <w:instrText xml:space="preserve"> PAGEREF _Toc493068330 \h </w:instrText>
        </w:r>
        <w:r w:rsidR="00C341EB">
          <w:rPr>
            <w:webHidden/>
          </w:rPr>
        </w:r>
        <w:r w:rsidR="00C341EB">
          <w:rPr>
            <w:webHidden/>
          </w:rPr>
          <w:fldChar w:fldCharType="separate"/>
        </w:r>
        <w:r w:rsidR="00715C85">
          <w:rPr>
            <w:webHidden/>
          </w:rPr>
          <w:t>14</w:t>
        </w:r>
        <w:r w:rsidR="00C341EB">
          <w:rPr>
            <w:webHidden/>
          </w:rPr>
          <w:fldChar w:fldCharType="end"/>
        </w:r>
      </w:hyperlink>
    </w:p>
    <w:p w14:paraId="16F97648" w14:textId="11F5DD28" w:rsidR="00C341EB" w:rsidRDefault="00D11278">
      <w:pPr>
        <w:pStyle w:val="TOC8"/>
        <w:rPr>
          <w:rFonts w:asciiTheme="minorHAnsi" w:eastAsiaTheme="minorEastAsia" w:hAnsiTheme="minorHAnsi" w:cstheme="minorBidi"/>
          <w:sz w:val="22"/>
          <w:szCs w:val="22"/>
        </w:rPr>
      </w:pPr>
      <w:hyperlink w:anchor="_Toc493068331" w:history="1">
        <w:r w:rsidR="00C341EB" w:rsidRPr="0067542F">
          <w:rPr>
            <w:rStyle w:val="Hyperlink"/>
          </w:rPr>
          <w:t>Pneumoconioses</w:t>
        </w:r>
        <w:r w:rsidR="00C341EB">
          <w:rPr>
            <w:webHidden/>
          </w:rPr>
          <w:tab/>
        </w:r>
        <w:r w:rsidR="00C341EB">
          <w:rPr>
            <w:webHidden/>
          </w:rPr>
          <w:fldChar w:fldCharType="begin"/>
        </w:r>
        <w:r w:rsidR="00C341EB">
          <w:rPr>
            <w:webHidden/>
          </w:rPr>
          <w:instrText xml:space="preserve"> PAGEREF _Toc493068331 \h </w:instrText>
        </w:r>
        <w:r w:rsidR="00C341EB">
          <w:rPr>
            <w:webHidden/>
          </w:rPr>
        </w:r>
        <w:r w:rsidR="00C341EB">
          <w:rPr>
            <w:webHidden/>
          </w:rPr>
          <w:fldChar w:fldCharType="separate"/>
        </w:r>
        <w:r w:rsidR="00715C85">
          <w:rPr>
            <w:webHidden/>
          </w:rPr>
          <w:t>14</w:t>
        </w:r>
        <w:r w:rsidR="00C341EB">
          <w:rPr>
            <w:webHidden/>
          </w:rPr>
          <w:fldChar w:fldCharType="end"/>
        </w:r>
      </w:hyperlink>
    </w:p>
    <w:p w14:paraId="7B3B54F6" w14:textId="36DC3FE5" w:rsidR="00C341EB" w:rsidRDefault="00D11278">
      <w:pPr>
        <w:pStyle w:val="TOC8"/>
        <w:rPr>
          <w:rFonts w:asciiTheme="minorHAnsi" w:eastAsiaTheme="minorEastAsia" w:hAnsiTheme="minorHAnsi" w:cstheme="minorBidi"/>
          <w:sz w:val="22"/>
          <w:szCs w:val="22"/>
        </w:rPr>
      </w:pPr>
      <w:hyperlink w:anchor="_Toc493068332" w:history="1">
        <w:r w:rsidR="00C341EB" w:rsidRPr="0067542F">
          <w:rPr>
            <w:rStyle w:val="Hyperlink"/>
          </w:rPr>
          <w:t>Byssinosis and extrinsic allergic alveolitis</w:t>
        </w:r>
        <w:r w:rsidR="00C341EB">
          <w:rPr>
            <w:webHidden/>
          </w:rPr>
          <w:tab/>
        </w:r>
        <w:r w:rsidR="00C341EB">
          <w:rPr>
            <w:webHidden/>
          </w:rPr>
          <w:fldChar w:fldCharType="begin"/>
        </w:r>
        <w:r w:rsidR="00C341EB">
          <w:rPr>
            <w:webHidden/>
          </w:rPr>
          <w:instrText xml:space="preserve"> PAGEREF _Toc493068332 \h </w:instrText>
        </w:r>
        <w:r w:rsidR="00C341EB">
          <w:rPr>
            <w:webHidden/>
          </w:rPr>
        </w:r>
        <w:r w:rsidR="00C341EB">
          <w:rPr>
            <w:webHidden/>
          </w:rPr>
          <w:fldChar w:fldCharType="separate"/>
        </w:r>
        <w:r w:rsidR="00715C85">
          <w:rPr>
            <w:webHidden/>
          </w:rPr>
          <w:t>15</w:t>
        </w:r>
        <w:r w:rsidR="00C341EB">
          <w:rPr>
            <w:webHidden/>
          </w:rPr>
          <w:fldChar w:fldCharType="end"/>
        </w:r>
      </w:hyperlink>
    </w:p>
    <w:p w14:paraId="2E375309" w14:textId="2645E5A5" w:rsidR="00C341EB" w:rsidRDefault="00D11278">
      <w:pPr>
        <w:pStyle w:val="TOC7"/>
        <w:rPr>
          <w:rFonts w:asciiTheme="minorHAnsi" w:eastAsiaTheme="minorEastAsia" w:hAnsiTheme="minorHAnsi" w:cstheme="minorBidi"/>
          <w:b w:val="0"/>
          <w:sz w:val="22"/>
          <w:szCs w:val="22"/>
          <w:lang w:val="en-US"/>
        </w:rPr>
      </w:pPr>
      <w:hyperlink w:anchor="_Toc493068333" w:history="1">
        <w:r w:rsidR="00C341EB" w:rsidRPr="0067542F">
          <w:rPr>
            <w:rStyle w:val="Hyperlink"/>
          </w:rPr>
          <w:t>Hepatic diseases</w:t>
        </w:r>
        <w:r w:rsidR="00C341EB">
          <w:rPr>
            <w:webHidden/>
          </w:rPr>
          <w:tab/>
        </w:r>
        <w:r w:rsidR="00C341EB">
          <w:rPr>
            <w:webHidden/>
          </w:rPr>
          <w:fldChar w:fldCharType="begin"/>
        </w:r>
        <w:r w:rsidR="00C341EB">
          <w:rPr>
            <w:webHidden/>
          </w:rPr>
          <w:instrText xml:space="preserve"> PAGEREF _Toc493068333 \h </w:instrText>
        </w:r>
        <w:r w:rsidR="00C341EB">
          <w:rPr>
            <w:webHidden/>
          </w:rPr>
        </w:r>
        <w:r w:rsidR="00C341EB">
          <w:rPr>
            <w:webHidden/>
          </w:rPr>
          <w:fldChar w:fldCharType="separate"/>
        </w:r>
        <w:r w:rsidR="00715C85">
          <w:rPr>
            <w:webHidden/>
          </w:rPr>
          <w:t>15</w:t>
        </w:r>
        <w:r w:rsidR="00C341EB">
          <w:rPr>
            <w:webHidden/>
          </w:rPr>
          <w:fldChar w:fldCharType="end"/>
        </w:r>
      </w:hyperlink>
    </w:p>
    <w:p w14:paraId="1B7948E1" w14:textId="0C336E3D" w:rsidR="00C341EB" w:rsidRDefault="00D11278">
      <w:pPr>
        <w:pStyle w:val="TOC8"/>
        <w:rPr>
          <w:rFonts w:asciiTheme="minorHAnsi" w:eastAsiaTheme="minorEastAsia" w:hAnsiTheme="minorHAnsi" w:cstheme="minorBidi"/>
          <w:sz w:val="22"/>
          <w:szCs w:val="22"/>
        </w:rPr>
      </w:pPr>
      <w:hyperlink w:anchor="_Toc493068334" w:history="1">
        <w:r w:rsidR="00C341EB" w:rsidRPr="0067542F">
          <w:rPr>
            <w:rStyle w:val="Hyperlink"/>
          </w:rPr>
          <w:t>Non-infectious hepatitis</w:t>
        </w:r>
        <w:r w:rsidR="00C341EB">
          <w:rPr>
            <w:webHidden/>
          </w:rPr>
          <w:tab/>
        </w:r>
        <w:r w:rsidR="00C341EB">
          <w:rPr>
            <w:webHidden/>
          </w:rPr>
          <w:fldChar w:fldCharType="begin"/>
        </w:r>
        <w:r w:rsidR="00C341EB">
          <w:rPr>
            <w:webHidden/>
          </w:rPr>
          <w:instrText xml:space="preserve"> PAGEREF _Toc493068334 \h </w:instrText>
        </w:r>
        <w:r w:rsidR="00C341EB">
          <w:rPr>
            <w:webHidden/>
          </w:rPr>
        </w:r>
        <w:r w:rsidR="00C341EB">
          <w:rPr>
            <w:webHidden/>
          </w:rPr>
          <w:fldChar w:fldCharType="separate"/>
        </w:r>
        <w:r w:rsidR="00715C85">
          <w:rPr>
            <w:webHidden/>
          </w:rPr>
          <w:t>15</w:t>
        </w:r>
        <w:r w:rsidR="00C341EB">
          <w:rPr>
            <w:webHidden/>
          </w:rPr>
          <w:fldChar w:fldCharType="end"/>
        </w:r>
      </w:hyperlink>
    </w:p>
    <w:p w14:paraId="16ED9397" w14:textId="4FBDCA91" w:rsidR="00C341EB" w:rsidRDefault="00D11278">
      <w:pPr>
        <w:pStyle w:val="TOC8"/>
        <w:rPr>
          <w:rFonts w:asciiTheme="minorHAnsi" w:eastAsiaTheme="minorEastAsia" w:hAnsiTheme="minorHAnsi" w:cstheme="minorBidi"/>
          <w:sz w:val="22"/>
          <w:szCs w:val="22"/>
        </w:rPr>
      </w:pPr>
      <w:hyperlink w:anchor="_Toc493068335" w:history="1">
        <w:r w:rsidR="00C341EB" w:rsidRPr="0067542F">
          <w:rPr>
            <w:rStyle w:val="Hyperlink"/>
          </w:rPr>
          <w:t>Chronic active hepatitis</w:t>
        </w:r>
        <w:r w:rsidR="00C341EB">
          <w:rPr>
            <w:webHidden/>
          </w:rPr>
          <w:tab/>
        </w:r>
        <w:r w:rsidR="00C341EB">
          <w:rPr>
            <w:webHidden/>
          </w:rPr>
          <w:fldChar w:fldCharType="begin"/>
        </w:r>
        <w:r w:rsidR="00C341EB">
          <w:rPr>
            <w:webHidden/>
          </w:rPr>
          <w:instrText xml:space="preserve"> PAGEREF _Toc493068335 \h </w:instrText>
        </w:r>
        <w:r w:rsidR="00C341EB">
          <w:rPr>
            <w:webHidden/>
          </w:rPr>
        </w:r>
        <w:r w:rsidR="00C341EB">
          <w:rPr>
            <w:webHidden/>
          </w:rPr>
          <w:fldChar w:fldCharType="separate"/>
        </w:r>
        <w:r w:rsidR="00715C85">
          <w:rPr>
            <w:webHidden/>
          </w:rPr>
          <w:t>15</w:t>
        </w:r>
        <w:r w:rsidR="00C341EB">
          <w:rPr>
            <w:webHidden/>
          </w:rPr>
          <w:fldChar w:fldCharType="end"/>
        </w:r>
      </w:hyperlink>
    </w:p>
    <w:p w14:paraId="3343D602" w14:textId="085DDCAC" w:rsidR="00C341EB" w:rsidRDefault="00D11278">
      <w:pPr>
        <w:pStyle w:val="TOC7"/>
        <w:rPr>
          <w:rFonts w:asciiTheme="minorHAnsi" w:eastAsiaTheme="minorEastAsia" w:hAnsiTheme="minorHAnsi" w:cstheme="minorBidi"/>
          <w:b w:val="0"/>
          <w:sz w:val="22"/>
          <w:szCs w:val="22"/>
          <w:lang w:val="en-US"/>
        </w:rPr>
      </w:pPr>
      <w:hyperlink w:anchor="_Toc493068336" w:history="1">
        <w:r w:rsidR="00C341EB" w:rsidRPr="0067542F">
          <w:rPr>
            <w:rStyle w:val="Hyperlink"/>
          </w:rPr>
          <w:t>Skin diseases</w:t>
        </w:r>
        <w:r w:rsidR="00C341EB">
          <w:rPr>
            <w:webHidden/>
          </w:rPr>
          <w:tab/>
        </w:r>
        <w:r w:rsidR="00C341EB">
          <w:rPr>
            <w:webHidden/>
          </w:rPr>
          <w:fldChar w:fldCharType="begin"/>
        </w:r>
        <w:r w:rsidR="00C341EB">
          <w:rPr>
            <w:webHidden/>
          </w:rPr>
          <w:instrText xml:space="preserve"> PAGEREF _Toc493068336 \h </w:instrText>
        </w:r>
        <w:r w:rsidR="00C341EB">
          <w:rPr>
            <w:webHidden/>
          </w:rPr>
        </w:r>
        <w:r w:rsidR="00C341EB">
          <w:rPr>
            <w:webHidden/>
          </w:rPr>
          <w:fldChar w:fldCharType="separate"/>
        </w:r>
        <w:r w:rsidR="00715C85">
          <w:rPr>
            <w:webHidden/>
          </w:rPr>
          <w:t>15</w:t>
        </w:r>
        <w:r w:rsidR="00C341EB">
          <w:rPr>
            <w:webHidden/>
          </w:rPr>
          <w:fldChar w:fldCharType="end"/>
        </w:r>
      </w:hyperlink>
    </w:p>
    <w:p w14:paraId="4C75CF83" w14:textId="3044F446" w:rsidR="00C341EB" w:rsidRDefault="00D11278">
      <w:pPr>
        <w:pStyle w:val="TOC8"/>
        <w:rPr>
          <w:rFonts w:asciiTheme="minorHAnsi" w:eastAsiaTheme="minorEastAsia" w:hAnsiTheme="minorHAnsi" w:cstheme="minorBidi"/>
          <w:sz w:val="22"/>
          <w:szCs w:val="22"/>
        </w:rPr>
      </w:pPr>
      <w:hyperlink w:anchor="_Toc493068337" w:history="1">
        <w:r w:rsidR="00C341EB" w:rsidRPr="0067542F">
          <w:rPr>
            <w:rStyle w:val="Hyperlink"/>
          </w:rPr>
          <w:t>Irritant and allergic contact dermatitis</w:t>
        </w:r>
        <w:r w:rsidR="00C341EB">
          <w:rPr>
            <w:webHidden/>
          </w:rPr>
          <w:tab/>
        </w:r>
        <w:r w:rsidR="00C341EB">
          <w:rPr>
            <w:webHidden/>
          </w:rPr>
          <w:fldChar w:fldCharType="begin"/>
        </w:r>
        <w:r w:rsidR="00C341EB">
          <w:rPr>
            <w:webHidden/>
          </w:rPr>
          <w:instrText xml:space="preserve"> PAGEREF _Toc493068337 \h </w:instrText>
        </w:r>
        <w:r w:rsidR="00C341EB">
          <w:rPr>
            <w:webHidden/>
          </w:rPr>
        </w:r>
        <w:r w:rsidR="00C341EB">
          <w:rPr>
            <w:webHidden/>
          </w:rPr>
          <w:fldChar w:fldCharType="separate"/>
        </w:r>
        <w:r w:rsidR="00715C85">
          <w:rPr>
            <w:webHidden/>
          </w:rPr>
          <w:t>15</w:t>
        </w:r>
        <w:r w:rsidR="00C341EB">
          <w:rPr>
            <w:webHidden/>
          </w:rPr>
          <w:fldChar w:fldCharType="end"/>
        </w:r>
      </w:hyperlink>
    </w:p>
    <w:p w14:paraId="5EA6A4B0" w14:textId="3F3CEBDB" w:rsidR="00C341EB" w:rsidRDefault="00D11278">
      <w:pPr>
        <w:pStyle w:val="TOC8"/>
        <w:rPr>
          <w:rFonts w:asciiTheme="minorHAnsi" w:eastAsiaTheme="minorEastAsia" w:hAnsiTheme="minorHAnsi" w:cstheme="minorBidi"/>
          <w:sz w:val="22"/>
          <w:szCs w:val="22"/>
        </w:rPr>
      </w:pPr>
      <w:hyperlink w:anchor="_Toc493068338" w:history="1">
        <w:r w:rsidR="00C341EB" w:rsidRPr="0067542F">
          <w:rPr>
            <w:rStyle w:val="Hyperlink"/>
          </w:rPr>
          <w:t>Vitiligo</w:t>
        </w:r>
        <w:r w:rsidR="00C341EB">
          <w:rPr>
            <w:webHidden/>
          </w:rPr>
          <w:tab/>
        </w:r>
        <w:r w:rsidR="00C341EB">
          <w:rPr>
            <w:webHidden/>
          </w:rPr>
          <w:fldChar w:fldCharType="begin"/>
        </w:r>
        <w:r w:rsidR="00C341EB">
          <w:rPr>
            <w:webHidden/>
          </w:rPr>
          <w:instrText xml:space="preserve"> PAGEREF _Toc493068338 \h </w:instrText>
        </w:r>
        <w:r w:rsidR="00C341EB">
          <w:rPr>
            <w:webHidden/>
          </w:rPr>
        </w:r>
        <w:r w:rsidR="00C341EB">
          <w:rPr>
            <w:webHidden/>
          </w:rPr>
          <w:fldChar w:fldCharType="separate"/>
        </w:r>
        <w:r w:rsidR="00715C85">
          <w:rPr>
            <w:webHidden/>
          </w:rPr>
          <w:t>15</w:t>
        </w:r>
        <w:r w:rsidR="00C341EB">
          <w:rPr>
            <w:webHidden/>
          </w:rPr>
          <w:fldChar w:fldCharType="end"/>
        </w:r>
      </w:hyperlink>
    </w:p>
    <w:p w14:paraId="3A08D472" w14:textId="3903CA3C" w:rsidR="00C341EB" w:rsidRDefault="00D11278">
      <w:pPr>
        <w:pStyle w:val="TOC7"/>
        <w:rPr>
          <w:rFonts w:asciiTheme="minorHAnsi" w:eastAsiaTheme="minorEastAsia" w:hAnsiTheme="minorHAnsi" w:cstheme="minorBidi"/>
          <w:b w:val="0"/>
          <w:sz w:val="22"/>
          <w:szCs w:val="22"/>
          <w:lang w:val="en-US"/>
        </w:rPr>
      </w:pPr>
      <w:hyperlink w:anchor="_Toc493068339" w:history="1">
        <w:r w:rsidR="00C341EB" w:rsidRPr="0067542F">
          <w:rPr>
            <w:rStyle w:val="Hyperlink"/>
          </w:rPr>
          <w:t>Musculoskeletal diseases</w:t>
        </w:r>
        <w:r w:rsidR="00C341EB">
          <w:rPr>
            <w:webHidden/>
          </w:rPr>
          <w:tab/>
        </w:r>
        <w:r w:rsidR="00C341EB">
          <w:rPr>
            <w:webHidden/>
          </w:rPr>
          <w:fldChar w:fldCharType="begin"/>
        </w:r>
        <w:r w:rsidR="00C341EB">
          <w:rPr>
            <w:webHidden/>
          </w:rPr>
          <w:instrText xml:space="preserve"> PAGEREF _Toc493068339 \h </w:instrText>
        </w:r>
        <w:r w:rsidR="00C341EB">
          <w:rPr>
            <w:webHidden/>
          </w:rPr>
        </w:r>
        <w:r w:rsidR="00C341EB">
          <w:rPr>
            <w:webHidden/>
          </w:rPr>
          <w:fldChar w:fldCharType="separate"/>
        </w:r>
        <w:r w:rsidR="00715C85">
          <w:rPr>
            <w:webHidden/>
          </w:rPr>
          <w:t>15</w:t>
        </w:r>
        <w:r w:rsidR="00C341EB">
          <w:rPr>
            <w:webHidden/>
          </w:rPr>
          <w:fldChar w:fldCharType="end"/>
        </w:r>
      </w:hyperlink>
    </w:p>
    <w:p w14:paraId="7FCAF174" w14:textId="73F4EC96" w:rsidR="00C341EB" w:rsidRDefault="00D11278">
      <w:pPr>
        <w:pStyle w:val="TOC8"/>
        <w:rPr>
          <w:rFonts w:asciiTheme="minorHAnsi" w:eastAsiaTheme="minorEastAsia" w:hAnsiTheme="minorHAnsi" w:cstheme="minorBidi"/>
          <w:sz w:val="22"/>
          <w:szCs w:val="22"/>
        </w:rPr>
      </w:pPr>
      <w:hyperlink w:anchor="_Toc493068340" w:history="1">
        <w:r w:rsidR="00C341EB" w:rsidRPr="0067542F">
          <w:rPr>
            <w:rStyle w:val="Hyperlink"/>
          </w:rPr>
          <w:t>Raynaud’s disease</w:t>
        </w:r>
        <w:r w:rsidR="00C341EB">
          <w:rPr>
            <w:webHidden/>
          </w:rPr>
          <w:tab/>
        </w:r>
        <w:r w:rsidR="00C341EB">
          <w:rPr>
            <w:webHidden/>
          </w:rPr>
          <w:fldChar w:fldCharType="begin"/>
        </w:r>
        <w:r w:rsidR="00C341EB">
          <w:rPr>
            <w:webHidden/>
          </w:rPr>
          <w:instrText xml:space="preserve"> PAGEREF _Toc493068340 \h </w:instrText>
        </w:r>
        <w:r w:rsidR="00C341EB">
          <w:rPr>
            <w:webHidden/>
          </w:rPr>
        </w:r>
        <w:r w:rsidR="00C341EB">
          <w:rPr>
            <w:webHidden/>
          </w:rPr>
          <w:fldChar w:fldCharType="separate"/>
        </w:r>
        <w:r w:rsidR="00715C85">
          <w:rPr>
            <w:webHidden/>
          </w:rPr>
          <w:t>15</w:t>
        </w:r>
        <w:r w:rsidR="00C341EB">
          <w:rPr>
            <w:webHidden/>
          </w:rPr>
          <w:fldChar w:fldCharType="end"/>
        </w:r>
      </w:hyperlink>
    </w:p>
    <w:p w14:paraId="279DD964" w14:textId="29D8DD35" w:rsidR="00C341EB" w:rsidRDefault="00D11278">
      <w:pPr>
        <w:pStyle w:val="TOC8"/>
        <w:rPr>
          <w:rFonts w:asciiTheme="minorHAnsi" w:eastAsiaTheme="minorEastAsia" w:hAnsiTheme="minorHAnsi" w:cstheme="minorBidi"/>
          <w:sz w:val="22"/>
          <w:szCs w:val="22"/>
        </w:rPr>
      </w:pPr>
      <w:hyperlink w:anchor="_Toc493068341" w:history="1">
        <w:r w:rsidR="00C341EB" w:rsidRPr="0067542F">
          <w:rPr>
            <w:rStyle w:val="Hyperlink"/>
          </w:rPr>
          <w:t>Bursitis (at the elbow or knee)</w:t>
        </w:r>
        <w:r w:rsidR="00C341EB">
          <w:rPr>
            <w:webHidden/>
          </w:rPr>
          <w:tab/>
        </w:r>
        <w:r w:rsidR="00C341EB">
          <w:rPr>
            <w:webHidden/>
          </w:rPr>
          <w:fldChar w:fldCharType="begin"/>
        </w:r>
        <w:r w:rsidR="00C341EB">
          <w:rPr>
            <w:webHidden/>
          </w:rPr>
          <w:instrText xml:space="preserve"> PAGEREF _Toc493068341 \h </w:instrText>
        </w:r>
        <w:r w:rsidR="00C341EB">
          <w:rPr>
            <w:webHidden/>
          </w:rPr>
        </w:r>
        <w:r w:rsidR="00C341EB">
          <w:rPr>
            <w:webHidden/>
          </w:rPr>
          <w:fldChar w:fldCharType="separate"/>
        </w:r>
        <w:r w:rsidR="00715C85">
          <w:rPr>
            <w:webHidden/>
          </w:rPr>
          <w:t>15</w:t>
        </w:r>
        <w:r w:rsidR="00C341EB">
          <w:rPr>
            <w:webHidden/>
          </w:rPr>
          <w:fldChar w:fldCharType="end"/>
        </w:r>
      </w:hyperlink>
    </w:p>
    <w:p w14:paraId="6DA99A88" w14:textId="5E79ED8E" w:rsidR="00C341EB" w:rsidRDefault="00D11278">
      <w:pPr>
        <w:pStyle w:val="TOC7"/>
        <w:rPr>
          <w:rFonts w:asciiTheme="minorHAnsi" w:eastAsiaTheme="minorEastAsia" w:hAnsiTheme="minorHAnsi" w:cstheme="minorBidi"/>
          <w:b w:val="0"/>
          <w:sz w:val="22"/>
          <w:szCs w:val="22"/>
          <w:lang w:val="en-US"/>
        </w:rPr>
      </w:pPr>
      <w:hyperlink w:anchor="_Toc493068342" w:history="1">
        <w:r w:rsidR="00C341EB" w:rsidRPr="0067542F">
          <w:rPr>
            <w:rStyle w:val="Hyperlink"/>
          </w:rPr>
          <w:t>Acute poisoning and toxicity</w:t>
        </w:r>
        <w:r w:rsidR="00C341EB">
          <w:rPr>
            <w:webHidden/>
          </w:rPr>
          <w:tab/>
        </w:r>
        <w:r w:rsidR="00C341EB">
          <w:rPr>
            <w:webHidden/>
          </w:rPr>
          <w:fldChar w:fldCharType="begin"/>
        </w:r>
        <w:r w:rsidR="00C341EB">
          <w:rPr>
            <w:webHidden/>
          </w:rPr>
          <w:instrText xml:space="preserve"> PAGEREF _Toc493068342 \h </w:instrText>
        </w:r>
        <w:r w:rsidR="00C341EB">
          <w:rPr>
            <w:webHidden/>
          </w:rPr>
        </w:r>
        <w:r w:rsidR="00C341EB">
          <w:rPr>
            <w:webHidden/>
          </w:rPr>
          <w:fldChar w:fldCharType="separate"/>
        </w:r>
        <w:r w:rsidR="00715C85">
          <w:rPr>
            <w:webHidden/>
          </w:rPr>
          <w:t>15</w:t>
        </w:r>
        <w:r w:rsidR="00C341EB">
          <w:rPr>
            <w:webHidden/>
          </w:rPr>
          <w:fldChar w:fldCharType="end"/>
        </w:r>
      </w:hyperlink>
    </w:p>
    <w:p w14:paraId="1E9A3F01" w14:textId="112ABF13" w:rsidR="00C341EB" w:rsidRDefault="00D11278">
      <w:pPr>
        <w:pStyle w:val="TOC6"/>
        <w:rPr>
          <w:rFonts w:asciiTheme="minorHAnsi" w:eastAsiaTheme="minorEastAsia" w:hAnsiTheme="minorHAnsi" w:cstheme="minorBidi"/>
          <w:b w:val="0"/>
          <w:smallCaps w:val="0"/>
          <w:sz w:val="22"/>
          <w:szCs w:val="22"/>
        </w:rPr>
      </w:pPr>
      <w:hyperlink w:anchor="_Toc493068343" w:history="1">
        <w:r w:rsidR="00C341EB" w:rsidRPr="0067542F">
          <w:rPr>
            <w:rStyle w:val="Hyperlink"/>
          </w:rPr>
          <w:t>5.</w:t>
        </w:r>
        <w:r w:rsidR="00C341EB">
          <w:rPr>
            <w:rFonts w:asciiTheme="minorHAnsi" w:eastAsiaTheme="minorEastAsia" w:hAnsiTheme="minorHAnsi" w:cstheme="minorBidi"/>
            <w:b w:val="0"/>
            <w:smallCaps w:val="0"/>
            <w:sz w:val="22"/>
            <w:szCs w:val="22"/>
          </w:rPr>
          <w:tab/>
        </w:r>
        <w:r w:rsidR="00C341EB" w:rsidRPr="0067542F">
          <w:rPr>
            <w:rStyle w:val="Hyperlink"/>
          </w:rPr>
          <w:t>EXPOSURE PREVALENCE</w:t>
        </w:r>
        <w:r w:rsidR="00C341EB">
          <w:rPr>
            <w:webHidden/>
          </w:rPr>
          <w:tab/>
        </w:r>
        <w:r w:rsidR="00C341EB">
          <w:rPr>
            <w:webHidden/>
          </w:rPr>
          <w:fldChar w:fldCharType="begin"/>
        </w:r>
        <w:r w:rsidR="00C341EB">
          <w:rPr>
            <w:webHidden/>
          </w:rPr>
          <w:instrText xml:space="preserve"> PAGEREF _Toc493068343 \h </w:instrText>
        </w:r>
        <w:r w:rsidR="00C341EB">
          <w:rPr>
            <w:webHidden/>
          </w:rPr>
        </w:r>
        <w:r w:rsidR="00C341EB">
          <w:rPr>
            <w:webHidden/>
          </w:rPr>
          <w:fldChar w:fldCharType="separate"/>
        </w:r>
        <w:r w:rsidR="00715C85">
          <w:rPr>
            <w:webHidden/>
          </w:rPr>
          <w:t>16</w:t>
        </w:r>
        <w:r w:rsidR="00C341EB">
          <w:rPr>
            <w:webHidden/>
          </w:rPr>
          <w:fldChar w:fldCharType="end"/>
        </w:r>
      </w:hyperlink>
    </w:p>
    <w:p w14:paraId="1E6FDCE9" w14:textId="4CD682F9" w:rsidR="00C341EB" w:rsidRDefault="00D11278">
      <w:pPr>
        <w:pStyle w:val="TOC7"/>
        <w:rPr>
          <w:rFonts w:asciiTheme="minorHAnsi" w:eastAsiaTheme="minorEastAsia" w:hAnsiTheme="minorHAnsi" w:cstheme="minorBidi"/>
          <w:b w:val="0"/>
          <w:sz w:val="22"/>
          <w:szCs w:val="22"/>
          <w:lang w:val="en-US"/>
        </w:rPr>
      </w:pPr>
      <w:hyperlink w:anchor="_Toc493068344" w:history="1">
        <w:r w:rsidR="00C341EB" w:rsidRPr="0067542F">
          <w:rPr>
            <w:rStyle w:val="Hyperlink"/>
          </w:rPr>
          <w:t>Carcinogens</w:t>
        </w:r>
        <w:r w:rsidR="00C341EB">
          <w:rPr>
            <w:webHidden/>
          </w:rPr>
          <w:tab/>
        </w:r>
        <w:r w:rsidR="00C341EB">
          <w:rPr>
            <w:webHidden/>
          </w:rPr>
          <w:fldChar w:fldCharType="begin"/>
        </w:r>
        <w:r w:rsidR="00C341EB">
          <w:rPr>
            <w:webHidden/>
          </w:rPr>
          <w:instrText xml:space="preserve"> PAGEREF _Toc493068344 \h </w:instrText>
        </w:r>
        <w:r w:rsidR="00C341EB">
          <w:rPr>
            <w:webHidden/>
          </w:rPr>
        </w:r>
        <w:r w:rsidR="00C341EB">
          <w:rPr>
            <w:webHidden/>
          </w:rPr>
          <w:fldChar w:fldCharType="separate"/>
        </w:r>
        <w:r w:rsidR="00715C85">
          <w:rPr>
            <w:webHidden/>
          </w:rPr>
          <w:t>16</w:t>
        </w:r>
        <w:r w:rsidR="00C341EB">
          <w:rPr>
            <w:webHidden/>
          </w:rPr>
          <w:fldChar w:fldCharType="end"/>
        </w:r>
      </w:hyperlink>
    </w:p>
    <w:p w14:paraId="447A9E6D" w14:textId="20D0B3D1" w:rsidR="00C341EB" w:rsidRDefault="00D11278">
      <w:pPr>
        <w:pStyle w:val="TOC7"/>
        <w:rPr>
          <w:rFonts w:asciiTheme="minorHAnsi" w:eastAsiaTheme="minorEastAsia" w:hAnsiTheme="minorHAnsi" w:cstheme="minorBidi"/>
          <w:b w:val="0"/>
          <w:sz w:val="22"/>
          <w:szCs w:val="22"/>
          <w:lang w:val="en-US"/>
        </w:rPr>
      </w:pPr>
      <w:hyperlink w:anchor="_Toc493068345" w:history="1">
        <w:r w:rsidR="00C341EB" w:rsidRPr="0067542F">
          <w:rPr>
            <w:rStyle w:val="Hyperlink"/>
          </w:rPr>
          <w:t>Asthmagens</w:t>
        </w:r>
        <w:r w:rsidR="00C341EB">
          <w:rPr>
            <w:webHidden/>
          </w:rPr>
          <w:tab/>
        </w:r>
        <w:r w:rsidR="00C341EB">
          <w:rPr>
            <w:webHidden/>
          </w:rPr>
          <w:fldChar w:fldCharType="begin"/>
        </w:r>
        <w:r w:rsidR="00C341EB">
          <w:rPr>
            <w:webHidden/>
          </w:rPr>
          <w:instrText xml:space="preserve"> PAGEREF _Toc493068345 \h </w:instrText>
        </w:r>
        <w:r w:rsidR="00C341EB">
          <w:rPr>
            <w:webHidden/>
          </w:rPr>
        </w:r>
        <w:r w:rsidR="00C341EB">
          <w:rPr>
            <w:webHidden/>
          </w:rPr>
          <w:fldChar w:fldCharType="separate"/>
        </w:r>
        <w:r w:rsidR="00715C85">
          <w:rPr>
            <w:webHidden/>
          </w:rPr>
          <w:t>16</w:t>
        </w:r>
        <w:r w:rsidR="00C341EB">
          <w:rPr>
            <w:webHidden/>
          </w:rPr>
          <w:fldChar w:fldCharType="end"/>
        </w:r>
      </w:hyperlink>
    </w:p>
    <w:p w14:paraId="2F1C95E3" w14:textId="68C192BE" w:rsidR="00C341EB" w:rsidRDefault="00D11278">
      <w:pPr>
        <w:pStyle w:val="TOC7"/>
        <w:rPr>
          <w:rFonts w:asciiTheme="minorHAnsi" w:eastAsiaTheme="minorEastAsia" w:hAnsiTheme="minorHAnsi" w:cstheme="minorBidi"/>
          <w:b w:val="0"/>
          <w:sz w:val="22"/>
          <w:szCs w:val="22"/>
          <w:lang w:val="en-US"/>
        </w:rPr>
      </w:pPr>
      <w:hyperlink w:anchor="_Toc493068346" w:history="1">
        <w:r w:rsidR="00C341EB" w:rsidRPr="0067542F">
          <w:rPr>
            <w:rStyle w:val="Hyperlink"/>
          </w:rPr>
          <w:t>Other agents</w:t>
        </w:r>
        <w:r w:rsidR="00C341EB">
          <w:rPr>
            <w:webHidden/>
          </w:rPr>
          <w:tab/>
        </w:r>
        <w:r w:rsidR="00C341EB">
          <w:rPr>
            <w:webHidden/>
          </w:rPr>
          <w:fldChar w:fldCharType="begin"/>
        </w:r>
        <w:r w:rsidR="00C341EB">
          <w:rPr>
            <w:webHidden/>
          </w:rPr>
          <w:instrText xml:space="preserve"> PAGEREF _Toc493068346 \h </w:instrText>
        </w:r>
        <w:r w:rsidR="00C341EB">
          <w:rPr>
            <w:webHidden/>
          </w:rPr>
        </w:r>
        <w:r w:rsidR="00C341EB">
          <w:rPr>
            <w:webHidden/>
          </w:rPr>
          <w:fldChar w:fldCharType="separate"/>
        </w:r>
        <w:r w:rsidR="00715C85">
          <w:rPr>
            <w:webHidden/>
          </w:rPr>
          <w:t>16</w:t>
        </w:r>
        <w:r w:rsidR="00C341EB">
          <w:rPr>
            <w:webHidden/>
          </w:rPr>
          <w:fldChar w:fldCharType="end"/>
        </w:r>
      </w:hyperlink>
    </w:p>
    <w:p w14:paraId="76AEFA95" w14:textId="34670D4C" w:rsidR="00C341EB" w:rsidRDefault="00D11278">
      <w:pPr>
        <w:pStyle w:val="TOC6"/>
        <w:rPr>
          <w:rFonts w:asciiTheme="minorHAnsi" w:eastAsiaTheme="minorEastAsia" w:hAnsiTheme="minorHAnsi" w:cstheme="minorBidi"/>
          <w:b w:val="0"/>
          <w:smallCaps w:val="0"/>
          <w:sz w:val="22"/>
          <w:szCs w:val="22"/>
        </w:rPr>
      </w:pPr>
      <w:hyperlink w:anchor="_Toc493068347" w:history="1">
        <w:r w:rsidR="00C341EB" w:rsidRPr="0067542F">
          <w:rPr>
            <w:rStyle w:val="Hyperlink"/>
          </w:rPr>
          <w:t>6.</w:t>
        </w:r>
        <w:r w:rsidR="00C341EB">
          <w:rPr>
            <w:rFonts w:asciiTheme="minorHAnsi" w:eastAsiaTheme="minorEastAsia" w:hAnsiTheme="minorHAnsi" w:cstheme="minorBidi"/>
            <w:b w:val="0"/>
            <w:smallCaps w:val="0"/>
            <w:sz w:val="22"/>
            <w:szCs w:val="22"/>
          </w:rPr>
          <w:tab/>
        </w:r>
        <w:r w:rsidR="00C341EB" w:rsidRPr="0067542F">
          <w:rPr>
            <w:rStyle w:val="Hyperlink"/>
          </w:rPr>
          <w:t>DURATION OF EXPOSURE AND LATENCY</w:t>
        </w:r>
        <w:r w:rsidR="00C341EB">
          <w:rPr>
            <w:webHidden/>
          </w:rPr>
          <w:tab/>
        </w:r>
        <w:r w:rsidR="00C341EB">
          <w:rPr>
            <w:webHidden/>
          </w:rPr>
          <w:fldChar w:fldCharType="begin"/>
        </w:r>
        <w:r w:rsidR="00C341EB">
          <w:rPr>
            <w:webHidden/>
          </w:rPr>
          <w:instrText xml:space="preserve"> PAGEREF _Toc493068347 \h </w:instrText>
        </w:r>
        <w:r w:rsidR="00C341EB">
          <w:rPr>
            <w:webHidden/>
          </w:rPr>
        </w:r>
        <w:r w:rsidR="00C341EB">
          <w:rPr>
            <w:webHidden/>
          </w:rPr>
          <w:fldChar w:fldCharType="separate"/>
        </w:r>
        <w:r w:rsidR="00715C85">
          <w:rPr>
            <w:webHidden/>
          </w:rPr>
          <w:t>19</w:t>
        </w:r>
        <w:r w:rsidR="00C341EB">
          <w:rPr>
            <w:webHidden/>
          </w:rPr>
          <w:fldChar w:fldCharType="end"/>
        </w:r>
      </w:hyperlink>
    </w:p>
    <w:p w14:paraId="31D00D28" w14:textId="78F24625" w:rsidR="00C341EB" w:rsidRDefault="00D11278">
      <w:pPr>
        <w:pStyle w:val="TOC7"/>
        <w:rPr>
          <w:rFonts w:asciiTheme="minorHAnsi" w:eastAsiaTheme="minorEastAsia" w:hAnsiTheme="minorHAnsi" w:cstheme="minorBidi"/>
          <w:b w:val="0"/>
          <w:sz w:val="22"/>
          <w:szCs w:val="22"/>
          <w:lang w:val="en-US"/>
        </w:rPr>
      </w:pPr>
      <w:hyperlink w:anchor="_Toc493068348" w:history="1">
        <w:r w:rsidR="00C341EB" w:rsidRPr="0067542F">
          <w:rPr>
            <w:rStyle w:val="Hyperlink"/>
          </w:rPr>
          <w:t>Introduction</w:t>
        </w:r>
        <w:r w:rsidR="00C341EB">
          <w:rPr>
            <w:webHidden/>
          </w:rPr>
          <w:tab/>
        </w:r>
        <w:r w:rsidR="00C341EB">
          <w:rPr>
            <w:webHidden/>
          </w:rPr>
          <w:fldChar w:fldCharType="begin"/>
        </w:r>
        <w:r w:rsidR="00C341EB">
          <w:rPr>
            <w:webHidden/>
          </w:rPr>
          <w:instrText xml:space="preserve"> PAGEREF _Toc493068348 \h </w:instrText>
        </w:r>
        <w:r w:rsidR="00C341EB">
          <w:rPr>
            <w:webHidden/>
          </w:rPr>
        </w:r>
        <w:r w:rsidR="00C341EB">
          <w:rPr>
            <w:webHidden/>
          </w:rPr>
          <w:fldChar w:fldCharType="separate"/>
        </w:r>
        <w:r w:rsidR="00715C85">
          <w:rPr>
            <w:webHidden/>
          </w:rPr>
          <w:t>19</w:t>
        </w:r>
        <w:r w:rsidR="00C341EB">
          <w:rPr>
            <w:webHidden/>
          </w:rPr>
          <w:fldChar w:fldCharType="end"/>
        </w:r>
      </w:hyperlink>
    </w:p>
    <w:p w14:paraId="15958815" w14:textId="3D099C1B" w:rsidR="00C341EB" w:rsidRDefault="00D11278">
      <w:pPr>
        <w:pStyle w:val="TOC7"/>
        <w:rPr>
          <w:rFonts w:asciiTheme="minorHAnsi" w:eastAsiaTheme="minorEastAsia" w:hAnsiTheme="minorHAnsi" w:cstheme="minorBidi"/>
          <w:b w:val="0"/>
          <w:sz w:val="22"/>
          <w:szCs w:val="22"/>
          <w:lang w:val="en-US"/>
        </w:rPr>
      </w:pPr>
      <w:hyperlink w:anchor="_Toc493068349" w:history="1">
        <w:r w:rsidR="00C341EB" w:rsidRPr="0067542F">
          <w:rPr>
            <w:rStyle w:val="Hyperlink"/>
          </w:rPr>
          <w:t>Cancer</w:t>
        </w:r>
        <w:r w:rsidR="00C341EB">
          <w:rPr>
            <w:webHidden/>
          </w:rPr>
          <w:tab/>
        </w:r>
        <w:r w:rsidR="00C341EB">
          <w:rPr>
            <w:webHidden/>
          </w:rPr>
          <w:fldChar w:fldCharType="begin"/>
        </w:r>
        <w:r w:rsidR="00C341EB">
          <w:rPr>
            <w:webHidden/>
          </w:rPr>
          <w:instrText xml:space="preserve"> PAGEREF _Toc493068349 \h </w:instrText>
        </w:r>
        <w:r w:rsidR="00C341EB">
          <w:rPr>
            <w:webHidden/>
          </w:rPr>
        </w:r>
        <w:r w:rsidR="00C341EB">
          <w:rPr>
            <w:webHidden/>
          </w:rPr>
          <w:fldChar w:fldCharType="separate"/>
        </w:r>
        <w:r w:rsidR="00715C85">
          <w:rPr>
            <w:webHidden/>
          </w:rPr>
          <w:t>20</w:t>
        </w:r>
        <w:r w:rsidR="00C341EB">
          <w:rPr>
            <w:webHidden/>
          </w:rPr>
          <w:fldChar w:fldCharType="end"/>
        </w:r>
      </w:hyperlink>
    </w:p>
    <w:p w14:paraId="24924B39" w14:textId="5AAB0E31" w:rsidR="00C341EB" w:rsidRDefault="00D11278">
      <w:pPr>
        <w:pStyle w:val="TOC8"/>
        <w:rPr>
          <w:rFonts w:asciiTheme="minorHAnsi" w:eastAsiaTheme="minorEastAsia" w:hAnsiTheme="minorHAnsi" w:cstheme="minorBidi"/>
          <w:sz w:val="22"/>
          <w:szCs w:val="22"/>
        </w:rPr>
      </w:pPr>
      <w:hyperlink w:anchor="_Toc493068350" w:history="1">
        <w:r w:rsidR="00C341EB" w:rsidRPr="0067542F">
          <w:rPr>
            <w:rStyle w:val="Hyperlink"/>
          </w:rPr>
          <w:t>All cancers</w:t>
        </w:r>
        <w:r w:rsidR="00C341EB">
          <w:rPr>
            <w:webHidden/>
          </w:rPr>
          <w:tab/>
        </w:r>
        <w:r w:rsidR="00C341EB">
          <w:rPr>
            <w:webHidden/>
          </w:rPr>
          <w:fldChar w:fldCharType="begin"/>
        </w:r>
        <w:r w:rsidR="00C341EB">
          <w:rPr>
            <w:webHidden/>
          </w:rPr>
          <w:instrText xml:space="preserve"> PAGEREF _Toc493068350 \h </w:instrText>
        </w:r>
        <w:r w:rsidR="00C341EB">
          <w:rPr>
            <w:webHidden/>
          </w:rPr>
        </w:r>
        <w:r w:rsidR="00C341EB">
          <w:rPr>
            <w:webHidden/>
          </w:rPr>
          <w:fldChar w:fldCharType="separate"/>
        </w:r>
        <w:r w:rsidR="00715C85">
          <w:rPr>
            <w:webHidden/>
          </w:rPr>
          <w:t>20</w:t>
        </w:r>
        <w:r w:rsidR="00C341EB">
          <w:rPr>
            <w:webHidden/>
          </w:rPr>
          <w:fldChar w:fldCharType="end"/>
        </w:r>
      </w:hyperlink>
    </w:p>
    <w:p w14:paraId="1B5C8906" w14:textId="5BC9F73B" w:rsidR="00C341EB" w:rsidRDefault="00D11278">
      <w:pPr>
        <w:pStyle w:val="TOC8"/>
        <w:rPr>
          <w:rFonts w:asciiTheme="minorHAnsi" w:eastAsiaTheme="minorEastAsia" w:hAnsiTheme="minorHAnsi" w:cstheme="minorBidi"/>
          <w:sz w:val="22"/>
          <w:szCs w:val="22"/>
        </w:rPr>
      </w:pPr>
      <w:hyperlink w:anchor="_Toc493068351" w:history="1">
        <w:r w:rsidR="00C341EB" w:rsidRPr="0067542F">
          <w:rPr>
            <w:rStyle w:val="Hyperlink"/>
          </w:rPr>
          <w:t>Malignant mesothelioma</w:t>
        </w:r>
        <w:r w:rsidR="00C341EB">
          <w:rPr>
            <w:webHidden/>
          </w:rPr>
          <w:tab/>
        </w:r>
        <w:r w:rsidR="00C341EB">
          <w:rPr>
            <w:webHidden/>
          </w:rPr>
          <w:fldChar w:fldCharType="begin"/>
        </w:r>
        <w:r w:rsidR="00C341EB">
          <w:rPr>
            <w:webHidden/>
          </w:rPr>
          <w:instrText xml:space="preserve"> PAGEREF _Toc493068351 \h </w:instrText>
        </w:r>
        <w:r w:rsidR="00C341EB">
          <w:rPr>
            <w:webHidden/>
          </w:rPr>
        </w:r>
        <w:r w:rsidR="00C341EB">
          <w:rPr>
            <w:webHidden/>
          </w:rPr>
          <w:fldChar w:fldCharType="separate"/>
        </w:r>
        <w:r w:rsidR="00715C85">
          <w:rPr>
            <w:webHidden/>
          </w:rPr>
          <w:t>21</w:t>
        </w:r>
        <w:r w:rsidR="00C341EB">
          <w:rPr>
            <w:webHidden/>
          </w:rPr>
          <w:fldChar w:fldCharType="end"/>
        </w:r>
      </w:hyperlink>
    </w:p>
    <w:p w14:paraId="48017150" w14:textId="24B5D6DB" w:rsidR="00C341EB" w:rsidRDefault="00D11278">
      <w:pPr>
        <w:pStyle w:val="TOC8"/>
        <w:rPr>
          <w:rFonts w:asciiTheme="minorHAnsi" w:eastAsiaTheme="minorEastAsia" w:hAnsiTheme="minorHAnsi" w:cstheme="minorBidi"/>
          <w:sz w:val="22"/>
          <w:szCs w:val="22"/>
        </w:rPr>
      </w:pPr>
      <w:hyperlink w:anchor="_Toc493068352" w:history="1">
        <w:r w:rsidR="00C341EB" w:rsidRPr="0067542F">
          <w:rPr>
            <w:rStyle w:val="Hyperlink"/>
          </w:rPr>
          <w:t>Lung cancer</w:t>
        </w:r>
        <w:r w:rsidR="00C341EB">
          <w:rPr>
            <w:webHidden/>
          </w:rPr>
          <w:tab/>
        </w:r>
        <w:r w:rsidR="00C341EB">
          <w:rPr>
            <w:webHidden/>
          </w:rPr>
          <w:fldChar w:fldCharType="begin"/>
        </w:r>
        <w:r w:rsidR="00C341EB">
          <w:rPr>
            <w:webHidden/>
          </w:rPr>
          <w:instrText xml:space="preserve"> PAGEREF _Toc493068352 \h </w:instrText>
        </w:r>
        <w:r w:rsidR="00C341EB">
          <w:rPr>
            <w:webHidden/>
          </w:rPr>
        </w:r>
        <w:r w:rsidR="00C341EB">
          <w:rPr>
            <w:webHidden/>
          </w:rPr>
          <w:fldChar w:fldCharType="separate"/>
        </w:r>
        <w:r w:rsidR="00715C85">
          <w:rPr>
            <w:webHidden/>
          </w:rPr>
          <w:t>21</w:t>
        </w:r>
        <w:r w:rsidR="00C341EB">
          <w:rPr>
            <w:webHidden/>
          </w:rPr>
          <w:fldChar w:fldCharType="end"/>
        </w:r>
      </w:hyperlink>
    </w:p>
    <w:p w14:paraId="7A64E47F" w14:textId="7B825A9F" w:rsidR="00C341EB" w:rsidRDefault="00D11278">
      <w:pPr>
        <w:pStyle w:val="TOC8"/>
        <w:rPr>
          <w:rFonts w:asciiTheme="minorHAnsi" w:eastAsiaTheme="minorEastAsia" w:hAnsiTheme="minorHAnsi" w:cstheme="minorBidi"/>
          <w:sz w:val="22"/>
          <w:szCs w:val="22"/>
        </w:rPr>
      </w:pPr>
      <w:hyperlink w:anchor="_Toc493068353" w:history="1">
        <w:r w:rsidR="00C341EB" w:rsidRPr="0067542F">
          <w:rPr>
            <w:rStyle w:val="Hyperlink"/>
          </w:rPr>
          <w:t>All other cancers</w:t>
        </w:r>
        <w:r w:rsidR="00C341EB">
          <w:rPr>
            <w:webHidden/>
          </w:rPr>
          <w:tab/>
        </w:r>
        <w:r w:rsidR="00C341EB">
          <w:rPr>
            <w:webHidden/>
          </w:rPr>
          <w:fldChar w:fldCharType="begin"/>
        </w:r>
        <w:r w:rsidR="00C341EB">
          <w:rPr>
            <w:webHidden/>
          </w:rPr>
          <w:instrText xml:space="preserve"> PAGEREF _Toc493068353 \h </w:instrText>
        </w:r>
        <w:r w:rsidR="00C341EB">
          <w:rPr>
            <w:webHidden/>
          </w:rPr>
        </w:r>
        <w:r w:rsidR="00C341EB">
          <w:rPr>
            <w:webHidden/>
          </w:rPr>
          <w:fldChar w:fldCharType="separate"/>
        </w:r>
        <w:r w:rsidR="00715C85">
          <w:rPr>
            <w:webHidden/>
          </w:rPr>
          <w:t>22</w:t>
        </w:r>
        <w:r w:rsidR="00C341EB">
          <w:rPr>
            <w:webHidden/>
          </w:rPr>
          <w:fldChar w:fldCharType="end"/>
        </w:r>
      </w:hyperlink>
    </w:p>
    <w:p w14:paraId="0B9EE58F" w14:textId="4C9D903C" w:rsidR="00C341EB" w:rsidRDefault="00D11278">
      <w:pPr>
        <w:pStyle w:val="TOC7"/>
        <w:rPr>
          <w:rFonts w:asciiTheme="minorHAnsi" w:eastAsiaTheme="minorEastAsia" w:hAnsiTheme="minorHAnsi" w:cstheme="minorBidi"/>
          <w:b w:val="0"/>
          <w:sz w:val="22"/>
          <w:szCs w:val="22"/>
          <w:lang w:val="en-US"/>
        </w:rPr>
      </w:pPr>
      <w:hyperlink w:anchor="_Toc493068354" w:history="1">
        <w:r w:rsidR="00C341EB" w:rsidRPr="0067542F">
          <w:rPr>
            <w:rStyle w:val="Hyperlink"/>
          </w:rPr>
          <w:t>Infection</w:t>
        </w:r>
        <w:r w:rsidR="00C341EB">
          <w:rPr>
            <w:webHidden/>
          </w:rPr>
          <w:tab/>
        </w:r>
        <w:r w:rsidR="00C341EB">
          <w:rPr>
            <w:webHidden/>
          </w:rPr>
          <w:fldChar w:fldCharType="begin"/>
        </w:r>
        <w:r w:rsidR="00C341EB">
          <w:rPr>
            <w:webHidden/>
          </w:rPr>
          <w:instrText xml:space="preserve"> PAGEREF _Toc493068354 \h </w:instrText>
        </w:r>
        <w:r w:rsidR="00C341EB">
          <w:rPr>
            <w:webHidden/>
          </w:rPr>
        </w:r>
        <w:r w:rsidR="00C341EB">
          <w:rPr>
            <w:webHidden/>
          </w:rPr>
          <w:fldChar w:fldCharType="separate"/>
        </w:r>
        <w:r w:rsidR="00715C85">
          <w:rPr>
            <w:webHidden/>
          </w:rPr>
          <w:t>22</w:t>
        </w:r>
        <w:r w:rsidR="00C341EB">
          <w:rPr>
            <w:webHidden/>
          </w:rPr>
          <w:fldChar w:fldCharType="end"/>
        </w:r>
      </w:hyperlink>
    </w:p>
    <w:p w14:paraId="69D9575E" w14:textId="19411E32" w:rsidR="00C341EB" w:rsidRDefault="00D11278">
      <w:pPr>
        <w:pStyle w:val="TOC7"/>
        <w:rPr>
          <w:rFonts w:asciiTheme="minorHAnsi" w:eastAsiaTheme="minorEastAsia" w:hAnsiTheme="minorHAnsi" w:cstheme="minorBidi"/>
          <w:b w:val="0"/>
          <w:sz w:val="22"/>
          <w:szCs w:val="22"/>
          <w:lang w:val="en-US"/>
        </w:rPr>
      </w:pPr>
      <w:hyperlink w:anchor="_Toc493068355" w:history="1">
        <w:r w:rsidR="00C341EB" w:rsidRPr="0067542F">
          <w:rPr>
            <w:rStyle w:val="Hyperlink"/>
          </w:rPr>
          <w:t>Diseases of the nervous system</w:t>
        </w:r>
        <w:r w:rsidR="00C341EB">
          <w:rPr>
            <w:webHidden/>
          </w:rPr>
          <w:tab/>
        </w:r>
        <w:r w:rsidR="00C341EB">
          <w:rPr>
            <w:webHidden/>
          </w:rPr>
          <w:fldChar w:fldCharType="begin"/>
        </w:r>
        <w:r w:rsidR="00C341EB">
          <w:rPr>
            <w:webHidden/>
          </w:rPr>
          <w:instrText xml:space="preserve"> PAGEREF _Toc493068355 \h </w:instrText>
        </w:r>
        <w:r w:rsidR="00C341EB">
          <w:rPr>
            <w:webHidden/>
          </w:rPr>
        </w:r>
        <w:r w:rsidR="00C341EB">
          <w:rPr>
            <w:webHidden/>
          </w:rPr>
          <w:fldChar w:fldCharType="separate"/>
        </w:r>
        <w:r w:rsidR="00715C85">
          <w:rPr>
            <w:webHidden/>
          </w:rPr>
          <w:t>23</w:t>
        </w:r>
        <w:r w:rsidR="00C341EB">
          <w:rPr>
            <w:webHidden/>
          </w:rPr>
          <w:fldChar w:fldCharType="end"/>
        </w:r>
      </w:hyperlink>
    </w:p>
    <w:p w14:paraId="51F9A8BC" w14:textId="393029F3" w:rsidR="00C341EB" w:rsidRDefault="00D11278">
      <w:pPr>
        <w:pStyle w:val="TOC8"/>
        <w:rPr>
          <w:rFonts w:asciiTheme="minorHAnsi" w:eastAsiaTheme="minorEastAsia" w:hAnsiTheme="minorHAnsi" w:cstheme="minorBidi"/>
          <w:sz w:val="22"/>
          <w:szCs w:val="22"/>
        </w:rPr>
      </w:pPr>
      <w:hyperlink w:anchor="_Toc493068356" w:history="1">
        <w:r w:rsidR="00C341EB" w:rsidRPr="0067542F">
          <w:rPr>
            <w:rStyle w:val="Hyperlink"/>
          </w:rPr>
          <w:t>Parkinson's disease</w:t>
        </w:r>
        <w:r w:rsidR="00C341EB">
          <w:rPr>
            <w:webHidden/>
          </w:rPr>
          <w:tab/>
        </w:r>
        <w:r w:rsidR="00C341EB">
          <w:rPr>
            <w:webHidden/>
          </w:rPr>
          <w:fldChar w:fldCharType="begin"/>
        </w:r>
        <w:r w:rsidR="00C341EB">
          <w:rPr>
            <w:webHidden/>
          </w:rPr>
          <w:instrText xml:space="preserve"> PAGEREF _Toc493068356 \h </w:instrText>
        </w:r>
        <w:r w:rsidR="00C341EB">
          <w:rPr>
            <w:webHidden/>
          </w:rPr>
        </w:r>
        <w:r w:rsidR="00C341EB">
          <w:rPr>
            <w:webHidden/>
          </w:rPr>
          <w:fldChar w:fldCharType="separate"/>
        </w:r>
        <w:r w:rsidR="00715C85">
          <w:rPr>
            <w:webHidden/>
          </w:rPr>
          <w:t>23</w:t>
        </w:r>
        <w:r w:rsidR="00C341EB">
          <w:rPr>
            <w:webHidden/>
          </w:rPr>
          <w:fldChar w:fldCharType="end"/>
        </w:r>
      </w:hyperlink>
    </w:p>
    <w:p w14:paraId="71CB0A3D" w14:textId="58693277" w:rsidR="00C341EB" w:rsidRDefault="00D11278">
      <w:pPr>
        <w:pStyle w:val="TOC8"/>
        <w:rPr>
          <w:rFonts w:asciiTheme="minorHAnsi" w:eastAsiaTheme="minorEastAsia" w:hAnsiTheme="minorHAnsi" w:cstheme="minorBidi"/>
          <w:sz w:val="22"/>
          <w:szCs w:val="22"/>
        </w:rPr>
      </w:pPr>
      <w:hyperlink w:anchor="_Toc493068357" w:history="1">
        <w:r w:rsidR="00C341EB" w:rsidRPr="0067542F">
          <w:rPr>
            <w:rStyle w:val="Hyperlink"/>
          </w:rPr>
          <w:t>Peripheral neuropathy</w:t>
        </w:r>
        <w:r w:rsidR="00C341EB">
          <w:rPr>
            <w:webHidden/>
          </w:rPr>
          <w:tab/>
        </w:r>
        <w:r w:rsidR="00C341EB">
          <w:rPr>
            <w:webHidden/>
          </w:rPr>
          <w:fldChar w:fldCharType="begin"/>
        </w:r>
        <w:r w:rsidR="00C341EB">
          <w:rPr>
            <w:webHidden/>
          </w:rPr>
          <w:instrText xml:space="preserve"> PAGEREF _Toc493068357 \h </w:instrText>
        </w:r>
        <w:r w:rsidR="00C341EB">
          <w:rPr>
            <w:webHidden/>
          </w:rPr>
        </w:r>
        <w:r w:rsidR="00C341EB">
          <w:rPr>
            <w:webHidden/>
          </w:rPr>
          <w:fldChar w:fldCharType="separate"/>
        </w:r>
        <w:r w:rsidR="00715C85">
          <w:rPr>
            <w:webHidden/>
          </w:rPr>
          <w:t>23</w:t>
        </w:r>
        <w:r w:rsidR="00C341EB">
          <w:rPr>
            <w:webHidden/>
          </w:rPr>
          <w:fldChar w:fldCharType="end"/>
        </w:r>
      </w:hyperlink>
    </w:p>
    <w:p w14:paraId="1554AD1D" w14:textId="680CFE0D" w:rsidR="00C341EB" w:rsidRDefault="00D11278">
      <w:pPr>
        <w:pStyle w:val="TOC7"/>
        <w:rPr>
          <w:rFonts w:asciiTheme="minorHAnsi" w:eastAsiaTheme="minorEastAsia" w:hAnsiTheme="minorHAnsi" w:cstheme="minorBidi"/>
          <w:b w:val="0"/>
          <w:sz w:val="22"/>
          <w:szCs w:val="22"/>
          <w:lang w:val="en-US"/>
        </w:rPr>
      </w:pPr>
      <w:hyperlink w:anchor="_Toc493068358" w:history="1">
        <w:r w:rsidR="00C341EB" w:rsidRPr="0067542F">
          <w:rPr>
            <w:rStyle w:val="Hyperlink"/>
          </w:rPr>
          <w:t>Diseases of the respiratory system</w:t>
        </w:r>
        <w:r w:rsidR="00C341EB">
          <w:rPr>
            <w:webHidden/>
          </w:rPr>
          <w:tab/>
        </w:r>
        <w:r w:rsidR="00C341EB">
          <w:rPr>
            <w:webHidden/>
          </w:rPr>
          <w:fldChar w:fldCharType="begin"/>
        </w:r>
        <w:r w:rsidR="00C341EB">
          <w:rPr>
            <w:webHidden/>
          </w:rPr>
          <w:instrText xml:space="preserve"> PAGEREF _Toc493068358 \h </w:instrText>
        </w:r>
        <w:r w:rsidR="00C341EB">
          <w:rPr>
            <w:webHidden/>
          </w:rPr>
        </w:r>
        <w:r w:rsidR="00C341EB">
          <w:rPr>
            <w:webHidden/>
          </w:rPr>
          <w:fldChar w:fldCharType="separate"/>
        </w:r>
        <w:r w:rsidR="00715C85">
          <w:rPr>
            <w:webHidden/>
          </w:rPr>
          <w:t>23</w:t>
        </w:r>
        <w:r w:rsidR="00C341EB">
          <w:rPr>
            <w:webHidden/>
          </w:rPr>
          <w:fldChar w:fldCharType="end"/>
        </w:r>
      </w:hyperlink>
    </w:p>
    <w:p w14:paraId="6C81FB0A" w14:textId="6FFC5388" w:rsidR="00C341EB" w:rsidRDefault="00D11278">
      <w:pPr>
        <w:pStyle w:val="TOC8"/>
        <w:rPr>
          <w:rFonts w:asciiTheme="minorHAnsi" w:eastAsiaTheme="minorEastAsia" w:hAnsiTheme="minorHAnsi" w:cstheme="minorBidi"/>
          <w:sz w:val="22"/>
          <w:szCs w:val="22"/>
        </w:rPr>
      </w:pPr>
      <w:hyperlink w:anchor="_Toc493068359" w:history="1">
        <w:r w:rsidR="00C341EB" w:rsidRPr="0067542F">
          <w:rPr>
            <w:rStyle w:val="Hyperlink"/>
          </w:rPr>
          <w:t>Asthma</w:t>
        </w:r>
        <w:r w:rsidR="00C341EB">
          <w:rPr>
            <w:webHidden/>
          </w:rPr>
          <w:tab/>
        </w:r>
        <w:r w:rsidR="00C341EB">
          <w:rPr>
            <w:webHidden/>
          </w:rPr>
          <w:fldChar w:fldCharType="begin"/>
        </w:r>
        <w:r w:rsidR="00C341EB">
          <w:rPr>
            <w:webHidden/>
          </w:rPr>
          <w:instrText xml:space="preserve"> PAGEREF _Toc493068359 \h </w:instrText>
        </w:r>
        <w:r w:rsidR="00C341EB">
          <w:rPr>
            <w:webHidden/>
          </w:rPr>
        </w:r>
        <w:r w:rsidR="00C341EB">
          <w:rPr>
            <w:webHidden/>
          </w:rPr>
          <w:fldChar w:fldCharType="separate"/>
        </w:r>
        <w:r w:rsidR="00715C85">
          <w:rPr>
            <w:webHidden/>
          </w:rPr>
          <w:t>23</w:t>
        </w:r>
        <w:r w:rsidR="00C341EB">
          <w:rPr>
            <w:webHidden/>
          </w:rPr>
          <w:fldChar w:fldCharType="end"/>
        </w:r>
      </w:hyperlink>
    </w:p>
    <w:p w14:paraId="51888FBD" w14:textId="0A5A051A" w:rsidR="00C341EB" w:rsidRDefault="00D11278">
      <w:pPr>
        <w:pStyle w:val="TOC8"/>
        <w:rPr>
          <w:rFonts w:asciiTheme="minorHAnsi" w:eastAsiaTheme="minorEastAsia" w:hAnsiTheme="minorHAnsi" w:cstheme="minorBidi"/>
          <w:sz w:val="22"/>
          <w:szCs w:val="22"/>
        </w:rPr>
      </w:pPr>
      <w:hyperlink w:anchor="_Toc493068360" w:history="1">
        <w:r w:rsidR="00C341EB" w:rsidRPr="0067542F">
          <w:rPr>
            <w:rStyle w:val="Hyperlink"/>
          </w:rPr>
          <w:t>Pneumoconioses</w:t>
        </w:r>
        <w:r w:rsidR="00C341EB">
          <w:rPr>
            <w:webHidden/>
          </w:rPr>
          <w:tab/>
        </w:r>
        <w:r w:rsidR="00C341EB">
          <w:rPr>
            <w:webHidden/>
          </w:rPr>
          <w:fldChar w:fldCharType="begin"/>
        </w:r>
        <w:r w:rsidR="00C341EB">
          <w:rPr>
            <w:webHidden/>
          </w:rPr>
          <w:instrText xml:space="preserve"> PAGEREF _Toc493068360 \h </w:instrText>
        </w:r>
        <w:r w:rsidR="00C341EB">
          <w:rPr>
            <w:webHidden/>
          </w:rPr>
        </w:r>
        <w:r w:rsidR="00C341EB">
          <w:rPr>
            <w:webHidden/>
          </w:rPr>
          <w:fldChar w:fldCharType="separate"/>
        </w:r>
        <w:r w:rsidR="00715C85">
          <w:rPr>
            <w:webHidden/>
          </w:rPr>
          <w:t>23</w:t>
        </w:r>
        <w:r w:rsidR="00C341EB">
          <w:rPr>
            <w:webHidden/>
          </w:rPr>
          <w:fldChar w:fldCharType="end"/>
        </w:r>
      </w:hyperlink>
    </w:p>
    <w:p w14:paraId="7EFF2F15" w14:textId="35F5CDA0" w:rsidR="00C341EB" w:rsidRDefault="00D11278">
      <w:pPr>
        <w:pStyle w:val="TOC8"/>
        <w:rPr>
          <w:rFonts w:asciiTheme="minorHAnsi" w:eastAsiaTheme="minorEastAsia" w:hAnsiTheme="minorHAnsi" w:cstheme="minorBidi"/>
          <w:sz w:val="22"/>
          <w:szCs w:val="22"/>
        </w:rPr>
      </w:pPr>
      <w:hyperlink w:anchor="_Toc493068361" w:history="1">
        <w:r w:rsidR="00C341EB" w:rsidRPr="0067542F">
          <w:rPr>
            <w:rStyle w:val="Hyperlink"/>
          </w:rPr>
          <w:t>Byssinosis and extrinsic allergic alveolitis</w:t>
        </w:r>
        <w:r w:rsidR="00C341EB">
          <w:rPr>
            <w:webHidden/>
          </w:rPr>
          <w:tab/>
        </w:r>
        <w:r w:rsidR="00C341EB">
          <w:rPr>
            <w:webHidden/>
          </w:rPr>
          <w:fldChar w:fldCharType="begin"/>
        </w:r>
        <w:r w:rsidR="00C341EB">
          <w:rPr>
            <w:webHidden/>
          </w:rPr>
          <w:instrText xml:space="preserve"> PAGEREF _Toc493068361 \h </w:instrText>
        </w:r>
        <w:r w:rsidR="00C341EB">
          <w:rPr>
            <w:webHidden/>
          </w:rPr>
        </w:r>
        <w:r w:rsidR="00C341EB">
          <w:rPr>
            <w:webHidden/>
          </w:rPr>
          <w:fldChar w:fldCharType="separate"/>
        </w:r>
        <w:r w:rsidR="00715C85">
          <w:rPr>
            <w:webHidden/>
          </w:rPr>
          <w:t>23</w:t>
        </w:r>
        <w:r w:rsidR="00C341EB">
          <w:rPr>
            <w:webHidden/>
          </w:rPr>
          <w:fldChar w:fldCharType="end"/>
        </w:r>
      </w:hyperlink>
    </w:p>
    <w:p w14:paraId="1EBE2846" w14:textId="37DC95AC" w:rsidR="00C341EB" w:rsidRDefault="00D11278">
      <w:pPr>
        <w:pStyle w:val="TOC7"/>
        <w:rPr>
          <w:rFonts w:asciiTheme="minorHAnsi" w:eastAsiaTheme="minorEastAsia" w:hAnsiTheme="minorHAnsi" w:cstheme="minorBidi"/>
          <w:b w:val="0"/>
          <w:sz w:val="22"/>
          <w:szCs w:val="22"/>
          <w:lang w:val="en-US"/>
        </w:rPr>
      </w:pPr>
      <w:hyperlink w:anchor="_Toc493068362" w:history="1">
        <w:r w:rsidR="00C341EB" w:rsidRPr="0067542F">
          <w:rPr>
            <w:rStyle w:val="Hyperlink"/>
          </w:rPr>
          <w:t>Hepatic diseases</w:t>
        </w:r>
        <w:r w:rsidR="00C341EB">
          <w:rPr>
            <w:webHidden/>
          </w:rPr>
          <w:tab/>
        </w:r>
        <w:r w:rsidR="00C341EB">
          <w:rPr>
            <w:webHidden/>
          </w:rPr>
          <w:fldChar w:fldCharType="begin"/>
        </w:r>
        <w:r w:rsidR="00C341EB">
          <w:rPr>
            <w:webHidden/>
          </w:rPr>
          <w:instrText xml:space="preserve"> PAGEREF _Toc493068362 \h </w:instrText>
        </w:r>
        <w:r w:rsidR="00C341EB">
          <w:rPr>
            <w:webHidden/>
          </w:rPr>
        </w:r>
        <w:r w:rsidR="00C341EB">
          <w:rPr>
            <w:webHidden/>
          </w:rPr>
          <w:fldChar w:fldCharType="separate"/>
        </w:r>
        <w:r w:rsidR="00715C85">
          <w:rPr>
            <w:webHidden/>
          </w:rPr>
          <w:t>24</w:t>
        </w:r>
        <w:r w:rsidR="00C341EB">
          <w:rPr>
            <w:webHidden/>
          </w:rPr>
          <w:fldChar w:fldCharType="end"/>
        </w:r>
      </w:hyperlink>
    </w:p>
    <w:p w14:paraId="001BD1A3" w14:textId="12645DBC" w:rsidR="00C341EB" w:rsidRDefault="00D11278">
      <w:pPr>
        <w:pStyle w:val="TOC8"/>
        <w:rPr>
          <w:rFonts w:asciiTheme="minorHAnsi" w:eastAsiaTheme="minorEastAsia" w:hAnsiTheme="minorHAnsi" w:cstheme="minorBidi"/>
          <w:sz w:val="22"/>
          <w:szCs w:val="22"/>
        </w:rPr>
      </w:pPr>
      <w:hyperlink w:anchor="_Toc493068363" w:history="1">
        <w:r w:rsidR="00C341EB" w:rsidRPr="0067542F">
          <w:rPr>
            <w:rStyle w:val="Hyperlink"/>
          </w:rPr>
          <w:t>Non-infectious hepatitis</w:t>
        </w:r>
        <w:r w:rsidR="00C341EB">
          <w:rPr>
            <w:webHidden/>
          </w:rPr>
          <w:tab/>
        </w:r>
        <w:r w:rsidR="00C341EB">
          <w:rPr>
            <w:webHidden/>
          </w:rPr>
          <w:fldChar w:fldCharType="begin"/>
        </w:r>
        <w:r w:rsidR="00C341EB">
          <w:rPr>
            <w:webHidden/>
          </w:rPr>
          <w:instrText xml:space="preserve"> PAGEREF _Toc493068363 \h </w:instrText>
        </w:r>
        <w:r w:rsidR="00C341EB">
          <w:rPr>
            <w:webHidden/>
          </w:rPr>
        </w:r>
        <w:r w:rsidR="00C341EB">
          <w:rPr>
            <w:webHidden/>
          </w:rPr>
          <w:fldChar w:fldCharType="separate"/>
        </w:r>
        <w:r w:rsidR="00715C85">
          <w:rPr>
            <w:webHidden/>
          </w:rPr>
          <w:t>24</w:t>
        </w:r>
        <w:r w:rsidR="00C341EB">
          <w:rPr>
            <w:webHidden/>
          </w:rPr>
          <w:fldChar w:fldCharType="end"/>
        </w:r>
      </w:hyperlink>
    </w:p>
    <w:p w14:paraId="46460347" w14:textId="7A61F9C2" w:rsidR="00C341EB" w:rsidRDefault="00D11278">
      <w:pPr>
        <w:pStyle w:val="TOC8"/>
        <w:rPr>
          <w:rFonts w:asciiTheme="minorHAnsi" w:eastAsiaTheme="minorEastAsia" w:hAnsiTheme="minorHAnsi" w:cstheme="minorBidi"/>
          <w:sz w:val="22"/>
          <w:szCs w:val="22"/>
        </w:rPr>
      </w:pPr>
      <w:hyperlink w:anchor="_Toc493068364" w:history="1">
        <w:r w:rsidR="00C341EB" w:rsidRPr="0067542F">
          <w:rPr>
            <w:rStyle w:val="Hyperlink"/>
          </w:rPr>
          <w:t>Chronic active hepatitis</w:t>
        </w:r>
        <w:r w:rsidR="00C341EB">
          <w:rPr>
            <w:webHidden/>
          </w:rPr>
          <w:tab/>
        </w:r>
        <w:r w:rsidR="00C341EB">
          <w:rPr>
            <w:webHidden/>
          </w:rPr>
          <w:fldChar w:fldCharType="begin"/>
        </w:r>
        <w:r w:rsidR="00C341EB">
          <w:rPr>
            <w:webHidden/>
          </w:rPr>
          <w:instrText xml:space="preserve"> PAGEREF _Toc493068364 \h </w:instrText>
        </w:r>
        <w:r w:rsidR="00C341EB">
          <w:rPr>
            <w:webHidden/>
          </w:rPr>
        </w:r>
        <w:r w:rsidR="00C341EB">
          <w:rPr>
            <w:webHidden/>
          </w:rPr>
          <w:fldChar w:fldCharType="separate"/>
        </w:r>
        <w:r w:rsidR="00715C85">
          <w:rPr>
            <w:webHidden/>
          </w:rPr>
          <w:t>24</w:t>
        </w:r>
        <w:r w:rsidR="00C341EB">
          <w:rPr>
            <w:webHidden/>
          </w:rPr>
          <w:fldChar w:fldCharType="end"/>
        </w:r>
      </w:hyperlink>
    </w:p>
    <w:p w14:paraId="06F882F4" w14:textId="68676C34" w:rsidR="00C341EB" w:rsidRDefault="00D11278">
      <w:pPr>
        <w:pStyle w:val="TOC7"/>
        <w:rPr>
          <w:rFonts w:asciiTheme="minorHAnsi" w:eastAsiaTheme="minorEastAsia" w:hAnsiTheme="minorHAnsi" w:cstheme="minorBidi"/>
          <w:b w:val="0"/>
          <w:sz w:val="22"/>
          <w:szCs w:val="22"/>
          <w:lang w:val="en-US"/>
        </w:rPr>
      </w:pPr>
      <w:hyperlink w:anchor="_Toc493068365" w:history="1">
        <w:r w:rsidR="00C341EB" w:rsidRPr="0067542F">
          <w:rPr>
            <w:rStyle w:val="Hyperlink"/>
          </w:rPr>
          <w:t>Skin diseases</w:t>
        </w:r>
        <w:r w:rsidR="00C341EB">
          <w:rPr>
            <w:webHidden/>
          </w:rPr>
          <w:tab/>
        </w:r>
        <w:r w:rsidR="00C341EB">
          <w:rPr>
            <w:webHidden/>
          </w:rPr>
          <w:fldChar w:fldCharType="begin"/>
        </w:r>
        <w:r w:rsidR="00C341EB">
          <w:rPr>
            <w:webHidden/>
          </w:rPr>
          <w:instrText xml:space="preserve"> PAGEREF _Toc493068365 \h </w:instrText>
        </w:r>
        <w:r w:rsidR="00C341EB">
          <w:rPr>
            <w:webHidden/>
          </w:rPr>
        </w:r>
        <w:r w:rsidR="00C341EB">
          <w:rPr>
            <w:webHidden/>
          </w:rPr>
          <w:fldChar w:fldCharType="separate"/>
        </w:r>
        <w:r w:rsidR="00715C85">
          <w:rPr>
            <w:webHidden/>
          </w:rPr>
          <w:t>24</w:t>
        </w:r>
        <w:r w:rsidR="00C341EB">
          <w:rPr>
            <w:webHidden/>
          </w:rPr>
          <w:fldChar w:fldCharType="end"/>
        </w:r>
      </w:hyperlink>
    </w:p>
    <w:p w14:paraId="06C4896F" w14:textId="6CE43597" w:rsidR="00C341EB" w:rsidRDefault="00D11278">
      <w:pPr>
        <w:pStyle w:val="TOC8"/>
        <w:rPr>
          <w:rFonts w:asciiTheme="minorHAnsi" w:eastAsiaTheme="minorEastAsia" w:hAnsiTheme="minorHAnsi" w:cstheme="minorBidi"/>
          <w:sz w:val="22"/>
          <w:szCs w:val="22"/>
        </w:rPr>
      </w:pPr>
      <w:hyperlink w:anchor="_Toc493068366" w:history="1">
        <w:r w:rsidR="00C341EB" w:rsidRPr="0067542F">
          <w:rPr>
            <w:rStyle w:val="Hyperlink"/>
          </w:rPr>
          <w:t>Irritant and allergic contact dermatitis</w:t>
        </w:r>
        <w:r w:rsidR="00C341EB">
          <w:rPr>
            <w:webHidden/>
          </w:rPr>
          <w:tab/>
        </w:r>
        <w:r w:rsidR="00C341EB">
          <w:rPr>
            <w:webHidden/>
          </w:rPr>
          <w:fldChar w:fldCharType="begin"/>
        </w:r>
        <w:r w:rsidR="00C341EB">
          <w:rPr>
            <w:webHidden/>
          </w:rPr>
          <w:instrText xml:space="preserve"> PAGEREF _Toc493068366 \h </w:instrText>
        </w:r>
        <w:r w:rsidR="00C341EB">
          <w:rPr>
            <w:webHidden/>
          </w:rPr>
        </w:r>
        <w:r w:rsidR="00C341EB">
          <w:rPr>
            <w:webHidden/>
          </w:rPr>
          <w:fldChar w:fldCharType="separate"/>
        </w:r>
        <w:r w:rsidR="00715C85">
          <w:rPr>
            <w:webHidden/>
          </w:rPr>
          <w:t>24</w:t>
        </w:r>
        <w:r w:rsidR="00C341EB">
          <w:rPr>
            <w:webHidden/>
          </w:rPr>
          <w:fldChar w:fldCharType="end"/>
        </w:r>
      </w:hyperlink>
    </w:p>
    <w:p w14:paraId="3CD9230B" w14:textId="44B11C95" w:rsidR="00C341EB" w:rsidRDefault="00D11278">
      <w:pPr>
        <w:pStyle w:val="TOC8"/>
        <w:rPr>
          <w:rFonts w:asciiTheme="minorHAnsi" w:eastAsiaTheme="minorEastAsia" w:hAnsiTheme="minorHAnsi" w:cstheme="minorBidi"/>
          <w:sz w:val="22"/>
          <w:szCs w:val="22"/>
        </w:rPr>
      </w:pPr>
      <w:hyperlink w:anchor="_Toc493068367" w:history="1">
        <w:r w:rsidR="00C341EB" w:rsidRPr="0067542F">
          <w:rPr>
            <w:rStyle w:val="Hyperlink"/>
          </w:rPr>
          <w:t>Vitiligo</w:t>
        </w:r>
        <w:r w:rsidR="00C341EB">
          <w:rPr>
            <w:webHidden/>
          </w:rPr>
          <w:tab/>
        </w:r>
        <w:r w:rsidR="00C341EB">
          <w:rPr>
            <w:webHidden/>
          </w:rPr>
          <w:fldChar w:fldCharType="begin"/>
        </w:r>
        <w:r w:rsidR="00C341EB">
          <w:rPr>
            <w:webHidden/>
          </w:rPr>
          <w:instrText xml:space="preserve"> PAGEREF _Toc493068367 \h </w:instrText>
        </w:r>
        <w:r w:rsidR="00C341EB">
          <w:rPr>
            <w:webHidden/>
          </w:rPr>
        </w:r>
        <w:r w:rsidR="00C341EB">
          <w:rPr>
            <w:webHidden/>
          </w:rPr>
          <w:fldChar w:fldCharType="separate"/>
        </w:r>
        <w:r w:rsidR="00715C85">
          <w:rPr>
            <w:webHidden/>
          </w:rPr>
          <w:t>24</w:t>
        </w:r>
        <w:r w:rsidR="00C341EB">
          <w:rPr>
            <w:webHidden/>
          </w:rPr>
          <w:fldChar w:fldCharType="end"/>
        </w:r>
      </w:hyperlink>
    </w:p>
    <w:p w14:paraId="71222DEA" w14:textId="41741285" w:rsidR="00C341EB" w:rsidRDefault="00D11278">
      <w:pPr>
        <w:pStyle w:val="TOC7"/>
        <w:rPr>
          <w:rFonts w:asciiTheme="minorHAnsi" w:eastAsiaTheme="minorEastAsia" w:hAnsiTheme="minorHAnsi" w:cstheme="minorBidi"/>
          <w:b w:val="0"/>
          <w:sz w:val="22"/>
          <w:szCs w:val="22"/>
          <w:lang w:val="en-US"/>
        </w:rPr>
      </w:pPr>
      <w:hyperlink w:anchor="_Toc493068368" w:history="1">
        <w:r w:rsidR="00C341EB" w:rsidRPr="0067542F">
          <w:rPr>
            <w:rStyle w:val="Hyperlink"/>
          </w:rPr>
          <w:t>Musculoskeletal diseases</w:t>
        </w:r>
        <w:r w:rsidR="00C341EB">
          <w:rPr>
            <w:webHidden/>
          </w:rPr>
          <w:tab/>
        </w:r>
        <w:r w:rsidR="00C341EB">
          <w:rPr>
            <w:webHidden/>
          </w:rPr>
          <w:fldChar w:fldCharType="begin"/>
        </w:r>
        <w:r w:rsidR="00C341EB">
          <w:rPr>
            <w:webHidden/>
          </w:rPr>
          <w:instrText xml:space="preserve"> PAGEREF _Toc493068368 \h </w:instrText>
        </w:r>
        <w:r w:rsidR="00C341EB">
          <w:rPr>
            <w:webHidden/>
          </w:rPr>
        </w:r>
        <w:r w:rsidR="00C341EB">
          <w:rPr>
            <w:webHidden/>
          </w:rPr>
          <w:fldChar w:fldCharType="separate"/>
        </w:r>
        <w:r w:rsidR="00715C85">
          <w:rPr>
            <w:webHidden/>
          </w:rPr>
          <w:t>25</w:t>
        </w:r>
        <w:r w:rsidR="00C341EB">
          <w:rPr>
            <w:webHidden/>
          </w:rPr>
          <w:fldChar w:fldCharType="end"/>
        </w:r>
      </w:hyperlink>
    </w:p>
    <w:p w14:paraId="474870CE" w14:textId="573CF885" w:rsidR="00C341EB" w:rsidRDefault="00D11278">
      <w:pPr>
        <w:pStyle w:val="TOC8"/>
        <w:rPr>
          <w:rFonts w:asciiTheme="minorHAnsi" w:eastAsiaTheme="minorEastAsia" w:hAnsiTheme="minorHAnsi" w:cstheme="minorBidi"/>
          <w:sz w:val="22"/>
          <w:szCs w:val="22"/>
        </w:rPr>
      </w:pPr>
      <w:hyperlink w:anchor="_Toc493068369" w:history="1">
        <w:r w:rsidR="00C341EB" w:rsidRPr="0067542F">
          <w:rPr>
            <w:rStyle w:val="Hyperlink"/>
          </w:rPr>
          <w:t>Raynaud’s disease</w:t>
        </w:r>
        <w:r w:rsidR="00C341EB">
          <w:rPr>
            <w:webHidden/>
          </w:rPr>
          <w:tab/>
        </w:r>
        <w:r w:rsidR="00C341EB">
          <w:rPr>
            <w:webHidden/>
          </w:rPr>
          <w:fldChar w:fldCharType="begin"/>
        </w:r>
        <w:r w:rsidR="00C341EB">
          <w:rPr>
            <w:webHidden/>
          </w:rPr>
          <w:instrText xml:space="preserve"> PAGEREF _Toc493068369 \h </w:instrText>
        </w:r>
        <w:r w:rsidR="00C341EB">
          <w:rPr>
            <w:webHidden/>
          </w:rPr>
        </w:r>
        <w:r w:rsidR="00C341EB">
          <w:rPr>
            <w:webHidden/>
          </w:rPr>
          <w:fldChar w:fldCharType="separate"/>
        </w:r>
        <w:r w:rsidR="00715C85">
          <w:rPr>
            <w:webHidden/>
          </w:rPr>
          <w:t>25</w:t>
        </w:r>
        <w:r w:rsidR="00C341EB">
          <w:rPr>
            <w:webHidden/>
          </w:rPr>
          <w:fldChar w:fldCharType="end"/>
        </w:r>
      </w:hyperlink>
    </w:p>
    <w:p w14:paraId="411C5FFC" w14:textId="61092904" w:rsidR="00C341EB" w:rsidRDefault="00D11278">
      <w:pPr>
        <w:pStyle w:val="TOC8"/>
        <w:rPr>
          <w:rFonts w:asciiTheme="minorHAnsi" w:eastAsiaTheme="minorEastAsia" w:hAnsiTheme="minorHAnsi" w:cstheme="minorBidi"/>
          <w:sz w:val="22"/>
          <w:szCs w:val="22"/>
        </w:rPr>
      </w:pPr>
      <w:hyperlink w:anchor="_Toc493068370" w:history="1">
        <w:r w:rsidR="00C341EB" w:rsidRPr="0067542F">
          <w:rPr>
            <w:rStyle w:val="Hyperlink"/>
          </w:rPr>
          <w:t>Bursitis (at the elbow or knee)</w:t>
        </w:r>
        <w:r w:rsidR="00C341EB">
          <w:rPr>
            <w:webHidden/>
          </w:rPr>
          <w:tab/>
        </w:r>
        <w:r w:rsidR="00C341EB">
          <w:rPr>
            <w:webHidden/>
          </w:rPr>
          <w:fldChar w:fldCharType="begin"/>
        </w:r>
        <w:r w:rsidR="00C341EB">
          <w:rPr>
            <w:webHidden/>
          </w:rPr>
          <w:instrText xml:space="preserve"> PAGEREF _Toc493068370 \h </w:instrText>
        </w:r>
        <w:r w:rsidR="00C341EB">
          <w:rPr>
            <w:webHidden/>
          </w:rPr>
        </w:r>
        <w:r w:rsidR="00C341EB">
          <w:rPr>
            <w:webHidden/>
          </w:rPr>
          <w:fldChar w:fldCharType="separate"/>
        </w:r>
        <w:r w:rsidR="00715C85">
          <w:rPr>
            <w:webHidden/>
          </w:rPr>
          <w:t>25</w:t>
        </w:r>
        <w:r w:rsidR="00C341EB">
          <w:rPr>
            <w:webHidden/>
          </w:rPr>
          <w:fldChar w:fldCharType="end"/>
        </w:r>
      </w:hyperlink>
    </w:p>
    <w:p w14:paraId="789B1585" w14:textId="7B09C9D1" w:rsidR="00C341EB" w:rsidRDefault="00D11278">
      <w:pPr>
        <w:pStyle w:val="TOC7"/>
        <w:rPr>
          <w:rFonts w:asciiTheme="minorHAnsi" w:eastAsiaTheme="minorEastAsia" w:hAnsiTheme="minorHAnsi" w:cstheme="minorBidi"/>
          <w:b w:val="0"/>
          <w:sz w:val="22"/>
          <w:szCs w:val="22"/>
          <w:lang w:val="en-US"/>
        </w:rPr>
      </w:pPr>
      <w:hyperlink w:anchor="_Toc493068371" w:history="1">
        <w:r w:rsidR="00C341EB" w:rsidRPr="0067542F">
          <w:rPr>
            <w:rStyle w:val="Hyperlink"/>
          </w:rPr>
          <w:t>Acute poisoning and toxicity</w:t>
        </w:r>
        <w:r w:rsidR="00C341EB">
          <w:rPr>
            <w:webHidden/>
          </w:rPr>
          <w:tab/>
        </w:r>
        <w:r w:rsidR="00C341EB">
          <w:rPr>
            <w:webHidden/>
          </w:rPr>
          <w:fldChar w:fldCharType="begin"/>
        </w:r>
        <w:r w:rsidR="00C341EB">
          <w:rPr>
            <w:webHidden/>
          </w:rPr>
          <w:instrText xml:space="preserve"> PAGEREF _Toc493068371 \h </w:instrText>
        </w:r>
        <w:r w:rsidR="00C341EB">
          <w:rPr>
            <w:webHidden/>
          </w:rPr>
        </w:r>
        <w:r w:rsidR="00C341EB">
          <w:rPr>
            <w:webHidden/>
          </w:rPr>
          <w:fldChar w:fldCharType="separate"/>
        </w:r>
        <w:r w:rsidR="00715C85">
          <w:rPr>
            <w:webHidden/>
          </w:rPr>
          <w:t>25</w:t>
        </w:r>
        <w:r w:rsidR="00C341EB">
          <w:rPr>
            <w:webHidden/>
          </w:rPr>
          <w:fldChar w:fldCharType="end"/>
        </w:r>
      </w:hyperlink>
    </w:p>
    <w:p w14:paraId="70957A63" w14:textId="58600AD6" w:rsidR="00C341EB" w:rsidRDefault="00D11278">
      <w:pPr>
        <w:pStyle w:val="TOC6"/>
        <w:rPr>
          <w:rFonts w:asciiTheme="minorHAnsi" w:eastAsiaTheme="minorEastAsia" w:hAnsiTheme="minorHAnsi" w:cstheme="minorBidi"/>
          <w:b w:val="0"/>
          <w:smallCaps w:val="0"/>
          <w:sz w:val="22"/>
          <w:szCs w:val="22"/>
        </w:rPr>
      </w:pPr>
      <w:hyperlink w:anchor="_Toc493068372" w:history="1">
        <w:r w:rsidR="00C341EB" w:rsidRPr="0067542F">
          <w:rPr>
            <w:rStyle w:val="Hyperlink"/>
          </w:rPr>
          <w:t>7.</w:t>
        </w:r>
        <w:r w:rsidR="00C341EB">
          <w:rPr>
            <w:rFonts w:asciiTheme="minorHAnsi" w:eastAsiaTheme="minorEastAsia" w:hAnsiTheme="minorHAnsi" w:cstheme="minorBidi"/>
            <w:b w:val="0"/>
            <w:smallCaps w:val="0"/>
            <w:sz w:val="22"/>
            <w:szCs w:val="22"/>
          </w:rPr>
          <w:tab/>
        </w:r>
        <w:r w:rsidR="00C341EB" w:rsidRPr="0067542F">
          <w:rPr>
            <w:rStyle w:val="Hyperlink"/>
          </w:rPr>
          <w:t>REFERENCES</w:t>
        </w:r>
        <w:r w:rsidR="00C341EB">
          <w:rPr>
            <w:webHidden/>
          </w:rPr>
          <w:tab/>
        </w:r>
        <w:r w:rsidR="00C341EB">
          <w:rPr>
            <w:webHidden/>
          </w:rPr>
          <w:fldChar w:fldCharType="begin"/>
        </w:r>
        <w:r w:rsidR="00C341EB">
          <w:rPr>
            <w:webHidden/>
          </w:rPr>
          <w:instrText xml:space="preserve"> PAGEREF _Toc493068372 \h </w:instrText>
        </w:r>
        <w:r w:rsidR="00C341EB">
          <w:rPr>
            <w:webHidden/>
          </w:rPr>
        </w:r>
        <w:r w:rsidR="00C341EB">
          <w:rPr>
            <w:webHidden/>
          </w:rPr>
          <w:fldChar w:fldCharType="separate"/>
        </w:r>
        <w:r w:rsidR="00715C85">
          <w:rPr>
            <w:webHidden/>
          </w:rPr>
          <w:t>26</w:t>
        </w:r>
        <w:r w:rsidR="00C341EB">
          <w:rPr>
            <w:webHidden/>
          </w:rPr>
          <w:fldChar w:fldCharType="end"/>
        </w:r>
      </w:hyperlink>
    </w:p>
    <w:p w14:paraId="49AC5E3D" w14:textId="77777777" w:rsidR="00454E07" w:rsidRPr="0039518B" w:rsidRDefault="002972A9" w:rsidP="002F76BC">
      <w:pPr>
        <w:pStyle w:val="PhDleveloneheading"/>
        <w:rPr>
          <w:color w:val="000000"/>
          <w:highlight w:val="green"/>
        </w:rPr>
      </w:pPr>
      <w:r w:rsidRPr="0039518B">
        <w:rPr>
          <w:highlight w:val="green"/>
          <w:lang w:val="en-AU"/>
        </w:rPr>
        <w:fldChar w:fldCharType="end"/>
      </w:r>
      <w:r w:rsidR="00C26290" w:rsidRPr="0039518B">
        <w:rPr>
          <w:highlight w:val="green"/>
        </w:rPr>
        <w:br w:type="page"/>
      </w:r>
      <w:bookmarkStart w:id="3" w:name="_Toc286587354"/>
      <w:bookmarkStart w:id="4" w:name="_Toc286590612"/>
      <w:bookmarkStart w:id="5" w:name="_Toc287442910"/>
    </w:p>
    <w:p w14:paraId="74A81DED" w14:textId="77777777" w:rsidR="00C26290" w:rsidRPr="002F76BC" w:rsidRDefault="00C26290" w:rsidP="002F76BC">
      <w:pPr>
        <w:pStyle w:val="Heading1"/>
      </w:pPr>
      <w:bookmarkStart w:id="6" w:name="_Toc493068313"/>
      <w:r w:rsidRPr="002F76BC">
        <w:lastRenderedPageBreak/>
        <w:t>BACKGROUND OF THE AUTHOR</w:t>
      </w:r>
      <w:bookmarkEnd w:id="3"/>
      <w:bookmarkEnd w:id="4"/>
      <w:bookmarkEnd w:id="5"/>
      <w:bookmarkEnd w:id="6"/>
    </w:p>
    <w:p w14:paraId="70911025" w14:textId="77ED8075" w:rsidR="00E0345B" w:rsidRPr="0039518B" w:rsidRDefault="00E0345B" w:rsidP="00E0345B">
      <w:pPr>
        <w:pStyle w:val="PHD-normaltext"/>
      </w:pPr>
      <w:r w:rsidRPr="0039518B">
        <w:t xml:space="preserve">This report was prepared by </w:t>
      </w:r>
      <w:r w:rsidR="00A76433" w:rsidRPr="0039518B">
        <w:t>Professor</w:t>
      </w:r>
      <w:r w:rsidRPr="0039518B">
        <w:t xml:space="preserve"> </w:t>
      </w:r>
      <w:smartTag w:uri="urn:schemas-microsoft-com:office:smarttags" w:element="PersonName">
        <w:r w:rsidRPr="0039518B">
          <w:t>Tim Driscoll</w:t>
        </w:r>
      </w:smartTag>
      <w:r w:rsidRPr="0039518B">
        <w:t xml:space="preserve"> (MBBS BSc</w:t>
      </w:r>
      <w:r w:rsidR="00DA11F3">
        <w:t xml:space="preserve">(Med) MOHS PhD FAFOEM FAFPHM). </w:t>
      </w:r>
      <w:r w:rsidR="00A76433" w:rsidRPr="0039518B">
        <w:t>Professor</w:t>
      </w:r>
      <w:r w:rsidRPr="0039518B">
        <w:t xml:space="preserve"> Driscoll is </w:t>
      </w:r>
      <w:r w:rsidR="009B72F0" w:rsidRPr="0039518B">
        <w:t xml:space="preserve">a specialist in occupational medicine and public health medicine and </w:t>
      </w:r>
      <w:r w:rsidRPr="0039518B">
        <w:t>an independent consultant in epidemiology, occupational health and public health</w:t>
      </w:r>
      <w:r w:rsidR="009B72F0" w:rsidRPr="0039518B">
        <w:t>.</w:t>
      </w:r>
    </w:p>
    <w:p w14:paraId="1A736F20" w14:textId="77777777" w:rsidR="00FF03A6" w:rsidRPr="00A8549B" w:rsidRDefault="00FF03A6" w:rsidP="002F76BC">
      <w:pPr>
        <w:pStyle w:val="Heading1"/>
      </w:pPr>
      <w:r w:rsidRPr="0039518B">
        <w:rPr>
          <w:highlight w:val="green"/>
        </w:rPr>
        <w:br w:type="page"/>
      </w:r>
      <w:bookmarkStart w:id="7" w:name="_Toc162672475"/>
      <w:bookmarkStart w:id="8" w:name="_Toc493068314"/>
      <w:r w:rsidRPr="00A8549B">
        <w:lastRenderedPageBreak/>
        <w:t>GLOSSARY</w:t>
      </w:r>
      <w:bookmarkEnd w:id="7"/>
      <w:bookmarkEnd w:id="8"/>
    </w:p>
    <w:p w14:paraId="597AD792" w14:textId="77777777" w:rsidR="0070075B" w:rsidRDefault="00A8549B" w:rsidP="00FF03A6">
      <w:pPr>
        <w:pStyle w:val="PHD-normaltext"/>
        <w:tabs>
          <w:tab w:val="left" w:pos="1800"/>
        </w:tabs>
        <w:ind w:left="1800" w:hanging="1800"/>
        <w:rPr>
          <w:lang w:val="en-US"/>
        </w:rPr>
      </w:pPr>
      <w:r w:rsidRPr="00A8549B">
        <w:t>AIHW</w:t>
      </w:r>
      <w:r w:rsidR="0070075B" w:rsidRPr="00A8549B">
        <w:tab/>
      </w:r>
      <w:r w:rsidRPr="00A8549B">
        <w:rPr>
          <w:lang w:val="en-US"/>
        </w:rPr>
        <w:t>Australian Institute of Health and Welfare</w:t>
      </w:r>
    </w:p>
    <w:p w14:paraId="58ACD7AD" w14:textId="77777777" w:rsidR="008B1C51" w:rsidRDefault="008B1C51" w:rsidP="00FF03A6">
      <w:pPr>
        <w:pStyle w:val="PHD-normaltext"/>
        <w:tabs>
          <w:tab w:val="left" w:pos="1800"/>
        </w:tabs>
        <w:ind w:left="1800" w:hanging="1800"/>
        <w:rPr>
          <w:rFonts w:asciiTheme="minorHAnsi" w:hAnsiTheme="minorHAnsi"/>
          <w:sz w:val="22"/>
          <w:szCs w:val="22"/>
          <w:lang w:val="en-US"/>
        </w:rPr>
      </w:pPr>
      <w:r>
        <w:rPr>
          <w:lang w:val="en-US"/>
        </w:rPr>
        <w:t>AWES</w:t>
      </w:r>
      <w:r>
        <w:rPr>
          <w:lang w:val="en-US"/>
        </w:rPr>
        <w:tab/>
      </w:r>
      <w:r w:rsidRPr="00E26BF2">
        <w:rPr>
          <w:rFonts w:asciiTheme="minorHAnsi" w:hAnsiTheme="minorHAnsi"/>
          <w:sz w:val="22"/>
          <w:szCs w:val="22"/>
          <w:lang w:val="en-US"/>
        </w:rPr>
        <w:t>Australian Work Exposures Study</w:t>
      </w:r>
    </w:p>
    <w:p w14:paraId="79DAE74E" w14:textId="77777777" w:rsidR="00C01162" w:rsidRPr="00A8549B" w:rsidRDefault="00C01162" w:rsidP="00FF03A6">
      <w:pPr>
        <w:pStyle w:val="PHD-normaltext"/>
        <w:tabs>
          <w:tab w:val="left" w:pos="1800"/>
        </w:tabs>
        <w:ind w:left="1800" w:hanging="1800"/>
      </w:pPr>
      <w:r>
        <w:rPr>
          <w:lang w:val="en-US"/>
        </w:rPr>
        <w:t>DALY</w:t>
      </w:r>
      <w:r>
        <w:rPr>
          <w:lang w:val="en-US"/>
        </w:rPr>
        <w:tab/>
      </w:r>
      <w:r>
        <w:t>Disability-Adjusted Life Year</w:t>
      </w:r>
    </w:p>
    <w:p w14:paraId="5DE884E9" w14:textId="77777777" w:rsidR="006D193E" w:rsidRPr="00C43FC5" w:rsidRDefault="00C26290" w:rsidP="002F76BC">
      <w:pPr>
        <w:pStyle w:val="Heading1"/>
        <w:rPr>
          <w:color w:val="000000"/>
        </w:rPr>
      </w:pPr>
      <w:r w:rsidRPr="0039518B">
        <w:rPr>
          <w:highlight w:val="green"/>
        </w:rPr>
        <w:br w:type="page"/>
      </w:r>
      <w:bookmarkStart w:id="9" w:name="_Toc493068315"/>
      <w:r w:rsidR="006D193E" w:rsidRPr="00C43FC5">
        <w:lastRenderedPageBreak/>
        <w:t>EXECUTIVE SUMMARY</w:t>
      </w:r>
      <w:bookmarkEnd w:id="9"/>
    </w:p>
    <w:p w14:paraId="3C3FB5F0" w14:textId="77777777" w:rsidR="00B96BFB" w:rsidRPr="002F76BC" w:rsidRDefault="00B96BFB" w:rsidP="002F76BC">
      <w:pPr>
        <w:pStyle w:val="Heading2"/>
      </w:pPr>
      <w:r w:rsidRPr="002F76BC">
        <w:t>Background</w:t>
      </w:r>
    </w:p>
    <w:p w14:paraId="7333831D" w14:textId="73FB1A1E" w:rsidR="00B7055E" w:rsidRPr="00C43FC5" w:rsidRDefault="00F14CAC" w:rsidP="007819D2">
      <w:pPr>
        <w:pStyle w:val="PHD-normaltext"/>
        <w:spacing w:after="240"/>
      </w:pPr>
      <w:r>
        <w:t>The Department of Employment</w:t>
      </w:r>
      <w:r w:rsidR="00C43FC5" w:rsidRPr="00C43FC5">
        <w:t xml:space="preserve"> is conducting work to support the updating of the current deemed diseases legislative instrument for the Safety</w:t>
      </w:r>
      <w:r w:rsidR="004665FA">
        <w:t>,</w:t>
      </w:r>
      <w:r w:rsidR="00C43FC5" w:rsidRPr="00C43FC5">
        <w:t xml:space="preserve"> Rehabilitation and Compensation Act 1988 (SRC Act).  This work required epidemiological analysis </w:t>
      </w:r>
      <w:r w:rsidR="00C91AD1">
        <w:t>on the risks and exposure thresholds</w:t>
      </w:r>
      <w:r w:rsidR="00C43FC5" w:rsidRPr="00C43FC5">
        <w:t xml:space="preserve"> </w:t>
      </w:r>
      <w:r w:rsidR="00C91AD1">
        <w:t>for the disorders being considered</w:t>
      </w:r>
      <w:r w:rsidR="00C43FC5" w:rsidRPr="00C43FC5">
        <w:t>.  The required information is presented in this report.</w:t>
      </w:r>
    </w:p>
    <w:p w14:paraId="399E0F34" w14:textId="77777777" w:rsidR="009D3F57" w:rsidRPr="00C43FC5" w:rsidRDefault="009D3F57" w:rsidP="007819D2">
      <w:pPr>
        <w:pStyle w:val="Heading2"/>
      </w:pPr>
      <w:r w:rsidRPr="00C43FC5">
        <w:t>Approach</w:t>
      </w:r>
    </w:p>
    <w:p w14:paraId="7FBA1541" w14:textId="5C8944F5" w:rsidR="00C43FC5" w:rsidRPr="00402102" w:rsidRDefault="00C43FC5" w:rsidP="007819D2">
      <w:pPr>
        <w:spacing w:after="240" w:line="360" w:lineRule="auto"/>
        <w:rPr>
          <w:rFonts w:ascii="Verdana" w:hAnsi="Verdana"/>
          <w:sz w:val="20"/>
        </w:rPr>
      </w:pPr>
      <w:r w:rsidRPr="00402102">
        <w:rPr>
          <w:rFonts w:ascii="Verdana" w:hAnsi="Verdana"/>
          <w:sz w:val="20"/>
        </w:rPr>
        <w:t>The project used published material, publically available material, information developed as part of the overall Deemed Disease</w:t>
      </w:r>
      <w:r w:rsidR="00CE08EA">
        <w:rPr>
          <w:rFonts w:ascii="Verdana" w:hAnsi="Verdana"/>
          <w:sz w:val="20"/>
        </w:rPr>
        <w:t>s</w:t>
      </w:r>
      <w:r w:rsidRPr="00402102">
        <w:rPr>
          <w:rFonts w:ascii="Verdana" w:hAnsi="Verdana"/>
          <w:sz w:val="20"/>
        </w:rPr>
        <w:t xml:space="preserve"> project and information developed by the author as part of his work on the Global Burden of Disease study.</w:t>
      </w:r>
    </w:p>
    <w:p w14:paraId="26E79762" w14:textId="77777777" w:rsidR="00B96BFB" w:rsidRPr="00C43FC5" w:rsidRDefault="00B96BFB" w:rsidP="007819D2">
      <w:pPr>
        <w:pStyle w:val="Heading2"/>
      </w:pPr>
      <w:r w:rsidRPr="00C43FC5">
        <w:t>Findings</w:t>
      </w:r>
    </w:p>
    <w:p w14:paraId="1DA7536F" w14:textId="5B93764C" w:rsidR="00870CE7" w:rsidRPr="00C43FC5" w:rsidRDefault="00C43FC5" w:rsidP="00870CE7">
      <w:pPr>
        <w:pStyle w:val="PHD-normaltext"/>
        <w:rPr>
          <w:lang w:val="en-US"/>
        </w:rPr>
      </w:pPr>
      <w:r w:rsidRPr="00C43FC5">
        <w:rPr>
          <w:lang w:val="en-US"/>
        </w:rPr>
        <w:t xml:space="preserve">Information is presented separately on relative risks for cancers and other diseases </w:t>
      </w:r>
      <w:r w:rsidR="00782898">
        <w:rPr>
          <w:lang w:val="en-US"/>
        </w:rPr>
        <w:t>being considered for inclusion i</w:t>
      </w:r>
      <w:r w:rsidRPr="00C43FC5">
        <w:rPr>
          <w:lang w:val="en-US"/>
        </w:rPr>
        <w:t xml:space="preserve">n the </w:t>
      </w:r>
      <w:r w:rsidR="00782898">
        <w:rPr>
          <w:lang w:val="en-US"/>
        </w:rPr>
        <w:t xml:space="preserve">Comcare </w:t>
      </w:r>
      <w:r w:rsidR="002E73E3">
        <w:rPr>
          <w:lang w:val="en-US"/>
        </w:rPr>
        <w:t xml:space="preserve">Scheme </w:t>
      </w:r>
      <w:r w:rsidRPr="00C43FC5">
        <w:rPr>
          <w:lang w:val="en-US"/>
        </w:rPr>
        <w:t>Deemed Diseases list; incidence rates for cancers and other diseases in the population; exposure prevalence; and duration of exposure and latency.</w:t>
      </w:r>
    </w:p>
    <w:p w14:paraId="59625BC7" w14:textId="7FC3122E" w:rsidR="00B96BFB" w:rsidRPr="0039518B" w:rsidRDefault="00B96BFB" w:rsidP="00B96BFB">
      <w:pPr>
        <w:pStyle w:val="PHD-normaltext"/>
        <w:rPr>
          <w:highlight w:val="green"/>
          <w:lang w:val="en-US"/>
        </w:rPr>
      </w:pPr>
    </w:p>
    <w:p w14:paraId="2D67CD31" w14:textId="77777777" w:rsidR="00C26290" w:rsidRPr="0039518B" w:rsidRDefault="00C26290">
      <w:pPr>
        <w:pStyle w:val="PHD-normaltext"/>
        <w:rPr>
          <w:highlight w:val="green"/>
        </w:rPr>
        <w:sectPr w:rsidR="00C26290" w:rsidRPr="0039518B">
          <w:headerReference w:type="even" r:id="rId13"/>
          <w:headerReference w:type="default" r:id="rId14"/>
          <w:footerReference w:type="even" r:id="rId15"/>
          <w:footerReference w:type="default" r:id="rId16"/>
          <w:headerReference w:type="first" r:id="rId17"/>
          <w:footnotePr>
            <w:numRestart w:val="eachSect"/>
          </w:footnotePr>
          <w:endnotePr>
            <w:numFmt w:val="decimal"/>
          </w:endnotePr>
          <w:pgSz w:w="11906" w:h="16838"/>
          <w:pgMar w:top="1134" w:right="1134" w:bottom="1134" w:left="1701" w:header="720" w:footer="720" w:gutter="0"/>
          <w:pgNumType w:fmt="lowerRoman"/>
          <w:cols w:space="720"/>
        </w:sectPr>
      </w:pPr>
    </w:p>
    <w:p w14:paraId="023799DC" w14:textId="77777777" w:rsidR="00C26290" w:rsidRPr="005A050C" w:rsidRDefault="00C26290" w:rsidP="005A050C">
      <w:pPr>
        <w:pStyle w:val="Heading1"/>
        <w:jc w:val="center"/>
        <w:rPr>
          <w:sz w:val="40"/>
        </w:rPr>
      </w:pPr>
      <w:bookmarkStart w:id="10" w:name="_Toc493068316"/>
      <w:r w:rsidRPr="005A050C">
        <w:rPr>
          <w:sz w:val="40"/>
        </w:rPr>
        <w:lastRenderedPageBreak/>
        <w:t>1.</w:t>
      </w:r>
      <w:r w:rsidRPr="005A050C">
        <w:rPr>
          <w:sz w:val="40"/>
        </w:rPr>
        <w:tab/>
        <w:t>INTRODUCTION</w:t>
      </w:r>
      <w:bookmarkEnd w:id="10"/>
    </w:p>
    <w:p w14:paraId="3343F422" w14:textId="790542D2" w:rsidR="00560F29" w:rsidRPr="00402102" w:rsidRDefault="00F14CAC" w:rsidP="00655862">
      <w:pPr>
        <w:spacing w:before="240" w:line="360" w:lineRule="auto"/>
        <w:rPr>
          <w:rFonts w:ascii="Verdana" w:hAnsi="Verdana"/>
          <w:sz w:val="20"/>
          <w:lang w:val="en-GB"/>
        </w:rPr>
      </w:pPr>
      <w:r w:rsidRPr="00F14CAC">
        <w:rPr>
          <w:rFonts w:ascii="Verdana" w:hAnsi="Verdana"/>
          <w:sz w:val="20"/>
        </w:rPr>
        <w:t>The Department of Employment</w:t>
      </w:r>
      <w:r w:rsidR="006A12F2" w:rsidRPr="006A12F2">
        <w:rPr>
          <w:rFonts w:ascii="Verdana" w:hAnsi="Verdana"/>
          <w:sz w:val="20"/>
        </w:rPr>
        <w:t xml:space="preserve"> </w:t>
      </w:r>
      <w:r>
        <w:rPr>
          <w:rFonts w:ascii="Verdana" w:hAnsi="Verdana"/>
          <w:sz w:val="20"/>
        </w:rPr>
        <w:t xml:space="preserve">(‘the Department’) </w:t>
      </w:r>
      <w:r w:rsidR="006A12F2" w:rsidRPr="006A12F2">
        <w:rPr>
          <w:rFonts w:ascii="Verdana" w:hAnsi="Verdana"/>
          <w:sz w:val="20"/>
        </w:rPr>
        <w:t xml:space="preserve">is conducting work to support the updating of the current </w:t>
      </w:r>
      <w:r w:rsidR="005144D5" w:rsidRPr="006A12F2">
        <w:rPr>
          <w:rFonts w:ascii="Verdana" w:hAnsi="Verdana"/>
          <w:sz w:val="20"/>
        </w:rPr>
        <w:t>Deemed Diseases</w:t>
      </w:r>
      <w:r w:rsidR="006A12F2" w:rsidRPr="006A12F2">
        <w:rPr>
          <w:rFonts w:ascii="Verdana" w:hAnsi="Verdana"/>
          <w:sz w:val="20"/>
        </w:rPr>
        <w:t xml:space="preserve"> legislative instrument for the </w:t>
      </w:r>
      <w:r w:rsidR="002E3634" w:rsidRPr="002E3634">
        <w:rPr>
          <w:rFonts w:ascii="Verdana" w:hAnsi="Verdana"/>
          <w:sz w:val="20"/>
        </w:rPr>
        <w:t>Safety, Rehabilitation and Compensation Act 1988</w:t>
      </w:r>
      <w:r w:rsidR="006A12F2" w:rsidRPr="006A12F2">
        <w:rPr>
          <w:rFonts w:ascii="Verdana" w:hAnsi="Verdana"/>
          <w:sz w:val="20"/>
        </w:rPr>
        <w:t xml:space="preserve"> (</w:t>
      </w:r>
      <w:r w:rsidR="002E3634">
        <w:rPr>
          <w:rFonts w:ascii="Verdana" w:hAnsi="Verdana"/>
          <w:sz w:val="20"/>
        </w:rPr>
        <w:t>‘</w:t>
      </w:r>
      <w:r w:rsidR="006A12F2" w:rsidRPr="006A12F2">
        <w:rPr>
          <w:rFonts w:ascii="Verdana" w:hAnsi="Verdana"/>
          <w:sz w:val="20"/>
        </w:rPr>
        <w:t>SRC Act</w:t>
      </w:r>
      <w:r w:rsidR="002E3634">
        <w:rPr>
          <w:rFonts w:ascii="Verdana" w:hAnsi="Verdana"/>
          <w:sz w:val="20"/>
        </w:rPr>
        <w:t>’</w:t>
      </w:r>
      <w:r w:rsidR="006A12F2" w:rsidRPr="006A12F2">
        <w:rPr>
          <w:rFonts w:ascii="Verdana" w:hAnsi="Verdana"/>
          <w:sz w:val="20"/>
        </w:rPr>
        <w:t xml:space="preserve">).  This </w:t>
      </w:r>
      <w:r w:rsidR="006A12F2" w:rsidRPr="00402102">
        <w:rPr>
          <w:rFonts w:ascii="Verdana" w:hAnsi="Verdana"/>
          <w:sz w:val="20"/>
        </w:rPr>
        <w:t xml:space="preserve">work required epidemiological analysis </w:t>
      </w:r>
      <w:r w:rsidR="00C91AD1">
        <w:rPr>
          <w:rFonts w:ascii="Verdana" w:hAnsi="Verdana"/>
          <w:sz w:val="20"/>
        </w:rPr>
        <w:t>to provide information o</w:t>
      </w:r>
      <w:r w:rsidR="006A12F2" w:rsidRPr="00402102">
        <w:rPr>
          <w:rFonts w:ascii="Verdana" w:hAnsi="Verdana"/>
          <w:sz w:val="20"/>
        </w:rPr>
        <w:t xml:space="preserve">n risk </w:t>
      </w:r>
      <w:r w:rsidR="00402102" w:rsidRPr="00402102">
        <w:rPr>
          <w:rFonts w:ascii="Verdana" w:hAnsi="Verdana"/>
          <w:sz w:val="20"/>
        </w:rPr>
        <w:t>related to occupational exposure, disease</w:t>
      </w:r>
      <w:r w:rsidR="006A12F2" w:rsidRPr="00402102">
        <w:rPr>
          <w:rFonts w:ascii="Verdana" w:hAnsi="Verdana"/>
          <w:sz w:val="20"/>
        </w:rPr>
        <w:t xml:space="preserve"> incidence rates</w:t>
      </w:r>
      <w:r w:rsidR="00402102" w:rsidRPr="00402102">
        <w:rPr>
          <w:rFonts w:ascii="Verdana" w:hAnsi="Verdana"/>
          <w:sz w:val="20"/>
        </w:rPr>
        <w:t>, exposure prevalence; and duration of exposure and latency</w:t>
      </w:r>
      <w:r w:rsidR="00560F29" w:rsidRPr="00402102">
        <w:rPr>
          <w:rFonts w:ascii="Verdana" w:hAnsi="Verdana"/>
          <w:sz w:val="20"/>
          <w:lang w:val="en-GB"/>
        </w:rPr>
        <w:t>.</w:t>
      </w:r>
      <w:r w:rsidR="006A12F2" w:rsidRPr="00402102">
        <w:rPr>
          <w:rFonts w:ascii="Verdana" w:hAnsi="Verdana"/>
          <w:sz w:val="20"/>
          <w:lang w:val="en-GB"/>
        </w:rPr>
        <w:t xml:space="preserve">  The required information is presented in this report.</w:t>
      </w:r>
    </w:p>
    <w:p w14:paraId="12A4A03C" w14:textId="77777777" w:rsidR="005144D5" w:rsidRDefault="005144D5" w:rsidP="00655862">
      <w:pPr>
        <w:spacing w:before="240" w:line="360" w:lineRule="auto"/>
        <w:rPr>
          <w:rFonts w:ascii="Verdana" w:hAnsi="Verdana"/>
          <w:sz w:val="20"/>
          <w:lang w:val="en-GB"/>
        </w:rPr>
      </w:pPr>
      <w:r>
        <w:rPr>
          <w:rFonts w:ascii="Verdana" w:hAnsi="Verdana"/>
          <w:sz w:val="20"/>
          <w:lang w:val="en-GB"/>
        </w:rPr>
        <w:t>The specific requirements were to:</w:t>
      </w:r>
    </w:p>
    <w:p w14:paraId="50A3D039" w14:textId="432E177A" w:rsidR="005144D5" w:rsidRPr="005144D5" w:rsidRDefault="005144D5" w:rsidP="005144D5">
      <w:pPr>
        <w:tabs>
          <w:tab w:val="left" w:pos="567"/>
        </w:tabs>
        <w:spacing w:line="360" w:lineRule="auto"/>
        <w:ind w:left="567" w:hanging="567"/>
        <w:rPr>
          <w:rFonts w:ascii="Verdana" w:hAnsi="Verdana"/>
          <w:sz w:val="20"/>
          <w:lang w:val="en-GB"/>
        </w:rPr>
      </w:pPr>
      <w:r w:rsidRPr="005144D5">
        <w:rPr>
          <w:rFonts w:ascii="Verdana" w:hAnsi="Verdana"/>
          <w:sz w:val="20"/>
          <w:lang w:val="en-GB"/>
        </w:rPr>
        <w:t>1.</w:t>
      </w:r>
      <w:r w:rsidRPr="005144D5">
        <w:rPr>
          <w:rFonts w:ascii="Verdana" w:hAnsi="Verdana"/>
          <w:sz w:val="20"/>
          <w:lang w:val="en-GB"/>
        </w:rPr>
        <w:tab/>
        <w:t xml:space="preserve">A. Provide the risk ratings for the cancers and other diseases </w:t>
      </w:r>
      <w:r w:rsidR="00782898">
        <w:rPr>
          <w:rFonts w:ascii="Verdana" w:hAnsi="Verdana"/>
          <w:sz w:val="20"/>
          <w:lang w:val="en-GB"/>
        </w:rPr>
        <w:t>being considered for inclusion</w:t>
      </w:r>
      <w:r w:rsidRPr="005144D5">
        <w:rPr>
          <w:rFonts w:ascii="Verdana" w:hAnsi="Verdana"/>
          <w:sz w:val="20"/>
          <w:lang w:val="en-GB"/>
        </w:rPr>
        <w:t xml:space="preserve"> in the </w:t>
      </w:r>
      <w:r w:rsidR="00782898">
        <w:rPr>
          <w:rFonts w:ascii="Verdana" w:hAnsi="Verdana"/>
          <w:sz w:val="20"/>
          <w:lang w:val="en-GB"/>
        </w:rPr>
        <w:t xml:space="preserve">Comcare </w:t>
      </w:r>
      <w:r w:rsidR="002E73E3">
        <w:rPr>
          <w:rFonts w:ascii="Verdana" w:hAnsi="Verdana"/>
          <w:sz w:val="20"/>
          <w:lang w:val="en-GB"/>
        </w:rPr>
        <w:t xml:space="preserve">Scheme </w:t>
      </w:r>
      <w:r w:rsidR="002E3634" w:rsidRPr="005144D5">
        <w:rPr>
          <w:rFonts w:ascii="Verdana" w:hAnsi="Verdana"/>
          <w:sz w:val="20"/>
          <w:lang w:val="en-GB"/>
        </w:rPr>
        <w:t>Deemed Diseases</w:t>
      </w:r>
      <w:r w:rsidRPr="005144D5">
        <w:rPr>
          <w:rFonts w:ascii="Verdana" w:hAnsi="Verdana"/>
          <w:sz w:val="20"/>
          <w:lang w:val="en-GB"/>
        </w:rPr>
        <w:t xml:space="preserve"> list; and</w:t>
      </w:r>
    </w:p>
    <w:p w14:paraId="3777FDEA" w14:textId="5DA6892B" w:rsidR="005144D5" w:rsidRPr="005144D5" w:rsidRDefault="005144D5" w:rsidP="005144D5">
      <w:pPr>
        <w:tabs>
          <w:tab w:val="left" w:pos="567"/>
        </w:tabs>
        <w:spacing w:line="360" w:lineRule="auto"/>
        <w:ind w:left="567" w:hanging="567"/>
        <w:rPr>
          <w:rFonts w:ascii="Verdana" w:hAnsi="Verdana"/>
          <w:sz w:val="20"/>
          <w:lang w:val="en-GB"/>
        </w:rPr>
      </w:pPr>
      <w:r w:rsidRPr="005144D5">
        <w:rPr>
          <w:rFonts w:ascii="Verdana" w:hAnsi="Verdana"/>
          <w:sz w:val="20"/>
          <w:lang w:val="en-GB"/>
        </w:rPr>
        <w:tab/>
        <w:t>B. Provide incident rates for cancers and ot</w:t>
      </w:r>
      <w:r w:rsidR="00655862">
        <w:rPr>
          <w:rFonts w:ascii="Verdana" w:hAnsi="Verdana"/>
          <w:sz w:val="20"/>
          <w:lang w:val="en-GB"/>
        </w:rPr>
        <w:t>her diseases in the population.</w:t>
      </w:r>
    </w:p>
    <w:p w14:paraId="7B649F20" w14:textId="0D3B259B" w:rsidR="005144D5" w:rsidRPr="005144D5" w:rsidRDefault="005144D5" w:rsidP="00655862">
      <w:pPr>
        <w:tabs>
          <w:tab w:val="left" w:pos="567"/>
        </w:tabs>
        <w:spacing w:before="240" w:line="360" w:lineRule="auto"/>
        <w:ind w:left="567" w:hanging="567"/>
        <w:rPr>
          <w:rFonts w:ascii="Verdana" w:hAnsi="Verdana"/>
          <w:sz w:val="20"/>
          <w:lang w:val="en-GB"/>
        </w:rPr>
      </w:pPr>
      <w:r w:rsidRPr="005144D5">
        <w:rPr>
          <w:rFonts w:ascii="Verdana" w:hAnsi="Verdana"/>
          <w:sz w:val="20"/>
          <w:lang w:val="en-GB"/>
        </w:rPr>
        <w:t>2.</w:t>
      </w:r>
      <w:r w:rsidRPr="005144D5">
        <w:rPr>
          <w:rFonts w:ascii="Verdana" w:hAnsi="Verdana"/>
          <w:sz w:val="20"/>
          <w:lang w:val="en-GB"/>
        </w:rPr>
        <w:tab/>
        <w:t>Apply a study explaining linkage between particular diseases and specific occupations to provide occupational exposure data information on exposure prevalence for various exposures relevant to particular di</w:t>
      </w:r>
      <w:r w:rsidR="00655862">
        <w:rPr>
          <w:rFonts w:ascii="Verdana" w:hAnsi="Verdana"/>
          <w:sz w:val="20"/>
          <w:lang w:val="en-GB"/>
        </w:rPr>
        <w:t>seases in relevant occupations.</w:t>
      </w:r>
    </w:p>
    <w:p w14:paraId="60B07231" w14:textId="5A47834D" w:rsidR="005144D5" w:rsidRPr="006A12F2" w:rsidRDefault="005144D5" w:rsidP="00655862">
      <w:pPr>
        <w:tabs>
          <w:tab w:val="left" w:pos="567"/>
        </w:tabs>
        <w:spacing w:before="240" w:line="360" w:lineRule="auto"/>
        <w:ind w:left="567" w:hanging="567"/>
        <w:rPr>
          <w:rFonts w:ascii="Verdana" w:hAnsi="Verdana"/>
          <w:sz w:val="20"/>
          <w:lang w:val="en-GB"/>
        </w:rPr>
      </w:pPr>
      <w:r w:rsidRPr="005144D5">
        <w:rPr>
          <w:rFonts w:ascii="Verdana" w:hAnsi="Verdana"/>
          <w:sz w:val="20"/>
          <w:lang w:val="en-GB"/>
        </w:rPr>
        <w:t>3.</w:t>
      </w:r>
      <w:r w:rsidRPr="005144D5">
        <w:rPr>
          <w:rFonts w:ascii="Verdana" w:hAnsi="Verdana"/>
          <w:sz w:val="20"/>
          <w:lang w:val="en-GB"/>
        </w:rPr>
        <w:tab/>
      </w:r>
      <w:r w:rsidR="00C33911">
        <w:rPr>
          <w:rFonts w:ascii="Verdana" w:hAnsi="Verdana"/>
          <w:sz w:val="20"/>
          <w:lang w:val="en-GB"/>
        </w:rPr>
        <w:t>Provide a</w:t>
      </w:r>
      <w:r w:rsidRPr="005144D5">
        <w:rPr>
          <w:rFonts w:ascii="Verdana" w:hAnsi="Verdana"/>
          <w:sz w:val="20"/>
          <w:lang w:val="en-GB"/>
        </w:rPr>
        <w:t xml:space="preserve">dvice to the Department on the duration of exposure to causative agents which would be sufficient to cause each of the diseases </w:t>
      </w:r>
      <w:r w:rsidR="00782898">
        <w:rPr>
          <w:rFonts w:ascii="Verdana" w:hAnsi="Verdana"/>
          <w:sz w:val="20"/>
          <w:lang w:val="en-GB"/>
        </w:rPr>
        <w:t>being considered for inclusion in</w:t>
      </w:r>
      <w:r w:rsidRPr="005144D5">
        <w:rPr>
          <w:rFonts w:ascii="Verdana" w:hAnsi="Verdana"/>
          <w:sz w:val="20"/>
          <w:lang w:val="en-GB"/>
        </w:rPr>
        <w:t xml:space="preserve"> the </w:t>
      </w:r>
      <w:r w:rsidR="00782898">
        <w:rPr>
          <w:rFonts w:ascii="Verdana" w:hAnsi="Verdana"/>
          <w:sz w:val="20"/>
          <w:lang w:val="en-GB"/>
        </w:rPr>
        <w:t xml:space="preserve">Comcare </w:t>
      </w:r>
      <w:r w:rsidR="002E73E3">
        <w:rPr>
          <w:rFonts w:ascii="Verdana" w:hAnsi="Verdana"/>
          <w:sz w:val="20"/>
          <w:lang w:val="en-GB"/>
        </w:rPr>
        <w:t xml:space="preserve">Scheme </w:t>
      </w:r>
      <w:r w:rsidRPr="005144D5">
        <w:rPr>
          <w:rFonts w:ascii="Verdana" w:hAnsi="Verdana"/>
          <w:sz w:val="20"/>
          <w:lang w:val="en-GB"/>
        </w:rPr>
        <w:t>Deemed Diseases list.</w:t>
      </w:r>
    </w:p>
    <w:p w14:paraId="315FE71E" w14:textId="77777777" w:rsidR="00C26290" w:rsidRPr="005A050C" w:rsidRDefault="00C26290" w:rsidP="005A050C">
      <w:pPr>
        <w:pStyle w:val="Heading1"/>
        <w:jc w:val="center"/>
        <w:rPr>
          <w:sz w:val="40"/>
        </w:rPr>
      </w:pPr>
      <w:r w:rsidRPr="0039518B">
        <w:rPr>
          <w:highlight w:val="green"/>
        </w:rPr>
        <w:br w:type="page"/>
      </w:r>
      <w:bookmarkStart w:id="11" w:name="_Toc493068317"/>
      <w:r w:rsidRPr="005A050C">
        <w:rPr>
          <w:sz w:val="40"/>
        </w:rPr>
        <w:lastRenderedPageBreak/>
        <w:t>2.</w:t>
      </w:r>
      <w:r w:rsidRPr="005A050C">
        <w:rPr>
          <w:sz w:val="40"/>
        </w:rPr>
        <w:tab/>
      </w:r>
      <w:r w:rsidR="00886959" w:rsidRPr="005A050C">
        <w:rPr>
          <w:sz w:val="40"/>
        </w:rPr>
        <w:t>APPROACH</w:t>
      </w:r>
      <w:bookmarkEnd w:id="11"/>
    </w:p>
    <w:p w14:paraId="6B7D9C70" w14:textId="38DC99C0" w:rsidR="006A12F2" w:rsidRPr="00402102" w:rsidRDefault="006A12F2" w:rsidP="00655862">
      <w:pPr>
        <w:spacing w:before="240" w:line="360" w:lineRule="auto"/>
        <w:rPr>
          <w:rFonts w:ascii="Verdana" w:hAnsi="Verdana"/>
          <w:sz w:val="20"/>
        </w:rPr>
      </w:pPr>
      <w:r w:rsidRPr="00402102">
        <w:rPr>
          <w:rFonts w:ascii="Verdana" w:hAnsi="Verdana"/>
          <w:sz w:val="20"/>
        </w:rPr>
        <w:t>The project used published material, publically available material, information developed as part of the overall Deemed Disease</w:t>
      </w:r>
      <w:r w:rsidR="00CE08EA">
        <w:rPr>
          <w:rFonts w:ascii="Verdana" w:hAnsi="Verdana"/>
          <w:sz w:val="20"/>
        </w:rPr>
        <w:t>s</w:t>
      </w:r>
      <w:r w:rsidRPr="00402102">
        <w:rPr>
          <w:rFonts w:ascii="Verdana" w:hAnsi="Verdana"/>
          <w:sz w:val="20"/>
        </w:rPr>
        <w:t xml:space="preserve"> project</w:t>
      </w:r>
      <w:r w:rsidR="002972A9">
        <w:rPr>
          <w:rFonts w:ascii="Verdana" w:hAnsi="Verdana"/>
          <w:sz w:val="20"/>
        </w:rPr>
        <w:fldChar w:fldCharType="begin"/>
      </w:r>
      <w:r w:rsidR="008D6E0D">
        <w:rPr>
          <w:rFonts w:ascii="Verdana" w:hAnsi="Verdana"/>
          <w:sz w:val="20"/>
        </w:rPr>
        <w:instrText xml:space="preserve"> ADDIN EN.CITE &lt;EndNote&gt;&lt;Cite&gt;&lt;Author&gt;Driscoll&lt;/Author&gt;&lt;Year&gt;2015&lt;/Year&gt;&lt;RecNum&gt;981&lt;/RecNum&gt;&lt;DisplayText&gt;&lt;style face="superscript"&gt;1&lt;/style&gt;&lt;/DisplayText&gt;&lt;record&gt;&lt;rec-number&gt;981&lt;/rec-number&gt;&lt;foreign-keys&gt;&lt;key app="EN" db-id="9t2pp5ew3waxt7ex2apvwst4psz2x2xp0xpz" timestamp="1463979731"&gt;981&lt;/key&gt;&lt;/foreign-keys&gt;&lt;ref-type name="Report"&gt;27&lt;/ref-type&gt;&lt;contributors&gt;&lt;authors&gt;&lt;author&gt;Driscoll, T&lt;/author&gt;&lt;/authors&gt;&lt;tertiary-authors&gt;&lt;author&gt;Safe Work Australia&lt;/author&gt;&lt;/tertiary-authors&gt;&lt;/contributors&gt;&lt;titles&gt;&lt;title&gt;Deemed Diseases in Australia&lt;/title&gt;&lt;/titles&gt;&lt;dates&gt;&lt;year&gt;2015&lt;/year&gt;&lt;/dates&gt;&lt;pub-location&gt;Canberra&lt;/pub-location&gt;&lt;urls&gt;&lt;related-urls&gt;&lt;url&gt;http://www.safeworkaustralia.gov.au/sites/SWA/about/Publications/Documents/931/deemed-diseases.pdf&lt;/url&gt;&lt;/related-urls&gt;&lt;/urls&gt;&lt;/record&gt;&lt;/Cite&gt;&lt;/EndNote&gt;</w:instrText>
      </w:r>
      <w:r w:rsidR="002972A9">
        <w:rPr>
          <w:rFonts w:ascii="Verdana" w:hAnsi="Verdana"/>
          <w:sz w:val="20"/>
        </w:rPr>
        <w:fldChar w:fldCharType="separate"/>
      </w:r>
      <w:r w:rsidR="008D6E0D" w:rsidRPr="008D6E0D">
        <w:rPr>
          <w:rFonts w:ascii="Verdana" w:hAnsi="Verdana"/>
          <w:noProof/>
          <w:sz w:val="20"/>
          <w:vertAlign w:val="superscript"/>
        </w:rPr>
        <w:t>1</w:t>
      </w:r>
      <w:r w:rsidR="002972A9">
        <w:rPr>
          <w:rFonts w:ascii="Verdana" w:hAnsi="Verdana"/>
          <w:sz w:val="20"/>
        </w:rPr>
        <w:fldChar w:fldCharType="end"/>
      </w:r>
      <w:r w:rsidRPr="00402102">
        <w:rPr>
          <w:rFonts w:ascii="Verdana" w:hAnsi="Verdana"/>
          <w:sz w:val="20"/>
        </w:rPr>
        <w:t xml:space="preserve"> and information developed by the author as part of his work on the Global Burden of Disease study</w:t>
      </w:r>
      <w:r w:rsidR="002972A9">
        <w:rPr>
          <w:rFonts w:ascii="Verdana" w:hAnsi="Verdana"/>
          <w:sz w:val="20"/>
        </w:rPr>
        <w:fldChar w:fldCharType="begin"/>
      </w:r>
      <w:r w:rsidR="008D6E0D">
        <w:rPr>
          <w:rFonts w:ascii="Verdana" w:hAnsi="Verdana"/>
          <w:sz w:val="20"/>
        </w:rPr>
        <w:instrText xml:space="preserve"> ADDIN EN.CITE &lt;EndNote&gt;&lt;Cite&gt;&lt;Author&gt;Lim&lt;/Author&gt;&lt;Year&gt;2012&lt;/Year&gt;&lt;RecNum&gt;978&lt;/RecNum&gt;&lt;DisplayText&gt;&lt;style face="superscript"&gt;2&lt;/style&gt;&lt;/DisplayText&gt;&lt;record&gt;&lt;rec-number&gt;978&lt;/rec-number&gt;&lt;foreign-keys&gt;&lt;key app="EN" db-id="9t2pp5ew3waxt7ex2apvwst4psz2x2xp0xpz" timestamp="1463976183"&gt;978&lt;/key&gt;&lt;/foreign-keys&gt;&lt;ref-type name="Journal Article"&gt;17&lt;/ref-type&gt;&lt;contributors&gt;&lt;authors&gt;&lt;author&gt;Lim, S&lt;/author&gt;&lt;author&gt;Vos, T&lt;/author&gt;&lt;author&gt;Flaxman, A&lt;/author&gt;&lt;author&gt;Danaei, G&lt;/author&gt;&lt;author&gt;Shibuya, K&lt;/author&gt;&lt;author&gt;Lopez, AD&lt;/author&gt;&lt;author&gt;Murray, CJL&lt;/author&gt;&lt;author&gt;Ezzati, M&lt;/author&gt;&lt;author&gt;et al,&lt;/author&gt;&lt;/authors&gt;&lt;/contributors&gt;&lt;titles&gt;&lt;title&gt;A comparative risk assessment of burden of disease and injury attributable to 67 risk factors and risk factor clusters in 21 regions, 1990-2010: a systematic analysis for the Global Burden of Disease Study 2010&lt;/title&gt;&lt;secondary-title&gt;Lancet&lt;/secondary-title&gt;&lt;/titles&gt;&lt;periodical&gt;&lt;full-title&gt;Lancet&lt;/full-title&gt;&lt;/periodical&gt;&lt;pages&gt;2224–2260&lt;/pages&gt;&lt;volume&gt;380&lt;/volume&gt;&lt;dates&gt;&lt;year&gt;2012&lt;/year&gt;&lt;/dates&gt;&lt;urls&gt;&lt;/urls&gt;&lt;/record&gt;&lt;/Cite&gt;&lt;/EndNote&gt;</w:instrText>
      </w:r>
      <w:r w:rsidR="002972A9">
        <w:rPr>
          <w:rFonts w:ascii="Verdana" w:hAnsi="Verdana"/>
          <w:sz w:val="20"/>
        </w:rPr>
        <w:fldChar w:fldCharType="separate"/>
      </w:r>
      <w:r w:rsidR="008D6E0D" w:rsidRPr="008D6E0D">
        <w:rPr>
          <w:rFonts w:ascii="Verdana" w:hAnsi="Verdana"/>
          <w:noProof/>
          <w:sz w:val="20"/>
          <w:vertAlign w:val="superscript"/>
        </w:rPr>
        <w:t>2</w:t>
      </w:r>
      <w:r w:rsidR="002972A9">
        <w:rPr>
          <w:rFonts w:ascii="Verdana" w:hAnsi="Verdana"/>
          <w:sz w:val="20"/>
        </w:rPr>
        <w:fldChar w:fldCharType="end"/>
      </w:r>
      <w:r w:rsidRPr="00402102">
        <w:rPr>
          <w:rFonts w:ascii="Verdana" w:hAnsi="Verdana"/>
          <w:sz w:val="20"/>
        </w:rPr>
        <w:t>.</w:t>
      </w:r>
    </w:p>
    <w:p w14:paraId="66EA2868" w14:textId="77777777" w:rsidR="009E11BB" w:rsidRPr="0039518B" w:rsidRDefault="00C26290" w:rsidP="002F76BC">
      <w:pPr>
        <w:pStyle w:val="PHD-chapterheading"/>
        <w:rPr>
          <w:highlight w:val="green"/>
        </w:rPr>
      </w:pPr>
      <w:r w:rsidRPr="0039518B">
        <w:rPr>
          <w:highlight w:val="green"/>
        </w:rPr>
        <w:br w:type="page"/>
      </w:r>
    </w:p>
    <w:p w14:paraId="401CF8D2" w14:textId="77777777" w:rsidR="00C955F2" w:rsidRPr="005A050C" w:rsidRDefault="009E11BB" w:rsidP="005A050C">
      <w:pPr>
        <w:pStyle w:val="Heading1"/>
        <w:spacing w:line="360" w:lineRule="auto"/>
        <w:jc w:val="center"/>
        <w:rPr>
          <w:sz w:val="40"/>
        </w:rPr>
      </w:pPr>
      <w:bookmarkStart w:id="12" w:name="_Toc493068318"/>
      <w:r w:rsidRPr="005A050C">
        <w:rPr>
          <w:sz w:val="40"/>
        </w:rPr>
        <w:lastRenderedPageBreak/>
        <w:t>3</w:t>
      </w:r>
      <w:r w:rsidR="00C955F2" w:rsidRPr="005A050C">
        <w:rPr>
          <w:sz w:val="40"/>
        </w:rPr>
        <w:t>.</w:t>
      </w:r>
      <w:r w:rsidR="00C955F2" w:rsidRPr="005A050C">
        <w:rPr>
          <w:sz w:val="40"/>
        </w:rPr>
        <w:tab/>
      </w:r>
      <w:r w:rsidR="00B74697" w:rsidRPr="005A050C">
        <w:rPr>
          <w:sz w:val="40"/>
        </w:rPr>
        <w:t>RELATIVE RISKS FOR CANCERS AND OTHER DISEASES INCLUDED IN THE DEEMED DISEASES LIST</w:t>
      </w:r>
      <w:bookmarkEnd w:id="12"/>
    </w:p>
    <w:p w14:paraId="32825E5E" w14:textId="7D90DED1" w:rsidR="00E0405D" w:rsidRPr="005A050C" w:rsidRDefault="005A050C" w:rsidP="005A050C">
      <w:pPr>
        <w:pStyle w:val="Heading2"/>
        <w:keepNext/>
        <w:spacing w:after="240"/>
        <w:rPr>
          <w:sz w:val="24"/>
          <w:szCs w:val="24"/>
        </w:rPr>
      </w:pPr>
      <w:bookmarkStart w:id="13" w:name="_Toc493068319"/>
      <w:r w:rsidRPr="005A050C">
        <w:rPr>
          <w:sz w:val="24"/>
          <w:szCs w:val="24"/>
        </w:rPr>
        <w:t>INTRODUCTION</w:t>
      </w:r>
      <w:bookmarkEnd w:id="13"/>
    </w:p>
    <w:p w14:paraId="4E6AF9F7" w14:textId="18E67140" w:rsidR="00E14691" w:rsidRPr="005E5341" w:rsidRDefault="00C33911" w:rsidP="005A050C">
      <w:pPr>
        <w:pStyle w:val="PHD-normaltext"/>
        <w:spacing w:after="240"/>
        <w:rPr>
          <w:lang w:val="en-AU"/>
        </w:rPr>
      </w:pPr>
      <w:r>
        <w:rPr>
          <w:lang w:val="en-AU"/>
        </w:rPr>
        <w:t xml:space="preserve">This chapter presents relative risk information for those disorder-exposure pairs </w:t>
      </w:r>
      <w:r w:rsidR="00782898">
        <w:rPr>
          <w:lang w:val="en-AU"/>
        </w:rPr>
        <w:t xml:space="preserve">which are </w:t>
      </w:r>
      <w:r w:rsidR="006410EE">
        <w:rPr>
          <w:lang w:val="en-AU"/>
        </w:rPr>
        <w:t xml:space="preserve">being </w:t>
      </w:r>
      <w:r w:rsidR="00782898">
        <w:rPr>
          <w:lang w:val="en-AU"/>
        </w:rPr>
        <w:t xml:space="preserve">considered for inclusion in the Comcare </w:t>
      </w:r>
      <w:r w:rsidR="002E73E3">
        <w:rPr>
          <w:lang w:val="en-AU"/>
        </w:rPr>
        <w:t xml:space="preserve">Scheme </w:t>
      </w:r>
      <w:r w:rsidR="00782898">
        <w:rPr>
          <w:lang w:val="en-AU"/>
        </w:rPr>
        <w:t xml:space="preserve">Deemed Disease list </w:t>
      </w:r>
      <w:r>
        <w:rPr>
          <w:lang w:val="en-AU"/>
        </w:rPr>
        <w:t>for whic</w:t>
      </w:r>
      <w:r w:rsidR="00782898">
        <w:rPr>
          <w:lang w:val="en-AU"/>
        </w:rPr>
        <w:t>h such information is available.</w:t>
      </w:r>
    </w:p>
    <w:p w14:paraId="79044CF2" w14:textId="5DD1E10B" w:rsidR="00E0405D" w:rsidRPr="005A050C" w:rsidRDefault="005A050C" w:rsidP="005A050C">
      <w:pPr>
        <w:pStyle w:val="Heading2"/>
        <w:spacing w:after="240"/>
        <w:rPr>
          <w:sz w:val="24"/>
          <w:szCs w:val="24"/>
        </w:rPr>
      </w:pPr>
      <w:bookmarkStart w:id="14" w:name="_Toc493068320"/>
      <w:r w:rsidRPr="005A050C">
        <w:rPr>
          <w:sz w:val="24"/>
          <w:szCs w:val="24"/>
        </w:rPr>
        <w:t>CANCERS</w:t>
      </w:r>
      <w:bookmarkEnd w:id="14"/>
    </w:p>
    <w:p w14:paraId="3508E669" w14:textId="6E1E58C2" w:rsidR="002A2950" w:rsidRDefault="001C5971" w:rsidP="00E14691">
      <w:pPr>
        <w:pStyle w:val="PHD-normaltext"/>
        <w:rPr>
          <w:lang w:val="en-US"/>
        </w:rPr>
      </w:pPr>
      <w:r>
        <w:rPr>
          <w:lang w:val="en-US"/>
        </w:rPr>
        <w:t>Information on the relative risk of particular cancers arising from exposure to specific agents comes from published studies and some un-published meta-analyses.  Most of the relative risk estimates come from meta-analyses.  Where an appropriate meta-analysis was not available, single studies considered most appropriate are provided.  Much of the information provided here is based on work conducted by the author for the Global Burden of Disease study</w:t>
      </w:r>
      <w:r w:rsidR="002972A9">
        <w:rPr>
          <w:lang w:val="en-US"/>
        </w:rPr>
        <w:fldChar w:fldCharType="begin"/>
      </w:r>
      <w:r w:rsidR="008D6E0D">
        <w:rPr>
          <w:lang w:val="en-US"/>
        </w:rPr>
        <w:instrText xml:space="preserve"> ADDIN EN.CITE &lt;EndNote&gt;&lt;Cite&gt;&lt;Author&gt;Lim&lt;/Author&gt;&lt;Year&gt;2012&lt;/Year&gt;&lt;RecNum&gt;978&lt;/RecNum&gt;&lt;DisplayText&gt;&lt;style face="superscript"&gt;2&lt;/style&gt;&lt;/DisplayText&gt;&lt;record&gt;&lt;rec-number&gt;978&lt;/rec-number&gt;&lt;foreign-keys&gt;&lt;key app="EN" db-id="9t2pp5ew3waxt7ex2apvwst4psz2x2xp0xpz" timestamp="1463976183"&gt;978&lt;/key&gt;&lt;/foreign-keys&gt;&lt;ref-type name="Journal Article"&gt;17&lt;/ref-type&gt;&lt;contributors&gt;&lt;authors&gt;&lt;author&gt;Lim, S&lt;/author&gt;&lt;author&gt;Vos, T&lt;/author&gt;&lt;author&gt;Flaxman, A&lt;/author&gt;&lt;author&gt;Danaei, G&lt;/author&gt;&lt;author&gt;Shibuya, K&lt;/author&gt;&lt;author&gt;Lopez, AD&lt;/author&gt;&lt;author&gt;Murray, CJL&lt;/author&gt;&lt;author&gt;Ezzati, M&lt;/author&gt;&lt;author&gt;et al,&lt;/author&gt;&lt;/authors&gt;&lt;/contributors&gt;&lt;titles&gt;&lt;title&gt;A comparative risk assessment of burden of disease and injury attributable to 67 risk factors and risk factor clusters in 21 regions, 1990-2010: a systematic analysis for the Global Burden of Disease Study 2010&lt;/title&gt;&lt;secondary-title&gt;Lancet&lt;/secondary-title&gt;&lt;/titles&gt;&lt;periodical&gt;&lt;full-title&gt;Lancet&lt;/full-title&gt;&lt;/periodical&gt;&lt;pages&gt;2224–2260&lt;/pages&gt;&lt;volume&gt;380&lt;/volume&gt;&lt;dates&gt;&lt;year&gt;2012&lt;/year&gt;&lt;/dates&gt;&lt;urls&gt;&lt;/urls&gt;&lt;/record&gt;&lt;/Cite&gt;&lt;/EndNote&gt;</w:instrText>
      </w:r>
      <w:r w:rsidR="002972A9">
        <w:rPr>
          <w:lang w:val="en-US"/>
        </w:rPr>
        <w:fldChar w:fldCharType="separate"/>
      </w:r>
      <w:r w:rsidR="008D6E0D" w:rsidRPr="008D6E0D">
        <w:rPr>
          <w:noProof/>
          <w:vertAlign w:val="superscript"/>
          <w:lang w:val="en-US"/>
        </w:rPr>
        <w:t>2</w:t>
      </w:r>
      <w:r w:rsidR="002972A9">
        <w:rPr>
          <w:lang w:val="en-US"/>
        </w:rPr>
        <w:fldChar w:fldCharType="end"/>
      </w:r>
      <w:r>
        <w:rPr>
          <w:lang w:val="en-US"/>
        </w:rPr>
        <w:t>.</w:t>
      </w:r>
    </w:p>
    <w:p w14:paraId="02C2491E" w14:textId="0644F90B" w:rsidR="000C198E" w:rsidRDefault="000C198E" w:rsidP="00655862">
      <w:pPr>
        <w:pStyle w:val="PHD-normaltext"/>
        <w:spacing w:before="240"/>
        <w:rPr>
          <w:lang w:val="en-US"/>
        </w:rPr>
      </w:pPr>
      <w:r>
        <w:rPr>
          <w:lang w:val="en-US"/>
        </w:rPr>
        <w:t>Information on the relative risk due to ionizing radiation is difficult to obtain for the</w:t>
      </w:r>
      <w:r w:rsidR="00C33911">
        <w:rPr>
          <w:lang w:val="en-US"/>
        </w:rPr>
        <w:t xml:space="preserve"> very</w:t>
      </w:r>
      <w:r>
        <w:rPr>
          <w:lang w:val="en-US"/>
        </w:rPr>
        <w:t xml:space="preserve"> low exposures likely in Australia.  Therefore, relative risks for cancer arising from exposure to ionizing radiation are not provided.  Not including such cancers should not introduce </w:t>
      </w:r>
      <w:r w:rsidR="00C91AD1">
        <w:rPr>
          <w:lang w:val="en-US"/>
        </w:rPr>
        <w:t>problems</w:t>
      </w:r>
      <w:r>
        <w:rPr>
          <w:lang w:val="en-US"/>
        </w:rPr>
        <w:t xml:space="preserve"> because the number of people exposed to ionizing radiation in an occupation</w:t>
      </w:r>
      <w:r w:rsidR="006902BA">
        <w:rPr>
          <w:lang w:val="en-US"/>
        </w:rPr>
        <w:t>al</w:t>
      </w:r>
      <w:r>
        <w:rPr>
          <w:lang w:val="en-US"/>
        </w:rPr>
        <w:t xml:space="preserve"> setting is small and the risk arising from such exposure is likely to be very small, meaning that the number of potential claims due to such exposure should be very low.</w:t>
      </w:r>
    </w:p>
    <w:p w14:paraId="11925465" w14:textId="77777777" w:rsidR="006902BA" w:rsidRDefault="006902BA" w:rsidP="00655862">
      <w:pPr>
        <w:pStyle w:val="PHD-normaltext"/>
        <w:spacing w:before="240"/>
        <w:rPr>
          <w:lang w:val="en-US"/>
        </w:rPr>
      </w:pPr>
      <w:r>
        <w:rPr>
          <w:lang w:val="en-US"/>
        </w:rPr>
        <w:t>For some cancer-exposure pairs, there are no reliabl</w:t>
      </w:r>
      <w:r w:rsidR="00C33911">
        <w:rPr>
          <w:lang w:val="en-US"/>
        </w:rPr>
        <w:t>e estimates of relative risk.  F</w:t>
      </w:r>
      <w:r>
        <w:rPr>
          <w:lang w:val="en-US"/>
        </w:rPr>
        <w:t>ew claims would be expected to arise for these because the cancer is uncommon and/or the exposure is uncommon and/or the risk arising from exposure is likely to be low</w:t>
      </w:r>
      <w:r w:rsidR="008B1C51">
        <w:rPr>
          <w:lang w:val="en-US"/>
        </w:rPr>
        <w:t xml:space="preserve"> (Table 1)</w:t>
      </w:r>
      <w:r>
        <w:rPr>
          <w:lang w:val="en-US"/>
        </w:rPr>
        <w:t>.</w:t>
      </w:r>
    </w:p>
    <w:p w14:paraId="1609F33A" w14:textId="77777777" w:rsidR="002B6A9F" w:rsidRPr="009C5EAC" w:rsidRDefault="002B6A9F" w:rsidP="002B6A9F">
      <w:pPr>
        <w:pStyle w:val="PhD-tableheading"/>
        <w:spacing w:before="0" w:after="0"/>
        <w:ind w:left="1418"/>
        <w:rPr>
          <w:rFonts w:ascii="Calibri" w:hAnsi="Calibri"/>
          <w:b w:val="0"/>
          <w:sz w:val="22"/>
          <w:szCs w:val="22"/>
        </w:rPr>
      </w:pPr>
    </w:p>
    <w:p w14:paraId="16C4B5E4" w14:textId="77777777" w:rsidR="002B6A9F" w:rsidRDefault="002B6A9F" w:rsidP="002B6A9F">
      <w:pPr>
        <w:pStyle w:val="PhD-tableheading"/>
        <w:spacing w:before="0" w:after="0"/>
        <w:ind w:left="1418"/>
        <w:rPr>
          <w:rFonts w:ascii="Calibri" w:hAnsi="Calibri"/>
          <w:b w:val="0"/>
          <w:sz w:val="22"/>
          <w:szCs w:val="22"/>
        </w:rPr>
        <w:sectPr w:rsidR="002B6A9F" w:rsidSect="001C5971">
          <w:pgSz w:w="12240" w:h="15840"/>
          <w:pgMar w:top="1134" w:right="1134" w:bottom="1134" w:left="1134" w:header="709" w:footer="709" w:gutter="0"/>
          <w:cols w:space="708"/>
          <w:docGrid w:linePitch="360"/>
        </w:sectPr>
      </w:pPr>
    </w:p>
    <w:p w14:paraId="138299B0" w14:textId="77777777" w:rsidR="002B6A9F" w:rsidRPr="00653C07" w:rsidRDefault="002B6A9F" w:rsidP="002B6A9F">
      <w:pPr>
        <w:pStyle w:val="PhD-tableheading"/>
        <w:spacing w:before="0"/>
        <w:ind w:left="1418"/>
        <w:rPr>
          <w:rFonts w:ascii="Calibri" w:hAnsi="Calibri"/>
          <w:sz w:val="22"/>
          <w:szCs w:val="22"/>
          <w:highlight w:val="yellow"/>
        </w:rPr>
      </w:pPr>
      <w:r w:rsidRPr="00653C07">
        <w:rPr>
          <w:rFonts w:ascii="Calibri" w:hAnsi="Calibri"/>
          <w:sz w:val="22"/>
          <w:szCs w:val="22"/>
        </w:rPr>
        <w:lastRenderedPageBreak/>
        <w:t xml:space="preserve">Table </w:t>
      </w:r>
      <w:r w:rsidR="008B1C51">
        <w:rPr>
          <w:rFonts w:ascii="Calibri" w:hAnsi="Calibri"/>
          <w:sz w:val="22"/>
          <w:szCs w:val="22"/>
        </w:rPr>
        <w:t>1.</w:t>
      </w:r>
      <w:r w:rsidRPr="00653C07">
        <w:rPr>
          <w:rFonts w:ascii="Calibri" w:hAnsi="Calibri"/>
          <w:sz w:val="22"/>
          <w:szCs w:val="22"/>
        </w:rPr>
        <w:tab/>
      </w:r>
      <w:r w:rsidRPr="00880186">
        <w:rPr>
          <w:rFonts w:ascii="Calibri" w:hAnsi="Calibri"/>
          <w:sz w:val="22"/>
          <w:szCs w:val="22"/>
        </w:rPr>
        <w:t>Exposure-outcome pairs, relative risks (95% CI), source and study type</w:t>
      </w:r>
    </w:p>
    <w:tbl>
      <w:tblPr>
        <w:tblW w:w="15277" w:type="dxa"/>
        <w:tblBorders>
          <w:top w:val="single" w:sz="4" w:space="0" w:color="auto"/>
          <w:bottom w:val="single" w:sz="4" w:space="0" w:color="auto"/>
        </w:tblBorders>
        <w:tblLayout w:type="fixed"/>
        <w:tblLook w:val="00A0" w:firstRow="1" w:lastRow="0" w:firstColumn="1" w:lastColumn="0" w:noHBand="0" w:noVBand="0"/>
      </w:tblPr>
      <w:tblGrid>
        <w:gridCol w:w="3969"/>
        <w:gridCol w:w="3686"/>
        <w:gridCol w:w="1101"/>
        <w:gridCol w:w="1701"/>
        <w:gridCol w:w="3402"/>
        <w:gridCol w:w="1418"/>
      </w:tblGrid>
      <w:tr w:rsidR="003B61C3" w:rsidRPr="00AD1855" w14:paraId="6A38A792" w14:textId="77777777" w:rsidTr="00DF2DDF">
        <w:trPr>
          <w:tblHeader/>
        </w:trPr>
        <w:tc>
          <w:tcPr>
            <w:tcW w:w="3969" w:type="dxa"/>
            <w:tcBorders>
              <w:top w:val="single" w:sz="4" w:space="0" w:color="auto"/>
              <w:bottom w:val="single" w:sz="4" w:space="0" w:color="auto"/>
            </w:tcBorders>
          </w:tcPr>
          <w:p w14:paraId="144EAEB6" w14:textId="77777777" w:rsidR="003B61C3" w:rsidRPr="00BF2396" w:rsidRDefault="003B61C3" w:rsidP="006A6765">
            <w:pPr>
              <w:spacing w:before="120" w:after="120"/>
              <w:rPr>
                <w:rFonts w:ascii="Calibri" w:hAnsi="Calibri"/>
                <w:b/>
              </w:rPr>
            </w:pPr>
            <w:r w:rsidRPr="00BF2396">
              <w:rPr>
                <w:rFonts w:ascii="Calibri" w:hAnsi="Calibri"/>
                <w:b/>
              </w:rPr>
              <w:t>Cancer site/type</w:t>
            </w:r>
          </w:p>
        </w:tc>
        <w:tc>
          <w:tcPr>
            <w:tcW w:w="3686" w:type="dxa"/>
            <w:tcBorders>
              <w:top w:val="single" w:sz="4" w:space="0" w:color="auto"/>
              <w:bottom w:val="single" w:sz="4" w:space="0" w:color="auto"/>
            </w:tcBorders>
          </w:tcPr>
          <w:p w14:paraId="29913151" w14:textId="77777777" w:rsidR="003B61C3" w:rsidRPr="00BF2396" w:rsidRDefault="003B61C3" w:rsidP="001C5971">
            <w:pPr>
              <w:tabs>
                <w:tab w:val="left" w:pos="142"/>
              </w:tabs>
              <w:spacing w:before="120" w:after="120"/>
              <w:ind w:left="142" w:hanging="142"/>
              <w:rPr>
                <w:rFonts w:ascii="Calibri" w:hAnsi="Calibri"/>
                <w:b/>
              </w:rPr>
            </w:pPr>
            <w:r w:rsidRPr="00BF2396">
              <w:rPr>
                <w:rFonts w:ascii="Calibri" w:hAnsi="Calibri"/>
                <w:b/>
              </w:rPr>
              <w:t>Exposure</w:t>
            </w:r>
          </w:p>
        </w:tc>
        <w:tc>
          <w:tcPr>
            <w:tcW w:w="1101" w:type="dxa"/>
            <w:tcBorders>
              <w:top w:val="single" w:sz="4" w:space="0" w:color="auto"/>
              <w:bottom w:val="single" w:sz="4" w:space="0" w:color="auto"/>
            </w:tcBorders>
          </w:tcPr>
          <w:p w14:paraId="421DC8EB" w14:textId="77777777" w:rsidR="003B61C3" w:rsidRPr="00BF2396" w:rsidRDefault="003B61C3" w:rsidP="001C5971">
            <w:pPr>
              <w:spacing w:before="120" w:after="120"/>
              <w:jc w:val="center"/>
              <w:rPr>
                <w:rFonts w:ascii="Calibri" w:hAnsi="Calibri"/>
                <w:b/>
              </w:rPr>
            </w:pPr>
            <w:r w:rsidRPr="00BF2396">
              <w:rPr>
                <w:rFonts w:ascii="Calibri" w:hAnsi="Calibri"/>
                <w:b/>
              </w:rPr>
              <w:t>RR</w:t>
            </w:r>
          </w:p>
        </w:tc>
        <w:tc>
          <w:tcPr>
            <w:tcW w:w="1701" w:type="dxa"/>
            <w:tcBorders>
              <w:top w:val="single" w:sz="4" w:space="0" w:color="auto"/>
              <w:bottom w:val="single" w:sz="4" w:space="0" w:color="auto"/>
            </w:tcBorders>
          </w:tcPr>
          <w:p w14:paraId="0BB1A6B5" w14:textId="77777777" w:rsidR="003B61C3" w:rsidRPr="00BF2396" w:rsidRDefault="003B61C3" w:rsidP="001C5971">
            <w:pPr>
              <w:spacing w:before="120" w:after="120"/>
              <w:jc w:val="center"/>
              <w:rPr>
                <w:rFonts w:ascii="Calibri" w:hAnsi="Calibri"/>
                <w:b/>
              </w:rPr>
            </w:pPr>
            <w:r>
              <w:rPr>
                <w:rFonts w:ascii="Calibri" w:hAnsi="Calibri"/>
                <w:b/>
              </w:rPr>
              <w:t>95% CI^</w:t>
            </w:r>
          </w:p>
        </w:tc>
        <w:tc>
          <w:tcPr>
            <w:tcW w:w="3402" w:type="dxa"/>
            <w:tcBorders>
              <w:top w:val="single" w:sz="4" w:space="0" w:color="auto"/>
              <w:bottom w:val="single" w:sz="4" w:space="0" w:color="auto"/>
            </w:tcBorders>
          </w:tcPr>
          <w:p w14:paraId="39551E3C" w14:textId="77777777" w:rsidR="003B61C3" w:rsidRPr="00BF2396" w:rsidRDefault="003B61C3" w:rsidP="001C5971">
            <w:pPr>
              <w:spacing w:before="120" w:after="120"/>
              <w:jc w:val="center"/>
              <w:rPr>
                <w:rFonts w:ascii="Calibri" w:hAnsi="Calibri"/>
                <w:b/>
              </w:rPr>
            </w:pPr>
            <w:r>
              <w:rPr>
                <w:rFonts w:ascii="Calibri" w:hAnsi="Calibri"/>
                <w:b/>
              </w:rPr>
              <w:t>S</w:t>
            </w:r>
            <w:r w:rsidRPr="00BF2396">
              <w:rPr>
                <w:rFonts w:ascii="Calibri" w:hAnsi="Calibri"/>
                <w:b/>
              </w:rPr>
              <w:t xml:space="preserve">ource of </w:t>
            </w:r>
            <w:r>
              <w:rPr>
                <w:rFonts w:ascii="Calibri" w:hAnsi="Calibri"/>
                <w:b/>
              </w:rPr>
              <w:t>evidence</w:t>
            </w:r>
          </w:p>
        </w:tc>
        <w:tc>
          <w:tcPr>
            <w:tcW w:w="1418" w:type="dxa"/>
            <w:tcBorders>
              <w:top w:val="single" w:sz="4" w:space="0" w:color="auto"/>
              <w:bottom w:val="single" w:sz="4" w:space="0" w:color="auto"/>
            </w:tcBorders>
          </w:tcPr>
          <w:p w14:paraId="1175AB48" w14:textId="77777777" w:rsidR="003B61C3" w:rsidRPr="00BF2396" w:rsidRDefault="003B61C3" w:rsidP="001C5971">
            <w:pPr>
              <w:spacing w:before="120" w:after="120"/>
              <w:jc w:val="center"/>
              <w:rPr>
                <w:rFonts w:ascii="Calibri" w:hAnsi="Calibri"/>
                <w:b/>
              </w:rPr>
            </w:pPr>
            <w:r w:rsidRPr="00BF2396">
              <w:rPr>
                <w:rFonts w:ascii="Calibri" w:hAnsi="Calibri"/>
                <w:b/>
              </w:rPr>
              <w:t>Study type</w:t>
            </w:r>
            <w:r w:rsidRPr="00AD3C25">
              <w:rPr>
                <w:rFonts w:ascii="Calibri" w:hAnsi="Calibri"/>
                <w:b/>
                <w:vertAlign w:val="superscript"/>
              </w:rPr>
              <w:t>+</w:t>
            </w:r>
          </w:p>
        </w:tc>
      </w:tr>
      <w:tr w:rsidR="003B61C3" w:rsidRPr="000C198E" w14:paraId="217A039E" w14:textId="77777777" w:rsidTr="00A211DB">
        <w:tc>
          <w:tcPr>
            <w:tcW w:w="3969" w:type="dxa"/>
            <w:tcBorders>
              <w:bottom w:val="nil"/>
            </w:tcBorders>
          </w:tcPr>
          <w:p w14:paraId="1A8171A5" w14:textId="77777777" w:rsidR="003B61C3" w:rsidRPr="000C198E" w:rsidRDefault="003B61C3" w:rsidP="006A6765">
            <w:pPr>
              <w:rPr>
                <w:rFonts w:asciiTheme="minorHAnsi" w:hAnsiTheme="minorHAnsi"/>
                <w:sz w:val="22"/>
                <w:szCs w:val="22"/>
              </w:rPr>
            </w:pPr>
            <w:r w:rsidRPr="000C198E">
              <w:rPr>
                <w:rFonts w:asciiTheme="minorHAnsi" w:hAnsiTheme="minorHAnsi"/>
                <w:sz w:val="22"/>
                <w:szCs w:val="22"/>
              </w:rPr>
              <w:t>Nasopharynx</w:t>
            </w:r>
          </w:p>
        </w:tc>
        <w:tc>
          <w:tcPr>
            <w:tcW w:w="3686" w:type="dxa"/>
            <w:tcBorders>
              <w:bottom w:val="nil"/>
            </w:tcBorders>
          </w:tcPr>
          <w:p w14:paraId="72F1861A" w14:textId="77777777" w:rsidR="003B61C3" w:rsidRPr="000C198E" w:rsidRDefault="003B61C3" w:rsidP="006A6765">
            <w:pPr>
              <w:tabs>
                <w:tab w:val="left" w:pos="142"/>
              </w:tabs>
              <w:ind w:left="142" w:hanging="142"/>
              <w:rPr>
                <w:rFonts w:asciiTheme="minorHAnsi" w:hAnsiTheme="minorHAnsi"/>
                <w:sz w:val="22"/>
                <w:szCs w:val="22"/>
              </w:rPr>
            </w:pPr>
            <w:r w:rsidRPr="000C198E">
              <w:rPr>
                <w:rFonts w:asciiTheme="minorHAnsi" w:hAnsiTheme="minorHAnsi"/>
                <w:sz w:val="22"/>
                <w:szCs w:val="22"/>
              </w:rPr>
              <w:t>Formaldehyde</w:t>
            </w:r>
          </w:p>
        </w:tc>
        <w:tc>
          <w:tcPr>
            <w:tcW w:w="1101" w:type="dxa"/>
            <w:tcBorders>
              <w:bottom w:val="nil"/>
            </w:tcBorders>
          </w:tcPr>
          <w:p w14:paraId="36B2985E" w14:textId="77777777" w:rsidR="003B61C3" w:rsidRPr="000C198E" w:rsidRDefault="003B61C3" w:rsidP="006A6765">
            <w:pPr>
              <w:tabs>
                <w:tab w:val="decimal" w:pos="304"/>
              </w:tabs>
              <w:rPr>
                <w:rFonts w:asciiTheme="minorHAnsi" w:hAnsiTheme="minorHAnsi"/>
                <w:sz w:val="22"/>
                <w:szCs w:val="22"/>
              </w:rPr>
            </w:pPr>
            <w:r w:rsidRPr="000C198E">
              <w:rPr>
                <w:rFonts w:asciiTheme="minorHAnsi" w:hAnsiTheme="minorHAnsi"/>
                <w:sz w:val="22"/>
                <w:szCs w:val="22"/>
              </w:rPr>
              <w:t>2.1</w:t>
            </w:r>
          </w:p>
        </w:tc>
        <w:tc>
          <w:tcPr>
            <w:tcW w:w="1701" w:type="dxa"/>
            <w:tcBorders>
              <w:bottom w:val="nil"/>
            </w:tcBorders>
          </w:tcPr>
          <w:p w14:paraId="7C8C30FA" w14:textId="77777777" w:rsidR="003B61C3" w:rsidRPr="000C198E" w:rsidRDefault="003B61C3" w:rsidP="006A6765">
            <w:pPr>
              <w:jc w:val="center"/>
              <w:rPr>
                <w:rFonts w:asciiTheme="minorHAnsi" w:hAnsiTheme="minorHAnsi"/>
                <w:sz w:val="22"/>
                <w:szCs w:val="22"/>
              </w:rPr>
            </w:pPr>
            <w:r w:rsidRPr="000C198E">
              <w:rPr>
                <w:rFonts w:asciiTheme="minorHAnsi" w:hAnsiTheme="minorHAnsi"/>
                <w:sz w:val="22"/>
                <w:szCs w:val="22"/>
              </w:rPr>
              <w:t>1.05-4.21</w:t>
            </w:r>
          </w:p>
        </w:tc>
        <w:tc>
          <w:tcPr>
            <w:tcW w:w="3402" w:type="dxa"/>
            <w:tcBorders>
              <w:bottom w:val="nil"/>
            </w:tcBorders>
          </w:tcPr>
          <w:p w14:paraId="293FD711" w14:textId="7124FC8D" w:rsidR="003B61C3" w:rsidRPr="000C198E" w:rsidRDefault="003B61C3" w:rsidP="008D6E0D">
            <w:pPr>
              <w:tabs>
                <w:tab w:val="left" w:pos="146"/>
              </w:tabs>
              <w:ind w:left="146" w:hanging="146"/>
              <w:rPr>
                <w:rFonts w:asciiTheme="minorHAnsi" w:hAnsiTheme="minorHAnsi"/>
                <w:sz w:val="22"/>
                <w:szCs w:val="22"/>
              </w:rPr>
            </w:pPr>
            <w:r w:rsidRPr="000C198E">
              <w:rPr>
                <w:rFonts w:asciiTheme="minorHAnsi" w:hAnsiTheme="minorHAnsi"/>
                <w:sz w:val="22"/>
                <w:szCs w:val="22"/>
              </w:rPr>
              <w:t>Hauptmann et al, 2004</w:t>
            </w:r>
            <w:r w:rsidR="002972A9">
              <w:rPr>
                <w:rFonts w:asciiTheme="minorHAnsi" w:hAnsiTheme="minorHAnsi"/>
                <w:sz w:val="22"/>
                <w:szCs w:val="22"/>
              </w:rPr>
              <w:fldChar w:fldCharType="begin"/>
            </w:r>
            <w:r w:rsidR="008D6E0D">
              <w:rPr>
                <w:rFonts w:asciiTheme="minorHAnsi" w:hAnsiTheme="minorHAnsi"/>
                <w:sz w:val="22"/>
                <w:szCs w:val="22"/>
              </w:rPr>
              <w:instrText xml:space="preserve"> ADDIN EN.CITE &lt;EndNote&gt;&lt;Cite&gt;&lt;Author&gt;Hauptmann&lt;/Author&gt;&lt;Year&gt;2004&lt;/Year&gt;&lt;RecNum&gt;997&lt;/RecNum&gt;&lt;DisplayText&gt;&lt;style face="superscript"&gt;3&lt;/style&gt;&lt;/DisplayText&gt;&lt;record&gt;&lt;rec-number&gt;997&lt;/rec-number&gt;&lt;foreign-keys&gt;&lt;key app="EN" db-id="9t2pp5ew3waxt7ex2apvwst4psz2x2xp0xpz" timestamp="1468022314"&gt;997&lt;/key&gt;&lt;/foreign-keys&gt;&lt;ref-type name="Journal Article"&gt;17&lt;/ref-type&gt;&lt;contributors&gt;&lt;authors&gt;&lt;author&gt;Hauptmann, M&lt;/author&gt;&lt;author&gt;Lubin, JH&lt;/author&gt;&lt;author&gt;Stewart, PA&lt;/author&gt;&lt;author&gt;Hayes, RB&lt;/author&gt;&lt;author&gt;Blair, A&lt;/author&gt;&lt;/authors&gt;&lt;/contributors&gt;&lt;titles&gt;&lt;title&gt;Mortality from solid cancers among workers in formaldehyde industries&lt;/title&gt;&lt;secondary-title&gt;American Journal of Epidemiology&lt;/secondary-title&gt;&lt;/titles&gt;&lt;periodical&gt;&lt;full-title&gt;American Journal of Epidemiology&lt;/full-title&gt;&lt;/periodical&gt;&lt;pages&gt;1117-1130&lt;/pages&gt;&lt;volume&gt;159&lt;/volume&gt;&lt;number&gt;12&lt;/number&gt;&lt;dates&gt;&lt;year&gt;2004&lt;/year&gt;&lt;/dates&gt;&lt;urls&gt;&lt;/urls&gt;&lt;/record&gt;&lt;/Cite&gt;&lt;/EndNote&gt;</w:instrText>
            </w:r>
            <w:r w:rsidR="002972A9">
              <w:rPr>
                <w:rFonts w:asciiTheme="minorHAnsi" w:hAnsiTheme="minorHAnsi"/>
                <w:sz w:val="22"/>
                <w:szCs w:val="22"/>
              </w:rPr>
              <w:fldChar w:fldCharType="separate"/>
            </w:r>
            <w:r w:rsidR="008D6E0D" w:rsidRPr="008D6E0D">
              <w:rPr>
                <w:rFonts w:asciiTheme="minorHAnsi" w:hAnsiTheme="minorHAnsi"/>
                <w:noProof/>
                <w:sz w:val="22"/>
                <w:szCs w:val="22"/>
                <w:vertAlign w:val="superscript"/>
              </w:rPr>
              <w:t>3</w:t>
            </w:r>
            <w:r w:rsidR="002972A9">
              <w:rPr>
                <w:rFonts w:asciiTheme="minorHAnsi" w:hAnsiTheme="minorHAnsi"/>
                <w:sz w:val="22"/>
                <w:szCs w:val="22"/>
              </w:rPr>
              <w:fldChar w:fldCharType="end"/>
            </w:r>
            <w:r w:rsidR="00E31B86">
              <w:rPr>
                <w:rFonts w:asciiTheme="minorHAnsi" w:hAnsiTheme="minorHAnsi"/>
                <w:sz w:val="22"/>
                <w:szCs w:val="22"/>
                <w:vertAlign w:val="superscript"/>
              </w:rPr>
              <w:t>a</w:t>
            </w:r>
          </w:p>
        </w:tc>
        <w:tc>
          <w:tcPr>
            <w:tcW w:w="1418" w:type="dxa"/>
            <w:tcBorders>
              <w:bottom w:val="nil"/>
            </w:tcBorders>
          </w:tcPr>
          <w:p w14:paraId="112A5E8D" w14:textId="77777777" w:rsidR="003B61C3" w:rsidRPr="000C198E" w:rsidRDefault="003B61C3" w:rsidP="006A6765">
            <w:pPr>
              <w:jc w:val="center"/>
              <w:rPr>
                <w:rFonts w:asciiTheme="minorHAnsi" w:hAnsiTheme="minorHAnsi"/>
                <w:sz w:val="22"/>
                <w:szCs w:val="22"/>
              </w:rPr>
            </w:pPr>
            <w:r w:rsidRPr="000C198E">
              <w:rPr>
                <w:rFonts w:asciiTheme="minorHAnsi" w:hAnsiTheme="minorHAnsi"/>
                <w:sz w:val="22"/>
                <w:szCs w:val="22"/>
              </w:rPr>
              <w:t>KS</w:t>
            </w:r>
          </w:p>
        </w:tc>
      </w:tr>
      <w:tr w:rsidR="003B61C3" w:rsidRPr="000C198E" w14:paraId="2964AD38" w14:textId="77777777" w:rsidTr="00C33911">
        <w:tc>
          <w:tcPr>
            <w:tcW w:w="3969" w:type="dxa"/>
            <w:tcBorders>
              <w:top w:val="nil"/>
              <w:bottom w:val="nil"/>
            </w:tcBorders>
            <w:shd w:val="clear" w:color="auto" w:fill="D9D9D9" w:themeFill="background1" w:themeFillShade="D9"/>
          </w:tcPr>
          <w:p w14:paraId="60E9874F" w14:textId="77777777" w:rsidR="003B61C3" w:rsidRPr="000C198E" w:rsidRDefault="003B61C3" w:rsidP="00B82965">
            <w:pPr>
              <w:rPr>
                <w:rFonts w:asciiTheme="minorHAnsi" w:hAnsiTheme="minorHAnsi"/>
                <w:sz w:val="22"/>
                <w:szCs w:val="22"/>
              </w:rPr>
            </w:pPr>
            <w:r w:rsidRPr="000C198E">
              <w:rPr>
                <w:rFonts w:asciiTheme="minorHAnsi" w:hAnsiTheme="minorHAnsi"/>
                <w:sz w:val="22"/>
                <w:szCs w:val="22"/>
              </w:rPr>
              <w:t>Nasopharynx</w:t>
            </w:r>
            <w:r w:rsidR="00B82965">
              <w:rPr>
                <w:rFonts w:asciiTheme="minorHAnsi" w:hAnsiTheme="minorHAnsi"/>
                <w:sz w:val="22"/>
                <w:szCs w:val="22"/>
                <w:vertAlign w:val="superscript"/>
              </w:rPr>
              <w:t>#</w:t>
            </w:r>
          </w:p>
        </w:tc>
        <w:tc>
          <w:tcPr>
            <w:tcW w:w="3686" w:type="dxa"/>
            <w:tcBorders>
              <w:top w:val="nil"/>
              <w:bottom w:val="nil"/>
            </w:tcBorders>
            <w:shd w:val="clear" w:color="auto" w:fill="D9D9D9" w:themeFill="background1" w:themeFillShade="D9"/>
          </w:tcPr>
          <w:p w14:paraId="79F8C367" w14:textId="77777777" w:rsidR="003B61C3" w:rsidRPr="000C198E" w:rsidRDefault="003B61C3" w:rsidP="001C5971">
            <w:pPr>
              <w:tabs>
                <w:tab w:val="left" w:pos="142"/>
              </w:tabs>
              <w:ind w:left="142" w:hanging="142"/>
              <w:rPr>
                <w:rFonts w:asciiTheme="minorHAnsi" w:hAnsiTheme="minorHAnsi"/>
                <w:sz w:val="22"/>
                <w:szCs w:val="22"/>
              </w:rPr>
            </w:pPr>
            <w:r w:rsidRPr="000C198E">
              <w:rPr>
                <w:rFonts w:asciiTheme="minorHAnsi" w:hAnsiTheme="minorHAnsi"/>
                <w:sz w:val="22"/>
                <w:szCs w:val="22"/>
              </w:rPr>
              <w:t>Wood dust</w:t>
            </w:r>
          </w:p>
        </w:tc>
        <w:tc>
          <w:tcPr>
            <w:tcW w:w="1101" w:type="dxa"/>
            <w:tcBorders>
              <w:top w:val="nil"/>
              <w:bottom w:val="nil"/>
            </w:tcBorders>
            <w:shd w:val="clear" w:color="auto" w:fill="D9D9D9" w:themeFill="background1" w:themeFillShade="D9"/>
          </w:tcPr>
          <w:p w14:paraId="576D4139" w14:textId="77777777" w:rsidR="003B61C3" w:rsidRPr="000C198E" w:rsidRDefault="003B61C3" w:rsidP="001C5971">
            <w:pPr>
              <w:tabs>
                <w:tab w:val="decimal" w:pos="304"/>
              </w:tabs>
              <w:rPr>
                <w:rFonts w:asciiTheme="minorHAnsi" w:hAnsiTheme="minorHAnsi"/>
                <w:sz w:val="22"/>
                <w:szCs w:val="22"/>
              </w:rPr>
            </w:pPr>
          </w:p>
        </w:tc>
        <w:tc>
          <w:tcPr>
            <w:tcW w:w="1701" w:type="dxa"/>
            <w:tcBorders>
              <w:top w:val="nil"/>
              <w:bottom w:val="nil"/>
            </w:tcBorders>
            <w:shd w:val="clear" w:color="auto" w:fill="D9D9D9" w:themeFill="background1" w:themeFillShade="D9"/>
          </w:tcPr>
          <w:p w14:paraId="156C1CD3" w14:textId="77777777" w:rsidR="003B61C3" w:rsidRPr="000C198E" w:rsidRDefault="003B61C3" w:rsidP="001C5971">
            <w:pPr>
              <w:jc w:val="center"/>
              <w:rPr>
                <w:rFonts w:asciiTheme="minorHAnsi" w:hAnsiTheme="minorHAnsi"/>
                <w:sz w:val="22"/>
                <w:szCs w:val="22"/>
              </w:rPr>
            </w:pPr>
          </w:p>
        </w:tc>
        <w:tc>
          <w:tcPr>
            <w:tcW w:w="3402" w:type="dxa"/>
            <w:tcBorders>
              <w:top w:val="nil"/>
              <w:bottom w:val="nil"/>
            </w:tcBorders>
            <w:shd w:val="clear" w:color="auto" w:fill="D9D9D9" w:themeFill="background1" w:themeFillShade="D9"/>
          </w:tcPr>
          <w:p w14:paraId="6F9A7A74" w14:textId="77777777" w:rsidR="003B61C3" w:rsidRPr="000C198E" w:rsidRDefault="003B61C3" w:rsidP="001C5971">
            <w:pPr>
              <w:tabs>
                <w:tab w:val="left" w:pos="146"/>
              </w:tabs>
              <w:ind w:left="146" w:hanging="146"/>
              <w:rPr>
                <w:rFonts w:asciiTheme="minorHAnsi" w:hAnsiTheme="minorHAnsi"/>
                <w:sz w:val="22"/>
                <w:szCs w:val="22"/>
              </w:rPr>
            </w:pPr>
          </w:p>
        </w:tc>
        <w:tc>
          <w:tcPr>
            <w:tcW w:w="1418" w:type="dxa"/>
            <w:tcBorders>
              <w:top w:val="nil"/>
              <w:bottom w:val="nil"/>
            </w:tcBorders>
            <w:shd w:val="clear" w:color="auto" w:fill="D9D9D9" w:themeFill="background1" w:themeFillShade="D9"/>
          </w:tcPr>
          <w:p w14:paraId="1458B000" w14:textId="77777777" w:rsidR="003B61C3" w:rsidRPr="000C198E" w:rsidRDefault="003B61C3" w:rsidP="001C5971">
            <w:pPr>
              <w:jc w:val="center"/>
              <w:rPr>
                <w:rFonts w:asciiTheme="minorHAnsi" w:hAnsiTheme="minorHAnsi"/>
                <w:sz w:val="22"/>
                <w:szCs w:val="22"/>
              </w:rPr>
            </w:pPr>
          </w:p>
        </w:tc>
      </w:tr>
      <w:tr w:rsidR="003B61C3" w:rsidRPr="000C198E" w14:paraId="004568AB" w14:textId="77777777" w:rsidTr="00A211DB">
        <w:tc>
          <w:tcPr>
            <w:tcW w:w="3969" w:type="dxa"/>
            <w:tcBorders>
              <w:top w:val="nil"/>
              <w:bottom w:val="nil"/>
            </w:tcBorders>
            <w:shd w:val="clear" w:color="auto" w:fill="D9D9D9" w:themeFill="background1" w:themeFillShade="D9"/>
          </w:tcPr>
          <w:p w14:paraId="681FC48D" w14:textId="77777777" w:rsidR="003B61C3" w:rsidRPr="000C198E" w:rsidRDefault="003B61C3" w:rsidP="006A6765">
            <w:pPr>
              <w:rPr>
                <w:rFonts w:asciiTheme="minorHAnsi" w:hAnsiTheme="minorHAnsi"/>
                <w:sz w:val="22"/>
                <w:szCs w:val="22"/>
              </w:rPr>
            </w:pPr>
            <w:r w:rsidRPr="000C198E">
              <w:rPr>
                <w:rFonts w:asciiTheme="minorHAnsi" w:hAnsiTheme="minorHAnsi"/>
                <w:sz w:val="22"/>
                <w:szCs w:val="22"/>
              </w:rPr>
              <w:t>Liver</w:t>
            </w:r>
            <w:r w:rsidR="00B82965">
              <w:rPr>
                <w:rFonts w:asciiTheme="minorHAnsi" w:hAnsiTheme="minorHAnsi"/>
                <w:sz w:val="22"/>
                <w:szCs w:val="22"/>
                <w:vertAlign w:val="superscript"/>
              </w:rPr>
              <w:t>#</w:t>
            </w:r>
          </w:p>
        </w:tc>
        <w:tc>
          <w:tcPr>
            <w:tcW w:w="3686" w:type="dxa"/>
            <w:tcBorders>
              <w:top w:val="nil"/>
              <w:bottom w:val="nil"/>
            </w:tcBorders>
            <w:shd w:val="clear" w:color="auto" w:fill="D9D9D9" w:themeFill="background1" w:themeFillShade="D9"/>
          </w:tcPr>
          <w:p w14:paraId="25C43CA0" w14:textId="77777777" w:rsidR="003B61C3" w:rsidRPr="000C198E" w:rsidRDefault="003B61C3" w:rsidP="003B61C3">
            <w:pPr>
              <w:tabs>
                <w:tab w:val="left" w:pos="142"/>
              </w:tabs>
              <w:ind w:left="142" w:hanging="142"/>
              <w:rPr>
                <w:rFonts w:asciiTheme="minorHAnsi" w:hAnsiTheme="minorHAnsi"/>
                <w:sz w:val="22"/>
                <w:szCs w:val="22"/>
              </w:rPr>
            </w:pPr>
            <w:r w:rsidRPr="000C198E">
              <w:rPr>
                <w:rFonts w:asciiTheme="minorHAnsi" w:hAnsiTheme="minorHAnsi"/>
                <w:sz w:val="22"/>
                <w:szCs w:val="22"/>
              </w:rPr>
              <w:t>Vinyl chloride monomer</w:t>
            </w:r>
          </w:p>
        </w:tc>
        <w:tc>
          <w:tcPr>
            <w:tcW w:w="1101" w:type="dxa"/>
            <w:tcBorders>
              <w:top w:val="nil"/>
              <w:bottom w:val="nil"/>
            </w:tcBorders>
            <w:shd w:val="clear" w:color="auto" w:fill="D9D9D9" w:themeFill="background1" w:themeFillShade="D9"/>
          </w:tcPr>
          <w:p w14:paraId="74569313" w14:textId="77777777" w:rsidR="003B61C3" w:rsidRPr="000C198E" w:rsidRDefault="003B61C3" w:rsidP="001C5971">
            <w:pPr>
              <w:tabs>
                <w:tab w:val="decimal" w:pos="304"/>
              </w:tabs>
              <w:rPr>
                <w:rFonts w:asciiTheme="minorHAnsi" w:hAnsiTheme="minorHAnsi"/>
                <w:sz w:val="22"/>
                <w:szCs w:val="22"/>
              </w:rPr>
            </w:pPr>
          </w:p>
        </w:tc>
        <w:tc>
          <w:tcPr>
            <w:tcW w:w="1701" w:type="dxa"/>
            <w:tcBorders>
              <w:top w:val="nil"/>
              <w:bottom w:val="nil"/>
            </w:tcBorders>
            <w:shd w:val="clear" w:color="auto" w:fill="D9D9D9" w:themeFill="background1" w:themeFillShade="D9"/>
          </w:tcPr>
          <w:p w14:paraId="38552EA6" w14:textId="77777777" w:rsidR="003B61C3" w:rsidRPr="000C198E" w:rsidRDefault="003B61C3" w:rsidP="001C5971">
            <w:pPr>
              <w:jc w:val="center"/>
              <w:rPr>
                <w:rFonts w:asciiTheme="minorHAnsi" w:hAnsiTheme="minorHAnsi"/>
                <w:sz w:val="22"/>
                <w:szCs w:val="22"/>
              </w:rPr>
            </w:pPr>
          </w:p>
        </w:tc>
        <w:tc>
          <w:tcPr>
            <w:tcW w:w="3402" w:type="dxa"/>
            <w:tcBorders>
              <w:top w:val="nil"/>
              <w:bottom w:val="nil"/>
            </w:tcBorders>
            <w:shd w:val="clear" w:color="auto" w:fill="D9D9D9" w:themeFill="background1" w:themeFillShade="D9"/>
          </w:tcPr>
          <w:p w14:paraId="36EB5BC4" w14:textId="77777777" w:rsidR="003B61C3" w:rsidRPr="000C198E" w:rsidRDefault="003B61C3" w:rsidP="001C5971">
            <w:pPr>
              <w:tabs>
                <w:tab w:val="left" w:pos="146"/>
              </w:tabs>
              <w:ind w:left="146" w:hanging="146"/>
              <w:rPr>
                <w:rFonts w:asciiTheme="minorHAnsi" w:hAnsiTheme="minorHAnsi"/>
                <w:sz w:val="22"/>
                <w:szCs w:val="22"/>
              </w:rPr>
            </w:pPr>
          </w:p>
        </w:tc>
        <w:tc>
          <w:tcPr>
            <w:tcW w:w="1418" w:type="dxa"/>
            <w:tcBorders>
              <w:top w:val="nil"/>
              <w:bottom w:val="nil"/>
            </w:tcBorders>
            <w:shd w:val="clear" w:color="auto" w:fill="D9D9D9" w:themeFill="background1" w:themeFillShade="D9"/>
          </w:tcPr>
          <w:p w14:paraId="7E2C3049" w14:textId="77777777" w:rsidR="003B61C3" w:rsidRPr="000C198E" w:rsidRDefault="003B61C3" w:rsidP="001C5971">
            <w:pPr>
              <w:jc w:val="center"/>
              <w:rPr>
                <w:rFonts w:asciiTheme="minorHAnsi" w:hAnsiTheme="minorHAnsi"/>
                <w:sz w:val="22"/>
                <w:szCs w:val="22"/>
              </w:rPr>
            </w:pPr>
          </w:p>
        </w:tc>
      </w:tr>
      <w:tr w:rsidR="003B61C3" w:rsidRPr="000C198E" w14:paraId="121C206B" w14:textId="77777777" w:rsidTr="00A211DB">
        <w:tc>
          <w:tcPr>
            <w:tcW w:w="3969" w:type="dxa"/>
            <w:tcBorders>
              <w:top w:val="nil"/>
              <w:bottom w:val="nil"/>
            </w:tcBorders>
            <w:shd w:val="clear" w:color="auto" w:fill="D9D9D9" w:themeFill="background1" w:themeFillShade="D9"/>
          </w:tcPr>
          <w:p w14:paraId="01CD1D40" w14:textId="77777777" w:rsidR="003B61C3" w:rsidRPr="000C198E" w:rsidRDefault="003B61C3" w:rsidP="006A6765">
            <w:pPr>
              <w:rPr>
                <w:rFonts w:asciiTheme="minorHAnsi" w:hAnsiTheme="minorHAnsi"/>
                <w:sz w:val="22"/>
                <w:szCs w:val="22"/>
              </w:rPr>
            </w:pPr>
            <w:r w:rsidRPr="000C198E">
              <w:rPr>
                <w:rFonts w:asciiTheme="minorHAnsi" w:hAnsiTheme="minorHAnsi"/>
                <w:sz w:val="22"/>
                <w:szCs w:val="22"/>
              </w:rPr>
              <w:t>Nasal cavity and para-nasal sinuses</w:t>
            </w:r>
            <w:r w:rsidR="00B82965">
              <w:rPr>
                <w:rFonts w:asciiTheme="minorHAnsi" w:hAnsiTheme="minorHAnsi"/>
                <w:sz w:val="22"/>
                <w:szCs w:val="22"/>
                <w:vertAlign w:val="superscript"/>
              </w:rPr>
              <w:t>#</w:t>
            </w:r>
          </w:p>
        </w:tc>
        <w:tc>
          <w:tcPr>
            <w:tcW w:w="3686" w:type="dxa"/>
            <w:tcBorders>
              <w:top w:val="nil"/>
              <w:bottom w:val="nil"/>
            </w:tcBorders>
            <w:shd w:val="clear" w:color="auto" w:fill="D9D9D9" w:themeFill="background1" w:themeFillShade="D9"/>
          </w:tcPr>
          <w:p w14:paraId="34E7CB69" w14:textId="77777777" w:rsidR="003B61C3" w:rsidRPr="000C198E" w:rsidRDefault="003B61C3" w:rsidP="001C5971">
            <w:pPr>
              <w:tabs>
                <w:tab w:val="left" w:pos="142"/>
              </w:tabs>
              <w:ind w:left="142" w:hanging="142"/>
              <w:rPr>
                <w:rFonts w:asciiTheme="minorHAnsi" w:hAnsiTheme="minorHAnsi"/>
                <w:sz w:val="22"/>
                <w:szCs w:val="22"/>
              </w:rPr>
            </w:pPr>
            <w:r w:rsidRPr="000C198E">
              <w:rPr>
                <w:rFonts w:asciiTheme="minorHAnsi" w:hAnsiTheme="minorHAnsi"/>
                <w:sz w:val="22"/>
                <w:szCs w:val="22"/>
              </w:rPr>
              <w:t>Leather dust</w:t>
            </w:r>
          </w:p>
        </w:tc>
        <w:tc>
          <w:tcPr>
            <w:tcW w:w="1101" w:type="dxa"/>
            <w:tcBorders>
              <w:top w:val="nil"/>
              <w:bottom w:val="nil"/>
            </w:tcBorders>
            <w:shd w:val="clear" w:color="auto" w:fill="D9D9D9" w:themeFill="background1" w:themeFillShade="D9"/>
          </w:tcPr>
          <w:p w14:paraId="3B7354F9" w14:textId="77777777" w:rsidR="003B61C3" w:rsidRPr="000C198E" w:rsidRDefault="003B61C3" w:rsidP="001C5971">
            <w:pPr>
              <w:tabs>
                <w:tab w:val="decimal" w:pos="304"/>
              </w:tabs>
              <w:rPr>
                <w:rFonts w:asciiTheme="minorHAnsi" w:hAnsiTheme="minorHAnsi"/>
                <w:sz w:val="22"/>
                <w:szCs w:val="22"/>
              </w:rPr>
            </w:pPr>
          </w:p>
        </w:tc>
        <w:tc>
          <w:tcPr>
            <w:tcW w:w="1701" w:type="dxa"/>
            <w:tcBorders>
              <w:top w:val="nil"/>
              <w:bottom w:val="nil"/>
            </w:tcBorders>
            <w:shd w:val="clear" w:color="auto" w:fill="D9D9D9" w:themeFill="background1" w:themeFillShade="D9"/>
          </w:tcPr>
          <w:p w14:paraId="528FA63E" w14:textId="77777777" w:rsidR="003B61C3" w:rsidRPr="000C198E" w:rsidRDefault="003B61C3" w:rsidP="001C5971">
            <w:pPr>
              <w:jc w:val="center"/>
              <w:rPr>
                <w:rFonts w:asciiTheme="minorHAnsi" w:hAnsiTheme="minorHAnsi"/>
                <w:sz w:val="22"/>
                <w:szCs w:val="22"/>
              </w:rPr>
            </w:pPr>
          </w:p>
        </w:tc>
        <w:tc>
          <w:tcPr>
            <w:tcW w:w="3402" w:type="dxa"/>
            <w:tcBorders>
              <w:top w:val="nil"/>
              <w:bottom w:val="nil"/>
            </w:tcBorders>
            <w:shd w:val="clear" w:color="auto" w:fill="D9D9D9" w:themeFill="background1" w:themeFillShade="D9"/>
          </w:tcPr>
          <w:p w14:paraId="6BE96925" w14:textId="77777777" w:rsidR="003B61C3" w:rsidRPr="000C198E" w:rsidRDefault="003B61C3" w:rsidP="001C5971">
            <w:pPr>
              <w:tabs>
                <w:tab w:val="left" w:pos="146"/>
              </w:tabs>
              <w:ind w:left="146" w:hanging="146"/>
              <w:rPr>
                <w:rFonts w:asciiTheme="minorHAnsi" w:hAnsiTheme="minorHAnsi"/>
                <w:sz w:val="22"/>
                <w:szCs w:val="22"/>
              </w:rPr>
            </w:pPr>
          </w:p>
        </w:tc>
        <w:tc>
          <w:tcPr>
            <w:tcW w:w="1418" w:type="dxa"/>
            <w:tcBorders>
              <w:top w:val="nil"/>
              <w:bottom w:val="nil"/>
            </w:tcBorders>
            <w:shd w:val="clear" w:color="auto" w:fill="D9D9D9" w:themeFill="background1" w:themeFillShade="D9"/>
          </w:tcPr>
          <w:p w14:paraId="74739B5C" w14:textId="77777777" w:rsidR="003B61C3" w:rsidRPr="000C198E" w:rsidRDefault="003B61C3" w:rsidP="001C5971">
            <w:pPr>
              <w:jc w:val="center"/>
              <w:rPr>
                <w:rFonts w:asciiTheme="minorHAnsi" w:hAnsiTheme="minorHAnsi"/>
                <w:sz w:val="22"/>
                <w:szCs w:val="22"/>
              </w:rPr>
            </w:pPr>
          </w:p>
        </w:tc>
      </w:tr>
      <w:tr w:rsidR="003B61C3" w:rsidRPr="000C198E" w14:paraId="6B4A92B0" w14:textId="77777777" w:rsidTr="00A211DB">
        <w:tc>
          <w:tcPr>
            <w:tcW w:w="3969" w:type="dxa"/>
            <w:tcBorders>
              <w:top w:val="nil"/>
              <w:bottom w:val="nil"/>
            </w:tcBorders>
            <w:shd w:val="clear" w:color="auto" w:fill="D9D9D9" w:themeFill="background1" w:themeFillShade="D9"/>
          </w:tcPr>
          <w:p w14:paraId="5C14766C" w14:textId="77777777" w:rsidR="003B61C3" w:rsidRPr="000C198E" w:rsidRDefault="003B61C3" w:rsidP="006A6765">
            <w:pPr>
              <w:rPr>
                <w:rFonts w:asciiTheme="minorHAnsi" w:hAnsiTheme="minorHAnsi"/>
                <w:sz w:val="22"/>
                <w:szCs w:val="22"/>
              </w:rPr>
            </w:pPr>
            <w:r w:rsidRPr="000C198E">
              <w:rPr>
                <w:rFonts w:asciiTheme="minorHAnsi" w:hAnsiTheme="minorHAnsi"/>
                <w:sz w:val="22"/>
                <w:szCs w:val="22"/>
              </w:rPr>
              <w:t>Nasal cavity and para-nasal sinuses</w:t>
            </w:r>
            <w:r w:rsidR="00B82965">
              <w:rPr>
                <w:rFonts w:asciiTheme="minorHAnsi" w:hAnsiTheme="minorHAnsi"/>
                <w:sz w:val="22"/>
                <w:szCs w:val="22"/>
                <w:vertAlign w:val="superscript"/>
              </w:rPr>
              <w:t>#</w:t>
            </w:r>
          </w:p>
        </w:tc>
        <w:tc>
          <w:tcPr>
            <w:tcW w:w="3686" w:type="dxa"/>
            <w:tcBorders>
              <w:top w:val="nil"/>
              <w:bottom w:val="nil"/>
            </w:tcBorders>
            <w:shd w:val="clear" w:color="auto" w:fill="D9D9D9" w:themeFill="background1" w:themeFillShade="D9"/>
          </w:tcPr>
          <w:p w14:paraId="180FE700" w14:textId="77777777" w:rsidR="003B61C3" w:rsidRPr="000C198E" w:rsidRDefault="003B61C3" w:rsidP="001C5971">
            <w:pPr>
              <w:tabs>
                <w:tab w:val="left" w:pos="142"/>
              </w:tabs>
              <w:ind w:left="142" w:hanging="142"/>
              <w:rPr>
                <w:rFonts w:asciiTheme="minorHAnsi" w:hAnsiTheme="minorHAnsi"/>
                <w:sz w:val="22"/>
                <w:szCs w:val="22"/>
              </w:rPr>
            </w:pPr>
            <w:r w:rsidRPr="000C198E">
              <w:rPr>
                <w:rFonts w:asciiTheme="minorHAnsi" w:hAnsiTheme="minorHAnsi"/>
                <w:sz w:val="22"/>
                <w:szCs w:val="22"/>
              </w:rPr>
              <w:t>Nickel</w:t>
            </w:r>
          </w:p>
        </w:tc>
        <w:tc>
          <w:tcPr>
            <w:tcW w:w="1101" w:type="dxa"/>
            <w:tcBorders>
              <w:top w:val="nil"/>
              <w:bottom w:val="nil"/>
            </w:tcBorders>
            <w:shd w:val="clear" w:color="auto" w:fill="D9D9D9" w:themeFill="background1" w:themeFillShade="D9"/>
          </w:tcPr>
          <w:p w14:paraId="351DB5B4" w14:textId="77777777" w:rsidR="003B61C3" w:rsidRPr="000C198E" w:rsidRDefault="003B61C3" w:rsidP="001C5971">
            <w:pPr>
              <w:tabs>
                <w:tab w:val="decimal" w:pos="304"/>
              </w:tabs>
              <w:rPr>
                <w:rFonts w:asciiTheme="minorHAnsi" w:hAnsiTheme="minorHAnsi"/>
                <w:sz w:val="22"/>
                <w:szCs w:val="22"/>
              </w:rPr>
            </w:pPr>
          </w:p>
        </w:tc>
        <w:tc>
          <w:tcPr>
            <w:tcW w:w="1701" w:type="dxa"/>
            <w:tcBorders>
              <w:top w:val="nil"/>
              <w:bottom w:val="nil"/>
            </w:tcBorders>
            <w:shd w:val="clear" w:color="auto" w:fill="D9D9D9" w:themeFill="background1" w:themeFillShade="D9"/>
          </w:tcPr>
          <w:p w14:paraId="4FD097E7" w14:textId="77777777" w:rsidR="003B61C3" w:rsidRPr="000C198E" w:rsidRDefault="003B61C3" w:rsidP="001C5971">
            <w:pPr>
              <w:jc w:val="center"/>
              <w:rPr>
                <w:rFonts w:asciiTheme="minorHAnsi" w:hAnsiTheme="minorHAnsi"/>
                <w:sz w:val="22"/>
                <w:szCs w:val="22"/>
              </w:rPr>
            </w:pPr>
          </w:p>
        </w:tc>
        <w:tc>
          <w:tcPr>
            <w:tcW w:w="3402" w:type="dxa"/>
            <w:tcBorders>
              <w:top w:val="nil"/>
              <w:bottom w:val="nil"/>
            </w:tcBorders>
            <w:shd w:val="clear" w:color="auto" w:fill="D9D9D9" w:themeFill="background1" w:themeFillShade="D9"/>
          </w:tcPr>
          <w:p w14:paraId="106046C6" w14:textId="77777777" w:rsidR="003B61C3" w:rsidRPr="000C198E" w:rsidRDefault="003B61C3" w:rsidP="001C5971">
            <w:pPr>
              <w:tabs>
                <w:tab w:val="left" w:pos="146"/>
              </w:tabs>
              <w:ind w:left="146" w:hanging="146"/>
              <w:rPr>
                <w:rFonts w:asciiTheme="minorHAnsi" w:hAnsiTheme="minorHAnsi"/>
                <w:sz w:val="22"/>
                <w:szCs w:val="22"/>
              </w:rPr>
            </w:pPr>
          </w:p>
        </w:tc>
        <w:tc>
          <w:tcPr>
            <w:tcW w:w="1418" w:type="dxa"/>
            <w:tcBorders>
              <w:top w:val="nil"/>
              <w:bottom w:val="nil"/>
            </w:tcBorders>
            <w:shd w:val="clear" w:color="auto" w:fill="D9D9D9" w:themeFill="background1" w:themeFillShade="D9"/>
          </w:tcPr>
          <w:p w14:paraId="5887C2D7" w14:textId="77777777" w:rsidR="003B61C3" w:rsidRPr="000C198E" w:rsidRDefault="003B61C3" w:rsidP="001C5971">
            <w:pPr>
              <w:jc w:val="center"/>
              <w:rPr>
                <w:rFonts w:asciiTheme="minorHAnsi" w:hAnsiTheme="minorHAnsi"/>
                <w:sz w:val="22"/>
                <w:szCs w:val="22"/>
              </w:rPr>
            </w:pPr>
          </w:p>
        </w:tc>
      </w:tr>
      <w:tr w:rsidR="003B61C3" w:rsidRPr="000C198E" w14:paraId="46C02169" w14:textId="77777777" w:rsidTr="00A211DB">
        <w:tc>
          <w:tcPr>
            <w:tcW w:w="3969" w:type="dxa"/>
            <w:tcBorders>
              <w:top w:val="nil"/>
              <w:bottom w:val="nil"/>
            </w:tcBorders>
            <w:shd w:val="clear" w:color="auto" w:fill="D9D9D9" w:themeFill="background1" w:themeFillShade="D9"/>
          </w:tcPr>
          <w:p w14:paraId="26EA48F3" w14:textId="77777777" w:rsidR="003B61C3" w:rsidRPr="000C198E" w:rsidRDefault="003B61C3" w:rsidP="006A6765">
            <w:pPr>
              <w:rPr>
                <w:rFonts w:asciiTheme="minorHAnsi" w:hAnsiTheme="minorHAnsi"/>
                <w:sz w:val="22"/>
                <w:szCs w:val="22"/>
              </w:rPr>
            </w:pPr>
            <w:r w:rsidRPr="000C198E">
              <w:rPr>
                <w:rFonts w:asciiTheme="minorHAnsi" w:hAnsiTheme="minorHAnsi"/>
                <w:sz w:val="22"/>
                <w:szCs w:val="22"/>
              </w:rPr>
              <w:t>Nasal cavity and para-nasal sinuses</w:t>
            </w:r>
            <w:r w:rsidR="00B82965">
              <w:rPr>
                <w:rFonts w:asciiTheme="minorHAnsi" w:hAnsiTheme="minorHAnsi"/>
                <w:sz w:val="22"/>
                <w:szCs w:val="22"/>
                <w:vertAlign w:val="superscript"/>
              </w:rPr>
              <w:t>#</w:t>
            </w:r>
          </w:p>
        </w:tc>
        <w:tc>
          <w:tcPr>
            <w:tcW w:w="3686" w:type="dxa"/>
            <w:tcBorders>
              <w:top w:val="nil"/>
              <w:bottom w:val="nil"/>
            </w:tcBorders>
            <w:shd w:val="clear" w:color="auto" w:fill="D9D9D9" w:themeFill="background1" w:themeFillShade="D9"/>
          </w:tcPr>
          <w:p w14:paraId="04FD520C" w14:textId="77777777" w:rsidR="003B61C3" w:rsidRPr="000C198E" w:rsidRDefault="003B61C3" w:rsidP="001C5971">
            <w:pPr>
              <w:tabs>
                <w:tab w:val="left" w:pos="142"/>
              </w:tabs>
              <w:ind w:left="142" w:hanging="142"/>
              <w:rPr>
                <w:rFonts w:asciiTheme="minorHAnsi" w:hAnsiTheme="minorHAnsi"/>
                <w:sz w:val="22"/>
                <w:szCs w:val="22"/>
              </w:rPr>
            </w:pPr>
            <w:r w:rsidRPr="000C198E">
              <w:rPr>
                <w:rFonts w:asciiTheme="minorHAnsi" w:hAnsiTheme="minorHAnsi"/>
                <w:sz w:val="22"/>
                <w:szCs w:val="22"/>
              </w:rPr>
              <w:t>Wood dust</w:t>
            </w:r>
          </w:p>
        </w:tc>
        <w:tc>
          <w:tcPr>
            <w:tcW w:w="1101" w:type="dxa"/>
            <w:tcBorders>
              <w:top w:val="nil"/>
              <w:bottom w:val="nil"/>
            </w:tcBorders>
            <w:shd w:val="clear" w:color="auto" w:fill="D9D9D9" w:themeFill="background1" w:themeFillShade="D9"/>
          </w:tcPr>
          <w:p w14:paraId="05413994" w14:textId="77777777" w:rsidR="003B61C3" w:rsidRPr="000C198E" w:rsidRDefault="003B61C3" w:rsidP="001C5971">
            <w:pPr>
              <w:tabs>
                <w:tab w:val="decimal" w:pos="304"/>
              </w:tabs>
              <w:rPr>
                <w:rFonts w:asciiTheme="minorHAnsi" w:hAnsiTheme="minorHAnsi"/>
                <w:sz w:val="22"/>
                <w:szCs w:val="22"/>
              </w:rPr>
            </w:pPr>
          </w:p>
        </w:tc>
        <w:tc>
          <w:tcPr>
            <w:tcW w:w="1701" w:type="dxa"/>
            <w:tcBorders>
              <w:top w:val="nil"/>
              <w:bottom w:val="nil"/>
            </w:tcBorders>
            <w:shd w:val="clear" w:color="auto" w:fill="D9D9D9" w:themeFill="background1" w:themeFillShade="D9"/>
          </w:tcPr>
          <w:p w14:paraId="324AA47B" w14:textId="77777777" w:rsidR="003B61C3" w:rsidRPr="000C198E" w:rsidRDefault="003B61C3" w:rsidP="001C5971">
            <w:pPr>
              <w:jc w:val="center"/>
              <w:rPr>
                <w:rFonts w:asciiTheme="minorHAnsi" w:hAnsiTheme="minorHAnsi"/>
                <w:sz w:val="22"/>
                <w:szCs w:val="22"/>
              </w:rPr>
            </w:pPr>
          </w:p>
        </w:tc>
        <w:tc>
          <w:tcPr>
            <w:tcW w:w="3402" w:type="dxa"/>
            <w:tcBorders>
              <w:top w:val="nil"/>
              <w:bottom w:val="nil"/>
            </w:tcBorders>
            <w:shd w:val="clear" w:color="auto" w:fill="D9D9D9" w:themeFill="background1" w:themeFillShade="D9"/>
          </w:tcPr>
          <w:p w14:paraId="7494C19F" w14:textId="77777777" w:rsidR="003B61C3" w:rsidRPr="000C198E" w:rsidRDefault="003B61C3" w:rsidP="001C5971">
            <w:pPr>
              <w:tabs>
                <w:tab w:val="left" w:pos="146"/>
              </w:tabs>
              <w:ind w:left="146" w:hanging="146"/>
              <w:rPr>
                <w:rFonts w:asciiTheme="minorHAnsi" w:hAnsiTheme="minorHAnsi"/>
                <w:sz w:val="22"/>
                <w:szCs w:val="22"/>
              </w:rPr>
            </w:pPr>
          </w:p>
        </w:tc>
        <w:tc>
          <w:tcPr>
            <w:tcW w:w="1418" w:type="dxa"/>
            <w:tcBorders>
              <w:top w:val="nil"/>
              <w:bottom w:val="nil"/>
            </w:tcBorders>
            <w:shd w:val="clear" w:color="auto" w:fill="D9D9D9" w:themeFill="background1" w:themeFillShade="D9"/>
          </w:tcPr>
          <w:p w14:paraId="09D4E0C8" w14:textId="77777777" w:rsidR="003B61C3" w:rsidRPr="000C198E" w:rsidRDefault="003B61C3" w:rsidP="001C5971">
            <w:pPr>
              <w:jc w:val="center"/>
              <w:rPr>
                <w:rFonts w:asciiTheme="minorHAnsi" w:hAnsiTheme="minorHAnsi"/>
                <w:sz w:val="22"/>
                <w:szCs w:val="22"/>
              </w:rPr>
            </w:pPr>
          </w:p>
        </w:tc>
      </w:tr>
      <w:tr w:rsidR="003B61C3" w:rsidRPr="000C198E" w14:paraId="3745F8A7" w14:textId="77777777" w:rsidTr="00A211DB">
        <w:tc>
          <w:tcPr>
            <w:tcW w:w="3969" w:type="dxa"/>
            <w:tcBorders>
              <w:top w:val="nil"/>
              <w:bottom w:val="nil"/>
            </w:tcBorders>
          </w:tcPr>
          <w:p w14:paraId="53CEA14B" w14:textId="77777777" w:rsidR="003B61C3" w:rsidRPr="000C198E" w:rsidRDefault="003B61C3" w:rsidP="006A6765">
            <w:pPr>
              <w:rPr>
                <w:rFonts w:asciiTheme="minorHAnsi" w:hAnsiTheme="minorHAnsi"/>
                <w:sz w:val="22"/>
                <w:szCs w:val="22"/>
              </w:rPr>
            </w:pPr>
            <w:r w:rsidRPr="000C198E">
              <w:rPr>
                <w:rFonts w:asciiTheme="minorHAnsi" w:hAnsiTheme="minorHAnsi"/>
                <w:sz w:val="22"/>
                <w:szCs w:val="22"/>
              </w:rPr>
              <w:t>Larynx</w:t>
            </w:r>
          </w:p>
        </w:tc>
        <w:tc>
          <w:tcPr>
            <w:tcW w:w="3686" w:type="dxa"/>
            <w:tcBorders>
              <w:top w:val="nil"/>
              <w:bottom w:val="nil"/>
            </w:tcBorders>
          </w:tcPr>
          <w:p w14:paraId="390EA685" w14:textId="77777777" w:rsidR="003B61C3" w:rsidRPr="000C198E" w:rsidRDefault="003B61C3" w:rsidP="001C5971">
            <w:pPr>
              <w:tabs>
                <w:tab w:val="left" w:pos="142"/>
              </w:tabs>
              <w:ind w:left="142" w:hanging="142"/>
              <w:rPr>
                <w:rFonts w:asciiTheme="minorHAnsi" w:hAnsiTheme="minorHAnsi"/>
                <w:sz w:val="22"/>
                <w:szCs w:val="22"/>
              </w:rPr>
            </w:pPr>
            <w:r w:rsidRPr="000C198E">
              <w:rPr>
                <w:rFonts w:asciiTheme="minorHAnsi" w:hAnsiTheme="minorHAnsi"/>
                <w:sz w:val="22"/>
                <w:szCs w:val="22"/>
              </w:rPr>
              <w:t>Asbestos</w:t>
            </w:r>
          </w:p>
        </w:tc>
        <w:tc>
          <w:tcPr>
            <w:tcW w:w="1101" w:type="dxa"/>
            <w:tcBorders>
              <w:top w:val="nil"/>
              <w:bottom w:val="nil"/>
            </w:tcBorders>
          </w:tcPr>
          <w:p w14:paraId="021701DB" w14:textId="77777777" w:rsidR="003B61C3" w:rsidRPr="000C198E" w:rsidRDefault="003B61C3" w:rsidP="001C5971">
            <w:pPr>
              <w:tabs>
                <w:tab w:val="decimal" w:pos="304"/>
              </w:tabs>
              <w:rPr>
                <w:rFonts w:asciiTheme="minorHAnsi" w:hAnsiTheme="minorHAnsi"/>
                <w:sz w:val="22"/>
                <w:szCs w:val="22"/>
              </w:rPr>
            </w:pPr>
            <w:r w:rsidRPr="000C198E">
              <w:rPr>
                <w:rFonts w:asciiTheme="minorHAnsi" w:hAnsiTheme="minorHAnsi"/>
                <w:sz w:val="22"/>
                <w:szCs w:val="22"/>
              </w:rPr>
              <w:t>1.38</w:t>
            </w:r>
          </w:p>
        </w:tc>
        <w:tc>
          <w:tcPr>
            <w:tcW w:w="1701" w:type="dxa"/>
            <w:tcBorders>
              <w:top w:val="nil"/>
              <w:bottom w:val="nil"/>
            </w:tcBorders>
          </w:tcPr>
          <w:p w14:paraId="47AED140" w14:textId="77777777" w:rsidR="003B61C3" w:rsidRPr="000C198E" w:rsidRDefault="003B61C3" w:rsidP="001C5971">
            <w:pPr>
              <w:jc w:val="center"/>
              <w:rPr>
                <w:rFonts w:asciiTheme="minorHAnsi" w:hAnsiTheme="minorHAnsi"/>
                <w:sz w:val="22"/>
                <w:szCs w:val="22"/>
              </w:rPr>
            </w:pPr>
            <w:r w:rsidRPr="000C198E">
              <w:rPr>
                <w:rFonts w:asciiTheme="minorHAnsi" w:hAnsiTheme="minorHAnsi"/>
                <w:sz w:val="22"/>
                <w:szCs w:val="22"/>
              </w:rPr>
              <w:t>1.17-1.60</w:t>
            </w:r>
          </w:p>
        </w:tc>
        <w:tc>
          <w:tcPr>
            <w:tcW w:w="3402" w:type="dxa"/>
            <w:tcBorders>
              <w:top w:val="nil"/>
              <w:bottom w:val="nil"/>
            </w:tcBorders>
          </w:tcPr>
          <w:p w14:paraId="189E61EA" w14:textId="466319DA" w:rsidR="003B61C3" w:rsidRPr="000C198E" w:rsidRDefault="003B61C3" w:rsidP="008D6E0D">
            <w:pPr>
              <w:tabs>
                <w:tab w:val="left" w:pos="146"/>
              </w:tabs>
              <w:ind w:left="146" w:hanging="146"/>
              <w:rPr>
                <w:rFonts w:asciiTheme="minorHAnsi" w:hAnsiTheme="minorHAnsi"/>
                <w:sz w:val="22"/>
                <w:szCs w:val="22"/>
              </w:rPr>
            </w:pPr>
            <w:r w:rsidRPr="000C198E">
              <w:rPr>
                <w:rFonts w:asciiTheme="minorHAnsi" w:hAnsiTheme="minorHAnsi"/>
                <w:sz w:val="22"/>
                <w:szCs w:val="22"/>
              </w:rPr>
              <w:t>IOM, 2006</w:t>
            </w:r>
            <w:r w:rsidR="002972A9">
              <w:rPr>
                <w:rFonts w:asciiTheme="minorHAnsi" w:hAnsiTheme="minorHAnsi"/>
                <w:sz w:val="22"/>
                <w:szCs w:val="22"/>
              </w:rPr>
              <w:fldChar w:fldCharType="begin"/>
            </w:r>
            <w:r w:rsidR="008D6E0D">
              <w:rPr>
                <w:rFonts w:asciiTheme="minorHAnsi" w:hAnsiTheme="minorHAnsi"/>
                <w:sz w:val="22"/>
                <w:szCs w:val="22"/>
              </w:rPr>
              <w:instrText xml:space="preserve"> ADDIN EN.CITE &lt;EndNote&gt;&lt;Cite&gt;&lt;Author&gt;Institute of Medicine of the National Academies (IOM)&lt;/Author&gt;&lt;Year&gt;2006&lt;/Year&gt;&lt;RecNum&gt;1000&lt;/RecNum&gt;&lt;DisplayText&gt;&lt;style face="superscript"&gt;4&lt;/style&gt;&lt;/DisplayText&gt;&lt;record&gt;&lt;rec-number&gt;1000&lt;/rec-number&gt;&lt;foreign-keys&gt;&lt;key app="EN" db-id="9t2pp5ew3waxt7ex2apvwst4psz2x2xp0xpz" timestamp="1468023634"&gt;1000&lt;/key&gt;&lt;/foreign-keys&gt;&lt;ref-type name="Report"&gt;27&lt;/ref-type&gt;&lt;contributors&gt;&lt;authors&gt;&lt;author&gt;Institute of Medicine of the National Academies (IOM),&lt;/author&gt;&lt;/authors&gt;&lt;/contributors&gt;&lt;titles&gt;&lt;title&gt;Asbestos: selected cancers&lt;/title&gt;&lt;/titles&gt;&lt;dates&gt;&lt;year&gt;2006&lt;/year&gt;&lt;/dates&gt;&lt;pub-location&gt;Washington, DC&lt;/pub-location&gt;&lt;publisher&gt;The National Academies Press&lt;/publisher&gt;&lt;urls&gt;&lt;/urls&gt;&lt;/record&gt;&lt;/Cite&gt;&lt;/EndNote&gt;</w:instrText>
            </w:r>
            <w:r w:rsidR="002972A9">
              <w:rPr>
                <w:rFonts w:asciiTheme="minorHAnsi" w:hAnsiTheme="minorHAnsi"/>
                <w:sz w:val="22"/>
                <w:szCs w:val="22"/>
              </w:rPr>
              <w:fldChar w:fldCharType="separate"/>
            </w:r>
            <w:r w:rsidR="008D6E0D" w:rsidRPr="008D6E0D">
              <w:rPr>
                <w:rFonts w:asciiTheme="minorHAnsi" w:hAnsiTheme="minorHAnsi"/>
                <w:noProof/>
                <w:sz w:val="22"/>
                <w:szCs w:val="22"/>
                <w:vertAlign w:val="superscript"/>
              </w:rPr>
              <w:t>4</w:t>
            </w:r>
            <w:r w:rsidR="002972A9">
              <w:rPr>
                <w:rFonts w:asciiTheme="minorHAnsi" w:hAnsiTheme="minorHAnsi"/>
                <w:sz w:val="22"/>
                <w:szCs w:val="22"/>
              </w:rPr>
              <w:fldChar w:fldCharType="end"/>
            </w:r>
            <w:r w:rsidRPr="000C198E">
              <w:rPr>
                <w:rFonts w:asciiTheme="minorHAnsi" w:hAnsiTheme="minorHAnsi"/>
                <w:sz w:val="22"/>
                <w:szCs w:val="22"/>
                <w:vertAlign w:val="superscript"/>
              </w:rPr>
              <w:t>b</w:t>
            </w:r>
          </w:p>
        </w:tc>
        <w:tc>
          <w:tcPr>
            <w:tcW w:w="1418" w:type="dxa"/>
            <w:tcBorders>
              <w:top w:val="nil"/>
              <w:bottom w:val="nil"/>
            </w:tcBorders>
          </w:tcPr>
          <w:p w14:paraId="0F1F1A70" w14:textId="77777777" w:rsidR="003B61C3" w:rsidRPr="000C198E" w:rsidRDefault="003B61C3" w:rsidP="001C5971">
            <w:pPr>
              <w:jc w:val="center"/>
              <w:rPr>
                <w:rFonts w:asciiTheme="minorHAnsi" w:hAnsiTheme="minorHAnsi"/>
                <w:sz w:val="22"/>
                <w:szCs w:val="22"/>
              </w:rPr>
            </w:pPr>
            <w:r w:rsidRPr="000C198E">
              <w:rPr>
                <w:rFonts w:asciiTheme="minorHAnsi" w:hAnsiTheme="minorHAnsi"/>
                <w:sz w:val="22"/>
                <w:szCs w:val="22"/>
              </w:rPr>
              <w:t>M-A</w:t>
            </w:r>
          </w:p>
        </w:tc>
      </w:tr>
      <w:tr w:rsidR="003B61C3" w:rsidRPr="000C198E" w14:paraId="52BE3E16" w14:textId="77777777" w:rsidTr="003F0494">
        <w:tc>
          <w:tcPr>
            <w:tcW w:w="3969" w:type="dxa"/>
            <w:tcBorders>
              <w:top w:val="nil"/>
              <w:bottom w:val="nil"/>
            </w:tcBorders>
          </w:tcPr>
          <w:p w14:paraId="126100D4" w14:textId="77777777" w:rsidR="003B61C3" w:rsidRPr="000C198E" w:rsidRDefault="003B61C3" w:rsidP="006A6765">
            <w:pPr>
              <w:rPr>
                <w:rFonts w:asciiTheme="minorHAnsi" w:hAnsiTheme="minorHAnsi"/>
                <w:sz w:val="22"/>
                <w:szCs w:val="22"/>
              </w:rPr>
            </w:pPr>
            <w:r w:rsidRPr="000C198E">
              <w:rPr>
                <w:rFonts w:asciiTheme="minorHAnsi" w:hAnsiTheme="minorHAnsi"/>
                <w:sz w:val="22"/>
                <w:szCs w:val="22"/>
              </w:rPr>
              <w:t>Larynx</w:t>
            </w:r>
          </w:p>
        </w:tc>
        <w:tc>
          <w:tcPr>
            <w:tcW w:w="3686" w:type="dxa"/>
            <w:tcBorders>
              <w:top w:val="nil"/>
              <w:bottom w:val="nil"/>
            </w:tcBorders>
            <w:shd w:val="clear" w:color="auto" w:fill="auto"/>
          </w:tcPr>
          <w:p w14:paraId="2E69768B" w14:textId="77777777" w:rsidR="003B61C3" w:rsidRPr="000C198E" w:rsidRDefault="003B61C3" w:rsidP="001C5971">
            <w:pPr>
              <w:tabs>
                <w:tab w:val="left" w:pos="142"/>
              </w:tabs>
              <w:ind w:left="142" w:hanging="142"/>
              <w:rPr>
                <w:rFonts w:asciiTheme="minorHAnsi" w:hAnsiTheme="minorHAnsi"/>
                <w:sz w:val="22"/>
                <w:szCs w:val="22"/>
              </w:rPr>
            </w:pPr>
            <w:r w:rsidRPr="000C198E">
              <w:rPr>
                <w:rFonts w:asciiTheme="minorHAnsi" w:hAnsiTheme="minorHAnsi"/>
                <w:sz w:val="22"/>
                <w:szCs w:val="22"/>
              </w:rPr>
              <w:t>Strong inorganic-acid mists</w:t>
            </w:r>
          </w:p>
        </w:tc>
        <w:tc>
          <w:tcPr>
            <w:tcW w:w="1101" w:type="dxa"/>
            <w:tcBorders>
              <w:top w:val="nil"/>
              <w:bottom w:val="nil"/>
            </w:tcBorders>
            <w:shd w:val="clear" w:color="auto" w:fill="auto"/>
          </w:tcPr>
          <w:p w14:paraId="1EF58ECF" w14:textId="77777777" w:rsidR="003B61C3" w:rsidRPr="000C198E" w:rsidRDefault="003B61C3" w:rsidP="001C5971">
            <w:pPr>
              <w:tabs>
                <w:tab w:val="decimal" w:pos="304"/>
              </w:tabs>
              <w:rPr>
                <w:rFonts w:asciiTheme="minorHAnsi" w:hAnsiTheme="minorHAnsi"/>
                <w:sz w:val="22"/>
                <w:szCs w:val="22"/>
              </w:rPr>
            </w:pPr>
            <w:r w:rsidRPr="000C198E">
              <w:rPr>
                <w:rFonts w:asciiTheme="minorHAnsi" w:hAnsiTheme="minorHAnsi"/>
                <w:sz w:val="22"/>
                <w:szCs w:val="22"/>
              </w:rPr>
              <w:t>4.28</w:t>
            </w:r>
          </w:p>
        </w:tc>
        <w:tc>
          <w:tcPr>
            <w:tcW w:w="1701" w:type="dxa"/>
            <w:tcBorders>
              <w:top w:val="nil"/>
              <w:bottom w:val="nil"/>
            </w:tcBorders>
            <w:shd w:val="clear" w:color="auto" w:fill="auto"/>
          </w:tcPr>
          <w:p w14:paraId="4D746CA5" w14:textId="77777777" w:rsidR="003B61C3" w:rsidRPr="000C198E" w:rsidRDefault="003B61C3" w:rsidP="001C5971">
            <w:pPr>
              <w:jc w:val="center"/>
              <w:rPr>
                <w:rFonts w:asciiTheme="minorHAnsi" w:hAnsiTheme="minorHAnsi"/>
                <w:sz w:val="22"/>
                <w:szCs w:val="22"/>
              </w:rPr>
            </w:pPr>
            <w:r w:rsidRPr="000C198E">
              <w:rPr>
                <w:rFonts w:asciiTheme="minorHAnsi" w:hAnsiTheme="minorHAnsi"/>
                <w:sz w:val="22"/>
                <w:szCs w:val="22"/>
              </w:rPr>
              <w:t>2.13-8.58</w:t>
            </w:r>
          </w:p>
        </w:tc>
        <w:tc>
          <w:tcPr>
            <w:tcW w:w="3402" w:type="dxa"/>
            <w:tcBorders>
              <w:top w:val="nil"/>
              <w:bottom w:val="nil"/>
            </w:tcBorders>
          </w:tcPr>
          <w:p w14:paraId="0678E0CB" w14:textId="20973517" w:rsidR="003B61C3" w:rsidRPr="000C198E" w:rsidRDefault="003B61C3" w:rsidP="008D6E0D">
            <w:pPr>
              <w:tabs>
                <w:tab w:val="left" w:pos="146"/>
              </w:tabs>
              <w:ind w:left="146" w:hanging="146"/>
              <w:rPr>
                <w:rFonts w:asciiTheme="minorHAnsi" w:hAnsiTheme="minorHAnsi"/>
                <w:sz w:val="22"/>
                <w:szCs w:val="22"/>
              </w:rPr>
            </w:pPr>
            <w:r w:rsidRPr="000C198E">
              <w:rPr>
                <w:rFonts w:asciiTheme="minorHAnsi" w:hAnsiTheme="minorHAnsi"/>
                <w:sz w:val="22"/>
                <w:szCs w:val="22"/>
              </w:rPr>
              <w:t>Soskolne et al, 1992</w:t>
            </w:r>
            <w:r w:rsidR="002972A9">
              <w:rPr>
                <w:rFonts w:asciiTheme="minorHAnsi" w:hAnsiTheme="minorHAnsi"/>
                <w:sz w:val="22"/>
                <w:szCs w:val="22"/>
              </w:rPr>
              <w:fldChar w:fldCharType="begin"/>
            </w:r>
            <w:r w:rsidR="008D6E0D">
              <w:rPr>
                <w:rFonts w:asciiTheme="minorHAnsi" w:hAnsiTheme="minorHAnsi"/>
                <w:sz w:val="22"/>
                <w:szCs w:val="22"/>
              </w:rPr>
              <w:instrText xml:space="preserve"> ADDIN EN.CITE &lt;EndNote&gt;&lt;Cite&gt;&lt;Author&gt;Soskolne&lt;/Author&gt;&lt;Year&gt;1984&lt;/Year&gt;&lt;RecNum&gt;999&lt;/RecNum&gt;&lt;DisplayText&gt;&lt;style face="superscript"&gt;5&lt;/style&gt;&lt;/DisplayText&gt;&lt;record&gt;&lt;rec-number&gt;999&lt;/rec-number&gt;&lt;foreign-keys&gt;&lt;key app="EN" db-id="9t2pp5ew3waxt7ex2apvwst4psz2x2xp0xpz" timestamp="1468023369"&gt;999&lt;/key&gt;&lt;/foreign-keys&gt;&lt;ref-type name="Journal Article"&gt;17&lt;/ref-type&gt;&lt;contributors&gt;&lt;authors&gt;&lt;author&gt;Soskolne, C&lt;/author&gt;&lt;author&gt;Zeighami, EA&lt;/author&gt;&lt;author&gt;Hanis, NM&lt;/author&gt;&lt;author&gt;Kupper, LL&lt;/author&gt;&lt;author&gt;Herrmann, N&lt;/author&gt;&lt;author&gt;Amsel, J&lt;/author&gt;&lt;author&gt;Mausner, JS&lt;/author&gt;&lt;author&gt;Stellman, JM&lt;/author&gt;&lt;/authors&gt;&lt;/contributors&gt;&lt;titles&gt;&lt;title&gt;Laryngeal cancer and occupational exposure to sulfuric acid&lt;/title&gt;&lt;secondary-title&gt;American Journal of Epidemiology&lt;/secondary-title&gt;&lt;/titles&gt;&lt;periodical&gt;&lt;full-title&gt;American Journal of Epidemiology&lt;/full-title&gt;&lt;/periodical&gt;&lt;pages&gt;358-369&lt;/pages&gt;&lt;volume&gt;120&lt;/volume&gt;&lt;number&gt;3&lt;/number&gt;&lt;dates&gt;&lt;year&gt;1984&lt;/year&gt;&lt;/dates&gt;&lt;urls&gt;&lt;/urls&gt;&lt;/record&gt;&lt;/Cite&gt;&lt;/EndNote&gt;</w:instrText>
            </w:r>
            <w:r w:rsidR="002972A9">
              <w:rPr>
                <w:rFonts w:asciiTheme="minorHAnsi" w:hAnsiTheme="minorHAnsi"/>
                <w:sz w:val="22"/>
                <w:szCs w:val="22"/>
              </w:rPr>
              <w:fldChar w:fldCharType="separate"/>
            </w:r>
            <w:r w:rsidR="008D6E0D" w:rsidRPr="008D6E0D">
              <w:rPr>
                <w:rFonts w:asciiTheme="minorHAnsi" w:hAnsiTheme="minorHAnsi"/>
                <w:noProof/>
                <w:sz w:val="22"/>
                <w:szCs w:val="22"/>
                <w:vertAlign w:val="superscript"/>
              </w:rPr>
              <w:t>5</w:t>
            </w:r>
            <w:r w:rsidR="002972A9">
              <w:rPr>
                <w:rFonts w:asciiTheme="minorHAnsi" w:hAnsiTheme="minorHAnsi"/>
                <w:sz w:val="22"/>
                <w:szCs w:val="22"/>
              </w:rPr>
              <w:fldChar w:fldCharType="end"/>
            </w:r>
            <w:r w:rsidR="00E31B86">
              <w:rPr>
                <w:rFonts w:asciiTheme="minorHAnsi" w:hAnsiTheme="minorHAnsi"/>
                <w:sz w:val="22"/>
                <w:szCs w:val="22"/>
                <w:vertAlign w:val="superscript"/>
              </w:rPr>
              <w:t>c</w:t>
            </w:r>
          </w:p>
        </w:tc>
        <w:tc>
          <w:tcPr>
            <w:tcW w:w="1418" w:type="dxa"/>
            <w:tcBorders>
              <w:top w:val="nil"/>
              <w:bottom w:val="nil"/>
            </w:tcBorders>
          </w:tcPr>
          <w:p w14:paraId="66547FF8" w14:textId="77777777" w:rsidR="003B61C3" w:rsidRPr="000C198E" w:rsidRDefault="003B61C3" w:rsidP="001C5971">
            <w:pPr>
              <w:jc w:val="center"/>
              <w:rPr>
                <w:rFonts w:asciiTheme="minorHAnsi" w:hAnsiTheme="minorHAnsi"/>
                <w:sz w:val="22"/>
                <w:szCs w:val="22"/>
              </w:rPr>
            </w:pPr>
            <w:r w:rsidRPr="000C198E">
              <w:rPr>
                <w:rFonts w:asciiTheme="minorHAnsi" w:hAnsiTheme="minorHAnsi"/>
                <w:sz w:val="22"/>
                <w:szCs w:val="22"/>
              </w:rPr>
              <w:t>KS</w:t>
            </w:r>
          </w:p>
        </w:tc>
      </w:tr>
      <w:tr w:rsidR="003B61C3" w:rsidRPr="000C198E" w14:paraId="41CFDC8E" w14:textId="77777777" w:rsidTr="003F0494">
        <w:tc>
          <w:tcPr>
            <w:tcW w:w="3969" w:type="dxa"/>
          </w:tcPr>
          <w:p w14:paraId="1BC44A4C" w14:textId="77777777" w:rsidR="003B61C3" w:rsidRPr="000C198E" w:rsidRDefault="003B61C3" w:rsidP="006A6765">
            <w:pPr>
              <w:rPr>
                <w:rFonts w:asciiTheme="minorHAnsi" w:hAnsiTheme="minorHAnsi"/>
                <w:sz w:val="22"/>
                <w:szCs w:val="22"/>
              </w:rPr>
            </w:pPr>
            <w:r w:rsidRPr="000C198E">
              <w:rPr>
                <w:rFonts w:asciiTheme="minorHAnsi" w:hAnsiTheme="minorHAnsi"/>
                <w:sz w:val="22"/>
                <w:szCs w:val="22"/>
              </w:rPr>
              <w:t>Lung</w:t>
            </w:r>
          </w:p>
        </w:tc>
        <w:tc>
          <w:tcPr>
            <w:tcW w:w="3686" w:type="dxa"/>
          </w:tcPr>
          <w:p w14:paraId="54630BF7" w14:textId="77777777" w:rsidR="003B61C3" w:rsidRPr="000C198E" w:rsidRDefault="003B61C3" w:rsidP="001C5971">
            <w:pPr>
              <w:tabs>
                <w:tab w:val="left" w:pos="142"/>
              </w:tabs>
              <w:ind w:left="142" w:hanging="142"/>
              <w:rPr>
                <w:rFonts w:asciiTheme="minorHAnsi" w:hAnsiTheme="minorHAnsi"/>
                <w:sz w:val="22"/>
                <w:szCs w:val="22"/>
              </w:rPr>
            </w:pPr>
            <w:r w:rsidRPr="000C198E">
              <w:rPr>
                <w:rFonts w:asciiTheme="minorHAnsi" w:hAnsiTheme="minorHAnsi"/>
                <w:sz w:val="22"/>
                <w:szCs w:val="22"/>
              </w:rPr>
              <w:t>Asbestos (males)</w:t>
            </w:r>
          </w:p>
        </w:tc>
        <w:tc>
          <w:tcPr>
            <w:tcW w:w="1101" w:type="dxa"/>
          </w:tcPr>
          <w:p w14:paraId="76CEF212" w14:textId="77777777" w:rsidR="003B61C3" w:rsidRPr="000C198E" w:rsidRDefault="003B61C3" w:rsidP="001C5971">
            <w:pPr>
              <w:tabs>
                <w:tab w:val="decimal" w:pos="304"/>
              </w:tabs>
              <w:rPr>
                <w:rFonts w:asciiTheme="minorHAnsi" w:hAnsiTheme="minorHAnsi"/>
                <w:sz w:val="22"/>
                <w:szCs w:val="22"/>
              </w:rPr>
            </w:pPr>
            <w:r w:rsidRPr="000C198E">
              <w:rPr>
                <w:rFonts w:asciiTheme="minorHAnsi" w:hAnsiTheme="minorHAnsi"/>
                <w:sz w:val="22"/>
                <w:szCs w:val="22"/>
              </w:rPr>
              <w:t>2.27</w:t>
            </w:r>
          </w:p>
        </w:tc>
        <w:tc>
          <w:tcPr>
            <w:tcW w:w="1701" w:type="dxa"/>
            <w:shd w:val="clear" w:color="auto" w:fill="auto"/>
          </w:tcPr>
          <w:p w14:paraId="7C299997" w14:textId="77777777" w:rsidR="003B61C3" w:rsidRPr="000C198E" w:rsidRDefault="003B61C3" w:rsidP="001C5971">
            <w:pPr>
              <w:jc w:val="center"/>
              <w:rPr>
                <w:rFonts w:asciiTheme="minorHAnsi" w:hAnsiTheme="minorHAnsi"/>
                <w:sz w:val="22"/>
                <w:szCs w:val="22"/>
              </w:rPr>
            </w:pPr>
            <w:r w:rsidRPr="000C198E">
              <w:rPr>
                <w:rFonts w:asciiTheme="minorHAnsi" w:hAnsiTheme="minorHAnsi"/>
                <w:sz w:val="22"/>
                <w:szCs w:val="22"/>
              </w:rPr>
              <w:t>1.67-2.85</w:t>
            </w:r>
          </w:p>
        </w:tc>
        <w:tc>
          <w:tcPr>
            <w:tcW w:w="3402" w:type="dxa"/>
          </w:tcPr>
          <w:p w14:paraId="62F63C33" w14:textId="30308BAD" w:rsidR="003B61C3" w:rsidRPr="000C198E" w:rsidRDefault="003B61C3" w:rsidP="00F262B9">
            <w:pPr>
              <w:tabs>
                <w:tab w:val="left" w:pos="146"/>
              </w:tabs>
              <w:ind w:left="146" w:hanging="146"/>
              <w:rPr>
                <w:rFonts w:asciiTheme="minorHAnsi" w:hAnsiTheme="minorHAnsi"/>
                <w:sz w:val="22"/>
                <w:szCs w:val="22"/>
              </w:rPr>
            </w:pPr>
            <w:r w:rsidRPr="000C198E">
              <w:rPr>
                <w:rFonts w:asciiTheme="minorHAnsi" w:hAnsiTheme="minorHAnsi"/>
                <w:sz w:val="22"/>
                <w:szCs w:val="22"/>
              </w:rPr>
              <w:t>Lenters et al, 2011</w:t>
            </w:r>
            <w:r w:rsidR="002972A9">
              <w:rPr>
                <w:rFonts w:asciiTheme="minorHAnsi" w:hAnsiTheme="minorHAnsi"/>
                <w:sz w:val="22"/>
                <w:szCs w:val="22"/>
              </w:rPr>
              <w:fldChar w:fldCharType="begin"/>
            </w:r>
            <w:r w:rsidR="00F262B9">
              <w:rPr>
                <w:rFonts w:asciiTheme="minorHAnsi" w:hAnsiTheme="minorHAnsi"/>
                <w:sz w:val="22"/>
                <w:szCs w:val="22"/>
              </w:rPr>
              <w:instrText xml:space="preserve"> ADDIN EN.CITE &lt;EndNote&gt;&lt;Cite&gt;&lt;Author&gt;Lenters&lt;/Author&gt;&lt;Year&gt;2011&lt;/Year&gt;&lt;RecNum&gt;677&lt;/RecNum&gt;&lt;DisplayText&gt;&lt;style face="superscript"&gt;6&lt;/style&gt;&lt;/DisplayText&gt;&lt;record&gt;&lt;rec-number&gt;677&lt;/rec-number&gt;&lt;foreign-keys&gt;&lt;key app="EN" db-id="9t2pp5ew3waxt7ex2apvwst4psz2x2xp0xpz" timestamp="1405821425"&gt;677&lt;/key&gt;&lt;/foreign-keys&gt;&lt;ref-type name="Journal Article"&gt;17&lt;/ref-type&gt;&lt;contributors&gt;&lt;authors&gt;&lt;author&gt;Lenters, V&lt;/author&gt;&lt;author&gt;Vermeulen, R&lt;/author&gt;&lt;author&gt;Dogger, S&lt;/author&gt;&lt;author&gt;Stayner, L&lt;/author&gt;&lt;author&gt;Portengen, L&lt;/author&gt;&lt;author&gt;Burdorf, A&lt;/author&gt;&lt;author&gt;Heederik, D&lt;/author&gt;&lt;/authors&gt;&lt;/contributors&gt;&lt;titles&gt;&lt;title&gt;A meta-analysis of asbestos and lung cancer: is better quality exposure assessment associated with steeper slopes of the exposure-response relationships?&lt;/title&gt;&lt;secondary-title&gt;Environmental Health Perspectives&lt;/secondary-title&gt;&lt;/titles&gt;&lt;periodical&gt;&lt;full-title&gt;Environmental Health Perspectives&lt;/full-title&gt;&lt;/periodical&gt;&lt;pages&gt;1547-1555&lt;/pages&gt;&lt;volume&gt;119&lt;/volume&gt;&lt;number&gt;11&lt;/number&gt;&lt;dates&gt;&lt;year&gt;2011&lt;/year&gt;&lt;/dates&gt;&lt;urls&gt;&lt;/urls&gt;&lt;/record&gt;&lt;/Cite&gt;&lt;/EndNote&gt;</w:instrText>
            </w:r>
            <w:r w:rsidR="002972A9">
              <w:rPr>
                <w:rFonts w:asciiTheme="minorHAnsi" w:hAnsiTheme="minorHAnsi"/>
                <w:sz w:val="22"/>
                <w:szCs w:val="22"/>
              </w:rPr>
              <w:fldChar w:fldCharType="separate"/>
            </w:r>
            <w:r w:rsidR="00F262B9" w:rsidRPr="00F262B9">
              <w:rPr>
                <w:rFonts w:asciiTheme="minorHAnsi" w:hAnsiTheme="minorHAnsi"/>
                <w:noProof/>
                <w:sz w:val="22"/>
                <w:szCs w:val="22"/>
                <w:vertAlign w:val="superscript"/>
              </w:rPr>
              <w:t>6</w:t>
            </w:r>
            <w:r w:rsidR="002972A9">
              <w:rPr>
                <w:rFonts w:asciiTheme="minorHAnsi" w:hAnsiTheme="minorHAnsi"/>
                <w:sz w:val="22"/>
                <w:szCs w:val="22"/>
              </w:rPr>
              <w:fldChar w:fldCharType="end"/>
            </w:r>
            <w:r w:rsidR="009A673E">
              <w:rPr>
                <w:rFonts w:asciiTheme="minorHAnsi" w:hAnsiTheme="minorHAnsi"/>
                <w:sz w:val="22"/>
                <w:szCs w:val="22"/>
                <w:vertAlign w:val="superscript"/>
              </w:rPr>
              <w:t>d</w:t>
            </w:r>
          </w:p>
        </w:tc>
        <w:tc>
          <w:tcPr>
            <w:tcW w:w="1418" w:type="dxa"/>
          </w:tcPr>
          <w:p w14:paraId="1B706498" w14:textId="77777777" w:rsidR="003B61C3" w:rsidRPr="000C198E" w:rsidRDefault="003B61C3" w:rsidP="001C5971">
            <w:pPr>
              <w:jc w:val="center"/>
              <w:rPr>
                <w:rFonts w:asciiTheme="minorHAnsi" w:hAnsiTheme="minorHAnsi"/>
                <w:sz w:val="22"/>
                <w:szCs w:val="22"/>
              </w:rPr>
            </w:pPr>
            <w:r w:rsidRPr="000C198E">
              <w:rPr>
                <w:rFonts w:asciiTheme="minorHAnsi" w:hAnsiTheme="minorHAnsi"/>
                <w:sz w:val="22"/>
                <w:szCs w:val="22"/>
              </w:rPr>
              <w:t>M-A</w:t>
            </w:r>
          </w:p>
        </w:tc>
      </w:tr>
      <w:tr w:rsidR="003B61C3" w:rsidRPr="000C198E" w14:paraId="7A1906C7" w14:textId="77777777" w:rsidTr="003F0494">
        <w:tc>
          <w:tcPr>
            <w:tcW w:w="3969" w:type="dxa"/>
          </w:tcPr>
          <w:p w14:paraId="5E4D1C69" w14:textId="77777777" w:rsidR="003B61C3" w:rsidRPr="000C198E" w:rsidRDefault="003B61C3" w:rsidP="006A6765">
            <w:pPr>
              <w:rPr>
                <w:rFonts w:asciiTheme="minorHAnsi" w:hAnsiTheme="minorHAnsi"/>
                <w:sz w:val="22"/>
                <w:szCs w:val="22"/>
              </w:rPr>
            </w:pPr>
            <w:r w:rsidRPr="000C198E">
              <w:rPr>
                <w:rFonts w:asciiTheme="minorHAnsi" w:hAnsiTheme="minorHAnsi"/>
                <w:sz w:val="22"/>
                <w:szCs w:val="22"/>
              </w:rPr>
              <w:t>Lung</w:t>
            </w:r>
          </w:p>
        </w:tc>
        <w:tc>
          <w:tcPr>
            <w:tcW w:w="3686" w:type="dxa"/>
          </w:tcPr>
          <w:p w14:paraId="4F47C667" w14:textId="77777777" w:rsidR="003B61C3" w:rsidRPr="000C198E" w:rsidRDefault="003B61C3" w:rsidP="001C5971">
            <w:pPr>
              <w:tabs>
                <w:tab w:val="left" w:pos="142"/>
              </w:tabs>
              <w:ind w:left="142" w:hanging="142"/>
              <w:rPr>
                <w:rFonts w:asciiTheme="minorHAnsi" w:hAnsiTheme="minorHAnsi"/>
                <w:sz w:val="22"/>
                <w:szCs w:val="22"/>
              </w:rPr>
            </w:pPr>
            <w:r w:rsidRPr="000C198E">
              <w:rPr>
                <w:rFonts w:asciiTheme="minorHAnsi" w:hAnsiTheme="minorHAnsi"/>
                <w:sz w:val="22"/>
                <w:szCs w:val="22"/>
              </w:rPr>
              <w:t>Asbestos (females)</w:t>
            </w:r>
          </w:p>
        </w:tc>
        <w:tc>
          <w:tcPr>
            <w:tcW w:w="1101" w:type="dxa"/>
          </w:tcPr>
          <w:p w14:paraId="0F934A97" w14:textId="77777777" w:rsidR="003B61C3" w:rsidRPr="000C198E" w:rsidRDefault="003B61C3" w:rsidP="001C5971">
            <w:pPr>
              <w:tabs>
                <w:tab w:val="decimal" w:pos="304"/>
              </w:tabs>
              <w:rPr>
                <w:rFonts w:asciiTheme="minorHAnsi" w:hAnsiTheme="minorHAnsi"/>
                <w:sz w:val="22"/>
                <w:szCs w:val="22"/>
              </w:rPr>
            </w:pPr>
            <w:r w:rsidRPr="000C198E">
              <w:rPr>
                <w:rFonts w:asciiTheme="minorHAnsi" w:hAnsiTheme="minorHAnsi"/>
                <w:sz w:val="22"/>
                <w:szCs w:val="22"/>
              </w:rPr>
              <w:t>1.86</w:t>
            </w:r>
          </w:p>
        </w:tc>
        <w:tc>
          <w:tcPr>
            <w:tcW w:w="1701" w:type="dxa"/>
            <w:shd w:val="clear" w:color="auto" w:fill="auto"/>
          </w:tcPr>
          <w:p w14:paraId="20A14F49" w14:textId="77777777" w:rsidR="003B61C3" w:rsidRPr="000C198E" w:rsidRDefault="003B61C3" w:rsidP="001C5971">
            <w:pPr>
              <w:jc w:val="center"/>
              <w:rPr>
                <w:rFonts w:asciiTheme="minorHAnsi" w:hAnsiTheme="minorHAnsi"/>
                <w:sz w:val="22"/>
                <w:szCs w:val="22"/>
              </w:rPr>
            </w:pPr>
            <w:r w:rsidRPr="000C198E">
              <w:rPr>
                <w:rFonts w:asciiTheme="minorHAnsi" w:hAnsiTheme="minorHAnsi"/>
                <w:sz w:val="22"/>
                <w:szCs w:val="22"/>
              </w:rPr>
              <w:t>1.56-21.5</w:t>
            </w:r>
          </w:p>
        </w:tc>
        <w:tc>
          <w:tcPr>
            <w:tcW w:w="3402" w:type="dxa"/>
          </w:tcPr>
          <w:p w14:paraId="676B617C" w14:textId="6D69D443" w:rsidR="003B61C3" w:rsidRPr="000C198E" w:rsidRDefault="003B61C3" w:rsidP="00F262B9">
            <w:pPr>
              <w:tabs>
                <w:tab w:val="left" w:pos="146"/>
              </w:tabs>
              <w:ind w:left="146" w:hanging="146"/>
              <w:rPr>
                <w:rFonts w:asciiTheme="minorHAnsi" w:hAnsiTheme="minorHAnsi"/>
                <w:sz w:val="22"/>
                <w:szCs w:val="22"/>
                <w:highlight w:val="green"/>
              </w:rPr>
            </w:pPr>
            <w:r w:rsidRPr="000C198E">
              <w:rPr>
                <w:rFonts w:asciiTheme="minorHAnsi" w:hAnsiTheme="minorHAnsi"/>
                <w:sz w:val="22"/>
                <w:szCs w:val="22"/>
              </w:rPr>
              <w:t>Lenters et al, 2011</w:t>
            </w:r>
            <w:r w:rsidR="002972A9">
              <w:rPr>
                <w:rFonts w:asciiTheme="minorHAnsi" w:hAnsiTheme="minorHAnsi"/>
                <w:sz w:val="22"/>
                <w:szCs w:val="22"/>
              </w:rPr>
              <w:fldChar w:fldCharType="begin"/>
            </w:r>
            <w:r w:rsidR="00F262B9">
              <w:rPr>
                <w:rFonts w:asciiTheme="minorHAnsi" w:hAnsiTheme="minorHAnsi"/>
                <w:sz w:val="22"/>
                <w:szCs w:val="22"/>
              </w:rPr>
              <w:instrText xml:space="preserve"> ADDIN EN.CITE &lt;EndNote&gt;&lt;Cite&gt;&lt;Author&gt;Lenters&lt;/Author&gt;&lt;Year&gt;2011&lt;/Year&gt;&lt;RecNum&gt;677&lt;/RecNum&gt;&lt;DisplayText&gt;&lt;style face="superscript"&gt;6&lt;/style&gt;&lt;/DisplayText&gt;&lt;record&gt;&lt;rec-number&gt;677&lt;/rec-number&gt;&lt;foreign-keys&gt;&lt;key app="EN" db-id="9t2pp5ew3waxt7ex2apvwst4psz2x2xp0xpz" timestamp="1405821425"&gt;677&lt;/key&gt;&lt;/foreign-keys&gt;&lt;ref-type name="Journal Article"&gt;17&lt;/ref-type&gt;&lt;contributors&gt;&lt;authors&gt;&lt;author&gt;Lenters, V&lt;/author&gt;&lt;author&gt;Vermeulen, R&lt;/author&gt;&lt;author&gt;Dogger, S&lt;/author&gt;&lt;author&gt;Stayner, L&lt;/author&gt;&lt;author&gt;Portengen, L&lt;/author&gt;&lt;author&gt;Burdorf, A&lt;/author&gt;&lt;author&gt;Heederik, D&lt;/author&gt;&lt;/authors&gt;&lt;/contributors&gt;&lt;titles&gt;&lt;title&gt;A meta-analysis of asbestos and lung cancer: is better quality exposure assessment associated with steeper slopes of the exposure-response relationships?&lt;/title&gt;&lt;secondary-title&gt;Environmental Health Perspectives&lt;/secondary-title&gt;&lt;/titles&gt;&lt;periodical&gt;&lt;full-title&gt;Environmental Health Perspectives&lt;/full-title&gt;&lt;/periodical&gt;&lt;pages&gt;1547-1555&lt;/pages&gt;&lt;volume&gt;119&lt;/volume&gt;&lt;number&gt;11&lt;/number&gt;&lt;dates&gt;&lt;year&gt;2011&lt;/year&gt;&lt;/dates&gt;&lt;urls&gt;&lt;/urls&gt;&lt;/record&gt;&lt;/Cite&gt;&lt;/EndNote&gt;</w:instrText>
            </w:r>
            <w:r w:rsidR="002972A9">
              <w:rPr>
                <w:rFonts w:asciiTheme="minorHAnsi" w:hAnsiTheme="minorHAnsi"/>
                <w:sz w:val="22"/>
                <w:szCs w:val="22"/>
              </w:rPr>
              <w:fldChar w:fldCharType="separate"/>
            </w:r>
            <w:r w:rsidR="00F262B9" w:rsidRPr="00F262B9">
              <w:rPr>
                <w:rFonts w:asciiTheme="minorHAnsi" w:hAnsiTheme="minorHAnsi"/>
                <w:noProof/>
                <w:sz w:val="22"/>
                <w:szCs w:val="22"/>
                <w:vertAlign w:val="superscript"/>
              </w:rPr>
              <w:t>6</w:t>
            </w:r>
            <w:r w:rsidR="002972A9">
              <w:rPr>
                <w:rFonts w:asciiTheme="minorHAnsi" w:hAnsiTheme="minorHAnsi"/>
                <w:sz w:val="22"/>
                <w:szCs w:val="22"/>
              </w:rPr>
              <w:fldChar w:fldCharType="end"/>
            </w:r>
            <w:r w:rsidR="009A673E">
              <w:rPr>
                <w:rFonts w:asciiTheme="minorHAnsi" w:hAnsiTheme="minorHAnsi"/>
                <w:sz w:val="22"/>
                <w:szCs w:val="22"/>
                <w:vertAlign w:val="superscript"/>
              </w:rPr>
              <w:t>d</w:t>
            </w:r>
          </w:p>
        </w:tc>
        <w:tc>
          <w:tcPr>
            <w:tcW w:w="1418" w:type="dxa"/>
          </w:tcPr>
          <w:p w14:paraId="1D87B435" w14:textId="77777777" w:rsidR="003B61C3" w:rsidRPr="000C198E" w:rsidRDefault="003B61C3" w:rsidP="001C5971">
            <w:pPr>
              <w:jc w:val="center"/>
              <w:rPr>
                <w:rFonts w:asciiTheme="minorHAnsi" w:hAnsiTheme="minorHAnsi"/>
                <w:sz w:val="22"/>
                <w:szCs w:val="22"/>
              </w:rPr>
            </w:pPr>
            <w:r w:rsidRPr="000C198E">
              <w:rPr>
                <w:rFonts w:asciiTheme="minorHAnsi" w:hAnsiTheme="minorHAnsi"/>
                <w:sz w:val="22"/>
                <w:szCs w:val="22"/>
              </w:rPr>
              <w:t>M-A</w:t>
            </w:r>
          </w:p>
        </w:tc>
      </w:tr>
      <w:tr w:rsidR="003F0494" w:rsidRPr="000C198E" w14:paraId="14BC4506" w14:textId="77777777" w:rsidTr="00C33911">
        <w:tc>
          <w:tcPr>
            <w:tcW w:w="3969" w:type="dxa"/>
            <w:tcBorders>
              <w:top w:val="nil"/>
            </w:tcBorders>
          </w:tcPr>
          <w:p w14:paraId="19230944" w14:textId="77777777" w:rsidR="003F0494" w:rsidRPr="000C198E" w:rsidRDefault="003F0494" w:rsidP="006A6765">
            <w:pPr>
              <w:rPr>
                <w:rFonts w:asciiTheme="minorHAnsi" w:hAnsiTheme="minorHAnsi"/>
                <w:sz w:val="22"/>
                <w:szCs w:val="22"/>
              </w:rPr>
            </w:pPr>
            <w:r w:rsidRPr="000C198E">
              <w:rPr>
                <w:rFonts w:asciiTheme="minorHAnsi" w:hAnsiTheme="minorHAnsi"/>
                <w:sz w:val="22"/>
                <w:szCs w:val="22"/>
              </w:rPr>
              <w:t>Mesothelioma</w:t>
            </w:r>
          </w:p>
        </w:tc>
        <w:tc>
          <w:tcPr>
            <w:tcW w:w="3686" w:type="dxa"/>
            <w:tcBorders>
              <w:top w:val="nil"/>
            </w:tcBorders>
          </w:tcPr>
          <w:p w14:paraId="70272A3A" w14:textId="77777777" w:rsidR="003F0494" w:rsidRPr="000C198E" w:rsidRDefault="003F0494" w:rsidP="006A6765">
            <w:pPr>
              <w:tabs>
                <w:tab w:val="left" w:pos="142"/>
              </w:tabs>
              <w:ind w:left="142" w:hanging="142"/>
              <w:rPr>
                <w:rFonts w:asciiTheme="minorHAnsi" w:hAnsiTheme="minorHAnsi"/>
                <w:sz w:val="22"/>
                <w:szCs w:val="22"/>
              </w:rPr>
            </w:pPr>
            <w:r w:rsidRPr="000C198E">
              <w:rPr>
                <w:rFonts w:asciiTheme="minorHAnsi" w:hAnsiTheme="minorHAnsi"/>
                <w:sz w:val="22"/>
                <w:szCs w:val="22"/>
              </w:rPr>
              <w:t>Asbestos</w:t>
            </w:r>
          </w:p>
        </w:tc>
        <w:tc>
          <w:tcPr>
            <w:tcW w:w="1101" w:type="dxa"/>
            <w:tcBorders>
              <w:top w:val="nil"/>
            </w:tcBorders>
          </w:tcPr>
          <w:p w14:paraId="298BD993" w14:textId="77777777" w:rsidR="003F0494" w:rsidRPr="000C198E" w:rsidRDefault="003F0494" w:rsidP="006A6765">
            <w:pPr>
              <w:tabs>
                <w:tab w:val="decimal" w:pos="304"/>
              </w:tabs>
              <w:rPr>
                <w:rFonts w:asciiTheme="minorHAnsi" w:hAnsiTheme="minorHAnsi"/>
                <w:sz w:val="22"/>
                <w:szCs w:val="22"/>
              </w:rPr>
            </w:pPr>
          </w:p>
        </w:tc>
        <w:tc>
          <w:tcPr>
            <w:tcW w:w="1701" w:type="dxa"/>
            <w:tcBorders>
              <w:top w:val="nil"/>
            </w:tcBorders>
          </w:tcPr>
          <w:p w14:paraId="7526A275" w14:textId="77777777" w:rsidR="003F0494" w:rsidRPr="000C198E" w:rsidRDefault="003F0494" w:rsidP="006A6765">
            <w:pPr>
              <w:jc w:val="center"/>
              <w:rPr>
                <w:rFonts w:asciiTheme="minorHAnsi" w:hAnsiTheme="minorHAnsi"/>
                <w:sz w:val="22"/>
                <w:szCs w:val="22"/>
              </w:rPr>
            </w:pPr>
          </w:p>
        </w:tc>
        <w:tc>
          <w:tcPr>
            <w:tcW w:w="3402" w:type="dxa"/>
            <w:tcBorders>
              <w:top w:val="nil"/>
            </w:tcBorders>
          </w:tcPr>
          <w:p w14:paraId="66335C56" w14:textId="6C647CFB" w:rsidR="003F0494" w:rsidRPr="000C198E" w:rsidRDefault="003F0494" w:rsidP="00F262B9">
            <w:pPr>
              <w:tabs>
                <w:tab w:val="left" w:pos="146"/>
              </w:tabs>
              <w:ind w:left="146" w:hanging="146"/>
              <w:rPr>
                <w:rFonts w:asciiTheme="minorHAnsi" w:hAnsiTheme="minorHAnsi"/>
                <w:sz w:val="22"/>
                <w:szCs w:val="22"/>
                <w:highlight w:val="cyan"/>
              </w:rPr>
            </w:pPr>
            <w:r w:rsidRPr="000C198E">
              <w:rPr>
                <w:rFonts w:asciiTheme="minorHAnsi" w:hAnsiTheme="minorHAnsi"/>
                <w:sz w:val="22"/>
                <w:szCs w:val="22"/>
              </w:rPr>
              <w:t>Rake et al, 2009</w:t>
            </w:r>
            <w:r w:rsidR="002972A9">
              <w:rPr>
                <w:rFonts w:asciiTheme="minorHAnsi" w:hAnsiTheme="minorHAnsi"/>
                <w:sz w:val="22"/>
                <w:szCs w:val="22"/>
              </w:rPr>
              <w:fldChar w:fldCharType="begin"/>
            </w:r>
            <w:r w:rsidR="00F262B9">
              <w:rPr>
                <w:rFonts w:asciiTheme="minorHAnsi" w:hAnsiTheme="minorHAnsi"/>
                <w:sz w:val="22"/>
                <w:szCs w:val="22"/>
              </w:rPr>
              <w:instrText xml:space="preserve"> ADDIN EN.CITE &lt;EndNote&gt;&lt;Cite&gt;&lt;Author&gt;Rake&lt;/Author&gt;&lt;Year&gt;2009&lt;/Year&gt;&lt;RecNum&gt;152&lt;/RecNum&gt;&lt;DisplayText&gt;&lt;style face="superscript"&gt;7&lt;/style&gt;&lt;/DisplayText&gt;&lt;record&gt;&lt;rec-number&gt;152&lt;/rec-number&gt;&lt;foreign-keys&gt;&lt;key app="EN" db-id="xw2v5x5zv0zvs2e2af8v2xp3zfa5ps2v2zf2" timestamp="1442452203"&gt;152&lt;/key&gt;&lt;/foreign-keys&gt;&lt;ref-type name="Journal Article"&gt;17&lt;/ref-type&gt;&lt;contributors&gt;&lt;authors&gt;&lt;author&gt;Rake, C&lt;/author&gt;&lt;author&gt;Gilham, C&lt;/author&gt;&lt;author&gt;Hatch, J&lt;/author&gt;&lt;author&gt;Darnton, A&lt;/author&gt;&lt;author&gt;Hodgson, J&lt;/author&gt;&lt;author&gt;Peto, J&lt;/author&gt;&lt;/authors&gt;&lt;/contributors&gt;&lt;titles&gt;&lt;title&gt;Occupational, domestic and environmental mesothelioma risks in the British population: a case-control study&lt;/title&gt;&lt;secondary-title&gt;British Journal of Cancer&lt;/secondary-title&gt;&lt;/titles&gt;&lt;periodical&gt;&lt;full-title&gt;British Journal of Cancer&lt;/full-title&gt;&lt;/periodical&gt;&lt;pages&gt;1175-1183&lt;/pages&gt;&lt;volume&gt;100&lt;/volume&gt;&lt;number&gt;7&lt;/number&gt;&lt;dates&gt;&lt;year&gt;2009&lt;/year&gt;&lt;/dates&gt;&lt;urls&gt;&lt;/urls&gt;&lt;/record&gt;&lt;/Cite&gt;&lt;/EndNote&gt;</w:instrText>
            </w:r>
            <w:r w:rsidR="002972A9">
              <w:rPr>
                <w:rFonts w:asciiTheme="minorHAnsi" w:hAnsiTheme="minorHAnsi"/>
                <w:sz w:val="22"/>
                <w:szCs w:val="22"/>
              </w:rPr>
              <w:fldChar w:fldCharType="separate"/>
            </w:r>
            <w:r w:rsidR="00F262B9" w:rsidRPr="00F262B9">
              <w:rPr>
                <w:rFonts w:asciiTheme="minorHAnsi" w:hAnsiTheme="minorHAnsi"/>
                <w:noProof/>
                <w:sz w:val="22"/>
                <w:szCs w:val="22"/>
                <w:vertAlign w:val="superscript"/>
              </w:rPr>
              <w:t>7</w:t>
            </w:r>
            <w:r w:rsidR="002972A9">
              <w:rPr>
                <w:rFonts w:asciiTheme="minorHAnsi" w:hAnsiTheme="minorHAnsi"/>
                <w:sz w:val="22"/>
                <w:szCs w:val="22"/>
              </w:rPr>
              <w:fldChar w:fldCharType="end"/>
            </w:r>
            <w:r w:rsidR="009A673E">
              <w:rPr>
                <w:rFonts w:asciiTheme="minorHAnsi" w:hAnsiTheme="minorHAnsi"/>
                <w:sz w:val="22"/>
                <w:szCs w:val="22"/>
                <w:vertAlign w:val="superscript"/>
              </w:rPr>
              <w:t>e</w:t>
            </w:r>
          </w:p>
        </w:tc>
        <w:tc>
          <w:tcPr>
            <w:tcW w:w="1418" w:type="dxa"/>
            <w:tcBorders>
              <w:top w:val="nil"/>
            </w:tcBorders>
          </w:tcPr>
          <w:p w14:paraId="5B6A3691" w14:textId="77777777" w:rsidR="003F0494" w:rsidRPr="000C198E" w:rsidRDefault="003F0494" w:rsidP="006A6765">
            <w:pPr>
              <w:jc w:val="center"/>
              <w:rPr>
                <w:rFonts w:asciiTheme="minorHAnsi" w:hAnsiTheme="minorHAnsi"/>
                <w:sz w:val="22"/>
                <w:szCs w:val="22"/>
              </w:rPr>
            </w:pPr>
          </w:p>
        </w:tc>
      </w:tr>
      <w:tr w:rsidR="003F0494" w:rsidRPr="000C198E" w14:paraId="7316E63D" w14:textId="77777777" w:rsidTr="006A6765">
        <w:tc>
          <w:tcPr>
            <w:tcW w:w="3969" w:type="dxa"/>
          </w:tcPr>
          <w:p w14:paraId="15B0C3AF" w14:textId="77777777" w:rsidR="003F0494" w:rsidRPr="000C198E" w:rsidRDefault="003F0494" w:rsidP="006A6765">
            <w:pPr>
              <w:rPr>
                <w:rFonts w:asciiTheme="minorHAnsi" w:hAnsiTheme="minorHAnsi"/>
                <w:sz w:val="22"/>
                <w:szCs w:val="22"/>
              </w:rPr>
            </w:pPr>
            <w:r w:rsidRPr="000C198E">
              <w:rPr>
                <w:rFonts w:asciiTheme="minorHAnsi" w:hAnsiTheme="minorHAnsi"/>
                <w:sz w:val="22"/>
                <w:szCs w:val="22"/>
              </w:rPr>
              <w:t>Ovary</w:t>
            </w:r>
          </w:p>
        </w:tc>
        <w:tc>
          <w:tcPr>
            <w:tcW w:w="3686" w:type="dxa"/>
          </w:tcPr>
          <w:p w14:paraId="394FD582" w14:textId="77777777" w:rsidR="003F0494" w:rsidRPr="000C198E" w:rsidRDefault="003F0494" w:rsidP="006A6765">
            <w:pPr>
              <w:tabs>
                <w:tab w:val="left" w:pos="142"/>
              </w:tabs>
              <w:ind w:left="142" w:hanging="142"/>
              <w:rPr>
                <w:rFonts w:asciiTheme="minorHAnsi" w:hAnsiTheme="minorHAnsi"/>
                <w:sz w:val="22"/>
                <w:szCs w:val="22"/>
              </w:rPr>
            </w:pPr>
            <w:r w:rsidRPr="000C198E">
              <w:rPr>
                <w:rFonts w:asciiTheme="minorHAnsi" w:hAnsiTheme="minorHAnsi"/>
                <w:sz w:val="22"/>
                <w:szCs w:val="22"/>
              </w:rPr>
              <w:t>Asbestos</w:t>
            </w:r>
          </w:p>
        </w:tc>
        <w:tc>
          <w:tcPr>
            <w:tcW w:w="1101" w:type="dxa"/>
          </w:tcPr>
          <w:p w14:paraId="46BEBA43" w14:textId="77777777" w:rsidR="003F0494" w:rsidRPr="000C198E" w:rsidRDefault="003F0494" w:rsidP="006A6765">
            <w:pPr>
              <w:tabs>
                <w:tab w:val="decimal" w:pos="304"/>
              </w:tabs>
              <w:rPr>
                <w:rFonts w:asciiTheme="minorHAnsi" w:hAnsiTheme="minorHAnsi"/>
                <w:sz w:val="22"/>
                <w:szCs w:val="22"/>
              </w:rPr>
            </w:pPr>
            <w:r w:rsidRPr="000C198E">
              <w:rPr>
                <w:rFonts w:asciiTheme="minorHAnsi" w:hAnsiTheme="minorHAnsi"/>
                <w:sz w:val="22"/>
                <w:szCs w:val="22"/>
              </w:rPr>
              <w:t>1.77</w:t>
            </w:r>
          </w:p>
        </w:tc>
        <w:tc>
          <w:tcPr>
            <w:tcW w:w="1701" w:type="dxa"/>
          </w:tcPr>
          <w:p w14:paraId="1DFC749C" w14:textId="77777777" w:rsidR="003F0494" w:rsidRPr="000C198E" w:rsidRDefault="003F0494" w:rsidP="006A6765">
            <w:pPr>
              <w:jc w:val="center"/>
              <w:rPr>
                <w:rFonts w:asciiTheme="minorHAnsi" w:hAnsiTheme="minorHAnsi"/>
                <w:sz w:val="22"/>
                <w:szCs w:val="22"/>
              </w:rPr>
            </w:pPr>
            <w:r w:rsidRPr="000C198E">
              <w:rPr>
                <w:rFonts w:asciiTheme="minorHAnsi" w:hAnsiTheme="minorHAnsi"/>
                <w:sz w:val="22"/>
                <w:szCs w:val="22"/>
              </w:rPr>
              <w:t>1.37-2.28</w:t>
            </w:r>
          </w:p>
        </w:tc>
        <w:tc>
          <w:tcPr>
            <w:tcW w:w="3402" w:type="dxa"/>
          </w:tcPr>
          <w:p w14:paraId="79123718" w14:textId="42BB37E0" w:rsidR="003F0494" w:rsidRPr="000C198E" w:rsidRDefault="003F0494" w:rsidP="00F262B9">
            <w:pPr>
              <w:tabs>
                <w:tab w:val="left" w:pos="146"/>
              </w:tabs>
              <w:ind w:left="146" w:hanging="146"/>
              <w:rPr>
                <w:rFonts w:asciiTheme="minorHAnsi" w:hAnsiTheme="minorHAnsi"/>
                <w:sz w:val="22"/>
                <w:szCs w:val="22"/>
              </w:rPr>
            </w:pPr>
            <w:r w:rsidRPr="000C198E">
              <w:rPr>
                <w:rFonts w:asciiTheme="minorHAnsi" w:hAnsiTheme="minorHAnsi"/>
                <w:sz w:val="22"/>
                <w:szCs w:val="22"/>
              </w:rPr>
              <w:t>Camargo et al, 2011</w:t>
            </w:r>
            <w:r w:rsidR="002972A9">
              <w:rPr>
                <w:rFonts w:asciiTheme="minorHAnsi" w:hAnsiTheme="minorHAnsi"/>
                <w:sz w:val="22"/>
                <w:szCs w:val="22"/>
              </w:rPr>
              <w:fldChar w:fldCharType="begin"/>
            </w:r>
            <w:r w:rsidR="00F262B9">
              <w:rPr>
                <w:rFonts w:asciiTheme="minorHAnsi" w:hAnsiTheme="minorHAnsi"/>
                <w:sz w:val="22"/>
                <w:szCs w:val="22"/>
              </w:rPr>
              <w:instrText xml:space="preserve"> ADDIN EN.CITE &lt;EndNote&gt;&lt;Cite&gt;&lt;Author&gt;Camargo&lt;/Author&gt;&lt;Year&gt;2011&lt;/Year&gt;&lt;RecNum&gt;678&lt;/RecNum&gt;&lt;DisplayText&gt;&lt;style face="superscript"&gt;8&lt;/style&gt;&lt;/DisplayText&gt;&lt;record&gt;&lt;rec-number&gt;678&lt;/rec-number&gt;&lt;foreign-keys&gt;&lt;key app="EN" db-id="9t2pp5ew3waxt7ex2apvwst4psz2x2xp0xpz" timestamp="1405823094"&gt;678&lt;/key&gt;&lt;/foreign-keys&gt;&lt;ref-type name="Journal Article"&gt;17&lt;/ref-type&gt;&lt;contributors&gt;&lt;authors&gt;&lt;author&gt;Camargo, MC&lt;/author&gt;&lt;author&gt;Stayner, LT&lt;/author&gt;&lt;author&gt;Straif, K&lt;/author&gt;&lt;author&gt;Reina, M&lt;/author&gt;&lt;author&gt;Al-Alem, U&lt;/author&gt;&lt;author&gt;Demers, PA&lt;/author&gt;&lt;author&gt;Landrigan, PJ&lt;/author&gt;&lt;/authors&gt;&lt;/contributors&gt;&lt;titles&gt;&lt;title&gt;Occupational exposure to asbestos and ovarian cancer: a meta-analysis&lt;/title&gt;&lt;secondary-title&gt;Environmental Health Perspectives&lt;/secondary-title&gt;&lt;/titles&gt;&lt;periodical&gt;&lt;full-title&gt;Environmental Health Perspectives&lt;/full-title&gt;&lt;/periodical&gt;&lt;pages&gt;1211-1217&lt;/pages&gt;&lt;volume&gt;119&lt;/volume&gt;&lt;number&gt;9&lt;/number&gt;&lt;dates&gt;&lt;year&gt;2011&lt;/year&gt;&lt;/dates&gt;&lt;urls&gt;&lt;/urls&gt;&lt;/record&gt;&lt;/Cite&gt;&lt;/EndNote&gt;</w:instrText>
            </w:r>
            <w:r w:rsidR="002972A9">
              <w:rPr>
                <w:rFonts w:asciiTheme="minorHAnsi" w:hAnsiTheme="minorHAnsi"/>
                <w:sz w:val="22"/>
                <w:szCs w:val="22"/>
              </w:rPr>
              <w:fldChar w:fldCharType="separate"/>
            </w:r>
            <w:r w:rsidR="00F262B9" w:rsidRPr="00F262B9">
              <w:rPr>
                <w:rFonts w:asciiTheme="minorHAnsi" w:hAnsiTheme="minorHAnsi"/>
                <w:noProof/>
                <w:sz w:val="22"/>
                <w:szCs w:val="22"/>
                <w:vertAlign w:val="superscript"/>
              </w:rPr>
              <w:t>8</w:t>
            </w:r>
            <w:r w:rsidR="002972A9">
              <w:rPr>
                <w:rFonts w:asciiTheme="minorHAnsi" w:hAnsiTheme="minorHAnsi"/>
                <w:sz w:val="22"/>
                <w:szCs w:val="22"/>
              </w:rPr>
              <w:fldChar w:fldCharType="end"/>
            </w:r>
          </w:p>
        </w:tc>
        <w:tc>
          <w:tcPr>
            <w:tcW w:w="1418" w:type="dxa"/>
          </w:tcPr>
          <w:p w14:paraId="4AD89D49" w14:textId="77777777" w:rsidR="003F0494" w:rsidRPr="000C198E" w:rsidRDefault="003F0494" w:rsidP="006A6765">
            <w:pPr>
              <w:jc w:val="center"/>
              <w:rPr>
                <w:rFonts w:asciiTheme="minorHAnsi" w:hAnsiTheme="minorHAnsi"/>
                <w:sz w:val="22"/>
                <w:szCs w:val="22"/>
              </w:rPr>
            </w:pPr>
            <w:r w:rsidRPr="000C198E">
              <w:rPr>
                <w:rFonts w:asciiTheme="minorHAnsi" w:hAnsiTheme="minorHAnsi"/>
                <w:sz w:val="22"/>
                <w:szCs w:val="22"/>
              </w:rPr>
              <w:t>M-A</w:t>
            </w:r>
          </w:p>
        </w:tc>
      </w:tr>
      <w:tr w:rsidR="003F0494" w:rsidRPr="000C198E" w14:paraId="3443A677" w14:textId="77777777" w:rsidTr="00A211DB">
        <w:tc>
          <w:tcPr>
            <w:tcW w:w="3969" w:type="dxa"/>
            <w:tcBorders>
              <w:bottom w:val="nil"/>
            </w:tcBorders>
          </w:tcPr>
          <w:p w14:paraId="508BA181" w14:textId="77777777" w:rsidR="003F0494" w:rsidRPr="000C198E" w:rsidRDefault="003F0494" w:rsidP="006A6765">
            <w:pPr>
              <w:rPr>
                <w:rFonts w:asciiTheme="minorHAnsi" w:hAnsiTheme="minorHAnsi"/>
                <w:sz w:val="22"/>
                <w:szCs w:val="22"/>
              </w:rPr>
            </w:pPr>
            <w:r w:rsidRPr="000C198E">
              <w:rPr>
                <w:rFonts w:asciiTheme="minorHAnsi" w:hAnsiTheme="minorHAnsi"/>
                <w:sz w:val="22"/>
                <w:szCs w:val="22"/>
              </w:rPr>
              <w:t>Kidney</w:t>
            </w:r>
          </w:p>
        </w:tc>
        <w:tc>
          <w:tcPr>
            <w:tcW w:w="3686" w:type="dxa"/>
            <w:tcBorders>
              <w:bottom w:val="nil"/>
            </w:tcBorders>
            <w:shd w:val="clear" w:color="auto" w:fill="auto"/>
          </w:tcPr>
          <w:p w14:paraId="17BFA8B5" w14:textId="77777777" w:rsidR="003F0494" w:rsidRPr="000C198E" w:rsidRDefault="003F0494" w:rsidP="006A6765">
            <w:pPr>
              <w:tabs>
                <w:tab w:val="left" w:pos="142"/>
              </w:tabs>
              <w:ind w:left="142" w:hanging="142"/>
              <w:rPr>
                <w:rFonts w:asciiTheme="minorHAnsi" w:hAnsiTheme="minorHAnsi"/>
                <w:sz w:val="22"/>
                <w:szCs w:val="22"/>
              </w:rPr>
            </w:pPr>
            <w:r w:rsidRPr="000C198E">
              <w:rPr>
                <w:rFonts w:asciiTheme="minorHAnsi" w:hAnsiTheme="minorHAnsi"/>
                <w:sz w:val="22"/>
                <w:szCs w:val="22"/>
              </w:rPr>
              <w:t>Trichloroethylene</w:t>
            </w:r>
          </w:p>
        </w:tc>
        <w:tc>
          <w:tcPr>
            <w:tcW w:w="1101" w:type="dxa"/>
            <w:tcBorders>
              <w:bottom w:val="nil"/>
            </w:tcBorders>
            <w:shd w:val="clear" w:color="auto" w:fill="auto"/>
          </w:tcPr>
          <w:p w14:paraId="2EB7EF3D" w14:textId="77777777" w:rsidR="003F0494" w:rsidRPr="000C198E" w:rsidRDefault="003F0494" w:rsidP="006A6765">
            <w:pPr>
              <w:tabs>
                <w:tab w:val="decimal" w:pos="304"/>
              </w:tabs>
              <w:rPr>
                <w:rFonts w:asciiTheme="minorHAnsi" w:hAnsiTheme="minorHAnsi"/>
                <w:sz w:val="22"/>
                <w:szCs w:val="22"/>
              </w:rPr>
            </w:pPr>
            <w:r w:rsidRPr="000C198E">
              <w:rPr>
                <w:rFonts w:asciiTheme="minorHAnsi" w:hAnsiTheme="minorHAnsi"/>
                <w:sz w:val="22"/>
                <w:szCs w:val="22"/>
              </w:rPr>
              <w:t>1.24</w:t>
            </w:r>
          </w:p>
        </w:tc>
        <w:tc>
          <w:tcPr>
            <w:tcW w:w="1701" w:type="dxa"/>
            <w:tcBorders>
              <w:bottom w:val="nil"/>
            </w:tcBorders>
            <w:shd w:val="clear" w:color="auto" w:fill="auto"/>
          </w:tcPr>
          <w:p w14:paraId="6161B593" w14:textId="77777777" w:rsidR="003F0494" w:rsidRPr="000C198E" w:rsidRDefault="003F0494" w:rsidP="006A6765">
            <w:pPr>
              <w:jc w:val="center"/>
              <w:rPr>
                <w:rFonts w:asciiTheme="minorHAnsi" w:hAnsiTheme="minorHAnsi"/>
                <w:sz w:val="22"/>
                <w:szCs w:val="22"/>
              </w:rPr>
            </w:pPr>
            <w:r w:rsidRPr="000C198E">
              <w:rPr>
                <w:rFonts w:asciiTheme="minorHAnsi" w:hAnsiTheme="minorHAnsi"/>
                <w:sz w:val="22"/>
                <w:szCs w:val="22"/>
              </w:rPr>
              <w:t>1.06-1.45</w:t>
            </w:r>
          </w:p>
        </w:tc>
        <w:tc>
          <w:tcPr>
            <w:tcW w:w="3402" w:type="dxa"/>
            <w:tcBorders>
              <w:bottom w:val="nil"/>
            </w:tcBorders>
          </w:tcPr>
          <w:p w14:paraId="7C7FAE00" w14:textId="690C7A30" w:rsidR="003F0494" w:rsidRPr="000C198E" w:rsidRDefault="003F0494" w:rsidP="00F262B9">
            <w:pPr>
              <w:tabs>
                <w:tab w:val="left" w:pos="146"/>
              </w:tabs>
              <w:ind w:left="146" w:hanging="146"/>
              <w:rPr>
                <w:rFonts w:asciiTheme="minorHAnsi" w:hAnsiTheme="minorHAnsi"/>
                <w:sz w:val="22"/>
                <w:szCs w:val="22"/>
              </w:rPr>
            </w:pPr>
            <w:r w:rsidRPr="000C198E">
              <w:rPr>
                <w:rFonts w:asciiTheme="minorHAnsi" w:hAnsiTheme="minorHAnsi"/>
                <w:sz w:val="22"/>
                <w:szCs w:val="22"/>
              </w:rPr>
              <w:t>Kelsh et al, 2010</w:t>
            </w:r>
            <w:r w:rsidR="002972A9">
              <w:rPr>
                <w:rFonts w:asciiTheme="minorHAnsi" w:hAnsiTheme="minorHAnsi"/>
                <w:sz w:val="22"/>
                <w:szCs w:val="22"/>
              </w:rPr>
              <w:fldChar w:fldCharType="begin"/>
            </w:r>
            <w:r w:rsidR="00F262B9">
              <w:rPr>
                <w:rFonts w:asciiTheme="minorHAnsi" w:hAnsiTheme="minorHAnsi"/>
                <w:sz w:val="22"/>
                <w:szCs w:val="22"/>
              </w:rPr>
              <w:instrText xml:space="preserve"> ADDIN EN.CITE &lt;EndNote&gt;&lt;Cite&gt;&lt;Author&gt;Kelsh&lt;/Author&gt;&lt;Year&gt;2010&lt;/Year&gt;&lt;RecNum&gt;43&lt;/RecNum&gt;&lt;DisplayText&gt;&lt;style face="superscript"&gt;9&lt;/style&gt;&lt;/DisplayText&gt;&lt;record&gt;&lt;rec-number&gt;43&lt;/rec-number&gt;&lt;foreign-keys&gt;&lt;key app="EN" db-id="xw2v5x5zv0zvs2e2af8v2xp3zfa5ps2v2zf2" timestamp="1407554518"&gt;43&lt;/key&gt;&lt;/foreign-keys&gt;&lt;ref-type name="Journal Article"&gt;17&lt;/ref-type&gt;&lt;contributors&gt;&lt;authors&gt;&lt;author&gt;Kelsh, MA&lt;/author&gt;&lt;author&gt;Alexander, DD&lt;/author&gt;&lt;author&gt;Mink, PJ&lt;/author&gt;&lt;author&gt;Mandel, JH&lt;/author&gt;&lt;/authors&gt;&lt;/contributors&gt;&lt;titles&gt;&lt;title&gt;Occupational trichloroethylene exposure and kidney cancer: a meta-analysis&lt;/title&gt;&lt;secondary-title&gt;Epidemiology&lt;/secondary-title&gt;&lt;/titles&gt;&lt;periodical&gt;&lt;full-title&gt;Epidemiology&lt;/full-title&gt;&lt;/periodical&gt;&lt;pages&gt;95-102&lt;/pages&gt;&lt;volume&gt;21&lt;/volume&gt;&lt;number&gt;1&lt;/number&gt;&lt;dates&gt;&lt;year&gt;2010&lt;/year&gt;&lt;/dates&gt;&lt;urls&gt;&lt;/urls&gt;&lt;/record&gt;&lt;/Cite&gt;&lt;/EndNote&gt;</w:instrText>
            </w:r>
            <w:r w:rsidR="002972A9">
              <w:rPr>
                <w:rFonts w:asciiTheme="minorHAnsi" w:hAnsiTheme="minorHAnsi"/>
                <w:sz w:val="22"/>
                <w:szCs w:val="22"/>
              </w:rPr>
              <w:fldChar w:fldCharType="separate"/>
            </w:r>
            <w:r w:rsidR="00F262B9" w:rsidRPr="00F262B9">
              <w:rPr>
                <w:rFonts w:asciiTheme="minorHAnsi" w:hAnsiTheme="minorHAnsi"/>
                <w:noProof/>
                <w:sz w:val="22"/>
                <w:szCs w:val="22"/>
                <w:vertAlign w:val="superscript"/>
              </w:rPr>
              <w:t>9</w:t>
            </w:r>
            <w:r w:rsidR="002972A9">
              <w:rPr>
                <w:rFonts w:asciiTheme="minorHAnsi" w:hAnsiTheme="minorHAnsi"/>
                <w:sz w:val="22"/>
                <w:szCs w:val="22"/>
              </w:rPr>
              <w:fldChar w:fldCharType="end"/>
            </w:r>
          </w:p>
        </w:tc>
        <w:tc>
          <w:tcPr>
            <w:tcW w:w="1418" w:type="dxa"/>
            <w:tcBorders>
              <w:bottom w:val="nil"/>
            </w:tcBorders>
          </w:tcPr>
          <w:p w14:paraId="494341E4" w14:textId="77777777" w:rsidR="003F0494" w:rsidRPr="000C198E" w:rsidRDefault="003F0494" w:rsidP="006A6765">
            <w:pPr>
              <w:jc w:val="center"/>
              <w:rPr>
                <w:rFonts w:asciiTheme="minorHAnsi" w:hAnsiTheme="minorHAnsi"/>
                <w:sz w:val="22"/>
                <w:szCs w:val="22"/>
              </w:rPr>
            </w:pPr>
            <w:r w:rsidRPr="000C198E">
              <w:rPr>
                <w:rFonts w:asciiTheme="minorHAnsi" w:hAnsiTheme="minorHAnsi"/>
                <w:sz w:val="22"/>
                <w:szCs w:val="22"/>
              </w:rPr>
              <w:t>M-A</w:t>
            </w:r>
          </w:p>
        </w:tc>
      </w:tr>
      <w:tr w:rsidR="003F0494" w:rsidRPr="000C198E" w14:paraId="7ECB7082" w14:textId="77777777" w:rsidTr="00A211DB">
        <w:tc>
          <w:tcPr>
            <w:tcW w:w="3969" w:type="dxa"/>
            <w:tcBorders>
              <w:top w:val="nil"/>
              <w:bottom w:val="nil"/>
            </w:tcBorders>
            <w:shd w:val="clear" w:color="auto" w:fill="D9D9D9" w:themeFill="background1" w:themeFillShade="D9"/>
          </w:tcPr>
          <w:p w14:paraId="2255E685" w14:textId="77777777" w:rsidR="003F0494" w:rsidRPr="000C198E" w:rsidRDefault="003F0494" w:rsidP="006A6765">
            <w:pPr>
              <w:rPr>
                <w:rFonts w:asciiTheme="minorHAnsi" w:hAnsiTheme="minorHAnsi"/>
                <w:sz w:val="22"/>
                <w:szCs w:val="22"/>
              </w:rPr>
            </w:pPr>
            <w:r w:rsidRPr="000C198E">
              <w:rPr>
                <w:rFonts w:asciiTheme="minorHAnsi" w:hAnsiTheme="minorHAnsi"/>
                <w:sz w:val="22"/>
                <w:szCs w:val="22"/>
              </w:rPr>
              <w:t>Bladder</w:t>
            </w:r>
            <w:r w:rsidR="00B82965">
              <w:rPr>
                <w:rFonts w:asciiTheme="minorHAnsi" w:hAnsiTheme="minorHAnsi"/>
                <w:sz w:val="22"/>
                <w:szCs w:val="22"/>
                <w:vertAlign w:val="superscript"/>
              </w:rPr>
              <w:t>#</w:t>
            </w:r>
          </w:p>
        </w:tc>
        <w:tc>
          <w:tcPr>
            <w:tcW w:w="3686" w:type="dxa"/>
            <w:tcBorders>
              <w:top w:val="nil"/>
              <w:bottom w:val="nil"/>
            </w:tcBorders>
            <w:shd w:val="clear" w:color="auto" w:fill="D9D9D9" w:themeFill="background1" w:themeFillShade="D9"/>
          </w:tcPr>
          <w:p w14:paraId="54793423" w14:textId="77777777" w:rsidR="003F0494" w:rsidRPr="000C198E" w:rsidRDefault="003F0494" w:rsidP="003F0494">
            <w:pPr>
              <w:tabs>
                <w:tab w:val="left" w:pos="142"/>
              </w:tabs>
              <w:ind w:left="142" w:hanging="142"/>
              <w:rPr>
                <w:rFonts w:asciiTheme="minorHAnsi" w:hAnsiTheme="minorHAnsi"/>
                <w:sz w:val="22"/>
                <w:szCs w:val="22"/>
              </w:rPr>
            </w:pPr>
            <w:r w:rsidRPr="000C198E">
              <w:rPr>
                <w:rFonts w:asciiTheme="minorHAnsi" w:hAnsiTheme="minorHAnsi"/>
                <w:sz w:val="22"/>
                <w:szCs w:val="22"/>
              </w:rPr>
              <w:t xml:space="preserve">2-naphthylamine </w:t>
            </w:r>
          </w:p>
        </w:tc>
        <w:tc>
          <w:tcPr>
            <w:tcW w:w="1101" w:type="dxa"/>
            <w:tcBorders>
              <w:top w:val="nil"/>
              <w:bottom w:val="nil"/>
            </w:tcBorders>
            <w:shd w:val="clear" w:color="auto" w:fill="D9D9D9" w:themeFill="background1" w:themeFillShade="D9"/>
          </w:tcPr>
          <w:p w14:paraId="48D208EB" w14:textId="77777777" w:rsidR="003F0494" w:rsidRPr="000C198E" w:rsidRDefault="003F0494" w:rsidP="001C5971">
            <w:pPr>
              <w:tabs>
                <w:tab w:val="decimal" w:pos="304"/>
              </w:tabs>
              <w:rPr>
                <w:rFonts w:asciiTheme="minorHAnsi" w:hAnsiTheme="minorHAnsi"/>
                <w:sz w:val="22"/>
                <w:szCs w:val="22"/>
              </w:rPr>
            </w:pPr>
          </w:p>
        </w:tc>
        <w:tc>
          <w:tcPr>
            <w:tcW w:w="1701" w:type="dxa"/>
            <w:tcBorders>
              <w:top w:val="nil"/>
              <w:bottom w:val="nil"/>
            </w:tcBorders>
            <w:shd w:val="clear" w:color="auto" w:fill="D9D9D9" w:themeFill="background1" w:themeFillShade="D9"/>
          </w:tcPr>
          <w:p w14:paraId="3CACEFEB" w14:textId="77777777" w:rsidR="003F0494" w:rsidRPr="000C198E" w:rsidRDefault="003F0494" w:rsidP="001C5971">
            <w:pPr>
              <w:jc w:val="center"/>
              <w:rPr>
                <w:rFonts w:asciiTheme="minorHAnsi" w:hAnsiTheme="minorHAnsi"/>
                <w:sz w:val="22"/>
                <w:szCs w:val="22"/>
              </w:rPr>
            </w:pPr>
          </w:p>
        </w:tc>
        <w:tc>
          <w:tcPr>
            <w:tcW w:w="3402" w:type="dxa"/>
            <w:tcBorders>
              <w:top w:val="nil"/>
              <w:bottom w:val="nil"/>
            </w:tcBorders>
            <w:shd w:val="clear" w:color="auto" w:fill="D9D9D9" w:themeFill="background1" w:themeFillShade="D9"/>
          </w:tcPr>
          <w:p w14:paraId="517CEE53" w14:textId="77777777" w:rsidR="003F0494" w:rsidRPr="000C198E" w:rsidRDefault="003F0494" w:rsidP="001C5971">
            <w:pPr>
              <w:pStyle w:val="BodyText"/>
              <w:tabs>
                <w:tab w:val="left" w:pos="146"/>
              </w:tabs>
              <w:ind w:left="146" w:hanging="146"/>
              <w:rPr>
                <w:rFonts w:asciiTheme="minorHAnsi" w:hAnsiTheme="minorHAnsi"/>
                <w:color w:val="000000"/>
                <w:sz w:val="22"/>
                <w:szCs w:val="22"/>
              </w:rPr>
            </w:pPr>
          </w:p>
        </w:tc>
        <w:tc>
          <w:tcPr>
            <w:tcW w:w="1418" w:type="dxa"/>
            <w:tcBorders>
              <w:top w:val="nil"/>
              <w:bottom w:val="nil"/>
            </w:tcBorders>
            <w:shd w:val="clear" w:color="auto" w:fill="D9D9D9" w:themeFill="background1" w:themeFillShade="D9"/>
          </w:tcPr>
          <w:p w14:paraId="40CFCBD5" w14:textId="77777777" w:rsidR="003F0494" w:rsidRPr="000C198E" w:rsidRDefault="003F0494" w:rsidP="001C5971">
            <w:pPr>
              <w:jc w:val="center"/>
              <w:rPr>
                <w:rFonts w:asciiTheme="minorHAnsi" w:hAnsiTheme="minorHAnsi"/>
                <w:sz w:val="22"/>
                <w:szCs w:val="22"/>
              </w:rPr>
            </w:pPr>
          </w:p>
        </w:tc>
      </w:tr>
      <w:tr w:rsidR="003F0494" w:rsidRPr="000C198E" w14:paraId="4DBAEA34" w14:textId="77777777" w:rsidTr="00A211DB">
        <w:tc>
          <w:tcPr>
            <w:tcW w:w="3969" w:type="dxa"/>
            <w:tcBorders>
              <w:top w:val="nil"/>
              <w:bottom w:val="nil"/>
            </w:tcBorders>
            <w:shd w:val="clear" w:color="auto" w:fill="D9D9D9" w:themeFill="background1" w:themeFillShade="D9"/>
          </w:tcPr>
          <w:p w14:paraId="5DA82C07" w14:textId="77777777" w:rsidR="003F0494" w:rsidRPr="000C198E" w:rsidRDefault="003F0494" w:rsidP="006A6765">
            <w:pPr>
              <w:rPr>
                <w:rFonts w:asciiTheme="minorHAnsi" w:hAnsiTheme="minorHAnsi"/>
                <w:sz w:val="22"/>
                <w:szCs w:val="22"/>
              </w:rPr>
            </w:pPr>
            <w:r w:rsidRPr="000C198E">
              <w:rPr>
                <w:rFonts w:asciiTheme="minorHAnsi" w:hAnsiTheme="minorHAnsi"/>
                <w:sz w:val="22"/>
                <w:szCs w:val="22"/>
              </w:rPr>
              <w:t>Bladder</w:t>
            </w:r>
            <w:r w:rsidR="00B82965">
              <w:rPr>
                <w:rFonts w:asciiTheme="minorHAnsi" w:hAnsiTheme="minorHAnsi"/>
                <w:sz w:val="22"/>
                <w:szCs w:val="22"/>
                <w:vertAlign w:val="superscript"/>
              </w:rPr>
              <w:t>#</w:t>
            </w:r>
          </w:p>
        </w:tc>
        <w:tc>
          <w:tcPr>
            <w:tcW w:w="3686" w:type="dxa"/>
            <w:tcBorders>
              <w:top w:val="nil"/>
              <w:bottom w:val="nil"/>
            </w:tcBorders>
            <w:shd w:val="clear" w:color="auto" w:fill="D9D9D9" w:themeFill="background1" w:themeFillShade="D9"/>
          </w:tcPr>
          <w:p w14:paraId="17ADEBAD" w14:textId="77777777" w:rsidR="003F0494" w:rsidRPr="000C198E" w:rsidRDefault="003F0494" w:rsidP="001C5971">
            <w:pPr>
              <w:tabs>
                <w:tab w:val="left" w:pos="142"/>
              </w:tabs>
              <w:ind w:left="142" w:hanging="142"/>
              <w:rPr>
                <w:rFonts w:asciiTheme="minorHAnsi" w:hAnsiTheme="minorHAnsi"/>
                <w:sz w:val="22"/>
                <w:szCs w:val="22"/>
              </w:rPr>
            </w:pPr>
            <w:r w:rsidRPr="000C198E">
              <w:rPr>
                <w:rFonts w:asciiTheme="minorHAnsi" w:hAnsiTheme="minorHAnsi"/>
                <w:sz w:val="22"/>
                <w:szCs w:val="22"/>
              </w:rPr>
              <w:t>Benzidine</w:t>
            </w:r>
          </w:p>
        </w:tc>
        <w:tc>
          <w:tcPr>
            <w:tcW w:w="1101" w:type="dxa"/>
            <w:tcBorders>
              <w:top w:val="nil"/>
              <w:bottom w:val="nil"/>
            </w:tcBorders>
            <w:shd w:val="clear" w:color="auto" w:fill="D9D9D9" w:themeFill="background1" w:themeFillShade="D9"/>
          </w:tcPr>
          <w:p w14:paraId="06370B3E" w14:textId="77777777" w:rsidR="003F0494" w:rsidRPr="000C198E" w:rsidRDefault="003F0494" w:rsidP="001C5971">
            <w:pPr>
              <w:tabs>
                <w:tab w:val="decimal" w:pos="304"/>
              </w:tabs>
              <w:rPr>
                <w:rFonts w:asciiTheme="minorHAnsi" w:hAnsiTheme="minorHAnsi"/>
                <w:sz w:val="22"/>
                <w:szCs w:val="22"/>
              </w:rPr>
            </w:pPr>
          </w:p>
        </w:tc>
        <w:tc>
          <w:tcPr>
            <w:tcW w:w="1701" w:type="dxa"/>
            <w:tcBorders>
              <w:top w:val="nil"/>
              <w:bottom w:val="nil"/>
            </w:tcBorders>
            <w:shd w:val="clear" w:color="auto" w:fill="D9D9D9" w:themeFill="background1" w:themeFillShade="D9"/>
          </w:tcPr>
          <w:p w14:paraId="08B6F044" w14:textId="77777777" w:rsidR="003F0494" w:rsidRPr="000C198E" w:rsidRDefault="003F0494" w:rsidP="001C5971">
            <w:pPr>
              <w:jc w:val="center"/>
              <w:rPr>
                <w:rFonts w:asciiTheme="minorHAnsi" w:hAnsiTheme="minorHAnsi"/>
                <w:sz w:val="22"/>
                <w:szCs w:val="22"/>
              </w:rPr>
            </w:pPr>
          </w:p>
        </w:tc>
        <w:tc>
          <w:tcPr>
            <w:tcW w:w="3402" w:type="dxa"/>
            <w:tcBorders>
              <w:top w:val="nil"/>
              <w:bottom w:val="nil"/>
            </w:tcBorders>
            <w:shd w:val="clear" w:color="auto" w:fill="D9D9D9" w:themeFill="background1" w:themeFillShade="D9"/>
          </w:tcPr>
          <w:p w14:paraId="6D2C10A8" w14:textId="77777777" w:rsidR="003F0494" w:rsidRPr="000C198E" w:rsidRDefault="003F0494" w:rsidP="001C5971">
            <w:pPr>
              <w:pStyle w:val="BodyText"/>
              <w:tabs>
                <w:tab w:val="left" w:pos="146"/>
              </w:tabs>
              <w:ind w:left="146" w:hanging="146"/>
              <w:rPr>
                <w:rFonts w:asciiTheme="minorHAnsi" w:hAnsiTheme="minorHAnsi"/>
                <w:color w:val="000000"/>
                <w:sz w:val="22"/>
                <w:szCs w:val="22"/>
              </w:rPr>
            </w:pPr>
          </w:p>
        </w:tc>
        <w:tc>
          <w:tcPr>
            <w:tcW w:w="1418" w:type="dxa"/>
            <w:tcBorders>
              <w:top w:val="nil"/>
              <w:bottom w:val="nil"/>
            </w:tcBorders>
            <w:shd w:val="clear" w:color="auto" w:fill="D9D9D9" w:themeFill="background1" w:themeFillShade="D9"/>
          </w:tcPr>
          <w:p w14:paraId="4E87E076" w14:textId="77777777" w:rsidR="003F0494" w:rsidRPr="000C198E" w:rsidRDefault="003F0494" w:rsidP="001C5971">
            <w:pPr>
              <w:jc w:val="center"/>
              <w:rPr>
                <w:rFonts w:asciiTheme="minorHAnsi" w:hAnsiTheme="minorHAnsi"/>
                <w:sz w:val="22"/>
                <w:szCs w:val="22"/>
              </w:rPr>
            </w:pPr>
          </w:p>
        </w:tc>
      </w:tr>
      <w:tr w:rsidR="003F0494" w:rsidRPr="000C198E" w14:paraId="0B150B9C" w14:textId="77777777" w:rsidTr="00A211DB">
        <w:tc>
          <w:tcPr>
            <w:tcW w:w="3969" w:type="dxa"/>
            <w:tcBorders>
              <w:top w:val="nil"/>
              <w:bottom w:val="nil"/>
            </w:tcBorders>
            <w:shd w:val="clear" w:color="auto" w:fill="D9D9D9" w:themeFill="background1" w:themeFillShade="D9"/>
          </w:tcPr>
          <w:p w14:paraId="16B7B6D8" w14:textId="77777777" w:rsidR="003F0494" w:rsidRPr="000C198E" w:rsidRDefault="003F0494" w:rsidP="006A6765">
            <w:pPr>
              <w:rPr>
                <w:rFonts w:asciiTheme="minorHAnsi" w:hAnsiTheme="minorHAnsi"/>
                <w:sz w:val="22"/>
                <w:szCs w:val="22"/>
              </w:rPr>
            </w:pPr>
            <w:r w:rsidRPr="000C198E">
              <w:rPr>
                <w:rFonts w:asciiTheme="minorHAnsi" w:hAnsiTheme="minorHAnsi"/>
                <w:sz w:val="22"/>
                <w:szCs w:val="22"/>
              </w:rPr>
              <w:t>Bladder</w:t>
            </w:r>
            <w:r w:rsidR="00B82965">
              <w:rPr>
                <w:rFonts w:asciiTheme="minorHAnsi" w:hAnsiTheme="minorHAnsi"/>
                <w:sz w:val="22"/>
                <w:szCs w:val="22"/>
                <w:vertAlign w:val="superscript"/>
              </w:rPr>
              <w:t>#</w:t>
            </w:r>
          </w:p>
        </w:tc>
        <w:tc>
          <w:tcPr>
            <w:tcW w:w="3686" w:type="dxa"/>
            <w:tcBorders>
              <w:top w:val="nil"/>
              <w:bottom w:val="nil"/>
            </w:tcBorders>
            <w:shd w:val="clear" w:color="auto" w:fill="D9D9D9" w:themeFill="background1" w:themeFillShade="D9"/>
          </w:tcPr>
          <w:p w14:paraId="20EE29CD" w14:textId="77777777" w:rsidR="003F0494" w:rsidRPr="000C198E" w:rsidRDefault="003F0494" w:rsidP="001C5971">
            <w:pPr>
              <w:tabs>
                <w:tab w:val="left" w:pos="142"/>
              </w:tabs>
              <w:ind w:left="142" w:hanging="142"/>
              <w:rPr>
                <w:rFonts w:asciiTheme="minorHAnsi" w:hAnsiTheme="minorHAnsi"/>
                <w:sz w:val="22"/>
                <w:szCs w:val="22"/>
              </w:rPr>
            </w:pPr>
            <w:r w:rsidRPr="000C198E">
              <w:rPr>
                <w:rFonts w:asciiTheme="minorHAnsi" w:hAnsiTheme="minorHAnsi"/>
                <w:sz w:val="22"/>
                <w:szCs w:val="22"/>
              </w:rPr>
              <w:t>Cyclophosphamide</w:t>
            </w:r>
          </w:p>
        </w:tc>
        <w:tc>
          <w:tcPr>
            <w:tcW w:w="1101" w:type="dxa"/>
            <w:tcBorders>
              <w:top w:val="nil"/>
              <w:bottom w:val="nil"/>
            </w:tcBorders>
            <w:shd w:val="clear" w:color="auto" w:fill="D9D9D9" w:themeFill="background1" w:themeFillShade="D9"/>
          </w:tcPr>
          <w:p w14:paraId="6BC67330" w14:textId="77777777" w:rsidR="003F0494" w:rsidRPr="000C198E" w:rsidRDefault="003F0494" w:rsidP="001C5971">
            <w:pPr>
              <w:tabs>
                <w:tab w:val="decimal" w:pos="304"/>
              </w:tabs>
              <w:rPr>
                <w:rFonts w:asciiTheme="minorHAnsi" w:hAnsiTheme="minorHAnsi"/>
                <w:sz w:val="22"/>
                <w:szCs w:val="22"/>
              </w:rPr>
            </w:pPr>
          </w:p>
        </w:tc>
        <w:tc>
          <w:tcPr>
            <w:tcW w:w="1701" w:type="dxa"/>
            <w:tcBorders>
              <w:top w:val="nil"/>
              <w:bottom w:val="nil"/>
            </w:tcBorders>
            <w:shd w:val="clear" w:color="auto" w:fill="D9D9D9" w:themeFill="background1" w:themeFillShade="D9"/>
          </w:tcPr>
          <w:p w14:paraId="373DF0D9" w14:textId="77777777" w:rsidR="003F0494" w:rsidRPr="000C198E" w:rsidRDefault="003F0494" w:rsidP="001C5971">
            <w:pPr>
              <w:jc w:val="center"/>
              <w:rPr>
                <w:rFonts w:asciiTheme="minorHAnsi" w:hAnsiTheme="minorHAnsi"/>
                <w:sz w:val="22"/>
                <w:szCs w:val="22"/>
              </w:rPr>
            </w:pPr>
          </w:p>
        </w:tc>
        <w:tc>
          <w:tcPr>
            <w:tcW w:w="3402" w:type="dxa"/>
            <w:tcBorders>
              <w:top w:val="nil"/>
              <w:bottom w:val="nil"/>
            </w:tcBorders>
            <w:shd w:val="clear" w:color="auto" w:fill="D9D9D9" w:themeFill="background1" w:themeFillShade="D9"/>
          </w:tcPr>
          <w:p w14:paraId="5E4D8AC6" w14:textId="77777777" w:rsidR="003F0494" w:rsidRPr="000C198E" w:rsidRDefault="003F0494" w:rsidP="001C5971">
            <w:pPr>
              <w:pStyle w:val="BodyText"/>
              <w:tabs>
                <w:tab w:val="left" w:pos="146"/>
              </w:tabs>
              <w:ind w:left="146" w:hanging="146"/>
              <w:rPr>
                <w:rFonts w:asciiTheme="minorHAnsi" w:hAnsiTheme="minorHAnsi"/>
                <w:color w:val="000000"/>
                <w:sz w:val="22"/>
                <w:szCs w:val="22"/>
              </w:rPr>
            </w:pPr>
          </w:p>
        </w:tc>
        <w:tc>
          <w:tcPr>
            <w:tcW w:w="1418" w:type="dxa"/>
            <w:tcBorders>
              <w:top w:val="nil"/>
              <w:bottom w:val="nil"/>
            </w:tcBorders>
            <w:shd w:val="clear" w:color="auto" w:fill="D9D9D9" w:themeFill="background1" w:themeFillShade="D9"/>
          </w:tcPr>
          <w:p w14:paraId="5FD1B4E1" w14:textId="77777777" w:rsidR="003F0494" w:rsidRPr="000C198E" w:rsidRDefault="003F0494" w:rsidP="001C5971">
            <w:pPr>
              <w:jc w:val="center"/>
              <w:rPr>
                <w:rFonts w:asciiTheme="minorHAnsi" w:hAnsiTheme="minorHAnsi"/>
                <w:sz w:val="22"/>
                <w:szCs w:val="22"/>
              </w:rPr>
            </w:pPr>
          </w:p>
        </w:tc>
      </w:tr>
      <w:tr w:rsidR="003F0494" w:rsidRPr="000C198E" w14:paraId="6C7195F0" w14:textId="77777777" w:rsidTr="00A211DB">
        <w:tc>
          <w:tcPr>
            <w:tcW w:w="3969" w:type="dxa"/>
            <w:tcBorders>
              <w:top w:val="nil"/>
              <w:bottom w:val="nil"/>
            </w:tcBorders>
            <w:shd w:val="clear" w:color="auto" w:fill="D9D9D9" w:themeFill="background1" w:themeFillShade="D9"/>
          </w:tcPr>
          <w:p w14:paraId="416B1A6A" w14:textId="77777777" w:rsidR="003F0494" w:rsidRPr="000C198E" w:rsidRDefault="003F0494" w:rsidP="006A6765">
            <w:pPr>
              <w:rPr>
                <w:rFonts w:asciiTheme="minorHAnsi" w:hAnsiTheme="minorHAnsi"/>
                <w:sz w:val="22"/>
                <w:szCs w:val="22"/>
              </w:rPr>
            </w:pPr>
            <w:r w:rsidRPr="000C198E">
              <w:rPr>
                <w:rFonts w:asciiTheme="minorHAnsi" w:hAnsiTheme="minorHAnsi"/>
                <w:sz w:val="22"/>
                <w:szCs w:val="22"/>
              </w:rPr>
              <w:t>Bladder</w:t>
            </w:r>
            <w:r w:rsidR="00B82965">
              <w:rPr>
                <w:rFonts w:asciiTheme="minorHAnsi" w:hAnsiTheme="minorHAnsi"/>
                <w:sz w:val="22"/>
                <w:szCs w:val="22"/>
                <w:vertAlign w:val="superscript"/>
              </w:rPr>
              <w:t>#</w:t>
            </w:r>
          </w:p>
        </w:tc>
        <w:tc>
          <w:tcPr>
            <w:tcW w:w="3686" w:type="dxa"/>
            <w:tcBorders>
              <w:top w:val="nil"/>
              <w:bottom w:val="nil"/>
            </w:tcBorders>
            <w:shd w:val="clear" w:color="auto" w:fill="D9D9D9" w:themeFill="background1" w:themeFillShade="D9"/>
          </w:tcPr>
          <w:p w14:paraId="44E13DEF" w14:textId="77777777" w:rsidR="003F0494" w:rsidRPr="000C198E" w:rsidRDefault="003F0494" w:rsidP="001C5971">
            <w:pPr>
              <w:tabs>
                <w:tab w:val="left" w:pos="142"/>
              </w:tabs>
              <w:ind w:left="142" w:hanging="142"/>
              <w:rPr>
                <w:rFonts w:asciiTheme="minorHAnsi" w:hAnsiTheme="minorHAnsi"/>
                <w:sz w:val="22"/>
                <w:szCs w:val="22"/>
              </w:rPr>
            </w:pPr>
            <w:r w:rsidRPr="000C198E">
              <w:rPr>
                <w:rFonts w:asciiTheme="minorHAnsi" w:hAnsiTheme="minorHAnsi"/>
                <w:sz w:val="22"/>
                <w:szCs w:val="22"/>
              </w:rPr>
              <w:t>Ortho-toluidine</w:t>
            </w:r>
          </w:p>
        </w:tc>
        <w:tc>
          <w:tcPr>
            <w:tcW w:w="1101" w:type="dxa"/>
            <w:tcBorders>
              <w:top w:val="nil"/>
              <w:bottom w:val="nil"/>
            </w:tcBorders>
            <w:shd w:val="clear" w:color="auto" w:fill="D9D9D9" w:themeFill="background1" w:themeFillShade="D9"/>
          </w:tcPr>
          <w:p w14:paraId="1011C31B" w14:textId="77777777" w:rsidR="003F0494" w:rsidRPr="000C198E" w:rsidRDefault="003F0494" w:rsidP="001C5971">
            <w:pPr>
              <w:tabs>
                <w:tab w:val="decimal" w:pos="304"/>
              </w:tabs>
              <w:rPr>
                <w:rFonts w:asciiTheme="minorHAnsi" w:hAnsiTheme="minorHAnsi"/>
                <w:sz w:val="22"/>
                <w:szCs w:val="22"/>
              </w:rPr>
            </w:pPr>
          </w:p>
        </w:tc>
        <w:tc>
          <w:tcPr>
            <w:tcW w:w="1701" w:type="dxa"/>
            <w:tcBorders>
              <w:top w:val="nil"/>
              <w:bottom w:val="nil"/>
            </w:tcBorders>
            <w:shd w:val="clear" w:color="auto" w:fill="D9D9D9" w:themeFill="background1" w:themeFillShade="D9"/>
          </w:tcPr>
          <w:p w14:paraId="1476AF03" w14:textId="77777777" w:rsidR="003F0494" w:rsidRPr="000C198E" w:rsidRDefault="003F0494" w:rsidP="001C5971">
            <w:pPr>
              <w:jc w:val="center"/>
              <w:rPr>
                <w:rFonts w:asciiTheme="minorHAnsi" w:hAnsiTheme="minorHAnsi"/>
                <w:sz w:val="22"/>
                <w:szCs w:val="22"/>
              </w:rPr>
            </w:pPr>
          </w:p>
        </w:tc>
        <w:tc>
          <w:tcPr>
            <w:tcW w:w="3402" w:type="dxa"/>
            <w:tcBorders>
              <w:top w:val="nil"/>
              <w:bottom w:val="nil"/>
            </w:tcBorders>
            <w:shd w:val="clear" w:color="auto" w:fill="D9D9D9" w:themeFill="background1" w:themeFillShade="D9"/>
          </w:tcPr>
          <w:p w14:paraId="2824D584" w14:textId="77777777" w:rsidR="003F0494" w:rsidRPr="000C198E" w:rsidRDefault="003F0494" w:rsidP="001C5971">
            <w:pPr>
              <w:pStyle w:val="BodyText"/>
              <w:tabs>
                <w:tab w:val="left" w:pos="146"/>
              </w:tabs>
              <w:ind w:left="146" w:hanging="146"/>
              <w:rPr>
                <w:rFonts w:asciiTheme="minorHAnsi" w:hAnsiTheme="minorHAnsi"/>
                <w:color w:val="000000"/>
                <w:sz w:val="22"/>
                <w:szCs w:val="22"/>
              </w:rPr>
            </w:pPr>
          </w:p>
        </w:tc>
        <w:tc>
          <w:tcPr>
            <w:tcW w:w="1418" w:type="dxa"/>
            <w:tcBorders>
              <w:top w:val="nil"/>
              <w:bottom w:val="nil"/>
            </w:tcBorders>
            <w:shd w:val="clear" w:color="auto" w:fill="D9D9D9" w:themeFill="background1" w:themeFillShade="D9"/>
          </w:tcPr>
          <w:p w14:paraId="281FF11C" w14:textId="77777777" w:rsidR="003F0494" w:rsidRPr="000C198E" w:rsidRDefault="003F0494" w:rsidP="001C5971">
            <w:pPr>
              <w:jc w:val="center"/>
              <w:rPr>
                <w:rFonts w:asciiTheme="minorHAnsi" w:hAnsiTheme="minorHAnsi"/>
                <w:sz w:val="22"/>
                <w:szCs w:val="22"/>
              </w:rPr>
            </w:pPr>
          </w:p>
        </w:tc>
      </w:tr>
      <w:tr w:rsidR="003F0494" w:rsidRPr="000C198E" w14:paraId="7B23A299" w14:textId="77777777" w:rsidTr="00A211DB">
        <w:tc>
          <w:tcPr>
            <w:tcW w:w="3969" w:type="dxa"/>
            <w:tcBorders>
              <w:top w:val="nil"/>
              <w:bottom w:val="nil"/>
            </w:tcBorders>
            <w:shd w:val="clear" w:color="auto" w:fill="D9D9D9" w:themeFill="background1" w:themeFillShade="D9"/>
          </w:tcPr>
          <w:p w14:paraId="5C91FF10" w14:textId="77777777" w:rsidR="003F0494" w:rsidRPr="000C198E" w:rsidRDefault="003F0494" w:rsidP="006A6765">
            <w:pPr>
              <w:rPr>
                <w:rFonts w:asciiTheme="minorHAnsi" w:hAnsiTheme="minorHAnsi"/>
                <w:sz w:val="22"/>
                <w:szCs w:val="22"/>
              </w:rPr>
            </w:pPr>
            <w:r w:rsidRPr="000C198E">
              <w:rPr>
                <w:rFonts w:asciiTheme="minorHAnsi" w:hAnsiTheme="minorHAnsi"/>
                <w:sz w:val="22"/>
                <w:szCs w:val="22"/>
              </w:rPr>
              <w:t>Bladder</w:t>
            </w:r>
            <w:r w:rsidR="00B82965">
              <w:rPr>
                <w:rFonts w:asciiTheme="minorHAnsi" w:hAnsiTheme="minorHAnsi"/>
                <w:sz w:val="22"/>
                <w:szCs w:val="22"/>
                <w:vertAlign w:val="superscript"/>
              </w:rPr>
              <w:t>#</w:t>
            </w:r>
          </w:p>
        </w:tc>
        <w:tc>
          <w:tcPr>
            <w:tcW w:w="3686" w:type="dxa"/>
            <w:tcBorders>
              <w:top w:val="nil"/>
              <w:bottom w:val="nil"/>
            </w:tcBorders>
            <w:shd w:val="clear" w:color="auto" w:fill="D9D9D9" w:themeFill="background1" w:themeFillShade="D9"/>
          </w:tcPr>
          <w:p w14:paraId="67F2F1C9" w14:textId="77777777" w:rsidR="003F0494" w:rsidRPr="000C198E" w:rsidRDefault="003F0494" w:rsidP="001C5971">
            <w:pPr>
              <w:tabs>
                <w:tab w:val="left" w:pos="142"/>
              </w:tabs>
              <w:ind w:left="142" w:hanging="142"/>
              <w:rPr>
                <w:rFonts w:asciiTheme="minorHAnsi" w:hAnsiTheme="minorHAnsi"/>
                <w:sz w:val="22"/>
                <w:szCs w:val="22"/>
              </w:rPr>
            </w:pPr>
            <w:r w:rsidRPr="000C198E">
              <w:rPr>
                <w:rFonts w:asciiTheme="minorHAnsi" w:hAnsiTheme="minorHAnsi"/>
                <w:sz w:val="22"/>
                <w:szCs w:val="22"/>
              </w:rPr>
              <w:t>Polycyclic aromatic hydrocarbons</w:t>
            </w:r>
          </w:p>
        </w:tc>
        <w:tc>
          <w:tcPr>
            <w:tcW w:w="1101" w:type="dxa"/>
            <w:tcBorders>
              <w:top w:val="nil"/>
              <w:bottom w:val="nil"/>
            </w:tcBorders>
            <w:shd w:val="clear" w:color="auto" w:fill="D9D9D9" w:themeFill="background1" w:themeFillShade="D9"/>
          </w:tcPr>
          <w:p w14:paraId="6E329837" w14:textId="77777777" w:rsidR="003F0494" w:rsidRPr="000C198E" w:rsidRDefault="003F0494" w:rsidP="001C5971">
            <w:pPr>
              <w:tabs>
                <w:tab w:val="decimal" w:pos="304"/>
              </w:tabs>
              <w:rPr>
                <w:rFonts w:asciiTheme="minorHAnsi" w:hAnsiTheme="minorHAnsi"/>
                <w:sz w:val="22"/>
                <w:szCs w:val="22"/>
              </w:rPr>
            </w:pPr>
          </w:p>
        </w:tc>
        <w:tc>
          <w:tcPr>
            <w:tcW w:w="1701" w:type="dxa"/>
            <w:tcBorders>
              <w:top w:val="nil"/>
              <w:bottom w:val="nil"/>
            </w:tcBorders>
            <w:shd w:val="clear" w:color="auto" w:fill="D9D9D9" w:themeFill="background1" w:themeFillShade="D9"/>
          </w:tcPr>
          <w:p w14:paraId="26065AE9" w14:textId="77777777" w:rsidR="003F0494" w:rsidRPr="000C198E" w:rsidRDefault="003F0494" w:rsidP="001C5971">
            <w:pPr>
              <w:jc w:val="center"/>
              <w:rPr>
                <w:rFonts w:asciiTheme="minorHAnsi" w:hAnsiTheme="minorHAnsi"/>
                <w:sz w:val="22"/>
                <w:szCs w:val="22"/>
              </w:rPr>
            </w:pPr>
          </w:p>
        </w:tc>
        <w:tc>
          <w:tcPr>
            <w:tcW w:w="3402" w:type="dxa"/>
            <w:tcBorders>
              <w:top w:val="nil"/>
              <w:bottom w:val="nil"/>
            </w:tcBorders>
            <w:shd w:val="clear" w:color="auto" w:fill="D9D9D9" w:themeFill="background1" w:themeFillShade="D9"/>
          </w:tcPr>
          <w:p w14:paraId="5CDA69E5" w14:textId="77777777" w:rsidR="003F0494" w:rsidRPr="000C198E" w:rsidRDefault="003F0494" w:rsidP="001C5971">
            <w:pPr>
              <w:pStyle w:val="BodyText"/>
              <w:tabs>
                <w:tab w:val="left" w:pos="146"/>
              </w:tabs>
              <w:ind w:left="146" w:hanging="146"/>
              <w:rPr>
                <w:rFonts w:asciiTheme="minorHAnsi" w:hAnsiTheme="minorHAnsi"/>
                <w:color w:val="000000"/>
                <w:sz w:val="22"/>
                <w:szCs w:val="22"/>
              </w:rPr>
            </w:pPr>
          </w:p>
        </w:tc>
        <w:tc>
          <w:tcPr>
            <w:tcW w:w="1418" w:type="dxa"/>
            <w:tcBorders>
              <w:top w:val="nil"/>
              <w:bottom w:val="nil"/>
            </w:tcBorders>
            <w:shd w:val="clear" w:color="auto" w:fill="D9D9D9" w:themeFill="background1" w:themeFillShade="D9"/>
          </w:tcPr>
          <w:p w14:paraId="421D5A72" w14:textId="77777777" w:rsidR="003F0494" w:rsidRPr="000C198E" w:rsidRDefault="003F0494" w:rsidP="001C5971">
            <w:pPr>
              <w:jc w:val="center"/>
              <w:rPr>
                <w:rFonts w:asciiTheme="minorHAnsi" w:hAnsiTheme="minorHAnsi"/>
                <w:sz w:val="22"/>
                <w:szCs w:val="22"/>
              </w:rPr>
            </w:pPr>
          </w:p>
        </w:tc>
      </w:tr>
      <w:tr w:rsidR="000C198E" w:rsidRPr="000C198E" w14:paraId="43399F5B" w14:textId="77777777" w:rsidTr="00A211DB">
        <w:tc>
          <w:tcPr>
            <w:tcW w:w="3969" w:type="dxa"/>
            <w:tcBorders>
              <w:top w:val="nil"/>
            </w:tcBorders>
          </w:tcPr>
          <w:p w14:paraId="2121C9F6" w14:textId="77777777" w:rsidR="000C198E" w:rsidRPr="000C198E" w:rsidRDefault="000C198E" w:rsidP="006A6765">
            <w:pPr>
              <w:rPr>
                <w:rFonts w:asciiTheme="minorHAnsi" w:hAnsiTheme="minorHAnsi"/>
                <w:sz w:val="22"/>
                <w:szCs w:val="22"/>
              </w:rPr>
            </w:pPr>
            <w:r w:rsidRPr="000C198E">
              <w:rPr>
                <w:rFonts w:asciiTheme="minorHAnsi" w:hAnsiTheme="minorHAnsi"/>
                <w:sz w:val="22"/>
                <w:szCs w:val="22"/>
              </w:rPr>
              <w:t>Leukaemia</w:t>
            </w:r>
          </w:p>
        </w:tc>
        <w:tc>
          <w:tcPr>
            <w:tcW w:w="3686" w:type="dxa"/>
            <w:tcBorders>
              <w:top w:val="nil"/>
            </w:tcBorders>
          </w:tcPr>
          <w:p w14:paraId="284D97F1" w14:textId="77777777" w:rsidR="000C198E" w:rsidRPr="000C198E" w:rsidRDefault="000C198E" w:rsidP="006A6765">
            <w:pPr>
              <w:tabs>
                <w:tab w:val="left" w:pos="142"/>
              </w:tabs>
              <w:ind w:left="142" w:hanging="142"/>
              <w:rPr>
                <w:rFonts w:asciiTheme="minorHAnsi" w:hAnsiTheme="minorHAnsi"/>
                <w:sz w:val="22"/>
                <w:szCs w:val="22"/>
              </w:rPr>
            </w:pPr>
            <w:r w:rsidRPr="000C198E">
              <w:rPr>
                <w:rFonts w:asciiTheme="minorHAnsi" w:hAnsiTheme="minorHAnsi"/>
                <w:sz w:val="22"/>
                <w:szCs w:val="22"/>
              </w:rPr>
              <w:t>Benzene</w:t>
            </w:r>
          </w:p>
        </w:tc>
        <w:tc>
          <w:tcPr>
            <w:tcW w:w="1101" w:type="dxa"/>
            <w:tcBorders>
              <w:top w:val="nil"/>
            </w:tcBorders>
          </w:tcPr>
          <w:p w14:paraId="43CACD85" w14:textId="77777777" w:rsidR="000C198E" w:rsidRPr="000C198E" w:rsidRDefault="000C198E" w:rsidP="006A6765">
            <w:pPr>
              <w:tabs>
                <w:tab w:val="decimal" w:pos="304"/>
              </w:tabs>
              <w:rPr>
                <w:rFonts w:asciiTheme="minorHAnsi" w:hAnsiTheme="minorHAnsi"/>
                <w:sz w:val="22"/>
                <w:szCs w:val="22"/>
              </w:rPr>
            </w:pPr>
            <w:r w:rsidRPr="000C198E">
              <w:rPr>
                <w:rFonts w:asciiTheme="minorHAnsi" w:hAnsiTheme="minorHAnsi"/>
                <w:sz w:val="22"/>
                <w:szCs w:val="22"/>
              </w:rPr>
              <w:t>2.62</w:t>
            </w:r>
          </w:p>
        </w:tc>
        <w:tc>
          <w:tcPr>
            <w:tcW w:w="1701" w:type="dxa"/>
            <w:tcBorders>
              <w:top w:val="nil"/>
            </w:tcBorders>
          </w:tcPr>
          <w:p w14:paraId="563B4068" w14:textId="77777777" w:rsidR="000C198E" w:rsidRPr="000C198E" w:rsidRDefault="000C198E" w:rsidP="006A6765">
            <w:pPr>
              <w:jc w:val="center"/>
              <w:rPr>
                <w:rFonts w:asciiTheme="minorHAnsi" w:hAnsiTheme="minorHAnsi"/>
                <w:sz w:val="22"/>
                <w:szCs w:val="22"/>
              </w:rPr>
            </w:pPr>
            <w:r w:rsidRPr="000C198E">
              <w:rPr>
                <w:rFonts w:asciiTheme="minorHAnsi" w:hAnsiTheme="minorHAnsi"/>
                <w:sz w:val="22"/>
                <w:szCs w:val="22"/>
              </w:rPr>
              <w:t>1.57-4.39</w:t>
            </w:r>
          </w:p>
        </w:tc>
        <w:tc>
          <w:tcPr>
            <w:tcW w:w="3402" w:type="dxa"/>
            <w:tcBorders>
              <w:top w:val="nil"/>
            </w:tcBorders>
          </w:tcPr>
          <w:p w14:paraId="3A22AE7F" w14:textId="71D733C6" w:rsidR="000C198E" w:rsidRPr="000C198E" w:rsidRDefault="000C198E" w:rsidP="00F262B9">
            <w:pPr>
              <w:pStyle w:val="BodyText"/>
              <w:tabs>
                <w:tab w:val="left" w:pos="146"/>
              </w:tabs>
              <w:ind w:left="146" w:hanging="146"/>
              <w:rPr>
                <w:rFonts w:asciiTheme="minorHAnsi" w:hAnsiTheme="minorHAnsi"/>
                <w:sz w:val="22"/>
                <w:szCs w:val="22"/>
              </w:rPr>
            </w:pPr>
            <w:r w:rsidRPr="000C198E">
              <w:rPr>
                <w:rFonts w:asciiTheme="minorHAnsi" w:hAnsiTheme="minorHAnsi"/>
                <w:color w:val="000000"/>
                <w:sz w:val="22"/>
                <w:szCs w:val="22"/>
              </w:rPr>
              <w:t>Khalade et al, 2010</w:t>
            </w:r>
            <w:r w:rsidR="002972A9">
              <w:rPr>
                <w:rFonts w:asciiTheme="minorHAnsi" w:hAnsiTheme="minorHAnsi"/>
                <w:color w:val="000000"/>
                <w:sz w:val="22"/>
                <w:szCs w:val="22"/>
              </w:rPr>
              <w:fldChar w:fldCharType="begin"/>
            </w:r>
            <w:r w:rsidR="00F262B9">
              <w:rPr>
                <w:rFonts w:asciiTheme="minorHAnsi" w:hAnsiTheme="minorHAnsi"/>
                <w:color w:val="000000"/>
                <w:sz w:val="22"/>
                <w:szCs w:val="22"/>
              </w:rPr>
              <w:instrText xml:space="preserve"> ADDIN EN.CITE &lt;EndNote&gt;&lt;Cite&gt;&lt;Author&gt;Khalade&lt;/Author&gt;&lt;Year&gt;2010&lt;/Year&gt;&lt;RecNum&gt;52&lt;/RecNum&gt;&lt;DisplayText&gt;&lt;style face="superscript"&gt;10&lt;/style&gt;&lt;/DisplayText&gt;&lt;record&gt;&lt;rec-number&gt;52&lt;/rec-number&gt;&lt;foreign-keys&gt;&lt;key app="EN" db-id="xw2v5x5zv0zvs2e2af8v2xp3zfa5ps2v2zf2" timestamp="1410658044"&gt;52&lt;/key&gt;&lt;/foreign-keys&gt;&lt;ref-type name="Journal Article"&gt;17&lt;/ref-type&gt;&lt;contributors&gt;&lt;authors&gt;&lt;author&gt;Khalade, A&lt;/author&gt;&lt;author&gt;Jaakkola, MS&lt;/author&gt;&lt;author&gt;Pukkala, E&lt;/author&gt;&lt;author&gt;Jaakkola, JJK&lt;/author&gt;&lt;/authors&gt;&lt;/contributors&gt;&lt;titles&gt;&lt;title&gt;Exposure to benzene at work and the risk of leukemia: a systematic review and meta-analysis&lt;/title&gt;&lt;secondary-title&gt;Environmental Health&lt;/secondary-title&gt;&lt;/titles&gt;&lt;periodical&gt;&lt;full-title&gt;Environmental Health&lt;/full-title&gt;&lt;/periodical&gt;&lt;pages&gt;31&lt;/pages&gt;&lt;volume&gt;9&lt;/volume&gt;&lt;dates&gt;&lt;year&gt;2010&lt;/year&gt;&lt;/dates&gt;&lt;urls&gt;&lt;/urls&gt;&lt;/record&gt;&lt;/Cite&gt;&lt;/EndNote&gt;</w:instrText>
            </w:r>
            <w:r w:rsidR="002972A9">
              <w:rPr>
                <w:rFonts w:asciiTheme="minorHAnsi" w:hAnsiTheme="minorHAnsi"/>
                <w:color w:val="000000"/>
                <w:sz w:val="22"/>
                <w:szCs w:val="22"/>
              </w:rPr>
              <w:fldChar w:fldCharType="separate"/>
            </w:r>
            <w:r w:rsidR="00F262B9" w:rsidRPr="00F262B9">
              <w:rPr>
                <w:rFonts w:asciiTheme="minorHAnsi" w:hAnsiTheme="minorHAnsi"/>
                <w:noProof/>
                <w:color w:val="000000"/>
                <w:sz w:val="22"/>
                <w:szCs w:val="22"/>
                <w:vertAlign w:val="superscript"/>
              </w:rPr>
              <w:t>10</w:t>
            </w:r>
            <w:r w:rsidR="002972A9">
              <w:rPr>
                <w:rFonts w:asciiTheme="minorHAnsi" w:hAnsiTheme="minorHAnsi"/>
                <w:color w:val="000000"/>
                <w:sz w:val="22"/>
                <w:szCs w:val="22"/>
              </w:rPr>
              <w:fldChar w:fldCharType="end"/>
            </w:r>
          </w:p>
        </w:tc>
        <w:tc>
          <w:tcPr>
            <w:tcW w:w="1418" w:type="dxa"/>
            <w:tcBorders>
              <w:top w:val="nil"/>
            </w:tcBorders>
          </w:tcPr>
          <w:p w14:paraId="5F8D1A5F" w14:textId="77777777" w:rsidR="000C198E" w:rsidRPr="000C198E" w:rsidRDefault="000C198E" w:rsidP="006A6765">
            <w:pPr>
              <w:jc w:val="center"/>
              <w:rPr>
                <w:rFonts w:asciiTheme="minorHAnsi" w:hAnsiTheme="minorHAnsi"/>
                <w:sz w:val="22"/>
                <w:szCs w:val="22"/>
              </w:rPr>
            </w:pPr>
            <w:r w:rsidRPr="000C198E">
              <w:rPr>
                <w:rFonts w:asciiTheme="minorHAnsi" w:hAnsiTheme="minorHAnsi"/>
                <w:sz w:val="22"/>
                <w:szCs w:val="22"/>
              </w:rPr>
              <w:t>M-A</w:t>
            </w:r>
          </w:p>
        </w:tc>
      </w:tr>
      <w:tr w:rsidR="000C198E" w:rsidRPr="000C198E" w14:paraId="3988822F" w14:textId="77777777" w:rsidTr="00A211DB">
        <w:tc>
          <w:tcPr>
            <w:tcW w:w="3969" w:type="dxa"/>
            <w:tcBorders>
              <w:bottom w:val="nil"/>
            </w:tcBorders>
          </w:tcPr>
          <w:p w14:paraId="14A32EAB" w14:textId="77777777" w:rsidR="000C198E" w:rsidRPr="000C198E" w:rsidRDefault="000C198E" w:rsidP="006A6765">
            <w:pPr>
              <w:rPr>
                <w:rFonts w:asciiTheme="minorHAnsi" w:hAnsiTheme="minorHAnsi"/>
                <w:sz w:val="22"/>
                <w:szCs w:val="22"/>
              </w:rPr>
            </w:pPr>
            <w:r w:rsidRPr="000C198E">
              <w:rPr>
                <w:rFonts w:asciiTheme="minorHAnsi" w:hAnsiTheme="minorHAnsi"/>
                <w:sz w:val="22"/>
                <w:szCs w:val="22"/>
              </w:rPr>
              <w:t>Leukaemia</w:t>
            </w:r>
          </w:p>
        </w:tc>
        <w:tc>
          <w:tcPr>
            <w:tcW w:w="3686" w:type="dxa"/>
            <w:tcBorders>
              <w:bottom w:val="nil"/>
            </w:tcBorders>
          </w:tcPr>
          <w:p w14:paraId="534209F8" w14:textId="77777777" w:rsidR="000C198E" w:rsidRPr="000C198E" w:rsidRDefault="000C198E" w:rsidP="006A6765">
            <w:pPr>
              <w:tabs>
                <w:tab w:val="left" w:pos="142"/>
              </w:tabs>
              <w:ind w:left="142" w:hanging="142"/>
              <w:rPr>
                <w:rFonts w:asciiTheme="minorHAnsi" w:hAnsiTheme="minorHAnsi"/>
                <w:sz w:val="22"/>
                <w:szCs w:val="22"/>
              </w:rPr>
            </w:pPr>
            <w:r w:rsidRPr="000C198E">
              <w:rPr>
                <w:rFonts w:asciiTheme="minorHAnsi" w:hAnsiTheme="minorHAnsi"/>
                <w:sz w:val="22"/>
                <w:szCs w:val="22"/>
              </w:rPr>
              <w:t>Formaldehyde</w:t>
            </w:r>
          </w:p>
        </w:tc>
        <w:tc>
          <w:tcPr>
            <w:tcW w:w="1101" w:type="dxa"/>
            <w:tcBorders>
              <w:bottom w:val="nil"/>
            </w:tcBorders>
          </w:tcPr>
          <w:p w14:paraId="2785639C" w14:textId="77777777" w:rsidR="000C198E" w:rsidRPr="000C198E" w:rsidRDefault="000C198E" w:rsidP="006A6765">
            <w:pPr>
              <w:tabs>
                <w:tab w:val="decimal" w:pos="304"/>
              </w:tabs>
              <w:rPr>
                <w:rFonts w:asciiTheme="minorHAnsi" w:hAnsiTheme="minorHAnsi"/>
                <w:sz w:val="22"/>
                <w:szCs w:val="22"/>
              </w:rPr>
            </w:pPr>
            <w:r w:rsidRPr="000C198E">
              <w:rPr>
                <w:rFonts w:asciiTheme="minorHAnsi" w:hAnsiTheme="minorHAnsi"/>
                <w:sz w:val="22"/>
                <w:szCs w:val="22"/>
              </w:rPr>
              <w:t>1.47</w:t>
            </w:r>
          </w:p>
        </w:tc>
        <w:tc>
          <w:tcPr>
            <w:tcW w:w="1701" w:type="dxa"/>
            <w:tcBorders>
              <w:bottom w:val="nil"/>
            </w:tcBorders>
          </w:tcPr>
          <w:p w14:paraId="434B1C75" w14:textId="77777777" w:rsidR="000C198E" w:rsidRPr="000C198E" w:rsidRDefault="000C198E" w:rsidP="006A6765">
            <w:pPr>
              <w:jc w:val="center"/>
              <w:rPr>
                <w:rFonts w:asciiTheme="minorHAnsi" w:hAnsiTheme="minorHAnsi"/>
                <w:sz w:val="22"/>
                <w:szCs w:val="22"/>
              </w:rPr>
            </w:pPr>
            <w:r w:rsidRPr="000C198E">
              <w:rPr>
                <w:rFonts w:asciiTheme="minorHAnsi" w:hAnsiTheme="minorHAnsi"/>
                <w:sz w:val="22"/>
                <w:szCs w:val="22"/>
              </w:rPr>
              <w:t>1.19-1.83</w:t>
            </w:r>
          </w:p>
        </w:tc>
        <w:tc>
          <w:tcPr>
            <w:tcW w:w="3402" w:type="dxa"/>
            <w:tcBorders>
              <w:bottom w:val="nil"/>
            </w:tcBorders>
          </w:tcPr>
          <w:p w14:paraId="338F849A" w14:textId="75956524" w:rsidR="000C198E" w:rsidRPr="000C198E" w:rsidRDefault="000C198E" w:rsidP="00F262B9">
            <w:pPr>
              <w:tabs>
                <w:tab w:val="left" w:pos="146"/>
              </w:tabs>
              <w:ind w:left="146" w:hanging="146"/>
              <w:rPr>
                <w:rFonts w:asciiTheme="minorHAnsi" w:hAnsiTheme="minorHAnsi"/>
                <w:sz w:val="22"/>
                <w:szCs w:val="22"/>
              </w:rPr>
            </w:pPr>
            <w:r w:rsidRPr="000C198E">
              <w:rPr>
                <w:rFonts w:asciiTheme="minorHAnsi" w:hAnsiTheme="minorHAnsi"/>
                <w:sz w:val="22"/>
                <w:szCs w:val="22"/>
              </w:rPr>
              <w:t>Collins and Lineker, 2004</w:t>
            </w:r>
            <w:r w:rsidR="002972A9">
              <w:rPr>
                <w:rFonts w:asciiTheme="minorHAnsi" w:hAnsiTheme="minorHAnsi"/>
                <w:sz w:val="22"/>
                <w:szCs w:val="22"/>
              </w:rPr>
              <w:fldChar w:fldCharType="begin"/>
            </w:r>
            <w:r w:rsidR="00F262B9">
              <w:rPr>
                <w:rFonts w:asciiTheme="minorHAnsi" w:hAnsiTheme="minorHAnsi"/>
                <w:sz w:val="22"/>
                <w:szCs w:val="22"/>
              </w:rPr>
              <w:instrText xml:space="preserve"> ADDIN EN.CITE &lt;EndNote&gt;&lt;Cite&gt;&lt;Author&gt;Collins&lt;/Author&gt;&lt;Year&gt;2004&lt;/Year&gt;&lt;RecNum&gt;685&lt;/RecNum&gt;&lt;DisplayText&gt;&lt;style face="superscript"&gt;11&lt;/style&gt;&lt;/DisplayText&gt;&lt;record&gt;&lt;rec-number&gt;685&lt;/rec-number&gt;&lt;foreign-keys&gt;&lt;key app="EN" db-id="9t2pp5ew3waxt7ex2apvwst4psz2x2xp0xpz" timestamp="1405825006"&gt;685&lt;/key&gt;&lt;/foreign-keys&gt;&lt;ref-type name="Journal Article"&gt;17&lt;/ref-type&gt;&lt;contributors&gt;&lt;authors&gt;&lt;author&gt;Collins, JJ&lt;/author&gt;&lt;author&gt;Lineker, GA&lt;/author&gt;&lt;/authors&gt;&lt;/contributors&gt;&lt;titles&gt;&lt;title&gt;A review and meta-analysis of formaldehyde exposure and leukemia&lt;/title&gt;&lt;secondary-title&gt;Regulatory Toxicology and Pharmacology&lt;/secondary-title&gt;&lt;/titles&gt;&lt;periodical&gt;&lt;full-title&gt;Regulatory Toxicology and Pharmacology&lt;/full-title&gt;&lt;/periodical&gt;&lt;pages&gt;81-91&lt;/pages&gt;&lt;volume&gt;40&lt;/volume&gt;&lt;number&gt;2&lt;/number&gt;&lt;dates&gt;&lt;year&gt;2004&lt;/year&gt;&lt;/dates&gt;&lt;urls&gt;&lt;/urls&gt;&lt;/record&gt;&lt;/Cite&gt;&lt;/EndNote&gt;</w:instrText>
            </w:r>
            <w:r w:rsidR="002972A9">
              <w:rPr>
                <w:rFonts w:asciiTheme="minorHAnsi" w:hAnsiTheme="minorHAnsi"/>
                <w:sz w:val="22"/>
                <w:szCs w:val="22"/>
              </w:rPr>
              <w:fldChar w:fldCharType="separate"/>
            </w:r>
            <w:r w:rsidR="00F262B9" w:rsidRPr="00F262B9">
              <w:rPr>
                <w:rFonts w:asciiTheme="minorHAnsi" w:hAnsiTheme="minorHAnsi"/>
                <w:noProof/>
                <w:sz w:val="22"/>
                <w:szCs w:val="22"/>
                <w:vertAlign w:val="superscript"/>
              </w:rPr>
              <w:t>11</w:t>
            </w:r>
            <w:r w:rsidR="002972A9">
              <w:rPr>
                <w:rFonts w:asciiTheme="minorHAnsi" w:hAnsiTheme="minorHAnsi"/>
                <w:sz w:val="22"/>
                <w:szCs w:val="22"/>
              </w:rPr>
              <w:fldChar w:fldCharType="end"/>
            </w:r>
          </w:p>
        </w:tc>
        <w:tc>
          <w:tcPr>
            <w:tcW w:w="1418" w:type="dxa"/>
            <w:tcBorders>
              <w:bottom w:val="nil"/>
            </w:tcBorders>
          </w:tcPr>
          <w:p w14:paraId="23DEE874" w14:textId="77777777" w:rsidR="000C198E" w:rsidRPr="000C198E" w:rsidRDefault="000C198E" w:rsidP="006A6765">
            <w:pPr>
              <w:jc w:val="center"/>
              <w:rPr>
                <w:rFonts w:asciiTheme="minorHAnsi" w:hAnsiTheme="minorHAnsi"/>
                <w:sz w:val="22"/>
                <w:szCs w:val="22"/>
              </w:rPr>
            </w:pPr>
            <w:r w:rsidRPr="000C198E">
              <w:rPr>
                <w:rFonts w:asciiTheme="minorHAnsi" w:hAnsiTheme="minorHAnsi"/>
                <w:sz w:val="22"/>
                <w:szCs w:val="22"/>
              </w:rPr>
              <w:t>M-A</w:t>
            </w:r>
          </w:p>
        </w:tc>
      </w:tr>
      <w:tr w:rsidR="000C198E" w:rsidRPr="000C198E" w14:paraId="59EAFF95" w14:textId="77777777" w:rsidTr="009A673E">
        <w:tc>
          <w:tcPr>
            <w:tcW w:w="3969" w:type="dxa"/>
            <w:tcBorders>
              <w:top w:val="nil"/>
              <w:bottom w:val="nil"/>
            </w:tcBorders>
            <w:shd w:val="clear" w:color="auto" w:fill="D9D9D9" w:themeFill="background1" w:themeFillShade="D9"/>
          </w:tcPr>
          <w:p w14:paraId="44F708F6" w14:textId="77777777" w:rsidR="000C198E" w:rsidRPr="000C198E" w:rsidRDefault="000C198E" w:rsidP="006A6765">
            <w:pPr>
              <w:rPr>
                <w:rFonts w:asciiTheme="minorHAnsi" w:hAnsiTheme="minorHAnsi"/>
                <w:sz w:val="22"/>
                <w:szCs w:val="22"/>
              </w:rPr>
            </w:pPr>
            <w:r w:rsidRPr="000C198E">
              <w:rPr>
                <w:rFonts w:asciiTheme="minorHAnsi" w:hAnsiTheme="minorHAnsi"/>
                <w:sz w:val="22"/>
                <w:szCs w:val="22"/>
              </w:rPr>
              <w:t>Leukaemia</w:t>
            </w:r>
            <w:r w:rsidR="00B82965">
              <w:rPr>
                <w:rFonts w:asciiTheme="minorHAnsi" w:hAnsiTheme="minorHAnsi"/>
                <w:sz w:val="22"/>
                <w:szCs w:val="22"/>
                <w:vertAlign w:val="superscript"/>
              </w:rPr>
              <w:t>#</w:t>
            </w:r>
          </w:p>
        </w:tc>
        <w:tc>
          <w:tcPr>
            <w:tcW w:w="3686" w:type="dxa"/>
            <w:tcBorders>
              <w:top w:val="nil"/>
              <w:bottom w:val="nil"/>
            </w:tcBorders>
            <w:shd w:val="clear" w:color="auto" w:fill="D9D9D9" w:themeFill="background1" w:themeFillShade="D9"/>
          </w:tcPr>
          <w:p w14:paraId="541F8E92" w14:textId="77777777" w:rsidR="000C198E" w:rsidRPr="000C198E" w:rsidRDefault="000C198E" w:rsidP="000C198E">
            <w:pPr>
              <w:tabs>
                <w:tab w:val="left" w:pos="142"/>
              </w:tabs>
              <w:ind w:left="142" w:hanging="142"/>
              <w:rPr>
                <w:rFonts w:asciiTheme="minorHAnsi" w:hAnsiTheme="minorHAnsi"/>
                <w:sz w:val="22"/>
                <w:szCs w:val="22"/>
              </w:rPr>
            </w:pPr>
            <w:r w:rsidRPr="000C198E">
              <w:rPr>
                <w:rFonts w:asciiTheme="minorHAnsi" w:hAnsiTheme="minorHAnsi"/>
                <w:sz w:val="22"/>
                <w:szCs w:val="22"/>
              </w:rPr>
              <w:t>Butadiene</w:t>
            </w:r>
          </w:p>
        </w:tc>
        <w:tc>
          <w:tcPr>
            <w:tcW w:w="1101" w:type="dxa"/>
            <w:tcBorders>
              <w:top w:val="nil"/>
              <w:bottom w:val="nil"/>
            </w:tcBorders>
            <w:shd w:val="clear" w:color="auto" w:fill="D9D9D9" w:themeFill="background1" w:themeFillShade="D9"/>
          </w:tcPr>
          <w:p w14:paraId="59AD62A3" w14:textId="77777777" w:rsidR="000C198E" w:rsidRPr="000C198E" w:rsidRDefault="000C198E" w:rsidP="001C5971">
            <w:pPr>
              <w:tabs>
                <w:tab w:val="decimal" w:pos="304"/>
              </w:tabs>
              <w:rPr>
                <w:rFonts w:asciiTheme="minorHAnsi" w:hAnsiTheme="minorHAnsi"/>
                <w:sz w:val="22"/>
                <w:szCs w:val="22"/>
              </w:rPr>
            </w:pPr>
          </w:p>
        </w:tc>
        <w:tc>
          <w:tcPr>
            <w:tcW w:w="1701" w:type="dxa"/>
            <w:tcBorders>
              <w:top w:val="nil"/>
              <w:bottom w:val="nil"/>
            </w:tcBorders>
            <w:shd w:val="clear" w:color="auto" w:fill="D9D9D9" w:themeFill="background1" w:themeFillShade="D9"/>
          </w:tcPr>
          <w:p w14:paraId="6BADDAC2" w14:textId="77777777" w:rsidR="000C198E" w:rsidRPr="000C198E" w:rsidRDefault="000C198E" w:rsidP="001C5971">
            <w:pPr>
              <w:jc w:val="center"/>
              <w:rPr>
                <w:rFonts w:asciiTheme="minorHAnsi" w:hAnsiTheme="minorHAnsi"/>
                <w:sz w:val="22"/>
                <w:szCs w:val="22"/>
              </w:rPr>
            </w:pPr>
          </w:p>
        </w:tc>
        <w:tc>
          <w:tcPr>
            <w:tcW w:w="3402" w:type="dxa"/>
            <w:tcBorders>
              <w:top w:val="nil"/>
              <w:bottom w:val="nil"/>
            </w:tcBorders>
            <w:shd w:val="clear" w:color="auto" w:fill="D9D9D9" w:themeFill="background1" w:themeFillShade="D9"/>
          </w:tcPr>
          <w:p w14:paraId="07AE32A0" w14:textId="77777777" w:rsidR="000C198E" w:rsidRPr="000C198E" w:rsidRDefault="000C198E" w:rsidP="001C5971">
            <w:pPr>
              <w:pStyle w:val="BodyText"/>
              <w:tabs>
                <w:tab w:val="left" w:pos="146"/>
              </w:tabs>
              <w:ind w:left="146" w:hanging="146"/>
              <w:rPr>
                <w:rFonts w:asciiTheme="minorHAnsi" w:hAnsiTheme="minorHAnsi"/>
                <w:color w:val="000000"/>
                <w:sz w:val="22"/>
                <w:szCs w:val="22"/>
              </w:rPr>
            </w:pPr>
          </w:p>
        </w:tc>
        <w:tc>
          <w:tcPr>
            <w:tcW w:w="1418" w:type="dxa"/>
            <w:tcBorders>
              <w:top w:val="nil"/>
              <w:bottom w:val="nil"/>
            </w:tcBorders>
            <w:shd w:val="clear" w:color="auto" w:fill="D9D9D9" w:themeFill="background1" w:themeFillShade="D9"/>
          </w:tcPr>
          <w:p w14:paraId="40D8D833" w14:textId="77777777" w:rsidR="000C198E" w:rsidRPr="000C198E" w:rsidRDefault="000C198E" w:rsidP="001C5971">
            <w:pPr>
              <w:jc w:val="center"/>
              <w:rPr>
                <w:rFonts w:asciiTheme="minorHAnsi" w:hAnsiTheme="minorHAnsi"/>
                <w:sz w:val="22"/>
                <w:szCs w:val="22"/>
              </w:rPr>
            </w:pPr>
          </w:p>
        </w:tc>
      </w:tr>
      <w:tr w:rsidR="000C198E" w:rsidRPr="000C198E" w14:paraId="09C57AAA" w14:textId="77777777" w:rsidTr="009A673E">
        <w:tc>
          <w:tcPr>
            <w:tcW w:w="3969" w:type="dxa"/>
            <w:tcBorders>
              <w:top w:val="nil"/>
              <w:bottom w:val="single" w:sz="4" w:space="0" w:color="auto"/>
            </w:tcBorders>
            <w:shd w:val="clear" w:color="auto" w:fill="D9D9D9" w:themeFill="background1" w:themeFillShade="D9"/>
          </w:tcPr>
          <w:p w14:paraId="275BD5EA" w14:textId="77777777" w:rsidR="000C198E" w:rsidRPr="000C198E" w:rsidRDefault="000C198E" w:rsidP="006A6765">
            <w:pPr>
              <w:rPr>
                <w:rFonts w:asciiTheme="minorHAnsi" w:hAnsiTheme="minorHAnsi"/>
                <w:sz w:val="22"/>
                <w:szCs w:val="22"/>
              </w:rPr>
            </w:pPr>
            <w:r w:rsidRPr="000C198E">
              <w:rPr>
                <w:rFonts w:asciiTheme="minorHAnsi" w:hAnsiTheme="minorHAnsi"/>
                <w:sz w:val="22"/>
                <w:szCs w:val="22"/>
              </w:rPr>
              <w:t>Leukaemia</w:t>
            </w:r>
            <w:r w:rsidR="00B82965">
              <w:rPr>
                <w:rFonts w:asciiTheme="minorHAnsi" w:hAnsiTheme="minorHAnsi"/>
                <w:sz w:val="22"/>
                <w:szCs w:val="22"/>
                <w:vertAlign w:val="superscript"/>
              </w:rPr>
              <w:t>#</w:t>
            </w:r>
          </w:p>
        </w:tc>
        <w:tc>
          <w:tcPr>
            <w:tcW w:w="3686" w:type="dxa"/>
            <w:tcBorders>
              <w:top w:val="nil"/>
              <w:bottom w:val="single" w:sz="4" w:space="0" w:color="auto"/>
            </w:tcBorders>
            <w:shd w:val="clear" w:color="auto" w:fill="D9D9D9" w:themeFill="background1" w:themeFillShade="D9"/>
          </w:tcPr>
          <w:p w14:paraId="092A433C" w14:textId="77777777" w:rsidR="000C198E" w:rsidRPr="000C198E" w:rsidRDefault="000C198E" w:rsidP="001C5971">
            <w:pPr>
              <w:tabs>
                <w:tab w:val="left" w:pos="142"/>
              </w:tabs>
              <w:ind w:left="142" w:hanging="142"/>
              <w:rPr>
                <w:rFonts w:asciiTheme="minorHAnsi" w:hAnsiTheme="minorHAnsi"/>
                <w:sz w:val="22"/>
                <w:szCs w:val="22"/>
              </w:rPr>
            </w:pPr>
            <w:r w:rsidRPr="000C198E">
              <w:rPr>
                <w:rFonts w:asciiTheme="minorHAnsi" w:hAnsiTheme="minorHAnsi"/>
                <w:sz w:val="22"/>
                <w:szCs w:val="22"/>
              </w:rPr>
              <w:t>Cyclophosphamide</w:t>
            </w:r>
          </w:p>
        </w:tc>
        <w:tc>
          <w:tcPr>
            <w:tcW w:w="1101" w:type="dxa"/>
            <w:tcBorders>
              <w:top w:val="nil"/>
              <w:bottom w:val="single" w:sz="4" w:space="0" w:color="auto"/>
            </w:tcBorders>
            <w:shd w:val="clear" w:color="auto" w:fill="D9D9D9" w:themeFill="background1" w:themeFillShade="D9"/>
          </w:tcPr>
          <w:p w14:paraId="35620461" w14:textId="77777777" w:rsidR="000C198E" w:rsidRPr="000C198E" w:rsidRDefault="000C198E" w:rsidP="001C5971">
            <w:pPr>
              <w:tabs>
                <w:tab w:val="decimal" w:pos="304"/>
              </w:tabs>
              <w:rPr>
                <w:rFonts w:asciiTheme="minorHAnsi" w:hAnsiTheme="minorHAnsi"/>
                <w:sz w:val="22"/>
                <w:szCs w:val="22"/>
              </w:rPr>
            </w:pPr>
          </w:p>
        </w:tc>
        <w:tc>
          <w:tcPr>
            <w:tcW w:w="1701" w:type="dxa"/>
            <w:tcBorders>
              <w:top w:val="nil"/>
              <w:bottom w:val="single" w:sz="4" w:space="0" w:color="auto"/>
            </w:tcBorders>
            <w:shd w:val="clear" w:color="auto" w:fill="D9D9D9" w:themeFill="background1" w:themeFillShade="D9"/>
          </w:tcPr>
          <w:p w14:paraId="0C4EBDD4" w14:textId="77777777" w:rsidR="000C198E" w:rsidRPr="000C198E" w:rsidRDefault="000C198E" w:rsidP="001C5971">
            <w:pPr>
              <w:jc w:val="center"/>
              <w:rPr>
                <w:rFonts w:asciiTheme="minorHAnsi" w:hAnsiTheme="minorHAnsi"/>
                <w:sz w:val="22"/>
                <w:szCs w:val="22"/>
              </w:rPr>
            </w:pPr>
          </w:p>
        </w:tc>
        <w:tc>
          <w:tcPr>
            <w:tcW w:w="3402" w:type="dxa"/>
            <w:tcBorders>
              <w:top w:val="nil"/>
              <w:bottom w:val="single" w:sz="4" w:space="0" w:color="auto"/>
            </w:tcBorders>
            <w:shd w:val="clear" w:color="auto" w:fill="D9D9D9" w:themeFill="background1" w:themeFillShade="D9"/>
          </w:tcPr>
          <w:p w14:paraId="43D53785" w14:textId="77777777" w:rsidR="000C198E" w:rsidRPr="000C198E" w:rsidRDefault="000C198E" w:rsidP="001C5971">
            <w:pPr>
              <w:pStyle w:val="BodyText"/>
              <w:tabs>
                <w:tab w:val="left" w:pos="146"/>
              </w:tabs>
              <w:ind w:left="146" w:hanging="146"/>
              <w:rPr>
                <w:rFonts w:asciiTheme="minorHAnsi" w:hAnsiTheme="minorHAnsi"/>
                <w:color w:val="000000"/>
                <w:sz w:val="22"/>
                <w:szCs w:val="22"/>
              </w:rPr>
            </w:pPr>
          </w:p>
        </w:tc>
        <w:tc>
          <w:tcPr>
            <w:tcW w:w="1418" w:type="dxa"/>
            <w:tcBorders>
              <w:top w:val="nil"/>
              <w:bottom w:val="single" w:sz="4" w:space="0" w:color="auto"/>
            </w:tcBorders>
            <w:shd w:val="clear" w:color="auto" w:fill="D9D9D9" w:themeFill="background1" w:themeFillShade="D9"/>
          </w:tcPr>
          <w:p w14:paraId="65BFCA6C" w14:textId="77777777" w:rsidR="000C198E" w:rsidRPr="000C198E" w:rsidRDefault="000C198E" w:rsidP="001C5971">
            <w:pPr>
              <w:jc w:val="center"/>
              <w:rPr>
                <w:rFonts w:asciiTheme="minorHAnsi" w:hAnsiTheme="minorHAnsi"/>
                <w:sz w:val="22"/>
                <w:szCs w:val="22"/>
              </w:rPr>
            </w:pPr>
          </w:p>
        </w:tc>
      </w:tr>
    </w:tbl>
    <w:p w14:paraId="40071C3B" w14:textId="77777777" w:rsidR="002B6A9F" w:rsidRPr="00C33911" w:rsidRDefault="002B6A9F" w:rsidP="002B6A9F">
      <w:pPr>
        <w:pStyle w:val="PHD-normaltext"/>
        <w:tabs>
          <w:tab w:val="left" w:pos="284"/>
        </w:tabs>
        <w:spacing w:line="240" w:lineRule="auto"/>
        <w:ind w:left="284" w:hanging="284"/>
        <w:rPr>
          <w:rFonts w:ascii="Calibri" w:hAnsi="Calibri"/>
        </w:rPr>
      </w:pPr>
      <w:r w:rsidRPr="00C33911">
        <w:rPr>
          <w:rFonts w:ascii="Calibri" w:hAnsi="Calibri"/>
        </w:rPr>
        <w:t>+:</w:t>
      </w:r>
      <w:r w:rsidRPr="00C33911">
        <w:rPr>
          <w:rFonts w:ascii="Calibri" w:hAnsi="Calibri"/>
        </w:rPr>
        <w:tab/>
        <w:t>M-A = meta-analysis; KS = key study.</w:t>
      </w:r>
    </w:p>
    <w:p w14:paraId="6BD2C7FE" w14:textId="77777777" w:rsidR="002B6A9F" w:rsidRPr="00C33911" w:rsidRDefault="002B6A9F" w:rsidP="002B6A9F">
      <w:pPr>
        <w:pStyle w:val="PHD-normaltext"/>
        <w:tabs>
          <w:tab w:val="left" w:pos="284"/>
        </w:tabs>
        <w:spacing w:line="240" w:lineRule="auto"/>
        <w:ind w:left="284" w:hanging="284"/>
        <w:rPr>
          <w:rFonts w:ascii="Calibri" w:hAnsi="Calibri"/>
        </w:rPr>
      </w:pPr>
      <w:r w:rsidRPr="00C33911">
        <w:rPr>
          <w:rFonts w:ascii="Calibri" w:hAnsi="Calibri"/>
        </w:rPr>
        <w:t>^:</w:t>
      </w:r>
      <w:r w:rsidR="00B82965" w:rsidRPr="00C33911">
        <w:rPr>
          <w:rFonts w:ascii="Calibri" w:hAnsi="Calibri"/>
        </w:rPr>
        <w:tab/>
      </w:r>
      <w:r w:rsidRPr="00C33911">
        <w:rPr>
          <w:rFonts w:ascii="Calibri" w:hAnsi="Calibri"/>
        </w:rPr>
        <w:t>95% confidence interval.</w:t>
      </w:r>
    </w:p>
    <w:p w14:paraId="104F3CD5" w14:textId="77777777" w:rsidR="00B82965" w:rsidRPr="00C33911" w:rsidRDefault="00B82965" w:rsidP="00B82965">
      <w:pPr>
        <w:pStyle w:val="PHD-normaltext"/>
        <w:tabs>
          <w:tab w:val="left" w:pos="284"/>
        </w:tabs>
        <w:spacing w:line="240" w:lineRule="auto"/>
        <w:ind w:left="284" w:hanging="284"/>
        <w:rPr>
          <w:rFonts w:ascii="Calibri" w:hAnsi="Calibri"/>
          <w:sz w:val="22"/>
          <w:szCs w:val="22"/>
        </w:rPr>
      </w:pPr>
      <w:r w:rsidRPr="00C33911">
        <w:rPr>
          <w:rFonts w:ascii="Calibri" w:hAnsi="Calibri"/>
        </w:rPr>
        <w:t>#:</w:t>
      </w:r>
      <w:r w:rsidRPr="00C33911">
        <w:rPr>
          <w:rFonts w:ascii="Calibri" w:hAnsi="Calibri"/>
        </w:rPr>
        <w:tab/>
        <w:t>These exposure-outcome pairs are likely to be responsible for very few cases because the exposure circumstances are now absent or very rare, the cancer type is rare, or both.</w:t>
      </w:r>
    </w:p>
    <w:p w14:paraId="394BB555" w14:textId="77777777" w:rsidR="009A673E" w:rsidRDefault="009A673E">
      <w:pPr>
        <w:rPr>
          <w:rFonts w:ascii="Calibri" w:hAnsi="Calibri"/>
          <w:i/>
        </w:rPr>
      </w:pPr>
      <w:r>
        <w:rPr>
          <w:rFonts w:ascii="Calibri" w:hAnsi="Calibri"/>
          <w:i/>
        </w:rPr>
        <w:br w:type="page"/>
      </w:r>
    </w:p>
    <w:p w14:paraId="7ECE6F0A" w14:textId="2352C491" w:rsidR="00B82965" w:rsidRPr="00D070A0" w:rsidRDefault="00B82965" w:rsidP="00B82965">
      <w:pPr>
        <w:rPr>
          <w:rFonts w:ascii="Calibri" w:hAnsi="Calibri"/>
          <w:i/>
        </w:rPr>
      </w:pPr>
      <w:r w:rsidRPr="00D070A0">
        <w:rPr>
          <w:rFonts w:ascii="Calibri" w:hAnsi="Calibri"/>
          <w:i/>
        </w:rPr>
        <w:lastRenderedPageBreak/>
        <w:t>Notes:</w:t>
      </w:r>
    </w:p>
    <w:p w14:paraId="5086DC93" w14:textId="0B1B2052" w:rsidR="00E01A14" w:rsidRPr="00115FB2" w:rsidRDefault="00E01A14" w:rsidP="00E01A14">
      <w:pPr>
        <w:tabs>
          <w:tab w:val="left" w:pos="284"/>
        </w:tabs>
        <w:ind w:left="284" w:hanging="284"/>
        <w:rPr>
          <w:rFonts w:asciiTheme="minorHAnsi" w:hAnsiTheme="minorHAnsi"/>
          <w:i/>
          <w:sz w:val="22"/>
          <w:szCs w:val="22"/>
        </w:rPr>
      </w:pPr>
      <w:r w:rsidRPr="00115FB2">
        <w:rPr>
          <w:rFonts w:asciiTheme="minorHAnsi" w:hAnsiTheme="minorHAnsi"/>
          <w:i/>
          <w:sz w:val="22"/>
          <w:szCs w:val="22"/>
        </w:rPr>
        <w:t>a:</w:t>
      </w:r>
      <w:r w:rsidRPr="00115FB2">
        <w:rPr>
          <w:rFonts w:asciiTheme="minorHAnsi" w:hAnsiTheme="minorHAnsi"/>
          <w:i/>
          <w:sz w:val="22"/>
          <w:szCs w:val="22"/>
        </w:rPr>
        <w:tab/>
        <w:t>Cited as the key defining evidence by IARC</w:t>
      </w:r>
      <w:r w:rsidR="002972A9">
        <w:rPr>
          <w:rFonts w:asciiTheme="minorHAnsi" w:hAnsiTheme="minorHAnsi"/>
          <w:i/>
          <w:sz w:val="22"/>
          <w:szCs w:val="22"/>
        </w:rPr>
        <w:fldChar w:fldCharType="begin"/>
      </w:r>
      <w:r w:rsidR="00F262B9">
        <w:rPr>
          <w:rFonts w:asciiTheme="minorHAnsi" w:hAnsiTheme="minorHAnsi"/>
          <w:i/>
          <w:sz w:val="22"/>
          <w:szCs w:val="22"/>
        </w:rPr>
        <w:instrText xml:space="preserve"> ADDIN EN.CITE &lt;EndNote&gt;&lt;Cite&gt;&lt;Author&gt;International Agency for Research on Cancer&lt;/Author&gt;&lt;Year&gt;2012&lt;/Year&gt;&lt;RecNum&gt;93&lt;/RecNum&gt;&lt;DisplayText&gt;&lt;style face="superscript"&gt;12&lt;/style&gt;&lt;/DisplayText&gt;&lt;record&gt;&lt;rec-number&gt;93&lt;/rec-number&gt;&lt;foreign-keys&gt;&lt;key app="EN" db-id="xw2v5x5zv0zvs2e2af8v2xp3zfa5ps2v2zf2" timestamp="1411600753"&gt;93&lt;/key&gt;&lt;/foreign-keys&gt;&lt;ref-type name="Report"&gt;27&lt;/ref-type&gt;&lt;contributors&gt;&lt;authors&gt;&lt;author&gt;International Agency for Research on Cancer,&lt;/author&gt;&lt;/authors&gt;&lt;tertiary-authors&gt;&lt;author&gt;World Health Organization&lt;/author&gt;&lt;/tertiary-authors&gt;&lt;/contributors&gt;&lt;titles&gt;&lt;title&gt;IARC Monographs on the Evaluation of Carcinogenic Risks to Humans. Volume 100F. A review of human carcinogens: chemical agents and related occupations&lt;/title&gt;&lt;/titles&gt;&lt;dates&gt;&lt;year&gt;2012&lt;/year&gt;&lt;/dates&gt;&lt;pub-location&gt;Geneva&lt;/pub-location&gt;&lt;publisher&gt;World Health Organization&lt;/publisher&gt;&lt;urls&gt;&lt;/urls&gt;&lt;/record&gt;&lt;/Cite&gt;&lt;/EndNote&gt;</w:instrText>
      </w:r>
      <w:r w:rsidR="002972A9">
        <w:rPr>
          <w:rFonts w:asciiTheme="minorHAnsi" w:hAnsiTheme="minorHAnsi"/>
          <w:i/>
          <w:sz w:val="22"/>
          <w:szCs w:val="22"/>
        </w:rPr>
        <w:fldChar w:fldCharType="separate"/>
      </w:r>
      <w:r w:rsidR="00F262B9" w:rsidRPr="00F262B9">
        <w:rPr>
          <w:rFonts w:asciiTheme="minorHAnsi" w:hAnsiTheme="minorHAnsi"/>
          <w:i/>
          <w:noProof/>
          <w:sz w:val="22"/>
          <w:szCs w:val="22"/>
          <w:vertAlign w:val="superscript"/>
        </w:rPr>
        <w:t>12</w:t>
      </w:r>
      <w:r w:rsidR="002972A9">
        <w:rPr>
          <w:rFonts w:asciiTheme="minorHAnsi" w:hAnsiTheme="minorHAnsi"/>
          <w:i/>
          <w:sz w:val="22"/>
          <w:szCs w:val="22"/>
        </w:rPr>
        <w:fldChar w:fldCharType="end"/>
      </w:r>
      <w:r w:rsidRPr="00115FB2">
        <w:rPr>
          <w:rFonts w:asciiTheme="minorHAnsi" w:hAnsiTheme="minorHAnsi"/>
          <w:i/>
          <w:sz w:val="22"/>
          <w:szCs w:val="22"/>
        </w:rPr>
        <w:t>.</w:t>
      </w:r>
    </w:p>
    <w:p w14:paraId="60C8DCAD" w14:textId="712FE0EA" w:rsidR="00E01A14" w:rsidRPr="00115FB2" w:rsidRDefault="00E01A14" w:rsidP="00E01A14">
      <w:pPr>
        <w:tabs>
          <w:tab w:val="left" w:pos="284"/>
        </w:tabs>
        <w:ind w:left="284" w:hanging="284"/>
        <w:rPr>
          <w:rFonts w:asciiTheme="minorHAnsi" w:hAnsiTheme="minorHAnsi"/>
          <w:i/>
          <w:sz w:val="22"/>
          <w:szCs w:val="22"/>
        </w:rPr>
      </w:pPr>
      <w:r w:rsidRPr="00115FB2">
        <w:rPr>
          <w:rFonts w:asciiTheme="minorHAnsi" w:hAnsiTheme="minorHAnsi"/>
          <w:i/>
          <w:sz w:val="22"/>
          <w:szCs w:val="22"/>
        </w:rPr>
        <w:t>b:</w:t>
      </w:r>
      <w:r w:rsidRPr="00115FB2">
        <w:rPr>
          <w:rFonts w:asciiTheme="minorHAnsi" w:hAnsiTheme="minorHAnsi"/>
          <w:i/>
          <w:sz w:val="22"/>
          <w:szCs w:val="22"/>
        </w:rPr>
        <w:tab/>
        <w:t>The estimates come from a meta-analysis based on review by IOM, 2006</w:t>
      </w:r>
      <w:r w:rsidR="002972A9">
        <w:rPr>
          <w:rFonts w:asciiTheme="minorHAnsi" w:hAnsiTheme="minorHAnsi"/>
          <w:i/>
          <w:sz w:val="22"/>
          <w:szCs w:val="22"/>
        </w:rPr>
        <w:fldChar w:fldCharType="begin"/>
      </w:r>
      <w:r w:rsidR="008D6E0D">
        <w:rPr>
          <w:rFonts w:asciiTheme="minorHAnsi" w:hAnsiTheme="minorHAnsi"/>
          <w:i/>
          <w:sz w:val="22"/>
          <w:szCs w:val="22"/>
        </w:rPr>
        <w:instrText xml:space="preserve"> ADDIN EN.CITE &lt;EndNote&gt;&lt;Cite&gt;&lt;Author&gt;Institute of Medicine of the National Academies (IOM)&lt;/Author&gt;&lt;Year&gt;2006&lt;/Year&gt;&lt;RecNum&gt;85&lt;/RecNum&gt;&lt;DisplayText&gt;&lt;style face="superscript"&gt;4&lt;/style&gt;&lt;/DisplayText&gt;&lt;record&gt;&lt;rec-number&gt;85&lt;/rec-number&gt;&lt;foreign-keys&gt;&lt;key app="EN" db-id="xw2v5x5zv0zvs2e2af8v2xp3zfa5ps2v2zf2" timestamp="1411557376"&gt;85&lt;/key&gt;&lt;/foreign-keys&gt;&lt;ref-type name="Report"&gt;27&lt;/ref-type&gt;&lt;contributors&gt;&lt;authors&gt;&lt;author&gt;Institute of Medicine of the National Academies (IOM),&lt;/author&gt;&lt;/authors&gt;&lt;/contributors&gt;&lt;titles&gt;&lt;title&gt;Asbestos: selected cancers&lt;/title&gt;&lt;/titles&gt;&lt;dates&gt;&lt;year&gt;2006&lt;/year&gt;&lt;/dates&gt;&lt;pub-location&gt;Washington, DC&lt;/pub-location&gt;&lt;publisher&gt;The National Academies Press&lt;/publisher&gt;&lt;urls&gt;&lt;/urls&gt;&lt;/record&gt;&lt;/Cite&gt;&lt;/EndNote&gt;</w:instrText>
      </w:r>
      <w:r w:rsidR="002972A9">
        <w:rPr>
          <w:rFonts w:asciiTheme="minorHAnsi" w:hAnsiTheme="minorHAnsi"/>
          <w:i/>
          <w:sz w:val="22"/>
          <w:szCs w:val="22"/>
        </w:rPr>
        <w:fldChar w:fldCharType="separate"/>
      </w:r>
      <w:r w:rsidR="008D6E0D" w:rsidRPr="008D6E0D">
        <w:rPr>
          <w:rFonts w:asciiTheme="minorHAnsi" w:hAnsiTheme="minorHAnsi"/>
          <w:i/>
          <w:noProof/>
          <w:sz w:val="22"/>
          <w:szCs w:val="22"/>
          <w:vertAlign w:val="superscript"/>
        </w:rPr>
        <w:t>4</w:t>
      </w:r>
      <w:r w:rsidR="002972A9">
        <w:rPr>
          <w:rFonts w:asciiTheme="minorHAnsi" w:hAnsiTheme="minorHAnsi"/>
          <w:i/>
          <w:sz w:val="22"/>
          <w:szCs w:val="22"/>
        </w:rPr>
        <w:fldChar w:fldCharType="end"/>
      </w:r>
      <w:r w:rsidRPr="00115FB2">
        <w:rPr>
          <w:rFonts w:asciiTheme="minorHAnsi" w:hAnsiTheme="minorHAnsi"/>
          <w:i/>
          <w:sz w:val="22"/>
          <w:szCs w:val="22"/>
        </w:rPr>
        <w:t>, using inverse weighted average from relevant occupational cohorts included in that report.</w:t>
      </w:r>
    </w:p>
    <w:p w14:paraId="14C6BA8F" w14:textId="26A8E80F" w:rsidR="00E01A14" w:rsidRPr="00115FB2" w:rsidRDefault="00E01A14" w:rsidP="00E01A14">
      <w:pPr>
        <w:tabs>
          <w:tab w:val="left" w:pos="284"/>
        </w:tabs>
        <w:ind w:left="284" w:hanging="284"/>
        <w:rPr>
          <w:rFonts w:asciiTheme="minorHAnsi" w:hAnsiTheme="minorHAnsi"/>
          <w:i/>
          <w:sz w:val="22"/>
          <w:szCs w:val="22"/>
        </w:rPr>
      </w:pPr>
      <w:r w:rsidRPr="00115FB2">
        <w:rPr>
          <w:rFonts w:asciiTheme="minorHAnsi" w:hAnsiTheme="minorHAnsi"/>
          <w:i/>
          <w:sz w:val="22"/>
          <w:szCs w:val="22"/>
        </w:rPr>
        <w:t>c:</w:t>
      </w:r>
      <w:r w:rsidRPr="00115FB2">
        <w:rPr>
          <w:rFonts w:asciiTheme="minorHAnsi" w:hAnsiTheme="minorHAnsi"/>
          <w:i/>
          <w:sz w:val="22"/>
          <w:szCs w:val="22"/>
        </w:rPr>
        <w:tab/>
        <w:t>This is the key study because the other only other potentially relevant studies (Steenland</w:t>
      </w:r>
      <w:r w:rsidR="002972A9">
        <w:rPr>
          <w:rFonts w:asciiTheme="minorHAnsi" w:hAnsiTheme="minorHAnsi"/>
          <w:i/>
          <w:sz w:val="22"/>
          <w:szCs w:val="22"/>
        </w:rPr>
        <w:fldChar w:fldCharType="begin"/>
      </w:r>
      <w:r w:rsidR="00F262B9">
        <w:rPr>
          <w:rFonts w:asciiTheme="minorHAnsi" w:hAnsiTheme="minorHAnsi"/>
          <w:i/>
          <w:sz w:val="22"/>
          <w:szCs w:val="22"/>
        </w:rPr>
        <w:instrText xml:space="preserve"> ADDIN EN.CITE &lt;EndNote&gt;&lt;Cite&gt;&lt;Author&gt;Steenland&lt;/Author&gt;&lt;Year&gt;1997&lt;/Year&gt;&lt;RecNum&gt;79&lt;/RecNum&gt;&lt;DisplayText&gt;&lt;style face="superscript"&gt;13&lt;/style&gt;&lt;/DisplayText&gt;&lt;record&gt;&lt;rec-number&gt;79&lt;/rec-number&gt;&lt;foreign-keys&gt;&lt;key app="EN" db-id="xw2v5x5zv0zvs2e2af8v2xp3zfa5ps2v2zf2" timestamp="1410670918"&gt;79&lt;/key&gt;&lt;/foreign-keys&gt;&lt;ref-type name="Journal Article"&gt;17&lt;/ref-type&gt;&lt;contributors&gt;&lt;authors&gt;&lt;author&gt;Steenland, K&lt;/author&gt;&lt;/authors&gt;&lt;/contributors&gt;&lt;titles&gt;&lt;title&gt;Laryngeal cancer incidence among workers exposed to acid mists (United States)&lt;/title&gt;&lt;secondary-title&gt;Cancer Causes and Contol&lt;/secondary-title&gt;&lt;/titles&gt;&lt;periodical&gt;&lt;full-title&gt;Cancer Causes and Contol&lt;/full-title&gt;&lt;/periodical&gt;&lt;pages&gt;34-38&lt;/pages&gt;&lt;volume&gt;8&lt;/volume&gt;&lt;number&gt;1&lt;/number&gt;&lt;dates&gt;&lt;year&gt;1997&lt;/year&gt;&lt;/dates&gt;&lt;urls&gt;&lt;/urls&gt;&lt;/record&gt;&lt;/Cite&gt;&lt;/EndNote&gt;</w:instrText>
      </w:r>
      <w:r w:rsidR="002972A9">
        <w:rPr>
          <w:rFonts w:asciiTheme="minorHAnsi" w:hAnsiTheme="minorHAnsi"/>
          <w:i/>
          <w:sz w:val="22"/>
          <w:szCs w:val="22"/>
        </w:rPr>
        <w:fldChar w:fldCharType="separate"/>
      </w:r>
      <w:r w:rsidR="00F262B9" w:rsidRPr="00F262B9">
        <w:rPr>
          <w:rFonts w:asciiTheme="minorHAnsi" w:hAnsiTheme="minorHAnsi"/>
          <w:i/>
          <w:noProof/>
          <w:sz w:val="22"/>
          <w:szCs w:val="22"/>
          <w:vertAlign w:val="superscript"/>
        </w:rPr>
        <w:t>13</w:t>
      </w:r>
      <w:r w:rsidR="002972A9">
        <w:rPr>
          <w:rFonts w:asciiTheme="minorHAnsi" w:hAnsiTheme="minorHAnsi"/>
          <w:i/>
          <w:sz w:val="22"/>
          <w:szCs w:val="22"/>
        </w:rPr>
        <w:fldChar w:fldCharType="end"/>
      </w:r>
      <w:r w:rsidRPr="00115FB2">
        <w:rPr>
          <w:rFonts w:asciiTheme="minorHAnsi" w:hAnsiTheme="minorHAnsi"/>
          <w:i/>
          <w:sz w:val="22"/>
          <w:szCs w:val="22"/>
        </w:rPr>
        <w:t xml:space="preserve"> and Soskolne et al, 1984</w:t>
      </w:r>
      <w:r w:rsidR="002972A9">
        <w:rPr>
          <w:rFonts w:asciiTheme="minorHAnsi" w:hAnsiTheme="minorHAnsi"/>
          <w:i/>
          <w:sz w:val="22"/>
          <w:szCs w:val="22"/>
        </w:rPr>
        <w:fldChar w:fldCharType="begin"/>
      </w:r>
      <w:r w:rsidR="008D6E0D">
        <w:rPr>
          <w:rFonts w:asciiTheme="minorHAnsi" w:hAnsiTheme="minorHAnsi"/>
          <w:i/>
          <w:sz w:val="22"/>
          <w:szCs w:val="22"/>
        </w:rPr>
        <w:instrText xml:space="preserve"> ADDIN EN.CITE &lt;EndNote&gt;&lt;Cite&gt;&lt;Author&gt;Soskolne&lt;/Author&gt;&lt;Year&gt;1984&lt;/Year&gt;&lt;RecNum&gt;78&lt;/RecNum&gt;&lt;DisplayText&gt;&lt;style face="superscript"&gt;5&lt;/style&gt;&lt;/DisplayText&gt;&lt;record&gt;&lt;rec-number&gt;78&lt;/rec-number&gt;&lt;foreign-keys&gt;&lt;key app="EN" db-id="xw2v5x5zv0zvs2e2af8v2xp3zfa5ps2v2zf2" timestamp="1410670795"&gt;78&lt;/key&gt;&lt;/foreign-keys&gt;&lt;ref-type name="Journal Article"&gt;17&lt;/ref-type&gt;&lt;contributors&gt;&lt;authors&gt;&lt;author&gt;Soskolne, CL&lt;/author&gt;&lt;author&gt;Zeighami, EA&lt;/author&gt;&lt;author&gt;Hanis, NM&lt;/author&gt;&lt;author&gt;Kupper, LL&lt;/author&gt;&lt;author&gt;Herrmann, N&lt;/author&gt;&lt;author&gt;Amsel, J&lt;/author&gt;&lt;author&gt;Mausner, JS&lt;/author&gt;&lt;author&gt;Stellman, JM&lt;/author&gt;&lt;/authors&gt;&lt;/contributors&gt;&lt;titles&gt;&lt;title&gt;Laryngeal cancer and occupational exposure to sulfuric acid&lt;/title&gt;&lt;secondary-title&gt;American Journal of Epidemiology&lt;/secondary-title&gt;&lt;/titles&gt;&lt;periodical&gt;&lt;full-title&gt;American Journal of Epidemiology&lt;/full-title&gt;&lt;/periodical&gt;&lt;pages&gt;358-369&lt;/pages&gt;&lt;volume&gt;120&lt;/volume&gt;&lt;number&gt;3&lt;/number&gt;&lt;dates&gt;&lt;year&gt;1984&lt;/year&gt;&lt;/dates&gt;&lt;urls&gt;&lt;/urls&gt;&lt;/record&gt;&lt;/Cite&gt;&lt;/EndNote&gt;</w:instrText>
      </w:r>
      <w:r w:rsidR="002972A9">
        <w:rPr>
          <w:rFonts w:asciiTheme="minorHAnsi" w:hAnsiTheme="minorHAnsi"/>
          <w:i/>
          <w:sz w:val="22"/>
          <w:szCs w:val="22"/>
        </w:rPr>
        <w:fldChar w:fldCharType="separate"/>
      </w:r>
      <w:r w:rsidR="008D6E0D" w:rsidRPr="008D6E0D">
        <w:rPr>
          <w:rFonts w:asciiTheme="minorHAnsi" w:hAnsiTheme="minorHAnsi"/>
          <w:i/>
          <w:noProof/>
          <w:sz w:val="22"/>
          <w:szCs w:val="22"/>
          <w:vertAlign w:val="superscript"/>
        </w:rPr>
        <w:t>5</w:t>
      </w:r>
      <w:r w:rsidR="002972A9">
        <w:rPr>
          <w:rFonts w:asciiTheme="minorHAnsi" w:hAnsiTheme="minorHAnsi"/>
          <w:i/>
          <w:sz w:val="22"/>
          <w:szCs w:val="22"/>
        </w:rPr>
        <w:fldChar w:fldCharType="end"/>
      </w:r>
      <w:r w:rsidRPr="00115FB2">
        <w:rPr>
          <w:rFonts w:asciiTheme="minorHAnsi" w:hAnsiTheme="minorHAnsi"/>
          <w:i/>
          <w:sz w:val="22"/>
          <w:szCs w:val="22"/>
        </w:rPr>
        <w:t>) were of acid mists experienced by chemical workers involved in metal processing and the exposures were thus relatively high.  The lower limit of the RR for Low exposure was 0.97, which was rounded to 1.0 for the analysis.</w:t>
      </w:r>
    </w:p>
    <w:p w14:paraId="53F43794" w14:textId="3CE45311" w:rsidR="00B82965" w:rsidRPr="00115FB2" w:rsidRDefault="009A673E" w:rsidP="00B82965">
      <w:pPr>
        <w:tabs>
          <w:tab w:val="left" w:pos="284"/>
        </w:tabs>
        <w:ind w:left="284" w:hanging="284"/>
        <w:rPr>
          <w:rFonts w:asciiTheme="minorHAnsi" w:hAnsiTheme="minorHAnsi"/>
          <w:i/>
          <w:sz w:val="22"/>
          <w:szCs w:val="22"/>
        </w:rPr>
      </w:pPr>
      <w:r>
        <w:rPr>
          <w:rFonts w:asciiTheme="minorHAnsi" w:hAnsiTheme="minorHAnsi"/>
          <w:i/>
          <w:sz w:val="22"/>
          <w:szCs w:val="22"/>
        </w:rPr>
        <w:t>d</w:t>
      </w:r>
      <w:r w:rsidR="00B82965" w:rsidRPr="00115FB2">
        <w:rPr>
          <w:rFonts w:asciiTheme="minorHAnsi" w:hAnsiTheme="minorHAnsi"/>
          <w:i/>
          <w:sz w:val="22"/>
          <w:szCs w:val="22"/>
        </w:rPr>
        <w:t>:</w:t>
      </w:r>
      <w:r w:rsidR="00B82965" w:rsidRPr="00115FB2">
        <w:rPr>
          <w:rFonts w:asciiTheme="minorHAnsi" w:hAnsiTheme="minorHAnsi"/>
          <w:i/>
          <w:sz w:val="22"/>
          <w:szCs w:val="22"/>
        </w:rPr>
        <w:tab/>
        <w:t>Final relative risks used are based on the meta-analysis using the five best studies and estimated exposure of 2.0 times the U.S. PEL for males and 1.0 times the U.S. PEL for females.</w:t>
      </w:r>
    </w:p>
    <w:p w14:paraId="30D1F2A4" w14:textId="35B45E55" w:rsidR="00B82965" w:rsidRPr="00115FB2" w:rsidRDefault="009A673E" w:rsidP="00B82965">
      <w:pPr>
        <w:tabs>
          <w:tab w:val="left" w:pos="284"/>
        </w:tabs>
        <w:ind w:left="284" w:hanging="284"/>
        <w:rPr>
          <w:rFonts w:asciiTheme="minorHAnsi" w:hAnsiTheme="minorHAnsi"/>
          <w:i/>
          <w:sz w:val="22"/>
          <w:szCs w:val="22"/>
        </w:rPr>
      </w:pPr>
      <w:r>
        <w:rPr>
          <w:rFonts w:asciiTheme="minorHAnsi" w:hAnsiTheme="minorHAnsi"/>
          <w:i/>
          <w:sz w:val="22"/>
          <w:szCs w:val="22"/>
        </w:rPr>
        <w:t>e</w:t>
      </w:r>
      <w:r w:rsidR="00B82965" w:rsidRPr="00115FB2">
        <w:rPr>
          <w:rFonts w:asciiTheme="minorHAnsi" w:hAnsiTheme="minorHAnsi"/>
          <w:i/>
          <w:sz w:val="22"/>
          <w:szCs w:val="22"/>
        </w:rPr>
        <w:t>:</w:t>
      </w:r>
      <w:r w:rsidR="00B82965" w:rsidRPr="00115FB2">
        <w:rPr>
          <w:rFonts w:asciiTheme="minorHAnsi" w:hAnsiTheme="minorHAnsi"/>
          <w:i/>
          <w:sz w:val="22"/>
          <w:szCs w:val="22"/>
        </w:rPr>
        <w:tab/>
        <w:t>The estimates of population attributable fraction were obtained directly from the literature.</w:t>
      </w:r>
      <w:r w:rsidR="00C33911" w:rsidRPr="00115FB2">
        <w:rPr>
          <w:rFonts w:asciiTheme="minorHAnsi" w:hAnsiTheme="minorHAnsi"/>
          <w:i/>
          <w:sz w:val="22"/>
          <w:szCs w:val="22"/>
        </w:rPr>
        <w:t xml:space="preserve">  It is recommended to assume a population attributable fraction of 80%</w:t>
      </w:r>
      <w:r w:rsidR="00115FB2" w:rsidRPr="00115FB2">
        <w:rPr>
          <w:rFonts w:asciiTheme="minorHAnsi" w:hAnsiTheme="minorHAnsi"/>
          <w:i/>
          <w:sz w:val="22"/>
          <w:szCs w:val="22"/>
        </w:rPr>
        <w:t xml:space="preserve"> (the Australian Burden of Disease study released </w:t>
      </w:r>
      <w:r w:rsidR="00CE08EA">
        <w:rPr>
          <w:rFonts w:asciiTheme="minorHAnsi" w:hAnsiTheme="minorHAnsi"/>
          <w:i/>
          <w:sz w:val="22"/>
          <w:szCs w:val="22"/>
        </w:rPr>
        <w:t>in 2016</w:t>
      </w:r>
      <w:r w:rsidR="00115FB2" w:rsidRPr="00115FB2">
        <w:rPr>
          <w:rFonts w:asciiTheme="minorHAnsi" w:hAnsiTheme="minorHAnsi"/>
          <w:i/>
          <w:sz w:val="22"/>
          <w:szCs w:val="22"/>
        </w:rPr>
        <w:t xml:space="preserve">, and covering 2011, estimated an occupational attributable fraction of </w:t>
      </w:r>
      <w:r w:rsidR="00115FB2">
        <w:rPr>
          <w:rFonts w:asciiTheme="minorHAnsi" w:hAnsiTheme="minorHAnsi"/>
          <w:i/>
          <w:sz w:val="22"/>
          <w:szCs w:val="22"/>
        </w:rPr>
        <w:t>81</w:t>
      </w:r>
      <w:r w:rsidR="00115FB2" w:rsidRPr="00115FB2">
        <w:rPr>
          <w:rFonts w:asciiTheme="minorHAnsi" w:hAnsiTheme="minorHAnsi"/>
          <w:i/>
          <w:sz w:val="22"/>
          <w:szCs w:val="22"/>
        </w:rPr>
        <w:t>%</w:t>
      </w:r>
      <w:r w:rsidR="00115FB2">
        <w:rPr>
          <w:rFonts w:asciiTheme="minorHAnsi" w:hAnsiTheme="minorHAnsi"/>
          <w:i/>
          <w:sz w:val="22"/>
          <w:szCs w:val="22"/>
        </w:rPr>
        <w:t xml:space="preserve"> for mesothelioma</w:t>
      </w:r>
      <w:r w:rsidR="002972A9">
        <w:rPr>
          <w:rFonts w:asciiTheme="minorHAnsi" w:hAnsiTheme="minorHAnsi"/>
          <w:i/>
          <w:sz w:val="22"/>
          <w:szCs w:val="22"/>
        </w:rPr>
        <w:fldChar w:fldCharType="begin"/>
      </w:r>
      <w:r w:rsidR="00F262B9">
        <w:rPr>
          <w:rFonts w:asciiTheme="minorHAnsi" w:hAnsiTheme="minorHAnsi"/>
          <w:i/>
          <w:sz w:val="22"/>
          <w:szCs w:val="22"/>
        </w:rPr>
        <w:instrText xml:space="preserve"> ADDIN EN.CITE &lt;EndNote&gt;&lt;Cite&gt;&lt;Author&gt;Australian Institute of Health and Welfare (AIHW)&lt;/Author&gt;&lt;Year&gt;2016&lt;/Year&gt;&lt;RecNum&gt;982&lt;/RecNum&gt;&lt;DisplayText&gt;&lt;style face="superscript"&gt;14&lt;/style&gt;&lt;/DisplayText&gt;&lt;record&gt;&lt;rec-number&gt;982&lt;/rec-number&gt;&lt;foreign-keys&gt;&lt;key app="EN" db-id="9t2pp5ew3waxt7ex2apvwst4psz2x2xp0xpz" timestamp="1463982924"&gt;982&lt;/key&gt;&lt;/foreign-keys&gt;&lt;ref-type name="Report"&gt;27&lt;/ref-type&gt;&lt;contributors&gt;&lt;authors&gt;&lt;author&gt;Australian Institute of Health and Welfare (AIHW),&lt;/author&gt;&lt;/authors&gt;&lt;tertiary-authors&gt;&lt;author&gt;AIHW&lt;/author&gt;&lt;/tertiary-authors&gt;&lt;/contributors&gt;&lt;titles&gt;&lt;title&gt;Australian Burden of Disease Study Impact and causes of illness and deaths in Australia. 2011&lt;/title&gt;&lt;/titles&gt;&lt;dates&gt;&lt;year&gt;2016&lt;/year&gt;&lt;/dates&gt;&lt;pub-location&gt;Canberra&lt;/pub-location&gt;&lt;urls&gt;&lt;related-urls&gt;&lt;url&gt;http://www.aihw.gov.au/WorkArea/DownloadAsset.aspx?id=60129555176&lt;/url&gt;&lt;/related-urls&gt;&lt;/urls&gt;&lt;/record&gt;&lt;/Cite&gt;&lt;/EndNote&gt;</w:instrText>
      </w:r>
      <w:r w:rsidR="002972A9">
        <w:rPr>
          <w:rFonts w:asciiTheme="minorHAnsi" w:hAnsiTheme="minorHAnsi"/>
          <w:i/>
          <w:sz w:val="22"/>
          <w:szCs w:val="22"/>
        </w:rPr>
        <w:fldChar w:fldCharType="separate"/>
      </w:r>
      <w:r w:rsidR="00F262B9" w:rsidRPr="00F262B9">
        <w:rPr>
          <w:rFonts w:asciiTheme="minorHAnsi" w:hAnsiTheme="minorHAnsi"/>
          <w:i/>
          <w:noProof/>
          <w:sz w:val="22"/>
          <w:szCs w:val="22"/>
          <w:vertAlign w:val="superscript"/>
        </w:rPr>
        <w:t>14</w:t>
      </w:r>
      <w:r w:rsidR="002972A9">
        <w:rPr>
          <w:rFonts w:asciiTheme="minorHAnsi" w:hAnsiTheme="minorHAnsi"/>
          <w:i/>
          <w:sz w:val="22"/>
          <w:szCs w:val="22"/>
        </w:rPr>
        <w:fldChar w:fldCharType="end"/>
      </w:r>
      <w:r w:rsidR="00115FB2">
        <w:rPr>
          <w:rFonts w:asciiTheme="minorHAnsi" w:hAnsiTheme="minorHAnsi"/>
          <w:i/>
          <w:sz w:val="22"/>
          <w:szCs w:val="22"/>
        </w:rPr>
        <w:t>)</w:t>
      </w:r>
      <w:r w:rsidR="00115FB2" w:rsidRPr="00115FB2">
        <w:rPr>
          <w:rFonts w:asciiTheme="minorHAnsi" w:hAnsiTheme="minorHAnsi"/>
          <w:i/>
          <w:sz w:val="22"/>
          <w:szCs w:val="22"/>
        </w:rPr>
        <w:t>.</w:t>
      </w:r>
    </w:p>
    <w:p w14:paraId="673F42BB" w14:textId="77777777" w:rsidR="001C5971" w:rsidRPr="001C5971" w:rsidRDefault="001C5971" w:rsidP="002B6A9F">
      <w:pPr>
        <w:rPr>
          <w:rFonts w:ascii="Calibri" w:hAnsi="Calibri"/>
        </w:rPr>
      </w:pPr>
    </w:p>
    <w:p w14:paraId="00EFFE0B" w14:textId="77777777" w:rsidR="001C5971" w:rsidRDefault="001C5971" w:rsidP="002B6A9F">
      <w:pPr>
        <w:rPr>
          <w:rFonts w:ascii="Calibri" w:hAnsi="Calibri"/>
        </w:rPr>
        <w:sectPr w:rsidR="001C5971" w:rsidSect="00A9173E">
          <w:headerReference w:type="even" r:id="rId18"/>
          <w:headerReference w:type="default" r:id="rId19"/>
          <w:headerReference w:type="first" r:id="rId20"/>
          <w:footnotePr>
            <w:numRestart w:val="eachSect"/>
          </w:footnotePr>
          <w:endnotePr>
            <w:numFmt w:val="decimal"/>
          </w:endnotePr>
          <w:pgSz w:w="16838" w:h="11906" w:orient="landscape"/>
          <w:pgMar w:top="1701" w:right="1134" w:bottom="1134" w:left="1134" w:header="720" w:footer="720" w:gutter="0"/>
          <w:cols w:space="720"/>
          <w:docGrid w:linePitch="326"/>
        </w:sectPr>
      </w:pPr>
    </w:p>
    <w:p w14:paraId="11F19F7A" w14:textId="2B2594CE" w:rsidR="00CA7080" w:rsidRPr="005A050C" w:rsidRDefault="005A050C" w:rsidP="005A050C">
      <w:pPr>
        <w:pStyle w:val="Heading2"/>
        <w:spacing w:after="240"/>
        <w:rPr>
          <w:sz w:val="24"/>
          <w:szCs w:val="24"/>
        </w:rPr>
      </w:pPr>
      <w:bookmarkStart w:id="15" w:name="_Toc493068321"/>
      <w:r w:rsidRPr="005A050C">
        <w:rPr>
          <w:sz w:val="24"/>
          <w:szCs w:val="24"/>
        </w:rPr>
        <w:lastRenderedPageBreak/>
        <w:t>ASTHMA</w:t>
      </w:r>
      <w:bookmarkEnd w:id="15"/>
    </w:p>
    <w:p w14:paraId="7D7FB6A0" w14:textId="1ED0948B" w:rsidR="00C125C1" w:rsidRPr="005317BA" w:rsidRDefault="00C125C1" w:rsidP="00C125C1">
      <w:pPr>
        <w:pStyle w:val="PHD-normaltext"/>
        <w:rPr>
          <w:lang w:val="en-US"/>
        </w:rPr>
      </w:pPr>
      <w:r w:rsidRPr="005317BA">
        <w:rPr>
          <w:lang w:val="en-US"/>
        </w:rPr>
        <w:t xml:space="preserve">There is no information available on the relative risk of asthma arising from exposure to </w:t>
      </w:r>
      <w:r w:rsidR="008B1C51">
        <w:rPr>
          <w:lang w:val="en-US"/>
        </w:rPr>
        <w:t xml:space="preserve">each of </w:t>
      </w:r>
      <w:r w:rsidRPr="005317BA">
        <w:rPr>
          <w:lang w:val="en-US"/>
        </w:rPr>
        <w:t xml:space="preserve">the hundreds of agents that are known to result in occupational asthma.  Instead, relative risk information </w:t>
      </w:r>
      <w:r w:rsidR="00B53239" w:rsidRPr="005317BA">
        <w:rPr>
          <w:lang w:val="en-US"/>
        </w:rPr>
        <w:t xml:space="preserve">is based on occupation, which is used as </w:t>
      </w:r>
      <w:r w:rsidR="008B1C51">
        <w:rPr>
          <w:lang w:val="en-US"/>
        </w:rPr>
        <w:t xml:space="preserve">a </w:t>
      </w:r>
      <w:r w:rsidR="00B53239" w:rsidRPr="005317BA">
        <w:rPr>
          <w:lang w:val="en-US"/>
        </w:rPr>
        <w:t xml:space="preserve">proxy measure for such exposure.  There is only one comprehensive study that provides the necessary information for incident cases of asthma.  This was conducted by </w:t>
      </w:r>
      <w:r w:rsidRPr="005317BA">
        <w:rPr>
          <w:lang w:val="en-US"/>
        </w:rPr>
        <w:t>Karjalainen and co-workers</w:t>
      </w:r>
      <w:r w:rsidR="002972A9">
        <w:rPr>
          <w:lang w:val="en-US"/>
        </w:rPr>
        <w:fldChar w:fldCharType="begin"/>
      </w:r>
      <w:r w:rsidR="00F262B9">
        <w:rPr>
          <w:lang w:val="en-US"/>
        </w:rPr>
        <w:instrText xml:space="preserve"> ADDIN EN.CITE &lt;EndNote&gt;&lt;Cite&gt;&lt;Author&gt;Karjalainen&lt;/Author&gt;&lt;Year&gt;2001&lt;/Year&gt;&lt;RecNum&gt;969&lt;/RecNum&gt;&lt;DisplayText&gt;&lt;style face="superscript"&gt;15, 16&lt;/style&gt;&lt;/DisplayText&gt;&lt;record&gt;&lt;rec-number&gt;969&lt;/rec-number&gt;&lt;foreign-keys&gt;&lt;key app="EN" db-id="9t2pp5ew3waxt7ex2apvwst4psz2x2xp0xpz" timestamp="1463894117"&gt;969&lt;/key&gt;&lt;/foreign-keys&gt;&lt;ref-type name="Journal Article"&gt;17&lt;/ref-type&gt;&lt;contributors&gt;&lt;authors&gt;&lt;author&gt;Karjalainen, A&lt;/author&gt;&lt;author&gt;Kurppa, K&lt;/author&gt;&lt;author&gt;Martikainen, R&lt;/author&gt;&lt;author&gt;Klaukka, T&lt;/author&gt;&lt;author&gt;karjalainen, J&lt;/author&gt;&lt;/authors&gt;&lt;/contributors&gt;&lt;titles&gt;&lt;title&gt;Work is related to a substantial portion of adult-onset asthma incidence in the Finnish population&lt;/title&gt;&lt;secondary-title&gt;American Journal of Respiratory &amp;amp; Critical Care Medicine&lt;/secondary-title&gt;&lt;/titles&gt;&lt;periodical&gt;&lt;full-title&gt;American Journal of Respiratory &amp;amp; Critical Care Medicine&lt;/full-title&gt;&lt;/periodical&gt;&lt;pages&gt;565-568&lt;/pages&gt;&lt;volume&gt;164&lt;/volume&gt;&lt;number&gt;4&lt;/number&gt;&lt;dates&gt;&lt;year&gt;2001&lt;/year&gt;&lt;/dates&gt;&lt;urls&gt;&lt;/urls&gt;&lt;/record&gt;&lt;/Cite&gt;&lt;Cite&gt;&lt;Author&gt;Karjalainen&lt;/Author&gt;&lt;Year&gt;2002&lt;/Year&gt;&lt;RecNum&gt;335&lt;/RecNum&gt;&lt;record&gt;&lt;rec-number&gt;335&lt;/rec-number&gt;&lt;foreign-keys&gt;&lt;key app="EN" db-id="9t2pp5ew3waxt7ex2apvwst4psz2x2xp0xpz" timestamp="0"&gt;335&lt;/key&gt;&lt;/foreign-keys&gt;&lt;ref-type name="Journal Article"&gt;17&lt;/ref-type&gt;&lt;contributors&gt;&lt;authors&gt;&lt;author&gt;Karjalainen, A&lt;/author&gt;&lt;author&gt;Kurppa, K&lt;/author&gt;&lt;author&gt;Martikanen, R&lt;/author&gt;&lt;author&gt;Karjalainen, J&lt;/author&gt;&lt;author&gt;Klaukka, T&lt;/author&gt;&lt;/authors&gt;&lt;/contributors&gt;&lt;titles&gt;&lt;title&gt;Exploration of asthma risk by occupation -extended analysis of an incidence study of the Finnish population&lt;/title&gt;&lt;secondary-title&gt;Scandinavian Journal of Work Environmental Health&lt;/secondary-title&gt;&lt;/titles&gt;&lt;periodical&gt;&lt;full-title&gt;Scandinavian Journal of Work Environmental Health&lt;/full-title&gt;&lt;/periodical&gt;&lt;pages&gt;49-57&lt;/pages&gt;&lt;volume&gt;28&lt;/volume&gt;&lt;dates&gt;&lt;year&gt;2002&lt;/year&gt;&lt;/dates&gt;&lt;urls&gt;&lt;/urls&gt;&lt;/record&gt;&lt;/Cite&gt;&lt;/EndNote&gt;</w:instrText>
      </w:r>
      <w:r w:rsidR="002972A9">
        <w:rPr>
          <w:lang w:val="en-US"/>
        </w:rPr>
        <w:fldChar w:fldCharType="separate"/>
      </w:r>
      <w:r w:rsidR="00F262B9" w:rsidRPr="00F262B9">
        <w:rPr>
          <w:noProof/>
          <w:vertAlign w:val="superscript"/>
          <w:lang w:val="en-US"/>
        </w:rPr>
        <w:t>15, 16</w:t>
      </w:r>
      <w:r w:rsidR="002972A9">
        <w:rPr>
          <w:lang w:val="en-US"/>
        </w:rPr>
        <w:fldChar w:fldCharType="end"/>
      </w:r>
      <w:r w:rsidRPr="005317BA">
        <w:rPr>
          <w:lang w:val="en-US"/>
        </w:rPr>
        <w:t xml:space="preserve">.  </w:t>
      </w:r>
      <w:r w:rsidR="00B53239" w:rsidRPr="005317BA">
        <w:rPr>
          <w:lang w:val="en-US"/>
        </w:rPr>
        <w:t xml:space="preserve">This is a Finnish study but the results are </w:t>
      </w:r>
      <w:r w:rsidR="006A6765" w:rsidRPr="005317BA">
        <w:rPr>
          <w:lang w:val="en-US"/>
        </w:rPr>
        <w:t>likely</w:t>
      </w:r>
      <w:r w:rsidR="00B53239" w:rsidRPr="005317BA">
        <w:rPr>
          <w:lang w:val="en-US"/>
        </w:rPr>
        <w:t xml:space="preserve"> to be generally applicable to the Australian workforce.  The r</w:t>
      </w:r>
      <w:r w:rsidRPr="005317BA">
        <w:rPr>
          <w:lang w:val="en-US"/>
        </w:rPr>
        <w:t>elative risk for agricultural occupations w</w:t>
      </w:r>
      <w:r w:rsidR="00B53239" w:rsidRPr="005317BA">
        <w:rPr>
          <w:lang w:val="en-US"/>
        </w:rPr>
        <w:t>as</w:t>
      </w:r>
      <w:r w:rsidRPr="005317BA">
        <w:rPr>
          <w:lang w:val="en-US"/>
        </w:rPr>
        <w:t xml:space="preserve"> based on a </w:t>
      </w:r>
      <w:r w:rsidR="00B53239" w:rsidRPr="005317BA">
        <w:rPr>
          <w:lang w:val="en-US"/>
        </w:rPr>
        <w:t xml:space="preserve">different </w:t>
      </w:r>
      <w:r w:rsidRPr="005317BA">
        <w:rPr>
          <w:lang w:val="en-US"/>
        </w:rPr>
        <w:t>study</w:t>
      </w:r>
      <w:r w:rsidR="002972A9">
        <w:rPr>
          <w:lang w:val="en-US"/>
        </w:rPr>
        <w:fldChar w:fldCharType="begin"/>
      </w:r>
      <w:r w:rsidR="00F262B9">
        <w:rPr>
          <w:lang w:val="en-US"/>
        </w:rPr>
        <w:instrText xml:space="preserve"> ADDIN EN.CITE &lt;EndNote&gt;&lt;Cite&gt;&lt;Author&gt;Kogevinas&lt;/Author&gt;&lt;Year&gt;1999&lt;/Year&gt;&lt;RecNum&gt;336&lt;/RecNum&gt;&lt;DisplayText&gt;&lt;style face="superscript"&gt;17&lt;/style&gt;&lt;/DisplayText&gt;&lt;record&gt;&lt;rec-number&gt;336&lt;/rec-number&gt;&lt;foreign-keys&gt;&lt;key app="EN" db-id="9t2pp5ew3waxt7ex2apvwst4psz2x2xp0xpz" timestamp="0"&gt;336&lt;/key&gt;&lt;/foreign-keys&gt;&lt;ref-type name="Journal Article"&gt;17&lt;/ref-type&gt;&lt;contributors&gt;&lt;authors&gt;&lt;author&gt;Kogevinas, M&lt;/author&gt;&lt;author&gt;Anto, JM&lt;/author&gt;&lt;author&gt;Sunyer, J&lt;/author&gt;&lt;author&gt;Tobias, A&lt;/author&gt;&lt;author&gt;Kromhout, H&lt;/author&gt;&lt;author&gt;Burney, P&lt;/author&gt;&lt;/authors&gt;&lt;/contributors&gt;&lt;titles&gt;&lt;title&gt;Occupational asthma in Europe&lt;/title&gt;&lt;secondary-title&gt;Lancet&lt;/secondary-title&gt;&lt;/titles&gt;&lt;periodical&gt;&lt;full-title&gt;Lancet&lt;/full-title&gt;&lt;/periodical&gt;&lt;pages&gt;1750-1754&lt;/pages&gt;&lt;volume&gt;353&lt;/volume&gt;&lt;dates&gt;&lt;year&gt;1999&lt;/year&gt;&lt;/dates&gt;&lt;urls&gt;&lt;/urls&gt;&lt;/record&gt;&lt;/Cite&gt;&lt;/EndNote&gt;</w:instrText>
      </w:r>
      <w:r w:rsidR="002972A9">
        <w:rPr>
          <w:lang w:val="en-US"/>
        </w:rPr>
        <w:fldChar w:fldCharType="separate"/>
      </w:r>
      <w:r w:rsidR="00F262B9" w:rsidRPr="00F262B9">
        <w:rPr>
          <w:noProof/>
          <w:vertAlign w:val="superscript"/>
          <w:lang w:val="en-US"/>
        </w:rPr>
        <w:t>17</w:t>
      </w:r>
      <w:r w:rsidR="002972A9">
        <w:rPr>
          <w:lang w:val="en-US"/>
        </w:rPr>
        <w:fldChar w:fldCharType="end"/>
      </w:r>
      <w:r w:rsidRPr="005317BA">
        <w:rPr>
          <w:lang w:val="en-US"/>
        </w:rPr>
        <w:t xml:space="preserve">.  This information was used because the results were thought to be more generalizable to agriculture </w:t>
      </w:r>
      <w:r w:rsidR="00B53239" w:rsidRPr="005317BA">
        <w:rPr>
          <w:lang w:val="en-US"/>
        </w:rPr>
        <w:t>outside of Finland</w:t>
      </w:r>
      <w:r w:rsidR="006A6765" w:rsidRPr="005317BA">
        <w:rPr>
          <w:lang w:val="en-US"/>
        </w:rPr>
        <w:t xml:space="preserve"> (Table </w:t>
      </w:r>
      <w:r w:rsidR="008B1C51">
        <w:rPr>
          <w:lang w:val="en-US"/>
        </w:rPr>
        <w:t>2</w:t>
      </w:r>
      <w:r w:rsidR="006A6765" w:rsidRPr="005317BA">
        <w:rPr>
          <w:lang w:val="en-US"/>
        </w:rPr>
        <w:t>)</w:t>
      </w:r>
      <w:r w:rsidRPr="005317BA">
        <w:rPr>
          <w:lang w:val="en-US"/>
        </w:rPr>
        <w:t>.</w:t>
      </w:r>
    </w:p>
    <w:p w14:paraId="278E2362" w14:textId="77777777" w:rsidR="00C37713" w:rsidRPr="005317BA" w:rsidRDefault="006A6765" w:rsidP="00C37713">
      <w:pPr>
        <w:pStyle w:val="PhD-tableheading"/>
        <w:spacing w:before="120"/>
        <w:ind w:left="1702"/>
        <w:rPr>
          <w:rFonts w:ascii="Calibri" w:hAnsi="Calibri"/>
          <w:sz w:val="22"/>
          <w:szCs w:val="22"/>
        </w:rPr>
      </w:pPr>
      <w:bookmarkStart w:id="16" w:name="_Toc399770597"/>
      <w:r w:rsidRPr="005317BA">
        <w:rPr>
          <w:rFonts w:ascii="Calibri" w:hAnsi="Calibri"/>
          <w:sz w:val="22"/>
          <w:szCs w:val="22"/>
        </w:rPr>
        <w:t xml:space="preserve">Table </w:t>
      </w:r>
      <w:r w:rsidR="008B1C51">
        <w:rPr>
          <w:rFonts w:ascii="Calibri" w:hAnsi="Calibri"/>
          <w:sz w:val="22"/>
          <w:szCs w:val="22"/>
        </w:rPr>
        <w:t>2</w:t>
      </w:r>
      <w:r w:rsidRPr="005317BA">
        <w:rPr>
          <w:rFonts w:ascii="Calibri" w:hAnsi="Calibri"/>
          <w:sz w:val="22"/>
          <w:szCs w:val="22"/>
        </w:rPr>
        <w:t>.</w:t>
      </w:r>
      <w:r w:rsidRPr="005317BA">
        <w:rPr>
          <w:rFonts w:ascii="Calibri" w:hAnsi="Calibri"/>
          <w:sz w:val="22"/>
          <w:szCs w:val="22"/>
        </w:rPr>
        <w:tab/>
      </w:r>
      <w:r w:rsidR="00C37713" w:rsidRPr="005317BA">
        <w:rPr>
          <w:rFonts w:ascii="Calibri" w:hAnsi="Calibri"/>
          <w:sz w:val="22"/>
          <w:szCs w:val="22"/>
        </w:rPr>
        <w:t>Relative risk of asthma from occupational exposure to asthmagens - by occupation and sex</w:t>
      </w:r>
      <w:r w:rsidR="006F6CC1" w:rsidRPr="005317BA">
        <w:rPr>
          <w:rFonts w:ascii="Calibri" w:hAnsi="Calibri"/>
          <w:sz w:val="22"/>
          <w:szCs w:val="22"/>
          <w:vertAlign w:val="superscript"/>
        </w:rPr>
        <w:t>+</w:t>
      </w:r>
      <w:r w:rsidR="00C37713" w:rsidRPr="005317BA">
        <w:rPr>
          <w:rFonts w:ascii="Calibri" w:hAnsi="Calibri"/>
          <w:sz w:val="22"/>
          <w:szCs w:val="22"/>
        </w:rPr>
        <w:t>.</w:t>
      </w:r>
      <w:bookmarkEnd w:id="16"/>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805"/>
        <w:gridCol w:w="1134"/>
        <w:gridCol w:w="1134"/>
        <w:gridCol w:w="567"/>
        <w:gridCol w:w="1134"/>
        <w:gridCol w:w="1134"/>
      </w:tblGrid>
      <w:tr w:rsidR="006F6CC1" w:rsidRPr="005317BA" w14:paraId="73BAFA85" w14:textId="77777777" w:rsidTr="00B74D8C">
        <w:trPr>
          <w:tblHeader/>
          <w:jc w:val="center"/>
        </w:trPr>
        <w:tc>
          <w:tcPr>
            <w:tcW w:w="1805" w:type="dxa"/>
            <w:tcBorders>
              <w:bottom w:val="nil"/>
            </w:tcBorders>
          </w:tcPr>
          <w:p w14:paraId="12F01D3A" w14:textId="77777777" w:rsidR="006F6CC1" w:rsidRPr="005317BA" w:rsidRDefault="006F6CC1" w:rsidP="006A6765">
            <w:pPr>
              <w:pStyle w:val="PHD-normaltext"/>
              <w:spacing w:before="120" w:line="240" w:lineRule="auto"/>
              <w:jc w:val="center"/>
              <w:rPr>
                <w:rFonts w:ascii="Calibri" w:hAnsi="Calibri"/>
                <w:b/>
                <w:sz w:val="22"/>
                <w:szCs w:val="22"/>
              </w:rPr>
            </w:pPr>
          </w:p>
        </w:tc>
        <w:tc>
          <w:tcPr>
            <w:tcW w:w="2268" w:type="dxa"/>
            <w:gridSpan w:val="2"/>
            <w:tcBorders>
              <w:bottom w:val="nil"/>
            </w:tcBorders>
          </w:tcPr>
          <w:p w14:paraId="209DFD82" w14:textId="77777777" w:rsidR="006F6CC1" w:rsidRPr="005317BA" w:rsidRDefault="006F6CC1" w:rsidP="006A6765">
            <w:pPr>
              <w:pStyle w:val="PHD-normaltext"/>
              <w:spacing w:before="120" w:line="240" w:lineRule="auto"/>
              <w:jc w:val="center"/>
              <w:rPr>
                <w:rFonts w:ascii="Calibri" w:hAnsi="Calibri"/>
                <w:b/>
                <w:sz w:val="22"/>
                <w:szCs w:val="22"/>
              </w:rPr>
            </w:pPr>
            <w:r w:rsidRPr="005317BA">
              <w:rPr>
                <w:rFonts w:ascii="Calibri" w:hAnsi="Calibri"/>
                <w:b/>
                <w:sz w:val="22"/>
                <w:szCs w:val="22"/>
              </w:rPr>
              <w:t>Males</w:t>
            </w:r>
          </w:p>
        </w:tc>
        <w:tc>
          <w:tcPr>
            <w:tcW w:w="567" w:type="dxa"/>
            <w:tcBorders>
              <w:bottom w:val="nil"/>
            </w:tcBorders>
          </w:tcPr>
          <w:p w14:paraId="681329FC" w14:textId="77777777" w:rsidR="006F6CC1" w:rsidRPr="005317BA" w:rsidRDefault="006F6CC1" w:rsidP="006A6765">
            <w:pPr>
              <w:pStyle w:val="PHD-normaltext"/>
              <w:spacing w:before="120" w:line="240" w:lineRule="auto"/>
              <w:jc w:val="center"/>
              <w:rPr>
                <w:rFonts w:ascii="Calibri" w:hAnsi="Calibri"/>
                <w:b/>
                <w:sz w:val="22"/>
                <w:szCs w:val="22"/>
              </w:rPr>
            </w:pPr>
          </w:p>
        </w:tc>
        <w:tc>
          <w:tcPr>
            <w:tcW w:w="2268" w:type="dxa"/>
            <w:gridSpan w:val="2"/>
            <w:tcBorders>
              <w:bottom w:val="nil"/>
            </w:tcBorders>
          </w:tcPr>
          <w:p w14:paraId="423E8682" w14:textId="77777777" w:rsidR="006F6CC1" w:rsidRPr="005317BA" w:rsidRDefault="006F6CC1" w:rsidP="006A6765">
            <w:pPr>
              <w:pStyle w:val="PHD-normaltext"/>
              <w:spacing w:before="120" w:line="240" w:lineRule="auto"/>
              <w:jc w:val="center"/>
              <w:rPr>
                <w:rFonts w:ascii="Calibri" w:hAnsi="Calibri"/>
                <w:b/>
                <w:sz w:val="22"/>
                <w:szCs w:val="22"/>
              </w:rPr>
            </w:pPr>
            <w:r w:rsidRPr="005317BA">
              <w:rPr>
                <w:rFonts w:ascii="Calibri" w:hAnsi="Calibri"/>
                <w:b/>
                <w:sz w:val="22"/>
                <w:szCs w:val="22"/>
              </w:rPr>
              <w:t>Females</w:t>
            </w:r>
          </w:p>
        </w:tc>
      </w:tr>
      <w:tr w:rsidR="006F6CC1" w:rsidRPr="005317BA" w14:paraId="62BEAB91" w14:textId="77777777" w:rsidTr="00B74D8C">
        <w:trPr>
          <w:tblHeader/>
          <w:jc w:val="center"/>
        </w:trPr>
        <w:tc>
          <w:tcPr>
            <w:tcW w:w="1805" w:type="dxa"/>
            <w:tcBorders>
              <w:top w:val="nil"/>
              <w:bottom w:val="single" w:sz="4" w:space="0" w:color="auto"/>
            </w:tcBorders>
          </w:tcPr>
          <w:p w14:paraId="6729C397" w14:textId="77777777" w:rsidR="006F6CC1" w:rsidRPr="005317BA" w:rsidRDefault="006F6CC1" w:rsidP="006A6765">
            <w:pPr>
              <w:pStyle w:val="PHD-normaltext"/>
              <w:spacing w:after="120" w:line="240" w:lineRule="auto"/>
              <w:jc w:val="center"/>
              <w:rPr>
                <w:rFonts w:ascii="Calibri" w:hAnsi="Calibri"/>
                <w:b/>
                <w:sz w:val="22"/>
                <w:szCs w:val="22"/>
              </w:rPr>
            </w:pPr>
          </w:p>
        </w:tc>
        <w:tc>
          <w:tcPr>
            <w:tcW w:w="1134" w:type="dxa"/>
            <w:tcBorders>
              <w:top w:val="nil"/>
              <w:bottom w:val="single" w:sz="4" w:space="0" w:color="auto"/>
            </w:tcBorders>
          </w:tcPr>
          <w:p w14:paraId="48415AB0" w14:textId="77777777" w:rsidR="006F6CC1" w:rsidRPr="005317BA" w:rsidRDefault="006F6CC1" w:rsidP="006A6765">
            <w:pPr>
              <w:pStyle w:val="PHD-normaltext"/>
              <w:spacing w:after="120" w:line="240" w:lineRule="auto"/>
              <w:jc w:val="center"/>
              <w:rPr>
                <w:rFonts w:ascii="Calibri" w:hAnsi="Calibri"/>
                <w:b/>
                <w:sz w:val="22"/>
                <w:szCs w:val="22"/>
              </w:rPr>
            </w:pPr>
            <w:r w:rsidRPr="005317BA">
              <w:rPr>
                <w:rFonts w:ascii="Calibri" w:hAnsi="Calibri"/>
                <w:b/>
                <w:sz w:val="22"/>
                <w:szCs w:val="22"/>
              </w:rPr>
              <w:t>RR</w:t>
            </w:r>
          </w:p>
        </w:tc>
        <w:tc>
          <w:tcPr>
            <w:tcW w:w="1134" w:type="dxa"/>
            <w:tcBorders>
              <w:top w:val="nil"/>
              <w:bottom w:val="single" w:sz="4" w:space="0" w:color="auto"/>
            </w:tcBorders>
          </w:tcPr>
          <w:p w14:paraId="0E40DBD2" w14:textId="77777777" w:rsidR="006F6CC1" w:rsidRPr="005317BA" w:rsidRDefault="006F6CC1" w:rsidP="006F6CC1">
            <w:pPr>
              <w:pStyle w:val="PHD-normaltext"/>
              <w:spacing w:after="120" w:line="240" w:lineRule="auto"/>
              <w:jc w:val="center"/>
              <w:rPr>
                <w:rFonts w:ascii="Calibri" w:hAnsi="Calibri"/>
                <w:b/>
                <w:sz w:val="22"/>
                <w:szCs w:val="22"/>
              </w:rPr>
            </w:pPr>
            <w:r w:rsidRPr="005317BA">
              <w:rPr>
                <w:rFonts w:ascii="Calibri" w:hAnsi="Calibri"/>
                <w:b/>
                <w:sz w:val="22"/>
                <w:szCs w:val="22"/>
              </w:rPr>
              <w:t>95%CI</w:t>
            </w:r>
            <w:r w:rsidRPr="005317BA">
              <w:rPr>
                <w:rFonts w:ascii="Calibri" w:hAnsi="Calibri"/>
                <w:b/>
                <w:sz w:val="22"/>
                <w:szCs w:val="22"/>
                <w:vertAlign w:val="superscript"/>
              </w:rPr>
              <w:t>^</w:t>
            </w:r>
          </w:p>
        </w:tc>
        <w:tc>
          <w:tcPr>
            <w:tcW w:w="567" w:type="dxa"/>
            <w:tcBorders>
              <w:top w:val="nil"/>
              <w:bottom w:val="single" w:sz="4" w:space="0" w:color="auto"/>
            </w:tcBorders>
          </w:tcPr>
          <w:p w14:paraId="693DBE82" w14:textId="77777777" w:rsidR="006F6CC1" w:rsidRPr="005317BA" w:rsidRDefault="006F6CC1" w:rsidP="006A6765">
            <w:pPr>
              <w:pStyle w:val="PHD-normaltext"/>
              <w:spacing w:after="120" w:line="240" w:lineRule="auto"/>
              <w:jc w:val="center"/>
              <w:rPr>
                <w:rFonts w:ascii="Calibri" w:hAnsi="Calibri"/>
                <w:b/>
                <w:sz w:val="22"/>
                <w:szCs w:val="22"/>
              </w:rPr>
            </w:pPr>
          </w:p>
        </w:tc>
        <w:tc>
          <w:tcPr>
            <w:tcW w:w="1134" w:type="dxa"/>
            <w:tcBorders>
              <w:top w:val="nil"/>
              <w:bottom w:val="single" w:sz="4" w:space="0" w:color="auto"/>
            </w:tcBorders>
          </w:tcPr>
          <w:p w14:paraId="00C27C6A" w14:textId="77777777" w:rsidR="006F6CC1" w:rsidRPr="005317BA" w:rsidRDefault="006F6CC1" w:rsidP="006A6765">
            <w:pPr>
              <w:pStyle w:val="PHD-normaltext"/>
              <w:spacing w:after="120" w:line="240" w:lineRule="auto"/>
              <w:jc w:val="center"/>
              <w:rPr>
                <w:rFonts w:ascii="Calibri" w:hAnsi="Calibri"/>
                <w:b/>
                <w:sz w:val="22"/>
                <w:szCs w:val="22"/>
              </w:rPr>
            </w:pPr>
            <w:r w:rsidRPr="005317BA">
              <w:rPr>
                <w:rFonts w:ascii="Calibri" w:hAnsi="Calibri"/>
                <w:b/>
                <w:sz w:val="22"/>
                <w:szCs w:val="22"/>
              </w:rPr>
              <w:t>RR</w:t>
            </w:r>
          </w:p>
        </w:tc>
        <w:tc>
          <w:tcPr>
            <w:tcW w:w="1134" w:type="dxa"/>
            <w:tcBorders>
              <w:top w:val="nil"/>
              <w:bottom w:val="single" w:sz="4" w:space="0" w:color="auto"/>
            </w:tcBorders>
          </w:tcPr>
          <w:p w14:paraId="402B934C" w14:textId="77777777" w:rsidR="006F6CC1" w:rsidRPr="005317BA" w:rsidRDefault="006F6CC1" w:rsidP="00C37713">
            <w:pPr>
              <w:pStyle w:val="PHD-normaltext"/>
              <w:spacing w:after="120" w:line="240" w:lineRule="auto"/>
              <w:jc w:val="center"/>
              <w:rPr>
                <w:rFonts w:ascii="Calibri" w:hAnsi="Calibri"/>
                <w:b/>
                <w:sz w:val="22"/>
                <w:szCs w:val="22"/>
              </w:rPr>
            </w:pPr>
            <w:r w:rsidRPr="005317BA">
              <w:rPr>
                <w:rFonts w:ascii="Calibri" w:hAnsi="Calibri"/>
                <w:b/>
                <w:sz w:val="22"/>
                <w:szCs w:val="22"/>
              </w:rPr>
              <w:t>95% CI</w:t>
            </w:r>
          </w:p>
        </w:tc>
      </w:tr>
      <w:tr w:rsidR="006F6CC1" w:rsidRPr="005317BA" w14:paraId="5710EAE8" w14:textId="77777777" w:rsidTr="006F6CC1">
        <w:trPr>
          <w:jc w:val="center"/>
        </w:trPr>
        <w:tc>
          <w:tcPr>
            <w:tcW w:w="1805" w:type="dxa"/>
            <w:tcBorders>
              <w:top w:val="single" w:sz="4" w:space="0" w:color="auto"/>
            </w:tcBorders>
          </w:tcPr>
          <w:p w14:paraId="47C8C0A1" w14:textId="77777777" w:rsidR="006F6CC1" w:rsidRPr="005317BA" w:rsidRDefault="006F6CC1" w:rsidP="006A6765">
            <w:pPr>
              <w:pStyle w:val="PHD-normaltext"/>
              <w:spacing w:before="120" w:line="240" w:lineRule="auto"/>
              <w:rPr>
                <w:rFonts w:ascii="Calibri" w:hAnsi="Calibri"/>
                <w:sz w:val="22"/>
                <w:szCs w:val="22"/>
              </w:rPr>
            </w:pPr>
            <w:r w:rsidRPr="005317BA">
              <w:rPr>
                <w:rFonts w:ascii="Calibri" w:hAnsi="Calibri"/>
                <w:sz w:val="22"/>
                <w:szCs w:val="22"/>
              </w:rPr>
              <w:t>Background</w:t>
            </w:r>
          </w:p>
        </w:tc>
        <w:tc>
          <w:tcPr>
            <w:tcW w:w="1134" w:type="dxa"/>
            <w:tcBorders>
              <w:top w:val="single" w:sz="4" w:space="0" w:color="auto"/>
            </w:tcBorders>
          </w:tcPr>
          <w:p w14:paraId="7B92A9FD" w14:textId="77777777" w:rsidR="006F6CC1" w:rsidRPr="005317BA" w:rsidRDefault="006F6CC1" w:rsidP="006A6765">
            <w:pPr>
              <w:pStyle w:val="PHD-normaltext"/>
              <w:tabs>
                <w:tab w:val="decimal" w:pos="475"/>
              </w:tabs>
              <w:spacing w:before="120" w:line="240" w:lineRule="auto"/>
              <w:rPr>
                <w:rFonts w:ascii="Calibri" w:hAnsi="Calibri"/>
                <w:sz w:val="22"/>
                <w:szCs w:val="22"/>
              </w:rPr>
            </w:pPr>
            <w:r w:rsidRPr="005317BA">
              <w:rPr>
                <w:rFonts w:ascii="Calibri" w:hAnsi="Calibri"/>
                <w:sz w:val="22"/>
                <w:szCs w:val="22"/>
              </w:rPr>
              <w:t>1</w:t>
            </w:r>
          </w:p>
        </w:tc>
        <w:tc>
          <w:tcPr>
            <w:tcW w:w="1134" w:type="dxa"/>
            <w:tcBorders>
              <w:top w:val="single" w:sz="4" w:space="0" w:color="auto"/>
            </w:tcBorders>
          </w:tcPr>
          <w:p w14:paraId="44905661" w14:textId="77777777" w:rsidR="006F6CC1" w:rsidRPr="005317BA" w:rsidRDefault="006F6CC1" w:rsidP="006A6765">
            <w:pPr>
              <w:pStyle w:val="PHD-normaltext"/>
              <w:tabs>
                <w:tab w:val="decimal" w:pos="475"/>
              </w:tabs>
              <w:spacing w:before="120" w:line="240" w:lineRule="auto"/>
              <w:rPr>
                <w:rFonts w:ascii="Calibri" w:hAnsi="Calibri"/>
                <w:sz w:val="22"/>
                <w:szCs w:val="22"/>
              </w:rPr>
            </w:pPr>
          </w:p>
        </w:tc>
        <w:tc>
          <w:tcPr>
            <w:tcW w:w="567" w:type="dxa"/>
            <w:tcBorders>
              <w:top w:val="single" w:sz="4" w:space="0" w:color="auto"/>
            </w:tcBorders>
          </w:tcPr>
          <w:p w14:paraId="704EB0A9" w14:textId="77777777" w:rsidR="006F6CC1" w:rsidRPr="005317BA" w:rsidRDefault="006F6CC1" w:rsidP="006A6765">
            <w:pPr>
              <w:pStyle w:val="PHD-normaltext"/>
              <w:tabs>
                <w:tab w:val="decimal" w:pos="475"/>
              </w:tabs>
              <w:spacing w:before="120" w:line="240" w:lineRule="auto"/>
              <w:rPr>
                <w:rFonts w:ascii="Calibri" w:hAnsi="Calibri"/>
                <w:sz w:val="22"/>
                <w:szCs w:val="22"/>
              </w:rPr>
            </w:pPr>
          </w:p>
        </w:tc>
        <w:tc>
          <w:tcPr>
            <w:tcW w:w="1134" w:type="dxa"/>
            <w:tcBorders>
              <w:top w:val="single" w:sz="4" w:space="0" w:color="auto"/>
            </w:tcBorders>
          </w:tcPr>
          <w:p w14:paraId="15DC330A" w14:textId="77777777" w:rsidR="006F6CC1" w:rsidRPr="005317BA" w:rsidRDefault="006F6CC1" w:rsidP="006A6765">
            <w:pPr>
              <w:pStyle w:val="PHD-normaltext"/>
              <w:tabs>
                <w:tab w:val="decimal" w:pos="475"/>
              </w:tabs>
              <w:spacing w:before="120" w:line="240" w:lineRule="auto"/>
              <w:rPr>
                <w:rFonts w:ascii="Calibri" w:hAnsi="Calibri"/>
                <w:sz w:val="22"/>
                <w:szCs w:val="22"/>
              </w:rPr>
            </w:pPr>
            <w:r w:rsidRPr="005317BA">
              <w:rPr>
                <w:rFonts w:ascii="Calibri" w:hAnsi="Calibri"/>
                <w:sz w:val="22"/>
                <w:szCs w:val="22"/>
              </w:rPr>
              <w:t>1</w:t>
            </w:r>
          </w:p>
        </w:tc>
        <w:tc>
          <w:tcPr>
            <w:tcW w:w="1134" w:type="dxa"/>
            <w:tcBorders>
              <w:top w:val="single" w:sz="4" w:space="0" w:color="auto"/>
            </w:tcBorders>
          </w:tcPr>
          <w:p w14:paraId="3B9ED2FC" w14:textId="77777777" w:rsidR="006F6CC1" w:rsidRPr="005317BA" w:rsidRDefault="006F6CC1" w:rsidP="006A6765">
            <w:pPr>
              <w:pStyle w:val="PHD-normaltext"/>
              <w:tabs>
                <w:tab w:val="decimal" w:pos="475"/>
              </w:tabs>
              <w:spacing w:before="120" w:line="240" w:lineRule="auto"/>
              <w:rPr>
                <w:rFonts w:ascii="Calibri" w:hAnsi="Calibri"/>
                <w:sz w:val="22"/>
                <w:szCs w:val="22"/>
              </w:rPr>
            </w:pPr>
          </w:p>
        </w:tc>
      </w:tr>
      <w:tr w:rsidR="006F6CC1" w:rsidRPr="005317BA" w14:paraId="0D67C51E" w14:textId="77777777" w:rsidTr="006F6CC1">
        <w:trPr>
          <w:jc w:val="center"/>
        </w:trPr>
        <w:tc>
          <w:tcPr>
            <w:tcW w:w="1805" w:type="dxa"/>
          </w:tcPr>
          <w:p w14:paraId="3F10AC8F" w14:textId="77777777" w:rsidR="006F6CC1" w:rsidRPr="005317BA" w:rsidRDefault="006F6CC1" w:rsidP="006A6765">
            <w:pPr>
              <w:pStyle w:val="PHD-normaltext"/>
              <w:spacing w:line="240" w:lineRule="auto"/>
              <w:rPr>
                <w:rFonts w:ascii="Calibri" w:hAnsi="Calibri"/>
                <w:sz w:val="22"/>
                <w:szCs w:val="22"/>
              </w:rPr>
            </w:pPr>
            <w:r w:rsidRPr="005317BA">
              <w:rPr>
                <w:rFonts w:ascii="Calibri" w:hAnsi="Calibri"/>
                <w:sz w:val="22"/>
                <w:szCs w:val="22"/>
              </w:rPr>
              <w:t>Administrative</w:t>
            </w:r>
          </w:p>
        </w:tc>
        <w:tc>
          <w:tcPr>
            <w:tcW w:w="1134" w:type="dxa"/>
          </w:tcPr>
          <w:p w14:paraId="7DB8C176"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w:t>
            </w:r>
          </w:p>
        </w:tc>
        <w:tc>
          <w:tcPr>
            <w:tcW w:w="1134" w:type="dxa"/>
          </w:tcPr>
          <w:p w14:paraId="33E2D211" w14:textId="77777777" w:rsidR="006F6CC1" w:rsidRPr="005317BA" w:rsidRDefault="006F6CC1" w:rsidP="006A6765">
            <w:pPr>
              <w:pStyle w:val="PHD-normaltext"/>
              <w:tabs>
                <w:tab w:val="decimal" w:pos="475"/>
              </w:tabs>
              <w:spacing w:line="240" w:lineRule="auto"/>
              <w:rPr>
                <w:rFonts w:ascii="Calibri" w:hAnsi="Calibri"/>
                <w:sz w:val="22"/>
                <w:szCs w:val="22"/>
              </w:rPr>
            </w:pPr>
          </w:p>
        </w:tc>
        <w:tc>
          <w:tcPr>
            <w:tcW w:w="567" w:type="dxa"/>
          </w:tcPr>
          <w:p w14:paraId="1FA195F1" w14:textId="77777777" w:rsidR="006F6CC1" w:rsidRPr="005317BA" w:rsidRDefault="006F6CC1" w:rsidP="006A6765">
            <w:pPr>
              <w:pStyle w:val="PHD-normaltext"/>
              <w:tabs>
                <w:tab w:val="decimal" w:pos="475"/>
              </w:tabs>
              <w:spacing w:line="240" w:lineRule="auto"/>
              <w:rPr>
                <w:rFonts w:ascii="Calibri" w:hAnsi="Calibri"/>
                <w:sz w:val="22"/>
                <w:szCs w:val="22"/>
              </w:rPr>
            </w:pPr>
          </w:p>
        </w:tc>
        <w:tc>
          <w:tcPr>
            <w:tcW w:w="1134" w:type="dxa"/>
          </w:tcPr>
          <w:p w14:paraId="15020822"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w:t>
            </w:r>
          </w:p>
        </w:tc>
        <w:tc>
          <w:tcPr>
            <w:tcW w:w="1134" w:type="dxa"/>
          </w:tcPr>
          <w:p w14:paraId="09FEC211" w14:textId="77777777" w:rsidR="006F6CC1" w:rsidRPr="005317BA" w:rsidRDefault="006F6CC1" w:rsidP="006A6765">
            <w:pPr>
              <w:pStyle w:val="PHD-normaltext"/>
              <w:tabs>
                <w:tab w:val="decimal" w:pos="475"/>
              </w:tabs>
              <w:spacing w:line="240" w:lineRule="auto"/>
              <w:rPr>
                <w:rFonts w:ascii="Calibri" w:hAnsi="Calibri"/>
                <w:sz w:val="22"/>
                <w:szCs w:val="22"/>
              </w:rPr>
            </w:pPr>
          </w:p>
        </w:tc>
      </w:tr>
      <w:tr w:rsidR="006F6CC1" w:rsidRPr="005317BA" w14:paraId="649E2A35" w14:textId="77777777" w:rsidTr="006F6CC1">
        <w:trPr>
          <w:jc w:val="center"/>
        </w:trPr>
        <w:tc>
          <w:tcPr>
            <w:tcW w:w="1805" w:type="dxa"/>
          </w:tcPr>
          <w:p w14:paraId="6101D98D" w14:textId="77777777" w:rsidR="006F6CC1" w:rsidRPr="005317BA" w:rsidRDefault="006F6CC1" w:rsidP="006A6765">
            <w:pPr>
              <w:pStyle w:val="PHD-normaltext"/>
              <w:spacing w:line="240" w:lineRule="auto"/>
              <w:rPr>
                <w:rFonts w:ascii="Calibri" w:hAnsi="Calibri"/>
                <w:sz w:val="22"/>
                <w:szCs w:val="22"/>
              </w:rPr>
            </w:pPr>
            <w:r w:rsidRPr="005317BA">
              <w:rPr>
                <w:rFonts w:ascii="Calibri" w:hAnsi="Calibri"/>
                <w:sz w:val="22"/>
                <w:szCs w:val="22"/>
              </w:rPr>
              <w:t>Technical</w:t>
            </w:r>
          </w:p>
        </w:tc>
        <w:tc>
          <w:tcPr>
            <w:tcW w:w="1134" w:type="dxa"/>
          </w:tcPr>
          <w:p w14:paraId="1F03E545"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1.05</w:t>
            </w:r>
          </w:p>
        </w:tc>
        <w:tc>
          <w:tcPr>
            <w:tcW w:w="1134" w:type="dxa"/>
          </w:tcPr>
          <w:p w14:paraId="737F42E2"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0.98-1.12</w:t>
            </w:r>
          </w:p>
        </w:tc>
        <w:tc>
          <w:tcPr>
            <w:tcW w:w="567" w:type="dxa"/>
          </w:tcPr>
          <w:p w14:paraId="7435C87E" w14:textId="77777777" w:rsidR="006F6CC1" w:rsidRPr="005317BA" w:rsidRDefault="006F6CC1" w:rsidP="006A6765">
            <w:pPr>
              <w:pStyle w:val="PHD-normaltext"/>
              <w:tabs>
                <w:tab w:val="decimal" w:pos="475"/>
              </w:tabs>
              <w:spacing w:line="240" w:lineRule="auto"/>
              <w:rPr>
                <w:rFonts w:ascii="Calibri" w:hAnsi="Calibri"/>
                <w:sz w:val="22"/>
                <w:szCs w:val="22"/>
              </w:rPr>
            </w:pPr>
          </w:p>
        </w:tc>
        <w:tc>
          <w:tcPr>
            <w:tcW w:w="1134" w:type="dxa"/>
          </w:tcPr>
          <w:p w14:paraId="4E59754C"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1.06</w:t>
            </w:r>
          </w:p>
        </w:tc>
        <w:tc>
          <w:tcPr>
            <w:tcW w:w="1134" w:type="dxa"/>
          </w:tcPr>
          <w:p w14:paraId="58F5B143"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1.03-1.10</w:t>
            </w:r>
          </w:p>
        </w:tc>
      </w:tr>
      <w:tr w:rsidR="006F6CC1" w:rsidRPr="005317BA" w14:paraId="1C659655" w14:textId="77777777" w:rsidTr="006F6CC1">
        <w:trPr>
          <w:jc w:val="center"/>
        </w:trPr>
        <w:tc>
          <w:tcPr>
            <w:tcW w:w="1805" w:type="dxa"/>
          </w:tcPr>
          <w:p w14:paraId="22C62F6A" w14:textId="77777777" w:rsidR="006F6CC1" w:rsidRPr="005317BA" w:rsidRDefault="006F6CC1" w:rsidP="006A6765">
            <w:pPr>
              <w:pStyle w:val="PHD-normaltext"/>
              <w:spacing w:line="240" w:lineRule="auto"/>
              <w:rPr>
                <w:rFonts w:ascii="Calibri" w:hAnsi="Calibri"/>
                <w:sz w:val="22"/>
                <w:szCs w:val="22"/>
              </w:rPr>
            </w:pPr>
            <w:r w:rsidRPr="005317BA">
              <w:rPr>
                <w:rFonts w:ascii="Calibri" w:hAnsi="Calibri"/>
                <w:sz w:val="22"/>
                <w:szCs w:val="22"/>
              </w:rPr>
              <w:t>Sales</w:t>
            </w:r>
          </w:p>
        </w:tc>
        <w:tc>
          <w:tcPr>
            <w:tcW w:w="1134" w:type="dxa"/>
          </w:tcPr>
          <w:p w14:paraId="2815A829"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1.14</w:t>
            </w:r>
          </w:p>
        </w:tc>
        <w:tc>
          <w:tcPr>
            <w:tcW w:w="1134" w:type="dxa"/>
          </w:tcPr>
          <w:p w14:paraId="61E0FEA4"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1.05-1.23</w:t>
            </w:r>
          </w:p>
        </w:tc>
        <w:tc>
          <w:tcPr>
            <w:tcW w:w="567" w:type="dxa"/>
          </w:tcPr>
          <w:p w14:paraId="0F95B9F0" w14:textId="77777777" w:rsidR="006F6CC1" w:rsidRPr="005317BA" w:rsidRDefault="006F6CC1" w:rsidP="006A6765">
            <w:pPr>
              <w:pStyle w:val="PHD-normaltext"/>
              <w:tabs>
                <w:tab w:val="decimal" w:pos="475"/>
              </w:tabs>
              <w:spacing w:line="240" w:lineRule="auto"/>
              <w:rPr>
                <w:rFonts w:ascii="Calibri" w:hAnsi="Calibri"/>
                <w:sz w:val="22"/>
                <w:szCs w:val="22"/>
              </w:rPr>
            </w:pPr>
          </w:p>
        </w:tc>
        <w:tc>
          <w:tcPr>
            <w:tcW w:w="1134" w:type="dxa"/>
          </w:tcPr>
          <w:p w14:paraId="7E0AF64A"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1.13</w:t>
            </w:r>
          </w:p>
        </w:tc>
        <w:tc>
          <w:tcPr>
            <w:tcW w:w="1134" w:type="dxa"/>
          </w:tcPr>
          <w:p w14:paraId="05976761"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1.08-1.18</w:t>
            </w:r>
          </w:p>
        </w:tc>
      </w:tr>
      <w:tr w:rsidR="006F6CC1" w:rsidRPr="005317BA" w14:paraId="2A8FD931" w14:textId="77777777" w:rsidTr="006F6CC1">
        <w:trPr>
          <w:jc w:val="center"/>
        </w:trPr>
        <w:tc>
          <w:tcPr>
            <w:tcW w:w="1805" w:type="dxa"/>
          </w:tcPr>
          <w:p w14:paraId="00450729" w14:textId="77777777" w:rsidR="006F6CC1" w:rsidRPr="005317BA" w:rsidRDefault="006F6CC1" w:rsidP="006A6765">
            <w:pPr>
              <w:pStyle w:val="PHD-normaltext"/>
              <w:spacing w:line="240" w:lineRule="auto"/>
              <w:rPr>
                <w:rFonts w:ascii="Calibri" w:hAnsi="Calibri"/>
                <w:sz w:val="22"/>
                <w:szCs w:val="22"/>
              </w:rPr>
            </w:pPr>
            <w:r w:rsidRPr="005317BA">
              <w:rPr>
                <w:rFonts w:ascii="Calibri" w:hAnsi="Calibri"/>
                <w:sz w:val="22"/>
                <w:szCs w:val="22"/>
              </w:rPr>
              <w:t>Agriculture</w:t>
            </w:r>
          </w:p>
        </w:tc>
        <w:tc>
          <w:tcPr>
            <w:tcW w:w="1134" w:type="dxa"/>
          </w:tcPr>
          <w:p w14:paraId="73305FEC"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1.5</w:t>
            </w:r>
          </w:p>
        </w:tc>
        <w:tc>
          <w:tcPr>
            <w:tcW w:w="1134" w:type="dxa"/>
          </w:tcPr>
          <w:p w14:paraId="21DCCB23"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1.11-2.03</w:t>
            </w:r>
          </w:p>
        </w:tc>
        <w:tc>
          <w:tcPr>
            <w:tcW w:w="567" w:type="dxa"/>
          </w:tcPr>
          <w:p w14:paraId="2E69BCE1" w14:textId="77777777" w:rsidR="006F6CC1" w:rsidRPr="005317BA" w:rsidRDefault="006F6CC1" w:rsidP="006A6765">
            <w:pPr>
              <w:pStyle w:val="PHD-normaltext"/>
              <w:tabs>
                <w:tab w:val="decimal" w:pos="475"/>
              </w:tabs>
              <w:spacing w:line="240" w:lineRule="auto"/>
              <w:rPr>
                <w:rFonts w:ascii="Calibri" w:hAnsi="Calibri"/>
                <w:sz w:val="22"/>
                <w:szCs w:val="22"/>
              </w:rPr>
            </w:pPr>
          </w:p>
        </w:tc>
        <w:tc>
          <w:tcPr>
            <w:tcW w:w="1134" w:type="dxa"/>
          </w:tcPr>
          <w:p w14:paraId="297FE24D"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1.5</w:t>
            </w:r>
          </w:p>
        </w:tc>
        <w:tc>
          <w:tcPr>
            <w:tcW w:w="1134" w:type="dxa"/>
          </w:tcPr>
          <w:p w14:paraId="2A19604B"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1.11-2.03</w:t>
            </w:r>
          </w:p>
        </w:tc>
      </w:tr>
      <w:tr w:rsidR="006F6CC1" w:rsidRPr="005317BA" w14:paraId="69247692" w14:textId="77777777" w:rsidTr="006F6CC1">
        <w:trPr>
          <w:jc w:val="center"/>
        </w:trPr>
        <w:tc>
          <w:tcPr>
            <w:tcW w:w="1805" w:type="dxa"/>
          </w:tcPr>
          <w:p w14:paraId="6B8BEC43" w14:textId="77777777" w:rsidR="006F6CC1" w:rsidRPr="005317BA" w:rsidRDefault="006F6CC1" w:rsidP="006A6765">
            <w:pPr>
              <w:pStyle w:val="PHD-normaltext"/>
              <w:spacing w:line="240" w:lineRule="auto"/>
              <w:rPr>
                <w:rFonts w:ascii="Calibri" w:hAnsi="Calibri"/>
                <w:sz w:val="22"/>
                <w:szCs w:val="22"/>
              </w:rPr>
            </w:pPr>
            <w:r w:rsidRPr="005317BA">
              <w:rPr>
                <w:rFonts w:ascii="Calibri" w:hAnsi="Calibri"/>
                <w:sz w:val="22"/>
                <w:szCs w:val="22"/>
              </w:rPr>
              <w:t>Mining</w:t>
            </w:r>
          </w:p>
        </w:tc>
        <w:tc>
          <w:tcPr>
            <w:tcW w:w="1134" w:type="dxa"/>
          </w:tcPr>
          <w:p w14:paraId="71F3C0C5"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1.95</w:t>
            </w:r>
          </w:p>
        </w:tc>
        <w:tc>
          <w:tcPr>
            <w:tcW w:w="1134" w:type="dxa"/>
          </w:tcPr>
          <w:p w14:paraId="2F373E47"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1.58-2.40</w:t>
            </w:r>
          </w:p>
        </w:tc>
        <w:tc>
          <w:tcPr>
            <w:tcW w:w="567" w:type="dxa"/>
          </w:tcPr>
          <w:p w14:paraId="755CF53E" w14:textId="77777777" w:rsidR="006F6CC1" w:rsidRPr="005317BA" w:rsidRDefault="006F6CC1" w:rsidP="006A6765">
            <w:pPr>
              <w:pStyle w:val="PHD-normaltext"/>
              <w:tabs>
                <w:tab w:val="decimal" w:pos="475"/>
              </w:tabs>
              <w:spacing w:line="240" w:lineRule="auto"/>
              <w:rPr>
                <w:rFonts w:ascii="Calibri" w:hAnsi="Calibri"/>
                <w:sz w:val="22"/>
                <w:szCs w:val="22"/>
              </w:rPr>
            </w:pPr>
          </w:p>
        </w:tc>
        <w:tc>
          <w:tcPr>
            <w:tcW w:w="1134" w:type="dxa"/>
          </w:tcPr>
          <w:p w14:paraId="0A39485C"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1.95</w:t>
            </w:r>
          </w:p>
        </w:tc>
        <w:tc>
          <w:tcPr>
            <w:tcW w:w="1134" w:type="dxa"/>
          </w:tcPr>
          <w:p w14:paraId="52999636"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1.58-2.40</w:t>
            </w:r>
          </w:p>
        </w:tc>
      </w:tr>
      <w:tr w:rsidR="006F6CC1" w:rsidRPr="005317BA" w14:paraId="67306C7A" w14:textId="77777777" w:rsidTr="006F6CC1">
        <w:trPr>
          <w:jc w:val="center"/>
        </w:trPr>
        <w:tc>
          <w:tcPr>
            <w:tcW w:w="1805" w:type="dxa"/>
          </w:tcPr>
          <w:p w14:paraId="36E5C0E4" w14:textId="77777777" w:rsidR="006F6CC1" w:rsidRPr="005317BA" w:rsidRDefault="006F6CC1" w:rsidP="006A6765">
            <w:pPr>
              <w:pStyle w:val="PHD-normaltext"/>
              <w:spacing w:line="240" w:lineRule="auto"/>
              <w:rPr>
                <w:rFonts w:ascii="Calibri" w:hAnsi="Calibri"/>
                <w:sz w:val="22"/>
                <w:szCs w:val="22"/>
              </w:rPr>
            </w:pPr>
            <w:r w:rsidRPr="005317BA">
              <w:rPr>
                <w:rFonts w:ascii="Calibri" w:hAnsi="Calibri"/>
                <w:sz w:val="22"/>
                <w:szCs w:val="22"/>
              </w:rPr>
              <w:t>Transport</w:t>
            </w:r>
          </w:p>
        </w:tc>
        <w:tc>
          <w:tcPr>
            <w:tcW w:w="1134" w:type="dxa"/>
          </w:tcPr>
          <w:p w14:paraId="2725BC5A"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1.31</w:t>
            </w:r>
          </w:p>
        </w:tc>
        <w:tc>
          <w:tcPr>
            <w:tcW w:w="1134" w:type="dxa"/>
          </w:tcPr>
          <w:p w14:paraId="6DB79425"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1.22-1.40</w:t>
            </w:r>
          </w:p>
        </w:tc>
        <w:tc>
          <w:tcPr>
            <w:tcW w:w="567" w:type="dxa"/>
          </w:tcPr>
          <w:p w14:paraId="36BB4C46" w14:textId="77777777" w:rsidR="006F6CC1" w:rsidRPr="005317BA" w:rsidRDefault="006F6CC1" w:rsidP="006A6765">
            <w:pPr>
              <w:pStyle w:val="PHD-normaltext"/>
              <w:tabs>
                <w:tab w:val="decimal" w:pos="475"/>
              </w:tabs>
              <w:spacing w:line="240" w:lineRule="auto"/>
              <w:rPr>
                <w:rFonts w:ascii="Calibri" w:hAnsi="Calibri"/>
                <w:sz w:val="22"/>
                <w:szCs w:val="22"/>
              </w:rPr>
            </w:pPr>
          </w:p>
        </w:tc>
        <w:tc>
          <w:tcPr>
            <w:tcW w:w="1134" w:type="dxa"/>
          </w:tcPr>
          <w:p w14:paraId="4A69E495"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1.22</w:t>
            </w:r>
          </w:p>
        </w:tc>
        <w:tc>
          <w:tcPr>
            <w:tcW w:w="1134" w:type="dxa"/>
          </w:tcPr>
          <w:p w14:paraId="5B730916"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1.13-1.31</w:t>
            </w:r>
          </w:p>
        </w:tc>
      </w:tr>
      <w:tr w:rsidR="006F6CC1" w:rsidRPr="005317BA" w14:paraId="3198927C" w14:textId="77777777" w:rsidTr="006F6CC1">
        <w:trPr>
          <w:jc w:val="center"/>
        </w:trPr>
        <w:tc>
          <w:tcPr>
            <w:tcW w:w="1805" w:type="dxa"/>
          </w:tcPr>
          <w:p w14:paraId="47BE7C35" w14:textId="77777777" w:rsidR="006F6CC1" w:rsidRPr="005317BA" w:rsidRDefault="006F6CC1" w:rsidP="006A6765">
            <w:pPr>
              <w:pStyle w:val="PHD-normaltext"/>
              <w:spacing w:line="240" w:lineRule="auto"/>
              <w:rPr>
                <w:rFonts w:ascii="Calibri" w:hAnsi="Calibri"/>
                <w:sz w:val="22"/>
                <w:szCs w:val="22"/>
              </w:rPr>
            </w:pPr>
            <w:r w:rsidRPr="005317BA">
              <w:rPr>
                <w:rFonts w:ascii="Calibri" w:hAnsi="Calibri"/>
                <w:sz w:val="22"/>
                <w:szCs w:val="22"/>
              </w:rPr>
              <w:t>Manufacturing</w:t>
            </w:r>
          </w:p>
        </w:tc>
        <w:tc>
          <w:tcPr>
            <w:tcW w:w="1134" w:type="dxa"/>
          </w:tcPr>
          <w:p w14:paraId="71AFC8B4"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1.56</w:t>
            </w:r>
          </w:p>
        </w:tc>
        <w:tc>
          <w:tcPr>
            <w:tcW w:w="1134" w:type="dxa"/>
          </w:tcPr>
          <w:p w14:paraId="7FB39E38"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1.47-1.65</w:t>
            </w:r>
          </w:p>
        </w:tc>
        <w:tc>
          <w:tcPr>
            <w:tcW w:w="567" w:type="dxa"/>
          </w:tcPr>
          <w:p w14:paraId="28C9BBDD" w14:textId="77777777" w:rsidR="006F6CC1" w:rsidRPr="005317BA" w:rsidRDefault="006F6CC1" w:rsidP="006A6765">
            <w:pPr>
              <w:pStyle w:val="PHD-normaltext"/>
              <w:tabs>
                <w:tab w:val="decimal" w:pos="475"/>
              </w:tabs>
              <w:spacing w:line="240" w:lineRule="auto"/>
              <w:rPr>
                <w:rFonts w:ascii="Calibri" w:hAnsi="Calibri"/>
                <w:sz w:val="22"/>
                <w:szCs w:val="22"/>
              </w:rPr>
            </w:pPr>
          </w:p>
        </w:tc>
        <w:tc>
          <w:tcPr>
            <w:tcW w:w="1134" w:type="dxa"/>
          </w:tcPr>
          <w:p w14:paraId="5E38C7F4"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1.33</w:t>
            </w:r>
          </w:p>
        </w:tc>
        <w:tc>
          <w:tcPr>
            <w:tcW w:w="1134" w:type="dxa"/>
          </w:tcPr>
          <w:p w14:paraId="435BBE19" w14:textId="77777777" w:rsidR="006F6CC1" w:rsidRPr="005317BA" w:rsidRDefault="006F6CC1" w:rsidP="006A6765">
            <w:pPr>
              <w:pStyle w:val="PHD-normaltext"/>
              <w:tabs>
                <w:tab w:val="decimal" w:pos="475"/>
              </w:tabs>
              <w:spacing w:line="240" w:lineRule="auto"/>
              <w:rPr>
                <w:rFonts w:ascii="Calibri" w:hAnsi="Calibri"/>
                <w:sz w:val="22"/>
                <w:szCs w:val="22"/>
              </w:rPr>
            </w:pPr>
            <w:r w:rsidRPr="005317BA">
              <w:rPr>
                <w:rFonts w:ascii="Calibri" w:hAnsi="Calibri"/>
                <w:sz w:val="22"/>
                <w:szCs w:val="22"/>
              </w:rPr>
              <w:t>1.27-1.39</w:t>
            </w:r>
          </w:p>
        </w:tc>
      </w:tr>
      <w:tr w:rsidR="006F6CC1" w:rsidRPr="005317BA" w14:paraId="089C536D" w14:textId="77777777" w:rsidTr="006F6CC1">
        <w:trPr>
          <w:jc w:val="center"/>
        </w:trPr>
        <w:tc>
          <w:tcPr>
            <w:tcW w:w="1805" w:type="dxa"/>
          </w:tcPr>
          <w:p w14:paraId="45386AE0" w14:textId="77777777" w:rsidR="006F6CC1" w:rsidRPr="005317BA" w:rsidRDefault="006F6CC1" w:rsidP="006A6765">
            <w:pPr>
              <w:pStyle w:val="PHD-normaltext"/>
              <w:spacing w:after="120" w:line="240" w:lineRule="auto"/>
              <w:rPr>
                <w:rFonts w:ascii="Calibri" w:hAnsi="Calibri"/>
                <w:sz w:val="22"/>
                <w:szCs w:val="22"/>
              </w:rPr>
            </w:pPr>
            <w:r w:rsidRPr="005317BA">
              <w:rPr>
                <w:rFonts w:ascii="Calibri" w:hAnsi="Calibri"/>
                <w:sz w:val="22"/>
                <w:szCs w:val="22"/>
              </w:rPr>
              <w:t>Services</w:t>
            </w:r>
          </w:p>
        </w:tc>
        <w:tc>
          <w:tcPr>
            <w:tcW w:w="1134" w:type="dxa"/>
          </w:tcPr>
          <w:p w14:paraId="2068E653" w14:textId="77777777" w:rsidR="006F6CC1" w:rsidRPr="005317BA" w:rsidRDefault="006F6CC1" w:rsidP="006A6765">
            <w:pPr>
              <w:pStyle w:val="PHD-normaltext"/>
              <w:tabs>
                <w:tab w:val="decimal" w:pos="475"/>
              </w:tabs>
              <w:spacing w:after="120" w:line="240" w:lineRule="auto"/>
              <w:rPr>
                <w:rFonts w:ascii="Calibri" w:hAnsi="Calibri"/>
                <w:sz w:val="22"/>
                <w:szCs w:val="22"/>
              </w:rPr>
            </w:pPr>
            <w:r w:rsidRPr="005317BA">
              <w:rPr>
                <w:rFonts w:ascii="Calibri" w:hAnsi="Calibri"/>
                <w:sz w:val="22"/>
                <w:szCs w:val="22"/>
              </w:rPr>
              <w:t>1.53</w:t>
            </w:r>
          </w:p>
        </w:tc>
        <w:tc>
          <w:tcPr>
            <w:tcW w:w="1134" w:type="dxa"/>
          </w:tcPr>
          <w:p w14:paraId="7358B48C" w14:textId="77777777" w:rsidR="006F6CC1" w:rsidRPr="005317BA" w:rsidRDefault="006F6CC1" w:rsidP="006A6765">
            <w:pPr>
              <w:pStyle w:val="PHD-normaltext"/>
              <w:tabs>
                <w:tab w:val="decimal" w:pos="475"/>
              </w:tabs>
              <w:spacing w:after="120" w:line="240" w:lineRule="auto"/>
              <w:rPr>
                <w:rFonts w:ascii="Calibri" w:hAnsi="Calibri"/>
                <w:sz w:val="22"/>
                <w:szCs w:val="22"/>
              </w:rPr>
            </w:pPr>
            <w:r w:rsidRPr="005317BA">
              <w:rPr>
                <w:rFonts w:ascii="Calibri" w:hAnsi="Calibri"/>
                <w:sz w:val="22"/>
                <w:szCs w:val="22"/>
              </w:rPr>
              <w:t>1.42-1.66</w:t>
            </w:r>
          </w:p>
        </w:tc>
        <w:tc>
          <w:tcPr>
            <w:tcW w:w="567" w:type="dxa"/>
          </w:tcPr>
          <w:p w14:paraId="2D135A1E" w14:textId="77777777" w:rsidR="006F6CC1" w:rsidRPr="005317BA" w:rsidRDefault="006F6CC1" w:rsidP="006A6765">
            <w:pPr>
              <w:pStyle w:val="PHD-normaltext"/>
              <w:tabs>
                <w:tab w:val="decimal" w:pos="475"/>
              </w:tabs>
              <w:spacing w:after="120" w:line="240" w:lineRule="auto"/>
              <w:rPr>
                <w:rFonts w:ascii="Calibri" w:hAnsi="Calibri"/>
                <w:sz w:val="22"/>
                <w:szCs w:val="22"/>
              </w:rPr>
            </w:pPr>
          </w:p>
        </w:tc>
        <w:tc>
          <w:tcPr>
            <w:tcW w:w="1134" w:type="dxa"/>
          </w:tcPr>
          <w:p w14:paraId="5A750318" w14:textId="77777777" w:rsidR="006F6CC1" w:rsidRPr="005317BA" w:rsidRDefault="006F6CC1" w:rsidP="006A6765">
            <w:pPr>
              <w:pStyle w:val="PHD-normaltext"/>
              <w:tabs>
                <w:tab w:val="decimal" w:pos="475"/>
              </w:tabs>
              <w:spacing w:after="120" w:line="240" w:lineRule="auto"/>
              <w:rPr>
                <w:rFonts w:ascii="Calibri" w:hAnsi="Calibri"/>
                <w:sz w:val="22"/>
                <w:szCs w:val="22"/>
              </w:rPr>
            </w:pPr>
            <w:r w:rsidRPr="005317BA">
              <w:rPr>
                <w:rFonts w:ascii="Calibri" w:hAnsi="Calibri"/>
                <w:sz w:val="22"/>
                <w:szCs w:val="22"/>
              </w:rPr>
              <w:t>1.41</w:t>
            </w:r>
          </w:p>
        </w:tc>
        <w:tc>
          <w:tcPr>
            <w:tcW w:w="1134" w:type="dxa"/>
          </w:tcPr>
          <w:p w14:paraId="56049386" w14:textId="77777777" w:rsidR="006F6CC1" w:rsidRPr="005317BA" w:rsidRDefault="006F6CC1" w:rsidP="006A6765">
            <w:pPr>
              <w:pStyle w:val="PHD-normaltext"/>
              <w:tabs>
                <w:tab w:val="decimal" w:pos="475"/>
              </w:tabs>
              <w:spacing w:after="120" w:line="240" w:lineRule="auto"/>
              <w:rPr>
                <w:rFonts w:ascii="Calibri" w:hAnsi="Calibri"/>
                <w:sz w:val="22"/>
                <w:szCs w:val="22"/>
              </w:rPr>
            </w:pPr>
            <w:r w:rsidRPr="005317BA">
              <w:rPr>
                <w:rFonts w:ascii="Calibri" w:hAnsi="Calibri"/>
                <w:sz w:val="22"/>
                <w:szCs w:val="22"/>
              </w:rPr>
              <w:t>1.35-1.46</w:t>
            </w:r>
          </w:p>
        </w:tc>
      </w:tr>
    </w:tbl>
    <w:p w14:paraId="7039249B" w14:textId="103374E8" w:rsidR="006F6CC1" w:rsidRPr="005317BA" w:rsidRDefault="006F6CC1" w:rsidP="006F6CC1">
      <w:pPr>
        <w:pStyle w:val="PHD-normaltext"/>
        <w:tabs>
          <w:tab w:val="left" w:pos="284"/>
        </w:tabs>
        <w:spacing w:line="240" w:lineRule="auto"/>
        <w:ind w:left="284" w:hanging="284"/>
        <w:rPr>
          <w:rFonts w:ascii="Calibri" w:hAnsi="Calibri"/>
          <w:i/>
          <w:sz w:val="22"/>
          <w:szCs w:val="22"/>
        </w:rPr>
      </w:pPr>
      <w:r w:rsidRPr="005317BA">
        <w:rPr>
          <w:rFonts w:ascii="Calibri" w:hAnsi="Calibri"/>
          <w:i/>
          <w:sz w:val="22"/>
          <w:szCs w:val="22"/>
        </w:rPr>
        <w:t>+:</w:t>
      </w:r>
      <w:r w:rsidRPr="005317BA">
        <w:rPr>
          <w:rFonts w:ascii="Calibri" w:hAnsi="Calibri"/>
          <w:i/>
          <w:sz w:val="22"/>
          <w:szCs w:val="22"/>
        </w:rPr>
        <w:tab/>
      </w:r>
      <w:r w:rsidR="006A6765" w:rsidRPr="005317BA">
        <w:rPr>
          <w:rFonts w:ascii="Calibri" w:hAnsi="Calibri"/>
          <w:i/>
          <w:sz w:val="22"/>
          <w:szCs w:val="22"/>
        </w:rPr>
        <w:t>Based on Karjalainen et al, 2001, 2002</w:t>
      </w:r>
      <w:r w:rsidR="002972A9">
        <w:rPr>
          <w:rFonts w:ascii="Calibri" w:hAnsi="Calibri"/>
          <w:i/>
          <w:sz w:val="22"/>
          <w:szCs w:val="22"/>
        </w:rPr>
        <w:fldChar w:fldCharType="begin"/>
      </w:r>
      <w:r w:rsidR="00F262B9">
        <w:rPr>
          <w:rFonts w:ascii="Calibri" w:hAnsi="Calibri"/>
          <w:i/>
          <w:sz w:val="22"/>
          <w:szCs w:val="22"/>
        </w:rPr>
        <w:instrText xml:space="preserve"> ADDIN EN.CITE &lt;EndNote&gt;&lt;Cite&gt;&lt;Author&gt;Karjalainen&lt;/Author&gt;&lt;Year&gt;2001&lt;/Year&gt;&lt;RecNum&gt;969&lt;/RecNum&gt;&lt;DisplayText&gt;&lt;style face="superscript"&gt;15, 16&lt;/style&gt;&lt;/DisplayText&gt;&lt;record&gt;&lt;rec-number&gt;969&lt;/rec-number&gt;&lt;foreign-keys&gt;&lt;key app="EN" db-id="9t2pp5ew3waxt7ex2apvwst4psz2x2xp0xpz" timestamp="1463894117"&gt;969&lt;/key&gt;&lt;/foreign-keys&gt;&lt;ref-type name="Journal Article"&gt;17&lt;/ref-type&gt;&lt;contributors&gt;&lt;authors&gt;&lt;author&gt;Karjalainen, A&lt;/author&gt;&lt;author&gt;Kurppa, K&lt;/author&gt;&lt;author&gt;Martikainen, R&lt;/author&gt;&lt;author&gt;Klaukka, T&lt;/author&gt;&lt;author&gt;karjalainen, J&lt;/author&gt;&lt;/authors&gt;&lt;/contributors&gt;&lt;titles&gt;&lt;title&gt;Work is related to a substantial portion of adult-onset asthma incidence in the Finnish population&lt;/title&gt;&lt;secondary-title&gt;American Journal of Respiratory &amp;amp; Critical Care Medicine&lt;/secondary-title&gt;&lt;/titles&gt;&lt;periodical&gt;&lt;full-title&gt;American Journal of Respiratory &amp;amp; Critical Care Medicine&lt;/full-title&gt;&lt;/periodical&gt;&lt;pages&gt;565-568&lt;/pages&gt;&lt;volume&gt;164&lt;/volume&gt;&lt;number&gt;4&lt;/number&gt;&lt;dates&gt;&lt;year&gt;2001&lt;/year&gt;&lt;/dates&gt;&lt;urls&gt;&lt;/urls&gt;&lt;/record&gt;&lt;/Cite&gt;&lt;Cite&gt;&lt;Author&gt;Karjalainen&lt;/Author&gt;&lt;Year&gt;2002&lt;/Year&gt;&lt;RecNum&gt;335&lt;/RecNum&gt;&lt;record&gt;&lt;rec-number&gt;335&lt;/rec-number&gt;&lt;foreign-keys&gt;&lt;key app="EN" db-id="9t2pp5ew3waxt7ex2apvwst4psz2x2xp0xpz" timestamp="0"&gt;335&lt;/key&gt;&lt;/foreign-keys&gt;&lt;ref-type name="Journal Article"&gt;17&lt;/ref-type&gt;&lt;contributors&gt;&lt;authors&gt;&lt;author&gt;Karjalainen, A&lt;/author&gt;&lt;author&gt;Kurppa, K&lt;/author&gt;&lt;author&gt;Martikanen, R&lt;/author&gt;&lt;author&gt;Karjalainen, J&lt;/author&gt;&lt;author&gt;Klaukka, T&lt;/author&gt;&lt;/authors&gt;&lt;/contributors&gt;&lt;titles&gt;&lt;title&gt;Exploration of asthma risk by occupation -extended analysis of an incidence study of the Finnish population&lt;/title&gt;&lt;secondary-title&gt;Scandinavian Journal of Work Environmental Health&lt;/secondary-title&gt;&lt;/titles&gt;&lt;periodical&gt;&lt;full-title&gt;Scandinavian Journal of Work Environmental Health&lt;/full-title&gt;&lt;/periodical&gt;&lt;pages&gt;49-57&lt;/pages&gt;&lt;volume&gt;28&lt;/volume&gt;&lt;dates&gt;&lt;year&gt;2002&lt;/year&gt;&lt;/dates&gt;&lt;urls&gt;&lt;/urls&gt;&lt;/record&gt;&lt;/Cite&gt;&lt;/EndNote&gt;</w:instrText>
      </w:r>
      <w:r w:rsidR="002972A9">
        <w:rPr>
          <w:rFonts w:ascii="Calibri" w:hAnsi="Calibri"/>
          <w:i/>
          <w:sz w:val="22"/>
          <w:szCs w:val="22"/>
        </w:rPr>
        <w:fldChar w:fldCharType="separate"/>
      </w:r>
      <w:r w:rsidR="00F262B9" w:rsidRPr="00F262B9">
        <w:rPr>
          <w:rFonts w:ascii="Calibri" w:hAnsi="Calibri"/>
          <w:i/>
          <w:noProof/>
          <w:sz w:val="22"/>
          <w:szCs w:val="22"/>
          <w:vertAlign w:val="superscript"/>
        </w:rPr>
        <w:t>15, 16</w:t>
      </w:r>
      <w:r w:rsidR="002972A9">
        <w:rPr>
          <w:rFonts w:ascii="Calibri" w:hAnsi="Calibri"/>
          <w:i/>
          <w:sz w:val="22"/>
          <w:szCs w:val="22"/>
        </w:rPr>
        <w:fldChar w:fldCharType="end"/>
      </w:r>
      <w:r w:rsidR="006A6765" w:rsidRPr="005317BA">
        <w:rPr>
          <w:rFonts w:ascii="Calibri" w:hAnsi="Calibri"/>
          <w:i/>
          <w:sz w:val="22"/>
          <w:szCs w:val="22"/>
        </w:rPr>
        <w:t xml:space="preserve"> and Kogevinas et al, 1999</w:t>
      </w:r>
      <w:r w:rsidR="002972A9">
        <w:rPr>
          <w:rFonts w:ascii="Calibri" w:hAnsi="Calibri"/>
          <w:i/>
          <w:sz w:val="22"/>
          <w:szCs w:val="22"/>
        </w:rPr>
        <w:fldChar w:fldCharType="begin"/>
      </w:r>
      <w:r w:rsidR="00F262B9">
        <w:rPr>
          <w:rFonts w:ascii="Calibri" w:hAnsi="Calibri"/>
          <w:i/>
          <w:sz w:val="22"/>
          <w:szCs w:val="22"/>
        </w:rPr>
        <w:instrText xml:space="preserve"> ADDIN EN.CITE &lt;EndNote&gt;&lt;Cite&gt;&lt;Author&gt;Kogevinas&lt;/Author&gt;&lt;Year&gt;1999&lt;/Year&gt;&lt;RecNum&gt;336&lt;/RecNum&gt;&lt;Suffix&gt;.&lt;/Suffix&gt;&lt;DisplayText&gt;&lt;style face="superscript"&gt;17.&lt;/style&gt;&lt;/DisplayText&gt;&lt;record&gt;&lt;rec-number&gt;336&lt;/rec-number&gt;&lt;foreign-keys&gt;&lt;key app="EN" db-id="9t2pp5ew3waxt7ex2apvwst4psz2x2xp0xpz" timestamp="0"&gt;336&lt;/key&gt;&lt;/foreign-keys&gt;&lt;ref-type name="Journal Article"&gt;17&lt;/ref-type&gt;&lt;contributors&gt;&lt;authors&gt;&lt;author&gt;Kogevinas, M&lt;/author&gt;&lt;author&gt;Anto, JM&lt;/author&gt;&lt;author&gt;Sunyer, J&lt;/author&gt;&lt;author&gt;Tobias, A&lt;/author&gt;&lt;author&gt;Kromhout, H&lt;/author&gt;&lt;author&gt;Burney, P&lt;/author&gt;&lt;/authors&gt;&lt;/contributors&gt;&lt;titles&gt;&lt;title&gt;Occupational asthma in Europe&lt;/title&gt;&lt;secondary-title&gt;Lancet&lt;/secondary-title&gt;&lt;/titles&gt;&lt;periodical&gt;&lt;full-title&gt;Lancet&lt;/full-title&gt;&lt;/periodical&gt;&lt;pages&gt;1750-1754&lt;/pages&gt;&lt;volume&gt;353&lt;/volume&gt;&lt;dates&gt;&lt;year&gt;1999&lt;/year&gt;&lt;/dates&gt;&lt;urls&gt;&lt;/urls&gt;&lt;/record&gt;&lt;/Cite&gt;&lt;/EndNote&gt;</w:instrText>
      </w:r>
      <w:r w:rsidR="002972A9">
        <w:rPr>
          <w:rFonts w:ascii="Calibri" w:hAnsi="Calibri"/>
          <w:i/>
          <w:sz w:val="22"/>
          <w:szCs w:val="22"/>
        </w:rPr>
        <w:fldChar w:fldCharType="separate"/>
      </w:r>
      <w:r w:rsidR="00F262B9" w:rsidRPr="00F262B9">
        <w:rPr>
          <w:rFonts w:ascii="Calibri" w:hAnsi="Calibri"/>
          <w:i/>
          <w:noProof/>
          <w:sz w:val="22"/>
          <w:szCs w:val="22"/>
          <w:vertAlign w:val="superscript"/>
        </w:rPr>
        <w:t>17.</w:t>
      </w:r>
      <w:r w:rsidR="002972A9">
        <w:rPr>
          <w:rFonts w:ascii="Calibri" w:hAnsi="Calibri"/>
          <w:i/>
          <w:sz w:val="22"/>
          <w:szCs w:val="22"/>
        </w:rPr>
        <w:fldChar w:fldCharType="end"/>
      </w:r>
    </w:p>
    <w:p w14:paraId="5B3E4E5C" w14:textId="77777777" w:rsidR="006F6CC1" w:rsidRPr="005317BA" w:rsidRDefault="006F6CC1" w:rsidP="006F6CC1">
      <w:pPr>
        <w:pStyle w:val="PHD-normaltext"/>
        <w:tabs>
          <w:tab w:val="left" w:pos="284"/>
        </w:tabs>
        <w:spacing w:line="240" w:lineRule="auto"/>
        <w:ind w:left="284" w:hanging="284"/>
        <w:rPr>
          <w:rFonts w:ascii="Calibri" w:hAnsi="Calibri"/>
          <w:i/>
          <w:sz w:val="22"/>
          <w:szCs w:val="22"/>
        </w:rPr>
      </w:pPr>
      <w:r w:rsidRPr="005317BA">
        <w:rPr>
          <w:rFonts w:ascii="Calibri" w:hAnsi="Calibri"/>
          <w:i/>
          <w:sz w:val="22"/>
          <w:szCs w:val="22"/>
        </w:rPr>
        <w:t>^:</w:t>
      </w:r>
      <w:r w:rsidRPr="005317BA">
        <w:rPr>
          <w:rFonts w:ascii="Calibri" w:hAnsi="Calibri"/>
          <w:i/>
          <w:sz w:val="22"/>
          <w:szCs w:val="22"/>
        </w:rPr>
        <w:tab/>
        <w:t>95% confidence interval.</w:t>
      </w:r>
    </w:p>
    <w:p w14:paraId="7FB3CC7F" w14:textId="77777777" w:rsidR="00980EE3" w:rsidRPr="0039518B" w:rsidRDefault="00980EE3">
      <w:pPr>
        <w:rPr>
          <w:rFonts w:ascii="Verdana" w:hAnsi="Verdana"/>
          <w:b/>
          <w:smallCaps/>
          <w:highlight w:val="green"/>
        </w:rPr>
      </w:pPr>
      <w:bookmarkStart w:id="17" w:name="_Toc199324530"/>
      <w:r w:rsidRPr="0039518B">
        <w:rPr>
          <w:highlight w:val="green"/>
        </w:rPr>
        <w:br w:type="page"/>
      </w:r>
    </w:p>
    <w:p w14:paraId="2FB91102" w14:textId="77777777" w:rsidR="00FB0464" w:rsidRPr="00974D6C" w:rsidRDefault="00B74697" w:rsidP="00974D6C">
      <w:pPr>
        <w:pStyle w:val="Heading1"/>
        <w:spacing w:line="360" w:lineRule="auto"/>
        <w:jc w:val="center"/>
        <w:rPr>
          <w:sz w:val="40"/>
        </w:rPr>
      </w:pPr>
      <w:bookmarkStart w:id="18" w:name="_Toc493068322"/>
      <w:bookmarkEnd w:id="17"/>
      <w:r w:rsidRPr="00974D6C">
        <w:rPr>
          <w:sz w:val="40"/>
        </w:rPr>
        <w:lastRenderedPageBreak/>
        <w:t>4.</w:t>
      </w:r>
      <w:r w:rsidRPr="00974D6C">
        <w:rPr>
          <w:sz w:val="40"/>
        </w:rPr>
        <w:tab/>
        <w:t>INCIDENCE RATES FOR CANCERS AND OTHER DISEASES IN THE POPULATION</w:t>
      </w:r>
      <w:bookmarkEnd w:id="18"/>
    </w:p>
    <w:p w14:paraId="2AFB7843" w14:textId="5478E87D" w:rsidR="00FB0464" w:rsidRPr="00974D6C" w:rsidRDefault="00974D6C" w:rsidP="00974D6C">
      <w:pPr>
        <w:pStyle w:val="Heading2"/>
        <w:keepNext/>
        <w:spacing w:after="240"/>
        <w:rPr>
          <w:sz w:val="24"/>
          <w:szCs w:val="24"/>
        </w:rPr>
      </w:pPr>
      <w:bookmarkStart w:id="19" w:name="_Toc493068323"/>
      <w:r w:rsidRPr="00974D6C">
        <w:rPr>
          <w:sz w:val="24"/>
          <w:szCs w:val="24"/>
        </w:rPr>
        <w:t>INTRODUCTION</w:t>
      </w:r>
      <w:bookmarkEnd w:id="19"/>
    </w:p>
    <w:p w14:paraId="0C417EE1" w14:textId="3AE7CF64" w:rsidR="00A146DC" w:rsidRDefault="00753F9C" w:rsidP="003E5796">
      <w:pPr>
        <w:pStyle w:val="PHD-normaltext"/>
        <w:spacing w:after="240"/>
        <w:rPr>
          <w:lang w:val="en-US"/>
        </w:rPr>
      </w:pPr>
      <w:r w:rsidRPr="004427EB">
        <w:rPr>
          <w:lang w:val="en-US"/>
        </w:rPr>
        <w:t>Accurate incidence rates for diseases in Australia are really only available for cancers.  Other information included in this section comes from a range of sources, as des</w:t>
      </w:r>
      <w:r w:rsidR="005A050C">
        <w:rPr>
          <w:lang w:val="en-US"/>
        </w:rPr>
        <w:t>cribed in the relevant section.</w:t>
      </w:r>
    </w:p>
    <w:p w14:paraId="47AD3DBA" w14:textId="65A52E2E" w:rsidR="00840054" w:rsidRPr="003E5796" w:rsidRDefault="003E5796" w:rsidP="003E5796">
      <w:pPr>
        <w:pStyle w:val="Heading2"/>
        <w:spacing w:after="240"/>
        <w:rPr>
          <w:sz w:val="24"/>
          <w:szCs w:val="24"/>
        </w:rPr>
      </w:pPr>
      <w:bookmarkStart w:id="20" w:name="_Toc493068324"/>
      <w:r w:rsidRPr="003E5796">
        <w:rPr>
          <w:sz w:val="24"/>
          <w:szCs w:val="24"/>
        </w:rPr>
        <w:t>CANCER</w:t>
      </w:r>
      <w:bookmarkEnd w:id="20"/>
    </w:p>
    <w:p w14:paraId="5C25E70E" w14:textId="508B8EE6" w:rsidR="004427EB" w:rsidRDefault="005317BA" w:rsidP="009A19F6">
      <w:pPr>
        <w:pStyle w:val="PHD-normaltext"/>
      </w:pPr>
      <w:r w:rsidRPr="004427EB">
        <w:t xml:space="preserve">The information on cancer incidence comes from the Australian </w:t>
      </w:r>
      <w:r w:rsidR="00753F9C" w:rsidRPr="004427EB">
        <w:t xml:space="preserve">Institute of Health and Welfare's Australian Cancer Incidence and Mortality </w:t>
      </w:r>
      <w:r w:rsidR="004427EB" w:rsidRPr="004427EB">
        <w:t>(ACIM) b</w:t>
      </w:r>
      <w:r w:rsidR="00753F9C" w:rsidRPr="004427EB">
        <w:t>ooks</w:t>
      </w:r>
      <w:r w:rsidR="000270CF">
        <w:rPr>
          <w:rStyle w:val="FootnoteReference"/>
        </w:rPr>
        <w:footnoteReference w:id="1"/>
      </w:r>
      <w:r w:rsidR="004427EB" w:rsidRPr="004427EB">
        <w:t xml:space="preserve">.  Information is available on incidence and mortality </w:t>
      </w:r>
      <w:r w:rsidR="000270CF">
        <w:t xml:space="preserve">(both frequency and population-based rates) </w:t>
      </w:r>
      <w:r w:rsidR="004427EB" w:rsidRPr="004427EB">
        <w:t>for most individual cancers and for all cancers combined.  Information is available separately by age and sex, and for all years from 1982 to 2012</w:t>
      </w:r>
      <w:r w:rsidR="004427EB">
        <w:t>,</w:t>
      </w:r>
      <w:r w:rsidR="004427EB" w:rsidRPr="004427EB">
        <w:t xml:space="preserve"> inclusive</w:t>
      </w:r>
      <w:r w:rsidR="002972A9">
        <w:fldChar w:fldCharType="begin"/>
      </w:r>
      <w:r w:rsidR="00F262B9">
        <w:instrText xml:space="preserve"> ADDIN EN.CITE &lt;EndNote&gt;&lt;Cite&gt;&lt;Author&gt;Australian Institute of Health and Welfare (AIHW)&lt;/Author&gt;&lt;Year&gt;2016&lt;/Year&gt;&lt;RecNum&gt;971&lt;/RecNum&gt;&lt;DisplayText&gt;&lt;style face="superscript"&gt;18&lt;/style&gt;&lt;/DisplayText&gt;&lt;record&gt;&lt;rec-number&gt;971&lt;/rec-number&gt;&lt;foreign-keys&gt;&lt;key app="EN" db-id="9t2pp5ew3waxt7ex2apvwst4psz2x2xp0xpz" timestamp="1463918205"&gt;971&lt;/key&gt;&lt;/foreign-keys&gt;&lt;ref-type name="Online Database"&gt;45&lt;/ref-type&gt;&lt;contributors&gt;&lt;authors&gt;&lt;author&gt;Australian Institute of Health and Welfare (AIHW),&lt;/author&gt;&lt;/authors&gt;&lt;/contributors&gt;&lt;titles&gt;&lt;title&gt;Australian Cancer Incidence and Mortality (ACIM) books&lt;/title&gt;&lt;/titles&gt;&lt;edition&gt;2016&lt;/edition&gt;&lt;dates&gt;&lt;year&gt;2016&lt;/year&gt;&lt;pub-dates&gt;&lt;date&gt;May, 2016&lt;/date&gt;&lt;/pub-dates&gt;&lt;/dates&gt;&lt;pub-location&gt;Canberra&lt;/pub-location&gt;&lt;publisher&gt;AIHW&lt;/publisher&gt;&lt;urls&gt;&lt;related-urls&gt;&lt;url&gt;http://www.aihw.gov.au/acim-books/&lt;/url&gt;&lt;/related-urls&gt;&lt;/urls&gt;&lt;/record&gt;&lt;/Cite&gt;&lt;/EndNote&gt;</w:instrText>
      </w:r>
      <w:r w:rsidR="002972A9">
        <w:fldChar w:fldCharType="separate"/>
      </w:r>
      <w:r w:rsidR="00F262B9" w:rsidRPr="00F262B9">
        <w:rPr>
          <w:noProof/>
          <w:vertAlign w:val="superscript"/>
        </w:rPr>
        <w:t>18</w:t>
      </w:r>
      <w:r w:rsidR="002972A9">
        <w:fldChar w:fldCharType="end"/>
      </w:r>
      <w:r w:rsidR="004427EB" w:rsidRPr="004427EB">
        <w:t>.</w:t>
      </w:r>
    </w:p>
    <w:p w14:paraId="561F7B89" w14:textId="242ACFE4" w:rsidR="00C01162" w:rsidRDefault="00C01162" w:rsidP="00655862">
      <w:pPr>
        <w:pStyle w:val="PHD-normaltext"/>
        <w:spacing w:before="240"/>
      </w:pPr>
      <w:r>
        <w:t xml:space="preserve">The most recent information from the Global Burden of Disease study provides estimates of population attributable fraction </w:t>
      </w:r>
      <w:r w:rsidR="005E3E50">
        <w:t xml:space="preserve">for occupational exposures for some </w:t>
      </w:r>
      <w:r>
        <w:t>relevant cancers.  These are shown in Table 4 and are based on deaths</w:t>
      </w:r>
      <w:r w:rsidR="005E3E50">
        <w:t xml:space="preserve"> and Disability-Adjusted Life Years (DALYs)</w:t>
      </w:r>
      <w:r w:rsidR="002972A9">
        <w:fldChar w:fldCharType="begin"/>
      </w:r>
      <w:r w:rsidR="00F262B9">
        <w:instrText xml:space="preserve"> ADDIN EN.CITE &lt;EndNote&gt;&lt;Cite&gt;&lt;Author&gt;Lim&lt;/Author&gt;&lt;Year&gt;2012&lt;/Year&gt;&lt;RecNum&gt;33&lt;/RecNum&gt;&lt;DisplayText&gt;&lt;style face="superscript"&gt;19, 20&lt;/style&gt;&lt;/DisplayText&gt;&lt;record&gt;&lt;rec-number&gt;33&lt;/rec-number&gt;&lt;foreign-keys&gt;&lt;key app="EN" db-id="xw2v5x5zv0zvs2e2af8v2xp3zfa5ps2v2zf2" timestamp="1402396163"&gt;33&lt;/key&gt;&lt;/foreign-keys&gt;&lt;ref-type name="Journal Article"&gt;17&lt;/ref-type&gt;&lt;contributors&gt;&lt;authors&gt;&lt;author&gt;Lim, S&lt;/author&gt;&lt;author&gt;Vos, T&lt;/author&gt;&lt;author&gt;Flaxman, A&lt;/author&gt;&lt;author&gt;Danaei, G&lt;/author&gt;&lt;author&gt;Shibuya, K&lt;/author&gt;&lt;author&gt;Lopez, AD&lt;/author&gt;&lt;author&gt;Murray, CJL&lt;/author&gt;&lt;author&gt;Ezzati, M&lt;/author&gt;&lt;author&gt;et al&lt;/author&gt;&lt;/authors&gt;&lt;/contributors&gt;&lt;titles&gt;&lt;title&gt;A comparative risk assessment of burden of disease and injury attributable to 67 risk factors and risk factor clusters in 21 regions, 1990-2010: a systematic analysis for the Global Burden of Disease Study 2010.&lt;/title&gt;&lt;secondary-title&gt;Lancet&lt;/secondary-title&gt;&lt;/titles&gt;&lt;periodical&gt;&lt;full-title&gt;Lancet&lt;/full-title&gt;&lt;/periodical&gt;&lt;pages&gt;2224–2260&lt;/pages&gt;&lt;volume&gt;380&lt;/volume&gt;&lt;dates&gt;&lt;year&gt;2012&lt;/year&gt;&lt;/dates&gt;&lt;urls&gt;&lt;/urls&gt;&lt;/record&gt;&lt;/Cite&gt;&lt;Cite&gt;&lt;Author&gt;Institute for Health Metrics and Evaluation&lt;/Author&gt;&lt;Year&gt;2015&lt;/Year&gt;&lt;RecNum&gt;980&lt;/RecNum&gt;&lt;record&gt;&lt;rec-number&gt;980&lt;/rec-number&gt;&lt;foreign-keys&gt;&lt;key app="EN" db-id="9t2pp5ew3waxt7ex2apvwst4psz2x2xp0xpz" timestamp="1463979520"&gt;980&lt;/key&gt;&lt;/foreign-keys&gt;&lt;ref-type name="Online Database"&gt;45&lt;/ref-type&gt;&lt;contributors&gt;&lt;authors&gt;&lt;author&gt;Institute for Health Metrics and Evaluation,&lt;/author&gt;&lt;/authors&gt;&lt;/contributors&gt;&lt;titles&gt;&lt;title&gt;GBD Compare&lt;/title&gt;&lt;/titles&gt;&lt;edition&gt;2016&lt;/edition&gt;&lt;dates&gt;&lt;year&gt;2015&lt;/year&gt;&lt;pub-dates&gt;&lt;date&gt;May 2016&lt;/date&gt;&lt;/pub-dates&gt;&lt;/dates&gt;&lt;pub-location&gt;Seattle, WA&lt;/pub-location&gt;&lt;publisher&gt;IHME, University of Washington&lt;/publisher&gt;&lt;urls&gt;&lt;related-urls&gt;&lt;url&gt;http://www.healthdata.org/data-visualization/gbd-compare&lt;/url&gt;&lt;/related-urls&gt;&lt;/urls&gt;&lt;/record&gt;&lt;/Cite&gt;&lt;/EndNote&gt;</w:instrText>
      </w:r>
      <w:r w:rsidR="002972A9">
        <w:fldChar w:fldCharType="separate"/>
      </w:r>
      <w:r w:rsidR="00F262B9" w:rsidRPr="00F262B9">
        <w:rPr>
          <w:noProof/>
          <w:vertAlign w:val="superscript"/>
        </w:rPr>
        <w:t>19, 20</w:t>
      </w:r>
      <w:r w:rsidR="002972A9">
        <w:fldChar w:fldCharType="end"/>
      </w:r>
      <w:r>
        <w:t xml:space="preserve">.  Comparable population attributable fraction results are available from the Australian Burden of Disease study released this year, and covering 2011, although these are based </w:t>
      </w:r>
      <w:r w:rsidR="005E3E50">
        <w:t>only on DALYs</w:t>
      </w:r>
      <w:r w:rsidR="002972A9">
        <w:fldChar w:fldCharType="begin"/>
      </w:r>
      <w:r w:rsidR="00F262B9">
        <w:instrText xml:space="preserve"> ADDIN EN.CITE &lt;EndNote&gt;&lt;Cite&gt;&lt;Author&gt;Australian Institute of Health and Welfare (AIHW)&lt;/Author&gt;&lt;Year&gt;2016&lt;/Year&gt;&lt;RecNum&gt;982&lt;/RecNum&gt;&lt;DisplayText&gt;&lt;style face="superscript"&gt;14&lt;/style&gt;&lt;/DisplayText&gt;&lt;record&gt;&lt;rec-number&gt;982&lt;/rec-number&gt;&lt;foreign-keys&gt;&lt;key app="EN" db-id="9t2pp5ew3waxt7ex2apvwst4psz2x2xp0xpz" timestamp="1463982924"&gt;982&lt;/key&gt;&lt;/foreign-keys&gt;&lt;ref-type name="Report"&gt;27&lt;/ref-type&gt;&lt;contributors&gt;&lt;authors&gt;&lt;author&gt;Australian Institute of Health and Welfare (AIHW),&lt;/author&gt;&lt;/authors&gt;&lt;tertiary-authors&gt;&lt;author&gt;AIHW&lt;/author&gt;&lt;/tertiary-authors&gt;&lt;/contributors&gt;&lt;titles&gt;&lt;title&gt;Australian Burden of Disease Study Impact and causes of illness and deaths in Australia. 2011&lt;/title&gt;&lt;/titles&gt;&lt;dates&gt;&lt;year&gt;2016&lt;/year&gt;&lt;/dates&gt;&lt;pub-location&gt;Canberra&lt;/pub-location&gt;&lt;urls&gt;&lt;related-urls&gt;&lt;url&gt;http://www.aihw.gov.au/WorkArea/DownloadAsset.aspx?id=60129555176&lt;/url&gt;&lt;/related-urls&gt;&lt;/urls&gt;&lt;/record&gt;&lt;/Cite&gt;&lt;/EndNote&gt;</w:instrText>
      </w:r>
      <w:r w:rsidR="002972A9">
        <w:fldChar w:fldCharType="separate"/>
      </w:r>
      <w:r w:rsidR="00F262B9" w:rsidRPr="00F262B9">
        <w:rPr>
          <w:noProof/>
          <w:vertAlign w:val="superscript"/>
        </w:rPr>
        <w:t>14</w:t>
      </w:r>
      <w:r w:rsidR="002972A9">
        <w:fldChar w:fldCharType="end"/>
      </w:r>
      <w:r>
        <w:t>.</w:t>
      </w:r>
    </w:p>
    <w:p w14:paraId="0DEE8E4D" w14:textId="77777777" w:rsidR="005E3E50" w:rsidRDefault="005E3E50" w:rsidP="00655862">
      <w:pPr>
        <w:pStyle w:val="PHD-normaltext"/>
        <w:tabs>
          <w:tab w:val="left" w:pos="1134"/>
        </w:tabs>
        <w:spacing w:before="240" w:after="120" w:line="240" w:lineRule="auto"/>
        <w:ind w:left="1134" w:hanging="1134"/>
        <w:rPr>
          <w:rFonts w:asciiTheme="minorHAnsi" w:hAnsiTheme="minorHAnsi"/>
          <w:b/>
          <w:sz w:val="22"/>
          <w:szCs w:val="22"/>
          <w:vertAlign w:val="superscript"/>
          <w:lang w:val="en-US"/>
        </w:rPr>
      </w:pPr>
      <w:r w:rsidRPr="003C01BF">
        <w:rPr>
          <w:rFonts w:asciiTheme="minorHAnsi" w:hAnsiTheme="minorHAnsi"/>
          <w:b/>
          <w:sz w:val="22"/>
          <w:szCs w:val="22"/>
          <w:lang w:val="en-US"/>
        </w:rPr>
        <w:t xml:space="preserve">Table </w:t>
      </w:r>
      <w:r>
        <w:rPr>
          <w:rFonts w:asciiTheme="minorHAnsi" w:hAnsiTheme="minorHAnsi"/>
          <w:b/>
          <w:sz w:val="22"/>
          <w:szCs w:val="22"/>
          <w:lang w:val="en-US"/>
        </w:rPr>
        <w:t>4</w:t>
      </w:r>
      <w:r w:rsidRPr="003C01BF">
        <w:rPr>
          <w:rFonts w:asciiTheme="minorHAnsi" w:hAnsiTheme="minorHAnsi"/>
          <w:b/>
          <w:sz w:val="22"/>
          <w:szCs w:val="22"/>
          <w:lang w:val="en-US"/>
        </w:rPr>
        <w:tab/>
      </w:r>
      <w:r>
        <w:rPr>
          <w:rFonts w:asciiTheme="minorHAnsi" w:hAnsiTheme="minorHAnsi"/>
          <w:b/>
          <w:sz w:val="22"/>
          <w:szCs w:val="22"/>
          <w:lang w:val="en-US"/>
        </w:rPr>
        <w:t>Population-attributable fraction for cancers due to occupational exposures – deaths and DALYs; GBD</w:t>
      </w:r>
      <w:r w:rsidRPr="005E3E50">
        <w:rPr>
          <w:rFonts w:asciiTheme="minorHAnsi" w:hAnsiTheme="minorHAnsi"/>
          <w:b/>
          <w:sz w:val="22"/>
          <w:szCs w:val="22"/>
          <w:vertAlign w:val="superscript"/>
          <w:lang w:val="en-US"/>
        </w:rPr>
        <w:t>+</w:t>
      </w:r>
      <w:r>
        <w:rPr>
          <w:rFonts w:asciiTheme="minorHAnsi" w:hAnsiTheme="minorHAnsi"/>
          <w:b/>
          <w:sz w:val="22"/>
          <w:szCs w:val="22"/>
          <w:lang w:val="en-US"/>
        </w:rPr>
        <w:t xml:space="preserve"> and AIHW</w:t>
      </w:r>
      <w:r w:rsidRPr="00946A4A">
        <w:rPr>
          <w:rFonts w:asciiTheme="minorHAnsi" w:hAnsiTheme="minorHAnsi"/>
          <w:b/>
          <w:sz w:val="22"/>
          <w:szCs w:val="22"/>
          <w:vertAlign w:val="superscript"/>
          <w:lang w:val="en-US"/>
        </w:rPr>
        <w:t xml:space="preserve"> </w:t>
      </w:r>
      <w:r>
        <w:rPr>
          <w:rFonts w:asciiTheme="minorHAnsi" w:hAnsiTheme="minorHAnsi"/>
          <w:b/>
          <w:sz w:val="22"/>
          <w:szCs w:val="22"/>
          <w:vertAlign w:val="superscript"/>
          <w:lang w:val="en-US"/>
        </w:rPr>
        <w:t>^</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701"/>
        <w:gridCol w:w="1701"/>
        <w:gridCol w:w="1701"/>
      </w:tblGrid>
      <w:tr w:rsidR="005E3E50" w:rsidRPr="005E3E50" w14:paraId="448ABF6C" w14:textId="77777777" w:rsidTr="00B74D8C">
        <w:trPr>
          <w:tblHeader/>
        </w:trPr>
        <w:tc>
          <w:tcPr>
            <w:tcW w:w="2835" w:type="dxa"/>
            <w:tcBorders>
              <w:top w:val="single" w:sz="4" w:space="0" w:color="auto"/>
              <w:bottom w:val="nil"/>
            </w:tcBorders>
          </w:tcPr>
          <w:p w14:paraId="13D5E06A" w14:textId="77777777" w:rsidR="005E3E50" w:rsidRDefault="005E3E50" w:rsidP="005E3E50">
            <w:pPr>
              <w:spacing w:before="120"/>
              <w:rPr>
                <w:rFonts w:asciiTheme="minorHAnsi" w:hAnsiTheme="minorHAnsi"/>
                <w:b/>
                <w:sz w:val="22"/>
                <w:szCs w:val="22"/>
              </w:rPr>
            </w:pPr>
          </w:p>
        </w:tc>
        <w:tc>
          <w:tcPr>
            <w:tcW w:w="1701" w:type="dxa"/>
            <w:tcBorders>
              <w:top w:val="single" w:sz="4" w:space="0" w:color="auto"/>
              <w:bottom w:val="nil"/>
            </w:tcBorders>
          </w:tcPr>
          <w:p w14:paraId="0F0EFE14" w14:textId="77777777" w:rsidR="005E3E50" w:rsidRPr="005E3E50" w:rsidRDefault="005E3E50" w:rsidP="005E3E50">
            <w:pPr>
              <w:spacing w:before="120"/>
              <w:jc w:val="center"/>
              <w:rPr>
                <w:rFonts w:asciiTheme="minorHAnsi" w:hAnsiTheme="minorHAnsi"/>
                <w:b/>
                <w:sz w:val="22"/>
                <w:szCs w:val="22"/>
              </w:rPr>
            </w:pPr>
            <w:r>
              <w:rPr>
                <w:rFonts w:asciiTheme="minorHAnsi" w:hAnsiTheme="minorHAnsi"/>
                <w:b/>
                <w:sz w:val="22"/>
                <w:szCs w:val="22"/>
              </w:rPr>
              <w:t>GBD</w:t>
            </w:r>
          </w:p>
        </w:tc>
        <w:tc>
          <w:tcPr>
            <w:tcW w:w="1701" w:type="dxa"/>
            <w:tcBorders>
              <w:top w:val="single" w:sz="4" w:space="0" w:color="auto"/>
              <w:bottom w:val="nil"/>
            </w:tcBorders>
          </w:tcPr>
          <w:p w14:paraId="4D360840" w14:textId="77777777" w:rsidR="005E3E50" w:rsidRPr="005E3E50" w:rsidRDefault="005E3E50" w:rsidP="005E3E50">
            <w:pPr>
              <w:spacing w:before="120"/>
              <w:jc w:val="center"/>
              <w:rPr>
                <w:rFonts w:asciiTheme="minorHAnsi" w:hAnsiTheme="minorHAnsi"/>
                <w:b/>
                <w:sz w:val="22"/>
                <w:szCs w:val="22"/>
              </w:rPr>
            </w:pPr>
            <w:r>
              <w:rPr>
                <w:rFonts w:asciiTheme="minorHAnsi" w:hAnsiTheme="minorHAnsi"/>
                <w:b/>
                <w:sz w:val="22"/>
                <w:szCs w:val="22"/>
              </w:rPr>
              <w:t>GBD</w:t>
            </w:r>
          </w:p>
        </w:tc>
        <w:tc>
          <w:tcPr>
            <w:tcW w:w="1701" w:type="dxa"/>
            <w:tcBorders>
              <w:top w:val="single" w:sz="4" w:space="0" w:color="auto"/>
              <w:bottom w:val="nil"/>
            </w:tcBorders>
          </w:tcPr>
          <w:p w14:paraId="2CE767ED" w14:textId="77777777" w:rsidR="005E3E50" w:rsidRPr="005E3E50" w:rsidRDefault="005E3E50" w:rsidP="005E3E50">
            <w:pPr>
              <w:spacing w:before="120"/>
              <w:jc w:val="center"/>
              <w:rPr>
                <w:rFonts w:asciiTheme="minorHAnsi" w:hAnsiTheme="minorHAnsi"/>
                <w:b/>
                <w:sz w:val="22"/>
                <w:szCs w:val="22"/>
              </w:rPr>
            </w:pPr>
            <w:r>
              <w:rPr>
                <w:rFonts w:asciiTheme="minorHAnsi" w:hAnsiTheme="minorHAnsi"/>
                <w:b/>
                <w:sz w:val="22"/>
                <w:szCs w:val="22"/>
              </w:rPr>
              <w:t>AIHW</w:t>
            </w:r>
          </w:p>
        </w:tc>
      </w:tr>
      <w:tr w:rsidR="005E3E50" w:rsidRPr="005E3E50" w14:paraId="55CD2113" w14:textId="77777777" w:rsidTr="00B74D8C">
        <w:trPr>
          <w:tblHeader/>
        </w:trPr>
        <w:tc>
          <w:tcPr>
            <w:tcW w:w="2835" w:type="dxa"/>
            <w:tcBorders>
              <w:top w:val="nil"/>
              <w:bottom w:val="single" w:sz="4" w:space="0" w:color="auto"/>
            </w:tcBorders>
          </w:tcPr>
          <w:p w14:paraId="19DE6149" w14:textId="77777777" w:rsidR="005E3E50" w:rsidRPr="005E3E50" w:rsidRDefault="005E3E50" w:rsidP="005E3E50">
            <w:pPr>
              <w:spacing w:after="120"/>
              <w:rPr>
                <w:rFonts w:asciiTheme="minorHAnsi" w:hAnsiTheme="minorHAnsi"/>
                <w:b/>
                <w:sz w:val="22"/>
                <w:szCs w:val="22"/>
              </w:rPr>
            </w:pPr>
            <w:r>
              <w:rPr>
                <w:rFonts w:asciiTheme="minorHAnsi" w:hAnsiTheme="minorHAnsi"/>
                <w:b/>
                <w:sz w:val="22"/>
                <w:szCs w:val="22"/>
              </w:rPr>
              <w:t>Cancer type</w:t>
            </w:r>
          </w:p>
        </w:tc>
        <w:tc>
          <w:tcPr>
            <w:tcW w:w="1701" w:type="dxa"/>
            <w:tcBorders>
              <w:top w:val="nil"/>
              <w:bottom w:val="single" w:sz="4" w:space="0" w:color="auto"/>
            </w:tcBorders>
          </w:tcPr>
          <w:p w14:paraId="0346F933" w14:textId="77777777" w:rsidR="005E3E50" w:rsidRPr="005E3E50" w:rsidRDefault="005E3E50" w:rsidP="005E3E50">
            <w:pPr>
              <w:spacing w:after="120"/>
              <w:jc w:val="center"/>
              <w:rPr>
                <w:rFonts w:asciiTheme="minorHAnsi" w:hAnsiTheme="minorHAnsi"/>
                <w:b/>
                <w:sz w:val="22"/>
                <w:szCs w:val="22"/>
              </w:rPr>
            </w:pPr>
            <w:r w:rsidRPr="005E3E50">
              <w:rPr>
                <w:rFonts w:asciiTheme="minorHAnsi" w:hAnsiTheme="minorHAnsi"/>
                <w:b/>
                <w:sz w:val="22"/>
                <w:szCs w:val="22"/>
              </w:rPr>
              <w:t>PAF (deaths)</w:t>
            </w:r>
          </w:p>
        </w:tc>
        <w:tc>
          <w:tcPr>
            <w:tcW w:w="1701" w:type="dxa"/>
            <w:tcBorders>
              <w:top w:val="nil"/>
              <w:bottom w:val="single" w:sz="4" w:space="0" w:color="auto"/>
            </w:tcBorders>
          </w:tcPr>
          <w:p w14:paraId="54D2DE89" w14:textId="77777777" w:rsidR="005E3E50" w:rsidRPr="005E3E50" w:rsidRDefault="005E3E50" w:rsidP="005E3E50">
            <w:pPr>
              <w:spacing w:after="120"/>
              <w:jc w:val="center"/>
              <w:rPr>
                <w:rFonts w:asciiTheme="minorHAnsi" w:hAnsiTheme="minorHAnsi"/>
                <w:b/>
                <w:sz w:val="22"/>
                <w:szCs w:val="22"/>
              </w:rPr>
            </w:pPr>
            <w:r w:rsidRPr="005E3E50">
              <w:rPr>
                <w:rFonts w:asciiTheme="minorHAnsi" w:hAnsiTheme="minorHAnsi"/>
                <w:b/>
                <w:sz w:val="22"/>
                <w:szCs w:val="22"/>
              </w:rPr>
              <w:t>PAF (DALYs)</w:t>
            </w:r>
          </w:p>
        </w:tc>
        <w:tc>
          <w:tcPr>
            <w:tcW w:w="1701" w:type="dxa"/>
            <w:tcBorders>
              <w:top w:val="nil"/>
              <w:bottom w:val="single" w:sz="4" w:space="0" w:color="auto"/>
            </w:tcBorders>
          </w:tcPr>
          <w:p w14:paraId="38B012C7" w14:textId="77777777" w:rsidR="005E3E50" w:rsidRPr="005E3E50" w:rsidRDefault="005E3E50" w:rsidP="005E3E50">
            <w:pPr>
              <w:spacing w:after="120"/>
              <w:jc w:val="center"/>
              <w:rPr>
                <w:rFonts w:asciiTheme="minorHAnsi" w:hAnsiTheme="minorHAnsi"/>
                <w:b/>
                <w:sz w:val="22"/>
                <w:szCs w:val="22"/>
              </w:rPr>
            </w:pPr>
            <w:r w:rsidRPr="005E3E50">
              <w:rPr>
                <w:rFonts w:asciiTheme="minorHAnsi" w:hAnsiTheme="minorHAnsi"/>
                <w:b/>
                <w:sz w:val="22"/>
                <w:szCs w:val="22"/>
              </w:rPr>
              <w:t>PAF (DAL</w:t>
            </w:r>
            <w:r>
              <w:rPr>
                <w:rFonts w:asciiTheme="minorHAnsi" w:hAnsiTheme="minorHAnsi"/>
                <w:b/>
                <w:sz w:val="22"/>
                <w:szCs w:val="22"/>
              </w:rPr>
              <w:t>Y</w:t>
            </w:r>
            <w:r w:rsidRPr="005E3E50">
              <w:rPr>
                <w:rFonts w:asciiTheme="minorHAnsi" w:hAnsiTheme="minorHAnsi"/>
                <w:b/>
                <w:sz w:val="22"/>
                <w:szCs w:val="22"/>
              </w:rPr>
              <w:t>s)</w:t>
            </w:r>
          </w:p>
        </w:tc>
      </w:tr>
      <w:tr w:rsidR="005E3E50" w:rsidRPr="005E3E50" w14:paraId="74F499EB" w14:textId="77777777" w:rsidTr="005E3E50">
        <w:tc>
          <w:tcPr>
            <w:tcW w:w="2835" w:type="dxa"/>
            <w:tcBorders>
              <w:top w:val="single" w:sz="4" w:space="0" w:color="auto"/>
            </w:tcBorders>
          </w:tcPr>
          <w:p w14:paraId="397ACC5D" w14:textId="77777777" w:rsidR="005E3E50" w:rsidRPr="005E3E50" w:rsidRDefault="005E3E50" w:rsidP="00087E9C">
            <w:pPr>
              <w:rPr>
                <w:rFonts w:asciiTheme="minorHAnsi" w:hAnsiTheme="minorHAnsi"/>
                <w:sz w:val="22"/>
                <w:szCs w:val="22"/>
              </w:rPr>
            </w:pPr>
            <w:r w:rsidRPr="005E3E50">
              <w:rPr>
                <w:rFonts w:asciiTheme="minorHAnsi" w:hAnsiTheme="minorHAnsi"/>
                <w:sz w:val="22"/>
                <w:szCs w:val="22"/>
              </w:rPr>
              <w:t>Larynx cancer</w:t>
            </w:r>
          </w:p>
        </w:tc>
        <w:tc>
          <w:tcPr>
            <w:tcW w:w="1701" w:type="dxa"/>
            <w:tcBorders>
              <w:top w:val="single" w:sz="4" w:space="0" w:color="auto"/>
            </w:tcBorders>
          </w:tcPr>
          <w:p w14:paraId="36FEEC4B"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5.3</w:t>
            </w:r>
          </w:p>
        </w:tc>
        <w:tc>
          <w:tcPr>
            <w:tcW w:w="1701" w:type="dxa"/>
            <w:tcBorders>
              <w:top w:val="single" w:sz="4" w:space="0" w:color="auto"/>
            </w:tcBorders>
          </w:tcPr>
          <w:p w14:paraId="6CBBD149"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4.8</w:t>
            </w:r>
          </w:p>
        </w:tc>
        <w:tc>
          <w:tcPr>
            <w:tcW w:w="1701" w:type="dxa"/>
            <w:tcBorders>
              <w:top w:val="single" w:sz="4" w:space="0" w:color="auto"/>
            </w:tcBorders>
          </w:tcPr>
          <w:p w14:paraId="7C58C7C4"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5.3</w:t>
            </w:r>
          </w:p>
        </w:tc>
      </w:tr>
      <w:tr w:rsidR="005E3E50" w:rsidRPr="005E3E50" w14:paraId="5DBDBF70" w14:textId="77777777" w:rsidTr="005E3E50">
        <w:tc>
          <w:tcPr>
            <w:tcW w:w="2835" w:type="dxa"/>
          </w:tcPr>
          <w:p w14:paraId="66C1C5FA" w14:textId="77777777" w:rsidR="005E3E50" w:rsidRPr="005E3E50" w:rsidRDefault="005E3E50" w:rsidP="00087E9C">
            <w:pPr>
              <w:rPr>
                <w:rFonts w:asciiTheme="minorHAnsi" w:hAnsiTheme="minorHAnsi"/>
                <w:sz w:val="22"/>
                <w:szCs w:val="22"/>
              </w:rPr>
            </w:pPr>
            <w:r w:rsidRPr="005E3E50">
              <w:rPr>
                <w:rFonts w:asciiTheme="minorHAnsi" w:hAnsiTheme="minorHAnsi"/>
                <w:sz w:val="22"/>
                <w:szCs w:val="22"/>
              </w:rPr>
              <w:t>Lung cancer</w:t>
            </w:r>
          </w:p>
        </w:tc>
        <w:tc>
          <w:tcPr>
            <w:tcW w:w="1701" w:type="dxa"/>
          </w:tcPr>
          <w:p w14:paraId="32D50088"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16.4</w:t>
            </w:r>
          </w:p>
        </w:tc>
        <w:tc>
          <w:tcPr>
            <w:tcW w:w="1701" w:type="dxa"/>
          </w:tcPr>
          <w:p w14:paraId="30822CC9"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14.5</w:t>
            </w:r>
          </w:p>
        </w:tc>
        <w:tc>
          <w:tcPr>
            <w:tcW w:w="1701" w:type="dxa"/>
          </w:tcPr>
          <w:p w14:paraId="0CFCEA86"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6.1</w:t>
            </w:r>
          </w:p>
        </w:tc>
      </w:tr>
      <w:tr w:rsidR="005E3E50" w:rsidRPr="005E3E50" w14:paraId="24961C6B" w14:textId="77777777" w:rsidTr="005E3E50">
        <w:tc>
          <w:tcPr>
            <w:tcW w:w="2835" w:type="dxa"/>
          </w:tcPr>
          <w:p w14:paraId="536624B2" w14:textId="77777777" w:rsidR="005E3E50" w:rsidRPr="005E3E50" w:rsidRDefault="005E3E50" w:rsidP="00087E9C">
            <w:pPr>
              <w:rPr>
                <w:rFonts w:asciiTheme="minorHAnsi" w:hAnsiTheme="minorHAnsi"/>
                <w:sz w:val="22"/>
                <w:szCs w:val="22"/>
              </w:rPr>
            </w:pPr>
            <w:r w:rsidRPr="005E3E50">
              <w:rPr>
                <w:rFonts w:asciiTheme="minorHAnsi" w:hAnsiTheme="minorHAnsi"/>
                <w:sz w:val="22"/>
                <w:szCs w:val="22"/>
              </w:rPr>
              <w:t>Nasopharynx cancer</w:t>
            </w:r>
          </w:p>
        </w:tc>
        <w:tc>
          <w:tcPr>
            <w:tcW w:w="1701" w:type="dxa"/>
          </w:tcPr>
          <w:p w14:paraId="109AA7EB"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0.7</w:t>
            </w:r>
          </w:p>
        </w:tc>
        <w:tc>
          <w:tcPr>
            <w:tcW w:w="1701" w:type="dxa"/>
          </w:tcPr>
          <w:p w14:paraId="1828A163"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0.8</w:t>
            </w:r>
          </w:p>
        </w:tc>
        <w:tc>
          <w:tcPr>
            <w:tcW w:w="1701" w:type="dxa"/>
          </w:tcPr>
          <w:p w14:paraId="69C42396"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0.1</w:t>
            </w:r>
          </w:p>
        </w:tc>
      </w:tr>
      <w:tr w:rsidR="005E3E50" w:rsidRPr="005E3E50" w14:paraId="3070755E" w14:textId="77777777" w:rsidTr="005E3E50">
        <w:tc>
          <w:tcPr>
            <w:tcW w:w="2835" w:type="dxa"/>
          </w:tcPr>
          <w:p w14:paraId="2DCCF011" w14:textId="77777777" w:rsidR="005E3E50" w:rsidRPr="005E3E50" w:rsidRDefault="005E3E50" w:rsidP="00087E9C">
            <w:pPr>
              <w:rPr>
                <w:rFonts w:asciiTheme="minorHAnsi" w:hAnsiTheme="minorHAnsi"/>
                <w:sz w:val="22"/>
                <w:szCs w:val="22"/>
              </w:rPr>
            </w:pPr>
            <w:r w:rsidRPr="005E3E50">
              <w:rPr>
                <w:rFonts w:asciiTheme="minorHAnsi" w:hAnsiTheme="minorHAnsi"/>
                <w:sz w:val="22"/>
                <w:szCs w:val="22"/>
              </w:rPr>
              <w:t>Ovary cancer</w:t>
            </w:r>
          </w:p>
        </w:tc>
        <w:tc>
          <w:tcPr>
            <w:tcW w:w="1701" w:type="dxa"/>
          </w:tcPr>
          <w:p w14:paraId="2A2282AF"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0.8</w:t>
            </w:r>
          </w:p>
        </w:tc>
        <w:tc>
          <w:tcPr>
            <w:tcW w:w="1701" w:type="dxa"/>
          </w:tcPr>
          <w:p w14:paraId="08FC4A7F"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0.6</w:t>
            </w:r>
          </w:p>
        </w:tc>
        <w:tc>
          <w:tcPr>
            <w:tcW w:w="1701" w:type="dxa"/>
          </w:tcPr>
          <w:p w14:paraId="51C29239"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0.3</w:t>
            </w:r>
          </w:p>
        </w:tc>
      </w:tr>
      <w:tr w:rsidR="005E3E50" w:rsidRPr="005E3E50" w14:paraId="3222E540" w14:textId="77777777" w:rsidTr="005E3E50">
        <w:tc>
          <w:tcPr>
            <w:tcW w:w="2835" w:type="dxa"/>
          </w:tcPr>
          <w:p w14:paraId="655356C3" w14:textId="77777777" w:rsidR="005E3E50" w:rsidRPr="005E3E50" w:rsidRDefault="005E3E50" w:rsidP="00087E9C">
            <w:pPr>
              <w:rPr>
                <w:rFonts w:asciiTheme="minorHAnsi" w:hAnsiTheme="minorHAnsi"/>
                <w:sz w:val="22"/>
                <w:szCs w:val="22"/>
              </w:rPr>
            </w:pPr>
            <w:r w:rsidRPr="005E3E50">
              <w:rPr>
                <w:rFonts w:asciiTheme="minorHAnsi" w:hAnsiTheme="minorHAnsi"/>
                <w:sz w:val="22"/>
                <w:szCs w:val="22"/>
              </w:rPr>
              <w:t>Kidney cancer</w:t>
            </w:r>
          </w:p>
        </w:tc>
        <w:tc>
          <w:tcPr>
            <w:tcW w:w="1701" w:type="dxa"/>
          </w:tcPr>
          <w:p w14:paraId="493458D9"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0.0</w:t>
            </w:r>
          </w:p>
        </w:tc>
        <w:tc>
          <w:tcPr>
            <w:tcW w:w="1701" w:type="dxa"/>
          </w:tcPr>
          <w:p w14:paraId="784146C8"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0.0</w:t>
            </w:r>
          </w:p>
        </w:tc>
        <w:tc>
          <w:tcPr>
            <w:tcW w:w="1701" w:type="dxa"/>
          </w:tcPr>
          <w:p w14:paraId="7B457192"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w:t>
            </w:r>
          </w:p>
        </w:tc>
      </w:tr>
      <w:tr w:rsidR="005E3E50" w:rsidRPr="005E3E50" w14:paraId="0E0A5AC9" w14:textId="77777777" w:rsidTr="005E3E50">
        <w:tc>
          <w:tcPr>
            <w:tcW w:w="2835" w:type="dxa"/>
          </w:tcPr>
          <w:p w14:paraId="7FC1A1C9" w14:textId="77777777" w:rsidR="005E3E50" w:rsidRPr="005E3E50" w:rsidRDefault="005E3E50" w:rsidP="00087E9C">
            <w:pPr>
              <w:rPr>
                <w:rFonts w:asciiTheme="minorHAnsi" w:hAnsiTheme="minorHAnsi"/>
                <w:sz w:val="22"/>
                <w:szCs w:val="22"/>
              </w:rPr>
            </w:pPr>
            <w:r w:rsidRPr="005E3E50">
              <w:rPr>
                <w:rFonts w:asciiTheme="minorHAnsi" w:hAnsiTheme="minorHAnsi"/>
                <w:sz w:val="22"/>
                <w:szCs w:val="22"/>
              </w:rPr>
              <w:t>Mesothelioma</w:t>
            </w:r>
            <w:r w:rsidRPr="005E3E50">
              <w:rPr>
                <w:rFonts w:asciiTheme="minorHAnsi" w:hAnsiTheme="minorHAnsi"/>
                <w:sz w:val="22"/>
                <w:szCs w:val="22"/>
                <w:vertAlign w:val="superscript"/>
              </w:rPr>
              <w:t>2</w:t>
            </w:r>
          </w:p>
        </w:tc>
        <w:tc>
          <w:tcPr>
            <w:tcW w:w="1701" w:type="dxa"/>
          </w:tcPr>
          <w:p w14:paraId="42689E8B"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74.7</w:t>
            </w:r>
          </w:p>
        </w:tc>
        <w:tc>
          <w:tcPr>
            <w:tcW w:w="1701" w:type="dxa"/>
          </w:tcPr>
          <w:p w14:paraId="42972485"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67.2</w:t>
            </w:r>
          </w:p>
        </w:tc>
        <w:tc>
          <w:tcPr>
            <w:tcW w:w="1701" w:type="dxa"/>
          </w:tcPr>
          <w:p w14:paraId="3B60DCFB"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80.7</w:t>
            </w:r>
          </w:p>
        </w:tc>
      </w:tr>
      <w:tr w:rsidR="005E3E50" w:rsidRPr="005E3E50" w14:paraId="35D549DA" w14:textId="77777777" w:rsidTr="005E3E50">
        <w:tc>
          <w:tcPr>
            <w:tcW w:w="2835" w:type="dxa"/>
          </w:tcPr>
          <w:p w14:paraId="3E497D14" w14:textId="77777777" w:rsidR="005E3E50" w:rsidRPr="005E3E50" w:rsidRDefault="005E3E50" w:rsidP="00087E9C">
            <w:pPr>
              <w:rPr>
                <w:rFonts w:asciiTheme="minorHAnsi" w:hAnsiTheme="minorHAnsi"/>
                <w:sz w:val="22"/>
                <w:szCs w:val="22"/>
              </w:rPr>
            </w:pPr>
            <w:r w:rsidRPr="005E3E50">
              <w:rPr>
                <w:rFonts w:asciiTheme="minorHAnsi" w:hAnsiTheme="minorHAnsi"/>
                <w:sz w:val="22"/>
                <w:szCs w:val="22"/>
              </w:rPr>
              <w:t>Leukaemia</w:t>
            </w:r>
          </w:p>
        </w:tc>
        <w:tc>
          <w:tcPr>
            <w:tcW w:w="1701" w:type="dxa"/>
          </w:tcPr>
          <w:p w14:paraId="24503A9D"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1.2</w:t>
            </w:r>
          </w:p>
        </w:tc>
        <w:tc>
          <w:tcPr>
            <w:tcW w:w="1701" w:type="dxa"/>
          </w:tcPr>
          <w:p w14:paraId="34E5646A"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1.1</w:t>
            </w:r>
          </w:p>
        </w:tc>
        <w:tc>
          <w:tcPr>
            <w:tcW w:w="1701" w:type="dxa"/>
          </w:tcPr>
          <w:p w14:paraId="5F4A0601" w14:textId="77777777" w:rsidR="005E3E50" w:rsidRPr="005E3E50" w:rsidRDefault="005E3E50" w:rsidP="005E3E50">
            <w:pPr>
              <w:tabs>
                <w:tab w:val="decimal" w:pos="709"/>
              </w:tabs>
              <w:rPr>
                <w:rFonts w:asciiTheme="minorHAnsi" w:hAnsiTheme="minorHAnsi"/>
                <w:sz w:val="22"/>
                <w:szCs w:val="22"/>
              </w:rPr>
            </w:pPr>
            <w:r w:rsidRPr="005E3E50">
              <w:rPr>
                <w:rFonts w:asciiTheme="minorHAnsi" w:hAnsiTheme="minorHAnsi"/>
                <w:sz w:val="22"/>
                <w:szCs w:val="22"/>
              </w:rPr>
              <w:t>5.3</w:t>
            </w:r>
          </w:p>
        </w:tc>
      </w:tr>
      <w:tr w:rsidR="005E3E50" w:rsidRPr="005E3E50" w14:paraId="38673B7E" w14:textId="77777777" w:rsidTr="005E3E50">
        <w:tc>
          <w:tcPr>
            <w:tcW w:w="2835" w:type="dxa"/>
          </w:tcPr>
          <w:p w14:paraId="527F02D7" w14:textId="77777777" w:rsidR="005E3E50" w:rsidRPr="005E3E50" w:rsidRDefault="005E3E50" w:rsidP="00087E9C">
            <w:pPr>
              <w:rPr>
                <w:rFonts w:asciiTheme="minorHAnsi" w:hAnsiTheme="minorHAnsi"/>
                <w:b/>
                <w:sz w:val="22"/>
                <w:szCs w:val="22"/>
              </w:rPr>
            </w:pPr>
            <w:r w:rsidRPr="005E3E50">
              <w:rPr>
                <w:rFonts w:asciiTheme="minorHAnsi" w:hAnsiTheme="minorHAnsi"/>
                <w:b/>
                <w:sz w:val="22"/>
                <w:szCs w:val="22"/>
              </w:rPr>
              <w:t>Total</w:t>
            </w:r>
          </w:p>
        </w:tc>
        <w:tc>
          <w:tcPr>
            <w:tcW w:w="1701" w:type="dxa"/>
          </w:tcPr>
          <w:p w14:paraId="6D9CD95B" w14:textId="77777777" w:rsidR="005E3E50" w:rsidRPr="005E3E50" w:rsidRDefault="005E3E50" w:rsidP="005E3E50">
            <w:pPr>
              <w:tabs>
                <w:tab w:val="decimal" w:pos="709"/>
              </w:tabs>
              <w:rPr>
                <w:rFonts w:asciiTheme="minorHAnsi" w:hAnsiTheme="minorHAnsi"/>
                <w:b/>
                <w:sz w:val="22"/>
                <w:szCs w:val="22"/>
              </w:rPr>
            </w:pPr>
            <w:r w:rsidRPr="005E3E50">
              <w:rPr>
                <w:rFonts w:asciiTheme="minorHAnsi" w:hAnsiTheme="minorHAnsi"/>
                <w:b/>
                <w:sz w:val="22"/>
                <w:szCs w:val="22"/>
              </w:rPr>
              <w:t>3.7</w:t>
            </w:r>
          </w:p>
        </w:tc>
        <w:tc>
          <w:tcPr>
            <w:tcW w:w="1701" w:type="dxa"/>
          </w:tcPr>
          <w:p w14:paraId="354B5D70" w14:textId="77777777" w:rsidR="005E3E50" w:rsidRPr="005E3E50" w:rsidRDefault="005E3E50" w:rsidP="005E3E50">
            <w:pPr>
              <w:tabs>
                <w:tab w:val="decimal" w:pos="709"/>
              </w:tabs>
              <w:rPr>
                <w:rFonts w:asciiTheme="minorHAnsi" w:hAnsiTheme="minorHAnsi"/>
                <w:b/>
                <w:sz w:val="22"/>
                <w:szCs w:val="22"/>
              </w:rPr>
            </w:pPr>
            <w:r w:rsidRPr="005E3E50">
              <w:rPr>
                <w:rFonts w:asciiTheme="minorHAnsi" w:hAnsiTheme="minorHAnsi"/>
                <w:b/>
                <w:sz w:val="22"/>
                <w:szCs w:val="22"/>
              </w:rPr>
              <w:t>2.9</w:t>
            </w:r>
          </w:p>
        </w:tc>
        <w:tc>
          <w:tcPr>
            <w:tcW w:w="1701" w:type="dxa"/>
          </w:tcPr>
          <w:p w14:paraId="274C6263" w14:textId="77777777" w:rsidR="005E3E50" w:rsidRPr="005E3E50" w:rsidRDefault="005E3E50" w:rsidP="005E3E50">
            <w:pPr>
              <w:tabs>
                <w:tab w:val="decimal" w:pos="709"/>
              </w:tabs>
              <w:rPr>
                <w:rFonts w:asciiTheme="minorHAnsi" w:hAnsiTheme="minorHAnsi"/>
                <w:b/>
                <w:sz w:val="22"/>
                <w:szCs w:val="22"/>
              </w:rPr>
            </w:pPr>
            <w:r w:rsidRPr="005E3E50">
              <w:rPr>
                <w:rFonts w:asciiTheme="minorHAnsi" w:hAnsiTheme="minorHAnsi"/>
                <w:b/>
                <w:sz w:val="22"/>
                <w:szCs w:val="22"/>
              </w:rPr>
              <w:t>-</w:t>
            </w:r>
          </w:p>
        </w:tc>
      </w:tr>
    </w:tbl>
    <w:p w14:paraId="6B622E35" w14:textId="40F6DCB9" w:rsidR="005E3E50" w:rsidRDefault="005E3E50" w:rsidP="005E3E50">
      <w:pPr>
        <w:pStyle w:val="PHD-normaltext"/>
        <w:tabs>
          <w:tab w:val="left" w:pos="284"/>
        </w:tabs>
        <w:spacing w:line="240" w:lineRule="auto"/>
        <w:ind w:left="284" w:hanging="284"/>
        <w:rPr>
          <w:rFonts w:ascii="Calibri" w:hAnsi="Calibri"/>
          <w:i/>
          <w:sz w:val="22"/>
          <w:szCs w:val="22"/>
        </w:rPr>
      </w:pPr>
      <w:r w:rsidRPr="005317BA">
        <w:rPr>
          <w:rFonts w:ascii="Calibri" w:hAnsi="Calibri"/>
          <w:i/>
          <w:sz w:val="22"/>
          <w:szCs w:val="22"/>
        </w:rPr>
        <w:t>+:</w:t>
      </w:r>
      <w:r w:rsidRPr="005317BA">
        <w:rPr>
          <w:rFonts w:ascii="Calibri" w:hAnsi="Calibri"/>
          <w:i/>
          <w:sz w:val="22"/>
          <w:szCs w:val="22"/>
        </w:rPr>
        <w:tab/>
      </w:r>
      <w:r>
        <w:rPr>
          <w:rFonts w:ascii="Calibri" w:hAnsi="Calibri"/>
          <w:i/>
          <w:sz w:val="22"/>
          <w:szCs w:val="22"/>
        </w:rPr>
        <w:t>Global Burden of Disease study, based on IHME, 2015</w:t>
      </w:r>
      <w:r w:rsidR="002972A9">
        <w:rPr>
          <w:rFonts w:ascii="Calibri" w:hAnsi="Calibri"/>
          <w:i/>
          <w:sz w:val="22"/>
          <w:szCs w:val="22"/>
        </w:rPr>
        <w:fldChar w:fldCharType="begin"/>
      </w:r>
      <w:r w:rsidR="00F262B9">
        <w:rPr>
          <w:rFonts w:ascii="Calibri" w:hAnsi="Calibri"/>
          <w:i/>
          <w:sz w:val="22"/>
          <w:szCs w:val="22"/>
        </w:rPr>
        <w:instrText xml:space="preserve"> ADDIN EN.CITE &lt;EndNote&gt;&lt;Cite&gt;&lt;Author&gt;Institute for Health Metrics and Evaluation&lt;/Author&gt;&lt;Year&gt;2015&lt;/Year&gt;&lt;RecNum&gt;980&lt;/RecNum&gt;&lt;DisplayText&gt;&lt;style face="superscript"&gt;20&lt;/style&gt;&lt;/DisplayText&gt;&lt;record&gt;&lt;rec-number&gt;980&lt;/rec-number&gt;&lt;foreign-keys&gt;&lt;key app="EN" db-id="9t2pp5ew3waxt7ex2apvwst4psz2x2xp0xpz" timestamp="1463979520"&gt;980&lt;/key&gt;&lt;/foreign-keys&gt;&lt;ref-type name="Online Database"&gt;45&lt;/ref-type&gt;&lt;contributors&gt;&lt;authors&gt;&lt;author&gt;Institute for Health Metrics and Evaluation,&lt;/author&gt;&lt;/authors&gt;&lt;/contributors&gt;&lt;titles&gt;&lt;title&gt;GBD Compare&lt;/title&gt;&lt;/titles&gt;&lt;edition&gt;2016&lt;/edition&gt;&lt;dates&gt;&lt;year&gt;2015&lt;/year&gt;&lt;pub-dates&gt;&lt;date&gt;May 2016&lt;/date&gt;&lt;/pub-dates&gt;&lt;/dates&gt;&lt;pub-location&gt;Seattle, WA&lt;/pub-location&gt;&lt;publisher&gt;IHME, University of Washington&lt;/publisher&gt;&lt;urls&gt;&lt;related-urls&gt;&lt;url&gt;http://www.healthdata.org/data-visualization/gbd-compare&lt;/url&gt;&lt;/related-urls&gt;&lt;/urls&gt;&lt;/record&gt;&lt;/Cite&gt;&lt;/EndNote&gt;</w:instrText>
      </w:r>
      <w:r w:rsidR="002972A9">
        <w:rPr>
          <w:rFonts w:ascii="Calibri" w:hAnsi="Calibri"/>
          <w:i/>
          <w:sz w:val="22"/>
          <w:szCs w:val="22"/>
        </w:rPr>
        <w:fldChar w:fldCharType="separate"/>
      </w:r>
      <w:r w:rsidR="00F262B9" w:rsidRPr="00F262B9">
        <w:rPr>
          <w:rFonts w:ascii="Calibri" w:hAnsi="Calibri"/>
          <w:i/>
          <w:noProof/>
          <w:sz w:val="22"/>
          <w:szCs w:val="22"/>
          <w:vertAlign w:val="superscript"/>
        </w:rPr>
        <w:t>20</w:t>
      </w:r>
      <w:r w:rsidR="002972A9">
        <w:rPr>
          <w:rFonts w:ascii="Calibri" w:hAnsi="Calibri"/>
          <w:i/>
          <w:sz w:val="22"/>
          <w:szCs w:val="22"/>
        </w:rPr>
        <w:fldChar w:fldCharType="end"/>
      </w:r>
      <w:r>
        <w:rPr>
          <w:rFonts w:ascii="Calibri" w:hAnsi="Calibri"/>
          <w:i/>
          <w:sz w:val="22"/>
          <w:szCs w:val="22"/>
        </w:rPr>
        <w:t>.</w:t>
      </w:r>
    </w:p>
    <w:p w14:paraId="30939480" w14:textId="73AFCEFF" w:rsidR="005E3E50" w:rsidRPr="005317BA" w:rsidRDefault="005E3E50" w:rsidP="005E3E50">
      <w:pPr>
        <w:pStyle w:val="PHD-normaltext"/>
        <w:tabs>
          <w:tab w:val="left" w:pos="284"/>
        </w:tabs>
        <w:spacing w:line="240" w:lineRule="auto"/>
        <w:ind w:left="284" w:hanging="284"/>
        <w:rPr>
          <w:rFonts w:ascii="Calibri" w:hAnsi="Calibri"/>
          <w:i/>
          <w:sz w:val="22"/>
          <w:szCs w:val="22"/>
        </w:rPr>
      </w:pPr>
      <w:r>
        <w:rPr>
          <w:rFonts w:ascii="Calibri" w:hAnsi="Calibri"/>
          <w:i/>
          <w:sz w:val="22"/>
          <w:szCs w:val="22"/>
        </w:rPr>
        <w:t>^:</w:t>
      </w:r>
      <w:r>
        <w:rPr>
          <w:rFonts w:ascii="Calibri" w:hAnsi="Calibri"/>
          <w:i/>
          <w:sz w:val="22"/>
          <w:szCs w:val="22"/>
        </w:rPr>
        <w:tab/>
        <w:t>AIHW, based on AIHW, 2016</w:t>
      </w:r>
      <w:r w:rsidR="002972A9">
        <w:rPr>
          <w:rFonts w:ascii="Calibri" w:hAnsi="Calibri"/>
          <w:i/>
          <w:sz w:val="22"/>
          <w:szCs w:val="22"/>
        </w:rPr>
        <w:fldChar w:fldCharType="begin"/>
      </w:r>
      <w:r w:rsidR="00F262B9">
        <w:rPr>
          <w:rFonts w:ascii="Calibri" w:hAnsi="Calibri"/>
          <w:i/>
          <w:sz w:val="22"/>
          <w:szCs w:val="22"/>
        </w:rPr>
        <w:instrText xml:space="preserve"> ADDIN EN.CITE &lt;EndNote&gt;&lt;Cite&gt;&lt;Author&gt;Australian Institute of Health and Welfare (AIHW)&lt;/Author&gt;&lt;Year&gt;2016&lt;/Year&gt;&lt;RecNum&gt;982&lt;/RecNum&gt;&lt;DisplayText&gt;&lt;style face="superscript"&gt;14&lt;/style&gt;&lt;/DisplayText&gt;&lt;record&gt;&lt;rec-number&gt;982&lt;/rec-number&gt;&lt;foreign-keys&gt;&lt;key app="EN" db-id="9t2pp5ew3waxt7ex2apvwst4psz2x2xp0xpz" timestamp="1463982924"&gt;982&lt;/key&gt;&lt;/foreign-keys&gt;&lt;ref-type name="Report"&gt;27&lt;/ref-type&gt;&lt;contributors&gt;&lt;authors&gt;&lt;author&gt;Australian Institute of Health and Welfare (AIHW),&lt;/author&gt;&lt;/authors&gt;&lt;tertiary-authors&gt;&lt;author&gt;AIHW&lt;/author&gt;&lt;/tertiary-authors&gt;&lt;/contributors&gt;&lt;titles&gt;&lt;title&gt;Australian Burden of Disease Study Impact and causes of illness and deaths in Australia. 2011&lt;/title&gt;&lt;/titles&gt;&lt;dates&gt;&lt;year&gt;2016&lt;/year&gt;&lt;/dates&gt;&lt;pub-location&gt;Canberra&lt;/pub-location&gt;&lt;urls&gt;&lt;related-urls&gt;&lt;url&gt;http://www.aihw.gov.au/WorkArea/DownloadAsset.aspx?id=60129555176&lt;/url&gt;&lt;/related-urls&gt;&lt;/urls&gt;&lt;/record&gt;&lt;/Cite&gt;&lt;/EndNote&gt;</w:instrText>
      </w:r>
      <w:r w:rsidR="002972A9">
        <w:rPr>
          <w:rFonts w:ascii="Calibri" w:hAnsi="Calibri"/>
          <w:i/>
          <w:sz w:val="22"/>
          <w:szCs w:val="22"/>
        </w:rPr>
        <w:fldChar w:fldCharType="separate"/>
      </w:r>
      <w:r w:rsidR="00F262B9" w:rsidRPr="00F262B9">
        <w:rPr>
          <w:rFonts w:ascii="Calibri" w:hAnsi="Calibri"/>
          <w:i/>
          <w:noProof/>
          <w:sz w:val="22"/>
          <w:szCs w:val="22"/>
          <w:vertAlign w:val="superscript"/>
        </w:rPr>
        <w:t>14</w:t>
      </w:r>
      <w:r w:rsidR="002972A9">
        <w:rPr>
          <w:rFonts w:ascii="Calibri" w:hAnsi="Calibri"/>
          <w:i/>
          <w:sz w:val="22"/>
          <w:szCs w:val="22"/>
        </w:rPr>
        <w:fldChar w:fldCharType="end"/>
      </w:r>
      <w:r>
        <w:rPr>
          <w:rFonts w:ascii="Calibri" w:hAnsi="Calibri"/>
          <w:i/>
          <w:sz w:val="22"/>
          <w:szCs w:val="22"/>
        </w:rPr>
        <w:t>.</w:t>
      </w:r>
    </w:p>
    <w:p w14:paraId="28B4C60C" w14:textId="77777777" w:rsidR="005E3E50" w:rsidRDefault="005E3E50">
      <w:pPr>
        <w:rPr>
          <w:rFonts w:ascii="Verdana" w:hAnsi="Verdana"/>
          <w:b/>
          <w:smallCaps/>
        </w:rPr>
      </w:pPr>
      <w:r>
        <w:br w:type="page"/>
      </w:r>
    </w:p>
    <w:p w14:paraId="3A1E8224" w14:textId="2E5455E8" w:rsidR="00C1459C" w:rsidRPr="00B420D2" w:rsidRDefault="00B420D2" w:rsidP="00B420D2">
      <w:pPr>
        <w:pStyle w:val="Heading2"/>
        <w:keepNext/>
        <w:spacing w:after="240"/>
        <w:rPr>
          <w:sz w:val="24"/>
          <w:szCs w:val="24"/>
        </w:rPr>
      </w:pPr>
      <w:bookmarkStart w:id="21" w:name="_Toc493068325"/>
      <w:r w:rsidRPr="00B420D2">
        <w:rPr>
          <w:sz w:val="24"/>
          <w:szCs w:val="24"/>
        </w:rPr>
        <w:lastRenderedPageBreak/>
        <w:t>INFECTIOUS DISEASE</w:t>
      </w:r>
      <w:bookmarkEnd w:id="21"/>
    </w:p>
    <w:p w14:paraId="3F73795E" w14:textId="36943139" w:rsidR="00C1459C" w:rsidRDefault="0027139D" w:rsidP="00B420D2">
      <w:pPr>
        <w:pStyle w:val="PHD-normaltext"/>
        <w:spacing w:after="240"/>
      </w:pPr>
      <w:r>
        <w:t>The Australian National Notifiable Disease Surveillance System reported that in terms of new (incident) cases in 2014 there were 17 cases of brucellosis, 231 cases of Hepatitis A, 176 cases of Hepatitis B, 433 cases of Hepatitis C, 88 cases of leptospirosis, 469 cases of Q-fever, 1,339 cases of tuberculosis and zero cases of anthrax</w:t>
      </w:r>
      <w:r w:rsidR="002972A9">
        <w:fldChar w:fldCharType="begin"/>
      </w:r>
      <w:r w:rsidR="00F262B9">
        <w:instrText xml:space="preserve"> ADDIN EN.CITE &lt;EndNote&gt;&lt;Cite ExcludeYear="1"&gt;&lt;Author&gt;NNDSS Annual Report Working Group&lt;/Author&gt;&lt;RecNum&gt;977&lt;/RecNum&gt;&lt;DisplayText&gt;&lt;style face="superscript"&gt;21&lt;/style&gt;&lt;/DisplayText&gt;&lt;record&gt;&lt;rec-number&gt;977&lt;/rec-number&gt;&lt;foreign-keys&gt;&lt;key app="EN" db-id="9t2pp5ew3waxt7ex2apvwst4psz2x2xp0xpz" timestamp="1463975345"&gt;977&lt;/key&gt;&lt;/foreign-keys&gt;&lt;ref-type name="Journal Article"&gt;17&lt;/ref-type&gt;&lt;contributors&gt;&lt;authors&gt;&lt;author&gt;NNDSS Annual Report Working Group,&lt;/author&gt;&lt;/authors&gt;&lt;/contributors&gt;&lt;titles&gt;&lt;title&gt;Australia’s notifiable disease status, 2014: Annual report of the National Notifiable Diseases Surveillance System&lt;/title&gt;&lt;secondary-title&gt;Communicable Disease Intelligence&lt;/secondary-title&gt;&lt;/titles&gt;&lt;periodical&gt;&lt;full-title&gt;Communicable Disease Intelligence&lt;/full-title&gt;&lt;/periodical&gt;&lt;pages&gt;E48-E145&lt;/pages&gt;&lt;volume&gt;40&lt;/volume&gt;&lt;number&gt;1&lt;/number&gt;&lt;dates&gt;&lt;/dates&gt;&lt;urls&gt;&lt;/urls&gt;&lt;/record&gt;&lt;/Cite&gt;&lt;/EndNote&gt;</w:instrText>
      </w:r>
      <w:r w:rsidR="002972A9">
        <w:fldChar w:fldCharType="separate"/>
      </w:r>
      <w:r w:rsidR="00F262B9" w:rsidRPr="00F262B9">
        <w:rPr>
          <w:noProof/>
          <w:vertAlign w:val="superscript"/>
        </w:rPr>
        <w:t>21</w:t>
      </w:r>
      <w:r w:rsidR="002972A9">
        <w:fldChar w:fldCharType="end"/>
      </w:r>
      <w:r>
        <w:t>.</w:t>
      </w:r>
    </w:p>
    <w:p w14:paraId="4BBF77BB" w14:textId="16462391" w:rsidR="00F33623" w:rsidRPr="004427EB" w:rsidRDefault="00B420D2" w:rsidP="00B420D2">
      <w:pPr>
        <w:pStyle w:val="Heading2"/>
        <w:keepNext/>
        <w:spacing w:after="240"/>
      </w:pPr>
      <w:bookmarkStart w:id="22" w:name="_Toc493068326"/>
      <w:r>
        <w:t>DISEASES OF THE NERVOUS SYSTEM</w:t>
      </w:r>
      <w:bookmarkEnd w:id="22"/>
    </w:p>
    <w:p w14:paraId="0B611169" w14:textId="77777777" w:rsidR="0097493E" w:rsidRPr="003F70AC" w:rsidRDefault="00F33623" w:rsidP="003F70AC">
      <w:pPr>
        <w:pStyle w:val="Heading3"/>
        <w:rPr>
          <w:highlight w:val="green"/>
        </w:rPr>
      </w:pPr>
      <w:bookmarkStart w:id="23" w:name="_Toc493068327"/>
      <w:r w:rsidRPr="003F70AC">
        <w:t>Parkinson's disease</w:t>
      </w:r>
      <w:bookmarkEnd w:id="23"/>
    </w:p>
    <w:p w14:paraId="25E59FC5" w14:textId="5F2969DE" w:rsidR="00F33623" w:rsidRDefault="00F33623" w:rsidP="00F33623">
      <w:pPr>
        <w:pStyle w:val="PHD-normaltext"/>
      </w:pPr>
      <w:r>
        <w:t>A 2015 report estimated that there about 11,500 new cases of Parkinson's disease in Australia each year</w:t>
      </w:r>
      <w:r w:rsidR="002972A9">
        <w:fldChar w:fldCharType="begin"/>
      </w:r>
      <w:r w:rsidR="00F262B9">
        <w:instrText xml:space="preserve"> ADDIN EN.CITE &lt;EndNote&gt;&lt;Cite&gt;&lt;Author&gt;Deloite Access Economics&lt;/Author&gt;&lt;Year&gt;2015&lt;/Year&gt;&lt;RecNum&gt;973&lt;/RecNum&gt;&lt;DisplayText&gt;&lt;style face="superscript"&gt;22&lt;/style&gt;&lt;/DisplayText&gt;&lt;record&gt;&lt;rec-number&gt;973&lt;/rec-number&gt;&lt;foreign-keys&gt;&lt;key app="EN" db-id="9t2pp5ew3waxt7ex2apvwst4psz2x2xp0xpz" timestamp="1463920483"&gt;973&lt;/key&gt;&lt;/foreign-keys&gt;&lt;ref-type name="Report"&gt;27&lt;/ref-type&gt;&lt;contributors&gt;&lt;authors&gt;&lt;author&gt;Deloite Access Economics,&lt;/author&gt;&lt;/authors&gt;&lt;tertiary-authors&gt;&lt;author&gt;Parkinson&amp;apos;s Australia Inc.&lt;/author&gt;&lt;/tertiary-authors&gt;&lt;/contributors&gt;&lt;titles&gt;&lt;title&gt;Living with Parkinson&amp;apos;s Disease.  An updated economic analysis 2014&lt;/title&gt;&lt;/titles&gt;&lt;dates&gt;&lt;year&gt;2015&lt;/year&gt;&lt;/dates&gt;&lt;pub-location&gt;ACT&lt;/pub-location&gt;&lt;urls&gt;&lt;related-urls&gt;&lt;url&gt;http://www.parkinsons.org.au/Documents/Living%20with%20Parkinsons%2027082015%20FINAL.pdf&lt;/url&gt;&lt;/related-urls&gt;&lt;/urls&gt;&lt;/record&gt;&lt;/Cite&gt;&lt;/EndNote&gt;</w:instrText>
      </w:r>
      <w:r w:rsidR="002972A9">
        <w:fldChar w:fldCharType="separate"/>
      </w:r>
      <w:r w:rsidR="00F262B9" w:rsidRPr="00F262B9">
        <w:rPr>
          <w:noProof/>
          <w:vertAlign w:val="superscript"/>
        </w:rPr>
        <w:t>22</w:t>
      </w:r>
      <w:r w:rsidR="002972A9">
        <w:fldChar w:fldCharType="end"/>
      </w:r>
      <w:r>
        <w:t>.</w:t>
      </w:r>
    </w:p>
    <w:p w14:paraId="28EC4820" w14:textId="77777777" w:rsidR="0097493E" w:rsidRPr="0039518B" w:rsidRDefault="00403100" w:rsidP="003F70AC">
      <w:pPr>
        <w:pStyle w:val="Heading3"/>
        <w:rPr>
          <w:highlight w:val="green"/>
        </w:rPr>
      </w:pPr>
      <w:bookmarkStart w:id="24" w:name="_Toc493068328"/>
      <w:r w:rsidRPr="00403100">
        <w:t>Peripheral neuropathy</w:t>
      </w:r>
      <w:bookmarkEnd w:id="24"/>
    </w:p>
    <w:p w14:paraId="0B97AB4D" w14:textId="77777777" w:rsidR="00F33623" w:rsidRDefault="00403100" w:rsidP="003F70AC">
      <w:pPr>
        <w:pStyle w:val="PHD-normaltext"/>
        <w:spacing w:after="240"/>
      </w:pPr>
      <w:r>
        <w:t>There is no accurate Australian information on the incidence of peripheral neuropathy related to external agents.</w:t>
      </w:r>
    </w:p>
    <w:p w14:paraId="7B8362D5" w14:textId="63F1C8D6" w:rsidR="00FB1452" w:rsidRPr="003F70AC" w:rsidRDefault="003F70AC" w:rsidP="003F70AC">
      <w:pPr>
        <w:pStyle w:val="Heading2"/>
        <w:spacing w:after="240"/>
        <w:rPr>
          <w:sz w:val="24"/>
          <w:szCs w:val="24"/>
        </w:rPr>
      </w:pPr>
      <w:bookmarkStart w:id="25" w:name="_Toc493068329"/>
      <w:r w:rsidRPr="003F70AC">
        <w:rPr>
          <w:sz w:val="24"/>
          <w:szCs w:val="24"/>
        </w:rPr>
        <w:t>DISEASES OF THE RESPIRATORY SYSTEM</w:t>
      </w:r>
      <w:bookmarkEnd w:id="25"/>
    </w:p>
    <w:p w14:paraId="7A738295" w14:textId="77777777" w:rsidR="0097493E" w:rsidRPr="0097493E" w:rsidRDefault="00C66D54" w:rsidP="003F70AC">
      <w:pPr>
        <w:pStyle w:val="Heading3"/>
        <w:rPr>
          <w:highlight w:val="green"/>
        </w:rPr>
      </w:pPr>
      <w:bookmarkStart w:id="26" w:name="_Toc493068330"/>
      <w:r w:rsidRPr="0097493E">
        <w:t>Asthma</w:t>
      </w:r>
      <w:bookmarkEnd w:id="26"/>
    </w:p>
    <w:p w14:paraId="3C657C0D" w14:textId="21EBDFDF" w:rsidR="004427EB" w:rsidRDefault="00FB1452" w:rsidP="009A19F6">
      <w:pPr>
        <w:pStyle w:val="PHD-normaltext"/>
      </w:pPr>
      <w:r>
        <w:t>There is no information on the incidence of adult asthma in Australia.  The National Health Survey has provided information on the prevalence of current asthma, with results suggesting about 10% of adults in Australia</w:t>
      </w:r>
      <w:r w:rsidR="009E11C2">
        <w:t xml:space="preserve"> currently</w:t>
      </w:r>
      <w:r>
        <w:t xml:space="preserve"> have asthma</w:t>
      </w:r>
      <w:r w:rsidR="002972A9">
        <w:fldChar w:fldCharType="begin"/>
      </w:r>
      <w:r w:rsidR="00F262B9">
        <w:instrText xml:space="preserve"> ADDIN EN.CITE &lt;EndNote&gt;&lt;Cite&gt;&lt;Author&gt;Australian Centre for Asthma Monitoring&lt;/Author&gt;&lt;Year&gt;2011&lt;/Year&gt;&lt;RecNum&gt;972&lt;/RecNum&gt;&lt;DisplayText&gt;&lt;style face="superscript"&gt;23&lt;/style&gt;&lt;/DisplayText&gt;&lt;record&gt;&lt;rec-number&gt;972&lt;/rec-number&gt;&lt;foreign-keys&gt;&lt;key app="EN" db-id="9t2pp5ew3waxt7ex2apvwst4psz2x2xp0xpz" timestamp="1463918881"&gt;972&lt;/key&gt;&lt;/foreign-keys&gt;&lt;ref-type name="Report"&gt;27&lt;/ref-type&gt;&lt;contributors&gt;&lt;authors&gt;&lt;author&gt;Australian Centre for Asthma Monitoring,&lt;/author&gt;&lt;/authors&gt;&lt;tertiary-authors&gt;&lt;author&gt;AIHW&lt;/author&gt;&lt;/tertiary-authors&gt;&lt;/contributors&gt;&lt;titles&gt;&lt;title&gt;Asthma in Australia 2011&lt;/title&gt;&lt;/titles&gt;&lt;number&gt;Cat. no. ACM 22&lt;/number&gt;&lt;num-vols&gt;AIHW Asthma Series no. 4&lt;/num-vols&gt;&lt;dates&gt;&lt;year&gt;2011&lt;/year&gt;&lt;/dates&gt;&lt;pub-location&gt;Canberra&lt;/pub-location&gt;&lt;urls&gt;&lt;/urls&gt;&lt;/record&gt;&lt;/Cite&gt;&lt;/EndNote&gt;</w:instrText>
      </w:r>
      <w:r w:rsidR="002972A9">
        <w:fldChar w:fldCharType="separate"/>
      </w:r>
      <w:r w:rsidR="00F262B9" w:rsidRPr="00F262B9">
        <w:rPr>
          <w:noProof/>
          <w:vertAlign w:val="superscript"/>
        </w:rPr>
        <w:t>23</w:t>
      </w:r>
      <w:r w:rsidR="002972A9">
        <w:fldChar w:fldCharType="end"/>
      </w:r>
      <w:r w:rsidR="00C66D54">
        <w:t>.</w:t>
      </w:r>
      <w:r w:rsidR="00036813">
        <w:t xml:space="preserve">  The most recent information from the Global Burden of Disease study suggests occupational exposures are responsible for approximately 12.5% of </w:t>
      </w:r>
      <w:r w:rsidR="008B1C51">
        <w:t>asthma</w:t>
      </w:r>
      <w:r w:rsidR="00036813">
        <w:t xml:space="preserve"> in adults worldwide</w:t>
      </w:r>
      <w:r w:rsidR="002972A9">
        <w:fldChar w:fldCharType="begin"/>
      </w:r>
      <w:r w:rsidR="00F262B9">
        <w:instrText xml:space="preserve"> ADDIN EN.CITE &lt;EndNote&gt;&lt;Cite&gt;&lt;Author&gt;Lim&lt;/Author&gt;&lt;Year&gt;2012&lt;/Year&gt;&lt;RecNum&gt;33&lt;/RecNum&gt;&lt;DisplayText&gt;&lt;style face="superscript"&gt;19, 20&lt;/style&gt;&lt;/DisplayText&gt;&lt;record&gt;&lt;rec-number&gt;33&lt;/rec-number&gt;&lt;foreign-keys&gt;&lt;key app="EN" db-id="xw2v5x5zv0zvs2e2af8v2xp3zfa5ps2v2zf2" timestamp="1402396163"&gt;33&lt;/key&gt;&lt;/foreign-keys&gt;&lt;ref-type name="Journal Article"&gt;17&lt;/ref-type&gt;&lt;contributors&gt;&lt;authors&gt;&lt;author&gt;Lim, S&lt;/author&gt;&lt;author&gt;Vos, T&lt;/author&gt;&lt;author&gt;Flaxman, A&lt;/author&gt;&lt;author&gt;Danaei, G&lt;/author&gt;&lt;author&gt;Shibuya, K&lt;/author&gt;&lt;author&gt;Lopez, AD&lt;/author&gt;&lt;author&gt;Murray, CJL&lt;/author&gt;&lt;author&gt;Ezzati, M&lt;/author&gt;&lt;author&gt;et al&lt;/author&gt;&lt;/authors&gt;&lt;/contributors&gt;&lt;titles&gt;&lt;title&gt;A comparative risk assessment of burden of disease and injury attributable to 67 risk factors and risk factor clusters in 21 regions, 1990-2010: a systematic analysis for the Global Burden of Disease Study 2010.&lt;/title&gt;&lt;secondary-title&gt;Lancet&lt;/secondary-title&gt;&lt;/titles&gt;&lt;periodical&gt;&lt;full-title&gt;Lancet&lt;/full-title&gt;&lt;/periodical&gt;&lt;pages&gt;2224–2260&lt;/pages&gt;&lt;volume&gt;380&lt;/volume&gt;&lt;dates&gt;&lt;year&gt;2012&lt;/year&gt;&lt;/dates&gt;&lt;urls&gt;&lt;/urls&gt;&lt;/record&gt;&lt;/Cite&gt;&lt;Cite&gt;&lt;Author&gt;Institute for Health Metrics and Evaluation&lt;/Author&gt;&lt;Year&gt;2015&lt;/Year&gt;&lt;RecNum&gt;980&lt;/RecNum&gt;&lt;record&gt;&lt;rec-number&gt;980&lt;/rec-number&gt;&lt;foreign-keys&gt;&lt;key app="EN" db-id="9t2pp5ew3waxt7ex2apvwst4psz2x2xp0xpz" timestamp="1463979520"&gt;980&lt;/key&gt;&lt;/foreign-keys&gt;&lt;ref-type name="Online Database"&gt;45&lt;/ref-type&gt;&lt;contributors&gt;&lt;authors&gt;&lt;author&gt;Institute for Health Metrics and Evaluation,&lt;/author&gt;&lt;/authors&gt;&lt;/contributors&gt;&lt;titles&gt;&lt;title&gt;GBD Compare&lt;/title&gt;&lt;/titles&gt;&lt;edition&gt;2016&lt;/edition&gt;&lt;dates&gt;&lt;year&gt;2015&lt;/year&gt;&lt;pub-dates&gt;&lt;date&gt;May 2016&lt;/date&gt;&lt;/pub-dates&gt;&lt;/dates&gt;&lt;pub-location&gt;Seattle, WA&lt;/pub-location&gt;&lt;publisher&gt;IHME, University of Washington&lt;/publisher&gt;&lt;urls&gt;&lt;related-urls&gt;&lt;url&gt;http://www.healthdata.org/data-visualization/gbd-compare&lt;/url&gt;&lt;/related-urls&gt;&lt;/urls&gt;&lt;/record&gt;&lt;/Cite&gt;&lt;/EndNote&gt;</w:instrText>
      </w:r>
      <w:r w:rsidR="002972A9">
        <w:fldChar w:fldCharType="separate"/>
      </w:r>
      <w:r w:rsidR="00F262B9" w:rsidRPr="00F262B9">
        <w:rPr>
          <w:noProof/>
          <w:vertAlign w:val="superscript"/>
        </w:rPr>
        <w:t>19, 20</w:t>
      </w:r>
      <w:r w:rsidR="002972A9">
        <w:fldChar w:fldCharType="end"/>
      </w:r>
      <w:r w:rsidR="00C01162">
        <w:t>, but the Australian Burden of Disease study estimated an occupational attributable fraction of 9.5% based on DALYs</w:t>
      </w:r>
      <w:r w:rsidR="002972A9">
        <w:fldChar w:fldCharType="begin"/>
      </w:r>
      <w:r w:rsidR="00F262B9">
        <w:instrText xml:space="preserve"> ADDIN EN.CITE &lt;EndNote&gt;&lt;Cite&gt;&lt;Author&gt;Australian Institute of Health and Welfare (AIHW)&lt;/Author&gt;&lt;Year&gt;2016&lt;/Year&gt;&lt;RecNum&gt;982&lt;/RecNum&gt;&lt;DisplayText&gt;&lt;style face="superscript"&gt;14&lt;/style&gt;&lt;/DisplayText&gt;&lt;record&gt;&lt;rec-number&gt;982&lt;/rec-number&gt;&lt;foreign-keys&gt;&lt;key app="EN" db-id="9t2pp5ew3waxt7ex2apvwst4psz2x2xp0xpz" timestamp="1463982924"&gt;982&lt;/key&gt;&lt;/foreign-keys&gt;&lt;ref-type name="Report"&gt;27&lt;/ref-type&gt;&lt;contributors&gt;&lt;authors&gt;&lt;author&gt;Australian Institute of Health and Welfare (AIHW),&lt;/author&gt;&lt;/authors&gt;&lt;tertiary-authors&gt;&lt;author&gt;AIHW&lt;/author&gt;&lt;/tertiary-authors&gt;&lt;/contributors&gt;&lt;titles&gt;&lt;title&gt;Australian Burden of Disease Study Impact and causes of illness and deaths in Australia. 2011&lt;/title&gt;&lt;/titles&gt;&lt;dates&gt;&lt;year&gt;2016&lt;/year&gt;&lt;/dates&gt;&lt;pub-location&gt;Canberra&lt;/pub-location&gt;&lt;urls&gt;&lt;related-urls&gt;&lt;url&gt;http://www.aihw.gov.au/WorkArea/DownloadAsset.aspx?id=60129555176&lt;/url&gt;&lt;/related-urls&gt;&lt;/urls&gt;&lt;/record&gt;&lt;/Cite&gt;&lt;/EndNote&gt;</w:instrText>
      </w:r>
      <w:r w:rsidR="002972A9">
        <w:fldChar w:fldCharType="separate"/>
      </w:r>
      <w:r w:rsidR="00F262B9" w:rsidRPr="00F262B9">
        <w:rPr>
          <w:noProof/>
          <w:vertAlign w:val="superscript"/>
        </w:rPr>
        <w:t>14</w:t>
      </w:r>
      <w:r w:rsidR="002972A9">
        <w:fldChar w:fldCharType="end"/>
      </w:r>
      <w:r w:rsidR="00C01162">
        <w:t>.</w:t>
      </w:r>
    </w:p>
    <w:p w14:paraId="7AF70128" w14:textId="77777777" w:rsidR="0097493E" w:rsidRPr="0097493E" w:rsidRDefault="00816779" w:rsidP="003F70AC">
      <w:pPr>
        <w:pStyle w:val="Heading3"/>
        <w:rPr>
          <w:highlight w:val="green"/>
        </w:rPr>
      </w:pPr>
      <w:bookmarkStart w:id="27" w:name="_Toc493068331"/>
      <w:r w:rsidRPr="0097493E">
        <w:t>Pneumoconioses</w:t>
      </w:r>
      <w:bookmarkEnd w:id="27"/>
    </w:p>
    <w:p w14:paraId="70F463AC" w14:textId="4270EA83" w:rsidR="00DB5A5E" w:rsidRDefault="008B1C51" w:rsidP="00AB7B2B">
      <w:pPr>
        <w:pStyle w:val="PHD-normaltext"/>
        <w:rPr>
          <w:lang w:val="en-US"/>
        </w:rPr>
      </w:pPr>
      <w:r>
        <w:rPr>
          <w:lang w:val="en-US"/>
        </w:rPr>
        <w:t>T</w:t>
      </w:r>
      <w:r w:rsidR="00816779">
        <w:rPr>
          <w:lang w:val="en-US"/>
        </w:rPr>
        <w:t xml:space="preserve">here are </w:t>
      </w:r>
      <w:r w:rsidR="000B4015">
        <w:rPr>
          <w:lang w:val="en-US"/>
        </w:rPr>
        <w:t>probably still in the order of 20 to 50 deaths from pneumoconiosis each year in Australia</w:t>
      </w:r>
      <w:r w:rsidR="002972A9">
        <w:rPr>
          <w:lang w:val="en-US"/>
        </w:rPr>
        <w:fldChar w:fldCharType="begin"/>
      </w:r>
      <w:r w:rsidR="00F262B9">
        <w:rPr>
          <w:lang w:val="en-US"/>
        </w:rPr>
        <w:instrText xml:space="preserve"> ADDIN EN.CITE &lt;EndNote&gt;&lt;Cite&gt;&lt;Author&gt;Smith&lt;/Author&gt;&lt;Year&gt;2006&lt;/Year&gt;&lt;RecNum&gt;974&lt;/RecNum&gt;&lt;DisplayText&gt;&lt;style face="superscript"&gt;24&lt;/style&gt;&lt;/DisplayText&gt;&lt;record&gt;&lt;rec-number&gt;974&lt;/rec-number&gt;&lt;foreign-keys&gt;&lt;key app="EN" db-id="9t2pp5ew3waxt7ex2apvwst4psz2x2xp0xpz" timestamp="1463921148"&gt;974&lt;/key&gt;&lt;/foreign-keys&gt;&lt;ref-type name="Journal Article"&gt;17&lt;/ref-type&gt;&lt;contributors&gt;&lt;authors&gt;&lt;author&gt;Smith, DR&lt;/author&gt;&lt;author&gt;Leggat, PA&lt;/author&gt;&lt;/authors&gt;&lt;/contributors&gt;&lt;titles&gt;&lt;title&gt;24 years of pneumoconiosis mortality surveillance in Australia&lt;/title&gt;&lt;secondary-title&gt;Journal of Occupational Health&lt;/secondary-title&gt;&lt;/titles&gt;&lt;periodical&gt;&lt;full-title&gt;Journal of Occupational Health&lt;/full-title&gt;&lt;/periodical&gt;&lt;pages&gt;309-313&lt;/pages&gt;&lt;volume&gt;48&lt;/volume&gt;&lt;number&gt;5&lt;/number&gt;&lt;dates&gt;&lt;year&gt;2006&lt;/year&gt;&lt;/dates&gt;&lt;urls&gt;&lt;/urls&gt;&lt;/record&gt;&lt;/Cite&gt;&lt;/EndNote&gt;</w:instrText>
      </w:r>
      <w:r w:rsidR="002972A9">
        <w:rPr>
          <w:lang w:val="en-US"/>
        </w:rPr>
        <w:fldChar w:fldCharType="separate"/>
      </w:r>
      <w:r w:rsidR="00F262B9" w:rsidRPr="00F262B9">
        <w:rPr>
          <w:noProof/>
          <w:vertAlign w:val="superscript"/>
          <w:lang w:val="en-US"/>
        </w:rPr>
        <w:t>24</w:t>
      </w:r>
      <w:r w:rsidR="002972A9">
        <w:rPr>
          <w:lang w:val="en-US"/>
        </w:rPr>
        <w:fldChar w:fldCharType="end"/>
      </w:r>
      <w:r w:rsidR="000B4015">
        <w:rPr>
          <w:lang w:val="en-US"/>
        </w:rPr>
        <w:t xml:space="preserve">, </w:t>
      </w:r>
      <w:r>
        <w:rPr>
          <w:lang w:val="en-US"/>
        </w:rPr>
        <w:t xml:space="preserve">but </w:t>
      </w:r>
      <w:r w:rsidR="000B4015">
        <w:rPr>
          <w:lang w:val="en-US"/>
        </w:rPr>
        <w:t>t</w:t>
      </w:r>
      <w:r w:rsidR="00816779">
        <w:rPr>
          <w:lang w:val="en-US"/>
        </w:rPr>
        <w:t>here are very few new cases</w:t>
      </w:r>
      <w:r w:rsidR="000B4015">
        <w:rPr>
          <w:lang w:val="en-US"/>
        </w:rPr>
        <w:t xml:space="preserve"> diagnosed.  Exposures in Australian workplaces should be well enough controlled to prevent any new cases due to recent exposure, although the recent identification of a small number of new cases of coal workers'</w:t>
      </w:r>
      <w:r w:rsidR="00816779">
        <w:rPr>
          <w:lang w:val="en-US"/>
        </w:rPr>
        <w:t xml:space="preserve"> pneumoconiosis in Australia</w:t>
      </w:r>
      <w:r w:rsidR="000B4015">
        <w:rPr>
          <w:lang w:val="en-US"/>
        </w:rPr>
        <w:t xml:space="preserve"> indicate that exposure co</w:t>
      </w:r>
      <w:r w:rsidR="00036813">
        <w:rPr>
          <w:lang w:val="en-US"/>
        </w:rPr>
        <w:t>ntrol is not always sufficient.</w:t>
      </w:r>
    </w:p>
    <w:p w14:paraId="6AA0BF55" w14:textId="77777777" w:rsidR="003A137E" w:rsidRDefault="003A137E">
      <w:pPr>
        <w:rPr>
          <w:rFonts w:ascii="Verdana" w:hAnsi="Verdana"/>
          <w:b/>
          <w:smallCaps/>
          <w:sz w:val="20"/>
        </w:rPr>
      </w:pPr>
      <w:r>
        <w:br w:type="page"/>
      </w:r>
    </w:p>
    <w:p w14:paraId="33D917D7" w14:textId="77777777" w:rsidR="0097493E" w:rsidRPr="0097493E" w:rsidRDefault="000B4015" w:rsidP="003F70AC">
      <w:pPr>
        <w:pStyle w:val="Heading3"/>
        <w:rPr>
          <w:highlight w:val="green"/>
        </w:rPr>
      </w:pPr>
      <w:bookmarkStart w:id="28" w:name="_Toc493068332"/>
      <w:r w:rsidRPr="0097493E">
        <w:lastRenderedPageBreak/>
        <w:t>Byssinosis and extrinsic allergic alveolitis</w:t>
      </w:r>
      <w:bookmarkEnd w:id="28"/>
    </w:p>
    <w:p w14:paraId="2A746587" w14:textId="77777777" w:rsidR="000B4015" w:rsidRPr="00AA5A01" w:rsidRDefault="000B4015" w:rsidP="003F70AC">
      <w:pPr>
        <w:pStyle w:val="PHD-normaltext"/>
        <w:spacing w:after="240"/>
        <w:rPr>
          <w:lang w:val="en-US"/>
        </w:rPr>
      </w:pPr>
      <w:r w:rsidRPr="00AA5A01">
        <w:rPr>
          <w:lang w:val="en-US"/>
        </w:rPr>
        <w:t>There is no information in Australia regarding the incidence of byssinosis and extrinsic allergic alveolitis, but the incidence of both conditions is likely to be very low.</w:t>
      </w:r>
    </w:p>
    <w:p w14:paraId="4E67BE63" w14:textId="78C4E12C" w:rsidR="00AA5A01" w:rsidRPr="003F70AC" w:rsidRDefault="003F70AC" w:rsidP="003F70AC">
      <w:pPr>
        <w:pStyle w:val="Heading2"/>
        <w:keepNext/>
        <w:spacing w:after="240"/>
        <w:rPr>
          <w:sz w:val="24"/>
          <w:szCs w:val="24"/>
        </w:rPr>
      </w:pPr>
      <w:bookmarkStart w:id="29" w:name="_Toc493068333"/>
      <w:r w:rsidRPr="003F70AC">
        <w:rPr>
          <w:sz w:val="24"/>
          <w:szCs w:val="24"/>
        </w:rPr>
        <w:t>HEPATIC DISEASES</w:t>
      </w:r>
      <w:bookmarkEnd w:id="29"/>
    </w:p>
    <w:p w14:paraId="7CFFCDB4" w14:textId="77777777" w:rsidR="00AA5A01" w:rsidRPr="0027742D" w:rsidRDefault="00AA5A01" w:rsidP="00607F88">
      <w:pPr>
        <w:pStyle w:val="Heading3"/>
      </w:pPr>
      <w:bookmarkStart w:id="30" w:name="_Toc493068334"/>
      <w:r w:rsidRPr="0027742D">
        <w:t>Non-infectious hepatitis</w:t>
      </w:r>
      <w:bookmarkEnd w:id="30"/>
    </w:p>
    <w:p w14:paraId="7C836840" w14:textId="77777777" w:rsidR="00AA5A01" w:rsidRDefault="00AA5A01" w:rsidP="00AA5A01">
      <w:pPr>
        <w:pStyle w:val="PHD-normaltext"/>
      </w:pPr>
      <w:r w:rsidRPr="0027742D">
        <w:t>There is no accurate Australian information on the incidence of non-infectious hepatitis related to external agents.</w:t>
      </w:r>
    </w:p>
    <w:p w14:paraId="2A198941" w14:textId="77777777" w:rsidR="00AA5A01" w:rsidRPr="0027742D" w:rsidRDefault="00AA5A01" w:rsidP="00607F88">
      <w:pPr>
        <w:pStyle w:val="Heading3"/>
      </w:pPr>
      <w:bookmarkStart w:id="31" w:name="_Toc493068335"/>
      <w:r w:rsidRPr="0027742D">
        <w:t>Chronic active hepatitis</w:t>
      </w:r>
      <w:bookmarkEnd w:id="31"/>
    </w:p>
    <w:p w14:paraId="30B3465A" w14:textId="73989173" w:rsidR="0027742D" w:rsidRDefault="0027742D" w:rsidP="00607F88">
      <w:pPr>
        <w:pStyle w:val="PHD-normaltext"/>
        <w:spacing w:after="240"/>
      </w:pPr>
      <w:r w:rsidRPr="0027742D">
        <w:t xml:space="preserve">There is no accurate Australian information on the incidence of chronic active hepatitis, but there are probably several hundred </w:t>
      </w:r>
      <w:r w:rsidR="008B1C51">
        <w:t xml:space="preserve">new </w:t>
      </w:r>
      <w:r w:rsidRPr="0027742D">
        <w:t>cases per year</w:t>
      </w:r>
      <w:r w:rsidR="002972A9">
        <w:fldChar w:fldCharType="begin"/>
      </w:r>
      <w:r w:rsidR="00F262B9">
        <w:instrText xml:space="preserve"> ADDIN EN.CITE &lt;EndNote&gt;&lt;Cite&gt;&lt;Author&gt;Department of Health&lt;/Author&gt;&lt;Year&gt;2014&lt;/Year&gt;&lt;RecNum&gt;976&lt;/RecNum&gt;&lt;DisplayText&gt;&lt;style face="superscript"&gt;25&lt;/style&gt;&lt;/DisplayText&gt;&lt;record&gt;&lt;rec-number&gt;976&lt;/rec-number&gt;&lt;foreign-keys&gt;&lt;key app="EN" db-id="9t2pp5ew3waxt7ex2apvwst4psz2x2xp0xpz" timestamp="1463969640"&gt;976&lt;/key&gt;&lt;/foreign-keys&gt;&lt;ref-type name="Report"&gt;27&lt;/ref-type&gt;&lt;contributors&gt;&lt;authors&gt;&lt;author&gt;Department of Health,&lt;/author&gt;&lt;/authors&gt;&lt;tertiary-authors&gt;&lt;author&gt;Commonwealth of Australia&lt;/author&gt;&lt;/tertiary-authors&gt;&lt;/contributors&gt;&lt;titles&gt;&lt;title&gt;Fourth National Hepatitis C Strategy 2014-2017&lt;/title&gt;&lt;/titles&gt;&lt;dates&gt;&lt;year&gt;2014&lt;/year&gt;&lt;/dates&gt;&lt;pub-location&gt;Canberra&lt;/pub-location&gt;&lt;urls&gt;&lt;related-urls&gt;&lt;url&gt;http://www.health.gov.au/internet/main/publishing.nsf/Content/A68444CDED77B3A9CA257BF0001CFD80/$File/Hep-C-Strategy2014-v3.pdf&lt;/url&gt;&lt;/related-urls&gt;&lt;/urls&gt;&lt;/record&gt;&lt;/Cite&gt;&lt;/EndNote&gt;</w:instrText>
      </w:r>
      <w:r w:rsidR="002972A9">
        <w:fldChar w:fldCharType="separate"/>
      </w:r>
      <w:r w:rsidR="00F262B9" w:rsidRPr="00F262B9">
        <w:rPr>
          <w:noProof/>
          <w:vertAlign w:val="superscript"/>
        </w:rPr>
        <w:t>25</w:t>
      </w:r>
      <w:r w:rsidR="002972A9">
        <w:fldChar w:fldCharType="end"/>
      </w:r>
      <w:r w:rsidRPr="0027742D">
        <w:t>.</w:t>
      </w:r>
    </w:p>
    <w:p w14:paraId="121D478D" w14:textId="655E627B" w:rsidR="00AA5A01" w:rsidRPr="00607F88" w:rsidRDefault="00607F88" w:rsidP="00607F88">
      <w:pPr>
        <w:pStyle w:val="Heading2"/>
        <w:rPr>
          <w:sz w:val="24"/>
          <w:szCs w:val="24"/>
        </w:rPr>
      </w:pPr>
      <w:bookmarkStart w:id="32" w:name="_Toc493068336"/>
      <w:r w:rsidRPr="00607F88">
        <w:rPr>
          <w:sz w:val="24"/>
          <w:szCs w:val="24"/>
        </w:rPr>
        <w:t>SKIN DISEASES</w:t>
      </w:r>
      <w:bookmarkEnd w:id="32"/>
    </w:p>
    <w:p w14:paraId="084EA300" w14:textId="77777777" w:rsidR="00AA5A01" w:rsidRPr="0027742D" w:rsidRDefault="00AA5A01" w:rsidP="00607F88">
      <w:pPr>
        <w:pStyle w:val="Heading3"/>
      </w:pPr>
      <w:bookmarkStart w:id="33" w:name="_Toc493068337"/>
      <w:r w:rsidRPr="0027742D">
        <w:t>Irritant and allergic contact dermatitis</w:t>
      </w:r>
      <w:bookmarkEnd w:id="33"/>
    </w:p>
    <w:p w14:paraId="4BCFE202" w14:textId="77777777" w:rsidR="0027742D" w:rsidRPr="0027742D" w:rsidRDefault="0027742D" w:rsidP="0027742D">
      <w:pPr>
        <w:pStyle w:val="PHD-normaltext"/>
      </w:pPr>
      <w:r w:rsidRPr="0027742D">
        <w:t>There is no accurate Australian information on the incidence of irritant and allergic contact dermatitis.</w:t>
      </w:r>
    </w:p>
    <w:p w14:paraId="0220FB06" w14:textId="77777777" w:rsidR="00AA5A01" w:rsidRPr="0027139D" w:rsidRDefault="00AA5A01" w:rsidP="00607F88">
      <w:pPr>
        <w:pStyle w:val="Heading3"/>
      </w:pPr>
      <w:bookmarkStart w:id="34" w:name="_Toc493068338"/>
      <w:r w:rsidRPr="0027139D">
        <w:t>Vitiligo</w:t>
      </w:r>
      <w:bookmarkEnd w:id="34"/>
    </w:p>
    <w:p w14:paraId="464AB912" w14:textId="77777777" w:rsidR="0027742D" w:rsidRPr="0027139D" w:rsidRDefault="0027742D" w:rsidP="00607F88">
      <w:pPr>
        <w:pStyle w:val="PHD-normaltext"/>
        <w:spacing w:after="240"/>
      </w:pPr>
      <w:r w:rsidRPr="0027139D">
        <w:t>There is no accurate Australian information on the incidence of vitiligo.</w:t>
      </w:r>
    </w:p>
    <w:p w14:paraId="228B3CB5" w14:textId="1E81981D" w:rsidR="00AA5A01" w:rsidRPr="0027139D" w:rsidRDefault="00607F88" w:rsidP="00607F88">
      <w:pPr>
        <w:pStyle w:val="Heading2"/>
      </w:pPr>
      <w:bookmarkStart w:id="35" w:name="_Toc493068339"/>
      <w:r w:rsidRPr="0027139D">
        <w:t>MUSCULOSKELETAL DISEASES</w:t>
      </w:r>
      <w:bookmarkEnd w:id="35"/>
    </w:p>
    <w:p w14:paraId="52A4B28F" w14:textId="77777777" w:rsidR="00AA5A01" w:rsidRPr="0027139D" w:rsidRDefault="00AA5A01" w:rsidP="00607F88">
      <w:pPr>
        <w:pStyle w:val="Heading3"/>
      </w:pPr>
      <w:bookmarkStart w:id="36" w:name="_Toc493068340"/>
      <w:r w:rsidRPr="0027139D">
        <w:t>Raynaud’s disease</w:t>
      </w:r>
      <w:bookmarkEnd w:id="36"/>
    </w:p>
    <w:p w14:paraId="13630ABE" w14:textId="77777777" w:rsidR="00AA5A01" w:rsidRPr="0027139D" w:rsidRDefault="0027139D" w:rsidP="00AA5A01">
      <w:pPr>
        <w:pStyle w:val="PHD-normaltext"/>
        <w:rPr>
          <w:lang w:val="en-US"/>
        </w:rPr>
      </w:pPr>
      <w:r w:rsidRPr="0027139D">
        <w:t>There is no accurate Australian information on the incidence of</w:t>
      </w:r>
      <w:r w:rsidRPr="0027139D">
        <w:rPr>
          <w:lang w:val="en-US"/>
        </w:rPr>
        <w:t xml:space="preserve"> </w:t>
      </w:r>
      <w:r w:rsidR="00AA5A01" w:rsidRPr="0027139D">
        <w:rPr>
          <w:lang w:val="en-US"/>
        </w:rPr>
        <w:t>Raynaud’s disease</w:t>
      </w:r>
    </w:p>
    <w:p w14:paraId="64544410" w14:textId="77777777" w:rsidR="00AA5A01" w:rsidRPr="0027139D" w:rsidRDefault="00AA5A01" w:rsidP="00607F88">
      <w:pPr>
        <w:pStyle w:val="Heading3"/>
      </w:pPr>
      <w:bookmarkStart w:id="37" w:name="_Toc493068341"/>
      <w:r w:rsidRPr="0027139D">
        <w:t>Bursitis (at the elbow or knee)</w:t>
      </w:r>
      <w:bookmarkEnd w:id="37"/>
    </w:p>
    <w:p w14:paraId="0FC41812" w14:textId="77777777" w:rsidR="00AA5A01" w:rsidRPr="0027139D" w:rsidRDefault="0027139D" w:rsidP="00607F88">
      <w:pPr>
        <w:pStyle w:val="PHD-normaltext"/>
        <w:spacing w:after="240"/>
        <w:rPr>
          <w:lang w:val="en-US"/>
        </w:rPr>
      </w:pPr>
      <w:r w:rsidRPr="0027139D">
        <w:t>There is no accurate Australian information on the incidence of</w:t>
      </w:r>
      <w:r w:rsidRPr="0027139D">
        <w:rPr>
          <w:lang w:val="en-US"/>
        </w:rPr>
        <w:t xml:space="preserve"> b</w:t>
      </w:r>
      <w:r w:rsidR="00AA5A01" w:rsidRPr="0027139D">
        <w:rPr>
          <w:lang w:val="en-US"/>
        </w:rPr>
        <w:t xml:space="preserve">ursitis </w:t>
      </w:r>
      <w:r w:rsidRPr="0027139D">
        <w:rPr>
          <w:lang w:val="en-US"/>
        </w:rPr>
        <w:t>at the elbow or knee</w:t>
      </w:r>
      <w:r w:rsidR="00AA5A01" w:rsidRPr="0027139D">
        <w:rPr>
          <w:lang w:val="en-US"/>
        </w:rPr>
        <w:t>.</w:t>
      </w:r>
    </w:p>
    <w:p w14:paraId="70DC207C" w14:textId="19EC6D89" w:rsidR="00AA5A01" w:rsidRPr="0027139D" w:rsidRDefault="00607F88" w:rsidP="00607F88">
      <w:pPr>
        <w:pStyle w:val="Heading2"/>
        <w:spacing w:after="240"/>
      </w:pPr>
      <w:bookmarkStart w:id="38" w:name="_Toc493068342"/>
      <w:r w:rsidRPr="0027139D">
        <w:t>ACUTE POISONING AND TOXICITY</w:t>
      </w:r>
      <w:bookmarkEnd w:id="38"/>
    </w:p>
    <w:p w14:paraId="47D72CDB" w14:textId="77777777" w:rsidR="00AA5A01" w:rsidRPr="007101FB" w:rsidRDefault="0027139D" w:rsidP="00AA5A01">
      <w:pPr>
        <w:pStyle w:val="PHD-normaltext"/>
        <w:rPr>
          <w:lang w:val="en-US"/>
        </w:rPr>
      </w:pPr>
      <w:r w:rsidRPr="0027139D">
        <w:t>There is no accurate Australian information on the incidence of</w:t>
      </w:r>
      <w:r w:rsidRPr="0027139D">
        <w:rPr>
          <w:lang w:val="en-US"/>
        </w:rPr>
        <w:t xml:space="preserve"> acute poisoning and toxicity from occupational causes</w:t>
      </w:r>
      <w:r w:rsidR="00AA5A01" w:rsidRPr="0027139D">
        <w:rPr>
          <w:lang w:val="en-US"/>
        </w:rPr>
        <w:t>.</w:t>
      </w:r>
    </w:p>
    <w:p w14:paraId="24E0B87C" w14:textId="77777777" w:rsidR="003A137E" w:rsidRDefault="003A137E">
      <w:pPr>
        <w:rPr>
          <w:rFonts w:ascii="Verdana" w:hAnsi="Verdana"/>
          <w:b/>
          <w:sz w:val="32"/>
          <w:lang w:val="en-GB"/>
        </w:rPr>
      </w:pPr>
      <w:r>
        <w:br w:type="page"/>
      </w:r>
    </w:p>
    <w:p w14:paraId="5C12283D" w14:textId="77777777" w:rsidR="00B74697" w:rsidRPr="00607F88" w:rsidRDefault="00B74697" w:rsidP="00607F88">
      <w:pPr>
        <w:pStyle w:val="Heading1"/>
        <w:spacing w:after="120"/>
        <w:jc w:val="center"/>
        <w:rPr>
          <w:sz w:val="40"/>
        </w:rPr>
      </w:pPr>
      <w:bookmarkStart w:id="39" w:name="_Toc493068343"/>
      <w:r w:rsidRPr="00607F88">
        <w:rPr>
          <w:sz w:val="40"/>
        </w:rPr>
        <w:lastRenderedPageBreak/>
        <w:t>5.</w:t>
      </w:r>
      <w:r w:rsidRPr="00607F88">
        <w:rPr>
          <w:sz w:val="40"/>
        </w:rPr>
        <w:tab/>
        <w:t>EXPOSURE PREVALENCE</w:t>
      </w:r>
      <w:bookmarkEnd w:id="39"/>
    </w:p>
    <w:p w14:paraId="3F9E9908" w14:textId="041CAE2D" w:rsidR="00B74697" w:rsidRPr="00607F88" w:rsidRDefault="00607F88" w:rsidP="00607F88">
      <w:pPr>
        <w:pStyle w:val="Heading2"/>
        <w:spacing w:after="120"/>
        <w:rPr>
          <w:sz w:val="24"/>
          <w:szCs w:val="24"/>
        </w:rPr>
      </w:pPr>
      <w:bookmarkStart w:id="40" w:name="_Toc493068344"/>
      <w:r w:rsidRPr="00607F88">
        <w:rPr>
          <w:sz w:val="24"/>
          <w:szCs w:val="24"/>
        </w:rPr>
        <w:t>CARCINOGENS</w:t>
      </w:r>
      <w:bookmarkEnd w:id="40"/>
    </w:p>
    <w:p w14:paraId="42619ED3" w14:textId="33922F80" w:rsidR="00E974AF" w:rsidRPr="003A137E" w:rsidRDefault="00AE2533" w:rsidP="00D9185E">
      <w:pPr>
        <w:pStyle w:val="PHD-normaltext"/>
        <w:rPr>
          <w:lang w:val="en-US"/>
        </w:rPr>
      </w:pPr>
      <w:r w:rsidRPr="003A137E">
        <w:rPr>
          <w:lang w:val="en-US"/>
        </w:rPr>
        <w:t xml:space="preserve">Information on the prevalence of exposure of Australian workers is available from </w:t>
      </w:r>
      <w:r w:rsidR="00AD54EE" w:rsidRPr="003A137E">
        <w:rPr>
          <w:lang w:val="en-US"/>
        </w:rPr>
        <w:t xml:space="preserve">the Australian Work Exposures Study (AWES), </w:t>
      </w:r>
      <w:r w:rsidRPr="003A137E">
        <w:rPr>
          <w:lang w:val="en-US"/>
        </w:rPr>
        <w:t xml:space="preserve">a study led by Lin Fritschi and conducted from </w:t>
      </w:r>
      <w:r w:rsidR="00AD54EE" w:rsidRPr="003A137E">
        <w:rPr>
          <w:lang w:val="en-US"/>
        </w:rPr>
        <w:t xml:space="preserve">about </w:t>
      </w:r>
      <w:r w:rsidRPr="003A137E">
        <w:rPr>
          <w:lang w:val="en-US"/>
        </w:rPr>
        <w:t>201</w:t>
      </w:r>
      <w:r w:rsidR="008B1C51" w:rsidRPr="003A137E">
        <w:rPr>
          <w:lang w:val="en-US"/>
        </w:rPr>
        <w:t>2</w:t>
      </w:r>
      <w:r w:rsidR="00AD54EE" w:rsidRPr="003A137E">
        <w:rPr>
          <w:lang w:val="en-US"/>
        </w:rPr>
        <w:t xml:space="preserve">.  The study </w:t>
      </w:r>
      <w:r w:rsidRPr="003A137E">
        <w:rPr>
          <w:lang w:val="en-US"/>
        </w:rPr>
        <w:t>was a cross</w:t>
      </w:r>
      <w:r w:rsidR="00AD54EE" w:rsidRPr="003A137E">
        <w:rPr>
          <w:lang w:val="en-US"/>
        </w:rPr>
        <w:t>-</w:t>
      </w:r>
      <w:r w:rsidRPr="003A137E">
        <w:rPr>
          <w:lang w:val="en-US"/>
        </w:rPr>
        <w:t xml:space="preserve">sectional telephone survey </w:t>
      </w:r>
      <w:r w:rsidR="00AD54EE" w:rsidRPr="003A137E">
        <w:rPr>
          <w:lang w:val="en-US"/>
        </w:rPr>
        <w:t xml:space="preserve">which looked at the </w:t>
      </w:r>
      <w:r w:rsidRPr="003A137E">
        <w:rPr>
          <w:lang w:val="en-US"/>
        </w:rPr>
        <w:t xml:space="preserve">prevalence </w:t>
      </w:r>
      <w:r w:rsidR="00AD54EE" w:rsidRPr="003A137E">
        <w:rPr>
          <w:lang w:val="en-US"/>
        </w:rPr>
        <w:t xml:space="preserve">of </w:t>
      </w:r>
      <w:r w:rsidRPr="003A137E">
        <w:rPr>
          <w:lang w:val="en-US"/>
        </w:rPr>
        <w:t xml:space="preserve">current occupational exposure to 38 known or probable </w:t>
      </w:r>
      <w:r w:rsidR="00D9185E" w:rsidRPr="003A137E">
        <w:rPr>
          <w:lang w:val="en-US"/>
        </w:rPr>
        <w:t xml:space="preserve">priority </w:t>
      </w:r>
      <w:r w:rsidRPr="003A137E">
        <w:rPr>
          <w:lang w:val="en-US"/>
        </w:rPr>
        <w:t>carcinogens among Australian workers</w:t>
      </w:r>
      <w:r w:rsidR="00D9185E" w:rsidRPr="003A137E">
        <w:rPr>
          <w:lang w:val="en-US"/>
        </w:rPr>
        <w:t>.  The study found that about 2.7 million men (58%) and 880,000 women (21%) appeared to be exposed to at least one of the priority carcinogens</w:t>
      </w:r>
      <w:r w:rsidR="002972A9" w:rsidRPr="003A137E">
        <w:rPr>
          <w:lang w:val="en-US"/>
        </w:rPr>
        <w:fldChar w:fldCharType="begin"/>
      </w:r>
      <w:r w:rsidR="00F262B9">
        <w:rPr>
          <w:lang w:val="en-US"/>
        </w:rPr>
        <w:instrText xml:space="preserve"> ADDIN EN.CITE &lt;EndNote&gt;&lt;Cite&gt;&lt;Author&gt;Carey&lt;/Author&gt;&lt;Year&gt;2014&lt;/Year&gt;&lt;RecNum&gt;893&lt;/RecNum&gt;&lt;DisplayText&gt;&lt;style face="superscript"&gt;26&lt;/style&gt;&lt;/DisplayText&gt;&lt;record&gt;&lt;rec-number&gt;893&lt;/rec-number&gt;&lt;foreign-keys&gt;&lt;key app="EN" db-id="9t2pp5ew3waxt7ex2apvwst4psz2x2xp0xpz" timestamp="1406643492"&gt;893&lt;/key&gt;&lt;/foreign-keys&gt;&lt;ref-type name="Journal Article"&gt;17&lt;/ref-type&gt;&lt;contributors&gt;&lt;authors&gt;&lt;author&gt;Carey, RN&lt;/author&gt;&lt;author&gt;Driscoll, TR&lt;/author&gt;&lt;author&gt;Peters, S&lt;/author&gt;&lt;author&gt;Glass, DC&lt;/author&gt;&lt;author&gt;Reid, A&lt;/author&gt;&lt;author&gt;Benke, G&lt;/author&gt;&lt;author&gt;Fritschi, L&lt;/author&gt;&lt;/authors&gt;&lt;/contributors&gt;&lt;titles&gt;&lt;title&gt;Estimated prevalence of exposure to occupational carcinogens in Australia (2011-2012)&lt;/title&gt;&lt;secondary-title&gt;Occupational and Environmental Medicine&lt;/secondary-title&gt;&lt;/titles&gt;&lt;periodical&gt;&lt;full-title&gt;Occupational and Environmental Medicine&lt;/full-title&gt;&lt;/periodical&gt;&lt;pages&gt;55-62&lt;/pages&gt;&lt;volume&gt;71&lt;/volume&gt;&lt;number&gt;1&lt;/number&gt;&lt;dates&gt;&lt;year&gt;2014&lt;/year&gt;&lt;/dates&gt;&lt;urls&gt;&lt;/urls&gt;&lt;/record&gt;&lt;/Cite&gt;&lt;/EndNote&gt;</w:instrText>
      </w:r>
      <w:r w:rsidR="002972A9" w:rsidRPr="003A137E">
        <w:rPr>
          <w:lang w:val="en-US"/>
        </w:rPr>
        <w:fldChar w:fldCharType="separate"/>
      </w:r>
      <w:r w:rsidR="00F262B9" w:rsidRPr="00F262B9">
        <w:rPr>
          <w:noProof/>
          <w:vertAlign w:val="superscript"/>
          <w:lang w:val="en-US"/>
        </w:rPr>
        <w:t>26</w:t>
      </w:r>
      <w:r w:rsidR="002972A9" w:rsidRPr="003A137E">
        <w:rPr>
          <w:lang w:val="en-US"/>
        </w:rPr>
        <w:fldChar w:fldCharType="end"/>
      </w:r>
      <w:r w:rsidRPr="003A137E">
        <w:rPr>
          <w:lang w:val="en-US"/>
        </w:rPr>
        <w:t xml:space="preserve">. </w:t>
      </w:r>
      <w:r w:rsidR="00AD54EE" w:rsidRPr="003A137E">
        <w:rPr>
          <w:lang w:val="en-US"/>
        </w:rPr>
        <w:t xml:space="preserve"> Note that carcinogens have a prolonged latency period and that people exposed to a carcinogen remain at risk of developing a resultant cancer for many years, usually decades, afterwards.</w:t>
      </w:r>
      <w:r w:rsidR="00E26BF2" w:rsidRPr="003A137E">
        <w:rPr>
          <w:lang w:val="en-US"/>
        </w:rPr>
        <w:t xml:space="preserve">  Therefore, the proportion of people currently exposed is likely to be considerably less than the proportion of people who are at risk at any one time.  The relevant proportion at risk will vary by cancer and age, but a rough estimate would be of the order of two and half to four times the current prevalence of exposure.</w:t>
      </w:r>
    </w:p>
    <w:p w14:paraId="24AD6D1B" w14:textId="30912CC2" w:rsidR="00946A4A" w:rsidRPr="003A137E" w:rsidRDefault="00946A4A" w:rsidP="00607F88">
      <w:pPr>
        <w:pStyle w:val="PHD-normaltext"/>
        <w:spacing w:before="240" w:after="240"/>
        <w:rPr>
          <w:lang w:val="en-US"/>
        </w:rPr>
      </w:pPr>
      <w:r w:rsidRPr="003A137E">
        <w:rPr>
          <w:lang w:val="en-US"/>
        </w:rPr>
        <w:t xml:space="preserve">The prevalence for the main carcinogens is shown in Tables </w:t>
      </w:r>
      <w:r w:rsidR="005E3E50" w:rsidRPr="003A137E">
        <w:rPr>
          <w:lang w:val="en-US"/>
        </w:rPr>
        <w:t>5</w:t>
      </w:r>
      <w:r w:rsidR="008B1C51" w:rsidRPr="003A137E">
        <w:rPr>
          <w:lang w:val="en-US"/>
        </w:rPr>
        <w:t xml:space="preserve"> and </w:t>
      </w:r>
      <w:r w:rsidR="005E3E50" w:rsidRPr="003A137E">
        <w:rPr>
          <w:lang w:val="en-US"/>
        </w:rPr>
        <w:t>6</w:t>
      </w:r>
      <w:r w:rsidRPr="003A137E">
        <w:rPr>
          <w:lang w:val="en-US"/>
        </w:rPr>
        <w:t>, which were Table 3 and Table 4, respectively, in the overview paper that presented the AWES study results</w:t>
      </w:r>
      <w:r w:rsidR="002972A9" w:rsidRPr="003A137E">
        <w:rPr>
          <w:lang w:val="en-US"/>
        </w:rPr>
        <w:fldChar w:fldCharType="begin"/>
      </w:r>
      <w:r w:rsidR="00F262B9">
        <w:rPr>
          <w:lang w:val="en-US"/>
        </w:rPr>
        <w:instrText xml:space="preserve"> ADDIN EN.CITE &lt;EndNote&gt;&lt;Cite&gt;&lt;Author&gt;Carey&lt;/Author&gt;&lt;Year&gt;2014&lt;/Year&gt;&lt;RecNum&gt;893&lt;/RecNum&gt;&lt;DisplayText&gt;&lt;style face="superscript"&gt;26&lt;/style&gt;&lt;/DisplayText&gt;&lt;record&gt;&lt;rec-number&gt;893&lt;/rec-number&gt;&lt;foreign-keys&gt;&lt;key app="EN" db-id="9t2pp5ew3waxt7ex2apvwst4psz2x2xp0xpz" timestamp="1406643492"&gt;893&lt;/key&gt;&lt;/foreign-keys&gt;&lt;ref-type name="Journal Article"&gt;17&lt;/ref-type&gt;&lt;contributors&gt;&lt;authors&gt;&lt;author&gt;Carey, RN&lt;/author&gt;&lt;author&gt;Driscoll, TR&lt;/author&gt;&lt;author&gt;Peters, S&lt;/author&gt;&lt;author&gt;Glass, DC&lt;/author&gt;&lt;author&gt;Reid, A&lt;/author&gt;&lt;author&gt;Benke, G&lt;/author&gt;&lt;author&gt;Fritschi, L&lt;/author&gt;&lt;/authors&gt;&lt;/contributors&gt;&lt;titles&gt;&lt;title&gt;Estimated prevalence of exposure to occupational carcinogens in Australia (2011-2012)&lt;/title&gt;&lt;secondary-title&gt;Occupational and Environmental Medicine&lt;/secondary-title&gt;&lt;/titles&gt;&lt;periodical&gt;&lt;full-title&gt;Occupational and Environmental Medicine&lt;/full-title&gt;&lt;/periodical&gt;&lt;pages&gt;55-62&lt;/pages&gt;&lt;volume&gt;71&lt;/volume&gt;&lt;number&gt;1&lt;/number&gt;&lt;dates&gt;&lt;year&gt;2014&lt;/year&gt;&lt;/dates&gt;&lt;urls&gt;&lt;/urls&gt;&lt;/record&gt;&lt;/Cite&gt;&lt;/EndNote&gt;</w:instrText>
      </w:r>
      <w:r w:rsidR="002972A9" w:rsidRPr="003A137E">
        <w:rPr>
          <w:lang w:val="en-US"/>
        </w:rPr>
        <w:fldChar w:fldCharType="separate"/>
      </w:r>
      <w:r w:rsidR="00F262B9" w:rsidRPr="00F262B9">
        <w:rPr>
          <w:noProof/>
          <w:vertAlign w:val="superscript"/>
          <w:lang w:val="en-US"/>
        </w:rPr>
        <w:t>26</w:t>
      </w:r>
      <w:r w:rsidR="002972A9" w:rsidRPr="003A137E">
        <w:rPr>
          <w:lang w:val="en-US"/>
        </w:rPr>
        <w:fldChar w:fldCharType="end"/>
      </w:r>
      <w:r w:rsidRPr="003A137E">
        <w:rPr>
          <w:lang w:val="en-US"/>
        </w:rPr>
        <w:t>.</w:t>
      </w:r>
    </w:p>
    <w:p w14:paraId="2C3F646D" w14:textId="4AE9440F" w:rsidR="005241C4" w:rsidRPr="00607F88" w:rsidRDefault="00607F88" w:rsidP="00607F88">
      <w:pPr>
        <w:pStyle w:val="Heading2"/>
        <w:spacing w:after="120"/>
        <w:rPr>
          <w:sz w:val="24"/>
          <w:szCs w:val="24"/>
        </w:rPr>
      </w:pPr>
      <w:bookmarkStart w:id="41" w:name="_Toc493068345"/>
      <w:r w:rsidRPr="00607F88">
        <w:rPr>
          <w:sz w:val="24"/>
          <w:szCs w:val="24"/>
        </w:rPr>
        <w:t>ASTHMAGENS</w:t>
      </w:r>
      <w:bookmarkEnd w:id="41"/>
    </w:p>
    <w:p w14:paraId="16FC653E" w14:textId="057BF100" w:rsidR="005241C4" w:rsidRPr="003A137E" w:rsidRDefault="005241C4" w:rsidP="00607F88">
      <w:pPr>
        <w:pStyle w:val="PHD-normaltext"/>
        <w:spacing w:after="240"/>
        <w:rPr>
          <w:lang w:val="en-US"/>
        </w:rPr>
      </w:pPr>
      <w:r w:rsidRPr="003A137E">
        <w:rPr>
          <w:lang w:val="en-US"/>
        </w:rPr>
        <w:t>Information on the prevalence of asthmagens in Australian workers first became available</w:t>
      </w:r>
      <w:r w:rsidR="008B1C51" w:rsidRPr="003A137E">
        <w:rPr>
          <w:lang w:val="en-US"/>
        </w:rPr>
        <w:t xml:space="preserve"> only in </w:t>
      </w:r>
      <w:r w:rsidR="008D6E0D">
        <w:rPr>
          <w:lang w:val="en-US"/>
        </w:rPr>
        <w:t>2016</w:t>
      </w:r>
      <w:r w:rsidRPr="003A137E">
        <w:rPr>
          <w:lang w:val="en-US"/>
        </w:rPr>
        <w:t xml:space="preserve">.  The </w:t>
      </w:r>
      <w:r w:rsidR="008B1C51" w:rsidRPr="003A137E">
        <w:rPr>
          <w:lang w:val="en-US"/>
        </w:rPr>
        <w:t xml:space="preserve">relevant </w:t>
      </w:r>
      <w:r w:rsidRPr="003A137E">
        <w:rPr>
          <w:lang w:val="en-US"/>
        </w:rPr>
        <w:t xml:space="preserve">study estimated that approximately 2.8 million men and 1.7 million women (47% of men and 40% of women) are exposed to at least one asthmagen in the course of their work.  This study, also led by Lin Fritschi, provides </w:t>
      </w:r>
      <w:r w:rsidR="00C341EB">
        <w:rPr>
          <w:lang w:val="en-US"/>
        </w:rPr>
        <w:t>a list of occupational asthmagens relevant to the Australian workforce</w:t>
      </w:r>
      <w:r w:rsidR="00C341EB">
        <w:rPr>
          <w:lang w:val="en-US"/>
        </w:rPr>
        <w:fldChar w:fldCharType="begin"/>
      </w:r>
      <w:r w:rsidR="00C341EB">
        <w:rPr>
          <w:lang w:val="en-US"/>
        </w:rPr>
        <w:instrText xml:space="preserve"> ADDIN EN.CITE &lt;EndNote&gt;&lt;Cite&gt;&lt;Author&gt;Crewe&lt;/Author&gt;&lt;Year&gt;2016&lt;/Year&gt;&lt;RecNum&gt;998&lt;/RecNum&gt;&lt;DisplayText&gt;&lt;style face="superscript"&gt;27&lt;/style&gt;&lt;/DisplayText&gt;&lt;record&gt;&lt;rec-number&gt;998&lt;/rec-number&gt;&lt;foreign-keys&gt;&lt;key app="EN" db-id="9t2pp5ew3waxt7ex2apvwst4psz2x2xp0xpz" timestamp="1505268798"&gt;998&lt;/key&gt;&lt;/foreign-keys&gt;&lt;ref-type name="Journal Article"&gt;17&lt;/ref-type&gt;&lt;contributors&gt;&lt;authors&gt;&lt;author&gt;Crewe, J&lt;/author&gt;&lt;author&gt;Carey, R&lt;/author&gt;&lt;author&gt;Glass, D&lt;/author&gt;&lt;author&gt;Peters, S&lt;/author&gt;&lt;author&gt;Abramson, MJ&lt;/author&gt;&lt;author&gt;Benke, G&lt;/author&gt;&lt;author&gt;Reid, A&lt;/author&gt;&lt;author&gt;Driscoll, T&lt;/author&gt;&lt;author&gt;Fritschi, L  &lt;/author&gt;&lt;/authors&gt;&lt;/contributors&gt;&lt;titles&gt;&lt;title&gt;A comprehensive list of asthmagens to inform health interventions in the Australian workplace.&lt;/title&gt;&lt;secondary-title&gt;Australian and New Zealand Journal of Public Health&lt;/secondary-title&gt;&lt;/titles&gt;&lt;periodical&gt;&lt;full-title&gt;Australian and New Zealand Journal of Public Health&lt;/full-title&gt;&lt;/periodical&gt;&lt;pages&gt;170-173&lt;/pages&gt;&lt;volume&gt;40&lt;/volume&gt;&lt;number&gt;2&lt;/number&gt;&lt;dates&gt;&lt;year&gt;2016&lt;/year&gt;&lt;/dates&gt;&lt;urls&gt;&lt;/urls&gt;&lt;/record&gt;&lt;/Cite&gt;&lt;/EndNote&gt;</w:instrText>
      </w:r>
      <w:r w:rsidR="00C341EB">
        <w:rPr>
          <w:lang w:val="en-US"/>
        </w:rPr>
        <w:fldChar w:fldCharType="separate"/>
      </w:r>
      <w:r w:rsidR="00C341EB" w:rsidRPr="00C341EB">
        <w:rPr>
          <w:noProof/>
          <w:vertAlign w:val="superscript"/>
          <w:lang w:val="en-US"/>
        </w:rPr>
        <w:t>27</w:t>
      </w:r>
      <w:r w:rsidR="00C341EB">
        <w:rPr>
          <w:lang w:val="en-US"/>
        </w:rPr>
        <w:fldChar w:fldCharType="end"/>
      </w:r>
      <w:r w:rsidR="00C341EB">
        <w:rPr>
          <w:lang w:val="en-US"/>
        </w:rPr>
        <w:t xml:space="preserve"> and </w:t>
      </w:r>
      <w:r w:rsidRPr="003A137E">
        <w:rPr>
          <w:lang w:val="en-US"/>
        </w:rPr>
        <w:t>estimates of the prevalence of exposure for key agents (277 asthmagens, assembled into 27 groups)</w:t>
      </w:r>
      <w:r w:rsidR="002972A9" w:rsidRPr="003A137E">
        <w:rPr>
          <w:lang w:val="en-US"/>
        </w:rPr>
        <w:fldChar w:fldCharType="begin"/>
      </w:r>
      <w:r w:rsidR="00C341EB">
        <w:rPr>
          <w:lang w:val="en-US"/>
        </w:rPr>
        <w:instrText xml:space="preserve"> ADDIN EN.CITE &lt;EndNote&gt;&lt;Cite&gt;&lt;Author&gt;Fritschi&lt;/Author&gt;&lt;Year&gt;2016&lt;/Year&gt;&lt;RecNum&gt;970&lt;/RecNum&gt;&lt;DisplayText&gt;&lt;style face="superscript"&gt;28&lt;/style&gt;&lt;/DisplayText&gt;&lt;record&gt;&lt;rec-number&gt;970&lt;/rec-number&gt;&lt;foreign-keys&gt;&lt;key app="EN" db-id="9t2pp5ew3waxt7ex2apvwst4psz2x2xp0xpz" timestamp="1463916620"&gt;970&lt;/key&gt;&lt;/foreign-keys&gt;&lt;ref-type name="Journal Article"&gt;17&lt;/ref-type&gt;&lt;contributors&gt;&lt;authors&gt;&lt;author&gt;Fritschi, L&lt;/author&gt;&lt;author&gt;Crewe, J&lt;/author&gt;&lt;author&gt;Darcey, E&lt;/author&gt;&lt;author&gt;Reid, </w:instrText>
      </w:r>
      <w:r w:rsidR="00C341EB">
        <w:rPr>
          <w:rFonts w:ascii="Arial" w:hAnsi="Arial" w:cs="Arial"/>
          <w:lang w:val="en-US"/>
        </w:rPr>
        <w:instrText>‎</w:instrText>
      </w:r>
      <w:r w:rsidR="00C341EB">
        <w:rPr>
          <w:lang w:val="en-US"/>
        </w:rPr>
        <w:instrText>A&lt;/author&gt;&lt;author&gt;Glass, D&lt;/author&gt;&lt;author&gt;Benke, G&lt;/author&gt;&lt;author&gt;Driscoll, T&lt;/author&gt;&lt;author&gt;Peters, S&lt;/author&gt;&lt;author&gt;Si, S&lt;/author&gt;&lt;author&gt;Abramson, M&lt;/author&gt;&lt;author&gt;Carey, R&lt;/author&gt;&lt;/authors&gt;&lt;/contributors&gt;&lt;titles&gt;&lt;title&gt;The estimated prevalence of exposure to asthmagens in the Australian workforce&lt;/title&gt;&lt;secondary-title&gt;BMC Pulmonary Medicine&lt;/secondary-title&gt;&lt;/titles&gt;&lt;periodical&gt;&lt;full-title&gt;BMC Pulmonary Medicine&lt;/full-title&gt;&lt;/periodical&gt;&lt;pages&gt;48. DOI: 10.1186/s12890-016-0212-6. URL: http://www.biomedcentral.com/1471-2466/16/48&lt;/pages&gt;&lt;volume&gt;16&lt;/volume&gt;&lt;dates&gt;&lt;year&gt;2016&lt;/year&gt;&lt;/dates&gt;&lt;urls&gt;&lt;/urls&gt;&lt;/record&gt;&lt;/Cite&gt;&lt;/EndNote&gt;</w:instrText>
      </w:r>
      <w:r w:rsidR="002972A9" w:rsidRPr="003A137E">
        <w:rPr>
          <w:lang w:val="en-US"/>
        </w:rPr>
        <w:fldChar w:fldCharType="separate"/>
      </w:r>
      <w:r w:rsidR="00C341EB" w:rsidRPr="00C341EB">
        <w:rPr>
          <w:noProof/>
          <w:vertAlign w:val="superscript"/>
          <w:lang w:val="en-US"/>
        </w:rPr>
        <w:t>28</w:t>
      </w:r>
      <w:r w:rsidR="002972A9" w:rsidRPr="003A137E">
        <w:rPr>
          <w:lang w:val="en-US"/>
        </w:rPr>
        <w:fldChar w:fldCharType="end"/>
      </w:r>
      <w:r w:rsidRPr="003A137E">
        <w:rPr>
          <w:lang w:val="en-US"/>
        </w:rPr>
        <w:t>.  Some asthmagens relevant to Australia may not be included, but it is unlikely many agents with significant exposure prevalence were omitted.  Regardless, these results are not helpful for conducting burden estimates a</w:t>
      </w:r>
      <w:r w:rsidR="00F14CAC">
        <w:rPr>
          <w:lang w:val="en-US"/>
        </w:rPr>
        <w:t>long the lines required for the Department’s</w:t>
      </w:r>
      <w:r w:rsidRPr="003A137E">
        <w:rPr>
          <w:lang w:val="en-US"/>
        </w:rPr>
        <w:t xml:space="preserve"> analysis because individual relative risks for each of the agents are not available.  The relative risk estimates </w:t>
      </w:r>
      <w:r w:rsidR="008B1C51" w:rsidRPr="003A137E">
        <w:rPr>
          <w:lang w:val="en-US"/>
        </w:rPr>
        <w:t xml:space="preserve">presented earlier in this report </w:t>
      </w:r>
      <w:r w:rsidRPr="003A137E">
        <w:rPr>
          <w:lang w:val="en-US"/>
        </w:rPr>
        <w:t>are based on occupation.  So, standard occupation data sources can provide the information on prevalence of employment in each of the relevant occupation groups for which the relative risks are available.</w:t>
      </w:r>
    </w:p>
    <w:p w14:paraId="6BC4C57A" w14:textId="77777777" w:rsidR="00BF4E38" w:rsidRPr="00607F88" w:rsidRDefault="00BF4E38" w:rsidP="00607F88">
      <w:pPr>
        <w:pStyle w:val="Heading2"/>
        <w:keepNext/>
        <w:rPr>
          <w:sz w:val="24"/>
          <w:szCs w:val="24"/>
        </w:rPr>
      </w:pPr>
      <w:bookmarkStart w:id="42" w:name="_Toc493068346"/>
      <w:r w:rsidRPr="00607F88">
        <w:rPr>
          <w:sz w:val="24"/>
          <w:szCs w:val="24"/>
        </w:rPr>
        <w:t>Other agents</w:t>
      </w:r>
      <w:bookmarkEnd w:id="42"/>
    </w:p>
    <w:p w14:paraId="76D8BDDF" w14:textId="77777777" w:rsidR="00E974AF" w:rsidRDefault="00BF4E38" w:rsidP="00B74697">
      <w:pPr>
        <w:pStyle w:val="PHD-normaltext"/>
        <w:rPr>
          <w:highlight w:val="green"/>
          <w:lang w:val="en-US"/>
        </w:rPr>
      </w:pPr>
      <w:r w:rsidRPr="005241C4">
        <w:rPr>
          <w:lang w:val="en-US"/>
        </w:rPr>
        <w:t>There is no useable exposure information for the other agents listed in the Deemed Diseases List.</w:t>
      </w:r>
    </w:p>
    <w:p w14:paraId="73F90B38" w14:textId="77777777" w:rsidR="00E974AF" w:rsidRDefault="00E974AF" w:rsidP="00B74697">
      <w:pPr>
        <w:pStyle w:val="PHD-normaltext"/>
        <w:rPr>
          <w:highlight w:val="green"/>
          <w:lang w:val="en-US"/>
        </w:rPr>
        <w:sectPr w:rsidR="00E974AF" w:rsidSect="00A9173E">
          <w:footnotePr>
            <w:numRestart w:val="eachSect"/>
          </w:footnotePr>
          <w:endnotePr>
            <w:numFmt w:val="decimal"/>
          </w:endnotePr>
          <w:pgSz w:w="11906" w:h="16838"/>
          <w:pgMar w:top="1134" w:right="1134" w:bottom="1134" w:left="1701" w:header="720" w:footer="720" w:gutter="0"/>
          <w:cols w:space="720"/>
          <w:docGrid w:linePitch="326"/>
        </w:sectPr>
      </w:pPr>
    </w:p>
    <w:p w14:paraId="3430633F" w14:textId="77777777" w:rsidR="00E974AF" w:rsidRPr="003C01BF" w:rsidRDefault="00E974AF" w:rsidP="003C01BF">
      <w:pPr>
        <w:pStyle w:val="PHD-normaltext"/>
        <w:tabs>
          <w:tab w:val="left" w:pos="1134"/>
        </w:tabs>
        <w:rPr>
          <w:rFonts w:asciiTheme="minorHAnsi" w:hAnsiTheme="minorHAnsi"/>
          <w:b/>
          <w:sz w:val="22"/>
          <w:szCs w:val="22"/>
          <w:highlight w:val="green"/>
          <w:lang w:val="en-US"/>
        </w:rPr>
      </w:pPr>
      <w:r w:rsidRPr="003C01BF">
        <w:rPr>
          <w:rFonts w:asciiTheme="minorHAnsi" w:hAnsiTheme="minorHAnsi"/>
          <w:b/>
          <w:sz w:val="22"/>
          <w:szCs w:val="22"/>
          <w:lang w:val="en-US"/>
        </w:rPr>
        <w:lastRenderedPageBreak/>
        <w:t xml:space="preserve">Table </w:t>
      </w:r>
      <w:r w:rsidR="005E3E50">
        <w:rPr>
          <w:rFonts w:asciiTheme="minorHAnsi" w:hAnsiTheme="minorHAnsi"/>
          <w:b/>
          <w:sz w:val="22"/>
          <w:szCs w:val="22"/>
          <w:lang w:val="en-US"/>
        </w:rPr>
        <w:t>5</w:t>
      </w:r>
      <w:r w:rsidRPr="003C01BF">
        <w:rPr>
          <w:rFonts w:asciiTheme="minorHAnsi" w:hAnsiTheme="minorHAnsi"/>
          <w:b/>
          <w:sz w:val="22"/>
          <w:szCs w:val="22"/>
          <w:lang w:val="en-US"/>
        </w:rPr>
        <w:tab/>
        <w:t>Proportion of final sample and Australian working population estimated to be occupationally exposed by carcinogenic agent, men</w:t>
      </w:r>
      <w:r w:rsidR="00946A4A" w:rsidRPr="00946A4A">
        <w:rPr>
          <w:rFonts w:asciiTheme="minorHAnsi" w:hAnsiTheme="minorHAnsi"/>
          <w:b/>
          <w:sz w:val="22"/>
          <w:szCs w:val="22"/>
          <w:vertAlign w:val="superscript"/>
          <w:lang w:val="en-US"/>
        </w:rPr>
        <w:t>+</w:t>
      </w:r>
    </w:p>
    <w:tbl>
      <w:tblPr>
        <w:tblStyle w:val="ListTable2"/>
        <w:tblW w:w="0" w:type="auto"/>
        <w:tblBorders>
          <w:insideH w:val="none" w:sz="0" w:space="0" w:color="auto"/>
        </w:tblBorders>
        <w:tblLook w:val="0600" w:firstRow="0" w:lastRow="0" w:firstColumn="0" w:lastColumn="0" w:noHBand="1" w:noVBand="1"/>
      </w:tblPr>
      <w:tblGrid>
        <w:gridCol w:w="2770"/>
        <w:gridCol w:w="4130"/>
        <w:gridCol w:w="1548"/>
        <w:gridCol w:w="2635"/>
        <w:gridCol w:w="2771"/>
      </w:tblGrid>
      <w:tr w:rsidR="00D11278" w:rsidRPr="00C73735" w14:paraId="4C37B64B" w14:textId="77777777" w:rsidTr="00D11278">
        <w:trPr>
          <w:cantSplit/>
          <w:trHeight w:val="207"/>
          <w:tblHeader/>
        </w:trPr>
        <w:tc>
          <w:tcPr>
            <w:tcW w:w="2770" w:type="dxa"/>
            <w:tcBorders>
              <w:top w:val="single" w:sz="4" w:space="0" w:color="auto"/>
              <w:bottom w:val="single" w:sz="4" w:space="0" w:color="auto"/>
            </w:tcBorders>
          </w:tcPr>
          <w:p w14:paraId="6255816A" w14:textId="77777777" w:rsidR="00D11278" w:rsidRPr="00C73735" w:rsidRDefault="00D11278" w:rsidP="00D11278">
            <w:pPr>
              <w:rPr>
                <w:rFonts w:cstheme="minorHAnsi"/>
                <w:sz w:val="18"/>
                <w:szCs w:val="18"/>
                <w:vertAlign w:val="superscript"/>
              </w:rPr>
            </w:pPr>
            <w:r w:rsidRPr="00C73735">
              <w:rPr>
                <w:rFonts w:cstheme="minorHAnsi"/>
                <w:sz w:val="18"/>
                <w:szCs w:val="18"/>
              </w:rPr>
              <w:t>Carcinogen</w:t>
            </w:r>
            <w:r w:rsidRPr="00C73735">
              <w:rPr>
                <w:rStyle w:val="FootnoteReference"/>
                <w:rFonts w:cstheme="minorHAnsi"/>
                <w:sz w:val="18"/>
                <w:szCs w:val="18"/>
              </w:rPr>
              <w:footnoteReference w:id="2"/>
            </w:r>
          </w:p>
        </w:tc>
        <w:tc>
          <w:tcPr>
            <w:tcW w:w="4130" w:type="dxa"/>
            <w:tcBorders>
              <w:top w:val="single" w:sz="4" w:space="0" w:color="auto"/>
              <w:bottom w:val="single" w:sz="4" w:space="0" w:color="auto"/>
            </w:tcBorders>
          </w:tcPr>
          <w:p w14:paraId="0552B320" w14:textId="77777777" w:rsidR="00D11278" w:rsidRPr="00C73735" w:rsidRDefault="00D11278" w:rsidP="00D11278">
            <w:pPr>
              <w:rPr>
                <w:rFonts w:cstheme="minorHAnsi"/>
                <w:sz w:val="18"/>
                <w:szCs w:val="18"/>
              </w:rPr>
            </w:pPr>
            <w:r w:rsidRPr="00C73735">
              <w:rPr>
                <w:rFonts w:cstheme="minorHAnsi"/>
                <w:sz w:val="18"/>
                <w:szCs w:val="18"/>
              </w:rPr>
              <w:t xml:space="preserve">Most common occupational groups </w:t>
            </w:r>
          </w:p>
        </w:tc>
        <w:tc>
          <w:tcPr>
            <w:tcW w:w="1548" w:type="dxa"/>
            <w:tcBorders>
              <w:top w:val="single" w:sz="4" w:space="0" w:color="auto"/>
              <w:bottom w:val="single" w:sz="4" w:space="0" w:color="auto"/>
            </w:tcBorders>
          </w:tcPr>
          <w:p w14:paraId="50AE9084" w14:textId="77777777" w:rsidR="00D11278" w:rsidRPr="00C73735" w:rsidRDefault="00D11278" w:rsidP="00D11278">
            <w:pPr>
              <w:jc w:val="right"/>
              <w:rPr>
                <w:rFonts w:cstheme="minorHAnsi"/>
                <w:sz w:val="18"/>
                <w:szCs w:val="18"/>
              </w:rPr>
            </w:pPr>
            <w:r w:rsidRPr="00C73735">
              <w:rPr>
                <w:rFonts w:cstheme="minorHAnsi"/>
                <w:sz w:val="18"/>
                <w:szCs w:val="18"/>
              </w:rPr>
              <w:t>Sample n (%)</w:t>
            </w:r>
          </w:p>
        </w:tc>
        <w:tc>
          <w:tcPr>
            <w:tcW w:w="2635" w:type="dxa"/>
            <w:tcBorders>
              <w:top w:val="single" w:sz="4" w:space="0" w:color="auto"/>
              <w:bottom w:val="single" w:sz="4" w:space="0" w:color="auto"/>
            </w:tcBorders>
          </w:tcPr>
          <w:p w14:paraId="53EAF324" w14:textId="77777777" w:rsidR="00D11278" w:rsidRPr="00C73735" w:rsidRDefault="00D11278" w:rsidP="00D11278">
            <w:pPr>
              <w:jc w:val="right"/>
              <w:rPr>
                <w:rFonts w:cstheme="minorHAnsi"/>
                <w:sz w:val="18"/>
                <w:szCs w:val="18"/>
              </w:rPr>
            </w:pPr>
            <w:r w:rsidRPr="00C73735">
              <w:rPr>
                <w:rFonts w:cstheme="minorHAnsi"/>
                <w:sz w:val="18"/>
                <w:szCs w:val="18"/>
              </w:rPr>
              <w:t>Population n (%)</w:t>
            </w:r>
          </w:p>
        </w:tc>
        <w:tc>
          <w:tcPr>
            <w:tcW w:w="2771" w:type="dxa"/>
            <w:tcBorders>
              <w:top w:val="single" w:sz="4" w:space="0" w:color="auto"/>
              <w:bottom w:val="single" w:sz="4" w:space="0" w:color="auto"/>
            </w:tcBorders>
          </w:tcPr>
          <w:p w14:paraId="777E8816" w14:textId="77777777" w:rsidR="00D11278" w:rsidRPr="00C73735" w:rsidRDefault="00D11278" w:rsidP="00D11278">
            <w:pPr>
              <w:jc w:val="right"/>
              <w:rPr>
                <w:rFonts w:cstheme="minorHAnsi"/>
                <w:sz w:val="18"/>
                <w:szCs w:val="18"/>
              </w:rPr>
            </w:pPr>
            <w:r w:rsidRPr="00C73735">
              <w:rPr>
                <w:rFonts w:cstheme="minorHAnsi"/>
                <w:sz w:val="18"/>
                <w:szCs w:val="18"/>
              </w:rPr>
              <w:t>Population 95% CI</w:t>
            </w:r>
            <w:r w:rsidRPr="00C73735">
              <w:rPr>
                <w:rStyle w:val="FootnoteReference"/>
                <w:rFonts w:cstheme="minorHAnsi"/>
                <w:sz w:val="18"/>
                <w:szCs w:val="18"/>
              </w:rPr>
              <w:footnoteReference w:id="3"/>
            </w:r>
          </w:p>
        </w:tc>
      </w:tr>
      <w:tr w:rsidR="00D11278" w:rsidRPr="00C73735" w14:paraId="33343EB5" w14:textId="77777777" w:rsidTr="00D11278">
        <w:trPr>
          <w:cantSplit/>
          <w:trHeight w:val="207"/>
        </w:trPr>
        <w:tc>
          <w:tcPr>
            <w:tcW w:w="2770" w:type="dxa"/>
            <w:tcBorders>
              <w:top w:val="single" w:sz="4" w:space="0" w:color="auto"/>
            </w:tcBorders>
          </w:tcPr>
          <w:p w14:paraId="622296BB" w14:textId="77777777" w:rsidR="00D11278" w:rsidRPr="00C73735" w:rsidRDefault="00D11278" w:rsidP="00D11278">
            <w:pPr>
              <w:jc w:val="both"/>
              <w:rPr>
                <w:rFonts w:cstheme="minorHAnsi"/>
                <w:sz w:val="18"/>
                <w:szCs w:val="18"/>
              </w:rPr>
            </w:pPr>
            <w:r w:rsidRPr="00C73735">
              <w:rPr>
                <w:rFonts w:cstheme="minorHAnsi"/>
                <w:sz w:val="18"/>
                <w:szCs w:val="18"/>
              </w:rPr>
              <w:t>Solar UVR</w:t>
            </w:r>
          </w:p>
        </w:tc>
        <w:tc>
          <w:tcPr>
            <w:tcW w:w="4130" w:type="dxa"/>
            <w:tcBorders>
              <w:top w:val="single" w:sz="4" w:space="0" w:color="auto"/>
            </w:tcBorders>
          </w:tcPr>
          <w:p w14:paraId="63FD6484" w14:textId="77777777" w:rsidR="00D11278" w:rsidRPr="00C73735" w:rsidRDefault="00D11278" w:rsidP="00D11278">
            <w:pPr>
              <w:jc w:val="both"/>
              <w:rPr>
                <w:rFonts w:cstheme="minorHAnsi"/>
                <w:sz w:val="18"/>
                <w:szCs w:val="18"/>
              </w:rPr>
            </w:pPr>
            <w:r w:rsidRPr="00C73735">
              <w:rPr>
                <w:rFonts w:cstheme="minorHAnsi"/>
                <w:sz w:val="18"/>
                <w:szCs w:val="18"/>
              </w:rPr>
              <w:t>Farmer, animal/horticultural, painter</w:t>
            </w:r>
          </w:p>
        </w:tc>
        <w:tc>
          <w:tcPr>
            <w:tcW w:w="1548" w:type="dxa"/>
            <w:tcBorders>
              <w:top w:val="single" w:sz="4" w:space="0" w:color="auto"/>
            </w:tcBorders>
          </w:tcPr>
          <w:p w14:paraId="0B05FAF7" w14:textId="77777777" w:rsidR="00D11278" w:rsidRPr="00C73735" w:rsidRDefault="00D11278" w:rsidP="00D11278">
            <w:pPr>
              <w:jc w:val="right"/>
              <w:rPr>
                <w:rFonts w:cstheme="minorHAnsi"/>
                <w:sz w:val="18"/>
                <w:szCs w:val="18"/>
              </w:rPr>
            </w:pPr>
            <w:r w:rsidRPr="00C73735">
              <w:rPr>
                <w:rFonts w:cstheme="minorHAnsi"/>
                <w:sz w:val="18"/>
                <w:szCs w:val="18"/>
              </w:rPr>
              <w:t>963 (34.8)</w:t>
            </w:r>
          </w:p>
        </w:tc>
        <w:tc>
          <w:tcPr>
            <w:tcW w:w="2635" w:type="dxa"/>
            <w:tcBorders>
              <w:top w:val="single" w:sz="4" w:space="0" w:color="auto"/>
            </w:tcBorders>
          </w:tcPr>
          <w:p w14:paraId="7F79957E" w14:textId="77777777" w:rsidR="00D11278" w:rsidRPr="00C73735" w:rsidRDefault="00D11278" w:rsidP="00D11278">
            <w:pPr>
              <w:jc w:val="right"/>
              <w:rPr>
                <w:rFonts w:cstheme="minorHAnsi"/>
                <w:sz w:val="18"/>
                <w:szCs w:val="18"/>
              </w:rPr>
            </w:pPr>
            <w:r w:rsidRPr="00C73735">
              <w:rPr>
                <w:rFonts w:cstheme="minorHAnsi"/>
                <w:sz w:val="18"/>
                <w:szCs w:val="18"/>
              </w:rPr>
              <w:t xml:space="preserve">1 737 500 (37.0) </w:t>
            </w:r>
          </w:p>
        </w:tc>
        <w:tc>
          <w:tcPr>
            <w:tcW w:w="2771" w:type="dxa"/>
            <w:tcBorders>
              <w:top w:val="single" w:sz="4" w:space="0" w:color="auto"/>
            </w:tcBorders>
          </w:tcPr>
          <w:p w14:paraId="7668F2B7" w14:textId="77777777" w:rsidR="00D11278" w:rsidRPr="00C73735" w:rsidRDefault="00D11278" w:rsidP="00D11278">
            <w:pPr>
              <w:jc w:val="right"/>
              <w:rPr>
                <w:rFonts w:cstheme="minorHAnsi"/>
                <w:sz w:val="18"/>
                <w:szCs w:val="18"/>
              </w:rPr>
            </w:pPr>
            <w:r w:rsidRPr="00C73735">
              <w:rPr>
                <w:rFonts w:cstheme="minorHAnsi"/>
                <w:sz w:val="18"/>
                <w:szCs w:val="18"/>
              </w:rPr>
              <w:t xml:space="preserve">35.2 to 38.8 </w:t>
            </w:r>
          </w:p>
        </w:tc>
      </w:tr>
      <w:tr w:rsidR="00D11278" w:rsidRPr="00C73735" w14:paraId="129DCB1D" w14:textId="77777777" w:rsidTr="00D11278">
        <w:trPr>
          <w:cantSplit/>
          <w:trHeight w:val="220"/>
        </w:trPr>
        <w:tc>
          <w:tcPr>
            <w:tcW w:w="2770" w:type="dxa"/>
          </w:tcPr>
          <w:p w14:paraId="765672B4" w14:textId="77777777" w:rsidR="00D11278" w:rsidRPr="00C73735" w:rsidRDefault="00D11278" w:rsidP="00D11278">
            <w:pPr>
              <w:jc w:val="both"/>
              <w:rPr>
                <w:rFonts w:cstheme="minorHAnsi"/>
                <w:sz w:val="18"/>
                <w:szCs w:val="18"/>
              </w:rPr>
            </w:pPr>
            <w:r w:rsidRPr="00C73735">
              <w:rPr>
                <w:rFonts w:cstheme="minorHAnsi"/>
                <w:sz w:val="18"/>
                <w:szCs w:val="18"/>
              </w:rPr>
              <w:t xml:space="preserve">Diesel engine exhaust </w:t>
            </w:r>
          </w:p>
        </w:tc>
        <w:tc>
          <w:tcPr>
            <w:tcW w:w="4130" w:type="dxa"/>
          </w:tcPr>
          <w:p w14:paraId="6D7B5222" w14:textId="77777777" w:rsidR="00D11278" w:rsidRPr="00C73735" w:rsidRDefault="00D11278" w:rsidP="00D11278">
            <w:pPr>
              <w:jc w:val="both"/>
              <w:rPr>
                <w:rFonts w:cstheme="minorHAnsi"/>
                <w:sz w:val="18"/>
                <w:szCs w:val="18"/>
              </w:rPr>
            </w:pPr>
            <w:r w:rsidRPr="00C73735">
              <w:rPr>
                <w:rFonts w:cstheme="minorHAnsi"/>
                <w:sz w:val="18"/>
                <w:szCs w:val="18"/>
              </w:rPr>
              <w:t xml:space="preserve">Farmer, heavy vehicle driver, miner </w:t>
            </w:r>
          </w:p>
        </w:tc>
        <w:tc>
          <w:tcPr>
            <w:tcW w:w="1548" w:type="dxa"/>
          </w:tcPr>
          <w:p w14:paraId="2F0ACE2D" w14:textId="77777777" w:rsidR="00D11278" w:rsidRPr="00C73735" w:rsidRDefault="00D11278" w:rsidP="00D11278">
            <w:pPr>
              <w:jc w:val="right"/>
              <w:rPr>
                <w:rFonts w:cstheme="minorHAnsi"/>
                <w:sz w:val="18"/>
                <w:szCs w:val="18"/>
              </w:rPr>
            </w:pPr>
            <w:r w:rsidRPr="00C73735">
              <w:rPr>
                <w:rFonts w:cstheme="minorHAnsi"/>
                <w:sz w:val="18"/>
                <w:szCs w:val="18"/>
              </w:rPr>
              <w:t>796 (28.8)</w:t>
            </w:r>
          </w:p>
        </w:tc>
        <w:tc>
          <w:tcPr>
            <w:tcW w:w="2635" w:type="dxa"/>
          </w:tcPr>
          <w:p w14:paraId="4C945682" w14:textId="77777777" w:rsidR="00D11278" w:rsidRPr="00C73735" w:rsidRDefault="00D11278" w:rsidP="00D11278">
            <w:pPr>
              <w:jc w:val="right"/>
              <w:rPr>
                <w:rFonts w:cstheme="minorHAnsi"/>
                <w:sz w:val="18"/>
                <w:szCs w:val="18"/>
              </w:rPr>
            </w:pPr>
            <w:r w:rsidRPr="00C73735">
              <w:rPr>
                <w:rFonts w:cstheme="minorHAnsi"/>
                <w:sz w:val="18"/>
                <w:szCs w:val="18"/>
              </w:rPr>
              <w:t>1 344 500 (28.6)</w:t>
            </w:r>
          </w:p>
        </w:tc>
        <w:tc>
          <w:tcPr>
            <w:tcW w:w="2771" w:type="dxa"/>
          </w:tcPr>
          <w:p w14:paraId="71C7A1F9" w14:textId="77777777" w:rsidR="00D11278" w:rsidRPr="00C73735" w:rsidRDefault="00D11278" w:rsidP="00D11278">
            <w:pPr>
              <w:jc w:val="right"/>
              <w:rPr>
                <w:rFonts w:cstheme="minorHAnsi"/>
                <w:sz w:val="18"/>
                <w:szCs w:val="18"/>
              </w:rPr>
            </w:pPr>
            <w:r w:rsidRPr="00C73735">
              <w:rPr>
                <w:rFonts w:cstheme="minorHAnsi"/>
                <w:sz w:val="18"/>
                <w:szCs w:val="18"/>
              </w:rPr>
              <w:t>26.9 to 30.3</w:t>
            </w:r>
          </w:p>
        </w:tc>
      </w:tr>
      <w:tr w:rsidR="00D11278" w:rsidRPr="00C73735" w14:paraId="28C72B68" w14:textId="77777777" w:rsidTr="00D11278">
        <w:trPr>
          <w:cantSplit/>
          <w:trHeight w:val="207"/>
        </w:trPr>
        <w:tc>
          <w:tcPr>
            <w:tcW w:w="2770" w:type="dxa"/>
          </w:tcPr>
          <w:p w14:paraId="4A85E28A" w14:textId="77777777" w:rsidR="00D11278" w:rsidRPr="00C73735" w:rsidRDefault="00D11278" w:rsidP="00D11278">
            <w:pPr>
              <w:jc w:val="both"/>
              <w:rPr>
                <w:rFonts w:cstheme="minorHAnsi"/>
                <w:sz w:val="18"/>
                <w:szCs w:val="18"/>
              </w:rPr>
            </w:pPr>
            <w:r w:rsidRPr="00C73735">
              <w:rPr>
                <w:rFonts w:cstheme="minorHAnsi"/>
                <w:sz w:val="18"/>
                <w:szCs w:val="18"/>
              </w:rPr>
              <w:t>ETS</w:t>
            </w:r>
          </w:p>
        </w:tc>
        <w:tc>
          <w:tcPr>
            <w:tcW w:w="4130" w:type="dxa"/>
          </w:tcPr>
          <w:p w14:paraId="0D509B28" w14:textId="77777777" w:rsidR="00D11278" w:rsidRPr="00C73735" w:rsidRDefault="00D11278" w:rsidP="00D11278">
            <w:pPr>
              <w:jc w:val="both"/>
              <w:rPr>
                <w:rFonts w:cstheme="minorHAnsi"/>
                <w:sz w:val="18"/>
                <w:szCs w:val="18"/>
              </w:rPr>
            </w:pPr>
            <w:r w:rsidRPr="00C73735">
              <w:rPr>
                <w:rFonts w:cstheme="minorHAnsi"/>
                <w:sz w:val="18"/>
                <w:szCs w:val="18"/>
              </w:rPr>
              <w:t>Painter, plumber, hospitality</w:t>
            </w:r>
          </w:p>
        </w:tc>
        <w:tc>
          <w:tcPr>
            <w:tcW w:w="1548" w:type="dxa"/>
          </w:tcPr>
          <w:p w14:paraId="685D0AE5" w14:textId="77777777" w:rsidR="00D11278" w:rsidRPr="00C73735" w:rsidRDefault="00D11278" w:rsidP="00D11278">
            <w:pPr>
              <w:jc w:val="right"/>
              <w:rPr>
                <w:rFonts w:cstheme="minorHAnsi"/>
                <w:sz w:val="18"/>
                <w:szCs w:val="18"/>
              </w:rPr>
            </w:pPr>
            <w:r w:rsidRPr="00C73735">
              <w:rPr>
                <w:rFonts w:cstheme="minorHAnsi"/>
                <w:sz w:val="18"/>
                <w:szCs w:val="18"/>
              </w:rPr>
              <w:t>589 (21.3)</w:t>
            </w:r>
          </w:p>
        </w:tc>
        <w:tc>
          <w:tcPr>
            <w:tcW w:w="2635" w:type="dxa"/>
          </w:tcPr>
          <w:p w14:paraId="5477EA54" w14:textId="77777777" w:rsidR="00D11278" w:rsidRPr="00C73735" w:rsidRDefault="00D11278" w:rsidP="00D11278">
            <w:pPr>
              <w:jc w:val="right"/>
              <w:rPr>
                <w:rFonts w:cstheme="minorHAnsi"/>
                <w:sz w:val="18"/>
                <w:szCs w:val="18"/>
              </w:rPr>
            </w:pPr>
            <w:r w:rsidRPr="00C73735">
              <w:rPr>
                <w:rFonts w:cstheme="minorHAnsi"/>
                <w:sz w:val="18"/>
                <w:szCs w:val="18"/>
              </w:rPr>
              <w:t xml:space="preserve">1 164 000 (24.6) </w:t>
            </w:r>
          </w:p>
        </w:tc>
        <w:tc>
          <w:tcPr>
            <w:tcW w:w="2771" w:type="dxa"/>
          </w:tcPr>
          <w:p w14:paraId="17656B04" w14:textId="77777777" w:rsidR="00D11278" w:rsidRPr="00C73735" w:rsidRDefault="00D11278" w:rsidP="00D11278">
            <w:pPr>
              <w:jc w:val="right"/>
              <w:rPr>
                <w:rFonts w:cstheme="minorHAnsi"/>
                <w:sz w:val="18"/>
                <w:szCs w:val="18"/>
              </w:rPr>
            </w:pPr>
            <w:r w:rsidRPr="00C73735">
              <w:rPr>
                <w:rFonts w:cstheme="minorHAnsi"/>
                <w:sz w:val="18"/>
                <w:szCs w:val="18"/>
              </w:rPr>
              <w:t xml:space="preserve">23.2 to 26.4 </w:t>
            </w:r>
          </w:p>
        </w:tc>
      </w:tr>
      <w:tr w:rsidR="00D11278" w:rsidRPr="00C73735" w14:paraId="1EA528D1" w14:textId="77777777" w:rsidTr="00D11278">
        <w:trPr>
          <w:cantSplit/>
          <w:trHeight w:val="207"/>
        </w:trPr>
        <w:tc>
          <w:tcPr>
            <w:tcW w:w="2770" w:type="dxa"/>
          </w:tcPr>
          <w:p w14:paraId="7BD8FC09" w14:textId="77777777" w:rsidR="00D11278" w:rsidRPr="00C73735" w:rsidRDefault="00D11278" w:rsidP="00D11278">
            <w:pPr>
              <w:jc w:val="both"/>
              <w:rPr>
                <w:rFonts w:cstheme="minorHAnsi"/>
                <w:sz w:val="18"/>
                <w:szCs w:val="18"/>
              </w:rPr>
            </w:pPr>
            <w:r w:rsidRPr="00C73735">
              <w:rPr>
                <w:rFonts w:cstheme="minorHAnsi"/>
                <w:sz w:val="18"/>
                <w:szCs w:val="18"/>
              </w:rPr>
              <w:t xml:space="preserve">Benzene </w:t>
            </w:r>
          </w:p>
        </w:tc>
        <w:tc>
          <w:tcPr>
            <w:tcW w:w="4130" w:type="dxa"/>
          </w:tcPr>
          <w:p w14:paraId="4E49DB81" w14:textId="77777777" w:rsidR="00D11278" w:rsidRPr="00C73735" w:rsidRDefault="00D11278" w:rsidP="00D11278">
            <w:pPr>
              <w:jc w:val="both"/>
              <w:rPr>
                <w:rFonts w:cstheme="minorHAnsi"/>
                <w:sz w:val="18"/>
                <w:szCs w:val="18"/>
              </w:rPr>
            </w:pPr>
            <w:r w:rsidRPr="00C73735">
              <w:rPr>
                <w:rFonts w:cstheme="minorHAnsi"/>
                <w:sz w:val="18"/>
                <w:szCs w:val="18"/>
              </w:rPr>
              <w:t xml:space="preserve">Farmer, animal/horticultural, automobile driver </w:t>
            </w:r>
          </w:p>
        </w:tc>
        <w:tc>
          <w:tcPr>
            <w:tcW w:w="1548" w:type="dxa"/>
          </w:tcPr>
          <w:p w14:paraId="0276D5FC" w14:textId="77777777" w:rsidR="00D11278" w:rsidRPr="00C73735" w:rsidRDefault="00D11278" w:rsidP="00D11278">
            <w:pPr>
              <w:jc w:val="right"/>
              <w:rPr>
                <w:rFonts w:cstheme="minorHAnsi"/>
                <w:sz w:val="18"/>
                <w:szCs w:val="18"/>
              </w:rPr>
            </w:pPr>
            <w:r w:rsidRPr="00C73735">
              <w:rPr>
                <w:rFonts w:cstheme="minorHAnsi"/>
                <w:sz w:val="18"/>
                <w:szCs w:val="18"/>
              </w:rPr>
              <w:t>370 (13.4)</w:t>
            </w:r>
          </w:p>
        </w:tc>
        <w:tc>
          <w:tcPr>
            <w:tcW w:w="2635" w:type="dxa"/>
          </w:tcPr>
          <w:p w14:paraId="23FBCA2A" w14:textId="77777777" w:rsidR="00D11278" w:rsidRPr="00C73735" w:rsidRDefault="00D11278" w:rsidP="00D11278">
            <w:pPr>
              <w:jc w:val="right"/>
              <w:rPr>
                <w:rFonts w:cstheme="minorHAnsi"/>
                <w:sz w:val="18"/>
                <w:szCs w:val="18"/>
              </w:rPr>
            </w:pPr>
            <w:r w:rsidRPr="00C73735">
              <w:rPr>
                <w:rFonts w:cstheme="minorHAnsi"/>
                <w:sz w:val="18"/>
                <w:szCs w:val="18"/>
              </w:rPr>
              <w:t>636 440 (13.5)</w:t>
            </w:r>
          </w:p>
        </w:tc>
        <w:tc>
          <w:tcPr>
            <w:tcW w:w="2771" w:type="dxa"/>
          </w:tcPr>
          <w:p w14:paraId="0D8767C8" w14:textId="77777777" w:rsidR="00D11278" w:rsidRPr="00C73735" w:rsidRDefault="00D11278" w:rsidP="00D11278">
            <w:pPr>
              <w:jc w:val="right"/>
              <w:rPr>
                <w:rFonts w:cstheme="minorHAnsi"/>
                <w:sz w:val="18"/>
                <w:szCs w:val="18"/>
              </w:rPr>
            </w:pPr>
            <w:r w:rsidRPr="00C73735">
              <w:rPr>
                <w:rFonts w:cstheme="minorHAnsi"/>
                <w:sz w:val="18"/>
                <w:szCs w:val="18"/>
              </w:rPr>
              <w:t>12.3 to 14.8</w:t>
            </w:r>
          </w:p>
        </w:tc>
      </w:tr>
      <w:tr w:rsidR="00D11278" w:rsidRPr="00C73735" w14:paraId="60890F04" w14:textId="77777777" w:rsidTr="00D11278">
        <w:trPr>
          <w:cantSplit/>
          <w:trHeight w:val="220"/>
        </w:trPr>
        <w:tc>
          <w:tcPr>
            <w:tcW w:w="2770" w:type="dxa"/>
          </w:tcPr>
          <w:p w14:paraId="411BA681" w14:textId="77777777" w:rsidR="00D11278" w:rsidRPr="00C73735" w:rsidRDefault="00D11278" w:rsidP="00D11278">
            <w:pPr>
              <w:jc w:val="both"/>
              <w:rPr>
                <w:rFonts w:cstheme="minorHAnsi"/>
                <w:sz w:val="18"/>
                <w:szCs w:val="18"/>
              </w:rPr>
            </w:pPr>
            <w:r w:rsidRPr="00C73735">
              <w:rPr>
                <w:rFonts w:cstheme="minorHAnsi"/>
                <w:sz w:val="18"/>
                <w:szCs w:val="18"/>
              </w:rPr>
              <w:t>Lead</w:t>
            </w:r>
          </w:p>
        </w:tc>
        <w:tc>
          <w:tcPr>
            <w:tcW w:w="4130" w:type="dxa"/>
          </w:tcPr>
          <w:p w14:paraId="5CCF6EC4" w14:textId="77777777" w:rsidR="00D11278" w:rsidRPr="00C73735" w:rsidRDefault="00D11278" w:rsidP="00D11278">
            <w:pPr>
              <w:jc w:val="both"/>
              <w:rPr>
                <w:rFonts w:cstheme="minorHAnsi"/>
                <w:sz w:val="18"/>
                <w:szCs w:val="18"/>
              </w:rPr>
            </w:pPr>
            <w:r w:rsidRPr="00C73735">
              <w:rPr>
                <w:rFonts w:cstheme="minorHAnsi"/>
                <w:sz w:val="18"/>
                <w:szCs w:val="18"/>
              </w:rPr>
              <w:t xml:space="preserve">Painter, vehicle worker, plumber </w:t>
            </w:r>
          </w:p>
        </w:tc>
        <w:tc>
          <w:tcPr>
            <w:tcW w:w="1548" w:type="dxa"/>
          </w:tcPr>
          <w:p w14:paraId="1CD92F1F" w14:textId="77777777" w:rsidR="00D11278" w:rsidRPr="00C73735" w:rsidRDefault="00D11278" w:rsidP="00D11278">
            <w:pPr>
              <w:jc w:val="right"/>
              <w:rPr>
                <w:rFonts w:cstheme="minorHAnsi"/>
                <w:sz w:val="18"/>
                <w:szCs w:val="18"/>
              </w:rPr>
            </w:pPr>
            <w:r w:rsidRPr="00C73735">
              <w:rPr>
                <w:rFonts w:cstheme="minorHAnsi"/>
                <w:sz w:val="18"/>
                <w:szCs w:val="18"/>
              </w:rPr>
              <w:t>295 (10.7)</w:t>
            </w:r>
          </w:p>
        </w:tc>
        <w:tc>
          <w:tcPr>
            <w:tcW w:w="2635" w:type="dxa"/>
          </w:tcPr>
          <w:p w14:paraId="52F16A8A" w14:textId="77777777" w:rsidR="00D11278" w:rsidRPr="00C73735" w:rsidRDefault="00D11278" w:rsidP="00D11278">
            <w:pPr>
              <w:jc w:val="right"/>
              <w:rPr>
                <w:rFonts w:cstheme="minorHAnsi"/>
                <w:sz w:val="18"/>
                <w:szCs w:val="18"/>
              </w:rPr>
            </w:pPr>
            <w:r w:rsidRPr="00C73735">
              <w:rPr>
                <w:rFonts w:cstheme="minorHAnsi"/>
                <w:sz w:val="18"/>
                <w:szCs w:val="18"/>
              </w:rPr>
              <w:t>502 100 (10.7)</w:t>
            </w:r>
          </w:p>
        </w:tc>
        <w:tc>
          <w:tcPr>
            <w:tcW w:w="2771" w:type="dxa"/>
          </w:tcPr>
          <w:p w14:paraId="12910568" w14:textId="77777777" w:rsidR="00D11278" w:rsidRPr="00C73735" w:rsidRDefault="00D11278" w:rsidP="00D11278">
            <w:pPr>
              <w:jc w:val="right"/>
              <w:rPr>
                <w:rFonts w:cstheme="minorHAnsi"/>
                <w:sz w:val="18"/>
                <w:szCs w:val="18"/>
              </w:rPr>
            </w:pPr>
            <w:r w:rsidRPr="00C73735">
              <w:rPr>
                <w:rFonts w:cstheme="minorHAnsi"/>
                <w:sz w:val="18"/>
                <w:szCs w:val="18"/>
              </w:rPr>
              <w:t xml:space="preserve">9.6 to 11.9 </w:t>
            </w:r>
          </w:p>
        </w:tc>
      </w:tr>
      <w:tr w:rsidR="00D11278" w:rsidRPr="00C73735" w14:paraId="1CADA186" w14:textId="77777777" w:rsidTr="00D11278">
        <w:trPr>
          <w:cantSplit/>
          <w:trHeight w:val="207"/>
        </w:trPr>
        <w:tc>
          <w:tcPr>
            <w:tcW w:w="2770" w:type="dxa"/>
          </w:tcPr>
          <w:p w14:paraId="0511FB0D" w14:textId="77777777" w:rsidR="00D11278" w:rsidRPr="00C73735" w:rsidRDefault="00D11278" w:rsidP="00D11278">
            <w:pPr>
              <w:jc w:val="both"/>
              <w:rPr>
                <w:rFonts w:cstheme="minorHAnsi"/>
                <w:sz w:val="18"/>
                <w:szCs w:val="18"/>
              </w:rPr>
            </w:pPr>
            <w:r w:rsidRPr="00C73735">
              <w:rPr>
                <w:rFonts w:cstheme="minorHAnsi"/>
                <w:sz w:val="18"/>
                <w:szCs w:val="18"/>
              </w:rPr>
              <w:t xml:space="preserve">Silica </w:t>
            </w:r>
          </w:p>
        </w:tc>
        <w:tc>
          <w:tcPr>
            <w:tcW w:w="4130" w:type="dxa"/>
          </w:tcPr>
          <w:p w14:paraId="1DD8D919" w14:textId="77777777" w:rsidR="00D11278" w:rsidRPr="00C73735" w:rsidRDefault="00D11278" w:rsidP="00D11278">
            <w:pPr>
              <w:jc w:val="both"/>
              <w:rPr>
                <w:rFonts w:cstheme="minorHAnsi"/>
                <w:sz w:val="18"/>
                <w:szCs w:val="18"/>
              </w:rPr>
            </w:pPr>
            <w:r w:rsidRPr="00C73735">
              <w:rPr>
                <w:rFonts w:cstheme="minorHAnsi"/>
                <w:sz w:val="18"/>
                <w:szCs w:val="18"/>
              </w:rPr>
              <w:t>Miner, construction, engineer</w:t>
            </w:r>
          </w:p>
        </w:tc>
        <w:tc>
          <w:tcPr>
            <w:tcW w:w="1548" w:type="dxa"/>
          </w:tcPr>
          <w:p w14:paraId="230D507A" w14:textId="77777777" w:rsidR="00D11278" w:rsidRPr="00C73735" w:rsidRDefault="00D11278" w:rsidP="00D11278">
            <w:pPr>
              <w:jc w:val="right"/>
              <w:rPr>
                <w:rFonts w:cstheme="minorHAnsi"/>
                <w:sz w:val="18"/>
                <w:szCs w:val="18"/>
              </w:rPr>
            </w:pPr>
            <w:r w:rsidRPr="00C73735">
              <w:rPr>
                <w:rFonts w:cstheme="minorHAnsi"/>
                <w:sz w:val="18"/>
                <w:szCs w:val="18"/>
              </w:rPr>
              <w:t>289 (10.5)</w:t>
            </w:r>
          </w:p>
        </w:tc>
        <w:tc>
          <w:tcPr>
            <w:tcW w:w="2635" w:type="dxa"/>
          </w:tcPr>
          <w:p w14:paraId="50D51B3B" w14:textId="77777777" w:rsidR="00D11278" w:rsidRPr="00C73735" w:rsidRDefault="00D11278" w:rsidP="00D11278">
            <w:pPr>
              <w:jc w:val="right"/>
              <w:rPr>
                <w:rFonts w:cstheme="minorHAnsi"/>
                <w:sz w:val="18"/>
                <w:szCs w:val="18"/>
              </w:rPr>
            </w:pPr>
            <w:r w:rsidRPr="00C73735">
              <w:rPr>
                <w:rFonts w:cstheme="minorHAnsi"/>
                <w:sz w:val="18"/>
                <w:szCs w:val="18"/>
              </w:rPr>
              <w:t xml:space="preserve">543 390 (11.6) </w:t>
            </w:r>
          </w:p>
        </w:tc>
        <w:tc>
          <w:tcPr>
            <w:tcW w:w="2771" w:type="dxa"/>
          </w:tcPr>
          <w:p w14:paraId="1A828825" w14:textId="77777777" w:rsidR="00D11278" w:rsidRPr="00C73735" w:rsidRDefault="00D11278" w:rsidP="00D11278">
            <w:pPr>
              <w:jc w:val="right"/>
              <w:rPr>
                <w:rFonts w:cstheme="minorHAnsi"/>
                <w:sz w:val="18"/>
                <w:szCs w:val="18"/>
              </w:rPr>
            </w:pPr>
            <w:r w:rsidRPr="00C73735">
              <w:rPr>
                <w:rFonts w:cstheme="minorHAnsi"/>
                <w:sz w:val="18"/>
                <w:szCs w:val="18"/>
              </w:rPr>
              <w:t>10.5 to 12.9</w:t>
            </w:r>
          </w:p>
        </w:tc>
      </w:tr>
      <w:tr w:rsidR="00D11278" w:rsidRPr="00C73735" w14:paraId="6EA83A12" w14:textId="77777777" w:rsidTr="00D11278">
        <w:trPr>
          <w:cantSplit/>
          <w:trHeight w:val="207"/>
        </w:trPr>
        <w:tc>
          <w:tcPr>
            <w:tcW w:w="2770" w:type="dxa"/>
          </w:tcPr>
          <w:p w14:paraId="4C1A605B" w14:textId="77777777" w:rsidR="00D11278" w:rsidRPr="00C73735" w:rsidRDefault="00D11278" w:rsidP="00D11278">
            <w:pPr>
              <w:jc w:val="both"/>
              <w:rPr>
                <w:rFonts w:cstheme="minorHAnsi"/>
                <w:sz w:val="18"/>
                <w:szCs w:val="18"/>
              </w:rPr>
            </w:pPr>
            <w:r w:rsidRPr="00C73735">
              <w:rPr>
                <w:rFonts w:cstheme="minorHAnsi"/>
                <w:sz w:val="18"/>
                <w:szCs w:val="18"/>
              </w:rPr>
              <w:t>Wood dust</w:t>
            </w:r>
          </w:p>
        </w:tc>
        <w:tc>
          <w:tcPr>
            <w:tcW w:w="4130" w:type="dxa"/>
          </w:tcPr>
          <w:p w14:paraId="2AEF5242" w14:textId="77777777" w:rsidR="00D11278" w:rsidRPr="00C73735" w:rsidRDefault="00D11278" w:rsidP="00D11278">
            <w:pPr>
              <w:jc w:val="both"/>
              <w:rPr>
                <w:rFonts w:cstheme="minorHAnsi"/>
                <w:sz w:val="18"/>
                <w:szCs w:val="18"/>
              </w:rPr>
            </w:pPr>
            <w:r w:rsidRPr="00C73735">
              <w:rPr>
                <w:rFonts w:cstheme="minorHAnsi"/>
                <w:sz w:val="18"/>
                <w:szCs w:val="18"/>
              </w:rPr>
              <w:t xml:space="preserve">Carpenter, painter, handyperson </w:t>
            </w:r>
          </w:p>
        </w:tc>
        <w:tc>
          <w:tcPr>
            <w:tcW w:w="1548" w:type="dxa"/>
          </w:tcPr>
          <w:p w14:paraId="3A338797" w14:textId="77777777" w:rsidR="00D11278" w:rsidRPr="00C73735" w:rsidRDefault="00D11278" w:rsidP="00D11278">
            <w:pPr>
              <w:jc w:val="right"/>
              <w:rPr>
                <w:rFonts w:cstheme="minorHAnsi"/>
                <w:sz w:val="18"/>
                <w:szCs w:val="18"/>
              </w:rPr>
            </w:pPr>
            <w:r w:rsidRPr="00C73735">
              <w:rPr>
                <w:rFonts w:cstheme="minorHAnsi"/>
                <w:sz w:val="18"/>
                <w:szCs w:val="18"/>
              </w:rPr>
              <w:t>271 (9.8)</w:t>
            </w:r>
          </w:p>
        </w:tc>
        <w:tc>
          <w:tcPr>
            <w:tcW w:w="2635" w:type="dxa"/>
          </w:tcPr>
          <w:p w14:paraId="65E58EFC" w14:textId="77777777" w:rsidR="00D11278" w:rsidRPr="00C73735" w:rsidRDefault="00D11278" w:rsidP="00D11278">
            <w:pPr>
              <w:jc w:val="right"/>
              <w:rPr>
                <w:rFonts w:cstheme="minorHAnsi"/>
                <w:sz w:val="18"/>
                <w:szCs w:val="18"/>
              </w:rPr>
            </w:pPr>
            <w:r w:rsidRPr="00C73735">
              <w:rPr>
                <w:rFonts w:cstheme="minorHAnsi"/>
                <w:sz w:val="18"/>
                <w:szCs w:val="18"/>
              </w:rPr>
              <w:t xml:space="preserve">449 470 (9.6) </w:t>
            </w:r>
          </w:p>
        </w:tc>
        <w:tc>
          <w:tcPr>
            <w:tcW w:w="2771" w:type="dxa"/>
          </w:tcPr>
          <w:p w14:paraId="32AB3F4D" w14:textId="77777777" w:rsidR="00D11278" w:rsidRPr="00C73735" w:rsidRDefault="00D11278" w:rsidP="00D11278">
            <w:pPr>
              <w:jc w:val="right"/>
              <w:rPr>
                <w:rFonts w:cstheme="minorHAnsi"/>
                <w:sz w:val="18"/>
                <w:szCs w:val="18"/>
              </w:rPr>
            </w:pPr>
            <w:r w:rsidRPr="00C73735">
              <w:rPr>
                <w:rFonts w:cstheme="minorHAnsi"/>
                <w:sz w:val="18"/>
                <w:szCs w:val="18"/>
              </w:rPr>
              <w:t>8.6 to 10.8</w:t>
            </w:r>
          </w:p>
        </w:tc>
      </w:tr>
      <w:tr w:rsidR="00D11278" w:rsidRPr="00C73735" w14:paraId="0213584E" w14:textId="77777777" w:rsidTr="00D11278">
        <w:trPr>
          <w:cantSplit/>
          <w:trHeight w:val="207"/>
        </w:trPr>
        <w:tc>
          <w:tcPr>
            <w:tcW w:w="2770" w:type="dxa"/>
          </w:tcPr>
          <w:p w14:paraId="46C8C138" w14:textId="77777777" w:rsidR="00D11278" w:rsidRPr="00C73735" w:rsidRDefault="00D11278" w:rsidP="00D11278">
            <w:pPr>
              <w:jc w:val="both"/>
              <w:rPr>
                <w:rFonts w:cstheme="minorHAnsi"/>
                <w:sz w:val="18"/>
                <w:szCs w:val="18"/>
              </w:rPr>
            </w:pPr>
            <w:r w:rsidRPr="00C73735">
              <w:rPr>
                <w:rFonts w:cstheme="minorHAnsi"/>
                <w:sz w:val="18"/>
                <w:szCs w:val="18"/>
              </w:rPr>
              <w:t>Artificial UVR</w:t>
            </w:r>
          </w:p>
        </w:tc>
        <w:tc>
          <w:tcPr>
            <w:tcW w:w="4130" w:type="dxa"/>
          </w:tcPr>
          <w:p w14:paraId="1EA964C7" w14:textId="77777777" w:rsidR="00D11278" w:rsidRPr="00C73735" w:rsidRDefault="00D11278" w:rsidP="00D11278">
            <w:pPr>
              <w:jc w:val="both"/>
              <w:rPr>
                <w:rFonts w:cstheme="minorHAnsi"/>
                <w:sz w:val="18"/>
                <w:szCs w:val="18"/>
              </w:rPr>
            </w:pPr>
            <w:r w:rsidRPr="00C73735">
              <w:rPr>
                <w:rFonts w:cstheme="minorHAnsi"/>
                <w:sz w:val="18"/>
                <w:szCs w:val="18"/>
              </w:rPr>
              <w:t>Farmer, vehicle worker, metal worker</w:t>
            </w:r>
          </w:p>
        </w:tc>
        <w:tc>
          <w:tcPr>
            <w:tcW w:w="1548" w:type="dxa"/>
          </w:tcPr>
          <w:p w14:paraId="638BDB31" w14:textId="77777777" w:rsidR="00D11278" w:rsidRPr="00C73735" w:rsidRDefault="00D11278" w:rsidP="00D11278">
            <w:pPr>
              <w:jc w:val="right"/>
              <w:rPr>
                <w:rFonts w:cstheme="minorHAnsi"/>
                <w:sz w:val="18"/>
                <w:szCs w:val="18"/>
              </w:rPr>
            </w:pPr>
            <w:r w:rsidRPr="00C73735">
              <w:rPr>
                <w:rFonts w:cstheme="minorHAnsi"/>
                <w:sz w:val="18"/>
                <w:szCs w:val="18"/>
              </w:rPr>
              <w:t>247 (8.9)</w:t>
            </w:r>
          </w:p>
        </w:tc>
        <w:tc>
          <w:tcPr>
            <w:tcW w:w="2635" w:type="dxa"/>
          </w:tcPr>
          <w:p w14:paraId="0764C9C9" w14:textId="77777777" w:rsidR="00D11278" w:rsidRPr="00C73735" w:rsidRDefault="00D11278" w:rsidP="00D11278">
            <w:pPr>
              <w:jc w:val="right"/>
              <w:rPr>
                <w:rFonts w:cstheme="minorHAnsi"/>
                <w:sz w:val="18"/>
                <w:szCs w:val="18"/>
              </w:rPr>
            </w:pPr>
            <w:r w:rsidRPr="00C73735">
              <w:rPr>
                <w:rFonts w:cstheme="minorHAnsi"/>
                <w:sz w:val="18"/>
                <w:szCs w:val="18"/>
              </w:rPr>
              <w:t>391 770 (8.4)</w:t>
            </w:r>
          </w:p>
        </w:tc>
        <w:tc>
          <w:tcPr>
            <w:tcW w:w="2771" w:type="dxa"/>
          </w:tcPr>
          <w:p w14:paraId="409DD579" w14:textId="77777777" w:rsidR="00D11278" w:rsidRPr="00C73735" w:rsidRDefault="00D11278" w:rsidP="00D11278">
            <w:pPr>
              <w:jc w:val="right"/>
              <w:rPr>
                <w:rFonts w:cstheme="minorHAnsi"/>
                <w:sz w:val="18"/>
                <w:szCs w:val="18"/>
              </w:rPr>
            </w:pPr>
            <w:r w:rsidRPr="00C73735">
              <w:rPr>
                <w:rFonts w:cstheme="minorHAnsi"/>
                <w:sz w:val="18"/>
                <w:szCs w:val="18"/>
              </w:rPr>
              <w:t>7.4 to 9.4</w:t>
            </w:r>
          </w:p>
        </w:tc>
      </w:tr>
      <w:tr w:rsidR="00D11278" w:rsidRPr="00C73735" w14:paraId="7CBFFD25" w14:textId="77777777" w:rsidTr="00D11278">
        <w:trPr>
          <w:cantSplit/>
          <w:trHeight w:val="220"/>
        </w:trPr>
        <w:tc>
          <w:tcPr>
            <w:tcW w:w="2770" w:type="dxa"/>
          </w:tcPr>
          <w:p w14:paraId="3B2F578B" w14:textId="77777777" w:rsidR="00D11278" w:rsidRPr="00C73735" w:rsidRDefault="00D11278" w:rsidP="00D11278">
            <w:pPr>
              <w:jc w:val="both"/>
              <w:rPr>
                <w:rFonts w:cstheme="minorHAnsi"/>
                <w:sz w:val="18"/>
                <w:szCs w:val="18"/>
              </w:rPr>
            </w:pPr>
            <w:r w:rsidRPr="00C73735">
              <w:rPr>
                <w:rFonts w:cstheme="minorHAnsi"/>
                <w:sz w:val="18"/>
                <w:szCs w:val="18"/>
              </w:rPr>
              <w:t>PAHs</w:t>
            </w:r>
          </w:p>
        </w:tc>
        <w:tc>
          <w:tcPr>
            <w:tcW w:w="4130" w:type="dxa"/>
          </w:tcPr>
          <w:p w14:paraId="223E339C" w14:textId="77777777" w:rsidR="00D11278" w:rsidRPr="00C73735" w:rsidRDefault="00D11278" w:rsidP="00D11278">
            <w:pPr>
              <w:jc w:val="both"/>
              <w:rPr>
                <w:rFonts w:cstheme="minorHAnsi"/>
                <w:sz w:val="18"/>
                <w:szCs w:val="18"/>
              </w:rPr>
            </w:pPr>
            <w:r w:rsidRPr="00C73735">
              <w:rPr>
                <w:rFonts w:cstheme="minorHAnsi"/>
                <w:sz w:val="18"/>
                <w:szCs w:val="18"/>
              </w:rPr>
              <w:t>Farmer, emergency worker, food service</w:t>
            </w:r>
          </w:p>
        </w:tc>
        <w:tc>
          <w:tcPr>
            <w:tcW w:w="1548" w:type="dxa"/>
          </w:tcPr>
          <w:p w14:paraId="474EB66C" w14:textId="77777777" w:rsidR="00D11278" w:rsidRPr="00C73735" w:rsidRDefault="00D11278" w:rsidP="00D11278">
            <w:pPr>
              <w:jc w:val="right"/>
              <w:rPr>
                <w:rFonts w:cstheme="minorHAnsi"/>
                <w:sz w:val="18"/>
                <w:szCs w:val="18"/>
              </w:rPr>
            </w:pPr>
            <w:r w:rsidRPr="00C73735">
              <w:rPr>
                <w:rFonts w:cstheme="minorHAnsi"/>
                <w:sz w:val="18"/>
                <w:szCs w:val="18"/>
              </w:rPr>
              <w:t>239 (8.6)</w:t>
            </w:r>
          </w:p>
        </w:tc>
        <w:tc>
          <w:tcPr>
            <w:tcW w:w="2635" w:type="dxa"/>
          </w:tcPr>
          <w:p w14:paraId="31B92367" w14:textId="77777777" w:rsidR="00D11278" w:rsidRPr="00C73735" w:rsidRDefault="00D11278" w:rsidP="00D11278">
            <w:pPr>
              <w:jc w:val="right"/>
              <w:rPr>
                <w:rFonts w:cstheme="minorHAnsi"/>
                <w:sz w:val="18"/>
                <w:szCs w:val="18"/>
              </w:rPr>
            </w:pPr>
            <w:r w:rsidRPr="00C73735">
              <w:rPr>
                <w:rFonts w:cstheme="minorHAnsi"/>
                <w:sz w:val="18"/>
                <w:szCs w:val="18"/>
              </w:rPr>
              <w:t>454 160 (9.7)</w:t>
            </w:r>
          </w:p>
        </w:tc>
        <w:tc>
          <w:tcPr>
            <w:tcW w:w="2771" w:type="dxa"/>
          </w:tcPr>
          <w:p w14:paraId="268FFBEA" w14:textId="77777777" w:rsidR="00D11278" w:rsidRPr="00C73735" w:rsidRDefault="00D11278" w:rsidP="00D11278">
            <w:pPr>
              <w:jc w:val="right"/>
              <w:rPr>
                <w:rFonts w:cstheme="minorHAnsi"/>
                <w:sz w:val="18"/>
                <w:szCs w:val="18"/>
              </w:rPr>
            </w:pPr>
            <w:r w:rsidRPr="00C73735">
              <w:rPr>
                <w:rFonts w:cstheme="minorHAnsi"/>
                <w:sz w:val="18"/>
                <w:szCs w:val="18"/>
              </w:rPr>
              <w:t>8.6 to 10.9</w:t>
            </w:r>
          </w:p>
        </w:tc>
      </w:tr>
      <w:tr w:rsidR="00D11278" w:rsidRPr="00C73735" w14:paraId="2F348ADA" w14:textId="77777777" w:rsidTr="00D11278">
        <w:trPr>
          <w:cantSplit/>
          <w:trHeight w:val="207"/>
        </w:trPr>
        <w:tc>
          <w:tcPr>
            <w:tcW w:w="2770" w:type="dxa"/>
          </w:tcPr>
          <w:p w14:paraId="6C5F7D09" w14:textId="77777777" w:rsidR="00D11278" w:rsidRPr="00C73735" w:rsidRDefault="00D11278" w:rsidP="00D11278">
            <w:pPr>
              <w:jc w:val="both"/>
              <w:rPr>
                <w:rFonts w:cstheme="minorHAnsi"/>
                <w:sz w:val="18"/>
                <w:szCs w:val="18"/>
              </w:rPr>
            </w:pPr>
            <w:r w:rsidRPr="00C73735">
              <w:rPr>
                <w:rFonts w:cstheme="minorHAnsi"/>
                <w:sz w:val="18"/>
                <w:szCs w:val="18"/>
              </w:rPr>
              <w:t>Shiftwork</w:t>
            </w:r>
            <w:r w:rsidRPr="00C73735">
              <w:rPr>
                <w:rStyle w:val="FootnoteReference"/>
                <w:rFonts w:cstheme="minorHAnsi"/>
                <w:sz w:val="18"/>
                <w:szCs w:val="18"/>
              </w:rPr>
              <w:footnoteReference w:id="4"/>
            </w:r>
          </w:p>
        </w:tc>
        <w:tc>
          <w:tcPr>
            <w:tcW w:w="4130" w:type="dxa"/>
          </w:tcPr>
          <w:p w14:paraId="264CA135" w14:textId="77777777" w:rsidR="00D11278" w:rsidRPr="00C73735" w:rsidRDefault="00D11278" w:rsidP="00D11278">
            <w:pPr>
              <w:jc w:val="both"/>
              <w:rPr>
                <w:rFonts w:cstheme="minorHAnsi"/>
                <w:sz w:val="18"/>
                <w:szCs w:val="18"/>
              </w:rPr>
            </w:pPr>
            <w:r w:rsidRPr="00C73735">
              <w:rPr>
                <w:rFonts w:cstheme="minorHAnsi"/>
                <w:sz w:val="18"/>
                <w:szCs w:val="18"/>
              </w:rPr>
              <w:t>Nurse, miner, passenger transport</w:t>
            </w:r>
          </w:p>
        </w:tc>
        <w:tc>
          <w:tcPr>
            <w:tcW w:w="1548" w:type="dxa"/>
          </w:tcPr>
          <w:p w14:paraId="64D1271F" w14:textId="77777777" w:rsidR="00D11278" w:rsidRPr="00C73735" w:rsidRDefault="00D11278" w:rsidP="00D11278">
            <w:pPr>
              <w:jc w:val="right"/>
              <w:rPr>
                <w:rFonts w:cstheme="minorHAnsi"/>
                <w:sz w:val="18"/>
                <w:szCs w:val="18"/>
              </w:rPr>
            </w:pPr>
            <w:r w:rsidRPr="00C73735">
              <w:rPr>
                <w:rFonts w:cstheme="minorHAnsi"/>
                <w:sz w:val="18"/>
                <w:szCs w:val="18"/>
              </w:rPr>
              <w:t>203 (7.3)</w:t>
            </w:r>
          </w:p>
        </w:tc>
        <w:tc>
          <w:tcPr>
            <w:tcW w:w="2635" w:type="dxa"/>
          </w:tcPr>
          <w:p w14:paraId="46D6CB4B" w14:textId="77777777" w:rsidR="00D11278" w:rsidRPr="00C73735" w:rsidRDefault="00D11278" w:rsidP="00D11278">
            <w:pPr>
              <w:jc w:val="right"/>
              <w:rPr>
                <w:rFonts w:cstheme="minorHAnsi"/>
                <w:sz w:val="18"/>
                <w:szCs w:val="18"/>
              </w:rPr>
            </w:pPr>
            <w:r w:rsidRPr="00C73735">
              <w:rPr>
                <w:rFonts w:cstheme="minorHAnsi"/>
                <w:sz w:val="18"/>
                <w:szCs w:val="18"/>
              </w:rPr>
              <w:t>396 120 (8.4)</w:t>
            </w:r>
          </w:p>
        </w:tc>
        <w:tc>
          <w:tcPr>
            <w:tcW w:w="2771" w:type="dxa"/>
          </w:tcPr>
          <w:p w14:paraId="3941DFD4" w14:textId="77777777" w:rsidR="00D11278" w:rsidRPr="00C73735" w:rsidRDefault="00D11278" w:rsidP="00D11278">
            <w:pPr>
              <w:jc w:val="right"/>
              <w:rPr>
                <w:rFonts w:cstheme="minorHAnsi"/>
                <w:sz w:val="18"/>
                <w:szCs w:val="18"/>
              </w:rPr>
            </w:pPr>
            <w:r w:rsidRPr="00C73735">
              <w:rPr>
                <w:rFonts w:cstheme="minorHAnsi"/>
                <w:sz w:val="18"/>
                <w:szCs w:val="18"/>
              </w:rPr>
              <w:t xml:space="preserve">7.4 to 9.5 </w:t>
            </w:r>
          </w:p>
        </w:tc>
      </w:tr>
      <w:tr w:rsidR="00D11278" w:rsidRPr="00C73735" w14:paraId="0C5D5738" w14:textId="77777777" w:rsidTr="00D11278">
        <w:trPr>
          <w:cantSplit/>
          <w:trHeight w:val="207"/>
        </w:trPr>
        <w:tc>
          <w:tcPr>
            <w:tcW w:w="2770" w:type="dxa"/>
          </w:tcPr>
          <w:p w14:paraId="0DBFA7F0" w14:textId="77777777" w:rsidR="00D11278" w:rsidRPr="00C73735" w:rsidRDefault="00D11278" w:rsidP="00D11278">
            <w:pPr>
              <w:jc w:val="both"/>
              <w:rPr>
                <w:rFonts w:cstheme="minorHAnsi"/>
                <w:sz w:val="18"/>
                <w:szCs w:val="18"/>
              </w:rPr>
            </w:pPr>
            <w:r w:rsidRPr="00C73735">
              <w:rPr>
                <w:rFonts w:cstheme="minorHAnsi"/>
                <w:sz w:val="18"/>
                <w:szCs w:val="18"/>
              </w:rPr>
              <w:t xml:space="preserve">Chromium VI </w:t>
            </w:r>
          </w:p>
        </w:tc>
        <w:tc>
          <w:tcPr>
            <w:tcW w:w="4130" w:type="dxa"/>
          </w:tcPr>
          <w:p w14:paraId="0C9A5465" w14:textId="77777777" w:rsidR="00D11278" w:rsidRPr="00C73735" w:rsidRDefault="00D11278" w:rsidP="00D11278">
            <w:pPr>
              <w:jc w:val="both"/>
              <w:rPr>
                <w:rFonts w:cstheme="minorHAnsi"/>
                <w:sz w:val="18"/>
                <w:szCs w:val="18"/>
              </w:rPr>
            </w:pPr>
            <w:r w:rsidRPr="00C73735">
              <w:rPr>
                <w:rFonts w:cstheme="minorHAnsi"/>
                <w:sz w:val="18"/>
                <w:szCs w:val="18"/>
              </w:rPr>
              <w:t>Painter, metal worker, carpenter</w:t>
            </w:r>
          </w:p>
        </w:tc>
        <w:tc>
          <w:tcPr>
            <w:tcW w:w="1548" w:type="dxa"/>
          </w:tcPr>
          <w:p w14:paraId="17A44EA2" w14:textId="77777777" w:rsidR="00D11278" w:rsidRPr="00C73735" w:rsidRDefault="00D11278" w:rsidP="00D11278">
            <w:pPr>
              <w:jc w:val="right"/>
              <w:rPr>
                <w:rFonts w:cstheme="minorHAnsi"/>
                <w:sz w:val="18"/>
                <w:szCs w:val="18"/>
              </w:rPr>
            </w:pPr>
            <w:r w:rsidRPr="00C73735">
              <w:rPr>
                <w:rFonts w:cstheme="minorHAnsi"/>
                <w:sz w:val="18"/>
                <w:szCs w:val="18"/>
              </w:rPr>
              <w:t>168 (6.1)</w:t>
            </w:r>
          </w:p>
        </w:tc>
        <w:tc>
          <w:tcPr>
            <w:tcW w:w="2635" w:type="dxa"/>
          </w:tcPr>
          <w:p w14:paraId="15694936" w14:textId="77777777" w:rsidR="00D11278" w:rsidRPr="00C73735" w:rsidRDefault="00D11278" w:rsidP="00D11278">
            <w:pPr>
              <w:jc w:val="right"/>
              <w:rPr>
                <w:rFonts w:cstheme="minorHAnsi"/>
                <w:sz w:val="18"/>
                <w:szCs w:val="18"/>
              </w:rPr>
            </w:pPr>
            <w:r w:rsidRPr="00C73735">
              <w:rPr>
                <w:rFonts w:cstheme="minorHAnsi"/>
                <w:sz w:val="18"/>
                <w:szCs w:val="18"/>
              </w:rPr>
              <w:t>291 930 (6.2)</w:t>
            </w:r>
          </w:p>
        </w:tc>
        <w:tc>
          <w:tcPr>
            <w:tcW w:w="2771" w:type="dxa"/>
          </w:tcPr>
          <w:p w14:paraId="032A647A" w14:textId="77777777" w:rsidR="00D11278" w:rsidRPr="00C73735" w:rsidRDefault="00D11278" w:rsidP="00D11278">
            <w:pPr>
              <w:jc w:val="right"/>
              <w:rPr>
                <w:rFonts w:cstheme="minorHAnsi"/>
                <w:sz w:val="18"/>
                <w:szCs w:val="18"/>
              </w:rPr>
            </w:pPr>
            <w:r w:rsidRPr="00C73735">
              <w:rPr>
                <w:rFonts w:cstheme="minorHAnsi"/>
                <w:sz w:val="18"/>
                <w:szCs w:val="18"/>
              </w:rPr>
              <w:t>5.3 to 7.1</w:t>
            </w:r>
          </w:p>
        </w:tc>
      </w:tr>
      <w:tr w:rsidR="00D11278" w:rsidRPr="00C73735" w14:paraId="73E5BFF1" w14:textId="77777777" w:rsidTr="00D11278">
        <w:trPr>
          <w:cantSplit/>
          <w:trHeight w:val="207"/>
        </w:trPr>
        <w:tc>
          <w:tcPr>
            <w:tcW w:w="2770" w:type="dxa"/>
          </w:tcPr>
          <w:p w14:paraId="73E7A9FA" w14:textId="77777777" w:rsidR="00D11278" w:rsidRPr="00C73735" w:rsidRDefault="00D11278" w:rsidP="00D11278">
            <w:pPr>
              <w:jc w:val="both"/>
              <w:rPr>
                <w:rFonts w:cstheme="minorHAnsi"/>
                <w:sz w:val="18"/>
                <w:szCs w:val="18"/>
              </w:rPr>
            </w:pPr>
            <w:r w:rsidRPr="00C73735">
              <w:rPr>
                <w:rFonts w:cstheme="minorHAnsi"/>
                <w:sz w:val="18"/>
                <w:szCs w:val="18"/>
              </w:rPr>
              <w:t xml:space="preserve">Asbestos </w:t>
            </w:r>
          </w:p>
        </w:tc>
        <w:tc>
          <w:tcPr>
            <w:tcW w:w="4130" w:type="dxa"/>
          </w:tcPr>
          <w:p w14:paraId="1970DA38" w14:textId="77777777" w:rsidR="00D11278" w:rsidRPr="00C73735" w:rsidRDefault="00D11278" w:rsidP="00D11278">
            <w:pPr>
              <w:jc w:val="both"/>
              <w:rPr>
                <w:rFonts w:cstheme="minorHAnsi"/>
                <w:sz w:val="18"/>
                <w:szCs w:val="18"/>
              </w:rPr>
            </w:pPr>
            <w:r w:rsidRPr="00C73735">
              <w:rPr>
                <w:rFonts w:cstheme="minorHAnsi"/>
                <w:sz w:val="18"/>
                <w:szCs w:val="18"/>
              </w:rPr>
              <w:t xml:space="preserve">Vehicle worker, emergency worker, miner </w:t>
            </w:r>
          </w:p>
        </w:tc>
        <w:tc>
          <w:tcPr>
            <w:tcW w:w="1548" w:type="dxa"/>
          </w:tcPr>
          <w:p w14:paraId="19704B05" w14:textId="77777777" w:rsidR="00D11278" w:rsidRPr="00C73735" w:rsidRDefault="00D11278" w:rsidP="00D11278">
            <w:pPr>
              <w:jc w:val="right"/>
              <w:rPr>
                <w:rFonts w:cstheme="minorHAnsi"/>
                <w:sz w:val="18"/>
                <w:szCs w:val="18"/>
              </w:rPr>
            </w:pPr>
            <w:r w:rsidRPr="00C73735">
              <w:rPr>
                <w:rFonts w:cstheme="minorHAnsi"/>
                <w:sz w:val="18"/>
                <w:szCs w:val="18"/>
              </w:rPr>
              <w:t>138 (5.0)</w:t>
            </w:r>
          </w:p>
        </w:tc>
        <w:tc>
          <w:tcPr>
            <w:tcW w:w="2635" w:type="dxa"/>
          </w:tcPr>
          <w:p w14:paraId="03FACCE5" w14:textId="77777777" w:rsidR="00D11278" w:rsidRPr="00C73735" w:rsidRDefault="00D11278" w:rsidP="00D11278">
            <w:pPr>
              <w:jc w:val="right"/>
              <w:rPr>
                <w:rFonts w:cstheme="minorHAnsi"/>
                <w:sz w:val="18"/>
                <w:szCs w:val="18"/>
              </w:rPr>
            </w:pPr>
            <w:r w:rsidRPr="00C73735">
              <w:rPr>
                <w:rFonts w:cstheme="minorHAnsi"/>
                <w:sz w:val="18"/>
                <w:szCs w:val="18"/>
              </w:rPr>
              <w:t>251 960 (5.4)</w:t>
            </w:r>
          </w:p>
        </w:tc>
        <w:tc>
          <w:tcPr>
            <w:tcW w:w="2771" w:type="dxa"/>
          </w:tcPr>
          <w:p w14:paraId="47932B02" w14:textId="77777777" w:rsidR="00D11278" w:rsidRPr="00C73735" w:rsidRDefault="00D11278" w:rsidP="00D11278">
            <w:pPr>
              <w:jc w:val="right"/>
              <w:rPr>
                <w:rFonts w:cstheme="minorHAnsi"/>
                <w:sz w:val="18"/>
                <w:szCs w:val="18"/>
              </w:rPr>
            </w:pPr>
            <w:r w:rsidRPr="00C73735">
              <w:rPr>
                <w:rFonts w:cstheme="minorHAnsi"/>
                <w:sz w:val="18"/>
                <w:szCs w:val="18"/>
              </w:rPr>
              <w:t>4.6 to 6.3</w:t>
            </w:r>
          </w:p>
        </w:tc>
      </w:tr>
      <w:tr w:rsidR="00D11278" w:rsidRPr="00C73735" w14:paraId="55AAAF30" w14:textId="77777777" w:rsidTr="00D11278">
        <w:trPr>
          <w:cantSplit/>
          <w:trHeight w:val="220"/>
        </w:trPr>
        <w:tc>
          <w:tcPr>
            <w:tcW w:w="2770" w:type="dxa"/>
          </w:tcPr>
          <w:p w14:paraId="5001870C" w14:textId="77777777" w:rsidR="00D11278" w:rsidRPr="00C73735" w:rsidRDefault="00D11278" w:rsidP="00D11278">
            <w:pPr>
              <w:jc w:val="both"/>
              <w:rPr>
                <w:rFonts w:cstheme="minorHAnsi"/>
                <w:sz w:val="18"/>
                <w:szCs w:val="18"/>
              </w:rPr>
            </w:pPr>
            <w:r w:rsidRPr="00C73735">
              <w:rPr>
                <w:rFonts w:cstheme="minorHAnsi"/>
                <w:sz w:val="18"/>
                <w:szCs w:val="18"/>
              </w:rPr>
              <w:t xml:space="preserve">Formaldehyde </w:t>
            </w:r>
          </w:p>
        </w:tc>
        <w:tc>
          <w:tcPr>
            <w:tcW w:w="4130" w:type="dxa"/>
          </w:tcPr>
          <w:p w14:paraId="65A6B2FF" w14:textId="77777777" w:rsidR="00D11278" w:rsidRPr="00C73735" w:rsidRDefault="00D11278" w:rsidP="00D11278">
            <w:pPr>
              <w:jc w:val="both"/>
              <w:rPr>
                <w:rFonts w:cstheme="minorHAnsi"/>
                <w:sz w:val="18"/>
                <w:szCs w:val="18"/>
              </w:rPr>
            </w:pPr>
            <w:r w:rsidRPr="00C73735">
              <w:rPr>
                <w:rFonts w:cstheme="minorHAnsi"/>
                <w:sz w:val="18"/>
                <w:szCs w:val="18"/>
              </w:rPr>
              <w:t>Carpenter, painter, emergency worker</w:t>
            </w:r>
          </w:p>
        </w:tc>
        <w:tc>
          <w:tcPr>
            <w:tcW w:w="1548" w:type="dxa"/>
          </w:tcPr>
          <w:p w14:paraId="472DC018" w14:textId="77777777" w:rsidR="00D11278" w:rsidRPr="00C73735" w:rsidRDefault="00D11278" w:rsidP="00D11278">
            <w:pPr>
              <w:jc w:val="right"/>
              <w:rPr>
                <w:rFonts w:cstheme="minorHAnsi"/>
                <w:sz w:val="18"/>
                <w:szCs w:val="18"/>
              </w:rPr>
            </w:pPr>
            <w:r w:rsidRPr="00C73735">
              <w:rPr>
                <w:rFonts w:cstheme="minorHAnsi"/>
                <w:sz w:val="18"/>
                <w:szCs w:val="18"/>
              </w:rPr>
              <w:t>118 (4.3)</w:t>
            </w:r>
          </w:p>
        </w:tc>
        <w:tc>
          <w:tcPr>
            <w:tcW w:w="2635" w:type="dxa"/>
          </w:tcPr>
          <w:p w14:paraId="412F424B" w14:textId="77777777" w:rsidR="00D11278" w:rsidRPr="00C73735" w:rsidRDefault="00D11278" w:rsidP="00D11278">
            <w:pPr>
              <w:jc w:val="right"/>
              <w:rPr>
                <w:rFonts w:cstheme="minorHAnsi"/>
                <w:sz w:val="18"/>
                <w:szCs w:val="18"/>
              </w:rPr>
            </w:pPr>
            <w:r w:rsidRPr="00C73735">
              <w:rPr>
                <w:rFonts w:cstheme="minorHAnsi"/>
                <w:sz w:val="18"/>
                <w:szCs w:val="18"/>
              </w:rPr>
              <w:t>200 150 (4.3)</w:t>
            </w:r>
          </w:p>
        </w:tc>
        <w:tc>
          <w:tcPr>
            <w:tcW w:w="2771" w:type="dxa"/>
          </w:tcPr>
          <w:p w14:paraId="4D0F0E76" w14:textId="77777777" w:rsidR="00D11278" w:rsidRPr="00C73735" w:rsidRDefault="00D11278" w:rsidP="00D11278">
            <w:pPr>
              <w:jc w:val="right"/>
              <w:rPr>
                <w:rFonts w:cstheme="minorHAnsi"/>
                <w:sz w:val="18"/>
                <w:szCs w:val="18"/>
              </w:rPr>
            </w:pPr>
            <w:r w:rsidRPr="00C73735">
              <w:rPr>
                <w:rFonts w:cstheme="minorHAnsi"/>
                <w:sz w:val="18"/>
                <w:szCs w:val="18"/>
              </w:rPr>
              <w:t>3.6 to 5.1</w:t>
            </w:r>
          </w:p>
        </w:tc>
      </w:tr>
      <w:tr w:rsidR="00D11278" w:rsidRPr="00C73735" w14:paraId="205099C6" w14:textId="77777777" w:rsidTr="00D11278">
        <w:trPr>
          <w:cantSplit/>
          <w:trHeight w:val="207"/>
        </w:trPr>
        <w:tc>
          <w:tcPr>
            <w:tcW w:w="2770" w:type="dxa"/>
          </w:tcPr>
          <w:p w14:paraId="100FBAFA" w14:textId="77777777" w:rsidR="00D11278" w:rsidRPr="00C73735" w:rsidRDefault="00D11278" w:rsidP="00D11278">
            <w:pPr>
              <w:jc w:val="both"/>
              <w:rPr>
                <w:rFonts w:cstheme="minorHAnsi"/>
                <w:sz w:val="18"/>
                <w:szCs w:val="18"/>
              </w:rPr>
            </w:pPr>
            <w:r w:rsidRPr="00C73735">
              <w:rPr>
                <w:rFonts w:cstheme="minorHAnsi"/>
                <w:sz w:val="18"/>
                <w:szCs w:val="18"/>
              </w:rPr>
              <w:t>Nickel</w:t>
            </w:r>
          </w:p>
        </w:tc>
        <w:tc>
          <w:tcPr>
            <w:tcW w:w="4130" w:type="dxa"/>
          </w:tcPr>
          <w:p w14:paraId="4684C9EF" w14:textId="77777777" w:rsidR="00D11278" w:rsidRPr="00C73735" w:rsidRDefault="00D11278" w:rsidP="00D11278">
            <w:pPr>
              <w:jc w:val="both"/>
              <w:rPr>
                <w:rFonts w:cstheme="minorHAnsi"/>
                <w:sz w:val="18"/>
                <w:szCs w:val="18"/>
              </w:rPr>
            </w:pPr>
            <w:r w:rsidRPr="00C73735">
              <w:rPr>
                <w:rFonts w:cstheme="minorHAnsi"/>
                <w:sz w:val="18"/>
                <w:szCs w:val="18"/>
              </w:rPr>
              <w:t>Metal worker, plumber, vehicle worker</w:t>
            </w:r>
          </w:p>
        </w:tc>
        <w:tc>
          <w:tcPr>
            <w:tcW w:w="1548" w:type="dxa"/>
          </w:tcPr>
          <w:p w14:paraId="6F43A9BE" w14:textId="77777777" w:rsidR="00D11278" w:rsidRPr="00C73735" w:rsidRDefault="00D11278" w:rsidP="00D11278">
            <w:pPr>
              <w:jc w:val="right"/>
              <w:rPr>
                <w:rFonts w:cstheme="minorHAnsi"/>
                <w:sz w:val="18"/>
                <w:szCs w:val="18"/>
              </w:rPr>
            </w:pPr>
            <w:r w:rsidRPr="00C73735">
              <w:rPr>
                <w:rFonts w:cstheme="minorHAnsi"/>
                <w:sz w:val="18"/>
                <w:szCs w:val="18"/>
              </w:rPr>
              <w:t xml:space="preserve">  98 (3.5)</w:t>
            </w:r>
          </w:p>
        </w:tc>
        <w:tc>
          <w:tcPr>
            <w:tcW w:w="2635" w:type="dxa"/>
          </w:tcPr>
          <w:p w14:paraId="11D3C8A6" w14:textId="77777777" w:rsidR="00D11278" w:rsidRPr="00C73735" w:rsidRDefault="00D11278" w:rsidP="00D11278">
            <w:pPr>
              <w:jc w:val="right"/>
              <w:rPr>
                <w:rFonts w:cstheme="minorHAnsi"/>
                <w:sz w:val="18"/>
                <w:szCs w:val="18"/>
              </w:rPr>
            </w:pPr>
            <w:r w:rsidRPr="00C73735">
              <w:rPr>
                <w:rFonts w:cstheme="minorHAnsi"/>
                <w:sz w:val="18"/>
                <w:szCs w:val="18"/>
              </w:rPr>
              <w:t>170 840 (3.6)</w:t>
            </w:r>
          </w:p>
        </w:tc>
        <w:tc>
          <w:tcPr>
            <w:tcW w:w="2771" w:type="dxa"/>
          </w:tcPr>
          <w:p w14:paraId="04C54E11" w14:textId="77777777" w:rsidR="00D11278" w:rsidRPr="00C73735" w:rsidRDefault="00D11278" w:rsidP="00D11278">
            <w:pPr>
              <w:jc w:val="right"/>
              <w:rPr>
                <w:rFonts w:cstheme="minorHAnsi"/>
                <w:sz w:val="18"/>
                <w:szCs w:val="18"/>
              </w:rPr>
            </w:pPr>
            <w:r w:rsidRPr="00C73735">
              <w:rPr>
                <w:rFonts w:cstheme="minorHAnsi"/>
                <w:sz w:val="18"/>
                <w:szCs w:val="18"/>
              </w:rPr>
              <w:t>3.0 to 4.4</w:t>
            </w:r>
          </w:p>
        </w:tc>
      </w:tr>
      <w:tr w:rsidR="00D11278" w:rsidRPr="00C73735" w14:paraId="12819E0D" w14:textId="77777777" w:rsidTr="00D11278">
        <w:trPr>
          <w:cantSplit/>
          <w:trHeight w:val="207"/>
        </w:trPr>
        <w:tc>
          <w:tcPr>
            <w:tcW w:w="2770" w:type="dxa"/>
          </w:tcPr>
          <w:p w14:paraId="4F28123A" w14:textId="77777777" w:rsidR="00D11278" w:rsidRPr="00C73735" w:rsidRDefault="00D11278" w:rsidP="00D11278">
            <w:pPr>
              <w:jc w:val="both"/>
              <w:rPr>
                <w:rFonts w:cstheme="minorHAnsi"/>
                <w:sz w:val="18"/>
                <w:szCs w:val="18"/>
              </w:rPr>
            </w:pPr>
            <w:r w:rsidRPr="00C73735">
              <w:rPr>
                <w:rFonts w:cstheme="minorHAnsi"/>
                <w:sz w:val="18"/>
                <w:szCs w:val="18"/>
              </w:rPr>
              <w:t>Ionising radiation</w:t>
            </w:r>
          </w:p>
        </w:tc>
        <w:tc>
          <w:tcPr>
            <w:tcW w:w="4130" w:type="dxa"/>
          </w:tcPr>
          <w:p w14:paraId="4F5017FB" w14:textId="77777777" w:rsidR="00D11278" w:rsidRPr="00C73735" w:rsidRDefault="00D11278" w:rsidP="00D11278">
            <w:pPr>
              <w:jc w:val="both"/>
              <w:rPr>
                <w:rFonts w:cstheme="minorHAnsi"/>
                <w:sz w:val="18"/>
                <w:szCs w:val="18"/>
              </w:rPr>
            </w:pPr>
            <w:r w:rsidRPr="00C73735">
              <w:rPr>
                <w:rFonts w:cstheme="minorHAnsi"/>
                <w:sz w:val="18"/>
                <w:szCs w:val="18"/>
              </w:rPr>
              <w:t xml:space="preserve">Health professional, miner, scientist </w:t>
            </w:r>
          </w:p>
        </w:tc>
        <w:tc>
          <w:tcPr>
            <w:tcW w:w="1548" w:type="dxa"/>
          </w:tcPr>
          <w:p w14:paraId="4EB4DB03" w14:textId="77777777" w:rsidR="00D11278" w:rsidRPr="00C73735" w:rsidRDefault="00D11278" w:rsidP="00D11278">
            <w:pPr>
              <w:jc w:val="right"/>
              <w:rPr>
                <w:rFonts w:cstheme="minorHAnsi"/>
                <w:sz w:val="18"/>
                <w:szCs w:val="18"/>
              </w:rPr>
            </w:pPr>
            <w:r w:rsidRPr="00C73735">
              <w:rPr>
                <w:rFonts w:cstheme="minorHAnsi"/>
                <w:sz w:val="18"/>
                <w:szCs w:val="18"/>
              </w:rPr>
              <w:t xml:space="preserve">  74 (2.7)</w:t>
            </w:r>
          </w:p>
        </w:tc>
        <w:tc>
          <w:tcPr>
            <w:tcW w:w="2635" w:type="dxa"/>
          </w:tcPr>
          <w:p w14:paraId="0B42F256" w14:textId="77777777" w:rsidR="00D11278" w:rsidRPr="00C73735" w:rsidRDefault="00D11278" w:rsidP="00D11278">
            <w:pPr>
              <w:jc w:val="right"/>
              <w:rPr>
                <w:rFonts w:cstheme="minorHAnsi"/>
                <w:sz w:val="18"/>
                <w:szCs w:val="18"/>
              </w:rPr>
            </w:pPr>
            <w:r w:rsidRPr="00C73735">
              <w:rPr>
                <w:rFonts w:cstheme="minorHAnsi"/>
                <w:sz w:val="18"/>
                <w:szCs w:val="18"/>
              </w:rPr>
              <w:t>127 800 (2.7)</w:t>
            </w:r>
          </w:p>
        </w:tc>
        <w:tc>
          <w:tcPr>
            <w:tcW w:w="2771" w:type="dxa"/>
          </w:tcPr>
          <w:p w14:paraId="22578477" w14:textId="77777777" w:rsidR="00D11278" w:rsidRPr="00C73735" w:rsidRDefault="00D11278" w:rsidP="00D11278">
            <w:pPr>
              <w:jc w:val="right"/>
              <w:rPr>
                <w:rFonts w:cstheme="minorHAnsi"/>
                <w:sz w:val="18"/>
                <w:szCs w:val="18"/>
              </w:rPr>
            </w:pPr>
            <w:r w:rsidRPr="00C73735">
              <w:rPr>
                <w:rFonts w:cstheme="minorHAnsi"/>
                <w:sz w:val="18"/>
                <w:szCs w:val="18"/>
              </w:rPr>
              <w:t>2.2 to 3.4</w:t>
            </w:r>
          </w:p>
        </w:tc>
      </w:tr>
      <w:tr w:rsidR="00D11278" w:rsidRPr="00C73735" w14:paraId="28E64AA8" w14:textId="77777777" w:rsidTr="00D11278">
        <w:trPr>
          <w:cantSplit/>
          <w:trHeight w:val="220"/>
        </w:trPr>
        <w:tc>
          <w:tcPr>
            <w:tcW w:w="2770" w:type="dxa"/>
          </w:tcPr>
          <w:p w14:paraId="119923E1" w14:textId="77777777" w:rsidR="00D11278" w:rsidRPr="00C73735" w:rsidRDefault="00D11278" w:rsidP="00D11278">
            <w:pPr>
              <w:jc w:val="both"/>
              <w:rPr>
                <w:rFonts w:cstheme="minorHAnsi"/>
                <w:sz w:val="18"/>
                <w:szCs w:val="18"/>
              </w:rPr>
            </w:pPr>
            <w:r w:rsidRPr="00C73735">
              <w:rPr>
                <w:rFonts w:cstheme="minorHAnsi"/>
                <w:sz w:val="18"/>
                <w:szCs w:val="18"/>
              </w:rPr>
              <w:t>Trichloroethylene</w:t>
            </w:r>
          </w:p>
        </w:tc>
        <w:tc>
          <w:tcPr>
            <w:tcW w:w="4130" w:type="dxa"/>
          </w:tcPr>
          <w:p w14:paraId="3B022955" w14:textId="77777777" w:rsidR="00D11278" w:rsidRPr="00C73735" w:rsidRDefault="00D11278" w:rsidP="00D11278">
            <w:pPr>
              <w:jc w:val="both"/>
              <w:rPr>
                <w:rFonts w:cstheme="minorHAnsi"/>
                <w:sz w:val="18"/>
                <w:szCs w:val="18"/>
              </w:rPr>
            </w:pPr>
            <w:r w:rsidRPr="00C73735">
              <w:rPr>
                <w:rFonts w:cstheme="minorHAnsi"/>
                <w:sz w:val="18"/>
                <w:szCs w:val="18"/>
              </w:rPr>
              <w:t xml:space="preserve">Farmer, metal worker, plumber </w:t>
            </w:r>
          </w:p>
        </w:tc>
        <w:tc>
          <w:tcPr>
            <w:tcW w:w="1548" w:type="dxa"/>
          </w:tcPr>
          <w:p w14:paraId="5CF87D5D" w14:textId="77777777" w:rsidR="00D11278" w:rsidRPr="00C73735" w:rsidRDefault="00D11278" w:rsidP="00D11278">
            <w:pPr>
              <w:jc w:val="right"/>
              <w:rPr>
                <w:rFonts w:cstheme="minorHAnsi"/>
                <w:sz w:val="18"/>
                <w:szCs w:val="18"/>
              </w:rPr>
            </w:pPr>
            <w:r w:rsidRPr="00C73735">
              <w:rPr>
                <w:rFonts w:cstheme="minorHAnsi"/>
                <w:sz w:val="18"/>
                <w:szCs w:val="18"/>
              </w:rPr>
              <w:t xml:space="preserve">  44 (1.6)</w:t>
            </w:r>
          </w:p>
        </w:tc>
        <w:tc>
          <w:tcPr>
            <w:tcW w:w="2635" w:type="dxa"/>
          </w:tcPr>
          <w:p w14:paraId="43EE50AC" w14:textId="77777777" w:rsidR="00D11278" w:rsidRPr="00C73735" w:rsidRDefault="00D11278" w:rsidP="00D11278">
            <w:pPr>
              <w:jc w:val="right"/>
              <w:rPr>
                <w:rFonts w:cstheme="minorHAnsi"/>
                <w:sz w:val="18"/>
                <w:szCs w:val="18"/>
              </w:rPr>
            </w:pPr>
            <w:r w:rsidRPr="00C73735">
              <w:rPr>
                <w:rFonts w:cstheme="minorHAnsi"/>
                <w:sz w:val="18"/>
                <w:szCs w:val="18"/>
              </w:rPr>
              <w:t>73 570 (1.6)</w:t>
            </w:r>
          </w:p>
        </w:tc>
        <w:tc>
          <w:tcPr>
            <w:tcW w:w="2771" w:type="dxa"/>
          </w:tcPr>
          <w:p w14:paraId="2899A1F0" w14:textId="77777777" w:rsidR="00D11278" w:rsidRPr="00C73735" w:rsidRDefault="00D11278" w:rsidP="00D11278">
            <w:pPr>
              <w:jc w:val="right"/>
              <w:rPr>
                <w:rFonts w:cstheme="minorHAnsi"/>
                <w:sz w:val="18"/>
                <w:szCs w:val="18"/>
              </w:rPr>
            </w:pPr>
            <w:r w:rsidRPr="00C73735">
              <w:rPr>
                <w:rFonts w:cstheme="minorHAnsi"/>
                <w:sz w:val="18"/>
                <w:szCs w:val="18"/>
              </w:rPr>
              <w:t>1.2 to 2.1</w:t>
            </w:r>
          </w:p>
        </w:tc>
      </w:tr>
      <w:tr w:rsidR="00D11278" w:rsidRPr="00C73735" w14:paraId="32F9FA05" w14:textId="77777777" w:rsidTr="00D11278">
        <w:trPr>
          <w:cantSplit/>
          <w:trHeight w:val="207"/>
        </w:trPr>
        <w:tc>
          <w:tcPr>
            <w:tcW w:w="2770" w:type="dxa"/>
          </w:tcPr>
          <w:p w14:paraId="25CADA09" w14:textId="77777777" w:rsidR="00D11278" w:rsidRPr="00C73735" w:rsidRDefault="00D11278" w:rsidP="00D11278">
            <w:pPr>
              <w:jc w:val="both"/>
              <w:rPr>
                <w:rFonts w:cstheme="minorHAnsi"/>
                <w:sz w:val="18"/>
                <w:szCs w:val="18"/>
              </w:rPr>
            </w:pPr>
            <w:r w:rsidRPr="00C73735">
              <w:rPr>
                <w:rFonts w:cstheme="minorHAnsi"/>
                <w:sz w:val="18"/>
                <w:szCs w:val="18"/>
              </w:rPr>
              <w:t>Arsenic</w:t>
            </w:r>
          </w:p>
        </w:tc>
        <w:tc>
          <w:tcPr>
            <w:tcW w:w="4130" w:type="dxa"/>
          </w:tcPr>
          <w:p w14:paraId="721B5E4A" w14:textId="77777777" w:rsidR="00D11278" w:rsidRPr="00C73735" w:rsidRDefault="00D11278" w:rsidP="00D11278">
            <w:pPr>
              <w:jc w:val="both"/>
              <w:rPr>
                <w:rFonts w:cstheme="minorHAnsi"/>
                <w:sz w:val="18"/>
                <w:szCs w:val="18"/>
              </w:rPr>
            </w:pPr>
            <w:r w:rsidRPr="00C73735">
              <w:rPr>
                <w:rFonts w:cstheme="minorHAnsi"/>
                <w:sz w:val="18"/>
                <w:szCs w:val="18"/>
              </w:rPr>
              <w:t>Carpenter, office worker, heavy vehicle driver</w:t>
            </w:r>
          </w:p>
        </w:tc>
        <w:tc>
          <w:tcPr>
            <w:tcW w:w="1548" w:type="dxa"/>
          </w:tcPr>
          <w:p w14:paraId="1EFD209D" w14:textId="77777777" w:rsidR="00D11278" w:rsidRPr="00C73735" w:rsidRDefault="00D11278" w:rsidP="00D11278">
            <w:pPr>
              <w:jc w:val="right"/>
              <w:rPr>
                <w:rFonts w:cstheme="minorHAnsi"/>
                <w:sz w:val="18"/>
                <w:szCs w:val="18"/>
              </w:rPr>
            </w:pPr>
            <w:r w:rsidRPr="00C73735">
              <w:rPr>
                <w:rFonts w:cstheme="minorHAnsi"/>
                <w:sz w:val="18"/>
                <w:szCs w:val="18"/>
              </w:rPr>
              <w:t xml:space="preserve">  33 (1.2)</w:t>
            </w:r>
          </w:p>
        </w:tc>
        <w:tc>
          <w:tcPr>
            <w:tcW w:w="2635" w:type="dxa"/>
          </w:tcPr>
          <w:p w14:paraId="6FD8F7E1" w14:textId="77777777" w:rsidR="00D11278" w:rsidRPr="00C73735" w:rsidRDefault="00D11278" w:rsidP="00D11278">
            <w:pPr>
              <w:jc w:val="right"/>
              <w:rPr>
                <w:rFonts w:cstheme="minorHAnsi"/>
                <w:sz w:val="18"/>
                <w:szCs w:val="18"/>
              </w:rPr>
            </w:pPr>
            <w:r w:rsidRPr="00C73735">
              <w:rPr>
                <w:rFonts w:cstheme="minorHAnsi"/>
                <w:sz w:val="18"/>
                <w:szCs w:val="18"/>
              </w:rPr>
              <w:t>49 750 (1.1)</w:t>
            </w:r>
          </w:p>
        </w:tc>
        <w:tc>
          <w:tcPr>
            <w:tcW w:w="2771" w:type="dxa"/>
          </w:tcPr>
          <w:p w14:paraId="71AA7290" w14:textId="77777777" w:rsidR="00D11278" w:rsidRPr="00C73735" w:rsidRDefault="00D11278" w:rsidP="00D11278">
            <w:pPr>
              <w:jc w:val="right"/>
              <w:rPr>
                <w:rFonts w:cstheme="minorHAnsi"/>
                <w:sz w:val="18"/>
                <w:szCs w:val="18"/>
              </w:rPr>
            </w:pPr>
            <w:r w:rsidRPr="00C73735">
              <w:rPr>
                <w:rFonts w:cstheme="minorHAnsi"/>
                <w:sz w:val="18"/>
                <w:szCs w:val="18"/>
              </w:rPr>
              <w:t>0.8 to 1.5</w:t>
            </w:r>
          </w:p>
        </w:tc>
      </w:tr>
      <w:tr w:rsidR="00D11278" w:rsidRPr="00C73735" w14:paraId="1F255CC7" w14:textId="77777777" w:rsidTr="00D11278">
        <w:trPr>
          <w:cantSplit/>
          <w:trHeight w:val="207"/>
        </w:trPr>
        <w:tc>
          <w:tcPr>
            <w:tcW w:w="2770" w:type="dxa"/>
          </w:tcPr>
          <w:p w14:paraId="3AF96776" w14:textId="77777777" w:rsidR="00D11278" w:rsidRPr="00C73735" w:rsidRDefault="00D11278" w:rsidP="00D11278">
            <w:pPr>
              <w:jc w:val="both"/>
              <w:rPr>
                <w:rFonts w:cstheme="minorHAnsi"/>
                <w:sz w:val="18"/>
                <w:szCs w:val="18"/>
              </w:rPr>
            </w:pPr>
            <w:r w:rsidRPr="00C73735">
              <w:rPr>
                <w:rFonts w:cstheme="minorHAnsi"/>
                <w:sz w:val="18"/>
                <w:szCs w:val="18"/>
              </w:rPr>
              <w:t>Vinyl chloride</w:t>
            </w:r>
          </w:p>
        </w:tc>
        <w:tc>
          <w:tcPr>
            <w:tcW w:w="4130" w:type="dxa"/>
          </w:tcPr>
          <w:p w14:paraId="0D02E4F3" w14:textId="77777777" w:rsidR="00D11278" w:rsidRPr="00C73735" w:rsidRDefault="00D11278" w:rsidP="00D11278">
            <w:pPr>
              <w:jc w:val="both"/>
              <w:rPr>
                <w:rFonts w:cstheme="minorHAnsi"/>
                <w:sz w:val="18"/>
                <w:szCs w:val="18"/>
              </w:rPr>
            </w:pPr>
            <w:r w:rsidRPr="00C73735">
              <w:rPr>
                <w:rFonts w:cstheme="minorHAnsi"/>
                <w:sz w:val="18"/>
                <w:szCs w:val="18"/>
              </w:rPr>
              <w:t xml:space="preserve">Emergency worker, machine operator </w:t>
            </w:r>
          </w:p>
        </w:tc>
        <w:tc>
          <w:tcPr>
            <w:tcW w:w="1548" w:type="dxa"/>
          </w:tcPr>
          <w:p w14:paraId="4315F1E7" w14:textId="77777777" w:rsidR="00D11278" w:rsidRPr="00C73735" w:rsidRDefault="00D11278" w:rsidP="00D11278">
            <w:pPr>
              <w:jc w:val="right"/>
              <w:rPr>
                <w:rFonts w:cstheme="minorHAnsi"/>
                <w:sz w:val="18"/>
                <w:szCs w:val="18"/>
              </w:rPr>
            </w:pPr>
            <w:r w:rsidRPr="00C73735">
              <w:rPr>
                <w:rFonts w:cstheme="minorHAnsi"/>
                <w:sz w:val="18"/>
                <w:szCs w:val="18"/>
              </w:rPr>
              <w:t xml:space="preserve">  19 (0.7)</w:t>
            </w:r>
          </w:p>
        </w:tc>
        <w:tc>
          <w:tcPr>
            <w:tcW w:w="2635" w:type="dxa"/>
          </w:tcPr>
          <w:p w14:paraId="3BEE0A87" w14:textId="77777777" w:rsidR="00D11278" w:rsidRPr="00C73735" w:rsidRDefault="00D11278" w:rsidP="00D11278">
            <w:pPr>
              <w:jc w:val="right"/>
              <w:rPr>
                <w:rFonts w:cstheme="minorHAnsi"/>
                <w:sz w:val="18"/>
                <w:szCs w:val="18"/>
              </w:rPr>
            </w:pPr>
            <w:r w:rsidRPr="00C73735">
              <w:rPr>
                <w:rFonts w:cstheme="minorHAnsi"/>
                <w:sz w:val="18"/>
                <w:szCs w:val="18"/>
              </w:rPr>
              <w:t>40 780 (0.9)</w:t>
            </w:r>
          </w:p>
        </w:tc>
        <w:tc>
          <w:tcPr>
            <w:tcW w:w="2771" w:type="dxa"/>
          </w:tcPr>
          <w:p w14:paraId="3616AE31" w14:textId="77777777" w:rsidR="00D11278" w:rsidRPr="00C73735" w:rsidRDefault="00D11278" w:rsidP="00D11278">
            <w:pPr>
              <w:jc w:val="right"/>
              <w:rPr>
                <w:rFonts w:cstheme="minorHAnsi"/>
                <w:sz w:val="18"/>
                <w:szCs w:val="18"/>
              </w:rPr>
            </w:pPr>
            <w:r w:rsidRPr="00C73735">
              <w:rPr>
                <w:rFonts w:cstheme="minorHAnsi"/>
                <w:sz w:val="18"/>
                <w:szCs w:val="18"/>
              </w:rPr>
              <w:t>0.6 to 1.3</w:t>
            </w:r>
          </w:p>
        </w:tc>
      </w:tr>
      <w:tr w:rsidR="00D11278" w:rsidRPr="00C73735" w14:paraId="5A68FAE7" w14:textId="77777777" w:rsidTr="00D11278">
        <w:trPr>
          <w:cantSplit/>
          <w:trHeight w:val="207"/>
        </w:trPr>
        <w:tc>
          <w:tcPr>
            <w:tcW w:w="2770" w:type="dxa"/>
          </w:tcPr>
          <w:p w14:paraId="77650300" w14:textId="77777777" w:rsidR="00D11278" w:rsidRPr="00C73735" w:rsidRDefault="00D11278" w:rsidP="00D11278">
            <w:pPr>
              <w:jc w:val="both"/>
              <w:rPr>
                <w:rFonts w:cstheme="minorHAnsi"/>
                <w:sz w:val="18"/>
                <w:szCs w:val="18"/>
              </w:rPr>
            </w:pPr>
            <w:r w:rsidRPr="00C73735">
              <w:rPr>
                <w:rFonts w:cstheme="minorHAnsi"/>
                <w:sz w:val="18"/>
                <w:szCs w:val="18"/>
              </w:rPr>
              <w:t>Ethylene Oxide</w:t>
            </w:r>
          </w:p>
        </w:tc>
        <w:tc>
          <w:tcPr>
            <w:tcW w:w="4130" w:type="dxa"/>
          </w:tcPr>
          <w:p w14:paraId="7931067D" w14:textId="77777777" w:rsidR="00D11278" w:rsidRPr="00C73735" w:rsidRDefault="00D11278" w:rsidP="00D11278">
            <w:pPr>
              <w:jc w:val="both"/>
              <w:rPr>
                <w:rFonts w:cstheme="minorHAnsi"/>
                <w:sz w:val="18"/>
                <w:szCs w:val="18"/>
              </w:rPr>
            </w:pPr>
            <w:r w:rsidRPr="00C73735">
              <w:rPr>
                <w:rFonts w:cstheme="minorHAnsi"/>
                <w:sz w:val="18"/>
                <w:szCs w:val="18"/>
              </w:rPr>
              <w:t xml:space="preserve">Emergency worker, food factory, scientist </w:t>
            </w:r>
          </w:p>
        </w:tc>
        <w:tc>
          <w:tcPr>
            <w:tcW w:w="1548" w:type="dxa"/>
          </w:tcPr>
          <w:p w14:paraId="68D2F466" w14:textId="77777777" w:rsidR="00D11278" w:rsidRPr="00C73735" w:rsidRDefault="00D11278" w:rsidP="00D11278">
            <w:pPr>
              <w:jc w:val="right"/>
              <w:rPr>
                <w:rFonts w:cstheme="minorHAnsi"/>
                <w:sz w:val="18"/>
                <w:szCs w:val="18"/>
              </w:rPr>
            </w:pPr>
            <w:r w:rsidRPr="00C73735">
              <w:rPr>
                <w:rFonts w:cstheme="minorHAnsi"/>
                <w:sz w:val="18"/>
                <w:szCs w:val="18"/>
              </w:rPr>
              <w:t xml:space="preserve">  22 (0.8)</w:t>
            </w:r>
          </w:p>
        </w:tc>
        <w:tc>
          <w:tcPr>
            <w:tcW w:w="2635" w:type="dxa"/>
          </w:tcPr>
          <w:p w14:paraId="7FF6EB28" w14:textId="77777777" w:rsidR="00D11278" w:rsidRPr="00C73735" w:rsidRDefault="00D11278" w:rsidP="00D11278">
            <w:pPr>
              <w:jc w:val="right"/>
              <w:rPr>
                <w:rFonts w:cstheme="minorHAnsi"/>
                <w:sz w:val="18"/>
                <w:szCs w:val="18"/>
              </w:rPr>
            </w:pPr>
            <w:r w:rsidRPr="00C73735">
              <w:rPr>
                <w:rFonts w:cstheme="minorHAnsi"/>
                <w:sz w:val="18"/>
                <w:szCs w:val="18"/>
              </w:rPr>
              <w:t xml:space="preserve">46 240 (1.0) </w:t>
            </w:r>
          </w:p>
        </w:tc>
        <w:tc>
          <w:tcPr>
            <w:tcW w:w="2771" w:type="dxa"/>
          </w:tcPr>
          <w:p w14:paraId="3EA85245" w14:textId="77777777" w:rsidR="00D11278" w:rsidRPr="00C73735" w:rsidRDefault="00D11278" w:rsidP="00D11278">
            <w:pPr>
              <w:jc w:val="right"/>
              <w:rPr>
                <w:rFonts w:cstheme="minorHAnsi"/>
                <w:sz w:val="18"/>
                <w:szCs w:val="18"/>
              </w:rPr>
            </w:pPr>
            <w:r w:rsidRPr="00C73735">
              <w:rPr>
                <w:rFonts w:cstheme="minorHAnsi"/>
                <w:sz w:val="18"/>
                <w:szCs w:val="18"/>
              </w:rPr>
              <w:t xml:space="preserve">0.7 to 1.5 </w:t>
            </w:r>
          </w:p>
        </w:tc>
      </w:tr>
      <w:tr w:rsidR="00D11278" w:rsidRPr="00C73735" w14:paraId="067808E8" w14:textId="77777777" w:rsidTr="00D11278">
        <w:trPr>
          <w:cantSplit/>
          <w:trHeight w:val="220"/>
        </w:trPr>
        <w:tc>
          <w:tcPr>
            <w:tcW w:w="2770" w:type="dxa"/>
          </w:tcPr>
          <w:p w14:paraId="086E67F5" w14:textId="77777777" w:rsidR="00D11278" w:rsidRPr="00C73735" w:rsidRDefault="00D11278" w:rsidP="00D11278">
            <w:pPr>
              <w:jc w:val="both"/>
              <w:rPr>
                <w:rFonts w:cstheme="minorHAnsi"/>
                <w:sz w:val="18"/>
                <w:szCs w:val="18"/>
              </w:rPr>
            </w:pPr>
            <w:r w:rsidRPr="00C73735">
              <w:rPr>
                <w:rFonts w:cstheme="minorHAnsi"/>
                <w:sz w:val="18"/>
                <w:szCs w:val="18"/>
              </w:rPr>
              <w:t xml:space="preserve">1,3-butadiene </w:t>
            </w:r>
          </w:p>
        </w:tc>
        <w:tc>
          <w:tcPr>
            <w:tcW w:w="4130" w:type="dxa"/>
          </w:tcPr>
          <w:p w14:paraId="0E96D509" w14:textId="77777777" w:rsidR="00D11278" w:rsidRPr="00C73735" w:rsidRDefault="00D11278" w:rsidP="00D11278">
            <w:pPr>
              <w:jc w:val="both"/>
              <w:rPr>
                <w:rFonts w:cstheme="minorHAnsi"/>
                <w:sz w:val="18"/>
                <w:szCs w:val="18"/>
              </w:rPr>
            </w:pPr>
            <w:r w:rsidRPr="00C73735">
              <w:rPr>
                <w:rFonts w:cstheme="minorHAnsi"/>
                <w:sz w:val="18"/>
                <w:szCs w:val="18"/>
              </w:rPr>
              <w:t>Emergency workers</w:t>
            </w:r>
          </w:p>
        </w:tc>
        <w:tc>
          <w:tcPr>
            <w:tcW w:w="1548" w:type="dxa"/>
          </w:tcPr>
          <w:p w14:paraId="4B776222" w14:textId="77777777" w:rsidR="00D11278" w:rsidRPr="00C73735" w:rsidRDefault="00D11278" w:rsidP="00D11278">
            <w:pPr>
              <w:jc w:val="right"/>
              <w:rPr>
                <w:rFonts w:cstheme="minorHAnsi"/>
                <w:sz w:val="18"/>
                <w:szCs w:val="18"/>
              </w:rPr>
            </w:pPr>
            <w:r w:rsidRPr="00C73735">
              <w:rPr>
                <w:rFonts w:cstheme="minorHAnsi"/>
                <w:sz w:val="18"/>
                <w:szCs w:val="18"/>
              </w:rPr>
              <w:t xml:space="preserve">  21 (0.8)</w:t>
            </w:r>
          </w:p>
        </w:tc>
        <w:tc>
          <w:tcPr>
            <w:tcW w:w="2635" w:type="dxa"/>
          </w:tcPr>
          <w:p w14:paraId="3DFC7E1B" w14:textId="77777777" w:rsidR="00D11278" w:rsidRPr="00C73735" w:rsidRDefault="00D11278" w:rsidP="00D11278">
            <w:pPr>
              <w:jc w:val="right"/>
              <w:rPr>
                <w:rFonts w:cstheme="minorHAnsi"/>
                <w:sz w:val="18"/>
                <w:szCs w:val="18"/>
              </w:rPr>
            </w:pPr>
            <w:r w:rsidRPr="00C73735">
              <w:rPr>
                <w:rFonts w:cstheme="minorHAnsi"/>
                <w:sz w:val="18"/>
                <w:szCs w:val="18"/>
              </w:rPr>
              <w:t>44 650 (1.0)</w:t>
            </w:r>
          </w:p>
        </w:tc>
        <w:tc>
          <w:tcPr>
            <w:tcW w:w="2771" w:type="dxa"/>
          </w:tcPr>
          <w:p w14:paraId="1A7E9DCA" w14:textId="77777777" w:rsidR="00D11278" w:rsidRPr="00C73735" w:rsidRDefault="00D11278" w:rsidP="00D11278">
            <w:pPr>
              <w:jc w:val="right"/>
              <w:rPr>
                <w:rFonts w:cstheme="minorHAnsi"/>
                <w:sz w:val="18"/>
                <w:szCs w:val="18"/>
              </w:rPr>
            </w:pPr>
            <w:r w:rsidRPr="00C73735">
              <w:rPr>
                <w:rFonts w:cstheme="minorHAnsi"/>
                <w:sz w:val="18"/>
                <w:szCs w:val="18"/>
              </w:rPr>
              <w:t>0.7 to 1.5</w:t>
            </w:r>
          </w:p>
        </w:tc>
      </w:tr>
      <w:tr w:rsidR="00D11278" w:rsidRPr="00C73735" w14:paraId="47F88540" w14:textId="77777777" w:rsidTr="00D11278">
        <w:trPr>
          <w:cantSplit/>
          <w:trHeight w:val="207"/>
        </w:trPr>
        <w:tc>
          <w:tcPr>
            <w:tcW w:w="2770" w:type="dxa"/>
          </w:tcPr>
          <w:p w14:paraId="45FA5A70" w14:textId="77777777" w:rsidR="00D11278" w:rsidRPr="00C73735" w:rsidRDefault="00D11278" w:rsidP="00D11278">
            <w:pPr>
              <w:jc w:val="both"/>
              <w:rPr>
                <w:rFonts w:cstheme="minorHAnsi"/>
                <w:sz w:val="18"/>
                <w:szCs w:val="18"/>
              </w:rPr>
            </w:pPr>
            <w:r w:rsidRPr="00C73735">
              <w:rPr>
                <w:rFonts w:cstheme="minorHAnsi"/>
                <w:sz w:val="18"/>
                <w:szCs w:val="18"/>
              </w:rPr>
              <w:t xml:space="preserve">Cadmium </w:t>
            </w:r>
          </w:p>
        </w:tc>
        <w:tc>
          <w:tcPr>
            <w:tcW w:w="4130" w:type="dxa"/>
          </w:tcPr>
          <w:p w14:paraId="306C5055" w14:textId="77777777" w:rsidR="00D11278" w:rsidRPr="00C73735" w:rsidRDefault="00D11278" w:rsidP="00D11278">
            <w:pPr>
              <w:jc w:val="both"/>
              <w:rPr>
                <w:rFonts w:cstheme="minorHAnsi"/>
                <w:sz w:val="18"/>
                <w:szCs w:val="18"/>
              </w:rPr>
            </w:pPr>
            <w:r w:rsidRPr="00C73735">
              <w:rPr>
                <w:rFonts w:cstheme="minorHAnsi"/>
                <w:sz w:val="18"/>
                <w:szCs w:val="18"/>
              </w:rPr>
              <w:t xml:space="preserve">Metal worker, vehicle worker, electrical worker </w:t>
            </w:r>
          </w:p>
        </w:tc>
        <w:tc>
          <w:tcPr>
            <w:tcW w:w="1548" w:type="dxa"/>
          </w:tcPr>
          <w:p w14:paraId="465297F5" w14:textId="77777777" w:rsidR="00D11278" w:rsidRPr="00C73735" w:rsidRDefault="00D11278" w:rsidP="00D11278">
            <w:pPr>
              <w:jc w:val="right"/>
              <w:rPr>
                <w:rFonts w:cstheme="minorHAnsi"/>
                <w:sz w:val="18"/>
                <w:szCs w:val="18"/>
              </w:rPr>
            </w:pPr>
            <w:r w:rsidRPr="00C73735">
              <w:rPr>
                <w:rFonts w:cstheme="minorHAnsi"/>
                <w:sz w:val="18"/>
                <w:szCs w:val="18"/>
              </w:rPr>
              <w:t xml:space="preserve">  13 (0.5)</w:t>
            </w:r>
          </w:p>
        </w:tc>
        <w:tc>
          <w:tcPr>
            <w:tcW w:w="2635" w:type="dxa"/>
          </w:tcPr>
          <w:p w14:paraId="699C6BFE" w14:textId="77777777" w:rsidR="00D11278" w:rsidRPr="00C73735" w:rsidRDefault="00D11278" w:rsidP="00D11278">
            <w:pPr>
              <w:jc w:val="right"/>
              <w:rPr>
                <w:rFonts w:cstheme="minorHAnsi"/>
                <w:sz w:val="18"/>
                <w:szCs w:val="18"/>
              </w:rPr>
            </w:pPr>
            <w:r w:rsidRPr="00C73735">
              <w:rPr>
                <w:rFonts w:cstheme="minorHAnsi"/>
                <w:sz w:val="18"/>
                <w:szCs w:val="18"/>
              </w:rPr>
              <w:t>20 840 (0.4)</w:t>
            </w:r>
          </w:p>
        </w:tc>
        <w:tc>
          <w:tcPr>
            <w:tcW w:w="2771" w:type="dxa"/>
          </w:tcPr>
          <w:p w14:paraId="30E7CEE2" w14:textId="77777777" w:rsidR="00D11278" w:rsidRPr="00C73735" w:rsidRDefault="00D11278" w:rsidP="00D11278">
            <w:pPr>
              <w:jc w:val="right"/>
              <w:rPr>
                <w:rFonts w:cstheme="minorHAnsi"/>
                <w:sz w:val="18"/>
                <w:szCs w:val="18"/>
              </w:rPr>
            </w:pPr>
            <w:r w:rsidRPr="00C73735">
              <w:rPr>
                <w:rFonts w:cstheme="minorHAnsi"/>
                <w:sz w:val="18"/>
                <w:szCs w:val="18"/>
              </w:rPr>
              <w:t xml:space="preserve">0.2 to 0.7 </w:t>
            </w:r>
          </w:p>
        </w:tc>
      </w:tr>
      <w:tr w:rsidR="00D11278" w:rsidRPr="00C73735" w14:paraId="2B3AA2DE" w14:textId="77777777" w:rsidTr="00D11278">
        <w:trPr>
          <w:cantSplit/>
          <w:trHeight w:val="207"/>
        </w:trPr>
        <w:tc>
          <w:tcPr>
            <w:tcW w:w="2770" w:type="dxa"/>
          </w:tcPr>
          <w:p w14:paraId="241CB73A" w14:textId="77777777" w:rsidR="00D11278" w:rsidRPr="00C73735" w:rsidRDefault="00D11278" w:rsidP="00D11278">
            <w:pPr>
              <w:jc w:val="both"/>
              <w:rPr>
                <w:rFonts w:cstheme="minorHAnsi"/>
                <w:sz w:val="18"/>
                <w:szCs w:val="18"/>
              </w:rPr>
            </w:pPr>
            <w:r w:rsidRPr="00C73735">
              <w:rPr>
                <w:rFonts w:cstheme="minorHAnsi"/>
                <w:sz w:val="18"/>
                <w:szCs w:val="18"/>
              </w:rPr>
              <w:t xml:space="preserve">Nitrosamines </w:t>
            </w:r>
          </w:p>
        </w:tc>
        <w:tc>
          <w:tcPr>
            <w:tcW w:w="4130" w:type="dxa"/>
          </w:tcPr>
          <w:p w14:paraId="7CADF0C7" w14:textId="77777777" w:rsidR="00D11278" w:rsidRPr="00C73735" w:rsidRDefault="00D11278" w:rsidP="00D11278">
            <w:pPr>
              <w:jc w:val="both"/>
              <w:rPr>
                <w:rFonts w:cstheme="minorHAnsi"/>
                <w:sz w:val="18"/>
                <w:szCs w:val="18"/>
              </w:rPr>
            </w:pPr>
            <w:r w:rsidRPr="00C73735">
              <w:rPr>
                <w:rFonts w:cstheme="minorHAnsi"/>
                <w:sz w:val="18"/>
                <w:szCs w:val="18"/>
              </w:rPr>
              <w:t xml:space="preserve">Metal worker, scientist </w:t>
            </w:r>
          </w:p>
        </w:tc>
        <w:tc>
          <w:tcPr>
            <w:tcW w:w="1548" w:type="dxa"/>
          </w:tcPr>
          <w:p w14:paraId="37FAF1C9" w14:textId="77777777" w:rsidR="00D11278" w:rsidRPr="00C73735" w:rsidRDefault="00D11278" w:rsidP="00D11278">
            <w:pPr>
              <w:jc w:val="right"/>
              <w:rPr>
                <w:rFonts w:cstheme="minorHAnsi"/>
                <w:sz w:val="18"/>
                <w:szCs w:val="18"/>
              </w:rPr>
            </w:pPr>
            <w:r w:rsidRPr="00C73735">
              <w:rPr>
                <w:rFonts w:cstheme="minorHAnsi"/>
                <w:sz w:val="18"/>
                <w:szCs w:val="18"/>
              </w:rPr>
              <w:t xml:space="preserve">    8 (0.3)</w:t>
            </w:r>
          </w:p>
        </w:tc>
        <w:tc>
          <w:tcPr>
            <w:tcW w:w="2635" w:type="dxa"/>
          </w:tcPr>
          <w:p w14:paraId="311A90A6" w14:textId="77777777" w:rsidR="00D11278" w:rsidRPr="00C73735" w:rsidRDefault="00D11278" w:rsidP="00D11278">
            <w:pPr>
              <w:jc w:val="right"/>
              <w:rPr>
                <w:rFonts w:cstheme="minorHAnsi"/>
                <w:sz w:val="18"/>
                <w:szCs w:val="18"/>
              </w:rPr>
            </w:pPr>
            <w:r w:rsidRPr="00C73735">
              <w:rPr>
                <w:rFonts w:cstheme="minorHAnsi"/>
                <w:sz w:val="18"/>
                <w:szCs w:val="18"/>
              </w:rPr>
              <w:t>14 710 (0.3)</w:t>
            </w:r>
          </w:p>
        </w:tc>
        <w:tc>
          <w:tcPr>
            <w:tcW w:w="2771" w:type="dxa"/>
          </w:tcPr>
          <w:p w14:paraId="632C07F8" w14:textId="77777777" w:rsidR="00D11278" w:rsidRPr="00C73735" w:rsidRDefault="00D11278" w:rsidP="00D11278">
            <w:pPr>
              <w:jc w:val="right"/>
              <w:rPr>
                <w:rFonts w:cstheme="minorHAnsi"/>
                <w:sz w:val="18"/>
                <w:szCs w:val="18"/>
              </w:rPr>
            </w:pPr>
            <w:r w:rsidRPr="00C73735">
              <w:rPr>
                <w:rFonts w:cstheme="minorHAnsi"/>
                <w:sz w:val="18"/>
                <w:szCs w:val="18"/>
              </w:rPr>
              <w:t>0.1 to 0.6</w:t>
            </w:r>
          </w:p>
        </w:tc>
      </w:tr>
      <w:tr w:rsidR="00D11278" w:rsidRPr="00C73735" w14:paraId="1267D6AD" w14:textId="77777777" w:rsidTr="00D11278">
        <w:trPr>
          <w:cantSplit/>
          <w:trHeight w:val="207"/>
        </w:trPr>
        <w:tc>
          <w:tcPr>
            <w:tcW w:w="2770" w:type="dxa"/>
          </w:tcPr>
          <w:p w14:paraId="0386D619" w14:textId="77777777" w:rsidR="00D11278" w:rsidRPr="00C73735" w:rsidRDefault="00D11278" w:rsidP="00D11278">
            <w:pPr>
              <w:jc w:val="both"/>
              <w:rPr>
                <w:rFonts w:cstheme="minorHAnsi"/>
                <w:sz w:val="18"/>
                <w:szCs w:val="18"/>
              </w:rPr>
            </w:pPr>
            <w:r w:rsidRPr="00C73735">
              <w:rPr>
                <w:rFonts w:cstheme="minorHAnsi"/>
                <w:sz w:val="18"/>
                <w:szCs w:val="18"/>
              </w:rPr>
              <w:t xml:space="preserve">Acid mists </w:t>
            </w:r>
          </w:p>
        </w:tc>
        <w:tc>
          <w:tcPr>
            <w:tcW w:w="4130" w:type="dxa"/>
          </w:tcPr>
          <w:p w14:paraId="66D04071" w14:textId="77777777" w:rsidR="00D11278" w:rsidRPr="00C73735" w:rsidRDefault="00D11278" w:rsidP="00D11278">
            <w:pPr>
              <w:jc w:val="both"/>
              <w:rPr>
                <w:rFonts w:cstheme="minorHAnsi"/>
                <w:sz w:val="18"/>
                <w:szCs w:val="18"/>
              </w:rPr>
            </w:pPr>
            <w:r w:rsidRPr="00C73735">
              <w:rPr>
                <w:rFonts w:cstheme="minorHAnsi"/>
                <w:sz w:val="18"/>
                <w:szCs w:val="18"/>
              </w:rPr>
              <w:t xml:space="preserve">Machine operator, metal worker, engineer </w:t>
            </w:r>
          </w:p>
        </w:tc>
        <w:tc>
          <w:tcPr>
            <w:tcW w:w="1548" w:type="dxa"/>
          </w:tcPr>
          <w:p w14:paraId="5E451434" w14:textId="77777777" w:rsidR="00D11278" w:rsidRPr="00C73735" w:rsidRDefault="00D11278" w:rsidP="00D11278">
            <w:pPr>
              <w:jc w:val="right"/>
              <w:rPr>
                <w:rFonts w:cstheme="minorHAnsi"/>
                <w:sz w:val="18"/>
                <w:szCs w:val="18"/>
              </w:rPr>
            </w:pPr>
            <w:r w:rsidRPr="00C73735">
              <w:rPr>
                <w:rFonts w:cstheme="minorHAnsi"/>
                <w:sz w:val="18"/>
                <w:szCs w:val="18"/>
              </w:rPr>
              <w:t xml:space="preserve">    5 (0.2)</w:t>
            </w:r>
          </w:p>
        </w:tc>
        <w:tc>
          <w:tcPr>
            <w:tcW w:w="2635" w:type="dxa"/>
          </w:tcPr>
          <w:p w14:paraId="1B24F0F9" w14:textId="77777777" w:rsidR="00D11278" w:rsidRPr="00C73735" w:rsidRDefault="00D11278" w:rsidP="00D11278">
            <w:pPr>
              <w:jc w:val="right"/>
              <w:rPr>
                <w:rFonts w:cstheme="minorHAnsi"/>
                <w:sz w:val="18"/>
                <w:szCs w:val="18"/>
              </w:rPr>
            </w:pPr>
            <w:r w:rsidRPr="00C73735">
              <w:rPr>
                <w:rFonts w:cstheme="minorHAnsi"/>
                <w:sz w:val="18"/>
                <w:szCs w:val="18"/>
              </w:rPr>
              <w:t>11 060 (0.2)</w:t>
            </w:r>
          </w:p>
        </w:tc>
        <w:tc>
          <w:tcPr>
            <w:tcW w:w="2771" w:type="dxa"/>
          </w:tcPr>
          <w:p w14:paraId="733D5160" w14:textId="77777777" w:rsidR="00D11278" w:rsidRPr="00C73735" w:rsidRDefault="00D11278" w:rsidP="00D11278">
            <w:pPr>
              <w:jc w:val="right"/>
              <w:rPr>
                <w:rFonts w:cstheme="minorHAnsi"/>
                <w:sz w:val="18"/>
                <w:szCs w:val="18"/>
              </w:rPr>
            </w:pPr>
            <w:r w:rsidRPr="00C73735">
              <w:rPr>
                <w:rFonts w:cstheme="minorHAnsi"/>
                <w:sz w:val="18"/>
                <w:szCs w:val="18"/>
              </w:rPr>
              <w:t xml:space="preserve">0.1 to 0.5 </w:t>
            </w:r>
            <w:r w:rsidRPr="00C73735">
              <w:rPr>
                <w:rStyle w:val="FootnoteReference"/>
                <w:rFonts w:cstheme="minorHAnsi"/>
                <w:sz w:val="18"/>
                <w:szCs w:val="18"/>
              </w:rPr>
              <w:footnoteReference w:id="5"/>
            </w:r>
          </w:p>
        </w:tc>
      </w:tr>
    </w:tbl>
    <w:p w14:paraId="10F478E2" w14:textId="5DD54720" w:rsidR="00D11278" w:rsidRDefault="00D11278">
      <w:pPr>
        <w:rPr>
          <w:rFonts w:asciiTheme="minorHAnsi" w:hAnsiTheme="minorHAnsi"/>
          <w:b/>
          <w:sz w:val="22"/>
          <w:szCs w:val="22"/>
        </w:rPr>
      </w:pPr>
      <w:r>
        <w:rPr>
          <w:rFonts w:asciiTheme="minorHAnsi" w:hAnsiTheme="minorHAnsi"/>
          <w:b/>
          <w:sz w:val="22"/>
          <w:szCs w:val="22"/>
        </w:rPr>
        <w:br w:type="page"/>
      </w:r>
    </w:p>
    <w:p w14:paraId="265DB66A" w14:textId="0302794F" w:rsidR="003C01BF" w:rsidRPr="003C01BF" w:rsidRDefault="003C01BF" w:rsidP="003C01BF">
      <w:pPr>
        <w:pStyle w:val="PHD-normaltext"/>
        <w:tabs>
          <w:tab w:val="left" w:pos="1134"/>
        </w:tabs>
        <w:rPr>
          <w:rFonts w:asciiTheme="minorHAnsi" w:hAnsiTheme="minorHAnsi"/>
          <w:b/>
          <w:sz w:val="22"/>
          <w:szCs w:val="22"/>
          <w:highlight w:val="green"/>
          <w:lang w:val="en-US"/>
        </w:rPr>
      </w:pPr>
      <w:r w:rsidRPr="003C01BF">
        <w:rPr>
          <w:rFonts w:asciiTheme="minorHAnsi" w:hAnsiTheme="minorHAnsi"/>
          <w:b/>
          <w:sz w:val="22"/>
          <w:szCs w:val="22"/>
          <w:lang w:val="en-US"/>
        </w:rPr>
        <w:lastRenderedPageBreak/>
        <w:t xml:space="preserve">Table </w:t>
      </w:r>
      <w:r w:rsidR="005E3E50">
        <w:rPr>
          <w:rFonts w:asciiTheme="minorHAnsi" w:hAnsiTheme="minorHAnsi"/>
          <w:b/>
          <w:sz w:val="22"/>
          <w:szCs w:val="22"/>
          <w:lang w:val="en-US"/>
        </w:rPr>
        <w:t>6</w:t>
      </w:r>
      <w:r w:rsidRPr="003C01BF">
        <w:rPr>
          <w:rFonts w:asciiTheme="minorHAnsi" w:hAnsiTheme="minorHAnsi"/>
          <w:b/>
          <w:sz w:val="22"/>
          <w:szCs w:val="22"/>
          <w:lang w:val="en-US"/>
        </w:rPr>
        <w:tab/>
        <w:t xml:space="preserve">Proportion of final sample and Australian working population estimated to be occupationally exposed by carcinogenic agent, </w:t>
      </w:r>
      <w:r>
        <w:rPr>
          <w:rFonts w:asciiTheme="minorHAnsi" w:hAnsiTheme="minorHAnsi"/>
          <w:b/>
          <w:sz w:val="22"/>
          <w:szCs w:val="22"/>
          <w:lang w:val="en-US"/>
        </w:rPr>
        <w:t>wo</w:t>
      </w:r>
      <w:r w:rsidRPr="003C01BF">
        <w:rPr>
          <w:rFonts w:asciiTheme="minorHAnsi" w:hAnsiTheme="minorHAnsi"/>
          <w:b/>
          <w:sz w:val="22"/>
          <w:szCs w:val="22"/>
          <w:lang w:val="en-US"/>
        </w:rPr>
        <w:t>men</w:t>
      </w:r>
      <w:r w:rsidR="00946A4A" w:rsidRPr="00946A4A">
        <w:rPr>
          <w:rFonts w:asciiTheme="minorHAnsi" w:hAnsiTheme="minorHAnsi"/>
          <w:b/>
          <w:sz w:val="22"/>
          <w:szCs w:val="22"/>
          <w:vertAlign w:val="superscript"/>
          <w:lang w:val="en-US"/>
        </w:rPr>
        <w:t>+</w:t>
      </w:r>
    </w:p>
    <w:p w14:paraId="742BDAB8" w14:textId="0E30D3EE" w:rsidR="00E974AF" w:rsidRDefault="00E974AF" w:rsidP="00B74697">
      <w:pPr>
        <w:pStyle w:val="PHD-normaltext"/>
        <w:rPr>
          <w:highlight w:val="green"/>
          <w:lang w:val="en-US"/>
        </w:rPr>
      </w:pPr>
    </w:p>
    <w:tbl>
      <w:tblPr>
        <w:tblStyle w:val="TableGrid"/>
        <w:tblpPr w:leftFromText="180" w:rightFromText="180" w:vertAnchor="text" w:horzAnchor="margin" w:tblpY="-32"/>
        <w:tblW w:w="0" w:type="auto"/>
        <w:tblBorders>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789"/>
        <w:gridCol w:w="5003"/>
        <w:gridCol w:w="1417"/>
        <w:gridCol w:w="1949"/>
        <w:gridCol w:w="2304"/>
      </w:tblGrid>
      <w:tr w:rsidR="00D11278" w:rsidRPr="00C73735" w14:paraId="73C138A4" w14:textId="77777777" w:rsidTr="00D11278">
        <w:trPr>
          <w:trHeight w:val="558"/>
          <w:tblHeader/>
        </w:trPr>
        <w:tc>
          <w:tcPr>
            <w:tcW w:w="2789" w:type="dxa"/>
            <w:tcBorders>
              <w:top w:val="single" w:sz="4" w:space="0" w:color="auto"/>
              <w:left w:val="nil"/>
              <w:bottom w:val="single" w:sz="4" w:space="0" w:color="auto"/>
            </w:tcBorders>
          </w:tcPr>
          <w:p w14:paraId="37E6DCB1" w14:textId="77777777" w:rsidR="00D11278" w:rsidRPr="00C73735" w:rsidRDefault="00D11278" w:rsidP="00D11278">
            <w:pPr>
              <w:jc w:val="both"/>
              <w:rPr>
                <w:rFonts w:asciiTheme="minorHAnsi" w:hAnsiTheme="minorHAnsi"/>
                <w:position w:val="-6"/>
                <w:sz w:val="18"/>
                <w:szCs w:val="18"/>
              </w:rPr>
            </w:pPr>
            <w:r w:rsidRPr="00C73735">
              <w:rPr>
                <w:rFonts w:asciiTheme="minorHAnsi" w:hAnsiTheme="minorHAnsi"/>
                <w:noProof/>
                <w:sz w:val="18"/>
                <w:szCs w:val="18"/>
                <w:lang w:eastAsia="en-AU"/>
              </w:rPr>
              <w:br w:type="page"/>
            </w:r>
            <w:r w:rsidRPr="00C73735">
              <w:rPr>
                <w:rFonts w:asciiTheme="minorHAnsi" w:hAnsiTheme="minorHAnsi"/>
                <w:position w:val="-6"/>
                <w:sz w:val="18"/>
                <w:szCs w:val="18"/>
              </w:rPr>
              <w:t>Carcinogen</w:t>
            </w:r>
            <w:r w:rsidRPr="00C73735">
              <w:rPr>
                <w:rStyle w:val="FootnoteReference"/>
                <w:rFonts w:asciiTheme="minorHAnsi" w:hAnsiTheme="minorHAnsi"/>
                <w:position w:val="-6"/>
                <w:sz w:val="18"/>
                <w:szCs w:val="18"/>
              </w:rPr>
              <w:footnoteReference w:id="6"/>
            </w:r>
          </w:p>
        </w:tc>
        <w:tc>
          <w:tcPr>
            <w:tcW w:w="5003" w:type="dxa"/>
            <w:tcBorders>
              <w:top w:val="single" w:sz="4" w:space="0" w:color="auto"/>
              <w:bottom w:val="single" w:sz="4" w:space="0" w:color="auto"/>
            </w:tcBorders>
          </w:tcPr>
          <w:p w14:paraId="2EAD421A" w14:textId="77777777" w:rsidR="00D11278" w:rsidRPr="00C73735" w:rsidRDefault="00D11278" w:rsidP="00D11278">
            <w:pPr>
              <w:rPr>
                <w:rFonts w:asciiTheme="minorHAnsi" w:hAnsiTheme="minorHAnsi"/>
                <w:position w:val="-6"/>
                <w:sz w:val="18"/>
                <w:szCs w:val="18"/>
              </w:rPr>
            </w:pPr>
            <w:r w:rsidRPr="00C73735">
              <w:rPr>
                <w:rFonts w:asciiTheme="minorHAnsi" w:hAnsiTheme="minorHAnsi"/>
                <w:position w:val="-6"/>
                <w:sz w:val="18"/>
                <w:szCs w:val="18"/>
              </w:rPr>
              <w:t xml:space="preserve">Most common occupational groups </w:t>
            </w:r>
          </w:p>
        </w:tc>
        <w:tc>
          <w:tcPr>
            <w:tcW w:w="1417" w:type="dxa"/>
            <w:tcBorders>
              <w:top w:val="single" w:sz="4" w:space="0" w:color="auto"/>
              <w:bottom w:val="single" w:sz="4" w:space="0" w:color="auto"/>
            </w:tcBorders>
          </w:tcPr>
          <w:p w14:paraId="47CDA414" w14:textId="77777777" w:rsidR="00D11278" w:rsidRPr="00C73735" w:rsidRDefault="00D11278" w:rsidP="00D11278">
            <w:pPr>
              <w:jc w:val="center"/>
              <w:rPr>
                <w:rFonts w:asciiTheme="minorHAnsi" w:hAnsiTheme="minorHAnsi"/>
                <w:position w:val="-6"/>
                <w:sz w:val="18"/>
                <w:szCs w:val="18"/>
              </w:rPr>
            </w:pPr>
            <w:r w:rsidRPr="00C73735">
              <w:rPr>
                <w:rFonts w:asciiTheme="minorHAnsi" w:hAnsiTheme="minorHAnsi"/>
                <w:position w:val="-6"/>
                <w:sz w:val="18"/>
                <w:szCs w:val="18"/>
              </w:rPr>
              <w:t>Sample n (%)</w:t>
            </w:r>
          </w:p>
        </w:tc>
        <w:tc>
          <w:tcPr>
            <w:tcW w:w="1949" w:type="dxa"/>
            <w:tcBorders>
              <w:top w:val="single" w:sz="4" w:space="0" w:color="auto"/>
              <w:bottom w:val="single" w:sz="4" w:space="0" w:color="auto"/>
            </w:tcBorders>
          </w:tcPr>
          <w:p w14:paraId="371C7BCB" w14:textId="77777777" w:rsidR="00D11278" w:rsidRPr="00C73735" w:rsidRDefault="00D11278" w:rsidP="00D11278">
            <w:pPr>
              <w:jc w:val="center"/>
              <w:rPr>
                <w:rFonts w:asciiTheme="minorHAnsi" w:hAnsiTheme="minorHAnsi"/>
                <w:position w:val="-6"/>
                <w:sz w:val="18"/>
                <w:szCs w:val="18"/>
              </w:rPr>
            </w:pPr>
            <w:r w:rsidRPr="00C73735">
              <w:rPr>
                <w:rFonts w:asciiTheme="minorHAnsi" w:hAnsiTheme="minorHAnsi"/>
                <w:position w:val="-6"/>
                <w:sz w:val="18"/>
                <w:szCs w:val="18"/>
              </w:rPr>
              <w:t>Population n (%)</w:t>
            </w:r>
          </w:p>
        </w:tc>
        <w:tc>
          <w:tcPr>
            <w:tcW w:w="2304" w:type="dxa"/>
            <w:tcBorders>
              <w:top w:val="single" w:sz="4" w:space="0" w:color="auto"/>
              <w:bottom w:val="single" w:sz="4" w:space="0" w:color="auto"/>
              <w:right w:val="nil"/>
            </w:tcBorders>
          </w:tcPr>
          <w:p w14:paraId="5AC5DD22" w14:textId="77777777" w:rsidR="00D11278" w:rsidRPr="00C73735" w:rsidRDefault="00D11278" w:rsidP="00D11278">
            <w:pPr>
              <w:jc w:val="center"/>
              <w:rPr>
                <w:rFonts w:asciiTheme="minorHAnsi" w:hAnsiTheme="minorHAnsi"/>
                <w:position w:val="-6"/>
                <w:sz w:val="18"/>
                <w:szCs w:val="18"/>
              </w:rPr>
            </w:pPr>
            <w:r w:rsidRPr="00C73735">
              <w:rPr>
                <w:rFonts w:asciiTheme="minorHAnsi" w:hAnsiTheme="minorHAnsi"/>
                <w:position w:val="-6"/>
                <w:sz w:val="18"/>
                <w:szCs w:val="18"/>
              </w:rPr>
              <w:t>Population 95% CI</w:t>
            </w:r>
            <w:r w:rsidRPr="00C73735">
              <w:rPr>
                <w:rStyle w:val="FootnoteReference"/>
                <w:rFonts w:asciiTheme="minorHAnsi" w:hAnsiTheme="minorHAnsi"/>
                <w:position w:val="-6"/>
                <w:sz w:val="18"/>
                <w:szCs w:val="18"/>
              </w:rPr>
              <w:footnoteReference w:id="7"/>
            </w:r>
          </w:p>
        </w:tc>
      </w:tr>
      <w:tr w:rsidR="00D11278" w:rsidRPr="00C73735" w14:paraId="4EF23942" w14:textId="77777777" w:rsidTr="00D11278">
        <w:trPr>
          <w:cantSplit/>
        </w:trPr>
        <w:tc>
          <w:tcPr>
            <w:tcW w:w="2789" w:type="dxa"/>
            <w:tcBorders>
              <w:top w:val="single" w:sz="4" w:space="0" w:color="auto"/>
              <w:left w:val="nil"/>
            </w:tcBorders>
          </w:tcPr>
          <w:p w14:paraId="5A742310" w14:textId="0974C198" w:rsidR="00D11278" w:rsidRPr="00C73735" w:rsidRDefault="00D11278" w:rsidP="00D11278">
            <w:pPr>
              <w:rPr>
                <w:rFonts w:asciiTheme="minorHAnsi" w:hAnsiTheme="minorHAnsi"/>
                <w:sz w:val="18"/>
                <w:szCs w:val="18"/>
              </w:rPr>
            </w:pPr>
            <w:r w:rsidRPr="00C73735">
              <w:rPr>
                <w:rFonts w:asciiTheme="minorHAnsi" w:hAnsiTheme="minorHAnsi"/>
                <w:sz w:val="18"/>
                <w:szCs w:val="18"/>
              </w:rPr>
              <w:t>Solar UVR</w:t>
            </w:r>
          </w:p>
        </w:tc>
        <w:tc>
          <w:tcPr>
            <w:tcW w:w="5003" w:type="dxa"/>
            <w:tcBorders>
              <w:top w:val="single" w:sz="4" w:space="0" w:color="auto"/>
            </w:tcBorders>
          </w:tcPr>
          <w:p w14:paraId="1529BE29" w14:textId="11D9449C" w:rsidR="00D11278" w:rsidRPr="00C73735" w:rsidRDefault="00D11278" w:rsidP="00D11278">
            <w:pPr>
              <w:rPr>
                <w:rFonts w:asciiTheme="minorHAnsi" w:hAnsiTheme="minorHAnsi"/>
                <w:sz w:val="18"/>
                <w:szCs w:val="18"/>
              </w:rPr>
            </w:pPr>
            <w:r w:rsidRPr="00C73735">
              <w:rPr>
                <w:rFonts w:asciiTheme="minorHAnsi" w:hAnsiTheme="minorHAnsi"/>
                <w:sz w:val="18"/>
                <w:szCs w:val="18"/>
              </w:rPr>
              <w:t>Farmer, handyperson, automobile driver</w:t>
            </w:r>
          </w:p>
        </w:tc>
        <w:tc>
          <w:tcPr>
            <w:tcW w:w="1417" w:type="dxa"/>
            <w:tcBorders>
              <w:top w:val="single" w:sz="4" w:space="0" w:color="auto"/>
            </w:tcBorders>
          </w:tcPr>
          <w:p w14:paraId="6D7D1AC7" w14:textId="2C562846"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137 (6.2)</w:t>
            </w:r>
          </w:p>
        </w:tc>
        <w:tc>
          <w:tcPr>
            <w:tcW w:w="1949" w:type="dxa"/>
            <w:tcBorders>
              <w:top w:val="single" w:sz="4" w:space="0" w:color="auto"/>
            </w:tcBorders>
          </w:tcPr>
          <w:p w14:paraId="0B37B110" w14:textId="7E9714EF"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334 870 (7.9)</w:t>
            </w:r>
          </w:p>
        </w:tc>
        <w:tc>
          <w:tcPr>
            <w:tcW w:w="2304" w:type="dxa"/>
            <w:tcBorders>
              <w:top w:val="single" w:sz="4" w:space="0" w:color="auto"/>
              <w:right w:val="nil"/>
            </w:tcBorders>
          </w:tcPr>
          <w:p w14:paraId="2AEFDCB1" w14:textId="103B9DD4"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6.9 to 9.1</w:t>
            </w:r>
          </w:p>
        </w:tc>
      </w:tr>
      <w:tr w:rsidR="00D11278" w:rsidRPr="00C73735" w14:paraId="55A090D7" w14:textId="77777777" w:rsidTr="00D11278">
        <w:tc>
          <w:tcPr>
            <w:tcW w:w="2789" w:type="dxa"/>
            <w:tcBorders>
              <w:left w:val="nil"/>
            </w:tcBorders>
          </w:tcPr>
          <w:p w14:paraId="3D8B7357"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 xml:space="preserve">Diesel engine exhaust </w:t>
            </w:r>
          </w:p>
        </w:tc>
        <w:tc>
          <w:tcPr>
            <w:tcW w:w="5003" w:type="dxa"/>
          </w:tcPr>
          <w:p w14:paraId="29D4ACB2"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Metal worker, heavy vehicle driver, miner</w:t>
            </w:r>
          </w:p>
        </w:tc>
        <w:tc>
          <w:tcPr>
            <w:tcW w:w="1417" w:type="dxa"/>
          </w:tcPr>
          <w:p w14:paraId="5EF1E534"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127 (5.7)</w:t>
            </w:r>
          </w:p>
        </w:tc>
        <w:tc>
          <w:tcPr>
            <w:tcW w:w="1949" w:type="dxa"/>
          </w:tcPr>
          <w:p w14:paraId="00F2F31B"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255 200 (6.0)</w:t>
            </w:r>
          </w:p>
        </w:tc>
        <w:tc>
          <w:tcPr>
            <w:tcW w:w="2304" w:type="dxa"/>
            <w:tcBorders>
              <w:right w:val="nil"/>
            </w:tcBorders>
          </w:tcPr>
          <w:p w14:paraId="036505EA"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5.1 to 7.1</w:t>
            </w:r>
          </w:p>
        </w:tc>
      </w:tr>
      <w:tr w:rsidR="00D11278" w:rsidRPr="00C73735" w14:paraId="3338D50A" w14:textId="77777777" w:rsidTr="00D11278">
        <w:tc>
          <w:tcPr>
            <w:tcW w:w="2789" w:type="dxa"/>
            <w:tcBorders>
              <w:left w:val="nil"/>
            </w:tcBorders>
          </w:tcPr>
          <w:p w14:paraId="0BE15B3D"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Shiftwork</w:t>
            </w:r>
            <w:r w:rsidRPr="00C73735">
              <w:rPr>
                <w:rStyle w:val="FootnoteReference"/>
                <w:rFonts w:asciiTheme="minorHAnsi" w:hAnsiTheme="minorHAnsi"/>
                <w:sz w:val="18"/>
                <w:szCs w:val="18"/>
              </w:rPr>
              <w:footnoteReference w:id="8"/>
            </w:r>
            <w:r w:rsidRPr="00C73735">
              <w:rPr>
                <w:rFonts w:asciiTheme="minorHAnsi" w:hAnsiTheme="minorHAnsi"/>
                <w:sz w:val="18"/>
                <w:szCs w:val="18"/>
              </w:rPr>
              <w:t xml:space="preserve"> </w:t>
            </w:r>
          </w:p>
        </w:tc>
        <w:tc>
          <w:tcPr>
            <w:tcW w:w="5003" w:type="dxa"/>
          </w:tcPr>
          <w:p w14:paraId="5F75E031"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 xml:space="preserve">Passenger transport, emergency worker, nurse </w:t>
            </w:r>
          </w:p>
        </w:tc>
        <w:tc>
          <w:tcPr>
            <w:tcW w:w="1417" w:type="dxa"/>
          </w:tcPr>
          <w:p w14:paraId="48269802"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104 (4.7)</w:t>
            </w:r>
          </w:p>
        </w:tc>
        <w:tc>
          <w:tcPr>
            <w:tcW w:w="1949" w:type="dxa"/>
          </w:tcPr>
          <w:p w14:paraId="0BA26743"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192 730 (4.5)</w:t>
            </w:r>
          </w:p>
        </w:tc>
        <w:tc>
          <w:tcPr>
            <w:tcW w:w="2304" w:type="dxa"/>
            <w:tcBorders>
              <w:right w:val="nil"/>
            </w:tcBorders>
          </w:tcPr>
          <w:p w14:paraId="70602358"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3.7 to 5.4</w:t>
            </w:r>
          </w:p>
        </w:tc>
      </w:tr>
      <w:tr w:rsidR="00D11278" w:rsidRPr="00C73735" w14:paraId="00D9F913" w14:textId="77777777" w:rsidTr="00D11278">
        <w:tc>
          <w:tcPr>
            <w:tcW w:w="2789" w:type="dxa"/>
            <w:tcBorders>
              <w:left w:val="nil"/>
            </w:tcBorders>
          </w:tcPr>
          <w:p w14:paraId="2651B408"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 xml:space="preserve">Benzene </w:t>
            </w:r>
          </w:p>
        </w:tc>
        <w:tc>
          <w:tcPr>
            <w:tcW w:w="5003" w:type="dxa"/>
          </w:tcPr>
          <w:p w14:paraId="277450C1"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Farmer, automobile driver, animal/horticultural</w:t>
            </w:r>
          </w:p>
        </w:tc>
        <w:tc>
          <w:tcPr>
            <w:tcW w:w="1417" w:type="dxa"/>
          </w:tcPr>
          <w:p w14:paraId="344AB848"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101 (4.5)</w:t>
            </w:r>
          </w:p>
        </w:tc>
        <w:tc>
          <w:tcPr>
            <w:tcW w:w="1949" w:type="dxa"/>
          </w:tcPr>
          <w:p w14:paraId="318C7687"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217 200 (5.1)</w:t>
            </w:r>
          </w:p>
        </w:tc>
        <w:tc>
          <w:tcPr>
            <w:tcW w:w="2304" w:type="dxa"/>
            <w:tcBorders>
              <w:right w:val="nil"/>
            </w:tcBorders>
          </w:tcPr>
          <w:p w14:paraId="74ABE0BF"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4.3 to 6.1</w:t>
            </w:r>
          </w:p>
        </w:tc>
      </w:tr>
      <w:tr w:rsidR="00D11278" w:rsidRPr="00C73735" w14:paraId="22C94F94" w14:textId="77777777" w:rsidTr="00D11278">
        <w:tc>
          <w:tcPr>
            <w:tcW w:w="2789" w:type="dxa"/>
            <w:tcBorders>
              <w:left w:val="nil"/>
            </w:tcBorders>
          </w:tcPr>
          <w:p w14:paraId="453500C7"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 xml:space="preserve">ETS </w:t>
            </w:r>
          </w:p>
        </w:tc>
        <w:tc>
          <w:tcPr>
            <w:tcW w:w="5003" w:type="dxa"/>
          </w:tcPr>
          <w:p w14:paraId="1D6BB8F3"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Construction, miner, heavy vehicle driver</w:t>
            </w:r>
          </w:p>
        </w:tc>
        <w:tc>
          <w:tcPr>
            <w:tcW w:w="1417" w:type="dxa"/>
          </w:tcPr>
          <w:p w14:paraId="48A2FB5F"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86 (3.9)</w:t>
            </w:r>
          </w:p>
        </w:tc>
        <w:tc>
          <w:tcPr>
            <w:tcW w:w="1949" w:type="dxa"/>
          </w:tcPr>
          <w:p w14:paraId="2F925516"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247 360 (5.8)</w:t>
            </w:r>
          </w:p>
        </w:tc>
        <w:tc>
          <w:tcPr>
            <w:tcW w:w="2304" w:type="dxa"/>
            <w:tcBorders>
              <w:right w:val="nil"/>
            </w:tcBorders>
          </w:tcPr>
          <w:p w14:paraId="1BD70436"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4.9 to 6.8</w:t>
            </w:r>
          </w:p>
        </w:tc>
      </w:tr>
      <w:tr w:rsidR="00D11278" w:rsidRPr="00C73735" w14:paraId="420AD392" w14:textId="77777777" w:rsidTr="00D11278">
        <w:tc>
          <w:tcPr>
            <w:tcW w:w="2789" w:type="dxa"/>
            <w:tcBorders>
              <w:left w:val="nil"/>
            </w:tcBorders>
          </w:tcPr>
          <w:p w14:paraId="1FFEB0F1"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 xml:space="preserve">Ionising radiation </w:t>
            </w:r>
          </w:p>
        </w:tc>
        <w:tc>
          <w:tcPr>
            <w:tcW w:w="5003" w:type="dxa"/>
          </w:tcPr>
          <w:p w14:paraId="08D6CEAB"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Health professional, scientist, nurse</w:t>
            </w:r>
          </w:p>
        </w:tc>
        <w:tc>
          <w:tcPr>
            <w:tcW w:w="1417" w:type="dxa"/>
          </w:tcPr>
          <w:p w14:paraId="33C323AE"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60 (2.7)</w:t>
            </w:r>
          </w:p>
        </w:tc>
        <w:tc>
          <w:tcPr>
            <w:tcW w:w="1949" w:type="dxa"/>
          </w:tcPr>
          <w:p w14:paraId="603C8E78"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99 940 (2.3)</w:t>
            </w:r>
          </w:p>
        </w:tc>
        <w:tc>
          <w:tcPr>
            <w:tcW w:w="2304" w:type="dxa"/>
            <w:tcBorders>
              <w:right w:val="nil"/>
            </w:tcBorders>
          </w:tcPr>
          <w:p w14:paraId="0E327DA5"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1.8 to 3.0</w:t>
            </w:r>
          </w:p>
        </w:tc>
      </w:tr>
      <w:tr w:rsidR="00D11278" w:rsidRPr="00C73735" w14:paraId="519B62D3" w14:textId="77777777" w:rsidTr="00D11278">
        <w:tc>
          <w:tcPr>
            <w:tcW w:w="2789" w:type="dxa"/>
            <w:tcBorders>
              <w:left w:val="nil"/>
            </w:tcBorders>
          </w:tcPr>
          <w:p w14:paraId="34635D75"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 xml:space="preserve">PAHs </w:t>
            </w:r>
          </w:p>
        </w:tc>
        <w:tc>
          <w:tcPr>
            <w:tcW w:w="5003" w:type="dxa"/>
          </w:tcPr>
          <w:p w14:paraId="63052E0A"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Farmer, emergency worker, food service</w:t>
            </w:r>
          </w:p>
        </w:tc>
        <w:tc>
          <w:tcPr>
            <w:tcW w:w="1417" w:type="dxa"/>
          </w:tcPr>
          <w:p w14:paraId="58C41BFC"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58 (2.6)</w:t>
            </w:r>
          </w:p>
        </w:tc>
        <w:tc>
          <w:tcPr>
            <w:tcW w:w="1949" w:type="dxa"/>
          </w:tcPr>
          <w:p w14:paraId="76727107"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104 720 (2.5)</w:t>
            </w:r>
          </w:p>
        </w:tc>
        <w:tc>
          <w:tcPr>
            <w:tcW w:w="2304" w:type="dxa"/>
            <w:tcBorders>
              <w:right w:val="nil"/>
            </w:tcBorders>
          </w:tcPr>
          <w:p w14:paraId="1F671B9F"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1.9 to 3.3</w:t>
            </w:r>
          </w:p>
        </w:tc>
      </w:tr>
      <w:tr w:rsidR="00D11278" w:rsidRPr="00C73735" w14:paraId="095F1E28" w14:textId="77777777" w:rsidTr="00D11278">
        <w:tc>
          <w:tcPr>
            <w:tcW w:w="2789" w:type="dxa"/>
            <w:tcBorders>
              <w:left w:val="nil"/>
            </w:tcBorders>
          </w:tcPr>
          <w:p w14:paraId="512B1E1B"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 xml:space="preserve">Silica </w:t>
            </w:r>
          </w:p>
        </w:tc>
        <w:tc>
          <w:tcPr>
            <w:tcW w:w="5003" w:type="dxa"/>
          </w:tcPr>
          <w:p w14:paraId="7E2EC965"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 xml:space="preserve">Construction, miner, farmer </w:t>
            </w:r>
          </w:p>
        </w:tc>
        <w:tc>
          <w:tcPr>
            <w:tcW w:w="1417" w:type="dxa"/>
          </w:tcPr>
          <w:p w14:paraId="63F134DB"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27 (1.2)</w:t>
            </w:r>
          </w:p>
        </w:tc>
        <w:tc>
          <w:tcPr>
            <w:tcW w:w="1949" w:type="dxa"/>
          </w:tcPr>
          <w:p w14:paraId="3785977E"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43 510 (1.0)</w:t>
            </w:r>
          </w:p>
        </w:tc>
        <w:tc>
          <w:tcPr>
            <w:tcW w:w="2304" w:type="dxa"/>
            <w:tcBorders>
              <w:right w:val="nil"/>
            </w:tcBorders>
          </w:tcPr>
          <w:p w14:paraId="1B117FC3"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0.7 to 1.5</w:t>
            </w:r>
          </w:p>
        </w:tc>
      </w:tr>
      <w:tr w:rsidR="00D11278" w:rsidRPr="00C73735" w14:paraId="05AEF5BE" w14:textId="77777777" w:rsidTr="00D11278">
        <w:tc>
          <w:tcPr>
            <w:tcW w:w="2789" w:type="dxa"/>
            <w:tcBorders>
              <w:left w:val="nil"/>
            </w:tcBorders>
          </w:tcPr>
          <w:p w14:paraId="21148E7E"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Wood dust</w:t>
            </w:r>
          </w:p>
        </w:tc>
        <w:tc>
          <w:tcPr>
            <w:tcW w:w="5003" w:type="dxa"/>
          </w:tcPr>
          <w:p w14:paraId="2CAB46D3"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Carpenter, farmer, printer</w:t>
            </w:r>
          </w:p>
        </w:tc>
        <w:tc>
          <w:tcPr>
            <w:tcW w:w="1417" w:type="dxa"/>
          </w:tcPr>
          <w:p w14:paraId="41C8D855"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20 (0.9)</w:t>
            </w:r>
          </w:p>
        </w:tc>
        <w:tc>
          <w:tcPr>
            <w:tcW w:w="1949" w:type="dxa"/>
          </w:tcPr>
          <w:p w14:paraId="511FF9E3"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28 850 (0.7)</w:t>
            </w:r>
          </w:p>
        </w:tc>
        <w:tc>
          <w:tcPr>
            <w:tcW w:w="2304" w:type="dxa"/>
            <w:tcBorders>
              <w:right w:val="nil"/>
            </w:tcBorders>
          </w:tcPr>
          <w:p w14:paraId="52C25E78"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0.4 to 1.2</w:t>
            </w:r>
          </w:p>
        </w:tc>
      </w:tr>
      <w:tr w:rsidR="00D11278" w:rsidRPr="00C73735" w14:paraId="742832A4" w14:textId="77777777" w:rsidTr="00D11278">
        <w:trPr>
          <w:trHeight w:val="80"/>
        </w:trPr>
        <w:tc>
          <w:tcPr>
            <w:tcW w:w="2789" w:type="dxa"/>
            <w:tcBorders>
              <w:left w:val="nil"/>
            </w:tcBorders>
          </w:tcPr>
          <w:p w14:paraId="24162CD4"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Formaldehyde</w:t>
            </w:r>
          </w:p>
        </w:tc>
        <w:tc>
          <w:tcPr>
            <w:tcW w:w="5003" w:type="dxa"/>
          </w:tcPr>
          <w:p w14:paraId="01C27A57"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 xml:space="preserve">Animal/horticultural, health professional, health support </w:t>
            </w:r>
          </w:p>
        </w:tc>
        <w:tc>
          <w:tcPr>
            <w:tcW w:w="1417" w:type="dxa"/>
          </w:tcPr>
          <w:p w14:paraId="1CDC0D5C"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16 (0.7)</w:t>
            </w:r>
          </w:p>
        </w:tc>
        <w:tc>
          <w:tcPr>
            <w:tcW w:w="1949" w:type="dxa"/>
          </w:tcPr>
          <w:p w14:paraId="40F94D47"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29 390 (0.7)</w:t>
            </w:r>
          </w:p>
        </w:tc>
        <w:tc>
          <w:tcPr>
            <w:tcW w:w="2304" w:type="dxa"/>
            <w:tcBorders>
              <w:right w:val="nil"/>
            </w:tcBorders>
          </w:tcPr>
          <w:p w14:paraId="371678E1"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0.4 to 1.2</w:t>
            </w:r>
          </w:p>
        </w:tc>
      </w:tr>
      <w:tr w:rsidR="00D11278" w:rsidRPr="00C73735" w14:paraId="62DB01C1" w14:textId="77777777" w:rsidTr="00D11278">
        <w:tc>
          <w:tcPr>
            <w:tcW w:w="2789" w:type="dxa"/>
            <w:tcBorders>
              <w:left w:val="nil"/>
            </w:tcBorders>
          </w:tcPr>
          <w:p w14:paraId="452BB4CA"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Lead</w:t>
            </w:r>
          </w:p>
        </w:tc>
        <w:tc>
          <w:tcPr>
            <w:tcW w:w="5003" w:type="dxa"/>
          </w:tcPr>
          <w:p w14:paraId="38C382EC"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 xml:space="preserve">Miner, vehicle worker, emergency worker </w:t>
            </w:r>
          </w:p>
        </w:tc>
        <w:tc>
          <w:tcPr>
            <w:tcW w:w="1417" w:type="dxa"/>
          </w:tcPr>
          <w:p w14:paraId="3F8273E6"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12 (0.5)</w:t>
            </w:r>
          </w:p>
        </w:tc>
        <w:tc>
          <w:tcPr>
            <w:tcW w:w="1949" w:type="dxa"/>
          </w:tcPr>
          <w:p w14:paraId="0AA50212"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31 040 (0.7)</w:t>
            </w:r>
          </w:p>
        </w:tc>
        <w:tc>
          <w:tcPr>
            <w:tcW w:w="2304" w:type="dxa"/>
            <w:tcBorders>
              <w:right w:val="nil"/>
            </w:tcBorders>
          </w:tcPr>
          <w:p w14:paraId="774D12E6"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0.4 to 1.2</w:t>
            </w:r>
          </w:p>
        </w:tc>
      </w:tr>
      <w:tr w:rsidR="00D11278" w:rsidRPr="00C73735" w14:paraId="0ED4171A" w14:textId="77777777" w:rsidTr="00D11278">
        <w:tc>
          <w:tcPr>
            <w:tcW w:w="2789" w:type="dxa"/>
            <w:tcBorders>
              <w:left w:val="nil"/>
            </w:tcBorders>
          </w:tcPr>
          <w:p w14:paraId="06DF413A"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Artificial UVR</w:t>
            </w:r>
          </w:p>
        </w:tc>
        <w:tc>
          <w:tcPr>
            <w:tcW w:w="5003" w:type="dxa"/>
          </w:tcPr>
          <w:p w14:paraId="3DD60811"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 xml:space="preserve">Metal worker, farmer, scientist </w:t>
            </w:r>
          </w:p>
        </w:tc>
        <w:tc>
          <w:tcPr>
            <w:tcW w:w="1417" w:type="dxa"/>
          </w:tcPr>
          <w:p w14:paraId="57003E47"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9 (0.4)</w:t>
            </w:r>
          </w:p>
        </w:tc>
        <w:tc>
          <w:tcPr>
            <w:tcW w:w="1949" w:type="dxa"/>
          </w:tcPr>
          <w:p w14:paraId="3F621C49"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12 670 (0.3)</w:t>
            </w:r>
          </w:p>
        </w:tc>
        <w:tc>
          <w:tcPr>
            <w:tcW w:w="2304" w:type="dxa"/>
            <w:tcBorders>
              <w:right w:val="nil"/>
            </w:tcBorders>
          </w:tcPr>
          <w:p w14:paraId="31E3E4FA"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0.2 to 0.6</w:t>
            </w:r>
          </w:p>
        </w:tc>
      </w:tr>
      <w:tr w:rsidR="00D11278" w:rsidRPr="00C73735" w14:paraId="2E7510CB" w14:textId="77777777" w:rsidTr="00D11278">
        <w:tc>
          <w:tcPr>
            <w:tcW w:w="2789" w:type="dxa"/>
            <w:tcBorders>
              <w:left w:val="nil"/>
            </w:tcBorders>
          </w:tcPr>
          <w:p w14:paraId="7986F079"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Ethylene oxide</w:t>
            </w:r>
          </w:p>
        </w:tc>
        <w:tc>
          <w:tcPr>
            <w:tcW w:w="5003" w:type="dxa"/>
          </w:tcPr>
          <w:p w14:paraId="48C43C5B"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 xml:space="preserve">Electrical worker, health professional, health support </w:t>
            </w:r>
          </w:p>
        </w:tc>
        <w:tc>
          <w:tcPr>
            <w:tcW w:w="1417" w:type="dxa"/>
          </w:tcPr>
          <w:p w14:paraId="2B4C4634"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7 (0.3)</w:t>
            </w:r>
          </w:p>
        </w:tc>
        <w:tc>
          <w:tcPr>
            <w:tcW w:w="1949" w:type="dxa"/>
          </w:tcPr>
          <w:p w14:paraId="282DF5E2"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12 970 (0.3)</w:t>
            </w:r>
          </w:p>
        </w:tc>
        <w:tc>
          <w:tcPr>
            <w:tcW w:w="2304" w:type="dxa"/>
            <w:tcBorders>
              <w:right w:val="nil"/>
            </w:tcBorders>
          </w:tcPr>
          <w:p w14:paraId="063EB366"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0.2 to 0.6</w:t>
            </w:r>
          </w:p>
        </w:tc>
      </w:tr>
      <w:tr w:rsidR="00D11278" w:rsidRPr="00C73735" w14:paraId="171FBBDE" w14:textId="77777777" w:rsidTr="00D11278">
        <w:tc>
          <w:tcPr>
            <w:tcW w:w="2789" w:type="dxa"/>
            <w:tcBorders>
              <w:left w:val="nil"/>
              <w:bottom w:val="single" w:sz="4" w:space="0" w:color="auto"/>
            </w:tcBorders>
          </w:tcPr>
          <w:p w14:paraId="5C121330"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 xml:space="preserve">Trichloroethylene </w:t>
            </w:r>
          </w:p>
        </w:tc>
        <w:tc>
          <w:tcPr>
            <w:tcW w:w="5003" w:type="dxa"/>
            <w:tcBorders>
              <w:bottom w:val="single" w:sz="4" w:space="0" w:color="auto"/>
            </w:tcBorders>
          </w:tcPr>
          <w:p w14:paraId="3C76F14E" w14:textId="77777777" w:rsidR="00D11278" w:rsidRPr="00C73735" w:rsidRDefault="00D11278" w:rsidP="00D11278">
            <w:pPr>
              <w:rPr>
                <w:rFonts w:asciiTheme="minorHAnsi" w:hAnsiTheme="minorHAnsi"/>
                <w:sz w:val="18"/>
                <w:szCs w:val="18"/>
              </w:rPr>
            </w:pPr>
            <w:r w:rsidRPr="00C73735">
              <w:rPr>
                <w:rFonts w:asciiTheme="minorHAnsi" w:hAnsiTheme="minorHAnsi"/>
                <w:sz w:val="18"/>
                <w:szCs w:val="18"/>
              </w:rPr>
              <w:t xml:space="preserve">Farmer, nurse, office worker </w:t>
            </w:r>
          </w:p>
        </w:tc>
        <w:tc>
          <w:tcPr>
            <w:tcW w:w="1417" w:type="dxa"/>
            <w:tcBorders>
              <w:bottom w:val="single" w:sz="4" w:space="0" w:color="auto"/>
            </w:tcBorders>
          </w:tcPr>
          <w:p w14:paraId="3A140126"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6 (0.3)</w:t>
            </w:r>
          </w:p>
        </w:tc>
        <w:tc>
          <w:tcPr>
            <w:tcW w:w="1949" w:type="dxa"/>
            <w:tcBorders>
              <w:bottom w:val="single" w:sz="4" w:space="0" w:color="auto"/>
            </w:tcBorders>
          </w:tcPr>
          <w:p w14:paraId="2C7CD10B"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8550 (0.2)</w:t>
            </w:r>
          </w:p>
        </w:tc>
        <w:tc>
          <w:tcPr>
            <w:tcW w:w="2304" w:type="dxa"/>
            <w:tcBorders>
              <w:bottom w:val="single" w:sz="4" w:space="0" w:color="auto"/>
              <w:right w:val="nil"/>
            </w:tcBorders>
          </w:tcPr>
          <w:p w14:paraId="4B6C5C5A" w14:textId="77777777" w:rsidR="00D11278" w:rsidRPr="00C73735" w:rsidRDefault="00D11278" w:rsidP="00D11278">
            <w:pPr>
              <w:jc w:val="right"/>
              <w:rPr>
                <w:rFonts w:asciiTheme="minorHAnsi" w:hAnsiTheme="minorHAnsi"/>
                <w:sz w:val="18"/>
                <w:szCs w:val="18"/>
              </w:rPr>
            </w:pPr>
            <w:r w:rsidRPr="00C73735">
              <w:rPr>
                <w:rFonts w:asciiTheme="minorHAnsi" w:hAnsiTheme="minorHAnsi"/>
                <w:sz w:val="18"/>
                <w:szCs w:val="18"/>
              </w:rPr>
              <w:t xml:space="preserve">0.1 to 0.5 </w:t>
            </w:r>
            <w:r>
              <w:rPr>
                <w:rStyle w:val="FootnoteReference"/>
                <w:rFonts w:asciiTheme="minorHAnsi" w:hAnsiTheme="minorHAnsi"/>
                <w:sz w:val="18"/>
                <w:szCs w:val="18"/>
              </w:rPr>
              <w:footnoteReference w:id="9"/>
            </w:r>
          </w:p>
        </w:tc>
      </w:tr>
    </w:tbl>
    <w:p w14:paraId="0D181423" w14:textId="6391575B" w:rsidR="00E974AF" w:rsidRDefault="00E974AF" w:rsidP="00B74697">
      <w:pPr>
        <w:pStyle w:val="PHD-normaltext"/>
        <w:rPr>
          <w:highlight w:val="green"/>
          <w:lang w:val="en-US"/>
        </w:rPr>
        <w:sectPr w:rsidR="00E974AF" w:rsidSect="00A9173E">
          <w:footnotePr>
            <w:numRestart w:val="eachSect"/>
          </w:footnotePr>
          <w:endnotePr>
            <w:numFmt w:val="decimal"/>
          </w:endnotePr>
          <w:pgSz w:w="16838" w:h="11906" w:orient="landscape"/>
          <w:pgMar w:top="1701" w:right="1134" w:bottom="1134" w:left="1134" w:header="720" w:footer="720" w:gutter="0"/>
          <w:cols w:space="720"/>
          <w:docGrid w:linePitch="326"/>
        </w:sectPr>
      </w:pPr>
    </w:p>
    <w:p w14:paraId="6FC94313" w14:textId="77777777" w:rsidR="00B74697" w:rsidRPr="008A5203" w:rsidRDefault="00B74697" w:rsidP="008A5203">
      <w:pPr>
        <w:pStyle w:val="Heading1"/>
        <w:spacing w:after="120" w:line="360" w:lineRule="auto"/>
        <w:jc w:val="center"/>
        <w:rPr>
          <w:sz w:val="40"/>
        </w:rPr>
      </w:pPr>
      <w:bookmarkStart w:id="43" w:name="_Toc493068347"/>
      <w:r w:rsidRPr="008A5203">
        <w:rPr>
          <w:sz w:val="40"/>
        </w:rPr>
        <w:lastRenderedPageBreak/>
        <w:t>6.</w:t>
      </w:r>
      <w:r w:rsidRPr="008A5203">
        <w:rPr>
          <w:sz w:val="40"/>
        </w:rPr>
        <w:tab/>
        <w:t>DURATION OF EXPOSURE AND LATENCY</w:t>
      </w:r>
      <w:bookmarkEnd w:id="43"/>
    </w:p>
    <w:p w14:paraId="22B06BB1" w14:textId="7CDA397C" w:rsidR="00B74697" w:rsidRPr="000A29FA" w:rsidRDefault="000A29FA" w:rsidP="000A29FA">
      <w:pPr>
        <w:pStyle w:val="Heading2"/>
        <w:spacing w:after="240"/>
        <w:rPr>
          <w:sz w:val="24"/>
          <w:szCs w:val="24"/>
        </w:rPr>
      </w:pPr>
      <w:bookmarkStart w:id="44" w:name="_Toc493068348"/>
      <w:r w:rsidRPr="000A29FA">
        <w:rPr>
          <w:sz w:val="24"/>
          <w:szCs w:val="24"/>
        </w:rPr>
        <w:t>INTRODUCTION</w:t>
      </w:r>
      <w:bookmarkEnd w:id="44"/>
    </w:p>
    <w:p w14:paraId="6520352C" w14:textId="4D5893EC" w:rsidR="00AD179E" w:rsidRPr="006B11C0" w:rsidRDefault="00AD179E" w:rsidP="00B74697">
      <w:pPr>
        <w:pStyle w:val="PHD-normaltext"/>
        <w:rPr>
          <w:lang w:val="en-US"/>
        </w:rPr>
      </w:pPr>
      <w:r w:rsidRPr="006B11C0">
        <w:rPr>
          <w:lang w:val="en-US"/>
        </w:rPr>
        <w:t>For most conditions included on the Deemed Diseases list, there is a period of time (the latency) measured in months or years between first exposure and clinical occurrence of the resulting disorder.  There is also likely to be a minimum exposure (‘sufficient exposure’) below which the disorder would not occur or is very unlikely to occur.  The relevant measure of this exposure is usually the total exposure (cumulative exposure) rather than just a length of exposure or a level (concentration</w:t>
      </w:r>
      <w:r w:rsidR="00751CB6" w:rsidRPr="006B11C0">
        <w:rPr>
          <w:lang w:val="en-US"/>
        </w:rPr>
        <w:t xml:space="preserve"> or intensity</w:t>
      </w:r>
      <w:r w:rsidRPr="006B11C0">
        <w:rPr>
          <w:lang w:val="en-US"/>
        </w:rPr>
        <w:t>) of exposure.  That is, a higher exposure (in terms of the concentration in air or liquid, or the force required</w:t>
      </w:r>
      <w:r w:rsidR="008B1C51" w:rsidRPr="006B11C0">
        <w:rPr>
          <w:lang w:val="en-US"/>
        </w:rPr>
        <w:t xml:space="preserve"> for movement</w:t>
      </w:r>
      <w:r w:rsidRPr="006B11C0">
        <w:rPr>
          <w:lang w:val="en-US"/>
        </w:rPr>
        <w:t>) for a shorter time is assumed to have a similar risk to a lower exposure for a longer time.</w:t>
      </w:r>
    </w:p>
    <w:p w14:paraId="100AB0AF" w14:textId="4A8D849C" w:rsidR="00B74697" w:rsidRPr="006B11C0" w:rsidRDefault="00AD179E" w:rsidP="007F6712">
      <w:pPr>
        <w:pStyle w:val="PHD-normaltext"/>
        <w:spacing w:before="240"/>
        <w:rPr>
          <w:lang w:val="en-US"/>
        </w:rPr>
      </w:pPr>
      <w:r w:rsidRPr="006B11C0">
        <w:rPr>
          <w:lang w:val="en-US"/>
        </w:rPr>
        <w:t>Unfortunately, for most exposure-disorder pairs, th</w:t>
      </w:r>
      <w:r w:rsidR="008B1C51" w:rsidRPr="006B11C0">
        <w:rPr>
          <w:lang w:val="en-US"/>
        </w:rPr>
        <w:t>e</w:t>
      </w:r>
      <w:r w:rsidRPr="006B11C0">
        <w:rPr>
          <w:lang w:val="en-US"/>
        </w:rPr>
        <w:t xml:space="preserve"> latency and minimum exposure are not well characterized.  In addition, the level (concentration) of exposure is unlikely to be known with any accuracy</w:t>
      </w:r>
      <w:r w:rsidR="002834AD" w:rsidRPr="006B11C0">
        <w:rPr>
          <w:lang w:val="en-US"/>
        </w:rPr>
        <w:t xml:space="preserve"> for an individual worker</w:t>
      </w:r>
      <w:r w:rsidRPr="006B11C0">
        <w:rPr>
          <w:lang w:val="en-US"/>
        </w:rPr>
        <w:t xml:space="preserve">.  Therefore, any judgments on this can really only be based on a qualitative assessment.  For some limited exposure-disorder pairs there </w:t>
      </w:r>
      <w:r w:rsidR="008B1C51" w:rsidRPr="006B11C0">
        <w:rPr>
          <w:lang w:val="en-US"/>
        </w:rPr>
        <w:t>is</w:t>
      </w:r>
      <w:r w:rsidRPr="006B11C0">
        <w:rPr>
          <w:lang w:val="en-US"/>
        </w:rPr>
        <w:t xml:space="preserve"> some information in the literature, but assessing this </w:t>
      </w:r>
      <w:r w:rsidR="002834AD" w:rsidRPr="006B11C0">
        <w:rPr>
          <w:lang w:val="en-US"/>
        </w:rPr>
        <w:t xml:space="preserve">comprehensively </w:t>
      </w:r>
      <w:r w:rsidRPr="006B11C0">
        <w:rPr>
          <w:lang w:val="en-US"/>
        </w:rPr>
        <w:t xml:space="preserve">for all conditions on the </w:t>
      </w:r>
      <w:r w:rsidR="008D6E0D">
        <w:rPr>
          <w:lang w:val="en-US"/>
        </w:rPr>
        <w:t>L</w:t>
      </w:r>
      <w:r w:rsidRPr="006B11C0">
        <w:rPr>
          <w:lang w:val="en-US"/>
        </w:rPr>
        <w:t xml:space="preserve">ist would be a lengthy process and beyond the scope of the current project.  In addition, it is unlikely to provide definitive recommendations on sufficient exposure or latency that are precise enough to make a meaningful difference to the current assessment being undertaken for </w:t>
      </w:r>
      <w:r w:rsidR="00F14CAC" w:rsidRPr="006B11C0">
        <w:rPr>
          <w:lang w:val="en-US"/>
        </w:rPr>
        <w:t>the Department</w:t>
      </w:r>
      <w:r w:rsidRPr="006B11C0">
        <w:rPr>
          <w:lang w:val="en-US"/>
        </w:rPr>
        <w:t>.</w:t>
      </w:r>
    </w:p>
    <w:p w14:paraId="0DFF7304" w14:textId="46F4EEFD" w:rsidR="00B74697" w:rsidRPr="006B11C0" w:rsidRDefault="007101FB" w:rsidP="000A29FA">
      <w:pPr>
        <w:pStyle w:val="PHD-normaltext"/>
        <w:spacing w:before="240" w:after="240"/>
        <w:rPr>
          <w:lang w:val="en-US"/>
        </w:rPr>
      </w:pPr>
      <w:r w:rsidRPr="006B11C0">
        <w:t xml:space="preserve">In the absence of definitive information on required cumulative exposure and the likely absence of useful workplace exposure data to establish the cumulative exposure of an individual worker, the appropriate approach appears to be to recommend a minimum exposure time.  </w:t>
      </w:r>
      <w:r w:rsidR="00F33728" w:rsidRPr="006B11C0">
        <w:rPr>
          <w:lang w:val="en-US"/>
        </w:rPr>
        <w:t xml:space="preserve">This assumes that typical workers with exposure to a particular hazardous substance have similar levels of exposure, which means that if they are exposed for a similar length of time they will have a similar cumulative exposure and thus a similar risk of developing the disease related to the exposure.  This is the rationale for proposing a minimum exposure period rather than proposing a minimum cumulative exposure.  </w:t>
      </w:r>
      <w:r w:rsidR="00AD179E" w:rsidRPr="006B11C0">
        <w:rPr>
          <w:lang w:val="en-US"/>
        </w:rPr>
        <w:t>Therefore, with the above provisos, recommendations on sufficient exposure are made for relevant conditions, based on a qualitative and semi-quantitative assessment of the available information.</w:t>
      </w:r>
      <w:r w:rsidRPr="006B11C0">
        <w:rPr>
          <w:lang w:val="en-US"/>
        </w:rPr>
        <w:t xml:space="preserve">  </w:t>
      </w:r>
      <w:r w:rsidR="008B1C51" w:rsidRPr="006B11C0">
        <w:rPr>
          <w:lang w:val="en-US"/>
        </w:rPr>
        <w:t xml:space="preserve">This does not mean that a shorter, intense, exposure could not result in the development of the condition, but there would be enough uncertainty about this to mean such a claim might be better pursued through the usual compensation pathway rather than the Deemed Diseases pathway.  </w:t>
      </w:r>
      <w:r w:rsidR="009B2612" w:rsidRPr="006B11C0">
        <w:rPr>
          <w:lang w:val="en-US"/>
        </w:rPr>
        <w:lastRenderedPageBreak/>
        <w:t xml:space="preserve">Recommendations on latency for most conditions were </w:t>
      </w:r>
      <w:r w:rsidRPr="006B11C0">
        <w:rPr>
          <w:lang w:val="en-US"/>
        </w:rPr>
        <w:t>provided in the official Deemed Diseases report</w:t>
      </w:r>
      <w:r w:rsidR="009B2612" w:rsidRPr="006B11C0">
        <w:rPr>
          <w:lang w:val="en-US"/>
        </w:rPr>
        <w:t xml:space="preserve">.  </w:t>
      </w:r>
      <w:r w:rsidR="002834AD" w:rsidRPr="006B11C0">
        <w:rPr>
          <w:lang w:val="en-US"/>
        </w:rPr>
        <w:t>Some</w:t>
      </w:r>
      <w:r w:rsidR="009B2612" w:rsidRPr="006B11C0">
        <w:rPr>
          <w:lang w:val="en-US"/>
        </w:rPr>
        <w:t xml:space="preserve"> of this information is not suitable for the </w:t>
      </w:r>
      <w:r w:rsidR="00EF2115" w:rsidRPr="006B11C0">
        <w:rPr>
          <w:lang w:val="en-US"/>
        </w:rPr>
        <w:t>Comcare Scheme</w:t>
      </w:r>
      <w:r w:rsidR="00F14CAC" w:rsidRPr="006B11C0">
        <w:rPr>
          <w:lang w:val="en-US"/>
        </w:rPr>
        <w:t>’s</w:t>
      </w:r>
      <w:r w:rsidR="009B2612" w:rsidRPr="006B11C0">
        <w:rPr>
          <w:lang w:val="en-US"/>
        </w:rPr>
        <w:t xml:space="preserve"> Deemed Diseases approach, as explained in the next section</w:t>
      </w:r>
      <w:r w:rsidR="002834AD" w:rsidRPr="006B11C0">
        <w:rPr>
          <w:lang w:val="en-US"/>
        </w:rPr>
        <w:t xml:space="preserve">, and so alternative latencies are provided that are more consistent with the </w:t>
      </w:r>
      <w:r w:rsidR="00EF2115" w:rsidRPr="006B11C0">
        <w:rPr>
          <w:lang w:val="en-US"/>
        </w:rPr>
        <w:t>Comcare Scheme</w:t>
      </w:r>
      <w:r w:rsidR="00F14CAC" w:rsidRPr="006B11C0">
        <w:rPr>
          <w:lang w:val="en-US"/>
        </w:rPr>
        <w:t>’s</w:t>
      </w:r>
      <w:r w:rsidR="002834AD" w:rsidRPr="006B11C0">
        <w:rPr>
          <w:lang w:val="en-US"/>
        </w:rPr>
        <w:t xml:space="preserve"> Deemed Diseases approach</w:t>
      </w:r>
      <w:r w:rsidRPr="006B11C0">
        <w:rPr>
          <w:lang w:val="en-US"/>
        </w:rPr>
        <w:t>.</w:t>
      </w:r>
    </w:p>
    <w:p w14:paraId="4B329E38" w14:textId="1C26821A" w:rsidR="007101FB" w:rsidRPr="000A29FA" w:rsidRDefault="000A29FA" w:rsidP="000A29FA">
      <w:pPr>
        <w:pStyle w:val="Heading2"/>
        <w:spacing w:before="480"/>
        <w:rPr>
          <w:sz w:val="24"/>
          <w:szCs w:val="24"/>
        </w:rPr>
      </w:pPr>
      <w:bookmarkStart w:id="45" w:name="_Toc493068349"/>
      <w:r w:rsidRPr="000A29FA">
        <w:rPr>
          <w:sz w:val="24"/>
          <w:szCs w:val="24"/>
        </w:rPr>
        <w:t>CANCER</w:t>
      </w:r>
      <w:bookmarkEnd w:id="45"/>
    </w:p>
    <w:p w14:paraId="6FECA095" w14:textId="77777777" w:rsidR="00697160" w:rsidRPr="006B11C0" w:rsidRDefault="00697160" w:rsidP="000A29FA">
      <w:pPr>
        <w:pStyle w:val="Heading3"/>
        <w:spacing w:after="120"/>
      </w:pPr>
      <w:bookmarkStart w:id="46" w:name="_Toc493068350"/>
      <w:r w:rsidRPr="006B11C0">
        <w:t>All cancers</w:t>
      </w:r>
      <w:bookmarkEnd w:id="46"/>
    </w:p>
    <w:p w14:paraId="63D976F4" w14:textId="3D813507" w:rsidR="00F33728" w:rsidRPr="006B11C0" w:rsidRDefault="00F33728" w:rsidP="00C46C25">
      <w:pPr>
        <w:pStyle w:val="PHD-normaltext"/>
        <w:spacing w:after="240"/>
        <w:rPr>
          <w:lang w:val="en-US"/>
        </w:rPr>
      </w:pPr>
      <w:r w:rsidRPr="006B11C0">
        <w:rPr>
          <w:lang w:val="en-US"/>
        </w:rPr>
        <w:t xml:space="preserve">The minimum latencies and exposures to adopt for </w:t>
      </w:r>
      <w:r w:rsidR="00F14CAC" w:rsidRPr="006B11C0">
        <w:rPr>
          <w:lang w:val="en-US"/>
        </w:rPr>
        <w:t xml:space="preserve">the </w:t>
      </w:r>
      <w:r w:rsidR="00EF2115" w:rsidRPr="006B11C0">
        <w:rPr>
          <w:lang w:val="en-US"/>
        </w:rPr>
        <w:t>Comcare Scheme</w:t>
      </w:r>
      <w:r w:rsidRPr="006B11C0">
        <w:rPr>
          <w:lang w:val="en-US"/>
        </w:rPr>
        <w:t>'s Deemed Diseases approach depend on the degree of sensitivity (i.e. including all claims that do arise from occupational exposures and therefore that should be compensated) and specificity (excluding all claims that do not arise from occupational exposures and therefore that should not be compensated).  Inevitably, the approach adopted must be a balance between the two, keeping in mind that individual cases which are deemed not to fall under the Deemed Diseases approach can still be the subject of a claim using the usual compensation methods.</w:t>
      </w:r>
    </w:p>
    <w:p w14:paraId="32253063" w14:textId="53DD9944" w:rsidR="008D6E0D" w:rsidRDefault="008202A6" w:rsidP="00C46C25">
      <w:pPr>
        <w:pStyle w:val="PHD-normaltext"/>
        <w:spacing w:after="240"/>
        <w:rPr>
          <w:lang w:val="en-US"/>
        </w:rPr>
      </w:pPr>
      <w:r w:rsidRPr="006B11C0">
        <w:rPr>
          <w:lang w:val="en-US"/>
        </w:rPr>
        <w:t>There is only a small amount of published information available on minimum latency periods for cancer.  This issue has been considered in detail for the World Trade Centre Health Program, which required estimates of minimum latency in regards to providing appropriate health cover to people exposed to any of a variety of hazards following the World Trade Centre attack in 2001.  The Administrator of the Program adopted minimum latencies of 11 years for mesothelioma, four years for most other solid cancers, 2.5 years for cancer of the thyroid and 0.4 years for lymphoproliferative and hematopoietic cancers</w:t>
      </w:r>
      <w:r w:rsidR="002972A9" w:rsidRPr="006B11C0">
        <w:rPr>
          <w:lang w:val="en-US"/>
        </w:rPr>
        <w:fldChar w:fldCharType="begin"/>
      </w:r>
      <w:r w:rsidR="00C341EB">
        <w:rPr>
          <w:lang w:val="en-US"/>
        </w:rPr>
        <w:instrText xml:space="preserve"> ADDIN EN.CITE &lt;EndNote&gt;&lt;Cite&gt;&lt;Author&gt;Howard&lt;/Author&gt;&lt;Year&gt;2015&lt;/Year&gt;&lt;RecNum&gt;984&lt;/RecNum&gt;&lt;DisplayText&gt;&lt;style face="superscript"&gt;29&lt;/style&gt;&lt;/DisplayText&gt;&lt;record&gt;&lt;rec-number&gt;984&lt;/rec-number&gt;&lt;foreign-keys&gt;&lt;key app="EN" db-id="9t2pp5ew3waxt7ex2apvwst4psz2x2xp0xpz" timestamp="1465992953"&gt;984&lt;/key&gt;&lt;/foreign-keys&gt;&lt;ref-type name="Report"&gt;27&lt;/ref-type&gt;&lt;contributors&gt;&lt;authors&gt;&lt;author&gt;Howard, J&lt;/author&gt;&lt;/authors&gt;&lt;tertiary-authors&gt;&lt;author&gt;Center for Disease Control and Prevention&lt;/author&gt;&lt;/tertiary-authors&gt;&lt;/contributors&gt;&lt;titles&gt;&lt;title&gt;Minimum latency and types or categories of cancer - World Trade Center Health Program&lt;/title&gt;&lt;/titles&gt;&lt;dates&gt;&lt;year&gt;2015&lt;/year&gt;&lt;/dates&gt;&lt;pub-location&gt;Washington, DC&lt;/pub-location&gt;&lt;urls&gt;&lt;/urls&gt;&lt;/record&gt;&lt;/Cite&gt;&lt;/EndNote&gt;</w:instrText>
      </w:r>
      <w:r w:rsidR="002972A9" w:rsidRPr="006B11C0">
        <w:rPr>
          <w:lang w:val="en-US"/>
        </w:rPr>
        <w:fldChar w:fldCharType="separate"/>
      </w:r>
      <w:r w:rsidR="00C341EB" w:rsidRPr="00C341EB">
        <w:rPr>
          <w:noProof/>
          <w:vertAlign w:val="superscript"/>
          <w:lang w:val="en-US"/>
        </w:rPr>
        <w:t>29</w:t>
      </w:r>
      <w:r w:rsidR="002972A9" w:rsidRPr="006B11C0">
        <w:rPr>
          <w:lang w:val="en-US"/>
        </w:rPr>
        <w:fldChar w:fldCharType="end"/>
      </w:r>
      <w:r w:rsidRPr="006B11C0">
        <w:rPr>
          <w:lang w:val="en-US"/>
        </w:rPr>
        <w:t>.</w:t>
      </w:r>
      <w:r w:rsidR="009D4E8E" w:rsidRPr="006B11C0">
        <w:rPr>
          <w:lang w:val="en-US"/>
        </w:rPr>
        <w:t xml:space="preserve">  </w:t>
      </w:r>
      <w:r w:rsidR="00F33728" w:rsidRPr="006B11C0">
        <w:rPr>
          <w:lang w:val="en-US"/>
        </w:rPr>
        <w:t xml:space="preserve">These were deliberately very generous assessments, with the minimum period identified by any relevant publication adopted, and are too sensitive for the purposes of the </w:t>
      </w:r>
      <w:r w:rsidR="00EF2115" w:rsidRPr="006B11C0">
        <w:rPr>
          <w:lang w:val="en-US"/>
        </w:rPr>
        <w:t>Comcare Scheme</w:t>
      </w:r>
      <w:r w:rsidR="00F14CAC" w:rsidRPr="006B11C0">
        <w:rPr>
          <w:lang w:val="en-US"/>
        </w:rPr>
        <w:t>’s</w:t>
      </w:r>
      <w:r w:rsidR="00F33728" w:rsidRPr="006B11C0">
        <w:rPr>
          <w:lang w:val="en-US"/>
        </w:rPr>
        <w:t xml:space="preserve"> Deemed Diseases approach.  </w:t>
      </w:r>
      <w:r w:rsidR="009D4E8E" w:rsidRPr="006B11C0">
        <w:rPr>
          <w:lang w:val="en-US"/>
        </w:rPr>
        <w:t xml:space="preserve">Median latencies </w:t>
      </w:r>
      <w:r w:rsidR="00D35227" w:rsidRPr="006B11C0">
        <w:rPr>
          <w:lang w:val="en-US"/>
        </w:rPr>
        <w:t xml:space="preserve">for most of the cancers would be </w:t>
      </w:r>
      <w:r w:rsidR="00F33728" w:rsidRPr="006B11C0">
        <w:rPr>
          <w:lang w:val="en-US"/>
        </w:rPr>
        <w:t>much longer than the</w:t>
      </w:r>
      <w:r w:rsidR="009D4E8E" w:rsidRPr="006B11C0">
        <w:rPr>
          <w:lang w:val="en-US"/>
        </w:rPr>
        <w:t xml:space="preserve"> periods</w:t>
      </w:r>
      <w:r w:rsidR="00F33728" w:rsidRPr="006B11C0">
        <w:rPr>
          <w:lang w:val="en-US"/>
        </w:rPr>
        <w:t xml:space="preserve"> used for the World Trade Centre Health Program</w:t>
      </w:r>
      <w:r w:rsidR="009D4E8E" w:rsidRPr="006B11C0">
        <w:rPr>
          <w:lang w:val="en-US"/>
        </w:rPr>
        <w:t>, in the order of 20 to 30 years for mesothelioma, 15 to 20 years for other solid cancers, and at least one to two years for lymphoproliferative and hematopoietic cancers.</w:t>
      </w:r>
      <w:r w:rsidR="00DF1448" w:rsidRPr="006B11C0">
        <w:rPr>
          <w:lang w:val="en-US"/>
        </w:rPr>
        <w:t xml:space="preserve">  However, using median latency is considered too conservative </w:t>
      </w:r>
      <w:r w:rsidR="00F33728" w:rsidRPr="006B11C0">
        <w:rPr>
          <w:lang w:val="en-US"/>
        </w:rPr>
        <w:t xml:space="preserve">an </w:t>
      </w:r>
      <w:r w:rsidR="00DF1448" w:rsidRPr="006B11C0">
        <w:rPr>
          <w:lang w:val="en-US"/>
        </w:rPr>
        <w:t xml:space="preserve">approach to the identification of an appropriate minimum latency in keeping </w:t>
      </w:r>
      <w:r w:rsidR="004974D9" w:rsidRPr="006B11C0">
        <w:rPr>
          <w:lang w:val="en-US"/>
        </w:rPr>
        <w:t xml:space="preserve">with </w:t>
      </w:r>
      <w:r w:rsidR="00F14CAC" w:rsidRPr="006B11C0">
        <w:rPr>
          <w:lang w:val="en-US"/>
        </w:rPr>
        <w:t xml:space="preserve">the </w:t>
      </w:r>
      <w:r w:rsidR="00EF2115" w:rsidRPr="006B11C0">
        <w:rPr>
          <w:lang w:val="en-US"/>
        </w:rPr>
        <w:t>Comcare Scheme</w:t>
      </w:r>
      <w:r w:rsidR="00F14CAC" w:rsidRPr="006B11C0">
        <w:rPr>
          <w:lang w:val="en-US"/>
        </w:rPr>
        <w:t>’s proposed</w:t>
      </w:r>
      <w:r w:rsidR="00DF1448" w:rsidRPr="006B11C0">
        <w:rPr>
          <w:lang w:val="en-US"/>
        </w:rPr>
        <w:t xml:space="preserve"> Deemed Diseases approach.</w:t>
      </w:r>
    </w:p>
    <w:p w14:paraId="4E84DE87" w14:textId="05FB04E0" w:rsidR="008202A6" w:rsidRPr="006B11C0" w:rsidRDefault="00F33728" w:rsidP="00C46C25">
      <w:pPr>
        <w:pStyle w:val="PHD-normaltext"/>
        <w:spacing w:after="240"/>
        <w:rPr>
          <w:lang w:val="en-US"/>
        </w:rPr>
      </w:pPr>
      <w:r w:rsidRPr="006B11C0">
        <w:rPr>
          <w:lang w:val="en-US"/>
        </w:rPr>
        <w:t>The World Trade Centre Health Program did not suggest or adopt minimum exposure periods because the relevant exposures were very short term, occurring over a matter of hours, days or, sometimes, weeks.</w:t>
      </w:r>
    </w:p>
    <w:p w14:paraId="3E608D6A" w14:textId="31A43C68" w:rsidR="009D4E8E" w:rsidRPr="003B6BB6" w:rsidRDefault="00D35227" w:rsidP="00C46C25">
      <w:pPr>
        <w:pStyle w:val="PHD-normaltext"/>
        <w:spacing w:after="240"/>
        <w:rPr>
          <w:lang w:val="en-US"/>
        </w:rPr>
      </w:pPr>
      <w:r w:rsidRPr="003B6BB6">
        <w:rPr>
          <w:lang w:val="en-US"/>
        </w:rPr>
        <w:lastRenderedPageBreak/>
        <w:t xml:space="preserve">The recommendations below have been developed </w:t>
      </w:r>
      <w:r w:rsidR="0049587D" w:rsidRPr="003B6BB6">
        <w:rPr>
          <w:lang w:val="en-US"/>
        </w:rPr>
        <w:t xml:space="preserve">with an assumption that </w:t>
      </w:r>
      <w:r w:rsidRPr="003B6BB6">
        <w:rPr>
          <w:lang w:val="en-US"/>
        </w:rPr>
        <w:t xml:space="preserve">the Deemed Diseases approach to be adopted </w:t>
      </w:r>
      <w:r w:rsidR="00EF2115" w:rsidRPr="003B6BB6">
        <w:rPr>
          <w:lang w:val="en-US"/>
        </w:rPr>
        <w:t>for</w:t>
      </w:r>
      <w:r w:rsidRPr="003B6BB6">
        <w:rPr>
          <w:lang w:val="en-US"/>
        </w:rPr>
        <w:t xml:space="preserve"> </w:t>
      </w:r>
      <w:r w:rsidR="00F14CAC" w:rsidRPr="003B6BB6">
        <w:rPr>
          <w:lang w:val="en-US"/>
        </w:rPr>
        <w:t xml:space="preserve">the </w:t>
      </w:r>
      <w:r w:rsidR="00EF2115" w:rsidRPr="003B6BB6">
        <w:rPr>
          <w:lang w:val="en-US"/>
        </w:rPr>
        <w:t>Comcare Scheme</w:t>
      </w:r>
      <w:r w:rsidRPr="003B6BB6">
        <w:rPr>
          <w:lang w:val="en-US"/>
        </w:rPr>
        <w:t xml:space="preserve"> should not be based on minimum required latency or exposure, but on latencies and exposures </w:t>
      </w:r>
      <w:r w:rsidR="00F33728" w:rsidRPr="003B6BB6">
        <w:rPr>
          <w:lang w:val="en-US"/>
        </w:rPr>
        <w:t>developed so</w:t>
      </w:r>
      <w:r w:rsidRPr="003B6BB6">
        <w:rPr>
          <w:lang w:val="en-US"/>
        </w:rPr>
        <w:t xml:space="preserve"> there should be little question that the disease of interest could have developed as a result of the occupational exposures in question.  Different recommendations would be made if minimum latency </w:t>
      </w:r>
      <w:r w:rsidR="00F33728" w:rsidRPr="003B6BB6">
        <w:rPr>
          <w:lang w:val="en-US"/>
        </w:rPr>
        <w:t>(</w:t>
      </w:r>
      <w:r w:rsidRPr="003B6BB6">
        <w:rPr>
          <w:lang w:val="en-US"/>
        </w:rPr>
        <w:t xml:space="preserve">and </w:t>
      </w:r>
      <w:r w:rsidR="00F33728" w:rsidRPr="003B6BB6">
        <w:rPr>
          <w:lang w:val="en-US"/>
        </w:rPr>
        <w:t xml:space="preserve">minimum </w:t>
      </w:r>
      <w:r w:rsidRPr="003B6BB6">
        <w:rPr>
          <w:lang w:val="en-US"/>
        </w:rPr>
        <w:t>exposure periods</w:t>
      </w:r>
      <w:r w:rsidR="00F33728" w:rsidRPr="003B6BB6">
        <w:rPr>
          <w:lang w:val="en-US"/>
        </w:rPr>
        <w:t>)</w:t>
      </w:r>
      <w:r w:rsidRPr="003B6BB6">
        <w:rPr>
          <w:lang w:val="en-US"/>
        </w:rPr>
        <w:t xml:space="preserve"> were to be adopted, as has been done for the World Trade Centre Health Program</w:t>
      </w:r>
      <w:r w:rsidR="003B6BB6" w:rsidRPr="003B6BB6">
        <w:rPr>
          <w:lang w:val="en-US"/>
        </w:rPr>
        <w:t>.  However</w:t>
      </w:r>
      <w:r w:rsidR="0049587D" w:rsidRPr="003B6BB6">
        <w:rPr>
          <w:lang w:val="en-US"/>
        </w:rPr>
        <w:t xml:space="preserve">, the adoption of such minimum latencies is less consistent with the Deemed Diseases approach of including disorders very likely to be due to work-related exposures while excluding disorders </w:t>
      </w:r>
      <w:r w:rsidR="003B6BB6">
        <w:rPr>
          <w:lang w:val="en-US"/>
        </w:rPr>
        <w:t>where the relationship to work is less clear</w:t>
      </w:r>
      <w:r w:rsidR="0049587D" w:rsidRPr="003B6BB6">
        <w:rPr>
          <w:lang w:val="en-US"/>
        </w:rPr>
        <w:t>.</w:t>
      </w:r>
    </w:p>
    <w:p w14:paraId="2B603FC4" w14:textId="4B3BCA87" w:rsidR="00D35227" w:rsidRPr="006B11C0" w:rsidRDefault="00D35227" w:rsidP="00C46C25">
      <w:pPr>
        <w:pStyle w:val="PHD-normaltext"/>
        <w:spacing w:after="480"/>
        <w:rPr>
          <w:lang w:val="en-US"/>
        </w:rPr>
      </w:pPr>
      <w:r w:rsidRPr="006B11C0">
        <w:rPr>
          <w:lang w:val="en-US"/>
        </w:rPr>
        <w:t>Specific recommendations are made for mesothelioma</w:t>
      </w:r>
      <w:r w:rsidR="008D6E0D">
        <w:rPr>
          <w:lang w:val="en-US"/>
        </w:rPr>
        <w:t xml:space="preserve"> and </w:t>
      </w:r>
      <w:r w:rsidRPr="006B11C0">
        <w:rPr>
          <w:lang w:val="en-US"/>
        </w:rPr>
        <w:t>lung cancer  For all other cancers, a single recommendation is made for solid cancers and a single recommendation for haematological malignancies, as there is insufficient published information available to provide reliable separate estimates.</w:t>
      </w:r>
    </w:p>
    <w:p w14:paraId="5B546AA6" w14:textId="77777777" w:rsidR="00D35227" w:rsidRPr="006B11C0" w:rsidRDefault="00D35227" w:rsidP="000A29FA">
      <w:pPr>
        <w:pStyle w:val="Heading3"/>
      </w:pPr>
      <w:bookmarkStart w:id="47" w:name="_Toc493068351"/>
      <w:r w:rsidRPr="006B11C0">
        <w:t>Malignant mesothelioma</w:t>
      </w:r>
      <w:bookmarkEnd w:id="47"/>
    </w:p>
    <w:p w14:paraId="508C5A6A" w14:textId="4FD5742F" w:rsidR="00584A0E" w:rsidRPr="006B11C0" w:rsidRDefault="00584A0E" w:rsidP="00C46C25">
      <w:pPr>
        <w:pStyle w:val="PHD-normaltext"/>
        <w:spacing w:after="240"/>
      </w:pPr>
      <w:r w:rsidRPr="006B11C0">
        <w:t xml:space="preserve">For the </w:t>
      </w:r>
      <w:r w:rsidR="00EF2115" w:rsidRPr="006B11C0">
        <w:t>Comcare Scheme</w:t>
      </w:r>
      <w:r w:rsidR="00F14CAC" w:rsidRPr="006B11C0">
        <w:t>’s</w:t>
      </w:r>
      <w:r w:rsidRPr="006B11C0">
        <w:t xml:space="preserve"> Deemed Diseases approach, the minimum exposure period for asbestos work for malignant mesothelioma is recommended to be one year, and the minimum latency is recommended to be twenty years from first exposure.</w:t>
      </w:r>
    </w:p>
    <w:p w14:paraId="3C1132C1" w14:textId="4A1C6F40" w:rsidR="00270BA1" w:rsidRDefault="00270BA1" w:rsidP="00C46C25">
      <w:pPr>
        <w:pStyle w:val="PHD-normaltext"/>
        <w:spacing w:after="240"/>
      </w:pPr>
      <w:r w:rsidRPr="006B11C0">
        <w:t>The recommended minimum latency for mesothelioma arising from asbestos exposure is based on a review study of mesothelioma cases thought to be due to occupational exposure to asbestos which found that 99% of cases had a latency of at least 15 years and 96% had a latency of at least 20 years</w:t>
      </w:r>
      <w:r w:rsidR="002972A9" w:rsidRPr="006B11C0">
        <w:fldChar w:fldCharType="begin"/>
      </w:r>
      <w:r w:rsidR="00C341EB">
        <w:instrText xml:space="preserve"> ADDIN EN.CITE &lt;EndNote&gt;&lt;Cite&gt;&lt;Author&gt;Lanphear&lt;/Author&gt;&lt;Year&gt;1992&lt;/Year&gt;&lt;RecNum&gt;983&lt;/RecNum&gt;&lt;DisplayText&gt;&lt;style face="superscript"&gt;30&lt;/style&gt;&lt;/DisplayText&gt;&lt;record&gt;&lt;rec-number&gt;983&lt;/rec-number&gt;&lt;foreign-keys&gt;&lt;key app="EN" db-id="9t2pp5ew3waxt7ex2apvwst4psz2x2xp0xpz" timestamp="1465955452"&gt;983&lt;/key&gt;&lt;/foreign-keys&gt;&lt;ref-type name="Journal Article"&gt;17&lt;/ref-type&gt;&lt;contributors&gt;&lt;authors&gt;&lt;author&gt;Lanphear, BP&lt;/author&gt;&lt;author&gt;Buncher, CR&lt;/author&gt;&lt;/authors&gt;&lt;/contributors&gt;&lt;titles&gt;&lt;title&gt;Latent period for malignant mesothelioma of occupational origin&lt;/title&gt;&lt;secondary-title&gt;Journal of Occupational Medicine&lt;/secondary-title&gt;&lt;/titles&gt;&lt;periodical&gt;&lt;full-title&gt;Journal of Occupational Medicine&lt;/full-title&gt;&lt;/periodical&gt;&lt;pages&gt;718-721&lt;/pages&gt;&lt;volume&gt;34&lt;/volume&gt;&lt;number&gt;7&lt;/number&gt;&lt;dates&gt;&lt;year&gt;1992&lt;/year&gt;&lt;/dates&gt;&lt;urls&gt;&lt;/urls&gt;&lt;/record&gt;&lt;/Cite&gt;&lt;/EndNote&gt;</w:instrText>
      </w:r>
      <w:r w:rsidR="002972A9" w:rsidRPr="006B11C0">
        <w:fldChar w:fldCharType="separate"/>
      </w:r>
      <w:r w:rsidR="00C341EB" w:rsidRPr="00C341EB">
        <w:rPr>
          <w:noProof/>
          <w:vertAlign w:val="superscript"/>
        </w:rPr>
        <w:t>30</w:t>
      </w:r>
      <w:r w:rsidR="002972A9" w:rsidRPr="006B11C0">
        <w:fldChar w:fldCharType="end"/>
      </w:r>
      <w:r w:rsidRPr="006B11C0">
        <w:t>.  The</w:t>
      </w:r>
      <w:r w:rsidR="000F7C58" w:rsidRPr="006B11C0">
        <w:t>re is no published information to provide strong guidance on a</w:t>
      </w:r>
      <w:r w:rsidRPr="006B11C0">
        <w:t xml:space="preserve"> minimum exposure period </w:t>
      </w:r>
      <w:r w:rsidR="004974D9" w:rsidRPr="006B11C0">
        <w:t>to</w:t>
      </w:r>
      <w:r w:rsidRPr="006B11C0">
        <w:t xml:space="preserve"> </w:t>
      </w:r>
      <w:r w:rsidR="000F7C58" w:rsidRPr="006B11C0">
        <w:t xml:space="preserve">asbestos, but it is clear that brief periods (days to weeks) of significant exposure can meaningfully increase the risk of developing mesothelioma.  </w:t>
      </w:r>
      <w:r w:rsidR="007E78E3" w:rsidRPr="006B11C0">
        <w:t>Therefore, a minimum period of one year, shorter than that recommended for most solid cancers, is recommended for asbestos and malignant mesothelioma</w:t>
      </w:r>
      <w:r w:rsidR="000F7C58" w:rsidRPr="006B11C0">
        <w:t xml:space="preserve"> for the purposes of the </w:t>
      </w:r>
      <w:r w:rsidR="00EF2115" w:rsidRPr="006B11C0">
        <w:t>Comcare Scheme</w:t>
      </w:r>
      <w:r w:rsidR="00F14CAC" w:rsidRPr="006B11C0">
        <w:t>’s</w:t>
      </w:r>
      <w:r w:rsidR="000F7C58" w:rsidRPr="006B11C0">
        <w:t xml:space="preserve"> Deemed Diseases legislation.</w:t>
      </w:r>
    </w:p>
    <w:p w14:paraId="53F82CFA" w14:textId="77777777" w:rsidR="00087E9C" w:rsidRPr="00B024B5" w:rsidRDefault="00087E9C" w:rsidP="000A29FA">
      <w:pPr>
        <w:pStyle w:val="Heading3"/>
      </w:pPr>
      <w:bookmarkStart w:id="48" w:name="_Toc493068352"/>
      <w:r w:rsidRPr="00B024B5">
        <w:t>Lung cancer</w:t>
      </w:r>
      <w:bookmarkEnd w:id="48"/>
    </w:p>
    <w:p w14:paraId="72E26588" w14:textId="743CCFE9" w:rsidR="00584A0E" w:rsidRDefault="00584A0E" w:rsidP="00C46C25">
      <w:pPr>
        <w:pStyle w:val="PHD-normaltext"/>
        <w:spacing w:after="240"/>
      </w:pPr>
      <w:r>
        <w:t xml:space="preserve">For the </w:t>
      </w:r>
      <w:r w:rsidR="00EF2115">
        <w:t>Comcare Scheme</w:t>
      </w:r>
      <w:r w:rsidR="00F14CAC">
        <w:t>’s</w:t>
      </w:r>
      <w:r>
        <w:t xml:space="preserve"> Deemed Diseases approach, </w:t>
      </w:r>
      <w:r w:rsidR="00F33728">
        <w:t xml:space="preserve">the minimum latency for lung cancer </w:t>
      </w:r>
      <w:r w:rsidR="008D6E0D">
        <w:t>caused by</w:t>
      </w:r>
      <w:r w:rsidR="00F33728">
        <w:t xml:space="preserve"> </w:t>
      </w:r>
      <w:r w:rsidR="003027AC">
        <w:t>asbestos exposure</w:t>
      </w:r>
      <w:r w:rsidR="00F33728">
        <w:t xml:space="preserve"> is recommended to be 15 years from first exposure, and </w:t>
      </w:r>
      <w:r>
        <w:t xml:space="preserve">the minimum exposure period for lung cancer from </w:t>
      </w:r>
      <w:r w:rsidR="003027AC">
        <w:t>asbestos exposure</w:t>
      </w:r>
      <w:r>
        <w:t xml:space="preserve"> is recommended to be </w:t>
      </w:r>
      <w:r w:rsidR="007E78E3">
        <w:t>five years</w:t>
      </w:r>
      <w:r>
        <w:t>.</w:t>
      </w:r>
    </w:p>
    <w:p w14:paraId="1E83D66B" w14:textId="180BA058" w:rsidR="000F7C58" w:rsidRDefault="003027AC" w:rsidP="00C46C25">
      <w:pPr>
        <w:pStyle w:val="PHD-normaltext"/>
        <w:spacing w:after="360"/>
      </w:pPr>
      <w:r>
        <w:t>These recommendations are based on s</w:t>
      </w:r>
      <w:r w:rsidR="00584A0E">
        <w:t xml:space="preserve">ome limited useful information </w:t>
      </w:r>
      <w:r w:rsidR="007E78E3">
        <w:t xml:space="preserve">available </w:t>
      </w:r>
      <w:r w:rsidR="00584A0E">
        <w:t xml:space="preserve">about latency for lung cancer – 27% of cases exposed to asbestos </w:t>
      </w:r>
      <w:r w:rsidR="00F33728">
        <w:t>had</w:t>
      </w:r>
      <w:r w:rsidR="00584A0E">
        <w:t xml:space="preserve"> a latency of less than 20 years</w:t>
      </w:r>
      <w:r w:rsidR="002972A9">
        <w:fldChar w:fldCharType="begin"/>
      </w:r>
      <w:r w:rsidR="00C341EB">
        <w:instrText xml:space="preserve"> ADDIN EN.CITE &lt;EndNote&gt;&lt;Cite&gt;&lt;Author&gt;Harding&lt;/Author&gt;&lt;Year&gt;2009&lt;/Year&gt;&lt;RecNum&gt;985&lt;/RecNum&gt;&lt;DisplayText&gt;&lt;style face="superscript"&gt;31&lt;/style&gt;&lt;/DisplayText&gt;&lt;record&gt;&lt;rec-number&gt;985&lt;/rec-number&gt;&lt;foreign-keys&gt;&lt;key app="EN" db-id="9t2pp5ew3waxt7ex2apvwst4psz2x2xp0xpz" timestamp="1465993179"&gt;985&lt;/key&gt;&lt;/foreign-keys&gt;&lt;ref-type name="Journal Article"&gt;17&lt;/ref-type&gt;&lt;contributors&gt;&lt;authors&gt;&lt;author&gt;Harding, AH&lt;/author&gt;&lt;author&gt;Darnton, A&lt;/author&gt;&lt;author&gt;Wegerdt, J&lt;/author&gt;&lt;author&gt;McElvenny, D&lt;/author&gt;&lt;/authors&gt;&lt;/contributors&gt;&lt;titles&gt;&lt;title&gt;Mortality among British asbestos workers undergoing regular medical examinations (1971-2005)&lt;/title&gt;&lt;secondary-title&gt;Occupational &amp;amp; Environmental Medicine&lt;/secondary-title&gt;&lt;/titles&gt;&lt;periodical&gt;&lt;full-title&gt;Occupational &amp;amp; Environmental Medicine&lt;/full-title&gt;&lt;/periodical&gt;&lt;pages&gt;487-495&lt;/pages&gt;&lt;volume&gt;66&lt;/volume&gt;&lt;dates&gt;&lt;year&gt;2009&lt;/year&gt;&lt;/dates&gt;&lt;urls&gt;&lt;/urls&gt;&lt;/record&gt;&lt;/Cite&gt;&lt;/EndNote&gt;</w:instrText>
      </w:r>
      <w:r w:rsidR="002972A9">
        <w:fldChar w:fldCharType="separate"/>
      </w:r>
      <w:r w:rsidR="00C341EB" w:rsidRPr="00C341EB">
        <w:rPr>
          <w:noProof/>
          <w:vertAlign w:val="superscript"/>
        </w:rPr>
        <w:t>31</w:t>
      </w:r>
      <w:r w:rsidR="002972A9">
        <w:fldChar w:fldCharType="end"/>
      </w:r>
      <w:r w:rsidR="00584A0E">
        <w:t xml:space="preserve">, </w:t>
      </w:r>
      <w:r w:rsidR="00D07FCA">
        <w:t xml:space="preserve">14% of cases exposed to chromium </w:t>
      </w:r>
      <w:r w:rsidR="00F33728">
        <w:t>had</w:t>
      </w:r>
      <w:r w:rsidR="00D07FCA">
        <w:t xml:space="preserve"> a latency of less than 20 years</w:t>
      </w:r>
      <w:r w:rsidR="002972A9">
        <w:fldChar w:fldCharType="begin"/>
      </w:r>
      <w:r w:rsidR="00C341EB">
        <w:instrText xml:space="preserve"> ADDIN EN.CITE &lt;EndNote&gt;&lt;Cite&gt;&lt;Author&gt;Luippold&lt;/Author&gt;&lt;Year&gt;2003&lt;/Year&gt;&lt;RecNum&gt;986&lt;/RecNum&gt;&lt;DisplayText&gt;&lt;style face="superscript"&gt;32&lt;/style&gt;&lt;/DisplayText&gt;&lt;record&gt;&lt;rec-number&gt;986&lt;/rec-number&gt;&lt;foreign-keys&gt;&lt;key app="EN" db-id="9t2pp5ew3waxt7ex2apvwst4psz2x2xp0xpz" timestamp="1465993483"&gt;986&lt;/key&gt;&lt;/foreign-keys&gt;&lt;ref-type name="Journal Article"&gt;17&lt;/ref-type&gt;&lt;contributors&gt;&lt;authors&gt;&lt;author&gt;Luippold, RS&lt;/author&gt;&lt;author&gt;Mundt, KA&lt;/author&gt;&lt;author&gt;Austin, RP&lt;/author&gt;&lt;author&gt;Liebig, E&lt;/author&gt;&lt;author&gt;Panko, J&lt;/author&gt;&lt;author&gt;Crump, C&lt;/author&gt;&lt;author&gt;Crump, K&lt;/author&gt;&lt;author&gt;Proctor, D&lt;/author&gt;&lt;/authors&gt;&lt;/contributors&gt;&lt;titles&gt;&lt;title&gt;Lung cancer mortality among chromate production workers&lt;/title&gt;&lt;secondary-title&gt;Occupational &amp;amp; Environmental Medicine&lt;/secondary-title&gt;&lt;/titles&gt;&lt;periodical&gt;&lt;full-title&gt;Occupational &amp;amp; Environmental Medicine&lt;/full-title&gt;&lt;/periodical&gt;&lt;pages&gt;451-457&lt;/pages&gt;&lt;volume&gt;60&lt;/volume&gt;&lt;number&gt;6&lt;/number&gt;&lt;dates&gt;&lt;year&gt;2003&lt;/year&gt;&lt;/dates&gt;&lt;urls&gt;&lt;/urls&gt;&lt;/record&gt;&lt;/Cite&gt;&lt;/EndNote&gt;</w:instrText>
      </w:r>
      <w:r w:rsidR="002972A9">
        <w:fldChar w:fldCharType="separate"/>
      </w:r>
      <w:r w:rsidR="00C341EB" w:rsidRPr="00C341EB">
        <w:rPr>
          <w:noProof/>
          <w:vertAlign w:val="superscript"/>
        </w:rPr>
        <w:t>32</w:t>
      </w:r>
      <w:r w:rsidR="002972A9">
        <w:fldChar w:fldCharType="end"/>
      </w:r>
      <w:r w:rsidR="00D07FCA">
        <w:t xml:space="preserve">, </w:t>
      </w:r>
      <w:r w:rsidR="00B024B5">
        <w:t xml:space="preserve">and </w:t>
      </w:r>
      <w:r w:rsidR="00E10921">
        <w:t xml:space="preserve">the use of </w:t>
      </w:r>
      <w:r w:rsidR="00F33728">
        <w:t xml:space="preserve">a </w:t>
      </w:r>
      <w:r w:rsidR="00E10921">
        <w:t>latency of 15 years show</w:t>
      </w:r>
      <w:r w:rsidR="00F33728">
        <w:t>ed</w:t>
      </w:r>
      <w:r w:rsidR="00E10921">
        <w:t xml:space="preserve"> a good fit to the data in several studies of silica </w:t>
      </w:r>
      <w:r w:rsidR="00E10921">
        <w:lastRenderedPageBreak/>
        <w:t>and lung cancer</w:t>
      </w:r>
      <w:r w:rsidR="002972A9">
        <w:fldChar w:fldCharType="begin"/>
      </w:r>
      <w:r w:rsidR="00C341EB">
        <w:instrText xml:space="preserve"> ADDIN EN.CITE &lt;EndNote&gt;&lt;Cite&gt;&lt;Author&gt;Steenland&lt;/Author&gt;&lt;Year&gt;2001&lt;/Year&gt;&lt;RecNum&gt;987&lt;/RecNum&gt;&lt;DisplayText&gt;&lt;style face="superscript"&gt;33&lt;/style&gt;&lt;/DisplayText&gt;&lt;record&gt;&lt;rec-number&gt;987&lt;/rec-number&gt;&lt;foreign-keys&gt;&lt;key app="EN" db-id="9t2pp5ew3waxt7ex2apvwst4psz2x2xp0xpz" timestamp="1465993637"&gt;987&lt;/key&gt;&lt;/foreign-keys&gt;&lt;ref-type name="Journal Article"&gt;17&lt;/ref-type&gt;&lt;contributors&gt;&lt;authors&gt;&lt;author&gt;Steenland, K&lt;/author&gt;&lt;author&gt;Mannetje, A&lt;/author&gt;&lt;author&gt;Boffetta, P&lt;/author&gt;&lt;author&gt;Stayner, L&lt;/author&gt;&lt;author&gt;Attfield, MD&lt;/author&gt;&lt;author&gt;Chen, J&lt;/author&gt;&lt;author&gt;et al,&lt;/author&gt;&lt;/authors&gt;&lt;/contributors&gt;&lt;titles&gt;&lt;title&gt;Pooled exposure-response analyses and risk assessment for lung cancer in 10 cohorts of silica-exposed workers: an IARC multicentre study&lt;/title&gt;&lt;secondary-title&gt;Cancer Causes and Control&lt;/secondary-title&gt;&lt;/titles&gt;&lt;periodical&gt;&lt;full-title&gt;Cancer Causes and Control&lt;/full-title&gt;&lt;/periodical&gt;&lt;pages&gt; 773-784&lt;/pages&gt;&lt;volume&gt;12&lt;/volume&gt;&lt;number&gt;9&lt;/number&gt;&lt;dates&gt;&lt;year&gt;2001&lt;/year&gt;&lt;/dates&gt;&lt;urls&gt;&lt;/urls&gt;&lt;/record&gt;&lt;/Cite&gt;&lt;/EndNote&gt;</w:instrText>
      </w:r>
      <w:r w:rsidR="002972A9">
        <w:fldChar w:fldCharType="separate"/>
      </w:r>
      <w:r w:rsidR="00C341EB" w:rsidRPr="00C341EB">
        <w:rPr>
          <w:noProof/>
          <w:vertAlign w:val="superscript"/>
        </w:rPr>
        <w:t>33</w:t>
      </w:r>
      <w:r w:rsidR="002972A9">
        <w:fldChar w:fldCharType="end"/>
      </w:r>
      <w:r w:rsidR="00B024B5">
        <w:t>.  Therefore, it is recommended that a latency of 15 years be used</w:t>
      </w:r>
      <w:r w:rsidR="007E78E3">
        <w:t xml:space="preserve"> for lung cancer</w:t>
      </w:r>
      <w:r w:rsidR="00B024B5">
        <w:t>.  There is no consistent evidence that provides strong guidance regarding required exposure.  Therefore, it is recommended that a minimum exposure of five years be used, consistent with that recommended for most other solid cancers</w:t>
      </w:r>
      <w:r w:rsidR="00F33728">
        <w:t xml:space="preserve"> (described below)</w:t>
      </w:r>
      <w:r w:rsidR="00B024B5">
        <w:t>.</w:t>
      </w:r>
    </w:p>
    <w:p w14:paraId="58D61DC4" w14:textId="77777777" w:rsidR="00D35227" w:rsidRPr="006B11C0" w:rsidRDefault="00D35227" w:rsidP="000A29FA">
      <w:pPr>
        <w:pStyle w:val="Heading3"/>
      </w:pPr>
      <w:bookmarkStart w:id="49" w:name="_Toc493068353"/>
      <w:r w:rsidRPr="006B11C0">
        <w:t>All other cancers</w:t>
      </w:r>
      <w:bookmarkEnd w:id="49"/>
    </w:p>
    <w:p w14:paraId="2940E077" w14:textId="7C137A26" w:rsidR="0066584E" w:rsidRPr="006B11C0" w:rsidRDefault="00D35227" w:rsidP="00C46C25">
      <w:pPr>
        <w:pStyle w:val="PHD-normaltext"/>
        <w:spacing w:after="240"/>
        <w:rPr>
          <w:lang w:val="en-US"/>
        </w:rPr>
      </w:pPr>
      <w:r w:rsidRPr="006B11C0">
        <w:rPr>
          <w:lang w:val="en-US"/>
        </w:rPr>
        <w:t>The latency for all solid cancer types not addressed earlier in this section is recommended to be a minimum of fifteen years</w:t>
      </w:r>
      <w:r w:rsidR="0066584E" w:rsidRPr="006B11C0">
        <w:rPr>
          <w:lang w:val="en-US"/>
        </w:rPr>
        <w:t xml:space="preserve"> in terms of claims under the </w:t>
      </w:r>
      <w:r w:rsidR="00EF2115" w:rsidRPr="006B11C0">
        <w:rPr>
          <w:lang w:val="en-US"/>
        </w:rPr>
        <w:t>Comcare Scheme</w:t>
      </w:r>
      <w:r w:rsidR="00F14CAC" w:rsidRPr="006B11C0">
        <w:rPr>
          <w:lang w:val="en-US"/>
        </w:rPr>
        <w:t>’s</w:t>
      </w:r>
      <w:r w:rsidR="004974D9" w:rsidRPr="006B11C0">
        <w:rPr>
          <w:lang w:val="en-US"/>
        </w:rPr>
        <w:t xml:space="preserve"> approach to </w:t>
      </w:r>
      <w:r w:rsidR="0066584E" w:rsidRPr="006B11C0">
        <w:rPr>
          <w:lang w:val="en-US"/>
        </w:rPr>
        <w:t>Deemed Diseases legislation.  This recommendation is</w:t>
      </w:r>
      <w:r w:rsidR="007E78E3" w:rsidRPr="006B11C0">
        <w:rPr>
          <w:lang w:val="en-US"/>
        </w:rPr>
        <w:t xml:space="preserve"> based on the limited available information on the latency for lung cancer</w:t>
      </w:r>
      <w:r w:rsidR="0066584E" w:rsidRPr="006B11C0">
        <w:rPr>
          <w:lang w:val="en-US"/>
        </w:rPr>
        <w:t>, mentioned earlier, and on vinyl chloride monomer and angiosarcoma of the liver</w:t>
      </w:r>
      <w:r w:rsidR="002972A9" w:rsidRPr="006B11C0">
        <w:rPr>
          <w:lang w:val="en-US"/>
        </w:rPr>
        <w:fldChar w:fldCharType="begin"/>
      </w:r>
      <w:r w:rsidR="00C341EB">
        <w:rPr>
          <w:lang w:val="en-US"/>
        </w:rPr>
        <w:instrText xml:space="preserve"> ADDIN EN.CITE &lt;EndNote&gt;&lt;Cite&gt;&lt;Author&gt;Lelbach&lt;/Author&gt;&lt;Year&gt;1996&lt;/Year&gt;&lt;RecNum&gt;992&lt;/RecNum&gt;&lt;DisplayText&gt;&lt;style face="superscript"&gt;34&lt;/style&gt;&lt;/DisplayText&gt;&lt;record&gt;&lt;rec-number&gt;992&lt;/rec-number&gt;&lt;foreign-keys&gt;&lt;key app="EN" db-id="9t2pp5ew3waxt7ex2apvwst4psz2x2xp0xpz" timestamp="1465996007"&gt;992&lt;/key&gt;&lt;/foreign-keys&gt;&lt;ref-type name="Journal Article"&gt;17&lt;/ref-type&gt;&lt;contributors&gt;&lt;authors&gt;&lt;author&gt;Lelbach, WK&lt;/author&gt;&lt;/authors&gt;&lt;/contributors&gt;&lt;titles&gt;&lt;title&gt;A 25-year follow-up study of heavily exposed vinyl chloride workers in Germany&lt;/title&gt;&lt;secondary-title&gt;American Journal of Industrial Medicine&lt;/secondary-title&gt;&lt;/titles&gt;&lt;periodical&gt;&lt;full-title&gt;American Journal of Industrial Medicine&lt;/full-title&gt;&lt;/periodical&gt;&lt;pages&gt;446-458&lt;/pages&gt;&lt;volume&gt;29&lt;/volume&gt;&lt;number&gt;5&lt;/number&gt;&lt;dates&gt;&lt;year&gt;1996&lt;/year&gt;&lt;/dates&gt;&lt;urls&gt;&lt;/urls&gt;&lt;/record&gt;&lt;/Cite&gt;&lt;/EndNote&gt;</w:instrText>
      </w:r>
      <w:r w:rsidR="002972A9" w:rsidRPr="006B11C0">
        <w:rPr>
          <w:lang w:val="en-US"/>
        </w:rPr>
        <w:fldChar w:fldCharType="separate"/>
      </w:r>
      <w:r w:rsidR="00C341EB" w:rsidRPr="00C341EB">
        <w:rPr>
          <w:noProof/>
          <w:vertAlign w:val="superscript"/>
          <w:lang w:val="en-US"/>
        </w:rPr>
        <w:t>34</w:t>
      </w:r>
      <w:r w:rsidR="002972A9" w:rsidRPr="006B11C0">
        <w:rPr>
          <w:lang w:val="en-US"/>
        </w:rPr>
        <w:fldChar w:fldCharType="end"/>
      </w:r>
      <w:r w:rsidRPr="006B11C0">
        <w:rPr>
          <w:lang w:val="en-US"/>
        </w:rPr>
        <w:t xml:space="preserve">.  </w:t>
      </w:r>
      <w:r w:rsidR="0066584E" w:rsidRPr="006B11C0">
        <w:rPr>
          <w:lang w:val="en-US"/>
        </w:rPr>
        <w:t xml:space="preserve">The minimum exposure period for all solid cancers is recommended to be five years for all cancer types, other than those already mentioned above, in terms of claims under </w:t>
      </w:r>
      <w:r w:rsidR="00F14CAC" w:rsidRPr="006B11C0">
        <w:rPr>
          <w:lang w:val="en-US"/>
        </w:rPr>
        <w:t xml:space="preserve">the </w:t>
      </w:r>
      <w:r w:rsidR="00EF2115" w:rsidRPr="006B11C0">
        <w:rPr>
          <w:lang w:val="en-US"/>
        </w:rPr>
        <w:t>Comcare Scheme</w:t>
      </w:r>
      <w:r w:rsidR="00F14CAC" w:rsidRPr="006B11C0">
        <w:rPr>
          <w:lang w:val="en-US"/>
        </w:rPr>
        <w:t>’s</w:t>
      </w:r>
      <w:r w:rsidR="004974D9" w:rsidRPr="006B11C0">
        <w:rPr>
          <w:lang w:val="en-US"/>
        </w:rPr>
        <w:t xml:space="preserve"> approach to </w:t>
      </w:r>
      <w:r w:rsidR="0066584E" w:rsidRPr="006B11C0">
        <w:rPr>
          <w:lang w:val="en-US"/>
        </w:rPr>
        <w:t>Deemed Diseases legislation.</w:t>
      </w:r>
    </w:p>
    <w:p w14:paraId="69CFF61E" w14:textId="05CE385D" w:rsidR="00D35227" w:rsidRPr="006B11C0" w:rsidRDefault="00D35227" w:rsidP="000A29FA">
      <w:pPr>
        <w:pStyle w:val="PHD-normaltext"/>
        <w:spacing w:after="240"/>
        <w:rPr>
          <w:lang w:val="en-US"/>
        </w:rPr>
      </w:pPr>
      <w:r w:rsidRPr="006B11C0">
        <w:rPr>
          <w:lang w:val="en-US"/>
        </w:rPr>
        <w:t>The latency for all haematological malignancies is recommended to be three years</w:t>
      </w:r>
      <w:r w:rsidR="00FC0315" w:rsidRPr="006B11C0">
        <w:rPr>
          <w:lang w:val="en-US"/>
        </w:rPr>
        <w:t>, based on evidence of minimum latencies of two years for formaldehyde and lymphoproliferative and hematopoietic malignancies</w:t>
      </w:r>
      <w:r w:rsidR="002972A9" w:rsidRPr="006B11C0">
        <w:rPr>
          <w:lang w:val="en-US"/>
        </w:rPr>
        <w:fldChar w:fldCharType="begin"/>
      </w:r>
      <w:r w:rsidR="00C341EB">
        <w:rPr>
          <w:lang w:val="en-US"/>
        </w:rPr>
        <w:instrText xml:space="preserve"> ADDIN EN.CITE &lt;EndNote&gt;&lt;Cite&gt;&lt;Author&gt;Beane Freeman&lt;/Author&gt;&lt;Year&gt;2009&lt;/Year&gt;&lt;RecNum&gt;993&lt;/RecNum&gt;&lt;DisplayText&gt;&lt;style face="superscript"&gt;35&lt;/style&gt;&lt;/DisplayText&gt;&lt;record&gt;&lt;rec-number&gt;993&lt;/rec-number&gt;&lt;foreign-keys&gt;&lt;key app="EN" db-id="9t2pp5ew3waxt7ex2apvwst4psz2x2xp0xpz" timestamp="1465996264"&gt;993&lt;/key&gt;&lt;/foreign-keys&gt;&lt;ref-type name="Journal Article"&gt;17&lt;/ref-type&gt;&lt;contributors&gt;&lt;authors&gt;&lt;author&gt;Beane Freeman, LE&lt;/author&gt;&lt;author&gt;Blair, A&lt;/author&gt;&lt;author&gt;Lubin, JH&lt;/author&gt;&lt;author&gt;Stewart, PA&lt;/author&gt;&lt;author&gt;Hayes, RB&lt;/author&gt;&lt;author&gt;Hoover, RN&lt;/author&gt;&lt;author&gt;Hauptmann, M&lt;/author&gt;&lt;/authors&gt;&lt;/contributors&gt;&lt;titles&gt;&lt;title&gt;Mortality from lymphohematopoietic malignancies among workers in formaldehyde industries: the National Cancer Institute Cohort&lt;/title&gt;&lt;secondary-title&gt;Journal of the National Cancer Institute&lt;/secondary-title&gt;&lt;/titles&gt;&lt;periodical&gt;&lt;full-title&gt;Journal of the National Cancer Institute&lt;/full-title&gt;&lt;/periodical&gt;&lt;pages&gt;751-761&lt;/pages&gt;&lt;volume&gt;101&lt;/volume&gt;&lt;number&gt;10&lt;/number&gt;&lt;dates&gt;&lt;year&gt;2009&lt;/year&gt;&lt;/dates&gt;&lt;urls&gt;&lt;/urls&gt;&lt;/record&gt;&lt;/Cite&gt;&lt;/EndNote&gt;</w:instrText>
      </w:r>
      <w:r w:rsidR="002972A9" w:rsidRPr="006B11C0">
        <w:rPr>
          <w:lang w:val="en-US"/>
        </w:rPr>
        <w:fldChar w:fldCharType="separate"/>
      </w:r>
      <w:r w:rsidR="00C341EB" w:rsidRPr="00C341EB">
        <w:rPr>
          <w:noProof/>
          <w:vertAlign w:val="superscript"/>
          <w:lang w:val="en-US"/>
        </w:rPr>
        <w:t>35</w:t>
      </w:r>
      <w:r w:rsidR="002972A9" w:rsidRPr="006B11C0">
        <w:rPr>
          <w:lang w:val="en-US"/>
        </w:rPr>
        <w:fldChar w:fldCharType="end"/>
      </w:r>
      <w:r w:rsidR="00FC0315" w:rsidRPr="006B11C0">
        <w:rPr>
          <w:lang w:val="en-US"/>
        </w:rPr>
        <w:t xml:space="preserve">; </w:t>
      </w:r>
      <w:r w:rsidR="00F305B1" w:rsidRPr="006B11C0">
        <w:rPr>
          <w:lang w:val="en-US"/>
        </w:rPr>
        <w:t xml:space="preserve">and </w:t>
      </w:r>
      <w:r w:rsidR="00FC0315" w:rsidRPr="006B11C0">
        <w:rPr>
          <w:lang w:val="en-US"/>
        </w:rPr>
        <w:t>1.5 years for benzene exposure and acute non-lymphocytic leukemia</w:t>
      </w:r>
      <w:r w:rsidR="002972A9" w:rsidRPr="006B11C0">
        <w:rPr>
          <w:lang w:val="en-US"/>
        </w:rPr>
        <w:fldChar w:fldCharType="begin"/>
      </w:r>
      <w:r w:rsidR="00C341EB">
        <w:rPr>
          <w:lang w:val="en-US"/>
        </w:rPr>
        <w:instrText xml:space="preserve"> ADDIN EN.CITE &lt;EndNote&gt;&lt;Cite&gt;&lt;Author&gt;Hayes&lt;/Author&gt;&lt;Year&gt;1997&lt;/Year&gt;&lt;RecNum&gt;994&lt;/RecNum&gt;&lt;DisplayText&gt;&lt;style face="superscript"&gt;36&lt;/style&gt;&lt;/DisplayText&gt;&lt;record&gt;&lt;rec-number&gt;994&lt;/rec-number&gt;&lt;foreign-keys&gt;&lt;key app="EN" db-id="9t2pp5ew3waxt7ex2apvwst4psz2x2xp0xpz" timestamp="1465996498"&gt;994&lt;/key&gt;&lt;/foreign-keys&gt;&lt;ref-type name="Journal Article"&gt;17&lt;/ref-type&gt;&lt;contributors&gt;&lt;authors&gt;&lt;author&gt;Hayes, RB&lt;/author&gt;&lt;author&gt;Yin, SN&lt;/author&gt;&lt;author&gt;Dosemeci, M&lt;/author&gt;&lt;author&gt;Li, GL&lt;/author&gt;&lt;author&gt;Wacholder, S&lt;/author&gt;&lt;author&gt;Travis, LB&lt;/author&gt;&lt;author&gt;et al,&lt;/author&gt;&lt;/authors&gt;&lt;/contributors&gt;&lt;titles&gt;&lt;title&gt;Benzene and the dose-related incidence of hematologic neoplasms in China. Chinese Academy of Preventive Medicine--National Cancer Institute Benzene Study Group&lt;/title&gt;&lt;secondary-title&gt;Journal of the National Cancer Institute&lt;/secondary-title&gt;&lt;/titles&gt;&lt;periodical&gt;&lt;full-title&gt;Journal of the National Cancer Institute&lt;/full-title&gt;&lt;/periodical&gt;&lt;pages&gt;1065-1071&lt;/pages&gt;&lt;volume&gt;89&lt;/volume&gt;&lt;number&gt;14&lt;/number&gt;&lt;dates&gt;&lt;year&gt;1997&lt;/year&gt;&lt;/dates&gt;&lt;urls&gt;&lt;/urls&gt;&lt;/record&gt;&lt;/Cite&gt;&lt;/EndNote&gt;</w:instrText>
      </w:r>
      <w:r w:rsidR="002972A9" w:rsidRPr="006B11C0">
        <w:rPr>
          <w:lang w:val="en-US"/>
        </w:rPr>
        <w:fldChar w:fldCharType="separate"/>
      </w:r>
      <w:r w:rsidR="00C341EB" w:rsidRPr="00C341EB">
        <w:rPr>
          <w:noProof/>
          <w:vertAlign w:val="superscript"/>
          <w:lang w:val="en-US"/>
        </w:rPr>
        <w:t>36</w:t>
      </w:r>
      <w:r w:rsidR="002972A9" w:rsidRPr="006B11C0">
        <w:rPr>
          <w:lang w:val="en-US"/>
        </w:rPr>
        <w:fldChar w:fldCharType="end"/>
      </w:r>
      <w:r w:rsidR="006B7FB2" w:rsidRPr="006B11C0">
        <w:rPr>
          <w:lang w:val="en-US"/>
        </w:rPr>
        <w:t>.  Without strong evidence of a required minimum exposure period, it is recommended that two years be used, taking into account what evidence is available and the five year recommendation for solid cancers.</w:t>
      </w:r>
    </w:p>
    <w:p w14:paraId="6A21D023" w14:textId="3B31ADD8" w:rsidR="00AD179E" w:rsidRPr="000A29FA" w:rsidRDefault="000A29FA" w:rsidP="000A29FA">
      <w:pPr>
        <w:pStyle w:val="Heading2"/>
        <w:spacing w:after="240"/>
        <w:rPr>
          <w:sz w:val="24"/>
          <w:szCs w:val="24"/>
        </w:rPr>
      </w:pPr>
      <w:bookmarkStart w:id="50" w:name="_Toc493068354"/>
      <w:r w:rsidRPr="000A29FA">
        <w:rPr>
          <w:sz w:val="24"/>
          <w:szCs w:val="24"/>
        </w:rPr>
        <w:t>INFECTION</w:t>
      </w:r>
      <w:bookmarkEnd w:id="50"/>
    </w:p>
    <w:p w14:paraId="2E3AB67E" w14:textId="77777777" w:rsidR="007101FB" w:rsidRPr="006B11C0" w:rsidRDefault="007101FB" w:rsidP="00C46C25">
      <w:pPr>
        <w:pStyle w:val="PHD-normaltext"/>
        <w:spacing w:after="240"/>
        <w:rPr>
          <w:lang w:val="en-US"/>
        </w:rPr>
      </w:pPr>
      <w:r w:rsidRPr="006B11C0">
        <w:rPr>
          <w:lang w:val="en-US"/>
        </w:rPr>
        <w:t>There is no minimum exposure period in terms of infectious agents and a resulting disorder.  Any confirmed or likely contact with the relevant infectious agent would be deemed sufficient exposure.</w:t>
      </w:r>
    </w:p>
    <w:p w14:paraId="176EAA08" w14:textId="22ED4A46" w:rsidR="007101FB" w:rsidRDefault="007101FB" w:rsidP="00AD179E">
      <w:pPr>
        <w:pStyle w:val="PHD-normaltext"/>
        <w:rPr>
          <w:lang w:val="en-US"/>
        </w:rPr>
      </w:pPr>
      <w:r w:rsidRPr="006B11C0">
        <w:rPr>
          <w:lang w:val="en-US"/>
        </w:rPr>
        <w:t xml:space="preserve">The relevant latency periods (usually called ‘incubation periods’) for infectious diseases </w:t>
      </w:r>
      <w:r w:rsidR="004974D9" w:rsidRPr="006B11C0">
        <w:rPr>
          <w:lang w:val="en-US"/>
        </w:rPr>
        <w:t xml:space="preserve">typically </w:t>
      </w:r>
      <w:r w:rsidRPr="006B11C0">
        <w:rPr>
          <w:lang w:val="en-US"/>
        </w:rPr>
        <w:t>range from one to two weeks up to several months, depending on th</w:t>
      </w:r>
      <w:r w:rsidR="000A29FA">
        <w:rPr>
          <w:lang w:val="en-US"/>
        </w:rPr>
        <w:t xml:space="preserve">e specific infectious disease. </w:t>
      </w:r>
      <w:r w:rsidRPr="006B11C0">
        <w:rPr>
          <w:lang w:val="en-US"/>
        </w:rPr>
        <w:t>Recommended latency periods are provided in the Deemed Diseases report.</w:t>
      </w:r>
    </w:p>
    <w:p w14:paraId="0B7DBC17" w14:textId="77777777" w:rsidR="00F0655F" w:rsidRDefault="00F0655F">
      <w:pPr>
        <w:rPr>
          <w:rFonts w:ascii="Verdana" w:hAnsi="Verdana"/>
          <w:b/>
          <w:smallCaps/>
        </w:rPr>
      </w:pPr>
      <w:r>
        <w:br w:type="page"/>
      </w:r>
    </w:p>
    <w:p w14:paraId="71A58742" w14:textId="73142EBD" w:rsidR="007101FB" w:rsidRPr="002C7768" w:rsidRDefault="002C7768" w:rsidP="002C7768">
      <w:pPr>
        <w:pStyle w:val="Heading2"/>
        <w:rPr>
          <w:sz w:val="24"/>
          <w:szCs w:val="24"/>
        </w:rPr>
      </w:pPr>
      <w:bookmarkStart w:id="51" w:name="_Toc493068355"/>
      <w:r w:rsidRPr="002C7768">
        <w:rPr>
          <w:sz w:val="24"/>
          <w:szCs w:val="24"/>
        </w:rPr>
        <w:lastRenderedPageBreak/>
        <w:t>DISEASES OF THE NERVOUS SYSTEM</w:t>
      </w:r>
      <w:bookmarkEnd w:id="51"/>
    </w:p>
    <w:p w14:paraId="7642E510" w14:textId="77777777" w:rsidR="007101FB" w:rsidRPr="00B17966" w:rsidRDefault="007101FB" w:rsidP="002C7768">
      <w:pPr>
        <w:pStyle w:val="Heading3"/>
      </w:pPr>
      <w:bookmarkStart w:id="52" w:name="_Toc493068356"/>
      <w:r w:rsidRPr="00B17966">
        <w:t>Parkinson's disease</w:t>
      </w:r>
      <w:bookmarkEnd w:id="52"/>
    </w:p>
    <w:p w14:paraId="7F5A7AD7" w14:textId="2DD73321" w:rsidR="007101FB" w:rsidRPr="00B17966" w:rsidRDefault="00411F76" w:rsidP="00B22BE9">
      <w:pPr>
        <w:pStyle w:val="PHD-normaltext"/>
        <w:spacing w:after="240"/>
      </w:pPr>
      <w:r>
        <w:t>There is little direct information available on which to base a minimum exposure period or latency.  However, one study of manganism in welders identified a minimum exposure period of one year in a welder (with a mean exposure period of 13.5 years)</w:t>
      </w:r>
      <w:r>
        <w:fldChar w:fldCharType="begin"/>
      </w:r>
      <w:r w:rsidR="00C341EB">
        <w:instrText xml:space="preserve"> ADDIN EN.CITE &lt;EndNote&gt;&lt;Cite&gt;&lt;Author&gt;Ellingsen&lt;/Author&gt;&lt;Year&gt;2008&lt;/Year&gt;&lt;RecNum&gt;997&lt;/RecNum&gt;&lt;DisplayText&gt;&lt;style face="superscript"&gt;37&lt;/style&gt;&lt;/DisplayText&gt;&lt;record&gt;&lt;rec-number&gt;997&lt;/rec-number&gt;&lt;foreign-keys&gt;&lt;key app="EN" db-id="9t2pp5ew3waxt7ex2apvwst4psz2x2xp0xpz" timestamp="1505130138"&gt;997&lt;/key&gt;&lt;/foreign-keys&gt;&lt;ref-type name="Journal Article"&gt;17&lt;/ref-type&gt;&lt;contributors&gt;&lt;authors&gt;&lt;author&gt;Ellingsen, DG&lt;/author&gt;&lt;author&gt;Konstantinov, R&lt;/author&gt;&lt;author&gt;Bast-Pettersen, R&lt;/author&gt;&lt;author&gt;Merkurjeva, L&lt;/author&gt;&lt;author&gt;Chashchin, M&lt;/author&gt;&lt;author&gt;Thomassen, Y&lt;/author&gt;&lt;author&gt;Chashchin, V&lt;/author&gt;&lt;/authors&gt;&lt;/contributors&gt;&lt;titles&gt;&lt;title&gt;A neurobehavioral study of current and former welders exposed to manganese&lt;/title&gt;&lt;secondary-title&gt;Neurotoxicology&lt;/secondary-title&gt;&lt;/titles&gt;&lt;periodical&gt;&lt;full-title&gt;Neurotoxicology&lt;/full-title&gt;&lt;/periodical&gt;&lt;pages&gt;48-59&lt;/pages&gt;&lt;volume&gt;29&lt;/volume&gt;&lt;number&gt;1&lt;/number&gt;&lt;dates&gt;&lt;year&gt;2008&lt;/year&gt;&lt;/dates&gt;&lt;urls&gt;&lt;/urls&gt;&lt;/record&gt;&lt;/Cite&gt;&lt;/EndNote&gt;</w:instrText>
      </w:r>
      <w:r>
        <w:fldChar w:fldCharType="separate"/>
      </w:r>
      <w:r w:rsidR="00C341EB" w:rsidRPr="00C341EB">
        <w:rPr>
          <w:noProof/>
          <w:vertAlign w:val="superscript"/>
        </w:rPr>
        <w:t>37</w:t>
      </w:r>
      <w:r>
        <w:fldChar w:fldCharType="end"/>
      </w:r>
      <w:r>
        <w:t>.  Based on this information and a likely relevant pathophysiological processes, t</w:t>
      </w:r>
      <w:r w:rsidR="004B5B72" w:rsidRPr="00B17966">
        <w:t>he minimum exposure period</w:t>
      </w:r>
      <w:r w:rsidR="00B17966" w:rsidRPr="00B17966">
        <w:t xml:space="preserve">, and the minimum latency period, are both recommended to be </w:t>
      </w:r>
      <w:r w:rsidR="00481C90">
        <w:t>one year</w:t>
      </w:r>
      <w:r w:rsidR="00B17966" w:rsidRPr="00B17966">
        <w:t>.</w:t>
      </w:r>
    </w:p>
    <w:p w14:paraId="7E066C11" w14:textId="77777777" w:rsidR="007101FB" w:rsidRPr="005A6026" w:rsidRDefault="007101FB" w:rsidP="002C7768">
      <w:pPr>
        <w:pStyle w:val="Heading3"/>
      </w:pPr>
      <w:bookmarkStart w:id="53" w:name="_Toc493068357"/>
      <w:r w:rsidRPr="005A6026">
        <w:t>Peripheral neuropathy</w:t>
      </w:r>
      <w:bookmarkEnd w:id="53"/>
    </w:p>
    <w:p w14:paraId="576CCC33" w14:textId="77777777" w:rsidR="00B17966" w:rsidRPr="005A6026" w:rsidRDefault="00B17966" w:rsidP="00B22BE9">
      <w:pPr>
        <w:pStyle w:val="PHD-normaltext"/>
        <w:spacing w:after="240"/>
        <w:rPr>
          <w:lang w:val="en-US"/>
        </w:rPr>
      </w:pPr>
      <w:r w:rsidRPr="005A6026">
        <w:rPr>
          <w:lang w:val="en-US"/>
        </w:rPr>
        <w:t xml:space="preserve">There is no clear </w:t>
      </w:r>
      <w:r w:rsidR="004974D9" w:rsidRPr="005A6026">
        <w:rPr>
          <w:lang w:val="en-US"/>
        </w:rPr>
        <w:t xml:space="preserve">minimum </w:t>
      </w:r>
      <w:r w:rsidRPr="005A6026">
        <w:rPr>
          <w:lang w:val="en-US"/>
        </w:rPr>
        <w:t xml:space="preserve">exposure period in terms of agents that may result in peripheral neuropathy.  It is possible a single, high level contact with one of the relevant agents could eventually result in peripheral nerve damage, but the amount of exposure could vary considerably between agents.  </w:t>
      </w:r>
      <w:r w:rsidR="008F1A42" w:rsidRPr="005A6026">
        <w:rPr>
          <w:lang w:val="en-US"/>
        </w:rPr>
        <w:t xml:space="preserve">To take into account the likely variation in necessary exposure time, and for consistency with the approach to Parkinson’s disease, the minimum exposure period is recommended to be one year.  </w:t>
      </w:r>
      <w:r w:rsidRPr="005A6026">
        <w:rPr>
          <w:lang w:val="en-US"/>
        </w:rPr>
        <w:t>The relevant latency period can probably vary between weeks to years.</w:t>
      </w:r>
      <w:r w:rsidR="001B3B6F" w:rsidRPr="005A6026">
        <w:rPr>
          <w:lang w:val="en-US"/>
        </w:rPr>
        <w:t xml:space="preserve">  A </w:t>
      </w:r>
      <w:r w:rsidR="00943DA1" w:rsidRPr="005A6026">
        <w:rPr>
          <w:lang w:val="en-US"/>
        </w:rPr>
        <w:t xml:space="preserve">minimum </w:t>
      </w:r>
      <w:r w:rsidR="001B3B6F" w:rsidRPr="005A6026">
        <w:rPr>
          <w:lang w:val="en-US"/>
        </w:rPr>
        <w:t xml:space="preserve">latency of </w:t>
      </w:r>
      <w:r w:rsidR="00481C90" w:rsidRPr="005A6026">
        <w:rPr>
          <w:lang w:val="en-US"/>
        </w:rPr>
        <w:t>one year is recommended.</w:t>
      </w:r>
    </w:p>
    <w:p w14:paraId="03E29C78" w14:textId="4256C53B" w:rsidR="007101FB" w:rsidRPr="002C7768" w:rsidRDefault="002C7768" w:rsidP="002C7768">
      <w:pPr>
        <w:pStyle w:val="Heading2"/>
        <w:rPr>
          <w:sz w:val="24"/>
          <w:szCs w:val="24"/>
        </w:rPr>
      </w:pPr>
      <w:bookmarkStart w:id="54" w:name="_Toc493068358"/>
      <w:r w:rsidRPr="002C7768">
        <w:rPr>
          <w:sz w:val="24"/>
          <w:szCs w:val="24"/>
        </w:rPr>
        <w:t>DISEASES OF THE RESPIRATORY SYSTEM</w:t>
      </w:r>
      <w:bookmarkEnd w:id="54"/>
    </w:p>
    <w:p w14:paraId="27995633" w14:textId="77777777" w:rsidR="007101FB" w:rsidRPr="005A6026" w:rsidRDefault="007101FB" w:rsidP="002C7768">
      <w:pPr>
        <w:pStyle w:val="Heading3"/>
      </w:pPr>
      <w:bookmarkStart w:id="55" w:name="_Toc493068359"/>
      <w:r w:rsidRPr="005A6026">
        <w:t>Asthma</w:t>
      </w:r>
      <w:bookmarkEnd w:id="55"/>
    </w:p>
    <w:p w14:paraId="408CBB9E" w14:textId="77777777" w:rsidR="007101FB" w:rsidRPr="005A6026" w:rsidRDefault="00CE4577" w:rsidP="00B22BE9">
      <w:pPr>
        <w:pStyle w:val="PHD-normaltext"/>
        <w:spacing w:after="240"/>
      </w:pPr>
      <w:r w:rsidRPr="005A6026">
        <w:t>Occupational asthma can occasionally result from a single high exposure to a very irritant gaseous agent, but more commonly it occurs as a result of sensitisation to an agent to which there is recurrent contact in the workplace.  This contact might only be for a short time before the sensitisation develops.  So, it would be reasonable to accept a minimum exposure period and latency of weeks.</w:t>
      </w:r>
      <w:r w:rsidR="00481C90" w:rsidRPr="005A6026">
        <w:t xml:space="preserve">  It is recommended that the minimum exposure period is one month and the minimum latency period is one month.</w:t>
      </w:r>
    </w:p>
    <w:p w14:paraId="7CC7B5C5" w14:textId="77777777" w:rsidR="007101FB" w:rsidRPr="005A6026" w:rsidRDefault="007101FB" w:rsidP="002C7768">
      <w:pPr>
        <w:pStyle w:val="Heading3"/>
      </w:pPr>
      <w:bookmarkStart w:id="56" w:name="_Toc493068360"/>
      <w:r w:rsidRPr="005A6026">
        <w:t>Pneumoconioses</w:t>
      </w:r>
      <w:bookmarkEnd w:id="56"/>
    </w:p>
    <w:p w14:paraId="1495377C" w14:textId="77777777" w:rsidR="007101FB" w:rsidRPr="005A6026" w:rsidRDefault="00CE4577" w:rsidP="00B22BE9">
      <w:pPr>
        <w:pStyle w:val="PHD-normaltext"/>
        <w:spacing w:after="240"/>
        <w:rPr>
          <w:lang w:val="en-US"/>
        </w:rPr>
      </w:pPr>
      <w:r w:rsidRPr="005A6026">
        <w:rPr>
          <w:lang w:val="en-US"/>
        </w:rPr>
        <w:t>Development of pneumoconiosis can arise from, and soon after, a brief period (a few weeks to a few months)</w:t>
      </w:r>
      <w:r w:rsidR="00DF2DDF" w:rsidRPr="005A6026">
        <w:rPr>
          <w:lang w:val="en-US"/>
        </w:rPr>
        <w:t xml:space="preserve"> of exposure</w:t>
      </w:r>
      <w:r w:rsidRPr="005A6026">
        <w:rPr>
          <w:lang w:val="en-US"/>
        </w:rPr>
        <w:t>.  However, such exposures should no longer occur in Australia</w:t>
      </w:r>
      <w:r w:rsidR="00481C90" w:rsidRPr="005A6026">
        <w:rPr>
          <w:lang w:val="en-US"/>
        </w:rPr>
        <w:t xml:space="preserve"> and typically the relevant exposure period would be much longer</w:t>
      </w:r>
      <w:r w:rsidRPr="005A6026">
        <w:rPr>
          <w:lang w:val="en-US"/>
        </w:rPr>
        <w:t xml:space="preserve">.  Therefore, it would be reasonable to accept a minimum exposure period of </w:t>
      </w:r>
      <w:r w:rsidR="00481C90" w:rsidRPr="005A6026">
        <w:rPr>
          <w:lang w:val="en-US"/>
        </w:rPr>
        <w:t>five years</w:t>
      </w:r>
      <w:r w:rsidRPr="005A6026">
        <w:rPr>
          <w:lang w:val="en-US"/>
        </w:rPr>
        <w:t xml:space="preserve"> and a latency period of five years.</w:t>
      </w:r>
    </w:p>
    <w:p w14:paraId="7A2A0CB9" w14:textId="77777777" w:rsidR="007101FB" w:rsidRPr="005A6026" w:rsidRDefault="007101FB" w:rsidP="002C7768">
      <w:pPr>
        <w:pStyle w:val="Heading3"/>
      </w:pPr>
      <w:bookmarkStart w:id="57" w:name="_Toc493068361"/>
      <w:r w:rsidRPr="005A6026">
        <w:t>Byssinosis and extrinsic allergic alveolitis</w:t>
      </w:r>
      <w:bookmarkEnd w:id="57"/>
    </w:p>
    <w:p w14:paraId="3A3705FA" w14:textId="77777777" w:rsidR="007101FB" w:rsidRPr="005A6026" w:rsidRDefault="00CE4577" w:rsidP="00B22BE9">
      <w:pPr>
        <w:pStyle w:val="PHD-normaltext"/>
        <w:spacing w:after="240"/>
        <w:rPr>
          <w:lang w:val="en-US"/>
        </w:rPr>
      </w:pPr>
      <w:r w:rsidRPr="005A6026">
        <w:rPr>
          <w:lang w:val="en-US"/>
        </w:rPr>
        <w:t xml:space="preserve">Byssinosis and extrinsic allergic alveolitis, like much occupational asthma, are immune-mediated disorders that arise due to sensitization to one or more organic agents in the workplace (byssinosis arises due to sensitization to cotton dust).  </w:t>
      </w:r>
      <w:r w:rsidRPr="005A6026">
        <w:t xml:space="preserve">This contact might only </w:t>
      </w:r>
      <w:r w:rsidRPr="005A6026">
        <w:lastRenderedPageBreak/>
        <w:t>be for a short time before the sensitisation develops.  So, it would be reasonable to accept a minimum exposure period and latency of weeks.</w:t>
      </w:r>
      <w:r w:rsidR="002528E9" w:rsidRPr="005A6026">
        <w:t xml:space="preserve">  As with asthma, it is recommended that the minimum exposure period is one month and the minimum latency period is one month.</w:t>
      </w:r>
    </w:p>
    <w:p w14:paraId="7F938BB5" w14:textId="6DB6F5F7" w:rsidR="007101FB" w:rsidRPr="002C7768" w:rsidRDefault="002C7768" w:rsidP="002C7768">
      <w:pPr>
        <w:pStyle w:val="Heading2"/>
        <w:rPr>
          <w:sz w:val="24"/>
          <w:szCs w:val="24"/>
        </w:rPr>
      </w:pPr>
      <w:bookmarkStart w:id="58" w:name="_Toc493068362"/>
      <w:r w:rsidRPr="002C7768">
        <w:rPr>
          <w:sz w:val="24"/>
          <w:szCs w:val="24"/>
        </w:rPr>
        <w:t>HEPATIC DISEASES</w:t>
      </w:r>
      <w:bookmarkEnd w:id="58"/>
    </w:p>
    <w:p w14:paraId="5A638EC5" w14:textId="77777777" w:rsidR="00EA0C68" w:rsidRPr="005A6026" w:rsidRDefault="00EA0C68" w:rsidP="002C7768">
      <w:pPr>
        <w:pStyle w:val="Heading3"/>
      </w:pPr>
      <w:bookmarkStart w:id="59" w:name="_Toc493068363"/>
      <w:r w:rsidRPr="005A6026">
        <w:t>Non-infectious hepatitis</w:t>
      </w:r>
      <w:bookmarkEnd w:id="59"/>
    </w:p>
    <w:p w14:paraId="38690AB0" w14:textId="77777777" w:rsidR="00EA0C68" w:rsidRPr="005A6026" w:rsidRDefault="00EA0C68" w:rsidP="00B22BE9">
      <w:pPr>
        <w:pStyle w:val="PHD-normaltext"/>
        <w:spacing w:after="240"/>
        <w:rPr>
          <w:lang w:val="en-US"/>
        </w:rPr>
      </w:pPr>
      <w:r w:rsidRPr="005A6026">
        <w:rPr>
          <w:lang w:val="en-US"/>
        </w:rPr>
        <w:t xml:space="preserve">There is no clear </w:t>
      </w:r>
      <w:r w:rsidR="008B1C51" w:rsidRPr="005A6026">
        <w:rPr>
          <w:lang w:val="en-US"/>
        </w:rPr>
        <w:t xml:space="preserve">minimum </w:t>
      </w:r>
      <w:r w:rsidRPr="005A6026">
        <w:rPr>
          <w:lang w:val="en-US"/>
        </w:rPr>
        <w:t>exposure period in terms of agents that may result in non-infectious hepatitis.  A single, high level contact with one of the relevant agents could result in acute liver damage, but the amount of exposure could vary considerably between agents.  The relevant latency period can probably vary between days and months.</w:t>
      </w:r>
      <w:r w:rsidR="00943DA1" w:rsidRPr="005A6026">
        <w:rPr>
          <w:lang w:val="en-US"/>
        </w:rPr>
        <w:t xml:space="preserve">  As with peripheral neuropathy, a </w:t>
      </w:r>
      <w:r w:rsidR="002E3634" w:rsidRPr="005A6026">
        <w:rPr>
          <w:lang w:val="en-US"/>
        </w:rPr>
        <w:t xml:space="preserve">minimum exposure period of one year and a </w:t>
      </w:r>
      <w:r w:rsidR="00943DA1" w:rsidRPr="005A6026">
        <w:rPr>
          <w:lang w:val="en-US"/>
        </w:rPr>
        <w:t>minimum latency of one year is recommended.</w:t>
      </w:r>
    </w:p>
    <w:p w14:paraId="14207C7B" w14:textId="77777777" w:rsidR="00EA0C68" w:rsidRPr="005A6026" w:rsidRDefault="00EA0C68" w:rsidP="002C7768">
      <w:pPr>
        <w:pStyle w:val="Heading3"/>
      </w:pPr>
      <w:bookmarkStart w:id="60" w:name="_Toc493068364"/>
      <w:r w:rsidRPr="005A6026">
        <w:t>Chronic active hepatitis</w:t>
      </w:r>
      <w:bookmarkEnd w:id="60"/>
    </w:p>
    <w:p w14:paraId="3D544038" w14:textId="77777777" w:rsidR="00EA0C68" w:rsidRPr="005A6026" w:rsidRDefault="00EA0C68" w:rsidP="00B22BE9">
      <w:pPr>
        <w:pStyle w:val="PHD-normaltext"/>
        <w:spacing w:after="240"/>
        <w:rPr>
          <w:lang w:val="en-US"/>
        </w:rPr>
      </w:pPr>
      <w:r w:rsidRPr="005A6026">
        <w:rPr>
          <w:lang w:val="en-US"/>
        </w:rPr>
        <w:t xml:space="preserve">There is no minimum exposure period in terms of exposure to the </w:t>
      </w:r>
      <w:r w:rsidR="008B1C51" w:rsidRPr="005A6026">
        <w:rPr>
          <w:lang w:val="en-US"/>
        </w:rPr>
        <w:t>H</w:t>
      </w:r>
      <w:r w:rsidRPr="005A6026">
        <w:rPr>
          <w:lang w:val="en-US"/>
        </w:rPr>
        <w:t xml:space="preserve">epatitis B or C viruses and the development of hepatitis and subsequent chronic active hepatitis.  Any confirmed or likely contact with the relevant infectious agent would be deemed sufficient exposure.  The relevant latency period for the initial infection is a few weeks, but the period between this and the development of chronic active hepatitis is </w:t>
      </w:r>
      <w:r w:rsidR="008B1C51" w:rsidRPr="005A6026">
        <w:rPr>
          <w:lang w:val="en-US"/>
        </w:rPr>
        <w:t>by definition</w:t>
      </w:r>
      <w:r w:rsidRPr="005A6026">
        <w:rPr>
          <w:lang w:val="en-US"/>
        </w:rPr>
        <w:t xml:space="preserve"> a</w:t>
      </w:r>
      <w:r w:rsidR="00943DA1" w:rsidRPr="005A6026">
        <w:rPr>
          <w:lang w:val="en-US"/>
        </w:rPr>
        <w:t xml:space="preserve"> minimum of at least six months.  Therefore, six months is the recommended minimum latency.</w:t>
      </w:r>
    </w:p>
    <w:p w14:paraId="6753C969" w14:textId="5CAD517A" w:rsidR="007101FB" w:rsidRPr="002C7768" w:rsidRDefault="002C7768" w:rsidP="002C7768">
      <w:pPr>
        <w:pStyle w:val="Heading2"/>
        <w:rPr>
          <w:sz w:val="24"/>
          <w:szCs w:val="24"/>
        </w:rPr>
      </w:pPr>
      <w:bookmarkStart w:id="61" w:name="_Toc493068365"/>
      <w:r w:rsidRPr="002C7768">
        <w:rPr>
          <w:sz w:val="24"/>
          <w:szCs w:val="24"/>
        </w:rPr>
        <w:t>SKIN DISEASES</w:t>
      </w:r>
      <w:bookmarkEnd w:id="61"/>
    </w:p>
    <w:p w14:paraId="1462BF8D" w14:textId="77777777" w:rsidR="00EA0C68" w:rsidRPr="005A6026" w:rsidRDefault="00EA0C68" w:rsidP="002C7768">
      <w:pPr>
        <w:pStyle w:val="Heading3"/>
      </w:pPr>
      <w:bookmarkStart w:id="62" w:name="_Toc493068366"/>
      <w:r w:rsidRPr="005A6026">
        <w:t>Irritant and allergic contact dermatitis</w:t>
      </w:r>
      <w:bookmarkEnd w:id="62"/>
    </w:p>
    <w:p w14:paraId="2B5B481C" w14:textId="77777777" w:rsidR="00A9412B" w:rsidRPr="005A6026" w:rsidRDefault="00A9412B" w:rsidP="00B22BE9">
      <w:pPr>
        <w:pStyle w:val="PHD-normaltext"/>
        <w:spacing w:after="240"/>
      </w:pPr>
      <w:r w:rsidRPr="005A6026">
        <w:t>Irritant contact dermatitis can result from a single intense exposure or more commonly from recurrent exposure to an agent that causes skin irritation.  It would be reasonable to accept a minimum exposure period and latency of weeks.</w:t>
      </w:r>
      <w:r w:rsidR="00943DA1" w:rsidRPr="005A6026">
        <w:t xml:space="preserve">  It is recommended the minimum exposure period and latency be four weeks.</w:t>
      </w:r>
    </w:p>
    <w:p w14:paraId="1C5C0579" w14:textId="77777777" w:rsidR="00A9412B" w:rsidRPr="005A6026" w:rsidRDefault="00A9412B" w:rsidP="00B22BE9">
      <w:pPr>
        <w:pStyle w:val="PHD-normaltext"/>
        <w:spacing w:after="240"/>
      </w:pPr>
      <w:r w:rsidRPr="005A6026">
        <w:t>Allergic contact dermatitis is similar to occupational asthma in that it occurs as a result of sensitisation to an agent to which there is recurrent contact in the workplace.  This contact might only be for a short time before the sensitisation develops.  So, it would be reasonable to accept a minimum exposure period and latency of weeks.</w:t>
      </w:r>
      <w:r w:rsidR="00943DA1" w:rsidRPr="005A6026">
        <w:t xml:space="preserve">  As with asthma, it is recommended that the minimum exposure period is one month and the minimum latency period is one month.</w:t>
      </w:r>
    </w:p>
    <w:p w14:paraId="7CAE0AA4" w14:textId="77777777" w:rsidR="00EA0C68" w:rsidRPr="005A6026" w:rsidRDefault="00EA0C68" w:rsidP="002C7768">
      <w:pPr>
        <w:pStyle w:val="Heading3"/>
      </w:pPr>
      <w:bookmarkStart w:id="63" w:name="_Toc493068367"/>
      <w:r w:rsidRPr="005A6026">
        <w:t>Vitiligo</w:t>
      </w:r>
      <w:bookmarkEnd w:id="63"/>
    </w:p>
    <w:p w14:paraId="3BDB363B" w14:textId="77777777" w:rsidR="00EA0C68" w:rsidRPr="005A6026" w:rsidRDefault="008E74D9" w:rsidP="00B22BE9">
      <w:pPr>
        <w:pStyle w:val="PHD-normaltext"/>
        <w:spacing w:after="240"/>
        <w:rPr>
          <w:lang w:val="en-US"/>
        </w:rPr>
      </w:pPr>
      <w:r w:rsidRPr="005A6026">
        <w:rPr>
          <w:lang w:val="en-US"/>
        </w:rPr>
        <w:t xml:space="preserve">Vitiligo results from skin contact with a limited number of chemical agents.  The required minimum exposure is not clear but it appears vitiligo </w:t>
      </w:r>
      <w:r w:rsidRPr="005A6026">
        <w:t xml:space="preserve">can result from a single intense </w:t>
      </w:r>
      <w:r w:rsidRPr="005A6026">
        <w:lastRenderedPageBreak/>
        <w:t>exposure or from recurrent exposure to an agent that causes skin irritation.  It would be reasonable to accept a minimum exposure period and latency of weeks</w:t>
      </w:r>
      <w:r w:rsidRPr="005A6026">
        <w:rPr>
          <w:lang w:val="en-US"/>
        </w:rPr>
        <w:t>.</w:t>
      </w:r>
      <w:r w:rsidR="00943DA1" w:rsidRPr="005A6026">
        <w:rPr>
          <w:lang w:val="en-US"/>
        </w:rPr>
        <w:t xml:space="preserve">  </w:t>
      </w:r>
      <w:r w:rsidR="00943DA1" w:rsidRPr="005A6026">
        <w:t>It is recommended the minimum exposure period and latency be four weeks.</w:t>
      </w:r>
    </w:p>
    <w:p w14:paraId="4987CA1F" w14:textId="3FBFE796" w:rsidR="007101FB" w:rsidRPr="002C7768" w:rsidRDefault="002C7768" w:rsidP="002C7768">
      <w:pPr>
        <w:pStyle w:val="Heading2"/>
        <w:rPr>
          <w:sz w:val="24"/>
          <w:szCs w:val="24"/>
        </w:rPr>
      </w:pPr>
      <w:bookmarkStart w:id="64" w:name="_Toc493068368"/>
      <w:r w:rsidRPr="002C7768">
        <w:rPr>
          <w:sz w:val="24"/>
          <w:szCs w:val="24"/>
        </w:rPr>
        <w:t>MUSCULOSKELETAL DISEASES</w:t>
      </w:r>
      <w:bookmarkEnd w:id="64"/>
    </w:p>
    <w:p w14:paraId="7961D39C" w14:textId="77777777" w:rsidR="004E5BF1" w:rsidRPr="005A6026" w:rsidRDefault="004E5BF1" w:rsidP="002C7768">
      <w:pPr>
        <w:pStyle w:val="Heading3"/>
      </w:pPr>
      <w:bookmarkStart w:id="65" w:name="_Toc493068369"/>
      <w:r w:rsidRPr="005A6026">
        <w:t>Raynaud’s disease</w:t>
      </w:r>
      <w:bookmarkEnd w:id="65"/>
    </w:p>
    <w:p w14:paraId="39000B66" w14:textId="77777777" w:rsidR="004E5BF1" w:rsidRPr="005A6026" w:rsidRDefault="004E5BF1" w:rsidP="00B22BE9">
      <w:pPr>
        <w:pStyle w:val="PHD-normaltext"/>
        <w:spacing w:after="240"/>
        <w:rPr>
          <w:lang w:val="en-US"/>
        </w:rPr>
      </w:pPr>
      <w:r w:rsidRPr="005A6026">
        <w:rPr>
          <w:lang w:val="en-US"/>
        </w:rPr>
        <w:t xml:space="preserve">Raynaud’s disease usually requires prolonged exposure to vibration from high-powered tools or equipment.  </w:t>
      </w:r>
      <w:r w:rsidRPr="005A6026">
        <w:t>It would be reasonable to accept a minimum exposure period and latency of weeks</w:t>
      </w:r>
      <w:r w:rsidRPr="005A6026">
        <w:rPr>
          <w:lang w:val="en-US"/>
        </w:rPr>
        <w:t>.</w:t>
      </w:r>
      <w:r w:rsidR="00943DA1" w:rsidRPr="005A6026">
        <w:rPr>
          <w:lang w:val="en-US"/>
        </w:rPr>
        <w:t xml:space="preserve">  </w:t>
      </w:r>
      <w:r w:rsidR="00943DA1" w:rsidRPr="005A6026">
        <w:t>It is recommended the minimum exposure period and latency be three months.</w:t>
      </w:r>
    </w:p>
    <w:p w14:paraId="1BBE4C5B" w14:textId="77777777" w:rsidR="004E5BF1" w:rsidRPr="005A6026" w:rsidRDefault="004E5BF1" w:rsidP="002C7768">
      <w:pPr>
        <w:pStyle w:val="Heading3"/>
      </w:pPr>
      <w:bookmarkStart w:id="66" w:name="_Toc493068370"/>
      <w:r w:rsidRPr="005A6026">
        <w:t>Bursitis (at the elbow or knee)</w:t>
      </w:r>
      <w:bookmarkEnd w:id="66"/>
    </w:p>
    <w:p w14:paraId="6E83F049" w14:textId="77777777" w:rsidR="004E5BF1" w:rsidRPr="005A6026" w:rsidRDefault="004E5BF1" w:rsidP="00B22BE9">
      <w:pPr>
        <w:pStyle w:val="PHD-normaltext"/>
        <w:spacing w:after="240"/>
        <w:rPr>
          <w:lang w:val="en-US"/>
        </w:rPr>
      </w:pPr>
      <w:r w:rsidRPr="005A6026">
        <w:rPr>
          <w:lang w:val="en-US"/>
        </w:rPr>
        <w:t xml:space="preserve">Bursitis usually requires prolonged exposure to repetitive movements or pressure causing irritation of the pre-patellar (knee) or olecranon (elbow) bursa.  This typically takes several weeks to several years of such movements.  </w:t>
      </w:r>
      <w:r w:rsidRPr="005A6026">
        <w:t xml:space="preserve">It would be reasonable to accept a minimum exposure period and latency of </w:t>
      </w:r>
      <w:r w:rsidR="000511B9" w:rsidRPr="005A6026">
        <w:t>several months</w:t>
      </w:r>
      <w:r w:rsidRPr="005A6026">
        <w:rPr>
          <w:lang w:val="en-US"/>
        </w:rPr>
        <w:t>.</w:t>
      </w:r>
      <w:r w:rsidR="000511B9" w:rsidRPr="005A6026">
        <w:rPr>
          <w:lang w:val="en-US"/>
        </w:rPr>
        <w:t xml:space="preserve">  </w:t>
      </w:r>
      <w:r w:rsidR="000511B9" w:rsidRPr="005A6026">
        <w:t>It is recommended the minimum exposure period and latency be six months.</w:t>
      </w:r>
    </w:p>
    <w:p w14:paraId="3A73B6B9" w14:textId="789D9908" w:rsidR="007101FB" w:rsidRPr="002C7768" w:rsidRDefault="002C7768" w:rsidP="002C7768">
      <w:pPr>
        <w:pStyle w:val="Heading2"/>
        <w:rPr>
          <w:sz w:val="24"/>
          <w:szCs w:val="24"/>
        </w:rPr>
      </w:pPr>
      <w:bookmarkStart w:id="67" w:name="_Toc493068371"/>
      <w:r w:rsidRPr="002C7768">
        <w:rPr>
          <w:sz w:val="24"/>
          <w:szCs w:val="24"/>
        </w:rPr>
        <w:t>ACUTE POISONING AND TOXICITY</w:t>
      </w:r>
      <w:bookmarkEnd w:id="67"/>
    </w:p>
    <w:p w14:paraId="04359A32" w14:textId="77777777" w:rsidR="00381EAF" w:rsidRPr="007101FB" w:rsidRDefault="00381EAF" w:rsidP="00381EAF">
      <w:pPr>
        <w:pStyle w:val="PHD-normaltext"/>
        <w:rPr>
          <w:lang w:val="en-US"/>
        </w:rPr>
      </w:pPr>
      <w:r w:rsidRPr="005A6026">
        <w:rPr>
          <w:lang w:val="en-US"/>
        </w:rPr>
        <w:t xml:space="preserve">There is no </w:t>
      </w:r>
      <w:r w:rsidR="00E00C52" w:rsidRPr="005A6026">
        <w:rPr>
          <w:lang w:val="en-US"/>
        </w:rPr>
        <w:t xml:space="preserve">clear </w:t>
      </w:r>
      <w:r w:rsidRPr="005A6026">
        <w:rPr>
          <w:lang w:val="en-US"/>
        </w:rPr>
        <w:t>minimum exposure period in terms of agents that may result in acute poisoning and toxicity.  A single, high level contact with one of the relevant agents could result in acute poisoning, but the amount of exposure could vary considerably between agents.  The relevant latency period can probably vary between zero days and months.</w:t>
      </w:r>
      <w:r w:rsidR="000511B9" w:rsidRPr="005A6026">
        <w:rPr>
          <w:lang w:val="en-US"/>
        </w:rPr>
        <w:t xml:space="preserve">  </w:t>
      </w:r>
      <w:r w:rsidR="000511B9" w:rsidRPr="005A6026">
        <w:t>It is recommended there be no minimum exposure period or latency.</w:t>
      </w:r>
    </w:p>
    <w:p w14:paraId="1769327A" w14:textId="77777777" w:rsidR="00861A3C" w:rsidRDefault="00535859" w:rsidP="002F76BC">
      <w:pPr>
        <w:pStyle w:val="PHD-chapterheading"/>
        <w:rPr>
          <w:sz w:val="20"/>
        </w:rPr>
      </w:pPr>
      <w:r w:rsidRPr="0039518B">
        <w:rPr>
          <w:highlight w:val="green"/>
        </w:rPr>
        <w:br w:type="page"/>
      </w:r>
      <w:bookmarkEnd w:id="0"/>
    </w:p>
    <w:p w14:paraId="39C242A5" w14:textId="77777777" w:rsidR="00861A3C" w:rsidRPr="002C7768" w:rsidRDefault="00A8549B" w:rsidP="002C7768">
      <w:pPr>
        <w:pStyle w:val="Heading1"/>
        <w:jc w:val="center"/>
        <w:rPr>
          <w:sz w:val="40"/>
        </w:rPr>
      </w:pPr>
      <w:bookmarkStart w:id="68" w:name="_Toc493068372"/>
      <w:r w:rsidRPr="002C7768">
        <w:rPr>
          <w:sz w:val="40"/>
        </w:rPr>
        <w:lastRenderedPageBreak/>
        <w:t>7</w:t>
      </w:r>
      <w:r w:rsidR="00861A3C" w:rsidRPr="002C7768">
        <w:rPr>
          <w:sz w:val="40"/>
        </w:rPr>
        <w:t>.</w:t>
      </w:r>
      <w:r w:rsidR="00861A3C" w:rsidRPr="002C7768">
        <w:rPr>
          <w:sz w:val="40"/>
        </w:rPr>
        <w:tab/>
        <w:t>REFERENCES</w:t>
      </w:r>
      <w:bookmarkEnd w:id="68"/>
    </w:p>
    <w:p w14:paraId="01A6379C" w14:textId="15798DD9" w:rsidR="00C341EB" w:rsidRPr="00C341EB" w:rsidRDefault="002972A9"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fldChar w:fldCharType="begin"/>
      </w:r>
      <w:r w:rsidR="00E332C7" w:rsidRPr="00C341EB">
        <w:rPr>
          <w:rFonts w:ascii="Verdana" w:hAnsi="Verdana"/>
          <w:sz w:val="20"/>
        </w:rPr>
        <w:instrText xml:space="preserve"> ADDIN EN.REFLIST </w:instrText>
      </w:r>
      <w:r w:rsidRPr="00C341EB">
        <w:rPr>
          <w:rFonts w:ascii="Verdana" w:hAnsi="Verdana"/>
          <w:sz w:val="20"/>
        </w:rPr>
        <w:fldChar w:fldCharType="separate"/>
      </w:r>
      <w:r w:rsidR="00C341EB" w:rsidRPr="00C341EB">
        <w:rPr>
          <w:rFonts w:ascii="Verdana" w:hAnsi="Verdana"/>
          <w:sz w:val="20"/>
        </w:rPr>
        <w:t>1.</w:t>
      </w:r>
      <w:r w:rsidR="00C341EB" w:rsidRPr="00C341EB">
        <w:rPr>
          <w:rFonts w:ascii="Verdana" w:hAnsi="Verdana"/>
          <w:sz w:val="20"/>
        </w:rPr>
        <w:tab/>
        <w:t xml:space="preserve">Driscoll T. </w:t>
      </w:r>
      <w:r w:rsidR="00C341EB" w:rsidRPr="00C341EB">
        <w:rPr>
          <w:rFonts w:ascii="Verdana" w:hAnsi="Verdana"/>
          <w:i/>
          <w:sz w:val="20"/>
        </w:rPr>
        <w:t>Deemed Diseases in Australia</w:t>
      </w:r>
      <w:r w:rsidR="00C341EB" w:rsidRPr="00C341EB">
        <w:rPr>
          <w:rFonts w:ascii="Verdana" w:hAnsi="Verdana"/>
          <w:sz w:val="20"/>
        </w:rPr>
        <w:t xml:space="preserve">. 2015: Canberra. Available from: </w:t>
      </w:r>
      <w:hyperlink r:id="rId21" w:history="1">
        <w:r w:rsidR="00C341EB" w:rsidRPr="00C341EB">
          <w:rPr>
            <w:rStyle w:val="Hyperlink"/>
            <w:rFonts w:ascii="Verdana" w:hAnsi="Verdana"/>
            <w:sz w:val="20"/>
          </w:rPr>
          <w:t>http://www.safeworkaustralia.gov.au/sites/SWA/about/Publications/Documents/931/deemed-diseases.pdf</w:t>
        </w:r>
      </w:hyperlink>
      <w:r w:rsidR="00C341EB" w:rsidRPr="00C341EB">
        <w:rPr>
          <w:rFonts w:ascii="Verdana" w:hAnsi="Verdana"/>
          <w:sz w:val="20"/>
        </w:rPr>
        <w:t>.</w:t>
      </w:r>
    </w:p>
    <w:p w14:paraId="07CB376C"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2.</w:t>
      </w:r>
      <w:r w:rsidRPr="00C341EB">
        <w:rPr>
          <w:rFonts w:ascii="Verdana" w:hAnsi="Verdana"/>
          <w:sz w:val="20"/>
        </w:rPr>
        <w:tab/>
        <w:t>Lim S, Vos T, Flaxman A</w:t>
      </w:r>
      <w:r w:rsidRPr="00C341EB">
        <w:rPr>
          <w:rFonts w:ascii="Verdana" w:hAnsi="Verdana"/>
          <w:i/>
          <w:sz w:val="20"/>
        </w:rPr>
        <w:t xml:space="preserve"> et al</w:t>
      </w:r>
      <w:r w:rsidRPr="00C341EB">
        <w:rPr>
          <w:rFonts w:ascii="Verdana" w:hAnsi="Verdana"/>
          <w:sz w:val="20"/>
        </w:rPr>
        <w:t>. A comparative risk assessment of burden of disease and injury attributable to 67 risk factors and risk factor clusters in 21 regions, 1990-2010: a systematic analysis for the Global Burden of Disease Study 2010</w:t>
      </w:r>
      <w:r w:rsidRPr="00C341EB">
        <w:rPr>
          <w:rFonts w:ascii="Verdana" w:hAnsi="Verdana"/>
          <w:i/>
          <w:sz w:val="20"/>
        </w:rPr>
        <w:t>.</w:t>
      </w:r>
      <w:r w:rsidRPr="00C341EB">
        <w:rPr>
          <w:rFonts w:ascii="Verdana" w:hAnsi="Verdana"/>
          <w:sz w:val="20"/>
        </w:rPr>
        <w:t xml:space="preserve"> </w:t>
      </w:r>
      <w:r w:rsidRPr="00C341EB">
        <w:rPr>
          <w:rFonts w:ascii="Verdana" w:hAnsi="Verdana"/>
          <w:i/>
          <w:sz w:val="20"/>
        </w:rPr>
        <w:t>Lancet</w:t>
      </w:r>
      <w:r w:rsidRPr="00C341EB">
        <w:rPr>
          <w:rFonts w:ascii="Verdana" w:hAnsi="Verdana"/>
          <w:sz w:val="20"/>
        </w:rPr>
        <w:t xml:space="preserve">, 2012. </w:t>
      </w:r>
      <w:r w:rsidRPr="00C341EB">
        <w:rPr>
          <w:rFonts w:ascii="Verdana" w:hAnsi="Verdana"/>
          <w:b/>
          <w:sz w:val="20"/>
        </w:rPr>
        <w:t>380</w:t>
      </w:r>
      <w:r w:rsidRPr="00C341EB">
        <w:rPr>
          <w:rFonts w:ascii="Verdana" w:hAnsi="Verdana"/>
          <w:sz w:val="20"/>
        </w:rPr>
        <w:t>:2224–2260.</w:t>
      </w:r>
    </w:p>
    <w:p w14:paraId="692C8CAF"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3.</w:t>
      </w:r>
      <w:r w:rsidRPr="00C341EB">
        <w:rPr>
          <w:rFonts w:ascii="Verdana" w:hAnsi="Verdana"/>
          <w:sz w:val="20"/>
        </w:rPr>
        <w:tab/>
        <w:t>Hauptmann M, Lubin J, Stewart P</w:t>
      </w:r>
      <w:r w:rsidRPr="00C341EB">
        <w:rPr>
          <w:rFonts w:ascii="Verdana" w:hAnsi="Verdana"/>
          <w:i/>
          <w:sz w:val="20"/>
        </w:rPr>
        <w:t xml:space="preserve"> et al</w:t>
      </w:r>
      <w:r w:rsidRPr="00C341EB">
        <w:rPr>
          <w:rFonts w:ascii="Verdana" w:hAnsi="Verdana"/>
          <w:sz w:val="20"/>
        </w:rPr>
        <w:t>. Mortality from solid cancers among workers in formaldehyde industries</w:t>
      </w:r>
      <w:r w:rsidRPr="00C341EB">
        <w:rPr>
          <w:rFonts w:ascii="Verdana" w:hAnsi="Verdana"/>
          <w:i/>
          <w:sz w:val="20"/>
        </w:rPr>
        <w:t>.</w:t>
      </w:r>
      <w:r w:rsidRPr="00C341EB">
        <w:rPr>
          <w:rFonts w:ascii="Verdana" w:hAnsi="Verdana"/>
          <w:sz w:val="20"/>
        </w:rPr>
        <w:t xml:space="preserve"> </w:t>
      </w:r>
      <w:r w:rsidRPr="00C341EB">
        <w:rPr>
          <w:rFonts w:ascii="Verdana" w:hAnsi="Verdana"/>
          <w:i/>
          <w:sz w:val="20"/>
        </w:rPr>
        <w:t>American Journal of Epidemiology</w:t>
      </w:r>
      <w:r w:rsidRPr="00C341EB">
        <w:rPr>
          <w:rFonts w:ascii="Verdana" w:hAnsi="Verdana"/>
          <w:sz w:val="20"/>
        </w:rPr>
        <w:t xml:space="preserve">, 2004. </w:t>
      </w:r>
      <w:r w:rsidRPr="00C341EB">
        <w:rPr>
          <w:rFonts w:ascii="Verdana" w:hAnsi="Verdana"/>
          <w:b/>
          <w:sz w:val="20"/>
        </w:rPr>
        <w:t>159</w:t>
      </w:r>
      <w:r w:rsidRPr="00C341EB">
        <w:rPr>
          <w:rFonts w:ascii="Verdana" w:hAnsi="Verdana"/>
          <w:sz w:val="20"/>
        </w:rPr>
        <w:t>(12):1117-1130.</w:t>
      </w:r>
    </w:p>
    <w:p w14:paraId="34535AB1"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4.</w:t>
      </w:r>
      <w:r w:rsidRPr="00C341EB">
        <w:rPr>
          <w:rFonts w:ascii="Verdana" w:hAnsi="Verdana"/>
          <w:sz w:val="20"/>
        </w:rPr>
        <w:tab/>
        <w:t xml:space="preserve">Institute of Medicine of the National Academies (IOM). </w:t>
      </w:r>
      <w:r w:rsidRPr="00C341EB">
        <w:rPr>
          <w:rFonts w:ascii="Verdana" w:hAnsi="Verdana"/>
          <w:i/>
          <w:sz w:val="20"/>
        </w:rPr>
        <w:t>Asbestos: selected cancers</w:t>
      </w:r>
      <w:r w:rsidRPr="00C341EB">
        <w:rPr>
          <w:rFonts w:ascii="Verdana" w:hAnsi="Verdana"/>
          <w:sz w:val="20"/>
        </w:rPr>
        <w:t xml:space="preserve">. 2006, The National Academies Press: Washington, DC. </w:t>
      </w:r>
    </w:p>
    <w:p w14:paraId="3B79D12C"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5.</w:t>
      </w:r>
      <w:r w:rsidRPr="00C341EB">
        <w:rPr>
          <w:rFonts w:ascii="Verdana" w:hAnsi="Verdana"/>
          <w:sz w:val="20"/>
        </w:rPr>
        <w:tab/>
        <w:t>Soskolne C, Zeighami E, Hanis N</w:t>
      </w:r>
      <w:r w:rsidRPr="00C341EB">
        <w:rPr>
          <w:rFonts w:ascii="Verdana" w:hAnsi="Verdana"/>
          <w:i/>
          <w:sz w:val="20"/>
        </w:rPr>
        <w:t xml:space="preserve"> et al</w:t>
      </w:r>
      <w:r w:rsidRPr="00C341EB">
        <w:rPr>
          <w:rFonts w:ascii="Verdana" w:hAnsi="Verdana"/>
          <w:sz w:val="20"/>
        </w:rPr>
        <w:t>. Laryngeal cancer and occupational exposure to sulfuric acid</w:t>
      </w:r>
      <w:r w:rsidRPr="00C341EB">
        <w:rPr>
          <w:rFonts w:ascii="Verdana" w:hAnsi="Verdana"/>
          <w:i/>
          <w:sz w:val="20"/>
        </w:rPr>
        <w:t>.</w:t>
      </w:r>
      <w:r w:rsidRPr="00C341EB">
        <w:rPr>
          <w:rFonts w:ascii="Verdana" w:hAnsi="Verdana"/>
          <w:sz w:val="20"/>
        </w:rPr>
        <w:t xml:space="preserve"> </w:t>
      </w:r>
      <w:r w:rsidRPr="00C341EB">
        <w:rPr>
          <w:rFonts w:ascii="Verdana" w:hAnsi="Verdana"/>
          <w:i/>
          <w:sz w:val="20"/>
        </w:rPr>
        <w:t>American Journal of Epidemiology</w:t>
      </w:r>
      <w:r w:rsidRPr="00C341EB">
        <w:rPr>
          <w:rFonts w:ascii="Verdana" w:hAnsi="Verdana"/>
          <w:sz w:val="20"/>
        </w:rPr>
        <w:t xml:space="preserve">, 1984. </w:t>
      </w:r>
      <w:r w:rsidRPr="00C341EB">
        <w:rPr>
          <w:rFonts w:ascii="Verdana" w:hAnsi="Verdana"/>
          <w:b/>
          <w:sz w:val="20"/>
        </w:rPr>
        <w:t>120</w:t>
      </w:r>
      <w:r w:rsidRPr="00C341EB">
        <w:rPr>
          <w:rFonts w:ascii="Verdana" w:hAnsi="Verdana"/>
          <w:sz w:val="20"/>
        </w:rPr>
        <w:t>(3):358-369.</w:t>
      </w:r>
    </w:p>
    <w:p w14:paraId="1656E4A7"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6.</w:t>
      </w:r>
      <w:r w:rsidRPr="00C341EB">
        <w:rPr>
          <w:rFonts w:ascii="Verdana" w:hAnsi="Verdana"/>
          <w:sz w:val="20"/>
        </w:rPr>
        <w:tab/>
        <w:t>Lenters V, Vermeulen R, Dogger S</w:t>
      </w:r>
      <w:r w:rsidRPr="00C341EB">
        <w:rPr>
          <w:rFonts w:ascii="Verdana" w:hAnsi="Verdana"/>
          <w:i/>
          <w:sz w:val="20"/>
        </w:rPr>
        <w:t xml:space="preserve"> et al</w:t>
      </w:r>
      <w:r w:rsidRPr="00C341EB">
        <w:rPr>
          <w:rFonts w:ascii="Verdana" w:hAnsi="Verdana"/>
          <w:sz w:val="20"/>
        </w:rPr>
        <w:t xml:space="preserve">. A meta-analysis of asbestos and lung cancer: is better quality exposure assessment associated with steeper slopes of the exposure-response relationships? </w:t>
      </w:r>
      <w:r w:rsidRPr="00C341EB">
        <w:rPr>
          <w:rFonts w:ascii="Verdana" w:hAnsi="Verdana"/>
          <w:i/>
          <w:sz w:val="20"/>
        </w:rPr>
        <w:t>Environmental Health Perspectives</w:t>
      </w:r>
      <w:r w:rsidRPr="00C341EB">
        <w:rPr>
          <w:rFonts w:ascii="Verdana" w:hAnsi="Verdana"/>
          <w:sz w:val="20"/>
        </w:rPr>
        <w:t xml:space="preserve">, 2011. </w:t>
      </w:r>
      <w:r w:rsidRPr="00C341EB">
        <w:rPr>
          <w:rFonts w:ascii="Verdana" w:hAnsi="Verdana"/>
          <w:b/>
          <w:sz w:val="20"/>
        </w:rPr>
        <w:t>119</w:t>
      </w:r>
      <w:r w:rsidRPr="00C341EB">
        <w:rPr>
          <w:rFonts w:ascii="Verdana" w:hAnsi="Verdana"/>
          <w:sz w:val="20"/>
        </w:rPr>
        <w:t>(11):1547-1555.</w:t>
      </w:r>
    </w:p>
    <w:p w14:paraId="221BB56E"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7.</w:t>
      </w:r>
      <w:r w:rsidRPr="00C341EB">
        <w:rPr>
          <w:rFonts w:ascii="Verdana" w:hAnsi="Verdana"/>
          <w:sz w:val="20"/>
        </w:rPr>
        <w:tab/>
        <w:t>Rake C, Gilham C, Hatch J</w:t>
      </w:r>
      <w:r w:rsidRPr="00C341EB">
        <w:rPr>
          <w:rFonts w:ascii="Verdana" w:hAnsi="Verdana"/>
          <w:i/>
          <w:sz w:val="20"/>
        </w:rPr>
        <w:t xml:space="preserve"> et al</w:t>
      </w:r>
      <w:r w:rsidRPr="00C341EB">
        <w:rPr>
          <w:rFonts w:ascii="Verdana" w:hAnsi="Verdana"/>
          <w:sz w:val="20"/>
        </w:rPr>
        <w:t>. Occupational, domestic and environmental mesothelioma risks in the British population: a case-control study</w:t>
      </w:r>
      <w:r w:rsidRPr="00C341EB">
        <w:rPr>
          <w:rFonts w:ascii="Verdana" w:hAnsi="Verdana"/>
          <w:i/>
          <w:sz w:val="20"/>
        </w:rPr>
        <w:t>.</w:t>
      </w:r>
      <w:r w:rsidRPr="00C341EB">
        <w:rPr>
          <w:rFonts w:ascii="Verdana" w:hAnsi="Verdana"/>
          <w:sz w:val="20"/>
        </w:rPr>
        <w:t xml:space="preserve"> </w:t>
      </w:r>
      <w:r w:rsidRPr="00C341EB">
        <w:rPr>
          <w:rFonts w:ascii="Verdana" w:hAnsi="Verdana"/>
          <w:i/>
          <w:sz w:val="20"/>
        </w:rPr>
        <w:t>British Journal of Cancer</w:t>
      </w:r>
      <w:r w:rsidRPr="00C341EB">
        <w:rPr>
          <w:rFonts w:ascii="Verdana" w:hAnsi="Verdana"/>
          <w:sz w:val="20"/>
        </w:rPr>
        <w:t xml:space="preserve">, 2009. </w:t>
      </w:r>
      <w:r w:rsidRPr="00C341EB">
        <w:rPr>
          <w:rFonts w:ascii="Verdana" w:hAnsi="Verdana"/>
          <w:b/>
          <w:sz w:val="20"/>
        </w:rPr>
        <w:t>100</w:t>
      </w:r>
      <w:r w:rsidRPr="00C341EB">
        <w:rPr>
          <w:rFonts w:ascii="Verdana" w:hAnsi="Verdana"/>
          <w:sz w:val="20"/>
        </w:rPr>
        <w:t>(7):1175-1183.</w:t>
      </w:r>
    </w:p>
    <w:p w14:paraId="66A71643"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8.</w:t>
      </w:r>
      <w:r w:rsidRPr="00C341EB">
        <w:rPr>
          <w:rFonts w:ascii="Verdana" w:hAnsi="Verdana"/>
          <w:sz w:val="20"/>
        </w:rPr>
        <w:tab/>
        <w:t>Camargo M, Stayner L, Straif K</w:t>
      </w:r>
      <w:r w:rsidRPr="00C341EB">
        <w:rPr>
          <w:rFonts w:ascii="Verdana" w:hAnsi="Verdana"/>
          <w:i/>
          <w:sz w:val="20"/>
        </w:rPr>
        <w:t xml:space="preserve"> et al</w:t>
      </w:r>
      <w:r w:rsidRPr="00C341EB">
        <w:rPr>
          <w:rFonts w:ascii="Verdana" w:hAnsi="Verdana"/>
          <w:sz w:val="20"/>
        </w:rPr>
        <w:t>. Occupational exposure to asbestos and ovarian cancer: a meta-analysis</w:t>
      </w:r>
      <w:r w:rsidRPr="00C341EB">
        <w:rPr>
          <w:rFonts w:ascii="Verdana" w:hAnsi="Verdana"/>
          <w:i/>
          <w:sz w:val="20"/>
        </w:rPr>
        <w:t>.</w:t>
      </w:r>
      <w:r w:rsidRPr="00C341EB">
        <w:rPr>
          <w:rFonts w:ascii="Verdana" w:hAnsi="Verdana"/>
          <w:sz w:val="20"/>
        </w:rPr>
        <w:t xml:space="preserve"> </w:t>
      </w:r>
      <w:r w:rsidRPr="00C341EB">
        <w:rPr>
          <w:rFonts w:ascii="Verdana" w:hAnsi="Verdana"/>
          <w:i/>
          <w:sz w:val="20"/>
        </w:rPr>
        <w:t>Environmental Health Perspectives</w:t>
      </w:r>
      <w:r w:rsidRPr="00C341EB">
        <w:rPr>
          <w:rFonts w:ascii="Verdana" w:hAnsi="Verdana"/>
          <w:sz w:val="20"/>
        </w:rPr>
        <w:t xml:space="preserve">, 2011. </w:t>
      </w:r>
      <w:r w:rsidRPr="00C341EB">
        <w:rPr>
          <w:rFonts w:ascii="Verdana" w:hAnsi="Verdana"/>
          <w:b/>
          <w:sz w:val="20"/>
        </w:rPr>
        <w:t>119</w:t>
      </w:r>
      <w:r w:rsidRPr="00C341EB">
        <w:rPr>
          <w:rFonts w:ascii="Verdana" w:hAnsi="Verdana"/>
          <w:sz w:val="20"/>
        </w:rPr>
        <w:t>(9):1211-1217.</w:t>
      </w:r>
    </w:p>
    <w:p w14:paraId="3AF4DEFB"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9.</w:t>
      </w:r>
      <w:r w:rsidRPr="00C341EB">
        <w:rPr>
          <w:rFonts w:ascii="Verdana" w:hAnsi="Verdana"/>
          <w:sz w:val="20"/>
        </w:rPr>
        <w:tab/>
        <w:t>Kelsh M, Alexander D, Mink P</w:t>
      </w:r>
      <w:r w:rsidRPr="00C341EB">
        <w:rPr>
          <w:rFonts w:ascii="Verdana" w:hAnsi="Verdana"/>
          <w:i/>
          <w:sz w:val="20"/>
        </w:rPr>
        <w:t xml:space="preserve"> et al</w:t>
      </w:r>
      <w:r w:rsidRPr="00C341EB">
        <w:rPr>
          <w:rFonts w:ascii="Verdana" w:hAnsi="Verdana"/>
          <w:sz w:val="20"/>
        </w:rPr>
        <w:t>. Occupational trichloroethylene exposure and kidney cancer: a meta-analysis</w:t>
      </w:r>
      <w:r w:rsidRPr="00C341EB">
        <w:rPr>
          <w:rFonts w:ascii="Verdana" w:hAnsi="Verdana"/>
          <w:i/>
          <w:sz w:val="20"/>
        </w:rPr>
        <w:t>.</w:t>
      </w:r>
      <w:r w:rsidRPr="00C341EB">
        <w:rPr>
          <w:rFonts w:ascii="Verdana" w:hAnsi="Verdana"/>
          <w:sz w:val="20"/>
        </w:rPr>
        <w:t xml:space="preserve"> </w:t>
      </w:r>
      <w:r w:rsidRPr="00C341EB">
        <w:rPr>
          <w:rFonts w:ascii="Verdana" w:hAnsi="Verdana"/>
          <w:i/>
          <w:sz w:val="20"/>
        </w:rPr>
        <w:t>Epidemiology</w:t>
      </w:r>
      <w:r w:rsidRPr="00C341EB">
        <w:rPr>
          <w:rFonts w:ascii="Verdana" w:hAnsi="Verdana"/>
          <w:sz w:val="20"/>
        </w:rPr>
        <w:t xml:space="preserve">, 2010. </w:t>
      </w:r>
      <w:r w:rsidRPr="00C341EB">
        <w:rPr>
          <w:rFonts w:ascii="Verdana" w:hAnsi="Verdana"/>
          <w:b/>
          <w:sz w:val="20"/>
        </w:rPr>
        <w:t>21</w:t>
      </w:r>
      <w:r w:rsidRPr="00C341EB">
        <w:rPr>
          <w:rFonts w:ascii="Verdana" w:hAnsi="Verdana"/>
          <w:sz w:val="20"/>
        </w:rPr>
        <w:t>(1):95-102.</w:t>
      </w:r>
    </w:p>
    <w:p w14:paraId="756BD735"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10.</w:t>
      </w:r>
      <w:r w:rsidRPr="00C341EB">
        <w:rPr>
          <w:rFonts w:ascii="Verdana" w:hAnsi="Verdana"/>
          <w:sz w:val="20"/>
        </w:rPr>
        <w:tab/>
        <w:t>Khalade A, Jaakkola M, Pukkala E</w:t>
      </w:r>
      <w:r w:rsidRPr="00C341EB">
        <w:rPr>
          <w:rFonts w:ascii="Verdana" w:hAnsi="Verdana"/>
          <w:i/>
          <w:sz w:val="20"/>
        </w:rPr>
        <w:t xml:space="preserve"> et al</w:t>
      </w:r>
      <w:r w:rsidRPr="00C341EB">
        <w:rPr>
          <w:rFonts w:ascii="Verdana" w:hAnsi="Verdana"/>
          <w:sz w:val="20"/>
        </w:rPr>
        <w:t>. Exposure to benzene at work and the risk of leukemia: a systematic review and meta-analysis</w:t>
      </w:r>
      <w:r w:rsidRPr="00C341EB">
        <w:rPr>
          <w:rFonts w:ascii="Verdana" w:hAnsi="Verdana"/>
          <w:i/>
          <w:sz w:val="20"/>
        </w:rPr>
        <w:t>.</w:t>
      </w:r>
      <w:r w:rsidRPr="00C341EB">
        <w:rPr>
          <w:rFonts w:ascii="Verdana" w:hAnsi="Verdana"/>
          <w:sz w:val="20"/>
        </w:rPr>
        <w:t xml:space="preserve"> </w:t>
      </w:r>
      <w:r w:rsidRPr="00C341EB">
        <w:rPr>
          <w:rFonts w:ascii="Verdana" w:hAnsi="Verdana"/>
          <w:i/>
          <w:sz w:val="20"/>
        </w:rPr>
        <w:t>Environmental Health</w:t>
      </w:r>
      <w:r w:rsidRPr="00C341EB">
        <w:rPr>
          <w:rFonts w:ascii="Verdana" w:hAnsi="Verdana"/>
          <w:sz w:val="20"/>
        </w:rPr>
        <w:t xml:space="preserve">, 2010. </w:t>
      </w:r>
      <w:r w:rsidRPr="00C341EB">
        <w:rPr>
          <w:rFonts w:ascii="Verdana" w:hAnsi="Verdana"/>
          <w:b/>
          <w:sz w:val="20"/>
        </w:rPr>
        <w:t>9</w:t>
      </w:r>
      <w:r w:rsidRPr="00C341EB">
        <w:rPr>
          <w:rFonts w:ascii="Verdana" w:hAnsi="Verdana"/>
          <w:sz w:val="20"/>
        </w:rPr>
        <w:t>:31.</w:t>
      </w:r>
    </w:p>
    <w:p w14:paraId="42D039BE"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11.</w:t>
      </w:r>
      <w:r w:rsidRPr="00C341EB">
        <w:rPr>
          <w:rFonts w:ascii="Verdana" w:hAnsi="Verdana"/>
          <w:sz w:val="20"/>
        </w:rPr>
        <w:tab/>
        <w:t>Collins J and Lineker G. A review and meta-analysis of formaldehyde exposure and leukemia</w:t>
      </w:r>
      <w:r w:rsidRPr="00C341EB">
        <w:rPr>
          <w:rFonts w:ascii="Verdana" w:hAnsi="Verdana"/>
          <w:i/>
          <w:sz w:val="20"/>
        </w:rPr>
        <w:t>.</w:t>
      </w:r>
      <w:r w:rsidRPr="00C341EB">
        <w:rPr>
          <w:rFonts w:ascii="Verdana" w:hAnsi="Verdana"/>
          <w:sz w:val="20"/>
        </w:rPr>
        <w:t xml:space="preserve"> </w:t>
      </w:r>
      <w:r w:rsidRPr="00C341EB">
        <w:rPr>
          <w:rFonts w:ascii="Verdana" w:hAnsi="Verdana"/>
          <w:i/>
          <w:sz w:val="20"/>
        </w:rPr>
        <w:t>Regulatory Toxicology and Pharmacology</w:t>
      </w:r>
      <w:r w:rsidRPr="00C341EB">
        <w:rPr>
          <w:rFonts w:ascii="Verdana" w:hAnsi="Verdana"/>
          <w:sz w:val="20"/>
        </w:rPr>
        <w:t xml:space="preserve">, 2004. </w:t>
      </w:r>
      <w:r w:rsidRPr="00C341EB">
        <w:rPr>
          <w:rFonts w:ascii="Verdana" w:hAnsi="Verdana"/>
          <w:b/>
          <w:sz w:val="20"/>
        </w:rPr>
        <w:t>40</w:t>
      </w:r>
      <w:r w:rsidRPr="00C341EB">
        <w:rPr>
          <w:rFonts w:ascii="Verdana" w:hAnsi="Verdana"/>
          <w:sz w:val="20"/>
        </w:rPr>
        <w:t>(2):81-91.</w:t>
      </w:r>
    </w:p>
    <w:p w14:paraId="74A632BE"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12.</w:t>
      </w:r>
      <w:r w:rsidRPr="00C341EB">
        <w:rPr>
          <w:rFonts w:ascii="Verdana" w:hAnsi="Verdana"/>
          <w:sz w:val="20"/>
        </w:rPr>
        <w:tab/>
        <w:t xml:space="preserve">International Agency for Research on Cancer. </w:t>
      </w:r>
      <w:r w:rsidRPr="00C341EB">
        <w:rPr>
          <w:rFonts w:ascii="Verdana" w:hAnsi="Verdana"/>
          <w:i/>
          <w:sz w:val="20"/>
        </w:rPr>
        <w:t>IARC Monographs on the Evaluation of Carcinogenic Risks to Humans. Volume 100F. A review of human carcinogens: chemical agents and related occupations</w:t>
      </w:r>
      <w:r w:rsidRPr="00C341EB">
        <w:rPr>
          <w:rFonts w:ascii="Verdana" w:hAnsi="Verdana"/>
          <w:sz w:val="20"/>
        </w:rPr>
        <w:t xml:space="preserve">. 2012, World Health Organization: Geneva. </w:t>
      </w:r>
    </w:p>
    <w:p w14:paraId="74116C05"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13.</w:t>
      </w:r>
      <w:r w:rsidRPr="00C341EB">
        <w:rPr>
          <w:rFonts w:ascii="Verdana" w:hAnsi="Verdana"/>
          <w:sz w:val="20"/>
        </w:rPr>
        <w:tab/>
        <w:t>Steenland K. Laryngeal cancer incidence among workers exposed to acid mists (United States)</w:t>
      </w:r>
      <w:r w:rsidRPr="00C341EB">
        <w:rPr>
          <w:rFonts w:ascii="Verdana" w:hAnsi="Verdana"/>
          <w:i/>
          <w:sz w:val="20"/>
        </w:rPr>
        <w:t>.</w:t>
      </w:r>
      <w:r w:rsidRPr="00C341EB">
        <w:rPr>
          <w:rFonts w:ascii="Verdana" w:hAnsi="Verdana"/>
          <w:sz w:val="20"/>
        </w:rPr>
        <w:t xml:space="preserve"> </w:t>
      </w:r>
      <w:r w:rsidRPr="00C341EB">
        <w:rPr>
          <w:rFonts w:ascii="Verdana" w:hAnsi="Verdana"/>
          <w:i/>
          <w:sz w:val="20"/>
        </w:rPr>
        <w:t>Cancer Causes and Contol</w:t>
      </w:r>
      <w:r w:rsidRPr="00C341EB">
        <w:rPr>
          <w:rFonts w:ascii="Verdana" w:hAnsi="Verdana"/>
          <w:sz w:val="20"/>
        </w:rPr>
        <w:t xml:space="preserve">, 1997. </w:t>
      </w:r>
      <w:r w:rsidRPr="00C341EB">
        <w:rPr>
          <w:rFonts w:ascii="Verdana" w:hAnsi="Verdana"/>
          <w:b/>
          <w:sz w:val="20"/>
        </w:rPr>
        <w:t>8</w:t>
      </w:r>
      <w:r w:rsidRPr="00C341EB">
        <w:rPr>
          <w:rFonts w:ascii="Verdana" w:hAnsi="Verdana"/>
          <w:sz w:val="20"/>
        </w:rPr>
        <w:t>(1):34-38.</w:t>
      </w:r>
    </w:p>
    <w:p w14:paraId="7E7A905F" w14:textId="18548CCF"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14.</w:t>
      </w:r>
      <w:r w:rsidRPr="00C341EB">
        <w:rPr>
          <w:rFonts w:ascii="Verdana" w:hAnsi="Verdana"/>
          <w:sz w:val="20"/>
        </w:rPr>
        <w:tab/>
        <w:t xml:space="preserve">Australian Institute of Health and Welfare (AIHW). </w:t>
      </w:r>
      <w:r w:rsidRPr="00C341EB">
        <w:rPr>
          <w:rFonts w:ascii="Verdana" w:hAnsi="Verdana"/>
          <w:i/>
          <w:sz w:val="20"/>
        </w:rPr>
        <w:t>Australian Burden of Disease Study Impact and causes of illness and deaths in Australia. 2011</w:t>
      </w:r>
      <w:r w:rsidRPr="00C341EB">
        <w:rPr>
          <w:rFonts w:ascii="Verdana" w:hAnsi="Verdana"/>
          <w:sz w:val="20"/>
        </w:rPr>
        <w:t xml:space="preserve">. 2016: Canberra. Available from: </w:t>
      </w:r>
      <w:hyperlink r:id="rId22" w:history="1">
        <w:r w:rsidRPr="00C341EB">
          <w:rPr>
            <w:rStyle w:val="Hyperlink"/>
            <w:rFonts w:ascii="Verdana" w:hAnsi="Verdana"/>
            <w:sz w:val="20"/>
          </w:rPr>
          <w:t>http://www.aihw.gov.au/WorkArea/DownloadAsset.aspx?id=60129555176</w:t>
        </w:r>
      </w:hyperlink>
      <w:r w:rsidRPr="00C341EB">
        <w:rPr>
          <w:rFonts w:ascii="Verdana" w:hAnsi="Verdana"/>
          <w:sz w:val="20"/>
        </w:rPr>
        <w:t>.</w:t>
      </w:r>
    </w:p>
    <w:p w14:paraId="4D2F23FE"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15.</w:t>
      </w:r>
      <w:r w:rsidRPr="00C341EB">
        <w:rPr>
          <w:rFonts w:ascii="Verdana" w:hAnsi="Verdana"/>
          <w:sz w:val="20"/>
        </w:rPr>
        <w:tab/>
        <w:t>Karjalainen A, Kurppa K, Martikainen R</w:t>
      </w:r>
      <w:r w:rsidRPr="00C341EB">
        <w:rPr>
          <w:rFonts w:ascii="Verdana" w:hAnsi="Verdana"/>
          <w:i/>
          <w:sz w:val="20"/>
        </w:rPr>
        <w:t xml:space="preserve"> et al</w:t>
      </w:r>
      <w:r w:rsidRPr="00C341EB">
        <w:rPr>
          <w:rFonts w:ascii="Verdana" w:hAnsi="Verdana"/>
          <w:sz w:val="20"/>
        </w:rPr>
        <w:t>. Work is related to a substantial portion of adult-onset asthma incidence in the Finnish population</w:t>
      </w:r>
      <w:r w:rsidRPr="00C341EB">
        <w:rPr>
          <w:rFonts w:ascii="Verdana" w:hAnsi="Verdana"/>
          <w:i/>
          <w:sz w:val="20"/>
        </w:rPr>
        <w:t>.</w:t>
      </w:r>
      <w:r w:rsidRPr="00C341EB">
        <w:rPr>
          <w:rFonts w:ascii="Verdana" w:hAnsi="Verdana"/>
          <w:sz w:val="20"/>
        </w:rPr>
        <w:t xml:space="preserve"> </w:t>
      </w:r>
      <w:r w:rsidRPr="00C341EB">
        <w:rPr>
          <w:rFonts w:ascii="Verdana" w:hAnsi="Verdana"/>
          <w:i/>
          <w:sz w:val="20"/>
        </w:rPr>
        <w:t>American Journal of Respiratory &amp; Critical Care Medicine</w:t>
      </w:r>
      <w:r w:rsidRPr="00C341EB">
        <w:rPr>
          <w:rFonts w:ascii="Verdana" w:hAnsi="Verdana"/>
          <w:sz w:val="20"/>
        </w:rPr>
        <w:t xml:space="preserve">, 2001. </w:t>
      </w:r>
      <w:r w:rsidRPr="00C341EB">
        <w:rPr>
          <w:rFonts w:ascii="Verdana" w:hAnsi="Verdana"/>
          <w:b/>
          <w:sz w:val="20"/>
        </w:rPr>
        <w:t>164</w:t>
      </w:r>
      <w:r w:rsidRPr="00C341EB">
        <w:rPr>
          <w:rFonts w:ascii="Verdana" w:hAnsi="Verdana"/>
          <w:sz w:val="20"/>
        </w:rPr>
        <w:t>(4):565-568.</w:t>
      </w:r>
    </w:p>
    <w:p w14:paraId="324E3B6E"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16.</w:t>
      </w:r>
      <w:r w:rsidRPr="00C341EB">
        <w:rPr>
          <w:rFonts w:ascii="Verdana" w:hAnsi="Verdana"/>
          <w:sz w:val="20"/>
        </w:rPr>
        <w:tab/>
        <w:t>Karjalainen A, Kurppa K, Martikanen R</w:t>
      </w:r>
      <w:r w:rsidRPr="00C341EB">
        <w:rPr>
          <w:rFonts w:ascii="Verdana" w:hAnsi="Verdana"/>
          <w:i/>
          <w:sz w:val="20"/>
        </w:rPr>
        <w:t xml:space="preserve"> et al</w:t>
      </w:r>
      <w:r w:rsidRPr="00C341EB">
        <w:rPr>
          <w:rFonts w:ascii="Verdana" w:hAnsi="Verdana"/>
          <w:sz w:val="20"/>
        </w:rPr>
        <w:t>. Exploration of asthma risk by occupation -extended analysis of an incidence study of the Finnish population</w:t>
      </w:r>
      <w:r w:rsidRPr="00C341EB">
        <w:rPr>
          <w:rFonts w:ascii="Verdana" w:hAnsi="Verdana"/>
          <w:i/>
          <w:sz w:val="20"/>
        </w:rPr>
        <w:t>.</w:t>
      </w:r>
      <w:r w:rsidRPr="00C341EB">
        <w:rPr>
          <w:rFonts w:ascii="Verdana" w:hAnsi="Verdana"/>
          <w:sz w:val="20"/>
        </w:rPr>
        <w:t xml:space="preserve"> </w:t>
      </w:r>
      <w:r w:rsidRPr="00C341EB">
        <w:rPr>
          <w:rFonts w:ascii="Verdana" w:hAnsi="Verdana"/>
          <w:i/>
          <w:sz w:val="20"/>
        </w:rPr>
        <w:t>Scandinavian Journal of Work Environmental Health</w:t>
      </w:r>
      <w:r w:rsidRPr="00C341EB">
        <w:rPr>
          <w:rFonts w:ascii="Verdana" w:hAnsi="Verdana"/>
          <w:sz w:val="20"/>
        </w:rPr>
        <w:t xml:space="preserve">, 2002. </w:t>
      </w:r>
      <w:r w:rsidRPr="00C341EB">
        <w:rPr>
          <w:rFonts w:ascii="Verdana" w:hAnsi="Verdana"/>
          <w:b/>
          <w:sz w:val="20"/>
        </w:rPr>
        <w:t>28</w:t>
      </w:r>
      <w:r w:rsidRPr="00C341EB">
        <w:rPr>
          <w:rFonts w:ascii="Verdana" w:hAnsi="Verdana"/>
          <w:sz w:val="20"/>
        </w:rPr>
        <w:t>:49-57.</w:t>
      </w:r>
    </w:p>
    <w:p w14:paraId="153BE059"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lastRenderedPageBreak/>
        <w:t>17.</w:t>
      </w:r>
      <w:r w:rsidRPr="00C341EB">
        <w:rPr>
          <w:rFonts w:ascii="Verdana" w:hAnsi="Verdana"/>
          <w:sz w:val="20"/>
        </w:rPr>
        <w:tab/>
        <w:t>Kogevinas M, Anto J, Sunyer J</w:t>
      </w:r>
      <w:r w:rsidRPr="00C341EB">
        <w:rPr>
          <w:rFonts w:ascii="Verdana" w:hAnsi="Verdana"/>
          <w:i/>
          <w:sz w:val="20"/>
        </w:rPr>
        <w:t xml:space="preserve"> et al</w:t>
      </w:r>
      <w:r w:rsidRPr="00C341EB">
        <w:rPr>
          <w:rFonts w:ascii="Verdana" w:hAnsi="Verdana"/>
          <w:sz w:val="20"/>
        </w:rPr>
        <w:t>. Occupational asthma in Europe</w:t>
      </w:r>
      <w:r w:rsidRPr="00C341EB">
        <w:rPr>
          <w:rFonts w:ascii="Verdana" w:hAnsi="Verdana"/>
          <w:i/>
          <w:sz w:val="20"/>
        </w:rPr>
        <w:t>.</w:t>
      </w:r>
      <w:r w:rsidRPr="00C341EB">
        <w:rPr>
          <w:rFonts w:ascii="Verdana" w:hAnsi="Verdana"/>
          <w:sz w:val="20"/>
        </w:rPr>
        <w:t xml:space="preserve"> </w:t>
      </w:r>
      <w:r w:rsidRPr="00C341EB">
        <w:rPr>
          <w:rFonts w:ascii="Verdana" w:hAnsi="Verdana"/>
          <w:i/>
          <w:sz w:val="20"/>
        </w:rPr>
        <w:t>Lancet</w:t>
      </w:r>
      <w:r w:rsidRPr="00C341EB">
        <w:rPr>
          <w:rFonts w:ascii="Verdana" w:hAnsi="Verdana"/>
          <w:sz w:val="20"/>
        </w:rPr>
        <w:t xml:space="preserve">, 1999. </w:t>
      </w:r>
      <w:r w:rsidRPr="00C341EB">
        <w:rPr>
          <w:rFonts w:ascii="Verdana" w:hAnsi="Verdana"/>
          <w:b/>
          <w:sz w:val="20"/>
        </w:rPr>
        <w:t>353</w:t>
      </w:r>
      <w:r w:rsidRPr="00C341EB">
        <w:rPr>
          <w:rFonts w:ascii="Verdana" w:hAnsi="Verdana"/>
          <w:sz w:val="20"/>
        </w:rPr>
        <w:t>:1750-1754.</w:t>
      </w:r>
    </w:p>
    <w:p w14:paraId="064591AF" w14:textId="72B913F4"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18.</w:t>
      </w:r>
      <w:r w:rsidRPr="00C341EB">
        <w:rPr>
          <w:rFonts w:ascii="Verdana" w:hAnsi="Verdana"/>
          <w:sz w:val="20"/>
        </w:rPr>
        <w:tab/>
        <w:t xml:space="preserve">Australian Institute of Health and Welfare (AIHW). </w:t>
      </w:r>
      <w:r w:rsidRPr="00C341EB">
        <w:rPr>
          <w:rFonts w:ascii="Verdana" w:hAnsi="Verdana"/>
          <w:i/>
          <w:sz w:val="20"/>
        </w:rPr>
        <w:t>Australian Cancer Incidence and Mortality (ACIM) books</w:t>
      </w:r>
      <w:r w:rsidRPr="00C341EB">
        <w:rPr>
          <w:rFonts w:ascii="Verdana" w:hAnsi="Verdana"/>
          <w:sz w:val="20"/>
        </w:rPr>
        <w:t xml:space="preserve">. 2016, AIHW: Canberra. Available from: </w:t>
      </w:r>
      <w:hyperlink r:id="rId23" w:history="1">
        <w:r w:rsidRPr="00C341EB">
          <w:rPr>
            <w:rStyle w:val="Hyperlink"/>
            <w:rFonts w:ascii="Verdana" w:hAnsi="Verdana"/>
            <w:sz w:val="20"/>
          </w:rPr>
          <w:t>http://www.aihw.gov.au/acim-books/</w:t>
        </w:r>
      </w:hyperlink>
      <w:r w:rsidRPr="00C341EB">
        <w:rPr>
          <w:rFonts w:ascii="Verdana" w:hAnsi="Verdana"/>
          <w:sz w:val="20"/>
        </w:rPr>
        <w:t>.</w:t>
      </w:r>
    </w:p>
    <w:p w14:paraId="50A95C6F"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19.</w:t>
      </w:r>
      <w:r w:rsidRPr="00C341EB">
        <w:rPr>
          <w:rFonts w:ascii="Verdana" w:hAnsi="Verdana"/>
          <w:sz w:val="20"/>
        </w:rPr>
        <w:tab/>
        <w:t>Lim S, Vos T, Flaxman A</w:t>
      </w:r>
      <w:r w:rsidRPr="00C341EB">
        <w:rPr>
          <w:rFonts w:ascii="Verdana" w:hAnsi="Verdana"/>
          <w:i/>
          <w:sz w:val="20"/>
        </w:rPr>
        <w:t xml:space="preserve"> et al</w:t>
      </w:r>
      <w:r w:rsidRPr="00C341EB">
        <w:rPr>
          <w:rFonts w:ascii="Verdana" w:hAnsi="Verdana"/>
          <w:sz w:val="20"/>
        </w:rPr>
        <w:t xml:space="preserve">. A comparative risk assessment of burden of disease and injury attributable to 67 risk factors and risk factor clusters in 21 regions, 1990-2010: a systematic analysis for the Global Burden of Disease Study 2010. </w:t>
      </w:r>
      <w:r w:rsidRPr="00C341EB">
        <w:rPr>
          <w:rFonts w:ascii="Verdana" w:hAnsi="Verdana"/>
          <w:i/>
          <w:sz w:val="20"/>
        </w:rPr>
        <w:t>Lancet</w:t>
      </w:r>
      <w:r w:rsidRPr="00C341EB">
        <w:rPr>
          <w:rFonts w:ascii="Verdana" w:hAnsi="Verdana"/>
          <w:sz w:val="20"/>
        </w:rPr>
        <w:t xml:space="preserve">, 2012. </w:t>
      </w:r>
      <w:r w:rsidRPr="00C341EB">
        <w:rPr>
          <w:rFonts w:ascii="Verdana" w:hAnsi="Verdana"/>
          <w:b/>
          <w:sz w:val="20"/>
        </w:rPr>
        <w:t>380</w:t>
      </w:r>
      <w:r w:rsidRPr="00C341EB">
        <w:rPr>
          <w:rFonts w:ascii="Verdana" w:hAnsi="Verdana"/>
          <w:sz w:val="20"/>
        </w:rPr>
        <w:t>:2224–2260.</w:t>
      </w:r>
    </w:p>
    <w:p w14:paraId="04C8969E" w14:textId="17387A79"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20.</w:t>
      </w:r>
      <w:r w:rsidRPr="00C341EB">
        <w:rPr>
          <w:rFonts w:ascii="Verdana" w:hAnsi="Verdana"/>
          <w:sz w:val="20"/>
        </w:rPr>
        <w:tab/>
        <w:t xml:space="preserve">Institute for Health Metrics and Evaluation. </w:t>
      </w:r>
      <w:r w:rsidRPr="00C341EB">
        <w:rPr>
          <w:rFonts w:ascii="Verdana" w:hAnsi="Verdana"/>
          <w:i/>
          <w:sz w:val="20"/>
        </w:rPr>
        <w:t>GBD Compare</w:t>
      </w:r>
      <w:r w:rsidRPr="00C341EB">
        <w:rPr>
          <w:rFonts w:ascii="Verdana" w:hAnsi="Verdana"/>
          <w:sz w:val="20"/>
        </w:rPr>
        <w:t xml:space="preserve">. 2015, IHME, University of Washington: Seattle, WA. Available from: </w:t>
      </w:r>
      <w:hyperlink r:id="rId24" w:history="1">
        <w:r w:rsidRPr="00C341EB">
          <w:rPr>
            <w:rStyle w:val="Hyperlink"/>
            <w:rFonts w:ascii="Verdana" w:hAnsi="Verdana"/>
            <w:sz w:val="20"/>
          </w:rPr>
          <w:t>http://www.healthdata.org/data-visualization/gbd-compare</w:t>
        </w:r>
      </w:hyperlink>
      <w:r w:rsidRPr="00C341EB">
        <w:rPr>
          <w:rFonts w:ascii="Verdana" w:hAnsi="Verdana"/>
          <w:sz w:val="20"/>
        </w:rPr>
        <w:t>.</w:t>
      </w:r>
    </w:p>
    <w:p w14:paraId="1DF57F2A"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21.</w:t>
      </w:r>
      <w:r w:rsidRPr="00C341EB">
        <w:rPr>
          <w:rFonts w:ascii="Verdana" w:hAnsi="Verdana"/>
          <w:sz w:val="20"/>
        </w:rPr>
        <w:tab/>
        <w:t>NNDSS Annual Report Working Group. Australia’s notifiable disease status, 2014: Annual report of the National Notifiable Diseases Surveillance System</w:t>
      </w:r>
      <w:r w:rsidRPr="00C341EB">
        <w:rPr>
          <w:rFonts w:ascii="Verdana" w:hAnsi="Verdana"/>
          <w:i/>
          <w:sz w:val="20"/>
        </w:rPr>
        <w:t>.</w:t>
      </w:r>
      <w:r w:rsidRPr="00C341EB">
        <w:rPr>
          <w:rFonts w:ascii="Verdana" w:hAnsi="Verdana"/>
          <w:sz w:val="20"/>
        </w:rPr>
        <w:t xml:space="preserve"> </w:t>
      </w:r>
      <w:r w:rsidRPr="00C341EB">
        <w:rPr>
          <w:rFonts w:ascii="Verdana" w:hAnsi="Verdana"/>
          <w:i/>
          <w:sz w:val="20"/>
        </w:rPr>
        <w:t>Communicable Disease Intelligence</w:t>
      </w:r>
      <w:r w:rsidRPr="00C341EB">
        <w:rPr>
          <w:rFonts w:ascii="Verdana" w:hAnsi="Verdana"/>
          <w:sz w:val="20"/>
        </w:rPr>
        <w:t xml:space="preserve">. </w:t>
      </w:r>
      <w:r w:rsidRPr="00C341EB">
        <w:rPr>
          <w:rFonts w:ascii="Verdana" w:hAnsi="Verdana"/>
          <w:b/>
          <w:sz w:val="20"/>
        </w:rPr>
        <w:t>40</w:t>
      </w:r>
      <w:r w:rsidRPr="00C341EB">
        <w:rPr>
          <w:rFonts w:ascii="Verdana" w:hAnsi="Verdana"/>
          <w:sz w:val="20"/>
        </w:rPr>
        <w:t>(1):E48-E145.</w:t>
      </w:r>
    </w:p>
    <w:p w14:paraId="3A6C878D" w14:textId="2CC37D8D"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22.</w:t>
      </w:r>
      <w:r w:rsidRPr="00C341EB">
        <w:rPr>
          <w:rFonts w:ascii="Verdana" w:hAnsi="Verdana"/>
          <w:sz w:val="20"/>
        </w:rPr>
        <w:tab/>
        <w:t xml:space="preserve">Deloite Access Economics. </w:t>
      </w:r>
      <w:r w:rsidRPr="00C341EB">
        <w:rPr>
          <w:rFonts w:ascii="Verdana" w:hAnsi="Verdana"/>
          <w:i/>
          <w:sz w:val="20"/>
        </w:rPr>
        <w:t>Living with Parkinson's Disease.  An updated economic analysis 2014</w:t>
      </w:r>
      <w:r w:rsidRPr="00C341EB">
        <w:rPr>
          <w:rFonts w:ascii="Verdana" w:hAnsi="Verdana"/>
          <w:sz w:val="20"/>
        </w:rPr>
        <w:t xml:space="preserve">. 2015: ACT. Available from: </w:t>
      </w:r>
      <w:hyperlink r:id="rId25" w:history="1">
        <w:r w:rsidRPr="00C341EB">
          <w:rPr>
            <w:rStyle w:val="Hyperlink"/>
            <w:rFonts w:ascii="Verdana" w:hAnsi="Verdana"/>
            <w:sz w:val="20"/>
          </w:rPr>
          <w:t>http://www.parkinsons.org.au/Documents/Living%20with%20Parkinsons%2027082015%20FINAL.pdf</w:t>
        </w:r>
      </w:hyperlink>
      <w:r w:rsidRPr="00C341EB">
        <w:rPr>
          <w:rFonts w:ascii="Verdana" w:hAnsi="Verdana"/>
          <w:sz w:val="20"/>
        </w:rPr>
        <w:t>.</w:t>
      </w:r>
    </w:p>
    <w:p w14:paraId="645B6435"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23.</w:t>
      </w:r>
      <w:r w:rsidRPr="00C341EB">
        <w:rPr>
          <w:rFonts w:ascii="Verdana" w:hAnsi="Verdana"/>
          <w:sz w:val="20"/>
        </w:rPr>
        <w:tab/>
        <w:t xml:space="preserve">Australian Centre for Asthma Monitoring. </w:t>
      </w:r>
      <w:r w:rsidRPr="00C341EB">
        <w:rPr>
          <w:rFonts w:ascii="Verdana" w:hAnsi="Verdana"/>
          <w:i/>
          <w:sz w:val="20"/>
        </w:rPr>
        <w:t>Asthma in Australia 2011</w:t>
      </w:r>
      <w:r w:rsidRPr="00C341EB">
        <w:rPr>
          <w:rFonts w:ascii="Verdana" w:hAnsi="Verdana"/>
          <w:sz w:val="20"/>
        </w:rPr>
        <w:t xml:space="preserve">. 2011: Canberra. </w:t>
      </w:r>
    </w:p>
    <w:p w14:paraId="69893F8D"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24.</w:t>
      </w:r>
      <w:r w:rsidRPr="00C341EB">
        <w:rPr>
          <w:rFonts w:ascii="Verdana" w:hAnsi="Verdana"/>
          <w:sz w:val="20"/>
        </w:rPr>
        <w:tab/>
        <w:t>Smith D and Leggat P. 24 years of pneumoconiosis mortality surveillance in Australia</w:t>
      </w:r>
      <w:r w:rsidRPr="00C341EB">
        <w:rPr>
          <w:rFonts w:ascii="Verdana" w:hAnsi="Verdana"/>
          <w:i/>
          <w:sz w:val="20"/>
        </w:rPr>
        <w:t>.</w:t>
      </w:r>
      <w:r w:rsidRPr="00C341EB">
        <w:rPr>
          <w:rFonts w:ascii="Verdana" w:hAnsi="Verdana"/>
          <w:sz w:val="20"/>
        </w:rPr>
        <w:t xml:space="preserve"> </w:t>
      </w:r>
      <w:r w:rsidRPr="00C341EB">
        <w:rPr>
          <w:rFonts w:ascii="Verdana" w:hAnsi="Verdana"/>
          <w:i/>
          <w:sz w:val="20"/>
        </w:rPr>
        <w:t>Journal of Occupational Health</w:t>
      </w:r>
      <w:r w:rsidRPr="00C341EB">
        <w:rPr>
          <w:rFonts w:ascii="Verdana" w:hAnsi="Verdana"/>
          <w:sz w:val="20"/>
        </w:rPr>
        <w:t xml:space="preserve">, 2006. </w:t>
      </w:r>
      <w:r w:rsidRPr="00C341EB">
        <w:rPr>
          <w:rFonts w:ascii="Verdana" w:hAnsi="Verdana"/>
          <w:b/>
          <w:sz w:val="20"/>
        </w:rPr>
        <w:t>48</w:t>
      </w:r>
      <w:r w:rsidRPr="00C341EB">
        <w:rPr>
          <w:rFonts w:ascii="Verdana" w:hAnsi="Verdana"/>
          <w:sz w:val="20"/>
        </w:rPr>
        <w:t>(5):309-313.</w:t>
      </w:r>
    </w:p>
    <w:p w14:paraId="0C4A5DC7" w14:textId="479ACC2A"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25.</w:t>
      </w:r>
      <w:r w:rsidRPr="00C341EB">
        <w:rPr>
          <w:rFonts w:ascii="Verdana" w:hAnsi="Verdana"/>
          <w:sz w:val="20"/>
        </w:rPr>
        <w:tab/>
        <w:t xml:space="preserve">Department of Health. </w:t>
      </w:r>
      <w:r w:rsidRPr="00C341EB">
        <w:rPr>
          <w:rFonts w:ascii="Verdana" w:hAnsi="Verdana"/>
          <w:i/>
          <w:sz w:val="20"/>
        </w:rPr>
        <w:t>Fourth National Hepatitis C Strategy 2014-2017</w:t>
      </w:r>
      <w:r w:rsidRPr="00C341EB">
        <w:rPr>
          <w:rFonts w:ascii="Verdana" w:hAnsi="Verdana"/>
          <w:sz w:val="20"/>
        </w:rPr>
        <w:t xml:space="preserve">. 2014: Canberra. Available from: </w:t>
      </w:r>
      <w:hyperlink r:id="rId26" w:history="1">
        <w:r w:rsidRPr="00C341EB">
          <w:rPr>
            <w:rStyle w:val="Hyperlink"/>
            <w:rFonts w:ascii="Verdana" w:hAnsi="Verdana"/>
            <w:sz w:val="20"/>
          </w:rPr>
          <w:t>http://www.health.gov.au/internet/main/publishing.nsf/Content/A68444CDED77B3A9CA257BF0001CFD80/$File/Hep-C-Strategy2014-v3.pdf</w:t>
        </w:r>
      </w:hyperlink>
      <w:r w:rsidRPr="00C341EB">
        <w:rPr>
          <w:rFonts w:ascii="Verdana" w:hAnsi="Verdana"/>
          <w:sz w:val="20"/>
        </w:rPr>
        <w:t>.</w:t>
      </w:r>
    </w:p>
    <w:p w14:paraId="3EB86926"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26.</w:t>
      </w:r>
      <w:r w:rsidRPr="00C341EB">
        <w:rPr>
          <w:rFonts w:ascii="Verdana" w:hAnsi="Verdana"/>
          <w:sz w:val="20"/>
        </w:rPr>
        <w:tab/>
        <w:t>Carey R, Driscoll T, Peters S</w:t>
      </w:r>
      <w:r w:rsidRPr="00C341EB">
        <w:rPr>
          <w:rFonts w:ascii="Verdana" w:hAnsi="Verdana"/>
          <w:i/>
          <w:sz w:val="20"/>
        </w:rPr>
        <w:t xml:space="preserve"> et al</w:t>
      </w:r>
      <w:r w:rsidRPr="00C341EB">
        <w:rPr>
          <w:rFonts w:ascii="Verdana" w:hAnsi="Verdana"/>
          <w:sz w:val="20"/>
        </w:rPr>
        <w:t>. Estimated prevalence of exposure to occupational carcinogens in Australia (2011-2012)</w:t>
      </w:r>
      <w:r w:rsidRPr="00C341EB">
        <w:rPr>
          <w:rFonts w:ascii="Verdana" w:hAnsi="Verdana"/>
          <w:i/>
          <w:sz w:val="20"/>
        </w:rPr>
        <w:t>.</w:t>
      </w:r>
      <w:r w:rsidRPr="00C341EB">
        <w:rPr>
          <w:rFonts w:ascii="Verdana" w:hAnsi="Verdana"/>
          <w:sz w:val="20"/>
        </w:rPr>
        <w:t xml:space="preserve"> </w:t>
      </w:r>
      <w:r w:rsidRPr="00C341EB">
        <w:rPr>
          <w:rFonts w:ascii="Verdana" w:hAnsi="Verdana"/>
          <w:i/>
          <w:sz w:val="20"/>
        </w:rPr>
        <w:t>Occupational and Environmental Medicine</w:t>
      </w:r>
      <w:r w:rsidRPr="00C341EB">
        <w:rPr>
          <w:rFonts w:ascii="Verdana" w:hAnsi="Verdana"/>
          <w:sz w:val="20"/>
        </w:rPr>
        <w:t xml:space="preserve">, 2014. </w:t>
      </w:r>
      <w:r w:rsidRPr="00C341EB">
        <w:rPr>
          <w:rFonts w:ascii="Verdana" w:hAnsi="Verdana"/>
          <w:b/>
          <w:sz w:val="20"/>
        </w:rPr>
        <w:t>71</w:t>
      </w:r>
      <w:r w:rsidRPr="00C341EB">
        <w:rPr>
          <w:rFonts w:ascii="Verdana" w:hAnsi="Verdana"/>
          <w:sz w:val="20"/>
        </w:rPr>
        <w:t>(1):55-62.</w:t>
      </w:r>
    </w:p>
    <w:p w14:paraId="710A0756"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27.</w:t>
      </w:r>
      <w:r w:rsidRPr="00C341EB">
        <w:rPr>
          <w:rFonts w:ascii="Verdana" w:hAnsi="Verdana"/>
          <w:sz w:val="20"/>
        </w:rPr>
        <w:tab/>
        <w:t>Crewe J, Carey R, Glass D</w:t>
      </w:r>
      <w:r w:rsidRPr="00C341EB">
        <w:rPr>
          <w:rFonts w:ascii="Verdana" w:hAnsi="Verdana"/>
          <w:i/>
          <w:sz w:val="20"/>
        </w:rPr>
        <w:t xml:space="preserve"> et al</w:t>
      </w:r>
      <w:r w:rsidRPr="00C341EB">
        <w:rPr>
          <w:rFonts w:ascii="Verdana" w:hAnsi="Verdana"/>
          <w:sz w:val="20"/>
        </w:rPr>
        <w:t xml:space="preserve">. A comprehensive list of asthmagens to inform health interventions in the Australian workplace. </w:t>
      </w:r>
      <w:r w:rsidRPr="00C341EB">
        <w:rPr>
          <w:rFonts w:ascii="Verdana" w:hAnsi="Verdana"/>
          <w:i/>
          <w:sz w:val="20"/>
        </w:rPr>
        <w:t>Australian and New Zealand Journal of Public Health</w:t>
      </w:r>
      <w:r w:rsidRPr="00C341EB">
        <w:rPr>
          <w:rFonts w:ascii="Verdana" w:hAnsi="Verdana"/>
          <w:sz w:val="20"/>
        </w:rPr>
        <w:t xml:space="preserve">, 2016. </w:t>
      </w:r>
      <w:r w:rsidRPr="00C341EB">
        <w:rPr>
          <w:rFonts w:ascii="Verdana" w:hAnsi="Verdana"/>
          <w:b/>
          <w:sz w:val="20"/>
        </w:rPr>
        <w:t>40</w:t>
      </w:r>
      <w:r w:rsidRPr="00C341EB">
        <w:rPr>
          <w:rFonts w:ascii="Verdana" w:hAnsi="Verdana"/>
          <w:sz w:val="20"/>
        </w:rPr>
        <w:t>(2):170-173.</w:t>
      </w:r>
    </w:p>
    <w:p w14:paraId="56E398CD" w14:textId="69DAFE54"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28.</w:t>
      </w:r>
      <w:r w:rsidRPr="00C341EB">
        <w:rPr>
          <w:rFonts w:ascii="Verdana" w:hAnsi="Verdana"/>
          <w:sz w:val="20"/>
        </w:rPr>
        <w:tab/>
        <w:t>Fritschi L, Crewe J, Darcey E</w:t>
      </w:r>
      <w:r w:rsidRPr="00C341EB">
        <w:rPr>
          <w:rFonts w:ascii="Verdana" w:hAnsi="Verdana"/>
          <w:i/>
          <w:sz w:val="20"/>
        </w:rPr>
        <w:t xml:space="preserve"> et al</w:t>
      </w:r>
      <w:r w:rsidRPr="00C341EB">
        <w:rPr>
          <w:rFonts w:ascii="Verdana" w:hAnsi="Verdana"/>
          <w:sz w:val="20"/>
        </w:rPr>
        <w:t>. The estimated prevalence of exposure to asthmagens in the Australian workforce</w:t>
      </w:r>
      <w:r w:rsidRPr="00C341EB">
        <w:rPr>
          <w:rFonts w:ascii="Verdana" w:hAnsi="Verdana"/>
          <w:i/>
          <w:sz w:val="20"/>
        </w:rPr>
        <w:t>.</w:t>
      </w:r>
      <w:r w:rsidRPr="00C341EB">
        <w:rPr>
          <w:rFonts w:ascii="Verdana" w:hAnsi="Verdana"/>
          <w:sz w:val="20"/>
        </w:rPr>
        <w:t xml:space="preserve"> </w:t>
      </w:r>
      <w:r w:rsidRPr="00C341EB">
        <w:rPr>
          <w:rFonts w:ascii="Verdana" w:hAnsi="Verdana"/>
          <w:i/>
          <w:sz w:val="20"/>
        </w:rPr>
        <w:t>BMC Pulmonary Medicine</w:t>
      </w:r>
      <w:r w:rsidRPr="00C341EB">
        <w:rPr>
          <w:rFonts w:ascii="Verdana" w:hAnsi="Verdana"/>
          <w:sz w:val="20"/>
        </w:rPr>
        <w:t xml:space="preserve">, 2016. </w:t>
      </w:r>
      <w:r w:rsidRPr="00C341EB">
        <w:rPr>
          <w:rFonts w:ascii="Verdana" w:hAnsi="Verdana"/>
          <w:b/>
          <w:sz w:val="20"/>
        </w:rPr>
        <w:t>16</w:t>
      </w:r>
      <w:r w:rsidRPr="00C341EB">
        <w:rPr>
          <w:rFonts w:ascii="Verdana" w:hAnsi="Verdana"/>
          <w:sz w:val="20"/>
        </w:rPr>
        <w:t xml:space="preserve">:48. DOI: 10.1186/s12890-016-0212-6. URL: </w:t>
      </w:r>
      <w:hyperlink r:id="rId27" w:history="1">
        <w:r w:rsidRPr="00C341EB">
          <w:rPr>
            <w:rStyle w:val="Hyperlink"/>
            <w:rFonts w:ascii="Verdana" w:hAnsi="Verdana"/>
            <w:sz w:val="20"/>
          </w:rPr>
          <w:t>http://www.biomedcentral.com/1471-2466/16/48</w:t>
        </w:r>
      </w:hyperlink>
      <w:r w:rsidRPr="00C341EB">
        <w:rPr>
          <w:rFonts w:ascii="Verdana" w:hAnsi="Verdana"/>
          <w:sz w:val="20"/>
        </w:rPr>
        <w:t>.</w:t>
      </w:r>
    </w:p>
    <w:p w14:paraId="1C68CF5F"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29.</w:t>
      </w:r>
      <w:r w:rsidRPr="00C341EB">
        <w:rPr>
          <w:rFonts w:ascii="Verdana" w:hAnsi="Verdana"/>
          <w:sz w:val="20"/>
        </w:rPr>
        <w:tab/>
        <w:t xml:space="preserve">Howard J. </w:t>
      </w:r>
      <w:r w:rsidRPr="00C341EB">
        <w:rPr>
          <w:rFonts w:ascii="Verdana" w:hAnsi="Verdana"/>
          <w:i/>
          <w:sz w:val="20"/>
        </w:rPr>
        <w:t>Minimum latency and types or categories of cancer - World Trade Center Health Program</w:t>
      </w:r>
      <w:r w:rsidRPr="00C341EB">
        <w:rPr>
          <w:rFonts w:ascii="Verdana" w:hAnsi="Verdana"/>
          <w:sz w:val="20"/>
        </w:rPr>
        <w:t xml:space="preserve">. 2015: Washington, DC. </w:t>
      </w:r>
    </w:p>
    <w:p w14:paraId="5B31B736"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30.</w:t>
      </w:r>
      <w:r w:rsidRPr="00C341EB">
        <w:rPr>
          <w:rFonts w:ascii="Verdana" w:hAnsi="Verdana"/>
          <w:sz w:val="20"/>
        </w:rPr>
        <w:tab/>
        <w:t>Lanphear B and Buncher C. Latent period for malignant mesothelioma of occupational origin</w:t>
      </w:r>
      <w:r w:rsidRPr="00C341EB">
        <w:rPr>
          <w:rFonts w:ascii="Verdana" w:hAnsi="Verdana"/>
          <w:i/>
          <w:sz w:val="20"/>
        </w:rPr>
        <w:t>.</w:t>
      </w:r>
      <w:r w:rsidRPr="00C341EB">
        <w:rPr>
          <w:rFonts w:ascii="Verdana" w:hAnsi="Verdana"/>
          <w:sz w:val="20"/>
        </w:rPr>
        <w:t xml:space="preserve"> </w:t>
      </w:r>
      <w:r w:rsidRPr="00C341EB">
        <w:rPr>
          <w:rFonts w:ascii="Verdana" w:hAnsi="Verdana"/>
          <w:i/>
          <w:sz w:val="20"/>
        </w:rPr>
        <w:t>Journal of Occupational Medicine</w:t>
      </w:r>
      <w:r w:rsidRPr="00C341EB">
        <w:rPr>
          <w:rFonts w:ascii="Verdana" w:hAnsi="Verdana"/>
          <w:sz w:val="20"/>
        </w:rPr>
        <w:t xml:space="preserve">, 1992. </w:t>
      </w:r>
      <w:r w:rsidRPr="00C341EB">
        <w:rPr>
          <w:rFonts w:ascii="Verdana" w:hAnsi="Verdana"/>
          <w:b/>
          <w:sz w:val="20"/>
        </w:rPr>
        <w:t>34</w:t>
      </w:r>
      <w:r w:rsidRPr="00C341EB">
        <w:rPr>
          <w:rFonts w:ascii="Verdana" w:hAnsi="Verdana"/>
          <w:sz w:val="20"/>
        </w:rPr>
        <w:t>(7):718-721.</w:t>
      </w:r>
    </w:p>
    <w:p w14:paraId="650271E8"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31.</w:t>
      </w:r>
      <w:r w:rsidRPr="00C341EB">
        <w:rPr>
          <w:rFonts w:ascii="Verdana" w:hAnsi="Verdana"/>
          <w:sz w:val="20"/>
        </w:rPr>
        <w:tab/>
        <w:t>Harding A, Darnton A, Wegerdt J</w:t>
      </w:r>
      <w:r w:rsidRPr="00C341EB">
        <w:rPr>
          <w:rFonts w:ascii="Verdana" w:hAnsi="Verdana"/>
          <w:i/>
          <w:sz w:val="20"/>
        </w:rPr>
        <w:t xml:space="preserve"> et al</w:t>
      </w:r>
      <w:r w:rsidRPr="00C341EB">
        <w:rPr>
          <w:rFonts w:ascii="Verdana" w:hAnsi="Verdana"/>
          <w:sz w:val="20"/>
        </w:rPr>
        <w:t>. Mortality among British asbestos workers undergoing regular medical examinations (1971-2005)</w:t>
      </w:r>
      <w:r w:rsidRPr="00C341EB">
        <w:rPr>
          <w:rFonts w:ascii="Verdana" w:hAnsi="Verdana"/>
          <w:i/>
          <w:sz w:val="20"/>
        </w:rPr>
        <w:t>.</w:t>
      </w:r>
      <w:r w:rsidRPr="00C341EB">
        <w:rPr>
          <w:rFonts w:ascii="Verdana" w:hAnsi="Verdana"/>
          <w:sz w:val="20"/>
        </w:rPr>
        <w:t xml:space="preserve"> </w:t>
      </w:r>
      <w:r w:rsidRPr="00C341EB">
        <w:rPr>
          <w:rFonts w:ascii="Verdana" w:hAnsi="Verdana"/>
          <w:i/>
          <w:sz w:val="20"/>
        </w:rPr>
        <w:t>Occupational &amp; Environmental Medicine</w:t>
      </w:r>
      <w:r w:rsidRPr="00C341EB">
        <w:rPr>
          <w:rFonts w:ascii="Verdana" w:hAnsi="Verdana"/>
          <w:sz w:val="20"/>
        </w:rPr>
        <w:t xml:space="preserve">, 2009. </w:t>
      </w:r>
      <w:r w:rsidRPr="00C341EB">
        <w:rPr>
          <w:rFonts w:ascii="Verdana" w:hAnsi="Verdana"/>
          <w:b/>
          <w:sz w:val="20"/>
        </w:rPr>
        <w:t>66</w:t>
      </w:r>
      <w:r w:rsidRPr="00C341EB">
        <w:rPr>
          <w:rFonts w:ascii="Verdana" w:hAnsi="Verdana"/>
          <w:sz w:val="20"/>
        </w:rPr>
        <w:t>:487-495.</w:t>
      </w:r>
    </w:p>
    <w:p w14:paraId="36D9B065"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32.</w:t>
      </w:r>
      <w:r w:rsidRPr="00C341EB">
        <w:rPr>
          <w:rFonts w:ascii="Verdana" w:hAnsi="Verdana"/>
          <w:sz w:val="20"/>
        </w:rPr>
        <w:tab/>
        <w:t>Luippold R, Mundt K, Austin R</w:t>
      </w:r>
      <w:r w:rsidRPr="00C341EB">
        <w:rPr>
          <w:rFonts w:ascii="Verdana" w:hAnsi="Verdana"/>
          <w:i/>
          <w:sz w:val="20"/>
        </w:rPr>
        <w:t xml:space="preserve"> et al</w:t>
      </w:r>
      <w:r w:rsidRPr="00C341EB">
        <w:rPr>
          <w:rFonts w:ascii="Verdana" w:hAnsi="Verdana"/>
          <w:sz w:val="20"/>
        </w:rPr>
        <w:t>. Lung cancer mortality among chromate production workers</w:t>
      </w:r>
      <w:r w:rsidRPr="00C341EB">
        <w:rPr>
          <w:rFonts w:ascii="Verdana" w:hAnsi="Verdana"/>
          <w:i/>
          <w:sz w:val="20"/>
        </w:rPr>
        <w:t>.</w:t>
      </w:r>
      <w:r w:rsidRPr="00C341EB">
        <w:rPr>
          <w:rFonts w:ascii="Verdana" w:hAnsi="Verdana"/>
          <w:sz w:val="20"/>
        </w:rPr>
        <w:t xml:space="preserve"> </w:t>
      </w:r>
      <w:r w:rsidRPr="00C341EB">
        <w:rPr>
          <w:rFonts w:ascii="Verdana" w:hAnsi="Verdana"/>
          <w:i/>
          <w:sz w:val="20"/>
        </w:rPr>
        <w:t>Occupational &amp; Environmental Medicine</w:t>
      </w:r>
      <w:r w:rsidRPr="00C341EB">
        <w:rPr>
          <w:rFonts w:ascii="Verdana" w:hAnsi="Verdana"/>
          <w:sz w:val="20"/>
        </w:rPr>
        <w:t xml:space="preserve">, 2003. </w:t>
      </w:r>
      <w:r w:rsidRPr="00C341EB">
        <w:rPr>
          <w:rFonts w:ascii="Verdana" w:hAnsi="Verdana"/>
          <w:b/>
          <w:sz w:val="20"/>
        </w:rPr>
        <w:t>60</w:t>
      </w:r>
      <w:r w:rsidRPr="00C341EB">
        <w:rPr>
          <w:rFonts w:ascii="Verdana" w:hAnsi="Verdana"/>
          <w:sz w:val="20"/>
        </w:rPr>
        <w:t>(6):451-457.</w:t>
      </w:r>
    </w:p>
    <w:p w14:paraId="195C7878"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33.</w:t>
      </w:r>
      <w:r w:rsidRPr="00C341EB">
        <w:rPr>
          <w:rFonts w:ascii="Verdana" w:hAnsi="Verdana"/>
          <w:sz w:val="20"/>
        </w:rPr>
        <w:tab/>
        <w:t>Steenland K, Mannetje A, Boffetta P</w:t>
      </w:r>
      <w:r w:rsidRPr="00C341EB">
        <w:rPr>
          <w:rFonts w:ascii="Verdana" w:hAnsi="Verdana"/>
          <w:i/>
          <w:sz w:val="20"/>
        </w:rPr>
        <w:t xml:space="preserve"> et al</w:t>
      </w:r>
      <w:r w:rsidRPr="00C341EB">
        <w:rPr>
          <w:rFonts w:ascii="Verdana" w:hAnsi="Verdana"/>
          <w:sz w:val="20"/>
        </w:rPr>
        <w:t>. Pooled exposure-response analyses and risk assessment for lung cancer in 10 cohorts of silica-exposed workers: an IARC multicentre study</w:t>
      </w:r>
      <w:r w:rsidRPr="00C341EB">
        <w:rPr>
          <w:rFonts w:ascii="Verdana" w:hAnsi="Verdana"/>
          <w:i/>
          <w:sz w:val="20"/>
        </w:rPr>
        <w:t>.</w:t>
      </w:r>
      <w:r w:rsidRPr="00C341EB">
        <w:rPr>
          <w:rFonts w:ascii="Verdana" w:hAnsi="Verdana"/>
          <w:sz w:val="20"/>
        </w:rPr>
        <w:t xml:space="preserve"> </w:t>
      </w:r>
      <w:r w:rsidRPr="00C341EB">
        <w:rPr>
          <w:rFonts w:ascii="Verdana" w:hAnsi="Verdana"/>
          <w:i/>
          <w:sz w:val="20"/>
        </w:rPr>
        <w:t>Cancer Causes and Control</w:t>
      </w:r>
      <w:r w:rsidRPr="00C341EB">
        <w:rPr>
          <w:rFonts w:ascii="Verdana" w:hAnsi="Verdana"/>
          <w:sz w:val="20"/>
        </w:rPr>
        <w:t xml:space="preserve">, 2001. </w:t>
      </w:r>
      <w:r w:rsidRPr="00C341EB">
        <w:rPr>
          <w:rFonts w:ascii="Verdana" w:hAnsi="Verdana"/>
          <w:b/>
          <w:sz w:val="20"/>
        </w:rPr>
        <w:t>12</w:t>
      </w:r>
      <w:r w:rsidRPr="00C341EB">
        <w:rPr>
          <w:rFonts w:ascii="Verdana" w:hAnsi="Verdana"/>
          <w:sz w:val="20"/>
        </w:rPr>
        <w:t>(9): 773-784.</w:t>
      </w:r>
    </w:p>
    <w:p w14:paraId="68D74F06"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34.</w:t>
      </w:r>
      <w:r w:rsidRPr="00C341EB">
        <w:rPr>
          <w:rFonts w:ascii="Verdana" w:hAnsi="Verdana"/>
          <w:sz w:val="20"/>
        </w:rPr>
        <w:tab/>
        <w:t>Lelbach W. A 25-year follow-up study of heavily exposed vinyl chloride workers in Germany</w:t>
      </w:r>
      <w:r w:rsidRPr="00C341EB">
        <w:rPr>
          <w:rFonts w:ascii="Verdana" w:hAnsi="Verdana"/>
          <w:i/>
          <w:sz w:val="20"/>
        </w:rPr>
        <w:t>.</w:t>
      </w:r>
      <w:r w:rsidRPr="00C341EB">
        <w:rPr>
          <w:rFonts w:ascii="Verdana" w:hAnsi="Verdana"/>
          <w:sz w:val="20"/>
        </w:rPr>
        <w:t xml:space="preserve"> </w:t>
      </w:r>
      <w:r w:rsidRPr="00C341EB">
        <w:rPr>
          <w:rFonts w:ascii="Verdana" w:hAnsi="Verdana"/>
          <w:i/>
          <w:sz w:val="20"/>
        </w:rPr>
        <w:t>American Journal of Industrial Medicine</w:t>
      </w:r>
      <w:r w:rsidRPr="00C341EB">
        <w:rPr>
          <w:rFonts w:ascii="Verdana" w:hAnsi="Verdana"/>
          <w:sz w:val="20"/>
        </w:rPr>
        <w:t xml:space="preserve">, 1996. </w:t>
      </w:r>
      <w:r w:rsidRPr="00C341EB">
        <w:rPr>
          <w:rFonts w:ascii="Verdana" w:hAnsi="Verdana"/>
          <w:b/>
          <w:sz w:val="20"/>
        </w:rPr>
        <w:t>29</w:t>
      </w:r>
      <w:r w:rsidRPr="00C341EB">
        <w:rPr>
          <w:rFonts w:ascii="Verdana" w:hAnsi="Verdana"/>
          <w:sz w:val="20"/>
        </w:rPr>
        <w:t>(5):446-458.</w:t>
      </w:r>
    </w:p>
    <w:p w14:paraId="43D2C6DA"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lastRenderedPageBreak/>
        <w:t>35.</w:t>
      </w:r>
      <w:r w:rsidRPr="00C341EB">
        <w:rPr>
          <w:rFonts w:ascii="Verdana" w:hAnsi="Verdana"/>
          <w:sz w:val="20"/>
        </w:rPr>
        <w:tab/>
        <w:t>Beane Freeman L, Blair A, Lubin J</w:t>
      </w:r>
      <w:r w:rsidRPr="00C341EB">
        <w:rPr>
          <w:rFonts w:ascii="Verdana" w:hAnsi="Verdana"/>
          <w:i/>
          <w:sz w:val="20"/>
        </w:rPr>
        <w:t xml:space="preserve"> et al</w:t>
      </w:r>
      <w:r w:rsidRPr="00C341EB">
        <w:rPr>
          <w:rFonts w:ascii="Verdana" w:hAnsi="Verdana"/>
          <w:sz w:val="20"/>
        </w:rPr>
        <w:t>. Mortality from lymphohematopoietic malignancies among workers in formaldehyde industries: the National Cancer Institute Cohort</w:t>
      </w:r>
      <w:r w:rsidRPr="00C341EB">
        <w:rPr>
          <w:rFonts w:ascii="Verdana" w:hAnsi="Verdana"/>
          <w:i/>
          <w:sz w:val="20"/>
        </w:rPr>
        <w:t>.</w:t>
      </w:r>
      <w:r w:rsidRPr="00C341EB">
        <w:rPr>
          <w:rFonts w:ascii="Verdana" w:hAnsi="Verdana"/>
          <w:sz w:val="20"/>
        </w:rPr>
        <w:t xml:space="preserve"> </w:t>
      </w:r>
      <w:r w:rsidRPr="00C341EB">
        <w:rPr>
          <w:rFonts w:ascii="Verdana" w:hAnsi="Verdana"/>
          <w:i/>
          <w:sz w:val="20"/>
        </w:rPr>
        <w:t>Journal of the National Cancer Institute</w:t>
      </w:r>
      <w:r w:rsidRPr="00C341EB">
        <w:rPr>
          <w:rFonts w:ascii="Verdana" w:hAnsi="Verdana"/>
          <w:sz w:val="20"/>
        </w:rPr>
        <w:t xml:space="preserve">, 2009. </w:t>
      </w:r>
      <w:r w:rsidRPr="00C341EB">
        <w:rPr>
          <w:rFonts w:ascii="Verdana" w:hAnsi="Verdana"/>
          <w:b/>
          <w:sz w:val="20"/>
        </w:rPr>
        <w:t>101</w:t>
      </w:r>
      <w:r w:rsidRPr="00C341EB">
        <w:rPr>
          <w:rFonts w:ascii="Verdana" w:hAnsi="Verdana"/>
          <w:sz w:val="20"/>
        </w:rPr>
        <w:t>(10):751-761.</w:t>
      </w:r>
    </w:p>
    <w:p w14:paraId="666DA10C"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36.</w:t>
      </w:r>
      <w:r w:rsidRPr="00C341EB">
        <w:rPr>
          <w:rFonts w:ascii="Verdana" w:hAnsi="Verdana"/>
          <w:sz w:val="20"/>
        </w:rPr>
        <w:tab/>
        <w:t>Hayes R, Yin S, Dosemeci M</w:t>
      </w:r>
      <w:r w:rsidRPr="00C341EB">
        <w:rPr>
          <w:rFonts w:ascii="Verdana" w:hAnsi="Verdana"/>
          <w:i/>
          <w:sz w:val="20"/>
        </w:rPr>
        <w:t xml:space="preserve"> et al</w:t>
      </w:r>
      <w:r w:rsidRPr="00C341EB">
        <w:rPr>
          <w:rFonts w:ascii="Verdana" w:hAnsi="Verdana"/>
          <w:sz w:val="20"/>
        </w:rPr>
        <w:t>. Benzene and the dose-related incidence of hematologic neoplasms in China. Chinese Academy of Preventive Medicine--National Cancer Institute Benzene Study Group</w:t>
      </w:r>
      <w:r w:rsidRPr="00C341EB">
        <w:rPr>
          <w:rFonts w:ascii="Verdana" w:hAnsi="Verdana"/>
          <w:i/>
          <w:sz w:val="20"/>
        </w:rPr>
        <w:t>.</w:t>
      </w:r>
      <w:r w:rsidRPr="00C341EB">
        <w:rPr>
          <w:rFonts w:ascii="Verdana" w:hAnsi="Verdana"/>
          <w:sz w:val="20"/>
        </w:rPr>
        <w:t xml:space="preserve"> </w:t>
      </w:r>
      <w:r w:rsidRPr="00C341EB">
        <w:rPr>
          <w:rFonts w:ascii="Verdana" w:hAnsi="Verdana"/>
          <w:i/>
          <w:sz w:val="20"/>
        </w:rPr>
        <w:t>Journal of the National Cancer Institute</w:t>
      </w:r>
      <w:r w:rsidRPr="00C341EB">
        <w:rPr>
          <w:rFonts w:ascii="Verdana" w:hAnsi="Verdana"/>
          <w:sz w:val="20"/>
        </w:rPr>
        <w:t xml:space="preserve">, 1997. </w:t>
      </w:r>
      <w:r w:rsidRPr="00C341EB">
        <w:rPr>
          <w:rFonts w:ascii="Verdana" w:hAnsi="Verdana"/>
          <w:b/>
          <w:sz w:val="20"/>
        </w:rPr>
        <w:t>89</w:t>
      </w:r>
      <w:r w:rsidRPr="00C341EB">
        <w:rPr>
          <w:rFonts w:ascii="Verdana" w:hAnsi="Verdana"/>
          <w:sz w:val="20"/>
        </w:rPr>
        <w:t>(14):1065-1071.</w:t>
      </w:r>
    </w:p>
    <w:p w14:paraId="17572910" w14:textId="77777777" w:rsidR="00C341EB" w:rsidRPr="00C341EB" w:rsidRDefault="00C341EB" w:rsidP="00C341EB">
      <w:pPr>
        <w:pStyle w:val="EndNoteBibliography"/>
        <w:tabs>
          <w:tab w:val="left" w:pos="567"/>
        </w:tabs>
        <w:spacing w:before="120" w:after="120"/>
        <w:ind w:left="567" w:hanging="567"/>
        <w:rPr>
          <w:rFonts w:ascii="Verdana" w:hAnsi="Verdana"/>
          <w:sz w:val="20"/>
        </w:rPr>
      </w:pPr>
      <w:r w:rsidRPr="00C341EB">
        <w:rPr>
          <w:rFonts w:ascii="Verdana" w:hAnsi="Verdana"/>
          <w:sz w:val="20"/>
        </w:rPr>
        <w:t>37.</w:t>
      </w:r>
      <w:r w:rsidRPr="00C341EB">
        <w:rPr>
          <w:rFonts w:ascii="Verdana" w:hAnsi="Verdana"/>
          <w:sz w:val="20"/>
        </w:rPr>
        <w:tab/>
        <w:t>Ellingsen D, Konstantinov R, Bast-Pettersen R</w:t>
      </w:r>
      <w:r w:rsidRPr="00C341EB">
        <w:rPr>
          <w:rFonts w:ascii="Verdana" w:hAnsi="Verdana"/>
          <w:i/>
          <w:sz w:val="20"/>
        </w:rPr>
        <w:t xml:space="preserve"> et al</w:t>
      </w:r>
      <w:r w:rsidRPr="00C341EB">
        <w:rPr>
          <w:rFonts w:ascii="Verdana" w:hAnsi="Verdana"/>
          <w:sz w:val="20"/>
        </w:rPr>
        <w:t>. A neurobehavioral study of current and former welders exposed to manganese</w:t>
      </w:r>
      <w:r w:rsidRPr="00C341EB">
        <w:rPr>
          <w:rFonts w:ascii="Verdana" w:hAnsi="Verdana"/>
          <w:i/>
          <w:sz w:val="20"/>
        </w:rPr>
        <w:t>.</w:t>
      </w:r>
      <w:r w:rsidRPr="00C341EB">
        <w:rPr>
          <w:rFonts w:ascii="Verdana" w:hAnsi="Verdana"/>
          <w:sz w:val="20"/>
        </w:rPr>
        <w:t xml:space="preserve"> </w:t>
      </w:r>
      <w:r w:rsidRPr="00C341EB">
        <w:rPr>
          <w:rFonts w:ascii="Verdana" w:hAnsi="Verdana"/>
          <w:i/>
          <w:sz w:val="20"/>
        </w:rPr>
        <w:t>Neurotoxicology</w:t>
      </w:r>
      <w:r w:rsidRPr="00C341EB">
        <w:rPr>
          <w:rFonts w:ascii="Verdana" w:hAnsi="Verdana"/>
          <w:sz w:val="20"/>
        </w:rPr>
        <w:t xml:space="preserve">, 2008. </w:t>
      </w:r>
      <w:r w:rsidRPr="00C341EB">
        <w:rPr>
          <w:rFonts w:ascii="Verdana" w:hAnsi="Verdana"/>
          <w:b/>
          <w:sz w:val="20"/>
        </w:rPr>
        <w:t>29</w:t>
      </w:r>
      <w:r w:rsidRPr="00C341EB">
        <w:rPr>
          <w:rFonts w:ascii="Verdana" w:hAnsi="Verdana"/>
          <w:sz w:val="20"/>
        </w:rPr>
        <w:t>(1):48-59.</w:t>
      </w:r>
    </w:p>
    <w:p w14:paraId="121554B9" w14:textId="16C82599" w:rsidR="0077265F" w:rsidRPr="005144D5" w:rsidRDefault="002972A9" w:rsidP="002C7768">
      <w:pPr>
        <w:pStyle w:val="PHD-normaltext"/>
        <w:tabs>
          <w:tab w:val="left" w:pos="426"/>
          <w:tab w:val="left" w:pos="567"/>
        </w:tabs>
        <w:spacing w:before="120" w:after="120" w:line="240" w:lineRule="auto"/>
        <w:rPr>
          <w:rFonts w:asciiTheme="minorHAnsi" w:hAnsiTheme="minorHAnsi"/>
          <w:sz w:val="22"/>
          <w:szCs w:val="22"/>
        </w:rPr>
      </w:pPr>
      <w:r w:rsidRPr="00C341EB">
        <w:fldChar w:fldCharType="end"/>
      </w:r>
    </w:p>
    <w:sectPr w:rsidR="0077265F" w:rsidRPr="005144D5" w:rsidSect="00A9173E">
      <w:footnotePr>
        <w:numRestart w:val="eachSect"/>
      </w:footnotePr>
      <w:endnotePr>
        <w:numFmt w:val="decimal"/>
      </w:endnotePr>
      <w:pgSz w:w="11906" w:h="16838"/>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0375C" w14:textId="77777777" w:rsidR="00D11278" w:rsidRDefault="00D11278">
      <w:r>
        <w:separator/>
      </w:r>
    </w:p>
  </w:endnote>
  <w:endnote w:type="continuationSeparator" w:id="0">
    <w:p w14:paraId="5B31D63E" w14:textId="77777777" w:rsidR="00D11278" w:rsidRDefault="00D1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vantGarde Md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E6070" w14:textId="77777777" w:rsidR="00D11278" w:rsidRDefault="00D112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A6945B" w14:textId="77777777" w:rsidR="00D11278" w:rsidRDefault="00D112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25D8" w14:textId="77777777" w:rsidR="00D11278" w:rsidRDefault="00D11278">
    <w:pPr>
      <w:pStyle w:val="Footer"/>
      <w:framePr w:wrap="around" w:vAnchor="text" w:hAnchor="margin" w:xAlign="right" w:y="1"/>
      <w:rPr>
        <w:rStyle w:val="PageNumber"/>
      </w:rPr>
    </w:pPr>
  </w:p>
  <w:p w14:paraId="679ED07E" w14:textId="77777777" w:rsidR="00D11278" w:rsidRDefault="00D1127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7BBA1" w14:textId="77777777" w:rsidR="00D11278" w:rsidRDefault="00D112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608DE" w14:textId="77777777" w:rsidR="00D11278" w:rsidRDefault="00D1127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3E7DF" w14:textId="272A3A65" w:rsidR="00D11278" w:rsidRDefault="00D112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5204">
      <w:rPr>
        <w:rStyle w:val="PageNumber"/>
        <w:noProof/>
      </w:rPr>
      <w:t>ii</w:t>
    </w:r>
    <w:r>
      <w:rPr>
        <w:rStyle w:val="PageNumber"/>
      </w:rPr>
      <w:fldChar w:fldCharType="end"/>
    </w:r>
  </w:p>
  <w:p w14:paraId="08532F7B" w14:textId="773163C6" w:rsidR="00D11278" w:rsidRDefault="00D11278">
    <w:pPr>
      <w:pStyle w:val="Footer"/>
      <w:ind w:right="360"/>
    </w:pPr>
    <w:r>
      <w:rPr>
        <w:rFonts w:ascii="Verdana" w:hAnsi="Verdana"/>
        <w:b/>
        <w:sz w:val="16"/>
      </w:rPr>
      <w:t>Comcare Scheme Deemed Diseases support information – 2017……………..Final report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BCB1E" w14:textId="77777777" w:rsidR="00D11278" w:rsidRDefault="00D11278">
      <w:r>
        <w:separator/>
      </w:r>
    </w:p>
  </w:footnote>
  <w:footnote w:type="continuationSeparator" w:id="0">
    <w:p w14:paraId="197FD43B" w14:textId="77777777" w:rsidR="00D11278" w:rsidRDefault="00D11278">
      <w:r>
        <w:continuationSeparator/>
      </w:r>
    </w:p>
  </w:footnote>
  <w:footnote w:id="1">
    <w:p w14:paraId="7E507545" w14:textId="77777777" w:rsidR="00D11278" w:rsidRDefault="00D11278">
      <w:pPr>
        <w:pStyle w:val="FootnoteText"/>
      </w:pPr>
      <w:r>
        <w:rPr>
          <w:rStyle w:val="FootnoteReference"/>
        </w:rPr>
        <w:footnoteRef/>
      </w:r>
      <w:r>
        <w:t xml:space="preserve"> Available at </w:t>
      </w:r>
      <w:r w:rsidRPr="000270CF">
        <w:t>http://www.aihw.gov.au/acim-books/</w:t>
      </w:r>
      <w:r>
        <w:t>.</w:t>
      </w:r>
    </w:p>
  </w:footnote>
  <w:footnote w:id="2">
    <w:p w14:paraId="34A355A2" w14:textId="77777777" w:rsidR="00D11278" w:rsidRPr="00C73735" w:rsidRDefault="00D11278" w:rsidP="00D11278">
      <w:pPr>
        <w:pStyle w:val="Footer"/>
        <w:rPr>
          <w:rFonts w:asciiTheme="minorHAnsi" w:hAnsiTheme="minorHAnsi"/>
          <w:sz w:val="18"/>
          <w:szCs w:val="18"/>
        </w:rPr>
      </w:pPr>
      <w:r w:rsidRPr="00C73735">
        <w:rPr>
          <w:rFonts w:asciiTheme="minorHAnsi" w:hAnsiTheme="minorHAnsi"/>
          <w:sz w:val="18"/>
          <w:szCs w:val="18"/>
        </w:rPr>
        <w:footnoteRef/>
      </w:r>
      <w:r w:rsidRPr="00C73735">
        <w:rPr>
          <w:rFonts w:asciiTheme="minorHAnsi" w:hAnsiTheme="minorHAnsi"/>
          <w:sz w:val="18"/>
          <w:szCs w:val="18"/>
        </w:rPr>
        <w:t xml:space="preserve"> Includes only those priority carcinogens with five or more workers exposed. </w:t>
      </w:r>
    </w:p>
  </w:footnote>
  <w:footnote w:id="3">
    <w:p w14:paraId="7918F6D3" w14:textId="77777777" w:rsidR="00D11278" w:rsidRPr="00C73735" w:rsidRDefault="00D11278" w:rsidP="00D11278">
      <w:pPr>
        <w:pStyle w:val="Footer"/>
        <w:rPr>
          <w:rFonts w:asciiTheme="minorHAnsi" w:hAnsiTheme="minorHAnsi"/>
          <w:sz w:val="18"/>
          <w:szCs w:val="18"/>
        </w:rPr>
      </w:pPr>
      <w:r w:rsidRPr="00C73735">
        <w:rPr>
          <w:rFonts w:asciiTheme="minorHAnsi" w:hAnsiTheme="minorHAnsi"/>
          <w:sz w:val="18"/>
          <w:szCs w:val="18"/>
        </w:rPr>
        <w:footnoteRef/>
      </w:r>
      <w:r w:rsidRPr="00C73735">
        <w:rPr>
          <w:rFonts w:asciiTheme="minorHAnsi" w:hAnsiTheme="minorHAnsi"/>
          <w:sz w:val="18"/>
          <w:szCs w:val="18"/>
        </w:rPr>
        <w:t xml:space="preserve"> 95% CI of the proportion</w:t>
      </w:r>
    </w:p>
  </w:footnote>
  <w:footnote w:id="4">
    <w:p w14:paraId="4DC1E7B9" w14:textId="77777777" w:rsidR="00D11278" w:rsidRPr="00C73735" w:rsidRDefault="00D11278" w:rsidP="00D11278">
      <w:pPr>
        <w:pStyle w:val="Footer"/>
        <w:rPr>
          <w:rFonts w:asciiTheme="minorHAnsi" w:hAnsiTheme="minorHAnsi"/>
          <w:sz w:val="18"/>
          <w:szCs w:val="18"/>
        </w:rPr>
      </w:pPr>
      <w:r w:rsidRPr="00C73735">
        <w:rPr>
          <w:rFonts w:asciiTheme="minorHAnsi" w:hAnsiTheme="minorHAnsi"/>
          <w:sz w:val="18"/>
          <w:szCs w:val="18"/>
        </w:rPr>
        <w:footnoteRef/>
      </w:r>
      <w:r w:rsidRPr="00C73735">
        <w:rPr>
          <w:rFonts w:asciiTheme="minorHAnsi" w:hAnsiTheme="minorHAnsi"/>
          <w:sz w:val="18"/>
          <w:szCs w:val="18"/>
        </w:rPr>
        <w:t xml:space="preserve"> Exposed to any one or more of seven shiftwork agents (light at night, phase shift, sleep disturbance, diet and chronodisruption, alcohol and chronodisruption, lack of   physical activity and vitamin D insufficiency).</w:t>
      </w:r>
    </w:p>
    <w:p w14:paraId="22E393C7" w14:textId="77777777" w:rsidR="00D11278" w:rsidRPr="00C73735" w:rsidRDefault="00D11278" w:rsidP="00D11278">
      <w:pPr>
        <w:pStyle w:val="Footer"/>
        <w:rPr>
          <w:rFonts w:asciiTheme="minorHAnsi" w:hAnsiTheme="minorHAnsi"/>
          <w:sz w:val="18"/>
          <w:szCs w:val="18"/>
        </w:rPr>
      </w:pPr>
      <w:r w:rsidRPr="00C73735">
        <w:rPr>
          <w:rFonts w:asciiTheme="minorHAnsi" w:hAnsiTheme="minorHAnsi"/>
          <w:sz w:val="18"/>
          <w:szCs w:val="18"/>
        </w:rPr>
        <w:t>ETS, environmental tobacco smoke; PAHs, polycyclic aromatic hydrocarbons; UVR, ultraviolet radiation.</w:t>
      </w:r>
    </w:p>
    <w:p w14:paraId="0FA8FE88" w14:textId="77777777" w:rsidR="00D11278" w:rsidRPr="00736E5C" w:rsidRDefault="00D11278" w:rsidP="00D11278">
      <w:pPr>
        <w:pStyle w:val="Footer"/>
        <w:rPr>
          <w:rFonts w:asciiTheme="minorHAnsi" w:hAnsiTheme="minorHAnsi"/>
          <w:sz w:val="18"/>
          <w:szCs w:val="18"/>
          <w:vertAlign w:val="superscript"/>
        </w:rPr>
      </w:pPr>
      <w:r w:rsidRPr="00C73735">
        <w:rPr>
          <w:rFonts w:asciiTheme="minorHAnsi" w:hAnsiTheme="minorHAnsi"/>
          <w:sz w:val="18"/>
          <w:szCs w:val="18"/>
          <w:vertAlign w:val="superscript"/>
        </w:rPr>
        <w:t xml:space="preserve">+ </w:t>
      </w:r>
      <w:r w:rsidRPr="00C73735">
        <w:rPr>
          <w:rFonts w:asciiTheme="minorHAnsi" w:hAnsiTheme="minorHAnsi"/>
          <w:sz w:val="18"/>
          <w:szCs w:val="18"/>
        </w:rPr>
        <w:t xml:space="preserve">reproduced from </w:t>
      </w:r>
      <w:r w:rsidRPr="00736E5C">
        <w:rPr>
          <w:rFonts w:asciiTheme="minorHAnsi" w:hAnsiTheme="minorHAnsi"/>
          <w:i/>
          <w:sz w:val="18"/>
          <w:szCs w:val="18"/>
        </w:rPr>
        <w:t>Carey et al. 2014</w:t>
      </w:r>
      <w:r w:rsidRPr="00736E5C">
        <w:rPr>
          <w:rFonts w:asciiTheme="minorHAnsi" w:hAnsiTheme="minorHAnsi"/>
          <w:i/>
          <w:sz w:val="18"/>
          <w:szCs w:val="18"/>
          <w:vertAlign w:val="superscript"/>
        </w:rPr>
        <w:t>26</w:t>
      </w:r>
    </w:p>
    <w:p w14:paraId="61395496" w14:textId="77777777" w:rsidR="00D11278" w:rsidRDefault="00D11278" w:rsidP="00D11278">
      <w:pPr>
        <w:rPr>
          <w:sz w:val="20"/>
        </w:rPr>
      </w:pPr>
    </w:p>
    <w:p w14:paraId="6F6EECA2" w14:textId="77777777" w:rsidR="00D11278" w:rsidRDefault="00D11278" w:rsidP="00D11278">
      <w:pPr>
        <w:pStyle w:val="FootnoteText"/>
      </w:pPr>
    </w:p>
    <w:p w14:paraId="0D790382" w14:textId="77777777" w:rsidR="00D11278" w:rsidRDefault="00D11278" w:rsidP="00D11278">
      <w:pPr>
        <w:pStyle w:val="FootnoteText"/>
      </w:pPr>
    </w:p>
    <w:p w14:paraId="7688410E" w14:textId="77777777" w:rsidR="00D11278" w:rsidRDefault="00D11278" w:rsidP="00D11278">
      <w:pPr>
        <w:pStyle w:val="FootnoteText"/>
      </w:pPr>
    </w:p>
  </w:footnote>
  <w:footnote w:id="5">
    <w:p w14:paraId="6434A414" w14:textId="77777777" w:rsidR="00D11278" w:rsidRDefault="00D11278" w:rsidP="00D11278">
      <w:pPr>
        <w:pStyle w:val="FootnoteText"/>
      </w:pPr>
    </w:p>
  </w:footnote>
  <w:footnote w:id="6">
    <w:p w14:paraId="3776FEF4" w14:textId="77777777" w:rsidR="00D11278" w:rsidRPr="001C2722" w:rsidRDefault="00D11278" w:rsidP="00D11278">
      <w:pPr>
        <w:pStyle w:val="Footer"/>
        <w:rPr>
          <w:sz w:val="20"/>
        </w:rPr>
      </w:pPr>
      <w:r w:rsidRPr="001C2722">
        <w:rPr>
          <w:rStyle w:val="FootnoteReference"/>
          <w:sz w:val="20"/>
        </w:rPr>
        <w:footnoteRef/>
      </w:r>
      <w:r w:rsidRPr="001C2722">
        <w:rPr>
          <w:sz w:val="20"/>
        </w:rPr>
        <w:t xml:space="preserve"> Includes only those priority carcinogens with five or more workers exposed </w:t>
      </w:r>
    </w:p>
  </w:footnote>
  <w:footnote w:id="7">
    <w:p w14:paraId="6B1F9F2B" w14:textId="77777777" w:rsidR="00D11278" w:rsidRPr="001C2722" w:rsidRDefault="00D11278" w:rsidP="00D11278">
      <w:pPr>
        <w:pStyle w:val="Footer"/>
        <w:rPr>
          <w:sz w:val="20"/>
        </w:rPr>
      </w:pPr>
      <w:r w:rsidRPr="001C2722">
        <w:rPr>
          <w:rStyle w:val="FootnoteReference"/>
          <w:sz w:val="20"/>
        </w:rPr>
        <w:footnoteRef/>
      </w:r>
      <w:r w:rsidRPr="001C2722">
        <w:rPr>
          <w:sz w:val="20"/>
        </w:rPr>
        <w:t xml:space="preserve"> 95% CI of the proportion. </w:t>
      </w:r>
    </w:p>
  </w:footnote>
  <w:footnote w:id="8">
    <w:p w14:paraId="372A2E3B" w14:textId="77777777" w:rsidR="00D11278" w:rsidRPr="001C2722" w:rsidRDefault="00D11278" w:rsidP="00D11278">
      <w:pPr>
        <w:pStyle w:val="Footer"/>
        <w:rPr>
          <w:sz w:val="20"/>
        </w:rPr>
      </w:pPr>
      <w:r w:rsidRPr="001C2722">
        <w:rPr>
          <w:rStyle w:val="FootnoteReference"/>
          <w:sz w:val="20"/>
        </w:rPr>
        <w:footnoteRef/>
      </w:r>
      <w:r w:rsidRPr="001C2722">
        <w:rPr>
          <w:sz w:val="20"/>
        </w:rPr>
        <w:t xml:space="preserve"> Exposed to any one or more of seven shiftwork</w:t>
      </w:r>
      <w:r>
        <w:rPr>
          <w:sz w:val="20"/>
        </w:rPr>
        <w:t xml:space="preserve"> agents</w:t>
      </w:r>
      <w:r w:rsidRPr="001C2722">
        <w:rPr>
          <w:sz w:val="20"/>
        </w:rPr>
        <w:t xml:space="preserve"> (light at night, phase shift, sleep disturbance, diet and chronodisruption, alcohol and chronodisruption, lack of physical activity, and vitamin D insufficiency).</w:t>
      </w:r>
    </w:p>
    <w:p w14:paraId="683C5FC7" w14:textId="77777777" w:rsidR="00D11278" w:rsidRDefault="00D11278" w:rsidP="00D11278">
      <w:r w:rsidRPr="001C2722">
        <w:rPr>
          <w:sz w:val="20"/>
        </w:rPr>
        <w:t>ETS, environmental tobacco smoke; PAHs, polycyclic aromatic hydrocarbons; UVR, ultraviolent radiation</w:t>
      </w:r>
      <w:r>
        <w:t xml:space="preserve">. </w:t>
      </w:r>
    </w:p>
  </w:footnote>
  <w:footnote w:id="9">
    <w:p w14:paraId="6F334708" w14:textId="77777777" w:rsidR="00D11278" w:rsidRPr="00736E5C" w:rsidRDefault="00D11278" w:rsidP="00D11278">
      <w:pPr>
        <w:pStyle w:val="FootnoteText"/>
        <w:rPr>
          <w:vertAlign w:val="superscript"/>
        </w:rPr>
      </w:pPr>
      <w:r w:rsidRPr="00736E5C">
        <w:rPr>
          <w:vertAlign w:val="superscript"/>
        </w:rPr>
        <w:t>+</w:t>
      </w:r>
      <w:r>
        <w:rPr>
          <w:vertAlign w:val="superscript"/>
        </w:rPr>
        <w:t xml:space="preserve"> </w:t>
      </w:r>
      <w:r>
        <w:t xml:space="preserve">reproduced from </w:t>
      </w:r>
      <w:r w:rsidRPr="00736E5C">
        <w:rPr>
          <w:i/>
        </w:rPr>
        <w:t>Carey et al 2014</w:t>
      </w:r>
      <w:r>
        <w:rPr>
          <w:i/>
          <w:vertAlign w:val="superscript"/>
        </w:rPr>
        <w:t>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223B7" w14:textId="77777777" w:rsidR="00D11278" w:rsidRDefault="00D1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34F41" w14:textId="77777777" w:rsidR="00D11278" w:rsidRDefault="00D1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EFF96" w14:textId="77777777" w:rsidR="00D11278" w:rsidRDefault="00D112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AE0D5" w14:textId="77777777" w:rsidR="00D11278" w:rsidRDefault="00D112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E13C3" w14:textId="77777777" w:rsidR="00D11278" w:rsidRDefault="00D112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54F89" w14:textId="77777777" w:rsidR="00D11278" w:rsidRDefault="00D11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480"/>
    <w:multiLevelType w:val="hybridMultilevel"/>
    <w:tmpl w:val="906611E6"/>
    <w:lvl w:ilvl="0" w:tplc="C4BCD86A">
      <w:numFmt w:val="bullet"/>
      <w:lvlText w:val="-"/>
      <w:lvlJc w:val="left"/>
      <w:pPr>
        <w:tabs>
          <w:tab w:val="num" w:pos="720"/>
        </w:tabs>
        <w:ind w:left="720" w:hanging="360"/>
      </w:pPr>
      <w:rPr>
        <w:rFonts w:ascii="Times New Roman" w:eastAsia="Times New Roman" w:hAnsi="Times New Roman" w:cs="Times New Roman" w:hint="default"/>
      </w:rPr>
    </w:lvl>
    <w:lvl w:ilvl="1" w:tplc="1186ABBE" w:tentative="1">
      <w:start w:val="1"/>
      <w:numFmt w:val="bullet"/>
      <w:lvlText w:val="o"/>
      <w:lvlJc w:val="left"/>
      <w:pPr>
        <w:tabs>
          <w:tab w:val="num" w:pos="1440"/>
        </w:tabs>
        <w:ind w:left="1440" w:hanging="360"/>
      </w:pPr>
      <w:rPr>
        <w:rFonts w:ascii="Courier New" w:hAnsi="Courier New" w:cs="Courier New" w:hint="default"/>
      </w:rPr>
    </w:lvl>
    <w:lvl w:ilvl="2" w:tplc="44B07822" w:tentative="1">
      <w:start w:val="1"/>
      <w:numFmt w:val="bullet"/>
      <w:lvlText w:val=""/>
      <w:lvlJc w:val="left"/>
      <w:pPr>
        <w:tabs>
          <w:tab w:val="num" w:pos="2160"/>
        </w:tabs>
        <w:ind w:left="2160" w:hanging="360"/>
      </w:pPr>
      <w:rPr>
        <w:rFonts w:ascii="Wingdings" w:hAnsi="Wingdings" w:hint="default"/>
      </w:rPr>
    </w:lvl>
    <w:lvl w:ilvl="3" w:tplc="1FAED56C" w:tentative="1">
      <w:start w:val="1"/>
      <w:numFmt w:val="bullet"/>
      <w:lvlText w:val=""/>
      <w:lvlJc w:val="left"/>
      <w:pPr>
        <w:tabs>
          <w:tab w:val="num" w:pos="2880"/>
        </w:tabs>
        <w:ind w:left="2880" w:hanging="360"/>
      </w:pPr>
      <w:rPr>
        <w:rFonts w:ascii="Symbol" w:hAnsi="Symbol" w:hint="default"/>
      </w:rPr>
    </w:lvl>
    <w:lvl w:ilvl="4" w:tplc="4706159A" w:tentative="1">
      <w:start w:val="1"/>
      <w:numFmt w:val="bullet"/>
      <w:lvlText w:val="o"/>
      <w:lvlJc w:val="left"/>
      <w:pPr>
        <w:tabs>
          <w:tab w:val="num" w:pos="3600"/>
        </w:tabs>
        <w:ind w:left="3600" w:hanging="360"/>
      </w:pPr>
      <w:rPr>
        <w:rFonts w:ascii="Courier New" w:hAnsi="Courier New" w:cs="Courier New" w:hint="default"/>
      </w:rPr>
    </w:lvl>
    <w:lvl w:ilvl="5" w:tplc="05FA841E" w:tentative="1">
      <w:start w:val="1"/>
      <w:numFmt w:val="bullet"/>
      <w:lvlText w:val=""/>
      <w:lvlJc w:val="left"/>
      <w:pPr>
        <w:tabs>
          <w:tab w:val="num" w:pos="4320"/>
        </w:tabs>
        <w:ind w:left="4320" w:hanging="360"/>
      </w:pPr>
      <w:rPr>
        <w:rFonts w:ascii="Wingdings" w:hAnsi="Wingdings" w:hint="default"/>
      </w:rPr>
    </w:lvl>
    <w:lvl w:ilvl="6" w:tplc="FCD04E90" w:tentative="1">
      <w:start w:val="1"/>
      <w:numFmt w:val="bullet"/>
      <w:lvlText w:val=""/>
      <w:lvlJc w:val="left"/>
      <w:pPr>
        <w:tabs>
          <w:tab w:val="num" w:pos="5040"/>
        </w:tabs>
        <w:ind w:left="5040" w:hanging="360"/>
      </w:pPr>
      <w:rPr>
        <w:rFonts w:ascii="Symbol" w:hAnsi="Symbol" w:hint="default"/>
      </w:rPr>
    </w:lvl>
    <w:lvl w:ilvl="7" w:tplc="6700F7D4" w:tentative="1">
      <w:start w:val="1"/>
      <w:numFmt w:val="bullet"/>
      <w:lvlText w:val="o"/>
      <w:lvlJc w:val="left"/>
      <w:pPr>
        <w:tabs>
          <w:tab w:val="num" w:pos="5760"/>
        </w:tabs>
        <w:ind w:left="5760" w:hanging="360"/>
      </w:pPr>
      <w:rPr>
        <w:rFonts w:ascii="Courier New" w:hAnsi="Courier New" w:cs="Courier New" w:hint="default"/>
      </w:rPr>
    </w:lvl>
    <w:lvl w:ilvl="8" w:tplc="3FC247C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812CDD"/>
    <w:multiLevelType w:val="hybridMultilevel"/>
    <w:tmpl w:val="BD063746"/>
    <w:lvl w:ilvl="0" w:tplc="C1EAE55E">
      <w:numFmt w:val="bullet"/>
      <w:lvlText w:val="-"/>
      <w:lvlJc w:val="left"/>
      <w:pPr>
        <w:tabs>
          <w:tab w:val="num" w:pos="720"/>
        </w:tabs>
        <w:ind w:left="720" w:hanging="360"/>
      </w:pPr>
      <w:rPr>
        <w:rFonts w:ascii="Times New Roman" w:eastAsia="Times New Roman" w:hAnsi="Times New Roman" w:cs="Times New Roman" w:hint="default"/>
      </w:rPr>
    </w:lvl>
    <w:lvl w:ilvl="1" w:tplc="F4924800" w:tentative="1">
      <w:start w:val="1"/>
      <w:numFmt w:val="bullet"/>
      <w:lvlText w:val="o"/>
      <w:lvlJc w:val="left"/>
      <w:pPr>
        <w:tabs>
          <w:tab w:val="num" w:pos="1440"/>
        </w:tabs>
        <w:ind w:left="1440" w:hanging="360"/>
      </w:pPr>
      <w:rPr>
        <w:rFonts w:ascii="Courier New" w:hAnsi="Courier New" w:cs="Courier New" w:hint="default"/>
      </w:rPr>
    </w:lvl>
    <w:lvl w:ilvl="2" w:tplc="801AF3F8" w:tentative="1">
      <w:start w:val="1"/>
      <w:numFmt w:val="bullet"/>
      <w:lvlText w:val=""/>
      <w:lvlJc w:val="left"/>
      <w:pPr>
        <w:tabs>
          <w:tab w:val="num" w:pos="2160"/>
        </w:tabs>
        <w:ind w:left="2160" w:hanging="360"/>
      </w:pPr>
      <w:rPr>
        <w:rFonts w:ascii="Wingdings" w:hAnsi="Wingdings" w:hint="default"/>
      </w:rPr>
    </w:lvl>
    <w:lvl w:ilvl="3" w:tplc="215623CA" w:tentative="1">
      <w:start w:val="1"/>
      <w:numFmt w:val="bullet"/>
      <w:lvlText w:val=""/>
      <w:lvlJc w:val="left"/>
      <w:pPr>
        <w:tabs>
          <w:tab w:val="num" w:pos="2880"/>
        </w:tabs>
        <w:ind w:left="2880" w:hanging="360"/>
      </w:pPr>
      <w:rPr>
        <w:rFonts w:ascii="Symbol" w:hAnsi="Symbol" w:hint="default"/>
      </w:rPr>
    </w:lvl>
    <w:lvl w:ilvl="4" w:tplc="4D54DE3E" w:tentative="1">
      <w:start w:val="1"/>
      <w:numFmt w:val="bullet"/>
      <w:lvlText w:val="o"/>
      <w:lvlJc w:val="left"/>
      <w:pPr>
        <w:tabs>
          <w:tab w:val="num" w:pos="3600"/>
        </w:tabs>
        <w:ind w:left="3600" w:hanging="360"/>
      </w:pPr>
      <w:rPr>
        <w:rFonts w:ascii="Courier New" w:hAnsi="Courier New" w:cs="Courier New" w:hint="default"/>
      </w:rPr>
    </w:lvl>
    <w:lvl w:ilvl="5" w:tplc="6CBCFA54" w:tentative="1">
      <w:start w:val="1"/>
      <w:numFmt w:val="bullet"/>
      <w:lvlText w:val=""/>
      <w:lvlJc w:val="left"/>
      <w:pPr>
        <w:tabs>
          <w:tab w:val="num" w:pos="4320"/>
        </w:tabs>
        <w:ind w:left="4320" w:hanging="360"/>
      </w:pPr>
      <w:rPr>
        <w:rFonts w:ascii="Wingdings" w:hAnsi="Wingdings" w:hint="default"/>
      </w:rPr>
    </w:lvl>
    <w:lvl w:ilvl="6" w:tplc="18783CEA" w:tentative="1">
      <w:start w:val="1"/>
      <w:numFmt w:val="bullet"/>
      <w:lvlText w:val=""/>
      <w:lvlJc w:val="left"/>
      <w:pPr>
        <w:tabs>
          <w:tab w:val="num" w:pos="5040"/>
        </w:tabs>
        <w:ind w:left="5040" w:hanging="360"/>
      </w:pPr>
      <w:rPr>
        <w:rFonts w:ascii="Symbol" w:hAnsi="Symbol" w:hint="default"/>
      </w:rPr>
    </w:lvl>
    <w:lvl w:ilvl="7" w:tplc="6128C290" w:tentative="1">
      <w:start w:val="1"/>
      <w:numFmt w:val="bullet"/>
      <w:lvlText w:val="o"/>
      <w:lvlJc w:val="left"/>
      <w:pPr>
        <w:tabs>
          <w:tab w:val="num" w:pos="5760"/>
        </w:tabs>
        <w:ind w:left="5760" w:hanging="360"/>
      </w:pPr>
      <w:rPr>
        <w:rFonts w:ascii="Courier New" w:hAnsi="Courier New" w:cs="Courier New" w:hint="default"/>
      </w:rPr>
    </w:lvl>
    <w:lvl w:ilvl="8" w:tplc="A250668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D68FB"/>
    <w:multiLevelType w:val="hybridMultilevel"/>
    <w:tmpl w:val="A6C45686"/>
    <w:lvl w:ilvl="0" w:tplc="01543166">
      <w:start w:val="1"/>
      <w:numFmt w:val="lowerLetter"/>
      <w:lvlText w:val="%1)"/>
      <w:lvlJc w:val="left"/>
      <w:pPr>
        <w:tabs>
          <w:tab w:val="num" w:pos="720"/>
        </w:tabs>
        <w:ind w:left="720" w:hanging="360"/>
      </w:pPr>
      <w:rPr>
        <w:rFonts w:hint="default"/>
      </w:rPr>
    </w:lvl>
    <w:lvl w:ilvl="1" w:tplc="677A08A4">
      <w:start w:val="1"/>
      <w:numFmt w:val="decimal"/>
      <w:lvlText w:val="%2."/>
      <w:lvlJc w:val="left"/>
      <w:pPr>
        <w:tabs>
          <w:tab w:val="num" w:pos="1440"/>
        </w:tabs>
        <w:ind w:left="1440" w:hanging="360"/>
      </w:pPr>
      <w:rPr>
        <w:rFonts w:hint="default"/>
      </w:rPr>
    </w:lvl>
    <w:lvl w:ilvl="2" w:tplc="C6C2B326" w:tentative="1">
      <w:start w:val="1"/>
      <w:numFmt w:val="lowerRoman"/>
      <w:lvlText w:val="%3."/>
      <w:lvlJc w:val="right"/>
      <w:pPr>
        <w:tabs>
          <w:tab w:val="num" w:pos="2160"/>
        </w:tabs>
        <w:ind w:left="2160" w:hanging="180"/>
      </w:pPr>
    </w:lvl>
    <w:lvl w:ilvl="3" w:tplc="3C98FDAC" w:tentative="1">
      <w:start w:val="1"/>
      <w:numFmt w:val="decimal"/>
      <w:lvlText w:val="%4."/>
      <w:lvlJc w:val="left"/>
      <w:pPr>
        <w:tabs>
          <w:tab w:val="num" w:pos="2880"/>
        </w:tabs>
        <w:ind w:left="2880" w:hanging="360"/>
      </w:pPr>
    </w:lvl>
    <w:lvl w:ilvl="4" w:tplc="6CD0BE5C" w:tentative="1">
      <w:start w:val="1"/>
      <w:numFmt w:val="lowerLetter"/>
      <w:lvlText w:val="%5."/>
      <w:lvlJc w:val="left"/>
      <w:pPr>
        <w:tabs>
          <w:tab w:val="num" w:pos="3600"/>
        </w:tabs>
        <w:ind w:left="3600" w:hanging="360"/>
      </w:pPr>
    </w:lvl>
    <w:lvl w:ilvl="5" w:tplc="523085C2" w:tentative="1">
      <w:start w:val="1"/>
      <w:numFmt w:val="lowerRoman"/>
      <w:lvlText w:val="%6."/>
      <w:lvlJc w:val="right"/>
      <w:pPr>
        <w:tabs>
          <w:tab w:val="num" w:pos="4320"/>
        </w:tabs>
        <w:ind w:left="4320" w:hanging="180"/>
      </w:pPr>
    </w:lvl>
    <w:lvl w:ilvl="6" w:tplc="CB88CA50" w:tentative="1">
      <w:start w:val="1"/>
      <w:numFmt w:val="decimal"/>
      <w:lvlText w:val="%7."/>
      <w:lvlJc w:val="left"/>
      <w:pPr>
        <w:tabs>
          <w:tab w:val="num" w:pos="5040"/>
        </w:tabs>
        <w:ind w:left="5040" w:hanging="360"/>
      </w:pPr>
    </w:lvl>
    <w:lvl w:ilvl="7" w:tplc="D7CC647E" w:tentative="1">
      <w:start w:val="1"/>
      <w:numFmt w:val="lowerLetter"/>
      <w:lvlText w:val="%8."/>
      <w:lvlJc w:val="left"/>
      <w:pPr>
        <w:tabs>
          <w:tab w:val="num" w:pos="5760"/>
        </w:tabs>
        <w:ind w:left="5760" w:hanging="360"/>
      </w:pPr>
    </w:lvl>
    <w:lvl w:ilvl="8" w:tplc="D0CA70F0" w:tentative="1">
      <w:start w:val="1"/>
      <w:numFmt w:val="lowerRoman"/>
      <w:lvlText w:val="%9."/>
      <w:lvlJc w:val="right"/>
      <w:pPr>
        <w:tabs>
          <w:tab w:val="num" w:pos="6480"/>
        </w:tabs>
        <w:ind w:left="6480" w:hanging="180"/>
      </w:pPr>
    </w:lvl>
  </w:abstractNum>
  <w:abstractNum w:abstractNumId="3" w15:restartNumberingAfterBreak="0">
    <w:nsid w:val="13AF6477"/>
    <w:multiLevelType w:val="multilevel"/>
    <w:tmpl w:val="DDDE41F2"/>
    <w:lvl w:ilvl="0">
      <w:start w:val="1"/>
      <w:numFmt w:val="lowerLetter"/>
      <w:pStyle w:val="Bullet"/>
      <w:lvlText w:val="%1)"/>
      <w:lvlJc w:val="left"/>
      <w:pPr>
        <w:tabs>
          <w:tab w:val="num" w:pos="1080"/>
        </w:tabs>
        <w:ind w:left="1080" w:hanging="360"/>
      </w:p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1A1C5D80"/>
    <w:multiLevelType w:val="hybridMultilevel"/>
    <w:tmpl w:val="A42480E6"/>
    <w:lvl w:ilvl="0" w:tplc="6E96D5FC">
      <w:start w:val="1"/>
      <w:numFmt w:val="bullet"/>
      <w:lvlText w:val=""/>
      <w:lvlJc w:val="left"/>
      <w:pPr>
        <w:tabs>
          <w:tab w:val="num" w:pos="360"/>
        </w:tabs>
        <w:ind w:left="360" w:hanging="360"/>
      </w:pPr>
      <w:rPr>
        <w:rFonts w:ascii="Symbol" w:hAnsi="Symbol" w:hint="default"/>
        <w:sz w:val="20"/>
      </w:rPr>
    </w:lvl>
    <w:lvl w:ilvl="1" w:tplc="B92407C4" w:tentative="1">
      <w:start w:val="1"/>
      <w:numFmt w:val="bullet"/>
      <w:lvlText w:val="o"/>
      <w:lvlJc w:val="left"/>
      <w:pPr>
        <w:tabs>
          <w:tab w:val="num" w:pos="1065"/>
        </w:tabs>
        <w:ind w:left="1065" w:hanging="360"/>
      </w:pPr>
      <w:rPr>
        <w:rFonts w:ascii="Courier New" w:hAnsi="Courier New" w:cs="Courier New" w:hint="default"/>
      </w:rPr>
    </w:lvl>
    <w:lvl w:ilvl="2" w:tplc="55F4DD62" w:tentative="1">
      <w:start w:val="1"/>
      <w:numFmt w:val="bullet"/>
      <w:lvlText w:val=""/>
      <w:lvlJc w:val="left"/>
      <w:pPr>
        <w:tabs>
          <w:tab w:val="num" w:pos="1785"/>
        </w:tabs>
        <w:ind w:left="1785" w:hanging="360"/>
      </w:pPr>
      <w:rPr>
        <w:rFonts w:ascii="Wingdings" w:hAnsi="Wingdings" w:hint="default"/>
      </w:rPr>
    </w:lvl>
    <w:lvl w:ilvl="3" w:tplc="97E6DA2A" w:tentative="1">
      <w:start w:val="1"/>
      <w:numFmt w:val="bullet"/>
      <w:lvlText w:val=""/>
      <w:lvlJc w:val="left"/>
      <w:pPr>
        <w:tabs>
          <w:tab w:val="num" w:pos="2505"/>
        </w:tabs>
        <w:ind w:left="2505" w:hanging="360"/>
      </w:pPr>
      <w:rPr>
        <w:rFonts w:ascii="Symbol" w:hAnsi="Symbol" w:hint="default"/>
      </w:rPr>
    </w:lvl>
    <w:lvl w:ilvl="4" w:tplc="1D106BF0" w:tentative="1">
      <w:start w:val="1"/>
      <w:numFmt w:val="bullet"/>
      <w:lvlText w:val="o"/>
      <w:lvlJc w:val="left"/>
      <w:pPr>
        <w:tabs>
          <w:tab w:val="num" w:pos="3225"/>
        </w:tabs>
        <w:ind w:left="3225" w:hanging="360"/>
      </w:pPr>
      <w:rPr>
        <w:rFonts w:ascii="Courier New" w:hAnsi="Courier New" w:cs="Courier New" w:hint="default"/>
      </w:rPr>
    </w:lvl>
    <w:lvl w:ilvl="5" w:tplc="532E67C2" w:tentative="1">
      <w:start w:val="1"/>
      <w:numFmt w:val="bullet"/>
      <w:lvlText w:val=""/>
      <w:lvlJc w:val="left"/>
      <w:pPr>
        <w:tabs>
          <w:tab w:val="num" w:pos="3945"/>
        </w:tabs>
        <w:ind w:left="3945" w:hanging="360"/>
      </w:pPr>
      <w:rPr>
        <w:rFonts w:ascii="Wingdings" w:hAnsi="Wingdings" w:hint="default"/>
      </w:rPr>
    </w:lvl>
    <w:lvl w:ilvl="6" w:tplc="0FD837C0" w:tentative="1">
      <w:start w:val="1"/>
      <w:numFmt w:val="bullet"/>
      <w:lvlText w:val=""/>
      <w:lvlJc w:val="left"/>
      <w:pPr>
        <w:tabs>
          <w:tab w:val="num" w:pos="4665"/>
        </w:tabs>
        <w:ind w:left="4665" w:hanging="360"/>
      </w:pPr>
      <w:rPr>
        <w:rFonts w:ascii="Symbol" w:hAnsi="Symbol" w:hint="default"/>
      </w:rPr>
    </w:lvl>
    <w:lvl w:ilvl="7" w:tplc="157CA2A8" w:tentative="1">
      <w:start w:val="1"/>
      <w:numFmt w:val="bullet"/>
      <w:lvlText w:val="o"/>
      <w:lvlJc w:val="left"/>
      <w:pPr>
        <w:tabs>
          <w:tab w:val="num" w:pos="5385"/>
        </w:tabs>
        <w:ind w:left="5385" w:hanging="360"/>
      </w:pPr>
      <w:rPr>
        <w:rFonts w:ascii="Courier New" w:hAnsi="Courier New" w:cs="Courier New" w:hint="default"/>
      </w:rPr>
    </w:lvl>
    <w:lvl w:ilvl="8" w:tplc="A74EC786" w:tentative="1">
      <w:start w:val="1"/>
      <w:numFmt w:val="bullet"/>
      <w:lvlText w:val=""/>
      <w:lvlJc w:val="left"/>
      <w:pPr>
        <w:tabs>
          <w:tab w:val="num" w:pos="6105"/>
        </w:tabs>
        <w:ind w:left="6105" w:hanging="360"/>
      </w:pPr>
      <w:rPr>
        <w:rFonts w:ascii="Wingdings" w:hAnsi="Wingdings" w:hint="default"/>
      </w:rPr>
    </w:lvl>
  </w:abstractNum>
  <w:abstractNum w:abstractNumId="5" w15:restartNumberingAfterBreak="0">
    <w:nsid w:val="20632E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2A756D"/>
    <w:multiLevelType w:val="hybridMultilevel"/>
    <w:tmpl w:val="405C5472"/>
    <w:lvl w:ilvl="0" w:tplc="6ABADE02">
      <w:start w:val="3"/>
      <w:numFmt w:val="bullet"/>
      <w:lvlText w:val="-"/>
      <w:lvlJc w:val="left"/>
      <w:pPr>
        <w:tabs>
          <w:tab w:val="num" w:pos="720"/>
        </w:tabs>
        <w:ind w:left="720" w:hanging="360"/>
      </w:pPr>
      <w:rPr>
        <w:rFonts w:ascii="Times New Roman" w:eastAsia="Times New Roman" w:hAnsi="Times New Roman" w:cs="Times New Roman" w:hint="default"/>
      </w:rPr>
    </w:lvl>
    <w:lvl w:ilvl="1" w:tplc="97D8A78A" w:tentative="1">
      <w:start w:val="1"/>
      <w:numFmt w:val="bullet"/>
      <w:lvlText w:val="o"/>
      <w:lvlJc w:val="left"/>
      <w:pPr>
        <w:tabs>
          <w:tab w:val="num" w:pos="1440"/>
        </w:tabs>
        <w:ind w:left="1440" w:hanging="360"/>
      </w:pPr>
      <w:rPr>
        <w:rFonts w:ascii="Courier New" w:hAnsi="Courier New" w:cs="Courier New" w:hint="default"/>
      </w:rPr>
    </w:lvl>
    <w:lvl w:ilvl="2" w:tplc="F5AA3944" w:tentative="1">
      <w:start w:val="1"/>
      <w:numFmt w:val="bullet"/>
      <w:lvlText w:val=""/>
      <w:lvlJc w:val="left"/>
      <w:pPr>
        <w:tabs>
          <w:tab w:val="num" w:pos="2160"/>
        </w:tabs>
        <w:ind w:left="2160" w:hanging="360"/>
      </w:pPr>
      <w:rPr>
        <w:rFonts w:ascii="Wingdings" w:hAnsi="Wingdings" w:hint="default"/>
      </w:rPr>
    </w:lvl>
    <w:lvl w:ilvl="3" w:tplc="739EF7F0" w:tentative="1">
      <w:start w:val="1"/>
      <w:numFmt w:val="bullet"/>
      <w:lvlText w:val=""/>
      <w:lvlJc w:val="left"/>
      <w:pPr>
        <w:tabs>
          <w:tab w:val="num" w:pos="2880"/>
        </w:tabs>
        <w:ind w:left="2880" w:hanging="360"/>
      </w:pPr>
      <w:rPr>
        <w:rFonts w:ascii="Symbol" w:hAnsi="Symbol" w:hint="default"/>
      </w:rPr>
    </w:lvl>
    <w:lvl w:ilvl="4" w:tplc="56427A7A" w:tentative="1">
      <w:start w:val="1"/>
      <w:numFmt w:val="bullet"/>
      <w:lvlText w:val="o"/>
      <w:lvlJc w:val="left"/>
      <w:pPr>
        <w:tabs>
          <w:tab w:val="num" w:pos="3600"/>
        </w:tabs>
        <w:ind w:left="3600" w:hanging="360"/>
      </w:pPr>
      <w:rPr>
        <w:rFonts w:ascii="Courier New" w:hAnsi="Courier New" w:cs="Courier New" w:hint="default"/>
      </w:rPr>
    </w:lvl>
    <w:lvl w:ilvl="5" w:tplc="2EB8C69C" w:tentative="1">
      <w:start w:val="1"/>
      <w:numFmt w:val="bullet"/>
      <w:lvlText w:val=""/>
      <w:lvlJc w:val="left"/>
      <w:pPr>
        <w:tabs>
          <w:tab w:val="num" w:pos="4320"/>
        </w:tabs>
        <w:ind w:left="4320" w:hanging="360"/>
      </w:pPr>
      <w:rPr>
        <w:rFonts w:ascii="Wingdings" w:hAnsi="Wingdings" w:hint="default"/>
      </w:rPr>
    </w:lvl>
    <w:lvl w:ilvl="6" w:tplc="C6EA9A5C" w:tentative="1">
      <w:start w:val="1"/>
      <w:numFmt w:val="bullet"/>
      <w:lvlText w:val=""/>
      <w:lvlJc w:val="left"/>
      <w:pPr>
        <w:tabs>
          <w:tab w:val="num" w:pos="5040"/>
        </w:tabs>
        <w:ind w:left="5040" w:hanging="360"/>
      </w:pPr>
      <w:rPr>
        <w:rFonts w:ascii="Symbol" w:hAnsi="Symbol" w:hint="default"/>
      </w:rPr>
    </w:lvl>
    <w:lvl w:ilvl="7" w:tplc="5F84B9C2" w:tentative="1">
      <w:start w:val="1"/>
      <w:numFmt w:val="bullet"/>
      <w:lvlText w:val="o"/>
      <w:lvlJc w:val="left"/>
      <w:pPr>
        <w:tabs>
          <w:tab w:val="num" w:pos="5760"/>
        </w:tabs>
        <w:ind w:left="5760" w:hanging="360"/>
      </w:pPr>
      <w:rPr>
        <w:rFonts w:ascii="Courier New" w:hAnsi="Courier New" w:cs="Courier New" w:hint="default"/>
      </w:rPr>
    </w:lvl>
    <w:lvl w:ilvl="8" w:tplc="D7A6A94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2C7725"/>
    <w:multiLevelType w:val="hybridMultilevel"/>
    <w:tmpl w:val="E0A0D7DE"/>
    <w:lvl w:ilvl="0" w:tplc="42C622FE">
      <w:start w:val="1"/>
      <w:numFmt w:val="bullet"/>
      <w:lvlText w:val="-"/>
      <w:lvlJc w:val="left"/>
      <w:pPr>
        <w:tabs>
          <w:tab w:val="num" w:pos="720"/>
        </w:tabs>
        <w:ind w:left="720" w:hanging="360"/>
      </w:pPr>
      <w:rPr>
        <w:rFonts w:ascii="Verdana" w:eastAsia="Times New Roman" w:hAnsi="Verdana" w:cs="Times New Roman" w:hint="default"/>
      </w:rPr>
    </w:lvl>
    <w:lvl w:ilvl="1" w:tplc="AD46D7E0" w:tentative="1">
      <w:start w:val="1"/>
      <w:numFmt w:val="bullet"/>
      <w:lvlText w:val="o"/>
      <w:lvlJc w:val="left"/>
      <w:pPr>
        <w:tabs>
          <w:tab w:val="num" w:pos="1440"/>
        </w:tabs>
        <w:ind w:left="1440" w:hanging="360"/>
      </w:pPr>
      <w:rPr>
        <w:rFonts w:ascii="Courier New" w:hAnsi="Courier New" w:cs="Courier New" w:hint="default"/>
      </w:rPr>
    </w:lvl>
    <w:lvl w:ilvl="2" w:tplc="462EAEDE" w:tentative="1">
      <w:start w:val="1"/>
      <w:numFmt w:val="bullet"/>
      <w:lvlText w:val=""/>
      <w:lvlJc w:val="left"/>
      <w:pPr>
        <w:tabs>
          <w:tab w:val="num" w:pos="2160"/>
        </w:tabs>
        <w:ind w:left="2160" w:hanging="360"/>
      </w:pPr>
      <w:rPr>
        <w:rFonts w:ascii="Wingdings" w:hAnsi="Wingdings" w:hint="default"/>
      </w:rPr>
    </w:lvl>
    <w:lvl w:ilvl="3" w:tplc="18B05D80" w:tentative="1">
      <w:start w:val="1"/>
      <w:numFmt w:val="bullet"/>
      <w:lvlText w:val=""/>
      <w:lvlJc w:val="left"/>
      <w:pPr>
        <w:tabs>
          <w:tab w:val="num" w:pos="2880"/>
        </w:tabs>
        <w:ind w:left="2880" w:hanging="360"/>
      </w:pPr>
      <w:rPr>
        <w:rFonts w:ascii="Symbol" w:hAnsi="Symbol" w:hint="default"/>
      </w:rPr>
    </w:lvl>
    <w:lvl w:ilvl="4" w:tplc="53D46F74" w:tentative="1">
      <w:start w:val="1"/>
      <w:numFmt w:val="bullet"/>
      <w:lvlText w:val="o"/>
      <w:lvlJc w:val="left"/>
      <w:pPr>
        <w:tabs>
          <w:tab w:val="num" w:pos="3600"/>
        </w:tabs>
        <w:ind w:left="3600" w:hanging="360"/>
      </w:pPr>
      <w:rPr>
        <w:rFonts w:ascii="Courier New" w:hAnsi="Courier New" w:cs="Courier New" w:hint="default"/>
      </w:rPr>
    </w:lvl>
    <w:lvl w:ilvl="5" w:tplc="47889512" w:tentative="1">
      <w:start w:val="1"/>
      <w:numFmt w:val="bullet"/>
      <w:lvlText w:val=""/>
      <w:lvlJc w:val="left"/>
      <w:pPr>
        <w:tabs>
          <w:tab w:val="num" w:pos="4320"/>
        </w:tabs>
        <w:ind w:left="4320" w:hanging="360"/>
      </w:pPr>
      <w:rPr>
        <w:rFonts w:ascii="Wingdings" w:hAnsi="Wingdings" w:hint="default"/>
      </w:rPr>
    </w:lvl>
    <w:lvl w:ilvl="6" w:tplc="3CDE5F34" w:tentative="1">
      <w:start w:val="1"/>
      <w:numFmt w:val="bullet"/>
      <w:lvlText w:val=""/>
      <w:lvlJc w:val="left"/>
      <w:pPr>
        <w:tabs>
          <w:tab w:val="num" w:pos="5040"/>
        </w:tabs>
        <w:ind w:left="5040" w:hanging="360"/>
      </w:pPr>
      <w:rPr>
        <w:rFonts w:ascii="Symbol" w:hAnsi="Symbol" w:hint="default"/>
      </w:rPr>
    </w:lvl>
    <w:lvl w:ilvl="7" w:tplc="C428B97E" w:tentative="1">
      <w:start w:val="1"/>
      <w:numFmt w:val="bullet"/>
      <w:lvlText w:val="o"/>
      <w:lvlJc w:val="left"/>
      <w:pPr>
        <w:tabs>
          <w:tab w:val="num" w:pos="5760"/>
        </w:tabs>
        <w:ind w:left="5760" w:hanging="360"/>
      </w:pPr>
      <w:rPr>
        <w:rFonts w:ascii="Courier New" w:hAnsi="Courier New" w:cs="Courier New" w:hint="default"/>
      </w:rPr>
    </w:lvl>
    <w:lvl w:ilvl="8" w:tplc="9EE8974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AF23E9"/>
    <w:multiLevelType w:val="hybridMultilevel"/>
    <w:tmpl w:val="DB48007C"/>
    <w:lvl w:ilvl="0" w:tplc="2FCE4DCA">
      <w:numFmt w:val="bullet"/>
      <w:lvlText w:val="-"/>
      <w:lvlJc w:val="left"/>
      <w:pPr>
        <w:tabs>
          <w:tab w:val="num" w:pos="720"/>
        </w:tabs>
        <w:ind w:left="720" w:hanging="360"/>
      </w:pPr>
      <w:rPr>
        <w:rFonts w:ascii="Times New Roman" w:eastAsia="Times New Roman" w:hAnsi="Times New Roman" w:cs="Times New Roman" w:hint="default"/>
      </w:rPr>
    </w:lvl>
    <w:lvl w:ilvl="1" w:tplc="C010CC52">
      <w:start w:val="1"/>
      <w:numFmt w:val="bullet"/>
      <w:lvlText w:val=""/>
      <w:lvlJc w:val="left"/>
      <w:pPr>
        <w:tabs>
          <w:tab w:val="num" w:pos="1440"/>
        </w:tabs>
        <w:ind w:left="1440" w:hanging="360"/>
      </w:pPr>
      <w:rPr>
        <w:rFonts w:ascii="Symbol" w:hAnsi="Symbol" w:hint="default"/>
      </w:rPr>
    </w:lvl>
    <w:lvl w:ilvl="2" w:tplc="09A2D6EE" w:tentative="1">
      <w:start w:val="1"/>
      <w:numFmt w:val="bullet"/>
      <w:lvlText w:val=""/>
      <w:lvlJc w:val="left"/>
      <w:pPr>
        <w:tabs>
          <w:tab w:val="num" w:pos="2160"/>
        </w:tabs>
        <w:ind w:left="2160" w:hanging="360"/>
      </w:pPr>
      <w:rPr>
        <w:rFonts w:ascii="Wingdings" w:hAnsi="Wingdings" w:hint="default"/>
      </w:rPr>
    </w:lvl>
    <w:lvl w:ilvl="3" w:tplc="0E8C5DB0" w:tentative="1">
      <w:start w:val="1"/>
      <w:numFmt w:val="bullet"/>
      <w:lvlText w:val=""/>
      <w:lvlJc w:val="left"/>
      <w:pPr>
        <w:tabs>
          <w:tab w:val="num" w:pos="2880"/>
        </w:tabs>
        <w:ind w:left="2880" w:hanging="360"/>
      </w:pPr>
      <w:rPr>
        <w:rFonts w:ascii="Symbol" w:hAnsi="Symbol" w:hint="default"/>
      </w:rPr>
    </w:lvl>
    <w:lvl w:ilvl="4" w:tplc="9D32208C" w:tentative="1">
      <w:start w:val="1"/>
      <w:numFmt w:val="bullet"/>
      <w:lvlText w:val="o"/>
      <w:lvlJc w:val="left"/>
      <w:pPr>
        <w:tabs>
          <w:tab w:val="num" w:pos="3600"/>
        </w:tabs>
        <w:ind w:left="3600" w:hanging="360"/>
      </w:pPr>
      <w:rPr>
        <w:rFonts w:ascii="Courier New" w:hAnsi="Courier New" w:cs="Courier New" w:hint="default"/>
      </w:rPr>
    </w:lvl>
    <w:lvl w:ilvl="5" w:tplc="1C94C696" w:tentative="1">
      <w:start w:val="1"/>
      <w:numFmt w:val="bullet"/>
      <w:lvlText w:val=""/>
      <w:lvlJc w:val="left"/>
      <w:pPr>
        <w:tabs>
          <w:tab w:val="num" w:pos="4320"/>
        </w:tabs>
        <w:ind w:left="4320" w:hanging="360"/>
      </w:pPr>
      <w:rPr>
        <w:rFonts w:ascii="Wingdings" w:hAnsi="Wingdings" w:hint="default"/>
      </w:rPr>
    </w:lvl>
    <w:lvl w:ilvl="6" w:tplc="DFA8EE86" w:tentative="1">
      <w:start w:val="1"/>
      <w:numFmt w:val="bullet"/>
      <w:lvlText w:val=""/>
      <w:lvlJc w:val="left"/>
      <w:pPr>
        <w:tabs>
          <w:tab w:val="num" w:pos="5040"/>
        </w:tabs>
        <w:ind w:left="5040" w:hanging="360"/>
      </w:pPr>
      <w:rPr>
        <w:rFonts w:ascii="Symbol" w:hAnsi="Symbol" w:hint="default"/>
      </w:rPr>
    </w:lvl>
    <w:lvl w:ilvl="7" w:tplc="3A0AFE20" w:tentative="1">
      <w:start w:val="1"/>
      <w:numFmt w:val="bullet"/>
      <w:lvlText w:val="o"/>
      <w:lvlJc w:val="left"/>
      <w:pPr>
        <w:tabs>
          <w:tab w:val="num" w:pos="5760"/>
        </w:tabs>
        <w:ind w:left="5760" w:hanging="360"/>
      </w:pPr>
      <w:rPr>
        <w:rFonts w:ascii="Courier New" w:hAnsi="Courier New" w:cs="Courier New" w:hint="default"/>
      </w:rPr>
    </w:lvl>
    <w:lvl w:ilvl="8" w:tplc="DE90C40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0C19D2"/>
    <w:multiLevelType w:val="hybridMultilevel"/>
    <w:tmpl w:val="66D4593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806371"/>
    <w:multiLevelType w:val="hybridMultilevel"/>
    <w:tmpl w:val="52D65F2A"/>
    <w:lvl w:ilvl="0" w:tplc="B8D6A39C">
      <w:numFmt w:val="bullet"/>
      <w:lvlText w:val="-"/>
      <w:lvlJc w:val="left"/>
      <w:pPr>
        <w:tabs>
          <w:tab w:val="num" w:pos="720"/>
        </w:tabs>
        <w:ind w:left="720" w:hanging="360"/>
      </w:pPr>
      <w:rPr>
        <w:rFonts w:ascii="Times New Roman" w:eastAsia="Times New Roman" w:hAnsi="Times New Roman" w:cs="Times New Roman" w:hint="default"/>
      </w:rPr>
    </w:lvl>
    <w:lvl w:ilvl="1" w:tplc="FFEA5182" w:tentative="1">
      <w:start w:val="1"/>
      <w:numFmt w:val="bullet"/>
      <w:lvlText w:val="o"/>
      <w:lvlJc w:val="left"/>
      <w:pPr>
        <w:tabs>
          <w:tab w:val="num" w:pos="1440"/>
        </w:tabs>
        <w:ind w:left="1440" w:hanging="360"/>
      </w:pPr>
      <w:rPr>
        <w:rFonts w:ascii="Courier New" w:hAnsi="Courier New" w:cs="Courier New" w:hint="default"/>
      </w:rPr>
    </w:lvl>
    <w:lvl w:ilvl="2" w:tplc="690A0B68" w:tentative="1">
      <w:start w:val="1"/>
      <w:numFmt w:val="bullet"/>
      <w:lvlText w:val=""/>
      <w:lvlJc w:val="left"/>
      <w:pPr>
        <w:tabs>
          <w:tab w:val="num" w:pos="2160"/>
        </w:tabs>
        <w:ind w:left="2160" w:hanging="360"/>
      </w:pPr>
      <w:rPr>
        <w:rFonts w:ascii="Wingdings" w:hAnsi="Wingdings" w:hint="default"/>
      </w:rPr>
    </w:lvl>
    <w:lvl w:ilvl="3" w:tplc="F6F80E62" w:tentative="1">
      <w:start w:val="1"/>
      <w:numFmt w:val="bullet"/>
      <w:lvlText w:val=""/>
      <w:lvlJc w:val="left"/>
      <w:pPr>
        <w:tabs>
          <w:tab w:val="num" w:pos="2880"/>
        </w:tabs>
        <w:ind w:left="2880" w:hanging="360"/>
      </w:pPr>
      <w:rPr>
        <w:rFonts w:ascii="Symbol" w:hAnsi="Symbol" w:hint="default"/>
      </w:rPr>
    </w:lvl>
    <w:lvl w:ilvl="4" w:tplc="236647C4" w:tentative="1">
      <w:start w:val="1"/>
      <w:numFmt w:val="bullet"/>
      <w:lvlText w:val="o"/>
      <w:lvlJc w:val="left"/>
      <w:pPr>
        <w:tabs>
          <w:tab w:val="num" w:pos="3600"/>
        </w:tabs>
        <w:ind w:left="3600" w:hanging="360"/>
      </w:pPr>
      <w:rPr>
        <w:rFonts w:ascii="Courier New" w:hAnsi="Courier New" w:cs="Courier New" w:hint="default"/>
      </w:rPr>
    </w:lvl>
    <w:lvl w:ilvl="5" w:tplc="81A2ADEC" w:tentative="1">
      <w:start w:val="1"/>
      <w:numFmt w:val="bullet"/>
      <w:lvlText w:val=""/>
      <w:lvlJc w:val="left"/>
      <w:pPr>
        <w:tabs>
          <w:tab w:val="num" w:pos="4320"/>
        </w:tabs>
        <w:ind w:left="4320" w:hanging="360"/>
      </w:pPr>
      <w:rPr>
        <w:rFonts w:ascii="Wingdings" w:hAnsi="Wingdings" w:hint="default"/>
      </w:rPr>
    </w:lvl>
    <w:lvl w:ilvl="6" w:tplc="D688D134" w:tentative="1">
      <w:start w:val="1"/>
      <w:numFmt w:val="bullet"/>
      <w:lvlText w:val=""/>
      <w:lvlJc w:val="left"/>
      <w:pPr>
        <w:tabs>
          <w:tab w:val="num" w:pos="5040"/>
        </w:tabs>
        <w:ind w:left="5040" w:hanging="360"/>
      </w:pPr>
      <w:rPr>
        <w:rFonts w:ascii="Symbol" w:hAnsi="Symbol" w:hint="default"/>
      </w:rPr>
    </w:lvl>
    <w:lvl w:ilvl="7" w:tplc="54C20590" w:tentative="1">
      <w:start w:val="1"/>
      <w:numFmt w:val="bullet"/>
      <w:lvlText w:val="o"/>
      <w:lvlJc w:val="left"/>
      <w:pPr>
        <w:tabs>
          <w:tab w:val="num" w:pos="5760"/>
        </w:tabs>
        <w:ind w:left="5760" w:hanging="360"/>
      </w:pPr>
      <w:rPr>
        <w:rFonts w:ascii="Courier New" w:hAnsi="Courier New" w:cs="Courier New" w:hint="default"/>
      </w:rPr>
    </w:lvl>
    <w:lvl w:ilvl="8" w:tplc="C890B0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D418B9"/>
    <w:multiLevelType w:val="hybridMultilevel"/>
    <w:tmpl w:val="5B46F196"/>
    <w:lvl w:ilvl="0" w:tplc="A0B272D4">
      <w:start w:val="2"/>
      <w:numFmt w:val="bullet"/>
      <w:lvlText w:val="-"/>
      <w:lvlJc w:val="left"/>
      <w:pPr>
        <w:tabs>
          <w:tab w:val="num" w:pos="720"/>
        </w:tabs>
        <w:ind w:left="643" w:hanging="283"/>
      </w:pPr>
      <w:rPr>
        <w:rFonts w:ascii="Times New Roman" w:eastAsia="Times New Roman" w:hAnsi="Times New Roman" w:cs="Times New Roman" w:hint="default"/>
      </w:rPr>
    </w:lvl>
    <w:lvl w:ilvl="1" w:tplc="A1A272C0" w:tentative="1">
      <w:start w:val="1"/>
      <w:numFmt w:val="bullet"/>
      <w:lvlText w:val="o"/>
      <w:lvlJc w:val="left"/>
      <w:pPr>
        <w:tabs>
          <w:tab w:val="num" w:pos="1440"/>
        </w:tabs>
        <w:ind w:left="1440" w:hanging="360"/>
      </w:pPr>
      <w:rPr>
        <w:rFonts w:ascii="Courier New" w:hAnsi="Courier New" w:hint="default"/>
      </w:rPr>
    </w:lvl>
    <w:lvl w:ilvl="2" w:tplc="AF8C2CB6" w:tentative="1">
      <w:start w:val="1"/>
      <w:numFmt w:val="bullet"/>
      <w:lvlText w:val=""/>
      <w:lvlJc w:val="left"/>
      <w:pPr>
        <w:tabs>
          <w:tab w:val="num" w:pos="2160"/>
        </w:tabs>
        <w:ind w:left="2160" w:hanging="360"/>
      </w:pPr>
      <w:rPr>
        <w:rFonts w:ascii="Wingdings" w:hAnsi="Wingdings" w:hint="default"/>
      </w:rPr>
    </w:lvl>
    <w:lvl w:ilvl="3" w:tplc="909420C6" w:tentative="1">
      <w:start w:val="1"/>
      <w:numFmt w:val="bullet"/>
      <w:lvlText w:val=""/>
      <w:lvlJc w:val="left"/>
      <w:pPr>
        <w:tabs>
          <w:tab w:val="num" w:pos="2880"/>
        </w:tabs>
        <w:ind w:left="2880" w:hanging="360"/>
      </w:pPr>
      <w:rPr>
        <w:rFonts w:ascii="Symbol" w:hAnsi="Symbol" w:hint="default"/>
      </w:rPr>
    </w:lvl>
    <w:lvl w:ilvl="4" w:tplc="B2B4445E" w:tentative="1">
      <w:start w:val="1"/>
      <w:numFmt w:val="bullet"/>
      <w:lvlText w:val="o"/>
      <w:lvlJc w:val="left"/>
      <w:pPr>
        <w:tabs>
          <w:tab w:val="num" w:pos="3600"/>
        </w:tabs>
        <w:ind w:left="3600" w:hanging="360"/>
      </w:pPr>
      <w:rPr>
        <w:rFonts w:ascii="Courier New" w:hAnsi="Courier New" w:hint="default"/>
      </w:rPr>
    </w:lvl>
    <w:lvl w:ilvl="5" w:tplc="5726D2D8" w:tentative="1">
      <w:start w:val="1"/>
      <w:numFmt w:val="bullet"/>
      <w:lvlText w:val=""/>
      <w:lvlJc w:val="left"/>
      <w:pPr>
        <w:tabs>
          <w:tab w:val="num" w:pos="4320"/>
        </w:tabs>
        <w:ind w:left="4320" w:hanging="360"/>
      </w:pPr>
      <w:rPr>
        <w:rFonts w:ascii="Wingdings" w:hAnsi="Wingdings" w:hint="default"/>
      </w:rPr>
    </w:lvl>
    <w:lvl w:ilvl="6" w:tplc="3A24F3AA" w:tentative="1">
      <w:start w:val="1"/>
      <w:numFmt w:val="bullet"/>
      <w:lvlText w:val=""/>
      <w:lvlJc w:val="left"/>
      <w:pPr>
        <w:tabs>
          <w:tab w:val="num" w:pos="5040"/>
        </w:tabs>
        <w:ind w:left="5040" w:hanging="360"/>
      </w:pPr>
      <w:rPr>
        <w:rFonts w:ascii="Symbol" w:hAnsi="Symbol" w:hint="default"/>
      </w:rPr>
    </w:lvl>
    <w:lvl w:ilvl="7" w:tplc="446E87AC" w:tentative="1">
      <w:start w:val="1"/>
      <w:numFmt w:val="bullet"/>
      <w:lvlText w:val="o"/>
      <w:lvlJc w:val="left"/>
      <w:pPr>
        <w:tabs>
          <w:tab w:val="num" w:pos="5760"/>
        </w:tabs>
        <w:ind w:left="5760" w:hanging="360"/>
      </w:pPr>
      <w:rPr>
        <w:rFonts w:ascii="Courier New" w:hAnsi="Courier New" w:hint="default"/>
      </w:rPr>
    </w:lvl>
    <w:lvl w:ilvl="8" w:tplc="33B03AE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C80519"/>
    <w:multiLevelType w:val="hybridMultilevel"/>
    <w:tmpl w:val="5B58B216"/>
    <w:lvl w:ilvl="0" w:tplc="806AC738">
      <w:start w:val="2"/>
      <w:numFmt w:val="bullet"/>
      <w:lvlText w:val="-"/>
      <w:lvlJc w:val="left"/>
      <w:pPr>
        <w:tabs>
          <w:tab w:val="num" w:pos="720"/>
        </w:tabs>
        <w:ind w:left="720" w:hanging="360"/>
      </w:pPr>
      <w:rPr>
        <w:rFonts w:ascii="Times New Roman" w:eastAsia="Times New Roman" w:hAnsi="Times New Roman" w:cs="Times New Roman" w:hint="default"/>
      </w:rPr>
    </w:lvl>
    <w:lvl w:ilvl="1" w:tplc="586C7934" w:tentative="1">
      <w:start w:val="1"/>
      <w:numFmt w:val="bullet"/>
      <w:lvlText w:val="o"/>
      <w:lvlJc w:val="left"/>
      <w:pPr>
        <w:tabs>
          <w:tab w:val="num" w:pos="1440"/>
        </w:tabs>
        <w:ind w:left="1440" w:hanging="360"/>
      </w:pPr>
      <w:rPr>
        <w:rFonts w:ascii="Courier New" w:hAnsi="Courier New" w:cs="Courier New" w:hint="default"/>
      </w:rPr>
    </w:lvl>
    <w:lvl w:ilvl="2" w:tplc="56DE1386" w:tentative="1">
      <w:start w:val="1"/>
      <w:numFmt w:val="bullet"/>
      <w:lvlText w:val=""/>
      <w:lvlJc w:val="left"/>
      <w:pPr>
        <w:tabs>
          <w:tab w:val="num" w:pos="2160"/>
        </w:tabs>
        <w:ind w:left="2160" w:hanging="360"/>
      </w:pPr>
      <w:rPr>
        <w:rFonts w:ascii="Wingdings" w:hAnsi="Wingdings" w:hint="default"/>
      </w:rPr>
    </w:lvl>
    <w:lvl w:ilvl="3" w:tplc="69B25F40" w:tentative="1">
      <w:start w:val="1"/>
      <w:numFmt w:val="bullet"/>
      <w:lvlText w:val=""/>
      <w:lvlJc w:val="left"/>
      <w:pPr>
        <w:tabs>
          <w:tab w:val="num" w:pos="2880"/>
        </w:tabs>
        <w:ind w:left="2880" w:hanging="360"/>
      </w:pPr>
      <w:rPr>
        <w:rFonts w:ascii="Symbol" w:hAnsi="Symbol" w:hint="default"/>
      </w:rPr>
    </w:lvl>
    <w:lvl w:ilvl="4" w:tplc="98F20AF2" w:tentative="1">
      <w:start w:val="1"/>
      <w:numFmt w:val="bullet"/>
      <w:lvlText w:val="o"/>
      <w:lvlJc w:val="left"/>
      <w:pPr>
        <w:tabs>
          <w:tab w:val="num" w:pos="3600"/>
        </w:tabs>
        <w:ind w:left="3600" w:hanging="360"/>
      </w:pPr>
      <w:rPr>
        <w:rFonts w:ascii="Courier New" w:hAnsi="Courier New" w:cs="Courier New" w:hint="default"/>
      </w:rPr>
    </w:lvl>
    <w:lvl w:ilvl="5" w:tplc="4EF0D6B8" w:tentative="1">
      <w:start w:val="1"/>
      <w:numFmt w:val="bullet"/>
      <w:lvlText w:val=""/>
      <w:lvlJc w:val="left"/>
      <w:pPr>
        <w:tabs>
          <w:tab w:val="num" w:pos="4320"/>
        </w:tabs>
        <w:ind w:left="4320" w:hanging="360"/>
      </w:pPr>
      <w:rPr>
        <w:rFonts w:ascii="Wingdings" w:hAnsi="Wingdings" w:hint="default"/>
      </w:rPr>
    </w:lvl>
    <w:lvl w:ilvl="6" w:tplc="F6107372" w:tentative="1">
      <w:start w:val="1"/>
      <w:numFmt w:val="bullet"/>
      <w:lvlText w:val=""/>
      <w:lvlJc w:val="left"/>
      <w:pPr>
        <w:tabs>
          <w:tab w:val="num" w:pos="5040"/>
        </w:tabs>
        <w:ind w:left="5040" w:hanging="360"/>
      </w:pPr>
      <w:rPr>
        <w:rFonts w:ascii="Symbol" w:hAnsi="Symbol" w:hint="default"/>
      </w:rPr>
    </w:lvl>
    <w:lvl w:ilvl="7" w:tplc="3C8A0372" w:tentative="1">
      <w:start w:val="1"/>
      <w:numFmt w:val="bullet"/>
      <w:lvlText w:val="o"/>
      <w:lvlJc w:val="left"/>
      <w:pPr>
        <w:tabs>
          <w:tab w:val="num" w:pos="5760"/>
        </w:tabs>
        <w:ind w:left="5760" w:hanging="360"/>
      </w:pPr>
      <w:rPr>
        <w:rFonts w:ascii="Courier New" w:hAnsi="Courier New" w:cs="Courier New" w:hint="default"/>
      </w:rPr>
    </w:lvl>
    <w:lvl w:ilvl="8" w:tplc="6B1EDE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D07053"/>
    <w:multiLevelType w:val="hybridMultilevel"/>
    <w:tmpl w:val="BD9462D0"/>
    <w:lvl w:ilvl="0" w:tplc="2D82337E">
      <w:start w:val="1"/>
      <w:numFmt w:val="bullet"/>
      <w:lvlText w:val=""/>
      <w:lvlJc w:val="left"/>
      <w:pPr>
        <w:tabs>
          <w:tab w:val="num" w:pos="1080"/>
        </w:tabs>
        <w:ind w:left="1080" w:hanging="360"/>
      </w:pPr>
      <w:rPr>
        <w:rFonts w:ascii="Symbol" w:hAnsi="Symbol" w:hint="default"/>
      </w:rPr>
    </w:lvl>
    <w:lvl w:ilvl="1" w:tplc="D8861314" w:tentative="1">
      <w:start w:val="1"/>
      <w:numFmt w:val="bullet"/>
      <w:lvlText w:val="o"/>
      <w:lvlJc w:val="left"/>
      <w:pPr>
        <w:tabs>
          <w:tab w:val="num" w:pos="1800"/>
        </w:tabs>
        <w:ind w:left="1800" w:hanging="360"/>
      </w:pPr>
      <w:rPr>
        <w:rFonts w:ascii="Courier New" w:hAnsi="Courier New" w:cs="Courier New" w:hint="default"/>
      </w:rPr>
    </w:lvl>
    <w:lvl w:ilvl="2" w:tplc="344E1A96" w:tentative="1">
      <w:start w:val="1"/>
      <w:numFmt w:val="bullet"/>
      <w:lvlText w:val=""/>
      <w:lvlJc w:val="left"/>
      <w:pPr>
        <w:tabs>
          <w:tab w:val="num" w:pos="2520"/>
        </w:tabs>
        <w:ind w:left="2520" w:hanging="360"/>
      </w:pPr>
      <w:rPr>
        <w:rFonts w:ascii="Wingdings" w:hAnsi="Wingdings" w:hint="default"/>
      </w:rPr>
    </w:lvl>
    <w:lvl w:ilvl="3" w:tplc="51685B50" w:tentative="1">
      <w:start w:val="1"/>
      <w:numFmt w:val="bullet"/>
      <w:lvlText w:val=""/>
      <w:lvlJc w:val="left"/>
      <w:pPr>
        <w:tabs>
          <w:tab w:val="num" w:pos="3240"/>
        </w:tabs>
        <w:ind w:left="3240" w:hanging="360"/>
      </w:pPr>
      <w:rPr>
        <w:rFonts w:ascii="Symbol" w:hAnsi="Symbol" w:hint="default"/>
      </w:rPr>
    </w:lvl>
    <w:lvl w:ilvl="4" w:tplc="75E65DA8" w:tentative="1">
      <w:start w:val="1"/>
      <w:numFmt w:val="bullet"/>
      <w:lvlText w:val="o"/>
      <w:lvlJc w:val="left"/>
      <w:pPr>
        <w:tabs>
          <w:tab w:val="num" w:pos="3960"/>
        </w:tabs>
        <w:ind w:left="3960" w:hanging="360"/>
      </w:pPr>
      <w:rPr>
        <w:rFonts w:ascii="Courier New" w:hAnsi="Courier New" w:cs="Courier New" w:hint="default"/>
      </w:rPr>
    </w:lvl>
    <w:lvl w:ilvl="5" w:tplc="66C88FA8" w:tentative="1">
      <w:start w:val="1"/>
      <w:numFmt w:val="bullet"/>
      <w:lvlText w:val=""/>
      <w:lvlJc w:val="left"/>
      <w:pPr>
        <w:tabs>
          <w:tab w:val="num" w:pos="4680"/>
        </w:tabs>
        <w:ind w:left="4680" w:hanging="360"/>
      </w:pPr>
      <w:rPr>
        <w:rFonts w:ascii="Wingdings" w:hAnsi="Wingdings" w:hint="default"/>
      </w:rPr>
    </w:lvl>
    <w:lvl w:ilvl="6" w:tplc="B246B41E" w:tentative="1">
      <w:start w:val="1"/>
      <w:numFmt w:val="bullet"/>
      <w:lvlText w:val=""/>
      <w:lvlJc w:val="left"/>
      <w:pPr>
        <w:tabs>
          <w:tab w:val="num" w:pos="5400"/>
        </w:tabs>
        <w:ind w:left="5400" w:hanging="360"/>
      </w:pPr>
      <w:rPr>
        <w:rFonts w:ascii="Symbol" w:hAnsi="Symbol" w:hint="default"/>
      </w:rPr>
    </w:lvl>
    <w:lvl w:ilvl="7" w:tplc="8E1649CA" w:tentative="1">
      <w:start w:val="1"/>
      <w:numFmt w:val="bullet"/>
      <w:lvlText w:val="o"/>
      <w:lvlJc w:val="left"/>
      <w:pPr>
        <w:tabs>
          <w:tab w:val="num" w:pos="6120"/>
        </w:tabs>
        <w:ind w:left="6120" w:hanging="360"/>
      </w:pPr>
      <w:rPr>
        <w:rFonts w:ascii="Courier New" w:hAnsi="Courier New" w:cs="Courier New" w:hint="default"/>
      </w:rPr>
    </w:lvl>
    <w:lvl w:ilvl="8" w:tplc="4D701A5A"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C1B2F41"/>
    <w:multiLevelType w:val="hybridMultilevel"/>
    <w:tmpl w:val="4316F65C"/>
    <w:lvl w:ilvl="0" w:tplc="5EB82E1A">
      <w:start w:val="1"/>
      <w:numFmt w:val="bullet"/>
      <w:lvlText w:val="-"/>
      <w:lvlJc w:val="left"/>
      <w:pPr>
        <w:tabs>
          <w:tab w:val="num" w:pos="720"/>
        </w:tabs>
        <w:ind w:left="720" w:hanging="360"/>
      </w:pPr>
      <w:rPr>
        <w:rFonts w:ascii="Verdana" w:eastAsia="Times New Roman" w:hAnsi="Verdana" w:cs="Times New Roman" w:hint="default"/>
      </w:rPr>
    </w:lvl>
    <w:lvl w:ilvl="1" w:tplc="2BE08D94" w:tentative="1">
      <w:start w:val="1"/>
      <w:numFmt w:val="bullet"/>
      <w:lvlText w:val="o"/>
      <w:lvlJc w:val="left"/>
      <w:pPr>
        <w:tabs>
          <w:tab w:val="num" w:pos="1440"/>
        </w:tabs>
        <w:ind w:left="1440" w:hanging="360"/>
      </w:pPr>
      <w:rPr>
        <w:rFonts w:ascii="Courier New" w:hAnsi="Courier New" w:cs="Courier New" w:hint="default"/>
      </w:rPr>
    </w:lvl>
    <w:lvl w:ilvl="2" w:tplc="D8584148" w:tentative="1">
      <w:start w:val="1"/>
      <w:numFmt w:val="bullet"/>
      <w:lvlText w:val=""/>
      <w:lvlJc w:val="left"/>
      <w:pPr>
        <w:tabs>
          <w:tab w:val="num" w:pos="2160"/>
        </w:tabs>
        <w:ind w:left="2160" w:hanging="360"/>
      </w:pPr>
      <w:rPr>
        <w:rFonts w:ascii="Wingdings" w:hAnsi="Wingdings" w:hint="default"/>
      </w:rPr>
    </w:lvl>
    <w:lvl w:ilvl="3" w:tplc="F3D60B8E" w:tentative="1">
      <w:start w:val="1"/>
      <w:numFmt w:val="bullet"/>
      <w:lvlText w:val=""/>
      <w:lvlJc w:val="left"/>
      <w:pPr>
        <w:tabs>
          <w:tab w:val="num" w:pos="2880"/>
        </w:tabs>
        <w:ind w:left="2880" w:hanging="360"/>
      </w:pPr>
      <w:rPr>
        <w:rFonts w:ascii="Symbol" w:hAnsi="Symbol" w:hint="default"/>
      </w:rPr>
    </w:lvl>
    <w:lvl w:ilvl="4" w:tplc="BC26939C" w:tentative="1">
      <w:start w:val="1"/>
      <w:numFmt w:val="bullet"/>
      <w:lvlText w:val="o"/>
      <w:lvlJc w:val="left"/>
      <w:pPr>
        <w:tabs>
          <w:tab w:val="num" w:pos="3600"/>
        </w:tabs>
        <w:ind w:left="3600" w:hanging="360"/>
      </w:pPr>
      <w:rPr>
        <w:rFonts w:ascii="Courier New" w:hAnsi="Courier New" w:cs="Courier New" w:hint="default"/>
      </w:rPr>
    </w:lvl>
    <w:lvl w:ilvl="5" w:tplc="59D487B0" w:tentative="1">
      <w:start w:val="1"/>
      <w:numFmt w:val="bullet"/>
      <w:lvlText w:val=""/>
      <w:lvlJc w:val="left"/>
      <w:pPr>
        <w:tabs>
          <w:tab w:val="num" w:pos="4320"/>
        </w:tabs>
        <w:ind w:left="4320" w:hanging="360"/>
      </w:pPr>
      <w:rPr>
        <w:rFonts w:ascii="Wingdings" w:hAnsi="Wingdings" w:hint="default"/>
      </w:rPr>
    </w:lvl>
    <w:lvl w:ilvl="6" w:tplc="D77EB9C0" w:tentative="1">
      <w:start w:val="1"/>
      <w:numFmt w:val="bullet"/>
      <w:lvlText w:val=""/>
      <w:lvlJc w:val="left"/>
      <w:pPr>
        <w:tabs>
          <w:tab w:val="num" w:pos="5040"/>
        </w:tabs>
        <w:ind w:left="5040" w:hanging="360"/>
      </w:pPr>
      <w:rPr>
        <w:rFonts w:ascii="Symbol" w:hAnsi="Symbol" w:hint="default"/>
      </w:rPr>
    </w:lvl>
    <w:lvl w:ilvl="7" w:tplc="753CE43A" w:tentative="1">
      <w:start w:val="1"/>
      <w:numFmt w:val="bullet"/>
      <w:lvlText w:val="o"/>
      <w:lvlJc w:val="left"/>
      <w:pPr>
        <w:tabs>
          <w:tab w:val="num" w:pos="5760"/>
        </w:tabs>
        <w:ind w:left="5760" w:hanging="360"/>
      </w:pPr>
      <w:rPr>
        <w:rFonts w:ascii="Courier New" w:hAnsi="Courier New" w:cs="Courier New" w:hint="default"/>
      </w:rPr>
    </w:lvl>
    <w:lvl w:ilvl="8" w:tplc="011272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431EED"/>
    <w:multiLevelType w:val="hybridMultilevel"/>
    <w:tmpl w:val="BE1812DC"/>
    <w:lvl w:ilvl="0" w:tplc="A9F0E75E">
      <w:start w:val="1"/>
      <w:numFmt w:val="bullet"/>
      <w:lvlText w:val=""/>
      <w:lvlJc w:val="left"/>
      <w:pPr>
        <w:tabs>
          <w:tab w:val="num" w:pos="720"/>
        </w:tabs>
        <w:ind w:left="720" w:hanging="360"/>
      </w:pPr>
      <w:rPr>
        <w:rFonts w:ascii="Symbol" w:hAnsi="Symbol" w:hint="default"/>
      </w:rPr>
    </w:lvl>
    <w:lvl w:ilvl="1" w:tplc="AB349628">
      <w:start w:val="1"/>
      <w:numFmt w:val="bullet"/>
      <w:lvlText w:val="o"/>
      <w:lvlJc w:val="left"/>
      <w:pPr>
        <w:tabs>
          <w:tab w:val="num" w:pos="1440"/>
        </w:tabs>
        <w:ind w:left="1440" w:hanging="360"/>
      </w:pPr>
      <w:rPr>
        <w:rFonts w:ascii="Courier New" w:hAnsi="Courier New" w:cs="Courier New" w:hint="default"/>
      </w:rPr>
    </w:lvl>
    <w:lvl w:ilvl="2" w:tplc="245C437E" w:tentative="1">
      <w:start w:val="1"/>
      <w:numFmt w:val="bullet"/>
      <w:lvlText w:val=""/>
      <w:lvlJc w:val="left"/>
      <w:pPr>
        <w:tabs>
          <w:tab w:val="num" w:pos="2160"/>
        </w:tabs>
        <w:ind w:left="2160" w:hanging="360"/>
      </w:pPr>
      <w:rPr>
        <w:rFonts w:ascii="Wingdings" w:hAnsi="Wingdings" w:hint="default"/>
      </w:rPr>
    </w:lvl>
    <w:lvl w:ilvl="3" w:tplc="C2DE4A10" w:tentative="1">
      <w:start w:val="1"/>
      <w:numFmt w:val="bullet"/>
      <w:lvlText w:val=""/>
      <w:lvlJc w:val="left"/>
      <w:pPr>
        <w:tabs>
          <w:tab w:val="num" w:pos="2880"/>
        </w:tabs>
        <w:ind w:left="2880" w:hanging="360"/>
      </w:pPr>
      <w:rPr>
        <w:rFonts w:ascii="Symbol" w:hAnsi="Symbol" w:hint="default"/>
      </w:rPr>
    </w:lvl>
    <w:lvl w:ilvl="4" w:tplc="D598D30A" w:tentative="1">
      <w:start w:val="1"/>
      <w:numFmt w:val="bullet"/>
      <w:lvlText w:val="o"/>
      <w:lvlJc w:val="left"/>
      <w:pPr>
        <w:tabs>
          <w:tab w:val="num" w:pos="3600"/>
        </w:tabs>
        <w:ind w:left="3600" w:hanging="360"/>
      </w:pPr>
      <w:rPr>
        <w:rFonts w:ascii="Courier New" w:hAnsi="Courier New" w:cs="Courier New" w:hint="default"/>
      </w:rPr>
    </w:lvl>
    <w:lvl w:ilvl="5" w:tplc="D116C572" w:tentative="1">
      <w:start w:val="1"/>
      <w:numFmt w:val="bullet"/>
      <w:lvlText w:val=""/>
      <w:lvlJc w:val="left"/>
      <w:pPr>
        <w:tabs>
          <w:tab w:val="num" w:pos="4320"/>
        </w:tabs>
        <w:ind w:left="4320" w:hanging="360"/>
      </w:pPr>
      <w:rPr>
        <w:rFonts w:ascii="Wingdings" w:hAnsi="Wingdings" w:hint="default"/>
      </w:rPr>
    </w:lvl>
    <w:lvl w:ilvl="6" w:tplc="499C3732" w:tentative="1">
      <w:start w:val="1"/>
      <w:numFmt w:val="bullet"/>
      <w:lvlText w:val=""/>
      <w:lvlJc w:val="left"/>
      <w:pPr>
        <w:tabs>
          <w:tab w:val="num" w:pos="5040"/>
        </w:tabs>
        <w:ind w:left="5040" w:hanging="360"/>
      </w:pPr>
      <w:rPr>
        <w:rFonts w:ascii="Symbol" w:hAnsi="Symbol" w:hint="default"/>
      </w:rPr>
    </w:lvl>
    <w:lvl w:ilvl="7" w:tplc="F7F03D66" w:tentative="1">
      <w:start w:val="1"/>
      <w:numFmt w:val="bullet"/>
      <w:lvlText w:val="o"/>
      <w:lvlJc w:val="left"/>
      <w:pPr>
        <w:tabs>
          <w:tab w:val="num" w:pos="5760"/>
        </w:tabs>
        <w:ind w:left="5760" w:hanging="360"/>
      </w:pPr>
      <w:rPr>
        <w:rFonts w:ascii="Courier New" w:hAnsi="Courier New" w:cs="Courier New" w:hint="default"/>
      </w:rPr>
    </w:lvl>
    <w:lvl w:ilvl="8" w:tplc="F41675A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E8392B"/>
    <w:multiLevelType w:val="hybridMultilevel"/>
    <w:tmpl w:val="B97A2B44"/>
    <w:lvl w:ilvl="0" w:tplc="0438202A">
      <w:numFmt w:val="bullet"/>
      <w:lvlText w:val="-"/>
      <w:lvlJc w:val="left"/>
      <w:pPr>
        <w:tabs>
          <w:tab w:val="num" w:pos="720"/>
        </w:tabs>
        <w:ind w:left="720" w:hanging="360"/>
      </w:pPr>
      <w:rPr>
        <w:rFonts w:ascii="Times New Roman" w:eastAsia="Times New Roman" w:hAnsi="Times New Roman" w:cs="Times New Roman" w:hint="default"/>
      </w:rPr>
    </w:lvl>
    <w:lvl w:ilvl="1" w:tplc="510231B2" w:tentative="1">
      <w:start w:val="1"/>
      <w:numFmt w:val="bullet"/>
      <w:lvlText w:val="o"/>
      <w:lvlJc w:val="left"/>
      <w:pPr>
        <w:tabs>
          <w:tab w:val="num" w:pos="1440"/>
        </w:tabs>
        <w:ind w:left="1440" w:hanging="360"/>
      </w:pPr>
      <w:rPr>
        <w:rFonts w:ascii="Courier New" w:hAnsi="Courier New" w:cs="Courier New" w:hint="default"/>
      </w:rPr>
    </w:lvl>
    <w:lvl w:ilvl="2" w:tplc="CC929A92" w:tentative="1">
      <w:start w:val="1"/>
      <w:numFmt w:val="bullet"/>
      <w:lvlText w:val=""/>
      <w:lvlJc w:val="left"/>
      <w:pPr>
        <w:tabs>
          <w:tab w:val="num" w:pos="2160"/>
        </w:tabs>
        <w:ind w:left="2160" w:hanging="360"/>
      </w:pPr>
      <w:rPr>
        <w:rFonts w:ascii="Wingdings" w:hAnsi="Wingdings" w:hint="default"/>
      </w:rPr>
    </w:lvl>
    <w:lvl w:ilvl="3" w:tplc="75CC802E" w:tentative="1">
      <w:start w:val="1"/>
      <w:numFmt w:val="bullet"/>
      <w:lvlText w:val=""/>
      <w:lvlJc w:val="left"/>
      <w:pPr>
        <w:tabs>
          <w:tab w:val="num" w:pos="2880"/>
        </w:tabs>
        <w:ind w:left="2880" w:hanging="360"/>
      </w:pPr>
      <w:rPr>
        <w:rFonts w:ascii="Symbol" w:hAnsi="Symbol" w:hint="default"/>
      </w:rPr>
    </w:lvl>
    <w:lvl w:ilvl="4" w:tplc="DCA8D792" w:tentative="1">
      <w:start w:val="1"/>
      <w:numFmt w:val="bullet"/>
      <w:lvlText w:val="o"/>
      <w:lvlJc w:val="left"/>
      <w:pPr>
        <w:tabs>
          <w:tab w:val="num" w:pos="3600"/>
        </w:tabs>
        <w:ind w:left="3600" w:hanging="360"/>
      </w:pPr>
      <w:rPr>
        <w:rFonts w:ascii="Courier New" w:hAnsi="Courier New" w:cs="Courier New" w:hint="default"/>
      </w:rPr>
    </w:lvl>
    <w:lvl w:ilvl="5" w:tplc="9080114A" w:tentative="1">
      <w:start w:val="1"/>
      <w:numFmt w:val="bullet"/>
      <w:lvlText w:val=""/>
      <w:lvlJc w:val="left"/>
      <w:pPr>
        <w:tabs>
          <w:tab w:val="num" w:pos="4320"/>
        </w:tabs>
        <w:ind w:left="4320" w:hanging="360"/>
      </w:pPr>
      <w:rPr>
        <w:rFonts w:ascii="Wingdings" w:hAnsi="Wingdings" w:hint="default"/>
      </w:rPr>
    </w:lvl>
    <w:lvl w:ilvl="6" w:tplc="C35E836A" w:tentative="1">
      <w:start w:val="1"/>
      <w:numFmt w:val="bullet"/>
      <w:lvlText w:val=""/>
      <w:lvlJc w:val="left"/>
      <w:pPr>
        <w:tabs>
          <w:tab w:val="num" w:pos="5040"/>
        </w:tabs>
        <w:ind w:left="5040" w:hanging="360"/>
      </w:pPr>
      <w:rPr>
        <w:rFonts w:ascii="Symbol" w:hAnsi="Symbol" w:hint="default"/>
      </w:rPr>
    </w:lvl>
    <w:lvl w:ilvl="7" w:tplc="1362E6F0" w:tentative="1">
      <w:start w:val="1"/>
      <w:numFmt w:val="bullet"/>
      <w:lvlText w:val="o"/>
      <w:lvlJc w:val="left"/>
      <w:pPr>
        <w:tabs>
          <w:tab w:val="num" w:pos="5760"/>
        </w:tabs>
        <w:ind w:left="5760" w:hanging="360"/>
      </w:pPr>
      <w:rPr>
        <w:rFonts w:ascii="Courier New" w:hAnsi="Courier New" w:cs="Courier New" w:hint="default"/>
      </w:rPr>
    </w:lvl>
    <w:lvl w:ilvl="8" w:tplc="183ACF7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B62271"/>
    <w:multiLevelType w:val="hybridMultilevel"/>
    <w:tmpl w:val="1728B77A"/>
    <w:lvl w:ilvl="0" w:tplc="B72C914A">
      <w:start w:val="49"/>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639058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141769"/>
    <w:multiLevelType w:val="hybridMultilevel"/>
    <w:tmpl w:val="30F21988"/>
    <w:lvl w:ilvl="0" w:tplc="664CFFEE">
      <w:start w:val="1"/>
      <w:numFmt w:val="decimal"/>
      <w:lvlText w:val="%1)"/>
      <w:lvlJc w:val="left"/>
      <w:pPr>
        <w:tabs>
          <w:tab w:val="num" w:pos="720"/>
        </w:tabs>
        <w:ind w:left="720" w:hanging="360"/>
      </w:pPr>
      <w:rPr>
        <w:rFonts w:hint="default"/>
      </w:rPr>
    </w:lvl>
    <w:lvl w:ilvl="1" w:tplc="011AC350" w:tentative="1">
      <w:start w:val="1"/>
      <w:numFmt w:val="lowerLetter"/>
      <w:lvlText w:val="%2."/>
      <w:lvlJc w:val="left"/>
      <w:pPr>
        <w:tabs>
          <w:tab w:val="num" w:pos="1440"/>
        </w:tabs>
        <w:ind w:left="1440" w:hanging="360"/>
      </w:pPr>
    </w:lvl>
    <w:lvl w:ilvl="2" w:tplc="635889AE" w:tentative="1">
      <w:start w:val="1"/>
      <w:numFmt w:val="lowerRoman"/>
      <w:lvlText w:val="%3."/>
      <w:lvlJc w:val="right"/>
      <w:pPr>
        <w:tabs>
          <w:tab w:val="num" w:pos="2160"/>
        </w:tabs>
        <w:ind w:left="2160" w:hanging="180"/>
      </w:pPr>
    </w:lvl>
    <w:lvl w:ilvl="3" w:tplc="4B1C0254" w:tentative="1">
      <w:start w:val="1"/>
      <w:numFmt w:val="decimal"/>
      <w:lvlText w:val="%4."/>
      <w:lvlJc w:val="left"/>
      <w:pPr>
        <w:tabs>
          <w:tab w:val="num" w:pos="2880"/>
        </w:tabs>
        <w:ind w:left="2880" w:hanging="360"/>
      </w:pPr>
    </w:lvl>
    <w:lvl w:ilvl="4" w:tplc="A2EA9DD4" w:tentative="1">
      <w:start w:val="1"/>
      <w:numFmt w:val="lowerLetter"/>
      <w:lvlText w:val="%5."/>
      <w:lvlJc w:val="left"/>
      <w:pPr>
        <w:tabs>
          <w:tab w:val="num" w:pos="3600"/>
        </w:tabs>
        <w:ind w:left="3600" w:hanging="360"/>
      </w:pPr>
    </w:lvl>
    <w:lvl w:ilvl="5" w:tplc="775A461A" w:tentative="1">
      <w:start w:val="1"/>
      <w:numFmt w:val="lowerRoman"/>
      <w:lvlText w:val="%6."/>
      <w:lvlJc w:val="right"/>
      <w:pPr>
        <w:tabs>
          <w:tab w:val="num" w:pos="4320"/>
        </w:tabs>
        <w:ind w:left="4320" w:hanging="180"/>
      </w:pPr>
    </w:lvl>
    <w:lvl w:ilvl="6" w:tplc="DBA87F56" w:tentative="1">
      <w:start w:val="1"/>
      <w:numFmt w:val="decimal"/>
      <w:lvlText w:val="%7."/>
      <w:lvlJc w:val="left"/>
      <w:pPr>
        <w:tabs>
          <w:tab w:val="num" w:pos="5040"/>
        </w:tabs>
        <w:ind w:left="5040" w:hanging="360"/>
      </w:pPr>
    </w:lvl>
    <w:lvl w:ilvl="7" w:tplc="7D98C6AA" w:tentative="1">
      <w:start w:val="1"/>
      <w:numFmt w:val="lowerLetter"/>
      <w:lvlText w:val="%8."/>
      <w:lvlJc w:val="left"/>
      <w:pPr>
        <w:tabs>
          <w:tab w:val="num" w:pos="5760"/>
        </w:tabs>
        <w:ind w:left="5760" w:hanging="360"/>
      </w:pPr>
    </w:lvl>
    <w:lvl w:ilvl="8" w:tplc="F894ECD8" w:tentative="1">
      <w:start w:val="1"/>
      <w:numFmt w:val="lowerRoman"/>
      <w:lvlText w:val="%9."/>
      <w:lvlJc w:val="right"/>
      <w:pPr>
        <w:tabs>
          <w:tab w:val="num" w:pos="6480"/>
        </w:tabs>
        <w:ind w:left="6480" w:hanging="180"/>
      </w:pPr>
    </w:lvl>
  </w:abstractNum>
  <w:abstractNum w:abstractNumId="20" w15:restartNumberingAfterBreak="0">
    <w:nsid w:val="7075111D"/>
    <w:multiLevelType w:val="hybridMultilevel"/>
    <w:tmpl w:val="C5B425D0"/>
    <w:lvl w:ilvl="0" w:tplc="EDFC7576">
      <w:start w:val="2"/>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F801C9"/>
    <w:multiLevelType w:val="hybridMultilevel"/>
    <w:tmpl w:val="2FA2E39E"/>
    <w:lvl w:ilvl="0" w:tplc="B72C914A">
      <w:start w:val="49"/>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73E7339A"/>
    <w:multiLevelType w:val="hybridMultilevel"/>
    <w:tmpl w:val="D110E468"/>
    <w:lvl w:ilvl="0" w:tplc="D44AAB98">
      <w:numFmt w:val="bullet"/>
      <w:pStyle w:val="Itemslist"/>
      <w:lvlText w:val="-"/>
      <w:lvlJc w:val="left"/>
      <w:pPr>
        <w:tabs>
          <w:tab w:val="num" w:pos="720"/>
        </w:tabs>
        <w:ind w:left="720" w:hanging="360"/>
      </w:pPr>
      <w:rPr>
        <w:rFonts w:ascii="Times New Roman" w:eastAsia="Times New Roman" w:hAnsi="Times New Roman" w:hint="default"/>
      </w:rPr>
    </w:lvl>
    <w:lvl w:ilvl="1" w:tplc="616E4C3A">
      <w:start w:val="1"/>
      <w:numFmt w:val="bullet"/>
      <w:lvlText w:val="o"/>
      <w:lvlJc w:val="left"/>
      <w:pPr>
        <w:tabs>
          <w:tab w:val="num" w:pos="1440"/>
        </w:tabs>
        <w:ind w:left="1440" w:hanging="360"/>
      </w:pPr>
      <w:rPr>
        <w:rFonts w:ascii="Courier New" w:hAnsi="Courier New" w:hint="default"/>
      </w:rPr>
    </w:lvl>
    <w:lvl w:ilvl="2" w:tplc="E21A80F8" w:tentative="1">
      <w:start w:val="1"/>
      <w:numFmt w:val="bullet"/>
      <w:lvlText w:val=""/>
      <w:lvlJc w:val="left"/>
      <w:pPr>
        <w:tabs>
          <w:tab w:val="num" w:pos="2160"/>
        </w:tabs>
        <w:ind w:left="2160" w:hanging="360"/>
      </w:pPr>
      <w:rPr>
        <w:rFonts w:ascii="Wingdings" w:hAnsi="Wingdings" w:hint="default"/>
      </w:rPr>
    </w:lvl>
    <w:lvl w:ilvl="3" w:tplc="2AC41E68" w:tentative="1">
      <w:start w:val="1"/>
      <w:numFmt w:val="bullet"/>
      <w:lvlText w:val=""/>
      <w:lvlJc w:val="left"/>
      <w:pPr>
        <w:tabs>
          <w:tab w:val="num" w:pos="2880"/>
        </w:tabs>
        <w:ind w:left="2880" w:hanging="360"/>
      </w:pPr>
      <w:rPr>
        <w:rFonts w:ascii="Symbol" w:hAnsi="Symbol" w:hint="default"/>
      </w:rPr>
    </w:lvl>
    <w:lvl w:ilvl="4" w:tplc="E2D469C2" w:tentative="1">
      <w:start w:val="1"/>
      <w:numFmt w:val="bullet"/>
      <w:lvlText w:val="o"/>
      <w:lvlJc w:val="left"/>
      <w:pPr>
        <w:tabs>
          <w:tab w:val="num" w:pos="3600"/>
        </w:tabs>
        <w:ind w:left="3600" w:hanging="360"/>
      </w:pPr>
      <w:rPr>
        <w:rFonts w:ascii="Courier New" w:hAnsi="Courier New" w:hint="default"/>
      </w:rPr>
    </w:lvl>
    <w:lvl w:ilvl="5" w:tplc="D4FEBBD0" w:tentative="1">
      <w:start w:val="1"/>
      <w:numFmt w:val="bullet"/>
      <w:lvlText w:val=""/>
      <w:lvlJc w:val="left"/>
      <w:pPr>
        <w:tabs>
          <w:tab w:val="num" w:pos="4320"/>
        </w:tabs>
        <w:ind w:left="4320" w:hanging="360"/>
      </w:pPr>
      <w:rPr>
        <w:rFonts w:ascii="Wingdings" w:hAnsi="Wingdings" w:hint="default"/>
      </w:rPr>
    </w:lvl>
    <w:lvl w:ilvl="6" w:tplc="C868EE04" w:tentative="1">
      <w:start w:val="1"/>
      <w:numFmt w:val="bullet"/>
      <w:lvlText w:val=""/>
      <w:lvlJc w:val="left"/>
      <w:pPr>
        <w:tabs>
          <w:tab w:val="num" w:pos="5040"/>
        </w:tabs>
        <w:ind w:left="5040" w:hanging="360"/>
      </w:pPr>
      <w:rPr>
        <w:rFonts w:ascii="Symbol" w:hAnsi="Symbol" w:hint="default"/>
      </w:rPr>
    </w:lvl>
    <w:lvl w:ilvl="7" w:tplc="CE80815C" w:tentative="1">
      <w:start w:val="1"/>
      <w:numFmt w:val="bullet"/>
      <w:lvlText w:val="o"/>
      <w:lvlJc w:val="left"/>
      <w:pPr>
        <w:tabs>
          <w:tab w:val="num" w:pos="5760"/>
        </w:tabs>
        <w:ind w:left="5760" w:hanging="360"/>
      </w:pPr>
      <w:rPr>
        <w:rFonts w:ascii="Courier New" w:hAnsi="Courier New" w:hint="default"/>
      </w:rPr>
    </w:lvl>
    <w:lvl w:ilvl="8" w:tplc="2D080BD2"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3"/>
  </w:num>
  <w:num w:numId="3">
    <w:abstractNumId w:val="0"/>
  </w:num>
  <w:num w:numId="4">
    <w:abstractNumId w:val="8"/>
  </w:num>
  <w:num w:numId="5">
    <w:abstractNumId w:val="1"/>
  </w:num>
  <w:num w:numId="6">
    <w:abstractNumId w:val="10"/>
  </w:num>
  <w:num w:numId="7">
    <w:abstractNumId w:val="16"/>
  </w:num>
  <w:num w:numId="8">
    <w:abstractNumId w:val="19"/>
  </w:num>
  <w:num w:numId="9">
    <w:abstractNumId w:val="11"/>
  </w:num>
  <w:num w:numId="10">
    <w:abstractNumId w:val="4"/>
  </w:num>
  <w:num w:numId="11">
    <w:abstractNumId w:val="7"/>
  </w:num>
  <w:num w:numId="12">
    <w:abstractNumId w:val="6"/>
  </w:num>
  <w:num w:numId="13">
    <w:abstractNumId w:val="2"/>
  </w:num>
  <w:num w:numId="14">
    <w:abstractNumId w:val="14"/>
  </w:num>
  <w:num w:numId="15">
    <w:abstractNumId w:val="12"/>
  </w:num>
  <w:num w:numId="16">
    <w:abstractNumId w:val="15"/>
  </w:num>
  <w:num w:numId="17">
    <w:abstractNumId w:val="13"/>
  </w:num>
  <w:num w:numId="18">
    <w:abstractNumId w:val="5"/>
  </w:num>
  <w:num w:numId="19">
    <w:abstractNumId w:val="18"/>
  </w:num>
  <w:num w:numId="20">
    <w:abstractNumId w:val="20"/>
  </w:num>
  <w:num w:numId="21">
    <w:abstractNumId w:val="21"/>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8673"/>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 - Tim&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2pp5ew3waxt7ex2apvwst4psz2x2xp0xpz&quot;&gt;Deemed disease references 2&lt;record-ids&gt;&lt;item&gt;335&lt;/item&gt;&lt;item&gt;336&lt;/item&gt;&lt;item&gt;677&lt;/item&gt;&lt;item&gt;678&lt;/item&gt;&lt;item&gt;685&lt;/item&gt;&lt;item&gt;893&lt;/item&gt;&lt;item&gt;969&lt;/item&gt;&lt;item&gt;970&lt;/item&gt;&lt;item&gt;971&lt;/item&gt;&lt;item&gt;972&lt;/item&gt;&lt;item&gt;973&lt;/item&gt;&lt;item&gt;974&lt;/item&gt;&lt;item&gt;976&lt;/item&gt;&lt;item&gt;977&lt;/item&gt;&lt;item&gt;978&lt;/item&gt;&lt;item&gt;980&lt;/item&gt;&lt;item&gt;981&lt;/item&gt;&lt;item&gt;982&lt;/item&gt;&lt;item&gt;983&lt;/item&gt;&lt;item&gt;984&lt;/item&gt;&lt;item&gt;985&lt;/item&gt;&lt;item&gt;986&lt;/item&gt;&lt;item&gt;987&lt;/item&gt;&lt;item&gt;992&lt;/item&gt;&lt;item&gt;993&lt;/item&gt;&lt;item&gt;994&lt;/item&gt;&lt;item&gt;997&lt;/item&gt;&lt;item&gt;998&lt;/item&gt;&lt;/record-ids&gt;&lt;/item&gt;&lt;/Libraries&gt;"/>
  </w:docVars>
  <w:rsids>
    <w:rsidRoot w:val="008739DF"/>
    <w:rsid w:val="00000B59"/>
    <w:rsid w:val="000010D9"/>
    <w:rsid w:val="0000159E"/>
    <w:rsid w:val="00003E51"/>
    <w:rsid w:val="00005043"/>
    <w:rsid w:val="00005E6E"/>
    <w:rsid w:val="00016601"/>
    <w:rsid w:val="00017947"/>
    <w:rsid w:val="00020133"/>
    <w:rsid w:val="00022809"/>
    <w:rsid w:val="0002606A"/>
    <w:rsid w:val="00026CEB"/>
    <w:rsid w:val="000270CF"/>
    <w:rsid w:val="000330A1"/>
    <w:rsid w:val="00034C6A"/>
    <w:rsid w:val="000365A7"/>
    <w:rsid w:val="00036813"/>
    <w:rsid w:val="00036EF3"/>
    <w:rsid w:val="000379E2"/>
    <w:rsid w:val="000419BE"/>
    <w:rsid w:val="0004404B"/>
    <w:rsid w:val="000511B9"/>
    <w:rsid w:val="00051D3C"/>
    <w:rsid w:val="0006124D"/>
    <w:rsid w:val="000643D8"/>
    <w:rsid w:val="00074D3D"/>
    <w:rsid w:val="00075357"/>
    <w:rsid w:val="00076478"/>
    <w:rsid w:val="00087E9C"/>
    <w:rsid w:val="000A1945"/>
    <w:rsid w:val="000A29FA"/>
    <w:rsid w:val="000A3288"/>
    <w:rsid w:val="000A5F57"/>
    <w:rsid w:val="000A74D0"/>
    <w:rsid w:val="000A7EB8"/>
    <w:rsid w:val="000B017B"/>
    <w:rsid w:val="000B11D1"/>
    <w:rsid w:val="000B4015"/>
    <w:rsid w:val="000B69DA"/>
    <w:rsid w:val="000C198E"/>
    <w:rsid w:val="000C55ED"/>
    <w:rsid w:val="000D38D4"/>
    <w:rsid w:val="000D76FF"/>
    <w:rsid w:val="000E0BBB"/>
    <w:rsid w:val="000F5E72"/>
    <w:rsid w:val="000F61F5"/>
    <w:rsid w:val="000F7B61"/>
    <w:rsid w:val="000F7C58"/>
    <w:rsid w:val="00100B09"/>
    <w:rsid w:val="00105CD6"/>
    <w:rsid w:val="00107E39"/>
    <w:rsid w:val="00115115"/>
    <w:rsid w:val="00115FB2"/>
    <w:rsid w:val="001210A9"/>
    <w:rsid w:val="00123148"/>
    <w:rsid w:val="001308CE"/>
    <w:rsid w:val="00130F53"/>
    <w:rsid w:val="0013224A"/>
    <w:rsid w:val="00132922"/>
    <w:rsid w:val="0013538A"/>
    <w:rsid w:val="0014148D"/>
    <w:rsid w:val="00151B2D"/>
    <w:rsid w:val="00152F71"/>
    <w:rsid w:val="001566FD"/>
    <w:rsid w:val="00170A30"/>
    <w:rsid w:val="00170E25"/>
    <w:rsid w:val="001735A1"/>
    <w:rsid w:val="001775EC"/>
    <w:rsid w:val="00180E92"/>
    <w:rsid w:val="00181B0B"/>
    <w:rsid w:val="00181BC9"/>
    <w:rsid w:val="00184DF1"/>
    <w:rsid w:val="00185246"/>
    <w:rsid w:val="00192A35"/>
    <w:rsid w:val="001A3916"/>
    <w:rsid w:val="001B26EA"/>
    <w:rsid w:val="001B3B6F"/>
    <w:rsid w:val="001B448B"/>
    <w:rsid w:val="001B7547"/>
    <w:rsid w:val="001C2F36"/>
    <w:rsid w:val="001C5757"/>
    <w:rsid w:val="001C5971"/>
    <w:rsid w:val="001C5B7C"/>
    <w:rsid w:val="001D042B"/>
    <w:rsid w:val="001D1F0B"/>
    <w:rsid w:val="001D32F8"/>
    <w:rsid w:val="001E11A4"/>
    <w:rsid w:val="001E22EC"/>
    <w:rsid w:val="001E5384"/>
    <w:rsid w:val="001F10F2"/>
    <w:rsid w:val="001F1B2D"/>
    <w:rsid w:val="001F2CDB"/>
    <w:rsid w:val="001F47FD"/>
    <w:rsid w:val="001F4E60"/>
    <w:rsid w:val="001F6342"/>
    <w:rsid w:val="001F72A6"/>
    <w:rsid w:val="002016EB"/>
    <w:rsid w:val="002032CE"/>
    <w:rsid w:val="00204CBA"/>
    <w:rsid w:val="00205B8E"/>
    <w:rsid w:val="00213C28"/>
    <w:rsid w:val="002201CB"/>
    <w:rsid w:val="00221D6D"/>
    <w:rsid w:val="00226863"/>
    <w:rsid w:val="00227298"/>
    <w:rsid w:val="00237CCB"/>
    <w:rsid w:val="00241519"/>
    <w:rsid w:val="002421EB"/>
    <w:rsid w:val="002509B2"/>
    <w:rsid w:val="002528E9"/>
    <w:rsid w:val="002534FA"/>
    <w:rsid w:val="00266D34"/>
    <w:rsid w:val="00270823"/>
    <w:rsid w:val="00270BA1"/>
    <w:rsid w:val="00270BE4"/>
    <w:rsid w:val="0027139D"/>
    <w:rsid w:val="00273475"/>
    <w:rsid w:val="00274D4A"/>
    <w:rsid w:val="0027742D"/>
    <w:rsid w:val="00280396"/>
    <w:rsid w:val="0028069E"/>
    <w:rsid w:val="0028113E"/>
    <w:rsid w:val="002822EB"/>
    <w:rsid w:val="002834AD"/>
    <w:rsid w:val="00283654"/>
    <w:rsid w:val="00291B2A"/>
    <w:rsid w:val="00291DF7"/>
    <w:rsid w:val="002931DA"/>
    <w:rsid w:val="0029422B"/>
    <w:rsid w:val="002972A9"/>
    <w:rsid w:val="002A2950"/>
    <w:rsid w:val="002A487B"/>
    <w:rsid w:val="002A5ED6"/>
    <w:rsid w:val="002A6E1F"/>
    <w:rsid w:val="002A70E5"/>
    <w:rsid w:val="002B1733"/>
    <w:rsid w:val="002B6A9F"/>
    <w:rsid w:val="002C4002"/>
    <w:rsid w:val="002C7768"/>
    <w:rsid w:val="002D203F"/>
    <w:rsid w:val="002E163D"/>
    <w:rsid w:val="002E3634"/>
    <w:rsid w:val="002E602B"/>
    <w:rsid w:val="002E73E3"/>
    <w:rsid w:val="002F62E5"/>
    <w:rsid w:val="002F76BC"/>
    <w:rsid w:val="003027AC"/>
    <w:rsid w:val="00302FE7"/>
    <w:rsid w:val="00307E89"/>
    <w:rsid w:val="00311EE8"/>
    <w:rsid w:val="0031358A"/>
    <w:rsid w:val="0032479D"/>
    <w:rsid w:val="003247D7"/>
    <w:rsid w:val="00324DD3"/>
    <w:rsid w:val="00326608"/>
    <w:rsid w:val="0033078B"/>
    <w:rsid w:val="00331D4E"/>
    <w:rsid w:val="00340C57"/>
    <w:rsid w:val="00344F6B"/>
    <w:rsid w:val="003517D5"/>
    <w:rsid w:val="00353F6E"/>
    <w:rsid w:val="003566B6"/>
    <w:rsid w:val="0036096B"/>
    <w:rsid w:val="0036588D"/>
    <w:rsid w:val="003756CA"/>
    <w:rsid w:val="00381EAF"/>
    <w:rsid w:val="0038360D"/>
    <w:rsid w:val="00386E59"/>
    <w:rsid w:val="00390CC3"/>
    <w:rsid w:val="00391E2E"/>
    <w:rsid w:val="0039518B"/>
    <w:rsid w:val="003A137E"/>
    <w:rsid w:val="003A3A70"/>
    <w:rsid w:val="003B019F"/>
    <w:rsid w:val="003B61C3"/>
    <w:rsid w:val="003B6BB6"/>
    <w:rsid w:val="003C01BF"/>
    <w:rsid w:val="003D40AF"/>
    <w:rsid w:val="003D6CB4"/>
    <w:rsid w:val="003D7A11"/>
    <w:rsid w:val="003E5796"/>
    <w:rsid w:val="003F0494"/>
    <w:rsid w:val="003F5EC4"/>
    <w:rsid w:val="003F70AC"/>
    <w:rsid w:val="00401F25"/>
    <w:rsid w:val="00402102"/>
    <w:rsid w:val="00403100"/>
    <w:rsid w:val="00411EA7"/>
    <w:rsid w:val="00411F76"/>
    <w:rsid w:val="00413EF7"/>
    <w:rsid w:val="004176E1"/>
    <w:rsid w:val="00423198"/>
    <w:rsid w:val="00423889"/>
    <w:rsid w:val="00425361"/>
    <w:rsid w:val="00426CB2"/>
    <w:rsid w:val="00430A2B"/>
    <w:rsid w:val="0043338B"/>
    <w:rsid w:val="00435204"/>
    <w:rsid w:val="004427EB"/>
    <w:rsid w:val="00453C9D"/>
    <w:rsid w:val="004544A5"/>
    <w:rsid w:val="00454E07"/>
    <w:rsid w:val="004622AC"/>
    <w:rsid w:val="0046499C"/>
    <w:rsid w:val="004665FA"/>
    <w:rsid w:val="00466D35"/>
    <w:rsid w:val="00473B70"/>
    <w:rsid w:val="0047550E"/>
    <w:rsid w:val="00481161"/>
    <w:rsid w:val="00481C90"/>
    <w:rsid w:val="00483D4B"/>
    <w:rsid w:val="00486546"/>
    <w:rsid w:val="004875A5"/>
    <w:rsid w:val="00491E4E"/>
    <w:rsid w:val="0049587D"/>
    <w:rsid w:val="00495ED1"/>
    <w:rsid w:val="004974D9"/>
    <w:rsid w:val="0049770C"/>
    <w:rsid w:val="004A0B34"/>
    <w:rsid w:val="004A3E92"/>
    <w:rsid w:val="004A4FCA"/>
    <w:rsid w:val="004A6A9F"/>
    <w:rsid w:val="004B3B8B"/>
    <w:rsid w:val="004B55ED"/>
    <w:rsid w:val="004B5B72"/>
    <w:rsid w:val="004B6CD5"/>
    <w:rsid w:val="004B730C"/>
    <w:rsid w:val="004E06B1"/>
    <w:rsid w:val="004E4778"/>
    <w:rsid w:val="004E5BF1"/>
    <w:rsid w:val="004F1AAC"/>
    <w:rsid w:val="004F25D5"/>
    <w:rsid w:val="00503835"/>
    <w:rsid w:val="00503E0F"/>
    <w:rsid w:val="00507890"/>
    <w:rsid w:val="00512995"/>
    <w:rsid w:val="005144D5"/>
    <w:rsid w:val="0051495C"/>
    <w:rsid w:val="005153C1"/>
    <w:rsid w:val="00516BEE"/>
    <w:rsid w:val="00521529"/>
    <w:rsid w:val="00522066"/>
    <w:rsid w:val="005220F8"/>
    <w:rsid w:val="005241C4"/>
    <w:rsid w:val="00525C48"/>
    <w:rsid w:val="005317BA"/>
    <w:rsid w:val="00531B85"/>
    <w:rsid w:val="00531F8C"/>
    <w:rsid w:val="005338FA"/>
    <w:rsid w:val="00535859"/>
    <w:rsid w:val="005369B2"/>
    <w:rsid w:val="005528F0"/>
    <w:rsid w:val="00552D58"/>
    <w:rsid w:val="00560F29"/>
    <w:rsid w:val="005631F5"/>
    <w:rsid w:val="0056362C"/>
    <w:rsid w:val="005649D5"/>
    <w:rsid w:val="005654E0"/>
    <w:rsid w:val="00566C13"/>
    <w:rsid w:val="005706B2"/>
    <w:rsid w:val="00581FFA"/>
    <w:rsid w:val="00584A0E"/>
    <w:rsid w:val="00586A2A"/>
    <w:rsid w:val="00587340"/>
    <w:rsid w:val="00592DF9"/>
    <w:rsid w:val="00597FE6"/>
    <w:rsid w:val="005A050C"/>
    <w:rsid w:val="005A513E"/>
    <w:rsid w:val="005A6026"/>
    <w:rsid w:val="005B01D5"/>
    <w:rsid w:val="005B3099"/>
    <w:rsid w:val="005B3C74"/>
    <w:rsid w:val="005B502C"/>
    <w:rsid w:val="005B5970"/>
    <w:rsid w:val="005B5C95"/>
    <w:rsid w:val="005C7507"/>
    <w:rsid w:val="005D10CA"/>
    <w:rsid w:val="005D15B3"/>
    <w:rsid w:val="005D199C"/>
    <w:rsid w:val="005D6958"/>
    <w:rsid w:val="005E04B3"/>
    <w:rsid w:val="005E3E50"/>
    <w:rsid w:val="005E5341"/>
    <w:rsid w:val="005F0A2D"/>
    <w:rsid w:val="005F2BF3"/>
    <w:rsid w:val="005F2CF4"/>
    <w:rsid w:val="005F31B7"/>
    <w:rsid w:val="005F574A"/>
    <w:rsid w:val="00601F6B"/>
    <w:rsid w:val="006032C3"/>
    <w:rsid w:val="006042E0"/>
    <w:rsid w:val="00606301"/>
    <w:rsid w:val="00607ED3"/>
    <w:rsid w:val="00607F88"/>
    <w:rsid w:val="00610219"/>
    <w:rsid w:val="00610F54"/>
    <w:rsid w:val="00616702"/>
    <w:rsid w:val="00616B21"/>
    <w:rsid w:val="00620EE8"/>
    <w:rsid w:val="00623A5F"/>
    <w:rsid w:val="0062452E"/>
    <w:rsid w:val="006275EA"/>
    <w:rsid w:val="006410EE"/>
    <w:rsid w:val="00646F42"/>
    <w:rsid w:val="00646FF0"/>
    <w:rsid w:val="006511C0"/>
    <w:rsid w:val="006536F8"/>
    <w:rsid w:val="006540B9"/>
    <w:rsid w:val="00655862"/>
    <w:rsid w:val="00656BEB"/>
    <w:rsid w:val="00662B56"/>
    <w:rsid w:val="00662C1A"/>
    <w:rsid w:val="0066525B"/>
    <w:rsid w:val="0066584E"/>
    <w:rsid w:val="00666CFC"/>
    <w:rsid w:val="00667A26"/>
    <w:rsid w:val="006714E8"/>
    <w:rsid w:val="00673414"/>
    <w:rsid w:val="00674F59"/>
    <w:rsid w:val="00675776"/>
    <w:rsid w:val="00677644"/>
    <w:rsid w:val="00681A01"/>
    <w:rsid w:val="00683401"/>
    <w:rsid w:val="0068512B"/>
    <w:rsid w:val="00685D6D"/>
    <w:rsid w:val="006902BA"/>
    <w:rsid w:val="00693A6B"/>
    <w:rsid w:val="00693A81"/>
    <w:rsid w:val="00695200"/>
    <w:rsid w:val="00695B48"/>
    <w:rsid w:val="00697160"/>
    <w:rsid w:val="006971B4"/>
    <w:rsid w:val="006A1214"/>
    <w:rsid w:val="006A12F2"/>
    <w:rsid w:val="006A6765"/>
    <w:rsid w:val="006A6B62"/>
    <w:rsid w:val="006B0768"/>
    <w:rsid w:val="006B11C0"/>
    <w:rsid w:val="006B51EA"/>
    <w:rsid w:val="006B7FB2"/>
    <w:rsid w:val="006D011D"/>
    <w:rsid w:val="006D0C6D"/>
    <w:rsid w:val="006D193E"/>
    <w:rsid w:val="006D7E05"/>
    <w:rsid w:val="006E017F"/>
    <w:rsid w:val="006E342C"/>
    <w:rsid w:val="006F0DB8"/>
    <w:rsid w:val="006F2EAE"/>
    <w:rsid w:val="006F47CD"/>
    <w:rsid w:val="006F6CC1"/>
    <w:rsid w:val="0070075B"/>
    <w:rsid w:val="00700E3A"/>
    <w:rsid w:val="00703C91"/>
    <w:rsid w:val="007101EA"/>
    <w:rsid w:val="007101FB"/>
    <w:rsid w:val="00712F0F"/>
    <w:rsid w:val="00713DB9"/>
    <w:rsid w:val="00715C85"/>
    <w:rsid w:val="00716D3F"/>
    <w:rsid w:val="00721583"/>
    <w:rsid w:val="00723237"/>
    <w:rsid w:val="00725313"/>
    <w:rsid w:val="00727DA4"/>
    <w:rsid w:val="00734E3D"/>
    <w:rsid w:val="00734FDA"/>
    <w:rsid w:val="007350D4"/>
    <w:rsid w:val="00741B8A"/>
    <w:rsid w:val="00745CBB"/>
    <w:rsid w:val="00751CB6"/>
    <w:rsid w:val="00753F9C"/>
    <w:rsid w:val="007544B2"/>
    <w:rsid w:val="00755714"/>
    <w:rsid w:val="0075726F"/>
    <w:rsid w:val="007615B5"/>
    <w:rsid w:val="007622B3"/>
    <w:rsid w:val="00765125"/>
    <w:rsid w:val="00770264"/>
    <w:rsid w:val="0077265F"/>
    <w:rsid w:val="007752F3"/>
    <w:rsid w:val="00780D8A"/>
    <w:rsid w:val="007819D2"/>
    <w:rsid w:val="00782898"/>
    <w:rsid w:val="00784A7C"/>
    <w:rsid w:val="00790581"/>
    <w:rsid w:val="00795C77"/>
    <w:rsid w:val="00797AC0"/>
    <w:rsid w:val="00797FC1"/>
    <w:rsid w:val="007B0C00"/>
    <w:rsid w:val="007B14A7"/>
    <w:rsid w:val="007C7A9F"/>
    <w:rsid w:val="007D1DED"/>
    <w:rsid w:val="007E1F9D"/>
    <w:rsid w:val="007E48A3"/>
    <w:rsid w:val="007E78E3"/>
    <w:rsid w:val="007F3367"/>
    <w:rsid w:val="007F6712"/>
    <w:rsid w:val="00802451"/>
    <w:rsid w:val="00802DFB"/>
    <w:rsid w:val="00802E54"/>
    <w:rsid w:val="00804678"/>
    <w:rsid w:val="00805352"/>
    <w:rsid w:val="00816779"/>
    <w:rsid w:val="008174AB"/>
    <w:rsid w:val="008202A6"/>
    <w:rsid w:val="008203E2"/>
    <w:rsid w:val="00823567"/>
    <w:rsid w:val="00832907"/>
    <w:rsid w:val="00833291"/>
    <w:rsid w:val="00837CB1"/>
    <w:rsid w:val="00840054"/>
    <w:rsid w:val="008402AC"/>
    <w:rsid w:val="008421EC"/>
    <w:rsid w:val="008437A7"/>
    <w:rsid w:val="00852AF4"/>
    <w:rsid w:val="00857F42"/>
    <w:rsid w:val="00861A3C"/>
    <w:rsid w:val="008666E1"/>
    <w:rsid w:val="00867400"/>
    <w:rsid w:val="00870CE7"/>
    <w:rsid w:val="008739DF"/>
    <w:rsid w:val="00875FF7"/>
    <w:rsid w:val="00876452"/>
    <w:rsid w:val="00876E16"/>
    <w:rsid w:val="00883A27"/>
    <w:rsid w:val="00886959"/>
    <w:rsid w:val="008920A6"/>
    <w:rsid w:val="008A5203"/>
    <w:rsid w:val="008B116C"/>
    <w:rsid w:val="008B1C51"/>
    <w:rsid w:val="008B412C"/>
    <w:rsid w:val="008B5832"/>
    <w:rsid w:val="008C6126"/>
    <w:rsid w:val="008C6588"/>
    <w:rsid w:val="008D0532"/>
    <w:rsid w:val="008D53A1"/>
    <w:rsid w:val="008D6E0D"/>
    <w:rsid w:val="008E02C8"/>
    <w:rsid w:val="008E0A28"/>
    <w:rsid w:val="008E1FA6"/>
    <w:rsid w:val="008E5DF2"/>
    <w:rsid w:val="008E74D9"/>
    <w:rsid w:val="008F18AA"/>
    <w:rsid w:val="008F1A42"/>
    <w:rsid w:val="008F2827"/>
    <w:rsid w:val="0090018E"/>
    <w:rsid w:val="00900775"/>
    <w:rsid w:val="00902B01"/>
    <w:rsid w:val="00904157"/>
    <w:rsid w:val="00907C63"/>
    <w:rsid w:val="009127D0"/>
    <w:rsid w:val="00915522"/>
    <w:rsid w:val="009159A9"/>
    <w:rsid w:val="009161FE"/>
    <w:rsid w:val="0092722B"/>
    <w:rsid w:val="0093259A"/>
    <w:rsid w:val="0093279F"/>
    <w:rsid w:val="009332DB"/>
    <w:rsid w:val="009359D7"/>
    <w:rsid w:val="009370F8"/>
    <w:rsid w:val="00937BFE"/>
    <w:rsid w:val="00941B90"/>
    <w:rsid w:val="00943DA1"/>
    <w:rsid w:val="00945E44"/>
    <w:rsid w:val="00946A4A"/>
    <w:rsid w:val="00946D8C"/>
    <w:rsid w:val="009479D7"/>
    <w:rsid w:val="00951B20"/>
    <w:rsid w:val="009538E3"/>
    <w:rsid w:val="0096314D"/>
    <w:rsid w:val="00974918"/>
    <w:rsid w:val="00974931"/>
    <w:rsid w:val="0097493E"/>
    <w:rsid w:val="00974D6C"/>
    <w:rsid w:val="00980EE3"/>
    <w:rsid w:val="009824BD"/>
    <w:rsid w:val="00984EB4"/>
    <w:rsid w:val="009863DE"/>
    <w:rsid w:val="009905D7"/>
    <w:rsid w:val="00992F83"/>
    <w:rsid w:val="009A0BC3"/>
    <w:rsid w:val="009A19F6"/>
    <w:rsid w:val="009A48FD"/>
    <w:rsid w:val="009A4AEB"/>
    <w:rsid w:val="009A5F68"/>
    <w:rsid w:val="009A673E"/>
    <w:rsid w:val="009B24F7"/>
    <w:rsid w:val="009B2612"/>
    <w:rsid w:val="009B3B1F"/>
    <w:rsid w:val="009B54BB"/>
    <w:rsid w:val="009B72F0"/>
    <w:rsid w:val="009B7C69"/>
    <w:rsid w:val="009C6D8A"/>
    <w:rsid w:val="009D05CA"/>
    <w:rsid w:val="009D3F57"/>
    <w:rsid w:val="009D4E8E"/>
    <w:rsid w:val="009D57C6"/>
    <w:rsid w:val="009D70DC"/>
    <w:rsid w:val="009E0CC0"/>
    <w:rsid w:val="009E11BB"/>
    <w:rsid w:val="009E11C2"/>
    <w:rsid w:val="009E2888"/>
    <w:rsid w:val="009F35D0"/>
    <w:rsid w:val="009F44F8"/>
    <w:rsid w:val="009F541F"/>
    <w:rsid w:val="009F677D"/>
    <w:rsid w:val="009F7C70"/>
    <w:rsid w:val="00A02764"/>
    <w:rsid w:val="00A12773"/>
    <w:rsid w:val="00A146DC"/>
    <w:rsid w:val="00A154C0"/>
    <w:rsid w:val="00A173B9"/>
    <w:rsid w:val="00A20C12"/>
    <w:rsid w:val="00A211DB"/>
    <w:rsid w:val="00A22197"/>
    <w:rsid w:val="00A246D1"/>
    <w:rsid w:val="00A2754A"/>
    <w:rsid w:val="00A3313B"/>
    <w:rsid w:val="00A357B6"/>
    <w:rsid w:val="00A4786A"/>
    <w:rsid w:val="00A506E4"/>
    <w:rsid w:val="00A53613"/>
    <w:rsid w:val="00A66A46"/>
    <w:rsid w:val="00A76433"/>
    <w:rsid w:val="00A8038A"/>
    <w:rsid w:val="00A85158"/>
    <w:rsid w:val="00A8549B"/>
    <w:rsid w:val="00A90531"/>
    <w:rsid w:val="00A9173E"/>
    <w:rsid w:val="00A9412B"/>
    <w:rsid w:val="00A94309"/>
    <w:rsid w:val="00AA0155"/>
    <w:rsid w:val="00AA102D"/>
    <w:rsid w:val="00AA262F"/>
    <w:rsid w:val="00AA27AF"/>
    <w:rsid w:val="00AA5A01"/>
    <w:rsid w:val="00AB098B"/>
    <w:rsid w:val="00AB7B2B"/>
    <w:rsid w:val="00AB7E23"/>
    <w:rsid w:val="00AC0AA7"/>
    <w:rsid w:val="00AC67AF"/>
    <w:rsid w:val="00AC7A9A"/>
    <w:rsid w:val="00AD179E"/>
    <w:rsid w:val="00AD2CFE"/>
    <w:rsid w:val="00AD54EE"/>
    <w:rsid w:val="00AD6E85"/>
    <w:rsid w:val="00AD7E63"/>
    <w:rsid w:val="00AE2533"/>
    <w:rsid w:val="00AE2FE5"/>
    <w:rsid w:val="00AE3318"/>
    <w:rsid w:val="00AE53EA"/>
    <w:rsid w:val="00AF0C79"/>
    <w:rsid w:val="00AF1DD8"/>
    <w:rsid w:val="00AF220A"/>
    <w:rsid w:val="00AF3AD1"/>
    <w:rsid w:val="00AF5398"/>
    <w:rsid w:val="00B024B5"/>
    <w:rsid w:val="00B032F4"/>
    <w:rsid w:val="00B04BB2"/>
    <w:rsid w:val="00B05EEB"/>
    <w:rsid w:val="00B155FF"/>
    <w:rsid w:val="00B16F7D"/>
    <w:rsid w:val="00B17966"/>
    <w:rsid w:val="00B22455"/>
    <w:rsid w:val="00B22BE9"/>
    <w:rsid w:val="00B23E24"/>
    <w:rsid w:val="00B23E9F"/>
    <w:rsid w:val="00B245A9"/>
    <w:rsid w:val="00B27265"/>
    <w:rsid w:val="00B34EED"/>
    <w:rsid w:val="00B354CC"/>
    <w:rsid w:val="00B35E47"/>
    <w:rsid w:val="00B364C5"/>
    <w:rsid w:val="00B3693D"/>
    <w:rsid w:val="00B37410"/>
    <w:rsid w:val="00B420D2"/>
    <w:rsid w:val="00B442DA"/>
    <w:rsid w:val="00B4527B"/>
    <w:rsid w:val="00B53239"/>
    <w:rsid w:val="00B548F7"/>
    <w:rsid w:val="00B564E3"/>
    <w:rsid w:val="00B62531"/>
    <w:rsid w:val="00B63365"/>
    <w:rsid w:val="00B675B6"/>
    <w:rsid w:val="00B7055E"/>
    <w:rsid w:val="00B71113"/>
    <w:rsid w:val="00B7249A"/>
    <w:rsid w:val="00B74697"/>
    <w:rsid w:val="00B74D8C"/>
    <w:rsid w:val="00B75ABC"/>
    <w:rsid w:val="00B77BBC"/>
    <w:rsid w:val="00B82965"/>
    <w:rsid w:val="00B859FB"/>
    <w:rsid w:val="00B85CE1"/>
    <w:rsid w:val="00B87693"/>
    <w:rsid w:val="00B90296"/>
    <w:rsid w:val="00B95D3F"/>
    <w:rsid w:val="00B96BFB"/>
    <w:rsid w:val="00BA0D11"/>
    <w:rsid w:val="00BA2E26"/>
    <w:rsid w:val="00BA3341"/>
    <w:rsid w:val="00BA4898"/>
    <w:rsid w:val="00BC35F9"/>
    <w:rsid w:val="00BC6005"/>
    <w:rsid w:val="00BC6E10"/>
    <w:rsid w:val="00BC7563"/>
    <w:rsid w:val="00BD3F34"/>
    <w:rsid w:val="00BE6F01"/>
    <w:rsid w:val="00BE7382"/>
    <w:rsid w:val="00BE7C41"/>
    <w:rsid w:val="00BF4E38"/>
    <w:rsid w:val="00BF5920"/>
    <w:rsid w:val="00C01162"/>
    <w:rsid w:val="00C06CB9"/>
    <w:rsid w:val="00C125C1"/>
    <w:rsid w:val="00C12890"/>
    <w:rsid w:val="00C1330A"/>
    <w:rsid w:val="00C1459C"/>
    <w:rsid w:val="00C15654"/>
    <w:rsid w:val="00C1726E"/>
    <w:rsid w:val="00C21902"/>
    <w:rsid w:val="00C23017"/>
    <w:rsid w:val="00C26290"/>
    <w:rsid w:val="00C26BF8"/>
    <w:rsid w:val="00C33911"/>
    <w:rsid w:val="00C341EB"/>
    <w:rsid w:val="00C34668"/>
    <w:rsid w:val="00C356C0"/>
    <w:rsid w:val="00C35D77"/>
    <w:rsid w:val="00C37208"/>
    <w:rsid w:val="00C37713"/>
    <w:rsid w:val="00C37B43"/>
    <w:rsid w:val="00C41978"/>
    <w:rsid w:val="00C41BE0"/>
    <w:rsid w:val="00C4335A"/>
    <w:rsid w:val="00C43FC5"/>
    <w:rsid w:val="00C44316"/>
    <w:rsid w:val="00C46C25"/>
    <w:rsid w:val="00C51B26"/>
    <w:rsid w:val="00C52C36"/>
    <w:rsid w:val="00C539F7"/>
    <w:rsid w:val="00C5630E"/>
    <w:rsid w:val="00C63E0D"/>
    <w:rsid w:val="00C65B03"/>
    <w:rsid w:val="00C66D54"/>
    <w:rsid w:val="00C716EE"/>
    <w:rsid w:val="00C72A86"/>
    <w:rsid w:val="00C80BFC"/>
    <w:rsid w:val="00C83A82"/>
    <w:rsid w:val="00C84B91"/>
    <w:rsid w:val="00C84CC4"/>
    <w:rsid w:val="00C91AD1"/>
    <w:rsid w:val="00C94868"/>
    <w:rsid w:val="00C955F2"/>
    <w:rsid w:val="00C95815"/>
    <w:rsid w:val="00C965B1"/>
    <w:rsid w:val="00CA11CF"/>
    <w:rsid w:val="00CA7080"/>
    <w:rsid w:val="00CA7604"/>
    <w:rsid w:val="00CB212A"/>
    <w:rsid w:val="00CB28D0"/>
    <w:rsid w:val="00CB377C"/>
    <w:rsid w:val="00CB6229"/>
    <w:rsid w:val="00CC7E36"/>
    <w:rsid w:val="00CE03EE"/>
    <w:rsid w:val="00CE08EA"/>
    <w:rsid w:val="00CE4577"/>
    <w:rsid w:val="00CE4D86"/>
    <w:rsid w:val="00CE4D92"/>
    <w:rsid w:val="00CF323A"/>
    <w:rsid w:val="00CF3507"/>
    <w:rsid w:val="00CF402E"/>
    <w:rsid w:val="00D02183"/>
    <w:rsid w:val="00D02C98"/>
    <w:rsid w:val="00D050C6"/>
    <w:rsid w:val="00D07FCA"/>
    <w:rsid w:val="00D11278"/>
    <w:rsid w:val="00D127AF"/>
    <w:rsid w:val="00D1338E"/>
    <w:rsid w:val="00D13E4E"/>
    <w:rsid w:val="00D14E03"/>
    <w:rsid w:val="00D236BC"/>
    <w:rsid w:val="00D25DD2"/>
    <w:rsid w:val="00D326AC"/>
    <w:rsid w:val="00D35227"/>
    <w:rsid w:val="00D378F7"/>
    <w:rsid w:val="00D4023F"/>
    <w:rsid w:val="00D417D5"/>
    <w:rsid w:val="00D420E3"/>
    <w:rsid w:val="00D453AE"/>
    <w:rsid w:val="00D478C0"/>
    <w:rsid w:val="00D54F89"/>
    <w:rsid w:val="00D65B7B"/>
    <w:rsid w:val="00D70F75"/>
    <w:rsid w:val="00D75163"/>
    <w:rsid w:val="00D834AB"/>
    <w:rsid w:val="00D8377F"/>
    <w:rsid w:val="00D86E26"/>
    <w:rsid w:val="00D90F54"/>
    <w:rsid w:val="00D9185E"/>
    <w:rsid w:val="00D932C3"/>
    <w:rsid w:val="00D95ECC"/>
    <w:rsid w:val="00D960A5"/>
    <w:rsid w:val="00DA11F3"/>
    <w:rsid w:val="00DB3D91"/>
    <w:rsid w:val="00DB5A5E"/>
    <w:rsid w:val="00DC511E"/>
    <w:rsid w:val="00DC5883"/>
    <w:rsid w:val="00DC630B"/>
    <w:rsid w:val="00DC7594"/>
    <w:rsid w:val="00DF08B4"/>
    <w:rsid w:val="00DF1448"/>
    <w:rsid w:val="00DF2DDF"/>
    <w:rsid w:val="00DF4A20"/>
    <w:rsid w:val="00E00C52"/>
    <w:rsid w:val="00E01A14"/>
    <w:rsid w:val="00E0345B"/>
    <w:rsid w:val="00E0405D"/>
    <w:rsid w:val="00E04B51"/>
    <w:rsid w:val="00E10921"/>
    <w:rsid w:val="00E1206E"/>
    <w:rsid w:val="00E12E3B"/>
    <w:rsid w:val="00E1352B"/>
    <w:rsid w:val="00E14691"/>
    <w:rsid w:val="00E24211"/>
    <w:rsid w:val="00E24AC7"/>
    <w:rsid w:val="00E25150"/>
    <w:rsid w:val="00E26BF2"/>
    <w:rsid w:val="00E26C51"/>
    <w:rsid w:val="00E27122"/>
    <w:rsid w:val="00E31B86"/>
    <w:rsid w:val="00E320A3"/>
    <w:rsid w:val="00E32E0E"/>
    <w:rsid w:val="00E332C7"/>
    <w:rsid w:val="00E4454A"/>
    <w:rsid w:val="00E45B68"/>
    <w:rsid w:val="00E47FCC"/>
    <w:rsid w:val="00E562DB"/>
    <w:rsid w:val="00E66696"/>
    <w:rsid w:val="00E674F3"/>
    <w:rsid w:val="00E70C3B"/>
    <w:rsid w:val="00E716FB"/>
    <w:rsid w:val="00E73BAA"/>
    <w:rsid w:val="00E81888"/>
    <w:rsid w:val="00E8227D"/>
    <w:rsid w:val="00E93355"/>
    <w:rsid w:val="00E9351D"/>
    <w:rsid w:val="00E955A0"/>
    <w:rsid w:val="00E974AF"/>
    <w:rsid w:val="00EA0C68"/>
    <w:rsid w:val="00EA4CEC"/>
    <w:rsid w:val="00EA50FC"/>
    <w:rsid w:val="00EA68FB"/>
    <w:rsid w:val="00EB0EC1"/>
    <w:rsid w:val="00EB1B4E"/>
    <w:rsid w:val="00EB1ECC"/>
    <w:rsid w:val="00EB4CA8"/>
    <w:rsid w:val="00EB5C64"/>
    <w:rsid w:val="00EB615C"/>
    <w:rsid w:val="00EC5DDC"/>
    <w:rsid w:val="00ED4D37"/>
    <w:rsid w:val="00EF2115"/>
    <w:rsid w:val="00F05C3D"/>
    <w:rsid w:val="00F0655F"/>
    <w:rsid w:val="00F11B97"/>
    <w:rsid w:val="00F12CDB"/>
    <w:rsid w:val="00F1379F"/>
    <w:rsid w:val="00F14CAC"/>
    <w:rsid w:val="00F173DD"/>
    <w:rsid w:val="00F222AF"/>
    <w:rsid w:val="00F22CE0"/>
    <w:rsid w:val="00F262B9"/>
    <w:rsid w:val="00F305B1"/>
    <w:rsid w:val="00F32911"/>
    <w:rsid w:val="00F33315"/>
    <w:rsid w:val="00F33623"/>
    <w:rsid w:val="00F33728"/>
    <w:rsid w:val="00F34E4C"/>
    <w:rsid w:val="00F36260"/>
    <w:rsid w:val="00F3665C"/>
    <w:rsid w:val="00F41498"/>
    <w:rsid w:val="00F51BA9"/>
    <w:rsid w:val="00F52DB6"/>
    <w:rsid w:val="00F5718C"/>
    <w:rsid w:val="00F6203E"/>
    <w:rsid w:val="00F779E0"/>
    <w:rsid w:val="00F77CC7"/>
    <w:rsid w:val="00F932E5"/>
    <w:rsid w:val="00F94232"/>
    <w:rsid w:val="00FA122C"/>
    <w:rsid w:val="00FB0464"/>
    <w:rsid w:val="00FB1452"/>
    <w:rsid w:val="00FB5604"/>
    <w:rsid w:val="00FB5E07"/>
    <w:rsid w:val="00FC0315"/>
    <w:rsid w:val="00FC251D"/>
    <w:rsid w:val="00FD0997"/>
    <w:rsid w:val="00FD1E28"/>
    <w:rsid w:val="00FE1D57"/>
    <w:rsid w:val="00FE3338"/>
    <w:rsid w:val="00FF03A6"/>
    <w:rsid w:val="00FF15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shapelayout v:ext="edit">
      <o:idmap v:ext="edit" data="1"/>
    </o:shapelayout>
  </w:shapeDefaults>
  <w:decimalSymbol w:val="."/>
  <w:listSeparator w:val=","/>
  <w14:docId w14:val="4ACA628B"/>
  <w15:docId w15:val="{28B38A33-850F-4EF7-8072-14345F27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2E0"/>
    <w:rPr>
      <w:sz w:val="24"/>
      <w:lang w:val="en-US" w:eastAsia="en-US"/>
    </w:rPr>
  </w:style>
  <w:style w:type="paragraph" w:styleId="Heading1">
    <w:name w:val="heading 1"/>
    <w:basedOn w:val="PhDleveloneheading"/>
    <w:next w:val="Normal"/>
    <w:qFormat/>
    <w:rsid w:val="002F76BC"/>
    <w:pPr>
      <w:spacing w:before="0"/>
      <w:outlineLvl w:val="0"/>
    </w:pPr>
  </w:style>
  <w:style w:type="paragraph" w:styleId="Heading2">
    <w:name w:val="heading 2"/>
    <w:basedOn w:val="PHD-normaltext"/>
    <w:next w:val="Normal"/>
    <w:qFormat/>
    <w:rsid w:val="002F76BC"/>
    <w:pPr>
      <w:outlineLvl w:val="1"/>
    </w:pPr>
    <w:rPr>
      <w:b/>
    </w:rPr>
  </w:style>
  <w:style w:type="paragraph" w:styleId="Heading3">
    <w:name w:val="heading 3"/>
    <w:basedOn w:val="PhD-level2heading"/>
    <w:next w:val="Normal"/>
    <w:qFormat/>
    <w:rsid w:val="003F70AC"/>
    <w:pPr>
      <w:outlineLvl w:val="2"/>
    </w:pPr>
  </w:style>
  <w:style w:type="paragraph" w:styleId="Heading4">
    <w:name w:val="heading 4"/>
    <w:basedOn w:val="Normal"/>
    <w:next w:val="Normal"/>
    <w:qFormat/>
    <w:rsid w:val="006042E0"/>
    <w:pPr>
      <w:keepNext/>
      <w:spacing w:before="240" w:after="60"/>
      <w:outlineLvl w:val="3"/>
    </w:pPr>
    <w:rPr>
      <w:b/>
      <w:sz w:val="28"/>
    </w:rPr>
  </w:style>
  <w:style w:type="paragraph" w:styleId="Heading5">
    <w:name w:val="heading 5"/>
    <w:basedOn w:val="Normal"/>
    <w:next w:val="Normal"/>
    <w:qFormat/>
    <w:rsid w:val="006042E0"/>
    <w:pPr>
      <w:spacing w:before="240" w:after="60"/>
      <w:outlineLvl w:val="4"/>
    </w:pPr>
    <w:rPr>
      <w:b/>
      <w:i/>
      <w:sz w:val="26"/>
    </w:rPr>
  </w:style>
  <w:style w:type="paragraph" w:styleId="Heading6">
    <w:name w:val="heading 6"/>
    <w:basedOn w:val="Normal"/>
    <w:next w:val="Normal"/>
    <w:qFormat/>
    <w:rsid w:val="006042E0"/>
    <w:pPr>
      <w:keepNext/>
      <w:widowControl w:val="0"/>
      <w:tabs>
        <w:tab w:val="left" w:pos="90"/>
      </w:tabs>
      <w:autoSpaceDE w:val="0"/>
      <w:autoSpaceDN w:val="0"/>
      <w:adjustRightInd w:val="0"/>
      <w:spacing w:before="256"/>
      <w:outlineLvl w:val="5"/>
    </w:pPr>
    <w:rPr>
      <w:b/>
      <w:color w:val="000000"/>
      <w:sz w:val="20"/>
      <w:lang w:val="en-AU"/>
    </w:rPr>
  </w:style>
  <w:style w:type="paragraph" w:styleId="Heading7">
    <w:name w:val="heading 7"/>
    <w:basedOn w:val="Normal"/>
    <w:next w:val="Normal"/>
    <w:qFormat/>
    <w:rsid w:val="006042E0"/>
    <w:pPr>
      <w:keepNext/>
      <w:jc w:val="both"/>
      <w:outlineLvl w:val="6"/>
    </w:pPr>
    <w:rPr>
      <w:rFonts w:ascii="Verdana" w:hAnsi="Verdana"/>
      <w:b/>
      <w:sz w:val="18"/>
      <w:lang w:val="en-AU"/>
    </w:rPr>
  </w:style>
  <w:style w:type="paragraph" w:styleId="Heading8">
    <w:name w:val="heading 8"/>
    <w:basedOn w:val="Normal"/>
    <w:next w:val="Normal"/>
    <w:qFormat/>
    <w:rsid w:val="006042E0"/>
    <w:pPr>
      <w:keepNext/>
      <w:tabs>
        <w:tab w:val="left" w:pos="283"/>
      </w:tabs>
      <w:spacing w:line="360" w:lineRule="auto"/>
      <w:ind w:left="283" w:hanging="283"/>
      <w:outlineLvl w:val="7"/>
    </w:pPr>
    <w:rPr>
      <w:rFonts w:ascii="Verdana" w:hAnsi="Verdana"/>
      <w:b/>
      <w:sz w:val="16"/>
      <w:lang w:val="en-AU"/>
    </w:rPr>
  </w:style>
  <w:style w:type="paragraph" w:styleId="Heading9">
    <w:name w:val="heading 9"/>
    <w:basedOn w:val="Normal"/>
    <w:next w:val="Normal"/>
    <w:qFormat/>
    <w:rsid w:val="006042E0"/>
    <w:pPr>
      <w:keepNext/>
      <w:tabs>
        <w:tab w:val="left" w:pos="720"/>
        <w:tab w:val="left" w:pos="1440"/>
      </w:tabs>
      <w:autoSpaceDE w:val="0"/>
      <w:autoSpaceDN w:val="0"/>
      <w:ind w:left="2160" w:hanging="2160"/>
      <w:outlineLvl w:val="8"/>
    </w:pPr>
    <w:rPr>
      <w:b/>
      <w:sz w:val="20"/>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ExecBody Text"/>
    <w:basedOn w:val="Normal"/>
    <w:rsid w:val="006042E0"/>
    <w:rPr>
      <w:rFonts w:ascii="Verdana" w:hAnsi="Verdana"/>
      <w:sz w:val="20"/>
    </w:rPr>
  </w:style>
  <w:style w:type="paragraph" w:styleId="BodyTextIndent">
    <w:name w:val="Body Text Indent"/>
    <w:basedOn w:val="Normal"/>
    <w:rsid w:val="006042E0"/>
    <w:pPr>
      <w:ind w:left="720"/>
    </w:pPr>
  </w:style>
  <w:style w:type="paragraph" w:styleId="Footer">
    <w:name w:val="footer"/>
    <w:basedOn w:val="Normal"/>
    <w:link w:val="FooterChar"/>
    <w:uiPriority w:val="99"/>
    <w:rsid w:val="006042E0"/>
    <w:pPr>
      <w:tabs>
        <w:tab w:val="center" w:pos="4320"/>
        <w:tab w:val="right" w:pos="8640"/>
      </w:tabs>
    </w:pPr>
  </w:style>
  <w:style w:type="character" w:styleId="PageNumber">
    <w:name w:val="page number"/>
    <w:basedOn w:val="DefaultParagraphFont"/>
    <w:rsid w:val="006042E0"/>
  </w:style>
  <w:style w:type="paragraph" w:styleId="FootnoteText">
    <w:name w:val="footnote text"/>
    <w:basedOn w:val="Normal"/>
    <w:link w:val="FootnoteTextChar"/>
    <w:uiPriority w:val="99"/>
    <w:semiHidden/>
    <w:rsid w:val="006042E0"/>
    <w:rPr>
      <w:sz w:val="20"/>
      <w:lang w:val="en-AU"/>
    </w:rPr>
  </w:style>
  <w:style w:type="character" w:styleId="FootnoteReference">
    <w:name w:val="footnote reference"/>
    <w:basedOn w:val="DefaultParagraphFont"/>
    <w:uiPriority w:val="99"/>
    <w:semiHidden/>
    <w:rsid w:val="006042E0"/>
    <w:rPr>
      <w:vertAlign w:val="superscript"/>
    </w:rPr>
  </w:style>
  <w:style w:type="paragraph" w:styleId="ListBullet">
    <w:name w:val="List Bullet"/>
    <w:basedOn w:val="List"/>
    <w:autoRedefine/>
    <w:rsid w:val="006042E0"/>
    <w:pPr>
      <w:tabs>
        <w:tab w:val="left" w:pos="1701"/>
        <w:tab w:val="left" w:pos="4395"/>
      </w:tabs>
      <w:spacing w:after="240" w:line="240" w:lineRule="atLeast"/>
      <w:ind w:left="360" w:hanging="360"/>
    </w:pPr>
    <w:rPr>
      <w:rFonts w:ascii="Arial" w:hAnsi="Arial"/>
      <w:b/>
      <w:spacing w:val="-5"/>
      <w:sz w:val="22"/>
      <w:lang w:val="en-US"/>
    </w:rPr>
  </w:style>
  <w:style w:type="paragraph" w:styleId="List">
    <w:name w:val="List"/>
    <w:basedOn w:val="Normal"/>
    <w:rsid w:val="006042E0"/>
    <w:pPr>
      <w:ind w:left="283" w:hanging="283"/>
    </w:pPr>
    <w:rPr>
      <w:sz w:val="20"/>
      <w:lang w:val="en-AU"/>
    </w:rPr>
  </w:style>
  <w:style w:type="paragraph" w:customStyle="1" w:styleId="Itemslist">
    <w:name w:val="Itemslist"/>
    <w:basedOn w:val="Normal"/>
    <w:rsid w:val="006042E0"/>
    <w:pPr>
      <w:numPr>
        <w:numId w:val="1"/>
      </w:numPr>
      <w:shd w:val="clear" w:color="auto" w:fill="FFCC99"/>
    </w:pPr>
  </w:style>
  <w:style w:type="paragraph" w:customStyle="1" w:styleId="Bullet">
    <w:name w:val="Bullet"/>
    <w:basedOn w:val="Normal"/>
    <w:rsid w:val="006042E0"/>
    <w:pPr>
      <w:numPr>
        <w:numId w:val="2"/>
      </w:numPr>
      <w:autoSpaceDE w:val="0"/>
      <w:autoSpaceDN w:val="0"/>
    </w:pPr>
    <w:rPr>
      <w:sz w:val="20"/>
      <w:lang w:val="en-AU"/>
    </w:rPr>
  </w:style>
  <w:style w:type="paragraph" w:styleId="BodyText2">
    <w:name w:val="Body Text 2"/>
    <w:basedOn w:val="Normal"/>
    <w:rsid w:val="006042E0"/>
    <w:pPr>
      <w:widowControl w:val="0"/>
      <w:tabs>
        <w:tab w:val="left" w:pos="113"/>
        <w:tab w:val="left" w:pos="737"/>
      </w:tabs>
      <w:autoSpaceDE w:val="0"/>
      <w:autoSpaceDN w:val="0"/>
      <w:adjustRightInd w:val="0"/>
      <w:spacing w:before="100"/>
      <w:jc w:val="center"/>
    </w:pPr>
    <w:rPr>
      <w:rFonts w:ascii="Verdana" w:hAnsi="Verdana"/>
      <w:b/>
      <w:lang w:val="en-AU"/>
    </w:rPr>
  </w:style>
  <w:style w:type="paragraph" w:styleId="Header">
    <w:name w:val="header"/>
    <w:basedOn w:val="Normal"/>
    <w:rsid w:val="006042E0"/>
    <w:pPr>
      <w:tabs>
        <w:tab w:val="center" w:pos="4153"/>
        <w:tab w:val="right" w:pos="8306"/>
      </w:tabs>
    </w:pPr>
    <w:rPr>
      <w:sz w:val="20"/>
      <w:lang w:val="en-AU"/>
    </w:rPr>
  </w:style>
  <w:style w:type="paragraph" w:customStyle="1" w:styleId="TOOCScodinglevel1">
    <w:name w:val="TOOCS coding level 1"/>
    <w:basedOn w:val="Heading5"/>
    <w:autoRedefine/>
    <w:rsid w:val="006042E0"/>
    <w:pPr>
      <w:keepNext/>
      <w:widowControl w:val="0"/>
      <w:tabs>
        <w:tab w:val="left" w:pos="851"/>
      </w:tabs>
      <w:autoSpaceDE w:val="0"/>
      <w:autoSpaceDN w:val="0"/>
      <w:adjustRightInd w:val="0"/>
      <w:spacing w:after="120"/>
    </w:pPr>
    <w:rPr>
      <w:rFonts w:ascii="Verdana" w:hAnsi="Verdana"/>
      <w:i w:val="0"/>
      <w:smallCaps/>
      <w:color w:val="000000"/>
      <w:sz w:val="20"/>
      <w:lang w:val="en-AU"/>
    </w:rPr>
  </w:style>
  <w:style w:type="character" w:styleId="EndnoteReference">
    <w:name w:val="endnote reference"/>
    <w:basedOn w:val="DefaultParagraphFont"/>
    <w:semiHidden/>
    <w:rsid w:val="006042E0"/>
    <w:rPr>
      <w:vertAlign w:val="superscript"/>
    </w:rPr>
  </w:style>
  <w:style w:type="paragraph" w:customStyle="1" w:styleId="TOOCScodinglevel2">
    <w:name w:val="TOOCS coding level 2"/>
    <w:basedOn w:val="TOOCScodinglevel1"/>
    <w:autoRedefine/>
    <w:rsid w:val="006042E0"/>
    <w:pPr>
      <w:spacing w:before="120"/>
      <w:ind w:left="851" w:hanging="851"/>
    </w:pPr>
    <w:rPr>
      <w:smallCaps w:val="0"/>
    </w:rPr>
  </w:style>
  <w:style w:type="paragraph" w:styleId="EndnoteText">
    <w:name w:val="endnote text"/>
    <w:basedOn w:val="Normal"/>
    <w:semiHidden/>
    <w:rsid w:val="006042E0"/>
    <w:rPr>
      <w:sz w:val="20"/>
      <w:lang w:val="en-AU"/>
    </w:rPr>
  </w:style>
  <w:style w:type="paragraph" w:styleId="BodyText3">
    <w:name w:val="Body Text 3"/>
    <w:basedOn w:val="Normal"/>
    <w:rsid w:val="006042E0"/>
    <w:pPr>
      <w:spacing w:line="360" w:lineRule="auto"/>
    </w:pPr>
    <w:rPr>
      <w:rFonts w:ascii="Verdana" w:hAnsi="Verdana"/>
      <w:i/>
      <w:sz w:val="20"/>
      <w:lang w:val="en-AU"/>
    </w:rPr>
  </w:style>
  <w:style w:type="paragraph" w:styleId="TOC1">
    <w:name w:val="toc 1"/>
    <w:aliases w:val="TOC Tim"/>
    <w:basedOn w:val="Normal"/>
    <w:autoRedefine/>
    <w:semiHidden/>
    <w:rsid w:val="00DF08B4"/>
    <w:pPr>
      <w:tabs>
        <w:tab w:val="left" w:pos="1985"/>
        <w:tab w:val="right" w:pos="8789"/>
      </w:tabs>
      <w:spacing w:before="240"/>
      <w:ind w:left="1418" w:right="567" w:hanging="1418"/>
    </w:pPr>
    <w:rPr>
      <w:rFonts w:ascii="Verdana" w:hAnsi="Verdana"/>
      <w:b/>
      <w:noProof/>
      <w:sz w:val="20"/>
    </w:rPr>
  </w:style>
  <w:style w:type="paragraph" w:styleId="BodyTextIndent3">
    <w:name w:val="Body Text Indent 3"/>
    <w:basedOn w:val="Normal"/>
    <w:rsid w:val="006042E0"/>
    <w:pPr>
      <w:widowControl w:val="0"/>
      <w:tabs>
        <w:tab w:val="left" w:pos="737"/>
      </w:tabs>
      <w:autoSpaceDE w:val="0"/>
      <w:autoSpaceDN w:val="0"/>
      <w:adjustRightInd w:val="0"/>
      <w:spacing w:before="100"/>
      <w:ind w:left="737" w:hanging="737"/>
    </w:pPr>
    <w:rPr>
      <w:rFonts w:ascii="Verdana" w:hAnsi="Verdana"/>
      <w:b/>
      <w:sz w:val="20"/>
      <w:lang w:val="en-AU"/>
    </w:rPr>
  </w:style>
  <w:style w:type="paragraph" w:customStyle="1" w:styleId="PHD-normaltext">
    <w:name w:val="PHD - normal text"/>
    <w:basedOn w:val="BodyText"/>
    <w:rsid w:val="006042E0"/>
    <w:pPr>
      <w:spacing w:line="360" w:lineRule="auto"/>
    </w:pPr>
    <w:rPr>
      <w:lang w:val="en-GB"/>
    </w:rPr>
  </w:style>
  <w:style w:type="paragraph" w:customStyle="1" w:styleId="PhD-level2heading">
    <w:name w:val="PhD - level 2 heading"/>
    <w:basedOn w:val="PHD-normaltext"/>
    <w:link w:val="PhD-level2headingChar"/>
    <w:autoRedefine/>
    <w:rsid w:val="00B22BE9"/>
    <w:pPr>
      <w:keepNext/>
      <w:tabs>
        <w:tab w:val="left" w:pos="1080"/>
        <w:tab w:val="left" w:pos="2813"/>
        <w:tab w:val="left" w:pos="6614"/>
      </w:tabs>
      <w:spacing w:before="240"/>
      <w:ind w:left="1366" w:hanging="1366"/>
    </w:pPr>
    <w:rPr>
      <w:b/>
      <w:smallCaps/>
      <w:lang w:val="en-US"/>
    </w:rPr>
  </w:style>
  <w:style w:type="character" w:styleId="Hyperlink">
    <w:name w:val="Hyperlink"/>
    <w:basedOn w:val="DefaultParagraphFont"/>
    <w:uiPriority w:val="99"/>
    <w:rsid w:val="006042E0"/>
    <w:rPr>
      <w:color w:val="0000FF"/>
      <w:u w:val="single"/>
    </w:rPr>
  </w:style>
  <w:style w:type="paragraph" w:customStyle="1" w:styleId="2heading">
    <w:name w:val="2heading"/>
    <w:basedOn w:val="Normal"/>
    <w:rsid w:val="006042E0"/>
    <w:pPr>
      <w:keepNext/>
      <w:spacing w:before="240" w:after="60"/>
    </w:pPr>
    <w:rPr>
      <w:rFonts w:ascii="Arial" w:hAnsi="Arial"/>
      <w:b/>
      <w:sz w:val="28"/>
    </w:rPr>
  </w:style>
  <w:style w:type="paragraph" w:customStyle="1" w:styleId="PHD-chapterheading">
    <w:name w:val="PHD - chapter heading"/>
    <w:basedOn w:val="Title"/>
    <w:rsid w:val="006042E0"/>
    <w:pPr>
      <w:spacing w:before="0" w:line="360" w:lineRule="auto"/>
    </w:pPr>
    <w:rPr>
      <w:lang w:val="en-GB"/>
    </w:rPr>
  </w:style>
  <w:style w:type="paragraph" w:styleId="Title">
    <w:name w:val="Title"/>
    <w:basedOn w:val="Normal"/>
    <w:qFormat/>
    <w:rsid w:val="002F76BC"/>
    <w:pPr>
      <w:spacing w:before="2280"/>
      <w:jc w:val="center"/>
    </w:pPr>
    <w:rPr>
      <w:rFonts w:ascii="Verdana" w:hAnsi="Verdana"/>
      <w:b/>
      <w:sz w:val="40"/>
      <w:szCs w:val="40"/>
    </w:rPr>
  </w:style>
  <w:style w:type="paragraph" w:customStyle="1" w:styleId="PhD-tablefootnote">
    <w:name w:val="PhD - table footnote"/>
    <w:basedOn w:val="BodyTextIndent2"/>
    <w:rsid w:val="006042E0"/>
    <w:pPr>
      <w:tabs>
        <w:tab w:val="left" w:pos="284"/>
      </w:tabs>
      <w:spacing w:after="0" w:line="240" w:lineRule="auto"/>
      <w:ind w:left="284" w:hanging="284"/>
    </w:pPr>
    <w:rPr>
      <w:rFonts w:ascii="Verdana" w:hAnsi="Verdana"/>
      <w:sz w:val="16"/>
      <w:lang w:val="en-GB"/>
    </w:rPr>
  </w:style>
  <w:style w:type="paragraph" w:styleId="BodyTextIndent2">
    <w:name w:val="Body Text Indent 2"/>
    <w:basedOn w:val="Normal"/>
    <w:rsid w:val="006042E0"/>
    <w:pPr>
      <w:spacing w:after="120" w:line="480" w:lineRule="auto"/>
      <w:ind w:left="283"/>
    </w:pPr>
    <w:rPr>
      <w:sz w:val="20"/>
      <w:lang w:val="en-AU"/>
    </w:rPr>
  </w:style>
  <w:style w:type="paragraph" w:customStyle="1" w:styleId="PhD-tableheading">
    <w:name w:val="PhD - table heading"/>
    <w:basedOn w:val="BodyText2"/>
    <w:rsid w:val="006042E0"/>
    <w:pPr>
      <w:widowControl/>
      <w:tabs>
        <w:tab w:val="clear" w:pos="113"/>
        <w:tab w:val="clear" w:pos="737"/>
        <w:tab w:val="left" w:pos="1985"/>
      </w:tabs>
      <w:autoSpaceDE/>
      <w:autoSpaceDN/>
      <w:adjustRightInd/>
      <w:spacing w:before="480" w:after="240"/>
      <w:ind w:left="1985" w:hanging="1418"/>
      <w:jc w:val="left"/>
    </w:pPr>
    <w:rPr>
      <w:sz w:val="20"/>
      <w:lang w:val="en-GB"/>
    </w:rPr>
  </w:style>
  <w:style w:type="paragraph" w:customStyle="1" w:styleId="PhDlevel3heading">
    <w:name w:val="PhD level 3 heading"/>
    <w:basedOn w:val="Normal"/>
    <w:next w:val="PHD-normaltext"/>
    <w:rsid w:val="006042E0"/>
    <w:pPr>
      <w:spacing w:before="240" w:after="120" w:line="360" w:lineRule="auto"/>
    </w:pPr>
    <w:rPr>
      <w:b/>
      <w:i/>
      <w:lang w:val="en-AU"/>
    </w:rPr>
  </w:style>
  <w:style w:type="paragraph" w:customStyle="1" w:styleId="PhDleveloneheading">
    <w:name w:val="PhD level one heading"/>
    <w:basedOn w:val="Title"/>
    <w:next w:val="PHD-normaltext"/>
    <w:link w:val="PhDleveloneheadingChar"/>
    <w:rsid w:val="006042E0"/>
    <w:pPr>
      <w:tabs>
        <w:tab w:val="left" w:pos="851"/>
      </w:tabs>
      <w:spacing w:before="480" w:after="240" w:line="480" w:lineRule="auto"/>
      <w:jc w:val="left"/>
    </w:pPr>
    <w:rPr>
      <w:smallCaps/>
      <w:sz w:val="24"/>
    </w:rPr>
  </w:style>
  <w:style w:type="paragraph" w:styleId="TOC2">
    <w:name w:val="toc 2"/>
    <w:basedOn w:val="TOC1"/>
    <w:next w:val="Normal"/>
    <w:autoRedefine/>
    <w:semiHidden/>
    <w:rsid w:val="006042E0"/>
    <w:pPr>
      <w:tabs>
        <w:tab w:val="left" w:pos="1134"/>
      </w:tabs>
      <w:spacing w:before="120"/>
      <w:ind w:left="1985" w:hanging="1701"/>
    </w:pPr>
    <w:rPr>
      <w:b w:val="0"/>
    </w:rPr>
  </w:style>
  <w:style w:type="paragraph" w:styleId="TOC3">
    <w:name w:val="toc 3"/>
    <w:basedOn w:val="Normal"/>
    <w:next w:val="Normal"/>
    <w:autoRedefine/>
    <w:semiHidden/>
    <w:rsid w:val="006042E0"/>
    <w:pPr>
      <w:tabs>
        <w:tab w:val="right" w:pos="8789"/>
      </w:tabs>
      <w:ind w:left="2268" w:right="567" w:hanging="1701"/>
    </w:pPr>
    <w:rPr>
      <w:noProof/>
    </w:rPr>
  </w:style>
  <w:style w:type="paragraph" w:styleId="TOC4">
    <w:name w:val="toc 4"/>
    <w:basedOn w:val="TOC1"/>
    <w:next w:val="TOC2"/>
    <w:autoRedefine/>
    <w:semiHidden/>
    <w:rsid w:val="006042E0"/>
    <w:pPr>
      <w:tabs>
        <w:tab w:val="left" w:pos="1418"/>
      </w:tabs>
      <w:ind w:left="2835" w:hanging="1701"/>
    </w:pPr>
  </w:style>
  <w:style w:type="paragraph" w:styleId="TOC5">
    <w:name w:val="toc 5"/>
    <w:basedOn w:val="Normal"/>
    <w:next w:val="Normal"/>
    <w:autoRedefine/>
    <w:semiHidden/>
    <w:rsid w:val="006042E0"/>
    <w:pPr>
      <w:ind w:left="960"/>
    </w:pPr>
    <w:rPr>
      <w:lang w:val="en-AU"/>
    </w:rPr>
  </w:style>
  <w:style w:type="character" w:styleId="FollowedHyperlink">
    <w:name w:val="FollowedHyperlink"/>
    <w:basedOn w:val="DefaultParagraphFont"/>
    <w:rsid w:val="006042E0"/>
    <w:rPr>
      <w:color w:val="800080"/>
      <w:u w:val="single"/>
    </w:rPr>
  </w:style>
  <w:style w:type="paragraph" w:styleId="TOC6">
    <w:name w:val="toc 6"/>
    <w:basedOn w:val="TOC1"/>
    <w:next w:val="TOC7"/>
    <w:autoRedefine/>
    <w:uiPriority w:val="39"/>
    <w:rsid w:val="00610F54"/>
    <w:pPr>
      <w:tabs>
        <w:tab w:val="clear" w:pos="1985"/>
        <w:tab w:val="clear" w:pos="8789"/>
        <w:tab w:val="left" w:pos="425"/>
        <w:tab w:val="right" w:pos="8505"/>
      </w:tabs>
      <w:ind w:right="851"/>
    </w:pPr>
    <w:rPr>
      <w:smallCaps/>
    </w:rPr>
  </w:style>
  <w:style w:type="paragraph" w:styleId="TOC7">
    <w:name w:val="toc 7"/>
    <w:basedOn w:val="Normal"/>
    <w:next w:val="TOC8"/>
    <w:autoRedefine/>
    <w:uiPriority w:val="39"/>
    <w:rsid w:val="006042E0"/>
    <w:pPr>
      <w:tabs>
        <w:tab w:val="right" w:pos="8505"/>
      </w:tabs>
      <w:spacing w:before="120"/>
      <w:ind w:left="851" w:right="1701" w:hanging="284"/>
    </w:pPr>
    <w:rPr>
      <w:rFonts w:ascii="Verdana" w:hAnsi="Verdana"/>
      <w:b/>
      <w:noProof/>
      <w:sz w:val="20"/>
      <w:lang w:val="en-AU"/>
    </w:rPr>
  </w:style>
  <w:style w:type="paragraph" w:styleId="TOC8">
    <w:name w:val="toc 8"/>
    <w:basedOn w:val="TOC3"/>
    <w:next w:val="Normal"/>
    <w:autoRedefine/>
    <w:uiPriority w:val="39"/>
    <w:rsid w:val="006042E0"/>
    <w:pPr>
      <w:tabs>
        <w:tab w:val="clear" w:pos="8789"/>
        <w:tab w:val="left" w:pos="1440"/>
        <w:tab w:val="right" w:pos="8505"/>
      </w:tabs>
      <w:ind w:left="1135" w:right="1134" w:hanging="284"/>
    </w:pPr>
    <w:rPr>
      <w:rFonts w:ascii="Verdana" w:hAnsi="Verdana"/>
      <w:sz w:val="20"/>
    </w:rPr>
  </w:style>
  <w:style w:type="paragraph" w:customStyle="1" w:styleId="TOOCSnormal">
    <w:name w:val="TOOCS normal"/>
    <w:basedOn w:val="Normal"/>
    <w:autoRedefine/>
    <w:rsid w:val="006042E0"/>
    <w:pPr>
      <w:widowControl w:val="0"/>
      <w:tabs>
        <w:tab w:val="left" w:pos="851"/>
      </w:tabs>
      <w:autoSpaceDE w:val="0"/>
      <w:autoSpaceDN w:val="0"/>
      <w:adjustRightInd w:val="0"/>
      <w:spacing w:line="360" w:lineRule="auto"/>
    </w:pPr>
    <w:rPr>
      <w:rFonts w:ascii="Verdana" w:hAnsi="Verdana"/>
      <w:color w:val="000000"/>
      <w:sz w:val="20"/>
      <w:lang w:val="en-AU"/>
    </w:rPr>
  </w:style>
  <w:style w:type="paragraph" w:customStyle="1" w:styleId="TOOCScodinglevel15">
    <w:name w:val="TOOCS coding level 1.5"/>
    <w:basedOn w:val="TOOCScodinglevel2"/>
    <w:next w:val="TOOCSnormal"/>
    <w:autoRedefine/>
    <w:rsid w:val="006042E0"/>
    <w:pPr>
      <w:tabs>
        <w:tab w:val="left" w:pos="284"/>
      </w:tabs>
    </w:pPr>
    <w:rPr>
      <w:i/>
    </w:rPr>
  </w:style>
  <w:style w:type="paragraph" w:customStyle="1" w:styleId="TOOCSLevel0">
    <w:name w:val="TOOCS Level 0"/>
    <w:basedOn w:val="TOOCScodinglevel1"/>
    <w:next w:val="TOOCScodinglevel1"/>
    <w:autoRedefine/>
    <w:rsid w:val="006042E0"/>
    <w:rPr>
      <w:caps/>
      <w:smallCaps w:val="0"/>
      <w:sz w:val="24"/>
      <w:lang w:val="en-US"/>
    </w:rPr>
  </w:style>
  <w:style w:type="paragraph" w:customStyle="1" w:styleId="TOOCSNote1">
    <w:name w:val="TOOCS Note 1"/>
    <w:basedOn w:val="TOOCSnormal"/>
    <w:next w:val="TOOCSnormal"/>
    <w:autoRedefine/>
    <w:rsid w:val="006042E0"/>
    <w:pPr>
      <w:spacing w:line="240" w:lineRule="auto"/>
    </w:pPr>
    <w:rPr>
      <w:b/>
    </w:rPr>
  </w:style>
  <w:style w:type="paragraph" w:styleId="TOC9">
    <w:name w:val="toc 9"/>
    <w:basedOn w:val="Normal"/>
    <w:next w:val="Normal"/>
    <w:autoRedefine/>
    <w:semiHidden/>
    <w:rsid w:val="006042E0"/>
    <w:pPr>
      <w:ind w:left="1600"/>
    </w:pPr>
    <w:rPr>
      <w:sz w:val="20"/>
      <w:lang w:val="en-AU"/>
    </w:rPr>
  </w:style>
  <w:style w:type="paragraph" w:customStyle="1" w:styleId="Letterheadbody">
    <w:name w:val="Letterhead body"/>
    <w:basedOn w:val="Normal"/>
    <w:rsid w:val="006042E0"/>
    <w:rPr>
      <w:lang w:val="en-AU"/>
    </w:rPr>
  </w:style>
  <w:style w:type="paragraph" w:styleId="BlockText">
    <w:name w:val="Block Text"/>
    <w:basedOn w:val="Normal"/>
    <w:rsid w:val="006042E0"/>
    <w:pPr>
      <w:keepLines/>
      <w:pBdr>
        <w:top w:val="single" w:sz="12" w:space="0" w:color="auto"/>
        <w:left w:val="single" w:sz="12" w:space="0" w:color="auto"/>
        <w:bottom w:val="single" w:sz="12" w:space="0" w:color="auto"/>
        <w:right w:val="single" w:sz="12" w:space="0" w:color="auto"/>
        <w:between w:val="single" w:sz="12" w:space="0" w:color="auto"/>
      </w:pBdr>
      <w:autoSpaceDE w:val="0"/>
      <w:autoSpaceDN w:val="0"/>
      <w:ind w:left="720" w:right="720"/>
      <w:jc w:val="both"/>
    </w:pPr>
    <w:rPr>
      <w:i/>
      <w:sz w:val="20"/>
      <w:u w:val="single"/>
      <w:lang w:val="en-AU"/>
    </w:rPr>
  </w:style>
  <w:style w:type="paragraph" w:customStyle="1" w:styleId="TOOCSclassification">
    <w:name w:val="TOOCS classification"/>
    <w:basedOn w:val="TOOCSnormal"/>
    <w:autoRedefine/>
    <w:rsid w:val="006042E0"/>
    <w:pPr>
      <w:tabs>
        <w:tab w:val="left" w:pos="425"/>
      </w:tabs>
      <w:spacing w:line="240" w:lineRule="auto"/>
      <w:ind w:left="425" w:right="-568" w:hanging="425"/>
    </w:pPr>
  </w:style>
  <w:style w:type="paragraph" w:customStyle="1" w:styleId="TOOCSnotes2">
    <w:name w:val="TOOCS notes 2"/>
    <w:basedOn w:val="TOOCSclassification"/>
    <w:next w:val="TOOCSclassification"/>
    <w:autoRedefine/>
    <w:rsid w:val="006042E0"/>
    <w:pPr>
      <w:ind w:left="0" w:firstLine="0"/>
    </w:pPr>
  </w:style>
  <w:style w:type="paragraph" w:customStyle="1" w:styleId="Toocstable">
    <w:name w:val="Toocs table"/>
    <w:basedOn w:val="TOOCSnormal"/>
    <w:autoRedefine/>
    <w:rsid w:val="006042E0"/>
    <w:pPr>
      <w:tabs>
        <w:tab w:val="left" w:pos="142"/>
      </w:tabs>
      <w:ind w:left="142" w:hanging="142"/>
    </w:pPr>
    <w:rPr>
      <w:sz w:val="16"/>
    </w:rPr>
  </w:style>
  <w:style w:type="paragraph" w:styleId="Subtitle">
    <w:name w:val="Subtitle"/>
    <w:basedOn w:val="Normal"/>
    <w:qFormat/>
    <w:rsid w:val="006042E0"/>
    <w:pPr>
      <w:autoSpaceDE w:val="0"/>
      <w:autoSpaceDN w:val="0"/>
      <w:jc w:val="center"/>
    </w:pPr>
    <w:rPr>
      <w:rFonts w:ascii="AvantGarde Md BT" w:hAnsi="AvantGarde Md BT"/>
      <w:b/>
      <w:sz w:val="20"/>
      <w:lang w:val="en-AU"/>
    </w:rPr>
  </w:style>
  <w:style w:type="paragraph" w:styleId="DocumentMap">
    <w:name w:val="Document Map"/>
    <w:basedOn w:val="Normal"/>
    <w:semiHidden/>
    <w:rsid w:val="006042E0"/>
    <w:pPr>
      <w:shd w:val="clear" w:color="auto" w:fill="000080"/>
      <w:autoSpaceDE w:val="0"/>
      <w:autoSpaceDN w:val="0"/>
    </w:pPr>
    <w:rPr>
      <w:rFonts w:ascii="Tahoma" w:hAnsi="Tahoma"/>
      <w:sz w:val="20"/>
      <w:lang w:val="en-AU"/>
    </w:rPr>
  </w:style>
  <w:style w:type="character" w:styleId="Emphasis">
    <w:name w:val="Emphasis"/>
    <w:basedOn w:val="DefaultParagraphFont"/>
    <w:qFormat/>
    <w:rsid w:val="006042E0"/>
    <w:rPr>
      <w:i/>
    </w:rPr>
  </w:style>
  <w:style w:type="paragraph" w:customStyle="1" w:styleId="xl24">
    <w:name w:val="xl24"/>
    <w:basedOn w:val="Normal"/>
    <w:rsid w:val="006042E0"/>
    <w:pPr>
      <w:spacing w:before="100" w:beforeAutospacing="1" w:after="100" w:afterAutospacing="1"/>
    </w:pPr>
    <w:rPr>
      <w:rFonts w:ascii="Arial" w:eastAsia="Arial Unicode MS" w:hAnsi="Arial"/>
      <w:sz w:val="16"/>
    </w:rPr>
  </w:style>
  <w:style w:type="paragraph" w:customStyle="1" w:styleId="xl25">
    <w:name w:val="xl25"/>
    <w:basedOn w:val="Normal"/>
    <w:rsid w:val="006042E0"/>
    <w:pPr>
      <w:spacing w:before="100" w:beforeAutospacing="1" w:after="100" w:afterAutospacing="1"/>
      <w:jc w:val="right"/>
    </w:pPr>
    <w:rPr>
      <w:rFonts w:ascii="Arial" w:eastAsia="Arial Unicode MS" w:hAnsi="Arial"/>
      <w:sz w:val="16"/>
    </w:rPr>
  </w:style>
  <w:style w:type="paragraph" w:styleId="PlainText">
    <w:name w:val="Plain Text"/>
    <w:basedOn w:val="Normal"/>
    <w:rsid w:val="006042E0"/>
    <w:rPr>
      <w:rFonts w:ascii="Courier New" w:hAnsi="Courier New"/>
      <w:sz w:val="20"/>
    </w:rPr>
  </w:style>
  <w:style w:type="paragraph" w:styleId="TableofFigures">
    <w:name w:val="table of figures"/>
    <w:basedOn w:val="TOC1"/>
    <w:next w:val="Normal"/>
    <w:uiPriority w:val="99"/>
    <w:rsid w:val="006042E0"/>
    <w:pPr>
      <w:tabs>
        <w:tab w:val="clear" w:pos="8789"/>
        <w:tab w:val="left" w:pos="1134"/>
        <w:tab w:val="right" w:pos="8505"/>
      </w:tabs>
      <w:ind w:left="1134" w:hanging="1134"/>
    </w:pPr>
    <w:rPr>
      <w:b w:val="0"/>
    </w:rPr>
  </w:style>
  <w:style w:type="paragraph" w:customStyle="1" w:styleId="xl35">
    <w:name w:val="xl35"/>
    <w:basedOn w:val="Normal"/>
    <w:rsid w:val="006042E0"/>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b/>
      <w:sz w:val="16"/>
    </w:rPr>
  </w:style>
  <w:style w:type="paragraph" w:customStyle="1" w:styleId="xl26">
    <w:name w:val="xl26"/>
    <w:basedOn w:val="Normal"/>
    <w:rsid w:val="006042E0"/>
    <w:pPr>
      <w:spacing w:before="100" w:beforeAutospacing="1" w:after="100" w:afterAutospacing="1"/>
      <w:jc w:val="right"/>
    </w:pPr>
    <w:rPr>
      <w:rFonts w:ascii="Arial" w:eastAsia="Arial Unicode MS" w:hAnsi="Arial"/>
      <w:sz w:val="16"/>
    </w:rPr>
  </w:style>
  <w:style w:type="paragraph" w:customStyle="1" w:styleId="xl30">
    <w:name w:val="xl30"/>
    <w:basedOn w:val="Normal"/>
    <w:rsid w:val="006042E0"/>
    <w:pPr>
      <w:pBdr>
        <w:left w:val="single" w:sz="4" w:space="24" w:color="auto"/>
        <w:right w:val="single" w:sz="4" w:space="0" w:color="auto"/>
      </w:pBdr>
      <w:spacing w:before="100" w:beforeAutospacing="1" w:after="100" w:afterAutospacing="1"/>
      <w:ind w:firstLineChars="200" w:firstLine="200"/>
    </w:pPr>
    <w:rPr>
      <w:rFonts w:ascii="Arial" w:eastAsia="Arial Unicode MS" w:hAnsi="Arial"/>
      <w:i/>
      <w:sz w:val="16"/>
    </w:rPr>
  </w:style>
  <w:style w:type="paragraph" w:styleId="NormalWeb">
    <w:name w:val="Normal (Web)"/>
    <w:basedOn w:val="Normal"/>
    <w:rsid w:val="006042E0"/>
    <w:pPr>
      <w:spacing w:before="100" w:beforeAutospacing="1" w:after="100" w:afterAutospacing="1"/>
    </w:pPr>
    <w:rPr>
      <w:rFonts w:ascii="Verdana" w:eastAsia="Arial Unicode MS" w:hAnsi="Verdana"/>
      <w:lang w:val="en-AU"/>
    </w:rPr>
  </w:style>
  <w:style w:type="paragraph" w:styleId="BalloonText">
    <w:name w:val="Balloon Text"/>
    <w:basedOn w:val="Normal"/>
    <w:semiHidden/>
    <w:rsid w:val="006042E0"/>
    <w:rPr>
      <w:rFonts w:ascii="Tahoma" w:hAnsi="Tahoma"/>
      <w:sz w:val="16"/>
      <w:lang w:val="en-AU"/>
    </w:rPr>
  </w:style>
  <w:style w:type="paragraph" w:customStyle="1" w:styleId="StylePHD-chapterheadingArialLeftAfter6ptLinespaci">
    <w:name w:val="Style PHD - chapter heading + Arial Left After:  6 pt Line spaci..."/>
    <w:basedOn w:val="PHD-chapterheading"/>
    <w:autoRedefine/>
    <w:rsid w:val="006042E0"/>
    <w:pPr>
      <w:spacing w:before="240" w:after="360" w:line="240" w:lineRule="auto"/>
      <w:jc w:val="left"/>
    </w:pPr>
    <w:rPr>
      <w:sz w:val="20"/>
      <w:lang w:val="en-AU"/>
    </w:rPr>
  </w:style>
  <w:style w:type="paragraph" w:customStyle="1" w:styleId="H4">
    <w:name w:val="H4"/>
    <w:basedOn w:val="Normal"/>
    <w:next w:val="Normal"/>
    <w:rsid w:val="006042E0"/>
    <w:pPr>
      <w:keepNext/>
      <w:spacing w:before="100" w:after="100"/>
      <w:outlineLvl w:val="4"/>
    </w:pPr>
    <w:rPr>
      <w:b/>
      <w:snapToGrid w:val="0"/>
      <w:lang w:val="en-AU"/>
    </w:rPr>
  </w:style>
  <w:style w:type="character" w:styleId="CommentReference">
    <w:name w:val="annotation reference"/>
    <w:basedOn w:val="DefaultParagraphFont"/>
    <w:semiHidden/>
    <w:rsid w:val="006042E0"/>
    <w:rPr>
      <w:sz w:val="18"/>
    </w:rPr>
  </w:style>
  <w:style w:type="paragraph" w:styleId="CommentText">
    <w:name w:val="annotation text"/>
    <w:basedOn w:val="Normal"/>
    <w:link w:val="CommentTextChar"/>
    <w:semiHidden/>
    <w:rsid w:val="006042E0"/>
  </w:style>
  <w:style w:type="paragraph" w:customStyle="1" w:styleId="Nonumbers">
    <w:name w:val="No numbers"/>
    <w:basedOn w:val="Normal"/>
    <w:rsid w:val="006042E0"/>
    <w:pPr>
      <w:spacing w:before="120" w:after="120"/>
    </w:pPr>
    <w:rPr>
      <w:rFonts w:ascii="Arial" w:hAnsi="Arial"/>
      <w:szCs w:val="24"/>
      <w:lang w:val="en-AU"/>
    </w:rPr>
  </w:style>
  <w:style w:type="paragraph" w:customStyle="1" w:styleId="PhD-level3heading">
    <w:name w:val="PhD - level 3 heading"/>
    <w:basedOn w:val="Normal"/>
    <w:next w:val="Normal"/>
    <w:rsid w:val="006042E0"/>
    <w:pPr>
      <w:spacing w:before="240" w:after="120"/>
      <w:ind w:left="720" w:hanging="720"/>
    </w:pPr>
    <w:rPr>
      <w:rFonts w:ascii="Verdana" w:hAnsi="Verdana"/>
      <w:b/>
      <w:sz w:val="20"/>
      <w:lang w:val="en-GB"/>
    </w:rPr>
  </w:style>
  <w:style w:type="paragraph" w:customStyle="1" w:styleId="TableFigText">
    <w:name w:val="Table/Fig: Text"/>
    <w:rsid w:val="006042E0"/>
    <w:pPr>
      <w:keepLines/>
      <w:tabs>
        <w:tab w:val="left" w:pos="425"/>
        <w:tab w:val="left" w:pos="851"/>
      </w:tabs>
      <w:spacing w:before="60" w:after="60" w:line="200" w:lineRule="atLeast"/>
    </w:pPr>
    <w:rPr>
      <w:rFonts w:ascii="Arial" w:hAnsi="Arial"/>
      <w:sz w:val="16"/>
      <w:lang w:eastAsia="en-US"/>
    </w:rPr>
  </w:style>
  <w:style w:type="character" w:customStyle="1" w:styleId="BodyTextChar">
    <w:name w:val="Body Text Char"/>
    <w:aliases w:val="ExecBody Text Char"/>
    <w:basedOn w:val="DefaultParagraphFont"/>
    <w:rsid w:val="006042E0"/>
    <w:rPr>
      <w:rFonts w:ascii="Verdana" w:hAnsi="Verdana"/>
      <w:noProof w:val="0"/>
      <w:lang w:val="en-US" w:eastAsia="en-US" w:bidi="ar-SA"/>
    </w:rPr>
  </w:style>
  <w:style w:type="character" w:customStyle="1" w:styleId="PHD-normaltextChar">
    <w:name w:val="PHD - normal text Char"/>
    <w:basedOn w:val="BodyTextChar"/>
    <w:rsid w:val="006042E0"/>
    <w:rPr>
      <w:rFonts w:ascii="Verdana" w:hAnsi="Verdana"/>
      <w:noProof w:val="0"/>
      <w:lang w:val="en-GB" w:eastAsia="en-US" w:bidi="ar-SA"/>
    </w:rPr>
  </w:style>
  <w:style w:type="paragraph" w:customStyle="1" w:styleId="PhD-figureheading">
    <w:name w:val="PhD - figure heading"/>
    <w:basedOn w:val="PhD-tableheading"/>
    <w:rsid w:val="006042E0"/>
  </w:style>
  <w:style w:type="paragraph" w:customStyle="1" w:styleId="TableFigHeadingtotal">
    <w:name w:val="Table/Fig: Heading &amp; total"/>
    <w:basedOn w:val="TableFigText"/>
    <w:rsid w:val="006042E0"/>
    <w:rPr>
      <w:b/>
    </w:rPr>
  </w:style>
  <w:style w:type="paragraph" w:customStyle="1" w:styleId="TableCaption">
    <w:name w:val="Table: Caption"/>
    <w:basedOn w:val="Normal"/>
    <w:next w:val="Normal"/>
    <w:rsid w:val="006042E0"/>
    <w:pPr>
      <w:keepNext/>
      <w:keepLines/>
      <w:spacing w:before="240" w:after="120"/>
    </w:pPr>
    <w:rPr>
      <w:rFonts w:ascii="Book Antiqua" w:hAnsi="Book Antiqua"/>
      <w:b/>
      <w:sz w:val="20"/>
      <w:lang w:val="en-AU"/>
    </w:rPr>
  </w:style>
  <w:style w:type="table" w:styleId="TableClassic1">
    <w:name w:val="Table Classic 1"/>
    <w:basedOn w:val="TableNormal"/>
    <w:rsid w:val="00D127AF"/>
    <w:pPr>
      <w:spacing w:before="40" w:after="40" w:line="260" w:lineRule="atLeast"/>
    </w:pPr>
    <w:rPr>
      <w:rFonts w:ascii="New York" w:hAnsi="New Yor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562DB"/>
    <w:pPr>
      <w:spacing w:before="40" w:after="40" w:line="260" w:lineRule="atLeast"/>
    </w:pPr>
    <w:rPr>
      <w:rFonts w:ascii="New York" w:hAnsi="New Yor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PhD-level2headingChar">
    <w:name w:val="PhD - level 2 heading Char"/>
    <w:basedOn w:val="DefaultParagraphFont"/>
    <w:link w:val="PhD-level2heading"/>
    <w:rsid w:val="00B22BE9"/>
    <w:rPr>
      <w:rFonts w:ascii="Verdana" w:hAnsi="Verdana"/>
      <w:b/>
      <w:smallCaps/>
      <w:lang w:val="en-US" w:eastAsia="en-US"/>
    </w:rPr>
  </w:style>
  <w:style w:type="table" w:styleId="TableGrid">
    <w:name w:val="Table Grid"/>
    <w:basedOn w:val="TableNormal"/>
    <w:uiPriority w:val="59"/>
    <w:rsid w:val="00C56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DleveloneheadingChar">
    <w:name w:val="PhD level one heading Char"/>
    <w:basedOn w:val="DefaultParagraphFont"/>
    <w:link w:val="PhDleveloneheading"/>
    <w:rsid w:val="00C716EE"/>
    <w:rPr>
      <w:rFonts w:ascii="Verdana" w:hAnsi="Verdana"/>
      <w:b/>
      <w:smallCaps/>
      <w:sz w:val="24"/>
      <w:lang w:val="en-US" w:eastAsia="en-US" w:bidi="ar-SA"/>
    </w:rPr>
  </w:style>
  <w:style w:type="paragraph" w:customStyle="1" w:styleId="EndNoteBibliographyTitle">
    <w:name w:val="EndNote Bibliography Title"/>
    <w:basedOn w:val="Normal"/>
    <w:link w:val="EndNoteBibliographyTitleChar"/>
    <w:rsid w:val="006A6765"/>
    <w:pPr>
      <w:jc w:val="center"/>
    </w:pPr>
    <w:rPr>
      <w:noProof/>
    </w:rPr>
  </w:style>
  <w:style w:type="character" w:customStyle="1" w:styleId="EndNoteBibliographyTitleChar">
    <w:name w:val="EndNote Bibliography Title Char"/>
    <w:basedOn w:val="DefaultParagraphFont"/>
    <w:link w:val="EndNoteBibliographyTitle"/>
    <w:rsid w:val="006A6765"/>
    <w:rPr>
      <w:noProof/>
      <w:sz w:val="24"/>
      <w:lang w:val="en-US" w:eastAsia="en-US"/>
    </w:rPr>
  </w:style>
  <w:style w:type="paragraph" w:customStyle="1" w:styleId="EndNoteBibliography">
    <w:name w:val="EndNote Bibliography"/>
    <w:basedOn w:val="Normal"/>
    <w:link w:val="EndNoteBibliographyChar"/>
    <w:rsid w:val="006A6765"/>
    <w:rPr>
      <w:noProof/>
    </w:rPr>
  </w:style>
  <w:style w:type="character" w:customStyle="1" w:styleId="EndNoteBibliographyChar">
    <w:name w:val="EndNote Bibliography Char"/>
    <w:basedOn w:val="DefaultParagraphFont"/>
    <w:link w:val="EndNoteBibliography"/>
    <w:rsid w:val="006A6765"/>
    <w:rPr>
      <w:noProof/>
      <w:sz w:val="24"/>
      <w:lang w:val="en-US" w:eastAsia="en-US"/>
    </w:rPr>
  </w:style>
  <w:style w:type="paragraph" w:styleId="CommentSubject">
    <w:name w:val="annotation subject"/>
    <w:basedOn w:val="CommentText"/>
    <w:next w:val="CommentText"/>
    <w:link w:val="CommentSubjectChar"/>
    <w:semiHidden/>
    <w:unhideWhenUsed/>
    <w:rsid w:val="005F2BF3"/>
    <w:rPr>
      <w:b/>
      <w:bCs/>
      <w:sz w:val="20"/>
    </w:rPr>
  </w:style>
  <w:style w:type="character" w:customStyle="1" w:styleId="CommentTextChar">
    <w:name w:val="Comment Text Char"/>
    <w:basedOn w:val="DefaultParagraphFont"/>
    <w:link w:val="CommentText"/>
    <w:semiHidden/>
    <w:rsid w:val="005F2BF3"/>
    <w:rPr>
      <w:sz w:val="24"/>
      <w:lang w:val="en-US" w:eastAsia="en-US"/>
    </w:rPr>
  </w:style>
  <w:style w:type="character" w:customStyle="1" w:styleId="CommentSubjectChar">
    <w:name w:val="Comment Subject Char"/>
    <w:basedOn w:val="CommentTextChar"/>
    <w:link w:val="CommentSubject"/>
    <w:semiHidden/>
    <w:rsid w:val="005F2BF3"/>
    <w:rPr>
      <w:b/>
      <w:bCs/>
      <w:sz w:val="24"/>
      <w:lang w:val="en-US" w:eastAsia="en-US"/>
    </w:rPr>
  </w:style>
  <w:style w:type="table" w:styleId="ListTable2">
    <w:name w:val="List Table 2"/>
    <w:basedOn w:val="TableNormal"/>
    <w:uiPriority w:val="47"/>
    <w:rsid w:val="00D11278"/>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otnoteTextChar">
    <w:name w:val="Footnote Text Char"/>
    <w:basedOn w:val="DefaultParagraphFont"/>
    <w:link w:val="FootnoteText"/>
    <w:uiPriority w:val="99"/>
    <w:semiHidden/>
    <w:rsid w:val="00D11278"/>
    <w:rPr>
      <w:lang w:eastAsia="en-US"/>
    </w:rPr>
  </w:style>
  <w:style w:type="character" w:customStyle="1" w:styleId="FooterChar">
    <w:name w:val="Footer Char"/>
    <w:basedOn w:val="DefaultParagraphFont"/>
    <w:link w:val="Footer"/>
    <w:uiPriority w:val="99"/>
    <w:rsid w:val="00D11278"/>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health.gov.au/internet/main/publishing.nsf/Content/A68444CDED77B3A9CA257BF0001CFD80/$File/Hep-C-Strategy2014-v3.pdf" TargetMode="External"/><Relationship Id="rId3" Type="http://schemas.openxmlformats.org/officeDocument/2006/relationships/customXml" Target="../customXml/item3.xml"/><Relationship Id="rId21" Type="http://schemas.openxmlformats.org/officeDocument/2006/relationships/hyperlink" Target="http://www.safeworkaustralia.gov.au/sites/SWA/about/Publications/Documents/931/deemed-diseases.pdf"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parkinsons.org.au/Documents/Living%20with%20Parkinsons%2027082015%20FINAL.pdf"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healthdata.org/data-visualization/gbd-compare"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www.aihw.gov.au/acim-boo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aihw.gov.au/WorkArea/DownloadAsset.aspx?id=60129555176" TargetMode="External"/><Relationship Id="rId27" Type="http://schemas.openxmlformats.org/officeDocument/2006/relationships/hyperlink" Target="http://www.biomedcentral.com/1471-2466/1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B084F-503C-4D92-833B-DD38D0B07536}"/>
</file>

<file path=customXml/itemProps2.xml><?xml version="1.0" encoding="utf-8"?>
<ds:datastoreItem xmlns:ds="http://schemas.openxmlformats.org/officeDocument/2006/customXml" ds:itemID="{D383EF58-62CD-48AD-B94C-23F928A0A748}"/>
</file>

<file path=customXml/itemProps3.xml><?xml version="1.0" encoding="utf-8"?>
<ds:datastoreItem xmlns:ds="http://schemas.openxmlformats.org/officeDocument/2006/customXml" ds:itemID="{6E0C68EF-B8A6-4E1D-9AC9-CC416A6D485F}"/>
</file>

<file path=customXml/itemProps4.xml><?xml version="1.0" encoding="utf-8"?>
<ds:datastoreItem xmlns:ds="http://schemas.openxmlformats.org/officeDocument/2006/customXml" ds:itemID="{26461835-0E28-4F38-9419-2BCBF1B7FBBA}"/>
</file>

<file path=docProps/app.xml><?xml version="1.0" encoding="utf-8"?>
<Properties xmlns="http://schemas.openxmlformats.org/officeDocument/2006/extended-properties" xmlns:vt="http://schemas.openxmlformats.org/officeDocument/2006/docPropsVTypes">
  <Template>2CDFCB08.dotm</Template>
  <TotalTime>38</TotalTime>
  <Pages>28</Pages>
  <Words>14286</Words>
  <Characters>81433</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Deemed Diseases approach - information to support the update of the Comcare Scheme's current deemed diseases legislative instrument — Final report</vt:lpstr>
    </vt:vector>
  </TitlesOfParts>
  <Company>University of Sydney</Company>
  <LinksUpToDate>false</LinksUpToDate>
  <CharactersWithSpaces>95528</CharactersWithSpaces>
  <SharedDoc>false</SharedDoc>
  <HLinks>
    <vt:vector size="336" baseType="variant">
      <vt:variant>
        <vt:i4>1835067</vt:i4>
      </vt:variant>
      <vt:variant>
        <vt:i4>323</vt:i4>
      </vt:variant>
      <vt:variant>
        <vt:i4>0</vt:i4>
      </vt:variant>
      <vt:variant>
        <vt:i4>5</vt:i4>
      </vt:variant>
      <vt:variant>
        <vt:lpwstr/>
      </vt:variant>
      <vt:variant>
        <vt:lpwstr>_Toc286590663</vt:lpwstr>
      </vt:variant>
      <vt:variant>
        <vt:i4>1835067</vt:i4>
      </vt:variant>
      <vt:variant>
        <vt:i4>317</vt:i4>
      </vt:variant>
      <vt:variant>
        <vt:i4>0</vt:i4>
      </vt:variant>
      <vt:variant>
        <vt:i4>5</vt:i4>
      </vt:variant>
      <vt:variant>
        <vt:lpwstr/>
      </vt:variant>
      <vt:variant>
        <vt:lpwstr>_Toc286590662</vt:lpwstr>
      </vt:variant>
      <vt:variant>
        <vt:i4>1835067</vt:i4>
      </vt:variant>
      <vt:variant>
        <vt:i4>311</vt:i4>
      </vt:variant>
      <vt:variant>
        <vt:i4>0</vt:i4>
      </vt:variant>
      <vt:variant>
        <vt:i4>5</vt:i4>
      </vt:variant>
      <vt:variant>
        <vt:lpwstr/>
      </vt:variant>
      <vt:variant>
        <vt:lpwstr>_Toc286590661</vt:lpwstr>
      </vt:variant>
      <vt:variant>
        <vt:i4>1835067</vt:i4>
      </vt:variant>
      <vt:variant>
        <vt:i4>305</vt:i4>
      </vt:variant>
      <vt:variant>
        <vt:i4>0</vt:i4>
      </vt:variant>
      <vt:variant>
        <vt:i4>5</vt:i4>
      </vt:variant>
      <vt:variant>
        <vt:lpwstr/>
      </vt:variant>
      <vt:variant>
        <vt:lpwstr>_Toc286590660</vt:lpwstr>
      </vt:variant>
      <vt:variant>
        <vt:i4>2031675</vt:i4>
      </vt:variant>
      <vt:variant>
        <vt:i4>299</vt:i4>
      </vt:variant>
      <vt:variant>
        <vt:i4>0</vt:i4>
      </vt:variant>
      <vt:variant>
        <vt:i4>5</vt:i4>
      </vt:variant>
      <vt:variant>
        <vt:lpwstr/>
      </vt:variant>
      <vt:variant>
        <vt:lpwstr>_Toc286590659</vt:lpwstr>
      </vt:variant>
      <vt:variant>
        <vt:i4>2031675</vt:i4>
      </vt:variant>
      <vt:variant>
        <vt:i4>293</vt:i4>
      </vt:variant>
      <vt:variant>
        <vt:i4>0</vt:i4>
      </vt:variant>
      <vt:variant>
        <vt:i4>5</vt:i4>
      </vt:variant>
      <vt:variant>
        <vt:lpwstr/>
      </vt:variant>
      <vt:variant>
        <vt:lpwstr>_Toc286590658</vt:lpwstr>
      </vt:variant>
      <vt:variant>
        <vt:i4>1835064</vt:i4>
      </vt:variant>
      <vt:variant>
        <vt:i4>284</vt:i4>
      </vt:variant>
      <vt:variant>
        <vt:i4>0</vt:i4>
      </vt:variant>
      <vt:variant>
        <vt:i4>5</vt:i4>
      </vt:variant>
      <vt:variant>
        <vt:lpwstr/>
      </vt:variant>
      <vt:variant>
        <vt:lpwstr>_Toc287442955</vt:lpwstr>
      </vt:variant>
      <vt:variant>
        <vt:i4>1835064</vt:i4>
      </vt:variant>
      <vt:variant>
        <vt:i4>278</vt:i4>
      </vt:variant>
      <vt:variant>
        <vt:i4>0</vt:i4>
      </vt:variant>
      <vt:variant>
        <vt:i4>5</vt:i4>
      </vt:variant>
      <vt:variant>
        <vt:lpwstr/>
      </vt:variant>
      <vt:variant>
        <vt:lpwstr>_Toc287442954</vt:lpwstr>
      </vt:variant>
      <vt:variant>
        <vt:i4>1835064</vt:i4>
      </vt:variant>
      <vt:variant>
        <vt:i4>272</vt:i4>
      </vt:variant>
      <vt:variant>
        <vt:i4>0</vt:i4>
      </vt:variant>
      <vt:variant>
        <vt:i4>5</vt:i4>
      </vt:variant>
      <vt:variant>
        <vt:lpwstr/>
      </vt:variant>
      <vt:variant>
        <vt:lpwstr>_Toc287442953</vt:lpwstr>
      </vt:variant>
      <vt:variant>
        <vt:i4>1835064</vt:i4>
      </vt:variant>
      <vt:variant>
        <vt:i4>266</vt:i4>
      </vt:variant>
      <vt:variant>
        <vt:i4>0</vt:i4>
      </vt:variant>
      <vt:variant>
        <vt:i4>5</vt:i4>
      </vt:variant>
      <vt:variant>
        <vt:lpwstr/>
      </vt:variant>
      <vt:variant>
        <vt:lpwstr>_Toc287442952</vt:lpwstr>
      </vt:variant>
      <vt:variant>
        <vt:i4>1835064</vt:i4>
      </vt:variant>
      <vt:variant>
        <vt:i4>260</vt:i4>
      </vt:variant>
      <vt:variant>
        <vt:i4>0</vt:i4>
      </vt:variant>
      <vt:variant>
        <vt:i4>5</vt:i4>
      </vt:variant>
      <vt:variant>
        <vt:lpwstr/>
      </vt:variant>
      <vt:variant>
        <vt:lpwstr>_Toc287442951</vt:lpwstr>
      </vt:variant>
      <vt:variant>
        <vt:i4>1835064</vt:i4>
      </vt:variant>
      <vt:variant>
        <vt:i4>254</vt:i4>
      </vt:variant>
      <vt:variant>
        <vt:i4>0</vt:i4>
      </vt:variant>
      <vt:variant>
        <vt:i4>5</vt:i4>
      </vt:variant>
      <vt:variant>
        <vt:lpwstr/>
      </vt:variant>
      <vt:variant>
        <vt:lpwstr>_Toc287442950</vt:lpwstr>
      </vt:variant>
      <vt:variant>
        <vt:i4>1900600</vt:i4>
      </vt:variant>
      <vt:variant>
        <vt:i4>248</vt:i4>
      </vt:variant>
      <vt:variant>
        <vt:i4>0</vt:i4>
      </vt:variant>
      <vt:variant>
        <vt:i4>5</vt:i4>
      </vt:variant>
      <vt:variant>
        <vt:lpwstr/>
      </vt:variant>
      <vt:variant>
        <vt:lpwstr>_Toc287442949</vt:lpwstr>
      </vt:variant>
      <vt:variant>
        <vt:i4>1900600</vt:i4>
      </vt:variant>
      <vt:variant>
        <vt:i4>242</vt:i4>
      </vt:variant>
      <vt:variant>
        <vt:i4>0</vt:i4>
      </vt:variant>
      <vt:variant>
        <vt:i4>5</vt:i4>
      </vt:variant>
      <vt:variant>
        <vt:lpwstr/>
      </vt:variant>
      <vt:variant>
        <vt:lpwstr>_Toc287442948</vt:lpwstr>
      </vt:variant>
      <vt:variant>
        <vt:i4>1900600</vt:i4>
      </vt:variant>
      <vt:variant>
        <vt:i4>236</vt:i4>
      </vt:variant>
      <vt:variant>
        <vt:i4>0</vt:i4>
      </vt:variant>
      <vt:variant>
        <vt:i4>5</vt:i4>
      </vt:variant>
      <vt:variant>
        <vt:lpwstr/>
      </vt:variant>
      <vt:variant>
        <vt:lpwstr>_Toc287442947</vt:lpwstr>
      </vt:variant>
      <vt:variant>
        <vt:i4>1900600</vt:i4>
      </vt:variant>
      <vt:variant>
        <vt:i4>230</vt:i4>
      </vt:variant>
      <vt:variant>
        <vt:i4>0</vt:i4>
      </vt:variant>
      <vt:variant>
        <vt:i4>5</vt:i4>
      </vt:variant>
      <vt:variant>
        <vt:lpwstr/>
      </vt:variant>
      <vt:variant>
        <vt:lpwstr>_Toc287442946</vt:lpwstr>
      </vt:variant>
      <vt:variant>
        <vt:i4>1900600</vt:i4>
      </vt:variant>
      <vt:variant>
        <vt:i4>224</vt:i4>
      </vt:variant>
      <vt:variant>
        <vt:i4>0</vt:i4>
      </vt:variant>
      <vt:variant>
        <vt:i4>5</vt:i4>
      </vt:variant>
      <vt:variant>
        <vt:lpwstr/>
      </vt:variant>
      <vt:variant>
        <vt:lpwstr>_Toc287442945</vt:lpwstr>
      </vt:variant>
      <vt:variant>
        <vt:i4>1900600</vt:i4>
      </vt:variant>
      <vt:variant>
        <vt:i4>218</vt:i4>
      </vt:variant>
      <vt:variant>
        <vt:i4>0</vt:i4>
      </vt:variant>
      <vt:variant>
        <vt:i4>5</vt:i4>
      </vt:variant>
      <vt:variant>
        <vt:lpwstr/>
      </vt:variant>
      <vt:variant>
        <vt:lpwstr>_Toc287442944</vt:lpwstr>
      </vt:variant>
      <vt:variant>
        <vt:i4>1900600</vt:i4>
      </vt:variant>
      <vt:variant>
        <vt:i4>212</vt:i4>
      </vt:variant>
      <vt:variant>
        <vt:i4>0</vt:i4>
      </vt:variant>
      <vt:variant>
        <vt:i4>5</vt:i4>
      </vt:variant>
      <vt:variant>
        <vt:lpwstr/>
      </vt:variant>
      <vt:variant>
        <vt:lpwstr>_Toc287442943</vt:lpwstr>
      </vt:variant>
      <vt:variant>
        <vt:i4>1900600</vt:i4>
      </vt:variant>
      <vt:variant>
        <vt:i4>206</vt:i4>
      </vt:variant>
      <vt:variant>
        <vt:i4>0</vt:i4>
      </vt:variant>
      <vt:variant>
        <vt:i4>5</vt:i4>
      </vt:variant>
      <vt:variant>
        <vt:lpwstr/>
      </vt:variant>
      <vt:variant>
        <vt:lpwstr>_Toc287442942</vt:lpwstr>
      </vt:variant>
      <vt:variant>
        <vt:i4>1900600</vt:i4>
      </vt:variant>
      <vt:variant>
        <vt:i4>200</vt:i4>
      </vt:variant>
      <vt:variant>
        <vt:i4>0</vt:i4>
      </vt:variant>
      <vt:variant>
        <vt:i4>5</vt:i4>
      </vt:variant>
      <vt:variant>
        <vt:lpwstr/>
      </vt:variant>
      <vt:variant>
        <vt:lpwstr>_Toc287442941</vt:lpwstr>
      </vt:variant>
      <vt:variant>
        <vt:i4>1900600</vt:i4>
      </vt:variant>
      <vt:variant>
        <vt:i4>194</vt:i4>
      </vt:variant>
      <vt:variant>
        <vt:i4>0</vt:i4>
      </vt:variant>
      <vt:variant>
        <vt:i4>5</vt:i4>
      </vt:variant>
      <vt:variant>
        <vt:lpwstr/>
      </vt:variant>
      <vt:variant>
        <vt:lpwstr>_Toc287442940</vt:lpwstr>
      </vt:variant>
      <vt:variant>
        <vt:i4>1703992</vt:i4>
      </vt:variant>
      <vt:variant>
        <vt:i4>188</vt:i4>
      </vt:variant>
      <vt:variant>
        <vt:i4>0</vt:i4>
      </vt:variant>
      <vt:variant>
        <vt:i4>5</vt:i4>
      </vt:variant>
      <vt:variant>
        <vt:lpwstr/>
      </vt:variant>
      <vt:variant>
        <vt:lpwstr>_Toc287442939</vt:lpwstr>
      </vt:variant>
      <vt:variant>
        <vt:i4>1703992</vt:i4>
      </vt:variant>
      <vt:variant>
        <vt:i4>182</vt:i4>
      </vt:variant>
      <vt:variant>
        <vt:i4>0</vt:i4>
      </vt:variant>
      <vt:variant>
        <vt:i4>5</vt:i4>
      </vt:variant>
      <vt:variant>
        <vt:lpwstr/>
      </vt:variant>
      <vt:variant>
        <vt:lpwstr>_Toc287442938</vt:lpwstr>
      </vt:variant>
      <vt:variant>
        <vt:i4>1703992</vt:i4>
      </vt:variant>
      <vt:variant>
        <vt:i4>176</vt:i4>
      </vt:variant>
      <vt:variant>
        <vt:i4>0</vt:i4>
      </vt:variant>
      <vt:variant>
        <vt:i4>5</vt:i4>
      </vt:variant>
      <vt:variant>
        <vt:lpwstr/>
      </vt:variant>
      <vt:variant>
        <vt:lpwstr>_Toc287442937</vt:lpwstr>
      </vt:variant>
      <vt:variant>
        <vt:i4>1703992</vt:i4>
      </vt:variant>
      <vt:variant>
        <vt:i4>170</vt:i4>
      </vt:variant>
      <vt:variant>
        <vt:i4>0</vt:i4>
      </vt:variant>
      <vt:variant>
        <vt:i4>5</vt:i4>
      </vt:variant>
      <vt:variant>
        <vt:lpwstr/>
      </vt:variant>
      <vt:variant>
        <vt:lpwstr>_Toc287442936</vt:lpwstr>
      </vt:variant>
      <vt:variant>
        <vt:i4>1703992</vt:i4>
      </vt:variant>
      <vt:variant>
        <vt:i4>164</vt:i4>
      </vt:variant>
      <vt:variant>
        <vt:i4>0</vt:i4>
      </vt:variant>
      <vt:variant>
        <vt:i4>5</vt:i4>
      </vt:variant>
      <vt:variant>
        <vt:lpwstr/>
      </vt:variant>
      <vt:variant>
        <vt:lpwstr>_Toc287442935</vt:lpwstr>
      </vt:variant>
      <vt:variant>
        <vt:i4>1703992</vt:i4>
      </vt:variant>
      <vt:variant>
        <vt:i4>158</vt:i4>
      </vt:variant>
      <vt:variant>
        <vt:i4>0</vt:i4>
      </vt:variant>
      <vt:variant>
        <vt:i4>5</vt:i4>
      </vt:variant>
      <vt:variant>
        <vt:lpwstr/>
      </vt:variant>
      <vt:variant>
        <vt:lpwstr>_Toc287442934</vt:lpwstr>
      </vt:variant>
      <vt:variant>
        <vt:i4>1703992</vt:i4>
      </vt:variant>
      <vt:variant>
        <vt:i4>152</vt:i4>
      </vt:variant>
      <vt:variant>
        <vt:i4>0</vt:i4>
      </vt:variant>
      <vt:variant>
        <vt:i4>5</vt:i4>
      </vt:variant>
      <vt:variant>
        <vt:lpwstr/>
      </vt:variant>
      <vt:variant>
        <vt:lpwstr>_Toc287442933</vt:lpwstr>
      </vt:variant>
      <vt:variant>
        <vt:i4>1703992</vt:i4>
      </vt:variant>
      <vt:variant>
        <vt:i4>146</vt:i4>
      </vt:variant>
      <vt:variant>
        <vt:i4>0</vt:i4>
      </vt:variant>
      <vt:variant>
        <vt:i4>5</vt:i4>
      </vt:variant>
      <vt:variant>
        <vt:lpwstr/>
      </vt:variant>
      <vt:variant>
        <vt:lpwstr>_Toc287442932</vt:lpwstr>
      </vt:variant>
      <vt:variant>
        <vt:i4>1703992</vt:i4>
      </vt:variant>
      <vt:variant>
        <vt:i4>140</vt:i4>
      </vt:variant>
      <vt:variant>
        <vt:i4>0</vt:i4>
      </vt:variant>
      <vt:variant>
        <vt:i4>5</vt:i4>
      </vt:variant>
      <vt:variant>
        <vt:lpwstr/>
      </vt:variant>
      <vt:variant>
        <vt:lpwstr>_Toc287442931</vt:lpwstr>
      </vt:variant>
      <vt:variant>
        <vt:i4>1703992</vt:i4>
      </vt:variant>
      <vt:variant>
        <vt:i4>134</vt:i4>
      </vt:variant>
      <vt:variant>
        <vt:i4>0</vt:i4>
      </vt:variant>
      <vt:variant>
        <vt:i4>5</vt:i4>
      </vt:variant>
      <vt:variant>
        <vt:lpwstr/>
      </vt:variant>
      <vt:variant>
        <vt:lpwstr>_Toc287442930</vt:lpwstr>
      </vt:variant>
      <vt:variant>
        <vt:i4>1769528</vt:i4>
      </vt:variant>
      <vt:variant>
        <vt:i4>128</vt:i4>
      </vt:variant>
      <vt:variant>
        <vt:i4>0</vt:i4>
      </vt:variant>
      <vt:variant>
        <vt:i4>5</vt:i4>
      </vt:variant>
      <vt:variant>
        <vt:lpwstr/>
      </vt:variant>
      <vt:variant>
        <vt:lpwstr>_Toc287442929</vt:lpwstr>
      </vt:variant>
      <vt:variant>
        <vt:i4>1769528</vt:i4>
      </vt:variant>
      <vt:variant>
        <vt:i4>122</vt:i4>
      </vt:variant>
      <vt:variant>
        <vt:i4>0</vt:i4>
      </vt:variant>
      <vt:variant>
        <vt:i4>5</vt:i4>
      </vt:variant>
      <vt:variant>
        <vt:lpwstr/>
      </vt:variant>
      <vt:variant>
        <vt:lpwstr>_Toc287442928</vt:lpwstr>
      </vt:variant>
      <vt:variant>
        <vt:i4>1769528</vt:i4>
      </vt:variant>
      <vt:variant>
        <vt:i4>116</vt:i4>
      </vt:variant>
      <vt:variant>
        <vt:i4>0</vt:i4>
      </vt:variant>
      <vt:variant>
        <vt:i4>5</vt:i4>
      </vt:variant>
      <vt:variant>
        <vt:lpwstr/>
      </vt:variant>
      <vt:variant>
        <vt:lpwstr>_Toc287442927</vt:lpwstr>
      </vt:variant>
      <vt:variant>
        <vt:i4>1769528</vt:i4>
      </vt:variant>
      <vt:variant>
        <vt:i4>110</vt:i4>
      </vt:variant>
      <vt:variant>
        <vt:i4>0</vt:i4>
      </vt:variant>
      <vt:variant>
        <vt:i4>5</vt:i4>
      </vt:variant>
      <vt:variant>
        <vt:lpwstr/>
      </vt:variant>
      <vt:variant>
        <vt:lpwstr>_Toc287442926</vt:lpwstr>
      </vt:variant>
      <vt:variant>
        <vt:i4>1769528</vt:i4>
      </vt:variant>
      <vt:variant>
        <vt:i4>104</vt:i4>
      </vt:variant>
      <vt:variant>
        <vt:i4>0</vt:i4>
      </vt:variant>
      <vt:variant>
        <vt:i4>5</vt:i4>
      </vt:variant>
      <vt:variant>
        <vt:lpwstr/>
      </vt:variant>
      <vt:variant>
        <vt:lpwstr>_Toc287442925</vt:lpwstr>
      </vt:variant>
      <vt:variant>
        <vt:i4>1769528</vt:i4>
      </vt:variant>
      <vt:variant>
        <vt:i4>98</vt:i4>
      </vt:variant>
      <vt:variant>
        <vt:i4>0</vt:i4>
      </vt:variant>
      <vt:variant>
        <vt:i4>5</vt:i4>
      </vt:variant>
      <vt:variant>
        <vt:lpwstr/>
      </vt:variant>
      <vt:variant>
        <vt:lpwstr>_Toc287442924</vt:lpwstr>
      </vt:variant>
      <vt:variant>
        <vt:i4>1769528</vt:i4>
      </vt:variant>
      <vt:variant>
        <vt:i4>92</vt:i4>
      </vt:variant>
      <vt:variant>
        <vt:i4>0</vt:i4>
      </vt:variant>
      <vt:variant>
        <vt:i4>5</vt:i4>
      </vt:variant>
      <vt:variant>
        <vt:lpwstr/>
      </vt:variant>
      <vt:variant>
        <vt:lpwstr>_Toc287442923</vt:lpwstr>
      </vt:variant>
      <vt:variant>
        <vt:i4>1769528</vt:i4>
      </vt:variant>
      <vt:variant>
        <vt:i4>86</vt:i4>
      </vt:variant>
      <vt:variant>
        <vt:i4>0</vt:i4>
      </vt:variant>
      <vt:variant>
        <vt:i4>5</vt:i4>
      </vt:variant>
      <vt:variant>
        <vt:lpwstr/>
      </vt:variant>
      <vt:variant>
        <vt:lpwstr>_Toc287442922</vt:lpwstr>
      </vt:variant>
      <vt:variant>
        <vt:i4>1769528</vt:i4>
      </vt:variant>
      <vt:variant>
        <vt:i4>80</vt:i4>
      </vt:variant>
      <vt:variant>
        <vt:i4>0</vt:i4>
      </vt:variant>
      <vt:variant>
        <vt:i4>5</vt:i4>
      </vt:variant>
      <vt:variant>
        <vt:lpwstr/>
      </vt:variant>
      <vt:variant>
        <vt:lpwstr>_Toc287442921</vt:lpwstr>
      </vt:variant>
      <vt:variant>
        <vt:i4>1769528</vt:i4>
      </vt:variant>
      <vt:variant>
        <vt:i4>74</vt:i4>
      </vt:variant>
      <vt:variant>
        <vt:i4>0</vt:i4>
      </vt:variant>
      <vt:variant>
        <vt:i4>5</vt:i4>
      </vt:variant>
      <vt:variant>
        <vt:lpwstr/>
      </vt:variant>
      <vt:variant>
        <vt:lpwstr>_Toc287442920</vt:lpwstr>
      </vt:variant>
      <vt:variant>
        <vt:i4>1572920</vt:i4>
      </vt:variant>
      <vt:variant>
        <vt:i4>68</vt:i4>
      </vt:variant>
      <vt:variant>
        <vt:i4>0</vt:i4>
      </vt:variant>
      <vt:variant>
        <vt:i4>5</vt:i4>
      </vt:variant>
      <vt:variant>
        <vt:lpwstr/>
      </vt:variant>
      <vt:variant>
        <vt:lpwstr>_Toc287442919</vt:lpwstr>
      </vt:variant>
      <vt:variant>
        <vt:i4>1572920</vt:i4>
      </vt:variant>
      <vt:variant>
        <vt:i4>62</vt:i4>
      </vt:variant>
      <vt:variant>
        <vt:i4>0</vt:i4>
      </vt:variant>
      <vt:variant>
        <vt:i4>5</vt:i4>
      </vt:variant>
      <vt:variant>
        <vt:lpwstr/>
      </vt:variant>
      <vt:variant>
        <vt:lpwstr>_Toc287442918</vt:lpwstr>
      </vt:variant>
      <vt:variant>
        <vt:i4>1572920</vt:i4>
      </vt:variant>
      <vt:variant>
        <vt:i4>56</vt:i4>
      </vt:variant>
      <vt:variant>
        <vt:i4>0</vt:i4>
      </vt:variant>
      <vt:variant>
        <vt:i4>5</vt:i4>
      </vt:variant>
      <vt:variant>
        <vt:lpwstr/>
      </vt:variant>
      <vt:variant>
        <vt:lpwstr>_Toc287442917</vt:lpwstr>
      </vt:variant>
      <vt:variant>
        <vt:i4>1572920</vt:i4>
      </vt:variant>
      <vt:variant>
        <vt:i4>50</vt:i4>
      </vt:variant>
      <vt:variant>
        <vt:i4>0</vt:i4>
      </vt:variant>
      <vt:variant>
        <vt:i4>5</vt:i4>
      </vt:variant>
      <vt:variant>
        <vt:lpwstr/>
      </vt:variant>
      <vt:variant>
        <vt:lpwstr>_Toc287442916</vt:lpwstr>
      </vt:variant>
      <vt:variant>
        <vt:i4>1572920</vt:i4>
      </vt:variant>
      <vt:variant>
        <vt:i4>44</vt:i4>
      </vt:variant>
      <vt:variant>
        <vt:i4>0</vt:i4>
      </vt:variant>
      <vt:variant>
        <vt:i4>5</vt:i4>
      </vt:variant>
      <vt:variant>
        <vt:lpwstr/>
      </vt:variant>
      <vt:variant>
        <vt:lpwstr>_Toc287442915</vt:lpwstr>
      </vt:variant>
      <vt:variant>
        <vt:i4>1572920</vt:i4>
      </vt:variant>
      <vt:variant>
        <vt:i4>38</vt:i4>
      </vt:variant>
      <vt:variant>
        <vt:i4>0</vt:i4>
      </vt:variant>
      <vt:variant>
        <vt:i4>5</vt:i4>
      </vt:variant>
      <vt:variant>
        <vt:lpwstr/>
      </vt:variant>
      <vt:variant>
        <vt:lpwstr>_Toc287442914</vt:lpwstr>
      </vt:variant>
      <vt:variant>
        <vt:i4>1572920</vt:i4>
      </vt:variant>
      <vt:variant>
        <vt:i4>32</vt:i4>
      </vt:variant>
      <vt:variant>
        <vt:i4>0</vt:i4>
      </vt:variant>
      <vt:variant>
        <vt:i4>5</vt:i4>
      </vt:variant>
      <vt:variant>
        <vt:lpwstr/>
      </vt:variant>
      <vt:variant>
        <vt:lpwstr>_Toc287442913</vt:lpwstr>
      </vt:variant>
      <vt:variant>
        <vt:i4>1572920</vt:i4>
      </vt:variant>
      <vt:variant>
        <vt:i4>26</vt:i4>
      </vt:variant>
      <vt:variant>
        <vt:i4>0</vt:i4>
      </vt:variant>
      <vt:variant>
        <vt:i4>5</vt:i4>
      </vt:variant>
      <vt:variant>
        <vt:lpwstr/>
      </vt:variant>
      <vt:variant>
        <vt:lpwstr>_Toc287442912</vt:lpwstr>
      </vt:variant>
      <vt:variant>
        <vt:i4>1572920</vt:i4>
      </vt:variant>
      <vt:variant>
        <vt:i4>20</vt:i4>
      </vt:variant>
      <vt:variant>
        <vt:i4>0</vt:i4>
      </vt:variant>
      <vt:variant>
        <vt:i4>5</vt:i4>
      </vt:variant>
      <vt:variant>
        <vt:lpwstr/>
      </vt:variant>
      <vt:variant>
        <vt:lpwstr>_Toc287442911</vt:lpwstr>
      </vt:variant>
      <vt:variant>
        <vt:i4>1638456</vt:i4>
      </vt:variant>
      <vt:variant>
        <vt:i4>14</vt:i4>
      </vt:variant>
      <vt:variant>
        <vt:i4>0</vt:i4>
      </vt:variant>
      <vt:variant>
        <vt:i4>5</vt:i4>
      </vt:variant>
      <vt:variant>
        <vt:lpwstr/>
      </vt:variant>
      <vt:variant>
        <vt:lpwstr>_Toc287442909</vt:lpwstr>
      </vt:variant>
      <vt:variant>
        <vt:i4>1638456</vt:i4>
      </vt:variant>
      <vt:variant>
        <vt:i4>8</vt:i4>
      </vt:variant>
      <vt:variant>
        <vt:i4>0</vt:i4>
      </vt:variant>
      <vt:variant>
        <vt:i4>5</vt:i4>
      </vt:variant>
      <vt:variant>
        <vt:lpwstr/>
      </vt:variant>
      <vt:variant>
        <vt:lpwstr>_Toc287442908</vt:lpwstr>
      </vt:variant>
      <vt:variant>
        <vt:i4>1638456</vt:i4>
      </vt:variant>
      <vt:variant>
        <vt:i4>2</vt:i4>
      </vt:variant>
      <vt:variant>
        <vt:i4>0</vt:i4>
      </vt:variant>
      <vt:variant>
        <vt:i4>5</vt:i4>
      </vt:variant>
      <vt:variant>
        <vt:lpwstr/>
      </vt:variant>
      <vt:variant>
        <vt:lpwstr>_Toc287442907</vt:lpwstr>
      </vt:variant>
      <vt:variant>
        <vt:i4>4915217</vt:i4>
      </vt:variant>
      <vt:variant>
        <vt:i4>3</vt:i4>
      </vt:variant>
      <vt:variant>
        <vt:i4>0</vt:i4>
      </vt:variant>
      <vt:variant>
        <vt:i4>5</vt:i4>
      </vt:variant>
      <vt:variant>
        <vt:lpwstr>http://hsis.ascc.gov.au/</vt:lpwstr>
      </vt:variant>
      <vt:variant>
        <vt:lpwstr/>
      </vt:variant>
      <vt:variant>
        <vt:i4>4915217</vt:i4>
      </vt:variant>
      <vt:variant>
        <vt:i4>0</vt:i4>
      </vt:variant>
      <vt:variant>
        <vt:i4>0</vt:i4>
      </vt:variant>
      <vt:variant>
        <vt:i4>5</vt:i4>
      </vt:variant>
      <vt:variant>
        <vt:lpwstr>http://hsis.ascc.gov.au/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Deemed Diseases approach - information to support the update of the Comcare Scheme's current deemed diseases legislative instrument — Final report</dc:title>
  <dc:creator/>
  <cp:lastModifiedBy>HELIOS,George</cp:lastModifiedBy>
  <cp:revision>3</cp:revision>
  <cp:lastPrinted>2017-12-20T05:35:00Z</cp:lastPrinted>
  <dcterms:created xsi:type="dcterms:W3CDTF">2017-12-20T05:35:00Z</dcterms:created>
  <dcterms:modified xsi:type="dcterms:W3CDTF">2017-12-20T06:13:00Z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8000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