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9FC" w:rsidRDefault="007F0EC3" w:rsidP="00253358">
      <w:pPr>
        <w:pStyle w:val="Title"/>
      </w:pPr>
      <w:bookmarkStart w:id="0" w:name="_GoBack"/>
      <w:r>
        <w:t>Greenfields Agreements Review</w:t>
      </w:r>
    </w:p>
    <w:bookmarkEnd w:id="0"/>
    <w:p w:rsidR="00253358" w:rsidRDefault="00253358" w:rsidP="00253358">
      <w:pPr>
        <w:sectPr w:rsidR="00253358">
          <w:footerReference w:type="default" r:id="rId11"/>
          <w:pgSz w:w="12240" w:h="15840"/>
          <w:pgMar w:top="1440" w:right="1440" w:bottom="1440" w:left="1440" w:header="720" w:footer="720" w:gutter="0"/>
          <w:cols w:space="720"/>
          <w:docGrid w:linePitch="360"/>
        </w:sectPr>
      </w:pPr>
    </w:p>
    <w:sdt>
      <w:sdtPr>
        <w:rPr>
          <w:rFonts w:asciiTheme="minorHAnsi" w:eastAsiaTheme="minorHAnsi" w:hAnsiTheme="minorHAnsi" w:cstheme="minorBidi"/>
          <w:color w:val="auto"/>
          <w:sz w:val="22"/>
          <w:szCs w:val="22"/>
        </w:rPr>
        <w:id w:val="1077481246"/>
        <w:docPartObj>
          <w:docPartGallery w:val="Table of Contents"/>
          <w:docPartUnique/>
        </w:docPartObj>
      </w:sdtPr>
      <w:sdtEndPr>
        <w:rPr>
          <w:b/>
          <w:bCs/>
        </w:rPr>
      </w:sdtEndPr>
      <w:sdtContent>
        <w:p w:rsidR="00A01583" w:rsidRPr="0090554C" w:rsidRDefault="00A01583">
          <w:pPr>
            <w:pStyle w:val="TOCHeading"/>
          </w:pPr>
          <w:r w:rsidRPr="0090554C">
            <w:t>Contents</w:t>
          </w:r>
        </w:p>
        <w:p w:rsidR="002E35D6" w:rsidRDefault="00A01583">
          <w:pPr>
            <w:pStyle w:val="TOC1"/>
            <w:rPr>
              <w:rFonts w:eastAsiaTheme="minorEastAsia"/>
              <w:noProof/>
              <w:lang w:eastAsia="en-AU"/>
            </w:rPr>
          </w:pPr>
          <w:r w:rsidRPr="0090554C">
            <w:fldChar w:fldCharType="begin"/>
          </w:r>
          <w:r w:rsidRPr="0090554C">
            <w:instrText xml:space="preserve"> TOC \o "1-3" \h \z \u </w:instrText>
          </w:r>
          <w:r w:rsidRPr="0090554C">
            <w:fldChar w:fldCharType="separate"/>
          </w:r>
          <w:hyperlink w:anchor="_Toc505681241" w:history="1">
            <w:r w:rsidR="002E35D6" w:rsidRPr="00B54329">
              <w:rPr>
                <w:rStyle w:val="Hyperlink"/>
                <w:noProof/>
              </w:rPr>
              <w:t>Glossary</w:t>
            </w:r>
            <w:r w:rsidR="002E35D6">
              <w:rPr>
                <w:noProof/>
                <w:webHidden/>
              </w:rPr>
              <w:tab/>
            </w:r>
            <w:r w:rsidR="002E35D6">
              <w:rPr>
                <w:noProof/>
                <w:webHidden/>
              </w:rPr>
              <w:fldChar w:fldCharType="begin"/>
            </w:r>
            <w:r w:rsidR="002E35D6">
              <w:rPr>
                <w:noProof/>
                <w:webHidden/>
              </w:rPr>
              <w:instrText xml:space="preserve"> PAGEREF _Toc505681241 \h </w:instrText>
            </w:r>
            <w:r w:rsidR="002E35D6">
              <w:rPr>
                <w:noProof/>
                <w:webHidden/>
              </w:rPr>
            </w:r>
            <w:r w:rsidR="002E35D6">
              <w:rPr>
                <w:noProof/>
                <w:webHidden/>
              </w:rPr>
              <w:fldChar w:fldCharType="separate"/>
            </w:r>
            <w:r w:rsidR="002E35D6">
              <w:rPr>
                <w:noProof/>
                <w:webHidden/>
              </w:rPr>
              <w:t>3</w:t>
            </w:r>
            <w:r w:rsidR="002E35D6">
              <w:rPr>
                <w:noProof/>
                <w:webHidden/>
              </w:rPr>
              <w:fldChar w:fldCharType="end"/>
            </w:r>
          </w:hyperlink>
        </w:p>
        <w:p w:rsidR="002E35D6" w:rsidRDefault="00DD5538">
          <w:pPr>
            <w:pStyle w:val="TOC1"/>
            <w:rPr>
              <w:rFonts w:eastAsiaTheme="minorEastAsia"/>
              <w:noProof/>
              <w:lang w:eastAsia="en-AU"/>
            </w:rPr>
          </w:pPr>
          <w:hyperlink w:anchor="_Toc505681242" w:history="1">
            <w:r w:rsidR="002E35D6" w:rsidRPr="00B54329">
              <w:rPr>
                <w:rStyle w:val="Hyperlink"/>
                <w:noProof/>
              </w:rPr>
              <w:t>Executive summary</w:t>
            </w:r>
            <w:r w:rsidR="002E35D6">
              <w:rPr>
                <w:noProof/>
                <w:webHidden/>
              </w:rPr>
              <w:tab/>
            </w:r>
            <w:r w:rsidR="002E35D6">
              <w:rPr>
                <w:noProof/>
                <w:webHidden/>
              </w:rPr>
              <w:fldChar w:fldCharType="begin"/>
            </w:r>
            <w:r w:rsidR="002E35D6">
              <w:rPr>
                <w:noProof/>
                <w:webHidden/>
              </w:rPr>
              <w:instrText xml:space="preserve"> PAGEREF _Toc505681242 \h </w:instrText>
            </w:r>
            <w:r w:rsidR="002E35D6">
              <w:rPr>
                <w:noProof/>
                <w:webHidden/>
              </w:rPr>
            </w:r>
            <w:r w:rsidR="002E35D6">
              <w:rPr>
                <w:noProof/>
                <w:webHidden/>
              </w:rPr>
              <w:fldChar w:fldCharType="separate"/>
            </w:r>
            <w:r w:rsidR="002E35D6">
              <w:rPr>
                <w:noProof/>
                <w:webHidden/>
              </w:rPr>
              <w:t>4</w:t>
            </w:r>
            <w:r w:rsidR="002E35D6">
              <w:rPr>
                <w:noProof/>
                <w:webHidden/>
              </w:rPr>
              <w:fldChar w:fldCharType="end"/>
            </w:r>
          </w:hyperlink>
        </w:p>
        <w:p w:rsidR="002E35D6" w:rsidRDefault="00DD5538">
          <w:pPr>
            <w:pStyle w:val="TOC1"/>
            <w:rPr>
              <w:rFonts w:eastAsiaTheme="minorEastAsia"/>
              <w:noProof/>
              <w:lang w:eastAsia="en-AU"/>
            </w:rPr>
          </w:pPr>
          <w:hyperlink w:anchor="_Toc505681243" w:history="1">
            <w:r w:rsidR="002E35D6" w:rsidRPr="00B54329">
              <w:rPr>
                <w:rStyle w:val="Hyperlink"/>
                <w:noProof/>
              </w:rPr>
              <w:t>Background to the review</w:t>
            </w:r>
            <w:r w:rsidR="002E35D6">
              <w:rPr>
                <w:noProof/>
                <w:webHidden/>
              </w:rPr>
              <w:tab/>
            </w:r>
            <w:r w:rsidR="002E35D6">
              <w:rPr>
                <w:noProof/>
                <w:webHidden/>
              </w:rPr>
              <w:fldChar w:fldCharType="begin"/>
            </w:r>
            <w:r w:rsidR="002E35D6">
              <w:rPr>
                <w:noProof/>
                <w:webHidden/>
              </w:rPr>
              <w:instrText xml:space="preserve"> PAGEREF _Toc505681243 \h </w:instrText>
            </w:r>
            <w:r w:rsidR="002E35D6">
              <w:rPr>
                <w:noProof/>
                <w:webHidden/>
              </w:rPr>
            </w:r>
            <w:r w:rsidR="002E35D6">
              <w:rPr>
                <w:noProof/>
                <w:webHidden/>
              </w:rPr>
              <w:fldChar w:fldCharType="separate"/>
            </w:r>
            <w:r w:rsidR="002E35D6">
              <w:rPr>
                <w:noProof/>
                <w:webHidden/>
              </w:rPr>
              <w:t>5</w:t>
            </w:r>
            <w:r w:rsidR="002E35D6">
              <w:rPr>
                <w:noProof/>
                <w:webHidden/>
              </w:rPr>
              <w:fldChar w:fldCharType="end"/>
            </w:r>
          </w:hyperlink>
        </w:p>
        <w:p w:rsidR="002E35D6" w:rsidRDefault="00DD5538">
          <w:pPr>
            <w:pStyle w:val="TOC2"/>
            <w:rPr>
              <w:rFonts w:eastAsiaTheme="minorEastAsia"/>
              <w:noProof/>
              <w:lang w:eastAsia="en-AU"/>
            </w:rPr>
          </w:pPr>
          <w:hyperlink w:anchor="_Toc505681244" w:history="1">
            <w:r w:rsidR="002E35D6" w:rsidRPr="00B54329">
              <w:rPr>
                <w:rStyle w:val="Hyperlink"/>
                <w:noProof/>
              </w:rPr>
              <w:t>Why were the greenfields agreement provisions amended?</w:t>
            </w:r>
            <w:r w:rsidR="002E35D6">
              <w:rPr>
                <w:noProof/>
                <w:webHidden/>
              </w:rPr>
              <w:tab/>
            </w:r>
            <w:r w:rsidR="002E35D6">
              <w:rPr>
                <w:noProof/>
                <w:webHidden/>
              </w:rPr>
              <w:fldChar w:fldCharType="begin"/>
            </w:r>
            <w:r w:rsidR="002E35D6">
              <w:rPr>
                <w:noProof/>
                <w:webHidden/>
              </w:rPr>
              <w:instrText xml:space="preserve"> PAGEREF _Toc505681244 \h </w:instrText>
            </w:r>
            <w:r w:rsidR="002E35D6">
              <w:rPr>
                <w:noProof/>
                <w:webHidden/>
              </w:rPr>
            </w:r>
            <w:r w:rsidR="002E35D6">
              <w:rPr>
                <w:noProof/>
                <w:webHidden/>
              </w:rPr>
              <w:fldChar w:fldCharType="separate"/>
            </w:r>
            <w:r w:rsidR="002E35D6">
              <w:rPr>
                <w:noProof/>
                <w:webHidden/>
              </w:rPr>
              <w:t>5</w:t>
            </w:r>
            <w:r w:rsidR="002E35D6">
              <w:rPr>
                <w:noProof/>
                <w:webHidden/>
              </w:rPr>
              <w:fldChar w:fldCharType="end"/>
            </w:r>
          </w:hyperlink>
        </w:p>
        <w:p w:rsidR="002E35D6" w:rsidRDefault="00DD5538">
          <w:pPr>
            <w:pStyle w:val="TOC2"/>
            <w:rPr>
              <w:rFonts w:eastAsiaTheme="minorEastAsia"/>
              <w:noProof/>
              <w:lang w:eastAsia="en-AU"/>
            </w:rPr>
          </w:pPr>
          <w:hyperlink w:anchor="_Toc505681245" w:history="1">
            <w:r w:rsidR="002E35D6" w:rsidRPr="00B54329">
              <w:rPr>
                <w:rStyle w:val="Hyperlink"/>
                <w:noProof/>
              </w:rPr>
              <w:t>History of greenfields agreements</w:t>
            </w:r>
            <w:r w:rsidR="002E35D6">
              <w:rPr>
                <w:noProof/>
                <w:webHidden/>
              </w:rPr>
              <w:tab/>
            </w:r>
            <w:r w:rsidR="002E35D6">
              <w:rPr>
                <w:noProof/>
                <w:webHidden/>
              </w:rPr>
              <w:fldChar w:fldCharType="begin"/>
            </w:r>
            <w:r w:rsidR="002E35D6">
              <w:rPr>
                <w:noProof/>
                <w:webHidden/>
              </w:rPr>
              <w:instrText xml:space="preserve"> PAGEREF _Toc505681245 \h </w:instrText>
            </w:r>
            <w:r w:rsidR="002E35D6">
              <w:rPr>
                <w:noProof/>
                <w:webHidden/>
              </w:rPr>
            </w:r>
            <w:r w:rsidR="002E35D6">
              <w:rPr>
                <w:noProof/>
                <w:webHidden/>
              </w:rPr>
              <w:fldChar w:fldCharType="separate"/>
            </w:r>
            <w:r w:rsidR="002E35D6">
              <w:rPr>
                <w:noProof/>
                <w:webHidden/>
              </w:rPr>
              <w:t>6</w:t>
            </w:r>
            <w:r w:rsidR="002E35D6">
              <w:rPr>
                <w:noProof/>
                <w:webHidden/>
              </w:rPr>
              <w:fldChar w:fldCharType="end"/>
            </w:r>
          </w:hyperlink>
        </w:p>
        <w:p w:rsidR="002E35D6" w:rsidRDefault="00DD5538">
          <w:pPr>
            <w:pStyle w:val="TOC3"/>
            <w:tabs>
              <w:tab w:val="right" w:leader="dot" w:pos="9350"/>
            </w:tabs>
            <w:rPr>
              <w:rFonts w:eastAsiaTheme="minorEastAsia"/>
              <w:noProof/>
              <w:lang w:eastAsia="en-AU"/>
            </w:rPr>
          </w:pPr>
          <w:hyperlink w:anchor="_Toc505681246" w:history="1">
            <w:r w:rsidR="002E35D6" w:rsidRPr="00B54329">
              <w:rPr>
                <w:rStyle w:val="Hyperlink"/>
                <w:i/>
                <w:noProof/>
              </w:rPr>
              <w:t>Workplace Relations Act 1996</w:t>
            </w:r>
            <w:r w:rsidR="002E35D6">
              <w:rPr>
                <w:noProof/>
                <w:webHidden/>
              </w:rPr>
              <w:tab/>
            </w:r>
            <w:r w:rsidR="002E35D6">
              <w:rPr>
                <w:noProof/>
                <w:webHidden/>
              </w:rPr>
              <w:fldChar w:fldCharType="begin"/>
            </w:r>
            <w:r w:rsidR="002E35D6">
              <w:rPr>
                <w:noProof/>
                <w:webHidden/>
              </w:rPr>
              <w:instrText xml:space="preserve"> PAGEREF _Toc505681246 \h </w:instrText>
            </w:r>
            <w:r w:rsidR="002E35D6">
              <w:rPr>
                <w:noProof/>
                <w:webHidden/>
              </w:rPr>
            </w:r>
            <w:r w:rsidR="002E35D6">
              <w:rPr>
                <w:noProof/>
                <w:webHidden/>
              </w:rPr>
              <w:fldChar w:fldCharType="separate"/>
            </w:r>
            <w:r w:rsidR="002E35D6">
              <w:rPr>
                <w:noProof/>
                <w:webHidden/>
              </w:rPr>
              <w:t>6</w:t>
            </w:r>
            <w:r w:rsidR="002E35D6">
              <w:rPr>
                <w:noProof/>
                <w:webHidden/>
              </w:rPr>
              <w:fldChar w:fldCharType="end"/>
            </w:r>
          </w:hyperlink>
        </w:p>
        <w:p w:rsidR="002E35D6" w:rsidRDefault="00DD5538">
          <w:pPr>
            <w:pStyle w:val="TOC3"/>
            <w:tabs>
              <w:tab w:val="right" w:leader="dot" w:pos="9350"/>
            </w:tabs>
            <w:rPr>
              <w:rFonts w:eastAsiaTheme="minorEastAsia"/>
              <w:noProof/>
              <w:lang w:eastAsia="en-AU"/>
            </w:rPr>
          </w:pPr>
          <w:hyperlink w:anchor="_Toc505681247" w:history="1">
            <w:r w:rsidR="002E35D6" w:rsidRPr="00B54329">
              <w:rPr>
                <w:rStyle w:val="Hyperlink"/>
                <w:i/>
                <w:noProof/>
              </w:rPr>
              <w:t>Workplace Relations Amendment (WorkChoices) Act 2005</w:t>
            </w:r>
            <w:r w:rsidR="002E35D6">
              <w:rPr>
                <w:noProof/>
                <w:webHidden/>
              </w:rPr>
              <w:tab/>
            </w:r>
            <w:r w:rsidR="002E35D6">
              <w:rPr>
                <w:noProof/>
                <w:webHidden/>
              </w:rPr>
              <w:fldChar w:fldCharType="begin"/>
            </w:r>
            <w:r w:rsidR="002E35D6">
              <w:rPr>
                <w:noProof/>
                <w:webHidden/>
              </w:rPr>
              <w:instrText xml:space="preserve"> PAGEREF _Toc505681247 \h </w:instrText>
            </w:r>
            <w:r w:rsidR="002E35D6">
              <w:rPr>
                <w:noProof/>
                <w:webHidden/>
              </w:rPr>
            </w:r>
            <w:r w:rsidR="002E35D6">
              <w:rPr>
                <w:noProof/>
                <w:webHidden/>
              </w:rPr>
              <w:fldChar w:fldCharType="separate"/>
            </w:r>
            <w:r w:rsidR="002E35D6">
              <w:rPr>
                <w:noProof/>
                <w:webHidden/>
              </w:rPr>
              <w:t>6</w:t>
            </w:r>
            <w:r w:rsidR="002E35D6">
              <w:rPr>
                <w:noProof/>
                <w:webHidden/>
              </w:rPr>
              <w:fldChar w:fldCharType="end"/>
            </w:r>
          </w:hyperlink>
        </w:p>
        <w:p w:rsidR="002E35D6" w:rsidRDefault="00DD5538">
          <w:pPr>
            <w:pStyle w:val="TOC3"/>
            <w:tabs>
              <w:tab w:val="right" w:leader="dot" w:pos="9350"/>
            </w:tabs>
            <w:rPr>
              <w:rFonts w:eastAsiaTheme="minorEastAsia"/>
              <w:noProof/>
              <w:lang w:eastAsia="en-AU"/>
            </w:rPr>
          </w:pPr>
          <w:hyperlink w:anchor="_Toc505681248" w:history="1">
            <w:r w:rsidR="002E35D6" w:rsidRPr="00B54329">
              <w:rPr>
                <w:rStyle w:val="Hyperlink"/>
                <w:i/>
                <w:noProof/>
              </w:rPr>
              <w:t>Fair Work Act 2009</w:t>
            </w:r>
            <w:r w:rsidR="002E35D6">
              <w:rPr>
                <w:noProof/>
                <w:webHidden/>
              </w:rPr>
              <w:tab/>
            </w:r>
            <w:r w:rsidR="002E35D6">
              <w:rPr>
                <w:noProof/>
                <w:webHidden/>
              </w:rPr>
              <w:fldChar w:fldCharType="begin"/>
            </w:r>
            <w:r w:rsidR="002E35D6">
              <w:rPr>
                <w:noProof/>
                <w:webHidden/>
              </w:rPr>
              <w:instrText xml:space="preserve"> PAGEREF _Toc505681248 \h </w:instrText>
            </w:r>
            <w:r w:rsidR="002E35D6">
              <w:rPr>
                <w:noProof/>
                <w:webHidden/>
              </w:rPr>
            </w:r>
            <w:r w:rsidR="002E35D6">
              <w:rPr>
                <w:noProof/>
                <w:webHidden/>
              </w:rPr>
              <w:fldChar w:fldCharType="separate"/>
            </w:r>
            <w:r w:rsidR="002E35D6">
              <w:rPr>
                <w:noProof/>
                <w:webHidden/>
              </w:rPr>
              <w:t>7</w:t>
            </w:r>
            <w:r w:rsidR="002E35D6">
              <w:rPr>
                <w:noProof/>
                <w:webHidden/>
              </w:rPr>
              <w:fldChar w:fldCharType="end"/>
            </w:r>
          </w:hyperlink>
        </w:p>
        <w:p w:rsidR="002E35D6" w:rsidRDefault="00DD5538">
          <w:pPr>
            <w:pStyle w:val="TOC3"/>
            <w:tabs>
              <w:tab w:val="right" w:leader="dot" w:pos="9350"/>
            </w:tabs>
            <w:rPr>
              <w:rFonts w:eastAsiaTheme="minorEastAsia"/>
              <w:noProof/>
              <w:lang w:eastAsia="en-AU"/>
            </w:rPr>
          </w:pPr>
          <w:hyperlink w:anchor="_Toc505681249" w:history="1">
            <w:r w:rsidR="002E35D6" w:rsidRPr="00B54329">
              <w:rPr>
                <w:rStyle w:val="Hyperlink"/>
                <w:i/>
                <w:noProof/>
              </w:rPr>
              <w:t>Fair Work Amendment Act 2015</w:t>
            </w:r>
            <w:r w:rsidR="002E35D6">
              <w:rPr>
                <w:noProof/>
                <w:webHidden/>
              </w:rPr>
              <w:tab/>
            </w:r>
            <w:r w:rsidR="002E35D6">
              <w:rPr>
                <w:noProof/>
                <w:webHidden/>
              </w:rPr>
              <w:fldChar w:fldCharType="begin"/>
            </w:r>
            <w:r w:rsidR="002E35D6">
              <w:rPr>
                <w:noProof/>
                <w:webHidden/>
              </w:rPr>
              <w:instrText xml:space="preserve"> PAGEREF _Toc505681249 \h </w:instrText>
            </w:r>
            <w:r w:rsidR="002E35D6">
              <w:rPr>
                <w:noProof/>
                <w:webHidden/>
              </w:rPr>
            </w:r>
            <w:r w:rsidR="002E35D6">
              <w:rPr>
                <w:noProof/>
                <w:webHidden/>
              </w:rPr>
              <w:fldChar w:fldCharType="separate"/>
            </w:r>
            <w:r w:rsidR="002E35D6">
              <w:rPr>
                <w:noProof/>
                <w:webHidden/>
              </w:rPr>
              <w:t>7</w:t>
            </w:r>
            <w:r w:rsidR="002E35D6">
              <w:rPr>
                <w:noProof/>
                <w:webHidden/>
              </w:rPr>
              <w:fldChar w:fldCharType="end"/>
            </w:r>
          </w:hyperlink>
        </w:p>
        <w:p w:rsidR="002E35D6" w:rsidRDefault="00DD5538">
          <w:pPr>
            <w:pStyle w:val="TOC1"/>
            <w:rPr>
              <w:rFonts w:eastAsiaTheme="minorEastAsia"/>
              <w:noProof/>
              <w:lang w:eastAsia="en-AU"/>
            </w:rPr>
          </w:pPr>
          <w:hyperlink w:anchor="_Toc505681250" w:history="1">
            <w:r w:rsidR="002E35D6" w:rsidRPr="00B54329">
              <w:rPr>
                <w:rStyle w:val="Hyperlink"/>
                <w:noProof/>
              </w:rPr>
              <w:t>Approach to the review</w:t>
            </w:r>
            <w:r w:rsidR="002E35D6">
              <w:rPr>
                <w:noProof/>
                <w:webHidden/>
              </w:rPr>
              <w:tab/>
            </w:r>
            <w:r w:rsidR="002E35D6">
              <w:rPr>
                <w:noProof/>
                <w:webHidden/>
              </w:rPr>
              <w:fldChar w:fldCharType="begin"/>
            </w:r>
            <w:r w:rsidR="002E35D6">
              <w:rPr>
                <w:noProof/>
                <w:webHidden/>
              </w:rPr>
              <w:instrText xml:space="preserve"> PAGEREF _Toc505681250 \h </w:instrText>
            </w:r>
            <w:r w:rsidR="002E35D6">
              <w:rPr>
                <w:noProof/>
                <w:webHidden/>
              </w:rPr>
            </w:r>
            <w:r w:rsidR="002E35D6">
              <w:rPr>
                <w:noProof/>
                <w:webHidden/>
              </w:rPr>
              <w:fldChar w:fldCharType="separate"/>
            </w:r>
            <w:r w:rsidR="002E35D6">
              <w:rPr>
                <w:noProof/>
                <w:webHidden/>
              </w:rPr>
              <w:t>8</w:t>
            </w:r>
            <w:r w:rsidR="002E35D6">
              <w:rPr>
                <w:noProof/>
                <w:webHidden/>
              </w:rPr>
              <w:fldChar w:fldCharType="end"/>
            </w:r>
          </w:hyperlink>
        </w:p>
        <w:p w:rsidR="002E35D6" w:rsidRDefault="00DD5538">
          <w:pPr>
            <w:pStyle w:val="TOC2"/>
            <w:rPr>
              <w:rFonts w:eastAsiaTheme="minorEastAsia"/>
              <w:noProof/>
              <w:lang w:eastAsia="en-AU"/>
            </w:rPr>
          </w:pPr>
          <w:hyperlink w:anchor="_Toc505681251" w:history="1">
            <w:r w:rsidR="002E35D6" w:rsidRPr="00B54329">
              <w:rPr>
                <w:rStyle w:val="Hyperlink"/>
                <w:noProof/>
              </w:rPr>
              <w:t>Responses to Background Paper issues</w:t>
            </w:r>
            <w:r w:rsidR="002E35D6">
              <w:rPr>
                <w:noProof/>
                <w:webHidden/>
              </w:rPr>
              <w:tab/>
            </w:r>
            <w:r w:rsidR="002E35D6">
              <w:rPr>
                <w:noProof/>
                <w:webHidden/>
              </w:rPr>
              <w:fldChar w:fldCharType="begin"/>
            </w:r>
            <w:r w:rsidR="002E35D6">
              <w:rPr>
                <w:noProof/>
                <w:webHidden/>
              </w:rPr>
              <w:instrText xml:space="preserve"> PAGEREF _Toc505681251 \h </w:instrText>
            </w:r>
            <w:r w:rsidR="002E35D6">
              <w:rPr>
                <w:noProof/>
                <w:webHidden/>
              </w:rPr>
            </w:r>
            <w:r w:rsidR="002E35D6">
              <w:rPr>
                <w:noProof/>
                <w:webHidden/>
              </w:rPr>
              <w:fldChar w:fldCharType="separate"/>
            </w:r>
            <w:r w:rsidR="002E35D6">
              <w:rPr>
                <w:noProof/>
                <w:webHidden/>
              </w:rPr>
              <w:t>10</w:t>
            </w:r>
            <w:r w:rsidR="002E35D6">
              <w:rPr>
                <w:noProof/>
                <w:webHidden/>
              </w:rPr>
              <w:fldChar w:fldCharType="end"/>
            </w:r>
          </w:hyperlink>
        </w:p>
        <w:p w:rsidR="002E35D6" w:rsidRDefault="00DD5538">
          <w:pPr>
            <w:pStyle w:val="TOC1"/>
            <w:rPr>
              <w:rFonts w:eastAsiaTheme="minorEastAsia"/>
              <w:noProof/>
              <w:lang w:eastAsia="en-AU"/>
            </w:rPr>
          </w:pPr>
          <w:hyperlink w:anchor="_Toc505681252" w:history="1">
            <w:r w:rsidR="002E35D6" w:rsidRPr="00B54329">
              <w:rPr>
                <w:rStyle w:val="Hyperlink"/>
                <w:noProof/>
              </w:rPr>
              <w:t>Information and statistics on greenfields agreements</w:t>
            </w:r>
            <w:r w:rsidR="002E35D6">
              <w:rPr>
                <w:noProof/>
                <w:webHidden/>
              </w:rPr>
              <w:tab/>
            </w:r>
            <w:r w:rsidR="002E35D6">
              <w:rPr>
                <w:noProof/>
                <w:webHidden/>
              </w:rPr>
              <w:fldChar w:fldCharType="begin"/>
            </w:r>
            <w:r w:rsidR="002E35D6">
              <w:rPr>
                <w:noProof/>
                <w:webHidden/>
              </w:rPr>
              <w:instrText xml:space="preserve"> PAGEREF _Toc505681252 \h </w:instrText>
            </w:r>
            <w:r w:rsidR="002E35D6">
              <w:rPr>
                <w:noProof/>
                <w:webHidden/>
              </w:rPr>
            </w:r>
            <w:r w:rsidR="002E35D6">
              <w:rPr>
                <w:noProof/>
                <w:webHidden/>
              </w:rPr>
              <w:fldChar w:fldCharType="separate"/>
            </w:r>
            <w:r w:rsidR="002E35D6">
              <w:rPr>
                <w:noProof/>
                <w:webHidden/>
              </w:rPr>
              <w:t>11</w:t>
            </w:r>
            <w:r w:rsidR="002E35D6">
              <w:rPr>
                <w:noProof/>
                <w:webHidden/>
              </w:rPr>
              <w:fldChar w:fldCharType="end"/>
            </w:r>
          </w:hyperlink>
        </w:p>
        <w:p w:rsidR="002E35D6" w:rsidRDefault="00DD5538">
          <w:pPr>
            <w:pStyle w:val="TOC2"/>
            <w:rPr>
              <w:rFonts w:eastAsiaTheme="minorEastAsia"/>
              <w:noProof/>
              <w:lang w:eastAsia="en-AU"/>
            </w:rPr>
          </w:pPr>
          <w:hyperlink w:anchor="_Toc505681253" w:history="1">
            <w:r w:rsidR="002E35D6" w:rsidRPr="00B54329">
              <w:rPr>
                <w:rStyle w:val="Hyperlink"/>
                <w:noProof/>
              </w:rPr>
              <w:t>Additional data since the Background Paper</w:t>
            </w:r>
            <w:r w:rsidR="002E35D6">
              <w:rPr>
                <w:noProof/>
                <w:webHidden/>
              </w:rPr>
              <w:tab/>
            </w:r>
            <w:r w:rsidR="002E35D6">
              <w:rPr>
                <w:noProof/>
                <w:webHidden/>
              </w:rPr>
              <w:fldChar w:fldCharType="begin"/>
            </w:r>
            <w:r w:rsidR="002E35D6">
              <w:rPr>
                <w:noProof/>
                <w:webHidden/>
              </w:rPr>
              <w:instrText xml:space="preserve"> PAGEREF _Toc505681253 \h </w:instrText>
            </w:r>
            <w:r w:rsidR="002E35D6">
              <w:rPr>
                <w:noProof/>
                <w:webHidden/>
              </w:rPr>
            </w:r>
            <w:r w:rsidR="002E35D6">
              <w:rPr>
                <w:noProof/>
                <w:webHidden/>
              </w:rPr>
              <w:fldChar w:fldCharType="separate"/>
            </w:r>
            <w:r w:rsidR="002E35D6">
              <w:rPr>
                <w:noProof/>
                <w:webHidden/>
              </w:rPr>
              <w:t>11</w:t>
            </w:r>
            <w:r w:rsidR="002E35D6">
              <w:rPr>
                <w:noProof/>
                <w:webHidden/>
              </w:rPr>
              <w:fldChar w:fldCharType="end"/>
            </w:r>
          </w:hyperlink>
        </w:p>
        <w:p w:rsidR="002E35D6" w:rsidRDefault="00DD5538">
          <w:pPr>
            <w:pStyle w:val="TOC2"/>
            <w:rPr>
              <w:rFonts w:eastAsiaTheme="minorEastAsia"/>
              <w:noProof/>
              <w:lang w:eastAsia="en-AU"/>
            </w:rPr>
          </w:pPr>
          <w:hyperlink w:anchor="_Toc505681254" w:history="1">
            <w:r w:rsidR="002E35D6" w:rsidRPr="00B54329">
              <w:rPr>
                <w:rStyle w:val="Hyperlink"/>
                <w:noProof/>
              </w:rPr>
              <w:t>Decline in agreement making</w:t>
            </w:r>
            <w:r w:rsidR="002E35D6">
              <w:rPr>
                <w:noProof/>
                <w:webHidden/>
              </w:rPr>
              <w:tab/>
            </w:r>
            <w:r w:rsidR="002E35D6">
              <w:rPr>
                <w:noProof/>
                <w:webHidden/>
              </w:rPr>
              <w:fldChar w:fldCharType="begin"/>
            </w:r>
            <w:r w:rsidR="002E35D6">
              <w:rPr>
                <w:noProof/>
                <w:webHidden/>
              </w:rPr>
              <w:instrText xml:space="preserve"> PAGEREF _Toc505681254 \h </w:instrText>
            </w:r>
            <w:r w:rsidR="002E35D6">
              <w:rPr>
                <w:noProof/>
                <w:webHidden/>
              </w:rPr>
            </w:r>
            <w:r w:rsidR="002E35D6">
              <w:rPr>
                <w:noProof/>
                <w:webHidden/>
              </w:rPr>
              <w:fldChar w:fldCharType="separate"/>
            </w:r>
            <w:r w:rsidR="002E35D6">
              <w:rPr>
                <w:noProof/>
                <w:webHidden/>
              </w:rPr>
              <w:t>14</w:t>
            </w:r>
            <w:r w:rsidR="002E35D6">
              <w:rPr>
                <w:noProof/>
                <w:webHidden/>
              </w:rPr>
              <w:fldChar w:fldCharType="end"/>
            </w:r>
          </w:hyperlink>
        </w:p>
        <w:p w:rsidR="002E35D6" w:rsidRDefault="00DD5538">
          <w:pPr>
            <w:pStyle w:val="TOC1"/>
            <w:rPr>
              <w:rFonts w:eastAsiaTheme="minorEastAsia"/>
              <w:noProof/>
              <w:lang w:eastAsia="en-AU"/>
            </w:rPr>
          </w:pPr>
          <w:hyperlink w:anchor="_Toc505681255" w:history="1">
            <w:r w:rsidR="002E35D6" w:rsidRPr="00B54329">
              <w:rPr>
                <w:rStyle w:val="Hyperlink"/>
                <w:noProof/>
              </w:rPr>
              <w:t>General observations</w:t>
            </w:r>
            <w:r w:rsidR="002E35D6">
              <w:rPr>
                <w:noProof/>
                <w:webHidden/>
              </w:rPr>
              <w:tab/>
            </w:r>
            <w:r w:rsidR="002E35D6">
              <w:rPr>
                <w:noProof/>
                <w:webHidden/>
              </w:rPr>
              <w:fldChar w:fldCharType="begin"/>
            </w:r>
            <w:r w:rsidR="002E35D6">
              <w:rPr>
                <w:noProof/>
                <w:webHidden/>
              </w:rPr>
              <w:instrText xml:space="preserve"> PAGEREF _Toc505681255 \h </w:instrText>
            </w:r>
            <w:r w:rsidR="002E35D6">
              <w:rPr>
                <w:noProof/>
                <w:webHidden/>
              </w:rPr>
            </w:r>
            <w:r w:rsidR="002E35D6">
              <w:rPr>
                <w:noProof/>
                <w:webHidden/>
              </w:rPr>
              <w:fldChar w:fldCharType="separate"/>
            </w:r>
            <w:r w:rsidR="002E35D6">
              <w:rPr>
                <w:noProof/>
                <w:webHidden/>
              </w:rPr>
              <w:t>18</w:t>
            </w:r>
            <w:r w:rsidR="002E35D6">
              <w:rPr>
                <w:noProof/>
                <w:webHidden/>
              </w:rPr>
              <w:fldChar w:fldCharType="end"/>
            </w:r>
          </w:hyperlink>
        </w:p>
        <w:p w:rsidR="002E35D6" w:rsidRDefault="00DD5538">
          <w:pPr>
            <w:pStyle w:val="TOC1"/>
            <w:rPr>
              <w:rFonts w:eastAsiaTheme="minorEastAsia"/>
              <w:noProof/>
              <w:lang w:eastAsia="en-AU"/>
            </w:rPr>
          </w:pPr>
          <w:hyperlink w:anchor="_Toc505681256" w:history="1">
            <w:r w:rsidR="002E35D6" w:rsidRPr="00B54329">
              <w:rPr>
                <w:rStyle w:val="Hyperlink"/>
                <w:noProof/>
              </w:rPr>
              <w:t>Access to greenfields agreement making information</w:t>
            </w:r>
            <w:r w:rsidR="002E35D6">
              <w:rPr>
                <w:noProof/>
                <w:webHidden/>
              </w:rPr>
              <w:tab/>
            </w:r>
            <w:r w:rsidR="002E35D6">
              <w:rPr>
                <w:noProof/>
                <w:webHidden/>
              </w:rPr>
              <w:fldChar w:fldCharType="begin"/>
            </w:r>
            <w:r w:rsidR="002E35D6">
              <w:rPr>
                <w:noProof/>
                <w:webHidden/>
              </w:rPr>
              <w:instrText xml:space="preserve"> PAGEREF _Toc505681256 \h </w:instrText>
            </w:r>
            <w:r w:rsidR="002E35D6">
              <w:rPr>
                <w:noProof/>
                <w:webHidden/>
              </w:rPr>
            </w:r>
            <w:r w:rsidR="002E35D6">
              <w:rPr>
                <w:noProof/>
                <w:webHidden/>
              </w:rPr>
              <w:fldChar w:fldCharType="separate"/>
            </w:r>
            <w:r w:rsidR="002E35D6">
              <w:rPr>
                <w:noProof/>
                <w:webHidden/>
              </w:rPr>
              <w:t>20</w:t>
            </w:r>
            <w:r w:rsidR="002E35D6">
              <w:rPr>
                <w:noProof/>
                <w:webHidden/>
              </w:rPr>
              <w:fldChar w:fldCharType="end"/>
            </w:r>
          </w:hyperlink>
        </w:p>
        <w:p w:rsidR="002E35D6" w:rsidRDefault="00DD5538">
          <w:pPr>
            <w:pStyle w:val="TOC1"/>
            <w:rPr>
              <w:rFonts w:eastAsiaTheme="minorEastAsia"/>
              <w:noProof/>
              <w:lang w:eastAsia="en-AU"/>
            </w:rPr>
          </w:pPr>
          <w:hyperlink w:anchor="_Toc505681257" w:history="1">
            <w:r w:rsidR="002E35D6" w:rsidRPr="00B54329">
              <w:rPr>
                <w:rStyle w:val="Hyperlink"/>
                <w:noProof/>
              </w:rPr>
              <w:t>Approval of greenfields agreements</w:t>
            </w:r>
            <w:r w:rsidR="002E35D6">
              <w:rPr>
                <w:noProof/>
                <w:webHidden/>
              </w:rPr>
              <w:tab/>
            </w:r>
            <w:r w:rsidR="002E35D6">
              <w:rPr>
                <w:noProof/>
                <w:webHidden/>
              </w:rPr>
              <w:fldChar w:fldCharType="begin"/>
            </w:r>
            <w:r w:rsidR="002E35D6">
              <w:rPr>
                <w:noProof/>
                <w:webHidden/>
              </w:rPr>
              <w:instrText xml:space="preserve"> PAGEREF _Toc505681257 \h </w:instrText>
            </w:r>
            <w:r w:rsidR="002E35D6">
              <w:rPr>
                <w:noProof/>
                <w:webHidden/>
              </w:rPr>
            </w:r>
            <w:r w:rsidR="002E35D6">
              <w:rPr>
                <w:noProof/>
                <w:webHidden/>
              </w:rPr>
              <w:fldChar w:fldCharType="separate"/>
            </w:r>
            <w:r w:rsidR="002E35D6">
              <w:rPr>
                <w:noProof/>
                <w:webHidden/>
              </w:rPr>
              <w:t>21</w:t>
            </w:r>
            <w:r w:rsidR="002E35D6">
              <w:rPr>
                <w:noProof/>
                <w:webHidden/>
              </w:rPr>
              <w:fldChar w:fldCharType="end"/>
            </w:r>
          </w:hyperlink>
        </w:p>
        <w:p w:rsidR="002E35D6" w:rsidRDefault="00DD5538">
          <w:pPr>
            <w:pStyle w:val="TOC1"/>
            <w:rPr>
              <w:rFonts w:eastAsiaTheme="minorEastAsia"/>
              <w:noProof/>
              <w:lang w:eastAsia="en-AU"/>
            </w:rPr>
          </w:pPr>
          <w:hyperlink w:anchor="_Toc505681258" w:history="1">
            <w:r w:rsidR="002E35D6" w:rsidRPr="00B54329">
              <w:rPr>
                <w:rStyle w:val="Hyperlink"/>
                <w:noProof/>
              </w:rPr>
              <w:t>Good faith bargaining</w:t>
            </w:r>
            <w:r w:rsidR="002E35D6">
              <w:rPr>
                <w:noProof/>
                <w:webHidden/>
              </w:rPr>
              <w:tab/>
            </w:r>
            <w:r w:rsidR="002E35D6">
              <w:rPr>
                <w:noProof/>
                <w:webHidden/>
              </w:rPr>
              <w:fldChar w:fldCharType="begin"/>
            </w:r>
            <w:r w:rsidR="002E35D6">
              <w:rPr>
                <w:noProof/>
                <w:webHidden/>
              </w:rPr>
              <w:instrText xml:space="preserve"> PAGEREF _Toc505681258 \h </w:instrText>
            </w:r>
            <w:r w:rsidR="002E35D6">
              <w:rPr>
                <w:noProof/>
                <w:webHidden/>
              </w:rPr>
            </w:r>
            <w:r w:rsidR="002E35D6">
              <w:rPr>
                <w:noProof/>
                <w:webHidden/>
              </w:rPr>
              <w:fldChar w:fldCharType="separate"/>
            </w:r>
            <w:r w:rsidR="002E35D6">
              <w:rPr>
                <w:noProof/>
                <w:webHidden/>
              </w:rPr>
              <w:t>24</w:t>
            </w:r>
            <w:r w:rsidR="002E35D6">
              <w:rPr>
                <w:noProof/>
                <w:webHidden/>
              </w:rPr>
              <w:fldChar w:fldCharType="end"/>
            </w:r>
          </w:hyperlink>
        </w:p>
        <w:p w:rsidR="002E35D6" w:rsidRDefault="00DD5538">
          <w:pPr>
            <w:pStyle w:val="TOC2"/>
            <w:rPr>
              <w:rFonts w:eastAsiaTheme="minorEastAsia"/>
              <w:noProof/>
              <w:lang w:eastAsia="en-AU"/>
            </w:rPr>
          </w:pPr>
          <w:hyperlink w:anchor="_Toc505681259" w:history="1">
            <w:r w:rsidR="002E35D6" w:rsidRPr="00B54329">
              <w:rPr>
                <w:rStyle w:val="Hyperlink"/>
                <w:noProof/>
              </w:rPr>
              <w:t>Impact of the 2015 amendments</w:t>
            </w:r>
            <w:r w:rsidR="002E35D6">
              <w:rPr>
                <w:noProof/>
                <w:webHidden/>
              </w:rPr>
              <w:tab/>
            </w:r>
            <w:r w:rsidR="002E35D6">
              <w:rPr>
                <w:noProof/>
                <w:webHidden/>
              </w:rPr>
              <w:fldChar w:fldCharType="begin"/>
            </w:r>
            <w:r w:rsidR="002E35D6">
              <w:rPr>
                <w:noProof/>
                <w:webHidden/>
              </w:rPr>
              <w:instrText xml:space="preserve"> PAGEREF _Toc505681259 \h </w:instrText>
            </w:r>
            <w:r w:rsidR="002E35D6">
              <w:rPr>
                <w:noProof/>
                <w:webHidden/>
              </w:rPr>
            </w:r>
            <w:r w:rsidR="002E35D6">
              <w:rPr>
                <w:noProof/>
                <w:webHidden/>
              </w:rPr>
              <w:fldChar w:fldCharType="separate"/>
            </w:r>
            <w:r w:rsidR="002E35D6">
              <w:rPr>
                <w:noProof/>
                <w:webHidden/>
              </w:rPr>
              <w:t>24</w:t>
            </w:r>
            <w:r w:rsidR="002E35D6">
              <w:rPr>
                <w:noProof/>
                <w:webHidden/>
              </w:rPr>
              <w:fldChar w:fldCharType="end"/>
            </w:r>
          </w:hyperlink>
        </w:p>
        <w:p w:rsidR="002E35D6" w:rsidRDefault="00DD5538">
          <w:pPr>
            <w:pStyle w:val="TOC2"/>
            <w:rPr>
              <w:rFonts w:eastAsiaTheme="minorEastAsia"/>
              <w:noProof/>
              <w:lang w:eastAsia="en-AU"/>
            </w:rPr>
          </w:pPr>
          <w:hyperlink w:anchor="_Toc505681260" w:history="1">
            <w:r w:rsidR="002E35D6" w:rsidRPr="00B54329">
              <w:rPr>
                <w:rStyle w:val="Hyperlink"/>
                <w:noProof/>
              </w:rPr>
              <w:t>Recognition of other unions</w:t>
            </w:r>
            <w:r w:rsidR="002E35D6">
              <w:rPr>
                <w:noProof/>
                <w:webHidden/>
              </w:rPr>
              <w:tab/>
            </w:r>
            <w:r w:rsidR="002E35D6">
              <w:rPr>
                <w:noProof/>
                <w:webHidden/>
              </w:rPr>
              <w:fldChar w:fldCharType="begin"/>
            </w:r>
            <w:r w:rsidR="002E35D6">
              <w:rPr>
                <w:noProof/>
                <w:webHidden/>
              </w:rPr>
              <w:instrText xml:space="preserve"> PAGEREF _Toc505681260 \h </w:instrText>
            </w:r>
            <w:r w:rsidR="002E35D6">
              <w:rPr>
                <w:noProof/>
                <w:webHidden/>
              </w:rPr>
            </w:r>
            <w:r w:rsidR="002E35D6">
              <w:rPr>
                <w:noProof/>
                <w:webHidden/>
              </w:rPr>
              <w:fldChar w:fldCharType="separate"/>
            </w:r>
            <w:r w:rsidR="002E35D6">
              <w:rPr>
                <w:noProof/>
                <w:webHidden/>
              </w:rPr>
              <w:t>27</w:t>
            </w:r>
            <w:r w:rsidR="002E35D6">
              <w:rPr>
                <w:noProof/>
                <w:webHidden/>
              </w:rPr>
              <w:fldChar w:fldCharType="end"/>
            </w:r>
          </w:hyperlink>
        </w:p>
        <w:p w:rsidR="002E35D6" w:rsidRDefault="00DD5538">
          <w:pPr>
            <w:pStyle w:val="TOC1"/>
            <w:rPr>
              <w:rFonts w:eastAsiaTheme="minorEastAsia"/>
              <w:noProof/>
              <w:lang w:eastAsia="en-AU"/>
            </w:rPr>
          </w:pPr>
          <w:hyperlink w:anchor="_Toc505681261" w:history="1">
            <w:r w:rsidR="002E35D6" w:rsidRPr="00B54329">
              <w:rPr>
                <w:rStyle w:val="Hyperlink"/>
                <w:noProof/>
              </w:rPr>
              <w:t>Six-month negotiation period and applications for approval of s 182(4) greenfields agreements</w:t>
            </w:r>
            <w:r w:rsidR="002E35D6">
              <w:rPr>
                <w:noProof/>
                <w:webHidden/>
              </w:rPr>
              <w:tab/>
            </w:r>
            <w:r w:rsidR="002E35D6">
              <w:rPr>
                <w:noProof/>
                <w:webHidden/>
              </w:rPr>
              <w:fldChar w:fldCharType="begin"/>
            </w:r>
            <w:r w:rsidR="002E35D6">
              <w:rPr>
                <w:noProof/>
                <w:webHidden/>
              </w:rPr>
              <w:instrText xml:space="preserve"> PAGEREF _Toc505681261 \h </w:instrText>
            </w:r>
            <w:r w:rsidR="002E35D6">
              <w:rPr>
                <w:noProof/>
                <w:webHidden/>
              </w:rPr>
            </w:r>
            <w:r w:rsidR="002E35D6">
              <w:rPr>
                <w:noProof/>
                <w:webHidden/>
              </w:rPr>
              <w:fldChar w:fldCharType="separate"/>
            </w:r>
            <w:r w:rsidR="002E35D6">
              <w:rPr>
                <w:noProof/>
                <w:webHidden/>
              </w:rPr>
              <w:t>30</w:t>
            </w:r>
            <w:r w:rsidR="002E35D6">
              <w:rPr>
                <w:noProof/>
                <w:webHidden/>
              </w:rPr>
              <w:fldChar w:fldCharType="end"/>
            </w:r>
          </w:hyperlink>
        </w:p>
        <w:p w:rsidR="002E35D6" w:rsidRDefault="00DD5538">
          <w:pPr>
            <w:pStyle w:val="TOC2"/>
            <w:rPr>
              <w:rFonts w:eastAsiaTheme="minorEastAsia"/>
              <w:noProof/>
              <w:lang w:eastAsia="en-AU"/>
            </w:rPr>
          </w:pPr>
          <w:hyperlink w:anchor="_Toc505681262" w:history="1">
            <w:r w:rsidR="002E35D6" w:rsidRPr="00B54329">
              <w:rPr>
                <w:rStyle w:val="Hyperlink"/>
                <w:noProof/>
              </w:rPr>
              <w:t>Is a six-month period appropriate?</w:t>
            </w:r>
            <w:r w:rsidR="002E35D6">
              <w:rPr>
                <w:noProof/>
                <w:webHidden/>
              </w:rPr>
              <w:tab/>
            </w:r>
            <w:r w:rsidR="002E35D6">
              <w:rPr>
                <w:noProof/>
                <w:webHidden/>
              </w:rPr>
              <w:fldChar w:fldCharType="begin"/>
            </w:r>
            <w:r w:rsidR="002E35D6">
              <w:rPr>
                <w:noProof/>
                <w:webHidden/>
              </w:rPr>
              <w:instrText xml:space="preserve"> PAGEREF _Toc505681262 \h </w:instrText>
            </w:r>
            <w:r w:rsidR="002E35D6">
              <w:rPr>
                <w:noProof/>
                <w:webHidden/>
              </w:rPr>
            </w:r>
            <w:r w:rsidR="002E35D6">
              <w:rPr>
                <w:noProof/>
                <w:webHidden/>
              </w:rPr>
              <w:fldChar w:fldCharType="separate"/>
            </w:r>
            <w:r w:rsidR="002E35D6">
              <w:rPr>
                <w:noProof/>
                <w:webHidden/>
              </w:rPr>
              <w:t>31</w:t>
            </w:r>
            <w:r w:rsidR="002E35D6">
              <w:rPr>
                <w:noProof/>
                <w:webHidden/>
              </w:rPr>
              <w:fldChar w:fldCharType="end"/>
            </w:r>
          </w:hyperlink>
        </w:p>
        <w:p w:rsidR="002E35D6" w:rsidRDefault="00DD5538">
          <w:pPr>
            <w:pStyle w:val="TOC2"/>
            <w:rPr>
              <w:rFonts w:eastAsiaTheme="minorEastAsia"/>
              <w:noProof/>
              <w:lang w:eastAsia="en-AU"/>
            </w:rPr>
          </w:pPr>
          <w:hyperlink w:anchor="_Toc505681263" w:history="1">
            <w:r w:rsidR="002E35D6" w:rsidRPr="00B54329">
              <w:rPr>
                <w:rStyle w:val="Hyperlink"/>
                <w:noProof/>
              </w:rPr>
              <w:t>Additional timing considerations</w:t>
            </w:r>
            <w:r w:rsidR="002E35D6">
              <w:rPr>
                <w:noProof/>
                <w:webHidden/>
              </w:rPr>
              <w:tab/>
            </w:r>
            <w:r w:rsidR="002E35D6">
              <w:rPr>
                <w:noProof/>
                <w:webHidden/>
              </w:rPr>
              <w:fldChar w:fldCharType="begin"/>
            </w:r>
            <w:r w:rsidR="002E35D6">
              <w:rPr>
                <w:noProof/>
                <w:webHidden/>
              </w:rPr>
              <w:instrText xml:space="preserve"> PAGEREF _Toc505681263 \h </w:instrText>
            </w:r>
            <w:r w:rsidR="002E35D6">
              <w:rPr>
                <w:noProof/>
                <w:webHidden/>
              </w:rPr>
            </w:r>
            <w:r w:rsidR="002E35D6">
              <w:rPr>
                <w:noProof/>
                <w:webHidden/>
              </w:rPr>
              <w:fldChar w:fldCharType="separate"/>
            </w:r>
            <w:r w:rsidR="002E35D6">
              <w:rPr>
                <w:noProof/>
                <w:webHidden/>
              </w:rPr>
              <w:t>36</w:t>
            </w:r>
            <w:r w:rsidR="002E35D6">
              <w:rPr>
                <w:noProof/>
                <w:webHidden/>
              </w:rPr>
              <w:fldChar w:fldCharType="end"/>
            </w:r>
          </w:hyperlink>
        </w:p>
        <w:p w:rsidR="002E35D6" w:rsidRDefault="00DD5538">
          <w:pPr>
            <w:pStyle w:val="TOC1"/>
            <w:rPr>
              <w:rFonts w:eastAsiaTheme="minorEastAsia"/>
              <w:noProof/>
              <w:lang w:eastAsia="en-AU"/>
            </w:rPr>
          </w:pPr>
          <w:hyperlink w:anchor="_Toc505681264" w:history="1">
            <w:r w:rsidR="002E35D6" w:rsidRPr="00B54329">
              <w:rPr>
                <w:rStyle w:val="Hyperlink"/>
                <w:noProof/>
              </w:rPr>
              <w:t>Prevailing pay and conditions test</w:t>
            </w:r>
            <w:r w:rsidR="002E35D6">
              <w:rPr>
                <w:noProof/>
                <w:webHidden/>
              </w:rPr>
              <w:tab/>
            </w:r>
            <w:r w:rsidR="002E35D6">
              <w:rPr>
                <w:noProof/>
                <w:webHidden/>
              </w:rPr>
              <w:fldChar w:fldCharType="begin"/>
            </w:r>
            <w:r w:rsidR="002E35D6">
              <w:rPr>
                <w:noProof/>
                <w:webHidden/>
              </w:rPr>
              <w:instrText xml:space="preserve"> PAGEREF _Toc505681264 \h </w:instrText>
            </w:r>
            <w:r w:rsidR="002E35D6">
              <w:rPr>
                <w:noProof/>
                <w:webHidden/>
              </w:rPr>
            </w:r>
            <w:r w:rsidR="002E35D6">
              <w:rPr>
                <w:noProof/>
                <w:webHidden/>
              </w:rPr>
              <w:fldChar w:fldCharType="separate"/>
            </w:r>
            <w:r w:rsidR="002E35D6">
              <w:rPr>
                <w:noProof/>
                <w:webHidden/>
              </w:rPr>
              <w:t>39</w:t>
            </w:r>
            <w:r w:rsidR="002E35D6">
              <w:rPr>
                <w:noProof/>
                <w:webHidden/>
              </w:rPr>
              <w:fldChar w:fldCharType="end"/>
            </w:r>
          </w:hyperlink>
        </w:p>
        <w:p w:rsidR="002E35D6" w:rsidRDefault="00DD5538">
          <w:pPr>
            <w:pStyle w:val="TOC2"/>
            <w:rPr>
              <w:rFonts w:eastAsiaTheme="minorEastAsia"/>
              <w:noProof/>
              <w:lang w:eastAsia="en-AU"/>
            </w:rPr>
          </w:pPr>
          <w:hyperlink w:anchor="_Toc505681265" w:history="1">
            <w:r w:rsidR="002E35D6" w:rsidRPr="00B54329">
              <w:rPr>
                <w:rStyle w:val="Hyperlink"/>
                <w:noProof/>
              </w:rPr>
              <w:t>Productivity Commission recommendations</w:t>
            </w:r>
            <w:r w:rsidR="002E35D6">
              <w:rPr>
                <w:noProof/>
                <w:webHidden/>
              </w:rPr>
              <w:tab/>
            </w:r>
            <w:r w:rsidR="002E35D6">
              <w:rPr>
                <w:noProof/>
                <w:webHidden/>
              </w:rPr>
              <w:fldChar w:fldCharType="begin"/>
            </w:r>
            <w:r w:rsidR="002E35D6">
              <w:rPr>
                <w:noProof/>
                <w:webHidden/>
              </w:rPr>
              <w:instrText xml:space="preserve"> PAGEREF _Toc505681265 \h </w:instrText>
            </w:r>
            <w:r w:rsidR="002E35D6">
              <w:rPr>
                <w:noProof/>
                <w:webHidden/>
              </w:rPr>
            </w:r>
            <w:r w:rsidR="002E35D6">
              <w:rPr>
                <w:noProof/>
                <w:webHidden/>
              </w:rPr>
              <w:fldChar w:fldCharType="separate"/>
            </w:r>
            <w:r w:rsidR="002E35D6">
              <w:rPr>
                <w:noProof/>
                <w:webHidden/>
              </w:rPr>
              <w:t>40</w:t>
            </w:r>
            <w:r w:rsidR="002E35D6">
              <w:rPr>
                <w:noProof/>
                <w:webHidden/>
              </w:rPr>
              <w:fldChar w:fldCharType="end"/>
            </w:r>
          </w:hyperlink>
        </w:p>
        <w:p w:rsidR="002E35D6" w:rsidRDefault="00DD5538">
          <w:pPr>
            <w:pStyle w:val="TOC1"/>
            <w:rPr>
              <w:rFonts w:eastAsiaTheme="minorEastAsia"/>
              <w:noProof/>
              <w:lang w:eastAsia="en-AU"/>
            </w:rPr>
          </w:pPr>
          <w:hyperlink w:anchor="_Toc505681266" w:history="1">
            <w:r w:rsidR="002E35D6" w:rsidRPr="00B54329">
              <w:rPr>
                <w:rStyle w:val="Hyperlink"/>
                <w:noProof/>
              </w:rPr>
              <w:t>Agreements made with small voting cohorts</w:t>
            </w:r>
            <w:r w:rsidR="002E35D6">
              <w:rPr>
                <w:noProof/>
                <w:webHidden/>
              </w:rPr>
              <w:tab/>
            </w:r>
            <w:r w:rsidR="002E35D6">
              <w:rPr>
                <w:noProof/>
                <w:webHidden/>
              </w:rPr>
              <w:fldChar w:fldCharType="begin"/>
            </w:r>
            <w:r w:rsidR="002E35D6">
              <w:rPr>
                <w:noProof/>
                <w:webHidden/>
              </w:rPr>
              <w:instrText xml:space="preserve"> PAGEREF _Toc505681266 \h </w:instrText>
            </w:r>
            <w:r w:rsidR="002E35D6">
              <w:rPr>
                <w:noProof/>
                <w:webHidden/>
              </w:rPr>
            </w:r>
            <w:r w:rsidR="002E35D6">
              <w:rPr>
                <w:noProof/>
                <w:webHidden/>
              </w:rPr>
              <w:fldChar w:fldCharType="separate"/>
            </w:r>
            <w:r w:rsidR="002E35D6">
              <w:rPr>
                <w:noProof/>
                <w:webHidden/>
              </w:rPr>
              <w:t>44</w:t>
            </w:r>
            <w:r w:rsidR="002E35D6">
              <w:rPr>
                <w:noProof/>
                <w:webHidden/>
              </w:rPr>
              <w:fldChar w:fldCharType="end"/>
            </w:r>
          </w:hyperlink>
        </w:p>
        <w:p w:rsidR="002E35D6" w:rsidRDefault="00DD5538">
          <w:pPr>
            <w:pStyle w:val="TOC1"/>
            <w:rPr>
              <w:rFonts w:eastAsiaTheme="minorEastAsia"/>
              <w:noProof/>
              <w:lang w:eastAsia="en-AU"/>
            </w:rPr>
          </w:pPr>
          <w:hyperlink w:anchor="_Toc505681267" w:history="1">
            <w:r w:rsidR="002E35D6" w:rsidRPr="00B54329">
              <w:rPr>
                <w:rStyle w:val="Hyperlink"/>
                <w:noProof/>
              </w:rPr>
              <w:t>The duration of greenfields agreements</w:t>
            </w:r>
            <w:r w:rsidR="002E35D6">
              <w:rPr>
                <w:noProof/>
                <w:webHidden/>
              </w:rPr>
              <w:tab/>
            </w:r>
            <w:r w:rsidR="002E35D6">
              <w:rPr>
                <w:noProof/>
                <w:webHidden/>
              </w:rPr>
              <w:fldChar w:fldCharType="begin"/>
            </w:r>
            <w:r w:rsidR="002E35D6">
              <w:rPr>
                <w:noProof/>
                <w:webHidden/>
              </w:rPr>
              <w:instrText xml:space="preserve"> PAGEREF _Toc505681267 \h </w:instrText>
            </w:r>
            <w:r w:rsidR="002E35D6">
              <w:rPr>
                <w:noProof/>
                <w:webHidden/>
              </w:rPr>
            </w:r>
            <w:r w:rsidR="002E35D6">
              <w:rPr>
                <w:noProof/>
                <w:webHidden/>
              </w:rPr>
              <w:fldChar w:fldCharType="separate"/>
            </w:r>
            <w:r w:rsidR="002E35D6">
              <w:rPr>
                <w:noProof/>
                <w:webHidden/>
              </w:rPr>
              <w:t>50</w:t>
            </w:r>
            <w:r w:rsidR="002E35D6">
              <w:rPr>
                <w:noProof/>
                <w:webHidden/>
              </w:rPr>
              <w:fldChar w:fldCharType="end"/>
            </w:r>
          </w:hyperlink>
        </w:p>
        <w:p w:rsidR="002E35D6" w:rsidRDefault="00DD5538">
          <w:pPr>
            <w:pStyle w:val="TOC1"/>
            <w:rPr>
              <w:rFonts w:eastAsiaTheme="minorEastAsia"/>
              <w:noProof/>
              <w:lang w:eastAsia="en-AU"/>
            </w:rPr>
          </w:pPr>
          <w:hyperlink w:anchor="_Toc505681268" w:history="1">
            <w:r w:rsidR="002E35D6" w:rsidRPr="00B54329">
              <w:rPr>
                <w:rStyle w:val="Hyperlink"/>
                <w:noProof/>
              </w:rPr>
              <w:t>Conclusion</w:t>
            </w:r>
            <w:r w:rsidR="002E35D6">
              <w:rPr>
                <w:noProof/>
                <w:webHidden/>
              </w:rPr>
              <w:tab/>
            </w:r>
            <w:r w:rsidR="002E35D6">
              <w:rPr>
                <w:noProof/>
                <w:webHidden/>
              </w:rPr>
              <w:fldChar w:fldCharType="begin"/>
            </w:r>
            <w:r w:rsidR="002E35D6">
              <w:rPr>
                <w:noProof/>
                <w:webHidden/>
              </w:rPr>
              <w:instrText xml:space="preserve"> PAGEREF _Toc505681268 \h </w:instrText>
            </w:r>
            <w:r w:rsidR="002E35D6">
              <w:rPr>
                <w:noProof/>
                <w:webHidden/>
              </w:rPr>
            </w:r>
            <w:r w:rsidR="002E35D6">
              <w:rPr>
                <w:noProof/>
                <w:webHidden/>
              </w:rPr>
              <w:fldChar w:fldCharType="separate"/>
            </w:r>
            <w:r w:rsidR="002E35D6">
              <w:rPr>
                <w:noProof/>
                <w:webHidden/>
              </w:rPr>
              <w:t>51</w:t>
            </w:r>
            <w:r w:rsidR="002E35D6">
              <w:rPr>
                <w:noProof/>
                <w:webHidden/>
              </w:rPr>
              <w:fldChar w:fldCharType="end"/>
            </w:r>
          </w:hyperlink>
        </w:p>
        <w:p w:rsidR="002E35D6" w:rsidRDefault="00DD5538">
          <w:pPr>
            <w:pStyle w:val="TOC1"/>
            <w:rPr>
              <w:rFonts w:eastAsiaTheme="minorEastAsia"/>
              <w:noProof/>
              <w:lang w:eastAsia="en-AU"/>
            </w:rPr>
          </w:pPr>
          <w:hyperlink w:anchor="_Toc505681269" w:history="1">
            <w:r w:rsidR="002E35D6" w:rsidRPr="00B54329">
              <w:rPr>
                <w:rStyle w:val="Hyperlink"/>
                <w:noProof/>
              </w:rPr>
              <w:t>Attachment A – Biography of Matthew O’Callaghan</w:t>
            </w:r>
            <w:r w:rsidR="002E35D6">
              <w:rPr>
                <w:noProof/>
                <w:webHidden/>
              </w:rPr>
              <w:tab/>
            </w:r>
            <w:r w:rsidR="002E35D6">
              <w:rPr>
                <w:noProof/>
                <w:webHidden/>
              </w:rPr>
              <w:fldChar w:fldCharType="begin"/>
            </w:r>
            <w:r w:rsidR="002E35D6">
              <w:rPr>
                <w:noProof/>
                <w:webHidden/>
              </w:rPr>
              <w:instrText xml:space="preserve"> PAGEREF _Toc505681269 \h </w:instrText>
            </w:r>
            <w:r w:rsidR="002E35D6">
              <w:rPr>
                <w:noProof/>
                <w:webHidden/>
              </w:rPr>
            </w:r>
            <w:r w:rsidR="002E35D6">
              <w:rPr>
                <w:noProof/>
                <w:webHidden/>
              </w:rPr>
              <w:fldChar w:fldCharType="separate"/>
            </w:r>
            <w:r w:rsidR="002E35D6">
              <w:rPr>
                <w:noProof/>
                <w:webHidden/>
              </w:rPr>
              <w:t>53</w:t>
            </w:r>
            <w:r w:rsidR="002E35D6">
              <w:rPr>
                <w:noProof/>
                <w:webHidden/>
              </w:rPr>
              <w:fldChar w:fldCharType="end"/>
            </w:r>
          </w:hyperlink>
        </w:p>
        <w:p w:rsidR="002E35D6" w:rsidRDefault="00DD5538">
          <w:pPr>
            <w:pStyle w:val="TOC1"/>
            <w:rPr>
              <w:rFonts w:eastAsiaTheme="minorEastAsia"/>
              <w:noProof/>
              <w:lang w:eastAsia="en-AU"/>
            </w:rPr>
          </w:pPr>
          <w:hyperlink w:anchor="_Toc505681270" w:history="1">
            <w:r w:rsidR="002E35D6" w:rsidRPr="00B54329">
              <w:rPr>
                <w:rStyle w:val="Hyperlink"/>
                <w:noProof/>
              </w:rPr>
              <w:t>Attachment B - Greenfields agreement provisions and the Fair Work Act</w:t>
            </w:r>
            <w:r w:rsidR="002E35D6">
              <w:rPr>
                <w:noProof/>
                <w:webHidden/>
              </w:rPr>
              <w:tab/>
            </w:r>
            <w:r w:rsidR="002E35D6">
              <w:rPr>
                <w:noProof/>
                <w:webHidden/>
              </w:rPr>
              <w:fldChar w:fldCharType="begin"/>
            </w:r>
            <w:r w:rsidR="002E35D6">
              <w:rPr>
                <w:noProof/>
                <w:webHidden/>
              </w:rPr>
              <w:instrText xml:space="preserve"> PAGEREF _Toc505681270 \h </w:instrText>
            </w:r>
            <w:r w:rsidR="002E35D6">
              <w:rPr>
                <w:noProof/>
                <w:webHidden/>
              </w:rPr>
            </w:r>
            <w:r w:rsidR="002E35D6">
              <w:rPr>
                <w:noProof/>
                <w:webHidden/>
              </w:rPr>
              <w:fldChar w:fldCharType="separate"/>
            </w:r>
            <w:r w:rsidR="002E35D6">
              <w:rPr>
                <w:noProof/>
                <w:webHidden/>
              </w:rPr>
              <w:t>54</w:t>
            </w:r>
            <w:r w:rsidR="002E35D6">
              <w:rPr>
                <w:noProof/>
                <w:webHidden/>
              </w:rPr>
              <w:fldChar w:fldCharType="end"/>
            </w:r>
          </w:hyperlink>
        </w:p>
        <w:p w:rsidR="002E35D6" w:rsidRDefault="00DD5538">
          <w:pPr>
            <w:pStyle w:val="TOC1"/>
            <w:rPr>
              <w:rFonts w:eastAsiaTheme="minorEastAsia"/>
              <w:noProof/>
              <w:lang w:eastAsia="en-AU"/>
            </w:rPr>
          </w:pPr>
          <w:hyperlink w:anchor="_Toc505681271" w:history="1">
            <w:r w:rsidR="002E35D6" w:rsidRPr="00B54329">
              <w:rPr>
                <w:rStyle w:val="Hyperlink"/>
                <w:noProof/>
              </w:rPr>
              <w:t>Attachment C - Agreements approved by ANZSIC and period approved</w:t>
            </w:r>
            <w:r w:rsidR="002E35D6">
              <w:rPr>
                <w:noProof/>
                <w:webHidden/>
              </w:rPr>
              <w:tab/>
            </w:r>
            <w:r w:rsidR="002E35D6">
              <w:rPr>
                <w:noProof/>
                <w:webHidden/>
              </w:rPr>
              <w:fldChar w:fldCharType="begin"/>
            </w:r>
            <w:r w:rsidR="002E35D6">
              <w:rPr>
                <w:noProof/>
                <w:webHidden/>
              </w:rPr>
              <w:instrText xml:space="preserve"> PAGEREF _Toc505681271 \h </w:instrText>
            </w:r>
            <w:r w:rsidR="002E35D6">
              <w:rPr>
                <w:noProof/>
                <w:webHidden/>
              </w:rPr>
            </w:r>
            <w:r w:rsidR="002E35D6">
              <w:rPr>
                <w:noProof/>
                <w:webHidden/>
              </w:rPr>
              <w:fldChar w:fldCharType="separate"/>
            </w:r>
            <w:r w:rsidR="002E35D6">
              <w:rPr>
                <w:noProof/>
                <w:webHidden/>
              </w:rPr>
              <w:t>57</w:t>
            </w:r>
            <w:r w:rsidR="002E35D6">
              <w:rPr>
                <w:noProof/>
                <w:webHidden/>
              </w:rPr>
              <w:fldChar w:fldCharType="end"/>
            </w:r>
          </w:hyperlink>
        </w:p>
        <w:p w:rsidR="00514E04" w:rsidRDefault="00A01583" w:rsidP="00514E04">
          <w:pPr>
            <w:rPr>
              <w:b/>
              <w:bCs/>
            </w:rPr>
          </w:pPr>
          <w:r w:rsidRPr="0090554C">
            <w:rPr>
              <w:b/>
              <w:bCs/>
            </w:rPr>
            <w:fldChar w:fldCharType="end"/>
          </w:r>
        </w:p>
      </w:sdtContent>
    </w:sdt>
    <w:p w:rsidR="005044A2" w:rsidRDefault="005044A2" w:rsidP="005044A2">
      <w:pPr>
        <w:pStyle w:val="Heading1"/>
      </w:pPr>
      <w:bookmarkStart w:id="1" w:name="_Toc505681241"/>
      <w:r>
        <w:lastRenderedPageBreak/>
        <w:t>Glossary</w:t>
      </w:r>
      <w:bookmarkEnd w:id="1"/>
    </w:p>
    <w:p w:rsidR="001606DC" w:rsidRPr="001606DC" w:rsidRDefault="001606DC" w:rsidP="001606DC">
      <w:pPr>
        <w:rPr>
          <w:lang w:val="en-US"/>
        </w:rPr>
      </w:pPr>
      <w:r w:rsidRPr="001606DC">
        <w:rPr>
          <w:b/>
          <w:lang w:val="en-US"/>
        </w:rPr>
        <w:t xml:space="preserve">ABI </w:t>
      </w:r>
      <w:r w:rsidRPr="001606DC">
        <w:rPr>
          <w:lang w:val="en-US"/>
        </w:rPr>
        <w:t>Australian Business Industrial</w:t>
      </w:r>
    </w:p>
    <w:p w:rsidR="001606DC" w:rsidRPr="001606DC" w:rsidRDefault="001606DC" w:rsidP="001606DC">
      <w:pPr>
        <w:rPr>
          <w:lang w:val="en-US"/>
        </w:rPr>
      </w:pPr>
      <w:r w:rsidRPr="001606DC">
        <w:rPr>
          <w:b/>
          <w:lang w:val="en-US"/>
        </w:rPr>
        <w:t xml:space="preserve">ACCI </w:t>
      </w:r>
      <w:r w:rsidRPr="001606DC">
        <w:rPr>
          <w:lang w:val="en-US"/>
        </w:rPr>
        <w:t>Australian Chamber of Commerce and Industry</w:t>
      </w:r>
    </w:p>
    <w:p w:rsidR="001606DC" w:rsidRPr="001606DC" w:rsidRDefault="001606DC" w:rsidP="001606DC">
      <w:pPr>
        <w:rPr>
          <w:lang w:val="en-US"/>
        </w:rPr>
      </w:pPr>
      <w:r w:rsidRPr="001606DC">
        <w:rPr>
          <w:b/>
          <w:lang w:val="en-US"/>
        </w:rPr>
        <w:t xml:space="preserve">ACTU </w:t>
      </w:r>
      <w:r w:rsidRPr="001606DC">
        <w:rPr>
          <w:lang w:val="en-US"/>
        </w:rPr>
        <w:t>Australian Council of Trade Unions</w:t>
      </w:r>
    </w:p>
    <w:p w:rsidR="001606DC" w:rsidRPr="001606DC" w:rsidRDefault="001606DC" w:rsidP="001606DC">
      <w:pPr>
        <w:rPr>
          <w:lang w:val="en-US"/>
        </w:rPr>
      </w:pPr>
      <w:r w:rsidRPr="001606DC">
        <w:rPr>
          <w:b/>
          <w:lang w:val="en-US"/>
        </w:rPr>
        <w:t xml:space="preserve">AiG </w:t>
      </w:r>
      <w:r w:rsidRPr="001606DC">
        <w:rPr>
          <w:lang w:val="en-US"/>
        </w:rPr>
        <w:t>Australian Industry Group</w:t>
      </w:r>
    </w:p>
    <w:p w:rsidR="001606DC" w:rsidRPr="001606DC" w:rsidRDefault="001606DC" w:rsidP="001606DC">
      <w:pPr>
        <w:rPr>
          <w:lang w:val="en-US"/>
        </w:rPr>
      </w:pPr>
      <w:r w:rsidRPr="001606DC">
        <w:rPr>
          <w:b/>
          <w:lang w:val="en-US"/>
        </w:rPr>
        <w:t xml:space="preserve">AFAP </w:t>
      </w:r>
      <w:r w:rsidRPr="001606DC">
        <w:rPr>
          <w:lang w:val="en-US"/>
        </w:rPr>
        <w:t>Australian Federation of Air Pilots</w:t>
      </w:r>
    </w:p>
    <w:p w:rsidR="001606DC" w:rsidRPr="001606DC" w:rsidRDefault="001606DC" w:rsidP="001606DC">
      <w:pPr>
        <w:rPr>
          <w:lang w:val="en-US"/>
        </w:rPr>
      </w:pPr>
      <w:r w:rsidRPr="001606DC">
        <w:rPr>
          <w:b/>
          <w:lang w:val="en-US"/>
        </w:rPr>
        <w:t xml:space="preserve">AMWU </w:t>
      </w:r>
      <w:r w:rsidRPr="001606DC">
        <w:rPr>
          <w:lang w:val="en-US"/>
        </w:rPr>
        <w:t>Australian Manufacturing Workers’ Union</w:t>
      </w:r>
    </w:p>
    <w:p w:rsidR="001606DC" w:rsidRPr="001606DC" w:rsidRDefault="001606DC" w:rsidP="001606DC">
      <w:pPr>
        <w:rPr>
          <w:lang w:val="en-US"/>
        </w:rPr>
      </w:pPr>
      <w:r w:rsidRPr="001606DC">
        <w:rPr>
          <w:b/>
          <w:lang w:val="en-US"/>
        </w:rPr>
        <w:t xml:space="preserve">AMMA </w:t>
      </w:r>
      <w:r w:rsidRPr="001606DC">
        <w:rPr>
          <w:lang w:val="en-US"/>
        </w:rPr>
        <w:t>Australian Mines and Metals Association</w:t>
      </w:r>
    </w:p>
    <w:p w:rsidR="001606DC" w:rsidRDefault="001606DC" w:rsidP="001606DC">
      <w:pPr>
        <w:rPr>
          <w:lang w:val="en-US"/>
        </w:rPr>
      </w:pPr>
      <w:r w:rsidRPr="001606DC">
        <w:rPr>
          <w:b/>
          <w:lang w:val="en-US"/>
        </w:rPr>
        <w:t xml:space="preserve">ANMF </w:t>
      </w:r>
      <w:r w:rsidRPr="001606DC">
        <w:rPr>
          <w:lang w:val="en-US"/>
        </w:rPr>
        <w:t xml:space="preserve">Australian Nursing </w:t>
      </w:r>
      <w:r w:rsidR="002E35D6">
        <w:rPr>
          <w:lang w:val="en-US"/>
        </w:rPr>
        <w:t>and</w:t>
      </w:r>
      <w:r w:rsidRPr="001606DC">
        <w:rPr>
          <w:lang w:val="en-US"/>
        </w:rPr>
        <w:t xml:space="preserve"> Midwifery Federation</w:t>
      </w:r>
    </w:p>
    <w:p w:rsidR="00973A41" w:rsidRPr="00973A41" w:rsidRDefault="00973A41" w:rsidP="001606DC">
      <w:pPr>
        <w:rPr>
          <w:lang w:val="en-US"/>
        </w:rPr>
      </w:pPr>
      <w:r>
        <w:rPr>
          <w:b/>
          <w:lang w:val="en-US"/>
        </w:rPr>
        <w:t xml:space="preserve">ANZSIC </w:t>
      </w:r>
      <w:r>
        <w:rPr>
          <w:lang w:val="en-US"/>
        </w:rPr>
        <w:t>Australian and New Zealand Standard Industrial Classification</w:t>
      </w:r>
    </w:p>
    <w:p w:rsidR="001606DC" w:rsidRPr="001606DC" w:rsidRDefault="001606DC" w:rsidP="001606DC">
      <w:pPr>
        <w:rPr>
          <w:lang w:val="en-US"/>
        </w:rPr>
      </w:pPr>
      <w:r w:rsidRPr="001606DC">
        <w:rPr>
          <w:b/>
          <w:lang w:val="en-US"/>
        </w:rPr>
        <w:t xml:space="preserve">AWU </w:t>
      </w:r>
      <w:r w:rsidRPr="001606DC">
        <w:rPr>
          <w:lang w:val="en-US"/>
        </w:rPr>
        <w:t>Australian Workers’ Union</w:t>
      </w:r>
    </w:p>
    <w:p w:rsidR="00D81BBC" w:rsidRPr="00D81BBC" w:rsidRDefault="00D81BBC" w:rsidP="00D81BBC">
      <w:pPr>
        <w:rPr>
          <w:lang w:val="en-US"/>
        </w:rPr>
      </w:pPr>
      <w:r>
        <w:rPr>
          <w:b/>
          <w:lang w:val="en-US"/>
        </w:rPr>
        <w:t>AAWI</w:t>
      </w:r>
      <w:r>
        <w:rPr>
          <w:lang w:val="en-US"/>
        </w:rPr>
        <w:t xml:space="preserve"> </w:t>
      </w:r>
      <w:r w:rsidRPr="00D81BBC">
        <w:t>Average Annual Wage Increase</w:t>
      </w:r>
    </w:p>
    <w:p w:rsidR="001606DC" w:rsidRPr="001606DC" w:rsidRDefault="001606DC" w:rsidP="001606DC">
      <w:pPr>
        <w:rPr>
          <w:lang w:val="en-US"/>
        </w:rPr>
      </w:pPr>
      <w:r w:rsidRPr="001606DC">
        <w:rPr>
          <w:b/>
          <w:lang w:val="en-US"/>
        </w:rPr>
        <w:t xml:space="preserve">BCA </w:t>
      </w:r>
      <w:r w:rsidRPr="001606DC">
        <w:rPr>
          <w:lang w:val="en-US"/>
        </w:rPr>
        <w:t>Business Council of Australia</w:t>
      </w:r>
    </w:p>
    <w:p w:rsidR="001807EE" w:rsidRPr="001807EE" w:rsidRDefault="001807EE" w:rsidP="0045480E">
      <w:pPr>
        <w:rPr>
          <w:lang w:val="en-US"/>
        </w:rPr>
      </w:pPr>
      <w:r>
        <w:rPr>
          <w:b/>
          <w:lang w:val="en-US"/>
        </w:rPr>
        <w:t>BOOT</w:t>
      </w:r>
      <w:r>
        <w:rPr>
          <w:lang w:val="en-US"/>
        </w:rPr>
        <w:t xml:space="preserve"> Better off overall test</w:t>
      </w:r>
    </w:p>
    <w:p w:rsidR="001606DC" w:rsidRPr="0045480E" w:rsidRDefault="001606DC" w:rsidP="0045480E">
      <w:pPr>
        <w:rPr>
          <w:lang w:val="en-US"/>
        </w:rPr>
      </w:pPr>
      <w:r w:rsidRPr="001606DC">
        <w:rPr>
          <w:b/>
          <w:lang w:val="en-US"/>
        </w:rPr>
        <w:t xml:space="preserve">CFMEU </w:t>
      </w:r>
      <w:r w:rsidR="0045480E" w:rsidRPr="0045480E">
        <w:rPr>
          <w:lang w:val="en-US"/>
        </w:rPr>
        <w:t>Construction, Forestry, Mining and Energy Union</w:t>
      </w:r>
    </w:p>
    <w:p w:rsidR="001606DC" w:rsidRPr="001606DC" w:rsidRDefault="001606DC" w:rsidP="001606DC">
      <w:pPr>
        <w:rPr>
          <w:lang w:val="en-US"/>
        </w:rPr>
      </w:pPr>
      <w:r w:rsidRPr="001606DC">
        <w:rPr>
          <w:b/>
          <w:lang w:val="en-US"/>
        </w:rPr>
        <w:t xml:space="preserve">FWC </w:t>
      </w:r>
      <w:r w:rsidRPr="001606DC">
        <w:rPr>
          <w:lang w:val="en-US"/>
        </w:rPr>
        <w:t>Fair Work Commission</w:t>
      </w:r>
    </w:p>
    <w:p w:rsidR="001606DC" w:rsidRPr="001606DC" w:rsidRDefault="001606DC" w:rsidP="001606DC">
      <w:pPr>
        <w:rPr>
          <w:lang w:val="en-US"/>
        </w:rPr>
      </w:pPr>
      <w:r w:rsidRPr="001606DC">
        <w:rPr>
          <w:b/>
          <w:lang w:val="en-US"/>
        </w:rPr>
        <w:t xml:space="preserve">LPA </w:t>
      </w:r>
      <w:r w:rsidRPr="001606DC">
        <w:rPr>
          <w:lang w:val="en-US"/>
        </w:rPr>
        <w:t>Live Performances Australia</w:t>
      </w:r>
    </w:p>
    <w:p w:rsidR="001606DC" w:rsidRPr="001606DC" w:rsidRDefault="001606DC" w:rsidP="001606DC">
      <w:pPr>
        <w:rPr>
          <w:lang w:val="en-US"/>
        </w:rPr>
      </w:pPr>
      <w:r w:rsidRPr="001606DC">
        <w:rPr>
          <w:b/>
          <w:lang w:val="en-US"/>
        </w:rPr>
        <w:t xml:space="preserve">MBA </w:t>
      </w:r>
      <w:r w:rsidR="00265173">
        <w:rPr>
          <w:lang w:val="en-US"/>
        </w:rPr>
        <w:t>Master Builders Australia</w:t>
      </w:r>
    </w:p>
    <w:p w:rsidR="001606DC" w:rsidRDefault="001606DC" w:rsidP="001606DC">
      <w:pPr>
        <w:rPr>
          <w:lang w:val="en-US"/>
        </w:rPr>
      </w:pPr>
      <w:r w:rsidRPr="001606DC">
        <w:rPr>
          <w:b/>
          <w:lang w:val="en-US"/>
        </w:rPr>
        <w:t xml:space="preserve">MUA </w:t>
      </w:r>
      <w:r w:rsidRPr="001606DC">
        <w:rPr>
          <w:lang w:val="en-US"/>
        </w:rPr>
        <w:t>Maritime Union of Australia</w:t>
      </w:r>
    </w:p>
    <w:p w:rsidR="00D66D14" w:rsidRPr="00D66D14" w:rsidRDefault="00D66D14" w:rsidP="001606DC">
      <w:pPr>
        <w:rPr>
          <w:lang w:val="en-US"/>
        </w:rPr>
      </w:pPr>
      <w:r>
        <w:rPr>
          <w:b/>
          <w:lang w:val="en-US"/>
        </w:rPr>
        <w:t>WAD</w:t>
      </w:r>
      <w:r>
        <w:rPr>
          <w:lang w:val="en-US"/>
        </w:rPr>
        <w:t xml:space="preserve"> Workplace Agreements Database</w:t>
      </w:r>
    </w:p>
    <w:p w:rsidR="009F462B" w:rsidRDefault="009F462B" w:rsidP="005044A2">
      <w:r>
        <w:br w:type="page"/>
      </w:r>
    </w:p>
    <w:p w:rsidR="00A01583" w:rsidRPr="0090554C" w:rsidRDefault="002E35D6" w:rsidP="00A01583">
      <w:pPr>
        <w:pStyle w:val="Heading1"/>
      </w:pPr>
      <w:bookmarkStart w:id="2" w:name="_Toc505681242"/>
      <w:r>
        <w:lastRenderedPageBreak/>
        <w:t>Executive s</w:t>
      </w:r>
      <w:r w:rsidR="00A01583" w:rsidRPr="0090554C">
        <w:t>ummary</w:t>
      </w:r>
      <w:bookmarkEnd w:id="2"/>
    </w:p>
    <w:p w:rsidR="001606DC" w:rsidRDefault="00C17EBD" w:rsidP="00305377">
      <w:r>
        <w:t xml:space="preserve">This </w:t>
      </w:r>
      <w:r w:rsidR="002A31CA">
        <w:t xml:space="preserve">review </w:t>
      </w:r>
      <w:r>
        <w:t xml:space="preserve">is </w:t>
      </w:r>
      <w:r w:rsidR="0056788D">
        <w:t xml:space="preserve">provided </w:t>
      </w:r>
      <w:r>
        <w:t xml:space="preserve">pursuant to the </w:t>
      </w:r>
      <w:r w:rsidR="00EE71F3" w:rsidRPr="00EE71F3">
        <w:rPr>
          <w:i/>
        </w:rPr>
        <w:t xml:space="preserve">Fair Work Amendment Act </w:t>
      </w:r>
      <w:r w:rsidRPr="00EE71F3">
        <w:rPr>
          <w:i/>
        </w:rPr>
        <w:t>2015</w:t>
      </w:r>
      <w:r w:rsidR="00EE71F3">
        <w:t xml:space="preserve"> (the Amendment Act)</w:t>
      </w:r>
      <w:r>
        <w:t xml:space="preserve"> legislation which amended </w:t>
      </w:r>
      <w:r w:rsidRPr="00272BA8">
        <w:t xml:space="preserve">the </w:t>
      </w:r>
      <w:r w:rsidR="00272BA8" w:rsidRPr="00272BA8">
        <w:rPr>
          <w:i/>
        </w:rPr>
        <w:t xml:space="preserve">Fair Work Act 2009 </w:t>
      </w:r>
      <w:r w:rsidR="00272BA8" w:rsidRPr="00272BA8">
        <w:t>(Fair Work Act)</w:t>
      </w:r>
      <w:r>
        <w:t xml:space="preserve"> provisions dealing with greenfields agreements. </w:t>
      </w:r>
    </w:p>
    <w:p w:rsidR="00305377" w:rsidRDefault="00C17EBD" w:rsidP="00305377">
      <w:r>
        <w:t xml:space="preserve">Those amendments established a requirement that employers and unions </w:t>
      </w:r>
      <w:r w:rsidR="002A31CA">
        <w:t xml:space="preserve">negotiating for a </w:t>
      </w:r>
      <w:r>
        <w:t>greenfields agreement</w:t>
      </w:r>
      <w:r w:rsidR="002A31CA">
        <w:t xml:space="preserve"> must</w:t>
      </w:r>
      <w:r>
        <w:t xml:space="preserve"> comply with the good faith bargaining </w:t>
      </w:r>
      <w:r w:rsidR="002A31CA">
        <w:t>requirements, which previously only applied to bargaining for non-greenfields agreements</w:t>
      </w:r>
      <w:r>
        <w:t>. The amendments also established a</w:t>
      </w:r>
      <w:r w:rsidR="002A31CA">
        <w:t>n option</w:t>
      </w:r>
      <w:r w:rsidR="00EC06FB">
        <w:t xml:space="preserve"> of a notified </w:t>
      </w:r>
      <w:r w:rsidR="002A31CA">
        <w:t>six-month negotiation timeframe</w:t>
      </w:r>
      <w:r>
        <w:t xml:space="preserve"> for employers </w:t>
      </w:r>
      <w:r w:rsidR="002A31CA">
        <w:t>and unions</w:t>
      </w:r>
      <w:r>
        <w:t xml:space="preserve"> to make a greenfields agreement</w:t>
      </w:r>
      <w:r w:rsidR="002A31CA">
        <w:t xml:space="preserve">. </w:t>
      </w:r>
      <w:r w:rsidR="007F0EC3">
        <w:t>An employer</w:t>
      </w:r>
      <w:r w:rsidR="002A31CA">
        <w:t xml:space="preserve"> is able to apply to the</w:t>
      </w:r>
      <w:r>
        <w:t xml:space="preserve"> </w:t>
      </w:r>
      <w:r w:rsidR="0056788D">
        <w:t xml:space="preserve">Fair Work Commission </w:t>
      </w:r>
      <w:r w:rsidR="002A31CA">
        <w:t xml:space="preserve">to approve its </w:t>
      </w:r>
      <w:r>
        <w:t>proposed greenfields agreement</w:t>
      </w:r>
      <w:r w:rsidR="002A31CA">
        <w:t>, where agreement cannot be reached with the relevant union in that period</w:t>
      </w:r>
      <w:r>
        <w:t>. The amendments were primarily directed at addressing concerns about greenfields agreements in the resources development sector.</w:t>
      </w:r>
    </w:p>
    <w:p w:rsidR="00C17EBD" w:rsidRDefault="00C17EBD" w:rsidP="00305377">
      <w:r>
        <w:t xml:space="preserve">Whilst </w:t>
      </w:r>
      <w:r w:rsidR="00EE71F3">
        <w:t>focused on</w:t>
      </w:r>
      <w:r>
        <w:t xml:space="preserve"> the 2015 amendments, the </w:t>
      </w:r>
      <w:r w:rsidR="00F5670F">
        <w:t xml:space="preserve">review </w:t>
      </w:r>
      <w:r>
        <w:t xml:space="preserve">has also considered a range of other issues </w:t>
      </w:r>
      <w:r w:rsidR="002A31CA">
        <w:t xml:space="preserve">relating </w:t>
      </w:r>
      <w:r>
        <w:t>to greenfields agreements.</w:t>
      </w:r>
    </w:p>
    <w:p w:rsidR="00605730" w:rsidRDefault="00605730" w:rsidP="00305377">
      <w:r>
        <w:t xml:space="preserve">Background information relating to greenfields agreements was provided to a broad range of </w:t>
      </w:r>
      <w:r w:rsidR="00265173">
        <w:t>s</w:t>
      </w:r>
      <w:r>
        <w:t>takeholders who were invited to make submissions.</w:t>
      </w:r>
    </w:p>
    <w:p w:rsidR="00605730" w:rsidRDefault="00605730" w:rsidP="00305377">
      <w:r>
        <w:t xml:space="preserve">Consideration of these legislative changes has taken into account the substantial reduction in greenfields agreements since 2015 which is primarily related to the downturn in construction activity and the end of the resources boom. The review has also noted that there is no evidence </w:t>
      </w:r>
      <w:r w:rsidR="00D863C5">
        <w:t>that</w:t>
      </w:r>
      <w:r w:rsidR="00C019EF">
        <w:t xml:space="preserve"> the good faith bargaining or agreement approval </w:t>
      </w:r>
      <w:r>
        <w:t xml:space="preserve">legislative provisions </w:t>
      </w:r>
      <w:r w:rsidR="00D863C5">
        <w:t xml:space="preserve">have been used </w:t>
      </w:r>
      <w:r>
        <w:t>since they came into effect.</w:t>
      </w:r>
    </w:p>
    <w:p w:rsidR="00B51B2A" w:rsidRDefault="00B51B2A" w:rsidP="00305377">
      <w:r>
        <w:t xml:space="preserve">The </w:t>
      </w:r>
      <w:r w:rsidR="00F5670F">
        <w:t xml:space="preserve">review </w:t>
      </w:r>
      <w:r>
        <w:t>has noted the significance of greenfields agreements to new employment in a broad range of areas.</w:t>
      </w:r>
    </w:p>
    <w:p w:rsidR="00605730" w:rsidRDefault="00605730" w:rsidP="00305377">
      <w:r>
        <w:t xml:space="preserve">The </w:t>
      </w:r>
      <w:r w:rsidR="00F5670F">
        <w:t xml:space="preserve">review </w:t>
      </w:r>
      <w:r>
        <w:t>has concluded that there is general agreement that the inclusion of good faith bargaining obligations remains appropriate and recommends that these provisions should be retained.</w:t>
      </w:r>
    </w:p>
    <w:p w:rsidR="00B51B2A" w:rsidRDefault="00B51B2A" w:rsidP="00305377">
      <w:r>
        <w:t xml:space="preserve">The </w:t>
      </w:r>
      <w:r w:rsidR="00F5670F">
        <w:t xml:space="preserve">review </w:t>
      </w:r>
      <w:r>
        <w:t>recommends that the</w:t>
      </w:r>
      <w:r w:rsidR="002A31CA">
        <w:t xml:space="preserve"> </w:t>
      </w:r>
      <w:r w:rsidR="00455B15">
        <w:t>six-month</w:t>
      </w:r>
      <w:r>
        <w:t xml:space="preserve"> </w:t>
      </w:r>
      <w:r w:rsidR="002A31CA">
        <w:t xml:space="preserve">notified </w:t>
      </w:r>
      <w:r>
        <w:t>negotiation period be reduced</w:t>
      </w:r>
      <w:r w:rsidR="0056788D">
        <w:t>.</w:t>
      </w:r>
      <w:r>
        <w:t xml:space="preserve"> </w:t>
      </w:r>
      <w:r w:rsidR="0056788D">
        <w:t xml:space="preserve">It suggests that </w:t>
      </w:r>
      <w:r w:rsidR="00514E04">
        <w:t>three</w:t>
      </w:r>
      <w:r>
        <w:t xml:space="preserve"> months </w:t>
      </w:r>
      <w:r w:rsidR="0056788D">
        <w:t xml:space="preserve">is more appropriate. The review recommends </w:t>
      </w:r>
      <w:r>
        <w:t xml:space="preserve">that the test for approval of an agreement at the end of this time should remain unchanged. </w:t>
      </w:r>
    </w:p>
    <w:p w:rsidR="00B51B2A" w:rsidRDefault="00B51B2A" w:rsidP="00305377">
      <w:r>
        <w:t>A number of initiatives to expedite the approval of greenfields agreements have been suggested.</w:t>
      </w:r>
    </w:p>
    <w:p w:rsidR="00B51B2A" w:rsidRDefault="00B51B2A" w:rsidP="00305377">
      <w:r>
        <w:t>Stakeholder</w:t>
      </w:r>
      <w:r w:rsidR="00D863C5">
        <w:t>s</w:t>
      </w:r>
      <w:r>
        <w:t xml:space="preserve"> have raised a number of other matter</w:t>
      </w:r>
      <w:r w:rsidR="0056788D">
        <w:t>s</w:t>
      </w:r>
      <w:r>
        <w:t xml:space="preserve"> related to greenfields agreements, which have also been addressed in this re</w:t>
      </w:r>
      <w:r w:rsidR="002A31CA">
        <w:t>view</w:t>
      </w:r>
      <w:r>
        <w:t>.</w:t>
      </w:r>
    </w:p>
    <w:p w:rsidR="00B51B2A" w:rsidRDefault="00B51B2A" w:rsidP="00305377">
      <w:r>
        <w:t xml:space="preserve">The </w:t>
      </w:r>
      <w:r w:rsidR="002A31CA">
        <w:t xml:space="preserve">review </w:t>
      </w:r>
      <w:r>
        <w:t xml:space="preserve">has been prepared with the very able and professional </w:t>
      </w:r>
      <w:r w:rsidR="002A31CA">
        <w:t>secretaria</w:t>
      </w:r>
      <w:r w:rsidR="00D419C0">
        <w:t>t</w:t>
      </w:r>
      <w:r w:rsidR="002A31CA">
        <w:t xml:space="preserve"> </w:t>
      </w:r>
      <w:r>
        <w:t>assistance of several officers of the Department of Employment and recognition of their contribution is entirely appropriate.</w:t>
      </w:r>
    </w:p>
    <w:p w:rsidR="002E35D6" w:rsidRDefault="002E35D6" w:rsidP="00305377">
      <w:r>
        <w:rPr>
          <w:noProof/>
          <w:lang w:eastAsia="en-AU"/>
        </w:rPr>
        <w:drawing>
          <wp:inline distT="0" distB="0" distL="0" distR="0" wp14:anchorId="5F9F67E3" wp14:editId="016163AF">
            <wp:extent cx="1405580" cy="666750"/>
            <wp:effectExtent l="0" t="0" r="4445" b="0"/>
            <wp:docPr id="1" name="Picture 1" descr="Matthew O’Callagha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96806" cy="710024"/>
                    </a:xfrm>
                    <a:prstGeom prst="rect">
                      <a:avLst/>
                    </a:prstGeom>
                  </pic:spPr>
                </pic:pic>
              </a:graphicData>
            </a:graphic>
          </wp:inline>
        </w:drawing>
      </w:r>
    </w:p>
    <w:p w:rsidR="00B51B2A" w:rsidRDefault="00B51B2A" w:rsidP="002E35D6">
      <w:pPr>
        <w:spacing w:after="0"/>
      </w:pPr>
      <w:r>
        <w:t>Matthew O’Callaghan</w:t>
      </w:r>
    </w:p>
    <w:p w:rsidR="00F7092E" w:rsidRDefault="00F7092E" w:rsidP="002E35D6">
      <w:pPr>
        <w:spacing w:after="0"/>
      </w:pPr>
      <w:r>
        <w:t>27 November 2017</w:t>
      </w:r>
    </w:p>
    <w:p w:rsidR="00990FE8" w:rsidRPr="0090554C" w:rsidRDefault="005B35C0" w:rsidP="00A01583">
      <w:pPr>
        <w:pStyle w:val="Heading1"/>
      </w:pPr>
      <w:bookmarkStart w:id="3" w:name="_Toc505681243"/>
      <w:r w:rsidRPr="0090554C">
        <w:lastRenderedPageBreak/>
        <w:t>Background to the r</w:t>
      </w:r>
      <w:r w:rsidR="007A7357" w:rsidRPr="0090554C">
        <w:t>eview</w:t>
      </w:r>
      <w:bookmarkEnd w:id="3"/>
    </w:p>
    <w:p w:rsidR="00D742F6" w:rsidDel="001606DC" w:rsidRDefault="00D742F6" w:rsidP="00D742F6">
      <w:r w:rsidRPr="0090554C" w:rsidDel="001606DC">
        <w:t xml:space="preserve">This review is a statutory requirement of the </w:t>
      </w:r>
      <w:r w:rsidR="00EE71F3" w:rsidDel="001606DC">
        <w:t>Amendment Act</w:t>
      </w:r>
      <w:r w:rsidRPr="0090554C" w:rsidDel="001606DC">
        <w:t xml:space="preserve">, which </w:t>
      </w:r>
      <w:r w:rsidR="009A28BC" w:rsidRPr="0090554C" w:rsidDel="001606DC">
        <w:t>requires</w:t>
      </w:r>
      <w:r w:rsidRPr="0090554C" w:rsidDel="001606DC">
        <w:t xml:space="preserve"> the </w:t>
      </w:r>
      <w:r w:rsidR="00B0080B">
        <w:t xml:space="preserve">responsible </w:t>
      </w:r>
      <w:r w:rsidRPr="0090554C" w:rsidDel="001606DC">
        <w:t>Minister</w:t>
      </w:r>
      <w:r w:rsidR="001606DC" w:rsidDel="001606DC">
        <w:t xml:space="preserve"> </w:t>
      </w:r>
      <w:r w:rsidR="009A28BC" w:rsidRPr="0090554C" w:rsidDel="001606DC">
        <w:t>to</w:t>
      </w:r>
      <w:r w:rsidRPr="0090554C" w:rsidDel="001606DC">
        <w:t xml:space="preserve"> cause an independent review of Part 5 of Schedule 1 of the Amendment Act to be undertaken and completed within two years of its commencement. </w:t>
      </w:r>
    </w:p>
    <w:p w:rsidR="00C83390" w:rsidRPr="0090554C" w:rsidRDefault="00C83390" w:rsidP="00C83390">
      <w:r>
        <w:t xml:space="preserve">On 3 October 2017, </w:t>
      </w:r>
      <w:r w:rsidRPr="00AF365B">
        <w:t>Matthew O’Callaghan, a former Senior Deputy President of the Fair Work Commission</w:t>
      </w:r>
      <w:r w:rsidR="005B538F">
        <w:t>,</w:t>
      </w:r>
      <w:r w:rsidRPr="00AF365B">
        <w:t xml:space="preserve"> was engaged by the Government to undertake the independent review. Mr O’Callaghan’s background is summarised at Attachment A.</w:t>
      </w:r>
    </w:p>
    <w:p w:rsidR="00D742F6" w:rsidRPr="0090554C" w:rsidRDefault="00D742F6" w:rsidP="00D742F6">
      <w:r w:rsidRPr="0090554C">
        <w:t xml:space="preserve">The Amendment Act commenced on 27 November 2015, and made a number of changes to the </w:t>
      </w:r>
      <w:r w:rsidR="00377D66">
        <w:br/>
      </w:r>
      <w:r w:rsidRPr="00272BA8">
        <w:t>Fair Work Act</w:t>
      </w:r>
      <w:r w:rsidRPr="0090554C">
        <w:t>. The review specifically examines the first two years of the operation of Part 5 of Schedule 1 of the Amendment Act relating to greenfields agreement making. In summary, the changes made to greenfields agreement making were:</w:t>
      </w:r>
    </w:p>
    <w:p w:rsidR="004537F6" w:rsidRDefault="004537F6" w:rsidP="002C284B">
      <w:pPr>
        <w:pStyle w:val="ListParagraph"/>
        <w:numPr>
          <w:ilvl w:val="0"/>
          <w:numId w:val="1"/>
        </w:numPr>
      </w:pPr>
      <w:r w:rsidRPr="0090554C">
        <w:t>Exten</w:t>
      </w:r>
      <w:r w:rsidR="00BB7FDE">
        <w:t>ding</w:t>
      </w:r>
      <w:r w:rsidRPr="0090554C">
        <w:t xml:space="preserve"> good faith bargaining rules to greenfields enterprise bargaining negotiations.</w:t>
      </w:r>
    </w:p>
    <w:p w:rsidR="00D742F6" w:rsidRPr="0090554C" w:rsidRDefault="00BB7FDE" w:rsidP="002C284B">
      <w:pPr>
        <w:pStyle w:val="ListParagraph"/>
        <w:numPr>
          <w:ilvl w:val="0"/>
          <w:numId w:val="1"/>
        </w:numPr>
      </w:pPr>
      <w:r>
        <w:t xml:space="preserve">A new </w:t>
      </w:r>
      <w:r w:rsidR="00D742F6" w:rsidRPr="0090554C">
        <w:t xml:space="preserve">optional six month notified negotiation period for proposed single-enterprise agreements, where the agreement is a greenfields agreement.  If an agreement cannot be reached with a union or unions within the six-month period, the employer can take </w:t>
      </w:r>
      <w:r w:rsidR="00D419C0">
        <w:t xml:space="preserve">a proposed greenfields </w:t>
      </w:r>
      <w:r w:rsidR="00D742F6" w:rsidRPr="0090554C">
        <w:t>agreement to the Fair Work Commission for approval.</w:t>
      </w:r>
      <w:r w:rsidR="00C45364" w:rsidRPr="0090554C">
        <w:t xml:space="preserve"> For shorthand, we are describing this type of an agreement as a ‘</w:t>
      </w:r>
      <w:r w:rsidR="00C4669B">
        <w:t>s</w:t>
      </w:r>
      <w:r w:rsidR="00361098" w:rsidRPr="0090554C">
        <w:t xml:space="preserve"> 18</w:t>
      </w:r>
      <w:r w:rsidR="00F5670F">
        <w:t>2</w:t>
      </w:r>
      <w:r w:rsidR="00361098" w:rsidRPr="0090554C">
        <w:t>(</w:t>
      </w:r>
      <w:r w:rsidR="00F5670F">
        <w:t>4</w:t>
      </w:r>
      <w:r w:rsidR="00361098" w:rsidRPr="0090554C">
        <w:t>)</w:t>
      </w:r>
      <w:r w:rsidR="00C45364" w:rsidRPr="0090554C">
        <w:t xml:space="preserve"> greenfields agreement’.</w:t>
      </w:r>
      <w:r w:rsidR="00D419C0">
        <w:t xml:space="preserve"> The existing approval tests for greenfields agreements were also retained, with a new requirement to ensure that the agreement is consistent with prevailing industry standards.</w:t>
      </w:r>
    </w:p>
    <w:p w:rsidR="00D742F6" w:rsidRPr="0090554C" w:rsidRDefault="00D742F6" w:rsidP="00D742F6">
      <w:pPr>
        <w:pStyle w:val="Heading2"/>
      </w:pPr>
      <w:bookmarkStart w:id="4" w:name="_Toc505681244"/>
      <w:r w:rsidRPr="0090554C">
        <w:t>Why w</w:t>
      </w:r>
      <w:r w:rsidR="00C35934" w:rsidRPr="0090554C">
        <w:t>ere the greenfields agreement provisions</w:t>
      </w:r>
      <w:r w:rsidRPr="0090554C">
        <w:t xml:space="preserve"> amended?</w:t>
      </w:r>
      <w:bookmarkEnd w:id="4"/>
    </w:p>
    <w:p w:rsidR="00D742F6" w:rsidRPr="0090554C" w:rsidRDefault="00D742F6" w:rsidP="00D742F6">
      <w:r w:rsidRPr="0090554C">
        <w:t xml:space="preserve">Greenfields agreements are a form of enterprise agreement that can be made under the Fair Work Act before any employees </w:t>
      </w:r>
      <w:r w:rsidR="00D419C0">
        <w:t xml:space="preserve">who will be covered by the agreement </w:t>
      </w:r>
      <w:r w:rsidRPr="0090554C">
        <w:t xml:space="preserve">have been engaged at a new enterprise. They are extensively used in </w:t>
      </w:r>
      <w:r w:rsidR="0056788D">
        <w:t xml:space="preserve">infrastructure, </w:t>
      </w:r>
      <w:r w:rsidRPr="0090554C">
        <w:t>construction and resources projects. They m</w:t>
      </w:r>
      <w:r w:rsidR="003E7ED9">
        <w:t>ay only</w:t>
      </w:r>
      <w:r w:rsidRPr="0090554C">
        <w:t xml:space="preserve"> be made between the employer and a union or unions</w:t>
      </w:r>
      <w:r w:rsidR="004537F6">
        <w:rPr>
          <w:rStyle w:val="FootnoteReference"/>
        </w:rPr>
        <w:footnoteReference w:id="1"/>
      </w:r>
      <w:r w:rsidRPr="0090554C">
        <w:t xml:space="preserve"> that are able to represent a majority of employees who will be covered by the agreement.</w:t>
      </w:r>
    </w:p>
    <w:p w:rsidR="00A0755A" w:rsidRPr="0090554C" w:rsidRDefault="009A28BC" w:rsidP="00D742F6">
      <w:r w:rsidRPr="0090554C">
        <w:t xml:space="preserve">On some </w:t>
      </w:r>
      <w:r w:rsidR="00D742F6" w:rsidRPr="0090554C">
        <w:t xml:space="preserve">projects, having </w:t>
      </w:r>
      <w:r w:rsidR="00F65B12" w:rsidRPr="0090554C">
        <w:t>certainty about industrial arrangements</w:t>
      </w:r>
      <w:r w:rsidR="00D742F6" w:rsidRPr="0090554C">
        <w:t xml:space="preserve"> is an essential step in securing finance and other approvals for the project</w:t>
      </w:r>
      <w:r w:rsidR="003E7ED9">
        <w:t>. I</w:t>
      </w:r>
      <w:r w:rsidR="00D742F6" w:rsidRPr="0090554C">
        <w:t xml:space="preserve">t provides greater certainty about labour costs and </w:t>
      </w:r>
      <w:r w:rsidR="00D419C0">
        <w:t xml:space="preserve">removes the potential for </w:t>
      </w:r>
      <w:r w:rsidR="00D742F6" w:rsidRPr="0090554C">
        <w:t xml:space="preserve">exposure to </w:t>
      </w:r>
      <w:r w:rsidR="00D419C0">
        <w:t xml:space="preserve">protected </w:t>
      </w:r>
      <w:r w:rsidR="00D742F6" w:rsidRPr="0090554C">
        <w:t>industrial action.</w:t>
      </w:r>
      <w:r w:rsidRPr="0090554C">
        <w:t xml:space="preserve"> </w:t>
      </w:r>
      <w:r w:rsidRPr="00513C3B">
        <w:t>G</w:t>
      </w:r>
      <w:r w:rsidR="00A0755A" w:rsidRPr="00513C3B">
        <w:t xml:space="preserve">reenfields </w:t>
      </w:r>
      <w:r w:rsidR="00F65B12" w:rsidRPr="00513C3B">
        <w:t>agreement</w:t>
      </w:r>
      <w:r w:rsidRPr="00513C3B">
        <w:t>s can be a ke</w:t>
      </w:r>
      <w:r w:rsidR="00F65B12" w:rsidRPr="00513C3B">
        <w:t xml:space="preserve">y mechanism to achieve that certainty </w:t>
      </w:r>
      <w:r w:rsidRPr="00513C3B">
        <w:t xml:space="preserve">about wage costs and industrial action </w:t>
      </w:r>
      <w:r w:rsidR="00F65B12" w:rsidRPr="00513C3B">
        <w:t>before employees are engaged.</w:t>
      </w:r>
      <w:r w:rsidR="00D742F6" w:rsidRPr="0090554C">
        <w:t xml:space="preserve"> </w:t>
      </w:r>
    </w:p>
    <w:p w:rsidR="00A0755A" w:rsidRPr="0090554C" w:rsidRDefault="00A0755A" w:rsidP="00D742F6">
      <w:r w:rsidRPr="0090554C">
        <w:t xml:space="preserve">The </w:t>
      </w:r>
      <w:r w:rsidR="009A28BC" w:rsidRPr="0090554C">
        <w:t>alternative for</w:t>
      </w:r>
      <w:r w:rsidRPr="0090554C">
        <w:t xml:space="preserve"> an employer may be to proceed with a new project without a greenfields agreement in place and negotiate an enterprise agreement when employees commence working on the project. </w:t>
      </w:r>
      <w:r w:rsidRPr="00513C3B">
        <w:t>This alternative</w:t>
      </w:r>
      <w:r w:rsidR="009A28BC" w:rsidRPr="00513C3B">
        <w:t xml:space="preserve"> risks</w:t>
      </w:r>
      <w:r w:rsidRPr="00513C3B">
        <w:t xml:space="preserve"> protected industrial action early in the life of the enterprise</w:t>
      </w:r>
      <w:r w:rsidR="0056788D" w:rsidRPr="00513C3B">
        <w:t xml:space="preserve"> or project</w:t>
      </w:r>
      <w:r w:rsidRPr="00513C3B">
        <w:t>, leading to</w:t>
      </w:r>
      <w:r w:rsidR="009A28BC" w:rsidRPr="00513C3B">
        <w:t xml:space="preserve"> potential</w:t>
      </w:r>
      <w:r w:rsidRPr="00513C3B">
        <w:t xml:space="preserve"> scheduling and cost blowouts.</w:t>
      </w:r>
      <w:r w:rsidRPr="0090554C">
        <w:t xml:space="preserve"> </w:t>
      </w:r>
    </w:p>
    <w:p w:rsidR="00D742F6" w:rsidRPr="0090554C" w:rsidRDefault="00D742F6" w:rsidP="00D742F6">
      <w:pPr>
        <w:rPr>
          <w:iCs/>
        </w:rPr>
      </w:pPr>
      <w:r w:rsidRPr="0090554C">
        <w:t>In the 2012 post-implementation</w:t>
      </w:r>
      <w:r w:rsidR="00D419C0">
        <w:t xml:space="preserve"> review of the Fair Work Act</w:t>
      </w:r>
      <w:r w:rsidRPr="0090554C">
        <w:t xml:space="preserve">, </w:t>
      </w:r>
      <w:r w:rsidRPr="0090554C">
        <w:rPr>
          <w:i/>
          <w:iCs/>
        </w:rPr>
        <w:t>Towards more productive and equitable workplaces: An evaluation of the Fair Work legislation</w:t>
      </w:r>
      <w:r w:rsidR="00BA2760">
        <w:rPr>
          <w:iCs/>
        </w:rPr>
        <w:t xml:space="preserve"> (2012 Fair Work Act Review)</w:t>
      </w:r>
      <w:r w:rsidRPr="0090554C">
        <w:rPr>
          <w:iCs/>
        </w:rPr>
        <w:t xml:space="preserve">, evidence from </w:t>
      </w:r>
      <w:r w:rsidR="00FC7F7B">
        <w:rPr>
          <w:iCs/>
        </w:rPr>
        <w:br/>
      </w:r>
      <w:r w:rsidRPr="0090554C">
        <w:rPr>
          <w:iCs/>
        </w:rPr>
        <w:t xml:space="preserve">a number of employer </w:t>
      </w:r>
      <w:r w:rsidR="00F5670F">
        <w:rPr>
          <w:iCs/>
        </w:rPr>
        <w:t>organisations</w:t>
      </w:r>
      <w:r w:rsidR="00F5670F" w:rsidRPr="0090554C">
        <w:rPr>
          <w:iCs/>
        </w:rPr>
        <w:t xml:space="preserve"> </w:t>
      </w:r>
      <w:r w:rsidR="003E7ED9">
        <w:rPr>
          <w:iCs/>
        </w:rPr>
        <w:t>suggested some unions were</w:t>
      </w:r>
      <w:r w:rsidRPr="0090554C">
        <w:rPr>
          <w:iCs/>
        </w:rPr>
        <w:t xml:space="preserve"> exploiting their legislated role in making greenfields agreements to seek excessive wage claims and delay the commencement of </w:t>
      </w:r>
      <w:r w:rsidRPr="0090554C">
        <w:rPr>
          <w:iCs/>
        </w:rPr>
        <w:lastRenderedPageBreak/>
        <w:t>projects. It was argued that these delays had the potential to derail some projects entirely, and may have significant flow</w:t>
      </w:r>
      <w:r w:rsidR="003E7ED9">
        <w:rPr>
          <w:iCs/>
        </w:rPr>
        <w:t>-</w:t>
      </w:r>
      <w:r w:rsidRPr="0090554C">
        <w:rPr>
          <w:iCs/>
        </w:rPr>
        <w:t>on effects on the Australian economy.</w:t>
      </w:r>
    </w:p>
    <w:p w:rsidR="00D742F6" w:rsidRPr="0090554C" w:rsidRDefault="00D742F6" w:rsidP="00D742F6">
      <w:pPr>
        <w:rPr>
          <w:iCs/>
        </w:rPr>
      </w:pPr>
      <w:r w:rsidRPr="0090554C">
        <w:rPr>
          <w:iCs/>
        </w:rPr>
        <w:t>The Amendment Act was crafted with a view to ameliorat</w:t>
      </w:r>
      <w:r w:rsidR="003E7ED9">
        <w:rPr>
          <w:iCs/>
        </w:rPr>
        <w:t>ing</w:t>
      </w:r>
      <w:r w:rsidRPr="0090554C">
        <w:rPr>
          <w:iCs/>
        </w:rPr>
        <w:t xml:space="preserve"> some of the problems affecting greenfields agreement making under the Fair Work Act. The objects of the changes under </w:t>
      </w:r>
      <w:r w:rsidR="004537F6">
        <w:rPr>
          <w:iCs/>
        </w:rPr>
        <w:t xml:space="preserve">this </w:t>
      </w:r>
      <w:r w:rsidRPr="0090554C">
        <w:rPr>
          <w:iCs/>
        </w:rPr>
        <w:t xml:space="preserve">review </w:t>
      </w:r>
      <w:r w:rsidR="004537F6">
        <w:rPr>
          <w:iCs/>
        </w:rPr>
        <w:t>a</w:t>
      </w:r>
      <w:r w:rsidR="004537F6" w:rsidRPr="0090554C">
        <w:rPr>
          <w:iCs/>
        </w:rPr>
        <w:t>re</w:t>
      </w:r>
      <w:r w:rsidRPr="0090554C">
        <w:rPr>
          <w:iCs/>
        </w:rPr>
        <w:t>:</w:t>
      </w:r>
      <w:r w:rsidR="00BB7FDE">
        <w:rPr>
          <w:rStyle w:val="FootnoteReference"/>
          <w:iCs/>
        </w:rPr>
        <w:footnoteReference w:id="2"/>
      </w:r>
      <w:r w:rsidRPr="0090554C">
        <w:rPr>
          <w:iCs/>
        </w:rPr>
        <w:t xml:space="preserve"> </w:t>
      </w:r>
    </w:p>
    <w:p w:rsidR="00D742F6" w:rsidRPr="0090554C" w:rsidRDefault="00D742F6" w:rsidP="002C284B">
      <w:pPr>
        <w:pStyle w:val="ListParagraph"/>
        <w:numPr>
          <w:ilvl w:val="0"/>
          <w:numId w:val="2"/>
        </w:numPr>
      </w:pPr>
      <w:r w:rsidRPr="0090554C">
        <w:rPr>
          <w:iCs/>
        </w:rPr>
        <w:t>to ensure that there are realistic timeframes for the negoti</w:t>
      </w:r>
      <w:r w:rsidR="00BB7FDE">
        <w:rPr>
          <w:iCs/>
        </w:rPr>
        <w:t>ation of greenfields agreements</w:t>
      </w:r>
      <w:r w:rsidRPr="0090554C">
        <w:rPr>
          <w:iCs/>
        </w:rPr>
        <w:t xml:space="preserve"> </w:t>
      </w:r>
    </w:p>
    <w:p w:rsidR="00D742F6" w:rsidRPr="0090554C" w:rsidRDefault="00D742F6" w:rsidP="002C284B">
      <w:pPr>
        <w:pStyle w:val="ListParagraph"/>
        <w:numPr>
          <w:ilvl w:val="0"/>
          <w:numId w:val="2"/>
        </w:numPr>
      </w:pPr>
      <w:r w:rsidRPr="0090554C">
        <w:rPr>
          <w:iCs/>
        </w:rPr>
        <w:t>to ensure that negotiations do not delay or jeopardise in</w:t>
      </w:r>
      <w:r w:rsidR="00BB7FDE">
        <w:rPr>
          <w:iCs/>
        </w:rPr>
        <w:t>vestment in major projects</w:t>
      </w:r>
    </w:p>
    <w:p w:rsidR="00D742F6" w:rsidRPr="0090554C" w:rsidRDefault="00D742F6" w:rsidP="002C284B">
      <w:pPr>
        <w:pStyle w:val="ListParagraph"/>
        <w:numPr>
          <w:ilvl w:val="0"/>
          <w:numId w:val="2"/>
        </w:numPr>
      </w:pPr>
      <w:r w:rsidRPr="0090554C">
        <w:rPr>
          <w:iCs/>
        </w:rPr>
        <w:t xml:space="preserve">to provide that the interests of employees to be covered by such agreements are protected.  </w:t>
      </w:r>
    </w:p>
    <w:p w:rsidR="00DB4E84" w:rsidRPr="0090554C" w:rsidRDefault="00DB4E84" w:rsidP="00DB4E84">
      <w:pPr>
        <w:pStyle w:val="Heading2"/>
      </w:pPr>
      <w:bookmarkStart w:id="5" w:name="_Toc505681245"/>
      <w:r w:rsidRPr="0090554C">
        <w:t xml:space="preserve">History of </w:t>
      </w:r>
      <w:r w:rsidR="00D40121" w:rsidRPr="0090554C">
        <w:t>g</w:t>
      </w:r>
      <w:r w:rsidRPr="0090554C">
        <w:t>reenfields agreements</w:t>
      </w:r>
      <w:bookmarkEnd w:id="5"/>
    </w:p>
    <w:p w:rsidR="00DB4E84" w:rsidRPr="0090554C" w:rsidRDefault="00DB4E84" w:rsidP="00DB4E84">
      <w:pPr>
        <w:pStyle w:val="Heading3"/>
        <w:rPr>
          <w:i/>
        </w:rPr>
      </w:pPr>
      <w:bookmarkStart w:id="6" w:name="_Toc505681246"/>
      <w:r w:rsidRPr="0090554C">
        <w:rPr>
          <w:i/>
        </w:rPr>
        <w:t>Workplace Relations Act 1996</w:t>
      </w:r>
      <w:bookmarkEnd w:id="6"/>
    </w:p>
    <w:p w:rsidR="00DB4E84" w:rsidRPr="0090554C" w:rsidRDefault="00DB4E84" w:rsidP="00DB4E84">
      <w:r w:rsidRPr="0090554C">
        <w:t xml:space="preserve">Greenfields agreements were a workplace relations instrument introduced </w:t>
      </w:r>
      <w:r w:rsidR="00D419C0">
        <w:t>in</w:t>
      </w:r>
      <w:r w:rsidR="00D419C0" w:rsidRPr="0090554C">
        <w:t xml:space="preserve"> </w:t>
      </w:r>
      <w:r w:rsidRPr="0090554C">
        <w:t xml:space="preserve">the </w:t>
      </w:r>
      <w:r w:rsidRPr="0090554C">
        <w:rPr>
          <w:i/>
        </w:rPr>
        <w:t>Workplace Relations Act 1996</w:t>
      </w:r>
      <w:r w:rsidRPr="0090554C">
        <w:t xml:space="preserve"> (WR Act). Under </w:t>
      </w:r>
      <w:r w:rsidR="00C4669B">
        <w:t>s</w:t>
      </w:r>
      <w:r w:rsidRPr="0090554C">
        <w:t xml:space="preserve"> 170LL of the WR Act, greenfields agreements were an instrument available to an employer proposing to establish, or establishing, a new business. These greenfields agreements were made prior to the employment of any of the persons who w</w:t>
      </w:r>
      <w:r w:rsidR="00BE6E0D">
        <w:t>ould</w:t>
      </w:r>
      <w:r w:rsidRPr="0090554C">
        <w:t xml:space="preserve"> be necessary for the normal operation of the business and whose employment w</w:t>
      </w:r>
      <w:r w:rsidR="00BE6E0D">
        <w:t>ould</w:t>
      </w:r>
      <w:r w:rsidRPr="0090554C">
        <w:t xml:space="preserve"> be subject to the agreement. The</w:t>
      </w:r>
      <w:r w:rsidR="003E7ED9">
        <w:t xml:space="preserve"> agreements could only</w:t>
      </w:r>
      <w:r w:rsidRPr="0090554C">
        <w:t xml:space="preserve"> be made with one or more employee organisations that were entitled to represent the industrial interests of the employees likely to be covered by the agreement. </w:t>
      </w:r>
    </w:p>
    <w:p w:rsidR="00DB4E84" w:rsidRPr="0090554C" w:rsidRDefault="00DB4E84" w:rsidP="00DB4E84">
      <w:r w:rsidRPr="0090554C">
        <w:t>The employer did not need to notify or reach an agreement with all of the possible relevant employee organisations for the agreement</w:t>
      </w:r>
      <w:r w:rsidR="003E7ED9">
        <w:t xml:space="preserve"> to be made</w:t>
      </w:r>
      <w:r w:rsidRPr="0090554C">
        <w:t xml:space="preserve">. This has been a consistent feature of greenfields agreement making since its introduction into the </w:t>
      </w:r>
      <w:r w:rsidR="00513CCA">
        <w:t>workplace relations framework.</w:t>
      </w:r>
    </w:p>
    <w:p w:rsidR="00DB4E84" w:rsidRPr="0090554C" w:rsidRDefault="00DB4E84" w:rsidP="00DB4E84">
      <w:r w:rsidRPr="0090554C">
        <w:t xml:space="preserve">Like any </w:t>
      </w:r>
      <w:r w:rsidR="00BB7FDE">
        <w:t>collective</w:t>
      </w:r>
      <w:r w:rsidRPr="0090554C">
        <w:t xml:space="preserve"> agreement</w:t>
      </w:r>
      <w:r w:rsidR="00BB7FDE">
        <w:t xml:space="preserve"> at the time</w:t>
      </w:r>
      <w:r w:rsidRPr="0090554C">
        <w:t xml:space="preserve">, greenfields agreements were </w:t>
      </w:r>
      <w:r w:rsidR="00D419C0">
        <w:t xml:space="preserve">required to pass </w:t>
      </w:r>
      <w:r w:rsidRPr="0090554C">
        <w:t>a ‘no-disadvantage test</w:t>
      </w:r>
      <w:r w:rsidR="004537F6">
        <w:t>’</w:t>
      </w:r>
      <w:r w:rsidRPr="0090554C">
        <w:t xml:space="preserve"> to ensure employee</w:t>
      </w:r>
      <w:r w:rsidR="00D419C0">
        <w:t>s were not disadvantage</w:t>
      </w:r>
      <w:r w:rsidR="004537F6">
        <w:t>d</w:t>
      </w:r>
      <w:r w:rsidR="00D419C0">
        <w:t xml:space="preserve"> against the relevant state or national award.</w:t>
      </w:r>
    </w:p>
    <w:p w:rsidR="00DB4E84" w:rsidRPr="0090554C" w:rsidRDefault="00DB4E84" w:rsidP="00A3568C">
      <w:pPr>
        <w:pStyle w:val="Heading3"/>
      </w:pPr>
      <w:bookmarkStart w:id="7" w:name="_Toc505681247"/>
      <w:r w:rsidRPr="00A3568C">
        <w:t>Workplace</w:t>
      </w:r>
      <w:r w:rsidRPr="0090554C">
        <w:t xml:space="preserve"> Relations Amendment (WorkChoices) Act 2005</w:t>
      </w:r>
      <w:bookmarkEnd w:id="7"/>
    </w:p>
    <w:p w:rsidR="00DB4E84" w:rsidRPr="0090554C" w:rsidRDefault="00DB4E84" w:rsidP="00DB4E84">
      <w:r w:rsidRPr="0090554C">
        <w:t xml:space="preserve">Significant amendments to greenfields agreements were made by the </w:t>
      </w:r>
      <w:r w:rsidRPr="0090554C">
        <w:rPr>
          <w:i/>
        </w:rPr>
        <w:t>Workplace Relations Amendment (WorkChoices) Act 2005</w:t>
      </w:r>
      <w:r w:rsidRPr="0090554C">
        <w:t xml:space="preserve"> (the Work Choices amendments). The most significant change made by the Work Choices amendments to greenfields agreements was the introduction </w:t>
      </w:r>
      <w:r w:rsidR="003E7ED9">
        <w:t xml:space="preserve">of </w:t>
      </w:r>
      <w:r w:rsidRPr="0090554C">
        <w:t xml:space="preserve">two distinct streams for the agreements – union and non-union (also known as employer-only) greenfields agreements. </w:t>
      </w:r>
    </w:p>
    <w:p w:rsidR="00DB4E84" w:rsidRPr="0090554C" w:rsidRDefault="00DB4E84" w:rsidP="00DB4E84">
      <w:r w:rsidRPr="0090554C">
        <w:t>Making greenfields agreements</w:t>
      </w:r>
      <w:r w:rsidR="0056788D">
        <w:t xml:space="preserve"> with unions</w:t>
      </w:r>
      <w:r w:rsidRPr="0090554C">
        <w:t xml:space="preserve"> remained similar to the process previously outlined under the WR Act. Non-union greenfields agreements, by contrast, allowed an employer to unilaterally </w:t>
      </w:r>
      <w:r w:rsidR="00D419C0">
        <w:t>make</w:t>
      </w:r>
      <w:r w:rsidRPr="0090554C">
        <w:t xml:space="preserve"> the instrument. </w:t>
      </w:r>
      <w:r w:rsidR="007D5953">
        <w:t xml:space="preserve">The nominal expiry date for these non-union greenfields agreements was limited to </w:t>
      </w:r>
      <w:r w:rsidR="00FC7F7B">
        <w:br/>
      </w:r>
      <w:r w:rsidR="007D5953">
        <w:t xml:space="preserve">12 months, after which the employees were able to pursue a new enterprise agreement with their employer. </w:t>
      </w:r>
      <w:r w:rsidRPr="0090554C">
        <w:t>The introduction of this non-union stream led to a significant increase in greenfields agreements</w:t>
      </w:r>
      <w:r w:rsidR="003E7ED9">
        <w:t xml:space="preserve">, particularly </w:t>
      </w:r>
      <w:r w:rsidRPr="0090554C">
        <w:t xml:space="preserve">in the Accommodation and Food Services industry </w:t>
      </w:r>
      <w:r w:rsidR="003E7ED9">
        <w:t>(</w:t>
      </w:r>
      <w:r w:rsidRPr="0090554C">
        <w:t xml:space="preserve">from 1.5 per cent to </w:t>
      </w:r>
      <w:r w:rsidR="00FC7F7B">
        <w:br/>
      </w:r>
      <w:r w:rsidRPr="0090554C">
        <w:t>11.1 per cent), the Health Care and Social Assistance industry (from 0.4 per cent to 7.3 per</w:t>
      </w:r>
      <w:r w:rsidR="003E7ED9">
        <w:t xml:space="preserve"> </w:t>
      </w:r>
      <w:r w:rsidRPr="0090554C">
        <w:t>cent) and the Retail Trade industry (from 0.4 per cent to 5.8 per cent).</w:t>
      </w:r>
      <w:r w:rsidRPr="0090554C">
        <w:rPr>
          <w:rStyle w:val="FootnoteReference"/>
        </w:rPr>
        <w:footnoteReference w:id="3"/>
      </w:r>
      <w:r w:rsidRPr="0090554C">
        <w:t xml:space="preserve"> </w:t>
      </w:r>
    </w:p>
    <w:p w:rsidR="00DB4E84" w:rsidRPr="0090554C" w:rsidRDefault="00DB4E84" w:rsidP="00DB4E84">
      <w:r w:rsidRPr="0090554C">
        <w:t xml:space="preserve">Under the Work Choices amendments, awards were not used as the benchmark to assess new agreements and there was no requirement to pass a ‘no-disadvantage test’. Instead, all agreements </w:t>
      </w:r>
      <w:r w:rsidRPr="0090554C">
        <w:lastRenderedPageBreak/>
        <w:t xml:space="preserve">were required to include five statutory minimum entitlements (regarding pay, annual leave, personal leave, hours of work and parental leave). Additionally, a number of ‘protected’ award conditions (relating to rest breaks, leave loadings, penalties, allowances, bonuses and public holidays) were identified, but these could be expressly excluded or modified by an agreement. </w:t>
      </w:r>
    </w:p>
    <w:p w:rsidR="00DB4E84" w:rsidRPr="0090554C" w:rsidRDefault="00DB4E84" w:rsidP="00DB4E84">
      <w:r w:rsidRPr="0090554C">
        <w:t xml:space="preserve">In 2007, the WR Act was further amended to introduce a ‘fairness test’, which required agreements to be assessed against protected award conditions to see if fair compensation in their overall effect was provided to employees by the agreement. This ‘fairness test’ required consideration of the terms in the proposed agreement against a select number of award conditions, and excluded most other matters.  </w:t>
      </w:r>
    </w:p>
    <w:p w:rsidR="00DB4E84" w:rsidRPr="0090554C" w:rsidRDefault="00DB4E84" w:rsidP="00DB4E84">
      <w:pPr>
        <w:pStyle w:val="Heading3"/>
        <w:rPr>
          <w:i/>
        </w:rPr>
      </w:pPr>
      <w:bookmarkStart w:id="8" w:name="_Toc505681248"/>
      <w:r w:rsidRPr="0090554C">
        <w:rPr>
          <w:i/>
        </w:rPr>
        <w:t>Fair Work Act 2009</w:t>
      </w:r>
      <w:bookmarkEnd w:id="8"/>
      <w:r w:rsidRPr="0090554C">
        <w:rPr>
          <w:i/>
        </w:rPr>
        <w:t xml:space="preserve"> </w:t>
      </w:r>
    </w:p>
    <w:p w:rsidR="00DB4E84" w:rsidRPr="0090554C" w:rsidRDefault="00DB4E84" w:rsidP="007A78D4">
      <w:r w:rsidRPr="0090554C">
        <w:t xml:space="preserve">The Fair Work Act abolished non-union greenfields agreements, and the framework </w:t>
      </w:r>
      <w:r w:rsidR="007A78D4">
        <w:t xml:space="preserve">for making greenfields agreements </w:t>
      </w:r>
      <w:r w:rsidRPr="0090554C">
        <w:t xml:space="preserve">broadly returned to </w:t>
      </w:r>
      <w:r w:rsidR="00BB7FDE">
        <w:t xml:space="preserve">the framework </w:t>
      </w:r>
      <w:r w:rsidRPr="0090554C">
        <w:t xml:space="preserve">established by the WR Act. </w:t>
      </w:r>
      <w:r w:rsidR="007A78D4">
        <w:t xml:space="preserve">Under the </w:t>
      </w:r>
      <w:r w:rsidR="00FC7F7B">
        <w:br/>
      </w:r>
      <w:r w:rsidR="007A78D4">
        <w:t>Fair Work Act, greenfields agreements are either a single-enterprise agreement or a multi-enterprise agreement that is made between the relevant employer(s) and one or more relevant employee organisations</w:t>
      </w:r>
      <w:r w:rsidR="00BA2760">
        <w:t>. T</w:t>
      </w:r>
      <w:r w:rsidR="007A78D4">
        <w:t>he agreement</w:t>
      </w:r>
      <w:r w:rsidR="00BA2760">
        <w:t xml:space="preserve"> must</w:t>
      </w:r>
      <w:r w:rsidR="007A78D4">
        <w:t xml:space="preserve"> relate to a genuine new enterprise that the employer(s) is establishing; and where no</w:t>
      </w:r>
      <w:r w:rsidR="00EF13EE">
        <w:t xml:space="preserve"> worker who is</w:t>
      </w:r>
      <w:r w:rsidR="007A78D4">
        <w:t xml:space="preserve"> necessary for the normal conduct of the enterprise</w:t>
      </w:r>
      <w:r w:rsidR="00BD2A38">
        <w:t>,</w:t>
      </w:r>
      <w:r w:rsidR="007A78D4">
        <w:t xml:space="preserve"> and who will be covered by the agreement</w:t>
      </w:r>
      <w:r w:rsidR="00BD2A38">
        <w:t>,</w:t>
      </w:r>
      <w:r w:rsidR="007A78D4">
        <w:t xml:space="preserve"> has yet been employed. </w:t>
      </w:r>
    </w:p>
    <w:p w:rsidR="00DB4E84" w:rsidRDefault="00DB4E84" w:rsidP="00DB4E84">
      <w:r w:rsidRPr="0090554C">
        <w:t xml:space="preserve">Under the Fair Work Act, the Fair Work Commission must assess greenfields agreements against statutory requirements such as the relevant modern award </w:t>
      </w:r>
      <w:r w:rsidR="003E7ED9">
        <w:t>and apply the</w:t>
      </w:r>
      <w:r w:rsidRPr="0090554C">
        <w:t xml:space="preserve"> ‘better off overall’ test (</w:t>
      </w:r>
      <w:r w:rsidR="00FD1927">
        <w:t>the BOOT</w:t>
      </w:r>
      <w:r w:rsidR="00BD2A38">
        <w:t>,</w:t>
      </w:r>
      <w:r w:rsidR="00FD1927">
        <w:t xml:space="preserve"> </w:t>
      </w:r>
      <w:r w:rsidRPr="0090554C">
        <w:t>the successor to the ‘no-disadvantage test</w:t>
      </w:r>
      <w:r w:rsidR="00B14453">
        <w:t>’</w:t>
      </w:r>
      <w:r w:rsidR="00605A12">
        <w:t>)</w:t>
      </w:r>
      <w:r w:rsidRPr="0090554C">
        <w:t xml:space="preserve">. In considering whether to approve an agreement, the </w:t>
      </w:r>
      <w:r w:rsidR="007A78D4">
        <w:t xml:space="preserve">Fair Work </w:t>
      </w:r>
      <w:r w:rsidRPr="0090554C">
        <w:t xml:space="preserve">Commission must also be satisfied that the relevant employee organisation(s) that will be covered by the agreement </w:t>
      </w:r>
      <w:r w:rsidR="00D419C0">
        <w:t xml:space="preserve">(when taken as a group) </w:t>
      </w:r>
      <w:r w:rsidRPr="0090554C">
        <w:t xml:space="preserve">are entitled to represent the industrial interests of </w:t>
      </w:r>
      <w:r w:rsidR="00FC7F7B">
        <w:br/>
      </w:r>
      <w:r w:rsidRPr="0090554C">
        <w:t>a majority of the employees who will be covered by the agreement and that it is in the public interest to approve the agreement</w:t>
      </w:r>
      <w:r w:rsidR="007A78D4">
        <w:t xml:space="preserve"> (</w:t>
      </w:r>
      <w:r w:rsidR="00C4669B">
        <w:t>s</w:t>
      </w:r>
      <w:r w:rsidR="007A78D4">
        <w:t xml:space="preserve"> 187(5))</w:t>
      </w:r>
      <w:r w:rsidRPr="0090554C">
        <w:t>.</w:t>
      </w:r>
    </w:p>
    <w:p w:rsidR="007A78D4" w:rsidRPr="00BA2760" w:rsidRDefault="00BA2760" w:rsidP="00BA2760">
      <w:pPr>
        <w:pStyle w:val="Heading3"/>
        <w:rPr>
          <w:i/>
        </w:rPr>
      </w:pPr>
      <w:bookmarkStart w:id="9" w:name="_Toc505681249"/>
      <w:r w:rsidRPr="00BA2760">
        <w:rPr>
          <w:i/>
        </w:rPr>
        <w:t xml:space="preserve">Fair Work </w:t>
      </w:r>
      <w:r w:rsidR="007A78D4" w:rsidRPr="00BA2760">
        <w:rPr>
          <w:i/>
        </w:rPr>
        <w:t>Amendment Act 2015</w:t>
      </w:r>
      <w:bookmarkEnd w:id="9"/>
    </w:p>
    <w:p w:rsidR="00DB4E84" w:rsidRPr="0090554C" w:rsidRDefault="007A78D4" w:rsidP="00DB4E84">
      <w:r>
        <w:t>T</w:t>
      </w:r>
      <w:r w:rsidR="00DB4E84" w:rsidRPr="0090554C">
        <w:t xml:space="preserve">he Amendment Act </w:t>
      </w:r>
      <w:r>
        <w:t>extended the</w:t>
      </w:r>
      <w:r w:rsidR="00DB4E84" w:rsidRPr="0090554C">
        <w:t xml:space="preserve"> ‘good faith bargaining’ </w:t>
      </w:r>
      <w:r>
        <w:t xml:space="preserve">requirements </w:t>
      </w:r>
      <w:r w:rsidR="003E7ED9">
        <w:t>(</w:t>
      </w:r>
      <w:r w:rsidR="00DB4E84" w:rsidRPr="0090554C">
        <w:t>which had been a feature of enterprise bargaining generally under the Fair Work Act</w:t>
      </w:r>
      <w:r w:rsidR="003E7ED9">
        <w:t>)</w:t>
      </w:r>
      <w:r>
        <w:t>, to the negotiation of greenfields agreements</w:t>
      </w:r>
      <w:r w:rsidR="00DB4E84" w:rsidRPr="0090554C">
        <w:t xml:space="preserve">. Good faith bargaining sets out a number of requirements </w:t>
      </w:r>
      <w:r w:rsidR="000C29AF">
        <w:t>for</w:t>
      </w:r>
      <w:r w:rsidR="000C29AF" w:rsidRPr="0090554C">
        <w:t xml:space="preserve"> </w:t>
      </w:r>
      <w:r w:rsidR="00DB4E84" w:rsidRPr="0090554C">
        <w:t>bargaining representatives. The following are the good faith bargaining requirements that a bargaining representative for a proposed enterprise agreement must meet</w:t>
      </w:r>
      <w:r w:rsidR="000C29AF">
        <w:t xml:space="preserve"> (</w:t>
      </w:r>
      <w:r w:rsidR="00C4669B">
        <w:t>s</w:t>
      </w:r>
      <w:r w:rsidR="000C29AF">
        <w:t xml:space="preserve"> 228(1))</w:t>
      </w:r>
      <w:r w:rsidR="00DB4E84" w:rsidRPr="0090554C">
        <w:t>:</w:t>
      </w:r>
    </w:p>
    <w:p w:rsidR="00DB4E84" w:rsidRPr="00A3568C" w:rsidRDefault="00DB4E84" w:rsidP="00A3568C">
      <w:pPr>
        <w:pStyle w:val="ListParagraph"/>
        <w:numPr>
          <w:ilvl w:val="0"/>
          <w:numId w:val="2"/>
        </w:numPr>
        <w:rPr>
          <w:iCs/>
        </w:rPr>
      </w:pPr>
      <w:r w:rsidRPr="00A3568C">
        <w:rPr>
          <w:iCs/>
        </w:rPr>
        <w:t>attending and participating in meetings at reasonable times</w:t>
      </w:r>
    </w:p>
    <w:p w:rsidR="00DB4E84" w:rsidRPr="00A3568C" w:rsidRDefault="00DB4E84" w:rsidP="00A3568C">
      <w:pPr>
        <w:pStyle w:val="ListParagraph"/>
        <w:numPr>
          <w:ilvl w:val="0"/>
          <w:numId w:val="2"/>
        </w:numPr>
        <w:rPr>
          <w:iCs/>
        </w:rPr>
      </w:pPr>
      <w:r w:rsidRPr="00A3568C">
        <w:rPr>
          <w:iCs/>
        </w:rPr>
        <w:t>disclosing relevant information (other than confidential or commercially sensitive information) in a timely manner</w:t>
      </w:r>
    </w:p>
    <w:p w:rsidR="00DB4E84" w:rsidRPr="00A3568C" w:rsidRDefault="00DB4E84" w:rsidP="00A3568C">
      <w:pPr>
        <w:pStyle w:val="ListParagraph"/>
        <w:numPr>
          <w:ilvl w:val="0"/>
          <w:numId w:val="2"/>
        </w:numPr>
        <w:rPr>
          <w:iCs/>
        </w:rPr>
      </w:pPr>
      <w:r w:rsidRPr="00A3568C">
        <w:rPr>
          <w:iCs/>
        </w:rPr>
        <w:t>responding to proposals made by other bargaining representatives for the agreement in a timely manner</w:t>
      </w:r>
    </w:p>
    <w:p w:rsidR="00DB4E84" w:rsidRPr="00A3568C" w:rsidRDefault="00DB4E84" w:rsidP="00A3568C">
      <w:pPr>
        <w:pStyle w:val="ListParagraph"/>
        <w:numPr>
          <w:ilvl w:val="0"/>
          <w:numId w:val="2"/>
        </w:numPr>
        <w:rPr>
          <w:iCs/>
        </w:rPr>
      </w:pPr>
      <w:r w:rsidRPr="00A3568C">
        <w:rPr>
          <w:iCs/>
        </w:rPr>
        <w:t>giving genuine consideration to the proposals of other bargaining representatives for the agreement, and giving reasons for the bargaining representatives responses to those proposals</w:t>
      </w:r>
    </w:p>
    <w:p w:rsidR="00DB4E84" w:rsidRPr="00A3568C" w:rsidRDefault="00DB4E84" w:rsidP="00A3568C">
      <w:pPr>
        <w:pStyle w:val="ListParagraph"/>
        <w:numPr>
          <w:ilvl w:val="0"/>
          <w:numId w:val="2"/>
        </w:numPr>
        <w:rPr>
          <w:iCs/>
        </w:rPr>
      </w:pPr>
      <w:r w:rsidRPr="00A3568C">
        <w:rPr>
          <w:iCs/>
        </w:rPr>
        <w:t>refraining from capricious or unfair conduct that undermines freedom of association or collective bargaining</w:t>
      </w:r>
    </w:p>
    <w:p w:rsidR="00DB4E84" w:rsidRPr="00A3568C" w:rsidRDefault="00DB4E84" w:rsidP="00A3568C">
      <w:pPr>
        <w:pStyle w:val="ListParagraph"/>
        <w:numPr>
          <w:ilvl w:val="0"/>
          <w:numId w:val="2"/>
        </w:numPr>
        <w:rPr>
          <w:iCs/>
        </w:rPr>
      </w:pPr>
      <w:r w:rsidRPr="00A3568C">
        <w:rPr>
          <w:iCs/>
        </w:rPr>
        <w:t>recognising and bargaining with the other bargaining representatives for the agreement.</w:t>
      </w:r>
    </w:p>
    <w:p w:rsidR="00DB4E84" w:rsidRPr="0090554C" w:rsidRDefault="00DB4E84" w:rsidP="00DB4E84">
      <w:r w:rsidRPr="0090554C">
        <w:t>The good faith bargaining requirements do not require a bargaining representative to</w:t>
      </w:r>
      <w:r w:rsidR="000C29AF">
        <w:t xml:space="preserve"> (</w:t>
      </w:r>
      <w:r w:rsidR="00C4669B">
        <w:t>s</w:t>
      </w:r>
      <w:r w:rsidR="000C29AF">
        <w:t xml:space="preserve"> 228(2))</w:t>
      </w:r>
      <w:r w:rsidRPr="0090554C">
        <w:t>:</w:t>
      </w:r>
    </w:p>
    <w:p w:rsidR="00DB4E84" w:rsidRPr="00A3568C" w:rsidRDefault="00DB4E84" w:rsidP="00A3568C">
      <w:pPr>
        <w:pStyle w:val="ListParagraph"/>
        <w:numPr>
          <w:ilvl w:val="0"/>
          <w:numId w:val="2"/>
        </w:numPr>
        <w:rPr>
          <w:iCs/>
        </w:rPr>
      </w:pPr>
      <w:r w:rsidRPr="00A3568C">
        <w:rPr>
          <w:iCs/>
        </w:rPr>
        <w:lastRenderedPageBreak/>
        <w:t>make concessions during bargaining for the agreement</w:t>
      </w:r>
    </w:p>
    <w:p w:rsidR="00DB4E84" w:rsidRPr="00A3568C" w:rsidRDefault="00DB4E84" w:rsidP="00A3568C">
      <w:pPr>
        <w:pStyle w:val="ListParagraph"/>
        <w:numPr>
          <w:ilvl w:val="0"/>
          <w:numId w:val="2"/>
        </w:numPr>
        <w:rPr>
          <w:iCs/>
        </w:rPr>
      </w:pPr>
      <w:r w:rsidRPr="00A3568C">
        <w:rPr>
          <w:iCs/>
        </w:rPr>
        <w:t>reach agreement on the terms that are to be included in the agreement.</w:t>
      </w:r>
    </w:p>
    <w:p w:rsidR="00DB4E84" w:rsidRPr="0090554C" w:rsidRDefault="00DB4E84" w:rsidP="00DB4E84">
      <w:r w:rsidRPr="0090554C">
        <w:t>For a proposed greenfields agreement, bargaining representatives include the employer, an employee organisation that is entitled to represent the industrial interests of one or more employees that will be covered by the agreement and with which the employer agrees to bargain, and a person</w:t>
      </w:r>
      <w:r w:rsidR="000C29AF">
        <w:t xml:space="preserve"> (if any)</w:t>
      </w:r>
      <w:r w:rsidRPr="0090554C">
        <w:t xml:space="preserve"> who is appointed as a bargaining representative of the employer (</w:t>
      </w:r>
      <w:r w:rsidR="00C4669B">
        <w:t>s</w:t>
      </w:r>
      <w:r w:rsidRPr="0090554C">
        <w:t xml:space="preserve"> 177).</w:t>
      </w:r>
    </w:p>
    <w:p w:rsidR="00DB4E84" w:rsidRPr="0090554C" w:rsidRDefault="00DB4E84" w:rsidP="00DB4E84">
      <w:r w:rsidRPr="0090554C">
        <w:t>This has the effect that</w:t>
      </w:r>
      <w:r w:rsidR="0040677B">
        <w:t>,</w:t>
      </w:r>
      <w:r w:rsidRPr="0090554C">
        <w:t xml:space="preserve"> if an employer does not agree to bargain with an employee organisation, then the organisation is not a bargaining representative for the agreement. A greenfields agreement is </w:t>
      </w:r>
      <w:r w:rsidR="000C29AF">
        <w:t xml:space="preserve">ordinarily </w:t>
      </w:r>
      <w:r w:rsidRPr="0090554C">
        <w:t>made when it is signed by each employer and each relevant employee organisation that the agreement is expressed to cover (which does not need to be all of the relevant employee organisations for the agreement) (</w:t>
      </w:r>
      <w:r w:rsidR="00C4669B">
        <w:t>s</w:t>
      </w:r>
      <w:r w:rsidRPr="0090554C">
        <w:t xml:space="preserve"> 182(3)). </w:t>
      </w:r>
    </w:p>
    <w:p w:rsidR="00DB4E84" w:rsidRPr="0090554C" w:rsidRDefault="00DB4E84" w:rsidP="00DB4E84">
      <w:r w:rsidRPr="0090554C">
        <w:t>The Amendment Act provides that an employer that is a bargaining representative for a greenfields agreement may give written notice to each employee organisation that is a bargaining representative for the agreement, notifying them</w:t>
      </w:r>
      <w:r w:rsidR="00455B15">
        <w:t xml:space="preserve"> of the commencement of the six-</w:t>
      </w:r>
      <w:r w:rsidRPr="0090554C">
        <w:t xml:space="preserve">month </w:t>
      </w:r>
      <w:r w:rsidR="000C29AF">
        <w:t>‘</w:t>
      </w:r>
      <w:r w:rsidRPr="0090554C">
        <w:t>notified negotiation period</w:t>
      </w:r>
      <w:r w:rsidR="000C29AF">
        <w:t>’</w:t>
      </w:r>
      <w:r w:rsidRPr="0090554C">
        <w:t xml:space="preserve"> (</w:t>
      </w:r>
      <w:r w:rsidR="00C4669B">
        <w:t>s</w:t>
      </w:r>
      <w:r w:rsidRPr="0090554C">
        <w:t xml:space="preserve"> 178B). </w:t>
      </w:r>
      <w:r w:rsidR="004944BE">
        <w:t xml:space="preserve">The notified negotiation period was </w:t>
      </w:r>
      <w:r w:rsidR="00455B15">
        <w:t>initially</w:t>
      </w:r>
      <w:r w:rsidR="004944BE">
        <w:t xml:space="preserve"> </w:t>
      </w:r>
      <w:r w:rsidR="00455B15">
        <w:t>three</w:t>
      </w:r>
      <w:r w:rsidR="0040677B">
        <w:t xml:space="preserve"> </w:t>
      </w:r>
      <w:r w:rsidR="00455B15">
        <w:t>month</w:t>
      </w:r>
      <w:r w:rsidR="0040677B">
        <w:t>s</w:t>
      </w:r>
      <w:r w:rsidR="004944BE">
        <w:t xml:space="preserve"> when the Amendment Act was introduced in the Parliament, but during negotiation with the Senate cross</w:t>
      </w:r>
      <w:r w:rsidR="00455B15">
        <w:t>-</w:t>
      </w:r>
      <w:r w:rsidR="004944BE">
        <w:t xml:space="preserve">bench, it was amended to </w:t>
      </w:r>
      <w:r w:rsidR="00FC7F7B">
        <w:br/>
      </w:r>
      <w:r w:rsidR="004944BE">
        <w:t>six months</w:t>
      </w:r>
      <w:r w:rsidR="00564AD3">
        <w:t>.</w:t>
      </w:r>
      <w:r w:rsidR="00455B15">
        <w:t xml:space="preserve"> Cross-bench </w:t>
      </w:r>
      <w:r w:rsidR="000C29AF">
        <w:t xml:space="preserve">Senators </w:t>
      </w:r>
      <w:r w:rsidR="00455B15">
        <w:t>argued that</w:t>
      </w:r>
      <w:r w:rsidR="00564AD3">
        <w:t xml:space="preserve"> three months may not be a sufficient bargaining period and could compromise workers’ rights</w:t>
      </w:r>
      <w:r w:rsidR="004944BE">
        <w:t>.</w:t>
      </w:r>
      <w:r w:rsidR="000C29AF">
        <w:rPr>
          <w:rStyle w:val="FootnoteReference"/>
        </w:rPr>
        <w:footnoteReference w:id="4"/>
      </w:r>
    </w:p>
    <w:p w:rsidR="00BB7FDE" w:rsidRPr="00442434" w:rsidRDefault="0040677B" w:rsidP="00F93842">
      <w:r w:rsidRPr="00442434">
        <w:t>The agreement is taken to have been made i</w:t>
      </w:r>
      <w:r w:rsidR="00DB4E84" w:rsidRPr="00442434">
        <w:t>f, when the notified negotiation peri</w:t>
      </w:r>
      <w:r w:rsidR="00BB7FDE" w:rsidRPr="00442434">
        <w:t xml:space="preserve">od </w:t>
      </w:r>
      <w:r w:rsidRPr="00442434">
        <w:t xml:space="preserve">has </w:t>
      </w:r>
      <w:r w:rsidR="00BB7FDE" w:rsidRPr="00442434">
        <w:t>end</w:t>
      </w:r>
      <w:r w:rsidRPr="00442434">
        <w:t>ed</w:t>
      </w:r>
      <w:r w:rsidR="00BB7FDE" w:rsidRPr="00442434">
        <w:t>:</w:t>
      </w:r>
    </w:p>
    <w:p w:rsidR="00BB7FDE" w:rsidRPr="00442434" w:rsidRDefault="00DB4E84" w:rsidP="002C284B">
      <w:pPr>
        <w:pStyle w:val="ListParagraph"/>
        <w:numPr>
          <w:ilvl w:val="0"/>
          <w:numId w:val="17"/>
        </w:numPr>
        <w:rPr>
          <w:lang w:eastAsia="en-AU"/>
        </w:rPr>
      </w:pPr>
      <w:r w:rsidRPr="00442434">
        <w:t xml:space="preserve">the bargaining representatives have not signed the agreement </w:t>
      </w:r>
    </w:p>
    <w:p w:rsidR="00BB7FDE" w:rsidRPr="00442434" w:rsidRDefault="00DB4E84" w:rsidP="002C284B">
      <w:pPr>
        <w:pStyle w:val="ListParagraph"/>
        <w:numPr>
          <w:ilvl w:val="0"/>
          <w:numId w:val="17"/>
        </w:numPr>
        <w:rPr>
          <w:lang w:eastAsia="en-AU"/>
        </w:rPr>
      </w:pPr>
      <w:r w:rsidRPr="00442434">
        <w:t>the employer gave the employee organisations a reasonable opportunity to sign the agreement</w:t>
      </w:r>
      <w:r w:rsidR="00EF6A06" w:rsidRPr="00442434">
        <w:t>, and</w:t>
      </w:r>
    </w:p>
    <w:p w:rsidR="00BB7FDE" w:rsidRPr="00442434" w:rsidRDefault="00DB4E84" w:rsidP="002C284B">
      <w:pPr>
        <w:pStyle w:val="ListParagraph"/>
        <w:numPr>
          <w:ilvl w:val="0"/>
          <w:numId w:val="17"/>
        </w:numPr>
        <w:rPr>
          <w:lang w:eastAsia="en-AU"/>
        </w:rPr>
      </w:pPr>
      <w:r w:rsidRPr="00442434">
        <w:t>the employer applies to the Fair Work Commission to approve the agreement</w:t>
      </w:r>
      <w:r w:rsidR="0040677B" w:rsidRPr="00442434">
        <w:t>.</w:t>
      </w:r>
    </w:p>
    <w:p w:rsidR="004944BE" w:rsidRDefault="004944BE" w:rsidP="00BB7FDE">
      <w:pPr>
        <w:rPr>
          <w:lang w:eastAsia="en-AU"/>
        </w:rPr>
      </w:pPr>
      <w:r>
        <w:t xml:space="preserve">The Fair Work Commission must be satisfied that </w:t>
      </w:r>
      <w:r w:rsidR="0040677B">
        <w:t xml:space="preserve">an application to approve an </w:t>
      </w:r>
      <w:r>
        <w:rPr>
          <w:lang w:eastAsia="en-AU"/>
        </w:rPr>
        <w:t>agreement</w:t>
      </w:r>
      <w:r w:rsidR="0040677B">
        <w:rPr>
          <w:lang w:eastAsia="en-AU"/>
        </w:rPr>
        <w:t xml:space="preserve"> </w:t>
      </w:r>
      <w:r w:rsidR="00EF6A06">
        <w:rPr>
          <w:lang w:eastAsia="en-AU"/>
        </w:rPr>
        <w:t>under s </w:t>
      </w:r>
      <w:r w:rsidR="0040677B">
        <w:rPr>
          <w:lang w:eastAsia="en-AU"/>
        </w:rPr>
        <w:t>182(4)</w:t>
      </w:r>
      <w:r>
        <w:rPr>
          <w:lang w:eastAsia="en-AU"/>
        </w:rPr>
        <w:t xml:space="preserve"> meets all relevant approval tests under the Fair Work Act (such as </w:t>
      </w:r>
      <w:r w:rsidRPr="00BB7FDE">
        <w:rPr>
          <w:lang w:val="en"/>
        </w:rPr>
        <w:t>the relevant approval requirements in s</w:t>
      </w:r>
      <w:r w:rsidR="00C4669B" w:rsidRPr="00BB7FDE">
        <w:rPr>
          <w:lang w:val="en"/>
        </w:rPr>
        <w:t>s</w:t>
      </w:r>
      <w:r w:rsidRPr="00BB7FDE">
        <w:rPr>
          <w:lang w:val="en"/>
        </w:rPr>
        <w:t xml:space="preserve"> 186 and 187, including the</w:t>
      </w:r>
      <w:r w:rsidR="00FD1927" w:rsidRPr="00BB7FDE">
        <w:rPr>
          <w:lang w:val="en"/>
        </w:rPr>
        <w:t xml:space="preserve"> BOOT</w:t>
      </w:r>
      <w:r w:rsidR="00F15D64" w:rsidRPr="00BB7FDE">
        <w:rPr>
          <w:lang w:val="en"/>
        </w:rPr>
        <w:t xml:space="preserve">, a public interest test and a requirement that the relevant employee </w:t>
      </w:r>
      <w:r w:rsidR="00F15D64" w:rsidRPr="00BA2760">
        <w:t>organisations</w:t>
      </w:r>
      <w:r w:rsidR="00C019EF">
        <w:rPr>
          <w:lang w:val="en"/>
        </w:rPr>
        <w:t xml:space="preserve"> are</w:t>
      </w:r>
      <w:r w:rsidR="00F15D64" w:rsidRPr="00BB7FDE">
        <w:rPr>
          <w:lang w:val="en"/>
        </w:rPr>
        <w:t xml:space="preserve">, taken as a group, entitled to represent the industrial interests of </w:t>
      </w:r>
      <w:r w:rsidR="00FC7F7B">
        <w:rPr>
          <w:lang w:val="en"/>
        </w:rPr>
        <w:br/>
      </w:r>
      <w:r w:rsidR="00F15D64" w:rsidRPr="00BB7FDE">
        <w:rPr>
          <w:lang w:val="en"/>
        </w:rPr>
        <w:t>a majority of the employees)</w:t>
      </w:r>
      <w:r w:rsidR="00973A41">
        <w:rPr>
          <w:lang w:val="en"/>
        </w:rPr>
        <w:t xml:space="preserve">. In addition to these standard requirements, </w:t>
      </w:r>
      <w:r>
        <w:rPr>
          <w:lang w:eastAsia="en-AU"/>
        </w:rPr>
        <w:t>the</w:t>
      </w:r>
      <w:r w:rsidR="00973A41">
        <w:rPr>
          <w:lang w:eastAsia="en-AU"/>
        </w:rPr>
        <w:t xml:space="preserve"> Fair Work Commission must also be satisfied that the</w:t>
      </w:r>
      <w:r>
        <w:rPr>
          <w:lang w:eastAsia="en-AU"/>
        </w:rPr>
        <w:t xml:space="preserve"> agreement, considered on an overall basis, provides for pay and conditions that are consistent with the prevailing </w:t>
      </w:r>
      <w:r w:rsidR="00F15D64">
        <w:rPr>
          <w:lang w:eastAsia="en-AU"/>
        </w:rPr>
        <w:t>pay</w:t>
      </w:r>
      <w:r>
        <w:rPr>
          <w:lang w:eastAsia="en-AU"/>
        </w:rPr>
        <w:t xml:space="preserve"> and conditions within the relevant industry for equivalent work. </w:t>
      </w:r>
    </w:p>
    <w:p w:rsidR="007D5953" w:rsidRPr="0090554C" w:rsidRDefault="00DB4E84" w:rsidP="00F93842">
      <w:r w:rsidRPr="0090554C">
        <w:t xml:space="preserve">The </w:t>
      </w:r>
      <w:r w:rsidR="004944BE">
        <w:t xml:space="preserve">Amendment Act </w:t>
      </w:r>
      <w:r w:rsidRPr="0090554C">
        <w:t xml:space="preserve">provisions are set out in further detail in Attachment </w:t>
      </w:r>
      <w:r w:rsidR="000960A2">
        <w:t>B</w:t>
      </w:r>
      <w:r w:rsidRPr="0090554C">
        <w:t>.</w:t>
      </w:r>
      <w:r w:rsidR="007D5953">
        <w:t xml:space="preserve"> </w:t>
      </w:r>
    </w:p>
    <w:p w:rsidR="007A7357" w:rsidRPr="0090554C" w:rsidRDefault="00A01583" w:rsidP="00A01583">
      <w:pPr>
        <w:pStyle w:val="Heading1"/>
      </w:pPr>
      <w:bookmarkStart w:id="10" w:name="_Toc505681250"/>
      <w:r w:rsidRPr="0090554C">
        <w:t>Approach to the review</w:t>
      </w:r>
      <w:bookmarkEnd w:id="10"/>
    </w:p>
    <w:p w:rsidR="00A0755A" w:rsidRPr="0090554C" w:rsidRDefault="00DB4E84" w:rsidP="00A0755A">
      <w:r w:rsidRPr="0090554C">
        <w:t>T</w:t>
      </w:r>
      <w:r w:rsidR="00A0755A" w:rsidRPr="0090554C">
        <w:t xml:space="preserve">he scope of the review is to consider and evaluate the first two years of the operation of the changes made to greenfields enterprise agreement making under the Fair Work Act, made by the Amendment </w:t>
      </w:r>
      <w:r w:rsidR="00A0755A" w:rsidRPr="0090554C">
        <w:lastRenderedPageBreak/>
        <w:t xml:space="preserve">Act. This </w:t>
      </w:r>
      <w:r w:rsidR="009E3B4E" w:rsidRPr="0090554C">
        <w:t xml:space="preserve">review may also </w:t>
      </w:r>
      <w:r w:rsidR="00A0755A" w:rsidRPr="0090554C">
        <w:t>evaluat</w:t>
      </w:r>
      <w:r w:rsidR="009E3B4E" w:rsidRPr="0090554C">
        <w:t>e</w:t>
      </w:r>
      <w:r w:rsidR="00A0755A" w:rsidRPr="0090554C">
        <w:t xml:space="preserve"> other matters which may be relevant to the operation of greenfields agreements.</w:t>
      </w:r>
    </w:p>
    <w:p w:rsidR="00A0755A" w:rsidRPr="0090554C" w:rsidRDefault="009E3B4E" w:rsidP="00A0755A">
      <w:r w:rsidRPr="0090554C">
        <w:t>The Fair Work Commission has advised the review</w:t>
      </w:r>
      <w:r w:rsidR="0040677B">
        <w:t>,</w:t>
      </w:r>
      <w:r w:rsidRPr="0090554C">
        <w:t xml:space="preserve"> that as a</w:t>
      </w:r>
      <w:r w:rsidR="001D2887">
        <w:t>t</w:t>
      </w:r>
      <w:r w:rsidRPr="0090554C">
        <w:t xml:space="preserve"> 1 November 2017, </w:t>
      </w:r>
      <w:r w:rsidR="00A0755A" w:rsidRPr="0090554C">
        <w:t xml:space="preserve">no application has been made for approval of a </w:t>
      </w:r>
      <w:r w:rsidR="00C4669B">
        <w:t>s</w:t>
      </w:r>
      <w:r w:rsidR="000B413B" w:rsidRPr="0090554C">
        <w:t xml:space="preserve"> 18</w:t>
      </w:r>
      <w:r w:rsidR="00816DF8">
        <w:t>2</w:t>
      </w:r>
      <w:r w:rsidR="000B413B" w:rsidRPr="0090554C">
        <w:t>(</w:t>
      </w:r>
      <w:r w:rsidR="00816DF8">
        <w:t>4</w:t>
      </w:r>
      <w:r w:rsidR="000B413B" w:rsidRPr="0090554C">
        <w:t xml:space="preserve">) greenfields agreement </w:t>
      </w:r>
      <w:r w:rsidRPr="0090554C">
        <w:t>or for a good faith bargaining order in relation to a greenfields agreement</w:t>
      </w:r>
      <w:r w:rsidR="00A0755A" w:rsidRPr="0090554C">
        <w:t xml:space="preserve">. </w:t>
      </w:r>
    </w:p>
    <w:p w:rsidR="009E3B4E" w:rsidRPr="0090554C" w:rsidRDefault="009E3B4E" w:rsidP="00A0755A">
      <w:r w:rsidRPr="0090554C">
        <w:t xml:space="preserve">The review published a Background Paper on the Department of Employment’s website setting out key information in relation to the review on 6 October 2017. </w:t>
      </w:r>
    </w:p>
    <w:p w:rsidR="00A0755A" w:rsidRPr="0090554C" w:rsidRDefault="009E3B4E" w:rsidP="00A0755A">
      <w:r w:rsidRPr="0090554C">
        <w:t>The review then invited written submission</w:t>
      </w:r>
      <w:r w:rsidR="007F0EC3">
        <w:t>s</w:t>
      </w:r>
      <w:r w:rsidRPr="0090554C">
        <w:t xml:space="preserve"> from a number of stakeholders who have had, or may have had, experience with greenfields agreement making. </w:t>
      </w:r>
      <w:r w:rsidR="00A0755A" w:rsidRPr="0090554C">
        <w:t>This list of stakeholders included:</w:t>
      </w:r>
    </w:p>
    <w:p w:rsidR="00893926" w:rsidRPr="0090554C" w:rsidRDefault="00F7092E" w:rsidP="002C284B">
      <w:pPr>
        <w:pStyle w:val="ListParagraph"/>
        <w:numPr>
          <w:ilvl w:val="0"/>
          <w:numId w:val="4"/>
        </w:numPr>
      </w:pPr>
      <w:r>
        <w:t>the Fair Work Commission</w:t>
      </w:r>
    </w:p>
    <w:p w:rsidR="00A0755A" w:rsidRPr="0090554C" w:rsidRDefault="00893926" w:rsidP="002C284B">
      <w:pPr>
        <w:pStyle w:val="ListParagraph"/>
        <w:numPr>
          <w:ilvl w:val="0"/>
          <w:numId w:val="4"/>
        </w:numPr>
      </w:pPr>
      <w:r w:rsidRPr="0090554C">
        <w:t>22</w:t>
      </w:r>
      <w:r w:rsidR="00A0755A" w:rsidRPr="0090554C">
        <w:t xml:space="preserve"> employee organisations, </w:t>
      </w:r>
      <w:r w:rsidR="0040677B">
        <w:t>each</w:t>
      </w:r>
      <w:r w:rsidR="0040677B" w:rsidRPr="0090554C">
        <w:t xml:space="preserve"> </w:t>
      </w:r>
      <w:r w:rsidR="00A0755A" w:rsidRPr="0090554C">
        <w:t>of which have been covered by a greenfields agree</w:t>
      </w:r>
      <w:r w:rsidR="00F7092E">
        <w:t>ment within the past four years</w:t>
      </w:r>
    </w:p>
    <w:p w:rsidR="00A0755A" w:rsidRPr="0090554C" w:rsidRDefault="00893926" w:rsidP="002C284B">
      <w:pPr>
        <w:pStyle w:val="ListParagraph"/>
        <w:numPr>
          <w:ilvl w:val="0"/>
          <w:numId w:val="4"/>
        </w:numPr>
      </w:pPr>
      <w:r w:rsidRPr="0090554C">
        <w:t>15</w:t>
      </w:r>
      <w:r w:rsidR="00A0755A" w:rsidRPr="0090554C">
        <w:t xml:space="preserve"> employer </w:t>
      </w:r>
      <w:r w:rsidR="00816DF8">
        <w:t>organisations</w:t>
      </w:r>
      <w:r w:rsidR="00816DF8" w:rsidRPr="0090554C">
        <w:t xml:space="preserve"> </w:t>
      </w:r>
      <w:r w:rsidR="00A0755A" w:rsidRPr="0090554C">
        <w:t xml:space="preserve">at a state and national level, </w:t>
      </w:r>
      <w:r w:rsidR="0040677B">
        <w:t>representing</w:t>
      </w:r>
      <w:r w:rsidR="00A0755A" w:rsidRPr="0090554C">
        <w:t xml:space="preserve"> the interests of employer members, many of whom may have had experience neg</w:t>
      </w:r>
      <w:r w:rsidR="00F7092E">
        <w:t>otiating greenfields agreements</w:t>
      </w:r>
      <w:r w:rsidR="00A0755A" w:rsidRPr="0090554C">
        <w:t xml:space="preserve"> </w:t>
      </w:r>
    </w:p>
    <w:p w:rsidR="00A0755A" w:rsidRPr="0090554C" w:rsidRDefault="00893926" w:rsidP="002C284B">
      <w:pPr>
        <w:pStyle w:val="ListParagraph"/>
        <w:numPr>
          <w:ilvl w:val="0"/>
          <w:numId w:val="4"/>
        </w:numPr>
      </w:pPr>
      <w:r w:rsidRPr="0090554C">
        <w:t>29</w:t>
      </w:r>
      <w:r w:rsidR="00A0755A" w:rsidRPr="0090554C">
        <w:t xml:space="preserve"> individual employers </w:t>
      </w:r>
      <w:r w:rsidR="0040677B">
        <w:t>that</w:t>
      </w:r>
      <w:r w:rsidR="0040677B" w:rsidRPr="0090554C">
        <w:t xml:space="preserve"> </w:t>
      </w:r>
      <w:r w:rsidR="00A0755A" w:rsidRPr="0090554C">
        <w:t xml:space="preserve">were either identified as having a significant history in greenfields agreement making in relation to large projects, or that have negotiated two or more greenfields agreements since November 2015.  </w:t>
      </w:r>
    </w:p>
    <w:p w:rsidR="0035258E" w:rsidRPr="0090554C" w:rsidRDefault="007D4AA7" w:rsidP="00A0755A">
      <w:r w:rsidRPr="0090554C">
        <w:t>Invitations</w:t>
      </w:r>
      <w:r w:rsidR="00C83390">
        <w:t xml:space="preserve"> to comment</w:t>
      </w:r>
      <w:r w:rsidRPr="0090554C">
        <w:t xml:space="preserve"> were emailed out in the week commencing 9 October 2017, with a formal postal invitation following the emails</w:t>
      </w:r>
      <w:r w:rsidR="0035258E" w:rsidRPr="0090554C">
        <w:t xml:space="preserve">. </w:t>
      </w:r>
    </w:p>
    <w:p w:rsidR="00C72D66" w:rsidRPr="0090554C" w:rsidRDefault="0035258E" w:rsidP="00A0755A">
      <w:r w:rsidRPr="0090554C">
        <w:t>T</w:t>
      </w:r>
      <w:r w:rsidR="007D4AA7" w:rsidRPr="0090554C">
        <w:t xml:space="preserve">he closing date for submissions was 25 October 2017. Owing to the short timeframe provided, the review </w:t>
      </w:r>
      <w:r w:rsidRPr="0090554C">
        <w:t xml:space="preserve">accepted some </w:t>
      </w:r>
      <w:r w:rsidR="007D4AA7" w:rsidRPr="0090554C">
        <w:t xml:space="preserve">submissions </w:t>
      </w:r>
      <w:r w:rsidR="0056788D">
        <w:t>after</w:t>
      </w:r>
      <w:r w:rsidR="0056788D" w:rsidRPr="0090554C">
        <w:t xml:space="preserve"> </w:t>
      </w:r>
      <w:r w:rsidRPr="0090554C">
        <w:t>this date</w:t>
      </w:r>
      <w:r w:rsidR="007D4AA7" w:rsidRPr="0090554C">
        <w:t xml:space="preserve">. </w:t>
      </w:r>
      <w:r w:rsidR="00893926" w:rsidRPr="0090554C">
        <w:t>The review received submissions from</w:t>
      </w:r>
      <w:r w:rsidR="00C72D66" w:rsidRPr="0090554C">
        <w:t>:</w:t>
      </w:r>
    </w:p>
    <w:p w:rsidR="00893926" w:rsidRPr="0090554C" w:rsidRDefault="00C72D66" w:rsidP="002C284B">
      <w:pPr>
        <w:pStyle w:val="ListParagraph"/>
        <w:numPr>
          <w:ilvl w:val="0"/>
          <w:numId w:val="5"/>
        </w:numPr>
      </w:pPr>
      <w:r w:rsidRPr="0090554C">
        <w:t>the Fair Work Commission</w:t>
      </w:r>
    </w:p>
    <w:p w:rsidR="00C72D66" w:rsidRPr="0090554C" w:rsidRDefault="001606DC" w:rsidP="002C284B">
      <w:pPr>
        <w:pStyle w:val="ListParagraph"/>
        <w:numPr>
          <w:ilvl w:val="0"/>
          <w:numId w:val="5"/>
        </w:numPr>
      </w:pPr>
      <w:r>
        <w:t>seven</w:t>
      </w:r>
      <w:r w:rsidRPr="0090554C">
        <w:t xml:space="preserve"> </w:t>
      </w:r>
      <w:r w:rsidR="00C72D66" w:rsidRPr="0090554C">
        <w:t xml:space="preserve">employer </w:t>
      </w:r>
      <w:r w:rsidR="00816DF8">
        <w:t>organisation</w:t>
      </w:r>
      <w:r w:rsidR="00C72D66" w:rsidRPr="0090554C">
        <w:t>s</w:t>
      </w:r>
    </w:p>
    <w:p w:rsidR="00C72D66" w:rsidRPr="0090554C" w:rsidRDefault="00C72D66" w:rsidP="002C284B">
      <w:pPr>
        <w:pStyle w:val="ListParagraph"/>
        <w:numPr>
          <w:ilvl w:val="0"/>
          <w:numId w:val="5"/>
        </w:numPr>
      </w:pPr>
      <w:r w:rsidRPr="0090554C">
        <w:t xml:space="preserve">seven employee </w:t>
      </w:r>
      <w:r w:rsidR="00816DF8">
        <w:t>organisation</w:t>
      </w:r>
      <w:r w:rsidR="00816DF8" w:rsidRPr="0090554C">
        <w:t>s</w:t>
      </w:r>
      <w:r w:rsidRPr="0090554C">
        <w:t>.</w:t>
      </w:r>
    </w:p>
    <w:p w:rsidR="0084579A" w:rsidRPr="0090554C" w:rsidRDefault="00C72D66" w:rsidP="00C72D66">
      <w:r w:rsidRPr="0090554C">
        <w:t>No submissions from individual employers were received by the review</w:t>
      </w:r>
      <w:r w:rsidR="0040677B">
        <w:t>. A</w:t>
      </w:r>
      <w:r w:rsidRPr="0090554C">
        <w:t>ll s</w:t>
      </w:r>
      <w:r w:rsidR="0084579A" w:rsidRPr="0090554C">
        <w:t xml:space="preserve">ubmissions made to the review were made publically available on the review’s website, hosted by the Department of Employment’s greenfield agreement review secretariat, at: </w:t>
      </w:r>
      <w:r w:rsidR="00FC7F7B">
        <w:br/>
      </w:r>
      <w:r w:rsidR="008C366A" w:rsidRPr="008C366A">
        <w:t>www.employment.gov.au/greenfields-agreements-review</w:t>
      </w:r>
      <w:r w:rsidR="0084579A" w:rsidRPr="0090554C">
        <w:t xml:space="preserve">. </w:t>
      </w:r>
    </w:p>
    <w:p w:rsidR="00625F31" w:rsidRPr="0090554C" w:rsidRDefault="00A754A8" w:rsidP="00625F31">
      <w:r w:rsidRPr="0090554C">
        <w:t xml:space="preserve">The Background Paper set out </w:t>
      </w:r>
      <w:r w:rsidR="0040677B">
        <w:t>the following</w:t>
      </w:r>
      <w:r w:rsidRPr="0090554C">
        <w:t xml:space="preserve"> non-exhaustive list of issues for stakeholders to address in submissions:</w:t>
      </w:r>
      <w:r w:rsidR="007D4AA7" w:rsidRPr="0090554C">
        <w:t xml:space="preserve"> </w:t>
      </w:r>
    </w:p>
    <w:p w:rsidR="00625F31" w:rsidRPr="0090554C" w:rsidRDefault="00625F31" w:rsidP="002C284B">
      <w:pPr>
        <w:pStyle w:val="ListParagraph"/>
        <w:numPr>
          <w:ilvl w:val="0"/>
          <w:numId w:val="3"/>
        </w:numPr>
      </w:pPr>
      <w:r w:rsidRPr="0090554C">
        <w:t xml:space="preserve">The extent to which the 2015 greenfields agreement amendments have altered bargaining </w:t>
      </w:r>
      <w:r w:rsidR="00A754A8" w:rsidRPr="0090554C">
        <w:t>behaviour</w:t>
      </w:r>
      <w:r w:rsidRPr="0090554C">
        <w:t xml:space="preserve"> on the part of either employers or unions.</w:t>
      </w:r>
    </w:p>
    <w:p w:rsidR="00625F31" w:rsidRPr="0090554C" w:rsidRDefault="00625F31" w:rsidP="002C284B">
      <w:pPr>
        <w:pStyle w:val="ListParagraph"/>
        <w:numPr>
          <w:ilvl w:val="0"/>
          <w:numId w:val="3"/>
        </w:numPr>
      </w:pPr>
      <w:r w:rsidRPr="0090554C">
        <w:t xml:space="preserve">Any concerns relating to the effect of the 2015 greenfields agreement amendments on bargaining outcomes and bargaining behaviour. </w:t>
      </w:r>
    </w:p>
    <w:p w:rsidR="00625F31" w:rsidRPr="0090554C" w:rsidRDefault="00625F31" w:rsidP="002C284B">
      <w:pPr>
        <w:pStyle w:val="ListParagraph"/>
        <w:numPr>
          <w:ilvl w:val="0"/>
          <w:numId w:val="3"/>
        </w:numPr>
      </w:pPr>
      <w:r w:rsidRPr="0090554C">
        <w:t>The extent to which there may be a relationship between these amendments and the number of applications for approval of greenfields agreements.</w:t>
      </w:r>
    </w:p>
    <w:p w:rsidR="00625F31" w:rsidRPr="0090554C" w:rsidRDefault="00625F31" w:rsidP="002C284B">
      <w:pPr>
        <w:pStyle w:val="ListParagraph"/>
        <w:numPr>
          <w:ilvl w:val="0"/>
          <w:numId w:val="3"/>
        </w:numPr>
      </w:pPr>
      <w:r w:rsidRPr="0090554C">
        <w:t>The extent to which there may be systemic issues or impediments to the making of greenfields agreements.</w:t>
      </w:r>
    </w:p>
    <w:p w:rsidR="00625F31" w:rsidRPr="0090554C" w:rsidRDefault="00625F31" w:rsidP="002C284B">
      <w:pPr>
        <w:pStyle w:val="ListParagraph"/>
        <w:numPr>
          <w:ilvl w:val="0"/>
          <w:numId w:val="3"/>
        </w:numPr>
      </w:pPr>
      <w:r w:rsidRPr="0090554C">
        <w:lastRenderedPageBreak/>
        <w:t>Recommendations of the Productivity Commission relating to greenfields agreements.</w:t>
      </w:r>
    </w:p>
    <w:p w:rsidR="00625F31" w:rsidRPr="0090554C" w:rsidRDefault="00625F31" w:rsidP="002C284B">
      <w:pPr>
        <w:pStyle w:val="ListParagraph"/>
        <w:numPr>
          <w:ilvl w:val="0"/>
          <w:numId w:val="3"/>
        </w:numPr>
      </w:pPr>
      <w:r w:rsidRPr="0090554C">
        <w:t>The anticipated effects of returning to the legislative arrangements which applied to greenfields agreement making prior to November 2015.</w:t>
      </w:r>
    </w:p>
    <w:p w:rsidR="007D4AA7" w:rsidRPr="0090554C" w:rsidRDefault="00625F31" w:rsidP="002C284B">
      <w:pPr>
        <w:pStyle w:val="ListParagraph"/>
        <w:numPr>
          <w:ilvl w:val="0"/>
          <w:numId w:val="3"/>
        </w:numPr>
        <w:rPr>
          <w:i/>
        </w:rPr>
      </w:pPr>
      <w:r w:rsidRPr="0090554C">
        <w:t>The impact of the reduction in the number and scale of capital development projects on greenfields agreement making since 2015.</w:t>
      </w:r>
    </w:p>
    <w:p w:rsidR="00625F31" w:rsidRPr="0090554C" w:rsidRDefault="00625F31" w:rsidP="002C284B">
      <w:pPr>
        <w:pStyle w:val="ListParagraph"/>
        <w:numPr>
          <w:ilvl w:val="0"/>
          <w:numId w:val="3"/>
        </w:numPr>
        <w:rPr>
          <w:i/>
        </w:rPr>
      </w:pPr>
      <w:r w:rsidRPr="0090554C">
        <w:t>Any other matter relating to the negotiation of, and the approval process for</w:t>
      </w:r>
      <w:r w:rsidR="0040677B">
        <w:t>,</w:t>
      </w:r>
      <w:r w:rsidRPr="0090554C">
        <w:t xml:space="preserve"> greenfields agreements.</w:t>
      </w:r>
    </w:p>
    <w:p w:rsidR="00625F31" w:rsidRPr="0090554C" w:rsidRDefault="0084579A" w:rsidP="00C72D66">
      <w:r w:rsidRPr="0090554C">
        <w:t>Following receipt of submissions,</w:t>
      </w:r>
      <w:r w:rsidR="00A754A8" w:rsidRPr="0090554C">
        <w:t xml:space="preserve"> the review made </w:t>
      </w:r>
      <w:r w:rsidR="0040677B" w:rsidRPr="0090554C">
        <w:t>follow</w:t>
      </w:r>
      <w:r w:rsidR="0040677B">
        <w:t>-</w:t>
      </w:r>
      <w:r w:rsidR="00A754A8" w:rsidRPr="0090554C">
        <w:t xml:space="preserve">up requests to some stakeholders to clarify their submissions or seek additional evidence where possible. </w:t>
      </w:r>
      <w:r w:rsidRPr="0090554C">
        <w:t xml:space="preserve"> </w:t>
      </w:r>
    </w:p>
    <w:p w:rsidR="00C72D66" w:rsidRDefault="0084579A" w:rsidP="00C72D66">
      <w:r w:rsidRPr="0090554C">
        <w:t xml:space="preserve">The review also contacted </w:t>
      </w:r>
      <w:r w:rsidR="00A754A8" w:rsidRPr="0090554C">
        <w:t>a small number</w:t>
      </w:r>
      <w:r w:rsidR="00973A41">
        <w:t xml:space="preserve"> of</w:t>
      </w:r>
      <w:r w:rsidRPr="0090554C">
        <w:t xml:space="preserve"> experienced major resource project </w:t>
      </w:r>
      <w:r w:rsidR="0056788D">
        <w:t xml:space="preserve">and construction workplace relations </w:t>
      </w:r>
      <w:r w:rsidRPr="0090554C">
        <w:t xml:space="preserve">experts </w:t>
      </w:r>
      <w:r w:rsidR="00625F31" w:rsidRPr="0090554C">
        <w:t xml:space="preserve">for further professional information and advice. These informal discussions assisted the review to canvass issues the resource </w:t>
      </w:r>
      <w:r w:rsidR="007F0EC3">
        <w:t xml:space="preserve">and infrastructure </w:t>
      </w:r>
      <w:r w:rsidR="00625F31" w:rsidRPr="0090554C">
        <w:t>industr</w:t>
      </w:r>
      <w:r w:rsidR="007F0EC3">
        <w:t xml:space="preserve">ies </w:t>
      </w:r>
      <w:r w:rsidR="00625F31" w:rsidRPr="0090554C">
        <w:t>may commonly consider</w:t>
      </w:r>
      <w:r w:rsidR="00A754A8" w:rsidRPr="0090554C">
        <w:t xml:space="preserve"> or </w:t>
      </w:r>
      <w:r w:rsidR="00625F31" w:rsidRPr="0090554C">
        <w:t xml:space="preserve">encounter in developing projects in the greenfields space. </w:t>
      </w:r>
    </w:p>
    <w:p w:rsidR="00EC06FB" w:rsidRDefault="00EC06FB" w:rsidP="00C72D66">
      <w:r>
        <w:t>The review would like to thank all stakeholders</w:t>
      </w:r>
      <w:r w:rsidR="00C019EF">
        <w:t xml:space="preserve"> who</w:t>
      </w:r>
      <w:r>
        <w:t xml:space="preserve"> provided submissions for consideration and/or made further comment to assist the review’s consideration of these matters.</w:t>
      </w:r>
    </w:p>
    <w:p w:rsidR="000A694E" w:rsidRDefault="00A754A8" w:rsidP="00C35934">
      <w:r w:rsidRPr="0090554C">
        <w:t>The review took into account the evidence presented in submissions, in further discussions with stakeholders</w:t>
      </w:r>
      <w:r w:rsidR="00C62F73">
        <w:t>,</w:t>
      </w:r>
      <w:r w:rsidRPr="0090554C">
        <w:t xml:space="preserve"> and data from various sources</w:t>
      </w:r>
      <w:r w:rsidR="0024318A">
        <w:t>, including that</w:t>
      </w:r>
      <w:r w:rsidRPr="0090554C">
        <w:t xml:space="preserve"> provided b</w:t>
      </w:r>
      <w:r w:rsidR="0024318A">
        <w:t xml:space="preserve">y the Department of Employment’s </w:t>
      </w:r>
      <w:r w:rsidRPr="0090554C">
        <w:t>Workplace Agreements Database</w:t>
      </w:r>
      <w:r w:rsidR="00936729">
        <w:t xml:space="preserve"> (WAD)</w:t>
      </w:r>
      <w:r w:rsidRPr="0090554C">
        <w:t xml:space="preserve">. Given the limited use of the </w:t>
      </w:r>
      <w:r w:rsidR="00A0755A" w:rsidRPr="0090554C">
        <w:t xml:space="preserve">provisions of the Amendment Act, </w:t>
      </w:r>
      <w:r w:rsidRPr="0090554C">
        <w:t>stakeholder</w:t>
      </w:r>
      <w:r w:rsidR="0056788D">
        <w:t xml:space="preserve"> organi</w:t>
      </w:r>
      <w:r w:rsidR="00816DF8">
        <w:t>s</w:t>
      </w:r>
      <w:r w:rsidR="0056788D">
        <w:t>ations</w:t>
      </w:r>
      <w:r w:rsidRPr="0090554C">
        <w:t xml:space="preserve"> were generally unable to provide significant evidence of the impact of the provision, instead relying on their experiences and observations regarding what impact, </w:t>
      </w:r>
      <w:r w:rsidR="00FC7F7B">
        <w:br/>
      </w:r>
      <w:r w:rsidRPr="0090554C">
        <w:t xml:space="preserve">if any, the provisions may have had on greenfields agreement making. </w:t>
      </w:r>
      <w:r w:rsidR="000B413B">
        <w:t>The reviewer has also drawn on his personal experience</w:t>
      </w:r>
      <w:r w:rsidR="00973A41">
        <w:t>.</w:t>
      </w:r>
      <w:r w:rsidR="000B413B">
        <w:t xml:space="preserve"> </w:t>
      </w:r>
      <w:r w:rsidR="0035258E" w:rsidRPr="0090554C">
        <w:t xml:space="preserve">The review has attempted to give fair weight and consideration to all the evidence provided, and </w:t>
      </w:r>
      <w:r w:rsidR="00251E0F" w:rsidRPr="0090554C">
        <w:t xml:space="preserve">make reasonable </w:t>
      </w:r>
      <w:r w:rsidR="0035258E" w:rsidRPr="0090554C">
        <w:t xml:space="preserve">recommendations based on identifiable risks in </w:t>
      </w:r>
      <w:r w:rsidR="00251E0F" w:rsidRPr="0090554C">
        <w:t>greenfields agreement making</w:t>
      </w:r>
      <w:r w:rsidR="0035258E" w:rsidRPr="0090554C">
        <w:t xml:space="preserve">. </w:t>
      </w:r>
    </w:p>
    <w:p w:rsidR="00F15D64" w:rsidRDefault="003036A1" w:rsidP="00C35934">
      <w:r>
        <w:t>Section 3 of the Fair Work Act sets out the object of the Act</w:t>
      </w:r>
      <w:r w:rsidR="00F15D64">
        <w:t xml:space="preserve">, </w:t>
      </w:r>
      <w:r w:rsidR="00F15D64" w:rsidRPr="00136555">
        <w:t xml:space="preserve">which </w:t>
      </w:r>
      <w:r w:rsidR="00EF13EE">
        <w:t>is</w:t>
      </w:r>
      <w:r w:rsidR="00F15D64">
        <w:t xml:space="preserve"> </w:t>
      </w:r>
      <w:r w:rsidR="00F15D64" w:rsidRPr="00136555">
        <w:t>to provide a balanced framework for cooperative and productive workplace relations that promotes national economic prosperity and social inclusion for all Australians. The object refers to a range of factors, including providing workplace relations laws that are fair, flexible and promote productivity and economic growth, ensuring a guaranteed safety net of minimum terms and conditions, and an emphasis on enterprise-level collective bargaining underpinned by good faith bargaining obligations the promotion of working arrangements that are fair, flexible and arrangements which promote productivity and economic growth</w:t>
      </w:r>
      <w:r>
        <w:t xml:space="preserve">. </w:t>
      </w:r>
    </w:p>
    <w:p w:rsidR="003036A1" w:rsidRDefault="003036A1" w:rsidP="00C35934">
      <w:r>
        <w:t xml:space="preserve">In undertaking the review, regard has been </w:t>
      </w:r>
      <w:r w:rsidR="00F15D64">
        <w:t>had</w:t>
      </w:r>
      <w:r w:rsidR="00141B9C">
        <w:t xml:space="preserve"> </w:t>
      </w:r>
      <w:r w:rsidR="00816DF8">
        <w:t xml:space="preserve">to </w:t>
      </w:r>
      <w:r>
        <w:t>all</w:t>
      </w:r>
      <w:r w:rsidR="006A6708">
        <w:t xml:space="preserve"> </w:t>
      </w:r>
      <w:r w:rsidR="00F15D64">
        <w:t>these factors</w:t>
      </w:r>
      <w:r>
        <w:t xml:space="preserve"> as well as the fundamental difference in the basis for greenfields agreements as distinct from the general enterprise agreement stream.</w:t>
      </w:r>
    </w:p>
    <w:p w:rsidR="00973A41" w:rsidRPr="0090554C" w:rsidRDefault="00973A41" w:rsidP="00C35934">
      <w:r>
        <w:t>The review has not sought to assess whether greenfields agreements have an impact on the costs of government funded infrastructure projects. This was outside the scope of the review.</w:t>
      </w:r>
    </w:p>
    <w:p w:rsidR="005B35C0" w:rsidRPr="0090554C" w:rsidRDefault="000A694E" w:rsidP="005A2B1A">
      <w:pPr>
        <w:pStyle w:val="Heading2"/>
      </w:pPr>
      <w:bookmarkStart w:id="11" w:name="_Toc505681251"/>
      <w:r w:rsidRPr="0090554C">
        <w:t xml:space="preserve">Responses to </w:t>
      </w:r>
      <w:r w:rsidR="005B35C0" w:rsidRPr="0090554C">
        <w:t xml:space="preserve">Background Paper </w:t>
      </w:r>
      <w:r w:rsidR="00A754A8" w:rsidRPr="0090554C">
        <w:t>issues</w:t>
      </w:r>
      <w:bookmarkEnd w:id="11"/>
    </w:p>
    <w:p w:rsidR="00796E25" w:rsidRPr="0090554C" w:rsidRDefault="00A754A8" w:rsidP="005B35C0">
      <w:r w:rsidRPr="0090554C">
        <w:t>As noted above, t</w:t>
      </w:r>
      <w:r w:rsidR="005B35C0" w:rsidRPr="0090554C">
        <w:t xml:space="preserve">he Background </w:t>
      </w:r>
      <w:r w:rsidR="00564AD3">
        <w:t>P</w:t>
      </w:r>
      <w:r w:rsidR="005B35C0" w:rsidRPr="0090554C">
        <w:t xml:space="preserve">aper invited </w:t>
      </w:r>
      <w:r w:rsidRPr="0090554C">
        <w:t xml:space="preserve">stakeholders to address a number of issues. </w:t>
      </w:r>
      <w:r w:rsidR="005B35C0" w:rsidRPr="0090554C">
        <w:t xml:space="preserve">Comment was invited on the extent to which the 2015 </w:t>
      </w:r>
      <w:r w:rsidR="00564AD3">
        <w:t>g</w:t>
      </w:r>
      <w:r w:rsidR="00564AD3" w:rsidRPr="0090554C">
        <w:t xml:space="preserve">reenfields </w:t>
      </w:r>
      <w:r w:rsidR="005B35C0" w:rsidRPr="0090554C">
        <w:t>agreement amendments have altered bargaining behaviour on the part of either employers or employees</w:t>
      </w:r>
      <w:r w:rsidRPr="0090554C">
        <w:t xml:space="preserve"> and any concerns relating to the </w:t>
      </w:r>
      <w:r w:rsidRPr="0090554C">
        <w:lastRenderedPageBreak/>
        <w:t>amendments</w:t>
      </w:r>
      <w:r w:rsidR="005B35C0" w:rsidRPr="0090554C">
        <w:t xml:space="preserve">. The union and employer organisation responses were </w:t>
      </w:r>
      <w:r w:rsidR="00605A12">
        <w:t>generally</w:t>
      </w:r>
      <w:r w:rsidR="00605A12" w:rsidRPr="0090554C">
        <w:t xml:space="preserve"> </w:t>
      </w:r>
      <w:r w:rsidR="005B35C0" w:rsidRPr="0090554C">
        <w:t>consistent in asserting that the amendments have had little impa</w:t>
      </w:r>
      <w:r w:rsidR="00796E25" w:rsidRPr="0090554C">
        <w:t xml:space="preserve">ct on bargaining behaviour. </w:t>
      </w:r>
    </w:p>
    <w:p w:rsidR="00796E25" w:rsidRPr="0090554C" w:rsidRDefault="00796E25" w:rsidP="005B35C0">
      <w:r w:rsidRPr="0090554C">
        <w:t>U</w:t>
      </w:r>
      <w:r w:rsidR="005B35C0" w:rsidRPr="0090554C">
        <w:t>nions generally noted that they bargain</w:t>
      </w:r>
      <w:r w:rsidR="002C29C2" w:rsidRPr="0090554C">
        <w:t>ed</w:t>
      </w:r>
      <w:r w:rsidR="005B35C0" w:rsidRPr="0090554C">
        <w:t xml:space="preserve"> in good faith</w:t>
      </w:r>
      <w:r w:rsidR="002C29C2" w:rsidRPr="0090554C">
        <w:t xml:space="preserve"> and supported the</w:t>
      </w:r>
      <w:r w:rsidR="006838AF">
        <w:t xml:space="preserve"> extension of the good faith bargaining requirements</w:t>
      </w:r>
      <w:r w:rsidR="002C29C2" w:rsidRPr="0090554C">
        <w:t xml:space="preserve"> to greenfields bargaining. They further argued </w:t>
      </w:r>
      <w:r w:rsidR="005B35C0" w:rsidRPr="0090554C">
        <w:t xml:space="preserve">that the capacity for </w:t>
      </w:r>
      <w:r w:rsidR="00365508" w:rsidRPr="0090554C">
        <w:t>a</w:t>
      </w:r>
      <w:r w:rsidR="00141B9C">
        <w:t xml:space="preserve"> </w:t>
      </w:r>
      <w:r w:rsidR="00C4669B">
        <w:t>s</w:t>
      </w:r>
      <w:r w:rsidR="00361098" w:rsidRPr="0090554C">
        <w:t xml:space="preserve"> 18</w:t>
      </w:r>
      <w:r w:rsidR="00816DF8">
        <w:t>2</w:t>
      </w:r>
      <w:r w:rsidR="00361098" w:rsidRPr="0090554C">
        <w:t>(</w:t>
      </w:r>
      <w:r w:rsidR="00816DF8">
        <w:t>4</w:t>
      </w:r>
      <w:r w:rsidR="00361098" w:rsidRPr="0090554C">
        <w:t>) greenfields</w:t>
      </w:r>
      <w:r w:rsidR="00365508" w:rsidRPr="0090554C">
        <w:t xml:space="preserve"> agreement</w:t>
      </w:r>
      <w:r w:rsidR="005B35C0" w:rsidRPr="0090554C">
        <w:t xml:space="preserve"> to be made had not been utilised and was in any event inappropriate, unnecessary and had the potential to be used to reduce employee benefits. </w:t>
      </w:r>
    </w:p>
    <w:p w:rsidR="005B35C0" w:rsidRPr="0090554C" w:rsidRDefault="00796E25" w:rsidP="005B35C0">
      <w:r w:rsidRPr="0090554C">
        <w:t>Employer organisations</w:t>
      </w:r>
      <w:r w:rsidR="002C29C2" w:rsidRPr="0090554C">
        <w:t xml:space="preserve"> universally expressed support for the 2015 amendments, but</w:t>
      </w:r>
      <w:r w:rsidRPr="0090554C">
        <w:t xml:space="preserve"> </w:t>
      </w:r>
      <w:r w:rsidR="005B35C0" w:rsidRPr="0090554C">
        <w:t xml:space="preserve">argued that </w:t>
      </w:r>
      <w:r w:rsidR="002C29C2" w:rsidRPr="0090554C">
        <w:t>they</w:t>
      </w:r>
      <w:r w:rsidR="005B35C0" w:rsidRPr="0090554C">
        <w:t xml:space="preserve"> were not sufficient to curb inappropriate behaviour on </w:t>
      </w:r>
      <w:r w:rsidRPr="0090554C">
        <w:t>the part of unions</w:t>
      </w:r>
      <w:r w:rsidR="002C29C2" w:rsidRPr="0090554C">
        <w:t>. Employer organisations generally</w:t>
      </w:r>
      <w:r w:rsidRPr="0090554C">
        <w:t xml:space="preserve"> sought further changes to address behaviours which could impact on future resource development initiatives. </w:t>
      </w:r>
    </w:p>
    <w:p w:rsidR="00C62F73" w:rsidRDefault="005B35C0" w:rsidP="002C29C2">
      <w:r w:rsidRPr="0090554C">
        <w:t xml:space="preserve">The Background </w:t>
      </w:r>
      <w:r w:rsidR="00564AD3">
        <w:t>P</w:t>
      </w:r>
      <w:r w:rsidR="00564AD3" w:rsidRPr="0090554C">
        <w:t xml:space="preserve">aper </w:t>
      </w:r>
      <w:r w:rsidRPr="0090554C">
        <w:t xml:space="preserve">invited observations about the extent to which there may be a relationship between these amendments and the number of applications for approval of </w:t>
      </w:r>
      <w:r w:rsidR="00564AD3">
        <w:t>g</w:t>
      </w:r>
      <w:r w:rsidRPr="0090554C">
        <w:t xml:space="preserve">reenfields agreements. Both unions and employer </w:t>
      </w:r>
      <w:r w:rsidR="00816DF8">
        <w:t>organisations</w:t>
      </w:r>
      <w:r w:rsidRPr="0090554C">
        <w:t xml:space="preserve"> </w:t>
      </w:r>
      <w:r w:rsidR="00C62F73">
        <w:t>said that</w:t>
      </w:r>
      <w:r w:rsidRPr="0090554C">
        <w:t xml:space="preserve"> the reduction in major project and construction activity </w:t>
      </w:r>
      <w:r w:rsidR="00C62F73">
        <w:t>w</w:t>
      </w:r>
      <w:r w:rsidRPr="0090554C">
        <w:t xml:space="preserve">as a significant factor in the reduction of the number of </w:t>
      </w:r>
      <w:r w:rsidR="00564AD3">
        <w:t>g</w:t>
      </w:r>
      <w:r w:rsidRPr="0090554C">
        <w:t>reenfields agreement</w:t>
      </w:r>
      <w:r w:rsidR="00C62F73">
        <w:t>s</w:t>
      </w:r>
      <w:r w:rsidRPr="0090554C">
        <w:t xml:space="preserve"> over the past two years. </w:t>
      </w:r>
    </w:p>
    <w:p w:rsidR="005B35C0" w:rsidRPr="0090554C" w:rsidRDefault="005B35C0" w:rsidP="002C29C2">
      <w:r w:rsidRPr="0090554C">
        <w:t xml:space="preserve">Additionally, the unions expressed concern about the extent to which agreements </w:t>
      </w:r>
      <w:r w:rsidR="007920BA">
        <w:t>made with small numbers of employees</w:t>
      </w:r>
      <w:r w:rsidR="00C62F73">
        <w:t xml:space="preserve"> are then applied</w:t>
      </w:r>
      <w:r w:rsidR="007920BA">
        <w:t xml:space="preserve"> to much larger cohorts. The unions expressed particular concern at the extent to which these agreements were being made without</w:t>
      </w:r>
      <w:r w:rsidR="001356C7">
        <w:t xml:space="preserve"> union involvement</w:t>
      </w:r>
      <w:r w:rsidR="00564AD3">
        <w:t xml:space="preserve"> and in </w:t>
      </w:r>
      <w:r w:rsidR="006838AF">
        <w:t xml:space="preserve">circumstances </w:t>
      </w:r>
      <w:r w:rsidR="00564AD3">
        <w:t>where a greenfields agreement would be more appropriate</w:t>
      </w:r>
      <w:r w:rsidR="001356C7">
        <w:t>.</w:t>
      </w:r>
    </w:p>
    <w:p w:rsidR="002C29C2" w:rsidRDefault="002C29C2" w:rsidP="002C29C2">
      <w:r w:rsidRPr="0090554C">
        <w:t xml:space="preserve">The stakeholders were also invited to comment on the 2015 recommendations of the Productivity Commission. Generally, submissions by unions rejected those recommendations and employers had mixed support for them. For example, </w:t>
      </w:r>
      <w:r w:rsidR="00C62F73" w:rsidRPr="00C62F73">
        <w:rPr>
          <w:lang w:val="en-US"/>
        </w:rPr>
        <w:t>Australian Business Industrial</w:t>
      </w:r>
      <w:r w:rsidR="00C62F73" w:rsidRPr="00C62F73">
        <w:t xml:space="preserve"> </w:t>
      </w:r>
      <w:r w:rsidR="00C62F73">
        <w:t>(</w:t>
      </w:r>
      <w:r w:rsidRPr="0090554C">
        <w:t>ABI</w:t>
      </w:r>
      <w:r w:rsidR="00C62F73">
        <w:t>)</w:t>
      </w:r>
      <w:r w:rsidRPr="0090554C">
        <w:t xml:space="preserve"> supported replacing the prevailing conditions test with a simple assessment against the </w:t>
      </w:r>
      <w:r w:rsidR="00FE0B4E">
        <w:t>BOOT</w:t>
      </w:r>
      <w:r w:rsidRPr="0090554C">
        <w:t>, but failing that suggested exploring last offer arbitration as recommended by the Productivity Commission.</w:t>
      </w:r>
    </w:p>
    <w:p w:rsidR="00AB289F" w:rsidRPr="0090554C" w:rsidRDefault="00AB289F" w:rsidP="002C29C2">
      <w:r>
        <w:t>In considering the information provided to it, the review has differentiated between different industry sectors as much as possible. Some sectors assume particular significance. References to resource developments relate to major mineral and gas developments which have been generally characteri</w:t>
      </w:r>
      <w:r w:rsidR="00C26CB9">
        <w:t>s</w:t>
      </w:r>
      <w:r>
        <w:t xml:space="preserve">ed as Australia’s resources boom. References to construction work generally refer to commercial and industrial construction activity. A </w:t>
      </w:r>
      <w:r w:rsidR="0056788D">
        <w:t xml:space="preserve">particularly </w:t>
      </w:r>
      <w:r>
        <w:t>significant component of that sector is described as infrastructure construction work</w:t>
      </w:r>
      <w:r w:rsidR="00C62F73">
        <w:t>,</w:t>
      </w:r>
      <w:r w:rsidR="0056788D">
        <w:t xml:space="preserve"> which refers to large </w:t>
      </w:r>
      <w:r w:rsidR="00816DF8">
        <w:t>scale,</w:t>
      </w:r>
      <w:r w:rsidR="0056788D">
        <w:t xml:space="preserve"> mainly civil construction projects</w:t>
      </w:r>
      <w:r>
        <w:t>.</w:t>
      </w:r>
    </w:p>
    <w:p w:rsidR="007A7357" w:rsidRPr="0090554C" w:rsidRDefault="00FE0B4E" w:rsidP="00ED62D1">
      <w:pPr>
        <w:pStyle w:val="Heading1"/>
      </w:pPr>
      <w:bookmarkStart w:id="12" w:name="_Toc505681252"/>
      <w:r>
        <w:t>Information and statistics on g</w:t>
      </w:r>
      <w:r w:rsidR="00ED62D1" w:rsidRPr="0090554C">
        <w:t>reenfields agreements</w:t>
      </w:r>
      <w:bookmarkEnd w:id="12"/>
    </w:p>
    <w:p w:rsidR="00A02A95" w:rsidRPr="0090554C" w:rsidRDefault="00A02A95" w:rsidP="00A02A95">
      <w:pPr>
        <w:pStyle w:val="Heading2"/>
      </w:pPr>
      <w:bookmarkStart w:id="13" w:name="_Toc505681253"/>
      <w:r w:rsidRPr="0090554C">
        <w:t>Additional data since the Background Paper</w:t>
      </w:r>
      <w:bookmarkEnd w:id="13"/>
    </w:p>
    <w:p w:rsidR="00A02A95" w:rsidRDefault="00A02A95" w:rsidP="00E556F7">
      <w:r w:rsidRPr="0090554C">
        <w:t xml:space="preserve">The Background Paper provided a range of information about where agreements are made and the timeframe for approvals. The Department of Employment has also been able to provide further data from the </w:t>
      </w:r>
      <w:r w:rsidR="007874CF">
        <w:t>WAD</w:t>
      </w:r>
      <w:r w:rsidR="00AF60C8">
        <w:t>.</w:t>
      </w:r>
    </w:p>
    <w:p w:rsidR="00253358" w:rsidRDefault="00253358" w:rsidP="00253358">
      <w:pPr>
        <w:pStyle w:val="Caption"/>
        <w:keepNext/>
      </w:pPr>
      <w:r>
        <w:lastRenderedPageBreak/>
        <w:t xml:space="preserve">Table </w:t>
      </w:r>
      <w:r>
        <w:fldChar w:fldCharType="begin"/>
      </w:r>
      <w:r>
        <w:instrText xml:space="preserve"> SEQ Table \* ARABIC </w:instrText>
      </w:r>
      <w:r>
        <w:fldChar w:fldCharType="separate"/>
      </w:r>
      <w:r w:rsidR="002C20F1">
        <w:rPr>
          <w:noProof/>
        </w:rPr>
        <w:t>1</w:t>
      </w:r>
      <w:r>
        <w:fldChar w:fldCharType="end"/>
      </w:r>
      <w:r w:rsidRPr="004D63A0">
        <w:t>: Average duration of greenfields agreements</w:t>
      </w:r>
    </w:p>
    <w:tbl>
      <w:tblPr>
        <w:tblW w:w="5000" w:type="pct"/>
        <w:tblLayout w:type="fixed"/>
        <w:tblCellMar>
          <w:left w:w="0" w:type="dxa"/>
          <w:right w:w="0" w:type="dxa"/>
        </w:tblCellMar>
        <w:tblLook w:val="01E0" w:firstRow="1" w:lastRow="1" w:firstColumn="1" w:lastColumn="1" w:noHBand="0" w:noVBand="0"/>
        <w:tblCaption w:val="Table 1 – Average duration of greenfields enterprise agreements, before and after the commencement of the Amendment Act."/>
        <w:tblDescription w:val="Table 1 shows the average duration of all greenfields agreements made in the two years before the commencement of the Amendment Act, from November 2013 to October 2015, and in the two years following, from November 2015 to Jun 2017. The data shows the average duration of greenfields agreements has decreased slightly since the commencement of the Amendment Act in November 2015, from an average of 2.9 years before it commenced to 2.6 years after."/>
      </w:tblPr>
      <w:tblGrid>
        <w:gridCol w:w="3160"/>
        <w:gridCol w:w="3133"/>
        <w:gridCol w:w="3067"/>
      </w:tblGrid>
      <w:tr w:rsidR="003C17D6" w:rsidTr="00253358">
        <w:trPr>
          <w:cantSplit/>
          <w:trHeight w:hRule="exact" w:val="310"/>
          <w:tblHeader/>
        </w:trPr>
        <w:tc>
          <w:tcPr>
            <w:tcW w:w="2756" w:type="dxa"/>
            <w:tcBorders>
              <w:top w:val="nil"/>
              <w:left w:val="nil"/>
              <w:bottom w:val="nil"/>
              <w:right w:val="nil"/>
            </w:tcBorders>
            <w:shd w:val="clear" w:color="auto" w:fill="006D68"/>
          </w:tcPr>
          <w:p w:rsidR="003C17D6" w:rsidRDefault="003C17D6" w:rsidP="002B383B">
            <w:pPr>
              <w:pStyle w:val="TableParagraph"/>
              <w:keepNext/>
              <w:spacing w:before="51"/>
              <w:ind w:left="80"/>
              <w:rPr>
                <w:rFonts w:ascii="Arial" w:eastAsia="Arial" w:hAnsi="Arial" w:cs="Arial"/>
                <w:sz w:val="19"/>
                <w:szCs w:val="19"/>
              </w:rPr>
            </w:pPr>
            <w:r>
              <w:rPr>
                <w:rFonts w:ascii="Arial" w:eastAsia="Arial" w:hAnsi="Arial" w:cs="Arial"/>
                <w:color w:val="FFFFFF"/>
                <w:spacing w:val="-3"/>
                <w:w w:val="105"/>
                <w:sz w:val="19"/>
                <w:szCs w:val="19"/>
              </w:rPr>
              <w:t>P</w:t>
            </w:r>
            <w:r>
              <w:rPr>
                <w:rFonts w:ascii="Arial" w:eastAsia="Arial" w:hAnsi="Arial" w:cs="Arial"/>
                <w:color w:val="FFFFFF"/>
                <w:spacing w:val="2"/>
                <w:w w:val="105"/>
                <w:sz w:val="19"/>
                <w:szCs w:val="19"/>
              </w:rPr>
              <w:t>e</w:t>
            </w:r>
            <w:r>
              <w:rPr>
                <w:rFonts w:ascii="Arial" w:eastAsia="Arial" w:hAnsi="Arial" w:cs="Arial"/>
                <w:color w:val="FFFFFF"/>
                <w:spacing w:val="3"/>
                <w:w w:val="105"/>
                <w:sz w:val="19"/>
                <w:szCs w:val="19"/>
              </w:rPr>
              <w:t>r</w:t>
            </w:r>
            <w:r>
              <w:rPr>
                <w:rFonts w:ascii="Arial" w:eastAsia="Arial" w:hAnsi="Arial" w:cs="Arial"/>
                <w:color w:val="FFFFFF"/>
                <w:w w:val="105"/>
                <w:sz w:val="19"/>
                <w:szCs w:val="19"/>
              </w:rPr>
              <w:t>i</w:t>
            </w:r>
            <w:r>
              <w:rPr>
                <w:rFonts w:ascii="Arial" w:eastAsia="Arial" w:hAnsi="Arial" w:cs="Arial"/>
                <w:color w:val="FFFFFF"/>
                <w:spacing w:val="1"/>
                <w:w w:val="105"/>
                <w:sz w:val="19"/>
                <w:szCs w:val="19"/>
              </w:rPr>
              <w:t>o</w:t>
            </w:r>
            <w:r>
              <w:rPr>
                <w:rFonts w:ascii="Arial" w:eastAsia="Arial" w:hAnsi="Arial" w:cs="Arial"/>
                <w:color w:val="FFFFFF"/>
                <w:w w:val="105"/>
                <w:sz w:val="19"/>
                <w:szCs w:val="19"/>
              </w:rPr>
              <w:t xml:space="preserve">d </w:t>
            </w:r>
            <w:r>
              <w:rPr>
                <w:rFonts w:ascii="Arial" w:eastAsia="Arial" w:hAnsi="Arial" w:cs="Arial"/>
                <w:color w:val="FFFFFF"/>
                <w:spacing w:val="2"/>
                <w:w w:val="105"/>
                <w:sz w:val="19"/>
                <w:szCs w:val="19"/>
              </w:rPr>
              <w:t>a</w:t>
            </w:r>
            <w:r>
              <w:rPr>
                <w:rFonts w:ascii="Arial" w:eastAsia="Arial" w:hAnsi="Arial" w:cs="Arial"/>
                <w:color w:val="FFFFFF"/>
                <w:w w:val="105"/>
                <w:sz w:val="19"/>
                <w:szCs w:val="19"/>
              </w:rPr>
              <w:t>p</w:t>
            </w:r>
            <w:r>
              <w:rPr>
                <w:rFonts w:ascii="Arial" w:eastAsia="Arial" w:hAnsi="Arial" w:cs="Arial"/>
                <w:color w:val="FFFFFF"/>
                <w:spacing w:val="1"/>
                <w:w w:val="105"/>
                <w:sz w:val="19"/>
                <w:szCs w:val="19"/>
              </w:rPr>
              <w:t>p</w:t>
            </w:r>
            <w:r>
              <w:rPr>
                <w:rFonts w:ascii="Arial" w:eastAsia="Arial" w:hAnsi="Arial" w:cs="Arial"/>
                <w:color w:val="FFFFFF"/>
                <w:spacing w:val="2"/>
                <w:w w:val="105"/>
                <w:sz w:val="19"/>
                <w:szCs w:val="19"/>
              </w:rPr>
              <w:t>r</w:t>
            </w:r>
            <w:r>
              <w:rPr>
                <w:rFonts w:ascii="Arial" w:eastAsia="Arial" w:hAnsi="Arial" w:cs="Arial"/>
                <w:color w:val="FFFFFF"/>
                <w:spacing w:val="-3"/>
                <w:w w:val="105"/>
                <w:sz w:val="19"/>
                <w:szCs w:val="19"/>
              </w:rPr>
              <w:t>ov</w:t>
            </w:r>
            <w:r>
              <w:rPr>
                <w:rFonts w:ascii="Arial" w:eastAsia="Arial" w:hAnsi="Arial" w:cs="Arial"/>
                <w:color w:val="FFFFFF"/>
                <w:spacing w:val="3"/>
                <w:w w:val="105"/>
                <w:sz w:val="19"/>
                <w:szCs w:val="19"/>
              </w:rPr>
              <w:t>e</w:t>
            </w:r>
            <w:r>
              <w:rPr>
                <w:rFonts w:ascii="Arial" w:eastAsia="Arial" w:hAnsi="Arial" w:cs="Arial"/>
                <w:color w:val="FFFFFF"/>
                <w:w w:val="105"/>
                <w:sz w:val="19"/>
                <w:szCs w:val="19"/>
              </w:rPr>
              <w:t>d</w:t>
            </w:r>
          </w:p>
        </w:tc>
        <w:tc>
          <w:tcPr>
            <w:tcW w:w="2732" w:type="dxa"/>
            <w:tcBorders>
              <w:top w:val="nil"/>
              <w:left w:val="nil"/>
              <w:bottom w:val="nil"/>
              <w:right w:val="nil"/>
            </w:tcBorders>
            <w:shd w:val="clear" w:color="auto" w:fill="006D68"/>
          </w:tcPr>
          <w:p w:rsidR="003C17D6" w:rsidRDefault="003C17D6" w:rsidP="002B383B">
            <w:pPr>
              <w:pStyle w:val="TableParagraph"/>
              <w:keepNext/>
              <w:spacing w:before="51"/>
              <w:ind w:left="989"/>
              <w:rPr>
                <w:rFonts w:ascii="Arial" w:eastAsia="Arial" w:hAnsi="Arial" w:cs="Arial"/>
                <w:sz w:val="19"/>
                <w:szCs w:val="19"/>
              </w:rPr>
            </w:pPr>
            <w:r>
              <w:rPr>
                <w:rFonts w:ascii="Arial" w:eastAsia="Arial" w:hAnsi="Arial" w:cs="Arial"/>
                <w:color w:val="FFFFFF"/>
                <w:w w:val="105"/>
                <w:sz w:val="19"/>
                <w:szCs w:val="19"/>
              </w:rPr>
              <w:t>A</w:t>
            </w:r>
            <w:r>
              <w:rPr>
                <w:rFonts w:ascii="Arial" w:eastAsia="Arial" w:hAnsi="Arial" w:cs="Arial"/>
                <w:color w:val="FFFFFF"/>
                <w:spacing w:val="1"/>
                <w:w w:val="105"/>
                <w:sz w:val="19"/>
                <w:szCs w:val="19"/>
              </w:rPr>
              <w:t>gr</w:t>
            </w:r>
            <w:r>
              <w:rPr>
                <w:rFonts w:ascii="Arial" w:eastAsia="Arial" w:hAnsi="Arial" w:cs="Arial"/>
                <w:color w:val="FFFFFF"/>
                <w:spacing w:val="3"/>
                <w:w w:val="105"/>
                <w:sz w:val="19"/>
                <w:szCs w:val="19"/>
              </w:rPr>
              <w:t>e</w:t>
            </w:r>
            <w:r>
              <w:rPr>
                <w:rFonts w:ascii="Arial" w:eastAsia="Arial" w:hAnsi="Arial" w:cs="Arial"/>
                <w:color w:val="FFFFFF"/>
                <w:spacing w:val="2"/>
                <w:w w:val="105"/>
                <w:sz w:val="19"/>
                <w:szCs w:val="19"/>
              </w:rPr>
              <w:t>e</w:t>
            </w:r>
            <w:r>
              <w:rPr>
                <w:rFonts w:ascii="Arial" w:eastAsia="Arial" w:hAnsi="Arial" w:cs="Arial"/>
                <w:color w:val="FFFFFF"/>
                <w:spacing w:val="1"/>
                <w:w w:val="105"/>
                <w:sz w:val="19"/>
                <w:szCs w:val="19"/>
              </w:rPr>
              <w:t>m</w:t>
            </w:r>
            <w:r>
              <w:rPr>
                <w:rFonts w:ascii="Arial" w:eastAsia="Arial" w:hAnsi="Arial" w:cs="Arial"/>
                <w:color w:val="FFFFFF"/>
                <w:spacing w:val="2"/>
                <w:w w:val="105"/>
                <w:sz w:val="19"/>
                <w:szCs w:val="19"/>
              </w:rPr>
              <w:t>e</w:t>
            </w:r>
            <w:r>
              <w:rPr>
                <w:rFonts w:ascii="Arial" w:eastAsia="Arial" w:hAnsi="Arial" w:cs="Arial"/>
                <w:color w:val="FFFFFF"/>
                <w:spacing w:val="1"/>
                <w:w w:val="105"/>
                <w:sz w:val="19"/>
                <w:szCs w:val="19"/>
              </w:rPr>
              <w:t>nts</w:t>
            </w:r>
          </w:p>
        </w:tc>
        <w:tc>
          <w:tcPr>
            <w:tcW w:w="2675" w:type="dxa"/>
            <w:tcBorders>
              <w:top w:val="nil"/>
              <w:left w:val="nil"/>
              <w:bottom w:val="nil"/>
              <w:right w:val="nil"/>
            </w:tcBorders>
            <w:shd w:val="clear" w:color="auto" w:fill="006D68"/>
          </w:tcPr>
          <w:p w:rsidR="003C17D6" w:rsidRDefault="003C17D6" w:rsidP="002B383B">
            <w:pPr>
              <w:pStyle w:val="TableParagraph"/>
              <w:keepNext/>
              <w:spacing w:before="51"/>
              <w:ind w:left="662"/>
              <w:rPr>
                <w:rFonts w:ascii="Arial" w:eastAsia="Arial" w:hAnsi="Arial" w:cs="Arial"/>
                <w:sz w:val="19"/>
                <w:szCs w:val="19"/>
              </w:rPr>
            </w:pPr>
            <w:r>
              <w:rPr>
                <w:rFonts w:ascii="Arial" w:eastAsia="Arial" w:hAnsi="Arial" w:cs="Arial"/>
                <w:color w:val="FFFFFF"/>
                <w:spacing w:val="-4"/>
                <w:w w:val="105"/>
                <w:sz w:val="19"/>
                <w:szCs w:val="19"/>
              </w:rPr>
              <w:t>A</w:t>
            </w:r>
            <w:r>
              <w:rPr>
                <w:rFonts w:ascii="Arial" w:eastAsia="Arial" w:hAnsi="Arial" w:cs="Arial"/>
                <w:color w:val="FFFFFF"/>
                <w:spacing w:val="-3"/>
                <w:w w:val="105"/>
                <w:sz w:val="19"/>
                <w:szCs w:val="19"/>
              </w:rPr>
              <w:t>v</w:t>
            </w:r>
            <w:r>
              <w:rPr>
                <w:rFonts w:ascii="Arial" w:eastAsia="Arial" w:hAnsi="Arial" w:cs="Arial"/>
                <w:color w:val="FFFFFF"/>
                <w:spacing w:val="2"/>
                <w:w w:val="105"/>
                <w:sz w:val="19"/>
                <w:szCs w:val="19"/>
              </w:rPr>
              <w:t>e</w:t>
            </w:r>
            <w:r>
              <w:rPr>
                <w:rFonts w:ascii="Arial" w:eastAsia="Arial" w:hAnsi="Arial" w:cs="Arial"/>
                <w:color w:val="FFFFFF"/>
                <w:spacing w:val="3"/>
                <w:w w:val="105"/>
                <w:sz w:val="19"/>
                <w:szCs w:val="19"/>
              </w:rPr>
              <w:t>r</w:t>
            </w:r>
            <w:r>
              <w:rPr>
                <w:rFonts w:ascii="Arial" w:eastAsia="Arial" w:hAnsi="Arial" w:cs="Arial"/>
                <w:color w:val="FFFFFF"/>
                <w:spacing w:val="1"/>
                <w:w w:val="105"/>
                <w:sz w:val="19"/>
                <w:szCs w:val="19"/>
              </w:rPr>
              <w:t>ag</w:t>
            </w:r>
            <w:r>
              <w:rPr>
                <w:rFonts w:ascii="Arial" w:eastAsia="Arial" w:hAnsi="Arial" w:cs="Arial"/>
                <w:color w:val="FFFFFF"/>
                <w:w w:val="105"/>
                <w:sz w:val="19"/>
                <w:szCs w:val="19"/>
              </w:rPr>
              <w:t>e</w:t>
            </w:r>
            <w:r>
              <w:rPr>
                <w:rFonts w:ascii="Arial" w:eastAsia="Arial" w:hAnsi="Arial" w:cs="Arial"/>
                <w:color w:val="FFFFFF"/>
                <w:spacing w:val="-16"/>
                <w:w w:val="105"/>
                <w:sz w:val="19"/>
                <w:szCs w:val="19"/>
              </w:rPr>
              <w:t xml:space="preserve"> </w:t>
            </w:r>
            <w:r>
              <w:rPr>
                <w:rFonts w:ascii="Arial" w:eastAsia="Arial" w:hAnsi="Arial" w:cs="Arial"/>
                <w:color w:val="FFFFFF"/>
                <w:w w:val="105"/>
                <w:sz w:val="19"/>
                <w:szCs w:val="19"/>
              </w:rPr>
              <w:t>d</w:t>
            </w:r>
            <w:r>
              <w:rPr>
                <w:rFonts w:ascii="Arial" w:eastAsia="Arial" w:hAnsi="Arial" w:cs="Arial"/>
                <w:color w:val="FFFFFF"/>
                <w:spacing w:val="1"/>
                <w:w w:val="105"/>
                <w:sz w:val="19"/>
                <w:szCs w:val="19"/>
              </w:rPr>
              <w:t>u</w:t>
            </w:r>
            <w:r>
              <w:rPr>
                <w:rFonts w:ascii="Arial" w:eastAsia="Arial" w:hAnsi="Arial" w:cs="Arial"/>
                <w:color w:val="FFFFFF"/>
                <w:spacing w:val="3"/>
                <w:w w:val="105"/>
                <w:sz w:val="19"/>
                <w:szCs w:val="19"/>
              </w:rPr>
              <w:t>r</w:t>
            </w:r>
            <w:r>
              <w:rPr>
                <w:rFonts w:ascii="Arial" w:eastAsia="Arial" w:hAnsi="Arial" w:cs="Arial"/>
                <w:color w:val="FFFFFF"/>
                <w:spacing w:val="1"/>
                <w:w w:val="105"/>
                <w:sz w:val="19"/>
                <w:szCs w:val="19"/>
              </w:rPr>
              <w:t>a</w:t>
            </w:r>
            <w:r>
              <w:rPr>
                <w:rFonts w:ascii="Arial" w:eastAsia="Arial" w:hAnsi="Arial" w:cs="Arial"/>
                <w:color w:val="FFFFFF"/>
                <w:w w:val="105"/>
                <w:sz w:val="19"/>
                <w:szCs w:val="19"/>
              </w:rPr>
              <w:t>ti</w:t>
            </w:r>
            <w:r>
              <w:rPr>
                <w:rFonts w:ascii="Arial" w:eastAsia="Arial" w:hAnsi="Arial" w:cs="Arial"/>
                <w:color w:val="FFFFFF"/>
                <w:spacing w:val="1"/>
                <w:w w:val="105"/>
                <w:sz w:val="19"/>
                <w:szCs w:val="19"/>
              </w:rPr>
              <w:t>o</w:t>
            </w:r>
            <w:r>
              <w:rPr>
                <w:rFonts w:ascii="Arial" w:eastAsia="Arial" w:hAnsi="Arial" w:cs="Arial"/>
                <w:color w:val="FFFFFF"/>
                <w:w w:val="105"/>
                <w:sz w:val="19"/>
                <w:szCs w:val="19"/>
              </w:rPr>
              <w:t>n</w:t>
            </w:r>
          </w:p>
        </w:tc>
      </w:tr>
      <w:tr w:rsidR="003C17D6" w:rsidTr="00253358">
        <w:trPr>
          <w:cantSplit/>
          <w:trHeight w:hRule="exact" w:val="320"/>
        </w:trPr>
        <w:tc>
          <w:tcPr>
            <w:tcW w:w="2756" w:type="dxa"/>
            <w:tcBorders>
              <w:top w:val="nil"/>
              <w:left w:val="nil"/>
              <w:bottom w:val="single" w:sz="4" w:space="0" w:color="797979"/>
              <w:right w:val="nil"/>
            </w:tcBorders>
          </w:tcPr>
          <w:p w:rsidR="003C17D6" w:rsidRDefault="003C17D6" w:rsidP="002B383B">
            <w:pPr>
              <w:pStyle w:val="TableParagraph"/>
              <w:keepNext/>
              <w:spacing w:before="66"/>
              <w:ind w:left="80"/>
              <w:rPr>
                <w:rFonts w:ascii="Arial" w:eastAsia="Arial" w:hAnsi="Arial" w:cs="Arial"/>
                <w:sz w:val="18"/>
                <w:szCs w:val="18"/>
              </w:rPr>
            </w:pP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 xml:space="preserve">v </w:t>
            </w:r>
            <w:r>
              <w:rPr>
                <w:rFonts w:ascii="Arial" w:eastAsia="Arial" w:hAnsi="Arial" w:cs="Arial"/>
                <w:spacing w:val="-1"/>
                <w:sz w:val="18"/>
                <w:szCs w:val="18"/>
              </w:rPr>
              <w:t>2</w:t>
            </w:r>
            <w:r>
              <w:rPr>
                <w:rFonts w:ascii="Arial" w:eastAsia="Arial" w:hAnsi="Arial" w:cs="Arial"/>
                <w:spacing w:val="-4"/>
                <w:sz w:val="18"/>
                <w:szCs w:val="18"/>
              </w:rPr>
              <w:t>0</w:t>
            </w:r>
            <w:r>
              <w:rPr>
                <w:rFonts w:ascii="Arial" w:eastAsia="Arial" w:hAnsi="Arial" w:cs="Arial"/>
                <w:spacing w:val="-9"/>
                <w:sz w:val="18"/>
                <w:szCs w:val="18"/>
              </w:rPr>
              <w:t>1</w:t>
            </w:r>
            <w:r>
              <w:rPr>
                <w:rFonts w:ascii="Arial" w:eastAsia="Arial" w:hAnsi="Arial" w:cs="Arial"/>
                <w:sz w:val="18"/>
                <w:szCs w:val="18"/>
              </w:rPr>
              <w:t>3 –</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2</w:t>
            </w:r>
            <w:r>
              <w:rPr>
                <w:rFonts w:ascii="Arial" w:eastAsia="Arial" w:hAnsi="Arial" w:cs="Arial"/>
                <w:spacing w:val="-4"/>
                <w:sz w:val="18"/>
                <w:szCs w:val="18"/>
              </w:rPr>
              <w:t>0</w:t>
            </w:r>
            <w:r>
              <w:rPr>
                <w:rFonts w:ascii="Arial" w:eastAsia="Arial" w:hAnsi="Arial" w:cs="Arial"/>
                <w:spacing w:val="-12"/>
                <w:sz w:val="18"/>
                <w:szCs w:val="18"/>
              </w:rPr>
              <w:t>1</w:t>
            </w:r>
            <w:r>
              <w:rPr>
                <w:rFonts w:ascii="Arial" w:eastAsia="Arial" w:hAnsi="Arial" w:cs="Arial"/>
                <w:sz w:val="18"/>
                <w:szCs w:val="18"/>
              </w:rPr>
              <w:t>4</w:t>
            </w:r>
          </w:p>
        </w:tc>
        <w:tc>
          <w:tcPr>
            <w:tcW w:w="2732" w:type="dxa"/>
            <w:tcBorders>
              <w:top w:val="nil"/>
              <w:left w:val="nil"/>
              <w:bottom w:val="single" w:sz="4" w:space="0" w:color="797979"/>
              <w:right w:val="nil"/>
            </w:tcBorders>
          </w:tcPr>
          <w:p w:rsidR="003C17D6" w:rsidRDefault="003C17D6" w:rsidP="002B383B">
            <w:pPr>
              <w:pStyle w:val="TableParagraph"/>
              <w:keepNext/>
              <w:spacing w:before="66"/>
              <w:ind w:left="321"/>
              <w:jc w:val="center"/>
              <w:rPr>
                <w:rFonts w:ascii="Arial" w:eastAsia="Arial" w:hAnsi="Arial" w:cs="Arial"/>
                <w:sz w:val="18"/>
                <w:szCs w:val="18"/>
              </w:rPr>
            </w:pPr>
            <w:r>
              <w:rPr>
                <w:rFonts w:ascii="Arial" w:eastAsia="Arial" w:hAnsi="Arial" w:cs="Arial"/>
                <w:sz w:val="18"/>
                <w:szCs w:val="18"/>
              </w:rPr>
              <w:t>5</w:t>
            </w:r>
            <w:r>
              <w:rPr>
                <w:rFonts w:ascii="Arial" w:eastAsia="Arial" w:hAnsi="Arial" w:cs="Arial"/>
                <w:spacing w:val="-4"/>
                <w:sz w:val="18"/>
                <w:szCs w:val="18"/>
              </w:rPr>
              <w:t>97</w:t>
            </w:r>
          </w:p>
        </w:tc>
        <w:tc>
          <w:tcPr>
            <w:tcW w:w="2675" w:type="dxa"/>
            <w:tcBorders>
              <w:top w:val="nil"/>
              <w:left w:val="nil"/>
              <w:bottom w:val="single" w:sz="4" w:space="0" w:color="797979"/>
              <w:right w:val="nil"/>
            </w:tcBorders>
          </w:tcPr>
          <w:p w:rsidR="003C17D6" w:rsidRDefault="003C17D6" w:rsidP="002B383B">
            <w:pPr>
              <w:pStyle w:val="TableParagraph"/>
              <w:keepNext/>
              <w:spacing w:before="66"/>
              <w:ind w:left="170"/>
              <w:jc w:val="center"/>
              <w:rPr>
                <w:rFonts w:ascii="Arial" w:eastAsia="Arial" w:hAnsi="Arial" w:cs="Arial"/>
                <w:sz w:val="18"/>
                <w:szCs w:val="18"/>
              </w:rPr>
            </w:pPr>
            <w:r>
              <w:rPr>
                <w:rFonts w:ascii="Arial" w:eastAsia="Arial" w:hAnsi="Arial" w:cs="Arial"/>
                <w:spacing w:val="-4"/>
                <w:sz w:val="18"/>
                <w:szCs w:val="18"/>
              </w:rPr>
              <w:t>2</w:t>
            </w:r>
            <w:r>
              <w:rPr>
                <w:rFonts w:ascii="Arial" w:eastAsia="Arial" w:hAnsi="Arial" w:cs="Arial"/>
                <w:spacing w:val="1"/>
                <w:sz w:val="18"/>
                <w:szCs w:val="18"/>
              </w:rPr>
              <w:t>.</w:t>
            </w:r>
            <w:r>
              <w:rPr>
                <w:rFonts w:ascii="Arial" w:eastAsia="Arial" w:hAnsi="Arial" w:cs="Arial"/>
                <w:sz w:val="18"/>
                <w:szCs w:val="18"/>
              </w:rPr>
              <w:t>8</w:t>
            </w:r>
          </w:p>
        </w:tc>
      </w:tr>
      <w:tr w:rsidR="003C17D6" w:rsidTr="00253358">
        <w:trPr>
          <w:cantSplit/>
          <w:trHeight w:hRule="exact" w:val="315"/>
        </w:trPr>
        <w:tc>
          <w:tcPr>
            <w:tcW w:w="2756" w:type="dxa"/>
            <w:tcBorders>
              <w:top w:val="single" w:sz="4" w:space="0" w:color="797979"/>
              <w:left w:val="nil"/>
              <w:bottom w:val="single" w:sz="4" w:space="0" w:color="797979"/>
              <w:right w:val="nil"/>
            </w:tcBorders>
          </w:tcPr>
          <w:p w:rsidR="003C17D6" w:rsidRDefault="003C17D6" w:rsidP="002B383B">
            <w:pPr>
              <w:pStyle w:val="TableParagraph"/>
              <w:keepNext/>
              <w:spacing w:before="61"/>
              <w:ind w:left="80"/>
              <w:rPr>
                <w:rFonts w:ascii="Arial" w:eastAsia="Arial" w:hAnsi="Arial" w:cs="Arial"/>
                <w:sz w:val="18"/>
                <w:szCs w:val="18"/>
              </w:rPr>
            </w:pP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 xml:space="preserve">v </w:t>
            </w:r>
            <w:r>
              <w:rPr>
                <w:rFonts w:ascii="Arial" w:eastAsia="Arial" w:hAnsi="Arial" w:cs="Arial"/>
                <w:spacing w:val="-1"/>
                <w:sz w:val="18"/>
                <w:szCs w:val="18"/>
              </w:rPr>
              <w:t>2</w:t>
            </w:r>
            <w:r>
              <w:rPr>
                <w:rFonts w:ascii="Arial" w:eastAsia="Arial" w:hAnsi="Arial" w:cs="Arial"/>
                <w:spacing w:val="-4"/>
                <w:sz w:val="18"/>
                <w:szCs w:val="18"/>
              </w:rPr>
              <w:t>0</w:t>
            </w:r>
            <w:r>
              <w:rPr>
                <w:rFonts w:ascii="Arial" w:eastAsia="Arial" w:hAnsi="Arial" w:cs="Arial"/>
                <w:spacing w:val="-12"/>
                <w:sz w:val="18"/>
                <w:szCs w:val="18"/>
              </w:rPr>
              <w:t>1</w:t>
            </w:r>
            <w:r>
              <w:rPr>
                <w:rFonts w:ascii="Arial" w:eastAsia="Arial" w:hAnsi="Arial" w:cs="Arial"/>
                <w:sz w:val="18"/>
                <w:szCs w:val="18"/>
              </w:rPr>
              <w:t>4 –</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2</w:t>
            </w:r>
            <w:r>
              <w:rPr>
                <w:rFonts w:ascii="Arial" w:eastAsia="Arial" w:hAnsi="Arial" w:cs="Arial"/>
                <w:spacing w:val="-4"/>
                <w:sz w:val="18"/>
                <w:szCs w:val="18"/>
              </w:rPr>
              <w:t>0</w:t>
            </w:r>
            <w:r>
              <w:rPr>
                <w:rFonts w:ascii="Arial" w:eastAsia="Arial" w:hAnsi="Arial" w:cs="Arial"/>
                <w:spacing w:val="-9"/>
                <w:sz w:val="18"/>
                <w:szCs w:val="18"/>
              </w:rPr>
              <w:t>1</w:t>
            </w:r>
            <w:r>
              <w:rPr>
                <w:rFonts w:ascii="Arial" w:eastAsia="Arial" w:hAnsi="Arial" w:cs="Arial"/>
                <w:sz w:val="18"/>
                <w:szCs w:val="18"/>
              </w:rPr>
              <w:t>5</w:t>
            </w:r>
          </w:p>
        </w:tc>
        <w:tc>
          <w:tcPr>
            <w:tcW w:w="2732" w:type="dxa"/>
            <w:tcBorders>
              <w:top w:val="single" w:sz="4" w:space="0" w:color="797979"/>
              <w:left w:val="nil"/>
              <w:bottom w:val="single" w:sz="4" w:space="0" w:color="797979"/>
              <w:right w:val="nil"/>
            </w:tcBorders>
          </w:tcPr>
          <w:p w:rsidR="003C17D6" w:rsidRDefault="003C17D6" w:rsidP="002B383B">
            <w:pPr>
              <w:pStyle w:val="TableParagraph"/>
              <w:keepNext/>
              <w:spacing w:before="61"/>
              <w:ind w:left="324"/>
              <w:jc w:val="center"/>
              <w:rPr>
                <w:rFonts w:ascii="Arial" w:eastAsia="Arial" w:hAnsi="Arial" w:cs="Arial"/>
                <w:sz w:val="18"/>
                <w:szCs w:val="18"/>
              </w:rPr>
            </w:pPr>
            <w:r>
              <w:rPr>
                <w:rFonts w:ascii="Arial" w:eastAsia="Arial" w:hAnsi="Arial" w:cs="Arial"/>
                <w:sz w:val="18"/>
                <w:szCs w:val="18"/>
              </w:rPr>
              <w:t>3</w:t>
            </w:r>
            <w:r>
              <w:rPr>
                <w:rFonts w:ascii="Arial" w:eastAsia="Arial" w:hAnsi="Arial" w:cs="Arial"/>
                <w:spacing w:val="-1"/>
                <w:sz w:val="18"/>
                <w:szCs w:val="18"/>
              </w:rPr>
              <w:t>20</w:t>
            </w:r>
          </w:p>
        </w:tc>
        <w:tc>
          <w:tcPr>
            <w:tcW w:w="2675" w:type="dxa"/>
            <w:tcBorders>
              <w:top w:val="single" w:sz="4" w:space="0" w:color="797979"/>
              <w:left w:val="nil"/>
              <w:bottom w:val="single" w:sz="4" w:space="0" w:color="797979"/>
              <w:right w:val="nil"/>
            </w:tcBorders>
          </w:tcPr>
          <w:p w:rsidR="003C17D6" w:rsidRDefault="003C17D6" w:rsidP="002B383B">
            <w:pPr>
              <w:pStyle w:val="TableParagraph"/>
              <w:keepNext/>
              <w:spacing w:before="61"/>
              <w:ind w:left="155"/>
              <w:jc w:val="center"/>
              <w:rPr>
                <w:rFonts w:ascii="Arial" w:eastAsia="Arial" w:hAnsi="Arial" w:cs="Arial"/>
                <w:sz w:val="18"/>
                <w:szCs w:val="18"/>
              </w:rPr>
            </w:pPr>
            <w:r>
              <w:rPr>
                <w:rFonts w:ascii="Arial" w:eastAsia="Arial" w:hAnsi="Arial" w:cs="Arial"/>
                <w:sz w:val="18"/>
                <w:szCs w:val="18"/>
              </w:rPr>
              <w:t>3</w:t>
            </w:r>
            <w:r>
              <w:rPr>
                <w:rFonts w:ascii="Arial" w:eastAsia="Arial" w:hAnsi="Arial" w:cs="Arial"/>
                <w:spacing w:val="-16"/>
                <w:sz w:val="18"/>
                <w:szCs w:val="18"/>
              </w:rPr>
              <w:t>.1</w:t>
            </w:r>
          </w:p>
        </w:tc>
      </w:tr>
      <w:tr w:rsidR="003C17D6" w:rsidTr="00253358">
        <w:trPr>
          <w:cantSplit/>
          <w:trHeight w:hRule="exact" w:val="315"/>
        </w:trPr>
        <w:tc>
          <w:tcPr>
            <w:tcW w:w="2756" w:type="dxa"/>
            <w:tcBorders>
              <w:top w:val="single" w:sz="4" w:space="0" w:color="797979"/>
              <w:left w:val="nil"/>
              <w:bottom w:val="single" w:sz="4" w:space="0" w:color="797979"/>
              <w:right w:val="nil"/>
            </w:tcBorders>
          </w:tcPr>
          <w:p w:rsidR="003C17D6" w:rsidRDefault="003C17D6" w:rsidP="002B383B">
            <w:pPr>
              <w:pStyle w:val="TableParagraph"/>
              <w:keepNext/>
              <w:spacing w:before="61"/>
              <w:ind w:left="80"/>
              <w:rPr>
                <w:rFonts w:ascii="Arial" w:eastAsia="Arial" w:hAnsi="Arial" w:cs="Arial"/>
                <w:sz w:val="18"/>
                <w:szCs w:val="18"/>
              </w:rPr>
            </w:pPr>
            <w:r>
              <w:rPr>
                <w:rFonts w:ascii="Arial" w:eastAsia="Arial" w:hAnsi="Arial" w:cs="Arial"/>
                <w:color w:val="99150E"/>
                <w:spacing w:val="-14"/>
                <w:sz w:val="18"/>
                <w:szCs w:val="18"/>
              </w:rPr>
              <w:t>T</w:t>
            </w:r>
            <w:r>
              <w:rPr>
                <w:rFonts w:ascii="Arial" w:eastAsia="Arial" w:hAnsi="Arial" w:cs="Arial"/>
                <w:color w:val="99150E"/>
                <w:sz w:val="18"/>
                <w:szCs w:val="18"/>
              </w:rPr>
              <w:t>o</w:t>
            </w:r>
            <w:r>
              <w:rPr>
                <w:rFonts w:ascii="Arial" w:eastAsia="Arial" w:hAnsi="Arial" w:cs="Arial"/>
                <w:color w:val="99150E"/>
                <w:spacing w:val="1"/>
                <w:sz w:val="18"/>
                <w:szCs w:val="18"/>
              </w:rPr>
              <w:t>t</w:t>
            </w:r>
            <w:r>
              <w:rPr>
                <w:rFonts w:ascii="Arial" w:eastAsia="Arial" w:hAnsi="Arial" w:cs="Arial"/>
                <w:color w:val="99150E"/>
                <w:spacing w:val="2"/>
                <w:sz w:val="18"/>
                <w:szCs w:val="18"/>
              </w:rPr>
              <w:t>a</w:t>
            </w:r>
            <w:r>
              <w:rPr>
                <w:rFonts w:ascii="Arial" w:eastAsia="Arial" w:hAnsi="Arial" w:cs="Arial"/>
                <w:color w:val="99150E"/>
                <w:sz w:val="18"/>
                <w:szCs w:val="18"/>
              </w:rPr>
              <w:t>l</w:t>
            </w:r>
            <w:r>
              <w:rPr>
                <w:rFonts w:ascii="Arial" w:eastAsia="Arial" w:hAnsi="Arial" w:cs="Arial"/>
                <w:color w:val="99150E"/>
                <w:spacing w:val="-2"/>
                <w:sz w:val="18"/>
                <w:szCs w:val="18"/>
              </w:rPr>
              <w:t xml:space="preserve"> </w:t>
            </w:r>
            <w:r>
              <w:rPr>
                <w:rFonts w:ascii="Arial" w:eastAsia="Arial" w:hAnsi="Arial" w:cs="Arial"/>
                <w:color w:val="99150E"/>
                <w:sz w:val="18"/>
                <w:szCs w:val="18"/>
              </w:rPr>
              <w:t>Pre</w:t>
            </w:r>
            <w:r>
              <w:rPr>
                <w:rFonts w:ascii="Arial" w:eastAsia="Arial" w:hAnsi="Arial" w:cs="Arial"/>
                <w:color w:val="99150E"/>
                <w:spacing w:val="-2"/>
                <w:sz w:val="18"/>
                <w:szCs w:val="18"/>
              </w:rPr>
              <w:t xml:space="preserve"> </w:t>
            </w:r>
            <w:r>
              <w:rPr>
                <w:rFonts w:ascii="Arial" w:eastAsia="Arial" w:hAnsi="Arial" w:cs="Arial"/>
                <w:color w:val="99150E"/>
                <w:spacing w:val="1"/>
                <w:sz w:val="18"/>
                <w:szCs w:val="18"/>
              </w:rPr>
              <w:t>N</w:t>
            </w:r>
            <w:r>
              <w:rPr>
                <w:rFonts w:ascii="Arial" w:eastAsia="Arial" w:hAnsi="Arial" w:cs="Arial"/>
                <w:color w:val="99150E"/>
                <w:spacing w:val="-2"/>
                <w:sz w:val="18"/>
                <w:szCs w:val="18"/>
              </w:rPr>
              <w:t>o</w:t>
            </w:r>
            <w:r>
              <w:rPr>
                <w:rFonts w:ascii="Arial" w:eastAsia="Arial" w:hAnsi="Arial" w:cs="Arial"/>
                <w:color w:val="99150E"/>
                <w:sz w:val="18"/>
                <w:szCs w:val="18"/>
              </w:rPr>
              <w:t>v</w:t>
            </w:r>
            <w:r>
              <w:rPr>
                <w:rFonts w:ascii="Arial" w:eastAsia="Arial" w:hAnsi="Arial" w:cs="Arial"/>
                <w:color w:val="99150E"/>
                <w:spacing w:val="-1"/>
                <w:sz w:val="18"/>
                <w:szCs w:val="18"/>
              </w:rPr>
              <w:t xml:space="preserve"> 2</w:t>
            </w:r>
            <w:r>
              <w:rPr>
                <w:rFonts w:ascii="Arial" w:eastAsia="Arial" w:hAnsi="Arial" w:cs="Arial"/>
                <w:color w:val="99150E"/>
                <w:spacing w:val="-4"/>
                <w:sz w:val="18"/>
                <w:szCs w:val="18"/>
              </w:rPr>
              <w:t>0</w:t>
            </w:r>
            <w:r>
              <w:rPr>
                <w:rFonts w:ascii="Arial" w:eastAsia="Arial" w:hAnsi="Arial" w:cs="Arial"/>
                <w:color w:val="99150E"/>
                <w:spacing w:val="-9"/>
                <w:sz w:val="18"/>
                <w:szCs w:val="18"/>
              </w:rPr>
              <w:t>1</w:t>
            </w:r>
            <w:r>
              <w:rPr>
                <w:rFonts w:ascii="Arial" w:eastAsia="Arial" w:hAnsi="Arial" w:cs="Arial"/>
                <w:color w:val="99150E"/>
                <w:sz w:val="18"/>
                <w:szCs w:val="18"/>
              </w:rPr>
              <w:t>5</w:t>
            </w:r>
          </w:p>
        </w:tc>
        <w:tc>
          <w:tcPr>
            <w:tcW w:w="2732" w:type="dxa"/>
            <w:tcBorders>
              <w:top w:val="single" w:sz="4" w:space="0" w:color="797979"/>
              <w:left w:val="nil"/>
              <w:bottom w:val="single" w:sz="4" w:space="0" w:color="797979"/>
              <w:right w:val="nil"/>
            </w:tcBorders>
          </w:tcPr>
          <w:p w:rsidR="003C17D6" w:rsidRDefault="003C17D6" w:rsidP="002B383B">
            <w:pPr>
              <w:pStyle w:val="TableParagraph"/>
              <w:keepNext/>
              <w:spacing w:before="61"/>
              <w:ind w:left="312"/>
              <w:jc w:val="center"/>
              <w:rPr>
                <w:rFonts w:ascii="Arial" w:eastAsia="Arial" w:hAnsi="Arial" w:cs="Arial"/>
                <w:sz w:val="18"/>
                <w:szCs w:val="18"/>
              </w:rPr>
            </w:pPr>
            <w:r>
              <w:rPr>
                <w:rFonts w:ascii="Arial" w:eastAsia="Arial" w:hAnsi="Arial" w:cs="Arial"/>
                <w:color w:val="99150E"/>
                <w:spacing w:val="-4"/>
                <w:sz w:val="18"/>
                <w:szCs w:val="18"/>
              </w:rPr>
              <w:t>9</w:t>
            </w:r>
            <w:r>
              <w:rPr>
                <w:rFonts w:ascii="Arial" w:eastAsia="Arial" w:hAnsi="Arial" w:cs="Arial"/>
                <w:color w:val="99150E"/>
                <w:spacing w:val="-13"/>
                <w:sz w:val="18"/>
                <w:szCs w:val="18"/>
              </w:rPr>
              <w:t>17</w:t>
            </w:r>
          </w:p>
        </w:tc>
        <w:tc>
          <w:tcPr>
            <w:tcW w:w="2675" w:type="dxa"/>
            <w:tcBorders>
              <w:top w:val="single" w:sz="4" w:space="0" w:color="797979"/>
              <w:left w:val="nil"/>
              <w:bottom w:val="single" w:sz="4" w:space="0" w:color="797979"/>
              <w:right w:val="nil"/>
            </w:tcBorders>
          </w:tcPr>
          <w:p w:rsidR="003C17D6" w:rsidRDefault="003C17D6" w:rsidP="002B383B">
            <w:pPr>
              <w:pStyle w:val="TableParagraph"/>
              <w:keepNext/>
              <w:spacing w:before="61"/>
              <w:ind w:left="171"/>
              <w:jc w:val="center"/>
              <w:rPr>
                <w:rFonts w:ascii="Arial" w:eastAsia="Arial" w:hAnsi="Arial" w:cs="Arial"/>
                <w:sz w:val="18"/>
                <w:szCs w:val="18"/>
              </w:rPr>
            </w:pPr>
            <w:r>
              <w:rPr>
                <w:rFonts w:ascii="Arial" w:eastAsia="Arial" w:hAnsi="Arial" w:cs="Arial"/>
                <w:color w:val="99150E"/>
                <w:spacing w:val="-4"/>
                <w:sz w:val="18"/>
                <w:szCs w:val="18"/>
              </w:rPr>
              <w:t>2</w:t>
            </w:r>
            <w:r>
              <w:rPr>
                <w:rFonts w:ascii="Arial" w:eastAsia="Arial" w:hAnsi="Arial" w:cs="Arial"/>
                <w:color w:val="99150E"/>
                <w:sz w:val="18"/>
                <w:szCs w:val="18"/>
              </w:rPr>
              <w:t>.9</w:t>
            </w:r>
          </w:p>
        </w:tc>
      </w:tr>
      <w:tr w:rsidR="003C17D6" w:rsidTr="00253358">
        <w:trPr>
          <w:cantSplit/>
          <w:trHeight w:hRule="exact" w:val="315"/>
        </w:trPr>
        <w:tc>
          <w:tcPr>
            <w:tcW w:w="2756" w:type="dxa"/>
            <w:tcBorders>
              <w:top w:val="single" w:sz="4" w:space="0" w:color="797979"/>
              <w:left w:val="nil"/>
              <w:bottom w:val="single" w:sz="4" w:space="0" w:color="797979"/>
              <w:right w:val="nil"/>
            </w:tcBorders>
          </w:tcPr>
          <w:p w:rsidR="003C17D6" w:rsidRDefault="003C17D6" w:rsidP="002B383B">
            <w:pPr>
              <w:pStyle w:val="TableParagraph"/>
              <w:keepNext/>
              <w:spacing w:before="61"/>
              <w:ind w:left="80"/>
              <w:rPr>
                <w:rFonts w:ascii="Arial" w:eastAsia="Arial" w:hAnsi="Arial" w:cs="Arial"/>
                <w:sz w:val="18"/>
                <w:szCs w:val="18"/>
              </w:rPr>
            </w:pP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 xml:space="preserve">v </w:t>
            </w:r>
            <w:r>
              <w:rPr>
                <w:rFonts w:ascii="Arial" w:eastAsia="Arial" w:hAnsi="Arial" w:cs="Arial"/>
                <w:spacing w:val="-1"/>
                <w:sz w:val="18"/>
                <w:szCs w:val="18"/>
              </w:rPr>
              <w:t>2</w:t>
            </w:r>
            <w:r>
              <w:rPr>
                <w:rFonts w:ascii="Arial" w:eastAsia="Arial" w:hAnsi="Arial" w:cs="Arial"/>
                <w:spacing w:val="-4"/>
                <w:sz w:val="18"/>
                <w:szCs w:val="18"/>
              </w:rPr>
              <w:t>0</w:t>
            </w:r>
            <w:r>
              <w:rPr>
                <w:rFonts w:ascii="Arial" w:eastAsia="Arial" w:hAnsi="Arial" w:cs="Arial"/>
                <w:spacing w:val="-9"/>
                <w:sz w:val="18"/>
                <w:szCs w:val="18"/>
              </w:rPr>
              <w:t>1</w:t>
            </w:r>
            <w:r>
              <w:rPr>
                <w:rFonts w:ascii="Arial" w:eastAsia="Arial" w:hAnsi="Arial" w:cs="Arial"/>
                <w:sz w:val="18"/>
                <w:szCs w:val="18"/>
              </w:rPr>
              <w:t>5 –</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2</w:t>
            </w:r>
            <w:r>
              <w:rPr>
                <w:rFonts w:ascii="Arial" w:eastAsia="Arial" w:hAnsi="Arial" w:cs="Arial"/>
                <w:spacing w:val="-4"/>
                <w:sz w:val="18"/>
                <w:szCs w:val="18"/>
              </w:rPr>
              <w:t>0</w:t>
            </w:r>
            <w:r>
              <w:rPr>
                <w:rFonts w:ascii="Arial" w:eastAsia="Arial" w:hAnsi="Arial" w:cs="Arial"/>
                <w:spacing w:val="-8"/>
                <w:sz w:val="18"/>
                <w:szCs w:val="18"/>
              </w:rPr>
              <w:t>1</w:t>
            </w:r>
            <w:r>
              <w:rPr>
                <w:rFonts w:ascii="Arial" w:eastAsia="Arial" w:hAnsi="Arial" w:cs="Arial"/>
                <w:sz w:val="18"/>
                <w:szCs w:val="18"/>
              </w:rPr>
              <w:t>6</w:t>
            </w:r>
          </w:p>
        </w:tc>
        <w:tc>
          <w:tcPr>
            <w:tcW w:w="2732" w:type="dxa"/>
            <w:tcBorders>
              <w:top w:val="single" w:sz="4" w:space="0" w:color="797979"/>
              <w:left w:val="nil"/>
              <w:bottom w:val="single" w:sz="4" w:space="0" w:color="797979"/>
              <w:right w:val="nil"/>
            </w:tcBorders>
          </w:tcPr>
          <w:p w:rsidR="003C17D6" w:rsidRDefault="003C17D6" w:rsidP="002B383B">
            <w:pPr>
              <w:pStyle w:val="TableParagraph"/>
              <w:keepNext/>
              <w:spacing w:before="61"/>
              <w:ind w:left="320"/>
              <w:jc w:val="center"/>
              <w:rPr>
                <w:rFonts w:ascii="Arial" w:eastAsia="Arial" w:hAnsi="Arial" w:cs="Arial"/>
                <w:sz w:val="18"/>
                <w:szCs w:val="18"/>
              </w:rPr>
            </w:pPr>
            <w:r>
              <w:rPr>
                <w:rFonts w:ascii="Arial" w:eastAsia="Arial" w:hAnsi="Arial" w:cs="Arial"/>
                <w:spacing w:val="-1"/>
                <w:sz w:val="18"/>
                <w:szCs w:val="18"/>
              </w:rPr>
              <w:t>2</w:t>
            </w:r>
            <w:r>
              <w:rPr>
                <w:rFonts w:ascii="Arial" w:eastAsia="Arial" w:hAnsi="Arial" w:cs="Arial"/>
                <w:spacing w:val="-6"/>
                <w:sz w:val="18"/>
                <w:szCs w:val="18"/>
              </w:rPr>
              <w:t>31</w:t>
            </w:r>
          </w:p>
        </w:tc>
        <w:tc>
          <w:tcPr>
            <w:tcW w:w="2675" w:type="dxa"/>
            <w:tcBorders>
              <w:top w:val="single" w:sz="4" w:space="0" w:color="797979"/>
              <w:left w:val="nil"/>
              <w:bottom w:val="single" w:sz="4" w:space="0" w:color="797979"/>
              <w:right w:val="nil"/>
            </w:tcBorders>
          </w:tcPr>
          <w:p w:rsidR="003C17D6" w:rsidRDefault="003C17D6" w:rsidP="002B383B">
            <w:pPr>
              <w:pStyle w:val="TableParagraph"/>
              <w:keepNext/>
              <w:spacing w:before="61"/>
              <w:ind w:left="1280" w:right="1109"/>
              <w:jc w:val="center"/>
              <w:rPr>
                <w:rFonts w:ascii="Arial" w:eastAsia="Arial" w:hAnsi="Arial" w:cs="Arial"/>
                <w:sz w:val="18"/>
                <w:szCs w:val="18"/>
              </w:rPr>
            </w:pPr>
            <w:r>
              <w:rPr>
                <w:rFonts w:ascii="Arial" w:eastAsia="Arial" w:hAnsi="Arial" w:cs="Arial"/>
                <w:spacing w:val="-4"/>
                <w:sz w:val="18"/>
                <w:szCs w:val="18"/>
              </w:rPr>
              <w:t>2</w:t>
            </w:r>
            <w:r>
              <w:rPr>
                <w:rFonts w:ascii="Arial" w:eastAsia="Arial" w:hAnsi="Arial" w:cs="Arial"/>
                <w:spacing w:val="-1"/>
                <w:sz w:val="18"/>
                <w:szCs w:val="18"/>
              </w:rPr>
              <w:t>.</w:t>
            </w:r>
            <w:r>
              <w:rPr>
                <w:rFonts w:ascii="Arial" w:eastAsia="Arial" w:hAnsi="Arial" w:cs="Arial"/>
                <w:sz w:val="18"/>
                <w:szCs w:val="18"/>
              </w:rPr>
              <w:t>6</w:t>
            </w:r>
          </w:p>
        </w:tc>
      </w:tr>
      <w:tr w:rsidR="003C17D6" w:rsidTr="00253358">
        <w:trPr>
          <w:cantSplit/>
          <w:trHeight w:hRule="exact" w:val="315"/>
        </w:trPr>
        <w:tc>
          <w:tcPr>
            <w:tcW w:w="2756" w:type="dxa"/>
            <w:tcBorders>
              <w:top w:val="single" w:sz="4" w:space="0" w:color="797979"/>
              <w:left w:val="nil"/>
              <w:bottom w:val="single" w:sz="4" w:space="0" w:color="797979"/>
              <w:right w:val="nil"/>
            </w:tcBorders>
          </w:tcPr>
          <w:p w:rsidR="003C17D6" w:rsidRDefault="003C17D6" w:rsidP="002B383B">
            <w:pPr>
              <w:pStyle w:val="TableParagraph"/>
              <w:keepNext/>
              <w:spacing w:before="61"/>
              <w:ind w:left="80"/>
              <w:rPr>
                <w:rFonts w:ascii="Arial" w:eastAsia="Arial" w:hAnsi="Arial" w:cs="Arial"/>
                <w:sz w:val="18"/>
                <w:szCs w:val="18"/>
              </w:rPr>
            </w:pP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v</w:t>
            </w:r>
            <w:r>
              <w:rPr>
                <w:rFonts w:ascii="Arial" w:eastAsia="Arial" w:hAnsi="Arial" w:cs="Arial"/>
                <w:spacing w:val="-2"/>
                <w:sz w:val="18"/>
                <w:szCs w:val="18"/>
              </w:rPr>
              <w:t xml:space="preserve"> </w:t>
            </w:r>
            <w:r>
              <w:rPr>
                <w:rFonts w:ascii="Arial" w:eastAsia="Arial" w:hAnsi="Arial" w:cs="Arial"/>
                <w:spacing w:val="-1"/>
                <w:sz w:val="18"/>
                <w:szCs w:val="18"/>
              </w:rPr>
              <w:t>2</w:t>
            </w:r>
            <w:r>
              <w:rPr>
                <w:rFonts w:ascii="Arial" w:eastAsia="Arial" w:hAnsi="Arial" w:cs="Arial"/>
                <w:spacing w:val="-4"/>
                <w:sz w:val="18"/>
                <w:szCs w:val="18"/>
              </w:rPr>
              <w:t>0</w:t>
            </w:r>
            <w:r>
              <w:rPr>
                <w:rFonts w:ascii="Arial" w:eastAsia="Arial" w:hAnsi="Arial" w:cs="Arial"/>
                <w:spacing w:val="-8"/>
                <w:sz w:val="18"/>
                <w:szCs w:val="18"/>
              </w:rPr>
              <w:t>1</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J</w:t>
            </w:r>
            <w:r>
              <w:rPr>
                <w:rFonts w:ascii="Arial" w:eastAsia="Arial" w:hAnsi="Arial" w:cs="Arial"/>
                <w:spacing w:val="1"/>
                <w:sz w:val="18"/>
                <w:szCs w:val="18"/>
              </w:rPr>
              <w:t>u</w:t>
            </w:r>
            <w:r>
              <w:rPr>
                <w:rFonts w:ascii="Arial" w:eastAsia="Arial" w:hAnsi="Arial" w:cs="Arial"/>
                <w:sz w:val="18"/>
                <w:szCs w:val="18"/>
              </w:rPr>
              <w:t>n</w:t>
            </w:r>
            <w:r>
              <w:rPr>
                <w:rFonts w:ascii="Arial" w:eastAsia="Arial" w:hAnsi="Arial" w:cs="Arial"/>
                <w:spacing w:val="-1"/>
                <w:sz w:val="18"/>
                <w:szCs w:val="18"/>
              </w:rPr>
              <w:t xml:space="preserve"> 2</w:t>
            </w:r>
            <w:r>
              <w:rPr>
                <w:rFonts w:ascii="Arial" w:eastAsia="Arial" w:hAnsi="Arial" w:cs="Arial"/>
                <w:spacing w:val="-4"/>
                <w:sz w:val="18"/>
                <w:szCs w:val="18"/>
              </w:rPr>
              <w:t>0</w:t>
            </w:r>
            <w:r>
              <w:rPr>
                <w:rFonts w:ascii="Arial" w:eastAsia="Arial" w:hAnsi="Arial" w:cs="Arial"/>
                <w:spacing w:val="-13"/>
                <w:sz w:val="18"/>
                <w:szCs w:val="18"/>
              </w:rPr>
              <w:t>1</w:t>
            </w:r>
            <w:r>
              <w:rPr>
                <w:rFonts w:ascii="Arial" w:eastAsia="Arial" w:hAnsi="Arial" w:cs="Arial"/>
                <w:sz w:val="18"/>
                <w:szCs w:val="18"/>
              </w:rPr>
              <w:t>7</w:t>
            </w:r>
          </w:p>
        </w:tc>
        <w:tc>
          <w:tcPr>
            <w:tcW w:w="2732" w:type="dxa"/>
            <w:tcBorders>
              <w:top w:val="single" w:sz="4" w:space="0" w:color="797979"/>
              <w:left w:val="nil"/>
              <w:bottom w:val="single" w:sz="4" w:space="0" w:color="797979"/>
              <w:right w:val="nil"/>
            </w:tcBorders>
          </w:tcPr>
          <w:p w:rsidR="003C17D6" w:rsidRDefault="003C17D6" w:rsidP="002B383B">
            <w:pPr>
              <w:pStyle w:val="TableParagraph"/>
              <w:keepNext/>
              <w:spacing w:before="61"/>
              <w:ind w:left="322"/>
              <w:jc w:val="center"/>
              <w:rPr>
                <w:rFonts w:ascii="Arial" w:eastAsia="Arial" w:hAnsi="Arial" w:cs="Arial"/>
                <w:sz w:val="18"/>
                <w:szCs w:val="18"/>
              </w:rPr>
            </w:pPr>
            <w:r>
              <w:rPr>
                <w:rFonts w:ascii="Arial" w:eastAsia="Arial" w:hAnsi="Arial" w:cs="Arial"/>
                <w:spacing w:val="-4"/>
                <w:sz w:val="18"/>
                <w:szCs w:val="18"/>
              </w:rPr>
              <w:t>87</w:t>
            </w:r>
          </w:p>
        </w:tc>
        <w:tc>
          <w:tcPr>
            <w:tcW w:w="2675" w:type="dxa"/>
            <w:tcBorders>
              <w:top w:val="single" w:sz="4" w:space="0" w:color="797979"/>
              <w:left w:val="nil"/>
              <w:bottom w:val="single" w:sz="4" w:space="0" w:color="797979"/>
              <w:right w:val="nil"/>
            </w:tcBorders>
          </w:tcPr>
          <w:p w:rsidR="003C17D6" w:rsidRDefault="003C17D6" w:rsidP="002B383B">
            <w:pPr>
              <w:pStyle w:val="TableParagraph"/>
              <w:keepNext/>
              <w:spacing w:before="61"/>
              <w:ind w:left="1274" w:right="1109"/>
              <w:jc w:val="center"/>
              <w:rPr>
                <w:rFonts w:ascii="Arial" w:eastAsia="Arial" w:hAnsi="Arial" w:cs="Arial"/>
                <w:sz w:val="18"/>
                <w:szCs w:val="18"/>
              </w:rPr>
            </w:pPr>
            <w:r>
              <w:rPr>
                <w:rFonts w:ascii="Arial" w:eastAsia="Arial" w:hAnsi="Arial" w:cs="Arial"/>
                <w:spacing w:val="-4"/>
                <w:sz w:val="18"/>
                <w:szCs w:val="18"/>
              </w:rPr>
              <w:t>2</w:t>
            </w:r>
            <w:r>
              <w:rPr>
                <w:rFonts w:ascii="Arial" w:eastAsia="Arial" w:hAnsi="Arial" w:cs="Arial"/>
                <w:spacing w:val="-6"/>
                <w:sz w:val="18"/>
                <w:szCs w:val="18"/>
              </w:rPr>
              <w:t>.7</w:t>
            </w:r>
          </w:p>
        </w:tc>
      </w:tr>
      <w:tr w:rsidR="003C17D6" w:rsidTr="00253358">
        <w:trPr>
          <w:cantSplit/>
          <w:trHeight w:hRule="exact" w:val="310"/>
        </w:trPr>
        <w:tc>
          <w:tcPr>
            <w:tcW w:w="2756" w:type="dxa"/>
            <w:tcBorders>
              <w:top w:val="single" w:sz="4" w:space="0" w:color="797979"/>
              <w:left w:val="nil"/>
              <w:bottom w:val="nil"/>
              <w:right w:val="nil"/>
            </w:tcBorders>
          </w:tcPr>
          <w:p w:rsidR="003C17D6" w:rsidRDefault="003C17D6" w:rsidP="002B383B">
            <w:pPr>
              <w:pStyle w:val="TableParagraph"/>
              <w:keepNext/>
              <w:spacing w:before="61"/>
              <w:ind w:left="80"/>
              <w:rPr>
                <w:rFonts w:ascii="Arial" w:eastAsia="Arial" w:hAnsi="Arial" w:cs="Arial"/>
                <w:sz w:val="18"/>
                <w:szCs w:val="18"/>
              </w:rPr>
            </w:pPr>
            <w:r>
              <w:rPr>
                <w:rFonts w:ascii="Arial" w:eastAsia="Arial" w:hAnsi="Arial" w:cs="Arial"/>
                <w:color w:val="99150E"/>
                <w:spacing w:val="-14"/>
                <w:sz w:val="18"/>
                <w:szCs w:val="18"/>
              </w:rPr>
              <w:t>T</w:t>
            </w:r>
            <w:r>
              <w:rPr>
                <w:rFonts w:ascii="Arial" w:eastAsia="Arial" w:hAnsi="Arial" w:cs="Arial"/>
                <w:color w:val="99150E"/>
                <w:sz w:val="18"/>
                <w:szCs w:val="18"/>
              </w:rPr>
              <w:t>o</w:t>
            </w:r>
            <w:r>
              <w:rPr>
                <w:rFonts w:ascii="Arial" w:eastAsia="Arial" w:hAnsi="Arial" w:cs="Arial"/>
                <w:color w:val="99150E"/>
                <w:spacing w:val="1"/>
                <w:sz w:val="18"/>
                <w:szCs w:val="18"/>
              </w:rPr>
              <w:t>t</w:t>
            </w:r>
            <w:r>
              <w:rPr>
                <w:rFonts w:ascii="Arial" w:eastAsia="Arial" w:hAnsi="Arial" w:cs="Arial"/>
                <w:color w:val="99150E"/>
                <w:spacing w:val="2"/>
                <w:sz w:val="18"/>
                <w:szCs w:val="18"/>
              </w:rPr>
              <w:t>a</w:t>
            </w:r>
            <w:r>
              <w:rPr>
                <w:rFonts w:ascii="Arial" w:eastAsia="Arial" w:hAnsi="Arial" w:cs="Arial"/>
                <w:color w:val="99150E"/>
                <w:sz w:val="18"/>
                <w:szCs w:val="18"/>
              </w:rPr>
              <w:t>l</w:t>
            </w:r>
            <w:r>
              <w:rPr>
                <w:rFonts w:ascii="Arial" w:eastAsia="Arial" w:hAnsi="Arial" w:cs="Arial"/>
                <w:color w:val="99150E"/>
                <w:spacing w:val="3"/>
                <w:sz w:val="18"/>
                <w:szCs w:val="18"/>
              </w:rPr>
              <w:t xml:space="preserve"> </w:t>
            </w:r>
            <w:r>
              <w:rPr>
                <w:rFonts w:ascii="Arial" w:eastAsia="Arial" w:hAnsi="Arial" w:cs="Arial"/>
                <w:color w:val="99150E"/>
                <w:spacing w:val="-3"/>
                <w:sz w:val="18"/>
                <w:szCs w:val="18"/>
              </w:rPr>
              <w:t>P</w:t>
            </w:r>
            <w:r>
              <w:rPr>
                <w:rFonts w:ascii="Arial" w:eastAsia="Arial" w:hAnsi="Arial" w:cs="Arial"/>
                <w:color w:val="99150E"/>
                <w:sz w:val="18"/>
                <w:szCs w:val="18"/>
              </w:rPr>
              <w:t>o</w:t>
            </w:r>
            <w:r>
              <w:rPr>
                <w:rFonts w:ascii="Arial" w:eastAsia="Arial" w:hAnsi="Arial" w:cs="Arial"/>
                <w:color w:val="99150E"/>
                <w:spacing w:val="2"/>
                <w:sz w:val="18"/>
                <w:szCs w:val="18"/>
              </w:rPr>
              <w:t>s</w:t>
            </w:r>
            <w:r>
              <w:rPr>
                <w:rFonts w:ascii="Arial" w:eastAsia="Arial" w:hAnsi="Arial" w:cs="Arial"/>
                <w:color w:val="99150E"/>
                <w:sz w:val="18"/>
                <w:szCs w:val="18"/>
              </w:rPr>
              <w:t>t</w:t>
            </w:r>
            <w:r>
              <w:rPr>
                <w:rFonts w:ascii="Arial" w:eastAsia="Arial" w:hAnsi="Arial" w:cs="Arial"/>
                <w:color w:val="99150E"/>
                <w:spacing w:val="4"/>
                <w:sz w:val="18"/>
                <w:szCs w:val="18"/>
              </w:rPr>
              <w:t xml:space="preserve"> </w:t>
            </w:r>
            <w:r>
              <w:rPr>
                <w:rFonts w:ascii="Arial" w:eastAsia="Arial" w:hAnsi="Arial" w:cs="Arial"/>
                <w:color w:val="99150E"/>
                <w:spacing w:val="1"/>
                <w:sz w:val="18"/>
                <w:szCs w:val="18"/>
              </w:rPr>
              <w:t>N</w:t>
            </w:r>
            <w:r>
              <w:rPr>
                <w:rFonts w:ascii="Arial" w:eastAsia="Arial" w:hAnsi="Arial" w:cs="Arial"/>
                <w:color w:val="99150E"/>
                <w:spacing w:val="-2"/>
                <w:sz w:val="18"/>
                <w:szCs w:val="18"/>
              </w:rPr>
              <w:t>o</w:t>
            </w:r>
            <w:r>
              <w:rPr>
                <w:rFonts w:ascii="Arial" w:eastAsia="Arial" w:hAnsi="Arial" w:cs="Arial"/>
                <w:color w:val="99150E"/>
                <w:sz w:val="18"/>
                <w:szCs w:val="18"/>
              </w:rPr>
              <w:t>v</w:t>
            </w:r>
            <w:r>
              <w:rPr>
                <w:rFonts w:ascii="Arial" w:eastAsia="Arial" w:hAnsi="Arial" w:cs="Arial"/>
                <w:color w:val="99150E"/>
                <w:spacing w:val="3"/>
                <w:sz w:val="18"/>
                <w:szCs w:val="18"/>
              </w:rPr>
              <w:t xml:space="preserve"> </w:t>
            </w:r>
            <w:r>
              <w:rPr>
                <w:rFonts w:ascii="Arial" w:eastAsia="Arial" w:hAnsi="Arial" w:cs="Arial"/>
                <w:color w:val="99150E"/>
                <w:spacing w:val="-1"/>
                <w:sz w:val="18"/>
                <w:szCs w:val="18"/>
              </w:rPr>
              <w:t>2</w:t>
            </w:r>
            <w:r>
              <w:rPr>
                <w:rFonts w:ascii="Arial" w:eastAsia="Arial" w:hAnsi="Arial" w:cs="Arial"/>
                <w:color w:val="99150E"/>
                <w:spacing w:val="-4"/>
                <w:sz w:val="18"/>
                <w:szCs w:val="18"/>
              </w:rPr>
              <w:t>0</w:t>
            </w:r>
            <w:r>
              <w:rPr>
                <w:rFonts w:ascii="Arial" w:eastAsia="Arial" w:hAnsi="Arial" w:cs="Arial"/>
                <w:color w:val="99150E"/>
                <w:spacing w:val="-9"/>
                <w:sz w:val="18"/>
                <w:szCs w:val="18"/>
              </w:rPr>
              <w:t>1</w:t>
            </w:r>
            <w:r>
              <w:rPr>
                <w:rFonts w:ascii="Arial" w:eastAsia="Arial" w:hAnsi="Arial" w:cs="Arial"/>
                <w:color w:val="99150E"/>
                <w:sz w:val="18"/>
                <w:szCs w:val="18"/>
              </w:rPr>
              <w:t>5</w:t>
            </w:r>
          </w:p>
        </w:tc>
        <w:tc>
          <w:tcPr>
            <w:tcW w:w="2732" w:type="dxa"/>
            <w:tcBorders>
              <w:top w:val="single" w:sz="4" w:space="0" w:color="797979"/>
              <w:left w:val="nil"/>
              <w:bottom w:val="nil"/>
              <w:right w:val="nil"/>
            </w:tcBorders>
          </w:tcPr>
          <w:p w:rsidR="003C17D6" w:rsidRDefault="003C17D6" w:rsidP="002B383B">
            <w:pPr>
              <w:pStyle w:val="TableParagraph"/>
              <w:keepNext/>
              <w:spacing w:before="61"/>
              <w:ind w:left="317"/>
              <w:jc w:val="center"/>
              <w:rPr>
                <w:rFonts w:ascii="Arial" w:eastAsia="Arial" w:hAnsi="Arial" w:cs="Arial"/>
                <w:sz w:val="18"/>
                <w:szCs w:val="18"/>
              </w:rPr>
            </w:pPr>
            <w:r>
              <w:rPr>
                <w:rFonts w:ascii="Arial" w:eastAsia="Arial" w:hAnsi="Arial" w:cs="Arial"/>
                <w:color w:val="99150E"/>
                <w:spacing w:val="-6"/>
                <w:sz w:val="18"/>
                <w:szCs w:val="18"/>
              </w:rPr>
              <w:t>3</w:t>
            </w:r>
            <w:r>
              <w:rPr>
                <w:rFonts w:ascii="Arial" w:eastAsia="Arial" w:hAnsi="Arial" w:cs="Arial"/>
                <w:color w:val="99150E"/>
                <w:spacing w:val="-9"/>
                <w:sz w:val="18"/>
                <w:szCs w:val="18"/>
              </w:rPr>
              <w:t>18</w:t>
            </w:r>
          </w:p>
        </w:tc>
        <w:tc>
          <w:tcPr>
            <w:tcW w:w="2675" w:type="dxa"/>
            <w:tcBorders>
              <w:top w:val="single" w:sz="4" w:space="0" w:color="797979"/>
              <w:left w:val="nil"/>
              <w:bottom w:val="nil"/>
              <w:right w:val="nil"/>
            </w:tcBorders>
          </w:tcPr>
          <w:p w:rsidR="003C17D6" w:rsidRDefault="003C17D6" w:rsidP="002B383B">
            <w:pPr>
              <w:pStyle w:val="TableParagraph"/>
              <w:keepNext/>
              <w:spacing w:before="61"/>
              <w:ind w:left="1280" w:right="1109"/>
              <w:jc w:val="center"/>
              <w:rPr>
                <w:rFonts w:ascii="Arial" w:eastAsia="Arial" w:hAnsi="Arial" w:cs="Arial"/>
                <w:sz w:val="18"/>
                <w:szCs w:val="18"/>
              </w:rPr>
            </w:pPr>
            <w:r>
              <w:rPr>
                <w:rFonts w:ascii="Arial" w:eastAsia="Arial" w:hAnsi="Arial" w:cs="Arial"/>
                <w:color w:val="99150E"/>
                <w:spacing w:val="-4"/>
                <w:sz w:val="18"/>
                <w:szCs w:val="18"/>
              </w:rPr>
              <w:t>2</w:t>
            </w:r>
            <w:r>
              <w:rPr>
                <w:rFonts w:ascii="Arial" w:eastAsia="Arial" w:hAnsi="Arial" w:cs="Arial"/>
                <w:color w:val="99150E"/>
                <w:spacing w:val="-1"/>
                <w:sz w:val="18"/>
                <w:szCs w:val="18"/>
              </w:rPr>
              <w:t>.</w:t>
            </w:r>
            <w:r>
              <w:rPr>
                <w:rFonts w:ascii="Arial" w:eastAsia="Arial" w:hAnsi="Arial" w:cs="Arial"/>
                <w:color w:val="99150E"/>
                <w:sz w:val="18"/>
                <w:szCs w:val="18"/>
              </w:rPr>
              <w:t>6</w:t>
            </w:r>
          </w:p>
        </w:tc>
      </w:tr>
      <w:tr w:rsidR="003C17D6" w:rsidTr="00253358">
        <w:trPr>
          <w:cantSplit/>
          <w:trHeight w:hRule="exact" w:val="315"/>
        </w:trPr>
        <w:tc>
          <w:tcPr>
            <w:tcW w:w="2756" w:type="dxa"/>
            <w:tcBorders>
              <w:top w:val="nil"/>
              <w:left w:val="nil"/>
              <w:bottom w:val="nil"/>
              <w:right w:val="nil"/>
            </w:tcBorders>
            <w:shd w:val="clear" w:color="auto" w:fill="C3D9DC"/>
          </w:tcPr>
          <w:p w:rsidR="003C17D6" w:rsidRDefault="003C17D6" w:rsidP="002B383B">
            <w:pPr>
              <w:pStyle w:val="TableParagraph"/>
              <w:keepNext/>
              <w:spacing w:before="66"/>
              <w:ind w:left="80"/>
              <w:rPr>
                <w:rFonts w:ascii="Arial" w:eastAsia="Arial" w:hAnsi="Arial" w:cs="Arial"/>
                <w:sz w:val="18"/>
                <w:szCs w:val="18"/>
              </w:rPr>
            </w:pPr>
            <w:r>
              <w:rPr>
                <w:rFonts w:ascii="Arial" w:eastAsia="Arial" w:hAnsi="Arial" w:cs="Arial"/>
                <w:b/>
                <w:bCs/>
                <w:spacing w:val="-12"/>
                <w:sz w:val="18"/>
                <w:szCs w:val="18"/>
              </w:rPr>
              <w:t>T</w:t>
            </w:r>
            <w:r>
              <w:rPr>
                <w:rFonts w:ascii="Arial" w:eastAsia="Arial" w:hAnsi="Arial" w:cs="Arial"/>
                <w:b/>
                <w:bCs/>
                <w:spacing w:val="1"/>
                <w:sz w:val="18"/>
                <w:szCs w:val="18"/>
              </w:rPr>
              <w:t>o</w:t>
            </w:r>
            <w:r>
              <w:rPr>
                <w:rFonts w:ascii="Arial" w:eastAsia="Arial" w:hAnsi="Arial" w:cs="Arial"/>
                <w:b/>
                <w:bCs/>
                <w:spacing w:val="3"/>
                <w:sz w:val="18"/>
                <w:szCs w:val="18"/>
              </w:rPr>
              <w:t>t</w:t>
            </w:r>
            <w:r>
              <w:rPr>
                <w:rFonts w:ascii="Arial" w:eastAsia="Arial" w:hAnsi="Arial" w:cs="Arial"/>
                <w:b/>
                <w:bCs/>
                <w:spacing w:val="2"/>
                <w:sz w:val="18"/>
                <w:szCs w:val="18"/>
              </w:rPr>
              <w:t>a</w:t>
            </w:r>
            <w:r>
              <w:rPr>
                <w:rFonts w:ascii="Arial" w:eastAsia="Arial" w:hAnsi="Arial" w:cs="Arial"/>
                <w:b/>
                <w:bCs/>
                <w:sz w:val="18"/>
                <w:szCs w:val="18"/>
              </w:rPr>
              <w:t>l</w:t>
            </w:r>
          </w:p>
        </w:tc>
        <w:tc>
          <w:tcPr>
            <w:tcW w:w="2732" w:type="dxa"/>
            <w:tcBorders>
              <w:top w:val="nil"/>
              <w:left w:val="nil"/>
              <w:bottom w:val="nil"/>
              <w:right w:val="nil"/>
            </w:tcBorders>
            <w:shd w:val="clear" w:color="auto" w:fill="C3D9DC"/>
          </w:tcPr>
          <w:p w:rsidR="003C17D6" w:rsidRDefault="003C17D6" w:rsidP="002B383B">
            <w:pPr>
              <w:pStyle w:val="TableParagraph"/>
              <w:keepNext/>
              <w:spacing w:before="66"/>
              <w:ind w:left="325"/>
              <w:jc w:val="center"/>
              <w:rPr>
                <w:rFonts w:ascii="Arial" w:eastAsia="Arial" w:hAnsi="Arial" w:cs="Arial"/>
                <w:sz w:val="18"/>
                <w:szCs w:val="18"/>
              </w:rPr>
            </w:pPr>
            <w:r>
              <w:rPr>
                <w:rFonts w:ascii="Arial" w:eastAsia="Arial" w:hAnsi="Arial" w:cs="Arial"/>
                <w:b/>
                <w:bCs/>
                <w:spacing w:val="-5"/>
                <w:sz w:val="18"/>
                <w:szCs w:val="18"/>
              </w:rPr>
              <w:t>1</w:t>
            </w:r>
            <w:r>
              <w:rPr>
                <w:rFonts w:ascii="Arial" w:eastAsia="Arial" w:hAnsi="Arial" w:cs="Arial"/>
                <w:b/>
                <w:bCs/>
                <w:spacing w:val="4"/>
                <w:sz w:val="18"/>
                <w:szCs w:val="18"/>
              </w:rPr>
              <w:t>2</w:t>
            </w:r>
            <w:r>
              <w:rPr>
                <w:rFonts w:ascii="Arial" w:eastAsia="Arial" w:hAnsi="Arial" w:cs="Arial"/>
                <w:b/>
                <w:bCs/>
                <w:spacing w:val="5"/>
                <w:sz w:val="18"/>
                <w:szCs w:val="18"/>
              </w:rPr>
              <w:t>3</w:t>
            </w:r>
            <w:r>
              <w:rPr>
                <w:rFonts w:ascii="Arial" w:eastAsia="Arial" w:hAnsi="Arial" w:cs="Arial"/>
                <w:b/>
                <w:bCs/>
                <w:sz w:val="18"/>
                <w:szCs w:val="18"/>
              </w:rPr>
              <w:t>5</w:t>
            </w:r>
          </w:p>
        </w:tc>
        <w:tc>
          <w:tcPr>
            <w:tcW w:w="2675" w:type="dxa"/>
            <w:tcBorders>
              <w:top w:val="nil"/>
              <w:left w:val="nil"/>
              <w:bottom w:val="nil"/>
              <w:right w:val="nil"/>
            </w:tcBorders>
            <w:shd w:val="clear" w:color="auto" w:fill="C3D9DC"/>
          </w:tcPr>
          <w:p w:rsidR="003C17D6" w:rsidRDefault="003C17D6" w:rsidP="002B383B">
            <w:pPr>
              <w:pStyle w:val="TableParagraph"/>
              <w:keepNext/>
              <w:spacing w:before="66"/>
              <w:ind w:left="176"/>
              <w:jc w:val="center"/>
              <w:rPr>
                <w:rFonts w:ascii="Arial" w:eastAsia="Arial" w:hAnsi="Arial" w:cs="Arial"/>
                <w:sz w:val="18"/>
                <w:szCs w:val="18"/>
              </w:rPr>
            </w:pPr>
            <w:r>
              <w:rPr>
                <w:rFonts w:ascii="Arial" w:eastAsia="Arial" w:hAnsi="Arial" w:cs="Arial"/>
                <w:b/>
                <w:bCs/>
                <w:spacing w:val="7"/>
                <w:sz w:val="18"/>
                <w:szCs w:val="18"/>
              </w:rPr>
              <w:t>2</w:t>
            </w:r>
            <w:r>
              <w:rPr>
                <w:rFonts w:ascii="Arial" w:eastAsia="Arial" w:hAnsi="Arial" w:cs="Arial"/>
                <w:b/>
                <w:bCs/>
                <w:spacing w:val="5"/>
                <w:sz w:val="18"/>
                <w:szCs w:val="18"/>
              </w:rPr>
              <w:t>.8</w:t>
            </w:r>
          </w:p>
        </w:tc>
      </w:tr>
    </w:tbl>
    <w:p w:rsidR="00A02A95" w:rsidRDefault="00FF3DB6" w:rsidP="00253358">
      <w:pPr>
        <w:spacing w:before="120" w:after="0" w:line="240" w:lineRule="auto"/>
      </w:pPr>
      <w:r>
        <w:rPr>
          <w:bCs/>
        </w:rPr>
        <w:t>Table 1</w:t>
      </w:r>
      <w:r w:rsidR="004B4334" w:rsidRPr="00716B9E">
        <w:rPr>
          <w:bCs/>
        </w:rPr>
        <w:t xml:space="preserve"> shows that the </w:t>
      </w:r>
      <w:r w:rsidR="00141B9C">
        <w:rPr>
          <w:bCs/>
        </w:rPr>
        <w:t xml:space="preserve">average </w:t>
      </w:r>
      <w:r w:rsidR="004B4334" w:rsidRPr="00716B9E">
        <w:rPr>
          <w:bCs/>
        </w:rPr>
        <w:t xml:space="preserve">duration of </w:t>
      </w:r>
      <w:r w:rsidR="004B4334">
        <w:t>g</w:t>
      </w:r>
      <w:r w:rsidR="00A02A95" w:rsidRPr="0090554C">
        <w:t xml:space="preserve">reenfields agreements </w:t>
      </w:r>
      <w:r w:rsidR="004B4334">
        <w:t xml:space="preserve">has reduced slightly since the commencement of the </w:t>
      </w:r>
      <w:r w:rsidR="00A02A95" w:rsidRPr="004B4334">
        <w:rPr>
          <w:bCs/>
        </w:rPr>
        <w:t xml:space="preserve">Amendment </w:t>
      </w:r>
      <w:r w:rsidR="00AF60C8" w:rsidRPr="004B4334">
        <w:rPr>
          <w:bCs/>
        </w:rPr>
        <w:t>Act</w:t>
      </w:r>
      <w:r w:rsidR="004B4334">
        <w:rPr>
          <w:bCs/>
        </w:rPr>
        <w:t xml:space="preserve">, from </w:t>
      </w:r>
      <w:r w:rsidR="004B4334">
        <w:t xml:space="preserve">an average of </w:t>
      </w:r>
      <w:r w:rsidR="00A02A95" w:rsidRPr="0090554C">
        <w:t xml:space="preserve">2.9 years before the Amendment </w:t>
      </w:r>
      <w:r w:rsidR="00AF60C8">
        <w:t>Act</w:t>
      </w:r>
      <w:r w:rsidR="004B4334">
        <w:t xml:space="preserve"> commenced to</w:t>
      </w:r>
      <w:r w:rsidR="00AF60C8">
        <w:t xml:space="preserve"> </w:t>
      </w:r>
      <w:r w:rsidR="00A02A95" w:rsidRPr="0090554C">
        <w:t>an</w:t>
      </w:r>
      <w:r w:rsidR="004B4334">
        <w:t xml:space="preserve"> average </w:t>
      </w:r>
      <w:r w:rsidR="00A02A95" w:rsidRPr="0090554C">
        <w:t>2.6 years after</w:t>
      </w:r>
      <w:r w:rsidR="004B4334">
        <w:t>. There is no suggestion from submissions that this is related to the Amendment Act and is more probably the result of the changing profile of the greenfields projects available in the current economic environment.</w:t>
      </w:r>
      <w:r w:rsidR="00A02A95" w:rsidRPr="0090554C">
        <w:t xml:space="preserve"> </w:t>
      </w:r>
    </w:p>
    <w:p w:rsidR="00253358" w:rsidRDefault="00253358" w:rsidP="00253358">
      <w:pPr>
        <w:pStyle w:val="Caption"/>
      </w:pPr>
      <w:r>
        <w:t xml:space="preserve">Table </w:t>
      </w:r>
      <w:r>
        <w:fldChar w:fldCharType="begin"/>
      </w:r>
      <w:r>
        <w:instrText xml:space="preserve"> SEQ Table \* ARABIC </w:instrText>
      </w:r>
      <w:r>
        <w:fldChar w:fldCharType="separate"/>
      </w:r>
      <w:r w:rsidR="002C20F1">
        <w:rPr>
          <w:noProof/>
        </w:rPr>
        <w:t>2</w:t>
      </w:r>
      <w:r>
        <w:fldChar w:fldCharType="end"/>
      </w:r>
      <w:r w:rsidRPr="00CA5C35">
        <w:t>: Average Annual Wage Increase (AAWI) in greenfields/non-greenfields agreements</w:t>
      </w:r>
      <w:r>
        <w:rPr>
          <w:rStyle w:val="FootnoteReference"/>
        </w:rPr>
        <w:footnoteReference w:id="5"/>
      </w:r>
    </w:p>
    <w:tbl>
      <w:tblPr>
        <w:tblW w:w="0" w:type="auto"/>
        <w:tblLayout w:type="fixed"/>
        <w:tblCellMar>
          <w:left w:w="0" w:type="dxa"/>
          <w:right w:w="0" w:type="dxa"/>
        </w:tblCellMar>
        <w:tblLook w:val="01E0" w:firstRow="1" w:lastRow="1" w:firstColumn="1" w:lastColumn="1" w:noHBand="0" w:noVBand="0"/>
        <w:tblCaption w:val="Table 2 – Comparison of the Average Annual Wage Increase in greenfields and non-greenfields agreements, before and after the commencement of the Amendment Act."/>
        <w:tblDescription w:val="Table 2 shows the difference in Average Annual Wage Increase for greenfields when compared to non-greenfields agreements since the commencement of the Amendment Act in November 2015, from 0.8 per cent before it commenced to 0.2 per cent after. However, Table 2 also shows that the gaps between the Average Annual Wage Increase for greenfields and non-greenfields agreements has been relatively small since around 2014."/>
      </w:tblPr>
      <w:tblGrid>
        <w:gridCol w:w="1946"/>
        <w:gridCol w:w="921"/>
        <w:gridCol w:w="11"/>
        <w:gridCol w:w="920"/>
        <w:gridCol w:w="12"/>
        <w:gridCol w:w="933"/>
        <w:gridCol w:w="659"/>
        <w:gridCol w:w="908"/>
        <w:gridCol w:w="40"/>
        <w:gridCol w:w="869"/>
        <w:gridCol w:w="940"/>
      </w:tblGrid>
      <w:tr w:rsidR="000967B0" w:rsidTr="000967B0">
        <w:trPr>
          <w:tblHeader/>
        </w:trPr>
        <w:tc>
          <w:tcPr>
            <w:tcW w:w="1946" w:type="dxa"/>
            <w:tcBorders>
              <w:top w:val="nil"/>
              <w:left w:val="nil"/>
              <w:bottom w:val="nil"/>
              <w:right w:val="nil"/>
            </w:tcBorders>
            <w:shd w:val="clear" w:color="auto" w:fill="006D68"/>
            <w:vAlign w:val="center"/>
          </w:tcPr>
          <w:p w:rsidR="000967B0" w:rsidRPr="000967B0" w:rsidRDefault="000967B0" w:rsidP="000967B0">
            <w:pPr>
              <w:jc w:val="center"/>
              <w:rPr>
                <w:color w:val="FFFFFF" w:themeColor="background1"/>
              </w:rPr>
            </w:pPr>
          </w:p>
        </w:tc>
        <w:tc>
          <w:tcPr>
            <w:tcW w:w="2797" w:type="dxa"/>
            <w:gridSpan w:val="5"/>
            <w:tcBorders>
              <w:top w:val="nil"/>
              <w:left w:val="nil"/>
              <w:bottom w:val="nil"/>
              <w:right w:val="nil"/>
            </w:tcBorders>
            <w:shd w:val="clear" w:color="auto" w:fill="006D68"/>
            <w:vAlign w:val="center"/>
          </w:tcPr>
          <w:p w:rsidR="000967B0" w:rsidRPr="000967B0" w:rsidRDefault="000967B0" w:rsidP="000967B0">
            <w:pPr>
              <w:jc w:val="center"/>
              <w:rPr>
                <w:color w:val="FFFFFF" w:themeColor="background1"/>
              </w:rPr>
            </w:pPr>
            <w:r w:rsidRPr="000967B0">
              <w:rPr>
                <w:color w:val="FFFFFF" w:themeColor="background1"/>
              </w:rPr>
              <w:t>Non-greenfields</w:t>
            </w:r>
          </w:p>
        </w:tc>
        <w:tc>
          <w:tcPr>
            <w:tcW w:w="2476" w:type="dxa"/>
            <w:gridSpan w:val="4"/>
            <w:tcBorders>
              <w:top w:val="nil"/>
              <w:left w:val="nil"/>
              <w:bottom w:val="nil"/>
              <w:right w:val="nil"/>
            </w:tcBorders>
            <w:shd w:val="clear" w:color="auto" w:fill="006D68"/>
            <w:vAlign w:val="center"/>
          </w:tcPr>
          <w:p w:rsidR="000967B0" w:rsidRPr="000967B0" w:rsidRDefault="000967B0" w:rsidP="000967B0">
            <w:pPr>
              <w:jc w:val="center"/>
              <w:rPr>
                <w:color w:val="FFFFFF" w:themeColor="background1"/>
              </w:rPr>
            </w:pPr>
            <w:r>
              <w:rPr>
                <w:color w:val="FFFFFF" w:themeColor="background1"/>
              </w:rPr>
              <w:t>Greenfeilds</w:t>
            </w:r>
          </w:p>
        </w:tc>
        <w:tc>
          <w:tcPr>
            <w:tcW w:w="940" w:type="dxa"/>
            <w:tcBorders>
              <w:top w:val="nil"/>
              <w:left w:val="nil"/>
              <w:bottom w:val="nil"/>
              <w:right w:val="nil"/>
            </w:tcBorders>
            <w:shd w:val="clear" w:color="auto" w:fill="006D68"/>
            <w:vAlign w:val="center"/>
          </w:tcPr>
          <w:p w:rsidR="000967B0" w:rsidRPr="000967B0" w:rsidRDefault="000967B0" w:rsidP="000967B0">
            <w:pPr>
              <w:jc w:val="center"/>
              <w:rPr>
                <w:color w:val="FFFFFF" w:themeColor="background1"/>
              </w:rPr>
            </w:pPr>
          </w:p>
        </w:tc>
      </w:tr>
      <w:tr w:rsidR="000967B0" w:rsidTr="000967B0">
        <w:trPr>
          <w:tblHeader/>
        </w:trPr>
        <w:tc>
          <w:tcPr>
            <w:tcW w:w="1946" w:type="dxa"/>
            <w:tcBorders>
              <w:top w:val="nil"/>
              <w:left w:val="nil"/>
              <w:bottom w:val="nil"/>
              <w:right w:val="nil"/>
            </w:tcBorders>
            <w:shd w:val="clear" w:color="auto" w:fill="006D68"/>
            <w:vAlign w:val="center"/>
          </w:tcPr>
          <w:p w:rsidR="000967B0" w:rsidRPr="000967B0" w:rsidRDefault="000967B0" w:rsidP="000967B0">
            <w:pPr>
              <w:spacing w:after="120"/>
              <w:jc w:val="center"/>
              <w:rPr>
                <w:color w:val="FFFFFF" w:themeColor="background1"/>
              </w:rPr>
            </w:pPr>
            <w:r w:rsidRPr="000967B0">
              <w:rPr>
                <w:color w:val="FFFFFF" w:themeColor="background1"/>
              </w:rPr>
              <w:t>Period approved</w:t>
            </w:r>
          </w:p>
        </w:tc>
        <w:tc>
          <w:tcPr>
            <w:tcW w:w="932" w:type="dxa"/>
            <w:gridSpan w:val="2"/>
            <w:tcBorders>
              <w:top w:val="nil"/>
              <w:left w:val="nil"/>
              <w:bottom w:val="nil"/>
              <w:right w:val="nil"/>
            </w:tcBorders>
            <w:shd w:val="clear" w:color="auto" w:fill="006D68"/>
            <w:vAlign w:val="center"/>
          </w:tcPr>
          <w:p w:rsidR="000967B0" w:rsidRPr="000967B0" w:rsidRDefault="000967B0" w:rsidP="000967B0">
            <w:pPr>
              <w:spacing w:after="120"/>
              <w:jc w:val="center"/>
              <w:rPr>
                <w:color w:val="FFFFFF" w:themeColor="background1"/>
              </w:rPr>
            </w:pPr>
            <w:r w:rsidRPr="000967B0">
              <w:rPr>
                <w:color w:val="FFFFFF" w:themeColor="background1"/>
              </w:rPr>
              <w:t>Agts</w:t>
            </w:r>
          </w:p>
        </w:tc>
        <w:tc>
          <w:tcPr>
            <w:tcW w:w="932" w:type="dxa"/>
            <w:gridSpan w:val="2"/>
            <w:tcBorders>
              <w:top w:val="nil"/>
              <w:left w:val="nil"/>
              <w:bottom w:val="nil"/>
              <w:right w:val="nil"/>
            </w:tcBorders>
            <w:shd w:val="clear" w:color="auto" w:fill="006D68"/>
            <w:vAlign w:val="center"/>
          </w:tcPr>
          <w:p w:rsidR="000967B0" w:rsidRPr="000967B0" w:rsidRDefault="000967B0" w:rsidP="000967B0">
            <w:pPr>
              <w:spacing w:after="120"/>
              <w:jc w:val="center"/>
              <w:rPr>
                <w:color w:val="FFFFFF" w:themeColor="background1"/>
              </w:rPr>
            </w:pPr>
            <w:r w:rsidRPr="000967B0">
              <w:rPr>
                <w:color w:val="FFFFFF" w:themeColor="background1"/>
              </w:rPr>
              <w:t>Agts %</w:t>
            </w:r>
          </w:p>
        </w:tc>
        <w:tc>
          <w:tcPr>
            <w:tcW w:w="933" w:type="dxa"/>
            <w:tcBorders>
              <w:top w:val="nil"/>
              <w:left w:val="nil"/>
              <w:bottom w:val="nil"/>
              <w:right w:val="nil"/>
            </w:tcBorders>
            <w:shd w:val="clear" w:color="auto" w:fill="006D68"/>
            <w:vAlign w:val="center"/>
          </w:tcPr>
          <w:p w:rsidR="000967B0" w:rsidRPr="000967B0" w:rsidRDefault="000967B0" w:rsidP="000967B0">
            <w:pPr>
              <w:spacing w:after="120"/>
              <w:jc w:val="center"/>
              <w:rPr>
                <w:color w:val="FFFFFF" w:themeColor="background1"/>
              </w:rPr>
            </w:pPr>
            <w:r w:rsidRPr="000967B0">
              <w:rPr>
                <w:color w:val="FFFFFF" w:themeColor="background1"/>
              </w:rPr>
              <w:t>AAWI (%)</w:t>
            </w:r>
          </w:p>
        </w:tc>
        <w:tc>
          <w:tcPr>
            <w:tcW w:w="659" w:type="dxa"/>
            <w:tcBorders>
              <w:top w:val="nil"/>
              <w:left w:val="nil"/>
              <w:bottom w:val="nil"/>
              <w:right w:val="nil"/>
            </w:tcBorders>
            <w:shd w:val="clear" w:color="auto" w:fill="006D68"/>
            <w:vAlign w:val="center"/>
          </w:tcPr>
          <w:p w:rsidR="000967B0" w:rsidRPr="000967B0" w:rsidRDefault="000967B0" w:rsidP="000967B0">
            <w:pPr>
              <w:spacing w:after="120"/>
              <w:jc w:val="center"/>
              <w:rPr>
                <w:color w:val="FFFFFF" w:themeColor="background1"/>
              </w:rPr>
            </w:pPr>
            <w:r w:rsidRPr="000967B0">
              <w:rPr>
                <w:color w:val="FFFFFF" w:themeColor="background1"/>
              </w:rPr>
              <w:t>Agts</w:t>
            </w:r>
          </w:p>
        </w:tc>
        <w:tc>
          <w:tcPr>
            <w:tcW w:w="908" w:type="dxa"/>
            <w:tcBorders>
              <w:top w:val="nil"/>
              <w:left w:val="nil"/>
              <w:bottom w:val="nil"/>
              <w:right w:val="nil"/>
            </w:tcBorders>
            <w:shd w:val="clear" w:color="auto" w:fill="006D68"/>
            <w:vAlign w:val="center"/>
          </w:tcPr>
          <w:p w:rsidR="000967B0" w:rsidRPr="000967B0" w:rsidRDefault="000967B0" w:rsidP="000967B0">
            <w:pPr>
              <w:spacing w:after="120"/>
              <w:jc w:val="center"/>
              <w:rPr>
                <w:color w:val="FFFFFF" w:themeColor="background1"/>
              </w:rPr>
            </w:pPr>
            <w:r w:rsidRPr="000967B0">
              <w:rPr>
                <w:color w:val="FFFFFF" w:themeColor="background1"/>
              </w:rPr>
              <w:t>Agts %</w:t>
            </w:r>
          </w:p>
        </w:tc>
        <w:tc>
          <w:tcPr>
            <w:tcW w:w="909" w:type="dxa"/>
            <w:gridSpan w:val="2"/>
            <w:tcBorders>
              <w:top w:val="nil"/>
              <w:left w:val="nil"/>
              <w:bottom w:val="nil"/>
              <w:right w:val="nil"/>
            </w:tcBorders>
            <w:shd w:val="clear" w:color="auto" w:fill="006D68"/>
            <w:vAlign w:val="center"/>
          </w:tcPr>
          <w:p w:rsidR="000967B0" w:rsidRPr="000967B0" w:rsidRDefault="000967B0" w:rsidP="000967B0">
            <w:pPr>
              <w:spacing w:after="120"/>
              <w:jc w:val="center"/>
              <w:rPr>
                <w:color w:val="FFFFFF" w:themeColor="background1"/>
              </w:rPr>
            </w:pPr>
            <w:r w:rsidRPr="000967B0">
              <w:rPr>
                <w:color w:val="FFFFFF" w:themeColor="background1"/>
              </w:rPr>
              <w:t>AAWI</w:t>
            </w:r>
          </w:p>
        </w:tc>
        <w:tc>
          <w:tcPr>
            <w:tcW w:w="940" w:type="dxa"/>
            <w:tcBorders>
              <w:top w:val="nil"/>
              <w:left w:val="nil"/>
              <w:bottom w:val="nil"/>
              <w:right w:val="nil"/>
            </w:tcBorders>
            <w:shd w:val="clear" w:color="auto" w:fill="006D68"/>
            <w:vAlign w:val="center"/>
          </w:tcPr>
          <w:p w:rsidR="000967B0" w:rsidRPr="000967B0" w:rsidRDefault="000967B0" w:rsidP="000967B0">
            <w:pPr>
              <w:spacing w:after="120"/>
              <w:jc w:val="center"/>
              <w:rPr>
                <w:color w:val="FFFFFF" w:themeColor="background1"/>
              </w:rPr>
            </w:pPr>
            <w:r w:rsidRPr="000967B0">
              <w:rPr>
                <w:color w:val="FFFFFF" w:themeColor="background1"/>
              </w:rPr>
              <w:t>Total</w:t>
            </w:r>
          </w:p>
        </w:tc>
      </w:tr>
      <w:tr w:rsidR="003C17D6" w:rsidTr="002B383B">
        <w:trPr>
          <w:trHeight w:hRule="exact" w:val="301"/>
        </w:trPr>
        <w:tc>
          <w:tcPr>
            <w:tcW w:w="1946" w:type="dxa"/>
            <w:tcBorders>
              <w:top w:val="nil"/>
              <w:left w:val="nil"/>
              <w:bottom w:val="single" w:sz="4" w:space="0" w:color="797979"/>
              <w:right w:val="single" w:sz="4" w:space="0" w:color="797979"/>
            </w:tcBorders>
          </w:tcPr>
          <w:p w:rsidR="003C17D6" w:rsidRDefault="003C17D6" w:rsidP="002B383B">
            <w:pPr>
              <w:pStyle w:val="TableParagraph"/>
              <w:keepNext/>
              <w:spacing w:before="52"/>
              <w:ind w:left="80"/>
              <w:rPr>
                <w:rFonts w:ascii="Arial" w:eastAsia="Arial" w:hAnsi="Arial" w:cs="Arial"/>
                <w:sz w:val="18"/>
                <w:szCs w:val="18"/>
              </w:rPr>
            </w:pPr>
            <w:r>
              <w:rPr>
                <w:rFonts w:ascii="Arial" w:eastAsia="Arial" w:hAnsi="Arial" w:cs="Arial"/>
                <w:sz w:val="18"/>
                <w:szCs w:val="18"/>
              </w:rPr>
              <w:t>J</w:t>
            </w:r>
            <w:r>
              <w:rPr>
                <w:rFonts w:ascii="Arial" w:eastAsia="Arial" w:hAnsi="Arial" w:cs="Arial"/>
                <w:spacing w:val="1"/>
                <w:sz w:val="18"/>
                <w:szCs w:val="18"/>
              </w:rPr>
              <w:t>u</w:t>
            </w:r>
            <w:r>
              <w:rPr>
                <w:rFonts w:ascii="Arial" w:eastAsia="Arial" w:hAnsi="Arial" w:cs="Arial"/>
                <w:sz w:val="18"/>
                <w:szCs w:val="18"/>
              </w:rPr>
              <w:t xml:space="preserve">l </w:t>
            </w:r>
            <w:r>
              <w:rPr>
                <w:rFonts w:ascii="Arial" w:eastAsia="Arial" w:hAnsi="Arial" w:cs="Arial"/>
                <w:spacing w:val="-1"/>
                <w:sz w:val="18"/>
                <w:szCs w:val="18"/>
              </w:rPr>
              <w:t>2</w:t>
            </w:r>
            <w:r>
              <w:rPr>
                <w:rFonts w:ascii="Arial" w:eastAsia="Arial" w:hAnsi="Arial" w:cs="Arial"/>
                <w:spacing w:val="4"/>
                <w:sz w:val="18"/>
                <w:szCs w:val="18"/>
              </w:rPr>
              <w:t>0</w:t>
            </w:r>
            <w:r>
              <w:rPr>
                <w:rFonts w:ascii="Arial" w:eastAsia="Arial" w:hAnsi="Arial" w:cs="Arial"/>
                <w:spacing w:val="3"/>
                <w:sz w:val="18"/>
                <w:szCs w:val="18"/>
              </w:rPr>
              <w:t>0</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2</w:t>
            </w:r>
            <w:r>
              <w:rPr>
                <w:rFonts w:ascii="Arial" w:eastAsia="Arial" w:hAnsi="Arial" w:cs="Arial"/>
                <w:spacing w:val="-4"/>
                <w:sz w:val="18"/>
                <w:szCs w:val="18"/>
              </w:rPr>
              <w:t>0</w:t>
            </w:r>
            <w:r>
              <w:rPr>
                <w:rFonts w:ascii="Arial" w:eastAsia="Arial" w:hAnsi="Arial" w:cs="Arial"/>
                <w:spacing w:val="-12"/>
                <w:sz w:val="18"/>
                <w:szCs w:val="18"/>
              </w:rPr>
              <w:t>1</w:t>
            </w:r>
            <w:r>
              <w:rPr>
                <w:rFonts w:ascii="Arial" w:eastAsia="Arial" w:hAnsi="Arial" w:cs="Arial"/>
                <w:sz w:val="18"/>
                <w:szCs w:val="18"/>
              </w:rPr>
              <w:t>4</w:t>
            </w:r>
          </w:p>
        </w:tc>
        <w:tc>
          <w:tcPr>
            <w:tcW w:w="921" w:type="dxa"/>
            <w:tcBorders>
              <w:top w:val="nil"/>
              <w:left w:val="single" w:sz="4" w:space="0" w:color="797979"/>
              <w:bottom w:val="single" w:sz="4" w:space="0" w:color="797979"/>
              <w:right w:val="nil"/>
            </w:tcBorders>
          </w:tcPr>
          <w:p w:rsidR="003C17D6" w:rsidRDefault="003C17D6" w:rsidP="002B383B">
            <w:pPr>
              <w:pStyle w:val="TableParagraph"/>
              <w:keepNext/>
              <w:spacing w:before="52"/>
              <w:ind w:left="216"/>
              <w:rPr>
                <w:rFonts w:ascii="Arial" w:eastAsia="Arial" w:hAnsi="Arial" w:cs="Arial"/>
                <w:sz w:val="18"/>
                <w:szCs w:val="18"/>
              </w:rPr>
            </w:pPr>
            <w:r>
              <w:rPr>
                <w:rFonts w:ascii="Arial" w:eastAsia="Arial" w:hAnsi="Arial" w:cs="Arial"/>
                <w:spacing w:val="2"/>
                <w:sz w:val="18"/>
                <w:szCs w:val="18"/>
              </w:rPr>
              <w:t>3</w:t>
            </w:r>
            <w:r>
              <w:rPr>
                <w:rFonts w:ascii="Arial" w:eastAsia="Arial" w:hAnsi="Arial" w:cs="Arial"/>
                <w:spacing w:val="-11"/>
                <w:sz w:val="18"/>
                <w:szCs w:val="18"/>
              </w:rPr>
              <w:t>41</w:t>
            </w:r>
            <w:r>
              <w:rPr>
                <w:rFonts w:ascii="Arial" w:eastAsia="Arial" w:hAnsi="Arial" w:cs="Arial"/>
                <w:spacing w:val="1"/>
                <w:sz w:val="18"/>
                <w:szCs w:val="18"/>
              </w:rPr>
              <w:t>4</w:t>
            </w:r>
            <w:r>
              <w:rPr>
                <w:rFonts w:ascii="Arial" w:eastAsia="Arial" w:hAnsi="Arial" w:cs="Arial"/>
                <w:sz w:val="18"/>
                <w:szCs w:val="18"/>
              </w:rPr>
              <w:t>0</w:t>
            </w:r>
          </w:p>
        </w:tc>
        <w:tc>
          <w:tcPr>
            <w:tcW w:w="931" w:type="dxa"/>
            <w:gridSpan w:val="2"/>
            <w:tcBorders>
              <w:top w:val="nil"/>
              <w:left w:val="nil"/>
              <w:bottom w:val="single" w:sz="4" w:space="0" w:color="797979"/>
              <w:right w:val="single" w:sz="4" w:space="0" w:color="797979"/>
            </w:tcBorders>
          </w:tcPr>
          <w:p w:rsidR="003C17D6" w:rsidRDefault="003C17D6" w:rsidP="002B383B">
            <w:pPr>
              <w:pStyle w:val="TableParagraph"/>
              <w:keepNext/>
              <w:spacing w:before="52"/>
              <w:ind w:left="214"/>
              <w:rPr>
                <w:rFonts w:ascii="Arial" w:eastAsia="Arial" w:hAnsi="Arial" w:cs="Arial"/>
                <w:sz w:val="18"/>
                <w:szCs w:val="18"/>
              </w:rPr>
            </w:pPr>
            <w:r>
              <w:rPr>
                <w:rFonts w:ascii="Arial" w:eastAsia="Arial" w:hAnsi="Arial" w:cs="Arial"/>
                <w:spacing w:val="-5"/>
                <w:w w:val="105"/>
                <w:sz w:val="18"/>
                <w:szCs w:val="18"/>
              </w:rPr>
              <w:t>9</w:t>
            </w:r>
            <w:r>
              <w:rPr>
                <w:rFonts w:ascii="Arial" w:eastAsia="Arial" w:hAnsi="Arial" w:cs="Arial"/>
                <w:spacing w:val="-11"/>
                <w:w w:val="105"/>
                <w:sz w:val="18"/>
                <w:szCs w:val="18"/>
              </w:rPr>
              <w:t>1</w:t>
            </w:r>
            <w:r>
              <w:rPr>
                <w:rFonts w:ascii="Arial" w:eastAsia="Arial" w:hAnsi="Arial" w:cs="Arial"/>
                <w:spacing w:val="-7"/>
                <w:w w:val="105"/>
                <w:sz w:val="18"/>
                <w:szCs w:val="18"/>
              </w:rPr>
              <w:t>.</w:t>
            </w:r>
            <w:r>
              <w:rPr>
                <w:rFonts w:ascii="Arial" w:eastAsia="Arial" w:hAnsi="Arial" w:cs="Arial"/>
                <w:spacing w:val="-6"/>
                <w:w w:val="105"/>
                <w:sz w:val="18"/>
                <w:szCs w:val="18"/>
              </w:rPr>
              <w:t>7</w:t>
            </w:r>
            <w:r>
              <w:rPr>
                <w:rFonts w:ascii="Arial" w:eastAsia="Arial" w:hAnsi="Arial" w:cs="Arial"/>
                <w:w w:val="105"/>
                <w:sz w:val="18"/>
                <w:szCs w:val="18"/>
              </w:rPr>
              <w:t>%</w:t>
            </w:r>
          </w:p>
        </w:tc>
        <w:tc>
          <w:tcPr>
            <w:tcW w:w="945" w:type="dxa"/>
            <w:gridSpan w:val="2"/>
            <w:tcBorders>
              <w:top w:val="nil"/>
              <w:left w:val="single" w:sz="4" w:space="0" w:color="797979"/>
              <w:bottom w:val="single" w:sz="4" w:space="0" w:color="797979"/>
              <w:right w:val="single" w:sz="4" w:space="0" w:color="797979"/>
            </w:tcBorders>
          </w:tcPr>
          <w:p w:rsidR="003C17D6" w:rsidRDefault="003C17D6" w:rsidP="002B383B">
            <w:pPr>
              <w:pStyle w:val="TableParagraph"/>
              <w:keepNext/>
              <w:spacing w:before="52"/>
              <w:ind w:right="1"/>
              <w:jc w:val="center"/>
              <w:rPr>
                <w:rFonts w:ascii="Arial" w:eastAsia="Arial" w:hAnsi="Arial" w:cs="Arial"/>
                <w:sz w:val="18"/>
                <w:szCs w:val="18"/>
              </w:rPr>
            </w:pPr>
            <w:r>
              <w:rPr>
                <w:rFonts w:ascii="Arial" w:eastAsia="Arial" w:hAnsi="Arial" w:cs="Arial"/>
                <w:sz w:val="18"/>
                <w:szCs w:val="18"/>
              </w:rPr>
              <w:t>3</w:t>
            </w:r>
            <w:r>
              <w:rPr>
                <w:rFonts w:ascii="Arial" w:eastAsia="Arial" w:hAnsi="Arial" w:cs="Arial"/>
                <w:spacing w:val="-1"/>
                <w:sz w:val="18"/>
                <w:szCs w:val="18"/>
              </w:rPr>
              <w:t>.6</w:t>
            </w:r>
          </w:p>
        </w:tc>
        <w:tc>
          <w:tcPr>
            <w:tcW w:w="659" w:type="dxa"/>
            <w:tcBorders>
              <w:top w:val="nil"/>
              <w:left w:val="single" w:sz="4" w:space="0" w:color="797979"/>
              <w:bottom w:val="single" w:sz="4" w:space="0" w:color="797979"/>
              <w:right w:val="nil"/>
            </w:tcBorders>
          </w:tcPr>
          <w:p w:rsidR="003C17D6" w:rsidRDefault="003C17D6" w:rsidP="002B383B">
            <w:pPr>
              <w:pStyle w:val="TableParagraph"/>
              <w:keepNext/>
              <w:spacing w:before="52"/>
              <w:ind w:left="183"/>
              <w:rPr>
                <w:rFonts w:ascii="Arial" w:eastAsia="Arial" w:hAnsi="Arial" w:cs="Arial"/>
                <w:sz w:val="18"/>
                <w:szCs w:val="18"/>
              </w:rPr>
            </w:pPr>
            <w:r>
              <w:rPr>
                <w:rFonts w:ascii="Arial" w:eastAsia="Arial" w:hAnsi="Arial" w:cs="Arial"/>
                <w:spacing w:val="2"/>
                <w:sz w:val="18"/>
                <w:szCs w:val="18"/>
              </w:rPr>
              <w:t>3</w:t>
            </w:r>
            <w:r>
              <w:rPr>
                <w:rFonts w:ascii="Arial" w:eastAsia="Arial" w:hAnsi="Arial" w:cs="Arial"/>
                <w:spacing w:val="-4"/>
                <w:sz w:val="18"/>
                <w:szCs w:val="18"/>
              </w:rPr>
              <w:t>0</w:t>
            </w:r>
            <w:r>
              <w:rPr>
                <w:rFonts w:ascii="Arial" w:eastAsia="Arial" w:hAnsi="Arial" w:cs="Arial"/>
                <w:spacing w:val="-3"/>
                <w:sz w:val="18"/>
                <w:szCs w:val="18"/>
              </w:rPr>
              <w:t>7</w:t>
            </w:r>
            <w:r>
              <w:rPr>
                <w:rFonts w:ascii="Arial" w:eastAsia="Arial" w:hAnsi="Arial" w:cs="Arial"/>
                <w:sz w:val="18"/>
                <w:szCs w:val="18"/>
              </w:rPr>
              <w:t>8</w:t>
            </w:r>
          </w:p>
        </w:tc>
        <w:tc>
          <w:tcPr>
            <w:tcW w:w="948" w:type="dxa"/>
            <w:gridSpan w:val="2"/>
            <w:tcBorders>
              <w:top w:val="nil"/>
              <w:left w:val="nil"/>
              <w:bottom w:val="single" w:sz="4" w:space="0" w:color="797979"/>
              <w:right w:val="single" w:sz="4" w:space="0" w:color="797979"/>
            </w:tcBorders>
          </w:tcPr>
          <w:p w:rsidR="003C17D6" w:rsidRDefault="003C17D6" w:rsidP="002B383B">
            <w:pPr>
              <w:pStyle w:val="TableParagraph"/>
              <w:keepNext/>
              <w:spacing w:before="52"/>
              <w:ind w:left="314"/>
              <w:rPr>
                <w:rFonts w:ascii="Arial" w:eastAsia="Arial" w:hAnsi="Arial" w:cs="Arial"/>
                <w:sz w:val="18"/>
                <w:szCs w:val="18"/>
              </w:rPr>
            </w:pPr>
            <w:r>
              <w:rPr>
                <w:rFonts w:ascii="Arial" w:eastAsia="Arial" w:hAnsi="Arial" w:cs="Arial"/>
                <w:spacing w:val="1"/>
                <w:w w:val="105"/>
                <w:sz w:val="18"/>
                <w:szCs w:val="18"/>
              </w:rPr>
              <w:t>8.</w:t>
            </w:r>
            <w:r>
              <w:rPr>
                <w:rFonts w:ascii="Arial" w:eastAsia="Arial" w:hAnsi="Arial" w:cs="Arial"/>
                <w:spacing w:val="2"/>
                <w:w w:val="105"/>
                <w:sz w:val="18"/>
                <w:szCs w:val="18"/>
              </w:rPr>
              <w:t>3</w:t>
            </w:r>
            <w:r>
              <w:rPr>
                <w:rFonts w:ascii="Arial" w:eastAsia="Arial" w:hAnsi="Arial" w:cs="Arial"/>
                <w:w w:val="105"/>
                <w:sz w:val="18"/>
                <w:szCs w:val="18"/>
              </w:rPr>
              <w:t>%</w:t>
            </w:r>
          </w:p>
        </w:tc>
        <w:tc>
          <w:tcPr>
            <w:tcW w:w="869" w:type="dxa"/>
            <w:tcBorders>
              <w:top w:val="nil"/>
              <w:left w:val="single" w:sz="4" w:space="0" w:color="797979"/>
              <w:bottom w:val="single" w:sz="4" w:space="0" w:color="797979"/>
              <w:right w:val="single" w:sz="4" w:space="0" w:color="797979"/>
            </w:tcBorders>
          </w:tcPr>
          <w:p w:rsidR="003C17D6" w:rsidRDefault="003C17D6" w:rsidP="002B383B">
            <w:pPr>
              <w:pStyle w:val="TableParagraph"/>
              <w:keepNext/>
              <w:spacing w:before="52"/>
              <w:ind w:right="1"/>
              <w:jc w:val="center"/>
              <w:rPr>
                <w:rFonts w:ascii="Arial" w:eastAsia="Arial" w:hAnsi="Arial" w:cs="Arial"/>
                <w:sz w:val="18"/>
                <w:szCs w:val="18"/>
              </w:rPr>
            </w:pPr>
            <w:r>
              <w:rPr>
                <w:rFonts w:ascii="Arial" w:eastAsia="Arial" w:hAnsi="Arial" w:cs="Arial"/>
                <w:spacing w:val="-1"/>
                <w:sz w:val="18"/>
                <w:szCs w:val="18"/>
              </w:rPr>
              <w:t>4.4</w:t>
            </w:r>
          </w:p>
        </w:tc>
        <w:tc>
          <w:tcPr>
            <w:tcW w:w="940" w:type="dxa"/>
            <w:tcBorders>
              <w:top w:val="nil"/>
              <w:left w:val="single" w:sz="4" w:space="0" w:color="797979"/>
              <w:bottom w:val="single" w:sz="4" w:space="0" w:color="797979"/>
              <w:right w:val="nil"/>
            </w:tcBorders>
          </w:tcPr>
          <w:p w:rsidR="003C17D6" w:rsidRDefault="003C17D6" w:rsidP="002B383B">
            <w:pPr>
              <w:pStyle w:val="TableParagraph"/>
              <w:keepNext/>
              <w:spacing w:before="52"/>
              <w:ind w:left="223"/>
              <w:rPr>
                <w:rFonts w:ascii="Arial" w:eastAsia="Arial" w:hAnsi="Arial" w:cs="Arial"/>
                <w:sz w:val="18"/>
                <w:szCs w:val="18"/>
              </w:rPr>
            </w:pPr>
            <w:r>
              <w:rPr>
                <w:rFonts w:ascii="Arial" w:eastAsia="Arial" w:hAnsi="Arial" w:cs="Arial"/>
                <w:spacing w:val="-4"/>
                <w:sz w:val="18"/>
                <w:szCs w:val="18"/>
              </w:rPr>
              <w:t>3</w:t>
            </w:r>
            <w:r>
              <w:rPr>
                <w:rFonts w:ascii="Arial" w:eastAsia="Arial" w:hAnsi="Arial" w:cs="Arial"/>
                <w:spacing w:val="-2"/>
                <w:sz w:val="18"/>
                <w:szCs w:val="18"/>
              </w:rPr>
              <w:t>7</w:t>
            </w:r>
            <w:r>
              <w:rPr>
                <w:rFonts w:ascii="Arial" w:eastAsia="Arial" w:hAnsi="Arial" w:cs="Arial"/>
                <w:spacing w:val="-5"/>
                <w:sz w:val="18"/>
                <w:szCs w:val="18"/>
              </w:rPr>
              <w:t>2</w:t>
            </w:r>
            <w:r>
              <w:rPr>
                <w:rFonts w:ascii="Arial" w:eastAsia="Arial" w:hAnsi="Arial" w:cs="Arial"/>
                <w:spacing w:val="-9"/>
                <w:sz w:val="18"/>
                <w:szCs w:val="18"/>
              </w:rPr>
              <w:t>18</w:t>
            </w:r>
          </w:p>
        </w:tc>
      </w:tr>
      <w:tr w:rsidR="003C17D6" w:rsidTr="002B383B">
        <w:trPr>
          <w:trHeight w:hRule="exact" w:val="315"/>
        </w:trPr>
        <w:tc>
          <w:tcPr>
            <w:tcW w:w="1946" w:type="dxa"/>
            <w:tcBorders>
              <w:top w:val="single" w:sz="4" w:space="0" w:color="797979"/>
              <w:left w:val="nil"/>
              <w:bottom w:val="single" w:sz="4" w:space="0" w:color="797979"/>
              <w:right w:val="single" w:sz="4" w:space="0" w:color="797979"/>
            </w:tcBorders>
          </w:tcPr>
          <w:p w:rsidR="003C17D6" w:rsidRDefault="003C17D6" w:rsidP="002B383B">
            <w:pPr>
              <w:pStyle w:val="TableParagraph"/>
              <w:keepNext/>
              <w:spacing w:before="61"/>
              <w:ind w:left="79"/>
              <w:rPr>
                <w:rFonts w:ascii="Arial" w:eastAsia="Arial" w:hAnsi="Arial" w:cs="Arial"/>
                <w:sz w:val="18"/>
                <w:szCs w:val="18"/>
              </w:rPr>
            </w:pP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 xml:space="preserve">v </w:t>
            </w:r>
            <w:r>
              <w:rPr>
                <w:rFonts w:ascii="Arial" w:eastAsia="Arial" w:hAnsi="Arial" w:cs="Arial"/>
                <w:spacing w:val="-1"/>
                <w:sz w:val="18"/>
                <w:szCs w:val="18"/>
              </w:rPr>
              <w:t>2</w:t>
            </w:r>
            <w:r>
              <w:rPr>
                <w:rFonts w:ascii="Arial" w:eastAsia="Arial" w:hAnsi="Arial" w:cs="Arial"/>
                <w:spacing w:val="-4"/>
                <w:sz w:val="18"/>
                <w:szCs w:val="18"/>
              </w:rPr>
              <w:t>0</w:t>
            </w:r>
            <w:r>
              <w:rPr>
                <w:rFonts w:ascii="Arial" w:eastAsia="Arial" w:hAnsi="Arial" w:cs="Arial"/>
                <w:spacing w:val="-12"/>
                <w:sz w:val="18"/>
                <w:szCs w:val="18"/>
              </w:rPr>
              <w:t>1</w:t>
            </w:r>
            <w:r>
              <w:rPr>
                <w:rFonts w:ascii="Arial" w:eastAsia="Arial" w:hAnsi="Arial" w:cs="Arial"/>
                <w:sz w:val="18"/>
                <w:szCs w:val="18"/>
              </w:rPr>
              <w:t>4 –</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2</w:t>
            </w:r>
            <w:r>
              <w:rPr>
                <w:rFonts w:ascii="Arial" w:eastAsia="Arial" w:hAnsi="Arial" w:cs="Arial"/>
                <w:spacing w:val="-4"/>
                <w:sz w:val="18"/>
                <w:szCs w:val="18"/>
              </w:rPr>
              <w:t>0</w:t>
            </w:r>
            <w:r>
              <w:rPr>
                <w:rFonts w:ascii="Arial" w:eastAsia="Arial" w:hAnsi="Arial" w:cs="Arial"/>
                <w:spacing w:val="-9"/>
                <w:sz w:val="18"/>
                <w:szCs w:val="18"/>
              </w:rPr>
              <w:t>1</w:t>
            </w:r>
            <w:r>
              <w:rPr>
                <w:rFonts w:ascii="Arial" w:eastAsia="Arial" w:hAnsi="Arial" w:cs="Arial"/>
                <w:sz w:val="18"/>
                <w:szCs w:val="18"/>
              </w:rPr>
              <w:t>5</w:t>
            </w:r>
          </w:p>
        </w:tc>
        <w:tc>
          <w:tcPr>
            <w:tcW w:w="921" w:type="dxa"/>
            <w:tcBorders>
              <w:top w:val="single" w:sz="4" w:space="0" w:color="797979"/>
              <w:left w:val="single" w:sz="4" w:space="0" w:color="797979"/>
              <w:bottom w:val="single" w:sz="4" w:space="0" w:color="797979"/>
              <w:right w:val="nil"/>
            </w:tcBorders>
          </w:tcPr>
          <w:p w:rsidR="003C17D6" w:rsidRDefault="003C17D6" w:rsidP="002B383B">
            <w:pPr>
              <w:pStyle w:val="TableParagraph"/>
              <w:keepNext/>
              <w:spacing w:before="61"/>
              <w:ind w:left="255"/>
              <w:rPr>
                <w:rFonts w:ascii="Arial" w:eastAsia="Arial" w:hAnsi="Arial" w:cs="Arial"/>
                <w:sz w:val="18"/>
                <w:szCs w:val="18"/>
              </w:rPr>
            </w:pPr>
            <w:r>
              <w:rPr>
                <w:rFonts w:ascii="Arial" w:eastAsia="Arial" w:hAnsi="Arial" w:cs="Arial"/>
                <w:sz w:val="18"/>
                <w:szCs w:val="18"/>
              </w:rPr>
              <w:t>4</w:t>
            </w:r>
            <w:r>
              <w:rPr>
                <w:rFonts w:ascii="Arial" w:eastAsia="Arial" w:hAnsi="Arial" w:cs="Arial"/>
                <w:spacing w:val="2"/>
                <w:sz w:val="18"/>
                <w:szCs w:val="18"/>
              </w:rPr>
              <w:t>93</w:t>
            </w:r>
            <w:r>
              <w:rPr>
                <w:rFonts w:ascii="Arial" w:eastAsia="Arial" w:hAnsi="Arial" w:cs="Arial"/>
                <w:sz w:val="18"/>
                <w:szCs w:val="18"/>
              </w:rPr>
              <w:t>9</w:t>
            </w:r>
          </w:p>
        </w:tc>
        <w:tc>
          <w:tcPr>
            <w:tcW w:w="931" w:type="dxa"/>
            <w:gridSpan w:val="2"/>
            <w:tcBorders>
              <w:top w:val="single" w:sz="4" w:space="0" w:color="797979"/>
              <w:left w:val="nil"/>
              <w:bottom w:val="single" w:sz="4" w:space="0" w:color="797979"/>
              <w:right w:val="single" w:sz="4" w:space="0" w:color="797979"/>
            </w:tcBorders>
          </w:tcPr>
          <w:p w:rsidR="003C17D6" w:rsidRDefault="003C17D6" w:rsidP="002B383B">
            <w:pPr>
              <w:pStyle w:val="TableParagraph"/>
              <w:keepNext/>
              <w:spacing w:before="61"/>
              <w:ind w:left="198"/>
              <w:rPr>
                <w:rFonts w:ascii="Arial" w:eastAsia="Arial" w:hAnsi="Arial" w:cs="Arial"/>
                <w:sz w:val="18"/>
                <w:szCs w:val="18"/>
              </w:rPr>
            </w:pPr>
            <w:r>
              <w:rPr>
                <w:rFonts w:ascii="Arial" w:eastAsia="Arial" w:hAnsi="Arial" w:cs="Arial"/>
                <w:spacing w:val="2"/>
                <w:w w:val="105"/>
                <w:sz w:val="18"/>
                <w:szCs w:val="18"/>
              </w:rPr>
              <w:t>9</w:t>
            </w:r>
            <w:r>
              <w:rPr>
                <w:rFonts w:ascii="Arial" w:eastAsia="Arial" w:hAnsi="Arial" w:cs="Arial"/>
                <w:w w:val="105"/>
                <w:sz w:val="18"/>
                <w:szCs w:val="18"/>
              </w:rPr>
              <w:t>3.</w:t>
            </w:r>
            <w:r>
              <w:rPr>
                <w:rFonts w:ascii="Arial" w:eastAsia="Arial" w:hAnsi="Arial" w:cs="Arial"/>
                <w:spacing w:val="3"/>
                <w:w w:val="105"/>
                <w:sz w:val="18"/>
                <w:szCs w:val="18"/>
              </w:rPr>
              <w:t>9</w:t>
            </w:r>
            <w:r>
              <w:rPr>
                <w:rFonts w:ascii="Arial" w:eastAsia="Arial" w:hAnsi="Arial" w:cs="Arial"/>
                <w:w w:val="105"/>
                <w:sz w:val="18"/>
                <w:szCs w:val="18"/>
              </w:rPr>
              <w:t>%</w:t>
            </w:r>
          </w:p>
        </w:tc>
        <w:tc>
          <w:tcPr>
            <w:tcW w:w="945" w:type="dxa"/>
            <w:gridSpan w:val="2"/>
            <w:tcBorders>
              <w:top w:val="single" w:sz="4" w:space="0" w:color="797979"/>
              <w:left w:val="single" w:sz="4" w:space="0" w:color="797979"/>
              <w:bottom w:val="single" w:sz="4" w:space="0" w:color="797979"/>
              <w:right w:val="single" w:sz="4" w:space="0" w:color="797979"/>
            </w:tcBorders>
          </w:tcPr>
          <w:p w:rsidR="003C17D6" w:rsidRDefault="003C17D6" w:rsidP="002B383B">
            <w:pPr>
              <w:pStyle w:val="TableParagraph"/>
              <w:keepNext/>
              <w:spacing w:before="61"/>
              <w:ind w:right="15"/>
              <w:jc w:val="center"/>
              <w:rPr>
                <w:rFonts w:ascii="Arial" w:eastAsia="Arial" w:hAnsi="Arial" w:cs="Arial"/>
                <w:sz w:val="18"/>
                <w:szCs w:val="18"/>
              </w:rPr>
            </w:pPr>
            <w:r>
              <w:rPr>
                <w:rFonts w:ascii="Arial" w:eastAsia="Arial" w:hAnsi="Arial" w:cs="Arial"/>
                <w:sz w:val="18"/>
                <w:szCs w:val="18"/>
              </w:rPr>
              <w:t>3</w:t>
            </w:r>
            <w:r>
              <w:rPr>
                <w:rFonts w:ascii="Arial" w:eastAsia="Arial" w:hAnsi="Arial" w:cs="Arial"/>
                <w:spacing w:val="-16"/>
                <w:sz w:val="18"/>
                <w:szCs w:val="18"/>
              </w:rPr>
              <w:t>.1</w:t>
            </w:r>
          </w:p>
        </w:tc>
        <w:tc>
          <w:tcPr>
            <w:tcW w:w="659" w:type="dxa"/>
            <w:tcBorders>
              <w:top w:val="single" w:sz="4" w:space="0" w:color="797979"/>
              <w:left w:val="single" w:sz="4" w:space="0" w:color="797979"/>
              <w:bottom w:val="single" w:sz="4" w:space="0" w:color="797979"/>
              <w:right w:val="nil"/>
            </w:tcBorders>
          </w:tcPr>
          <w:p w:rsidR="003C17D6" w:rsidRDefault="003C17D6" w:rsidP="002B383B">
            <w:pPr>
              <w:pStyle w:val="TableParagraph"/>
              <w:keepNext/>
              <w:spacing w:before="61"/>
              <w:ind w:left="232"/>
              <w:rPr>
                <w:rFonts w:ascii="Arial" w:eastAsia="Arial" w:hAnsi="Arial" w:cs="Arial"/>
                <w:sz w:val="18"/>
                <w:szCs w:val="18"/>
              </w:rPr>
            </w:pPr>
            <w:r>
              <w:rPr>
                <w:rFonts w:ascii="Arial" w:eastAsia="Arial" w:hAnsi="Arial" w:cs="Arial"/>
                <w:sz w:val="18"/>
                <w:szCs w:val="18"/>
              </w:rPr>
              <w:t>3</w:t>
            </w:r>
            <w:r>
              <w:rPr>
                <w:rFonts w:ascii="Arial" w:eastAsia="Arial" w:hAnsi="Arial" w:cs="Arial"/>
                <w:spacing w:val="-1"/>
                <w:sz w:val="18"/>
                <w:szCs w:val="18"/>
              </w:rPr>
              <w:t>20</w:t>
            </w:r>
          </w:p>
        </w:tc>
        <w:tc>
          <w:tcPr>
            <w:tcW w:w="948" w:type="dxa"/>
            <w:gridSpan w:val="2"/>
            <w:tcBorders>
              <w:top w:val="single" w:sz="4" w:space="0" w:color="797979"/>
              <w:left w:val="nil"/>
              <w:bottom w:val="single" w:sz="4" w:space="0" w:color="797979"/>
              <w:right w:val="single" w:sz="4" w:space="0" w:color="797979"/>
            </w:tcBorders>
          </w:tcPr>
          <w:p w:rsidR="003C17D6" w:rsidRDefault="003C17D6" w:rsidP="002B383B">
            <w:pPr>
              <w:pStyle w:val="TableParagraph"/>
              <w:keepNext/>
              <w:spacing w:before="61"/>
              <w:ind w:left="327"/>
              <w:rPr>
                <w:rFonts w:ascii="Arial" w:eastAsia="Arial" w:hAnsi="Arial" w:cs="Arial"/>
                <w:sz w:val="18"/>
                <w:szCs w:val="18"/>
              </w:rPr>
            </w:pPr>
            <w:r>
              <w:rPr>
                <w:rFonts w:ascii="Arial" w:eastAsia="Arial" w:hAnsi="Arial" w:cs="Arial"/>
                <w:spacing w:val="1"/>
                <w:w w:val="105"/>
                <w:sz w:val="18"/>
                <w:szCs w:val="18"/>
              </w:rPr>
              <w:t>6</w:t>
            </w:r>
            <w:r>
              <w:rPr>
                <w:rFonts w:ascii="Arial" w:eastAsia="Arial" w:hAnsi="Arial" w:cs="Arial"/>
                <w:spacing w:val="-17"/>
                <w:w w:val="105"/>
                <w:sz w:val="18"/>
                <w:szCs w:val="18"/>
              </w:rPr>
              <w:t>.</w:t>
            </w:r>
            <w:r>
              <w:rPr>
                <w:rFonts w:ascii="Arial" w:eastAsia="Arial" w:hAnsi="Arial" w:cs="Arial"/>
                <w:spacing w:val="-8"/>
                <w:w w:val="105"/>
                <w:sz w:val="18"/>
                <w:szCs w:val="18"/>
              </w:rPr>
              <w:t>1</w:t>
            </w:r>
            <w:r>
              <w:rPr>
                <w:rFonts w:ascii="Arial" w:eastAsia="Arial" w:hAnsi="Arial" w:cs="Arial"/>
                <w:w w:val="105"/>
                <w:sz w:val="18"/>
                <w:szCs w:val="18"/>
              </w:rPr>
              <w:t>%</w:t>
            </w:r>
          </w:p>
        </w:tc>
        <w:tc>
          <w:tcPr>
            <w:tcW w:w="869" w:type="dxa"/>
            <w:tcBorders>
              <w:top w:val="single" w:sz="4" w:space="0" w:color="797979"/>
              <w:left w:val="single" w:sz="4" w:space="0" w:color="797979"/>
              <w:bottom w:val="single" w:sz="4" w:space="0" w:color="797979"/>
              <w:right w:val="single" w:sz="4" w:space="0" w:color="797979"/>
            </w:tcBorders>
          </w:tcPr>
          <w:p w:rsidR="003C17D6" w:rsidRDefault="003C17D6" w:rsidP="002B383B">
            <w:pPr>
              <w:pStyle w:val="TableParagraph"/>
              <w:keepNext/>
              <w:spacing w:before="61"/>
              <w:jc w:val="center"/>
              <w:rPr>
                <w:rFonts w:ascii="Arial" w:eastAsia="Arial" w:hAnsi="Arial" w:cs="Arial"/>
                <w:sz w:val="18"/>
                <w:szCs w:val="18"/>
              </w:rPr>
            </w:pPr>
            <w:r>
              <w:rPr>
                <w:rFonts w:ascii="Arial" w:eastAsia="Arial" w:hAnsi="Arial" w:cs="Arial"/>
                <w:sz w:val="18"/>
                <w:szCs w:val="18"/>
              </w:rPr>
              <w:t>3</w:t>
            </w:r>
            <w:r>
              <w:rPr>
                <w:rFonts w:ascii="Arial" w:eastAsia="Arial" w:hAnsi="Arial" w:cs="Arial"/>
                <w:spacing w:val="4"/>
                <w:sz w:val="18"/>
                <w:szCs w:val="18"/>
              </w:rPr>
              <w:t>.</w:t>
            </w:r>
            <w:r>
              <w:rPr>
                <w:rFonts w:ascii="Arial" w:eastAsia="Arial" w:hAnsi="Arial" w:cs="Arial"/>
                <w:sz w:val="18"/>
                <w:szCs w:val="18"/>
              </w:rPr>
              <w:t>2</w:t>
            </w:r>
          </w:p>
        </w:tc>
        <w:tc>
          <w:tcPr>
            <w:tcW w:w="940" w:type="dxa"/>
            <w:tcBorders>
              <w:top w:val="single" w:sz="4" w:space="0" w:color="797979"/>
              <w:left w:val="single" w:sz="4" w:space="0" w:color="797979"/>
              <w:bottom w:val="single" w:sz="4" w:space="0" w:color="797979"/>
              <w:right w:val="nil"/>
            </w:tcBorders>
          </w:tcPr>
          <w:p w:rsidR="003C17D6" w:rsidRDefault="003C17D6" w:rsidP="002B383B">
            <w:pPr>
              <w:pStyle w:val="TableParagraph"/>
              <w:keepNext/>
              <w:spacing w:before="61"/>
              <w:ind w:left="266"/>
              <w:rPr>
                <w:rFonts w:ascii="Arial" w:eastAsia="Arial" w:hAnsi="Arial" w:cs="Arial"/>
                <w:sz w:val="18"/>
                <w:szCs w:val="18"/>
              </w:rPr>
            </w:pPr>
            <w:r>
              <w:rPr>
                <w:rFonts w:ascii="Arial" w:eastAsia="Arial" w:hAnsi="Arial" w:cs="Arial"/>
                <w:spacing w:val="-2"/>
                <w:sz w:val="18"/>
                <w:szCs w:val="18"/>
              </w:rPr>
              <w:t>5</w:t>
            </w:r>
            <w:r>
              <w:rPr>
                <w:rFonts w:ascii="Arial" w:eastAsia="Arial" w:hAnsi="Arial" w:cs="Arial"/>
                <w:spacing w:val="-3"/>
                <w:sz w:val="18"/>
                <w:szCs w:val="18"/>
              </w:rPr>
              <w:t>2</w:t>
            </w:r>
            <w:r>
              <w:rPr>
                <w:rFonts w:ascii="Arial" w:eastAsia="Arial" w:hAnsi="Arial" w:cs="Arial"/>
                <w:sz w:val="18"/>
                <w:szCs w:val="18"/>
              </w:rPr>
              <w:t>59</w:t>
            </w:r>
          </w:p>
        </w:tc>
      </w:tr>
      <w:tr w:rsidR="003C17D6" w:rsidTr="002B383B">
        <w:trPr>
          <w:trHeight w:hRule="exact" w:val="315"/>
        </w:trPr>
        <w:tc>
          <w:tcPr>
            <w:tcW w:w="1946" w:type="dxa"/>
            <w:tcBorders>
              <w:top w:val="single" w:sz="4" w:space="0" w:color="797979"/>
              <w:left w:val="nil"/>
              <w:bottom w:val="single" w:sz="4" w:space="0" w:color="797979"/>
              <w:right w:val="single" w:sz="4" w:space="0" w:color="797979"/>
            </w:tcBorders>
          </w:tcPr>
          <w:p w:rsidR="003C17D6" w:rsidRDefault="003C17D6" w:rsidP="002B383B">
            <w:pPr>
              <w:pStyle w:val="TableParagraph"/>
              <w:keepNext/>
              <w:spacing w:before="61"/>
              <w:ind w:left="80"/>
              <w:rPr>
                <w:rFonts w:ascii="Arial" w:eastAsia="Arial" w:hAnsi="Arial" w:cs="Arial"/>
                <w:sz w:val="18"/>
                <w:szCs w:val="18"/>
              </w:rPr>
            </w:pPr>
            <w:r>
              <w:rPr>
                <w:rFonts w:ascii="Arial" w:eastAsia="Arial" w:hAnsi="Arial" w:cs="Arial"/>
                <w:color w:val="99150E"/>
                <w:spacing w:val="-14"/>
                <w:sz w:val="18"/>
                <w:szCs w:val="18"/>
              </w:rPr>
              <w:t>T</w:t>
            </w:r>
            <w:r>
              <w:rPr>
                <w:rFonts w:ascii="Arial" w:eastAsia="Arial" w:hAnsi="Arial" w:cs="Arial"/>
                <w:color w:val="99150E"/>
                <w:sz w:val="18"/>
                <w:szCs w:val="18"/>
              </w:rPr>
              <w:t>o</w:t>
            </w:r>
            <w:r>
              <w:rPr>
                <w:rFonts w:ascii="Arial" w:eastAsia="Arial" w:hAnsi="Arial" w:cs="Arial"/>
                <w:color w:val="99150E"/>
                <w:spacing w:val="1"/>
                <w:sz w:val="18"/>
                <w:szCs w:val="18"/>
              </w:rPr>
              <w:t>t</w:t>
            </w:r>
            <w:r>
              <w:rPr>
                <w:rFonts w:ascii="Arial" w:eastAsia="Arial" w:hAnsi="Arial" w:cs="Arial"/>
                <w:color w:val="99150E"/>
                <w:spacing w:val="2"/>
                <w:sz w:val="18"/>
                <w:szCs w:val="18"/>
              </w:rPr>
              <w:t>a</w:t>
            </w:r>
            <w:r>
              <w:rPr>
                <w:rFonts w:ascii="Arial" w:eastAsia="Arial" w:hAnsi="Arial" w:cs="Arial"/>
                <w:color w:val="99150E"/>
                <w:sz w:val="18"/>
                <w:szCs w:val="18"/>
              </w:rPr>
              <w:t>l</w:t>
            </w:r>
            <w:r>
              <w:rPr>
                <w:rFonts w:ascii="Arial" w:eastAsia="Arial" w:hAnsi="Arial" w:cs="Arial"/>
                <w:color w:val="99150E"/>
                <w:spacing w:val="-2"/>
                <w:sz w:val="18"/>
                <w:szCs w:val="18"/>
              </w:rPr>
              <w:t xml:space="preserve"> </w:t>
            </w:r>
            <w:r>
              <w:rPr>
                <w:rFonts w:ascii="Arial" w:eastAsia="Arial" w:hAnsi="Arial" w:cs="Arial"/>
                <w:color w:val="99150E"/>
                <w:sz w:val="18"/>
                <w:szCs w:val="18"/>
              </w:rPr>
              <w:t>Pre</w:t>
            </w:r>
            <w:r>
              <w:rPr>
                <w:rFonts w:ascii="Arial" w:eastAsia="Arial" w:hAnsi="Arial" w:cs="Arial"/>
                <w:color w:val="99150E"/>
                <w:spacing w:val="-2"/>
                <w:sz w:val="18"/>
                <w:szCs w:val="18"/>
              </w:rPr>
              <w:t xml:space="preserve"> </w:t>
            </w:r>
            <w:r>
              <w:rPr>
                <w:rFonts w:ascii="Arial" w:eastAsia="Arial" w:hAnsi="Arial" w:cs="Arial"/>
                <w:color w:val="99150E"/>
                <w:spacing w:val="1"/>
                <w:sz w:val="18"/>
                <w:szCs w:val="18"/>
              </w:rPr>
              <w:t>N</w:t>
            </w:r>
            <w:r>
              <w:rPr>
                <w:rFonts w:ascii="Arial" w:eastAsia="Arial" w:hAnsi="Arial" w:cs="Arial"/>
                <w:color w:val="99150E"/>
                <w:spacing w:val="-2"/>
                <w:sz w:val="18"/>
                <w:szCs w:val="18"/>
              </w:rPr>
              <w:t>o</w:t>
            </w:r>
            <w:r>
              <w:rPr>
                <w:rFonts w:ascii="Arial" w:eastAsia="Arial" w:hAnsi="Arial" w:cs="Arial"/>
                <w:color w:val="99150E"/>
                <w:sz w:val="18"/>
                <w:szCs w:val="18"/>
              </w:rPr>
              <w:t>v</w:t>
            </w:r>
            <w:r>
              <w:rPr>
                <w:rFonts w:ascii="Arial" w:eastAsia="Arial" w:hAnsi="Arial" w:cs="Arial"/>
                <w:color w:val="99150E"/>
                <w:spacing w:val="-1"/>
                <w:sz w:val="18"/>
                <w:szCs w:val="18"/>
              </w:rPr>
              <w:t xml:space="preserve"> 2</w:t>
            </w:r>
            <w:r>
              <w:rPr>
                <w:rFonts w:ascii="Arial" w:eastAsia="Arial" w:hAnsi="Arial" w:cs="Arial"/>
                <w:color w:val="99150E"/>
                <w:spacing w:val="-4"/>
                <w:sz w:val="18"/>
                <w:szCs w:val="18"/>
              </w:rPr>
              <w:t>0</w:t>
            </w:r>
            <w:r>
              <w:rPr>
                <w:rFonts w:ascii="Arial" w:eastAsia="Arial" w:hAnsi="Arial" w:cs="Arial"/>
                <w:color w:val="99150E"/>
                <w:spacing w:val="-9"/>
                <w:sz w:val="18"/>
                <w:szCs w:val="18"/>
              </w:rPr>
              <w:t>1</w:t>
            </w:r>
            <w:r>
              <w:rPr>
                <w:rFonts w:ascii="Arial" w:eastAsia="Arial" w:hAnsi="Arial" w:cs="Arial"/>
                <w:color w:val="99150E"/>
                <w:sz w:val="18"/>
                <w:szCs w:val="18"/>
              </w:rPr>
              <w:t>5</w:t>
            </w:r>
          </w:p>
        </w:tc>
        <w:tc>
          <w:tcPr>
            <w:tcW w:w="921" w:type="dxa"/>
            <w:tcBorders>
              <w:top w:val="single" w:sz="4" w:space="0" w:color="797979"/>
              <w:left w:val="single" w:sz="4" w:space="0" w:color="797979"/>
              <w:bottom w:val="single" w:sz="4" w:space="0" w:color="797979"/>
              <w:right w:val="nil"/>
            </w:tcBorders>
          </w:tcPr>
          <w:p w:rsidR="003C17D6" w:rsidRDefault="003C17D6" w:rsidP="002B383B">
            <w:pPr>
              <w:pStyle w:val="TableParagraph"/>
              <w:keepNext/>
              <w:spacing w:before="61"/>
              <w:ind w:left="206"/>
              <w:rPr>
                <w:rFonts w:ascii="Arial" w:eastAsia="Arial" w:hAnsi="Arial" w:cs="Arial"/>
                <w:sz w:val="18"/>
                <w:szCs w:val="18"/>
              </w:rPr>
            </w:pPr>
            <w:r>
              <w:rPr>
                <w:rFonts w:ascii="Arial" w:eastAsia="Arial" w:hAnsi="Arial" w:cs="Arial"/>
                <w:color w:val="99150E"/>
                <w:spacing w:val="2"/>
                <w:sz w:val="18"/>
                <w:szCs w:val="18"/>
              </w:rPr>
              <w:t>3</w:t>
            </w:r>
            <w:r>
              <w:rPr>
                <w:rFonts w:ascii="Arial" w:eastAsia="Arial" w:hAnsi="Arial" w:cs="Arial"/>
                <w:color w:val="99150E"/>
                <w:spacing w:val="4"/>
                <w:sz w:val="18"/>
                <w:szCs w:val="18"/>
              </w:rPr>
              <w:t>9</w:t>
            </w:r>
            <w:r>
              <w:rPr>
                <w:rFonts w:ascii="Arial" w:eastAsia="Arial" w:hAnsi="Arial" w:cs="Arial"/>
                <w:color w:val="99150E"/>
                <w:spacing w:val="-4"/>
                <w:sz w:val="18"/>
                <w:szCs w:val="18"/>
              </w:rPr>
              <w:t>0</w:t>
            </w:r>
            <w:r>
              <w:rPr>
                <w:rFonts w:ascii="Arial" w:eastAsia="Arial" w:hAnsi="Arial" w:cs="Arial"/>
                <w:color w:val="99150E"/>
                <w:spacing w:val="-2"/>
                <w:sz w:val="18"/>
                <w:szCs w:val="18"/>
              </w:rPr>
              <w:t>7</w:t>
            </w:r>
            <w:r>
              <w:rPr>
                <w:rFonts w:ascii="Arial" w:eastAsia="Arial" w:hAnsi="Arial" w:cs="Arial"/>
                <w:color w:val="99150E"/>
                <w:sz w:val="18"/>
                <w:szCs w:val="18"/>
              </w:rPr>
              <w:t>9</w:t>
            </w:r>
          </w:p>
        </w:tc>
        <w:tc>
          <w:tcPr>
            <w:tcW w:w="931" w:type="dxa"/>
            <w:gridSpan w:val="2"/>
            <w:tcBorders>
              <w:top w:val="single" w:sz="4" w:space="0" w:color="797979"/>
              <w:left w:val="nil"/>
              <w:bottom w:val="single" w:sz="4" w:space="0" w:color="797979"/>
              <w:right w:val="single" w:sz="4" w:space="0" w:color="797979"/>
            </w:tcBorders>
          </w:tcPr>
          <w:p w:rsidR="003C17D6" w:rsidRDefault="003C17D6" w:rsidP="002B383B">
            <w:pPr>
              <w:pStyle w:val="TableParagraph"/>
              <w:keepNext/>
              <w:spacing w:before="61"/>
              <w:ind w:left="201"/>
              <w:rPr>
                <w:rFonts w:ascii="Arial" w:eastAsia="Arial" w:hAnsi="Arial" w:cs="Arial"/>
                <w:sz w:val="18"/>
                <w:szCs w:val="18"/>
              </w:rPr>
            </w:pPr>
            <w:r>
              <w:rPr>
                <w:rFonts w:ascii="Arial" w:eastAsia="Arial" w:hAnsi="Arial" w:cs="Arial"/>
                <w:color w:val="99150E"/>
                <w:spacing w:val="1"/>
                <w:w w:val="105"/>
                <w:sz w:val="18"/>
                <w:szCs w:val="18"/>
              </w:rPr>
              <w:t>9</w:t>
            </w:r>
            <w:r>
              <w:rPr>
                <w:rFonts w:ascii="Arial" w:eastAsia="Arial" w:hAnsi="Arial" w:cs="Arial"/>
                <w:color w:val="99150E"/>
                <w:spacing w:val="-5"/>
                <w:w w:val="105"/>
                <w:sz w:val="18"/>
                <w:szCs w:val="18"/>
              </w:rPr>
              <w:t>2</w:t>
            </w:r>
            <w:r>
              <w:rPr>
                <w:rFonts w:ascii="Arial" w:eastAsia="Arial" w:hAnsi="Arial" w:cs="Arial"/>
                <w:color w:val="99150E"/>
                <w:spacing w:val="-2"/>
                <w:w w:val="105"/>
                <w:sz w:val="18"/>
                <w:szCs w:val="18"/>
              </w:rPr>
              <w:t>.</w:t>
            </w:r>
            <w:r>
              <w:rPr>
                <w:rFonts w:ascii="Arial" w:eastAsia="Arial" w:hAnsi="Arial" w:cs="Arial"/>
                <w:color w:val="99150E"/>
                <w:spacing w:val="4"/>
                <w:w w:val="105"/>
                <w:sz w:val="18"/>
                <w:szCs w:val="18"/>
              </w:rPr>
              <w:t>0</w:t>
            </w:r>
            <w:r>
              <w:rPr>
                <w:rFonts w:ascii="Arial" w:eastAsia="Arial" w:hAnsi="Arial" w:cs="Arial"/>
                <w:color w:val="99150E"/>
                <w:w w:val="105"/>
                <w:sz w:val="18"/>
                <w:szCs w:val="18"/>
              </w:rPr>
              <w:t>%</w:t>
            </w:r>
          </w:p>
        </w:tc>
        <w:tc>
          <w:tcPr>
            <w:tcW w:w="945" w:type="dxa"/>
            <w:gridSpan w:val="2"/>
            <w:tcBorders>
              <w:top w:val="single" w:sz="4" w:space="0" w:color="797979"/>
              <w:left w:val="single" w:sz="4" w:space="0" w:color="797979"/>
              <w:bottom w:val="single" w:sz="4" w:space="0" w:color="797979"/>
              <w:right w:val="single" w:sz="4" w:space="0" w:color="797979"/>
            </w:tcBorders>
          </w:tcPr>
          <w:p w:rsidR="003C17D6" w:rsidRDefault="003C17D6" w:rsidP="002B383B">
            <w:pPr>
              <w:pStyle w:val="TableParagraph"/>
              <w:keepNext/>
              <w:spacing w:before="61"/>
              <w:jc w:val="center"/>
              <w:rPr>
                <w:rFonts w:ascii="Arial" w:eastAsia="Arial" w:hAnsi="Arial" w:cs="Arial"/>
                <w:sz w:val="18"/>
                <w:szCs w:val="18"/>
              </w:rPr>
            </w:pPr>
            <w:r>
              <w:rPr>
                <w:rFonts w:ascii="Arial" w:eastAsia="Arial" w:hAnsi="Arial" w:cs="Arial"/>
                <w:color w:val="99150E"/>
                <w:sz w:val="18"/>
                <w:szCs w:val="18"/>
              </w:rPr>
              <w:t>3</w:t>
            </w:r>
            <w:r>
              <w:rPr>
                <w:rFonts w:ascii="Arial" w:eastAsia="Arial" w:hAnsi="Arial" w:cs="Arial"/>
                <w:color w:val="99150E"/>
                <w:spacing w:val="1"/>
                <w:sz w:val="18"/>
                <w:szCs w:val="18"/>
              </w:rPr>
              <w:t>.</w:t>
            </w:r>
            <w:r>
              <w:rPr>
                <w:rFonts w:ascii="Arial" w:eastAsia="Arial" w:hAnsi="Arial" w:cs="Arial"/>
                <w:color w:val="99150E"/>
                <w:sz w:val="18"/>
                <w:szCs w:val="18"/>
              </w:rPr>
              <w:t>5</w:t>
            </w:r>
          </w:p>
        </w:tc>
        <w:tc>
          <w:tcPr>
            <w:tcW w:w="659" w:type="dxa"/>
            <w:tcBorders>
              <w:top w:val="single" w:sz="4" w:space="0" w:color="797979"/>
              <w:left w:val="single" w:sz="4" w:space="0" w:color="797979"/>
              <w:bottom w:val="single" w:sz="4" w:space="0" w:color="797979"/>
              <w:right w:val="nil"/>
            </w:tcBorders>
          </w:tcPr>
          <w:p w:rsidR="003C17D6" w:rsidRDefault="003C17D6" w:rsidP="002B383B">
            <w:pPr>
              <w:pStyle w:val="TableParagraph"/>
              <w:keepNext/>
              <w:spacing w:before="61"/>
              <w:ind w:left="178"/>
              <w:rPr>
                <w:rFonts w:ascii="Arial" w:eastAsia="Arial" w:hAnsi="Arial" w:cs="Arial"/>
                <w:sz w:val="18"/>
                <w:szCs w:val="18"/>
              </w:rPr>
            </w:pPr>
            <w:r>
              <w:rPr>
                <w:rFonts w:ascii="Arial" w:eastAsia="Arial" w:hAnsi="Arial" w:cs="Arial"/>
                <w:color w:val="99150E"/>
                <w:spacing w:val="1"/>
                <w:sz w:val="18"/>
                <w:szCs w:val="18"/>
              </w:rPr>
              <w:t>3</w:t>
            </w:r>
            <w:r>
              <w:rPr>
                <w:rFonts w:ascii="Arial" w:eastAsia="Arial" w:hAnsi="Arial" w:cs="Arial"/>
                <w:color w:val="99150E"/>
                <w:spacing w:val="2"/>
                <w:sz w:val="18"/>
                <w:szCs w:val="18"/>
              </w:rPr>
              <w:t>39</w:t>
            </w:r>
            <w:r>
              <w:rPr>
                <w:rFonts w:ascii="Arial" w:eastAsia="Arial" w:hAnsi="Arial" w:cs="Arial"/>
                <w:color w:val="99150E"/>
                <w:sz w:val="18"/>
                <w:szCs w:val="18"/>
              </w:rPr>
              <w:t>8</w:t>
            </w:r>
          </w:p>
        </w:tc>
        <w:tc>
          <w:tcPr>
            <w:tcW w:w="948" w:type="dxa"/>
            <w:gridSpan w:val="2"/>
            <w:tcBorders>
              <w:top w:val="single" w:sz="4" w:space="0" w:color="797979"/>
              <w:left w:val="nil"/>
              <w:bottom w:val="single" w:sz="4" w:space="0" w:color="797979"/>
              <w:right w:val="single" w:sz="4" w:space="0" w:color="797979"/>
            </w:tcBorders>
          </w:tcPr>
          <w:p w:rsidR="003C17D6" w:rsidRDefault="003C17D6" w:rsidP="002B383B">
            <w:pPr>
              <w:pStyle w:val="TableParagraph"/>
              <w:keepNext/>
              <w:spacing w:before="61"/>
              <w:ind w:left="314"/>
              <w:rPr>
                <w:rFonts w:ascii="Arial" w:eastAsia="Arial" w:hAnsi="Arial" w:cs="Arial"/>
                <w:sz w:val="18"/>
                <w:szCs w:val="18"/>
              </w:rPr>
            </w:pPr>
            <w:r>
              <w:rPr>
                <w:rFonts w:ascii="Arial" w:eastAsia="Arial" w:hAnsi="Arial" w:cs="Arial"/>
                <w:color w:val="99150E"/>
                <w:spacing w:val="1"/>
                <w:w w:val="105"/>
                <w:sz w:val="18"/>
                <w:szCs w:val="18"/>
              </w:rPr>
              <w:t>8</w:t>
            </w:r>
            <w:r>
              <w:rPr>
                <w:rFonts w:ascii="Arial" w:eastAsia="Arial" w:hAnsi="Arial" w:cs="Arial"/>
                <w:color w:val="99150E"/>
                <w:spacing w:val="-2"/>
                <w:w w:val="105"/>
                <w:sz w:val="18"/>
                <w:szCs w:val="18"/>
              </w:rPr>
              <w:t>.</w:t>
            </w:r>
            <w:r>
              <w:rPr>
                <w:rFonts w:ascii="Arial" w:eastAsia="Arial" w:hAnsi="Arial" w:cs="Arial"/>
                <w:color w:val="99150E"/>
                <w:spacing w:val="4"/>
                <w:w w:val="105"/>
                <w:sz w:val="18"/>
                <w:szCs w:val="18"/>
              </w:rPr>
              <w:t>0</w:t>
            </w:r>
            <w:r>
              <w:rPr>
                <w:rFonts w:ascii="Arial" w:eastAsia="Arial" w:hAnsi="Arial" w:cs="Arial"/>
                <w:color w:val="99150E"/>
                <w:w w:val="105"/>
                <w:sz w:val="18"/>
                <w:szCs w:val="18"/>
              </w:rPr>
              <w:t>%</w:t>
            </w:r>
          </w:p>
        </w:tc>
        <w:tc>
          <w:tcPr>
            <w:tcW w:w="869" w:type="dxa"/>
            <w:tcBorders>
              <w:top w:val="single" w:sz="4" w:space="0" w:color="797979"/>
              <w:left w:val="single" w:sz="4" w:space="0" w:color="797979"/>
              <w:bottom w:val="single" w:sz="4" w:space="0" w:color="797979"/>
              <w:right w:val="single" w:sz="4" w:space="0" w:color="797979"/>
            </w:tcBorders>
          </w:tcPr>
          <w:p w:rsidR="003C17D6" w:rsidRDefault="003C17D6" w:rsidP="002B383B">
            <w:pPr>
              <w:pStyle w:val="TableParagraph"/>
              <w:keepNext/>
              <w:spacing w:before="61"/>
              <w:jc w:val="center"/>
              <w:rPr>
                <w:rFonts w:ascii="Arial" w:eastAsia="Arial" w:hAnsi="Arial" w:cs="Arial"/>
                <w:sz w:val="18"/>
                <w:szCs w:val="18"/>
              </w:rPr>
            </w:pPr>
            <w:r>
              <w:rPr>
                <w:rFonts w:ascii="Arial" w:eastAsia="Arial" w:hAnsi="Arial" w:cs="Arial"/>
                <w:color w:val="99150E"/>
                <w:spacing w:val="-1"/>
                <w:sz w:val="18"/>
                <w:szCs w:val="18"/>
              </w:rPr>
              <w:t>4</w:t>
            </w:r>
            <w:r>
              <w:rPr>
                <w:rFonts w:ascii="Arial" w:eastAsia="Arial" w:hAnsi="Arial" w:cs="Arial"/>
                <w:color w:val="99150E"/>
                <w:spacing w:val="1"/>
                <w:sz w:val="18"/>
                <w:szCs w:val="18"/>
              </w:rPr>
              <w:t>.</w:t>
            </w:r>
            <w:r>
              <w:rPr>
                <w:rFonts w:ascii="Arial" w:eastAsia="Arial" w:hAnsi="Arial" w:cs="Arial"/>
                <w:color w:val="99150E"/>
                <w:sz w:val="18"/>
                <w:szCs w:val="18"/>
              </w:rPr>
              <w:t>3</w:t>
            </w:r>
          </w:p>
        </w:tc>
        <w:tc>
          <w:tcPr>
            <w:tcW w:w="940" w:type="dxa"/>
            <w:tcBorders>
              <w:top w:val="single" w:sz="4" w:space="0" w:color="797979"/>
              <w:left w:val="single" w:sz="4" w:space="0" w:color="797979"/>
              <w:bottom w:val="single" w:sz="4" w:space="0" w:color="797979"/>
              <w:right w:val="nil"/>
            </w:tcBorders>
          </w:tcPr>
          <w:p w:rsidR="003C17D6" w:rsidRDefault="003C17D6" w:rsidP="002B383B">
            <w:pPr>
              <w:pStyle w:val="TableParagraph"/>
              <w:keepNext/>
              <w:spacing w:before="61"/>
              <w:ind w:left="221"/>
              <w:rPr>
                <w:rFonts w:ascii="Arial" w:eastAsia="Arial" w:hAnsi="Arial" w:cs="Arial"/>
                <w:sz w:val="18"/>
                <w:szCs w:val="18"/>
              </w:rPr>
            </w:pPr>
            <w:r>
              <w:rPr>
                <w:rFonts w:ascii="Arial" w:eastAsia="Arial" w:hAnsi="Arial" w:cs="Arial"/>
                <w:color w:val="99150E"/>
                <w:spacing w:val="-1"/>
                <w:sz w:val="18"/>
                <w:szCs w:val="18"/>
              </w:rPr>
              <w:t>4</w:t>
            </w:r>
            <w:r>
              <w:rPr>
                <w:rFonts w:ascii="Arial" w:eastAsia="Arial" w:hAnsi="Arial" w:cs="Arial"/>
                <w:color w:val="99150E"/>
                <w:spacing w:val="-6"/>
                <w:sz w:val="18"/>
                <w:szCs w:val="18"/>
              </w:rPr>
              <w:t>2</w:t>
            </w:r>
            <w:r>
              <w:rPr>
                <w:rFonts w:ascii="Arial" w:eastAsia="Arial" w:hAnsi="Arial" w:cs="Arial"/>
                <w:color w:val="99150E"/>
                <w:spacing w:val="-8"/>
                <w:sz w:val="18"/>
                <w:szCs w:val="18"/>
              </w:rPr>
              <w:t>4</w:t>
            </w:r>
            <w:r>
              <w:rPr>
                <w:rFonts w:ascii="Arial" w:eastAsia="Arial" w:hAnsi="Arial" w:cs="Arial"/>
                <w:color w:val="99150E"/>
                <w:sz w:val="18"/>
                <w:szCs w:val="18"/>
              </w:rPr>
              <w:t>77</w:t>
            </w:r>
          </w:p>
        </w:tc>
      </w:tr>
      <w:tr w:rsidR="003C17D6" w:rsidTr="002B383B">
        <w:trPr>
          <w:trHeight w:hRule="exact" w:val="301"/>
        </w:trPr>
        <w:tc>
          <w:tcPr>
            <w:tcW w:w="1946" w:type="dxa"/>
            <w:tcBorders>
              <w:top w:val="single" w:sz="4" w:space="0" w:color="797979"/>
              <w:left w:val="nil"/>
              <w:bottom w:val="single" w:sz="4" w:space="0" w:color="797979"/>
              <w:right w:val="single" w:sz="4" w:space="0" w:color="797979"/>
            </w:tcBorders>
          </w:tcPr>
          <w:p w:rsidR="003C17D6" w:rsidRDefault="003C17D6" w:rsidP="002B383B">
            <w:pPr>
              <w:pStyle w:val="TableParagraph"/>
              <w:keepNext/>
              <w:spacing w:before="47"/>
              <w:ind w:left="79"/>
              <w:rPr>
                <w:rFonts w:ascii="Arial" w:eastAsia="Arial" w:hAnsi="Arial" w:cs="Arial"/>
                <w:sz w:val="18"/>
                <w:szCs w:val="18"/>
              </w:rPr>
            </w:pP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 xml:space="preserve">v </w:t>
            </w:r>
            <w:r>
              <w:rPr>
                <w:rFonts w:ascii="Arial" w:eastAsia="Arial" w:hAnsi="Arial" w:cs="Arial"/>
                <w:spacing w:val="-1"/>
                <w:sz w:val="18"/>
                <w:szCs w:val="18"/>
              </w:rPr>
              <w:t>2</w:t>
            </w:r>
            <w:r>
              <w:rPr>
                <w:rFonts w:ascii="Arial" w:eastAsia="Arial" w:hAnsi="Arial" w:cs="Arial"/>
                <w:spacing w:val="-4"/>
                <w:sz w:val="18"/>
                <w:szCs w:val="18"/>
              </w:rPr>
              <w:t>0</w:t>
            </w:r>
            <w:r>
              <w:rPr>
                <w:rFonts w:ascii="Arial" w:eastAsia="Arial" w:hAnsi="Arial" w:cs="Arial"/>
                <w:spacing w:val="-9"/>
                <w:sz w:val="18"/>
                <w:szCs w:val="18"/>
              </w:rPr>
              <w:t>1</w:t>
            </w:r>
            <w:r>
              <w:rPr>
                <w:rFonts w:ascii="Arial" w:eastAsia="Arial" w:hAnsi="Arial" w:cs="Arial"/>
                <w:sz w:val="18"/>
                <w:szCs w:val="18"/>
              </w:rPr>
              <w:t>5 –</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2</w:t>
            </w:r>
            <w:r>
              <w:rPr>
                <w:rFonts w:ascii="Arial" w:eastAsia="Arial" w:hAnsi="Arial" w:cs="Arial"/>
                <w:spacing w:val="-4"/>
                <w:sz w:val="18"/>
                <w:szCs w:val="18"/>
              </w:rPr>
              <w:t>0</w:t>
            </w:r>
            <w:r>
              <w:rPr>
                <w:rFonts w:ascii="Arial" w:eastAsia="Arial" w:hAnsi="Arial" w:cs="Arial"/>
                <w:spacing w:val="-8"/>
                <w:sz w:val="18"/>
                <w:szCs w:val="18"/>
              </w:rPr>
              <w:t>1</w:t>
            </w:r>
            <w:r>
              <w:rPr>
                <w:rFonts w:ascii="Arial" w:eastAsia="Arial" w:hAnsi="Arial" w:cs="Arial"/>
                <w:sz w:val="18"/>
                <w:szCs w:val="18"/>
              </w:rPr>
              <w:t>6</w:t>
            </w:r>
          </w:p>
        </w:tc>
        <w:tc>
          <w:tcPr>
            <w:tcW w:w="921" w:type="dxa"/>
            <w:tcBorders>
              <w:top w:val="single" w:sz="4" w:space="0" w:color="797979"/>
              <w:left w:val="single" w:sz="4" w:space="0" w:color="797979"/>
              <w:bottom w:val="single" w:sz="4" w:space="0" w:color="797979"/>
              <w:right w:val="nil"/>
            </w:tcBorders>
          </w:tcPr>
          <w:p w:rsidR="003C17D6" w:rsidRDefault="003C17D6" w:rsidP="002B383B">
            <w:pPr>
              <w:pStyle w:val="TableParagraph"/>
              <w:keepNext/>
              <w:spacing w:before="47"/>
              <w:ind w:left="260"/>
              <w:rPr>
                <w:rFonts w:ascii="Arial" w:eastAsia="Arial" w:hAnsi="Arial" w:cs="Arial"/>
                <w:sz w:val="18"/>
                <w:szCs w:val="18"/>
              </w:rPr>
            </w:pPr>
            <w:r>
              <w:rPr>
                <w:rFonts w:ascii="Arial" w:eastAsia="Arial" w:hAnsi="Arial" w:cs="Arial"/>
                <w:sz w:val="18"/>
                <w:szCs w:val="18"/>
              </w:rPr>
              <w:t>4</w:t>
            </w:r>
            <w:r>
              <w:rPr>
                <w:rFonts w:ascii="Arial" w:eastAsia="Arial" w:hAnsi="Arial" w:cs="Arial"/>
                <w:spacing w:val="1"/>
                <w:sz w:val="18"/>
                <w:szCs w:val="18"/>
              </w:rPr>
              <w:t>9</w:t>
            </w:r>
            <w:r>
              <w:rPr>
                <w:rFonts w:ascii="Arial" w:eastAsia="Arial" w:hAnsi="Arial" w:cs="Arial"/>
                <w:spacing w:val="-8"/>
                <w:sz w:val="18"/>
                <w:szCs w:val="18"/>
              </w:rPr>
              <w:t>47</w:t>
            </w:r>
          </w:p>
        </w:tc>
        <w:tc>
          <w:tcPr>
            <w:tcW w:w="931" w:type="dxa"/>
            <w:gridSpan w:val="2"/>
            <w:tcBorders>
              <w:top w:val="single" w:sz="4" w:space="0" w:color="797979"/>
              <w:left w:val="nil"/>
              <w:bottom w:val="single" w:sz="4" w:space="0" w:color="797979"/>
              <w:right w:val="single" w:sz="4" w:space="0" w:color="797979"/>
            </w:tcBorders>
          </w:tcPr>
          <w:p w:rsidR="003C17D6" w:rsidRDefault="003C17D6" w:rsidP="002B383B">
            <w:pPr>
              <w:pStyle w:val="TableParagraph"/>
              <w:keepNext/>
              <w:spacing w:before="47"/>
              <w:ind w:left="200"/>
              <w:rPr>
                <w:rFonts w:ascii="Arial" w:eastAsia="Arial" w:hAnsi="Arial" w:cs="Arial"/>
                <w:sz w:val="18"/>
                <w:szCs w:val="18"/>
              </w:rPr>
            </w:pPr>
            <w:r>
              <w:rPr>
                <w:rFonts w:ascii="Arial" w:eastAsia="Arial" w:hAnsi="Arial" w:cs="Arial"/>
                <w:spacing w:val="2"/>
                <w:w w:val="105"/>
                <w:sz w:val="18"/>
                <w:szCs w:val="18"/>
              </w:rPr>
              <w:t>9</w:t>
            </w:r>
            <w:r>
              <w:rPr>
                <w:rFonts w:ascii="Arial" w:eastAsia="Arial" w:hAnsi="Arial" w:cs="Arial"/>
                <w:spacing w:val="-2"/>
                <w:w w:val="105"/>
                <w:sz w:val="18"/>
                <w:szCs w:val="18"/>
              </w:rPr>
              <w:t>5</w:t>
            </w:r>
            <w:r>
              <w:rPr>
                <w:rFonts w:ascii="Arial" w:eastAsia="Arial" w:hAnsi="Arial" w:cs="Arial"/>
                <w:spacing w:val="1"/>
                <w:w w:val="105"/>
                <w:sz w:val="18"/>
                <w:szCs w:val="18"/>
              </w:rPr>
              <w:t>.</w:t>
            </w:r>
            <w:r>
              <w:rPr>
                <w:rFonts w:ascii="Arial" w:eastAsia="Arial" w:hAnsi="Arial" w:cs="Arial"/>
                <w:spacing w:val="-2"/>
                <w:w w:val="105"/>
                <w:sz w:val="18"/>
                <w:szCs w:val="18"/>
              </w:rPr>
              <w:t>5</w:t>
            </w:r>
            <w:r>
              <w:rPr>
                <w:rFonts w:ascii="Arial" w:eastAsia="Arial" w:hAnsi="Arial" w:cs="Arial"/>
                <w:w w:val="105"/>
                <w:sz w:val="18"/>
                <w:szCs w:val="18"/>
              </w:rPr>
              <w:t>%</w:t>
            </w:r>
          </w:p>
        </w:tc>
        <w:tc>
          <w:tcPr>
            <w:tcW w:w="945" w:type="dxa"/>
            <w:gridSpan w:val="2"/>
            <w:tcBorders>
              <w:top w:val="single" w:sz="4" w:space="0" w:color="797979"/>
              <w:left w:val="single" w:sz="4" w:space="0" w:color="797979"/>
              <w:bottom w:val="single" w:sz="4" w:space="0" w:color="797979"/>
              <w:right w:val="single" w:sz="4" w:space="0" w:color="797979"/>
            </w:tcBorders>
          </w:tcPr>
          <w:p w:rsidR="003C17D6" w:rsidRDefault="003C17D6" w:rsidP="002B383B">
            <w:pPr>
              <w:pStyle w:val="TableParagraph"/>
              <w:keepNext/>
              <w:spacing w:before="47"/>
              <w:jc w:val="center"/>
              <w:rPr>
                <w:rFonts w:ascii="Arial" w:eastAsia="Arial" w:hAnsi="Arial" w:cs="Arial"/>
                <w:sz w:val="18"/>
                <w:szCs w:val="18"/>
              </w:rPr>
            </w:pPr>
            <w:r>
              <w:rPr>
                <w:rFonts w:ascii="Arial" w:eastAsia="Arial" w:hAnsi="Arial" w:cs="Arial"/>
                <w:sz w:val="18"/>
                <w:szCs w:val="18"/>
              </w:rPr>
              <w:t>3</w:t>
            </w:r>
            <w:r>
              <w:rPr>
                <w:rFonts w:ascii="Arial" w:eastAsia="Arial" w:hAnsi="Arial" w:cs="Arial"/>
                <w:spacing w:val="-1"/>
                <w:sz w:val="18"/>
                <w:szCs w:val="18"/>
              </w:rPr>
              <w:t>.0</w:t>
            </w:r>
          </w:p>
        </w:tc>
        <w:tc>
          <w:tcPr>
            <w:tcW w:w="659" w:type="dxa"/>
            <w:tcBorders>
              <w:top w:val="single" w:sz="4" w:space="0" w:color="797979"/>
              <w:left w:val="single" w:sz="4" w:space="0" w:color="797979"/>
              <w:bottom w:val="single" w:sz="4" w:space="0" w:color="797979"/>
              <w:right w:val="nil"/>
            </w:tcBorders>
          </w:tcPr>
          <w:p w:rsidR="003C17D6" w:rsidRDefault="003C17D6" w:rsidP="002B383B">
            <w:pPr>
              <w:pStyle w:val="TableParagraph"/>
              <w:keepNext/>
              <w:spacing w:before="47"/>
              <w:ind w:left="235"/>
              <w:rPr>
                <w:rFonts w:ascii="Arial" w:eastAsia="Arial" w:hAnsi="Arial" w:cs="Arial"/>
                <w:sz w:val="18"/>
                <w:szCs w:val="18"/>
              </w:rPr>
            </w:pPr>
            <w:r>
              <w:rPr>
                <w:rFonts w:ascii="Arial" w:eastAsia="Arial" w:hAnsi="Arial" w:cs="Arial"/>
                <w:spacing w:val="-1"/>
                <w:sz w:val="18"/>
                <w:szCs w:val="18"/>
              </w:rPr>
              <w:t>2</w:t>
            </w:r>
            <w:r>
              <w:rPr>
                <w:rFonts w:ascii="Arial" w:eastAsia="Arial" w:hAnsi="Arial" w:cs="Arial"/>
                <w:spacing w:val="-6"/>
                <w:sz w:val="18"/>
                <w:szCs w:val="18"/>
              </w:rPr>
              <w:t>31</w:t>
            </w:r>
          </w:p>
        </w:tc>
        <w:tc>
          <w:tcPr>
            <w:tcW w:w="948" w:type="dxa"/>
            <w:gridSpan w:val="2"/>
            <w:tcBorders>
              <w:top w:val="single" w:sz="4" w:space="0" w:color="797979"/>
              <w:left w:val="nil"/>
              <w:bottom w:val="single" w:sz="4" w:space="0" w:color="797979"/>
              <w:right w:val="single" w:sz="4" w:space="0" w:color="797979"/>
            </w:tcBorders>
          </w:tcPr>
          <w:p w:rsidR="003C17D6" w:rsidRDefault="003C17D6" w:rsidP="002B383B">
            <w:pPr>
              <w:pStyle w:val="TableParagraph"/>
              <w:keepNext/>
              <w:spacing w:before="47"/>
              <w:ind w:left="316"/>
              <w:rPr>
                <w:rFonts w:ascii="Arial" w:eastAsia="Arial" w:hAnsi="Arial" w:cs="Arial"/>
                <w:sz w:val="18"/>
                <w:szCs w:val="18"/>
              </w:rPr>
            </w:pPr>
            <w:r>
              <w:rPr>
                <w:rFonts w:ascii="Arial" w:eastAsia="Arial" w:hAnsi="Arial" w:cs="Arial"/>
                <w:spacing w:val="-2"/>
                <w:w w:val="105"/>
                <w:sz w:val="18"/>
                <w:szCs w:val="18"/>
              </w:rPr>
              <w:t>4</w:t>
            </w:r>
            <w:r>
              <w:rPr>
                <w:rFonts w:ascii="Arial" w:eastAsia="Arial" w:hAnsi="Arial" w:cs="Arial"/>
                <w:spacing w:val="1"/>
                <w:w w:val="105"/>
                <w:sz w:val="18"/>
                <w:szCs w:val="18"/>
              </w:rPr>
              <w:t>.</w:t>
            </w:r>
            <w:r>
              <w:rPr>
                <w:rFonts w:ascii="Arial" w:eastAsia="Arial" w:hAnsi="Arial" w:cs="Arial"/>
                <w:spacing w:val="-2"/>
                <w:w w:val="105"/>
                <w:sz w:val="18"/>
                <w:szCs w:val="18"/>
              </w:rPr>
              <w:t>5</w:t>
            </w:r>
            <w:r>
              <w:rPr>
                <w:rFonts w:ascii="Arial" w:eastAsia="Arial" w:hAnsi="Arial" w:cs="Arial"/>
                <w:w w:val="105"/>
                <w:sz w:val="18"/>
                <w:szCs w:val="18"/>
              </w:rPr>
              <w:t>%</w:t>
            </w:r>
          </w:p>
        </w:tc>
        <w:tc>
          <w:tcPr>
            <w:tcW w:w="869" w:type="dxa"/>
            <w:tcBorders>
              <w:top w:val="single" w:sz="4" w:space="0" w:color="797979"/>
              <w:left w:val="single" w:sz="4" w:space="0" w:color="797979"/>
              <w:bottom w:val="single" w:sz="4" w:space="0" w:color="797979"/>
              <w:right w:val="single" w:sz="4" w:space="0" w:color="797979"/>
            </w:tcBorders>
          </w:tcPr>
          <w:p w:rsidR="003C17D6" w:rsidRDefault="003C17D6" w:rsidP="002B383B">
            <w:pPr>
              <w:pStyle w:val="TableParagraph"/>
              <w:keepNext/>
              <w:spacing w:before="47"/>
              <w:ind w:right="1"/>
              <w:jc w:val="center"/>
              <w:rPr>
                <w:rFonts w:ascii="Arial" w:eastAsia="Arial" w:hAnsi="Arial" w:cs="Arial"/>
                <w:sz w:val="18"/>
                <w:szCs w:val="18"/>
              </w:rPr>
            </w:pPr>
            <w:r>
              <w:rPr>
                <w:rFonts w:ascii="Arial" w:eastAsia="Arial" w:hAnsi="Arial" w:cs="Arial"/>
                <w:sz w:val="18"/>
                <w:szCs w:val="18"/>
              </w:rPr>
              <w:t>3</w:t>
            </w:r>
            <w:r>
              <w:rPr>
                <w:rFonts w:ascii="Arial" w:eastAsia="Arial" w:hAnsi="Arial" w:cs="Arial"/>
                <w:spacing w:val="-1"/>
                <w:sz w:val="18"/>
                <w:szCs w:val="18"/>
              </w:rPr>
              <w:t>.4</w:t>
            </w:r>
          </w:p>
        </w:tc>
        <w:tc>
          <w:tcPr>
            <w:tcW w:w="940" w:type="dxa"/>
            <w:tcBorders>
              <w:top w:val="single" w:sz="4" w:space="0" w:color="797979"/>
              <w:left w:val="single" w:sz="4" w:space="0" w:color="797979"/>
              <w:bottom w:val="single" w:sz="4" w:space="0" w:color="797979"/>
              <w:right w:val="nil"/>
            </w:tcBorders>
          </w:tcPr>
          <w:p w:rsidR="003C17D6" w:rsidRDefault="003C17D6" w:rsidP="002B383B">
            <w:pPr>
              <w:pStyle w:val="TableParagraph"/>
              <w:keepNext/>
              <w:spacing w:before="47"/>
              <w:ind w:left="276"/>
              <w:rPr>
                <w:rFonts w:ascii="Arial" w:eastAsia="Arial" w:hAnsi="Arial" w:cs="Arial"/>
                <w:sz w:val="18"/>
                <w:szCs w:val="18"/>
              </w:rPr>
            </w:pPr>
            <w:r>
              <w:rPr>
                <w:rFonts w:ascii="Arial" w:eastAsia="Arial" w:hAnsi="Arial" w:cs="Arial"/>
                <w:spacing w:val="-9"/>
                <w:sz w:val="18"/>
                <w:szCs w:val="18"/>
              </w:rPr>
              <w:t>5</w:t>
            </w:r>
            <w:r>
              <w:rPr>
                <w:rFonts w:ascii="Arial" w:eastAsia="Arial" w:hAnsi="Arial" w:cs="Arial"/>
                <w:spacing w:val="-13"/>
                <w:sz w:val="18"/>
                <w:szCs w:val="18"/>
              </w:rPr>
              <w:t>1</w:t>
            </w:r>
            <w:r>
              <w:rPr>
                <w:rFonts w:ascii="Arial" w:eastAsia="Arial" w:hAnsi="Arial" w:cs="Arial"/>
                <w:spacing w:val="-3"/>
                <w:sz w:val="18"/>
                <w:szCs w:val="18"/>
              </w:rPr>
              <w:t>7</w:t>
            </w:r>
            <w:r>
              <w:rPr>
                <w:rFonts w:ascii="Arial" w:eastAsia="Arial" w:hAnsi="Arial" w:cs="Arial"/>
                <w:sz w:val="18"/>
                <w:szCs w:val="18"/>
              </w:rPr>
              <w:t>8</w:t>
            </w:r>
          </w:p>
        </w:tc>
      </w:tr>
      <w:tr w:rsidR="003C17D6" w:rsidTr="002B383B">
        <w:trPr>
          <w:trHeight w:hRule="exact" w:val="315"/>
        </w:trPr>
        <w:tc>
          <w:tcPr>
            <w:tcW w:w="1946" w:type="dxa"/>
            <w:tcBorders>
              <w:top w:val="single" w:sz="4" w:space="0" w:color="797979"/>
              <w:left w:val="nil"/>
              <w:bottom w:val="single" w:sz="4" w:space="0" w:color="797979"/>
              <w:right w:val="single" w:sz="4" w:space="0" w:color="797979"/>
            </w:tcBorders>
          </w:tcPr>
          <w:p w:rsidR="003C17D6" w:rsidRDefault="003C17D6" w:rsidP="002B383B">
            <w:pPr>
              <w:pStyle w:val="TableParagraph"/>
              <w:keepNext/>
              <w:spacing w:before="61"/>
              <w:ind w:left="79"/>
              <w:rPr>
                <w:rFonts w:ascii="Arial" w:eastAsia="Arial" w:hAnsi="Arial" w:cs="Arial"/>
                <w:sz w:val="18"/>
                <w:szCs w:val="18"/>
              </w:rPr>
            </w:pP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v</w:t>
            </w:r>
            <w:r>
              <w:rPr>
                <w:rFonts w:ascii="Arial" w:eastAsia="Arial" w:hAnsi="Arial" w:cs="Arial"/>
                <w:spacing w:val="-2"/>
                <w:sz w:val="18"/>
                <w:szCs w:val="18"/>
              </w:rPr>
              <w:t xml:space="preserve"> </w:t>
            </w:r>
            <w:r>
              <w:rPr>
                <w:rFonts w:ascii="Arial" w:eastAsia="Arial" w:hAnsi="Arial" w:cs="Arial"/>
                <w:spacing w:val="-1"/>
                <w:sz w:val="18"/>
                <w:szCs w:val="18"/>
              </w:rPr>
              <w:t>2</w:t>
            </w:r>
            <w:r>
              <w:rPr>
                <w:rFonts w:ascii="Arial" w:eastAsia="Arial" w:hAnsi="Arial" w:cs="Arial"/>
                <w:spacing w:val="-4"/>
                <w:sz w:val="18"/>
                <w:szCs w:val="18"/>
              </w:rPr>
              <w:t>0</w:t>
            </w:r>
            <w:r>
              <w:rPr>
                <w:rFonts w:ascii="Arial" w:eastAsia="Arial" w:hAnsi="Arial" w:cs="Arial"/>
                <w:spacing w:val="-8"/>
                <w:sz w:val="18"/>
                <w:szCs w:val="18"/>
              </w:rPr>
              <w:t>1</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J</w:t>
            </w:r>
            <w:r>
              <w:rPr>
                <w:rFonts w:ascii="Arial" w:eastAsia="Arial" w:hAnsi="Arial" w:cs="Arial"/>
                <w:spacing w:val="1"/>
                <w:sz w:val="18"/>
                <w:szCs w:val="18"/>
              </w:rPr>
              <w:t>u</w:t>
            </w:r>
            <w:r>
              <w:rPr>
                <w:rFonts w:ascii="Arial" w:eastAsia="Arial" w:hAnsi="Arial" w:cs="Arial"/>
                <w:sz w:val="18"/>
                <w:szCs w:val="18"/>
              </w:rPr>
              <w:t>n</w:t>
            </w:r>
            <w:r>
              <w:rPr>
                <w:rFonts w:ascii="Arial" w:eastAsia="Arial" w:hAnsi="Arial" w:cs="Arial"/>
                <w:spacing w:val="-1"/>
                <w:sz w:val="18"/>
                <w:szCs w:val="18"/>
              </w:rPr>
              <w:t xml:space="preserve"> 2</w:t>
            </w:r>
            <w:r>
              <w:rPr>
                <w:rFonts w:ascii="Arial" w:eastAsia="Arial" w:hAnsi="Arial" w:cs="Arial"/>
                <w:spacing w:val="-4"/>
                <w:sz w:val="18"/>
                <w:szCs w:val="18"/>
              </w:rPr>
              <w:t>0</w:t>
            </w:r>
            <w:r>
              <w:rPr>
                <w:rFonts w:ascii="Arial" w:eastAsia="Arial" w:hAnsi="Arial" w:cs="Arial"/>
                <w:spacing w:val="-13"/>
                <w:sz w:val="18"/>
                <w:szCs w:val="18"/>
              </w:rPr>
              <w:t>1</w:t>
            </w:r>
            <w:r>
              <w:rPr>
                <w:rFonts w:ascii="Arial" w:eastAsia="Arial" w:hAnsi="Arial" w:cs="Arial"/>
                <w:sz w:val="18"/>
                <w:szCs w:val="18"/>
              </w:rPr>
              <w:t>7</w:t>
            </w:r>
          </w:p>
        </w:tc>
        <w:tc>
          <w:tcPr>
            <w:tcW w:w="921" w:type="dxa"/>
            <w:tcBorders>
              <w:top w:val="single" w:sz="4" w:space="0" w:color="797979"/>
              <w:left w:val="single" w:sz="4" w:space="0" w:color="797979"/>
              <w:bottom w:val="single" w:sz="4" w:space="0" w:color="797979"/>
              <w:right w:val="nil"/>
            </w:tcBorders>
          </w:tcPr>
          <w:p w:rsidR="003C17D6" w:rsidRDefault="003C17D6" w:rsidP="002B383B">
            <w:pPr>
              <w:pStyle w:val="TableParagraph"/>
              <w:keepNext/>
              <w:spacing w:before="61"/>
              <w:ind w:left="259"/>
              <w:rPr>
                <w:rFonts w:ascii="Arial" w:eastAsia="Arial" w:hAnsi="Arial" w:cs="Arial"/>
                <w:sz w:val="18"/>
                <w:szCs w:val="18"/>
              </w:rPr>
            </w:pPr>
            <w:r>
              <w:rPr>
                <w:rFonts w:ascii="Arial" w:eastAsia="Arial" w:hAnsi="Arial" w:cs="Arial"/>
                <w:spacing w:val="-3"/>
                <w:sz w:val="18"/>
                <w:szCs w:val="18"/>
              </w:rPr>
              <w:t>2</w:t>
            </w:r>
            <w:r>
              <w:rPr>
                <w:rFonts w:ascii="Arial" w:eastAsia="Arial" w:hAnsi="Arial" w:cs="Arial"/>
                <w:spacing w:val="1"/>
                <w:sz w:val="18"/>
                <w:szCs w:val="18"/>
              </w:rPr>
              <w:t>5</w:t>
            </w:r>
            <w:r>
              <w:rPr>
                <w:rFonts w:ascii="Arial" w:eastAsia="Arial" w:hAnsi="Arial" w:cs="Arial"/>
                <w:spacing w:val="-3"/>
                <w:sz w:val="18"/>
                <w:szCs w:val="18"/>
              </w:rPr>
              <w:t>67</w:t>
            </w:r>
          </w:p>
        </w:tc>
        <w:tc>
          <w:tcPr>
            <w:tcW w:w="931" w:type="dxa"/>
            <w:gridSpan w:val="2"/>
            <w:tcBorders>
              <w:top w:val="single" w:sz="4" w:space="0" w:color="797979"/>
              <w:left w:val="nil"/>
              <w:bottom w:val="single" w:sz="4" w:space="0" w:color="797979"/>
              <w:right w:val="single" w:sz="4" w:space="0" w:color="797979"/>
            </w:tcBorders>
          </w:tcPr>
          <w:p w:rsidR="003C17D6" w:rsidRDefault="003C17D6" w:rsidP="002B383B">
            <w:pPr>
              <w:pStyle w:val="TableParagraph"/>
              <w:keepNext/>
              <w:spacing w:before="61"/>
              <w:ind w:left="204"/>
              <w:rPr>
                <w:rFonts w:ascii="Arial" w:eastAsia="Arial" w:hAnsi="Arial" w:cs="Arial"/>
                <w:sz w:val="18"/>
                <w:szCs w:val="18"/>
              </w:rPr>
            </w:pPr>
            <w:r>
              <w:rPr>
                <w:rFonts w:ascii="Arial" w:eastAsia="Arial" w:hAnsi="Arial" w:cs="Arial"/>
                <w:spacing w:val="3"/>
                <w:w w:val="105"/>
                <w:sz w:val="18"/>
                <w:szCs w:val="18"/>
              </w:rPr>
              <w:t>9</w:t>
            </w:r>
            <w:r>
              <w:rPr>
                <w:rFonts w:ascii="Arial" w:eastAsia="Arial" w:hAnsi="Arial" w:cs="Arial"/>
                <w:spacing w:val="1"/>
                <w:w w:val="105"/>
                <w:sz w:val="18"/>
                <w:szCs w:val="18"/>
              </w:rPr>
              <w:t>6</w:t>
            </w:r>
            <w:r>
              <w:rPr>
                <w:rFonts w:ascii="Arial" w:eastAsia="Arial" w:hAnsi="Arial" w:cs="Arial"/>
                <w:spacing w:val="-7"/>
                <w:w w:val="105"/>
                <w:sz w:val="18"/>
                <w:szCs w:val="18"/>
              </w:rPr>
              <w:t>.</w:t>
            </w:r>
            <w:r>
              <w:rPr>
                <w:rFonts w:ascii="Arial" w:eastAsia="Arial" w:hAnsi="Arial" w:cs="Arial"/>
                <w:spacing w:val="-6"/>
                <w:w w:val="105"/>
                <w:sz w:val="18"/>
                <w:szCs w:val="18"/>
              </w:rPr>
              <w:t>7</w:t>
            </w:r>
            <w:r>
              <w:rPr>
                <w:rFonts w:ascii="Arial" w:eastAsia="Arial" w:hAnsi="Arial" w:cs="Arial"/>
                <w:w w:val="105"/>
                <w:sz w:val="18"/>
                <w:szCs w:val="18"/>
              </w:rPr>
              <w:t>%</w:t>
            </w:r>
          </w:p>
        </w:tc>
        <w:tc>
          <w:tcPr>
            <w:tcW w:w="945" w:type="dxa"/>
            <w:gridSpan w:val="2"/>
            <w:tcBorders>
              <w:top w:val="single" w:sz="4" w:space="0" w:color="797979"/>
              <w:left w:val="single" w:sz="4" w:space="0" w:color="797979"/>
              <w:bottom w:val="single" w:sz="4" w:space="0" w:color="797979"/>
              <w:right w:val="single" w:sz="4" w:space="0" w:color="797979"/>
            </w:tcBorders>
          </w:tcPr>
          <w:p w:rsidR="003C17D6" w:rsidRDefault="003C17D6" w:rsidP="002B383B">
            <w:pPr>
              <w:pStyle w:val="TableParagraph"/>
              <w:keepNext/>
              <w:spacing w:before="61"/>
              <w:ind w:left="324" w:right="325"/>
              <w:jc w:val="center"/>
              <w:rPr>
                <w:rFonts w:ascii="Arial" w:eastAsia="Arial" w:hAnsi="Arial" w:cs="Arial"/>
                <w:sz w:val="18"/>
                <w:szCs w:val="18"/>
              </w:rPr>
            </w:pPr>
            <w:r>
              <w:rPr>
                <w:rFonts w:ascii="Arial" w:eastAsia="Arial" w:hAnsi="Arial" w:cs="Arial"/>
                <w:spacing w:val="-4"/>
                <w:sz w:val="18"/>
                <w:szCs w:val="18"/>
              </w:rPr>
              <w:t>2</w:t>
            </w:r>
            <w:r>
              <w:rPr>
                <w:rFonts w:ascii="Arial" w:eastAsia="Arial" w:hAnsi="Arial" w:cs="Arial"/>
                <w:sz w:val="18"/>
                <w:szCs w:val="18"/>
              </w:rPr>
              <w:t>.9</w:t>
            </w:r>
          </w:p>
        </w:tc>
        <w:tc>
          <w:tcPr>
            <w:tcW w:w="659" w:type="dxa"/>
            <w:tcBorders>
              <w:top w:val="single" w:sz="4" w:space="0" w:color="797979"/>
              <w:left w:val="single" w:sz="4" w:space="0" w:color="797979"/>
              <w:bottom w:val="single" w:sz="4" w:space="0" w:color="797979"/>
              <w:right w:val="nil"/>
            </w:tcBorders>
          </w:tcPr>
          <w:p w:rsidR="003C17D6" w:rsidRDefault="003C17D6" w:rsidP="002B383B">
            <w:pPr>
              <w:pStyle w:val="TableParagraph"/>
              <w:keepNext/>
              <w:spacing w:before="61"/>
              <w:ind w:left="283"/>
              <w:rPr>
                <w:rFonts w:ascii="Arial" w:eastAsia="Arial" w:hAnsi="Arial" w:cs="Arial"/>
                <w:sz w:val="18"/>
                <w:szCs w:val="18"/>
              </w:rPr>
            </w:pPr>
            <w:r>
              <w:rPr>
                <w:rFonts w:ascii="Arial" w:eastAsia="Arial" w:hAnsi="Arial" w:cs="Arial"/>
                <w:spacing w:val="-4"/>
                <w:sz w:val="18"/>
                <w:szCs w:val="18"/>
              </w:rPr>
              <w:t>87</w:t>
            </w:r>
          </w:p>
        </w:tc>
        <w:tc>
          <w:tcPr>
            <w:tcW w:w="948" w:type="dxa"/>
            <w:gridSpan w:val="2"/>
            <w:tcBorders>
              <w:top w:val="single" w:sz="4" w:space="0" w:color="797979"/>
              <w:left w:val="nil"/>
              <w:bottom w:val="single" w:sz="4" w:space="0" w:color="797979"/>
              <w:right w:val="single" w:sz="4" w:space="0" w:color="797979"/>
            </w:tcBorders>
          </w:tcPr>
          <w:p w:rsidR="003C17D6" w:rsidRDefault="003C17D6" w:rsidP="002B383B">
            <w:pPr>
              <w:pStyle w:val="TableParagraph"/>
              <w:keepNext/>
              <w:spacing w:before="61"/>
              <w:ind w:left="314"/>
              <w:rPr>
                <w:rFonts w:ascii="Arial" w:eastAsia="Arial" w:hAnsi="Arial" w:cs="Arial"/>
                <w:sz w:val="18"/>
                <w:szCs w:val="18"/>
              </w:rPr>
            </w:pPr>
            <w:r>
              <w:rPr>
                <w:rFonts w:ascii="Arial" w:eastAsia="Arial" w:hAnsi="Arial" w:cs="Arial"/>
                <w:w w:val="105"/>
                <w:sz w:val="18"/>
                <w:szCs w:val="18"/>
              </w:rPr>
              <w:t>3</w:t>
            </w:r>
            <w:r>
              <w:rPr>
                <w:rFonts w:ascii="Arial" w:eastAsia="Arial" w:hAnsi="Arial" w:cs="Arial"/>
                <w:spacing w:val="1"/>
                <w:w w:val="105"/>
                <w:sz w:val="18"/>
                <w:szCs w:val="18"/>
              </w:rPr>
              <w:t>.</w:t>
            </w:r>
            <w:r>
              <w:rPr>
                <w:rFonts w:ascii="Arial" w:eastAsia="Arial" w:hAnsi="Arial" w:cs="Arial"/>
                <w:spacing w:val="2"/>
                <w:w w:val="105"/>
                <w:sz w:val="18"/>
                <w:szCs w:val="18"/>
              </w:rPr>
              <w:t>3</w:t>
            </w:r>
            <w:r>
              <w:rPr>
                <w:rFonts w:ascii="Arial" w:eastAsia="Arial" w:hAnsi="Arial" w:cs="Arial"/>
                <w:w w:val="105"/>
                <w:sz w:val="18"/>
                <w:szCs w:val="18"/>
              </w:rPr>
              <w:t>%</w:t>
            </w:r>
          </w:p>
        </w:tc>
        <w:tc>
          <w:tcPr>
            <w:tcW w:w="869" w:type="dxa"/>
            <w:tcBorders>
              <w:top w:val="single" w:sz="4" w:space="0" w:color="797979"/>
              <w:left w:val="single" w:sz="4" w:space="0" w:color="797979"/>
              <w:bottom w:val="single" w:sz="4" w:space="0" w:color="797979"/>
              <w:right w:val="single" w:sz="4" w:space="0" w:color="797979"/>
            </w:tcBorders>
          </w:tcPr>
          <w:p w:rsidR="003C17D6" w:rsidRDefault="003C17D6" w:rsidP="002B383B">
            <w:pPr>
              <w:pStyle w:val="TableParagraph"/>
              <w:keepNext/>
              <w:spacing w:before="61"/>
              <w:jc w:val="center"/>
              <w:rPr>
                <w:rFonts w:ascii="Arial" w:eastAsia="Arial" w:hAnsi="Arial" w:cs="Arial"/>
                <w:sz w:val="18"/>
                <w:szCs w:val="18"/>
              </w:rPr>
            </w:pPr>
            <w:r>
              <w:rPr>
                <w:rFonts w:ascii="Arial" w:eastAsia="Arial" w:hAnsi="Arial" w:cs="Arial"/>
                <w:spacing w:val="-4"/>
                <w:sz w:val="18"/>
                <w:szCs w:val="18"/>
              </w:rPr>
              <w:t>2</w:t>
            </w:r>
            <w:r>
              <w:rPr>
                <w:rFonts w:ascii="Arial" w:eastAsia="Arial" w:hAnsi="Arial" w:cs="Arial"/>
                <w:spacing w:val="1"/>
                <w:sz w:val="18"/>
                <w:szCs w:val="18"/>
              </w:rPr>
              <w:t>.</w:t>
            </w:r>
            <w:r>
              <w:rPr>
                <w:rFonts w:ascii="Arial" w:eastAsia="Arial" w:hAnsi="Arial" w:cs="Arial"/>
                <w:sz w:val="18"/>
                <w:szCs w:val="18"/>
              </w:rPr>
              <w:t>8</w:t>
            </w:r>
          </w:p>
        </w:tc>
        <w:tc>
          <w:tcPr>
            <w:tcW w:w="940" w:type="dxa"/>
            <w:tcBorders>
              <w:top w:val="single" w:sz="4" w:space="0" w:color="797979"/>
              <w:left w:val="single" w:sz="4" w:space="0" w:color="797979"/>
              <w:bottom w:val="single" w:sz="4" w:space="0" w:color="797979"/>
              <w:right w:val="nil"/>
            </w:tcBorders>
          </w:tcPr>
          <w:p w:rsidR="003C17D6" w:rsidRDefault="003C17D6" w:rsidP="002B383B">
            <w:pPr>
              <w:pStyle w:val="TableParagraph"/>
              <w:keepNext/>
              <w:spacing w:before="61"/>
              <w:ind w:left="262"/>
              <w:rPr>
                <w:rFonts w:ascii="Arial" w:eastAsia="Arial" w:hAnsi="Arial" w:cs="Arial"/>
                <w:sz w:val="18"/>
                <w:szCs w:val="18"/>
              </w:rPr>
            </w:pPr>
            <w:r>
              <w:rPr>
                <w:rFonts w:ascii="Arial" w:eastAsia="Arial" w:hAnsi="Arial" w:cs="Arial"/>
                <w:spacing w:val="-1"/>
                <w:sz w:val="18"/>
                <w:szCs w:val="18"/>
              </w:rPr>
              <w:t>2</w:t>
            </w:r>
            <w:r>
              <w:rPr>
                <w:rFonts w:ascii="Arial" w:eastAsia="Arial" w:hAnsi="Arial" w:cs="Arial"/>
                <w:spacing w:val="2"/>
                <w:sz w:val="18"/>
                <w:szCs w:val="18"/>
              </w:rPr>
              <w:t>65</w:t>
            </w:r>
            <w:r>
              <w:rPr>
                <w:rFonts w:ascii="Arial" w:eastAsia="Arial" w:hAnsi="Arial" w:cs="Arial"/>
                <w:sz w:val="18"/>
                <w:szCs w:val="18"/>
              </w:rPr>
              <w:t>4</w:t>
            </w:r>
          </w:p>
        </w:tc>
      </w:tr>
      <w:tr w:rsidR="003C17D6" w:rsidTr="002B383B">
        <w:trPr>
          <w:trHeight w:hRule="exact" w:val="315"/>
        </w:trPr>
        <w:tc>
          <w:tcPr>
            <w:tcW w:w="1946" w:type="dxa"/>
            <w:tcBorders>
              <w:top w:val="single" w:sz="4" w:space="0" w:color="797979"/>
              <w:left w:val="nil"/>
              <w:bottom w:val="nil"/>
              <w:right w:val="single" w:sz="4" w:space="0" w:color="797979"/>
            </w:tcBorders>
          </w:tcPr>
          <w:p w:rsidR="003C17D6" w:rsidRDefault="003C17D6" w:rsidP="002B383B">
            <w:pPr>
              <w:pStyle w:val="TableParagraph"/>
              <w:keepNext/>
              <w:spacing w:before="61"/>
              <w:ind w:left="79"/>
              <w:rPr>
                <w:rFonts w:ascii="Arial" w:eastAsia="Arial" w:hAnsi="Arial" w:cs="Arial"/>
                <w:sz w:val="18"/>
                <w:szCs w:val="18"/>
              </w:rPr>
            </w:pPr>
            <w:r>
              <w:rPr>
                <w:rFonts w:ascii="Arial" w:eastAsia="Arial" w:hAnsi="Arial" w:cs="Arial"/>
                <w:color w:val="99150E"/>
                <w:spacing w:val="-14"/>
                <w:sz w:val="18"/>
                <w:szCs w:val="18"/>
              </w:rPr>
              <w:t>T</w:t>
            </w:r>
            <w:r>
              <w:rPr>
                <w:rFonts w:ascii="Arial" w:eastAsia="Arial" w:hAnsi="Arial" w:cs="Arial"/>
                <w:color w:val="99150E"/>
                <w:sz w:val="18"/>
                <w:szCs w:val="18"/>
              </w:rPr>
              <w:t>o</w:t>
            </w:r>
            <w:r>
              <w:rPr>
                <w:rFonts w:ascii="Arial" w:eastAsia="Arial" w:hAnsi="Arial" w:cs="Arial"/>
                <w:color w:val="99150E"/>
                <w:spacing w:val="1"/>
                <w:sz w:val="18"/>
                <w:szCs w:val="18"/>
              </w:rPr>
              <w:t>t</w:t>
            </w:r>
            <w:r>
              <w:rPr>
                <w:rFonts w:ascii="Arial" w:eastAsia="Arial" w:hAnsi="Arial" w:cs="Arial"/>
                <w:color w:val="99150E"/>
                <w:spacing w:val="2"/>
                <w:sz w:val="18"/>
                <w:szCs w:val="18"/>
              </w:rPr>
              <w:t>a</w:t>
            </w:r>
            <w:r>
              <w:rPr>
                <w:rFonts w:ascii="Arial" w:eastAsia="Arial" w:hAnsi="Arial" w:cs="Arial"/>
                <w:color w:val="99150E"/>
                <w:sz w:val="18"/>
                <w:szCs w:val="18"/>
              </w:rPr>
              <w:t>l</w:t>
            </w:r>
            <w:r>
              <w:rPr>
                <w:rFonts w:ascii="Arial" w:eastAsia="Arial" w:hAnsi="Arial" w:cs="Arial"/>
                <w:color w:val="99150E"/>
                <w:spacing w:val="3"/>
                <w:sz w:val="18"/>
                <w:szCs w:val="18"/>
              </w:rPr>
              <w:t xml:space="preserve"> </w:t>
            </w:r>
            <w:r>
              <w:rPr>
                <w:rFonts w:ascii="Arial" w:eastAsia="Arial" w:hAnsi="Arial" w:cs="Arial"/>
                <w:color w:val="99150E"/>
                <w:spacing w:val="-3"/>
                <w:sz w:val="18"/>
                <w:szCs w:val="18"/>
              </w:rPr>
              <w:t>P</w:t>
            </w:r>
            <w:r>
              <w:rPr>
                <w:rFonts w:ascii="Arial" w:eastAsia="Arial" w:hAnsi="Arial" w:cs="Arial"/>
                <w:color w:val="99150E"/>
                <w:sz w:val="18"/>
                <w:szCs w:val="18"/>
              </w:rPr>
              <w:t>o</w:t>
            </w:r>
            <w:r>
              <w:rPr>
                <w:rFonts w:ascii="Arial" w:eastAsia="Arial" w:hAnsi="Arial" w:cs="Arial"/>
                <w:color w:val="99150E"/>
                <w:spacing w:val="2"/>
                <w:sz w:val="18"/>
                <w:szCs w:val="18"/>
              </w:rPr>
              <w:t>s</w:t>
            </w:r>
            <w:r>
              <w:rPr>
                <w:rFonts w:ascii="Arial" w:eastAsia="Arial" w:hAnsi="Arial" w:cs="Arial"/>
                <w:color w:val="99150E"/>
                <w:sz w:val="18"/>
                <w:szCs w:val="18"/>
              </w:rPr>
              <w:t>t</w:t>
            </w:r>
            <w:r>
              <w:rPr>
                <w:rFonts w:ascii="Arial" w:eastAsia="Arial" w:hAnsi="Arial" w:cs="Arial"/>
                <w:color w:val="99150E"/>
                <w:spacing w:val="4"/>
                <w:sz w:val="18"/>
                <w:szCs w:val="18"/>
              </w:rPr>
              <w:t xml:space="preserve"> </w:t>
            </w:r>
            <w:r>
              <w:rPr>
                <w:rFonts w:ascii="Arial" w:eastAsia="Arial" w:hAnsi="Arial" w:cs="Arial"/>
                <w:color w:val="99150E"/>
                <w:spacing w:val="1"/>
                <w:sz w:val="18"/>
                <w:szCs w:val="18"/>
              </w:rPr>
              <w:t>N</w:t>
            </w:r>
            <w:r>
              <w:rPr>
                <w:rFonts w:ascii="Arial" w:eastAsia="Arial" w:hAnsi="Arial" w:cs="Arial"/>
                <w:color w:val="99150E"/>
                <w:spacing w:val="-2"/>
                <w:sz w:val="18"/>
                <w:szCs w:val="18"/>
              </w:rPr>
              <w:t>o</w:t>
            </w:r>
            <w:r>
              <w:rPr>
                <w:rFonts w:ascii="Arial" w:eastAsia="Arial" w:hAnsi="Arial" w:cs="Arial"/>
                <w:color w:val="99150E"/>
                <w:sz w:val="18"/>
                <w:szCs w:val="18"/>
              </w:rPr>
              <w:t>v</w:t>
            </w:r>
            <w:r>
              <w:rPr>
                <w:rFonts w:ascii="Arial" w:eastAsia="Arial" w:hAnsi="Arial" w:cs="Arial"/>
                <w:color w:val="99150E"/>
                <w:spacing w:val="3"/>
                <w:sz w:val="18"/>
                <w:szCs w:val="18"/>
              </w:rPr>
              <w:t xml:space="preserve"> </w:t>
            </w:r>
            <w:r>
              <w:rPr>
                <w:rFonts w:ascii="Arial" w:eastAsia="Arial" w:hAnsi="Arial" w:cs="Arial"/>
                <w:color w:val="99150E"/>
                <w:spacing w:val="-1"/>
                <w:sz w:val="18"/>
                <w:szCs w:val="18"/>
              </w:rPr>
              <w:t>2</w:t>
            </w:r>
            <w:r>
              <w:rPr>
                <w:rFonts w:ascii="Arial" w:eastAsia="Arial" w:hAnsi="Arial" w:cs="Arial"/>
                <w:color w:val="99150E"/>
                <w:spacing w:val="-4"/>
                <w:sz w:val="18"/>
                <w:szCs w:val="18"/>
              </w:rPr>
              <w:t>0</w:t>
            </w:r>
            <w:r>
              <w:rPr>
                <w:rFonts w:ascii="Arial" w:eastAsia="Arial" w:hAnsi="Arial" w:cs="Arial"/>
                <w:color w:val="99150E"/>
                <w:spacing w:val="-9"/>
                <w:sz w:val="18"/>
                <w:szCs w:val="18"/>
              </w:rPr>
              <w:t>1</w:t>
            </w:r>
            <w:r>
              <w:rPr>
                <w:rFonts w:ascii="Arial" w:eastAsia="Arial" w:hAnsi="Arial" w:cs="Arial"/>
                <w:color w:val="99150E"/>
                <w:sz w:val="18"/>
                <w:szCs w:val="18"/>
              </w:rPr>
              <w:t>5</w:t>
            </w:r>
          </w:p>
        </w:tc>
        <w:tc>
          <w:tcPr>
            <w:tcW w:w="921" w:type="dxa"/>
            <w:tcBorders>
              <w:top w:val="single" w:sz="4" w:space="0" w:color="797979"/>
              <w:left w:val="single" w:sz="4" w:space="0" w:color="797979"/>
              <w:bottom w:val="nil"/>
              <w:right w:val="nil"/>
            </w:tcBorders>
          </w:tcPr>
          <w:p w:rsidR="003C17D6" w:rsidRDefault="003C17D6" w:rsidP="002B383B">
            <w:pPr>
              <w:pStyle w:val="TableParagraph"/>
              <w:keepNext/>
              <w:spacing w:before="61"/>
              <w:ind w:left="269"/>
              <w:rPr>
                <w:rFonts w:ascii="Arial" w:eastAsia="Arial" w:hAnsi="Arial" w:cs="Arial"/>
                <w:sz w:val="18"/>
                <w:szCs w:val="18"/>
              </w:rPr>
            </w:pPr>
            <w:r>
              <w:rPr>
                <w:rFonts w:ascii="Arial" w:eastAsia="Arial" w:hAnsi="Arial" w:cs="Arial"/>
                <w:color w:val="99150E"/>
                <w:spacing w:val="-5"/>
                <w:sz w:val="18"/>
                <w:szCs w:val="18"/>
              </w:rPr>
              <w:t>7</w:t>
            </w:r>
            <w:r>
              <w:rPr>
                <w:rFonts w:ascii="Arial" w:eastAsia="Arial" w:hAnsi="Arial" w:cs="Arial"/>
                <w:color w:val="99150E"/>
                <w:spacing w:val="-9"/>
                <w:sz w:val="18"/>
                <w:szCs w:val="18"/>
              </w:rPr>
              <w:t>5</w:t>
            </w:r>
            <w:r>
              <w:rPr>
                <w:rFonts w:ascii="Arial" w:eastAsia="Arial" w:hAnsi="Arial" w:cs="Arial"/>
                <w:color w:val="99150E"/>
                <w:spacing w:val="-11"/>
                <w:sz w:val="18"/>
                <w:szCs w:val="18"/>
              </w:rPr>
              <w:t>14</w:t>
            </w:r>
          </w:p>
        </w:tc>
        <w:tc>
          <w:tcPr>
            <w:tcW w:w="931" w:type="dxa"/>
            <w:gridSpan w:val="2"/>
            <w:tcBorders>
              <w:top w:val="single" w:sz="4" w:space="0" w:color="797979"/>
              <w:left w:val="nil"/>
              <w:bottom w:val="nil"/>
              <w:right w:val="single" w:sz="4" w:space="0" w:color="797979"/>
            </w:tcBorders>
          </w:tcPr>
          <w:p w:rsidR="003C17D6" w:rsidRDefault="003C17D6" w:rsidP="002B383B">
            <w:pPr>
              <w:pStyle w:val="TableParagraph"/>
              <w:keepNext/>
              <w:spacing w:before="61"/>
              <w:ind w:left="198"/>
              <w:rPr>
                <w:rFonts w:ascii="Arial" w:eastAsia="Arial" w:hAnsi="Arial" w:cs="Arial"/>
                <w:sz w:val="18"/>
                <w:szCs w:val="18"/>
              </w:rPr>
            </w:pPr>
            <w:r>
              <w:rPr>
                <w:rFonts w:ascii="Arial" w:eastAsia="Arial" w:hAnsi="Arial" w:cs="Arial"/>
                <w:color w:val="99150E"/>
                <w:spacing w:val="2"/>
                <w:w w:val="105"/>
                <w:sz w:val="18"/>
                <w:szCs w:val="18"/>
              </w:rPr>
              <w:t>9</w:t>
            </w:r>
            <w:r>
              <w:rPr>
                <w:rFonts w:ascii="Arial" w:eastAsia="Arial" w:hAnsi="Arial" w:cs="Arial"/>
                <w:color w:val="99150E"/>
                <w:spacing w:val="-2"/>
                <w:w w:val="105"/>
                <w:sz w:val="18"/>
                <w:szCs w:val="18"/>
              </w:rPr>
              <w:t>5</w:t>
            </w:r>
            <w:r>
              <w:rPr>
                <w:rFonts w:ascii="Arial" w:eastAsia="Arial" w:hAnsi="Arial" w:cs="Arial"/>
                <w:color w:val="99150E"/>
                <w:w w:val="105"/>
                <w:sz w:val="18"/>
                <w:szCs w:val="18"/>
              </w:rPr>
              <w:t>.</w:t>
            </w:r>
            <w:r>
              <w:rPr>
                <w:rFonts w:ascii="Arial" w:eastAsia="Arial" w:hAnsi="Arial" w:cs="Arial"/>
                <w:color w:val="99150E"/>
                <w:spacing w:val="3"/>
                <w:w w:val="105"/>
                <w:sz w:val="18"/>
                <w:szCs w:val="18"/>
              </w:rPr>
              <w:t>9</w:t>
            </w:r>
            <w:r>
              <w:rPr>
                <w:rFonts w:ascii="Arial" w:eastAsia="Arial" w:hAnsi="Arial" w:cs="Arial"/>
                <w:color w:val="99150E"/>
                <w:w w:val="105"/>
                <w:sz w:val="18"/>
                <w:szCs w:val="18"/>
              </w:rPr>
              <w:t>%</w:t>
            </w:r>
          </w:p>
        </w:tc>
        <w:tc>
          <w:tcPr>
            <w:tcW w:w="945" w:type="dxa"/>
            <w:gridSpan w:val="2"/>
            <w:tcBorders>
              <w:top w:val="single" w:sz="4" w:space="0" w:color="797979"/>
              <w:left w:val="single" w:sz="4" w:space="0" w:color="797979"/>
              <w:bottom w:val="nil"/>
              <w:right w:val="single" w:sz="4" w:space="0" w:color="797979"/>
            </w:tcBorders>
          </w:tcPr>
          <w:p w:rsidR="003C17D6" w:rsidRDefault="003C17D6" w:rsidP="002B383B">
            <w:pPr>
              <w:pStyle w:val="TableParagraph"/>
              <w:keepNext/>
              <w:spacing w:before="61"/>
              <w:ind w:left="324" w:right="325"/>
              <w:jc w:val="center"/>
              <w:rPr>
                <w:rFonts w:ascii="Arial" w:eastAsia="Arial" w:hAnsi="Arial" w:cs="Arial"/>
                <w:sz w:val="18"/>
                <w:szCs w:val="18"/>
              </w:rPr>
            </w:pPr>
            <w:r>
              <w:rPr>
                <w:rFonts w:ascii="Arial" w:eastAsia="Arial" w:hAnsi="Arial" w:cs="Arial"/>
                <w:color w:val="99150E"/>
                <w:spacing w:val="-4"/>
                <w:sz w:val="18"/>
                <w:szCs w:val="18"/>
              </w:rPr>
              <w:t>2</w:t>
            </w:r>
            <w:r>
              <w:rPr>
                <w:rFonts w:ascii="Arial" w:eastAsia="Arial" w:hAnsi="Arial" w:cs="Arial"/>
                <w:color w:val="99150E"/>
                <w:sz w:val="18"/>
                <w:szCs w:val="18"/>
              </w:rPr>
              <w:t>.9</w:t>
            </w:r>
          </w:p>
        </w:tc>
        <w:tc>
          <w:tcPr>
            <w:tcW w:w="659" w:type="dxa"/>
            <w:tcBorders>
              <w:top w:val="single" w:sz="4" w:space="0" w:color="797979"/>
              <w:left w:val="single" w:sz="4" w:space="0" w:color="797979"/>
              <w:bottom w:val="nil"/>
              <w:right w:val="nil"/>
            </w:tcBorders>
          </w:tcPr>
          <w:p w:rsidR="003C17D6" w:rsidRDefault="003C17D6" w:rsidP="002B383B">
            <w:pPr>
              <w:pStyle w:val="TableParagraph"/>
              <w:keepNext/>
              <w:spacing w:before="61"/>
              <w:ind w:left="238"/>
              <w:rPr>
                <w:rFonts w:ascii="Arial" w:eastAsia="Arial" w:hAnsi="Arial" w:cs="Arial"/>
                <w:sz w:val="18"/>
                <w:szCs w:val="18"/>
              </w:rPr>
            </w:pPr>
            <w:r>
              <w:rPr>
                <w:rFonts w:ascii="Arial" w:eastAsia="Arial" w:hAnsi="Arial" w:cs="Arial"/>
                <w:color w:val="99150E"/>
                <w:spacing w:val="-6"/>
                <w:sz w:val="18"/>
                <w:szCs w:val="18"/>
              </w:rPr>
              <w:t>3</w:t>
            </w:r>
            <w:r>
              <w:rPr>
                <w:rFonts w:ascii="Arial" w:eastAsia="Arial" w:hAnsi="Arial" w:cs="Arial"/>
                <w:color w:val="99150E"/>
                <w:spacing w:val="-9"/>
                <w:sz w:val="18"/>
                <w:szCs w:val="18"/>
              </w:rPr>
              <w:t>18</w:t>
            </w:r>
          </w:p>
        </w:tc>
        <w:tc>
          <w:tcPr>
            <w:tcW w:w="948" w:type="dxa"/>
            <w:gridSpan w:val="2"/>
            <w:tcBorders>
              <w:top w:val="single" w:sz="4" w:space="0" w:color="797979"/>
              <w:left w:val="nil"/>
              <w:bottom w:val="nil"/>
              <w:right w:val="single" w:sz="4" w:space="0" w:color="797979"/>
            </w:tcBorders>
          </w:tcPr>
          <w:p w:rsidR="003C17D6" w:rsidRDefault="003C17D6" w:rsidP="002B383B">
            <w:pPr>
              <w:pStyle w:val="TableParagraph"/>
              <w:keepNext/>
              <w:spacing w:before="61"/>
              <w:ind w:left="328"/>
              <w:rPr>
                <w:rFonts w:ascii="Arial" w:eastAsia="Arial" w:hAnsi="Arial" w:cs="Arial"/>
                <w:sz w:val="18"/>
                <w:szCs w:val="18"/>
              </w:rPr>
            </w:pPr>
            <w:r>
              <w:rPr>
                <w:rFonts w:ascii="Arial" w:eastAsia="Arial" w:hAnsi="Arial" w:cs="Arial"/>
                <w:color w:val="99150E"/>
                <w:spacing w:val="-2"/>
                <w:w w:val="105"/>
                <w:sz w:val="18"/>
                <w:szCs w:val="18"/>
              </w:rPr>
              <w:t>4</w:t>
            </w:r>
            <w:r>
              <w:rPr>
                <w:rFonts w:ascii="Arial" w:eastAsia="Arial" w:hAnsi="Arial" w:cs="Arial"/>
                <w:color w:val="99150E"/>
                <w:spacing w:val="-17"/>
                <w:w w:val="105"/>
                <w:sz w:val="18"/>
                <w:szCs w:val="18"/>
              </w:rPr>
              <w:t>.</w:t>
            </w:r>
            <w:r>
              <w:rPr>
                <w:rFonts w:ascii="Arial" w:eastAsia="Arial" w:hAnsi="Arial" w:cs="Arial"/>
                <w:color w:val="99150E"/>
                <w:spacing w:val="-8"/>
                <w:w w:val="105"/>
                <w:sz w:val="18"/>
                <w:szCs w:val="18"/>
              </w:rPr>
              <w:t>1</w:t>
            </w:r>
            <w:r>
              <w:rPr>
                <w:rFonts w:ascii="Arial" w:eastAsia="Arial" w:hAnsi="Arial" w:cs="Arial"/>
                <w:color w:val="99150E"/>
                <w:w w:val="105"/>
                <w:sz w:val="18"/>
                <w:szCs w:val="18"/>
              </w:rPr>
              <w:t>%</w:t>
            </w:r>
          </w:p>
        </w:tc>
        <w:tc>
          <w:tcPr>
            <w:tcW w:w="869" w:type="dxa"/>
            <w:tcBorders>
              <w:top w:val="single" w:sz="4" w:space="0" w:color="797979"/>
              <w:left w:val="single" w:sz="4" w:space="0" w:color="797979"/>
              <w:bottom w:val="nil"/>
              <w:right w:val="single" w:sz="4" w:space="0" w:color="797979"/>
            </w:tcBorders>
          </w:tcPr>
          <w:p w:rsidR="003C17D6" w:rsidRDefault="003C17D6" w:rsidP="002B383B">
            <w:pPr>
              <w:pStyle w:val="TableParagraph"/>
              <w:keepNext/>
              <w:spacing w:before="61"/>
              <w:ind w:right="16"/>
              <w:jc w:val="center"/>
              <w:rPr>
                <w:rFonts w:ascii="Arial" w:eastAsia="Arial" w:hAnsi="Arial" w:cs="Arial"/>
                <w:sz w:val="18"/>
                <w:szCs w:val="18"/>
              </w:rPr>
            </w:pPr>
            <w:r>
              <w:rPr>
                <w:rFonts w:ascii="Arial" w:eastAsia="Arial" w:hAnsi="Arial" w:cs="Arial"/>
                <w:color w:val="99150E"/>
                <w:sz w:val="18"/>
                <w:szCs w:val="18"/>
              </w:rPr>
              <w:t>3</w:t>
            </w:r>
            <w:r>
              <w:rPr>
                <w:rFonts w:ascii="Arial" w:eastAsia="Arial" w:hAnsi="Arial" w:cs="Arial"/>
                <w:color w:val="99150E"/>
                <w:spacing w:val="-16"/>
                <w:sz w:val="18"/>
                <w:szCs w:val="18"/>
              </w:rPr>
              <w:t>.1</w:t>
            </w:r>
          </w:p>
        </w:tc>
        <w:tc>
          <w:tcPr>
            <w:tcW w:w="940" w:type="dxa"/>
            <w:tcBorders>
              <w:top w:val="single" w:sz="4" w:space="0" w:color="797979"/>
              <w:left w:val="single" w:sz="4" w:space="0" w:color="797979"/>
              <w:bottom w:val="nil"/>
              <w:right w:val="nil"/>
            </w:tcBorders>
          </w:tcPr>
          <w:p w:rsidR="003C17D6" w:rsidRDefault="003C17D6" w:rsidP="002B383B">
            <w:pPr>
              <w:pStyle w:val="TableParagraph"/>
              <w:keepNext/>
              <w:spacing w:before="61"/>
              <w:ind w:left="264"/>
              <w:rPr>
                <w:rFonts w:ascii="Arial" w:eastAsia="Arial" w:hAnsi="Arial" w:cs="Arial"/>
                <w:sz w:val="18"/>
                <w:szCs w:val="18"/>
              </w:rPr>
            </w:pPr>
            <w:r>
              <w:rPr>
                <w:rFonts w:ascii="Arial" w:eastAsia="Arial" w:hAnsi="Arial" w:cs="Arial"/>
                <w:color w:val="99150E"/>
                <w:spacing w:val="-3"/>
                <w:sz w:val="18"/>
                <w:szCs w:val="18"/>
              </w:rPr>
              <w:t>7</w:t>
            </w:r>
            <w:r>
              <w:rPr>
                <w:rFonts w:ascii="Arial" w:eastAsia="Arial" w:hAnsi="Arial" w:cs="Arial"/>
                <w:color w:val="99150E"/>
                <w:spacing w:val="2"/>
                <w:sz w:val="18"/>
                <w:szCs w:val="18"/>
              </w:rPr>
              <w:t>8</w:t>
            </w:r>
            <w:r>
              <w:rPr>
                <w:rFonts w:ascii="Arial" w:eastAsia="Arial" w:hAnsi="Arial" w:cs="Arial"/>
                <w:color w:val="99150E"/>
                <w:sz w:val="18"/>
                <w:szCs w:val="18"/>
              </w:rPr>
              <w:t>32</w:t>
            </w:r>
          </w:p>
        </w:tc>
      </w:tr>
      <w:tr w:rsidR="003C17D6" w:rsidTr="002B383B">
        <w:trPr>
          <w:trHeight w:hRule="exact" w:val="315"/>
        </w:trPr>
        <w:tc>
          <w:tcPr>
            <w:tcW w:w="1946" w:type="dxa"/>
            <w:tcBorders>
              <w:top w:val="nil"/>
              <w:left w:val="nil"/>
              <w:bottom w:val="nil"/>
              <w:right w:val="nil"/>
            </w:tcBorders>
            <w:shd w:val="clear" w:color="auto" w:fill="C3D9DC"/>
          </w:tcPr>
          <w:p w:rsidR="003C17D6" w:rsidRDefault="003C17D6" w:rsidP="002B383B">
            <w:pPr>
              <w:pStyle w:val="TableParagraph"/>
              <w:keepNext/>
              <w:spacing w:before="66"/>
              <w:ind w:left="79"/>
              <w:rPr>
                <w:rFonts w:ascii="Arial" w:eastAsia="Arial" w:hAnsi="Arial" w:cs="Arial"/>
                <w:sz w:val="18"/>
                <w:szCs w:val="18"/>
              </w:rPr>
            </w:pPr>
            <w:r>
              <w:rPr>
                <w:rFonts w:ascii="Arial" w:eastAsia="Arial" w:hAnsi="Arial" w:cs="Arial"/>
                <w:b/>
                <w:bCs/>
                <w:spacing w:val="-12"/>
                <w:sz w:val="18"/>
                <w:szCs w:val="18"/>
              </w:rPr>
              <w:t>T</w:t>
            </w:r>
            <w:r>
              <w:rPr>
                <w:rFonts w:ascii="Arial" w:eastAsia="Arial" w:hAnsi="Arial" w:cs="Arial"/>
                <w:b/>
                <w:bCs/>
                <w:spacing w:val="1"/>
                <w:sz w:val="18"/>
                <w:szCs w:val="18"/>
              </w:rPr>
              <w:t>o</w:t>
            </w:r>
            <w:r>
              <w:rPr>
                <w:rFonts w:ascii="Arial" w:eastAsia="Arial" w:hAnsi="Arial" w:cs="Arial"/>
                <w:b/>
                <w:bCs/>
                <w:spacing w:val="3"/>
                <w:sz w:val="18"/>
                <w:szCs w:val="18"/>
              </w:rPr>
              <w:t>t</w:t>
            </w:r>
            <w:r>
              <w:rPr>
                <w:rFonts w:ascii="Arial" w:eastAsia="Arial" w:hAnsi="Arial" w:cs="Arial"/>
                <w:b/>
                <w:bCs/>
                <w:spacing w:val="2"/>
                <w:sz w:val="18"/>
                <w:szCs w:val="18"/>
              </w:rPr>
              <w:t>a</w:t>
            </w:r>
            <w:r>
              <w:rPr>
                <w:rFonts w:ascii="Arial" w:eastAsia="Arial" w:hAnsi="Arial" w:cs="Arial"/>
                <w:b/>
                <w:bCs/>
                <w:sz w:val="18"/>
                <w:szCs w:val="18"/>
              </w:rPr>
              <w:t>l</w:t>
            </w:r>
          </w:p>
        </w:tc>
        <w:tc>
          <w:tcPr>
            <w:tcW w:w="921" w:type="dxa"/>
            <w:tcBorders>
              <w:top w:val="nil"/>
              <w:left w:val="nil"/>
              <w:bottom w:val="nil"/>
              <w:right w:val="nil"/>
            </w:tcBorders>
            <w:shd w:val="clear" w:color="auto" w:fill="C3D9DC"/>
          </w:tcPr>
          <w:p w:rsidR="003C17D6" w:rsidRDefault="003C17D6" w:rsidP="002B383B">
            <w:pPr>
              <w:pStyle w:val="TableParagraph"/>
              <w:keepNext/>
              <w:spacing w:before="66"/>
              <w:ind w:left="202"/>
              <w:rPr>
                <w:rFonts w:ascii="Arial" w:eastAsia="Arial" w:hAnsi="Arial" w:cs="Arial"/>
                <w:sz w:val="18"/>
                <w:szCs w:val="18"/>
              </w:rPr>
            </w:pPr>
            <w:r>
              <w:rPr>
                <w:rFonts w:ascii="Arial" w:eastAsia="Arial" w:hAnsi="Arial" w:cs="Arial"/>
                <w:b/>
                <w:bCs/>
                <w:spacing w:val="5"/>
                <w:sz w:val="18"/>
                <w:szCs w:val="18"/>
              </w:rPr>
              <w:t>46</w:t>
            </w:r>
            <w:r>
              <w:rPr>
                <w:rFonts w:ascii="Arial" w:eastAsia="Arial" w:hAnsi="Arial" w:cs="Arial"/>
                <w:b/>
                <w:bCs/>
                <w:spacing w:val="4"/>
                <w:sz w:val="18"/>
                <w:szCs w:val="18"/>
              </w:rPr>
              <w:t>59</w:t>
            </w:r>
            <w:r>
              <w:rPr>
                <w:rFonts w:ascii="Arial" w:eastAsia="Arial" w:hAnsi="Arial" w:cs="Arial"/>
                <w:b/>
                <w:bCs/>
                <w:sz w:val="18"/>
                <w:szCs w:val="18"/>
              </w:rPr>
              <w:t>3</w:t>
            </w:r>
          </w:p>
        </w:tc>
        <w:tc>
          <w:tcPr>
            <w:tcW w:w="931" w:type="dxa"/>
            <w:gridSpan w:val="2"/>
            <w:tcBorders>
              <w:top w:val="nil"/>
              <w:left w:val="nil"/>
              <w:bottom w:val="nil"/>
              <w:right w:val="nil"/>
            </w:tcBorders>
            <w:shd w:val="clear" w:color="auto" w:fill="C3D9DC"/>
          </w:tcPr>
          <w:p w:rsidR="003C17D6" w:rsidRDefault="003C17D6" w:rsidP="002B383B">
            <w:pPr>
              <w:keepNext/>
            </w:pPr>
          </w:p>
        </w:tc>
        <w:tc>
          <w:tcPr>
            <w:tcW w:w="945" w:type="dxa"/>
            <w:gridSpan w:val="2"/>
            <w:tcBorders>
              <w:top w:val="nil"/>
              <w:left w:val="nil"/>
              <w:bottom w:val="nil"/>
              <w:right w:val="nil"/>
            </w:tcBorders>
            <w:shd w:val="clear" w:color="auto" w:fill="C3D9DC"/>
          </w:tcPr>
          <w:p w:rsidR="003C17D6" w:rsidRDefault="003C17D6" w:rsidP="002B383B">
            <w:pPr>
              <w:pStyle w:val="TableParagraph"/>
              <w:keepNext/>
              <w:spacing w:before="66"/>
              <w:ind w:left="2"/>
              <w:jc w:val="center"/>
              <w:rPr>
                <w:rFonts w:ascii="Arial" w:eastAsia="Arial" w:hAnsi="Arial" w:cs="Arial"/>
                <w:sz w:val="18"/>
                <w:szCs w:val="18"/>
              </w:rPr>
            </w:pPr>
            <w:r>
              <w:rPr>
                <w:rFonts w:ascii="Arial" w:eastAsia="Arial" w:hAnsi="Arial" w:cs="Arial"/>
                <w:b/>
                <w:bCs/>
                <w:spacing w:val="4"/>
                <w:sz w:val="18"/>
                <w:szCs w:val="18"/>
              </w:rPr>
              <w:t>3</w:t>
            </w:r>
            <w:r>
              <w:rPr>
                <w:rFonts w:ascii="Arial" w:eastAsia="Arial" w:hAnsi="Arial" w:cs="Arial"/>
                <w:b/>
                <w:bCs/>
                <w:spacing w:val="2"/>
                <w:sz w:val="18"/>
                <w:szCs w:val="18"/>
              </w:rPr>
              <w:t>.4</w:t>
            </w:r>
          </w:p>
        </w:tc>
        <w:tc>
          <w:tcPr>
            <w:tcW w:w="659" w:type="dxa"/>
            <w:tcBorders>
              <w:top w:val="nil"/>
              <w:left w:val="nil"/>
              <w:bottom w:val="nil"/>
              <w:right w:val="nil"/>
            </w:tcBorders>
            <w:shd w:val="clear" w:color="auto" w:fill="C3D9DC"/>
          </w:tcPr>
          <w:p w:rsidR="003C17D6" w:rsidRDefault="003C17D6" w:rsidP="002B383B">
            <w:pPr>
              <w:pStyle w:val="TableParagraph"/>
              <w:keepNext/>
              <w:spacing w:before="66"/>
              <w:ind w:left="189"/>
              <w:rPr>
                <w:rFonts w:ascii="Arial" w:eastAsia="Arial" w:hAnsi="Arial" w:cs="Arial"/>
                <w:sz w:val="18"/>
                <w:szCs w:val="18"/>
              </w:rPr>
            </w:pPr>
            <w:r>
              <w:rPr>
                <w:rFonts w:ascii="Arial" w:eastAsia="Arial" w:hAnsi="Arial" w:cs="Arial"/>
                <w:b/>
                <w:bCs/>
                <w:spacing w:val="1"/>
                <w:sz w:val="18"/>
                <w:szCs w:val="18"/>
              </w:rPr>
              <w:t>3</w:t>
            </w:r>
            <w:r>
              <w:rPr>
                <w:rFonts w:ascii="Arial" w:eastAsia="Arial" w:hAnsi="Arial" w:cs="Arial"/>
                <w:b/>
                <w:bCs/>
                <w:spacing w:val="-2"/>
                <w:sz w:val="18"/>
                <w:szCs w:val="18"/>
              </w:rPr>
              <w:t>7</w:t>
            </w:r>
            <w:r>
              <w:rPr>
                <w:rFonts w:ascii="Arial" w:eastAsia="Arial" w:hAnsi="Arial" w:cs="Arial"/>
                <w:b/>
                <w:bCs/>
                <w:spacing w:val="-4"/>
                <w:sz w:val="18"/>
                <w:szCs w:val="18"/>
              </w:rPr>
              <w:t>16</w:t>
            </w:r>
          </w:p>
        </w:tc>
        <w:tc>
          <w:tcPr>
            <w:tcW w:w="948" w:type="dxa"/>
            <w:gridSpan w:val="2"/>
            <w:tcBorders>
              <w:top w:val="nil"/>
              <w:left w:val="nil"/>
              <w:bottom w:val="nil"/>
              <w:right w:val="nil"/>
            </w:tcBorders>
            <w:shd w:val="clear" w:color="auto" w:fill="C3D9DC"/>
          </w:tcPr>
          <w:p w:rsidR="003C17D6" w:rsidRDefault="003C17D6" w:rsidP="002B383B">
            <w:pPr>
              <w:keepNext/>
            </w:pPr>
          </w:p>
        </w:tc>
        <w:tc>
          <w:tcPr>
            <w:tcW w:w="869" w:type="dxa"/>
            <w:tcBorders>
              <w:top w:val="nil"/>
              <w:left w:val="nil"/>
              <w:bottom w:val="nil"/>
              <w:right w:val="nil"/>
            </w:tcBorders>
            <w:shd w:val="clear" w:color="auto" w:fill="C3D9DC"/>
          </w:tcPr>
          <w:p w:rsidR="003C17D6" w:rsidRDefault="003C17D6" w:rsidP="002B383B">
            <w:pPr>
              <w:pStyle w:val="TableParagraph"/>
              <w:keepNext/>
              <w:spacing w:before="66"/>
              <w:jc w:val="center"/>
              <w:rPr>
                <w:rFonts w:ascii="Arial" w:eastAsia="Arial" w:hAnsi="Arial" w:cs="Arial"/>
                <w:sz w:val="18"/>
                <w:szCs w:val="18"/>
              </w:rPr>
            </w:pPr>
            <w:r>
              <w:rPr>
                <w:rFonts w:ascii="Arial" w:eastAsia="Arial" w:hAnsi="Arial" w:cs="Arial"/>
                <w:b/>
                <w:bCs/>
                <w:spacing w:val="3"/>
                <w:sz w:val="18"/>
                <w:szCs w:val="18"/>
              </w:rPr>
              <w:t>4</w:t>
            </w:r>
            <w:r>
              <w:rPr>
                <w:rFonts w:ascii="Arial" w:eastAsia="Arial" w:hAnsi="Arial" w:cs="Arial"/>
                <w:b/>
                <w:bCs/>
                <w:spacing w:val="7"/>
                <w:sz w:val="18"/>
                <w:szCs w:val="18"/>
              </w:rPr>
              <w:t>.</w:t>
            </w:r>
            <w:r>
              <w:rPr>
                <w:rFonts w:ascii="Arial" w:eastAsia="Arial" w:hAnsi="Arial" w:cs="Arial"/>
                <w:b/>
                <w:bCs/>
                <w:sz w:val="18"/>
                <w:szCs w:val="18"/>
              </w:rPr>
              <w:t>2</w:t>
            </w:r>
          </w:p>
        </w:tc>
        <w:tc>
          <w:tcPr>
            <w:tcW w:w="940" w:type="dxa"/>
            <w:tcBorders>
              <w:top w:val="nil"/>
              <w:left w:val="nil"/>
              <w:bottom w:val="nil"/>
              <w:right w:val="nil"/>
            </w:tcBorders>
            <w:shd w:val="clear" w:color="auto" w:fill="C3D9DC"/>
          </w:tcPr>
          <w:p w:rsidR="003C17D6" w:rsidRDefault="003C17D6" w:rsidP="002B383B">
            <w:pPr>
              <w:pStyle w:val="TableParagraph"/>
              <w:keepNext/>
              <w:spacing w:before="66"/>
              <w:ind w:left="208"/>
              <w:rPr>
                <w:rFonts w:ascii="Arial" w:eastAsia="Arial" w:hAnsi="Arial" w:cs="Arial"/>
                <w:sz w:val="18"/>
                <w:szCs w:val="18"/>
              </w:rPr>
            </w:pPr>
            <w:r>
              <w:rPr>
                <w:rFonts w:ascii="Arial" w:eastAsia="Arial" w:hAnsi="Arial" w:cs="Arial"/>
                <w:b/>
                <w:bCs/>
                <w:spacing w:val="5"/>
                <w:sz w:val="18"/>
                <w:szCs w:val="18"/>
              </w:rPr>
              <w:t>50</w:t>
            </w:r>
            <w:r>
              <w:rPr>
                <w:rFonts w:ascii="Arial" w:eastAsia="Arial" w:hAnsi="Arial" w:cs="Arial"/>
                <w:b/>
                <w:bCs/>
                <w:spacing w:val="6"/>
                <w:sz w:val="18"/>
                <w:szCs w:val="18"/>
              </w:rPr>
              <w:t>30</w:t>
            </w:r>
            <w:r>
              <w:rPr>
                <w:rFonts w:ascii="Arial" w:eastAsia="Arial" w:hAnsi="Arial" w:cs="Arial"/>
                <w:b/>
                <w:bCs/>
                <w:sz w:val="18"/>
                <w:szCs w:val="18"/>
              </w:rPr>
              <w:t>9</w:t>
            </w:r>
          </w:p>
        </w:tc>
      </w:tr>
    </w:tbl>
    <w:p w:rsidR="00A02A95" w:rsidRPr="0090554C" w:rsidRDefault="00FF3DB6" w:rsidP="000967B0">
      <w:pPr>
        <w:spacing w:before="120"/>
      </w:pPr>
      <w:r>
        <w:rPr>
          <w:bCs/>
        </w:rPr>
        <w:t>Table 2</w:t>
      </w:r>
      <w:r w:rsidR="004B4334">
        <w:rPr>
          <w:bCs/>
        </w:rPr>
        <w:t xml:space="preserve"> shows that the difference in the </w:t>
      </w:r>
      <w:r w:rsidR="00A02A95" w:rsidRPr="00716B9E">
        <w:rPr>
          <w:bCs/>
        </w:rPr>
        <w:t xml:space="preserve">AAWI </w:t>
      </w:r>
      <w:r w:rsidR="00A02A95" w:rsidRPr="004B4334">
        <w:t xml:space="preserve">for </w:t>
      </w:r>
      <w:r w:rsidR="004B4334">
        <w:t>g</w:t>
      </w:r>
      <w:r w:rsidR="00A02A95" w:rsidRPr="004B4334">
        <w:t>reenfields</w:t>
      </w:r>
      <w:r w:rsidR="004B4334">
        <w:t xml:space="preserve"> when compared with </w:t>
      </w:r>
      <w:r w:rsidR="00A02A95" w:rsidRPr="004B4334">
        <w:t>non-</w:t>
      </w:r>
      <w:r w:rsidR="004B4334">
        <w:t>g</w:t>
      </w:r>
      <w:r w:rsidR="00A02A95" w:rsidRPr="004B4334">
        <w:t xml:space="preserve">reenfields </w:t>
      </w:r>
      <w:r w:rsidR="004B4334">
        <w:t xml:space="preserve">has declined since the commencement of the </w:t>
      </w:r>
      <w:r w:rsidR="00A02A95" w:rsidRPr="00716B9E">
        <w:rPr>
          <w:bCs/>
        </w:rPr>
        <w:t xml:space="preserve">Amendment </w:t>
      </w:r>
      <w:r w:rsidR="004B4334">
        <w:rPr>
          <w:bCs/>
        </w:rPr>
        <w:t xml:space="preserve">Act, from </w:t>
      </w:r>
      <w:r w:rsidR="00A02A95" w:rsidRPr="0090554C">
        <w:t>0.8% prior to the Amendment</w:t>
      </w:r>
      <w:r w:rsidR="004B4334">
        <w:t xml:space="preserve"> Act commencing, to </w:t>
      </w:r>
      <w:r w:rsidR="00A02A95" w:rsidRPr="0090554C">
        <w:t>0.2% after</w:t>
      </w:r>
      <w:r w:rsidR="004B4334">
        <w:t xml:space="preserve">. However, the gap </w:t>
      </w:r>
      <w:r w:rsidR="00A02A95" w:rsidRPr="0090554C">
        <w:t>has really been relatively small since around 2014</w:t>
      </w:r>
      <w:r w:rsidR="004B4334">
        <w:t>, suggesting the decline in wage increases for greenfields projects may be related to the broader factors such as the downturn in resource prices and reduced</w:t>
      </w:r>
      <w:r w:rsidR="00A02A95" w:rsidRPr="0090554C">
        <w:t xml:space="preserve"> </w:t>
      </w:r>
      <w:r w:rsidR="004B4334">
        <w:t>numbers of greenfields projects.</w:t>
      </w:r>
    </w:p>
    <w:p w:rsidR="00103285" w:rsidRDefault="000932A3" w:rsidP="00A3568C">
      <w:r>
        <w:t>Two</w:t>
      </w:r>
      <w:r w:rsidR="00271A62">
        <w:t xml:space="preserve"> table</w:t>
      </w:r>
      <w:r>
        <w:t>s</w:t>
      </w:r>
      <w:r w:rsidR="00271A62">
        <w:t xml:space="preserve"> setting out </w:t>
      </w:r>
      <w:r w:rsidR="00103285">
        <w:t>g</w:t>
      </w:r>
      <w:r w:rsidR="004B4334" w:rsidRPr="004B4334">
        <w:t xml:space="preserve">reenfields </w:t>
      </w:r>
      <w:r w:rsidR="00103285">
        <w:t>and non-greenfields</w:t>
      </w:r>
      <w:r w:rsidR="00271A62">
        <w:t xml:space="preserve"> agreements</w:t>
      </w:r>
      <w:r w:rsidR="00103285">
        <w:t xml:space="preserve"> </w:t>
      </w:r>
      <w:r w:rsidR="004B4334" w:rsidRPr="004B4334">
        <w:t>by ANZSIC and period approved</w:t>
      </w:r>
      <w:r w:rsidR="00271A62">
        <w:t xml:space="preserve"> </w:t>
      </w:r>
      <w:r>
        <w:t>are</w:t>
      </w:r>
      <w:r w:rsidR="00271A62">
        <w:t xml:space="preserve"> included</w:t>
      </w:r>
      <w:r w:rsidR="00103285">
        <w:t xml:space="preserve"> at </w:t>
      </w:r>
      <w:r w:rsidR="00103285" w:rsidRPr="00BF72E1">
        <w:t xml:space="preserve">Attachment </w:t>
      </w:r>
      <w:r w:rsidR="00BF72E1" w:rsidRPr="00BF72E1">
        <w:t>C</w:t>
      </w:r>
      <w:r w:rsidR="00103285">
        <w:t xml:space="preserve">. </w:t>
      </w:r>
      <w:r>
        <w:t xml:space="preserve">These </w:t>
      </w:r>
      <w:r w:rsidR="00103285">
        <w:t xml:space="preserve">provide a high level overview showing that the number of greenfields agreements when compared to non-greenfields agreements has been trending downwards since at least 2013. </w:t>
      </w:r>
    </w:p>
    <w:p w:rsidR="00103285" w:rsidRDefault="000932A3" w:rsidP="00A3568C">
      <w:r>
        <w:t>They</w:t>
      </w:r>
      <w:r w:rsidR="00103285">
        <w:t xml:space="preserve"> also show which industries are most likely to use a greenfields agreement, with</w:t>
      </w:r>
      <w:r w:rsidR="006C208B">
        <w:t xml:space="preserve"> the</w:t>
      </w:r>
      <w:r w:rsidR="00103285">
        <w:t xml:space="preserve"> construction</w:t>
      </w:r>
      <w:r w:rsidR="006C208B">
        <w:t xml:space="preserve"> industry</w:t>
      </w:r>
      <w:r w:rsidR="00103285">
        <w:t xml:space="preserve"> a disproportionate</w:t>
      </w:r>
      <w:r w:rsidR="001D62DD">
        <w:t>ly large</w:t>
      </w:r>
      <w:r w:rsidR="00103285">
        <w:t xml:space="preserve"> user. The number of construction greenfields agreements has also been trending downwards since 2013.</w:t>
      </w:r>
    </w:p>
    <w:p w:rsidR="00BF1301" w:rsidRDefault="00BF1301" w:rsidP="00BF1301">
      <w:pPr>
        <w:pStyle w:val="Caption"/>
        <w:keepNext/>
      </w:pPr>
      <w:r>
        <w:lastRenderedPageBreak/>
        <w:t xml:space="preserve">Table </w:t>
      </w:r>
      <w:r>
        <w:fldChar w:fldCharType="begin"/>
      </w:r>
      <w:r>
        <w:instrText xml:space="preserve"> SEQ Table \* ARABIC </w:instrText>
      </w:r>
      <w:r>
        <w:fldChar w:fldCharType="separate"/>
      </w:r>
      <w:r w:rsidR="002C20F1">
        <w:rPr>
          <w:noProof/>
        </w:rPr>
        <w:t>3</w:t>
      </w:r>
      <w:r>
        <w:fldChar w:fldCharType="end"/>
      </w:r>
      <w:r w:rsidRPr="009F3AC6">
        <w:t>: Greenfields agreements approved by State over the last 4 years</w:t>
      </w:r>
      <w:r w:rsidRPr="00A3568C">
        <w:rPr>
          <w:rStyle w:val="FootnoteReference"/>
          <w:b w:val="0"/>
        </w:rPr>
        <w:footnoteReference w:id="6"/>
      </w:r>
    </w:p>
    <w:tbl>
      <w:tblPr>
        <w:tblW w:w="0" w:type="auto"/>
        <w:tblLayout w:type="fixed"/>
        <w:tblCellMar>
          <w:left w:w="0" w:type="dxa"/>
          <w:right w:w="0" w:type="dxa"/>
        </w:tblCellMar>
        <w:tblLook w:val="01E0" w:firstRow="1" w:lastRow="1" w:firstColumn="1" w:lastColumn="1" w:noHBand="0" w:noVBand="0"/>
        <w:tblCaption w:val="Table 3 – Number of greenfields agreements approved over the past four years, by State."/>
        <w:tblDescription w:val="Table 3 shows that over the past four years 41 per cent of all greenfields agreements made cover Western Australia. 15 per cent of agreements cover more than one state. The states with the next highest proportion of approved greenfields agreements in the past four years are Victoria at 13 per cent, Queensland and New South Wales at 11 per cent each, and the Northern Territory at 6 per cent. The remaining states and territories each account for 2 per cent or less of agreements."/>
      </w:tblPr>
      <w:tblGrid>
        <w:gridCol w:w="3287"/>
        <w:gridCol w:w="2336"/>
        <w:gridCol w:w="2530"/>
      </w:tblGrid>
      <w:tr w:rsidR="003C17D6" w:rsidTr="00BF1301">
        <w:trPr>
          <w:trHeight w:hRule="exact" w:val="615"/>
          <w:tblHeader/>
        </w:trPr>
        <w:tc>
          <w:tcPr>
            <w:tcW w:w="3287" w:type="dxa"/>
            <w:tcBorders>
              <w:top w:val="nil"/>
              <w:left w:val="nil"/>
              <w:bottom w:val="nil"/>
              <w:right w:val="nil"/>
            </w:tcBorders>
            <w:shd w:val="clear" w:color="auto" w:fill="006D68"/>
            <w:vAlign w:val="center"/>
          </w:tcPr>
          <w:p w:rsidR="003C17D6" w:rsidRDefault="003C17D6" w:rsidP="00BF1301">
            <w:pPr>
              <w:pStyle w:val="TableParagraph"/>
              <w:keepNext/>
              <w:ind w:left="1030"/>
              <w:rPr>
                <w:rFonts w:ascii="Arial" w:eastAsia="Arial" w:hAnsi="Arial" w:cs="Arial"/>
                <w:sz w:val="19"/>
                <w:szCs w:val="19"/>
              </w:rPr>
            </w:pPr>
            <w:r>
              <w:rPr>
                <w:rFonts w:ascii="Arial" w:eastAsia="Arial" w:hAnsi="Arial" w:cs="Arial"/>
                <w:color w:val="FFFFFF"/>
                <w:w w:val="105"/>
                <w:sz w:val="19"/>
                <w:szCs w:val="19"/>
              </w:rPr>
              <w:t>A</w:t>
            </w:r>
            <w:r>
              <w:rPr>
                <w:rFonts w:ascii="Arial" w:eastAsia="Arial" w:hAnsi="Arial" w:cs="Arial"/>
                <w:color w:val="FFFFFF"/>
                <w:spacing w:val="1"/>
                <w:w w:val="105"/>
                <w:sz w:val="19"/>
                <w:szCs w:val="19"/>
              </w:rPr>
              <w:t>gr</w:t>
            </w:r>
            <w:r>
              <w:rPr>
                <w:rFonts w:ascii="Arial" w:eastAsia="Arial" w:hAnsi="Arial" w:cs="Arial"/>
                <w:color w:val="FFFFFF"/>
                <w:spacing w:val="3"/>
                <w:w w:val="105"/>
                <w:sz w:val="19"/>
                <w:szCs w:val="19"/>
              </w:rPr>
              <w:t>e</w:t>
            </w:r>
            <w:r>
              <w:rPr>
                <w:rFonts w:ascii="Arial" w:eastAsia="Arial" w:hAnsi="Arial" w:cs="Arial"/>
                <w:color w:val="FFFFFF"/>
                <w:spacing w:val="2"/>
                <w:w w:val="105"/>
                <w:sz w:val="19"/>
                <w:szCs w:val="19"/>
              </w:rPr>
              <w:t>e</w:t>
            </w:r>
            <w:r>
              <w:rPr>
                <w:rFonts w:ascii="Arial" w:eastAsia="Arial" w:hAnsi="Arial" w:cs="Arial"/>
                <w:color w:val="FFFFFF"/>
                <w:spacing w:val="1"/>
                <w:w w:val="105"/>
                <w:sz w:val="19"/>
                <w:szCs w:val="19"/>
              </w:rPr>
              <w:t>m</w:t>
            </w:r>
            <w:r>
              <w:rPr>
                <w:rFonts w:ascii="Arial" w:eastAsia="Arial" w:hAnsi="Arial" w:cs="Arial"/>
                <w:color w:val="FFFFFF"/>
                <w:spacing w:val="2"/>
                <w:w w:val="105"/>
                <w:sz w:val="19"/>
                <w:szCs w:val="19"/>
              </w:rPr>
              <w:t>e</w:t>
            </w:r>
            <w:r>
              <w:rPr>
                <w:rFonts w:ascii="Arial" w:eastAsia="Arial" w:hAnsi="Arial" w:cs="Arial"/>
                <w:color w:val="FFFFFF"/>
                <w:spacing w:val="1"/>
                <w:w w:val="105"/>
                <w:sz w:val="19"/>
                <w:szCs w:val="19"/>
              </w:rPr>
              <w:t>n</w:t>
            </w:r>
            <w:r>
              <w:rPr>
                <w:rFonts w:ascii="Arial" w:eastAsia="Arial" w:hAnsi="Arial" w:cs="Arial"/>
                <w:color w:val="FFFFFF"/>
                <w:w w:val="105"/>
                <w:sz w:val="19"/>
                <w:szCs w:val="19"/>
              </w:rPr>
              <w:t>t</w:t>
            </w:r>
            <w:r>
              <w:rPr>
                <w:rFonts w:ascii="Arial" w:eastAsia="Arial" w:hAnsi="Arial" w:cs="Arial"/>
                <w:color w:val="FFFFFF"/>
                <w:spacing w:val="-24"/>
                <w:w w:val="105"/>
                <w:sz w:val="19"/>
                <w:szCs w:val="19"/>
              </w:rPr>
              <w:t xml:space="preserve"> </w:t>
            </w:r>
            <w:r>
              <w:rPr>
                <w:rFonts w:ascii="Arial" w:eastAsia="Arial" w:hAnsi="Arial" w:cs="Arial"/>
                <w:color w:val="FFFFFF"/>
                <w:spacing w:val="-16"/>
                <w:w w:val="105"/>
                <w:sz w:val="19"/>
                <w:szCs w:val="19"/>
              </w:rPr>
              <w:t>T</w:t>
            </w:r>
            <w:r>
              <w:rPr>
                <w:rFonts w:ascii="Arial" w:eastAsia="Arial" w:hAnsi="Arial" w:cs="Arial"/>
                <w:color w:val="FFFFFF"/>
                <w:spacing w:val="1"/>
                <w:w w:val="105"/>
                <w:sz w:val="19"/>
                <w:szCs w:val="19"/>
              </w:rPr>
              <w:t>yp</w:t>
            </w:r>
            <w:r>
              <w:rPr>
                <w:rFonts w:ascii="Arial" w:eastAsia="Arial" w:hAnsi="Arial" w:cs="Arial"/>
                <w:color w:val="FFFFFF"/>
                <w:w w:val="105"/>
                <w:sz w:val="19"/>
                <w:szCs w:val="19"/>
              </w:rPr>
              <w:t>e</w:t>
            </w:r>
          </w:p>
        </w:tc>
        <w:tc>
          <w:tcPr>
            <w:tcW w:w="2336" w:type="dxa"/>
            <w:tcBorders>
              <w:top w:val="nil"/>
              <w:left w:val="nil"/>
              <w:bottom w:val="nil"/>
              <w:right w:val="nil"/>
            </w:tcBorders>
            <w:shd w:val="clear" w:color="auto" w:fill="006D68"/>
            <w:vAlign w:val="center"/>
          </w:tcPr>
          <w:p w:rsidR="003C17D6" w:rsidRDefault="003C17D6" w:rsidP="00BF1301">
            <w:pPr>
              <w:pStyle w:val="TableParagraph"/>
              <w:keepNext/>
              <w:ind w:left="803"/>
              <w:rPr>
                <w:rFonts w:ascii="Arial" w:eastAsia="Arial" w:hAnsi="Arial" w:cs="Arial"/>
                <w:sz w:val="19"/>
                <w:szCs w:val="19"/>
              </w:rPr>
            </w:pPr>
            <w:r>
              <w:rPr>
                <w:rFonts w:ascii="Arial" w:eastAsia="Arial" w:hAnsi="Arial" w:cs="Arial"/>
                <w:color w:val="FFFFFF"/>
                <w:w w:val="105"/>
                <w:sz w:val="19"/>
                <w:szCs w:val="19"/>
              </w:rPr>
              <w:t>A</w:t>
            </w:r>
            <w:r>
              <w:rPr>
                <w:rFonts w:ascii="Arial" w:eastAsia="Arial" w:hAnsi="Arial" w:cs="Arial"/>
                <w:color w:val="FFFFFF"/>
                <w:spacing w:val="1"/>
                <w:w w:val="105"/>
                <w:sz w:val="19"/>
                <w:szCs w:val="19"/>
              </w:rPr>
              <w:t>gr</w:t>
            </w:r>
            <w:r>
              <w:rPr>
                <w:rFonts w:ascii="Arial" w:eastAsia="Arial" w:hAnsi="Arial" w:cs="Arial"/>
                <w:color w:val="FFFFFF"/>
                <w:spacing w:val="3"/>
                <w:w w:val="105"/>
                <w:sz w:val="19"/>
                <w:szCs w:val="19"/>
              </w:rPr>
              <w:t>e</w:t>
            </w:r>
            <w:r>
              <w:rPr>
                <w:rFonts w:ascii="Arial" w:eastAsia="Arial" w:hAnsi="Arial" w:cs="Arial"/>
                <w:color w:val="FFFFFF"/>
                <w:spacing w:val="2"/>
                <w:w w:val="105"/>
                <w:sz w:val="19"/>
                <w:szCs w:val="19"/>
              </w:rPr>
              <w:t>e</w:t>
            </w:r>
            <w:r>
              <w:rPr>
                <w:rFonts w:ascii="Arial" w:eastAsia="Arial" w:hAnsi="Arial" w:cs="Arial"/>
                <w:color w:val="FFFFFF"/>
                <w:spacing w:val="1"/>
                <w:w w:val="105"/>
                <w:sz w:val="19"/>
                <w:szCs w:val="19"/>
              </w:rPr>
              <w:t>m</w:t>
            </w:r>
            <w:r>
              <w:rPr>
                <w:rFonts w:ascii="Arial" w:eastAsia="Arial" w:hAnsi="Arial" w:cs="Arial"/>
                <w:color w:val="FFFFFF"/>
                <w:spacing w:val="2"/>
                <w:w w:val="105"/>
                <w:sz w:val="19"/>
                <w:szCs w:val="19"/>
              </w:rPr>
              <w:t>e</w:t>
            </w:r>
            <w:r>
              <w:rPr>
                <w:rFonts w:ascii="Arial" w:eastAsia="Arial" w:hAnsi="Arial" w:cs="Arial"/>
                <w:color w:val="FFFFFF"/>
                <w:spacing w:val="1"/>
                <w:w w:val="105"/>
                <w:sz w:val="19"/>
                <w:szCs w:val="19"/>
              </w:rPr>
              <w:t>nts</w:t>
            </w:r>
          </w:p>
        </w:tc>
        <w:tc>
          <w:tcPr>
            <w:tcW w:w="2530" w:type="dxa"/>
            <w:tcBorders>
              <w:top w:val="nil"/>
              <w:left w:val="nil"/>
              <w:bottom w:val="nil"/>
              <w:right w:val="nil"/>
            </w:tcBorders>
            <w:shd w:val="clear" w:color="auto" w:fill="006D68"/>
            <w:vAlign w:val="center"/>
          </w:tcPr>
          <w:p w:rsidR="003C17D6" w:rsidRDefault="003C17D6" w:rsidP="00BF1301">
            <w:pPr>
              <w:pStyle w:val="TableParagraph"/>
              <w:keepNext/>
              <w:ind w:left="452"/>
              <w:rPr>
                <w:rFonts w:ascii="Arial" w:eastAsia="Arial" w:hAnsi="Arial" w:cs="Arial"/>
                <w:sz w:val="19"/>
                <w:szCs w:val="19"/>
              </w:rPr>
            </w:pPr>
            <w:r>
              <w:rPr>
                <w:rFonts w:ascii="Arial" w:eastAsia="Arial" w:hAnsi="Arial" w:cs="Arial"/>
                <w:color w:val="FFFFFF"/>
                <w:w w:val="105"/>
                <w:sz w:val="19"/>
                <w:szCs w:val="19"/>
              </w:rPr>
              <w:t>%</w:t>
            </w:r>
            <w:r>
              <w:rPr>
                <w:rFonts w:ascii="Arial" w:eastAsia="Arial" w:hAnsi="Arial" w:cs="Arial"/>
                <w:color w:val="FFFFFF"/>
                <w:spacing w:val="-4"/>
                <w:w w:val="105"/>
                <w:sz w:val="19"/>
                <w:szCs w:val="19"/>
              </w:rPr>
              <w:t xml:space="preserve"> </w:t>
            </w:r>
            <w:r>
              <w:rPr>
                <w:rFonts w:ascii="Arial" w:eastAsia="Arial" w:hAnsi="Arial" w:cs="Arial"/>
                <w:color w:val="FFFFFF"/>
                <w:w w:val="105"/>
                <w:sz w:val="19"/>
                <w:szCs w:val="19"/>
              </w:rPr>
              <w:t>of</w:t>
            </w:r>
            <w:r>
              <w:rPr>
                <w:rFonts w:ascii="Arial" w:eastAsia="Arial" w:hAnsi="Arial" w:cs="Arial"/>
                <w:color w:val="FFFFFF"/>
                <w:spacing w:val="-3"/>
                <w:w w:val="105"/>
                <w:sz w:val="19"/>
                <w:szCs w:val="19"/>
              </w:rPr>
              <w:t xml:space="preserve"> </w:t>
            </w:r>
            <w:r>
              <w:rPr>
                <w:rFonts w:ascii="Arial" w:eastAsia="Arial" w:hAnsi="Arial" w:cs="Arial"/>
                <w:color w:val="FFFFFF"/>
                <w:spacing w:val="2"/>
                <w:w w:val="105"/>
                <w:sz w:val="19"/>
                <w:szCs w:val="19"/>
              </w:rPr>
              <w:t>a</w:t>
            </w:r>
            <w:r>
              <w:rPr>
                <w:rFonts w:ascii="Arial" w:eastAsia="Arial" w:hAnsi="Arial" w:cs="Arial"/>
                <w:color w:val="FFFFFF"/>
                <w:w w:val="105"/>
                <w:sz w:val="19"/>
                <w:szCs w:val="19"/>
              </w:rPr>
              <w:t>ll</w:t>
            </w:r>
            <w:r>
              <w:rPr>
                <w:rFonts w:ascii="Arial" w:eastAsia="Arial" w:hAnsi="Arial" w:cs="Arial"/>
                <w:color w:val="FFFFFF"/>
                <w:spacing w:val="-4"/>
                <w:w w:val="105"/>
                <w:sz w:val="19"/>
                <w:szCs w:val="19"/>
              </w:rPr>
              <w:t xml:space="preserve"> </w:t>
            </w:r>
            <w:r>
              <w:rPr>
                <w:rFonts w:ascii="Arial" w:eastAsia="Arial" w:hAnsi="Arial" w:cs="Arial"/>
                <w:color w:val="FFFFFF"/>
                <w:spacing w:val="3"/>
                <w:w w:val="105"/>
                <w:sz w:val="19"/>
                <w:szCs w:val="19"/>
              </w:rPr>
              <w:t>G</w:t>
            </w:r>
            <w:r>
              <w:rPr>
                <w:rFonts w:ascii="Arial" w:eastAsia="Arial" w:hAnsi="Arial" w:cs="Arial"/>
                <w:color w:val="FFFFFF"/>
                <w:spacing w:val="2"/>
                <w:w w:val="105"/>
                <w:sz w:val="19"/>
                <w:szCs w:val="19"/>
              </w:rPr>
              <w:t>r</w:t>
            </w:r>
            <w:r>
              <w:rPr>
                <w:rFonts w:ascii="Arial" w:eastAsia="Arial" w:hAnsi="Arial" w:cs="Arial"/>
                <w:color w:val="FFFFFF"/>
                <w:spacing w:val="3"/>
                <w:w w:val="105"/>
                <w:sz w:val="19"/>
                <w:szCs w:val="19"/>
              </w:rPr>
              <w:t>e</w:t>
            </w:r>
            <w:r>
              <w:rPr>
                <w:rFonts w:ascii="Arial" w:eastAsia="Arial" w:hAnsi="Arial" w:cs="Arial"/>
                <w:color w:val="FFFFFF"/>
                <w:spacing w:val="2"/>
                <w:w w:val="105"/>
                <w:sz w:val="19"/>
                <w:szCs w:val="19"/>
              </w:rPr>
              <w:t>e</w:t>
            </w:r>
            <w:r>
              <w:rPr>
                <w:rFonts w:ascii="Arial" w:eastAsia="Arial" w:hAnsi="Arial" w:cs="Arial"/>
                <w:color w:val="FFFFFF"/>
                <w:spacing w:val="1"/>
                <w:w w:val="105"/>
                <w:sz w:val="19"/>
                <w:szCs w:val="19"/>
              </w:rPr>
              <w:t>n</w:t>
            </w:r>
            <w:r>
              <w:rPr>
                <w:rFonts w:ascii="Arial" w:eastAsia="Arial" w:hAnsi="Arial" w:cs="Arial"/>
                <w:color w:val="FFFFFF"/>
                <w:w w:val="105"/>
                <w:sz w:val="19"/>
                <w:szCs w:val="19"/>
              </w:rPr>
              <w:t>fi</w:t>
            </w:r>
            <w:r>
              <w:rPr>
                <w:rFonts w:ascii="Arial" w:eastAsia="Arial" w:hAnsi="Arial" w:cs="Arial"/>
                <w:color w:val="FFFFFF"/>
                <w:spacing w:val="2"/>
                <w:w w:val="105"/>
                <w:sz w:val="19"/>
                <w:szCs w:val="19"/>
              </w:rPr>
              <w:t>e</w:t>
            </w:r>
            <w:r>
              <w:rPr>
                <w:rFonts w:ascii="Arial" w:eastAsia="Arial" w:hAnsi="Arial" w:cs="Arial"/>
                <w:color w:val="FFFFFF"/>
                <w:w w:val="105"/>
                <w:sz w:val="19"/>
                <w:szCs w:val="19"/>
              </w:rPr>
              <w:t>lds</w:t>
            </w:r>
          </w:p>
        </w:tc>
      </w:tr>
      <w:tr w:rsidR="003C17D6" w:rsidTr="002B383B">
        <w:trPr>
          <w:trHeight w:hRule="exact" w:val="306"/>
        </w:trPr>
        <w:tc>
          <w:tcPr>
            <w:tcW w:w="3287" w:type="dxa"/>
            <w:tcBorders>
              <w:top w:val="nil"/>
              <w:left w:val="nil"/>
              <w:bottom w:val="single" w:sz="4" w:space="0" w:color="797979"/>
              <w:right w:val="nil"/>
            </w:tcBorders>
          </w:tcPr>
          <w:p w:rsidR="003C17D6" w:rsidRDefault="003C17D6" w:rsidP="002B383B">
            <w:pPr>
              <w:pStyle w:val="TableParagraph"/>
              <w:keepNext/>
              <w:spacing w:before="52"/>
              <w:ind w:left="80"/>
              <w:rPr>
                <w:rFonts w:ascii="Arial" w:eastAsia="Arial" w:hAnsi="Arial" w:cs="Arial"/>
                <w:sz w:val="18"/>
                <w:szCs w:val="18"/>
              </w:rPr>
            </w:pPr>
            <w:r>
              <w:rPr>
                <w:rFonts w:ascii="Arial" w:eastAsia="Arial" w:hAnsi="Arial" w:cs="Arial"/>
                <w:spacing w:val="-3"/>
                <w:w w:val="95"/>
                <w:sz w:val="18"/>
                <w:szCs w:val="18"/>
              </w:rPr>
              <w:t>A</w:t>
            </w:r>
            <w:r>
              <w:rPr>
                <w:rFonts w:ascii="Arial" w:eastAsia="Arial" w:hAnsi="Arial" w:cs="Arial"/>
                <w:w w:val="95"/>
                <w:sz w:val="18"/>
                <w:szCs w:val="18"/>
              </w:rPr>
              <w:t>CT</w:t>
            </w:r>
          </w:p>
        </w:tc>
        <w:tc>
          <w:tcPr>
            <w:tcW w:w="2336" w:type="dxa"/>
            <w:tcBorders>
              <w:top w:val="nil"/>
              <w:left w:val="nil"/>
              <w:bottom w:val="single" w:sz="4" w:space="0" w:color="797979"/>
              <w:right w:val="nil"/>
            </w:tcBorders>
          </w:tcPr>
          <w:p w:rsidR="003C17D6" w:rsidRDefault="003C17D6" w:rsidP="002B383B">
            <w:pPr>
              <w:pStyle w:val="TableParagraph"/>
              <w:keepNext/>
              <w:spacing w:before="52"/>
              <w:ind w:left="1226" w:right="885"/>
              <w:jc w:val="center"/>
              <w:rPr>
                <w:rFonts w:ascii="Arial" w:eastAsia="Arial" w:hAnsi="Arial" w:cs="Arial"/>
                <w:sz w:val="18"/>
                <w:szCs w:val="18"/>
              </w:rPr>
            </w:pPr>
            <w:r>
              <w:rPr>
                <w:rFonts w:ascii="Arial" w:eastAsia="Arial" w:hAnsi="Arial" w:cs="Arial"/>
                <w:spacing w:val="-8"/>
                <w:sz w:val="18"/>
                <w:szCs w:val="18"/>
              </w:rPr>
              <w:t>19</w:t>
            </w:r>
          </w:p>
        </w:tc>
        <w:tc>
          <w:tcPr>
            <w:tcW w:w="2530" w:type="dxa"/>
            <w:tcBorders>
              <w:top w:val="nil"/>
              <w:left w:val="nil"/>
              <w:bottom w:val="single" w:sz="4" w:space="0" w:color="797979"/>
              <w:right w:val="nil"/>
            </w:tcBorders>
          </w:tcPr>
          <w:p w:rsidR="003C17D6" w:rsidRDefault="003C17D6" w:rsidP="002B383B">
            <w:pPr>
              <w:pStyle w:val="TableParagraph"/>
              <w:keepNext/>
              <w:spacing w:before="52"/>
              <w:ind w:left="1168" w:right="1046"/>
              <w:jc w:val="center"/>
              <w:rPr>
                <w:rFonts w:ascii="Arial" w:eastAsia="Arial" w:hAnsi="Arial" w:cs="Arial"/>
                <w:sz w:val="18"/>
                <w:szCs w:val="18"/>
              </w:rPr>
            </w:pPr>
            <w:r>
              <w:rPr>
                <w:rFonts w:ascii="Arial" w:eastAsia="Arial" w:hAnsi="Arial" w:cs="Arial"/>
                <w:w w:val="105"/>
                <w:sz w:val="18"/>
                <w:szCs w:val="18"/>
              </w:rPr>
              <w:t>2%</w:t>
            </w:r>
          </w:p>
        </w:tc>
      </w:tr>
      <w:tr w:rsidR="003C17D6" w:rsidTr="002B383B">
        <w:trPr>
          <w:trHeight w:hRule="exact" w:val="301"/>
        </w:trPr>
        <w:tc>
          <w:tcPr>
            <w:tcW w:w="3287" w:type="dxa"/>
            <w:tcBorders>
              <w:top w:val="single" w:sz="4" w:space="0" w:color="797979"/>
              <w:left w:val="nil"/>
              <w:bottom w:val="single" w:sz="4" w:space="0" w:color="797979"/>
              <w:right w:val="nil"/>
            </w:tcBorders>
          </w:tcPr>
          <w:p w:rsidR="003C17D6" w:rsidRDefault="003C17D6" w:rsidP="002B383B">
            <w:pPr>
              <w:pStyle w:val="TableParagraph"/>
              <w:keepNext/>
              <w:spacing w:before="47"/>
              <w:ind w:left="80"/>
              <w:rPr>
                <w:rFonts w:ascii="Arial" w:eastAsia="Arial" w:hAnsi="Arial" w:cs="Arial"/>
                <w:sz w:val="18"/>
                <w:szCs w:val="18"/>
              </w:rPr>
            </w:pPr>
            <w:r>
              <w:rPr>
                <w:rFonts w:ascii="Arial" w:eastAsia="Arial" w:hAnsi="Arial" w:cs="Arial"/>
                <w:spacing w:val="2"/>
                <w:sz w:val="18"/>
                <w:szCs w:val="18"/>
              </w:rPr>
              <w:t>N</w:t>
            </w:r>
            <w:r>
              <w:rPr>
                <w:rFonts w:ascii="Arial" w:eastAsia="Arial" w:hAnsi="Arial" w:cs="Arial"/>
                <w:spacing w:val="-3"/>
                <w:sz w:val="18"/>
                <w:szCs w:val="18"/>
              </w:rPr>
              <w:t>SW</w:t>
            </w:r>
          </w:p>
        </w:tc>
        <w:tc>
          <w:tcPr>
            <w:tcW w:w="2336" w:type="dxa"/>
            <w:tcBorders>
              <w:top w:val="single" w:sz="4" w:space="0" w:color="797979"/>
              <w:left w:val="nil"/>
              <w:bottom w:val="single" w:sz="4" w:space="0" w:color="797979"/>
              <w:right w:val="nil"/>
            </w:tcBorders>
          </w:tcPr>
          <w:p w:rsidR="003C17D6" w:rsidRDefault="003C17D6" w:rsidP="002B383B">
            <w:pPr>
              <w:pStyle w:val="TableParagraph"/>
              <w:keepNext/>
              <w:spacing w:before="47"/>
              <w:ind w:left="348"/>
              <w:jc w:val="center"/>
              <w:rPr>
                <w:rFonts w:ascii="Arial" w:eastAsia="Arial" w:hAnsi="Arial" w:cs="Arial"/>
                <w:sz w:val="18"/>
                <w:szCs w:val="18"/>
              </w:rPr>
            </w:pPr>
            <w:r>
              <w:rPr>
                <w:rFonts w:ascii="Arial" w:eastAsia="Arial" w:hAnsi="Arial" w:cs="Arial"/>
                <w:spacing w:val="-11"/>
                <w:sz w:val="18"/>
                <w:szCs w:val="18"/>
              </w:rPr>
              <w:t>1</w:t>
            </w:r>
            <w:r>
              <w:rPr>
                <w:rFonts w:ascii="Arial" w:eastAsia="Arial" w:hAnsi="Arial" w:cs="Arial"/>
                <w:spacing w:val="-1"/>
                <w:sz w:val="18"/>
                <w:szCs w:val="18"/>
              </w:rPr>
              <w:t>4</w:t>
            </w:r>
            <w:r>
              <w:rPr>
                <w:rFonts w:ascii="Arial" w:eastAsia="Arial" w:hAnsi="Arial" w:cs="Arial"/>
                <w:sz w:val="18"/>
                <w:szCs w:val="18"/>
              </w:rPr>
              <w:t>2</w:t>
            </w:r>
          </w:p>
        </w:tc>
        <w:tc>
          <w:tcPr>
            <w:tcW w:w="2530" w:type="dxa"/>
            <w:tcBorders>
              <w:top w:val="single" w:sz="4" w:space="0" w:color="797979"/>
              <w:left w:val="nil"/>
              <w:bottom w:val="single" w:sz="4" w:space="0" w:color="797979"/>
              <w:right w:val="nil"/>
            </w:tcBorders>
          </w:tcPr>
          <w:p w:rsidR="003C17D6" w:rsidRDefault="003C17D6" w:rsidP="002B383B">
            <w:pPr>
              <w:pStyle w:val="TableParagraph"/>
              <w:keepNext/>
              <w:spacing w:before="47"/>
              <w:ind w:left="1129" w:right="1008"/>
              <w:jc w:val="center"/>
              <w:rPr>
                <w:rFonts w:ascii="Arial" w:eastAsia="Arial" w:hAnsi="Arial" w:cs="Arial"/>
                <w:sz w:val="18"/>
                <w:szCs w:val="18"/>
              </w:rPr>
            </w:pPr>
            <w:r>
              <w:rPr>
                <w:rFonts w:ascii="Arial" w:eastAsia="Arial" w:hAnsi="Arial" w:cs="Arial"/>
                <w:spacing w:val="-17"/>
                <w:w w:val="105"/>
                <w:sz w:val="18"/>
                <w:szCs w:val="18"/>
              </w:rPr>
              <w:t>1</w:t>
            </w:r>
            <w:r>
              <w:rPr>
                <w:rFonts w:ascii="Arial" w:eastAsia="Arial" w:hAnsi="Arial" w:cs="Arial"/>
                <w:spacing w:val="-8"/>
                <w:w w:val="105"/>
                <w:sz w:val="18"/>
                <w:szCs w:val="18"/>
              </w:rPr>
              <w:t>1</w:t>
            </w:r>
            <w:r>
              <w:rPr>
                <w:rFonts w:ascii="Arial" w:eastAsia="Arial" w:hAnsi="Arial" w:cs="Arial"/>
                <w:w w:val="105"/>
                <w:sz w:val="18"/>
                <w:szCs w:val="18"/>
              </w:rPr>
              <w:t>%</w:t>
            </w:r>
          </w:p>
        </w:tc>
      </w:tr>
      <w:tr w:rsidR="003C17D6" w:rsidTr="002B383B">
        <w:trPr>
          <w:trHeight w:hRule="exact" w:val="301"/>
        </w:trPr>
        <w:tc>
          <w:tcPr>
            <w:tcW w:w="3287" w:type="dxa"/>
            <w:tcBorders>
              <w:top w:val="single" w:sz="4" w:space="0" w:color="797979"/>
              <w:left w:val="nil"/>
              <w:bottom w:val="single" w:sz="4" w:space="0" w:color="797979"/>
              <w:right w:val="nil"/>
            </w:tcBorders>
          </w:tcPr>
          <w:p w:rsidR="003C17D6" w:rsidRDefault="003C17D6" w:rsidP="002B383B">
            <w:pPr>
              <w:pStyle w:val="TableParagraph"/>
              <w:keepNext/>
              <w:spacing w:before="47"/>
              <w:ind w:left="80"/>
              <w:rPr>
                <w:rFonts w:ascii="Arial" w:eastAsia="Arial" w:hAnsi="Arial" w:cs="Arial"/>
                <w:sz w:val="18"/>
                <w:szCs w:val="18"/>
              </w:rPr>
            </w:pPr>
            <w:r>
              <w:rPr>
                <w:rFonts w:ascii="Arial" w:eastAsia="Arial" w:hAnsi="Arial" w:cs="Arial"/>
                <w:w w:val="95"/>
                <w:sz w:val="18"/>
                <w:szCs w:val="18"/>
              </w:rPr>
              <w:t>NT</w:t>
            </w:r>
          </w:p>
        </w:tc>
        <w:tc>
          <w:tcPr>
            <w:tcW w:w="2336" w:type="dxa"/>
            <w:tcBorders>
              <w:top w:val="single" w:sz="4" w:space="0" w:color="797979"/>
              <w:left w:val="nil"/>
              <w:bottom w:val="single" w:sz="4" w:space="0" w:color="797979"/>
              <w:right w:val="nil"/>
            </w:tcBorders>
          </w:tcPr>
          <w:p w:rsidR="003C17D6" w:rsidRDefault="003C17D6" w:rsidP="002B383B">
            <w:pPr>
              <w:pStyle w:val="TableParagraph"/>
              <w:keepNext/>
              <w:spacing w:before="47"/>
              <w:ind w:left="344"/>
              <w:jc w:val="center"/>
              <w:rPr>
                <w:rFonts w:ascii="Arial" w:eastAsia="Arial" w:hAnsi="Arial" w:cs="Arial"/>
                <w:sz w:val="18"/>
                <w:szCs w:val="18"/>
              </w:rPr>
            </w:pPr>
            <w:r>
              <w:rPr>
                <w:rFonts w:ascii="Arial" w:eastAsia="Arial" w:hAnsi="Arial" w:cs="Arial"/>
                <w:spacing w:val="-5"/>
                <w:sz w:val="18"/>
                <w:szCs w:val="18"/>
              </w:rPr>
              <w:t>76</w:t>
            </w:r>
          </w:p>
        </w:tc>
        <w:tc>
          <w:tcPr>
            <w:tcW w:w="2530" w:type="dxa"/>
            <w:tcBorders>
              <w:top w:val="single" w:sz="4" w:space="0" w:color="797979"/>
              <w:left w:val="nil"/>
              <w:bottom w:val="single" w:sz="4" w:space="0" w:color="797979"/>
              <w:right w:val="nil"/>
            </w:tcBorders>
          </w:tcPr>
          <w:p w:rsidR="003C17D6" w:rsidRDefault="003C17D6" w:rsidP="002B383B">
            <w:pPr>
              <w:pStyle w:val="TableParagraph"/>
              <w:keepNext/>
              <w:spacing w:before="47"/>
              <w:ind w:left="1168" w:right="1047"/>
              <w:jc w:val="center"/>
              <w:rPr>
                <w:rFonts w:ascii="Arial" w:eastAsia="Arial" w:hAnsi="Arial" w:cs="Arial"/>
                <w:sz w:val="18"/>
                <w:szCs w:val="18"/>
              </w:rPr>
            </w:pPr>
            <w:r>
              <w:rPr>
                <w:rFonts w:ascii="Arial" w:eastAsia="Arial" w:hAnsi="Arial" w:cs="Arial"/>
                <w:spacing w:val="2"/>
                <w:w w:val="105"/>
                <w:sz w:val="18"/>
                <w:szCs w:val="18"/>
              </w:rPr>
              <w:t>6</w:t>
            </w:r>
            <w:r>
              <w:rPr>
                <w:rFonts w:ascii="Arial" w:eastAsia="Arial" w:hAnsi="Arial" w:cs="Arial"/>
                <w:w w:val="105"/>
                <w:sz w:val="18"/>
                <w:szCs w:val="18"/>
              </w:rPr>
              <w:t>%</w:t>
            </w:r>
          </w:p>
        </w:tc>
      </w:tr>
      <w:tr w:rsidR="003C17D6" w:rsidTr="002B383B">
        <w:trPr>
          <w:trHeight w:hRule="exact" w:val="301"/>
        </w:trPr>
        <w:tc>
          <w:tcPr>
            <w:tcW w:w="3287" w:type="dxa"/>
            <w:tcBorders>
              <w:top w:val="single" w:sz="4" w:space="0" w:color="797979"/>
              <w:left w:val="nil"/>
              <w:bottom w:val="single" w:sz="4" w:space="0" w:color="797979"/>
              <w:right w:val="nil"/>
            </w:tcBorders>
          </w:tcPr>
          <w:p w:rsidR="003C17D6" w:rsidRDefault="003C17D6" w:rsidP="002B383B">
            <w:pPr>
              <w:pStyle w:val="TableParagraph"/>
              <w:keepNext/>
              <w:spacing w:before="47"/>
              <w:ind w:left="80"/>
              <w:rPr>
                <w:rFonts w:ascii="Arial" w:eastAsia="Arial" w:hAnsi="Arial" w:cs="Arial"/>
                <w:sz w:val="18"/>
                <w:szCs w:val="18"/>
              </w:rPr>
            </w:pPr>
            <w:r>
              <w:rPr>
                <w:rFonts w:ascii="Arial" w:eastAsia="Arial" w:hAnsi="Arial" w:cs="Arial"/>
                <w:spacing w:val="3"/>
                <w:sz w:val="18"/>
                <w:szCs w:val="18"/>
              </w:rPr>
              <w:t>Q</w:t>
            </w:r>
            <w:r>
              <w:rPr>
                <w:rFonts w:ascii="Arial" w:eastAsia="Arial" w:hAnsi="Arial" w:cs="Arial"/>
                <w:sz w:val="18"/>
                <w:szCs w:val="18"/>
              </w:rPr>
              <w:t>ld</w:t>
            </w:r>
          </w:p>
        </w:tc>
        <w:tc>
          <w:tcPr>
            <w:tcW w:w="2336" w:type="dxa"/>
            <w:tcBorders>
              <w:top w:val="single" w:sz="4" w:space="0" w:color="797979"/>
              <w:left w:val="nil"/>
              <w:bottom w:val="single" w:sz="4" w:space="0" w:color="797979"/>
              <w:right w:val="nil"/>
            </w:tcBorders>
          </w:tcPr>
          <w:p w:rsidR="003C17D6" w:rsidRDefault="003C17D6" w:rsidP="002B383B">
            <w:pPr>
              <w:pStyle w:val="TableParagraph"/>
              <w:keepNext/>
              <w:spacing w:before="47"/>
              <w:ind w:left="348"/>
              <w:jc w:val="center"/>
              <w:rPr>
                <w:rFonts w:ascii="Arial" w:eastAsia="Arial" w:hAnsi="Arial" w:cs="Arial"/>
                <w:sz w:val="18"/>
                <w:szCs w:val="18"/>
              </w:rPr>
            </w:pPr>
            <w:r>
              <w:rPr>
                <w:rFonts w:ascii="Arial" w:eastAsia="Arial" w:hAnsi="Arial" w:cs="Arial"/>
                <w:spacing w:val="-9"/>
                <w:sz w:val="18"/>
                <w:szCs w:val="18"/>
              </w:rPr>
              <w:t>1</w:t>
            </w:r>
            <w:r>
              <w:rPr>
                <w:rFonts w:ascii="Arial" w:eastAsia="Arial" w:hAnsi="Arial" w:cs="Arial"/>
                <w:spacing w:val="-6"/>
                <w:sz w:val="18"/>
                <w:szCs w:val="18"/>
              </w:rPr>
              <w:t>3</w:t>
            </w:r>
            <w:r>
              <w:rPr>
                <w:rFonts w:ascii="Arial" w:eastAsia="Arial" w:hAnsi="Arial" w:cs="Arial"/>
                <w:sz w:val="18"/>
                <w:szCs w:val="18"/>
              </w:rPr>
              <w:t>1</w:t>
            </w:r>
          </w:p>
        </w:tc>
        <w:tc>
          <w:tcPr>
            <w:tcW w:w="2530" w:type="dxa"/>
            <w:tcBorders>
              <w:top w:val="single" w:sz="4" w:space="0" w:color="797979"/>
              <w:left w:val="nil"/>
              <w:bottom w:val="single" w:sz="4" w:space="0" w:color="797979"/>
              <w:right w:val="nil"/>
            </w:tcBorders>
          </w:tcPr>
          <w:p w:rsidR="003C17D6" w:rsidRDefault="003C17D6" w:rsidP="002B383B">
            <w:pPr>
              <w:pStyle w:val="TableParagraph"/>
              <w:keepNext/>
              <w:spacing w:before="47"/>
              <w:ind w:left="1129" w:right="1008"/>
              <w:jc w:val="center"/>
              <w:rPr>
                <w:rFonts w:ascii="Arial" w:eastAsia="Arial" w:hAnsi="Arial" w:cs="Arial"/>
                <w:sz w:val="18"/>
                <w:szCs w:val="18"/>
              </w:rPr>
            </w:pPr>
            <w:r>
              <w:rPr>
                <w:rFonts w:ascii="Arial" w:eastAsia="Arial" w:hAnsi="Arial" w:cs="Arial"/>
                <w:spacing w:val="-17"/>
                <w:w w:val="105"/>
                <w:sz w:val="18"/>
                <w:szCs w:val="18"/>
              </w:rPr>
              <w:t>1</w:t>
            </w:r>
            <w:r>
              <w:rPr>
                <w:rFonts w:ascii="Arial" w:eastAsia="Arial" w:hAnsi="Arial" w:cs="Arial"/>
                <w:spacing w:val="-8"/>
                <w:w w:val="105"/>
                <w:sz w:val="18"/>
                <w:szCs w:val="18"/>
              </w:rPr>
              <w:t>1</w:t>
            </w:r>
            <w:r>
              <w:rPr>
                <w:rFonts w:ascii="Arial" w:eastAsia="Arial" w:hAnsi="Arial" w:cs="Arial"/>
                <w:w w:val="105"/>
                <w:sz w:val="18"/>
                <w:szCs w:val="18"/>
              </w:rPr>
              <w:t>%</w:t>
            </w:r>
          </w:p>
        </w:tc>
      </w:tr>
      <w:tr w:rsidR="003C17D6" w:rsidTr="002B383B">
        <w:trPr>
          <w:trHeight w:hRule="exact" w:val="301"/>
        </w:trPr>
        <w:tc>
          <w:tcPr>
            <w:tcW w:w="3287" w:type="dxa"/>
            <w:tcBorders>
              <w:top w:val="single" w:sz="4" w:space="0" w:color="797979"/>
              <w:left w:val="nil"/>
              <w:bottom w:val="single" w:sz="4" w:space="0" w:color="797979"/>
              <w:right w:val="nil"/>
            </w:tcBorders>
          </w:tcPr>
          <w:p w:rsidR="003C17D6" w:rsidRDefault="003C17D6" w:rsidP="002B383B">
            <w:pPr>
              <w:pStyle w:val="TableParagraph"/>
              <w:keepNext/>
              <w:spacing w:before="47"/>
              <w:ind w:left="80"/>
              <w:rPr>
                <w:rFonts w:ascii="Arial" w:eastAsia="Arial" w:hAnsi="Arial" w:cs="Arial"/>
                <w:sz w:val="18"/>
                <w:szCs w:val="18"/>
              </w:rPr>
            </w:pPr>
            <w:r>
              <w:rPr>
                <w:rFonts w:ascii="Arial" w:eastAsia="Arial" w:hAnsi="Arial" w:cs="Arial"/>
                <w:w w:val="95"/>
                <w:sz w:val="18"/>
                <w:szCs w:val="18"/>
              </w:rPr>
              <w:t>SA</w:t>
            </w:r>
          </w:p>
        </w:tc>
        <w:tc>
          <w:tcPr>
            <w:tcW w:w="2336" w:type="dxa"/>
            <w:tcBorders>
              <w:top w:val="single" w:sz="4" w:space="0" w:color="797979"/>
              <w:left w:val="nil"/>
              <w:bottom w:val="single" w:sz="4" w:space="0" w:color="797979"/>
              <w:right w:val="nil"/>
            </w:tcBorders>
          </w:tcPr>
          <w:p w:rsidR="003C17D6" w:rsidRDefault="003C17D6" w:rsidP="002B383B">
            <w:pPr>
              <w:pStyle w:val="TableParagraph"/>
              <w:keepNext/>
              <w:spacing w:before="47"/>
              <w:ind w:left="1226" w:right="885"/>
              <w:jc w:val="center"/>
              <w:rPr>
                <w:rFonts w:ascii="Arial" w:eastAsia="Arial" w:hAnsi="Arial" w:cs="Arial"/>
                <w:sz w:val="18"/>
                <w:szCs w:val="18"/>
              </w:rPr>
            </w:pPr>
            <w:r>
              <w:rPr>
                <w:rFonts w:ascii="Arial" w:eastAsia="Arial" w:hAnsi="Arial" w:cs="Arial"/>
                <w:spacing w:val="-8"/>
                <w:sz w:val="18"/>
                <w:szCs w:val="18"/>
              </w:rPr>
              <w:t>19</w:t>
            </w:r>
          </w:p>
        </w:tc>
        <w:tc>
          <w:tcPr>
            <w:tcW w:w="2530" w:type="dxa"/>
            <w:tcBorders>
              <w:top w:val="single" w:sz="4" w:space="0" w:color="797979"/>
              <w:left w:val="nil"/>
              <w:bottom w:val="single" w:sz="4" w:space="0" w:color="797979"/>
              <w:right w:val="nil"/>
            </w:tcBorders>
          </w:tcPr>
          <w:p w:rsidR="003C17D6" w:rsidRDefault="003C17D6" w:rsidP="002B383B">
            <w:pPr>
              <w:pStyle w:val="TableParagraph"/>
              <w:keepNext/>
              <w:spacing w:before="47"/>
              <w:ind w:left="1168" w:right="1046"/>
              <w:jc w:val="center"/>
              <w:rPr>
                <w:rFonts w:ascii="Arial" w:eastAsia="Arial" w:hAnsi="Arial" w:cs="Arial"/>
                <w:sz w:val="18"/>
                <w:szCs w:val="18"/>
              </w:rPr>
            </w:pPr>
            <w:r>
              <w:rPr>
                <w:rFonts w:ascii="Arial" w:eastAsia="Arial" w:hAnsi="Arial" w:cs="Arial"/>
                <w:w w:val="105"/>
                <w:sz w:val="18"/>
                <w:szCs w:val="18"/>
              </w:rPr>
              <w:t>2%</w:t>
            </w:r>
          </w:p>
        </w:tc>
      </w:tr>
      <w:tr w:rsidR="003C17D6" w:rsidTr="002B383B">
        <w:trPr>
          <w:trHeight w:hRule="exact" w:val="301"/>
        </w:trPr>
        <w:tc>
          <w:tcPr>
            <w:tcW w:w="3287" w:type="dxa"/>
            <w:tcBorders>
              <w:top w:val="single" w:sz="4" w:space="0" w:color="797979"/>
              <w:left w:val="nil"/>
              <w:bottom w:val="single" w:sz="4" w:space="0" w:color="797979"/>
              <w:right w:val="nil"/>
            </w:tcBorders>
          </w:tcPr>
          <w:p w:rsidR="003C17D6" w:rsidRDefault="003C17D6" w:rsidP="002B383B">
            <w:pPr>
              <w:pStyle w:val="TableParagraph"/>
              <w:keepNext/>
              <w:spacing w:before="47"/>
              <w:ind w:left="80"/>
              <w:rPr>
                <w:rFonts w:ascii="Arial" w:eastAsia="Arial" w:hAnsi="Arial" w:cs="Arial"/>
                <w:sz w:val="18"/>
                <w:szCs w:val="18"/>
              </w:rPr>
            </w:pPr>
            <w:r>
              <w:rPr>
                <w:rFonts w:ascii="Arial" w:eastAsia="Arial" w:hAnsi="Arial" w:cs="Arial"/>
                <w:spacing w:val="-13"/>
                <w:w w:val="95"/>
                <w:sz w:val="18"/>
                <w:szCs w:val="18"/>
              </w:rPr>
              <w:t>T</w:t>
            </w:r>
            <w:r>
              <w:rPr>
                <w:rFonts w:ascii="Arial" w:eastAsia="Arial" w:hAnsi="Arial" w:cs="Arial"/>
                <w:spacing w:val="2"/>
                <w:w w:val="95"/>
                <w:sz w:val="18"/>
                <w:szCs w:val="18"/>
              </w:rPr>
              <w:t>a</w:t>
            </w:r>
            <w:r>
              <w:rPr>
                <w:rFonts w:ascii="Arial" w:eastAsia="Arial" w:hAnsi="Arial" w:cs="Arial"/>
                <w:w w:val="95"/>
                <w:sz w:val="18"/>
                <w:szCs w:val="18"/>
              </w:rPr>
              <w:t>s</w:t>
            </w:r>
          </w:p>
        </w:tc>
        <w:tc>
          <w:tcPr>
            <w:tcW w:w="2336" w:type="dxa"/>
            <w:tcBorders>
              <w:top w:val="single" w:sz="4" w:space="0" w:color="797979"/>
              <w:left w:val="nil"/>
              <w:bottom w:val="single" w:sz="4" w:space="0" w:color="797979"/>
              <w:right w:val="nil"/>
            </w:tcBorders>
          </w:tcPr>
          <w:p w:rsidR="003C17D6" w:rsidRDefault="003C17D6" w:rsidP="002B383B">
            <w:pPr>
              <w:pStyle w:val="TableParagraph"/>
              <w:keepNext/>
              <w:spacing w:before="47"/>
              <w:ind w:left="348"/>
              <w:jc w:val="center"/>
              <w:rPr>
                <w:rFonts w:ascii="Arial" w:eastAsia="Arial" w:hAnsi="Arial" w:cs="Arial"/>
                <w:sz w:val="18"/>
                <w:szCs w:val="18"/>
              </w:rPr>
            </w:pPr>
            <w:r>
              <w:rPr>
                <w:rFonts w:ascii="Arial" w:eastAsia="Arial" w:hAnsi="Arial" w:cs="Arial"/>
                <w:sz w:val="18"/>
                <w:szCs w:val="18"/>
              </w:rPr>
              <w:t>2</w:t>
            </w:r>
          </w:p>
        </w:tc>
        <w:tc>
          <w:tcPr>
            <w:tcW w:w="2530" w:type="dxa"/>
            <w:tcBorders>
              <w:top w:val="single" w:sz="4" w:space="0" w:color="797979"/>
              <w:left w:val="nil"/>
              <w:bottom w:val="single" w:sz="4" w:space="0" w:color="797979"/>
              <w:right w:val="nil"/>
            </w:tcBorders>
          </w:tcPr>
          <w:p w:rsidR="003C17D6" w:rsidRDefault="003C17D6" w:rsidP="002B383B">
            <w:pPr>
              <w:pStyle w:val="TableParagraph"/>
              <w:keepNext/>
              <w:spacing w:before="47"/>
              <w:ind w:left="113"/>
              <w:jc w:val="center"/>
              <w:rPr>
                <w:rFonts w:ascii="Arial" w:eastAsia="Arial" w:hAnsi="Arial" w:cs="Arial"/>
                <w:sz w:val="18"/>
                <w:szCs w:val="18"/>
              </w:rPr>
            </w:pPr>
            <w:r>
              <w:rPr>
                <w:rFonts w:ascii="Arial" w:eastAsia="Arial" w:hAnsi="Arial" w:cs="Arial"/>
                <w:spacing w:val="-4"/>
                <w:w w:val="105"/>
                <w:sz w:val="18"/>
                <w:szCs w:val="18"/>
              </w:rPr>
              <w:t>&lt;</w:t>
            </w:r>
            <w:r>
              <w:rPr>
                <w:rFonts w:ascii="Arial" w:eastAsia="Arial" w:hAnsi="Arial" w:cs="Arial"/>
                <w:spacing w:val="-7"/>
                <w:w w:val="105"/>
                <w:sz w:val="18"/>
                <w:szCs w:val="18"/>
              </w:rPr>
              <w:t>1%</w:t>
            </w:r>
          </w:p>
        </w:tc>
      </w:tr>
      <w:tr w:rsidR="003C17D6" w:rsidTr="002B383B">
        <w:trPr>
          <w:trHeight w:hRule="exact" w:val="301"/>
        </w:trPr>
        <w:tc>
          <w:tcPr>
            <w:tcW w:w="3287" w:type="dxa"/>
            <w:tcBorders>
              <w:top w:val="single" w:sz="4" w:space="0" w:color="797979"/>
              <w:left w:val="nil"/>
              <w:bottom w:val="single" w:sz="4" w:space="0" w:color="797979"/>
              <w:right w:val="nil"/>
            </w:tcBorders>
          </w:tcPr>
          <w:p w:rsidR="003C17D6" w:rsidRDefault="003C17D6" w:rsidP="002B383B">
            <w:pPr>
              <w:pStyle w:val="TableParagraph"/>
              <w:keepNext/>
              <w:spacing w:before="47"/>
              <w:ind w:left="79"/>
              <w:rPr>
                <w:rFonts w:ascii="Arial" w:eastAsia="Arial" w:hAnsi="Arial" w:cs="Arial"/>
                <w:sz w:val="18"/>
                <w:szCs w:val="18"/>
              </w:rPr>
            </w:pPr>
            <w:r>
              <w:rPr>
                <w:rFonts w:ascii="Arial" w:eastAsia="Arial" w:hAnsi="Arial" w:cs="Arial"/>
                <w:spacing w:val="2"/>
                <w:sz w:val="18"/>
                <w:szCs w:val="18"/>
              </w:rPr>
              <w:t>V</w:t>
            </w:r>
            <w:r>
              <w:rPr>
                <w:rFonts w:ascii="Arial" w:eastAsia="Arial" w:hAnsi="Arial" w:cs="Arial"/>
                <w:sz w:val="18"/>
                <w:szCs w:val="18"/>
              </w:rPr>
              <w:t>ic</w:t>
            </w:r>
          </w:p>
        </w:tc>
        <w:tc>
          <w:tcPr>
            <w:tcW w:w="2336" w:type="dxa"/>
            <w:tcBorders>
              <w:top w:val="single" w:sz="4" w:space="0" w:color="797979"/>
              <w:left w:val="nil"/>
              <w:bottom w:val="single" w:sz="4" w:space="0" w:color="797979"/>
              <w:right w:val="nil"/>
            </w:tcBorders>
          </w:tcPr>
          <w:p w:rsidR="003C17D6" w:rsidRDefault="003C17D6" w:rsidP="002B383B">
            <w:pPr>
              <w:pStyle w:val="TableParagraph"/>
              <w:keepNext/>
              <w:spacing w:before="47"/>
              <w:ind w:left="348"/>
              <w:jc w:val="center"/>
              <w:rPr>
                <w:rFonts w:ascii="Arial" w:eastAsia="Arial" w:hAnsi="Arial" w:cs="Arial"/>
                <w:sz w:val="18"/>
                <w:szCs w:val="18"/>
              </w:rPr>
            </w:pPr>
            <w:r>
              <w:rPr>
                <w:rFonts w:ascii="Arial" w:eastAsia="Arial" w:hAnsi="Arial" w:cs="Arial"/>
                <w:spacing w:val="-9"/>
                <w:sz w:val="18"/>
                <w:szCs w:val="18"/>
              </w:rPr>
              <w:t>1</w:t>
            </w:r>
            <w:r>
              <w:rPr>
                <w:rFonts w:ascii="Arial" w:eastAsia="Arial" w:hAnsi="Arial" w:cs="Arial"/>
                <w:sz w:val="18"/>
                <w:szCs w:val="18"/>
              </w:rPr>
              <w:t>59</w:t>
            </w:r>
          </w:p>
        </w:tc>
        <w:tc>
          <w:tcPr>
            <w:tcW w:w="2530" w:type="dxa"/>
            <w:tcBorders>
              <w:top w:val="single" w:sz="4" w:space="0" w:color="797979"/>
              <w:left w:val="nil"/>
              <w:bottom w:val="single" w:sz="4" w:space="0" w:color="797979"/>
              <w:right w:val="nil"/>
            </w:tcBorders>
          </w:tcPr>
          <w:p w:rsidR="003C17D6" w:rsidRDefault="003C17D6" w:rsidP="002B383B">
            <w:pPr>
              <w:pStyle w:val="TableParagraph"/>
              <w:keepNext/>
              <w:spacing w:before="47"/>
              <w:ind w:left="120"/>
              <w:jc w:val="center"/>
              <w:rPr>
                <w:rFonts w:ascii="Arial" w:eastAsia="Arial" w:hAnsi="Arial" w:cs="Arial"/>
                <w:sz w:val="18"/>
                <w:szCs w:val="18"/>
              </w:rPr>
            </w:pPr>
            <w:r>
              <w:rPr>
                <w:rFonts w:ascii="Arial" w:eastAsia="Arial" w:hAnsi="Arial" w:cs="Arial"/>
                <w:spacing w:val="-10"/>
                <w:w w:val="105"/>
                <w:sz w:val="18"/>
                <w:szCs w:val="18"/>
              </w:rPr>
              <w:t>1</w:t>
            </w:r>
            <w:r>
              <w:rPr>
                <w:rFonts w:ascii="Arial" w:eastAsia="Arial" w:hAnsi="Arial" w:cs="Arial"/>
                <w:spacing w:val="2"/>
                <w:w w:val="105"/>
                <w:sz w:val="18"/>
                <w:szCs w:val="18"/>
              </w:rPr>
              <w:t>3</w:t>
            </w:r>
            <w:r>
              <w:rPr>
                <w:rFonts w:ascii="Arial" w:eastAsia="Arial" w:hAnsi="Arial" w:cs="Arial"/>
                <w:w w:val="105"/>
                <w:sz w:val="18"/>
                <w:szCs w:val="18"/>
              </w:rPr>
              <w:t>%</w:t>
            </w:r>
          </w:p>
        </w:tc>
      </w:tr>
      <w:tr w:rsidR="003C17D6" w:rsidTr="002B383B">
        <w:trPr>
          <w:trHeight w:hRule="exact" w:val="301"/>
        </w:trPr>
        <w:tc>
          <w:tcPr>
            <w:tcW w:w="3287" w:type="dxa"/>
            <w:tcBorders>
              <w:top w:val="single" w:sz="4" w:space="0" w:color="797979"/>
              <w:left w:val="nil"/>
              <w:bottom w:val="single" w:sz="4" w:space="0" w:color="797979"/>
              <w:right w:val="nil"/>
            </w:tcBorders>
          </w:tcPr>
          <w:p w:rsidR="003C17D6" w:rsidRDefault="003C17D6" w:rsidP="002B383B">
            <w:pPr>
              <w:pStyle w:val="TableParagraph"/>
              <w:keepNext/>
              <w:spacing w:before="47"/>
              <w:ind w:left="79"/>
              <w:rPr>
                <w:rFonts w:ascii="Arial" w:eastAsia="Arial" w:hAnsi="Arial" w:cs="Arial"/>
                <w:sz w:val="18"/>
                <w:szCs w:val="18"/>
              </w:rPr>
            </w:pPr>
            <w:r>
              <w:rPr>
                <w:rFonts w:ascii="Arial" w:eastAsia="Arial" w:hAnsi="Arial" w:cs="Arial"/>
                <w:spacing w:val="-6"/>
                <w:w w:val="95"/>
                <w:sz w:val="18"/>
                <w:szCs w:val="18"/>
              </w:rPr>
              <w:t>WA</w:t>
            </w:r>
          </w:p>
        </w:tc>
        <w:tc>
          <w:tcPr>
            <w:tcW w:w="2336" w:type="dxa"/>
            <w:tcBorders>
              <w:top w:val="single" w:sz="4" w:space="0" w:color="797979"/>
              <w:left w:val="nil"/>
              <w:bottom w:val="single" w:sz="4" w:space="0" w:color="797979"/>
              <w:right w:val="nil"/>
            </w:tcBorders>
          </w:tcPr>
          <w:p w:rsidR="003C17D6" w:rsidRDefault="003C17D6" w:rsidP="002B383B">
            <w:pPr>
              <w:pStyle w:val="TableParagraph"/>
              <w:keepNext/>
              <w:spacing w:before="47"/>
              <w:ind w:left="348"/>
              <w:jc w:val="center"/>
              <w:rPr>
                <w:rFonts w:ascii="Arial" w:eastAsia="Arial" w:hAnsi="Arial" w:cs="Arial"/>
                <w:sz w:val="18"/>
                <w:szCs w:val="18"/>
              </w:rPr>
            </w:pPr>
            <w:r>
              <w:rPr>
                <w:rFonts w:ascii="Arial" w:eastAsia="Arial" w:hAnsi="Arial" w:cs="Arial"/>
                <w:sz w:val="18"/>
                <w:szCs w:val="18"/>
              </w:rPr>
              <w:t>5</w:t>
            </w:r>
            <w:r>
              <w:rPr>
                <w:rFonts w:ascii="Arial" w:eastAsia="Arial" w:hAnsi="Arial" w:cs="Arial"/>
                <w:spacing w:val="1"/>
                <w:sz w:val="18"/>
                <w:szCs w:val="18"/>
              </w:rPr>
              <w:t>0</w:t>
            </w:r>
            <w:r>
              <w:rPr>
                <w:rFonts w:ascii="Arial" w:eastAsia="Arial" w:hAnsi="Arial" w:cs="Arial"/>
                <w:sz w:val="18"/>
                <w:szCs w:val="18"/>
              </w:rPr>
              <w:t>2</w:t>
            </w:r>
          </w:p>
        </w:tc>
        <w:tc>
          <w:tcPr>
            <w:tcW w:w="2530" w:type="dxa"/>
            <w:tcBorders>
              <w:top w:val="single" w:sz="4" w:space="0" w:color="797979"/>
              <w:left w:val="nil"/>
              <w:bottom w:val="single" w:sz="4" w:space="0" w:color="797979"/>
              <w:right w:val="nil"/>
            </w:tcBorders>
          </w:tcPr>
          <w:p w:rsidR="003C17D6" w:rsidRDefault="003C17D6" w:rsidP="002B383B">
            <w:pPr>
              <w:pStyle w:val="TableParagraph"/>
              <w:keepNext/>
              <w:spacing w:before="47"/>
              <w:ind w:left="120"/>
              <w:jc w:val="center"/>
              <w:rPr>
                <w:rFonts w:ascii="Arial" w:eastAsia="Arial" w:hAnsi="Arial" w:cs="Arial"/>
                <w:sz w:val="18"/>
                <w:szCs w:val="18"/>
              </w:rPr>
            </w:pPr>
            <w:r>
              <w:rPr>
                <w:rFonts w:ascii="Arial" w:eastAsia="Arial" w:hAnsi="Arial" w:cs="Arial"/>
                <w:spacing w:val="-12"/>
                <w:w w:val="105"/>
                <w:sz w:val="18"/>
                <w:szCs w:val="18"/>
              </w:rPr>
              <w:t>4</w:t>
            </w:r>
            <w:r>
              <w:rPr>
                <w:rFonts w:ascii="Arial" w:eastAsia="Arial" w:hAnsi="Arial" w:cs="Arial"/>
                <w:spacing w:val="-8"/>
                <w:w w:val="105"/>
                <w:sz w:val="18"/>
                <w:szCs w:val="18"/>
              </w:rPr>
              <w:t>1</w:t>
            </w:r>
            <w:r>
              <w:rPr>
                <w:rFonts w:ascii="Arial" w:eastAsia="Arial" w:hAnsi="Arial" w:cs="Arial"/>
                <w:w w:val="105"/>
                <w:sz w:val="18"/>
                <w:szCs w:val="18"/>
              </w:rPr>
              <w:t>%</w:t>
            </w:r>
          </w:p>
        </w:tc>
      </w:tr>
      <w:tr w:rsidR="003C17D6" w:rsidTr="002B383B">
        <w:trPr>
          <w:trHeight w:hRule="exact" w:val="310"/>
        </w:trPr>
        <w:tc>
          <w:tcPr>
            <w:tcW w:w="3287" w:type="dxa"/>
            <w:tcBorders>
              <w:top w:val="single" w:sz="4" w:space="0" w:color="797979"/>
              <w:left w:val="nil"/>
              <w:bottom w:val="nil"/>
              <w:right w:val="nil"/>
            </w:tcBorders>
          </w:tcPr>
          <w:p w:rsidR="003C17D6" w:rsidRDefault="003C17D6" w:rsidP="002B383B">
            <w:pPr>
              <w:pStyle w:val="TableParagraph"/>
              <w:keepNext/>
              <w:spacing w:before="61"/>
              <w:ind w:left="80"/>
              <w:rPr>
                <w:rFonts w:ascii="Arial" w:eastAsia="Arial" w:hAnsi="Arial" w:cs="Arial"/>
                <w:sz w:val="18"/>
                <w:szCs w:val="18"/>
              </w:rPr>
            </w:pPr>
            <w:r>
              <w:rPr>
                <w:rFonts w:ascii="Arial" w:eastAsia="Arial" w:hAnsi="Arial" w:cs="Arial"/>
                <w:sz w:val="18"/>
                <w:szCs w:val="18"/>
              </w:rPr>
              <w:t>M</w:t>
            </w:r>
            <w:r>
              <w:rPr>
                <w:rFonts w:ascii="Arial" w:eastAsia="Arial" w:hAnsi="Arial" w:cs="Arial"/>
                <w:spacing w:val="1"/>
                <w:sz w:val="18"/>
                <w:szCs w:val="18"/>
              </w:rPr>
              <w:t>ul</w:t>
            </w:r>
            <w:r>
              <w:rPr>
                <w:rFonts w:ascii="Arial" w:eastAsia="Arial" w:hAnsi="Arial" w:cs="Arial"/>
                <w:sz w:val="18"/>
                <w:szCs w:val="18"/>
              </w:rPr>
              <w:t>ti</w:t>
            </w:r>
            <w:r>
              <w:rPr>
                <w:rFonts w:ascii="Arial" w:eastAsia="Arial" w:hAnsi="Arial" w:cs="Arial"/>
                <w:spacing w:val="15"/>
                <w:sz w:val="18"/>
                <w:szCs w:val="18"/>
              </w:rPr>
              <w:t xml:space="preserve"> </w:t>
            </w:r>
            <w:r>
              <w:rPr>
                <w:rFonts w:ascii="Arial" w:eastAsia="Arial" w:hAnsi="Arial" w:cs="Arial"/>
                <w:spacing w:val="2"/>
                <w:sz w:val="18"/>
                <w:szCs w:val="18"/>
              </w:rPr>
              <w:t>S</w:t>
            </w:r>
            <w:r>
              <w:rPr>
                <w:rFonts w:ascii="Arial" w:eastAsia="Arial" w:hAnsi="Arial" w:cs="Arial"/>
                <w:spacing w:val="1"/>
                <w:sz w:val="18"/>
                <w:szCs w:val="18"/>
              </w:rPr>
              <w:t>ta</w:t>
            </w:r>
            <w:r>
              <w:rPr>
                <w:rFonts w:ascii="Arial" w:eastAsia="Arial" w:hAnsi="Arial" w:cs="Arial"/>
                <w:spacing w:val="-2"/>
                <w:sz w:val="18"/>
                <w:szCs w:val="18"/>
              </w:rPr>
              <w:t>t</w:t>
            </w:r>
            <w:r>
              <w:rPr>
                <w:rFonts w:ascii="Arial" w:eastAsia="Arial" w:hAnsi="Arial" w:cs="Arial"/>
                <w:sz w:val="18"/>
                <w:szCs w:val="18"/>
              </w:rPr>
              <w:t>e</w:t>
            </w:r>
          </w:p>
        </w:tc>
        <w:tc>
          <w:tcPr>
            <w:tcW w:w="2336" w:type="dxa"/>
            <w:tcBorders>
              <w:top w:val="single" w:sz="4" w:space="0" w:color="797979"/>
              <w:left w:val="nil"/>
              <w:bottom w:val="nil"/>
              <w:right w:val="nil"/>
            </w:tcBorders>
          </w:tcPr>
          <w:p w:rsidR="003C17D6" w:rsidRDefault="003C17D6" w:rsidP="002B383B">
            <w:pPr>
              <w:pStyle w:val="TableParagraph"/>
              <w:keepNext/>
              <w:spacing w:before="61"/>
              <w:ind w:left="348"/>
              <w:jc w:val="center"/>
              <w:rPr>
                <w:rFonts w:ascii="Arial" w:eastAsia="Arial" w:hAnsi="Arial" w:cs="Arial"/>
                <w:sz w:val="18"/>
                <w:szCs w:val="18"/>
              </w:rPr>
            </w:pPr>
            <w:r>
              <w:rPr>
                <w:rFonts w:ascii="Arial" w:eastAsia="Arial" w:hAnsi="Arial" w:cs="Arial"/>
                <w:spacing w:val="-9"/>
                <w:sz w:val="18"/>
                <w:szCs w:val="18"/>
              </w:rPr>
              <w:t>1</w:t>
            </w:r>
            <w:r>
              <w:rPr>
                <w:rFonts w:ascii="Arial" w:eastAsia="Arial" w:hAnsi="Arial" w:cs="Arial"/>
                <w:spacing w:val="2"/>
                <w:sz w:val="18"/>
                <w:szCs w:val="18"/>
              </w:rPr>
              <w:t>8</w:t>
            </w:r>
            <w:r>
              <w:rPr>
                <w:rFonts w:ascii="Arial" w:eastAsia="Arial" w:hAnsi="Arial" w:cs="Arial"/>
                <w:sz w:val="18"/>
                <w:szCs w:val="18"/>
              </w:rPr>
              <w:t>5</w:t>
            </w:r>
          </w:p>
        </w:tc>
        <w:tc>
          <w:tcPr>
            <w:tcW w:w="2530" w:type="dxa"/>
            <w:tcBorders>
              <w:top w:val="single" w:sz="4" w:space="0" w:color="797979"/>
              <w:left w:val="nil"/>
              <w:bottom w:val="nil"/>
              <w:right w:val="nil"/>
            </w:tcBorders>
          </w:tcPr>
          <w:p w:rsidR="003C17D6" w:rsidRDefault="003C17D6" w:rsidP="002B383B">
            <w:pPr>
              <w:pStyle w:val="TableParagraph"/>
              <w:keepNext/>
              <w:spacing w:before="61"/>
              <w:ind w:left="121"/>
              <w:jc w:val="center"/>
              <w:rPr>
                <w:rFonts w:ascii="Arial" w:eastAsia="Arial" w:hAnsi="Arial" w:cs="Arial"/>
                <w:sz w:val="18"/>
                <w:szCs w:val="18"/>
              </w:rPr>
            </w:pPr>
            <w:r>
              <w:rPr>
                <w:rFonts w:ascii="Arial" w:eastAsia="Arial" w:hAnsi="Arial" w:cs="Arial"/>
                <w:spacing w:val="-10"/>
                <w:w w:val="105"/>
                <w:sz w:val="18"/>
                <w:szCs w:val="18"/>
              </w:rPr>
              <w:t>1</w:t>
            </w:r>
            <w:r>
              <w:rPr>
                <w:rFonts w:ascii="Arial" w:eastAsia="Arial" w:hAnsi="Arial" w:cs="Arial"/>
                <w:spacing w:val="-2"/>
                <w:w w:val="105"/>
                <w:sz w:val="18"/>
                <w:szCs w:val="18"/>
              </w:rPr>
              <w:t>5</w:t>
            </w:r>
            <w:r>
              <w:rPr>
                <w:rFonts w:ascii="Arial" w:eastAsia="Arial" w:hAnsi="Arial" w:cs="Arial"/>
                <w:w w:val="105"/>
                <w:sz w:val="18"/>
                <w:szCs w:val="18"/>
              </w:rPr>
              <w:t>%</w:t>
            </w:r>
          </w:p>
        </w:tc>
      </w:tr>
      <w:tr w:rsidR="003C17D6" w:rsidTr="002B383B">
        <w:trPr>
          <w:trHeight w:hRule="exact" w:val="315"/>
        </w:trPr>
        <w:tc>
          <w:tcPr>
            <w:tcW w:w="3287" w:type="dxa"/>
            <w:tcBorders>
              <w:top w:val="nil"/>
              <w:left w:val="nil"/>
              <w:bottom w:val="nil"/>
              <w:right w:val="nil"/>
            </w:tcBorders>
            <w:shd w:val="clear" w:color="auto" w:fill="C3D9DC"/>
          </w:tcPr>
          <w:p w:rsidR="003C17D6" w:rsidRDefault="003C17D6" w:rsidP="002B383B">
            <w:pPr>
              <w:pStyle w:val="TableParagraph"/>
              <w:keepNext/>
              <w:spacing w:before="66"/>
              <w:ind w:left="80"/>
              <w:rPr>
                <w:rFonts w:ascii="Arial" w:eastAsia="Arial" w:hAnsi="Arial" w:cs="Arial"/>
                <w:sz w:val="18"/>
                <w:szCs w:val="18"/>
              </w:rPr>
            </w:pPr>
            <w:r>
              <w:rPr>
                <w:rFonts w:ascii="Arial" w:eastAsia="Arial" w:hAnsi="Arial" w:cs="Arial"/>
                <w:b/>
                <w:bCs/>
                <w:spacing w:val="4"/>
                <w:sz w:val="18"/>
                <w:szCs w:val="18"/>
              </w:rPr>
              <w:t>Gr</w:t>
            </w:r>
            <w:r>
              <w:rPr>
                <w:rFonts w:ascii="Arial" w:eastAsia="Arial" w:hAnsi="Arial" w:cs="Arial"/>
                <w:b/>
                <w:bCs/>
                <w:spacing w:val="2"/>
                <w:sz w:val="18"/>
                <w:szCs w:val="18"/>
              </w:rPr>
              <w:t>a</w:t>
            </w:r>
            <w:r>
              <w:rPr>
                <w:rFonts w:ascii="Arial" w:eastAsia="Arial" w:hAnsi="Arial" w:cs="Arial"/>
                <w:b/>
                <w:bCs/>
                <w:spacing w:val="3"/>
                <w:sz w:val="18"/>
                <w:szCs w:val="18"/>
              </w:rPr>
              <w:t>n</w:t>
            </w:r>
            <w:r>
              <w:rPr>
                <w:rFonts w:ascii="Arial" w:eastAsia="Arial" w:hAnsi="Arial" w:cs="Arial"/>
                <w:b/>
                <w:bCs/>
                <w:sz w:val="18"/>
                <w:szCs w:val="18"/>
              </w:rPr>
              <w:t xml:space="preserve">d </w:t>
            </w:r>
            <w:r>
              <w:rPr>
                <w:rFonts w:ascii="Arial" w:eastAsia="Arial" w:hAnsi="Arial" w:cs="Arial"/>
                <w:b/>
                <w:bCs/>
                <w:spacing w:val="-12"/>
                <w:sz w:val="18"/>
                <w:szCs w:val="18"/>
              </w:rPr>
              <w:t>T</w:t>
            </w:r>
            <w:r>
              <w:rPr>
                <w:rFonts w:ascii="Arial" w:eastAsia="Arial" w:hAnsi="Arial" w:cs="Arial"/>
                <w:b/>
                <w:bCs/>
                <w:spacing w:val="1"/>
                <w:sz w:val="18"/>
                <w:szCs w:val="18"/>
              </w:rPr>
              <w:t>o</w:t>
            </w:r>
            <w:r>
              <w:rPr>
                <w:rFonts w:ascii="Arial" w:eastAsia="Arial" w:hAnsi="Arial" w:cs="Arial"/>
                <w:b/>
                <w:bCs/>
                <w:spacing w:val="3"/>
                <w:sz w:val="18"/>
                <w:szCs w:val="18"/>
              </w:rPr>
              <w:t>t</w:t>
            </w:r>
            <w:r>
              <w:rPr>
                <w:rFonts w:ascii="Arial" w:eastAsia="Arial" w:hAnsi="Arial" w:cs="Arial"/>
                <w:b/>
                <w:bCs/>
                <w:spacing w:val="2"/>
                <w:sz w:val="18"/>
                <w:szCs w:val="18"/>
              </w:rPr>
              <w:t>a</w:t>
            </w:r>
            <w:r>
              <w:rPr>
                <w:rFonts w:ascii="Arial" w:eastAsia="Arial" w:hAnsi="Arial" w:cs="Arial"/>
                <w:b/>
                <w:bCs/>
                <w:sz w:val="18"/>
                <w:szCs w:val="18"/>
              </w:rPr>
              <w:t>l</w:t>
            </w:r>
          </w:p>
        </w:tc>
        <w:tc>
          <w:tcPr>
            <w:tcW w:w="2336" w:type="dxa"/>
            <w:tcBorders>
              <w:top w:val="nil"/>
              <w:left w:val="nil"/>
              <w:bottom w:val="nil"/>
              <w:right w:val="nil"/>
            </w:tcBorders>
            <w:shd w:val="clear" w:color="auto" w:fill="C3D9DC"/>
          </w:tcPr>
          <w:p w:rsidR="003C17D6" w:rsidRDefault="003C17D6" w:rsidP="002B383B">
            <w:pPr>
              <w:pStyle w:val="TableParagraph"/>
              <w:keepNext/>
              <w:spacing w:before="66"/>
              <w:ind w:left="348"/>
              <w:jc w:val="center"/>
              <w:rPr>
                <w:rFonts w:ascii="Arial" w:eastAsia="Arial" w:hAnsi="Arial" w:cs="Arial"/>
                <w:sz w:val="18"/>
                <w:szCs w:val="18"/>
              </w:rPr>
            </w:pPr>
            <w:r>
              <w:rPr>
                <w:rFonts w:ascii="Arial" w:eastAsia="Arial" w:hAnsi="Arial" w:cs="Arial"/>
                <w:b/>
                <w:bCs/>
                <w:spacing w:val="-5"/>
                <w:sz w:val="18"/>
                <w:szCs w:val="18"/>
              </w:rPr>
              <w:t>1</w:t>
            </w:r>
            <w:r>
              <w:rPr>
                <w:rFonts w:ascii="Arial" w:eastAsia="Arial" w:hAnsi="Arial" w:cs="Arial"/>
                <w:b/>
                <w:bCs/>
                <w:spacing w:val="4"/>
                <w:sz w:val="18"/>
                <w:szCs w:val="18"/>
              </w:rPr>
              <w:t>2</w:t>
            </w:r>
            <w:r>
              <w:rPr>
                <w:rFonts w:ascii="Arial" w:eastAsia="Arial" w:hAnsi="Arial" w:cs="Arial"/>
                <w:b/>
                <w:bCs/>
                <w:spacing w:val="5"/>
                <w:sz w:val="18"/>
                <w:szCs w:val="18"/>
              </w:rPr>
              <w:t>3</w:t>
            </w:r>
            <w:r>
              <w:rPr>
                <w:rFonts w:ascii="Arial" w:eastAsia="Arial" w:hAnsi="Arial" w:cs="Arial"/>
                <w:b/>
                <w:bCs/>
                <w:sz w:val="18"/>
                <w:szCs w:val="18"/>
              </w:rPr>
              <w:t>5</w:t>
            </w:r>
          </w:p>
        </w:tc>
        <w:tc>
          <w:tcPr>
            <w:tcW w:w="2530" w:type="dxa"/>
            <w:tcBorders>
              <w:top w:val="nil"/>
              <w:left w:val="nil"/>
              <w:bottom w:val="nil"/>
              <w:right w:val="nil"/>
            </w:tcBorders>
            <w:shd w:val="clear" w:color="auto" w:fill="C3D9DC"/>
          </w:tcPr>
          <w:p w:rsidR="003C17D6" w:rsidRDefault="003C17D6" w:rsidP="002B383B">
            <w:pPr>
              <w:pStyle w:val="TableParagraph"/>
              <w:keepNext/>
              <w:spacing w:before="66"/>
              <w:ind w:left="120"/>
              <w:jc w:val="center"/>
              <w:rPr>
                <w:rFonts w:ascii="Arial" w:eastAsia="Arial" w:hAnsi="Arial" w:cs="Arial"/>
                <w:sz w:val="18"/>
                <w:szCs w:val="18"/>
              </w:rPr>
            </w:pPr>
            <w:r>
              <w:rPr>
                <w:rFonts w:ascii="Arial" w:eastAsia="Arial" w:hAnsi="Arial" w:cs="Arial"/>
                <w:spacing w:val="-9"/>
                <w:w w:val="105"/>
                <w:sz w:val="18"/>
                <w:szCs w:val="18"/>
              </w:rPr>
              <w:t>1</w:t>
            </w:r>
            <w:r>
              <w:rPr>
                <w:rFonts w:ascii="Arial" w:eastAsia="Arial" w:hAnsi="Arial" w:cs="Arial"/>
                <w:spacing w:val="4"/>
                <w:w w:val="105"/>
                <w:sz w:val="18"/>
                <w:szCs w:val="18"/>
              </w:rPr>
              <w:t>00</w:t>
            </w:r>
            <w:r>
              <w:rPr>
                <w:rFonts w:ascii="Arial" w:eastAsia="Arial" w:hAnsi="Arial" w:cs="Arial"/>
                <w:w w:val="105"/>
                <w:sz w:val="18"/>
                <w:szCs w:val="18"/>
              </w:rPr>
              <w:t>%</w:t>
            </w:r>
          </w:p>
        </w:tc>
      </w:tr>
    </w:tbl>
    <w:p w:rsidR="00A02A95" w:rsidRDefault="00FF3DB6" w:rsidP="00BF1301">
      <w:pPr>
        <w:spacing w:before="120"/>
      </w:pPr>
      <w:r>
        <w:t>Table 3</w:t>
      </w:r>
      <w:r w:rsidR="00103285">
        <w:t xml:space="preserve"> shows that since 2014, almost half of all greenfields agreements made cover Western Australia</w:t>
      </w:r>
      <w:r w:rsidR="00982067">
        <w:t>, particularly when you take into account Multi</w:t>
      </w:r>
      <w:r w:rsidR="00F0788F">
        <w:t xml:space="preserve"> </w:t>
      </w:r>
      <w:r w:rsidR="00982067">
        <w:t xml:space="preserve">State agreements, which </w:t>
      </w:r>
      <w:r w:rsidR="001B38B3">
        <w:t xml:space="preserve">might </w:t>
      </w:r>
      <w:r w:rsidR="00982067">
        <w:t>in part cover Western Australia</w:t>
      </w:r>
      <w:r w:rsidR="00103285">
        <w:t>.</w:t>
      </w:r>
      <w:r w:rsidR="00982067">
        <w:t xml:space="preserve"> This seems consistent with </w:t>
      </w:r>
      <w:r w:rsidR="008C366A">
        <w:t>the location of</w:t>
      </w:r>
      <w:r w:rsidR="00982067">
        <w:t xml:space="preserve"> many la</w:t>
      </w:r>
      <w:r w:rsidR="001B38B3">
        <w:t>r</w:t>
      </w:r>
      <w:r w:rsidR="00982067">
        <w:t xml:space="preserve">ger resources projects have been based in recent years. </w:t>
      </w:r>
    </w:p>
    <w:p w:rsidR="001D62DD" w:rsidRDefault="001D62DD" w:rsidP="00E556F7">
      <w:r>
        <w:t xml:space="preserve">In terms of construction work, the </w:t>
      </w:r>
      <w:r w:rsidR="0096170C">
        <w:t>Master Builders of Australia (</w:t>
      </w:r>
      <w:r>
        <w:t>MBA</w:t>
      </w:r>
      <w:r w:rsidR="0096170C">
        <w:t>)</w:t>
      </w:r>
      <w:r>
        <w:t xml:space="preserve"> </w:t>
      </w:r>
      <w:r w:rsidR="00A41E7C">
        <w:t>advised:</w:t>
      </w:r>
      <w:r w:rsidR="005E7380">
        <w:rPr>
          <w:rStyle w:val="FootnoteReference"/>
        </w:rPr>
        <w:footnoteReference w:id="7"/>
      </w:r>
    </w:p>
    <w:p w:rsidR="00A41E7C" w:rsidRPr="006A6708" w:rsidRDefault="00A41E7C" w:rsidP="006A6708">
      <w:pPr>
        <w:ind w:left="720"/>
      </w:pPr>
      <w:r w:rsidRPr="006A6708">
        <w:t xml:space="preserve">Unlike most other sectors where Greenfields agreements may be used for a new business or enterprise, the building and construction industry use of Greenfields agreements is more likely to represent employment arrangements that exist for a significant part of a project duration rather than the formative stages of a new business or enterprise. </w:t>
      </w:r>
    </w:p>
    <w:p w:rsidR="00A41E7C" w:rsidRPr="006A6708" w:rsidRDefault="00A41E7C" w:rsidP="006A6708">
      <w:pPr>
        <w:ind w:left="720"/>
      </w:pPr>
      <w:r w:rsidRPr="006A6708">
        <w:t xml:space="preserve">It is common for some types of projects, particularly those involving major infrastructure and/or those of a significant size, to be undertaken by entities which are the creation of a partnership or other similar arrangement between major sector contractors. These most commonly manifest themselves in the form of a joint venture arrangement where two or more contractors have a joint business entity to operate and manage a project. This is often necessary due to the size and scale of particular projects.  </w:t>
      </w:r>
    </w:p>
    <w:p w:rsidR="001D62DD" w:rsidRPr="00A41E7C" w:rsidRDefault="00A41E7C" w:rsidP="006A6708">
      <w:pPr>
        <w:ind w:left="720"/>
        <w:rPr>
          <w:i/>
        </w:rPr>
      </w:pPr>
      <w:r w:rsidRPr="006A6708">
        <w:t xml:space="preserve">Such arrangements require the establishment of a new legally identifiable business entity. </w:t>
      </w:r>
      <w:r w:rsidR="00FC7F7B">
        <w:br/>
      </w:r>
      <w:r w:rsidRPr="006A6708">
        <w:t>As such this, combined with the project based nature of work arrangements, lend themselves to the adoption of Greenfields agreements specific to that project.</w:t>
      </w:r>
    </w:p>
    <w:p w:rsidR="006F64F9" w:rsidRPr="0090554C" w:rsidRDefault="00692C4F" w:rsidP="00084EC7">
      <w:pPr>
        <w:pStyle w:val="Heading2"/>
      </w:pPr>
      <w:bookmarkStart w:id="14" w:name="_Toc505681254"/>
      <w:r>
        <w:t>Decline in</w:t>
      </w:r>
      <w:r w:rsidR="00084EC7" w:rsidRPr="0090554C">
        <w:t xml:space="preserve"> agreement</w:t>
      </w:r>
      <w:r w:rsidR="00406AF7">
        <w:t xml:space="preserve"> </w:t>
      </w:r>
      <w:r w:rsidR="00084EC7" w:rsidRPr="0090554C">
        <w:t>making</w:t>
      </w:r>
      <w:bookmarkEnd w:id="14"/>
    </w:p>
    <w:p w:rsidR="00637A46" w:rsidRPr="0090554C" w:rsidRDefault="00637A46" w:rsidP="00637A46">
      <w:r w:rsidRPr="0090554C">
        <w:t xml:space="preserve">There has been a significant reduction in the number of </w:t>
      </w:r>
      <w:r w:rsidR="006838AF">
        <w:t xml:space="preserve">applications to the Fair Work Commission to approve </w:t>
      </w:r>
      <w:r w:rsidRPr="0090554C">
        <w:t xml:space="preserve">greenfields agreements since 2015. This reduction is proportionally greater than the reduction in the overall number of enterprise agreements being proposed for approval. </w:t>
      </w:r>
      <w:r w:rsidR="007868A5">
        <w:t xml:space="preserve">Chart 1 below shows </w:t>
      </w:r>
      <w:r w:rsidR="00FC7F7B">
        <w:br/>
      </w:r>
      <w:r w:rsidR="007868A5">
        <w:t>a peak in current greenfields agreements in 2014 and the overall decline in all agreements from 2010 to 2017.</w:t>
      </w:r>
    </w:p>
    <w:p w:rsidR="00D631EA" w:rsidRDefault="00D631EA" w:rsidP="00D631EA">
      <w:pPr>
        <w:pStyle w:val="Caption"/>
        <w:keepNext/>
      </w:pPr>
      <w:r>
        <w:lastRenderedPageBreak/>
        <w:t xml:space="preserve">Chart </w:t>
      </w:r>
      <w:r>
        <w:fldChar w:fldCharType="begin"/>
      </w:r>
      <w:r>
        <w:instrText xml:space="preserve"> SEQ Chart \* ARABIC </w:instrText>
      </w:r>
      <w:r>
        <w:fldChar w:fldCharType="separate"/>
      </w:r>
      <w:r w:rsidR="00332481">
        <w:rPr>
          <w:noProof/>
        </w:rPr>
        <w:t>1</w:t>
      </w:r>
      <w:r>
        <w:fldChar w:fldCharType="end"/>
      </w:r>
      <w:r w:rsidRPr="00CB7F1F">
        <w:t>: Decline in current enterprise agreements since 2010</w:t>
      </w:r>
      <w:r>
        <w:rPr>
          <w:rStyle w:val="FootnoteReference"/>
          <w:rFonts w:eastAsia="Arial" w:cs="Arial"/>
          <w:b w:val="0"/>
          <w:bCs w:val="0"/>
          <w:position w:val="-1"/>
        </w:rPr>
        <w:footnoteReference w:id="8"/>
      </w:r>
    </w:p>
    <w:p w:rsidR="00F13346" w:rsidRPr="0090554C" w:rsidRDefault="0033300E" w:rsidP="002B383B">
      <w:pPr>
        <w:keepNext/>
      </w:pPr>
      <w:r>
        <w:rPr>
          <w:noProof/>
          <w:lang w:eastAsia="en-AU"/>
        </w:rPr>
        <w:drawing>
          <wp:inline distT="0" distB="0" distL="0" distR="0" wp14:anchorId="698A764C" wp14:editId="7FE9220A">
            <wp:extent cx="6029325" cy="3486150"/>
            <wp:effectExtent l="0" t="0" r="9525" b="0"/>
            <wp:docPr id="62" name="Picture 62" descr="Chart 1 – Decline in current enterprise agreements since 2010 compared to greenfields agreements.&#10;Chart 1 shows a peak in current greenfields agreements in 2014 at just under 2000, from lows of around 1000 in 2010 and 2017. Current enterprise agreements overall declined from around 25,000 in 2010 to around 14,000 in 2017. " title="Chart 1 – Decline in current enterprise agreements since 2010 compared to greenfields agre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9325" cy="3486150"/>
                    </a:xfrm>
                    <a:prstGeom prst="rect">
                      <a:avLst/>
                    </a:prstGeom>
                    <a:noFill/>
                    <a:ln>
                      <a:noFill/>
                    </a:ln>
                  </pic:spPr>
                </pic:pic>
              </a:graphicData>
            </a:graphic>
          </wp:inline>
        </w:drawing>
      </w:r>
    </w:p>
    <w:p w:rsidR="009664CB" w:rsidRDefault="005E7380">
      <w:pPr>
        <w:rPr>
          <w:b/>
          <w:color w:val="000000"/>
        </w:rPr>
      </w:pPr>
      <w:r>
        <w:rPr>
          <w:color w:val="000000"/>
        </w:rPr>
        <w:t xml:space="preserve">Further information on the decline in agreement making is available in Table 4 below. Table 4 shows </w:t>
      </w:r>
      <w:r>
        <w:t>the</w:t>
      </w:r>
      <w:r w:rsidRPr="002F5E4D">
        <w:t xml:space="preserve"> decline in the number of </w:t>
      </w:r>
      <w:r w:rsidRPr="002F5E4D">
        <w:rPr>
          <w:bCs/>
        </w:rPr>
        <w:t>g</w:t>
      </w:r>
      <w:r w:rsidRPr="002F5E4D">
        <w:rPr>
          <w:bCs/>
          <w:color w:val="000000"/>
        </w:rPr>
        <w:t>reenfields agreements proposed for approval</w:t>
      </w:r>
      <w:r w:rsidRPr="002F5E4D">
        <w:rPr>
          <w:color w:val="000000"/>
        </w:rPr>
        <w:t xml:space="preserve"> h</w:t>
      </w:r>
      <w:r>
        <w:rPr>
          <w:color w:val="000000"/>
        </w:rPr>
        <w:t>as been more severe than</w:t>
      </w:r>
      <w:r w:rsidRPr="002F5E4D">
        <w:rPr>
          <w:color w:val="000000"/>
        </w:rPr>
        <w:t xml:space="preserve"> the overall numbers of agreements since 2015.  WAD a</w:t>
      </w:r>
      <w:r w:rsidRPr="002F5E4D">
        <w:rPr>
          <w:bCs/>
          <w:color w:val="000000"/>
        </w:rPr>
        <w:t>pproved agreements data</w:t>
      </w:r>
      <w:r w:rsidRPr="002F5E4D">
        <w:rPr>
          <w:color w:val="000000"/>
        </w:rPr>
        <w:t xml:space="preserve"> indicates that</w:t>
      </w:r>
      <w:r w:rsidR="00B81DF2">
        <w:rPr>
          <w:color w:val="000000"/>
        </w:rPr>
        <w:t>,</w:t>
      </w:r>
      <w:r w:rsidRPr="002F5E4D">
        <w:rPr>
          <w:color w:val="000000"/>
        </w:rPr>
        <w:t xml:space="preserve"> following the commencement of the Amendment Act, greenfields</w:t>
      </w:r>
      <w:r w:rsidRPr="001B38B3">
        <w:rPr>
          <w:color w:val="000000"/>
        </w:rPr>
        <w:t xml:space="preserve"> approvals declined by 65</w:t>
      </w:r>
      <w:r>
        <w:rPr>
          <w:color w:val="000000"/>
        </w:rPr>
        <w:t xml:space="preserve"> per cent</w:t>
      </w:r>
      <w:r w:rsidR="00936729">
        <w:rPr>
          <w:color w:val="000000"/>
        </w:rPr>
        <w:t>,</w:t>
      </w:r>
      <w:r w:rsidRPr="001B38B3">
        <w:rPr>
          <w:color w:val="000000"/>
        </w:rPr>
        <w:t xml:space="preserve"> compared</w:t>
      </w:r>
      <w:r w:rsidR="00936729">
        <w:rPr>
          <w:color w:val="000000"/>
        </w:rPr>
        <w:t xml:space="preserve"> to a</w:t>
      </w:r>
      <w:r w:rsidRPr="001B38B3">
        <w:rPr>
          <w:color w:val="000000"/>
        </w:rPr>
        <w:t xml:space="preserve"> </w:t>
      </w:r>
      <w:r>
        <w:rPr>
          <w:color w:val="000000"/>
        </w:rPr>
        <w:t xml:space="preserve">decline of 24 per cent </w:t>
      </w:r>
      <w:r w:rsidRPr="001B38B3">
        <w:rPr>
          <w:color w:val="000000"/>
        </w:rPr>
        <w:t xml:space="preserve">for all </w:t>
      </w:r>
      <w:r>
        <w:rPr>
          <w:color w:val="000000"/>
        </w:rPr>
        <w:t xml:space="preserve">enterprise </w:t>
      </w:r>
      <w:r w:rsidRPr="001B38B3">
        <w:rPr>
          <w:color w:val="000000"/>
        </w:rPr>
        <w:t>agreements</w:t>
      </w:r>
      <w:r>
        <w:rPr>
          <w:color w:val="000000"/>
        </w:rPr>
        <w:t xml:space="preserve">. Noting the </w:t>
      </w:r>
      <w:r w:rsidR="007874CF">
        <w:rPr>
          <w:color w:val="000000"/>
        </w:rPr>
        <w:t>short timeframe, the conclusions that can be drawn from this are</w:t>
      </w:r>
      <w:r>
        <w:rPr>
          <w:color w:val="000000"/>
        </w:rPr>
        <w:t xml:space="preserve"> limited. However, more broadly, it </w:t>
      </w:r>
      <w:r w:rsidR="00936729">
        <w:rPr>
          <w:color w:val="000000"/>
        </w:rPr>
        <w:t>may suggest</w:t>
      </w:r>
      <w:r>
        <w:rPr>
          <w:color w:val="000000"/>
        </w:rPr>
        <w:t xml:space="preserve"> that the drivers for the decline in greenfields agreement making are significantly different from those affecting enterprise agreement making more generally. </w:t>
      </w:r>
      <w:r w:rsidR="00716C46">
        <w:rPr>
          <w:color w:val="000000"/>
        </w:rPr>
        <w:t xml:space="preserve"> </w:t>
      </w:r>
    </w:p>
    <w:p w:rsidR="00D631EA" w:rsidRDefault="00D631EA" w:rsidP="00D631EA">
      <w:pPr>
        <w:pStyle w:val="Caption"/>
        <w:keepNext/>
      </w:pPr>
      <w:r>
        <w:t xml:space="preserve">Table </w:t>
      </w:r>
      <w:r>
        <w:fldChar w:fldCharType="begin"/>
      </w:r>
      <w:r>
        <w:instrText xml:space="preserve"> SEQ Table \* ARABIC </w:instrText>
      </w:r>
      <w:r>
        <w:fldChar w:fldCharType="separate"/>
      </w:r>
      <w:r w:rsidR="002C20F1">
        <w:rPr>
          <w:noProof/>
        </w:rPr>
        <w:t>4</w:t>
      </w:r>
      <w:r>
        <w:fldChar w:fldCharType="end"/>
      </w:r>
      <w:r w:rsidRPr="00A317EF">
        <w:t>: Decline in all approved agreements and greenfields agreements - Nov 2013 to Oct 2015 co</w:t>
      </w:r>
      <w:r>
        <w:t>mpared to Nov 2015 to June 2017</w:t>
      </w:r>
      <w:r>
        <w:rPr>
          <w:rStyle w:val="FootnoteReference"/>
          <w:b w:val="0"/>
          <w:bCs w:val="0"/>
          <w:color w:val="000000"/>
        </w:rPr>
        <w:footnoteReference w:id="9"/>
      </w:r>
    </w:p>
    <w:tbl>
      <w:tblPr>
        <w:tblW w:w="0" w:type="auto"/>
        <w:tblLayout w:type="fixed"/>
        <w:tblCellMar>
          <w:left w:w="0" w:type="dxa"/>
          <w:right w:w="0" w:type="dxa"/>
        </w:tblCellMar>
        <w:tblLook w:val="01E0" w:firstRow="1" w:lastRow="1" w:firstColumn="1" w:lastColumn="1" w:noHBand="0" w:noVBand="0"/>
        <w:tblCaption w:val="Table 4 – Decline in all approved agreements and greenfields agreements – from November 2013 to October 2015 to November 2015 to June 2017."/>
        <w:tblDescription w:val="Table 4 shows the comparative decline in the number of all approved agreements and greenfields agreements. From the period November 2013 to October 2015, to the period November 2015 to June 2017, approved greenfields agreements declined 65 per cent. All approved enterprise agreements declined 24 per cent. "/>
      </w:tblPr>
      <w:tblGrid>
        <w:gridCol w:w="1493"/>
        <w:gridCol w:w="2419"/>
        <w:gridCol w:w="2381"/>
        <w:gridCol w:w="1871"/>
      </w:tblGrid>
      <w:tr w:rsidR="003C17D6" w:rsidTr="00D631EA">
        <w:trPr>
          <w:trHeight w:hRule="exact" w:val="315"/>
          <w:tblHeader/>
        </w:trPr>
        <w:tc>
          <w:tcPr>
            <w:tcW w:w="3912" w:type="dxa"/>
            <w:gridSpan w:val="2"/>
            <w:tcBorders>
              <w:top w:val="nil"/>
              <w:left w:val="nil"/>
              <w:bottom w:val="nil"/>
              <w:right w:val="nil"/>
            </w:tcBorders>
            <w:shd w:val="clear" w:color="auto" w:fill="006D68"/>
          </w:tcPr>
          <w:p w:rsidR="003C17D6" w:rsidRDefault="003C17D6" w:rsidP="002B383B">
            <w:pPr>
              <w:pStyle w:val="TableParagraph"/>
              <w:keepNext/>
              <w:spacing w:before="54"/>
              <w:ind w:left="1760"/>
              <w:rPr>
                <w:rFonts w:ascii="Arial" w:eastAsia="Arial" w:hAnsi="Arial" w:cs="Arial"/>
                <w:sz w:val="19"/>
                <w:szCs w:val="19"/>
              </w:rPr>
            </w:pPr>
            <w:r>
              <w:rPr>
                <w:rFonts w:ascii="Arial" w:eastAsia="Arial" w:hAnsi="Arial" w:cs="Arial"/>
                <w:color w:val="FFFFFF"/>
                <w:spacing w:val="1"/>
                <w:sz w:val="19"/>
                <w:szCs w:val="19"/>
              </w:rPr>
              <w:t>N</w:t>
            </w:r>
            <w:r>
              <w:rPr>
                <w:rFonts w:ascii="Arial" w:eastAsia="Arial" w:hAnsi="Arial" w:cs="Arial"/>
                <w:color w:val="FFFFFF"/>
                <w:spacing w:val="-2"/>
                <w:sz w:val="19"/>
                <w:szCs w:val="19"/>
              </w:rPr>
              <w:t>o</w:t>
            </w:r>
            <w:r>
              <w:rPr>
                <w:rFonts w:ascii="Arial" w:eastAsia="Arial" w:hAnsi="Arial" w:cs="Arial"/>
                <w:color w:val="FFFFFF"/>
                <w:sz w:val="19"/>
                <w:szCs w:val="19"/>
              </w:rPr>
              <w:t>v</w:t>
            </w:r>
            <w:r>
              <w:rPr>
                <w:rFonts w:ascii="Arial" w:eastAsia="Arial" w:hAnsi="Arial" w:cs="Arial"/>
                <w:color w:val="FFFFFF"/>
                <w:spacing w:val="10"/>
                <w:sz w:val="19"/>
                <w:szCs w:val="19"/>
              </w:rPr>
              <w:t xml:space="preserve"> </w:t>
            </w:r>
            <w:r>
              <w:rPr>
                <w:rFonts w:ascii="Arial" w:eastAsia="Arial" w:hAnsi="Arial" w:cs="Arial"/>
                <w:color w:val="FFFFFF"/>
                <w:spacing w:val="2"/>
                <w:sz w:val="19"/>
                <w:szCs w:val="19"/>
              </w:rPr>
              <w:t>2</w:t>
            </w:r>
            <w:r>
              <w:rPr>
                <w:rFonts w:ascii="Arial" w:eastAsia="Arial" w:hAnsi="Arial" w:cs="Arial"/>
                <w:color w:val="FFFFFF"/>
                <w:spacing w:val="-1"/>
                <w:sz w:val="19"/>
                <w:szCs w:val="19"/>
              </w:rPr>
              <w:t>0</w:t>
            </w:r>
            <w:r>
              <w:rPr>
                <w:rFonts w:ascii="Arial" w:eastAsia="Arial" w:hAnsi="Arial" w:cs="Arial"/>
                <w:color w:val="FFFFFF"/>
                <w:spacing w:val="-10"/>
                <w:sz w:val="19"/>
                <w:szCs w:val="19"/>
              </w:rPr>
              <w:t>1</w:t>
            </w:r>
            <w:r>
              <w:rPr>
                <w:rFonts w:ascii="Arial" w:eastAsia="Arial" w:hAnsi="Arial" w:cs="Arial"/>
                <w:color w:val="FFFFFF"/>
                <w:sz w:val="19"/>
                <w:szCs w:val="19"/>
              </w:rPr>
              <w:t>3</w:t>
            </w:r>
            <w:r>
              <w:rPr>
                <w:rFonts w:ascii="Arial" w:eastAsia="Arial" w:hAnsi="Arial" w:cs="Arial"/>
                <w:color w:val="FFFFFF"/>
                <w:spacing w:val="11"/>
                <w:sz w:val="19"/>
                <w:szCs w:val="19"/>
              </w:rPr>
              <w:t xml:space="preserve"> </w:t>
            </w:r>
            <w:r>
              <w:rPr>
                <w:rFonts w:ascii="Arial" w:eastAsia="Arial" w:hAnsi="Arial" w:cs="Arial"/>
                <w:color w:val="FFFFFF"/>
                <w:spacing w:val="-1"/>
                <w:sz w:val="19"/>
                <w:szCs w:val="19"/>
              </w:rPr>
              <w:t>t</w:t>
            </w:r>
            <w:r>
              <w:rPr>
                <w:rFonts w:ascii="Arial" w:eastAsia="Arial" w:hAnsi="Arial" w:cs="Arial"/>
                <w:color w:val="FFFFFF"/>
                <w:sz w:val="19"/>
                <w:szCs w:val="19"/>
              </w:rPr>
              <w:t>o</w:t>
            </w:r>
            <w:r>
              <w:rPr>
                <w:rFonts w:ascii="Arial" w:eastAsia="Arial" w:hAnsi="Arial" w:cs="Arial"/>
                <w:color w:val="FFFFFF"/>
                <w:spacing w:val="10"/>
                <w:sz w:val="19"/>
                <w:szCs w:val="19"/>
              </w:rPr>
              <w:t xml:space="preserve"> </w:t>
            </w:r>
            <w:r>
              <w:rPr>
                <w:rFonts w:ascii="Arial" w:eastAsia="Arial" w:hAnsi="Arial" w:cs="Arial"/>
                <w:color w:val="FFFFFF"/>
                <w:spacing w:val="2"/>
                <w:sz w:val="19"/>
                <w:szCs w:val="19"/>
              </w:rPr>
              <w:t>O</w:t>
            </w:r>
            <w:r>
              <w:rPr>
                <w:rFonts w:ascii="Arial" w:eastAsia="Arial" w:hAnsi="Arial" w:cs="Arial"/>
                <w:color w:val="FFFFFF"/>
                <w:spacing w:val="1"/>
                <w:sz w:val="19"/>
                <w:szCs w:val="19"/>
              </w:rPr>
              <w:t>c</w:t>
            </w:r>
            <w:r>
              <w:rPr>
                <w:rFonts w:ascii="Arial" w:eastAsia="Arial" w:hAnsi="Arial" w:cs="Arial"/>
                <w:color w:val="FFFFFF"/>
                <w:sz w:val="19"/>
                <w:szCs w:val="19"/>
              </w:rPr>
              <w:t>t</w:t>
            </w:r>
            <w:r>
              <w:rPr>
                <w:rFonts w:ascii="Arial" w:eastAsia="Arial" w:hAnsi="Arial" w:cs="Arial"/>
                <w:color w:val="FFFFFF"/>
                <w:spacing w:val="11"/>
                <w:sz w:val="19"/>
                <w:szCs w:val="19"/>
              </w:rPr>
              <w:t xml:space="preserve"> </w:t>
            </w:r>
            <w:r>
              <w:rPr>
                <w:rFonts w:ascii="Arial" w:eastAsia="Arial" w:hAnsi="Arial" w:cs="Arial"/>
                <w:color w:val="FFFFFF"/>
                <w:spacing w:val="2"/>
                <w:sz w:val="19"/>
                <w:szCs w:val="19"/>
              </w:rPr>
              <w:t>2</w:t>
            </w:r>
            <w:r>
              <w:rPr>
                <w:rFonts w:ascii="Arial" w:eastAsia="Arial" w:hAnsi="Arial" w:cs="Arial"/>
                <w:color w:val="FFFFFF"/>
                <w:spacing w:val="-1"/>
                <w:sz w:val="19"/>
                <w:szCs w:val="19"/>
              </w:rPr>
              <w:t>0</w:t>
            </w:r>
            <w:r>
              <w:rPr>
                <w:rFonts w:ascii="Arial" w:eastAsia="Arial" w:hAnsi="Arial" w:cs="Arial"/>
                <w:color w:val="FFFFFF"/>
                <w:spacing w:val="-10"/>
                <w:sz w:val="19"/>
                <w:szCs w:val="19"/>
              </w:rPr>
              <w:t>1</w:t>
            </w:r>
            <w:r>
              <w:rPr>
                <w:rFonts w:ascii="Arial" w:eastAsia="Arial" w:hAnsi="Arial" w:cs="Arial"/>
                <w:color w:val="FFFFFF"/>
                <w:sz w:val="19"/>
                <w:szCs w:val="19"/>
              </w:rPr>
              <w:t>5</w:t>
            </w:r>
          </w:p>
        </w:tc>
        <w:tc>
          <w:tcPr>
            <w:tcW w:w="2381" w:type="dxa"/>
            <w:tcBorders>
              <w:top w:val="nil"/>
              <w:left w:val="nil"/>
              <w:bottom w:val="nil"/>
              <w:right w:val="nil"/>
            </w:tcBorders>
            <w:shd w:val="clear" w:color="auto" w:fill="006D68"/>
          </w:tcPr>
          <w:p w:rsidR="003C17D6" w:rsidRDefault="003C17D6" w:rsidP="002B383B">
            <w:pPr>
              <w:pStyle w:val="TableParagraph"/>
              <w:keepNext/>
              <w:spacing w:before="54"/>
              <w:ind w:left="194"/>
              <w:rPr>
                <w:rFonts w:ascii="Arial" w:eastAsia="Arial" w:hAnsi="Arial" w:cs="Arial"/>
                <w:sz w:val="19"/>
                <w:szCs w:val="19"/>
              </w:rPr>
            </w:pPr>
            <w:r>
              <w:rPr>
                <w:rFonts w:ascii="Arial" w:eastAsia="Arial" w:hAnsi="Arial" w:cs="Arial"/>
                <w:color w:val="FFFFFF"/>
                <w:spacing w:val="1"/>
                <w:w w:val="105"/>
                <w:sz w:val="19"/>
                <w:szCs w:val="19"/>
              </w:rPr>
              <w:t>N</w:t>
            </w:r>
            <w:r>
              <w:rPr>
                <w:rFonts w:ascii="Arial" w:eastAsia="Arial" w:hAnsi="Arial" w:cs="Arial"/>
                <w:color w:val="FFFFFF"/>
                <w:spacing w:val="-2"/>
                <w:w w:val="105"/>
                <w:sz w:val="19"/>
                <w:szCs w:val="19"/>
              </w:rPr>
              <w:t>o</w:t>
            </w:r>
            <w:r>
              <w:rPr>
                <w:rFonts w:ascii="Arial" w:eastAsia="Arial" w:hAnsi="Arial" w:cs="Arial"/>
                <w:color w:val="FFFFFF"/>
                <w:w w:val="105"/>
                <w:sz w:val="19"/>
                <w:szCs w:val="19"/>
              </w:rPr>
              <w:t>v</w:t>
            </w:r>
            <w:r>
              <w:rPr>
                <w:rFonts w:ascii="Arial" w:eastAsia="Arial" w:hAnsi="Arial" w:cs="Arial"/>
                <w:color w:val="FFFFFF"/>
                <w:spacing w:val="-14"/>
                <w:w w:val="105"/>
                <w:sz w:val="19"/>
                <w:szCs w:val="19"/>
              </w:rPr>
              <w:t xml:space="preserve"> </w:t>
            </w:r>
            <w:r>
              <w:rPr>
                <w:rFonts w:ascii="Arial" w:eastAsia="Arial" w:hAnsi="Arial" w:cs="Arial"/>
                <w:color w:val="FFFFFF"/>
                <w:spacing w:val="2"/>
                <w:w w:val="105"/>
                <w:sz w:val="19"/>
                <w:szCs w:val="19"/>
              </w:rPr>
              <w:t>2</w:t>
            </w:r>
            <w:r>
              <w:rPr>
                <w:rFonts w:ascii="Arial" w:eastAsia="Arial" w:hAnsi="Arial" w:cs="Arial"/>
                <w:color w:val="FFFFFF"/>
                <w:spacing w:val="-2"/>
                <w:w w:val="105"/>
                <w:sz w:val="19"/>
                <w:szCs w:val="19"/>
              </w:rPr>
              <w:t>0</w:t>
            </w:r>
            <w:r>
              <w:rPr>
                <w:rFonts w:ascii="Arial" w:eastAsia="Arial" w:hAnsi="Arial" w:cs="Arial"/>
                <w:color w:val="FFFFFF"/>
                <w:spacing w:val="-11"/>
                <w:w w:val="105"/>
                <w:sz w:val="19"/>
                <w:szCs w:val="19"/>
              </w:rPr>
              <w:t>1</w:t>
            </w:r>
            <w:r>
              <w:rPr>
                <w:rFonts w:ascii="Arial" w:eastAsia="Arial" w:hAnsi="Arial" w:cs="Arial"/>
                <w:color w:val="FFFFFF"/>
                <w:w w:val="105"/>
                <w:sz w:val="19"/>
                <w:szCs w:val="19"/>
              </w:rPr>
              <w:t>5</w:t>
            </w:r>
            <w:r>
              <w:rPr>
                <w:rFonts w:ascii="Arial" w:eastAsia="Arial" w:hAnsi="Arial" w:cs="Arial"/>
                <w:color w:val="FFFFFF"/>
                <w:spacing w:val="-14"/>
                <w:w w:val="105"/>
                <w:sz w:val="19"/>
                <w:szCs w:val="19"/>
              </w:rPr>
              <w:t xml:space="preserve"> </w:t>
            </w:r>
            <w:r>
              <w:rPr>
                <w:rFonts w:ascii="Arial" w:eastAsia="Arial" w:hAnsi="Arial" w:cs="Arial"/>
                <w:color w:val="FFFFFF"/>
                <w:spacing w:val="-1"/>
                <w:w w:val="105"/>
                <w:sz w:val="19"/>
                <w:szCs w:val="19"/>
              </w:rPr>
              <w:t>t</w:t>
            </w:r>
            <w:r>
              <w:rPr>
                <w:rFonts w:ascii="Arial" w:eastAsia="Arial" w:hAnsi="Arial" w:cs="Arial"/>
                <w:color w:val="FFFFFF"/>
                <w:w w:val="105"/>
                <w:sz w:val="19"/>
                <w:szCs w:val="19"/>
              </w:rPr>
              <w:t>o</w:t>
            </w:r>
            <w:r>
              <w:rPr>
                <w:rFonts w:ascii="Arial" w:eastAsia="Arial" w:hAnsi="Arial" w:cs="Arial"/>
                <w:color w:val="FFFFFF"/>
                <w:spacing w:val="-13"/>
                <w:w w:val="105"/>
                <w:sz w:val="19"/>
                <w:szCs w:val="19"/>
              </w:rPr>
              <w:t xml:space="preserve"> </w:t>
            </w:r>
            <w:r>
              <w:rPr>
                <w:rFonts w:ascii="Arial" w:eastAsia="Arial" w:hAnsi="Arial" w:cs="Arial"/>
                <w:color w:val="FFFFFF"/>
                <w:w w:val="105"/>
                <w:sz w:val="19"/>
                <w:szCs w:val="19"/>
              </w:rPr>
              <w:t>J</w:t>
            </w:r>
            <w:r>
              <w:rPr>
                <w:rFonts w:ascii="Arial" w:eastAsia="Arial" w:hAnsi="Arial" w:cs="Arial"/>
                <w:color w:val="FFFFFF"/>
                <w:spacing w:val="1"/>
                <w:w w:val="105"/>
                <w:sz w:val="19"/>
                <w:szCs w:val="19"/>
              </w:rPr>
              <w:t>un</w:t>
            </w:r>
            <w:r>
              <w:rPr>
                <w:rFonts w:ascii="Arial" w:eastAsia="Arial" w:hAnsi="Arial" w:cs="Arial"/>
                <w:color w:val="FFFFFF"/>
                <w:w w:val="105"/>
                <w:sz w:val="19"/>
                <w:szCs w:val="19"/>
              </w:rPr>
              <w:t>e</w:t>
            </w:r>
            <w:r>
              <w:rPr>
                <w:rFonts w:ascii="Arial" w:eastAsia="Arial" w:hAnsi="Arial" w:cs="Arial"/>
                <w:color w:val="FFFFFF"/>
                <w:spacing w:val="-14"/>
                <w:w w:val="105"/>
                <w:sz w:val="19"/>
                <w:szCs w:val="19"/>
              </w:rPr>
              <w:t xml:space="preserve"> </w:t>
            </w:r>
            <w:r>
              <w:rPr>
                <w:rFonts w:ascii="Arial" w:eastAsia="Arial" w:hAnsi="Arial" w:cs="Arial"/>
                <w:color w:val="FFFFFF"/>
                <w:spacing w:val="2"/>
                <w:w w:val="105"/>
                <w:sz w:val="19"/>
                <w:szCs w:val="19"/>
              </w:rPr>
              <w:t>2</w:t>
            </w:r>
            <w:r>
              <w:rPr>
                <w:rFonts w:ascii="Arial" w:eastAsia="Arial" w:hAnsi="Arial" w:cs="Arial"/>
                <w:color w:val="FFFFFF"/>
                <w:spacing w:val="-2"/>
                <w:w w:val="105"/>
                <w:sz w:val="19"/>
                <w:szCs w:val="19"/>
              </w:rPr>
              <w:t>0</w:t>
            </w:r>
            <w:r>
              <w:rPr>
                <w:rFonts w:ascii="Arial" w:eastAsia="Arial" w:hAnsi="Arial" w:cs="Arial"/>
                <w:color w:val="FFFFFF"/>
                <w:spacing w:val="-15"/>
                <w:w w:val="105"/>
                <w:sz w:val="19"/>
                <w:szCs w:val="19"/>
              </w:rPr>
              <w:t>1</w:t>
            </w:r>
            <w:r>
              <w:rPr>
                <w:rFonts w:ascii="Arial" w:eastAsia="Arial" w:hAnsi="Arial" w:cs="Arial"/>
                <w:color w:val="FFFFFF"/>
                <w:w w:val="105"/>
                <w:sz w:val="19"/>
                <w:szCs w:val="19"/>
              </w:rPr>
              <w:t>7</w:t>
            </w:r>
          </w:p>
        </w:tc>
        <w:tc>
          <w:tcPr>
            <w:tcW w:w="1871" w:type="dxa"/>
            <w:tcBorders>
              <w:top w:val="nil"/>
              <w:left w:val="nil"/>
              <w:bottom w:val="nil"/>
              <w:right w:val="nil"/>
            </w:tcBorders>
            <w:shd w:val="clear" w:color="auto" w:fill="006D68"/>
          </w:tcPr>
          <w:p w:rsidR="003C17D6" w:rsidRDefault="003C17D6" w:rsidP="002B383B">
            <w:pPr>
              <w:pStyle w:val="TableParagraph"/>
              <w:keepNext/>
              <w:spacing w:before="54"/>
              <w:ind w:left="492"/>
              <w:rPr>
                <w:rFonts w:ascii="Arial" w:eastAsia="Arial" w:hAnsi="Arial" w:cs="Arial"/>
                <w:sz w:val="19"/>
                <w:szCs w:val="19"/>
              </w:rPr>
            </w:pPr>
            <w:r>
              <w:rPr>
                <w:rFonts w:ascii="Arial" w:eastAsia="Arial" w:hAnsi="Arial" w:cs="Arial"/>
                <w:color w:val="FFFFFF"/>
                <w:w w:val="110"/>
                <w:sz w:val="19"/>
                <w:szCs w:val="19"/>
              </w:rPr>
              <w:t>%</w:t>
            </w:r>
            <w:r>
              <w:rPr>
                <w:rFonts w:ascii="Arial" w:eastAsia="Arial" w:hAnsi="Arial" w:cs="Arial"/>
                <w:color w:val="FFFFFF"/>
                <w:spacing w:val="-33"/>
                <w:w w:val="110"/>
                <w:sz w:val="19"/>
                <w:szCs w:val="19"/>
              </w:rPr>
              <w:t xml:space="preserve"> </w:t>
            </w:r>
            <w:r>
              <w:rPr>
                <w:rFonts w:ascii="Arial" w:eastAsia="Arial" w:hAnsi="Arial" w:cs="Arial"/>
                <w:color w:val="FFFFFF"/>
                <w:spacing w:val="1"/>
                <w:w w:val="110"/>
                <w:sz w:val="19"/>
                <w:szCs w:val="19"/>
              </w:rPr>
              <w:t>d</w:t>
            </w:r>
            <w:r>
              <w:rPr>
                <w:rFonts w:ascii="Arial" w:eastAsia="Arial" w:hAnsi="Arial" w:cs="Arial"/>
                <w:color w:val="FFFFFF"/>
                <w:spacing w:val="3"/>
                <w:w w:val="110"/>
                <w:sz w:val="19"/>
                <w:szCs w:val="19"/>
              </w:rPr>
              <w:t>e</w:t>
            </w:r>
            <w:r>
              <w:rPr>
                <w:rFonts w:ascii="Arial" w:eastAsia="Arial" w:hAnsi="Arial" w:cs="Arial"/>
                <w:color w:val="FFFFFF"/>
                <w:spacing w:val="1"/>
                <w:w w:val="110"/>
                <w:sz w:val="19"/>
                <w:szCs w:val="19"/>
              </w:rPr>
              <w:t>clin</w:t>
            </w:r>
            <w:r>
              <w:rPr>
                <w:rFonts w:ascii="Arial" w:eastAsia="Arial" w:hAnsi="Arial" w:cs="Arial"/>
                <w:color w:val="FFFFFF"/>
                <w:w w:val="110"/>
                <w:sz w:val="19"/>
                <w:szCs w:val="19"/>
              </w:rPr>
              <w:t>e</w:t>
            </w:r>
          </w:p>
        </w:tc>
      </w:tr>
      <w:tr w:rsidR="003C17D6" w:rsidTr="002B383B">
        <w:trPr>
          <w:trHeight w:hRule="exact" w:val="315"/>
        </w:trPr>
        <w:tc>
          <w:tcPr>
            <w:tcW w:w="1493" w:type="dxa"/>
            <w:tcBorders>
              <w:top w:val="nil"/>
              <w:left w:val="nil"/>
              <w:bottom w:val="single" w:sz="4" w:space="0" w:color="797979"/>
              <w:right w:val="single" w:sz="4" w:space="0" w:color="797979"/>
            </w:tcBorders>
          </w:tcPr>
          <w:p w:rsidR="003C17D6" w:rsidRDefault="003C17D6" w:rsidP="002B383B">
            <w:pPr>
              <w:pStyle w:val="TableParagraph"/>
              <w:keepNext/>
              <w:spacing w:before="59"/>
              <w:ind w:left="80"/>
              <w:rPr>
                <w:rFonts w:ascii="Arial" w:eastAsia="Arial" w:hAnsi="Arial" w:cs="Arial"/>
                <w:sz w:val="18"/>
                <w:szCs w:val="18"/>
              </w:rPr>
            </w:pPr>
            <w:r>
              <w:rPr>
                <w:rFonts w:ascii="Arial" w:eastAsia="Arial" w:hAnsi="Arial" w:cs="Arial"/>
                <w:spacing w:val="3"/>
                <w:sz w:val="18"/>
                <w:szCs w:val="18"/>
              </w:rPr>
              <w:t>A</w:t>
            </w:r>
            <w:r>
              <w:rPr>
                <w:rFonts w:ascii="Arial" w:eastAsia="Arial" w:hAnsi="Arial" w:cs="Arial"/>
                <w:sz w:val="18"/>
                <w:szCs w:val="18"/>
              </w:rPr>
              <w:t>ll</w:t>
            </w:r>
            <w:r>
              <w:rPr>
                <w:rFonts w:ascii="Arial" w:eastAsia="Arial" w:hAnsi="Arial" w:cs="Arial"/>
                <w:spacing w:val="-5"/>
                <w:sz w:val="18"/>
                <w:szCs w:val="18"/>
              </w:rPr>
              <w:t xml:space="preserve"> </w:t>
            </w:r>
            <w:r>
              <w:rPr>
                <w:rFonts w:ascii="Arial" w:eastAsia="Arial" w:hAnsi="Arial" w:cs="Arial"/>
                <w:spacing w:val="1"/>
                <w:sz w:val="18"/>
                <w:szCs w:val="18"/>
              </w:rPr>
              <w:t>a</w:t>
            </w:r>
            <w:r>
              <w:rPr>
                <w:rFonts w:ascii="Arial" w:eastAsia="Arial" w:hAnsi="Arial" w:cs="Arial"/>
                <w:sz w:val="18"/>
                <w:szCs w:val="18"/>
              </w:rPr>
              <w:t>gr</w:t>
            </w:r>
            <w:r>
              <w:rPr>
                <w:rFonts w:ascii="Arial" w:eastAsia="Arial" w:hAnsi="Arial" w:cs="Arial"/>
                <w:spacing w:val="3"/>
                <w:sz w:val="18"/>
                <w:szCs w:val="18"/>
              </w:rPr>
              <w:t>e</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p>
        </w:tc>
        <w:tc>
          <w:tcPr>
            <w:tcW w:w="2419" w:type="dxa"/>
            <w:tcBorders>
              <w:top w:val="nil"/>
              <w:left w:val="single" w:sz="4" w:space="0" w:color="797979"/>
              <w:bottom w:val="single" w:sz="4" w:space="0" w:color="797979"/>
              <w:right w:val="single" w:sz="4" w:space="0" w:color="797979"/>
            </w:tcBorders>
          </w:tcPr>
          <w:p w:rsidR="003C17D6" w:rsidRDefault="003C17D6" w:rsidP="002B383B">
            <w:pPr>
              <w:pStyle w:val="TableParagraph"/>
              <w:keepNext/>
              <w:spacing w:before="59"/>
              <w:jc w:val="center"/>
              <w:rPr>
                <w:rFonts w:ascii="Arial" w:eastAsia="Arial" w:hAnsi="Arial" w:cs="Arial"/>
                <w:sz w:val="18"/>
                <w:szCs w:val="18"/>
              </w:rPr>
            </w:pPr>
            <w:r>
              <w:rPr>
                <w:rFonts w:ascii="Arial" w:eastAsia="Arial" w:hAnsi="Arial" w:cs="Arial"/>
                <w:spacing w:val="3"/>
                <w:sz w:val="18"/>
                <w:szCs w:val="18"/>
              </w:rPr>
              <w:t>9</w:t>
            </w:r>
            <w:r>
              <w:rPr>
                <w:rFonts w:ascii="Arial" w:eastAsia="Arial" w:hAnsi="Arial" w:cs="Arial"/>
                <w:spacing w:val="1"/>
                <w:sz w:val="18"/>
                <w:szCs w:val="18"/>
              </w:rPr>
              <w:t>9</w:t>
            </w:r>
            <w:r>
              <w:rPr>
                <w:rFonts w:ascii="Arial" w:eastAsia="Arial" w:hAnsi="Arial" w:cs="Arial"/>
                <w:spacing w:val="2"/>
                <w:sz w:val="18"/>
                <w:szCs w:val="18"/>
              </w:rPr>
              <w:t>4</w:t>
            </w:r>
            <w:r>
              <w:rPr>
                <w:rFonts w:ascii="Arial" w:eastAsia="Arial" w:hAnsi="Arial" w:cs="Arial"/>
                <w:sz w:val="18"/>
                <w:szCs w:val="18"/>
              </w:rPr>
              <w:t>5</w:t>
            </w:r>
          </w:p>
        </w:tc>
        <w:tc>
          <w:tcPr>
            <w:tcW w:w="2381" w:type="dxa"/>
            <w:tcBorders>
              <w:top w:val="nil"/>
              <w:left w:val="single" w:sz="4" w:space="0" w:color="797979"/>
              <w:bottom w:val="single" w:sz="4" w:space="0" w:color="797979"/>
              <w:right w:val="single" w:sz="4" w:space="0" w:color="797979"/>
            </w:tcBorders>
          </w:tcPr>
          <w:p w:rsidR="003C17D6" w:rsidRDefault="003C17D6" w:rsidP="002B383B">
            <w:pPr>
              <w:pStyle w:val="TableParagraph"/>
              <w:keepNext/>
              <w:spacing w:before="59"/>
              <w:ind w:right="10"/>
              <w:jc w:val="center"/>
              <w:rPr>
                <w:rFonts w:ascii="Arial" w:eastAsia="Arial" w:hAnsi="Arial" w:cs="Arial"/>
                <w:sz w:val="18"/>
                <w:szCs w:val="18"/>
              </w:rPr>
            </w:pPr>
            <w:r>
              <w:rPr>
                <w:rFonts w:ascii="Arial" w:eastAsia="Arial" w:hAnsi="Arial" w:cs="Arial"/>
                <w:spacing w:val="-5"/>
                <w:sz w:val="18"/>
                <w:szCs w:val="18"/>
              </w:rPr>
              <w:t>7</w:t>
            </w:r>
            <w:r>
              <w:rPr>
                <w:rFonts w:ascii="Arial" w:eastAsia="Arial" w:hAnsi="Arial" w:cs="Arial"/>
                <w:spacing w:val="-9"/>
                <w:sz w:val="18"/>
                <w:szCs w:val="18"/>
              </w:rPr>
              <w:t>5</w:t>
            </w:r>
            <w:r>
              <w:rPr>
                <w:rFonts w:ascii="Arial" w:eastAsia="Arial" w:hAnsi="Arial" w:cs="Arial"/>
                <w:spacing w:val="-11"/>
                <w:sz w:val="18"/>
                <w:szCs w:val="18"/>
              </w:rPr>
              <w:t>14</w:t>
            </w:r>
          </w:p>
        </w:tc>
        <w:tc>
          <w:tcPr>
            <w:tcW w:w="1871" w:type="dxa"/>
            <w:tcBorders>
              <w:top w:val="nil"/>
              <w:left w:val="single" w:sz="4" w:space="0" w:color="797979"/>
              <w:bottom w:val="single" w:sz="4" w:space="0" w:color="797979"/>
              <w:right w:val="nil"/>
            </w:tcBorders>
          </w:tcPr>
          <w:p w:rsidR="003C17D6" w:rsidRDefault="003C17D6" w:rsidP="002B383B">
            <w:pPr>
              <w:pStyle w:val="TableParagraph"/>
              <w:keepNext/>
              <w:spacing w:before="59"/>
              <w:ind w:right="4"/>
              <w:jc w:val="center"/>
              <w:rPr>
                <w:rFonts w:ascii="Arial" w:eastAsia="Arial" w:hAnsi="Arial" w:cs="Arial"/>
                <w:sz w:val="18"/>
                <w:szCs w:val="18"/>
              </w:rPr>
            </w:pPr>
            <w:r>
              <w:rPr>
                <w:rFonts w:ascii="Arial" w:eastAsia="Arial" w:hAnsi="Arial" w:cs="Arial"/>
                <w:spacing w:val="-7"/>
                <w:w w:val="105"/>
                <w:sz w:val="18"/>
                <w:szCs w:val="18"/>
              </w:rPr>
              <w:t>2</w:t>
            </w:r>
            <w:r>
              <w:rPr>
                <w:rFonts w:ascii="Arial" w:eastAsia="Arial" w:hAnsi="Arial" w:cs="Arial"/>
                <w:spacing w:val="-2"/>
                <w:w w:val="105"/>
                <w:sz w:val="18"/>
                <w:szCs w:val="18"/>
              </w:rPr>
              <w:t>4</w:t>
            </w:r>
            <w:r>
              <w:rPr>
                <w:rFonts w:ascii="Arial" w:eastAsia="Arial" w:hAnsi="Arial" w:cs="Arial"/>
                <w:w w:val="105"/>
                <w:sz w:val="18"/>
                <w:szCs w:val="18"/>
              </w:rPr>
              <w:t>%</w:t>
            </w:r>
          </w:p>
        </w:tc>
      </w:tr>
      <w:tr w:rsidR="003C17D6" w:rsidTr="002B383B">
        <w:trPr>
          <w:trHeight w:hRule="exact" w:val="315"/>
        </w:trPr>
        <w:tc>
          <w:tcPr>
            <w:tcW w:w="1493" w:type="dxa"/>
            <w:tcBorders>
              <w:top w:val="single" w:sz="4" w:space="0" w:color="797979"/>
              <w:left w:val="nil"/>
              <w:bottom w:val="single" w:sz="4" w:space="0" w:color="797979"/>
              <w:right w:val="single" w:sz="4" w:space="0" w:color="797979"/>
            </w:tcBorders>
          </w:tcPr>
          <w:p w:rsidR="003C17D6" w:rsidRDefault="003C17D6" w:rsidP="002B383B">
            <w:pPr>
              <w:pStyle w:val="TableParagraph"/>
              <w:keepNext/>
              <w:spacing w:before="54"/>
              <w:ind w:left="80"/>
              <w:rPr>
                <w:rFonts w:ascii="Arial" w:eastAsia="Arial" w:hAnsi="Arial" w:cs="Arial"/>
                <w:sz w:val="18"/>
                <w:szCs w:val="18"/>
              </w:rPr>
            </w:pPr>
            <w:r>
              <w:rPr>
                <w:rFonts w:ascii="Arial" w:eastAsia="Arial" w:hAnsi="Arial" w:cs="Arial"/>
                <w:spacing w:val="3"/>
                <w:sz w:val="18"/>
                <w:szCs w:val="18"/>
              </w:rPr>
              <w:t>G</w:t>
            </w:r>
            <w:r>
              <w:rPr>
                <w:rFonts w:ascii="Arial" w:eastAsia="Arial" w:hAnsi="Arial" w:cs="Arial"/>
                <w:sz w:val="18"/>
                <w:szCs w:val="18"/>
              </w:rPr>
              <w:t>r</w:t>
            </w:r>
            <w:r>
              <w:rPr>
                <w:rFonts w:ascii="Arial" w:eastAsia="Arial" w:hAnsi="Arial" w:cs="Arial"/>
                <w:spacing w:val="3"/>
                <w:sz w:val="18"/>
                <w:szCs w:val="18"/>
              </w:rPr>
              <w:t>e</w:t>
            </w:r>
            <w:r>
              <w:rPr>
                <w:rFonts w:ascii="Arial" w:eastAsia="Arial" w:hAnsi="Arial" w:cs="Arial"/>
                <w:spacing w:val="2"/>
                <w:sz w:val="18"/>
                <w:szCs w:val="18"/>
              </w:rPr>
              <w:t>e</w:t>
            </w:r>
            <w:r>
              <w:rPr>
                <w:rFonts w:ascii="Arial" w:eastAsia="Arial" w:hAnsi="Arial" w:cs="Arial"/>
                <w:sz w:val="18"/>
                <w:szCs w:val="18"/>
              </w:rPr>
              <w:t>nf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ds</w:t>
            </w:r>
          </w:p>
        </w:tc>
        <w:tc>
          <w:tcPr>
            <w:tcW w:w="2419" w:type="dxa"/>
            <w:tcBorders>
              <w:top w:val="single" w:sz="4" w:space="0" w:color="797979"/>
              <w:left w:val="single" w:sz="4" w:space="0" w:color="797979"/>
              <w:bottom w:val="single" w:sz="4" w:space="0" w:color="797979"/>
              <w:right w:val="single" w:sz="4" w:space="0" w:color="797979"/>
            </w:tcBorders>
          </w:tcPr>
          <w:p w:rsidR="003C17D6" w:rsidRDefault="003C17D6" w:rsidP="002B383B">
            <w:pPr>
              <w:pStyle w:val="TableParagraph"/>
              <w:keepNext/>
              <w:spacing w:before="54"/>
              <w:ind w:right="12"/>
              <w:jc w:val="center"/>
              <w:rPr>
                <w:rFonts w:ascii="Arial" w:eastAsia="Arial" w:hAnsi="Arial" w:cs="Arial"/>
                <w:sz w:val="18"/>
                <w:szCs w:val="18"/>
              </w:rPr>
            </w:pPr>
            <w:r>
              <w:rPr>
                <w:rFonts w:ascii="Arial" w:eastAsia="Arial" w:hAnsi="Arial" w:cs="Arial"/>
                <w:spacing w:val="-4"/>
                <w:sz w:val="18"/>
                <w:szCs w:val="18"/>
              </w:rPr>
              <w:t>9</w:t>
            </w:r>
            <w:r>
              <w:rPr>
                <w:rFonts w:ascii="Arial" w:eastAsia="Arial" w:hAnsi="Arial" w:cs="Arial"/>
                <w:spacing w:val="-13"/>
                <w:sz w:val="18"/>
                <w:szCs w:val="18"/>
              </w:rPr>
              <w:t>17</w:t>
            </w:r>
          </w:p>
        </w:tc>
        <w:tc>
          <w:tcPr>
            <w:tcW w:w="2381" w:type="dxa"/>
            <w:tcBorders>
              <w:top w:val="single" w:sz="4" w:space="0" w:color="797979"/>
              <w:left w:val="single" w:sz="4" w:space="0" w:color="797979"/>
              <w:bottom w:val="single" w:sz="4" w:space="0" w:color="797979"/>
              <w:right w:val="single" w:sz="4" w:space="0" w:color="797979"/>
            </w:tcBorders>
          </w:tcPr>
          <w:p w:rsidR="003C17D6" w:rsidRDefault="003C17D6" w:rsidP="002B383B">
            <w:pPr>
              <w:pStyle w:val="TableParagraph"/>
              <w:keepNext/>
              <w:spacing w:before="54"/>
              <w:ind w:right="8"/>
              <w:jc w:val="center"/>
              <w:rPr>
                <w:rFonts w:ascii="Arial" w:eastAsia="Arial" w:hAnsi="Arial" w:cs="Arial"/>
                <w:sz w:val="18"/>
                <w:szCs w:val="18"/>
              </w:rPr>
            </w:pPr>
            <w:r>
              <w:rPr>
                <w:rFonts w:ascii="Arial" w:eastAsia="Arial" w:hAnsi="Arial" w:cs="Arial"/>
                <w:spacing w:val="-6"/>
                <w:sz w:val="18"/>
                <w:szCs w:val="18"/>
              </w:rPr>
              <w:t>3</w:t>
            </w:r>
            <w:r>
              <w:rPr>
                <w:rFonts w:ascii="Arial" w:eastAsia="Arial" w:hAnsi="Arial" w:cs="Arial"/>
                <w:spacing w:val="-9"/>
                <w:sz w:val="18"/>
                <w:szCs w:val="18"/>
              </w:rPr>
              <w:t>18</w:t>
            </w:r>
          </w:p>
        </w:tc>
        <w:tc>
          <w:tcPr>
            <w:tcW w:w="1871" w:type="dxa"/>
            <w:tcBorders>
              <w:top w:val="single" w:sz="4" w:space="0" w:color="797979"/>
              <w:left w:val="single" w:sz="4" w:space="0" w:color="797979"/>
              <w:bottom w:val="single" w:sz="4" w:space="0" w:color="797979"/>
              <w:right w:val="nil"/>
            </w:tcBorders>
          </w:tcPr>
          <w:p w:rsidR="003C17D6" w:rsidRDefault="003C17D6" w:rsidP="002B383B">
            <w:pPr>
              <w:pStyle w:val="TableParagraph"/>
              <w:keepNext/>
              <w:spacing w:before="54"/>
              <w:ind w:right="5"/>
              <w:jc w:val="center"/>
              <w:rPr>
                <w:rFonts w:ascii="Arial" w:eastAsia="Arial" w:hAnsi="Arial" w:cs="Arial"/>
                <w:sz w:val="18"/>
                <w:szCs w:val="18"/>
              </w:rPr>
            </w:pPr>
            <w:r>
              <w:rPr>
                <w:rFonts w:ascii="Arial" w:eastAsia="Arial" w:hAnsi="Arial" w:cs="Arial"/>
                <w:spacing w:val="2"/>
                <w:w w:val="105"/>
                <w:sz w:val="18"/>
                <w:szCs w:val="18"/>
              </w:rPr>
              <w:t>6</w:t>
            </w:r>
            <w:r>
              <w:rPr>
                <w:rFonts w:ascii="Arial" w:eastAsia="Arial" w:hAnsi="Arial" w:cs="Arial"/>
                <w:spacing w:val="-2"/>
                <w:w w:val="105"/>
                <w:sz w:val="18"/>
                <w:szCs w:val="18"/>
              </w:rPr>
              <w:t>5</w:t>
            </w:r>
            <w:r>
              <w:rPr>
                <w:rFonts w:ascii="Arial" w:eastAsia="Arial" w:hAnsi="Arial" w:cs="Arial"/>
                <w:w w:val="105"/>
                <w:sz w:val="18"/>
                <w:szCs w:val="18"/>
              </w:rPr>
              <w:t>%</w:t>
            </w:r>
          </w:p>
        </w:tc>
      </w:tr>
    </w:tbl>
    <w:p w:rsidR="003B4BBD" w:rsidRDefault="00C95382" w:rsidP="005E7380">
      <w:pPr>
        <w:spacing w:before="240"/>
        <w:rPr>
          <w:color w:val="000000"/>
        </w:rPr>
      </w:pPr>
      <w:r>
        <w:rPr>
          <w:color w:val="000000"/>
        </w:rPr>
        <w:t>A</w:t>
      </w:r>
      <w:r w:rsidR="003B4BBD">
        <w:rPr>
          <w:color w:val="000000"/>
        </w:rPr>
        <w:t>greement making generally</w:t>
      </w:r>
      <w:r w:rsidR="003B4BBD" w:rsidRPr="00B265D1">
        <w:rPr>
          <w:color w:val="000000"/>
        </w:rPr>
        <w:t xml:space="preserve"> is in decline</w:t>
      </w:r>
      <w:r w:rsidR="003B4BBD">
        <w:rPr>
          <w:color w:val="000000"/>
        </w:rPr>
        <w:t xml:space="preserve">, with the share of workers covered by collective agreements </w:t>
      </w:r>
      <w:r w:rsidR="00B81DF2">
        <w:rPr>
          <w:color w:val="000000"/>
        </w:rPr>
        <w:t>decreasing</w:t>
      </w:r>
      <w:r w:rsidR="003B4BBD">
        <w:rPr>
          <w:color w:val="000000"/>
        </w:rPr>
        <w:t xml:space="preserve"> from 43.4 per cent in 2010 to 36.4 per cent in 2016.</w:t>
      </w:r>
      <w:r w:rsidR="005E7380">
        <w:rPr>
          <w:rStyle w:val="FootnoteReference"/>
          <w:color w:val="000000"/>
        </w:rPr>
        <w:footnoteReference w:id="10"/>
      </w:r>
      <w:r w:rsidR="003B4BBD">
        <w:rPr>
          <w:color w:val="000000"/>
        </w:rPr>
        <w:t xml:space="preserve"> At the same time, there has been an </w:t>
      </w:r>
      <w:r w:rsidR="00936729">
        <w:rPr>
          <w:color w:val="000000"/>
        </w:rPr>
        <w:lastRenderedPageBreak/>
        <w:t>increase</w:t>
      </w:r>
      <w:r w:rsidR="003B4BBD">
        <w:rPr>
          <w:color w:val="000000"/>
        </w:rPr>
        <w:t xml:space="preserve"> in award reliance, with the share of workers covered by awards increas</w:t>
      </w:r>
      <w:r w:rsidR="00936729">
        <w:rPr>
          <w:color w:val="000000"/>
        </w:rPr>
        <w:t>ing</w:t>
      </w:r>
      <w:r w:rsidR="003B4BBD">
        <w:rPr>
          <w:color w:val="000000"/>
        </w:rPr>
        <w:t xml:space="preserve"> from 15.2 per cent in 2010 to 22.7 per cent in 2016.</w:t>
      </w:r>
      <w:r w:rsidR="003B4BBD">
        <w:rPr>
          <w:rStyle w:val="FootnoteReference"/>
          <w:color w:val="000000"/>
        </w:rPr>
        <w:footnoteReference w:id="11"/>
      </w:r>
      <w:r w:rsidR="003B4BBD">
        <w:rPr>
          <w:color w:val="000000"/>
        </w:rPr>
        <w:t xml:space="preserve"> </w:t>
      </w:r>
    </w:p>
    <w:p w:rsidR="003B4BBD" w:rsidRDefault="003B4BBD" w:rsidP="003B4BBD">
      <w:pPr>
        <w:rPr>
          <w:color w:val="000000"/>
        </w:rPr>
      </w:pPr>
      <w:r>
        <w:rPr>
          <w:color w:val="000000"/>
        </w:rPr>
        <w:t>The increase in award reliance may be explained by the reclassification of some teachers from collective agreement to awards</w:t>
      </w:r>
      <w:r>
        <w:rPr>
          <w:rStyle w:val="FootnoteReference"/>
          <w:color w:val="000000"/>
        </w:rPr>
        <w:footnoteReference w:id="12"/>
      </w:r>
      <w:r>
        <w:rPr>
          <w:color w:val="000000"/>
        </w:rPr>
        <w:t xml:space="preserve"> and a broad increase in the share of employees covered by awards in the Retail Trade and Health Care and Social services industries.</w:t>
      </w:r>
    </w:p>
    <w:p w:rsidR="003B4BBD" w:rsidRDefault="003B4BBD" w:rsidP="003B4BBD">
      <w:pPr>
        <w:rPr>
          <w:color w:val="000000"/>
        </w:rPr>
      </w:pPr>
      <w:r>
        <w:rPr>
          <w:color w:val="000000"/>
        </w:rPr>
        <w:t>The</w:t>
      </w:r>
      <w:r w:rsidR="00936729">
        <w:rPr>
          <w:color w:val="000000"/>
        </w:rPr>
        <w:t xml:space="preserve"> reasons for the decline in bargaining are not clear but may be related to</w:t>
      </w:r>
      <w:r>
        <w:rPr>
          <w:color w:val="000000"/>
        </w:rPr>
        <w:t>:</w:t>
      </w:r>
    </w:p>
    <w:p w:rsidR="003B4BBD" w:rsidRPr="00D416CB" w:rsidRDefault="003B4BBD" w:rsidP="002C284B">
      <w:pPr>
        <w:pStyle w:val="ListParagraph"/>
        <w:numPr>
          <w:ilvl w:val="0"/>
          <w:numId w:val="16"/>
        </w:numPr>
        <w:rPr>
          <w:color w:val="000000"/>
        </w:rPr>
      </w:pPr>
      <w:r w:rsidRPr="00D416CB">
        <w:rPr>
          <w:color w:val="000000"/>
        </w:rPr>
        <w:t>a decline in active agreement making in certain sectors, such as construction</w:t>
      </w:r>
    </w:p>
    <w:p w:rsidR="003B4BBD" w:rsidRPr="00D416CB" w:rsidRDefault="003B4BBD" w:rsidP="002C284B">
      <w:pPr>
        <w:pStyle w:val="ListParagraph"/>
        <w:numPr>
          <w:ilvl w:val="0"/>
          <w:numId w:val="16"/>
        </w:numPr>
        <w:rPr>
          <w:color w:val="000000"/>
        </w:rPr>
      </w:pPr>
      <w:r w:rsidRPr="00D416CB">
        <w:rPr>
          <w:color w:val="000000"/>
        </w:rPr>
        <w:t>natural maturation of the system as some companies and employees choose not to replace existing agreements which suit their needs but conti</w:t>
      </w:r>
      <w:r>
        <w:rPr>
          <w:color w:val="000000"/>
        </w:rPr>
        <w:t>nue to update wages as required</w:t>
      </w:r>
    </w:p>
    <w:p w:rsidR="003B4BBD" w:rsidRPr="00D416CB" w:rsidRDefault="003B4BBD" w:rsidP="002C284B">
      <w:pPr>
        <w:pStyle w:val="ListParagraph"/>
        <w:numPr>
          <w:ilvl w:val="0"/>
          <w:numId w:val="16"/>
        </w:numPr>
        <w:rPr>
          <w:color w:val="000000"/>
        </w:rPr>
      </w:pPr>
      <w:r w:rsidRPr="00D416CB">
        <w:rPr>
          <w:color w:val="000000"/>
        </w:rPr>
        <w:t>declining union membership</w:t>
      </w:r>
      <w:r>
        <w:rPr>
          <w:color w:val="000000"/>
        </w:rPr>
        <w:t>.</w:t>
      </w:r>
    </w:p>
    <w:p w:rsidR="00141B9C" w:rsidRPr="00FF3DB6" w:rsidRDefault="00602CC8" w:rsidP="003B4BBD">
      <w:pPr>
        <w:rPr>
          <w:color w:val="000000"/>
        </w:rPr>
      </w:pPr>
      <w:r>
        <w:rPr>
          <w:color w:val="000000"/>
        </w:rPr>
        <w:t>B</w:t>
      </w:r>
      <w:r w:rsidR="000D638E">
        <w:rPr>
          <w:color w:val="000000"/>
        </w:rPr>
        <w:t xml:space="preserve">roader issues regarding the trends in enterprise bargaining </w:t>
      </w:r>
      <w:r w:rsidR="003B4BBD">
        <w:rPr>
          <w:color w:val="000000"/>
        </w:rPr>
        <w:t>are</w:t>
      </w:r>
      <w:r w:rsidR="000D638E">
        <w:rPr>
          <w:color w:val="000000"/>
        </w:rPr>
        <w:t xml:space="preserve"> beyond the scope of th</w:t>
      </w:r>
      <w:r w:rsidR="003B4BBD">
        <w:rPr>
          <w:color w:val="000000"/>
        </w:rPr>
        <w:t>is</w:t>
      </w:r>
      <w:r w:rsidR="000D638E">
        <w:rPr>
          <w:color w:val="000000"/>
        </w:rPr>
        <w:t xml:space="preserve"> review.  </w:t>
      </w:r>
    </w:p>
    <w:p w:rsidR="005213C1" w:rsidRPr="0090554C" w:rsidRDefault="00B265D1" w:rsidP="005213C1">
      <w:pPr>
        <w:rPr>
          <w:color w:val="000000"/>
        </w:rPr>
      </w:pPr>
      <w:r>
        <w:rPr>
          <w:color w:val="000000"/>
        </w:rPr>
        <w:t>While the</w:t>
      </w:r>
      <w:r w:rsidR="00F2723D">
        <w:rPr>
          <w:color w:val="000000"/>
        </w:rPr>
        <w:t xml:space="preserve"> decline in enterprise agreement making more g</w:t>
      </w:r>
      <w:r w:rsidR="002F0F91">
        <w:rPr>
          <w:color w:val="000000"/>
        </w:rPr>
        <w:t xml:space="preserve">enerally may have an impact on </w:t>
      </w:r>
      <w:r w:rsidR="00F2723D">
        <w:rPr>
          <w:color w:val="000000"/>
        </w:rPr>
        <w:t>the decline in greenfields agreement making, t</w:t>
      </w:r>
      <w:r w:rsidR="005213C1" w:rsidRPr="0090554C">
        <w:rPr>
          <w:color w:val="000000"/>
        </w:rPr>
        <w:t xml:space="preserve">he significant reduction in greenfields agreement applications appears to correspond with the reduction in investment in the </w:t>
      </w:r>
      <w:r w:rsidR="000739F6">
        <w:rPr>
          <w:color w:val="000000"/>
        </w:rPr>
        <w:t>resources</w:t>
      </w:r>
      <w:r w:rsidR="005213C1" w:rsidRPr="0090554C">
        <w:rPr>
          <w:color w:val="000000"/>
        </w:rPr>
        <w:t xml:space="preserve"> industry in Australia, which peaked in 2013 and has more than halved since. Previously high commodity prices encouraged the development of new mines and gas fields, and construction of the necessary infrastructure (railways, ports, pipelines, etc.). However, as these projects were completed, and prices fell, the volume of new investment and associated employment also returned to more normal levels. The Department of Industry, Innovation and Science reports that “</w:t>
      </w:r>
      <w:r w:rsidR="005213C1" w:rsidRPr="0090554C">
        <w:rPr>
          <w:i/>
          <w:iCs/>
          <w:color w:val="000000"/>
        </w:rPr>
        <w:t>while large liquefied natural gas (LNG) projects remain . . . the list of major projects yet to be completed is forecast to rapidly diminish over the next two years.</w:t>
      </w:r>
      <w:r w:rsidR="005213C1" w:rsidRPr="0090554C">
        <w:rPr>
          <w:color w:val="000000"/>
        </w:rPr>
        <w:t>”</w:t>
      </w:r>
      <w:r w:rsidR="005213C1" w:rsidRPr="0090554C">
        <w:rPr>
          <w:rStyle w:val="FootnoteReference"/>
          <w:color w:val="000000"/>
        </w:rPr>
        <w:footnoteReference w:id="13"/>
      </w:r>
      <w:r w:rsidR="005213C1" w:rsidRPr="0090554C">
        <w:rPr>
          <w:color w:val="000000"/>
        </w:rPr>
        <w:t xml:space="preserve"> The end of the </w:t>
      </w:r>
      <w:r w:rsidR="001D62DD">
        <w:rPr>
          <w:color w:val="000000"/>
        </w:rPr>
        <w:t>resources</w:t>
      </w:r>
      <w:r w:rsidR="001D62DD" w:rsidRPr="0090554C">
        <w:rPr>
          <w:color w:val="000000"/>
        </w:rPr>
        <w:t xml:space="preserve"> </w:t>
      </w:r>
      <w:r w:rsidR="005213C1" w:rsidRPr="0090554C">
        <w:rPr>
          <w:color w:val="000000"/>
        </w:rPr>
        <w:t>boom will likely have affected both the number of construction related agreements and the number of greenfields agreements which relate to ancillary work and functions. Since greenfields agreements typically relate to new projects, they are likely to have been especially affected.</w:t>
      </w:r>
    </w:p>
    <w:p w:rsidR="00AB66D8" w:rsidRPr="0090554C" w:rsidRDefault="00AB66D8" w:rsidP="00AB66D8">
      <w:r w:rsidRPr="0090554C">
        <w:t>The union submissions generally acknowledged that</w:t>
      </w:r>
      <w:r w:rsidR="00FE0B4E">
        <w:t xml:space="preserve"> the decrease in the number of g</w:t>
      </w:r>
      <w:r w:rsidRPr="0090554C">
        <w:t xml:space="preserve">reenfields </w:t>
      </w:r>
      <w:r w:rsidR="00406AF7">
        <w:t>a</w:t>
      </w:r>
      <w:r w:rsidR="00406AF7" w:rsidRPr="0090554C">
        <w:t xml:space="preserve">greements </w:t>
      </w:r>
      <w:r w:rsidRPr="0090554C">
        <w:t xml:space="preserve">being made since 2015 reflected the reduction in resource development and </w:t>
      </w:r>
      <w:r w:rsidR="001D62DD">
        <w:t>infrastructure</w:t>
      </w:r>
      <w:r w:rsidRPr="0090554C">
        <w:t xml:space="preserve"> projects since that time. </w:t>
      </w:r>
    </w:p>
    <w:p w:rsidR="008A08F7" w:rsidRPr="0090554C" w:rsidRDefault="008A08F7" w:rsidP="008A08F7">
      <w:r w:rsidRPr="0090554C">
        <w:t>The A</w:t>
      </w:r>
      <w:r w:rsidR="00283002">
        <w:t>ustralian Council of Trade Unions (A</w:t>
      </w:r>
      <w:r w:rsidRPr="0090554C">
        <w:t>CTU</w:t>
      </w:r>
      <w:r w:rsidR="00283002">
        <w:t>)</w:t>
      </w:r>
      <w:r w:rsidRPr="0090554C">
        <w:t xml:space="preserve"> stated:</w:t>
      </w:r>
      <w:r w:rsidR="005E7380" w:rsidRPr="0090554C">
        <w:rPr>
          <w:rStyle w:val="FootnoteReference"/>
        </w:rPr>
        <w:footnoteReference w:id="14"/>
      </w:r>
    </w:p>
    <w:p w:rsidR="008A08F7" w:rsidRPr="0090554C" w:rsidRDefault="00AB509C" w:rsidP="006A2DCD">
      <w:pPr>
        <w:ind w:left="720"/>
      </w:pPr>
      <w:r w:rsidRPr="0090554C">
        <w:t>Our affiliates have reported to us that there are two major drivers for the reduction in the number of applications for approval of greenfields agreements: the reduction in the number and scale of capital development projects and downturn in the construction sector and mining and resource development work; and employers choosing to make enterprise agreements with small and unrepresentative voting cohorts in circumstances where they would previously have made a greenfields agreement.</w:t>
      </w:r>
    </w:p>
    <w:p w:rsidR="008A08F7" w:rsidRPr="0090554C" w:rsidRDefault="008A08F7" w:rsidP="008A08F7">
      <w:r w:rsidRPr="0090554C">
        <w:lastRenderedPageBreak/>
        <w:t>The A</w:t>
      </w:r>
      <w:r w:rsidR="00283002">
        <w:t>ustralian Mines and Metals Association (A</w:t>
      </w:r>
      <w:r w:rsidRPr="0090554C">
        <w:t>MMA</w:t>
      </w:r>
      <w:r w:rsidR="00283002">
        <w:t>)</w:t>
      </w:r>
      <w:r w:rsidRPr="0090554C">
        <w:t xml:space="preserve"> submission stressed th</w:t>
      </w:r>
      <w:r w:rsidR="00FE0B4E">
        <w:t>e significance of an efficient g</w:t>
      </w:r>
      <w:r w:rsidRPr="0090554C">
        <w:t>reenfields agreement capacity to the mining and resources sector in the following terms:</w:t>
      </w:r>
      <w:r w:rsidR="005E7380" w:rsidRPr="0090554C">
        <w:rPr>
          <w:rStyle w:val="FootnoteReference"/>
        </w:rPr>
        <w:footnoteReference w:id="15"/>
      </w:r>
    </w:p>
    <w:p w:rsidR="00AB509C" w:rsidRPr="0090554C" w:rsidRDefault="00AB509C" w:rsidP="006A2DCD">
      <w:pPr>
        <w:ind w:left="720"/>
      </w:pPr>
      <w:r w:rsidRPr="0090554C">
        <w:t>New projects are important to the resources industry and the nation. As highlighted in an economic analysis by KPMG, investment in major resource projects has historically been a major driver of economic growth. Given the benefits that flow to the Australian economy from investment in, and the timely completion of, major resource projects, it is imperative that an effective suite of options are available for greenfields agreement making under the FW Act</w:t>
      </w:r>
      <w:r w:rsidR="00BD2A38">
        <w:t xml:space="preserve"> </w:t>
      </w:r>
      <w:r w:rsidR="00BD2A38">
        <w:br/>
        <w:t>[Fair Work Act]</w:t>
      </w:r>
      <w:r w:rsidRPr="0090554C">
        <w:t xml:space="preserve">. </w:t>
      </w:r>
    </w:p>
    <w:p w:rsidR="00AB509C" w:rsidRPr="0090554C" w:rsidRDefault="00AB509C" w:rsidP="006A2DCD">
      <w:pPr>
        <w:ind w:left="720"/>
      </w:pPr>
      <w:r w:rsidRPr="0090554C">
        <w:t xml:space="preserve">Increasing confidence to invest in Australia’s resources sector is an important counter-cyclical measure which can improve economic and living standards and create job opportunities. A key driver in creating investor confidence is policy certainty. The correlation between policy certainty and increasing investor confidence is best explained in AMMA’s </w:t>
      </w:r>
      <w:r w:rsidRPr="0090554C">
        <w:rPr>
          <w:i/>
        </w:rPr>
        <w:t>Resource Industry Market Outlook</w:t>
      </w:r>
      <w:r w:rsidRPr="0090554C">
        <w:t>, which provides a market outlook taking into account a number of economic factors.</w:t>
      </w:r>
    </w:p>
    <w:p w:rsidR="00AB509C" w:rsidRPr="0090554C" w:rsidRDefault="00AB509C" w:rsidP="006A2DCD">
      <w:pPr>
        <w:ind w:left="720"/>
      </w:pPr>
      <w:r w:rsidRPr="0090554C">
        <w:t xml:space="preserve">Effective greenfields agreement making provisions are critical to ensuring this confidence. The Regulation Impact </w:t>
      </w:r>
      <w:r w:rsidRPr="00EA29D0">
        <w:t>Statement (RIS), which</w:t>
      </w:r>
      <w:r w:rsidRPr="0090554C">
        <w:t xml:space="preserve"> accompanied the Explanatory Memorandum to the Original Bill</w:t>
      </w:r>
      <w:r w:rsidR="00EA29D0">
        <w:t xml:space="preserve"> [Fair Work Amendment Bill 2014]</w:t>
      </w:r>
      <w:r w:rsidRPr="0090554C">
        <w:t>, goes into some detail about the importance of the resources industry and the criticality to major projects of the capacity to efficiently and effectively enter into greenfields agreements. In particular, this is necessary to:</w:t>
      </w:r>
    </w:p>
    <w:p w:rsidR="00AB509C" w:rsidRPr="0090554C" w:rsidRDefault="00AB509C" w:rsidP="002C284B">
      <w:pPr>
        <w:pStyle w:val="ListParagraph"/>
        <w:numPr>
          <w:ilvl w:val="0"/>
          <w:numId w:val="18"/>
        </w:numPr>
      </w:pPr>
      <w:r w:rsidRPr="0090554C">
        <w:t>Secure investor funding which will not be provided without cost certainty;</w:t>
      </w:r>
    </w:p>
    <w:p w:rsidR="00AB509C" w:rsidRPr="0090554C" w:rsidRDefault="00AB509C" w:rsidP="002C284B">
      <w:pPr>
        <w:pStyle w:val="ListParagraph"/>
        <w:numPr>
          <w:ilvl w:val="0"/>
          <w:numId w:val="18"/>
        </w:numPr>
      </w:pPr>
      <w:r w:rsidRPr="0090554C">
        <w:t xml:space="preserve">Ensure projects are not delayed or abandoned due to economically unsustainable outcomes; </w:t>
      </w:r>
    </w:p>
    <w:p w:rsidR="00AB509C" w:rsidRPr="0090554C" w:rsidRDefault="00AB509C" w:rsidP="002C284B">
      <w:pPr>
        <w:pStyle w:val="ListParagraph"/>
        <w:numPr>
          <w:ilvl w:val="0"/>
          <w:numId w:val="18"/>
        </w:numPr>
      </w:pPr>
      <w:r w:rsidRPr="0090554C">
        <w:t>Avoid situations where projects commence without industrial certainty, leading to industrial action early in the life of an enterprise, leading to scheduling and cost blowouts.</w:t>
      </w:r>
    </w:p>
    <w:p w:rsidR="008A08F7" w:rsidRPr="0090554C" w:rsidRDefault="00AB509C" w:rsidP="006A2DCD">
      <w:pPr>
        <w:ind w:left="720"/>
      </w:pPr>
      <w:r w:rsidRPr="0090554C">
        <w:t>As also noted in the RIS, greenfields agreement negotiations (in the context of major projects) are most likely to occur in the feasibility stage of projects. The current market experience is that of maintaining existing assets rather than developing new ones. In this climate, greenfields agreement making will be reduced.</w:t>
      </w:r>
    </w:p>
    <w:p w:rsidR="009664CB" w:rsidRDefault="008A08F7">
      <w:r w:rsidRPr="0090554C">
        <w:t xml:space="preserve">Employer organisations asserted that the substantial reduction in capital and resource development projects coincided with </w:t>
      </w:r>
      <w:r w:rsidR="00FE0B4E">
        <w:t>the reduction in the number of g</w:t>
      </w:r>
      <w:r w:rsidRPr="0090554C">
        <w:t>reenfields agreements.</w:t>
      </w:r>
      <w:r w:rsidR="006A2DCD" w:rsidRPr="0090554C">
        <w:t xml:space="preserve"> </w:t>
      </w:r>
      <w:r w:rsidRPr="0090554C">
        <w:t>AMMA stated</w:t>
      </w:r>
      <w:r w:rsidR="00F2723D">
        <w:t>:</w:t>
      </w:r>
      <w:r w:rsidR="005E7380" w:rsidRPr="0090554C">
        <w:rPr>
          <w:rStyle w:val="FootnoteReference"/>
        </w:rPr>
        <w:footnoteReference w:id="16"/>
      </w:r>
    </w:p>
    <w:p w:rsidR="00AB509C" w:rsidRDefault="00AB509C" w:rsidP="002B383B">
      <w:pPr>
        <w:keepNext/>
        <w:ind w:left="720"/>
      </w:pPr>
      <w:r w:rsidRPr="0090554C">
        <w:lastRenderedPageBreak/>
        <w:t>The following Figure 1.1 demonstrates number of projects in the investment pipeline from 2012 to 2016:</w:t>
      </w:r>
    </w:p>
    <w:p w:rsidR="00D631EA" w:rsidRDefault="00D631EA" w:rsidP="00D631EA">
      <w:pPr>
        <w:pStyle w:val="Caption"/>
        <w:keepNext/>
        <w:ind w:left="709"/>
      </w:pPr>
      <w:r>
        <w:t xml:space="preserve">Figure </w:t>
      </w:r>
      <w:r>
        <w:fldChar w:fldCharType="begin"/>
      </w:r>
      <w:r>
        <w:instrText xml:space="preserve"> SEQ Figure \* ARABIC </w:instrText>
      </w:r>
      <w:r>
        <w:fldChar w:fldCharType="separate"/>
      </w:r>
      <w:r>
        <w:rPr>
          <w:noProof/>
        </w:rPr>
        <w:t>1</w:t>
      </w:r>
      <w:r>
        <w:fldChar w:fldCharType="end"/>
      </w:r>
      <w:r>
        <w:t xml:space="preserve">.1: </w:t>
      </w:r>
      <w:r w:rsidRPr="00173565">
        <w:t>Number of projects in the investment pipeline, 2012 to 2016</w:t>
      </w:r>
    </w:p>
    <w:p w:rsidR="00AB509C" w:rsidRPr="0090554C" w:rsidRDefault="00AB509C" w:rsidP="002B383B">
      <w:pPr>
        <w:keepNext/>
        <w:ind w:left="720"/>
      </w:pPr>
      <w:r w:rsidRPr="0090554C">
        <w:rPr>
          <w:noProof/>
          <w:lang w:eastAsia="en-AU"/>
        </w:rPr>
        <w:drawing>
          <wp:inline distT="0" distB="0" distL="0" distR="0" wp14:anchorId="2C3F202A" wp14:editId="0CC1C1A7">
            <wp:extent cx="4076700" cy="2228850"/>
            <wp:effectExtent l="0" t="0" r="0" b="0"/>
            <wp:docPr id="5" name="Picture 5" descr="Figure 1.1 – Number of projects in the investment pipeline from 2012 to 2016, provided in submission from the Australian Mines and Metals Association.&#10;&#10;Figure 1.1 shows that there has been a steady decline in the number of publicly announced resources projects, resources projects at feasibility and resources projects committed each year from Oct 2012 to Oct 2015. In October 2016 projects committed and projects completed both saw very modest increases on the October 2015 numbers." title="Figure 1.1 – Number of projects in the investment pipeline from 2012 to 2016, provided in submission from the Australian Mines and Metals Association."/>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4076700" cy="2228850"/>
                    </a:xfrm>
                    <a:prstGeom prst="rect">
                      <a:avLst/>
                    </a:prstGeom>
                    <a:ln>
                      <a:noFill/>
                    </a:ln>
                    <a:extLst>
                      <a:ext uri="{53640926-AAD7-44D8-BBD7-CCE9431645EC}">
                        <a14:shadowObscured xmlns:a14="http://schemas.microsoft.com/office/drawing/2010/main"/>
                      </a:ext>
                    </a:extLst>
                  </pic:spPr>
                </pic:pic>
              </a:graphicData>
            </a:graphic>
          </wp:inline>
        </w:drawing>
      </w:r>
    </w:p>
    <w:p w:rsidR="00AB509C" w:rsidRPr="0090554C" w:rsidRDefault="00AB509C" w:rsidP="006A2DCD">
      <w:pPr>
        <w:ind w:left="720"/>
      </w:pPr>
      <w:r w:rsidRPr="0090554C">
        <w:t>In addition to the changed investment climate, businesses face a variety of other situations where a greenfields agreement cannot be made under the FW Act</w:t>
      </w:r>
      <w:r w:rsidR="00BD2A38">
        <w:t xml:space="preserve"> [Fair Work Act]</w:t>
      </w:r>
      <w:r w:rsidRPr="0090554C">
        <w:t xml:space="preserve">. Businesses may not need a greenfields agreement where, for example, it already has in place an agreement with a broad enough scope that enables it to tender for other work that falls within that scope. </w:t>
      </w:r>
    </w:p>
    <w:p w:rsidR="008A08F7" w:rsidRPr="0090554C" w:rsidRDefault="008A08F7" w:rsidP="008A08F7">
      <w:r w:rsidRPr="0090554C">
        <w:t>ABI stated:</w:t>
      </w:r>
      <w:r w:rsidR="005E7380" w:rsidRPr="0090554C">
        <w:rPr>
          <w:rStyle w:val="FootnoteReference"/>
        </w:rPr>
        <w:footnoteReference w:id="17"/>
      </w:r>
    </w:p>
    <w:p w:rsidR="005A2802" w:rsidRPr="0090554C" w:rsidRDefault="005A2802" w:rsidP="00447FD3">
      <w:pPr>
        <w:ind w:left="720"/>
      </w:pPr>
      <w:r w:rsidRPr="0090554C">
        <w:t xml:space="preserve">There is evidence of reduced numbers of greenfields agreements, due at least in part to reduced investment levels, but perhaps also due to a view on the part of those in some sectors who are investing in a new enterprise that greenfields agreements do not efficiently bring the certainty about labour costs that they should.  </w:t>
      </w:r>
    </w:p>
    <w:p w:rsidR="008A08F7" w:rsidRPr="0090554C" w:rsidRDefault="005A2802" w:rsidP="00447FD3">
      <w:pPr>
        <w:ind w:left="720"/>
      </w:pPr>
      <w:r w:rsidRPr="0090554C">
        <w:t xml:space="preserve">It is clear that there has also been a reduction in the number of major projects, but less clear which industries have suffered a disproportionate fall in the number of greenfields negotiations attempted.  There is no available evidence that the </w:t>
      </w:r>
      <w:r w:rsidR="006A2DCD" w:rsidRPr="0090554C">
        <w:t>[Amendment Act]</w:t>
      </w:r>
      <w:r w:rsidRPr="0090554C">
        <w:t xml:space="preserve"> changes have brought unfairness into greenfields agreements outcomes, and the relative speed in their approvals compared with non-greenfields agreement approval applications suggests otherwise.</w:t>
      </w:r>
    </w:p>
    <w:p w:rsidR="008A08F7" w:rsidRPr="0090554C" w:rsidRDefault="00283002" w:rsidP="008A08F7">
      <w:r>
        <w:t>Australia</w:t>
      </w:r>
      <w:r w:rsidR="00BE6E0D">
        <w:t>n</w:t>
      </w:r>
      <w:r>
        <w:t xml:space="preserve"> Chamber of Commerce and Industry (</w:t>
      </w:r>
      <w:r w:rsidR="008A08F7" w:rsidRPr="0090554C">
        <w:t>ACCI</w:t>
      </w:r>
      <w:r>
        <w:t>)</w:t>
      </w:r>
      <w:r w:rsidR="008A08F7" w:rsidRPr="0090554C">
        <w:t xml:space="preserve"> advised:</w:t>
      </w:r>
      <w:r w:rsidR="005E7380" w:rsidRPr="0090554C">
        <w:rPr>
          <w:rStyle w:val="FootnoteReference"/>
        </w:rPr>
        <w:footnoteReference w:id="18"/>
      </w:r>
    </w:p>
    <w:p w:rsidR="00C41489" w:rsidRPr="0090554C" w:rsidRDefault="00C41489" w:rsidP="004B51E4">
      <w:pPr>
        <w:ind w:left="720"/>
      </w:pPr>
      <w:r w:rsidRPr="0090554C">
        <w:t xml:space="preserve">As set out below in relation to the seventh issue, we see this as illustrating: </w:t>
      </w:r>
    </w:p>
    <w:p w:rsidR="00C41489" w:rsidRPr="0090554C" w:rsidRDefault="00C41489" w:rsidP="002C284B">
      <w:pPr>
        <w:pStyle w:val="ListParagraph"/>
        <w:numPr>
          <w:ilvl w:val="0"/>
          <w:numId w:val="7"/>
        </w:numPr>
        <w:ind w:left="1080"/>
      </w:pPr>
      <w:r w:rsidRPr="0090554C">
        <w:t>A reduction in [greenfields</w:t>
      </w:r>
      <w:r w:rsidR="00447FD3" w:rsidRPr="0090554C">
        <w:t xml:space="preserve"> agreements</w:t>
      </w:r>
      <w:r w:rsidRPr="0090554C">
        <w:t xml:space="preserve">] numbers from a peak driven by massive investments in resources construction, which required multiple contractors, each with separate </w:t>
      </w:r>
      <w:r w:rsidR="00447FD3" w:rsidRPr="0090554C">
        <w:t>[greenfields]</w:t>
      </w:r>
      <w:r w:rsidRPr="0090554C">
        <w:t xml:space="preserve"> agreements. </w:t>
      </w:r>
    </w:p>
    <w:p w:rsidR="00135994" w:rsidRDefault="00C41489" w:rsidP="002C284B">
      <w:pPr>
        <w:pStyle w:val="ListParagraph"/>
        <w:numPr>
          <w:ilvl w:val="0"/>
          <w:numId w:val="7"/>
        </w:numPr>
        <w:ind w:left="1080"/>
      </w:pPr>
      <w:r w:rsidRPr="0090554C">
        <w:lastRenderedPageBreak/>
        <w:t xml:space="preserve">Perhaps a reversion towards a longer-term mean level of demand for </w:t>
      </w:r>
      <w:r w:rsidR="00447FD3" w:rsidRPr="0090554C">
        <w:t>[greenfields]</w:t>
      </w:r>
      <w:r w:rsidRPr="0090554C">
        <w:t xml:space="preserve"> agreements following a peak dr</w:t>
      </w:r>
      <w:r w:rsidR="00447FD3" w:rsidRPr="0090554C">
        <w:t>iven by major resource projects</w:t>
      </w:r>
      <w:r w:rsidRPr="0090554C">
        <w:t xml:space="preserve"> (of around 100-200 agreements per year).</w:t>
      </w:r>
    </w:p>
    <w:p w:rsidR="00716B9E" w:rsidRDefault="00716B9E" w:rsidP="00716B9E">
      <w:r>
        <w:t>The MBA noted:</w:t>
      </w:r>
      <w:r w:rsidR="005E7380">
        <w:rPr>
          <w:rStyle w:val="FootnoteReference"/>
        </w:rPr>
        <w:footnoteReference w:id="19"/>
      </w:r>
    </w:p>
    <w:p w:rsidR="00716B9E" w:rsidRPr="004B51E4" w:rsidRDefault="00716B9E" w:rsidP="004B51E4">
      <w:pPr>
        <w:ind w:left="720"/>
      </w:pPr>
      <w:r w:rsidRPr="004B51E4">
        <w:t>While it appears there has been a decrease amongst the use of Greenfields agreements in building and construction industry, this is likely to be related to a commensurate drop in the amount of Government funded infrastructure projects and/or other factors unrelated to the Greenfields provisions in the Fair Work Act. We note, for example, that changes to commodity prices have impacted the level of activity in the oil, gas and mining sectors which has a flow on to the number of new projects likely to attract the use of a Greenfield Agreement.</w:t>
      </w:r>
    </w:p>
    <w:p w:rsidR="00135994" w:rsidRPr="0090554C" w:rsidRDefault="00EA4F03" w:rsidP="005E7380">
      <w:pPr>
        <w:spacing w:after="240"/>
      </w:pPr>
      <w:r>
        <w:t>The r</w:t>
      </w:r>
      <w:r w:rsidR="00135994">
        <w:t>eview has concluded from this material that the reduction in the overall number of greenfield</w:t>
      </w:r>
      <w:r w:rsidR="00BD2A38">
        <w:t>s agreements since November 2015</w:t>
      </w:r>
      <w:r w:rsidR="00135994">
        <w:t xml:space="preserve"> is not a consequence of the legislative amendments but primarily reflects the conclusion of several major resource development projects and the end of wh</w:t>
      </w:r>
      <w:r w:rsidR="00936729">
        <w:t>at has been referred to as the ‘resources boom’</w:t>
      </w:r>
      <w:r w:rsidR="00135994">
        <w:t>. Greenfields agreements nevertheless remain an important mechanism to efficiently establish business start-up arrangements and continued access to agreements of this nature is critical to a broad cross-section of industries.</w:t>
      </w:r>
      <w:r w:rsidR="00EF1ABF">
        <w:t xml:space="preserve"> This is particularly the case for the construction and resource development sectors which rely heavily on this agreement making stream.</w:t>
      </w:r>
    </w:p>
    <w:p w:rsidR="00084EC7" w:rsidRPr="0090554C" w:rsidRDefault="00AB289F" w:rsidP="00084EC7">
      <w:pPr>
        <w:pStyle w:val="Heading1"/>
      </w:pPr>
      <w:bookmarkStart w:id="15" w:name="_Toc505681255"/>
      <w:r>
        <w:t xml:space="preserve">General </w:t>
      </w:r>
      <w:r w:rsidR="00716C46">
        <w:t>observations</w:t>
      </w:r>
      <w:bookmarkEnd w:id="15"/>
    </w:p>
    <w:p w:rsidR="00396BAC" w:rsidRPr="0090554C" w:rsidRDefault="00396BAC" w:rsidP="00716B9E">
      <w:r w:rsidRPr="0090554C">
        <w:t xml:space="preserve">Both the union and employer organisation responses </w:t>
      </w:r>
      <w:r w:rsidR="00EF1ABF">
        <w:t xml:space="preserve">to </w:t>
      </w:r>
      <w:r w:rsidRPr="0090554C">
        <w:t xml:space="preserve">the </w:t>
      </w:r>
      <w:r w:rsidR="00406AF7">
        <w:t>r</w:t>
      </w:r>
      <w:r w:rsidR="00406AF7" w:rsidRPr="0090554C">
        <w:t xml:space="preserve">eview </w:t>
      </w:r>
      <w:r w:rsidRPr="0090554C">
        <w:t xml:space="preserve">made broad assertions which were not generally supported by specific examples relating to the 2015 </w:t>
      </w:r>
      <w:r w:rsidR="00FE0B4E">
        <w:t>g</w:t>
      </w:r>
      <w:r w:rsidRPr="0090554C">
        <w:t>reenfields amendments.</w:t>
      </w:r>
    </w:p>
    <w:p w:rsidR="00396BAC" w:rsidRPr="0090554C" w:rsidRDefault="00396BAC" w:rsidP="00716B9E">
      <w:r w:rsidRPr="0090554C">
        <w:t xml:space="preserve">The capacity to reach </w:t>
      </w:r>
      <w:r w:rsidR="00FE0B4E">
        <w:t>g</w:t>
      </w:r>
      <w:r w:rsidRPr="0090554C">
        <w:t xml:space="preserve">reenfields agreements prior to the engagement of employees is a mechanism which continues to be significant in the establishment of new businesses. Leaving aside variations in construction and resource development work, the application of </w:t>
      </w:r>
      <w:r w:rsidR="00FE0B4E">
        <w:t>g</w:t>
      </w:r>
      <w:r w:rsidRPr="0090554C">
        <w:t xml:space="preserve">reenfields agreements has remained at a consistent level. Further, </w:t>
      </w:r>
      <w:r w:rsidR="00FE0B4E">
        <w:t>g</w:t>
      </w:r>
      <w:r w:rsidRPr="0090554C">
        <w:t xml:space="preserve">reenfields agreements have particular relevance to resource and </w:t>
      </w:r>
      <w:r w:rsidR="00EF1ABF">
        <w:t>infrastructure</w:t>
      </w:r>
      <w:r w:rsidRPr="0090554C">
        <w:t xml:space="preserve"> projects.</w:t>
      </w:r>
      <w:r w:rsidR="00EF1ABF">
        <w:t xml:space="preserve"> These sectors stressed the importance of stability in workplace industrial arrangements from both project approval and project management perspectives.</w:t>
      </w:r>
    </w:p>
    <w:p w:rsidR="00294474" w:rsidRDefault="00294474" w:rsidP="00716B9E">
      <w:r>
        <w:t>The limited</w:t>
      </w:r>
      <w:r w:rsidRPr="0090554C">
        <w:t xml:space="preserve"> information </w:t>
      </w:r>
      <w:r>
        <w:t xml:space="preserve">available to the </w:t>
      </w:r>
      <w:r w:rsidR="00406AF7">
        <w:t xml:space="preserve">review </w:t>
      </w:r>
      <w:r w:rsidRPr="0090554C">
        <w:t>confirm</w:t>
      </w:r>
      <w:r>
        <w:t>ed</w:t>
      </w:r>
      <w:r w:rsidRPr="0090554C">
        <w:t xml:space="preserve"> </w:t>
      </w:r>
      <w:r w:rsidR="00EA29D0">
        <w:t>that</w:t>
      </w:r>
      <w:r w:rsidRPr="0090554C">
        <w:t xml:space="preserve"> resource development projects commonly require workplace relations arrangements to be established with a high degree of certainty to </w:t>
      </w:r>
      <w:r w:rsidR="000A0FB3">
        <w:t>attract finance</w:t>
      </w:r>
      <w:r w:rsidRPr="0090554C">
        <w:t xml:space="preserve">. Even when this </w:t>
      </w:r>
      <w:r w:rsidR="00D56549">
        <w:t xml:space="preserve">financial approval </w:t>
      </w:r>
      <w:r w:rsidRPr="0090554C">
        <w:t xml:space="preserve">was not required, it </w:t>
      </w:r>
      <w:r w:rsidR="000A0FB3">
        <w:t>i</w:t>
      </w:r>
      <w:r w:rsidR="000A0FB3" w:rsidRPr="0090554C">
        <w:t xml:space="preserve">s </w:t>
      </w:r>
      <w:r w:rsidRPr="0090554C">
        <w:t xml:space="preserve">common that major resource development projects involve costing estimates based on the rapid achievement of sustainable workplace relations arrangements. In this context, the </w:t>
      </w:r>
      <w:r w:rsidR="00406AF7">
        <w:t>r</w:t>
      </w:r>
      <w:r w:rsidR="00406AF7" w:rsidRPr="0090554C">
        <w:t xml:space="preserve">eview </w:t>
      </w:r>
      <w:r w:rsidRPr="0090554C">
        <w:t xml:space="preserve">was given repeated advice that there was a need for a </w:t>
      </w:r>
      <w:r w:rsidR="00936729">
        <w:t>‘</w:t>
      </w:r>
      <w:r w:rsidRPr="0090554C">
        <w:t>circuit breaker</w:t>
      </w:r>
      <w:r w:rsidR="00936729">
        <w:t>’</w:t>
      </w:r>
      <w:r w:rsidRPr="0090554C">
        <w:t xml:space="preserve"> or mechanism to </w:t>
      </w:r>
      <w:r>
        <w:t xml:space="preserve">quickly </w:t>
      </w:r>
      <w:r w:rsidRPr="0090554C">
        <w:t xml:space="preserve">assist in </w:t>
      </w:r>
      <w:r>
        <w:t xml:space="preserve">resolving differences </w:t>
      </w:r>
      <w:r w:rsidRPr="0090554C">
        <w:t>and that the absence of that capacity put resource development projects</w:t>
      </w:r>
      <w:r>
        <w:t xml:space="preserve"> and contractors</w:t>
      </w:r>
      <w:r w:rsidRPr="0090554C">
        <w:t xml:space="preserve"> at risk. </w:t>
      </w:r>
    </w:p>
    <w:p w:rsidR="001D62DD" w:rsidRDefault="001D62DD" w:rsidP="00716B9E">
      <w:r>
        <w:t xml:space="preserve">The information available to the review confirmed the significance of greenfields agreement making in the infrastructure construction sector and particularly where joint ventures were formed for specific projects. In these areas, greenfields agreements are commonly </w:t>
      </w:r>
      <w:r w:rsidR="00A45A4C">
        <w:t>sought to allow a project to commence and conclude on a stable and secure basis.</w:t>
      </w:r>
    </w:p>
    <w:p w:rsidR="005B35C0" w:rsidRPr="0090554C" w:rsidRDefault="005B35C0" w:rsidP="00716B9E">
      <w:r w:rsidRPr="0090554C">
        <w:lastRenderedPageBreak/>
        <w:t xml:space="preserve">The employer </w:t>
      </w:r>
      <w:r w:rsidR="000816A4" w:rsidRPr="0090554C">
        <w:t>organisation</w:t>
      </w:r>
      <w:r w:rsidRPr="0090554C">
        <w:t xml:space="preserve"> responses universally sought the retention of greenfield agreement making capacity and generally reiterated positions previously put to earlier inquiries. The employer </w:t>
      </w:r>
      <w:r w:rsidR="000816A4" w:rsidRPr="0090554C">
        <w:t>organisation</w:t>
      </w:r>
      <w:r w:rsidRPr="0090554C">
        <w:t xml:space="preserve">s referred to </w:t>
      </w:r>
      <w:r w:rsidR="00B81DF2">
        <w:t xml:space="preserve">the </w:t>
      </w:r>
      <w:r w:rsidRPr="0090554C">
        <w:t xml:space="preserve">need for certainty and, </w:t>
      </w:r>
      <w:r w:rsidR="000A0FB3">
        <w:t>particularly for</w:t>
      </w:r>
      <w:r w:rsidRPr="0090554C">
        <w:t xml:space="preserve"> major resources and development projects, a capacity to reach greenfields agreements quickly to expedite project commencement.</w:t>
      </w:r>
    </w:p>
    <w:p w:rsidR="005B35C0" w:rsidRPr="0090554C" w:rsidRDefault="00EF1ABF" w:rsidP="00716B9E">
      <w:r>
        <w:t>Opposition to the</w:t>
      </w:r>
      <w:r w:rsidRPr="0090554C">
        <w:t xml:space="preserve"> </w:t>
      </w:r>
      <w:r w:rsidR="00D374FC" w:rsidRPr="0090554C">
        <w:t>use of small voting cohorts to make enterprise agreements</w:t>
      </w:r>
      <w:r w:rsidR="00C37318">
        <w:t xml:space="preserve"> with broad coverage</w:t>
      </w:r>
      <w:r w:rsidR="00D374FC" w:rsidRPr="0090554C">
        <w:t xml:space="preserve"> was </w:t>
      </w:r>
      <w:r w:rsidR="00FC7F7B">
        <w:br/>
      </w:r>
      <w:r w:rsidR="00D374FC" w:rsidRPr="0090554C">
        <w:t>a common theme in union submissions.</w:t>
      </w:r>
    </w:p>
    <w:p w:rsidR="000007A3" w:rsidRPr="0090554C" w:rsidRDefault="000007A3" w:rsidP="002115FF">
      <w:r w:rsidRPr="0090554C">
        <w:t xml:space="preserve">Union responses to the </w:t>
      </w:r>
      <w:r w:rsidR="00406AF7">
        <w:t>r</w:t>
      </w:r>
      <w:r w:rsidR="00406AF7" w:rsidRPr="0090554C">
        <w:t xml:space="preserve">eview </w:t>
      </w:r>
      <w:r w:rsidR="000A0FB3">
        <w:t>re</w:t>
      </w:r>
      <w:r w:rsidR="0045480E">
        <w:t>cognis</w:t>
      </w:r>
      <w:r w:rsidR="000A0FB3">
        <w:t>ed</w:t>
      </w:r>
      <w:r w:rsidRPr="0090554C">
        <w:t xml:space="preserve"> </w:t>
      </w:r>
      <w:r w:rsidR="00EA29D0">
        <w:t>that</w:t>
      </w:r>
      <w:r w:rsidRPr="0090554C">
        <w:t xml:space="preserve"> greenfields agreements differ in character to the mainstream agreement making process involving employees. There was some divergence in union views about th</w:t>
      </w:r>
      <w:r w:rsidR="00FE0B4E">
        <w:t>e long-standing capacity for a g</w:t>
      </w:r>
      <w:r w:rsidRPr="0090554C">
        <w:t xml:space="preserve">reenfields agreement to be </w:t>
      </w:r>
      <w:r w:rsidR="00D56549">
        <w:t>negotiated</w:t>
      </w:r>
      <w:r w:rsidR="00D56549" w:rsidRPr="0090554C">
        <w:t xml:space="preserve"> </w:t>
      </w:r>
      <w:r w:rsidRPr="0090554C">
        <w:t>with a particular union when other unions had coverage of some employees. While there were no calls for the removal of the capacity to make a greenfields agreement, the union submissions often expressed a stated preference for agreements made with employees.</w:t>
      </w:r>
    </w:p>
    <w:p w:rsidR="000007A3" w:rsidRPr="0090554C" w:rsidRDefault="000007A3" w:rsidP="000007A3">
      <w:r w:rsidRPr="0090554C">
        <w:t>The ACTU stated:</w:t>
      </w:r>
      <w:r w:rsidR="00283002" w:rsidRPr="0090554C">
        <w:rPr>
          <w:rStyle w:val="FootnoteReference"/>
        </w:rPr>
        <w:footnoteReference w:id="20"/>
      </w:r>
    </w:p>
    <w:p w:rsidR="005213C1" w:rsidRPr="0090554C" w:rsidRDefault="005213C1" w:rsidP="005213C1">
      <w:pPr>
        <w:ind w:left="720"/>
      </w:pPr>
      <w:r w:rsidRPr="0090554C">
        <w:t>That enterprise agreements are ‘true agreements negotiated between the relevant bargaining representatives and made by more than one party’ is a foundational principle of the [Fair Work] Act, reflected in the emphasis on collective bargaining and enabling representation at work. Greenfields agreements are an exception to this important general principle that enterprise agreements are the product of collective bargaining and genuine agreement between the employer and workers, via their bargaining representatives.</w:t>
      </w:r>
    </w:p>
    <w:p w:rsidR="005213C1" w:rsidRPr="0090554C" w:rsidRDefault="005213C1" w:rsidP="005213C1">
      <w:pPr>
        <w:ind w:left="720"/>
      </w:pPr>
      <w:r w:rsidRPr="0090554C">
        <w:t xml:space="preserve">For this reason, greenfields agreements pose a ‘unique policy challenge’. Commission oversight and other protections, such as the better off overall test, are critical in respect of greenfields agreements. Greenfields agreements determine the pay and conditions of workers – for up to four years – without direct input from those workers, and with no scope for the workers to bargain for changes to their pay and conditions during the life of the agreement. </w:t>
      </w:r>
    </w:p>
    <w:p w:rsidR="005213C1" w:rsidRPr="0090554C" w:rsidRDefault="005213C1" w:rsidP="005213C1">
      <w:pPr>
        <w:ind w:left="720"/>
      </w:pPr>
      <w:r w:rsidRPr="0090554C">
        <w:t>…</w:t>
      </w:r>
    </w:p>
    <w:p w:rsidR="005213C1" w:rsidRPr="0090554C" w:rsidRDefault="005213C1" w:rsidP="005213C1">
      <w:pPr>
        <w:ind w:left="720"/>
      </w:pPr>
      <w:r w:rsidRPr="0090554C">
        <w:t xml:space="preserve">The most important protection for workers in respect of greenfields agreements is that the agreement is bargained and agreed by the union entitled to represent their industrial interests. The union is comprised of workers from the relevant occupations and industries and provides </w:t>
      </w:r>
      <w:r w:rsidR="00FC7F7B">
        <w:br/>
      </w:r>
      <w:r w:rsidRPr="0090554C">
        <w:t>a voice for workers in greenfields agreement making. The union is best placed to ensure that the interests of workers are appropriately and fairly taken into account.</w:t>
      </w:r>
    </w:p>
    <w:p w:rsidR="000007A3" w:rsidRPr="0090554C" w:rsidRDefault="000007A3" w:rsidP="000007A3">
      <w:r w:rsidRPr="0090554C">
        <w:t xml:space="preserve">This position was supported by both the </w:t>
      </w:r>
      <w:r w:rsidR="0045480E" w:rsidRPr="0045480E">
        <w:rPr>
          <w:lang w:val="en"/>
        </w:rPr>
        <w:t xml:space="preserve">Construction, Forestry, Mining and Energy Union </w:t>
      </w:r>
      <w:r w:rsidR="0045480E">
        <w:rPr>
          <w:lang w:val="en"/>
        </w:rPr>
        <w:t>(</w:t>
      </w:r>
      <w:r w:rsidRPr="0090554C">
        <w:t>CFMEU</w:t>
      </w:r>
      <w:r w:rsidR="0045480E">
        <w:t>)</w:t>
      </w:r>
      <w:r w:rsidRPr="0090554C">
        <w:t xml:space="preserve"> and the </w:t>
      </w:r>
      <w:r w:rsidR="0045480E">
        <w:t>Australian Manufacturing Workers Union (</w:t>
      </w:r>
      <w:r w:rsidRPr="0090554C">
        <w:t>AMWU</w:t>
      </w:r>
      <w:r w:rsidR="0045480E">
        <w:t>)</w:t>
      </w:r>
      <w:r w:rsidRPr="0090554C">
        <w:t xml:space="preserve">. It should be noted that the </w:t>
      </w:r>
      <w:r w:rsidR="0045480E">
        <w:t xml:space="preserve">Maritime </w:t>
      </w:r>
      <w:r w:rsidR="00A721E2">
        <w:t>Union</w:t>
      </w:r>
      <w:r w:rsidR="0045480E">
        <w:t xml:space="preserve"> of Australia (</w:t>
      </w:r>
      <w:r w:rsidRPr="0090554C">
        <w:t>MUA</w:t>
      </w:r>
      <w:r w:rsidR="0045480E">
        <w:t>)</w:t>
      </w:r>
      <w:r w:rsidRPr="0090554C">
        <w:t xml:space="preserve"> adopted the CFMEU submission in its entirety.</w:t>
      </w:r>
    </w:p>
    <w:p w:rsidR="000007A3" w:rsidRPr="0090554C" w:rsidRDefault="000007A3" w:rsidP="000007A3">
      <w:r w:rsidRPr="0090554C">
        <w:t xml:space="preserve">The unions </w:t>
      </w:r>
      <w:r w:rsidR="006838AF" w:rsidRPr="0090554C">
        <w:t>emphasi</w:t>
      </w:r>
      <w:r w:rsidR="006838AF">
        <w:t>s</w:t>
      </w:r>
      <w:r w:rsidR="006838AF" w:rsidRPr="0090554C">
        <w:t xml:space="preserve">ed </w:t>
      </w:r>
      <w:r w:rsidR="00EA29D0">
        <w:t>that</w:t>
      </w:r>
      <w:r w:rsidRPr="0090554C">
        <w:t xml:space="preserve"> union involvement in enterprise agreement making was an important employe</w:t>
      </w:r>
      <w:r w:rsidR="005213C1" w:rsidRPr="0090554C">
        <w:t>e safeguard.</w:t>
      </w:r>
      <w:r w:rsidR="00B81DF2">
        <w:rPr>
          <w:rStyle w:val="FootnoteReference"/>
        </w:rPr>
        <w:footnoteReference w:id="21"/>
      </w:r>
      <w:r w:rsidR="005213C1" w:rsidRPr="0090554C">
        <w:t xml:space="preserve"> Additionally, the </w:t>
      </w:r>
      <w:r w:rsidR="003C05CB">
        <w:t>AMWU</w:t>
      </w:r>
      <w:r w:rsidRPr="0090554C">
        <w:t xml:space="preserve"> expressed concern that there was an increasing tendency for businesses to rely on award conditions rather than negotiated agreements</w:t>
      </w:r>
      <w:r w:rsidR="005213C1" w:rsidRPr="0090554C">
        <w:t>.</w:t>
      </w:r>
      <w:r w:rsidR="00B81DF2" w:rsidRPr="0090554C">
        <w:rPr>
          <w:rStyle w:val="FootnoteReference"/>
        </w:rPr>
        <w:footnoteReference w:id="22"/>
      </w:r>
      <w:r w:rsidR="005213C1" w:rsidRPr="0090554C">
        <w:t xml:space="preserve"> </w:t>
      </w:r>
    </w:p>
    <w:p w:rsidR="000007A3" w:rsidRDefault="000007A3" w:rsidP="000007A3">
      <w:r w:rsidRPr="0090554C">
        <w:lastRenderedPageBreak/>
        <w:t>The unions reported that their actions and experience before and after the greenfields amendments did not support the retention of the current legislative provisions which provide a capacity to make a</w:t>
      </w:r>
      <w:r w:rsidR="00B07E51" w:rsidRPr="0090554C">
        <w:t xml:space="preserve"> </w:t>
      </w:r>
      <w:r w:rsidR="006E22FA">
        <w:br/>
      </w:r>
      <w:r w:rsidR="00C4669B">
        <w:t>s</w:t>
      </w:r>
      <w:r w:rsidR="006E22FA" w:rsidRPr="0090554C">
        <w:t xml:space="preserve"> </w:t>
      </w:r>
      <w:r w:rsidR="00B07E51" w:rsidRPr="0090554C">
        <w:t>18</w:t>
      </w:r>
      <w:r w:rsidR="00406AF7">
        <w:t>2</w:t>
      </w:r>
      <w:r w:rsidR="00B07E51" w:rsidRPr="0090554C">
        <w:t>(</w:t>
      </w:r>
      <w:r w:rsidR="00406AF7">
        <w:t>4</w:t>
      </w:r>
      <w:r w:rsidR="00B07E51" w:rsidRPr="0090554C">
        <w:t>) greenfields agreement</w:t>
      </w:r>
      <w:r w:rsidRPr="0090554C">
        <w:t>.</w:t>
      </w:r>
    </w:p>
    <w:p w:rsidR="00321061" w:rsidRDefault="00A91B48" w:rsidP="00321061">
      <w:r>
        <w:t>MBA’s submission to the review</w:t>
      </w:r>
      <w:r w:rsidR="002115FF">
        <w:t xml:space="preserve"> suggested that since the Amendment Act was passed, there appears to be a greater proportion of agreements negotiated with the CFMEU and less negotiated with the A</w:t>
      </w:r>
      <w:r w:rsidR="00283002">
        <w:t>ustralian Workers’ Unions (A</w:t>
      </w:r>
      <w:r w:rsidR="002115FF">
        <w:t>WU</w:t>
      </w:r>
      <w:r w:rsidR="00283002">
        <w:t>)</w:t>
      </w:r>
      <w:r w:rsidR="002115FF">
        <w:t>.</w:t>
      </w:r>
      <w:r>
        <w:rPr>
          <w:rStyle w:val="FootnoteReference"/>
        </w:rPr>
        <w:footnoteReference w:id="23"/>
      </w:r>
      <w:r w:rsidR="002115FF">
        <w:t xml:space="preserve"> This</w:t>
      </w:r>
      <w:r w:rsidR="00881856">
        <w:t xml:space="preserve"> may reflect the changed profile of greenfields projects from large-scale capital to more infrastructure development projects and consequently a shift in the relevant unions which employers are likely to engage with. For example, the </w:t>
      </w:r>
      <w:r w:rsidR="00321061">
        <w:t>A</w:t>
      </w:r>
      <w:r w:rsidR="00881856">
        <w:t>W</w:t>
      </w:r>
      <w:r w:rsidR="00321061">
        <w:t xml:space="preserve">U submission </w:t>
      </w:r>
      <w:r w:rsidR="00881856">
        <w:t>agrees with</w:t>
      </w:r>
      <w:r w:rsidR="00321061">
        <w:t xml:space="preserve"> the MBA’s finding that it has negotiated significantly fewer greenfields agreements since the passage of the Amendment Act</w:t>
      </w:r>
      <w:r w:rsidR="00B4652E">
        <w:t xml:space="preserve">, </w:t>
      </w:r>
      <w:r w:rsidR="002F0F91">
        <w:t xml:space="preserve">and it also </w:t>
      </w:r>
      <w:r w:rsidR="00B4652E">
        <w:t xml:space="preserve">noted that </w:t>
      </w:r>
      <w:r w:rsidR="005C4DBC">
        <w:t xml:space="preserve">it </w:t>
      </w:r>
      <w:r w:rsidR="00B4652E">
        <w:t xml:space="preserve">was the reduction in investment in large-scale capital projects </w:t>
      </w:r>
      <w:r w:rsidR="005C4DBC">
        <w:t xml:space="preserve">that had </w:t>
      </w:r>
      <w:r w:rsidR="00B4652E">
        <w:t>contribut</w:t>
      </w:r>
      <w:r w:rsidR="005C4DBC">
        <w:t>ed</w:t>
      </w:r>
      <w:r w:rsidR="00B4652E">
        <w:t xml:space="preserve"> to the decline in the number of greenfields agreements being lodged and approved.</w:t>
      </w:r>
      <w:r w:rsidR="00B4652E">
        <w:rPr>
          <w:rStyle w:val="FootnoteReference"/>
        </w:rPr>
        <w:footnoteReference w:id="24"/>
      </w:r>
      <w:r w:rsidR="00321061">
        <w:t xml:space="preserve"> </w:t>
      </w:r>
    </w:p>
    <w:p w:rsidR="004F7263" w:rsidRDefault="00A77F2A" w:rsidP="00EE71F3">
      <w:pPr>
        <w:pStyle w:val="Heading1"/>
      </w:pPr>
      <w:bookmarkStart w:id="16" w:name="_Toc505681256"/>
      <w:r>
        <w:t>Access to greenfields agreement making information</w:t>
      </w:r>
      <w:bookmarkEnd w:id="16"/>
    </w:p>
    <w:p w:rsidR="00720B4A" w:rsidRDefault="00640A9F" w:rsidP="000007A3">
      <w:r>
        <w:t>The review</w:t>
      </w:r>
      <w:r w:rsidR="00A77F2A">
        <w:t xml:space="preserve"> has relied on the data provided by the Fair Work Commission and information provided by the </w:t>
      </w:r>
      <w:r w:rsidR="009E76EF">
        <w:t>WAD</w:t>
      </w:r>
      <w:r w:rsidR="00A77F2A">
        <w:t xml:space="preserve">. Whilst this information has been useful in many </w:t>
      </w:r>
      <w:r w:rsidR="00A91B48">
        <w:t>respects</w:t>
      </w:r>
      <w:r w:rsidR="00A77F2A">
        <w:t xml:space="preserve">, </w:t>
      </w:r>
      <w:r w:rsidR="00602CC8">
        <w:t xml:space="preserve">there </w:t>
      </w:r>
      <w:r w:rsidR="009E76EF">
        <w:t>are</w:t>
      </w:r>
      <w:r w:rsidR="00602CC8">
        <w:t xml:space="preserve"> significant gaps in the information available. </w:t>
      </w:r>
      <w:r w:rsidR="00A77F2A">
        <w:t xml:space="preserve">Had additional information about greenfields agreement making issues across the spectrum of industry been available this would have assisted both the policy development and the review process. For instance, there is no information </w:t>
      </w:r>
      <w:r w:rsidR="009E76EF">
        <w:t>on</w:t>
      </w:r>
      <w:r w:rsidR="00A77F2A">
        <w:t xml:space="preserve"> the length of time it generally takes to conclude a greenfields agreement, or the frequency </w:t>
      </w:r>
      <w:r w:rsidR="00C330BB">
        <w:t>with which</w:t>
      </w:r>
      <w:r w:rsidR="00A77F2A">
        <w:t xml:space="preserve"> greenfields agreement proposals</w:t>
      </w:r>
      <w:r w:rsidR="00C330BB">
        <w:t xml:space="preserve"> are abandoned</w:t>
      </w:r>
      <w:r w:rsidR="00A77F2A">
        <w:t xml:space="preserve"> because the process was too slow or </w:t>
      </w:r>
      <w:r w:rsidR="00720B4A">
        <w:t xml:space="preserve">too difficult. </w:t>
      </w:r>
    </w:p>
    <w:p w:rsidR="00720B4A" w:rsidRDefault="00720B4A" w:rsidP="000007A3">
      <w:r>
        <w:t xml:space="preserve">Responses to the </w:t>
      </w:r>
      <w:r w:rsidR="003B6E47">
        <w:t xml:space="preserve">review </w:t>
      </w:r>
      <w:r>
        <w:t xml:space="preserve">have </w:t>
      </w:r>
      <w:r w:rsidR="000E49D1">
        <w:t xml:space="preserve">confirmed </w:t>
      </w:r>
      <w:r>
        <w:t>that there is some reluctance on the part of employers to detail their specific circumstances.</w:t>
      </w:r>
    </w:p>
    <w:p w:rsidR="00A77F2A" w:rsidRDefault="00720B4A" w:rsidP="000007A3">
      <w:r>
        <w:t xml:space="preserve">Some additional information could be obtained by the Fair Work Commission through minor legislative changes. For instance, if employers were required to advise the Fair Work Commission of the commencement of a </w:t>
      </w:r>
      <w:r w:rsidR="002115FF">
        <w:t>six-month</w:t>
      </w:r>
      <w:r>
        <w:t xml:space="preserve"> negotiation period, this could put the </w:t>
      </w:r>
      <w:r w:rsidR="00A41B07">
        <w:t xml:space="preserve">Fair Work </w:t>
      </w:r>
      <w:r>
        <w:t>Commission on notice about a</w:t>
      </w:r>
      <w:r w:rsidR="00A41B07">
        <w:t xml:space="preserve"> possible</w:t>
      </w:r>
      <w:r>
        <w:t xml:space="preserve"> </w:t>
      </w:r>
      <w:r w:rsidR="00C4669B">
        <w:t>s</w:t>
      </w:r>
      <w:r w:rsidR="006E22FA">
        <w:t xml:space="preserve"> </w:t>
      </w:r>
      <w:r>
        <w:t>18</w:t>
      </w:r>
      <w:r w:rsidR="003B6E47">
        <w:t>2</w:t>
      </w:r>
      <w:r>
        <w:t>(</w:t>
      </w:r>
      <w:r w:rsidR="003B6E47">
        <w:t>4</w:t>
      </w:r>
      <w:r>
        <w:t xml:space="preserve">) </w:t>
      </w:r>
      <w:r w:rsidR="00A41B07">
        <w:t xml:space="preserve">agreement </w:t>
      </w:r>
      <w:r>
        <w:t>determination and also provide useful data about the greenfields agreement making process.</w:t>
      </w:r>
    </w:p>
    <w:p w:rsidR="00720B4A" w:rsidRPr="00716C46" w:rsidRDefault="00720B4A" w:rsidP="000007A3">
      <w:r>
        <w:t xml:space="preserve">However, even </w:t>
      </w:r>
      <w:r w:rsidR="00830517">
        <w:t>that</w:t>
      </w:r>
      <w:r>
        <w:t xml:space="preserve"> </w:t>
      </w:r>
      <w:r w:rsidR="00830517">
        <w:t xml:space="preserve">would provide limited </w:t>
      </w:r>
      <w:r w:rsidR="00C330BB">
        <w:t xml:space="preserve">information </w:t>
      </w:r>
      <w:r>
        <w:t>about the issues confronting parties negotiating greenfields agreements</w:t>
      </w:r>
      <w:r w:rsidR="00830517">
        <w:t xml:space="preserve">. To this end, the </w:t>
      </w:r>
      <w:r w:rsidR="003B6E47">
        <w:t xml:space="preserve">review </w:t>
      </w:r>
      <w:r w:rsidR="00830517">
        <w:t xml:space="preserve">suggests that further research be undertaken at regular intervals to identify issues and trends </w:t>
      </w:r>
      <w:r w:rsidR="00C330BB">
        <w:t xml:space="preserve">in relation to </w:t>
      </w:r>
      <w:r w:rsidR="00830517">
        <w:t xml:space="preserve">the greenfields agreement </w:t>
      </w:r>
      <w:r w:rsidR="00830517" w:rsidRPr="00716C46">
        <w:t>making process.</w:t>
      </w:r>
    </w:p>
    <w:p w:rsidR="002F0F91" w:rsidRDefault="002F0F91" w:rsidP="000007A3">
      <w:r w:rsidRPr="00716C46">
        <w:t>Some limited additional information can also be obtained without legislative change. This would provide some useful guidance on the greenfields agreement negotiation process, particularly if the Fair Work Commission reported on the duration of greenfields bargaining processes by industry sector.</w:t>
      </w:r>
    </w:p>
    <w:p w:rsidR="002115FF" w:rsidRPr="00332481" w:rsidRDefault="00DC657A" w:rsidP="00332481">
      <w:pPr>
        <w:pStyle w:val="Heading2"/>
        <w:pBdr>
          <w:top w:val="single" w:sz="4" w:space="1" w:color="auto"/>
          <w:left w:val="single" w:sz="4" w:space="4" w:color="auto"/>
          <w:bottom w:val="single" w:sz="4" w:space="1" w:color="auto"/>
          <w:right w:val="single" w:sz="4" w:space="4" w:color="auto"/>
        </w:pBdr>
        <w:rPr>
          <w:rFonts w:asciiTheme="minorHAnsi" w:hAnsiTheme="minorHAnsi"/>
          <w:b/>
          <w:color w:val="auto"/>
          <w:sz w:val="22"/>
          <w:szCs w:val="22"/>
        </w:rPr>
      </w:pPr>
      <w:r w:rsidRPr="00332481">
        <w:rPr>
          <w:rFonts w:asciiTheme="minorHAnsi" w:hAnsiTheme="minorHAnsi"/>
          <w:b/>
          <w:color w:val="auto"/>
          <w:sz w:val="22"/>
          <w:szCs w:val="22"/>
        </w:rPr>
        <w:lastRenderedPageBreak/>
        <w:t xml:space="preserve">Recommendation </w:t>
      </w:r>
      <w:r w:rsidR="00640A9F" w:rsidRPr="00332481">
        <w:rPr>
          <w:rFonts w:asciiTheme="minorHAnsi" w:hAnsiTheme="minorHAnsi"/>
          <w:b/>
          <w:color w:val="auto"/>
          <w:sz w:val="22"/>
          <w:szCs w:val="22"/>
        </w:rPr>
        <w:t>1</w:t>
      </w:r>
    </w:p>
    <w:p w:rsidR="002115FF" w:rsidRDefault="000E49D1" w:rsidP="00332481">
      <w:pPr>
        <w:keepNext/>
        <w:pBdr>
          <w:top w:val="single" w:sz="4" w:space="1" w:color="auto"/>
          <w:left w:val="single" w:sz="4" w:space="4" w:color="auto"/>
          <w:bottom w:val="single" w:sz="4" w:space="1" w:color="auto"/>
          <w:right w:val="single" w:sz="4" w:space="4" w:color="auto"/>
        </w:pBdr>
        <w:rPr>
          <w:b/>
        </w:rPr>
      </w:pPr>
      <w:r>
        <w:rPr>
          <w:b/>
        </w:rPr>
        <w:t xml:space="preserve">That the Fair Work Commission </w:t>
      </w:r>
      <w:r w:rsidR="00A45A4C">
        <w:rPr>
          <w:b/>
        </w:rPr>
        <w:t xml:space="preserve">amend its </w:t>
      </w:r>
      <w:r>
        <w:rPr>
          <w:b/>
        </w:rPr>
        <w:t xml:space="preserve">greenfields agreement application form to request information about when bargaining commenced </w:t>
      </w:r>
      <w:r w:rsidR="009E76EF">
        <w:rPr>
          <w:b/>
        </w:rPr>
        <w:t>to collect</w:t>
      </w:r>
      <w:r>
        <w:rPr>
          <w:b/>
        </w:rPr>
        <w:t xml:space="preserve"> more comprehensive information about the greenfields agreement making process.</w:t>
      </w:r>
    </w:p>
    <w:p w:rsidR="000E49D1" w:rsidRPr="00332481" w:rsidRDefault="000E49D1" w:rsidP="00332481">
      <w:pPr>
        <w:pStyle w:val="Heading2"/>
        <w:pBdr>
          <w:top w:val="single" w:sz="4" w:space="1" w:color="auto"/>
          <w:left w:val="single" w:sz="4" w:space="4" w:color="auto"/>
          <w:bottom w:val="single" w:sz="4" w:space="1" w:color="auto"/>
          <w:right w:val="single" w:sz="4" w:space="4" w:color="auto"/>
        </w:pBdr>
        <w:rPr>
          <w:rFonts w:asciiTheme="minorHAnsi" w:hAnsiTheme="minorHAnsi"/>
          <w:b/>
          <w:color w:val="auto"/>
          <w:sz w:val="22"/>
          <w:szCs w:val="22"/>
        </w:rPr>
      </w:pPr>
      <w:r w:rsidRPr="00332481">
        <w:rPr>
          <w:rFonts w:asciiTheme="minorHAnsi" w:hAnsiTheme="minorHAnsi"/>
          <w:b/>
          <w:color w:val="auto"/>
          <w:sz w:val="22"/>
          <w:szCs w:val="22"/>
        </w:rPr>
        <w:t xml:space="preserve">Recommendation </w:t>
      </w:r>
      <w:r w:rsidR="00640A9F" w:rsidRPr="00332481">
        <w:rPr>
          <w:rFonts w:asciiTheme="minorHAnsi" w:hAnsiTheme="minorHAnsi"/>
          <w:b/>
          <w:color w:val="auto"/>
          <w:sz w:val="22"/>
          <w:szCs w:val="22"/>
        </w:rPr>
        <w:t>2</w:t>
      </w:r>
    </w:p>
    <w:p w:rsidR="007874CF" w:rsidRDefault="000E49D1" w:rsidP="00332481">
      <w:pPr>
        <w:keepNext/>
        <w:pBdr>
          <w:top w:val="single" w:sz="4" w:space="1" w:color="auto"/>
          <w:left w:val="single" w:sz="4" w:space="4" w:color="auto"/>
          <w:bottom w:val="single" w:sz="4" w:space="1" w:color="auto"/>
          <w:right w:val="single" w:sz="4" w:space="4" w:color="auto"/>
        </w:pBdr>
        <w:rPr>
          <w:b/>
        </w:rPr>
      </w:pPr>
      <w:r>
        <w:rPr>
          <w:b/>
        </w:rPr>
        <w:t>That the Government consider commissioning regular research on greenfields agreement making issues to better inform future policy decisions, and contribute constructively to investment decision-making.</w:t>
      </w:r>
    </w:p>
    <w:p w:rsidR="000A5E85" w:rsidRPr="008E6231" w:rsidRDefault="000A5E85" w:rsidP="00EE71F3">
      <w:pPr>
        <w:pStyle w:val="Heading1"/>
      </w:pPr>
      <w:bookmarkStart w:id="17" w:name="_Toc505681257"/>
      <w:r w:rsidRPr="008E6231">
        <w:t xml:space="preserve">Approval of </w:t>
      </w:r>
      <w:r w:rsidR="003B6E47">
        <w:t>g</w:t>
      </w:r>
      <w:r w:rsidRPr="008E6231">
        <w:t>reenfields agreements</w:t>
      </w:r>
      <w:bookmarkEnd w:id="17"/>
    </w:p>
    <w:p w:rsidR="000A5E85" w:rsidRPr="006748C0" w:rsidRDefault="000A5E85" w:rsidP="000A5E85">
      <w:r w:rsidRPr="006748C0">
        <w:t xml:space="preserve">The review considered the </w:t>
      </w:r>
      <w:r w:rsidR="00A41B07">
        <w:t xml:space="preserve">Fair Work Commission’s </w:t>
      </w:r>
      <w:r w:rsidRPr="006748C0">
        <w:t xml:space="preserve">approval process </w:t>
      </w:r>
      <w:r w:rsidR="00A41B07">
        <w:t xml:space="preserve">for </w:t>
      </w:r>
      <w:r w:rsidR="003728FE">
        <w:t>greenfields agreements</w:t>
      </w:r>
      <w:r w:rsidRPr="006748C0">
        <w:t xml:space="preserve">. </w:t>
      </w:r>
      <w:r w:rsidR="00E058C3">
        <w:br/>
      </w:r>
      <w:r w:rsidRPr="006748C0">
        <w:t xml:space="preserve">The </w:t>
      </w:r>
      <w:r w:rsidR="003B6E47">
        <w:t xml:space="preserve">Fair Work </w:t>
      </w:r>
      <w:r w:rsidRPr="006748C0">
        <w:t>Commission has provided the following ad</w:t>
      </w:r>
      <w:r w:rsidR="008E6231">
        <w:t xml:space="preserve">vice in </w:t>
      </w:r>
      <w:r w:rsidR="008E6231" w:rsidRPr="0090554C">
        <w:t>this respect:</w:t>
      </w:r>
      <w:r w:rsidR="005E7380">
        <w:rPr>
          <w:rStyle w:val="FootnoteReference"/>
        </w:rPr>
        <w:footnoteReference w:id="25"/>
      </w:r>
    </w:p>
    <w:p w:rsidR="000A5E85" w:rsidRPr="006748C0" w:rsidRDefault="000A5E85" w:rsidP="008E6231">
      <w:pPr>
        <w:ind w:left="720"/>
      </w:pPr>
      <w:r w:rsidRPr="006748C0">
        <w:t>Until October 2014 all enterprise agreement approval applications were allocated directly to Commission Members to deal with and determine as they deemed appropriate. Some specialist administrative support was available to Members, for example, to provide some analysis regarding the BOOT. Members sought this assistance in approximately 5 per cent of applications.</w:t>
      </w:r>
    </w:p>
    <w:p w:rsidR="000A5E85" w:rsidRPr="006748C0" w:rsidRDefault="000A5E85" w:rsidP="008E6231">
      <w:pPr>
        <w:ind w:left="720"/>
      </w:pPr>
      <w:r w:rsidRPr="006748C0">
        <w:t>In October 2014 the Commission piloted an ‘agreement triage process’ to promote greater consistency and improve timeliness in enterprise agreement approval decisions. The triage process involves a team of legally qualified staff conducting a comprehensive analysis of agreements lodged for approval. This analysis assists the Commission Member dealing with the application, in making their decision under the FW Act</w:t>
      </w:r>
      <w:r w:rsidR="00BD2A38">
        <w:t xml:space="preserve"> [Fair Work Act]</w:t>
      </w:r>
      <w:r w:rsidRPr="006748C0">
        <w:t>.  At all times the decision as to whether to approve an agreement is made by a Member.</w:t>
      </w:r>
    </w:p>
    <w:p w:rsidR="000A5E85" w:rsidRPr="006748C0" w:rsidRDefault="000A5E85" w:rsidP="008E6231">
      <w:pPr>
        <w:ind w:left="720"/>
      </w:pPr>
      <w:r w:rsidRPr="006748C0">
        <w:t xml:space="preserve">In May 2015, the triage pilot was independently reviewed by Inca Consulting in association with Dr George Argyrous, Senior Lecture in Evidence-Based Decision Making, University of NSW. </w:t>
      </w:r>
    </w:p>
    <w:p w:rsidR="000A5E85" w:rsidRPr="006748C0" w:rsidRDefault="000A5E85" w:rsidP="008E6231">
      <w:pPr>
        <w:ind w:left="720"/>
      </w:pPr>
      <w:r w:rsidRPr="006748C0">
        <w:t>The report of the review of the agreement triage pilot is available on the Commission’s website at Agreement triage pilot independent review May 2015.</w:t>
      </w:r>
    </w:p>
    <w:p w:rsidR="000A5E85" w:rsidRPr="006748C0" w:rsidRDefault="000A5E85" w:rsidP="008E6231">
      <w:pPr>
        <w:ind w:left="720"/>
      </w:pPr>
      <w:r w:rsidRPr="006748C0">
        <w:t>Initially the triage process was confined to enterprise agreements in a small number of industries and states, but was progressively expanded. By the end of November 2016, the triage process was applied to all applications for approval of agreements, including greenfields agreements.</w:t>
      </w:r>
    </w:p>
    <w:p w:rsidR="000A5E85" w:rsidRPr="006748C0" w:rsidRDefault="000A5E85" w:rsidP="008E6231">
      <w:pPr>
        <w:ind w:left="720"/>
      </w:pPr>
      <w:r w:rsidRPr="006748C0">
        <w:t xml:space="preserve">The chart below contains a breakdown of agreement matters by result since the commencement of the triage process. It shows the percentage over time of applications for approval of single enterprise agreements that have been granted, granted with undertakings, withdrawn by the applicant, and dismissed. Prior to the triage pilot, 74% of applications for approval of single enterprise agreements were approved without undertakings compared to 39% in the first six months of 2017.   Twenty per cent of applications prior to the pilot were approved subject to one or more undertakings, compared to 43% in 2017, and 4% of </w:t>
      </w:r>
      <w:r w:rsidRPr="006748C0">
        <w:lastRenderedPageBreak/>
        <w:t>applications were withdrawn by the applicant compared to 17% in 2017. The increase in the number of undertakings suggests that the triage process has systematically identified potential shortcomings in agreements lodged with the Commission for approval.</w:t>
      </w:r>
    </w:p>
    <w:p w:rsidR="00332481" w:rsidRDefault="00332481" w:rsidP="00332481">
      <w:pPr>
        <w:pStyle w:val="Caption"/>
        <w:keepNext/>
        <w:ind w:left="709"/>
      </w:pPr>
      <w:r>
        <w:t xml:space="preserve">Chart </w:t>
      </w:r>
      <w:r>
        <w:fldChar w:fldCharType="begin"/>
      </w:r>
      <w:r>
        <w:instrText xml:space="preserve"> SEQ Chart \* ARABIC </w:instrText>
      </w:r>
      <w:r>
        <w:fldChar w:fldCharType="separate"/>
      </w:r>
      <w:r>
        <w:rPr>
          <w:noProof/>
        </w:rPr>
        <w:t>2</w:t>
      </w:r>
      <w:r>
        <w:fldChar w:fldCharType="end"/>
      </w:r>
      <w:r>
        <w:rPr>
          <w:noProof/>
        </w:rPr>
        <w:t xml:space="preserve">: </w:t>
      </w:r>
      <w:r w:rsidRPr="00522FA0">
        <w:rPr>
          <w:noProof/>
        </w:rPr>
        <w:t>Agreements by result type</w:t>
      </w:r>
    </w:p>
    <w:p w:rsidR="008E6231" w:rsidRPr="0090554C" w:rsidRDefault="008E6231" w:rsidP="002B383B">
      <w:pPr>
        <w:keepNext/>
        <w:ind w:left="720"/>
      </w:pPr>
      <w:r w:rsidRPr="0090554C">
        <w:rPr>
          <w:noProof/>
          <w:lang w:eastAsia="en-AU"/>
        </w:rPr>
        <w:drawing>
          <wp:inline distT="0" distB="0" distL="0" distR="0" wp14:anchorId="0A326770" wp14:editId="4AB6F8C5">
            <wp:extent cx="5435065" cy="3688080"/>
            <wp:effectExtent l="0" t="0" r="0" b="7620"/>
            <wp:docPr id="8" name="Picture 1" descr="Chart 2 – Enterprise agreements dealt with by the Fair Work Commission by result type, provided in submission from the Fair Work Commission.&#10;Chart 2 shows a breakdown of agreement matters by result since the commencement of the Fair Work Commission’s triage process for assessing agreement approval applications. Prior to the commencement of the triage process, 74 per cent of applications for approval of a single enterprise agreement were approved without undertakings, compared to 39 per cent in the first half of 2017. Additionally, 20 per cent of applications prior to the triage process were approved subject to undertakings, compared to 43 per cent in 2017. Finally, 4 per cent of applications were withdrawn by the applicant prior to the introduction of triage, compared to 17 per cent in 2017." title="Chart 2 – Enterprise agreements dealt with by the Fair Work Commission by result type, provided in submission from the Fair Work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32640" cy="3686434"/>
                    </a:xfrm>
                    <a:prstGeom prst="rect">
                      <a:avLst/>
                    </a:prstGeom>
                    <a:noFill/>
                    <a:ln>
                      <a:noFill/>
                    </a:ln>
                  </pic:spPr>
                </pic:pic>
              </a:graphicData>
            </a:graphic>
          </wp:inline>
        </w:drawing>
      </w:r>
    </w:p>
    <w:p w:rsidR="000A5E85" w:rsidRPr="006748C0" w:rsidRDefault="000A5E85" w:rsidP="008E6231">
      <w:pPr>
        <w:ind w:left="720"/>
      </w:pPr>
      <w:r w:rsidRPr="006748C0">
        <w:t>At all times the judgment as to whether an agreement should be approved or not is made by Members, to be exercised in accordance with their oath of office and the requirements of the FW Act</w:t>
      </w:r>
      <w:r w:rsidR="00BD2A38">
        <w:t xml:space="preserve"> [Fair Work Act]</w:t>
      </w:r>
      <w:r w:rsidRPr="006748C0">
        <w:t>. The triage process has, however, assisted Members to exercise their function in a consistent and rigorous way.</w:t>
      </w:r>
    </w:p>
    <w:p w:rsidR="000A5E85" w:rsidRPr="006748C0" w:rsidRDefault="000A5E85" w:rsidP="000A5E85">
      <w:r w:rsidRPr="006748C0">
        <w:t>The Fair Work Commission provided updated statistics on the time taken to finalise enterprise agreement applications set out in T</w:t>
      </w:r>
      <w:r w:rsidR="00640A9F">
        <w:t xml:space="preserve">able </w:t>
      </w:r>
      <w:r w:rsidR="005E7380">
        <w:t>5</w:t>
      </w:r>
      <w:r w:rsidRPr="006748C0">
        <w:t xml:space="preserve"> below and </w:t>
      </w:r>
      <w:r w:rsidR="008E6231">
        <w:t>noted:</w:t>
      </w:r>
      <w:r w:rsidR="005E7380">
        <w:rPr>
          <w:rStyle w:val="FootnoteReference"/>
        </w:rPr>
        <w:footnoteReference w:id="26"/>
      </w:r>
    </w:p>
    <w:p w:rsidR="000A5E85" w:rsidRPr="006748C0" w:rsidRDefault="000A5E85" w:rsidP="008E6231">
      <w:pPr>
        <w:ind w:left="720"/>
      </w:pPr>
      <w:r w:rsidRPr="006748C0">
        <w:t>Since the introduction of the triage process, there has been a steady increase in the proportion of applications that do not appear to meet all of the statutory requirements at the time of lodgment. Analysis and identification of these applications tends to be more complex and take longer. For example, rather than dismissing such applications, Members have sought to assist the parties to address concerns through accepting written undertakings. Generally, the Commission takes longer to approve agreements with written undertakings since it must seek the views of the employer and bargaining representatives before granting approval.</w:t>
      </w:r>
    </w:p>
    <w:p w:rsidR="000A5E85" w:rsidRPr="006748C0" w:rsidRDefault="000A5E85" w:rsidP="008E6231">
      <w:pPr>
        <w:ind w:left="720"/>
      </w:pPr>
      <w:r w:rsidRPr="006748C0">
        <w:lastRenderedPageBreak/>
        <w:t>As illustrated in Chart 2 the incidence of agreements approved with undertakings has more than doubled since July–December 2013. Currently 43% of agreements are approved with undertakings.</w:t>
      </w:r>
    </w:p>
    <w:p w:rsidR="000A5E85" w:rsidRDefault="000A5E85" w:rsidP="008E6231">
      <w:pPr>
        <w:ind w:left="720"/>
      </w:pPr>
      <w:r w:rsidRPr="006748C0">
        <w:t>In addition, internal resourcing pressures for staff in the agreement triage team have contributed to delays in the approval process. With highly skilled staff regularly achieving promotions, the Commission is streamlining its administrative processes to ensure that appropriate resourcing is maintained.</w:t>
      </w:r>
    </w:p>
    <w:p w:rsidR="002C20F1" w:rsidRDefault="002C20F1" w:rsidP="002C20F1">
      <w:pPr>
        <w:pStyle w:val="Caption"/>
        <w:keepNext/>
      </w:pPr>
      <w:r>
        <w:t xml:space="preserve">Table </w:t>
      </w:r>
      <w:r>
        <w:fldChar w:fldCharType="begin"/>
      </w:r>
      <w:r>
        <w:instrText xml:space="preserve"> SEQ Table \* ARABIC </w:instrText>
      </w:r>
      <w:r>
        <w:fldChar w:fldCharType="separate"/>
      </w:r>
      <w:r>
        <w:rPr>
          <w:noProof/>
        </w:rPr>
        <w:t>5</w:t>
      </w:r>
      <w:r>
        <w:fldChar w:fldCharType="end"/>
      </w:r>
      <w:r>
        <w:t xml:space="preserve">: </w:t>
      </w:r>
      <w:r w:rsidRPr="004B7897">
        <w:t>Enterprise agreements—timeliness, type of agreement</w:t>
      </w:r>
    </w:p>
    <w:p w:rsidR="00A15915" w:rsidRPr="00A15915" w:rsidRDefault="00A15915" w:rsidP="00A15915">
      <w:r w:rsidRPr="00A15915">
        <w:t>Table</w:t>
      </w:r>
      <w:r>
        <w:t xml:space="preserve"> 5</w:t>
      </w:r>
      <w:r w:rsidRPr="00A15915">
        <w:t xml:space="preserve"> shows the number of days for an application to go from lodgement to finalisation, for 50% of applications to the Commission (the median time) and also for 90% of applications to the Commission.</w:t>
      </w:r>
    </w:p>
    <w:tbl>
      <w:tblPr>
        <w:tblW w:w="51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 Enterprise agreements – timeliness of approval by type of agreement"/>
        <w:tblDescription w:val="Table 5 shows that in 2016-2017, 50 per cent of greenfields agreements were approved in 19 days and 90 per cent of agreements were approved in 59 days. This represents a slight increase from previous financial years. Single-enterprise and multi-enterprise agreements both took longer to approve than greenfields agreements, and had an increase in time taken for the Commission to deal with applications in 2016-2017."/>
      </w:tblPr>
      <w:tblGrid>
        <w:gridCol w:w="1246"/>
        <w:gridCol w:w="675"/>
        <w:gridCol w:w="1022"/>
        <w:gridCol w:w="1022"/>
        <w:gridCol w:w="1022"/>
        <w:gridCol w:w="1022"/>
        <w:gridCol w:w="917"/>
        <w:gridCol w:w="917"/>
        <w:gridCol w:w="917"/>
        <w:gridCol w:w="917"/>
      </w:tblGrid>
      <w:tr w:rsidR="002C20F1" w:rsidRPr="00152022" w:rsidTr="00A15915">
        <w:trPr>
          <w:trHeight w:val="300"/>
          <w:tblHeader/>
        </w:trPr>
        <w:tc>
          <w:tcPr>
            <w:tcW w:w="1246" w:type="dxa"/>
            <w:shd w:val="clear" w:color="auto" w:fill="006D68"/>
            <w:noWrap/>
            <w:vAlign w:val="center"/>
            <w:hideMark/>
          </w:tcPr>
          <w:p w:rsidR="002C20F1" w:rsidRPr="00152022" w:rsidRDefault="002C20F1" w:rsidP="002C20F1">
            <w:pPr>
              <w:rPr>
                <w:rFonts w:ascii="Calibri" w:hAnsi="Calibri" w:cs="Calibri"/>
                <w:color w:val="FFFFFF" w:themeColor="background1"/>
              </w:rPr>
            </w:pPr>
            <w:r w:rsidRPr="00152022">
              <w:rPr>
                <w:rFonts w:ascii="Calibri" w:hAnsi="Calibri" w:cs="Calibri"/>
                <w:color w:val="FFFFFF" w:themeColor="background1"/>
              </w:rPr>
              <w:t>Type of application</w:t>
            </w:r>
          </w:p>
        </w:tc>
        <w:tc>
          <w:tcPr>
            <w:tcW w:w="675" w:type="dxa"/>
            <w:shd w:val="clear" w:color="auto" w:fill="006D68"/>
            <w:noWrap/>
            <w:vAlign w:val="center"/>
            <w:hideMark/>
          </w:tcPr>
          <w:p w:rsidR="002C20F1" w:rsidRPr="00152022" w:rsidRDefault="002C20F1" w:rsidP="002C20F1">
            <w:pPr>
              <w:jc w:val="center"/>
              <w:rPr>
                <w:rFonts w:ascii="Calibri" w:hAnsi="Calibri" w:cs="Calibri"/>
                <w:color w:val="FFFFFF" w:themeColor="background1"/>
              </w:rPr>
            </w:pPr>
            <w:r w:rsidRPr="00152022">
              <w:rPr>
                <w:rFonts w:ascii="Calibri" w:hAnsi="Calibri" w:cs="Calibri"/>
                <w:color w:val="FFFFFF" w:themeColor="background1"/>
              </w:rPr>
              <w:t>KPI</w:t>
            </w:r>
            <w:r w:rsidRPr="00152022">
              <w:rPr>
                <w:rFonts w:ascii="Calibri" w:hAnsi="Calibri" w:cs="Calibri"/>
                <w:color w:val="FFFFFF" w:themeColor="background1"/>
                <w:vertAlign w:val="superscript"/>
              </w:rPr>
              <w:t>1</w:t>
            </w:r>
          </w:p>
        </w:tc>
        <w:tc>
          <w:tcPr>
            <w:tcW w:w="1022" w:type="dxa"/>
            <w:shd w:val="clear" w:color="auto" w:fill="006D68"/>
            <w:noWrap/>
            <w:vAlign w:val="center"/>
            <w:hideMark/>
          </w:tcPr>
          <w:p w:rsidR="002C20F1" w:rsidRPr="00152022" w:rsidRDefault="002C20F1" w:rsidP="002C20F1">
            <w:pPr>
              <w:jc w:val="center"/>
              <w:rPr>
                <w:rFonts w:ascii="Calibri" w:hAnsi="Calibri" w:cs="Calibri"/>
                <w:color w:val="FFFFFF" w:themeColor="background1"/>
              </w:rPr>
            </w:pPr>
            <w:r w:rsidRPr="00152022">
              <w:rPr>
                <w:rFonts w:ascii="Calibri" w:hAnsi="Calibri" w:cs="Calibri"/>
                <w:color w:val="FFFFFF" w:themeColor="background1"/>
              </w:rPr>
              <w:t>50% of matters (median) in 2013–14</w:t>
            </w:r>
          </w:p>
        </w:tc>
        <w:tc>
          <w:tcPr>
            <w:tcW w:w="1022" w:type="dxa"/>
            <w:shd w:val="clear" w:color="auto" w:fill="006D68"/>
            <w:noWrap/>
            <w:vAlign w:val="center"/>
            <w:hideMark/>
          </w:tcPr>
          <w:p w:rsidR="002C20F1" w:rsidRPr="00152022" w:rsidRDefault="002C20F1" w:rsidP="002C20F1">
            <w:pPr>
              <w:jc w:val="center"/>
              <w:rPr>
                <w:rFonts w:ascii="Calibri" w:hAnsi="Calibri" w:cs="Calibri"/>
                <w:color w:val="FFFFFF" w:themeColor="background1"/>
              </w:rPr>
            </w:pPr>
            <w:r w:rsidRPr="00152022">
              <w:rPr>
                <w:rFonts w:ascii="Calibri" w:hAnsi="Calibri" w:cs="Calibri"/>
                <w:color w:val="FFFFFF" w:themeColor="background1"/>
              </w:rPr>
              <w:t>50% of matters (median) in 2014–15</w:t>
            </w:r>
          </w:p>
        </w:tc>
        <w:tc>
          <w:tcPr>
            <w:tcW w:w="1022" w:type="dxa"/>
            <w:shd w:val="clear" w:color="auto" w:fill="006D68"/>
            <w:noWrap/>
            <w:vAlign w:val="center"/>
            <w:hideMark/>
          </w:tcPr>
          <w:p w:rsidR="002C20F1" w:rsidRPr="00152022" w:rsidRDefault="002C20F1" w:rsidP="002C20F1">
            <w:pPr>
              <w:jc w:val="center"/>
              <w:rPr>
                <w:rFonts w:ascii="Calibri" w:hAnsi="Calibri" w:cs="Calibri"/>
                <w:color w:val="FFFFFF" w:themeColor="background1"/>
              </w:rPr>
            </w:pPr>
            <w:r w:rsidRPr="00152022">
              <w:rPr>
                <w:rFonts w:ascii="Calibri" w:hAnsi="Calibri" w:cs="Calibri"/>
                <w:color w:val="FFFFFF" w:themeColor="background1"/>
              </w:rPr>
              <w:t>50% of matters (median) in 2015–16</w:t>
            </w:r>
          </w:p>
        </w:tc>
        <w:tc>
          <w:tcPr>
            <w:tcW w:w="1022" w:type="dxa"/>
            <w:shd w:val="clear" w:color="auto" w:fill="006D68"/>
            <w:noWrap/>
            <w:vAlign w:val="center"/>
            <w:hideMark/>
          </w:tcPr>
          <w:p w:rsidR="002C20F1" w:rsidRPr="00152022" w:rsidRDefault="002C20F1" w:rsidP="002C20F1">
            <w:pPr>
              <w:jc w:val="center"/>
              <w:rPr>
                <w:rFonts w:ascii="Calibri" w:hAnsi="Calibri" w:cs="Calibri"/>
                <w:color w:val="FFFFFF" w:themeColor="background1"/>
              </w:rPr>
            </w:pPr>
            <w:r w:rsidRPr="00152022">
              <w:rPr>
                <w:rFonts w:ascii="Calibri" w:hAnsi="Calibri" w:cs="Calibri"/>
                <w:color w:val="FFFFFF" w:themeColor="background1"/>
              </w:rPr>
              <w:t>50% of matters (median) in 2016–17</w:t>
            </w:r>
          </w:p>
        </w:tc>
        <w:tc>
          <w:tcPr>
            <w:tcW w:w="917" w:type="dxa"/>
            <w:shd w:val="clear" w:color="auto" w:fill="006D68"/>
            <w:noWrap/>
            <w:vAlign w:val="center"/>
            <w:hideMark/>
          </w:tcPr>
          <w:p w:rsidR="002C20F1" w:rsidRPr="00152022" w:rsidRDefault="002C20F1" w:rsidP="002C20F1">
            <w:pPr>
              <w:jc w:val="center"/>
              <w:rPr>
                <w:rFonts w:ascii="Calibri" w:hAnsi="Calibri" w:cs="Calibri"/>
                <w:color w:val="FFFFFF" w:themeColor="background1"/>
              </w:rPr>
            </w:pPr>
            <w:r w:rsidRPr="00152022">
              <w:rPr>
                <w:rFonts w:ascii="Calibri" w:hAnsi="Calibri" w:cs="Calibri"/>
                <w:color w:val="FFFFFF" w:themeColor="background1"/>
              </w:rPr>
              <w:t>90% of matters in 2013–14</w:t>
            </w:r>
          </w:p>
        </w:tc>
        <w:tc>
          <w:tcPr>
            <w:tcW w:w="917" w:type="dxa"/>
            <w:shd w:val="clear" w:color="auto" w:fill="006D68"/>
            <w:noWrap/>
            <w:vAlign w:val="center"/>
            <w:hideMark/>
          </w:tcPr>
          <w:p w:rsidR="002C20F1" w:rsidRPr="00152022" w:rsidRDefault="002C20F1" w:rsidP="002C20F1">
            <w:pPr>
              <w:jc w:val="center"/>
              <w:rPr>
                <w:rFonts w:ascii="Calibri" w:hAnsi="Calibri" w:cs="Calibri"/>
                <w:color w:val="FFFFFF" w:themeColor="background1"/>
              </w:rPr>
            </w:pPr>
            <w:r w:rsidRPr="00152022">
              <w:rPr>
                <w:rFonts w:ascii="Calibri" w:hAnsi="Calibri" w:cs="Calibri"/>
                <w:color w:val="FFFFFF" w:themeColor="background1"/>
              </w:rPr>
              <w:t>90% of matters in 2014–15</w:t>
            </w:r>
          </w:p>
        </w:tc>
        <w:tc>
          <w:tcPr>
            <w:tcW w:w="917" w:type="dxa"/>
            <w:shd w:val="clear" w:color="auto" w:fill="006D68"/>
            <w:noWrap/>
            <w:vAlign w:val="center"/>
            <w:hideMark/>
          </w:tcPr>
          <w:p w:rsidR="002C20F1" w:rsidRPr="00152022" w:rsidRDefault="002C20F1" w:rsidP="002C20F1">
            <w:pPr>
              <w:jc w:val="center"/>
              <w:rPr>
                <w:rFonts w:ascii="Calibri" w:hAnsi="Calibri" w:cs="Calibri"/>
                <w:color w:val="FFFFFF" w:themeColor="background1"/>
              </w:rPr>
            </w:pPr>
            <w:r w:rsidRPr="00152022">
              <w:rPr>
                <w:rFonts w:ascii="Calibri" w:hAnsi="Calibri" w:cs="Calibri"/>
                <w:color w:val="FFFFFF" w:themeColor="background1"/>
              </w:rPr>
              <w:t>90% of matters in 2015–16</w:t>
            </w:r>
          </w:p>
        </w:tc>
        <w:tc>
          <w:tcPr>
            <w:tcW w:w="917" w:type="dxa"/>
            <w:shd w:val="clear" w:color="auto" w:fill="006D68"/>
            <w:noWrap/>
            <w:vAlign w:val="center"/>
            <w:hideMark/>
          </w:tcPr>
          <w:p w:rsidR="002C20F1" w:rsidRPr="00152022" w:rsidRDefault="002C20F1" w:rsidP="002C20F1">
            <w:pPr>
              <w:jc w:val="center"/>
              <w:rPr>
                <w:rFonts w:ascii="Calibri" w:hAnsi="Calibri" w:cs="Calibri"/>
                <w:color w:val="FFFFFF" w:themeColor="background1"/>
              </w:rPr>
            </w:pPr>
            <w:r w:rsidRPr="00152022">
              <w:rPr>
                <w:rFonts w:ascii="Calibri" w:hAnsi="Calibri" w:cs="Calibri"/>
                <w:color w:val="FFFFFF" w:themeColor="background1"/>
              </w:rPr>
              <w:t>90% of matters in 2016–17</w:t>
            </w:r>
          </w:p>
        </w:tc>
      </w:tr>
      <w:tr w:rsidR="002C20F1" w:rsidRPr="00152022" w:rsidTr="00A15915">
        <w:trPr>
          <w:trHeight w:val="300"/>
        </w:trPr>
        <w:tc>
          <w:tcPr>
            <w:tcW w:w="1246" w:type="dxa"/>
            <w:shd w:val="clear" w:color="auto" w:fill="auto"/>
            <w:noWrap/>
            <w:vAlign w:val="center"/>
            <w:hideMark/>
          </w:tcPr>
          <w:p w:rsidR="002C20F1" w:rsidRPr="00152022" w:rsidRDefault="002C20F1" w:rsidP="002C20F1">
            <w:pPr>
              <w:rPr>
                <w:rFonts w:ascii="Calibri" w:hAnsi="Calibri" w:cs="Calibri"/>
                <w:color w:val="000000"/>
              </w:rPr>
            </w:pPr>
            <w:r w:rsidRPr="00152022">
              <w:rPr>
                <w:rFonts w:ascii="Calibri" w:hAnsi="Calibri" w:cs="Calibri"/>
                <w:color w:val="000000"/>
              </w:rPr>
              <w:t>s.185—Single-enterprise</w:t>
            </w:r>
          </w:p>
        </w:tc>
        <w:tc>
          <w:tcPr>
            <w:tcW w:w="675" w:type="dxa"/>
            <w:shd w:val="clear" w:color="auto" w:fill="auto"/>
            <w:noWrap/>
            <w:vAlign w:val="center"/>
            <w:hideMark/>
          </w:tcPr>
          <w:p w:rsidR="002C20F1" w:rsidRPr="00152022" w:rsidRDefault="002C20F1" w:rsidP="002C20F1">
            <w:pPr>
              <w:jc w:val="center"/>
              <w:rPr>
                <w:rFonts w:ascii="Calibri" w:hAnsi="Calibri" w:cs="Calibri"/>
                <w:color w:val="000000"/>
              </w:rPr>
            </w:pPr>
            <w:r w:rsidRPr="00152022">
              <w:rPr>
                <w:rFonts w:ascii="Calibri" w:hAnsi="Calibri" w:cs="Calibri"/>
                <w:color w:val="000000"/>
              </w:rPr>
              <w:t>32 days</w:t>
            </w:r>
          </w:p>
        </w:tc>
        <w:tc>
          <w:tcPr>
            <w:tcW w:w="1022" w:type="dxa"/>
            <w:shd w:val="clear" w:color="auto" w:fill="auto"/>
            <w:noWrap/>
            <w:vAlign w:val="center"/>
            <w:hideMark/>
          </w:tcPr>
          <w:p w:rsidR="002C20F1" w:rsidRPr="00152022" w:rsidRDefault="002C20F1" w:rsidP="002C20F1">
            <w:pPr>
              <w:jc w:val="center"/>
              <w:rPr>
                <w:rFonts w:ascii="Calibri" w:hAnsi="Calibri" w:cs="Calibri"/>
                <w:color w:val="000000"/>
              </w:rPr>
            </w:pPr>
            <w:r w:rsidRPr="00152022">
              <w:rPr>
                <w:rFonts w:ascii="Calibri" w:hAnsi="Calibri" w:cs="Calibri"/>
                <w:color w:val="000000"/>
              </w:rPr>
              <w:t>33</w:t>
            </w:r>
          </w:p>
        </w:tc>
        <w:tc>
          <w:tcPr>
            <w:tcW w:w="1022" w:type="dxa"/>
            <w:shd w:val="clear" w:color="auto" w:fill="auto"/>
            <w:noWrap/>
            <w:vAlign w:val="center"/>
            <w:hideMark/>
          </w:tcPr>
          <w:p w:rsidR="002C20F1" w:rsidRPr="00152022" w:rsidRDefault="002C20F1" w:rsidP="002C20F1">
            <w:pPr>
              <w:jc w:val="center"/>
              <w:rPr>
                <w:rFonts w:ascii="Calibri" w:hAnsi="Calibri" w:cs="Calibri"/>
                <w:color w:val="000000"/>
              </w:rPr>
            </w:pPr>
            <w:r w:rsidRPr="00152022">
              <w:rPr>
                <w:rFonts w:ascii="Calibri" w:hAnsi="Calibri" w:cs="Calibri"/>
                <w:color w:val="000000"/>
              </w:rPr>
              <w:t>18</w:t>
            </w:r>
          </w:p>
        </w:tc>
        <w:tc>
          <w:tcPr>
            <w:tcW w:w="1022" w:type="dxa"/>
            <w:shd w:val="clear" w:color="auto" w:fill="auto"/>
            <w:noWrap/>
            <w:vAlign w:val="center"/>
            <w:hideMark/>
          </w:tcPr>
          <w:p w:rsidR="002C20F1" w:rsidRPr="00152022" w:rsidRDefault="002C20F1" w:rsidP="002C20F1">
            <w:pPr>
              <w:jc w:val="center"/>
              <w:rPr>
                <w:rFonts w:ascii="Calibri" w:hAnsi="Calibri" w:cs="Calibri"/>
                <w:color w:val="000000"/>
              </w:rPr>
            </w:pPr>
            <w:r w:rsidRPr="00152022">
              <w:rPr>
                <w:rFonts w:ascii="Calibri" w:hAnsi="Calibri" w:cs="Calibri"/>
                <w:color w:val="000000"/>
              </w:rPr>
              <w:t>21</w:t>
            </w:r>
          </w:p>
        </w:tc>
        <w:tc>
          <w:tcPr>
            <w:tcW w:w="1022" w:type="dxa"/>
            <w:shd w:val="clear" w:color="auto" w:fill="auto"/>
            <w:noWrap/>
            <w:vAlign w:val="center"/>
            <w:hideMark/>
          </w:tcPr>
          <w:p w:rsidR="002C20F1" w:rsidRPr="00152022" w:rsidRDefault="002C20F1" w:rsidP="002C20F1">
            <w:pPr>
              <w:jc w:val="center"/>
              <w:rPr>
                <w:rFonts w:ascii="Calibri" w:hAnsi="Calibri" w:cs="Calibri"/>
                <w:color w:val="000000"/>
              </w:rPr>
            </w:pPr>
            <w:r w:rsidRPr="00152022">
              <w:rPr>
                <w:rFonts w:ascii="Calibri" w:hAnsi="Calibri" w:cs="Calibri"/>
                <w:color w:val="000000"/>
              </w:rPr>
              <w:t>17</w:t>
            </w:r>
          </w:p>
        </w:tc>
        <w:tc>
          <w:tcPr>
            <w:tcW w:w="917" w:type="dxa"/>
            <w:shd w:val="clear" w:color="auto" w:fill="auto"/>
            <w:noWrap/>
            <w:vAlign w:val="center"/>
            <w:hideMark/>
          </w:tcPr>
          <w:p w:rsidR="002C20F1" w:rsidRPr="00152022" w:rsidRDefault="002C20F1" w:rsidP="002C20F1">
            <w:pPr>
              <w:jc w:val="center"/>
              <w:rPr>
                <w:rFonts w:ascii="Calibri" w:hAnsi="Calibri" w:cs="Calibri"/>
                <w:color w:val="000000"/>
              </w:rPr>
            </w:pPr>
            <w:r w:rsidRPr="00152022">
              <w:rPr>
                <w:rFonts w:ascii="Calibri" w:hAnsi="Calibri" w:cs="Calibri"/>
                <w:color w:val="000000"/>
              </w:rPr>
              <w:t>71</w:t>
            </w:r>
          </w:p>
        </w:tc>
        <w:tc>
          <w:tcPr>
            <w:tcW w:w="917" w:type="dxa"/>
            <w:shd w:val="clear" w:color="auto" w:fill="auto"/>
            <w:noWrap/>
            <w:vAlign w:val="center"/>
            <w:hideMark/>
          </w:tcPr>
          <w:p w:rsidR="002C20F1" w:rsidRPr="00152022" w:rsidRDefault="002C20F1" w:rsidP="002C20F1">
            <w:pPr>
              <w:jc w:val="center"/>
              <w:rPr>
                <w:rFonts w:ascii="Calibri" w:hAnsi="Calibri" w:cs="Calibri"/>
                <w:color w:val="000000"/>
              </w:rPr>
            </w:pPr>
            <w:r w:rsidRPr="00152022">
              <w:rPr>
                <w:rFonts w:ascii="Calibri" w:hAnsi="Calibri" w:cs="Calibri"/>
                <w:color w:val="000000"/>
              </w:rPr>
              <w:t>49</w:t>
            </w:r>
          </w:p>
        </w:tc>
        <w:tc>
          <w:tcPr>
            <w:tcW w:w="917" w:type="dxa"/>
            <w:shd w:val="clear" w:color="auto" w:fill="auto"/>
            <w:noWrap/>
            <w:vAlign w:val="center"/>
            <w:hideMark/>
          </w:tcPr>
          <w:p w:rsidR="002C20F1" w:rsidRPr="00152022" w:rsidRDefault="002C20F1" w:rsidP="002C20F1">
            <w:pPr>
              <w:jc w:val="center"/>
              <w:rPr>
                <w:rFonts w:ascii="Calibri" w:hAnsi="Calibri" w:cs="Calibri"/>
                <w:color w:val="000000"/>
              </w:rPr>
            </w:pPr>
            <w:r w:rsidRPr="00152022">
              <w:rPr>
                <w:rFonts w:ascii="Calibri" w:hAnsi="Calibri" w:cs="Calibri"/>
                <w:color w:val="000000"/>
              </w:rPr>
              <w:t>56</w:t>
            </w:r>
          </w:p>
        </w:tc>
        <w:tc>
          <w:tcPr>
            <w:tcW w:w="917" w:type="dxa"/>
            <w:shd w:val="clear" w:color="auto" w:fill="auto"/>
            <w:noWrap/>
            <w:vAlign w:val="center"/>
            <w:hideMark/>
          </w:tcPr>
          <w:p w:rsidR="002C20F1" w:rsidRPr="00152022" w:rsidRDefault="002C20F1" w:rsidP="002C20F1">
            <w:pPr>
              <w:jc w:val="center"/>
              <w:rPr>
                <w:rFonts w:ascii="Calibri" w:hAnsi="Calibri" w:cs="Calibri"/>
                <w:color w:val="000000"/>
              </w:rPr>
            </w:pPr>
            <w:r w:rsidRPr="00152022">
              <w:rPr>
                <w:rFonts w:ascii="Calibri" w:hAnsi="Calibri" w:cs="Calibri"/>
                <w:color w:val="000000"/>
              </w:rPr>
              <w:t>50</w:t>
            </w:r>
          </w:p>
        </w:tc>
      </w:tr>
      <w:tr w:rsidR="002C20F1" w:rsidRPr="00152022" w:rsidTr="00A15915">
        <w:trPr>
          <w:trHeight w:val="300"/>
        </w:trPr>
        <w:tc>
          <w:tcPr>
            <w:tcW w:w="1246" w:type="dxa"/>
            <w:shd w:val="clear" w:color="auto" w:fill="auto"/>
            <w:noWrap/>
            <w:vAlign w:val="center"/>
            <w:hideMark/>
          </w:tcPr>
          <w:p w:rsidR="002C20F1" w:rsidRPr="00152022" w:rsidRDefault="002C20F1" w:rsidP="002C20F1">
            <w:pPr>
              <w:rPr>
                <w:rFonts w:ascii="Calibri" w:hAnsi="Calibri" w:cs="Calibri"/>
                <w:color w:val="000000"/>
              </w:rPr>
            </w:pPr>
            <w:r w:rsidRPr="00152022">
              <w:rPr>
                <w:rFonts w:ascii="Calibri" w:hAnsi="Calibri" w:cs="Calibri"/>
                <w:color w:val="000000"/>
              </w:rPr>
              <w:t>s.185—Greenfields</w:t>
            </w:r>
          </w:p>
        </w:tc>
        <w:tc>
          <w:tcPr>
            <w:tcW w:w="675" w:type="dxa"/>
            <w:shd w:val="clear" w:color="auto" w:fill="auto"/>
            <w:noWrap/>
            <w:vAlign w:val="center"/>
            <w:hideMark/>
          </w:tcPr>
          <w:p w:rsidR="002C20F1" w:rsidRPr="00152022" w:rsidRDefault="002C20F1" w:rsidP="002C20F1">
            <w:pPr>
              <w:jc w:val="center"/>
              <w:rPr>
                <w:rFonts w:ascii="Calibri" w:hAnsi="Calibri" w:cs="Calibri"/>
                <w:color w:val="000000"/>
              </w:rPr>
            </w:pPr>
            <w:r w:rsidRPr="00152022">
              <w:rPr>
                <w:rFonts w:ascii="Calibri" w:hAnsi="Calibri" w:cs="Calibri"/>
                <w:color w:val="000000"/>
              </w:rPr>
              <w:t>32 days</w:t>
            </w:r>
          </w:p>
        </w:tc>
        <w:tc>
          <w:tcPr>
            <w:tcW w:w="1022" w:type="dxa"/>
            <w:shd w:val="clear" w:color="auto" w:fill="auto"/>
            <w:noWrap/>
            <w:vAlign w:val="center"/>
            <w:hideMark/>
          </w:tcPr>
          <w:p w:rsidR="002C20F1" w:rsidRPr="00152022" w:rsidRDefault="002C20F1" w:rsidP="002C20F1">
            <w:pPr>
              <w:jc w:val="center"/>
              <w:rPr>
                <w:rFonts w:ascii="Calibri" w:hAnsi="Calibri" w:cs="Calibri"/>
                <w:color w:val="000000"/>
              </w:rPr>
            </w:pPr>
            <w:r w:rsidRPr="00152022">
              <w:rPr>
                <w:rFonts w:ascii="Calibri" w:hAnsi="Calibri" w:cs="Calibri"/>
                <w:color w:val="000000"/>
              </w:rPr>
              <w:t>19</w:t>
            </w:r>
          </w:p>
        </w:tc>
        <w:tc>
          <w:tcPr>
            <w:tcW w:w="1022" w:type="dxa"/>
            <w:shd w:val="clear" w:color="auto" w:fill="auto"/>
            <w:noWrap/>
            <w:vAlign w:val="center"/>
            <w:hideMark/>
          </w:tcPr>
          <w:p w:rsidR="002C20F1" w:rsidRPr="00152022" w:rsidRDefault="002C20F1" w:rsidP="002C20F1">
            <w:pPr>
              <w:jc w:val="center"/>
              <w:rPr>
                <w:rFonts w:ascii="Calibri" w:hAnsi="Calibri" w:cs="Calibri"/>
                <w:color w:val="000000"/>
              </w:rPr>
            </w:pPr>
            <w:r w:rsidRPr="00152022">
              <w:rPr>
                <w:rFonts w:ascii="Calibri" w:hAnsi="Calibri" w:cs="Calibri"/>
                <w:color w:val="000000"/>
              </w:rPr>
              <w:t>12</w:t>
            </w:r>
          </w:p>
        </w:tc>
        <w:tc>
          <w:tcPr>
            <w:tcW w:w="1022" w:type="dxa"/>
            <w:shd w:val="clear" w:color="auto" w:fill="auto"/>
            <w:noWrap/>
            <w:vAlign w:val="center"/>
            <w:hideMark/>
          </w:tcPr>
          <w:p w:rsidR="002C20F1" w:rsidRPr="00152022" w:rsidRDefault="002C20F1" w:rsidP="002C20F1">
            <w:pPr>
              <w:jc w:val="center"/>
              <w:rPr>
                <w:rFonts w:ascii="Calibri" w:hAnsi="Calibri" w:cs="Calibri"/>
                <w:color w:val="000000"/>
              </w:rPr>
            </w:pPr>
            <w:r w:rsidRPr="00152022">
              <w:rPr>
                <w:rFonts w:ascii="Calibri" w:hAnsi="Calibri" w:cs="Calibri"/>
                <w:color w:val="000000"/>
              </w:rPr>
              <w:t>14</w:t>
            </w:r>
          </w:p>
        </w:tc>
        <w:tc>
          <w:tcPr>
            <w:tcW w:w="1022" w:type="dxa"/>
            <w:shd w:val="clear" w:color="auto" w:fill="auto"/>
            <w:noWrap/>
            <w:vAlign w:val="center"/>
            <w:hideMark/>
          </w:tcPr>
          <w:p w:rsidR="002C20F1" w:rsidRPr="00152022" w:rsidRDefault="002C20F1" w:rsidP="002C20F1">
            <w:pPr>
              <w:jc w:val="center"/>
              <w:rPr>
                <w:rFonts w:ascii="Calibri" w:hAnsi="Calibri" w:cs="Calibri"/>
                <w:color w:val="000000"/>
              </w:rPr>
            </w:pPr>
            <w:r w:rsidRPr="00152022">
              <w:rPr>
                <w:rFonts w:ascii="Calibri" w:hAnsi="Calibri" w:cs="Calibri"/>
                <w:color w:val="000000"/>
              </w:rPr>
              <w:t>14</w:t>
            </w:r>
          </w:p>
        </w:tc>
        <w:tc>
          <w:tcPr>
            <w:tcW w:w="917" w:type="dxa"/>
            <w:shd w:val="clear" w:color="auto" w:fill="auto"/>
            <w:noWrap/>
            <w:vAlign w:val="center"/>
            <w:hideMark/>
          </w:tcPr>
          <w:p w:rsidR="002C20F1" w:rsidRPr="00152022" w:rsidRDefault="002C20F1" w:rsidP="002C20F1">
            <w:pPr>
              <w:jc w:val="center"/>
              <w:rPr>
                <w:rFonts w:ascii="Calibri" w:hAnsi="Calibri" w:cs="Calibri"/>
                <w:color w:val="000000"/>
              </w:rPr>
            </w:pPr>
            <w:r w:rsidRPr="00152022">
              <w:rPr>
                <w:rFonts w:ascii="Calibri" w:hAnsi="Calibri" w:cs="Calibri"/>
                <w:color w:val="000000"/>
              </w:rPr>
              <w:t>59</w:t>
            </w:r>
          </w:p>
        </w:tc>
        <w:tc>
          <w:tcPr>
            <w:tcW w:w="917" w:type="dxa"/>
            <w:shd w:val="clear" w:color="auto" w:fill="auto"/>
            <w:noWrap/>
            <w:vAlign w:val="center"/>
            <w:hideMark/>
          </w:tcPr>
          <w:p w:rsidR="002C20F1" w:rsidRPr="00152022" w:rsidRDefault="002C20F1" w:rsidP="002C20F1">
            <w:pPr>
              <w:jc w:val="center"/>
              <w:rPr>
                <w:rFonts w:ascii="Calibri" w:hAnsi="Calibri" w:cs="Calibri"/>
                <w:color w:val="000000"/>
              </w:rPr>
            </w:pPr>
            <w:r w:rsidRPr="00152022">
              <w:rPr>
                <w:rFonts w:ascii="Calibri" w:hAnsi="Calibri" w:cs="Calibri"/>
                <w:color w:val="000000"/>
              </w:rPr>
              <w:t>35</w:t>
            </w:r>
          </w:p>
        </w:tc>
        <w:tc>
          <w:tcPr>
            <w:tcW w:w="917" w:type="dxa"/>
            <w:shd w:val="clear" w:color="auto" w:fill="auto"/>
            <w:noWrap/>
            <w:vAlign w:val="center"/>
            <w:hideMark/>
          </w:tcPr>
          <w:p w:rsidR="002C20F1" w:rsidRPr="00152022" w:rsidRDefault="002C20F1" w:rsidP="002C20F1">
            <w:pPr>
              <w:jc w:val="center"/>
              <w:rPr>
                <w:rFonts w:ascii="Calibri" w:hAnsi="Calibri" w:cs="Calibri"/>
                <w:color w:val="000000"/>
              </w:rPr>
            </w:pPr>
            <w:r w:rsidRPr="00152022">
              <w:rPr>
                <w:rFonts w:ascii="Calibri" w:hAnsi="Calibri" w:cs="Calibri"/>
                <w:color w:val="000000"/>
              </w:rPr>
              <w:t>46</w:t>
            </w:r>
          </w:p>
        </w:tc>
        <w:tc>
          <w:tcPr>
            <w:tcW w:w="917" w:type="dxa"/>
            <w:shd w:val="clear" w:color="auto" w:fill="auto"/>
            <w:noWrap/>
            <w:vAlign w:val="center"/>
            <w:hideMark/>
          </w:tcPr>
          <w:p w:rsidR="002C20F1" w:rsidRPr="00152022" w:rsidRDefault="002C20F1" w:rsidP="002C20F1">
            <w:pPr>
              <w:jc w:val="center"/>
              <w:rPr>
                <w:rFonts w:ascii="Calibri" w:hAnsi="Calibri" w:cs="Calibri"/>
                <w:color w:val="000000"/>
              </w:rPr>
            </w:pPr>
            <w:r w:rsidRPr="00152022">
              <w:rPr>
                <w:rFonts w:ascii="Calibri" w:hAnsi="Calibri" w:cs="Calibri"/>
                <w:color w:val="000000"/>
              </w:rPr>
              <w:t>41</w:t>
            </w:r>
          </w:p>
        </w:tc>
      </w:tr>
      <w:tr w:rsidR="002C20F1" w:rsidRPr="00152022" w:rsidTr="00A15915">
        <w:trPr>
          <w:trHeight w:val="300"/>
        </w:trPr>
        <w:tc>
          <w:tcPr>
            <w:tcW w:w="1246" w:type="dxa"/>
            <w:shd w:val="clear" w:color="auto" w:fill="auto"/>
            <w:noWrap/>
            <w:vAlign w:val="center"/>
            <w:hideMark/>
          </w:tcPr>
          <w:p w:rsidR="002C20F1" w:rsidRPr="00152022" w:rsidRDefault="002C20F1" w:rsidP="002C20F1">
            <w:pPr>
              <w:rPr>
                <w:rFonts w:ascii="Calibri" w:hAnsi="Calibri" w:cs="Calibri"/>
                <w:color w:val="000000"/>
              </w:rPr>
            </w:pPr>
            <w:r w:rsidRPr="00152022">
              <w:rPr>
                <w:rFonts w:ascii="Calibri" w:hAnsi="Calibri" w:cs="Calibri"/>
                <w:color w:val="000000"/>
              </w:rPr>
              <w:t>s.185—Multi-enterprise</w:t>
            </w:r>
          </w:p>
        </w:tc>
        <w:tc>
          <w:tcPr>
            <w:tcW w:w="675" w:type="dxa"/>
            <w:shd w:val="clear" w:color="auto" w:fill="auto"/>
            <w:noWrap/>
            <w:vAlign w:val="center"/>
            <w:hideMark/>
          </w:tcPr>
          <w:p w:rsidR="002C20F1" w:rsidRPr="00152022" w:rsidRDefault="002C20F1" w:rsidP="002C20F1">
            <w:pPr>
              <w:jc w:val="center"/>
              <w:rPr>
                <w:rFonts w:ascii="Calibri" w:hAnsi="Calibri" w:cs="Calibri"/>
                <w:color w:val="000000"/>
              </w:rPr>
            </w:pPr>
            <w:r w:rsidRPr="00152022">
              <w:rPr>
                <w:rFonts w:ascii="Calibri" w:hAnsi="Calibri" w:cs="Calibri"/>
                <w:color w:val="000000"/>
              </w:rPr>
              <w:t>32 days</w:t>
            </w:r>
          </w:p>
        </w:tc>
        <w:tc>
          <w:tcPr>
            <w:tcW w:w="1022" w:type="dxa"/>
            <w:shd w:val="clear" w:color="auto" w:fill="auto"/>
            <w:noWrap/>
            <w:vAlign w:val="center"/>
            <w:hideMark/>
          </w:tcPr>
          <w:p w:rsidR="002C20F1" w:rsidRPr="00152022" w:rsidRDefault="002C20F1" w:rsidP="002C20F1">
            <w:pPr>
              <w:jc w:val="center"/>
              <w:rPr>
                <w:rFonts w:ascii="Calibri" w:hAnsi="Calibri" w:cs="Calibri"/>
                <w:color w:val="000000"/>
              </w:rPr>
            </w:pPr>
            <w:r w:rsidRPr="00152022">
              <w:rPr>
                <w:rFonts w:ascii="Calibri" w:hAnsi="Calibri" w:cs="Calibri"/>
                <w:color w:val="000000"/>
              </w:rPr>
              <w:t>42</w:t>
            </w:r>
          </w:p>
        </w:tc>
        <w:tc>
          <w:tcPr>
            <w:tcW w:w="1022" w:type="dxa"/>
            <w:shd w:val="clear" w:color="auto" w:fill="auto"/>
            <w:noWrap/>
            <w:vAlign w:val="center"/>
            <w:hideMark/>
          </w:tcPr>
          <w:p w:rsidR="002C20F1" w:rsidRPr="00152022" w:rsidRDefault="002C20F1" w:rsidP="002C20F1">
            <w:pPr>
              <w:jc w:val="center"/>
              <w:rPr>
                <w:rFonts w:ascii="Calibri" w:hAnsi="Calibri" w:cs="Calibri"/>
                <w:color w:val="000000"/>
              </w:rPr>
            </w:pPr>
            <w:r w:rsidRPr="00152022">
              <w:rPr>
                <w:rFonts w:ascii="Calibri" w:hAnsi="Calibri" w:cs="Calibri"/>
                <w:color w:val="000000"/>
              </w:rPr>
              <w:t>28</w:t>
            </w:r>
          </w:p>
        </w:tc>
        <w:tc>
          <w:tcPr>
            <w:tcW w:w="1022" w:type="dxa"/>
            <w:shd w:val="clear" w:color="auto" w:fill="auto"/>
            <w:noWrap/>
            <w:vAlign w:val="center"/>
            <w:hideMark/>
          </w:tcPr>
          <w:p w:rsidR="002C20F1" w:rsidRPr="00152022" w:rsidRDefault="002C20F1" w:rsidP="002C20F1">
            <w:pPr>
              <w:jc w:val="center"/>
              <w:rPr>
                <w:rFonts w:ascii="Calibri" w:hAnsi="Calibri" w:cs="Calibri"/>
                <w:color w:val="000000"/>
              </w:rPr>
            </w:pPr>
            <w:r w:rsidRPr="00152022">
              <w:rPr>
                <w:rFonts w:ascii="Calibri" w:hAnsi="Calibri" w:cs="Calibri"/>
                <w:color w:val="000000"/>
              </w:rPr>
              <w:t>34</w:t>
            </w:r>
          </w:p>
        </w:tc>
        <w:tc>
          <w:tcPr>
            <w:tcW w:w="1022" w:type="dxa"/>
            <w:shd w:val="clear" w:color="auto" w:fill="auto"/>
            <w:noWrap/>
            <w:vAlign w:val="center"/>
            <w:hideMark/>
          </w:tcPr>
          <w:p w:rsidR="002C20F1" w:rsidRPr="00152022" w:rsidRDefault="002C20F1" w:rsidP="002C20F1">
            <w:pPr>
              <w:jc w:val="center"/>
              <w:rPr>
                <w:rFonts w:ascii="Calibri" w:hAnsi="Calibri" w:cs="Calibri"/>
                <w:color w:val="000000"/>
              </w:rPr>
            </w:pPr>
            <w:r w:rsidRPr="00152022">
              <w:rPr>
                <w:rFonts w:ascii="Calibri" w:hAnsi="Calibri" w:cs="Calibri"/>
                <w:color w:val="000000"/>
              </w:rPr>
              <w:t>26</w:t>
            </w:r>
          </w:p>
        </w:tc>
        <w:tc>
          <w:tcPr>
            <w:tcW w:w="917" w:type="dxa"/>
            <w:shd w:val="clear" w:color="auto" w:fill="auto"/>
            <w:noWrap/>
            <w:vAlign w:val="center"/>
            <w:hideMark/>
          </w:tcPr>
          <w:p w:rsidR="002C20F1" w:rsidRPr="00152022" w:rsidRDefault="002C20F1" w:rsidP="002C20F1">
            <w:pPr>
              <w:jc w:val="center"/>
              <w:rPr>
                <w:rFonts w:ascii="Calibri" w:hAnsi="Calibri" w:cs="Calibri"/>
                <w:color w:val="000000"/>
              </w:rPr>
            </w:pPr>
            <w:r w:rsidRPr="00152022">
              <w:rPr>
                <w:rFonts w:ascii="Calibri" w:hAnsi="Calibri" w:cs="Calibri"/>
                <w:color w:val="000000"/>
              </w:rPr>
              <w:t>124</w:t>
            </w:r>
          </w:p>
        </w:tc>
        <w:tc>
          <w:tcPr>
            <w:tcW w:w="917" w:type="dxa"/>
            <w:shd w:val="clear" w:color="auto" w:fill="auto"/>
            <w:noWrap/>
            <w:vAlign w:val="center"/>
            <w:hideMark/>
          </w:tcPr>
          <w:p w:rsidR="002C20F1" w:rsidRPr="00152022" w:rsidRDefault="002C20F1" w:rsidP="002C20F1">
            <w:pPr>
              <w:jc w:val="center"/>
              <w:rPr>
                <w:rFonts w:ascii="Calibri" w:hAnsi="Calibri" w:cs="Calibri"/>
                <w:color w:val="000000"/>
              </w:rPr>
            </w:pPr>
            <w:r w:rsidRPr="00152022">
              <w:rPr>
                <w:rFonts w:ascii="Calibri" w:hAnsi="Calibri" w:cs="Calibri"/>
                <w:color w:val="000000"/>
              </w:rPr>
              <w:t>85</w:t>
            </w:r>
          </w:p>
        </w:tc>
        <w:tc>
          <w:tcPr>
            <w:tcW w:w="917" w:type="dxa"/>
            <w:shd w:val="clear" w:color="auto" w:fill="auto"/>
            <w:noWrap/>
            <w:vAlign w:val="center"/>
            <w:hideMark/>
          </w:tcPr>
          <w:p w:rsidR="002C20F1" w:rsidRPr="00152022" w:rsidRDefault="002C20F1" w:rsidP="002C20F1">
            <w:pPr>
              <w:jc w:val="center"/>
              <w:rPr>
                <w:rFonts w:ascii="Calibri" w:hAnsi="Calibri" w:cs="Calibri"/>
                <w:color w:val="000000"/>
              </w:rPr>
            </w:pPr>
            <w:r w:rsidRPr="00152022">
              <w:rPr>
                <w:rFonts w:ascii="Calibri" w:hAnsi="Calibri" w:cs="Calibri"/>
                <w:color w:val="000000"/>
              </w:rPr>
              <w:t>90</w:t>
            </w:r>
          </w:p>
        </w:tc>
        <w:tc>
          <w:tcPr>
            <w:tcW w:w="917" w:type="dxa"/>
            <w:shd w:val="clear" w:color="auto" w:fill="auto"/>
            <w:noWrap/>
            <w:vAlign w:val="center"/>
            <w:hideMark/>
          </w:tcPr>
          <w:p w:rsidR="002C20F1" w:rsidRPr="00152022" w:rsidRDefault="002C20F1" w:rsidP="002C20F1">
            <w:pPr>
              <w:jc w:val="center"/>
              <w:rPr>
                <w:rFonts w:ascii="Calibri" w:hAnsi="Calibri" w:cs="Calibri"/>
                <w:color w:val="000000"/>
              </w:rPr>
            </w:pPr>
            <w:r w:rsidRPr="00152022">
              <w:rPr>
                <w:rFonts w:ascii="Calibri" w:hAnsi="Calibri" w:cs="Calibri"/>
                <w:color w:val="000000"/>
              </w:rPr>
              <w:t>54</w:t>
            </w:r>
          </w:p>
        </w:tc>
      </w:tr>
    </w:tbl>
    <w:p w:rsidR="008E6231" w:rsidRPr="00392DC0" w:rsidRDefault="008E6231" w:rsidP="002B383B">
      <w:pPr>
        <w:pStyle w:val="Tablenote"/>
        <w:keepNext/>
        <w:rPr>
          <w:lang w:val="en-GB"/>
        </w:rPr>
      </w:pPr>
      <w:r w:rsidRPr="001615F3">
        <w:rPr>
          <w:vertAlign w:val="superscript"/>
          <w:lang w:val="en-GB"/>
        </w:rPr>
        <w:t>1</w:t>
      </w:r>
      <w:r w:rsidRPr="00392DC0">
        <w:rPr>
          <w:lang w:val="en-GB"/>
        </w:rPr>
        <w:t xml:space="preserve"> Key performance indicator from the Commission’s 2016–17 portfolio budget statement</w:t>
      </w:r>
      <w:r>
        <w:rPr>
          <w:lang w:val="en-GB"/>
        </w:rPr>
        <w:t>s</w:t>
      </w:r>
    </w:p>
    <w:p w:rsidR="008E6231" w:rsidRDefault="000A5E85" w:rsidP="004C078D">
      <w:pPr>
        <w:spacing w:before="240"/>
      </w:pPr>
      <w:r w:rsidRPr="006748C0">
        <w:t>The Fair Work Commission has also confirmed that greenfields agreements are not given any form of particular priority in the approval process. That being the case, it might be surmised that the shorter time duration for approval of these agr</w:t>
      </w:r>
      <w:r w:rsidR="007874CF">
        <w:t>eements when compared to non-greenfield</w:t>
      </w:r>
      <w:r w:rsidRPr="006748C0">
        <w:t xml:space="preserve"> agreements r</w:t>
      </w:r>
      <w:r w:rsidR="00C019EF">
        <w:t>eflects fewer issues with</w:t>
      </w:r>
      <w:r w:rsidR="008C366A">
        <w:t xml:space="preserve"> agreement approval</w:t>
      </w:r>
      <w:r w:rsidRPr="006748C0">
        <w:t>.</w:t>
      </w:r>
      <w:r w:rsidR="008C366A">
        <w:t xml:space="preserve"> There are also fewer procedural requirements that apply to greenfields agreement </w:t>
      </w:r>
      <w:r w:rsidR="00EF6A06">
        <w:t>approvals</w:t>
      </w:r>
      <w:r w:rsidR="008C366A">
        <w:t>.</w:t>
      </w:r>
      <w:r w:rsidRPr="006748C0">
        <w:t xml:space="preserve"> The Fair Work Commission advice in this respect </w:t>
      </w:r>
      <w:r w:rsidR="008E6231">
        <w:t>was:</w:t>
      </w:r>
      <w:r w:rsidR="00E12D82">
        <w:rPr>
          <w:rStyle w:val="FootnoteReference"/>
        </w:rPr>
        <w:footnoteReference w:id="27"/>
      </w:r>
    </w:p>
    <w:p w:rsidR="008E6231" w:rsidRPr="006748C0" w:rsidRDefault="008E6231" w:rsidP="008E6231">
      <w:pPr>
        <w:ind w:left="720"/>
      </w:pPr>
      <w:r w:rsidRPr="00B73490">
        <w:t>The triage process for greenfields agreements in the same as for non-greenfields agreements, notwithstanding the different pre-approval requirements under Part 2-4 of the Fair Work Act 2009.</w:t>
      </w:r>
    </w:p>
    <w:p w:rsidR="000A5E85" w:rsidRPr="006748C0" w:rsidRDefault="000A5E85" w:rsidP="000A5E85">
      <w:r w:rsidRPr="006748C0">
        <w:t xml:space="preserve">Apart from the construction and resource project sectors, little information was provided to the review about the impact of approval times on employment decisions. However, in the </w:t>
      </w:r>
      <w:r w:rsidR="00A45A4C">
        <w:t xml:space="preserve">infrastructure </w:t>
      </w:r>
      <w:r w:rsidRPr="006748C0">
        <w:t xml:space="preserve">construction and resource project areas, </w:t>
      </w:r>
      <w:r w:rsidR="006E22FA">
        <w:t>the</w:t>
      </w:r>
      <w:r w:rsidR="00D56549">
        <w:t xml:space="preserve"> advice provided to the review emphasi</w:t>
      </w:r>
      <w:r w:rsidR="00EA29D0">
        <w:t>s</w:t>
      </w:r>
      <w:r w:rsidR="00D56549">
        <w:t xml:space="preserve">ed the </w:t>
      </w:r>
      <w:r w:rsidR="00C330BB">
        <w:t xml:space="preserve">importance </w:t>
      </w:r>
      <w:r w:rsidR="00D56549">
        <w:t>of greenfields agreement</w:t>
      </w:r>
      <w:r w:rsidR="00C330BB">
        <w:t>s</w:t>
      </w:r>
      <w:r w:rsidR="00D56549">
        <w:t xml:space="preserve"> </w:t>
      </w:r>
      <w:r w:rsidR="00C330BB">
        <w:t xml:space="preserve">being </w:t>
      </w:r>
      <w:r w:rsidR="00D56549">
        <w:t>approv</w:t>
      </w:r>
      <w:r w:rsidR="00C330BB">
        <w:t>ed</w:t>
      </w:r>
      <w:r w:rsidR="00D56549">
        <w:t xml:space="preserve"> well before employment commenced.</w:t>
      </w:r>
      <w:r w:rsidR="006E22FA">
        <w:t xml:space="preserve"> </w:t>
      </w:r>
      <w:r w:rsidR="00D56549">
        <w:t>T</w:t>
      </w:r>
      <w:r w:rsidRPr="006748C0">
        <w:t xml:space="preserve">he review has concluded that delays in the approval of greenfields agreements </w:t>
      </w:r>
      <w:r w:rsidR="00D56549" w:rsidRPr="006748C0">
        <w:t>ha</w:t>
      </w:r>
      <w:r w:rsidR="00D56549">
        <w:t>ve</w:t>
      </w:r>
      <w:r w:rsidR="00D56549" w:rsidRPr="006748C0">
        <w:t xml:space="preserve"> </w:t>
      </w:r>
      <w:r w:rsidRPr="006748C0">
        <w:t xml:space="preserve">the real potential to impact on </w:t>
      </w:r>
      <w:r w:rsidRPr="006748C0">
        <w:lastRenderedPageBreak/>
        <w:t>commercial and employment decisions. If a greenfields agreement is made and yet not approved by the Fair Work Commission, it is not possible to commence employment with any certainty about employment conditions. The potential consequences from a project wide perspective are substantial.</w:t>
      </w:r>
    </w:p>
    <w:p w:rsidR="000A5E85" w:rsidRPr="006748C0" w:rsidRDefault="000A5E85" w:rsidP="000A5E85">
      <w:r w:rsidRPr="006748C0">
        <w:t>The time for commencement of work after a contract is awarded is often as little as 30 days. Delays in agreement approvals expose contractors to significant employment risks and to potential commercial charges associated with project delays and disruption.</w:t>
      </w:r>
    </w:p>
    <w:p w:rsidR="000A5E85" w:rsidRPr="0076015D" w:rsidRDefault="000A5E85" w:rsidP="0076015D">
      <w:pPr>
        <w:pStyle w:val="Heading2"/>
        <w:pBdr>
          <w:top w:val="single" w:sz="4" w:space="1" w:color="auto"/>
          <w:left w:val="single" w:sz="4" w:space="4" w:color="auto"/>
          <w:bottom w:val="single" w:sz="4" w:space="1" w:color="auto"/>
          <w:right w:val="single" w:sz="4" w:space="4" w:color="auto"/>
        </w:pBdr>
        <w:rPr>
          <w:rFonts w:asciiTheme="minorHAnsi" w:hAnsiTheme="minorHAnsi"/>
          <w:b/>
          <w:color w:val="auto"/>
          <w:sz w:val="22"/>
        </w:rPr>
      </w:pPr>
      <w:r w:rsidRPr="0076015D">
        <w:rPr>
          <w:rFonts w:asciiTheme="minorHAnsi" w:hAnsiTheme="minorHAnsi"/>
          <w:b/>
          <w:color w:val="auto"/>
          <w:sz w:val="22"/>
        </w:rPr>
        <w:t>Recommendation</w:t>
      </w:r>
      <w:r w:rsidR="00640A9F" w:rsidRPr="0076015D">
        <w:rPr>
          <w:rFonts w:asciiTheme="minorHAnsi" w:hAnsiTheme="minorHAnsi"/>
          <w:b/>
          <w:color w:val="auto"/>
          <w:sz w:val="22"/>
        </w:rPr>
        <w:t xml:space="preserve"> 3</w:t>
      </w:r>
    </w:p>
    <w:p w:rsidR="000A5E85" w:rsidRPr="0076015D" w:rsidRDefault="000A5E85" w:rsidP="0076015D">
      <w:pPr>
        <w:keepNext/>
        <w:pBdr>
          <w:top w:val="single" w:sz="4" w:space="1" w:color="auto"/>
          <w:left w:val="single" w:sz="4" w:space="4" w:color="auto"/>
          <w:bottom w:val="single" w:sz="4" w:space="1" w:color="auto"/>
          <w:right w:val="single" w:sz="4" w:space="4" w:color="auto"/>
        </w:pBdr>
        <w:rPr>
          <w:b/>
        </w:rPr>
      </w:pPr>
      <w:r w:rsidRPr="0076015D">
        <w:rPr>
          <w:b/>
        </w:rPr>
        <w:t xml:space="preserve">The approval of greenfields agreements by the Fair Work Commission </w:t>
      </w:r>
      <w:r w:rsidR="00A45A4C" w:rsidRPr="0076015D">
        <w:rPr>
          <w:b/>
        </w:rPr>
        <w:t xml:space="preserve">should </w:t>
      </w:r>
      <w:r w:rsidRPr="0076015D">
        <w:rPr>
          <w:b/>
        </w:rPr>
        <w:t>be generally expedited. As a minimum, the Fair Work Commission should request information from employer parties to greenfields agreements</w:t>
      </w:r>
      <w:r w:rsidR="00D56549" w:rsidRPr="0076015D">
        <w:rPr>
          <w:b/>
        </w:rPr>
        <w:t xml:space="preserve"> about anticipated employment start dates</w:t>
      </w:r>
      <w:r w:rsidRPr="0076015D">
        <w:rPr>
          <w:b/>
        </w:rPr>
        <w:t>, as part of the application process to facilitate approval before that date. Further, that the Fair Work Commission should report</w:t>
      </w:r>
      <w:r w:rsidR="00A45A4C" w:rsidRPr="0076015D">
        <w:rPr>
          <w:b/>
        </w:rPr>
        <w:t xml:space="preserve"> annually</w:t>
      </w:r>
      <w:r w:rsidRPr="0076015D">
        <w:rPr>
          <w:b/>
        </w:rPr>
        <w:t xml:space="preserve"> against this information.</w:t>
      </w:r>
    </w:p>
    <w:p w:rsidR="00AB66D8" w:rsidRPr="0090554C" w:rsidRDefault="00AB66D8" w:rsidP="00AB66D8">
      <w:pPr>
        <w:pStyle w:val="Heading1"/>
      </w:pPr>
      <w:bookmarkStart w:id="18" w:name="_Toc505681258"/>
      <w:r w:rsidRPr="0090554C">
        <w:t>Good faith bargaining</w:t>
      </w:r>
      <w:bookmarkEnd w:id="18"/>
    </w:p>
    <w:p w:rsidR="00AB66D8" w:rsidRPr="0090554C" w:rsidRDefault="008A08F7" w:rsidP="008A08F7">
      <w:pPr>
        <w:pStyle w:val="Heading2"/>
      </w:pPr>
      <w:bookmarkStart w:id="19" w:name="_Toc505681259"/>
      <w:r w:rsidRPr="0090554C">
        <w:t>Impact of the 2015 amendment</w:t>
      </w:r>
      <w:r w:rsidR="00431026">
        <w:t>s</w:t>
      </w:r>
      <w:bookmarkEnd w:id="19"/>
    </w:p>
    <w:p w:rsidR="00830517" w:rsidRDefault="00C20437" w:rsidP="00C20437">
      <w:r w:rsidRPr="0090554C">
        <w:t xml:space="preserve">The Fair Work Act provides that </w:t>
      </w:r>
      <w:r w:rsidR="003728FE">
        <w:t>a bargaining representative for an enterprise agreement may apply to the Fair Work Commission for bargaining orders. T</w:t>
      </w:r>
      <w:r w:rsidRPr="0090554C">
        <w:t xml:space="preserve">he </w:t>
      </w:r>
      <w:r w:rsidR="001213F8">
        <w:t xml:space="preserve">Fair Work </w:t>
      </w:r>
      <w:r w:rsidRPr="0090554C">
        <w:t xml:space="preserve">Commission </w:t>
      </w:r>
      <w:r w:rsidR="003728FE">
        <w:t>m</w:t>
      </w:r>
      <w:r w:rsidR="00C330BB">
        <w:t>ay</w:t>
      </w:r>
      <w:r w:rsidR="00C37318" w:rsidRPr="0090554C">
        <w:t xml:space="preserve"> </w:t>
      </w:r>
      <w:r w:rsidRPr="0090554C">
        <w:t xml:space="preserve">make bargaining orders </w:t>
      </w:r>
      <w:r w:rsidR="003728FE">
        <w:t xml:space="preserve">if it is satisfied that one or more of the bargaining representatives for the proposed enterprise agreement are not meeting the good faith bargaining requirements set out in </w:t>
      </w:r>
      <w:r w:rsidR="00C4669B">
        <w:t>s</w:t>
      </w:r>
      <w:r w:rsidRPr="0090554C">
        <w:t xml:space="preserve"> 228</w:t>
      </w:r>
      <w:r w:rsidR="003728FE">
        <w:t>, or the bargaining process is not proceeding efficiently or fairly because there are multiple bargaining representatives for the agreement (</w:t>
      </w:r>
      <w:r w:rsidR="00C4669B">
        <w:t>s</w:t>
      </w:r>
      <w:r w:rsidR="003728FE">
        <w:t xml:space="preserve"> 230(3))</w:t>
      </w:r>
      <w:r w:rsidRPr="0090554C">
        <w:t xml:space="preserve">. </w:t>
      </w:r>
      <w:r w:rsidR="00D374FC" w:rsidRPr="0090554C">
        <w:t xml:space="preserve">The Fair Work Commission </w:t>
      </w:r>
      <w:r w:rsidR="00F403B6" w:rsidRPr="0090554C">
        <w:t>advised the review that no applications have been made for a bargaining order in relation to a greenfields agreement.</w:t>
      </w:r>
      <w:r w:rsidR="00F403B6" w:rsidRPr="0090554C">
        <w:rPr>
          <w:rStyle w:val="FootnoteReference"/>
        </w:rPr>
        <w:footnoteReference w:id="28"/>
      </w:r>
      <w:r w:rsidRPr="0090554C">
        <w:t xml:space="preserve"> </w:t>
      </w:r>
    </w:p>
    <w:p w:rsidR="00C20437" w:rsidRPr="0090554C" w:rsidRDefault="00C20437" w:rsidP="00C20437">
      <w:r w:rsidRPr="0090554C">
        <w:t>Neither union</w:t>
      </w:r>
      <w:r w:rsidR="009E76EF">
        <w:t>s</w:t>
      </w:r>
      <w:r w:rsidRPr="0090554C">
        <w:t xml:space="preserve"> nor employer organisation</w:t>
      </w:r>
      <w:r w:rsidR="009E76EF">
        <w:t>s</w:t>
      </w:r>
      <w:r w:rsidRPr="0090554C">
        <w:t xml:space="preserve"> </w:t>
      </w:r>
      <w:r w:rsidR="00EF6A06">
        <w:t>flagged</w:t>
      </w:r>
      <w:r w:rsidR="00EF6A06" w:rsidRPr="0090554C">
        <w:t xml:space="preserve"> </w:t>
      </w:r>
      <w:r w:rsidRPr="0090554C">
        <w:t>any breaches of good faith bargaining obligations</w:t>
      </w:r>
      <w:r w:rsidR="00EF6A06">
        <w:t xml:space="preserve">, </w:t>
      </w:r>
      <w:r w:rsidR="00E058C3">
        <w:br/>
      </w:r>
      <w:r w:rsidR="00EF6A06">
        <w:t xml:space="preserve">or applications for bargaining orders, </w:t>
      </w:r>
      <w:r w:rsidRPr="0090554C">
        <w:t xml:space="preserve">since November 2015. </w:t>
      </w:r>
    </w:p>
    <w:p w:rsidR="008A08F7" w:rsidRPr="0090554C" w:rsidRDefault="00C20437" w:rsidP="00C20437">
      <w:r w:rsidRPr="0090554C">
        <w:t>The signif</w:t>
      </w:r>
      <w:r w:rsidR="00FE0B4E">
        <w:t>icant decline in the number of g</w:t>
      </w:r>
      <w:r w:rsidRPr="0090554C">
        <w:t>reenfields agreements made since the 2015 amendments means that a conclusion about the effectiveness of the good faith bargaining requirements is difficult.</w:t>
      </w:r>
    </w:p>
    <w:p w:rsidR="008A08F7" w:rsidRPr="0090554C" w:rsidRDefault="00F403B6" w:rsidP="008A08F7">
      <w:r w:rsidRPr="0090554C">
        <w:t>Specifically,</w:t>
      </w:r>
      <w:r w:rsidR="008A08F7" w:rsidRPr="0090554C">
        <w:t xml:space="preserve"> in relation to the good faith bargaining obligations</w:t>
      </w:r>
      <w:r w:rsidR="00FE0B4E">
        <w:t xml:space="preserve"> currently applicable to g</w:t>
      </w:r>
      <w:r w:rsidR="008A08F7" w:rsidRPr="0090554C">
        <w:t xml:space="preserve">reenfields agreements, the ACTU </w:t>
      </w:r>
      <w:r w:rsidR="00881856">
        <w:t>noted</w:t>
      </w:r>
      <w:r w:rsidR="008A08F7" w:rsidRPr="0090554C">
        <w:t>:</w:t>
      </w:r>
      <w:r w:rsidR="00E12D82" w:rsidRPr="0090554C">
        <w:rPr>
          <w:rStyle w:val="FootnoteReference"/>
        </w:rPr>
        <w:footnoteReference w:id="29"/>
      </w:r>
    </w:p>
    <w:p w:rsidR="008A08F7" w:rsidRPr="0090554C" w:rsidRDefault="00C41489" w:rsidP="00F403B6">
      <w:pPr>
        <w:ind w:left="720"/>
      </w:pPr>
      <w:r w:rsidRPr="0090554C">
        <w:t>The ACTU supports the continued extension of the good faith bargaining rules to greenfields agreement making. Although our affiliates report that they have not observed any altered bargaining behaviour on the part of either employers or unions as a result of the 2015 greenfields amendments, we agree with the view of the Fair Work Act Review that there is no cogent policy basis for the previous exception for greenfields agreement making from the good faith bargaining rules.</w:t>
      </w:r>
    </w:p>
    <w:p w:rsidR="008A08F7" w:rsidRPr="0090554C" w:rsidRDefault="008A08F7" w:rsidP="008A08F7">
      <w:r w:rsidRPr="0090554C">
        <w:t>The CFMEU advised that:</w:t>
      </w:r>
      <w:r w:rsidR="00E12D82" w:rsidRPr="0090554C">
        <w:rPr>
          <w:rStyle w:val="FootnoteReference"/>
        </w:rPr>
        <w:footnoteReference w:id="30"/>
      </w:r>
    </w:p>
    <w:p w:rsidR="00C41489" w:rsidRPr="0090554C" w:rsidRDefault="00C41489" w:rsidP="00F403B6">
      <w:pPr>
        <w:ind w:left="720"/>
      </w:pPr>
      <w:r w:rsidRPr="0090554C">
        <w:lastRenderedPageBreak/>
        <w:t xml:space="preserve">The claims of trade unions being engaged in capricious or obstructionist bargaining in negotiations for greenfield agreements, as levelled by employer groups in seeking the amendments, should now be seen as problematic. </w:t>
      </w:r>
    </w:p>
    <w:p w:rsidR="00C41489" w:rsidRPr="0090554C" w:rsidRDefault="00C41489" w:rsidP="00F403B6">
      <w:pPr>
        <w:ind w:left="720"/>
      </w:pPr>
      <w:r w:rsidRPr="0090554C">
        <w:t xml:space="preserve">The union approach to negotiating greenfield agreements has not changed. We have remained focused on securing safe and fair jobs for our members and workers in the industry. </w:t>
      </w:r>
    </w:p>
    <w:p w:rsidR="008A08F7" w:rsidRPr="0090554C" w:rsidRDefault="008A08F7" w:rsidP="008A08F7">
      <w:r w:rsidRPr="0090554C">
        <w:t>The AMWU noted the significance of dealing with known, and presumably trusted employers. It stated:</w:t>
      </w:r>
      <w:r w:rsidR="00E12D82" w:rsidRPr="0090554C">
        <w:rPr>
          <w:rStyle w:val="FootnoteReference"/>
        </w:rPr>
        <w:footnoteReference w:id="31"/>
      </w:r>
    </w:p>
    <w:p w:rsidR="00C41489" w:rsidRPr="0090554C" w:rsidRDefault="00C41489" w:rsidP="00F403B6">
      <w:pPr>
        <w:ind w:left="720"/>
      </w:pPr>
      <w:r w:rsidRPr="0090554C">
        <w:t>The AMWU has negotiated very few Greenfields Agreements since the New Greenfields Agreement Provisions were enacted.  Where we have negotiated Greenfields Agreements, they have been in offshore construction, with businesses where the Union has an existing relationship.  These existing relationships meant that there were no timing issues in relation to those agreements.</w:t>
      </w:r>
    </w:p>
    <w:p w:rsidR="008A08F7" w:rsidRPr="0090554C" w:rsidRDefault="00C41489" w:rsidP="00F403B6">
      <w:pPr>
        <w:ind w:left="720"/>
      </w:pPr>
      <w:r w:rsidRPr="0090554C">
        <w:t>Overall, there hasn’t been significant use of Greenfields Agreements, which corroborates the findings of the Background Paper.  However, there is an issue this review should further explore, which is the availability of the loophole open to businesses to enter into Enterprise Agreements without the involvement of Unions and with only a handful of insecure workers.</w:t>
      </w:r>
    </w:p>
    <w:p w:rsidR="008A08F7" w:rsidRPr="0090554C" w:rsidRDefault="008A08F7" w:rsidP="008A08F7">
      <w:r w:rsidRPr="0090554C">
        <w:t>The AWU position was that:</w:t>
      </w:r>
      <w:r w:rsidR="00E12D82" w:rsidRPr="0090554C">
        <w:rPr>
          <w:rStyle w:val="FootnoteReference"/>
        </w:rPr>
        <w:footnoteReference w:id="32"/>
      </w:r>
    </w:p>
    <w:p w:rsidR="008A08F7" w:rsidRPr="0090554C" w:rsidRDefault="00734249" w:rsidP="00FE0B4E">
      <w:pPr>
        <w:ind w:left="720"/>
      </w:pPr>
      <w:r w:rsidRPr="0090554C">
        <w:t>The AWU was a bargaining representative for a significant number of the greenfields agreements provided in the list that accompanied the invitation to submit to this review. In fact, a significant minority of the greenfields agreements listed is attributable to three major projects – Roy Hill, Wheatstone, and Ichthys. The agreements for these projects number 448, or approximately 36% of all agreements listed. The bargaining for these agreements took place before the Amendment was incorporated into the Act, and there has been no project since that has required greenfields agreements on such a scale.</w:t>
      </w:r>
    </w:p>
    <w:p w:rsidR="008A08F7" w:rsidRPr="0090554C" w:rsidRDefault="008A08F7" w:rsidP="008A08F7">
      <w:r w:rsidRPr="0090554C">
        <w:t xml:space="preserve">AMMA was the only employer </w:t>
      </w:r>
      <w:r w:rsidR="000816A4" w:rsidRPr="0090554C">
        <w:t>organisation</w:t>
      </w:r>
      <w:r w:rsidRPr="0090554C">
        <w:t xml:space="preserve"> to assert that union bargaining </w:t>
      </w:r>
      <w:r w:rsidR="00F403B6" w:rsidRPr="0090554C">
        <w:t>behaviour</w:t>
      </w:r>
      <w:r w:rsidRPr="0090554C">
        <w:t xml:space="preserve"> had changed since the 2015 amendments.</w:t>
      </w:r>
      <w:r w:rsidR="00602CC8">
        <w:rPr>
          <w:rStyle w:val="FootnoteReference"/>
        </w:rPr>
        <w:footnoteReference w:id="33"/>
      </w:r>
      <w:r w:rsidRPr="0090554C">
        <w:t xml:space="preserve"> </w:t>
      </w:r>
      <w:r w:rsidR="00602CC8">
        <w:t xml:space="preserve">In relation to </w:t>
      </w:r>
      <w:r w:rsidR="009E76EF">
        <w:t xml:space="preserve">good </w:t>
      </w:r>
      <w:r w:rsidR="00602CC8">
        <w:t xml:space="preserve">faith bargaining, </w:t>
      </w:r>
      <w:r w:rsidRPr="0090554C">
        <w:t>AMMA stated:</w:t>
      </w:r>
      <w:r w:rsidR="00E12D82" w:rsidRPr="0090554C">
        <w:rPr>
          <w:rStyle w:val="FootnoteReference"/>
        </w:rPr>
        <w:footnoteReference w:id="34"/>
      </w:r>
    </w:p>
    <w:p w:rsidR="003E76D3" w:rsidRPr="0090554C" w:rsidRDefault="003E76D3" w:rsidP="00F403B6">
      <w:pPr>
        <w:ind w:left="720"/>
      </w:pPr>
      <w:r w:rsidRPr="0090554C">
        <w:t>Applying the good faith bargaining provisions to greenfields agreement making is something AMMA has advocated for since its 2012 submission to the Fair Work Act Review Panel as part of the post-implementation phase of the FW Act</w:t>
      </w:r>
      <w:r w:rsidR="00BD2A38">
        <w:t xml:space="preserve"> [Fair Work Act]</w:t>
      </w:r>
      <w:r w:rsidRPr="0090554C">
        <w:t xml:space="preserve">. AMMA argued for it again in our initial submission to the Productivity Commission, as a logical step in introducing more rigour and broader options into the making of greenfields agreements. </w:t>
      </w:r>
    </w:p>
    <w:p w:rsidR="003E76D3" w:rsidRPr="0090554C" w:rsidRDefault="003E76D3" w:rsidP="00F403B6">
      <w:pPr>
        <w:ind w:left="720"/>
      </w:pPr>
      <w:r w:rsidRPr="0090554C">
        <w:t xml:space="preserve">AMMA strongly supports the retention of the good faith bargaining provisions to greenfields agreement making. </w:t>
      </w:r>
    </w:p>
    <w:p w:rsidR="008A08F7" w:rsidRPr="0090554C" w:rsidRDefault="003E76D3" w:rsidP="00F403B6">
      <w:pPr>
        <w:ind w:left="720"/>
      </w:pPr>
      <w:r w:rsidRPr="0090554C">
        <w:t xml:space="preserve">Previously, a criticism of greenfields agreement making was that unions would simply refuse to negotiate with a particular employer, fail to respond to proposals, or fail to meet in a timely </w:t>
      </w:r>
      <w:r w:rsidRPr="0090554C">
        <w:lastRenderedPageBreak/>
        <w:t>fashion. In the context of project work, unions know employers need to get labour arrangements in place rapidly to secure investment into projects, which is a disparity of bargaining power in favour of unions. The good faith bargaining obligations act as an incentive to ensure that the parties behave as they would in trying to reach any enterprise agreement. Certainly, they in no way adversely affect bargaining behaviour such that any consideration should be given to removing them.</w:t>
      </w:r>
    </w:p>
    <w:p w:rsidR="008A08F7" w:rsidRPr="0090554C" w:rsidRDefault="008A08F7" w:rsidP="008A08F7">
      <w:r w:rsidRPr="0090554C">
        <w:t xml:space="preserve">Otherwise, the employer </w:t>
      </w:r>
      <w:r w:rsidR="000816A4" w:rsidRPr="0090554C">
        <w:t>organisation</w:t>
      </w:r>
      <w:r w:rsidRPr="0090554C">
        <w:t>s did not contend that union behaviours since the greenfields amendments had significantly changed or that these behaviours contravened the good faith bargaining obligations in the Fair Work Act.</w:t>
      </w:r>
    </w:p>
    <w:p w:rsidR="008A08F7" w:rsidRPr="0090554C" w:rsidRDefault="008A08F7" w:rsidP="008A08F7">
      <w:r w:rsidRPr="0090554C">
        <w:t>ACCI stated:</w:t>
      </w:r>
      <w:r w:rsidR="00E12D82" w:rsidRPr="0090554C">
        <w:rPr>
          <w:rStyle w:val="FootnoteReference"/>
        </w:rPr>
        <w:footnoteReference w:id="35"/>
      </w:r>
    </w:p>
    <w:p w:rsidR="00137E19" w:rsidRPr="0090554C" w:rsidRDefault="00137E19" w:rsidP="00F403B6">
      <w:pPr>
        <w:ind w:left="720"/>
      </w:pPr>
      <w:r w:rsidRPr="0090554C">
        <w:t xml:space="preserve">However, we can usefully recall that: </w:t>
      </w:r>
    </w:p>
    <w:p w:rsidR="00137E19" w:rsidRPr="0090554C" w:rsidRDefault="00137E19" w:rsidP="002C284B">
      <w:pPr>
        <w:numPr>
          <w:ilvl w:val="1"/>
          <w:numId w:val="6"/>
        </w:numPr>
        <w:ind w:left="1800"/>
      </w:pPr>
      <w:r w:rsidRPr="0090554C">
        <w:t xml:space="preserve">We understand the majority of [greenfields] agreements to have always been successfully negotiated between prospective employers and trade unions, and agreed consensually to proceed for approval.  </w:t>
      </w:r>
    </w:p>
    <w:p w:rsidR="00137E19" w:rsidRPr="0090554C" w:rsidRDefault="00137E19" w:rsidP="002C284B">
      <w:pPr>
        <w:numPr>
          <w:ilvl w:val="1"/>
          <w:numId w:val="6"/>
        </w:numPr>
        <w:ind w:left="1800"/>
      </w:pPr>
      <w:r w:rsidRPr="0090554C">
        <w:t xml:space="preserve">Thus, in most industries and circumstances, the 2015 changes will not have altered, or not have altered markedly, bargaining behaviours. This does not however diminish their importance, and their utility cannot be usefully assessed by solely focussing on simple measures of direct usage. </w:t>
      </w:r>
    </w:p>
    <w:p w:rsidR="00137E19" w:rsidRPr="0090554C" w:rsidRDefault="00137E19" w:rsidP="002C284B">
      <w:pPr>
        <w:numPr>
          <w:ilvl w:val="1"/>
          <w:numId w:val="6"/>
        </w:numPr>
        <w:ind w:left="1800"/>
      </w:pPr>
      <w:r w:rsidRPr="0090554C">
        <w:t xml:space="preserve">The focus of the 2015 changes was the minority of situations in which negotiations protract, are not conducted in good faith, or are being gamed to place investment pressures on employers to agree to overinflated terms.  This is why we describe the 2015 amendments as a circuit breaker / safety valve for the minority of </w:t>
      </w:r>
      <w:r w:rsidR="0007396C" w:rsidRPr="0090554C">
        <w:t xml:space="preserve">[greenfields] </w:t>
      </w:r>
      <w:r w:rsidRPr="0090554C">
        <w:t xml:space="preserve">negotiations that protract and thereby endanger critical, job creating investment. </w:t>
      </w:r>
    </w:p>
    <w:p w:rsidR="00137E19" w:rsidRPr="0090554C" w:rsidRDefault="00137E19" w:rsidP="002C284B">
      <w:pPr>
        <w:numPr>
          <w:ilvl w:val="1"/>
          <w:numId w:val="6"/>
        </w:numPr>
        <w:ind w:left="1800"/>
      </w:pPr>
      <w:r w:rsidRPr="0090554C">
        <w:t xml:space="preserve">Even where behaviours do change, the impact may have been subtle and difficult to observe. The existence of the safety valve provided by s 182(4) is likely to ensure more </w:t>
      </w:r>
      <w:r w:rsidR="0007396C" w:rsidRPr="0090554C">
        <w:t xml:space="preserve">[greenfields] </w:t>
      </w:r>
      <w:r w:rsidRPr="0090554C">
        <w:t xml:space="preserve">negotiations proceed consensually and constructively, and yield </w:t>
      </w:r>
      <w:r w:rsidR="0007396C" w:rsidRPr="0090554C">
        <w:t xml:space="preserve">[greenfields] </w:t>
      </w:r>
      <w:r w:rsidRPr="0090554C">
        <w:t xml:space="preserve">agreements supported by both prospective employers and unions. Thus, much of the actual behavioural change may be observable through more </w:t>
      </w:r>
      <w:r w:rsidR="0007396C" w:rsidRPr="0090554C">
        <w:t xml:space="preserve">[greenfields] </w:t>
      </w:r>
      <w:r w:rsidRPr="0090554C">
        <w:t xml:space="preserve">agreements being successfully negotiated between employers and unions.  </w:t>
      </w:r>
    </w:p>
    <w:p w:rsidR="00137E19" w:rsidRPr="0090554C" w:rsidRDefault="00137E19" w:rsidP="002C284B">
      <w:pPr>
        <w:numPr>
          <w:ilvl w:val="1"/>
          <w:numId w:val="6"/>
        </w:numPr>
        <w:ind w:left="1800"/>
      </w:pPr>
      <w:r w:rsidRPr="0090554C">
        <w:t xml:space="preserve">However this is something of a counterfactual which is difficult to measure, and it certainly does not come out in the agreement data provided to support this review.  </w:t>
      </w:r>
    </w:p>
    <w:p w:rsidR="00137E19" w:rsidRPr="0090554C" w:rsidRDefault="00137E19" w:rsidP="002C284B">
      <w:pPr>
        <w:numPr>
          <w:ilvl w:val="1"/>
          <w:numId w:val="6"/>
        </w:numPr>
        <w:ind w:left="1800"/>
      </w:pPr>
      <w:r w:rsidRPr="0090554C">
        <w:t xml:space="preserve">What is really needed to assess any change in behaviours is a “realisation rate” and an assessment of what proportion of negotiations towards a </w:t>
      </w:r>
      <w:r w:rsidR="0007396C" w:rsidRPr="0090554C">
        <w:t xml:space="preserve">[greenfields] </w:t>
      </w:r>
      <w:r w:rsidRPr="0090554C">
        <w:t xml:space="preserve">agreement actually yield a </w:t>
      </w:r>
      <w:r w:rsidR="0007396C" w:rsidRPr="0090554C">
        <w:t xml:space="preserve">[greenfields] </w:t>
      </w:r>
      <w:r w:rsidRPr="0090554C">
        <w:t xml:space="preserve">agreement that is made consensually, and how this changes over time.  We don’t understand this data to be available, and the </w:t>
      </w:r>
      <w:r w:rsidRPr="0090554C">
        <w:lastRenderedPageBreak/>
        <w:t xml:space="preserve">review needs to rely instead on the views of those most experienced in making </w:t>
      </w:r>
      <w:r w:rsidR="0007396C" w:rsidRPr="0090554C">
        <w:t xml:space="preserve">[greenfields] </w:t>
      </w:r>
      <w:r w:rsidRPr="0090554C">
        <w:t xml:space="preserve">agreements. </w:t>
      </w:r>
    </w:p>
    <w:p w:rsidR="00137E19" w:rsidRPr="0090554C" w:rsidRDefault="00137E19" w:rsidP="002C284B">
      <w:pPr>
        <w:numPr>
          <w:ilvl w:val="1"/>
          <w:numId w:val="6"/>
        </w:numPr>
        <w:ind w:left="1800"/>
      </w:pPr>
      <w:r w:rsidRPr="0090554C">
        <w:t xml:space="preserve">However, the Australian Chamber is not aware of: </w:t>
      </w:r>
    </w:p>
    <w:p w:rsidR="00137E19" w:rsidRPr="0090554C" w:rsidRDefault="00137E19" w:rsidP="002C284B">
      <w:pPr>
        <w:numPr>
          <w:ilvl w:val="2"/>
          <w:numId w:val="6"/>
        </w:numPr>
        <w:ind w:left="2520"/>
      </w:pPr>
      <w:r w:rsidRPr="0090554C">
        <w:t xml:space="preserve">Examples following the introduction of the 2015 amendments, of employers embarking towards </w:t>
      </w:r>
      <w:r w:rsidR="0007396C" w:rsidRPr="0090554C">
        <w:t xml:space="preserve">[greenfields] </w:t>
      </w:r>
      <w:r w:rsidRPr="0090554C">
        <w:t>agreements they judge to be necessary for investment / the commencement of work, only to abandon them as too difficult.</w:t>
      </w:r>
    </w:p>
    <w:p w:rsidR="008A08F7" w:rsidRPr="0090554C" w:rsidRDefault="00137E19" w:rsidP="002C284B">
      <w:pPr>
        <w:numPr>
          <w:ilvl w:val="2"/>
          <w:numId w:val="6"/>
        </w:numPr>
        <w:ind w:left="2520"/>
      </w:pPr>
      <w:r w:rsidRPr="0090554C">
        <w:t xml:space="preserve">Any genuine union grievance with the process post-2015, or examples of unions being forced to agree to a </w:t>
      </w:r>
      <w:r w:rsidR="0007396C" w:rsidRPr="0090554C">
        <w:t xml:space="preserve">[greenfields] </w:t>
      </w:r>
      <w:r w:rsidRPr="0090554C">
        <w:t>agreement that ‘sells their members short’ for fear of being drawn into the process under s 182(4).  This was one of the professed concerns in 2014 and 2015, but we do not understand it to have been borne out in practice following the amendments.</w:t>
      </w:r>
    </w:p>
    <w:p w:rsidR="008A08F7" w:rsidRDefault="008A08F7" w:rsidP="008A08F7">
      <w:r w:rsidRPr="0090554C">
        <w:t>Implicit in the submissions dealing with the good faith bargaining obligations established by the 2015 amendments is recognition that a breach, or an asserted breach</w:t>
      </w:r>
      <w:r w:rsidR="00C330BB">
        <w:t>,</w:t>
      </w:r>
      <w:r w:rsidRPr="0090554C">
        <w:t xml:space="preserve"> of those obligations can give rise to an application for a Good Faith Bargaining Order from the Fair </w:t>
      </w:r>
      <w:r w:rsidR="00D40121" w:rsidRPr="0090554C">
        <w:t>Work Commission.</w:t>
      </w:r>
    </w:p>
    <w:p w:rsidR="008A08F7" w:rsidRPr="0007396C" w:rsidRDefault="00816ECA" w:rsidP="008A08F7">
      <w:r>
        <w:t xml:space="preserve">The </w:t>
      </w:r>
      <w:r w:rsidR="001213F8">
        <w:t xml:space="preserve">review </w:t>
      </w:r>
      <w:r>
        <w:t>has</w:t>
      </w:r>
      <w:r w:rsidRPr="0090554C">
        <w:t xml:space="preserve"> </w:t>
      </w:r>
      <w:r>
        <w:t>concluded that</w:t>
      </w:r>
      <w:r w:rsidRPr="0090554C">
        <w:t xml:space="preserve"> good faith bargaining obligations established by the 2015 amendments </w:t>
      </w:r>
      <w:r>
        <w:t xml:space="preserve">should </w:t>
      </w:r>
      <w:r w:rsidRPr="0090554C">
        <w:t xml:space="preserve">be retained in their entirety. </w:t>
      </w:r>
      <w:r>
        <w:t>However, it is not possible to conclude that the obligation to comply with good faith bargaining behaviours will mean that all greenfields agreemen</w:t>
      </w:r>
      <w:r w:rsidR="0007396C">
        <w:t xml:space="preserve">ts will be made in a timeframe </w:t>
      </w:r>
      <w:r>
        <w:t>which meets the imperatives of new business ventures.</w:t>
      </w:r>
    </w:p>
    <w:p w:rsidR="0031303E" w:rsidRPr="0076015D" w:rsidRDefault="008E6231" w:rsidP="0076015D">
      <w:pPr>
        <w:pStyle w:val="Heading2"/>
        <w:pBdr>
          <w:top w:val="single" w:sz="4" w:space="1" w:color="auto"/>
          <w:left w:val="single" w:sz="4" w:space="4" w:color="auto"/>
          <w:bottom w:val="single" w:sz="4" w:space="1" w:color="auto"/>
          <w:right w:val="single" w:sz="4" w:space="4" w:color="auto"/>
        </w:pBdr>
        <w:rPr>
          <w:rFonts w:asciiTheme="minorHAnsi" w:hAnsiTheme="minorHAnsi"/>
          <w:b/>
          <w:color w:val="auto"/>
          <w:sz w:val="22"/>
        </w:rPr>
      </w:pPr>
      <w:r w:rsidRPr="0076015D">
        <w:rPr>
          <w:rFonts w:asciiTheme="minorHAnsi" w:hAnsiTheme="minorHAnsi"/>
          <w:b/>
          <w:color w:val="auto"/>
          <w:sz w:val="22"/>
        </w:rPr>
        <w:t xml:space="preserve">Recommendation </w:t>
      </w:r>
      <w:r w:rsidR="00640A9F" w:rsidRPr="0076015D">
        <w:rPr>
          <w:rFonts w:asciiTheme="minorHAnsi" w:hAnsiTheme="minorHAnsi"/>
          <w:b/>
          <w:color w:val="auto"/>
          <w:sz w:val="22"/>
        </w:rPr>
        <w:t>4</w:t>
      </w:r>
    </w:p>
    <w:p w:rsidR="0031303E" w:rsidRPr="0007396C" w:rsidRDefault="0031303E" w:rsidP="0076015D">
      <w:pPr>
        <w:keepNext/>
        <w:pBdr>
          <w:top w:val="single" w:sz="4" w:space="1" w:color="auto"/>
          <w:left w:val="single" w:sz="4" w:space="4" w:color="auto"/>
          <w:bottom w:val="single" w:sz="4" w:space="1" w:color="auto"/>
          <w:right w:val="single" w:sz="4" w:space="4" w:color="auto"/>
        </w:pBdr>
        <w:rPr>
          <w:b/>
        </w:rPr>
      </w:pPr>
      <w:r w:rsidRPr="0031303E">
        <w:rPr>
          <w:b/>
        </w:rPr>
        <w:t>That the good faith bargaining obligations established by the 2015 amendments be retained in their entirety. These amendments are generally supported and no disadvantage to employers, employees and unions has been identified.</w:t>
      </w:r>
    </w:p>
    <w:p w:rsidR="008A08F7" w:rsidRPr="0090554C" w:rsidRDefault="008A08F7" w:rsidP="008A08F7">
      <w:pPr>
        <w:pStyle w:val="Heading2"/>
      </w:pPr>
      <w:bookmarkStart w:id="20" w:name="_Toc505681260"/>
      <w:r w:rsidRPr="0090554C">
        <w:t>Recognition of other unions</w:t>
      </w:r>
      <w:bookmarkEnd w:id="20"/>
    </w:p>
    <w:p w:rsidR="00F85F30" w:rsidRPr="0090554C" w:rsidRDefault="00F85F30" w:rsidP="00F85F30">
      <w:pPr>
        <w:rPr>
          <w:u w:val="single"/>
        </w:rPr>
      </w:pPr>
      <w:r w:rsidRPr="0090554C">
        <w:t xml:space="preserve">Section 177 of the Fair Work Act provides that </w:t>
      </w:r>
      <w:r w:rsidR="00C330BB">
        <w:t>an</w:t>
      </w:r>
      <w:r w:rsidR="00C330BB" w:rsidRPr="0090554C">
        <w:t xml:space="preserve"> </w:t>
      </w:r>
      <w:r w:rsidRPr="0090554C">
        <w:t>emp</w:t>
      </w:r>
      <w:r w:rsidR="00FE0B4E">
        <w:t>loyer who will be covered by a g</w:t>
      </w:r>
      <w:r w:rsidRPr="0090554C">
        <w:t xml:space="preserve">reenfields </w:t>
      </w:r>
      <w:r w:rsidR="001213F8">
        <w:t>a</w:t>
      </w:r>
      <w:r w:rsidR="001213F8" w:rsidRPr="0090554C">
        <w:t>greement</w:t>
      </w:r>
      <w:r w:rsidRPr="0090554C">
        <w:t xml:space="preserve"> </w:t>
      </w:r>
      <w:r w:rsidR="00C04E29">
        <w:t>(</w:t>
      </w:r>
      <w:r w:rsidRPr="0090554C">
        <w:t>and</w:t>
      </w:r>
      <w:r w:rsidR="00C04E29">
        <w:t>,</w:t>
      </w:r>
      <w:r w:rsidR="003728FE">
        <w:t xml:space="preserve"> if relevant</w:t>
      </w:r>
      <w:r w:rsidR="00C36269">
        <w:t>,</w:t>
      </w:r>
      <w:r w:rsidRPr="0090554C">
        <w:t xml:space="preserve"> their nominated representative</w:t>
      </w:r>
      <w:r w:rsidR="00C04E29">
        <w:t>)</w:t>
      </w:r>
      <w:r w:rsidRPr="0090554C">
        <w:t xml:space="preserve"> is a bargaining representative. The same status is accorded to a</w:t>
      </w:r>
      <w:r w:rsidR="003728FE">
        <w:t xml:space="preserve">n employee organisation that </w:t>
      </w:r>
      <w:r w:rsidRPr="0090554C">
        <w:t xml:space="preserve">is entitled </w:t>
      </w:r>
      <w:r w:rsidR="003728FE">
        <w:t xml:space="preserve">to </w:t>
      </w:r>
      <w:r w:rsidRPr="0090554C">
        <w:t>represent the industrial interests of one or more of the employees who will be covered by the agreement</w:t>
      </w:r>
      <w:r w:rsidR="00E12D82">
        <w:rPr>
          <w:rStyle w:val="FootnoteReference"/>
        </w:rPr>
        <w:footnoteReference w:id="36"/>
      </w:r>
      <w:r w:rsidR="00E12D82">
        <w:t>,</w:t>
      </w:r>
      <w:r w:rsidRPr="0090554C">
        <w:t xml:space="preserve"> in relation to work performed under that agreement </w:t>
      </w:r>
      <w:r w:rsidRPr="002E35D6">
        <w:rPr>
          <w:b/>
        </w:rPr>
        <w:t>and is a</w:t>
      </w:r>
      <w:r w:rsidR="003728FE" w:rsidRPr="002E35D6">
        <w:rPr>
          <w:b/>
        </w:rPr>
        <w:t>n employee organisation</w:t>
      </w:r>
      <w:r w:rsidRPr="002E35D6">
        <w:rPr>
          <w:b/>
        </w:rPr>
        <w:t xml:space="preserve"> with wh</w:t>
      </w:r>
      <w:r w:rsidR="003728FE" w:rsidRPr="002E35D6">
        <w:rPr>
          <w:b/>
        </w:rPr>
        <w:t>ich</w:t>
      </w:r>
      <w:r w:rsidRPr="002E35D6">
        <w:rPr>
          <w:b/>
        </w:rPr>
        <w:t xml:space="preserve"> the employer has agreed to bargain.</w:t>
      </w:r>
    </w:p>
    <w:p w:rsidR="00D40121" w:rsidRPr="0090554C" w:rsidRDefault="00F85F30" w:rsidP="00F85F30">
      <w:r w:rsidRPr="0090554C">
        <w:t xml:space="preserve">The </w:t>
      </w:r>
      <w:r w:rsidR="0028288D">
        <w:t>Australian Federation of Air Pilots (</w:t>
      </w:r>
      <w:r w:rsidRPr="0090554C">
        <w:t>AFAP</w:t>
      </w:r>
      <w:r w:rsidR="0028288D">
        <w:t>)</w:t>
      </w:r>
      <w:r w:rsidRPr="0090554C">
        <w:t xml:space="preserve"> submission identified concern about the capacity for exclusion of one or more unions, with the r</w:t>
      </w:r>
      <w:r w:rsidR="00FE0B4E">
        <w:t>equisite coverage, from the g</w:t>
      </w:r>
      <w:r w:rsidRPr="0090554C">
        <w:t>reenfields agreement making process.</w:t>
      </w:r>
      <w:r w:rsidR="00E12D82">
        <w:rPr>
          <w:rStyle w:val="FootnoteReference"/>
        </w:rPr>
        <w:footnoteReference w:id="37"/>
      </w:r>
      <w:r w:rsidRPr="0090554C">
        <w:t xml:space="preserve"> The</w:t>
      </w:r>
      <w:r w:rsidR="00FE0B4E">
        <w:t xml:space="preserve"> AFAP referred to a particular g</w:t>
      </w:r>
      <w:r w:rsidRPr="0090554C">
        <w:t xml:space="preserve">reenfields agreement in this respect and sought that the Fair Work Act be amended so as to require that </w:t>
      </w:r>
      <w:r w:rsidR="0031303E">
        <w:t>an</w:t>
      </w:r>
      <w:r w:rsidR="0031303E" w:rsidRPr="0090554C">
        <w:t xml:space="preserve"> </w:t>
      </w:r>
      <w:r w:rsidRPr="0090554C">
        <w:t xml:space="preserve">employer recognise any union with the appropriate coverage of the employees to be covered by that agreement. In this respect the AFAP sought that the </w:t>
      </w:r>
      <w:r w:rsidRPr="0090554C">
        <w:lastRenderedPageBreak/>
        <w:t xml:space="preserve">Fair Work Act be amended to remove the discretion currently enshrined in </w:t>
      </w:r>
      <w:r w:rsidR="00C4669B">
        <w:t>s</w:t>
      </w:r>
      <w:r w:rsidRPr="0090554C">
        <w:t xml:space="preserve"> 177(b)(ii)</w:t>
      </w:r>
      <w:r w:rsidR="00740352">
        <w:t xml:space="preserve"> for an </w:t>
      </w:r>
      <w:r w:rsidR="00816ECA">
        <w:t xml:space="preserve">employer </w:t>
      </w:r>
      <w:r w:rsidR="00816ECA" w:rsidRPr="0090554C">
        <w:t>to</w:t>
      </w:r>
      <w:r w:rsidRPr="0090554C">
        <w:t xml:space="preserve"> nominate the union or unions with whom they agreed to bargain.</w:t>
      </w:r>
      <w:r w:rsidR="00E12D82">
        <w:rPr>
          <w:rStyle w:val="FootnoteReference"/>
        </w:rPr>
        <w:footnoteReference w:id="38"/>
      </w:r>
      <w:r w:rsidRPr="0090554C">
        <w:t xml:space="preserve"> The AFAP asserted that the 2015 amendments had the effect of enabling the exclusion of unions at the discretion of the employer and resulted in bargaining outcomes which were below industry standards in a given sector.</w:t>
      </w:r>
      <w:r w:rsidR="00E12D82">
        <w:rPr>
          <w:rStyle w:val="FootnoteReference"/>
        </w:rPr>
        <w:footnoteReference w:id="39"/>
      </w:r>
      <w:r w:rsidRPr="0090554C">
        <w:t xml:space="preserve"> </w:t>
      </w:r>
    </w:p>
    <w:p w:rsidR="00D40121" w:rsidRPr="0090554C" w:rsidRDefault="00D40121" w:rsidP="00F85F30">
      <w:r w:rsidRPr="0090554C">
        <w:t>As noted p</w:t>
      </w:r>
      <w:r w:rsidR="00C10136" w:rsidRPr="0090554C">
        <w:t xml:space="preserve">reviously in this </w:t>
      </w:r>
      <w:r w:rsidR="002A31CA" w:rsidRPr="0090554C">
        <w:t>re</w:t>
      </w:r>
      <w:r w:rsidR="002A31CA">
        <w:t>view</w:t>
      </w:r>
      <w:r w:rsidR="00C10136" w:rsidRPr="0090554C">
        <w:t>, greenfields agreements have not required employers to negotiate with all relevant unions since their first inclusion in federal workplace relations legislation</w:t>
      </w:r>
      <w:r w:rsidR="00920986" w:rsidRPr="0090554C">
        <w:t xml:space="preserve"> in the WR Act. It was, however, a recommendation of the review panel in</w:t>
      </w:r>
      <w:r w:rsidR="00C04E29">
        <w:rPr>
          <w:i/>
        </w:rPr>
        <w:t xml:space="preserve"> </w:t>
      </w:r>
      <w:r w:rsidR="00C04E29">
        <w:t>the 2012 Fair Work Act Review</w:t>
      </w:r>
      <w:r w:rsidR="00920986" w:rsidRPr="0090554C">
        <w:t xml:space="preserve"> that employers be required to notify all relevant unions. The 2012 Fair Work Act Review did not recommend that employer</w:t>
      </w:r>
      <w:r w:rsidR="002944CA">
        <w:t>s</w:t>
      </w:r>
      <w:r w:rsidR="00920986" w:rsidRPr="0090554C">
        <w:t xml:space="preserve"> be required to reach an agreement with all relevant unions, and this would not seem necessary given the requirement </w:t>
      </w:r>
      <w:r w:rsidR="00111F5A">
        <w:t xml:space="preserve">for the Fair Work Commission to be satisfied that the relevant </w:t>
      </w:r>
      <w:r w:rsidR="00920986" w:rsidRPr="0090554C">
        <w:t xml:space="preserve">employee </w:t>
      </w:r>
      <w:r w:rsidR="00111F5A">
        <w:t xml:space="preserve">organisations that will be covered by the agreement are (taken as a group) entitled to </w:t>
      </w:r>
      <w:r w:rsidR="00920986" w:rsidRPr="0090554C">
        <w:t>represent</w:t>
      </w:r>
      <w:r w:rsidR="00111F5A">
        <w:t xml:space="preserve"> the industrial interests of</w:t>
      </w:r>
      <w:r w:rsidR="00920986" w:rsidRPr="0090554C">
        <w:t xml:space="preserve"> the majority of employees </w:t>
      </w:r>
      <w:r w:rsidR="00111F5A">
        <w:t xml:space="preserve">who will </w:t>
      </w:r>
      <w:r w:rsidR="00920986" w:rsidRPr="0090554C">
        <w:t>be covered by the agreement</w:t>
      </w:r>
      <w:r w:rsidR="00111F5A">
        <w:t xml:space="preserve"> </w:t>
      </w:r>
      <w:r w:rsidR="00E058C3">
        <w:br/>
      </w:r>
      <w:r w:rsidR="00111F5A">
        <w:t>(</w:t>
      </w:r>
      <w:r w:rsidR="00C4669B">
        <w:t>s</w:t>
      </w:r>
      <w:r w:rsidR="00111F5A">
        <w:t xml:space="preserve"> 187(5))</w:t>
      </w:r>
      <w:r w:rsidR="00920986" w:rsidRPr="0090554C">
        <w:t xml:space="preserve">. </w:t>
      </w:r>
    </w:p>
    <w:p w:rsidR="00F85F30" w:rsidRPr="0090554C" w:rsidRDefault="00F85F30" w:rsidP="00F85F30">
      <w:r w:rsidRPr="0090554C">
        <w:t>It should be noted that, unlike the union submissions generally, the AFAP confirmed that it did not object to a fixed ne</w:t>
      </w:r>
      <w:r w:rsidR="00873629">
        <w:t>gotiation period and ‘last-offer arbitration’</w:t>
      </w:r>
      <w:r w:rsidRPr="0090554C">
        <w:t>, provided all relevant bargaining representatives are recognised by employers for the duration of the negotiating period, and have standing in any arbitration.</w:t>
      </w:r>
      <w:r w:rsidR="00E12D82">
        <w:rPr>
          <w:rStyle w:val="FootnoteReference"/>
        </w:rPr>
        <w:footnoteReference w:id="40"/>
      </w:r>
    </w:p>
    <w:p w:rsidR="00F85F30" w:rsidRPr="0090554C" w:rsidRDefault="00F85F30" w:rsidP="00F85F30">
      <w:r w:rsidRPr="0090554C">
        <w:t xml:space="preserve">The </w:t>
      </w:r>
      <w:r w:rsidR="0028288D">
        <w:t>Australian Nursing and Midwifery Federation (</w:t>
      </w:r>
      <w:r w:rsidRPr="0090554C">
        <w:t>ANMF</w:t>
      </w:r>
      <w:r w:rsidR="0028288D">
        <w:t>)</w:t>
      </w:r>
      <w:r w:rsidRPr="0090554C">
        <w:t xml:space="preserve"> expressed concern about the extent to which </w:t>
      </w:r>
      <w:r w:rsidR="00FE0B4E">
        <w:t>g</w:t>
      </w:r>
      <w:r w:rsidRPr="0090554C">
        <w:t>reenfields agreement making processes need to be different from the general agreement making and approval processes. The ANMF concluded:</w:t>
      </w:r>
      <w:r w:rsidR="00E12D82" w:rsidRPr="0090554C">
        <w:rPr>
          <w:rStyle w:val="FootnoteReference"/>
        </w:rPr>
        <w:footnoteReference w:id="41"/>
      </w:r>
    </w:p>
    <w:p w:rsidR="00137E19" w:rsidRPr="0090554C" w:rsidRDefault="00F85F30" w:rsidP="0007396C">
      <w:pPr>
        <w:ind w:left="720"/>
      </w:pPr>
      <w:r w:rsidRPr="0090554C">
        <w:t>ANMF support</w:t>
      </w:r>
      <w:r w:rsidR="00137E19" w:rsidRPr="0090554C">
        <w:t>s</w:t>
      </w:r>
      <w:r w:rsidRPr="0090554C">
        <w:t xml:space="preserve"> </w:t>
      </w:r>
      <w:r w:rsidR="00137E19" w:rsidRPr="0090554C">
        <w:t>regulation for Greenfield agreements that recognises the legitimate role of unions and requires the bargaining parties to conduct negotiations and to complete agreements on a fair basis including:</w:t>
      </w:r>
    </w:p>
    <w:p w:rsidR="00137E19" w:rsidRPr="0090554C" w:rsidRDefault="00137E19" w:rsidP="002C284B">
      <w:pPr>
        <w:numPr>
          <w:ilvl w:val="0"/>
          <w:numId w:val="8"/>
        </w:numPr>
        <w:ind w:left="1080"/>
      </w:pPr>
      <w:r w:rsidRPr="0090554C">
        <w:t>There is a requirement the employer notify and recognise all unions entitled to represent employees to be covered by the agreement.</w:t>
      </w:r>
    </w:p>
    <w:p w:rsidR="00137E19" w:rsidRPr="0090554C" w:rsidRDefault="00137E19" w:rsidP="002C284B">
      <w:pPr>
        <w:numPr>
          <w:ilvl w:val="0"/>
          <w:numId w:val="8"/>
        </w:numPr>
        <w:ind w:left="1080"/>
      </w:pPr>
      <w:r w:rsidRPr="0090554C">
        <w:t>Greenfield agreements come within a regulatory framework that has a primary object of collective bargaining in good faith.</w:t>
      </w:r>
    </w:p>
    <w:p w:rsidR="00137E19" w:rsidRPr="0090554C" w:rsidRDefault="00137E19" w:rsidP="002C284B">
      <w:pPr>
        <w:numPr>
          <w:ilvl w:val="0"/>
          <w:numId w:val="8"/>
        </w:numPr>
        <w:ind w:left="1080"/>
      </w:pPr>
      <w:r w:rsidRPr="0090554C">
        <w:t xml:space="preserve">That conciliation and/or arbitration of outstanding matters be available on application.  </w:t>
      </w:r>
    </w:p>
    <w:p w:rsidR="00F85F30" w:rsidRPr="0090554C" w:rsidRDefault="00137E19" w:rsidP="00CE6959">
      <w:pPr>
        <w:numPr>
          <w:ilvl w:val="0"/>
          <w:numId w:val="8"/>
        </w:numPr>
        <w:ind w:left="1080"/>
      </w:pPr>
      <w:r w:rsidRPr="0090554C">
        <w:t>Where the FWC exercises arbitral powers to resolve an impasse the Tribunal must be required to have regard to prevailing employment conditions in settings of a similar scale or nature.</w:t>
      </w:r>
    </w:p>
    <w:p w:rsidR="00F85F30" w:rsidRPr="0090554C" w:rsidRDefault="00F85F30" w:rsidP="00F85F30">
      <w:r w:rsidRPr="0090554C">
        <w:t>The ACTU did not identify this concern in its submission. None of the other individual unions who made submissions in this matter sought a change to require employers to recognise all unions with coverage</w:t>
      </w:r>
      <w:r w:rsidR="00920986" w:rsidRPr="0090554C">
        <w:t xml:space="preserve"> as bargaining representatives.</w:t>
      </w:r>
    </w:p>
    <w:p w:rsidR="00F85F30" w:rsidRPr="0090554C" w:rsidRDefault="00F85F30" w:rsidP="00F85F30">
      <w:r w:rsidRPr="0090554C">
        <w:lastRenderedPageBreak/>
        <w:t xml:space="preserve">The </w:t>
      </w:r>
      <w:r w:rsidR="00A721E2">
        <w:t>Australian Industry Group (</w:t>
      </w:r>
      <w:r w:rsidRPr="0090554C">
        <w:t>AiG</w:t>
      </w:r>
      <w:r w:rsidR="00A721E2">
        <w:t>)</w:t>
      </w:r>
      <w:r w:rsidRPr="0090554C">
        <w:t xml:space="preserve"> submission dealt with this issue in the following terms:</w:t>
      </w:r>
      <w:r w:rsidR="00E12D82" w:rsidRPr="0090554C">
        <w:rPr>
          <w:rStyle w:val="FootnoteReference"/>
        </w:rPr>
        <w:footnoteReference w:id="42"/>
      </w:r>
    </w:p>
    <w:p w:rsidR="00310B2A" w:rsidRPr="0090554C" w:rsidRDefault="00FE0B4E" w:rsidP="00920986">
      <w:pPr>
        <w:ind w:left="720"/>
        <w:rPr>
          <w:bCs/>
        </w:rPr>
      </w:pPr>
      <w:r>
        <w:rPr>
          <w:bCs/>
        </w:rPr>
        <w:t>Between 1996 and mid-2009, g</w:t>
      </w:r>
      <w:r w:rsidR="00310B2A" w:rsidRPr="0090554C">
        <w:rPr>
          <w:bCs/>
        </w:rPr>
        <w:t xml:space="preserve">reenfields agreements could be made under the </w:t>
      </w:r>
      <w:r w:rsidR="00310B2A" w:rsidRPr="0090554C">
        <w:rPr>
          <w:bCs/>
          <w:i/>
        </w:rPr>
        <w:t>Workplace Relations Act 1996</w:t>
      </w:r>
      <w:r w:rsidR="00310B2A" w:rsidRPr="0090554C">
        <w:rPr>
          <w:bCs/>
        </w:rPr>
        <w:t xml:space="preserve"> between an employer and any union eligible to represent any employee on </w:t>
      </w:r>
      <w:r w:rsidR="00E058C3">
        <w:rPr>
          <w:bCs/>
        </w:rPr>
        <w:br/>
      </w:r>
      <w:r w:rsidR="00310B2A" w:rsidRPr="0090554C">
        <w:rPr>
          <w:bCs/>
        </w:rPr>
        <w:t xml:space="preserve">a new project. The ability for employers to reach a greenfields agreement with any union eligible to represent any employee on a project operated to reduce the incidence of unreasonable union claims. For example, if the Construction, Forestry, Mining and Energy Union (CFMEU) was pursuing unreasonable claims the head contractor could reach a greenfields agreement for the project with the Australian Workers Union (AWU) or vice versa. </w:t>
      </w:r>
    </w:p>
    <w:p w:rsidR="00F85F30" w:rsidRPr="0090554C" w:rsidRDefault="0090554C" w:rsidP="00F85F30">
      <w:r w:rsidRPr="0090554C">
        <w:t>Other</w:t>
      </w:r>
      <w:r w:rsidR="00F85F30" w:rsidRPr="0090554C">
        <w:t xml:space="preserve"> employer organisation submissions did not address this issue</w:t>
      </w:r>
      <w:r w:rsidRPr="0090554C">
        <w:t xml:space="preserve"> and it was not something the Background Paper sought comment on. However, there was a general level of support from the workplace relations practitioners the review spoke to that it was important to have </w:t>
      </w:r>
      <w:r w:rsidR="000E49D1">
        <w:t xml:space="preserve">the </w:t>
      </w:r>
      <w:r w:rsidRPr="0090554C">
        <w:t>choice</w:t>
      </w:r>
      <w:r w:rsidR="000E49D1">
        <w:t xml:space="preserve"> amongst eligible unions</w:t>
      </w:r>
      <w:r w:rsidRPr="0090554C">
        <w:t xml:space="preserve"> in agreement making</w:t>
      </w:r>
      <w:r w:rsidR="00A45A4C">
        <w:t xml:space="preserve"> and that this capacity was frequently critical to ultimately reaching an agreement</w:t>
      </w:r>
      <w:r w:rsidRPr="0090554C">
        <w:t xml:space="preserve">. </w:t>
      </w:r>
    </w:p>
    <w:p w:rsidR="003B2946" w:rsidRDefault="00F85F30" w:rsidP="00F85F30">
      <w:r w:rsidRPr="0090554C">
        <w:t xml:space="preserve">An amendment </w:t>
      </w:r>
      <w:r w:rsidR="00AE2C95">
        <w:t>to</w:t>
      </w:r>
      <w:r w:rsidRPr="0090554C">
        <w:t xml:space="preserve"> </w:t>
      </w:r>
      <w:r w:rsidR="00C4669B">
        <w:t>s</w:t>
      </w:r>
      <w:r w:rsidRPr="0090554C">
        <w:t xml:space="preserve"> 177, of the nature sought by the AFAP and the ANMF</w:t>
      </w:r>
      <w:r w:rsidR="009E76EF">
        <w:t>,</w:t>
      </w:r>
      <w:r w:rsidRPr="0090554C">
        <w:t xml:space="preserve"> </w:t>
      </w:r>
      <w:r w:rsidR="00AE2C95">
        <w:t>would</w:t>
      </w:r>
      <w:r w:rsidR="00AE2C95" w:rsidRPr="0090554C">
        <w:t xml:space="preserve"> </w:t>
      </w:r>
      <w:r w:rsidRPr="0090554C">
        <w:t xml:space="preserve">have the </w:t>
      </w:r>
      <w:r w:rsidR="002514D2">
        <w:t>practical</w:t>
      </w:r>
      <w:r w:rsidR="002514D2" w:rsidRPr="0090554C">
        <w:t xml:space="preserve"> </w:t>
      </w:r>
      <w:r w:rsidRPr="0090554C">
        <w:t xml:space="preserve">effect of increasing the complexity of a </w:t>
      </w:r>
      <w:r w:rsidR="00FE0B4E">
        <w:t>g</w:t>
      </w:r>
      <w:r w:rsidRPr="0090554C">
        <w:t xml:space="preserve">reenfields bargaining process. Such an amendment would </w:t>
      </w:r>
      <w:r w:rsidR="00AE2C95">
        <w:t>often</w:t>
      </w:r>
      <w:r w:rsidR="00AE2C95" w:rsidRPr="0090554C">
        <w:t xml:space="preserve"> </w:t>
      </w:r>
      <w:r w:rsidRPr="0090554C">
        <w:t xml:space="preserve">require multiple unions to agree amongst themselves on acceptable agreement provisions, or to effectively delegate carriage of a particular negotiation to a given union. </w:t>
      </w:r>
      <w:r w:rsidR="003B2946">
        <w:t>Despite the ANMF and AFAP’s claims, the review was not presented with</w:t>
      </w:r>
      <w:r w:rsidRPr="0090554C">
        <w:t xml:space="preserve"> widespread and substantial anomalies </w:t>
      </w:r>
      <w:r w:rsidR="00C330BB">
        <w:t>or</w:t>
      </w:r>
      <w:r w:rsidR="00C330BB" w:rsidRPr="0090554C">
        <w:t xml:space="preserve"> </w:t>
      </w:r>
      <w:r w:rsidRPr="0090554C">
        <w:t xml:space="preserve">inequities arising from the </w:t>
      </w:r>
      <w:r w:rsidR="00673E6F">
        <w:t xml:space="preserve">current </w:t>
      </w:r>
      <w:r w:rsidRPr="0090554C">
        <w:t xml:space="preserve">capacity of an employer to select the union </w:t>
      </w:r>
      <w:r w:rsidR="00673E6F">
        <w:t xml:space="preserve">(or unions) </w:t>
      </w:r>
      <w:r w:rsidRPr="0090554C">
        <w:t>with wh</w:t>
      </w:r>
      <w:r w:rsidR="00C330BB">
        <w:t>ich</w:t>
      </w:r>
      <w:r w:rsidRPr="0090554C">
        <w:t xml:space="preserve"> it wishes to make </w:t>
      </w:r>
      <w:r w:rsidR="00E058C3">
        <w:br/>
      </w:r>
      <w:r w:rsidRPr="0090554C">
        <w:t xml:space="preserve">a </w:t>
      </w:r>
      <w:r w:rsidR="00FE0B4E">
        <w:t>g</w:t>
      </w:r>
      <w:r w:rsidRPr="0090554C">
        <w:t>reenfields agreement.</w:t>
      </w:r>
      <w:r w:rsidR="00A42ED6" w:rsidRPr="0090554C">
        <w:t xml:space="preserve"> </w:t>
      </w:r>
    </w:p>
    <w:p w:rsidR="00F85F30" w:rsidRPr="0090554C" w:rsidRDefault="00A42ED6" w:rsidP="00F85F30">
      <w:r w:rsidRPr="0090554C">
        <w:t>Historically, different unions have had preferences for different types of industrial arrangements. Redundancy and insolvency protection arrangements represent examples of these differences. Often it is the case that these arrangements are represente</w:t>
      </w:r>
      <w:r w:rsidR="00873629">
        <w:t>d by a particular union as the ‘norm’</w:t>
      </w:r>
      <w:r w:rsidRPr="0090554C">
        <w:t xml:space="preserve"> when, in reality, other unions have pursued slightly different approaches. A requirement that a potential employer negotiate with all unions who could cover the employees to be engaged by a new business venture is highly likely to substantially increase both the complexity of the negotiations and the costs associated with implementing the ne</w:t>
      </w:r>
      <w:r w:rsidR="005C707F" w:rsidRPr="0090554C">
        <w:t>w agreement.</w:t>
      </w:r>
    </w:p>
    <w:p w:rsidR="00F85F30" w:rsidRDefault="005C707F" w:rsidP="00F85F30">
      <w:r w:rsidRPr="0090554C">
        <w:t xml:space="preserve">It should be noted that the making of a </w:t>
      </w:r>
      <w:r w:rsidR="00FE0B4E">
        <w:t>g</w:t>
      </w:r>
      <w:r w:rsidRPr="0090554C">
        <w:t>reenfields agreement with one particular union has no effect on union membership arrangements</w:t>
      </w:r>
      <w:r w:rsidR="00C330BB">
        <w:t>,</w:t>
      </w:r>
      <w:r w:rsidR="009B6F9F">
        <w:t xml:space="preserve"> which</w:t>
      </w:r>
      <w:r w:rsidR="00673E6F">
        <w:t xml:space="preserve"> are determined by the relevant union </w:t>
      </w:r>
      <w:r w:rsidR="00C04E29">
        <w:t>coverage</w:t>
      </w:r>
      <w:r w:rsidR="00673E6F">
        <w:t xml:space="preserve"> rules</w:t>
      </w:r>
      <w:r w:rsidR="00DF5062">
        <w:t>.</w:t>
      </w:r>
      <w:r w:rsidR="00DA49D5">
        <w:t xml:space="preserve"> </w:t>
      </w:r>
    </w:p>
    <w:p w:rsidR="00DA49D5" w:rsidRPr="0090554C" w:rsidRDefault="009B6F9F" w:rsidP="00F85F30">
      <w:r>
        <w:t>Those u</w:t>
      </w:r>
      <w:r w:rsidR="00DA49D5">
        <w:t>nion coverage rules mean that there are numerous instances where multiple unions could be involved in</w:t>
      </w:r>
      <w:r w:rsidR="00673E6F">
        <w:t xml:space="preserve"> making</w:t>
      </w:r>
      <w:r w:rsidR="00DA49D5">
        <w:t xml:space="preserve"> a greenfields agreement. There is no material available to the </w:t>
      </w:r>
      <w:r w:rsidR="001213F8">
        <w:t>r</w:t>
      </w:r>
      <w:r w:rsidR="00DA49D5">
        <w:t>eview which indicates that unions without the necessary coverage are entering into greenfields agreements</w:t>
      </w:r>
      <w:r w:rsidR="00DA49D5" w:rsidRPr="00E12D82">
        <w:t xml:space="preserve">. </w:t>
      </w:r>
      <w:r w:rsidRPr="00E12D82">
        <w:t>A number of applications to approve greenfields agreements have been unsuccessfully challenged on this basis.</w:t>
      </w:r>
      <w:r w:rsidR="001213F8" w:rsidRPr="00E12D82">
        <w:rPr>
          <w:rStyle w:val="FootnoteReference"/>
        </w:rPr>
        <w:footnoteReference w:id="43"/>
      </w:r>
    </w:p>
    <w:p w:rsidR="00AB66D8" w:rsidRPr="0090554C" w:rsidRDefault="005C707F" w:rsidP="00990FE8">
      <w:r w:rsidRPr="0090554C">
        <w:lastRenderedPageBreak/>
        <w:t>The ANMF proposal for</w:t>
      </w:r>
      <w:r w:rsidR="00F85F30" w:rsidRPr="0090554C">
        <w:t xml:space="preserve"> a specified fixed negotiation period and last-offer arbitration appear</w:t>
      </w:r>
      <w:r w:rsidRPr="0090554C">
        <w:t>s</w:t>
      </w:r>
      <w:r w:rsidR="00F85F30" w:rsidRPr="0090554C">
        <w:t xml:space="preserve"> inconsistent with the position otherwise generally supported by the unions. </w:t>
      </w:r>
    </w:p>
    <w:p w:rsidR="0007396C" w:rsidRPr="0007396C" w:rsidRDefault="0007396C" w:rsidP="00990FE8">
      <w:r w:rsidRPr="0007396C">
        <w:t xml:space="preserve">The </w:t>
      </w:r>
      <w:r w:rsidR="006D5944">
        <w:t>r</w:t>
      </w:r>
      <w:r w:rsidR="006D5944" w:rsidRPr="0007396C">
        <w:t xml:space="preserve">eview </w:t>
      </w:r>
      <w:r w:rsidRPr="0007396C">
        <w:t>has concluded t</w:t>
      </w:r>
      <w:r w:rsidR="008F32DD" w:rsidRPr="0007396C">
        <w:t xml:space="preserve">hat the good faith bargaining obligations should not be extended to include an obligation that an employer must negotiate with all </w:t>
      </w:r>
      <w:r w:rsidR="00673E6F">
        <w:t>employee organisations</w:t>
      </w:r>
      <w:r w:rsidR="00673E6F" w:rsidRPr="0007396C">
        <w:t xml:space="preserve"> </w:t>
      </w:r>
      <w:r w:rsidR="008F32DD" w:rsidRPr="0007396C">
        <w:t xml:space="preserve">with membership coverage of the employees to be covered by a proposed </w:t>
      </w:r>
      <w:r w:rsidR="00673E6F">
        <w:t xml:space="preserve">greenfields </w:t>
      </w:r>
      <w:r w:rsidR="008F32DD" w:rsidRPr="0007396C">
        <w:t xml:space="preserve">agreement. The 2015 amendments did not change the Fair Work Act in this respect and a change of this nature would lead to significant disputation making the </w:t>
      </w:r>
      <w:r w:rsidR="00FE0B4E" w:rsidRPr="0007396C">
        <w:t>g</w:t>
      </w:r>
      <w:r w:rsidR="008F32DD" w:rsidRPr="0007396C">
        <w:t>reenfields agreement process substantially unworkable.</w:t>
      </w:r>
    </w:p>
    <w:p w:rsidR="0007396C" w:rsidRPr="0076015D" w:rsidRDefault="0007396C" w:rsidP="0076015D">
      <w:pPr>
        <w:pStyle w:val="Heading2"/>
        <w:pBdr>
          <w:top w:val="single" w:sz="4" w:space="1" w:color="auto"/>
          <w:left w:val="single" w:sz="4" w:space="4" w:color="auto"/>
          <w:bottom w:val="single" w:sz="4" w:space="1" w:color="auto"/>
          <w:right w:val="single" w:sz="4" w:space="4" w:color="auto"/>
        </w:pBdr>
        <w:rPr>
          <w:rFonts w:asciiTheme="minorHAnsi" w:hAnsiTheme="minorHAnsi"/>
          <w:b/>
          <w:color w:val="auto"/>
          <w:sz w:val="22"/>
        </w:rPr>
      </w:pPr>
      <w:r w:rsidRPr="0076015D">
        <w:rPr>
          <w:rFonts w:asciiTheme="minorHAnsi" w:hAnsiTheme="minorHAnsi"/>
          <w:b/>
          <w:color w:val="auto"/>
          <w:sz w:val="22"/>
        </w:rPr>
        <w:t>Recommendation</w:t>
      </w:r>
      <w:r w:rsidR="00CA0BBF" w:rsidRPr="0076015D">
        <w:rPr>
          <w:rFonts w:asciiTheme="minorHAnsi" w:hAnsiTheme="minorHAnsi"/>
          <w:b/>
          <w:color w:val="auto"/>
          <w:sz w:val="22"/>
        </w:rPr>
        <w:t xml:space="preserve"> 5</w:t>
      </w:r>
    </w:p>
    <w:p w:rsidR="0007396C" w:rsidRDefault="0007396C" w:rsidP="0076015D">
      <w:pPr>
        <w:keepNext/>
        <w:pBdr>
          <w:top w:val="single" w:sz="4" w:space="1" w:color="auto"/>
          <w:left w:val="single" w:sz="4" w:space="4" w:color="auto"/>
          <w:bottom w:val="single" w:sz="4" w:space="1" w:color="auto"/>
          <w:right w:val="single" w:sz="4" w:space="4" w:color="auto"/>
        </w:pBdr>
        <w:rPr>
          <w:b/>
        </w:rPr>
      </w:pPr>
      <w:r>
        <w:rPr>
          <w:b/>
        </w:rPr>
        <w:t>T</w:t>
      </w:r>
      <w:r w:rsidRPr="0007396C">
        <w:rPr>
          <w:b/>
        </w:rPr>
        <w:t xml:space="preserve">he good faith bargaining obligations should not be extended to include an obligation that an employer must </w:t>
      </w:r>
      <w:r w:rsidR="00DF5062">
        <w:rPr>
          <w:b/>
        </w:rPr>
        <w:t xml:space="preserve">advise and then </w:t>
      </w:r>
      <w:r w:rsidRPr="0007396C">
        <w:rPr>
          <w:b/>
        </w:rPr>
        <w:t>negotiate with all unions with membership coverage of the employees to be covered by a proposed agreement.</w:t>
      </w:r>
    </w:p>
    <w:p w:rsidR="00034375" w:rsidRPr="0090554C" w:rsidRDefault="006A0805" w:rsidP="00F85F30">
      <w:pPr>
        <w:pStyle w:val="Heading1"/>
      </w:pPr>
      <w:bookmarkStart w:id="21" w:name="_Toc505681261"/>
      <w:r w:rsidRPr="0090554C">
        <w:t>Six-month</w:t>
      </w:r>
      <w:r w:rsidR="00F85F30" w:rsidRPr="0090554C">
        <w:t xml:space="preserve"> negotiation period </w:t>
      </w:r>
      <w:r w:rsidR="00DB3FF9">
        <w:t xml:space="preserve">and </w:t>
      </w:r>
      <w:r w:rsidR="00673E6F">
        <w:t xml:space="preserve">applications for approval of </w:t>
      </w:r>
      <w:r w:rsidR="00C4669B">
        <w:t>s</w:t>
      </w:r>
      <w:r w:rsidR="00014BEF">
        <w:t xml:space="preserve"> </w:t>
      </w:r>
      <w:r w:rsidR="006D5944">
        <w:t>182</w:t>
      </w:r>
      <w:r w:rsidR="00DB3FF9">
        <w:t>(</w:t>
      </w:r>
      <w:r w:rsidR="006D5944">
        <w:t>4</w:t>
      </w:r>
      <w:r w:rsidR="00DB3FF9">
        <w:t>)</w:t>
      </w:r>
      <w:r w:rsidR="00673E6F">
        <w:t xml:space="preserve"> greenfields agreements</w:t>
      </w:r>
      <w:bookmarkEnd w:id="21"/>
    </w:p>
    <w:p w:rsidR="00C976BE" w:rsidRPr="0090554C" w:rsidRDefault="00DB3FF9">
      <w:r w:rsidRPr="0090554C">
        <w:t>Th</w:t>
      </w:r>
      <w:r>
        <w:t>ese</w:t>
      </w:r>
      <w:r w:rsidRPr="0090554C">
        <w:t xml:space="preserve"> </w:t>
      </w:r>
      <w:r w:rsidR="00526CD0" w:rsidRPr="0090554C">
        <w:t>element</w:t>
      </w:r>
      <w:r>
        <w:t>s</w:t>
      </w:r>
      <w:r w:rsidR="00FE0B4E">
        <w:t xml:space="preserve"> of the 2015 g</w:t>
      </w:r>
      <w:r w:rsidR="00526CD0" w:rsidRPr="0090554C">
        <w:t xml:space="preserve">reenfields agreement amendments </w:t>
      </w:r>
      <w:r>
        <w:t>are</w:t>
      </w:r>
      <w:r w:rsidRPr="0090554C">
        <w:t xml:space="preserve"> </w:t>
      </w:r>
      <w:r w:rsidR="00526CD0" w:rsidRPr="0090554C">
        <w:t xml:space="preserve">the most contentious component of the amendments. The history of </w:t>
      </w:r>
      <w:r>
        <w:t>these</w:t>
      </w:r>
      <w:r w:rsidRPr="0090554C">
        <w:t xml:space="preserve"> </w:t>
      </w:r>
      <w:r w:rsidR="00526CD0" w:rsidRPr="0090554C">
        <w:t>provision</w:t>
      </w:r>
      <w:r>
        <w:t>s</w:t>
      </w:r>
      <w:r w:rsidR="00526CD0" w:rsidRPr="0090554C">
        <w:t xml:space="preserve"> was addressed at some length in the background paper. In summary, the amendment</w:t>
      </w:r>
      <w:r w:rsidR="004971F8" w:rsidRPr="0090554C">
        <w:t>s</w:t>
      </w:r>
      <w:r w:rsidR="00526CD0" w:rsidRPr="0090554C">
        <w:t xml:space="preserve"> provide an optional </w:t>
      </w:r>
      <w:r w:rsidR="00A45B5B">
        <w:t xml:space="preserve">negotiation </w:t>
      </w:r>
      <w:r w:rsidR="00526CD0" w:rsidRPr="0090554C">
        <w:t xml:space="preserve">process </w:t>
      </w:r>
      <w:r w:rsidR="00A45B5B">
        <w:t xml:space="preserve">for </w:t>
      </w:r>
      <w:r w:rsidR="00526CD0" w:rsidRPr="0090554C">
        <w:t>employer</w:t>
      </w:r>
      <w:r w:rsidR="00A45B5B">
        <w:t>s and unions to make a</w:t>
      </w:r>
      <w:r w:rsidR="00FE0B4E">
        <w:t xml:space="preserve"> g</w:t>
      </w:r>
      <w:r w:rsidR="00526CD0" w:rsidRPr="0090554C">
        <w:t>reenfields agreement.</w:t>
      </w:r>
      <w:r w:rsidR="00B162A1" w:rsidRPr="0090554C">
        <w:t xml:space="preserve"> T</w:t>
      </w:r>
      <w:r w:rsidR="0007438A" w:rsidRPr="0090554C">
        <w:t>o access this option, t</w:t>
      </w:r>
      <w:r w:rsidR="00B162A1" w:rsidRPr="0090554C">
        <w:t>he amendments require the employer to notify the union</w:t>
      </w:r>
      <w:r w:rsidR="00F35D8A">
        <w:t>(s)</w:t>
      </w:r>
      <w:r w:rsidR="00B162A1" w:rsidRPr="0090554C">
        <w:t xml:space="preserve"> of the commencement of a six-month negotiation period and provide a reasonable opportunity </w:t>
      </w:r>
      <w:r w:rsidR="0007438A" w:rsidRPr="0090554C">
        <w:t>for</w:t>
      </w:r>
      <w:r w:rsidR="00B162A1" w:rsidRPr="0090554C">
        <w:t xml:space="preserve"> the agreement</w:t>
      </w:r>
      <w:r w:rsidR="0007438A" w:rsidRPr="0090554C">
        <w:t xml:space="preserve"> to be signed</w:t>
      </w:r>
      <w:r w:rsidR="00B162A1" w:rsidRPr="0090554C">
        <w:t xml:space="preserve">. At the conclusion of the six-month </w:t>
      </w:r>
      <w:r w:rsidR="00A45B5B">
        <w:t xml:space="preserve">notified </w:t>
      </w:r>
      <w:r w:rsidR="00B162A1" w:rsidRPr="0090554C">
        <w:t xml:space="preserve">negotiation period, </w:t>
      </w:r>
      <w:r w:rsidR="00A45B5B">
        <w:t xml:space="preserve">if an agreement has not been made between the employer and the unions, </w:t>
      </w:r>
      <w:r w:rsidR="00B162A1" w:rsidRPr="0090554C">
        <w:t>the employer can apply to the Fair Work Commission to approve</w:t>
      </w:r>
      <w:r w:rsidR="00A45B5B">
        <w:t xml:space="preserve"> a proposed</w:t>
      </w:r>
      <w:r w:rsidR="00B162A1" w:rsidRPr="0090554C">
        <w:t xml:space="preserve"> agreement.</w:t>
      </w:r>
      <w:r w:rsidR="00BE449D" w:rsidRPr="0090554C">
        <w:t xml:space="preserve"> </w:t>
      </w:r>
    </w:p>
    <w:p w:rsidR="00526CD0" w:rsidRPr="0090554C" w:rsidRDefault="0007438A">
      <w:r w:rsidRPr="0090554C">
        <w:t>T</w:t>
      </w:r>
      <w:r w:rsidR="00BE449D" w:rsidRPr="0090554C">
        <w:t xml:space="preserve">here are two essential </w:t>
      </w:r>
      <w:r w:rsidRPr="0090554C">
        <w:t>compon</w:t>
      </w:r>
      <w:r w:rsidR="00BE449D" w:rsidRPr="0090554C">
        <w:t xml:space="preserve">ents of this aspect of the amendments. The first goes to the </w:t>
      </w:r>
      <w:r w:rsidR="00DB3FF9">
        <w:t xml:space="preserve">duration of the </w:t>
      </w:r>
      <w:r w:rsidR="0007396C">
        <w:t>six-month</w:t>
      </w:r>
      <w:r w:rsidR="00DB3FF9">
        <w:t xml:space="preserve"> </w:t>
      </w:r>
      <w:r w:rsidR="00A45B5B">
        <w:t xml:space="preserve">notified </w:t>
      </w:r>
      <w:r w:rsidR="00DB3FF9">
        <w:t>negotiation period before</w:t>
      </w:r>
      <w:r w:rsidR="00BE449D" w:rsidRPr="0090554C">
        <w:t xml:space="preserve"> an employer </w:t>
      </w:r>
      <w:r w:rsidR="00DB3FF9">
        <w:t>can</w:t>
      </w:r>
      <w:r w:rsidR="00BE449D" w:rsidRPr="0090554C">
        <w:t xml:space="preserve"> </w:t>
      </w:r>
      <w:r w:rsidR="00DB3FF9">
        <w:t>apply</w:t>
      </w:r>
      <w:r w:rsidR="00DB3FF9" w:rsidRPr="0090554C">
        <w:t xml:space="preserve"> </w:t>
      </w:r>
      <w:r w:rsidR="006D5944">
        <w:t xml:space="preserve">to the Fair Work Commission </w:t>
      </w:r>
      <w:r w:rsidR="00FE0B4E">
        <w:t>for approval of a g</w:t>
      </w:r>
      <w:r w:rsidR="00BE449D" w:rsidRPr="0090554C">
        <w:t>reenfields agreement</w:t>
      </w:r>
      <w:r w:rsidR="006D5944">
        <w:t xml:space="preserve"> under </w:t>
      </w:r>
      <w:r w:rsidR="00C4669B">
        <w:t>s</w:t>
      </w:r>
      <w:r w:rsidR="006D5944">
        <w:t xml:space="preserve"> 182(4)</w:t>
      </w:r>
      <w:r w:rsidR="00DB3FF9">
        <w:t>.</w:t>
      </w:r>
      <w:r w:rsidR="00BE449D" w:rsidRPr="0090554C">
        <w:t xml:space="preserve"> The second goes to the </w:t>
      </w:r>
      <w:r w:rsidR="00DB3FF9">
        <w:t xml:space="preserve">test </w:t>
      </w:r>
      <w:r w:rsidR="00A45B5B">
        <w:t>that</w:t>
      </w:r>
      <w:r w:rsidR="00A45B5B" w:rsidRPr="0090554C">
        <w:t xml:space="preserve"> </w:t>
      </w:r>
      <w:r w:rsidR="00BE449D" w:rsidRPr="0090554C">
        <w:t>the Fair Work Commission is</w:t>
      </w:r>
      <w:r w:rsidR="00C41588">
        <w:t xml:space="preserve"> then</w:t>
      </w:r>
      <w:r w:rsidR="00BE449D" w:rsidRPr="0090554C">
        <w:t xml:space="preserve"> required to </w:t>
      </w:r>
      <w:r w:rsidR="00DB3FF9">
        <w:t>apply</w:t>
      </w:r>
      <w:r w:rsidR="00BE449D" w:rsidRPr="0090554C">
        <w:t xml:space="preserve"> in considering any such application. </w:t>
      </w:r>
      <w:r w:rsidR="00A45B5B">
        <w:t xml:space="preserve">In addition to the other approval requirements, </w:t>
      </w:r>
      <w:r w:rsidR="00C4669B">
        <w:t>s</w:t>
      </w:r>
      <w:r w:rsidR="00BE449D" w:rsidRPr="0090554C">
        <w:t xml:space="preserve"> 187(6) requires the Fair </w:t>
      </w:r>
      <w:r w:rsidRPr="0090554C">
        <w:t>W</w:t>
      </w:r>
      <w:r w:rsidR="00BE449D" w:rsidRPr="0090554C">
        <w:t>ork Commission to be satisfied that</w:t>
      </w:r>
      <w:r w:rsidR="00B060FB">
        <w:t xml:space="preserve"> the agreement</w:t>
      </w:r>
      <w:r w:rsidR="00BE449D" w:rsidRPr="0090554C">
        <w:t>, considered on an overall basis, provides for pay and conditions that are consistent with the prevailing pay and conditions within the relevant i</w:t>
      </w:r>
      <w:r w:rsidR="003B2946">
        <w:t>ndustry for equivalent work. A n</w:t>
      </w:r>
      <w:r w:rsidR="00BE449D" w:rsidRPr="0090554C">
        <w:t>ote attached to this section provides further guidance</w:t>
      </w:r>
      <w:r w:rsidR="00C41588">
        <w:t xml:space="preserve"> to the effect</w:t>
      </w:r>
      <w:r w:rsidR="00BE449D" w:rsidRPr="0090554C">
        <w:t xml:space="preserve"> that the Fair Work Commission may have regard to the prevailing pay and conditions </w:t>
      </w:r>
      <w:r w:rsidR="00036CA6">
        <w:t xml:space="preserve">in </w:t>
      </w:r>
      <w:r w:rsidR="00BE449D" w:rsidRPr="0090554C">
        <w:t xml:space="preserve">the relevant geographical area. In </w:t>
      </w:r>
      <w:r w:rsidR="00036CA6">
        <w:t>this report</w:t>
      </w:r>
      <w:r w:rsidR="00BE449D" w:rsidRPr="0090554C">
        <w:t xml:space="preserve">, the considerations required of the Fair Work Commission are referred to as the </w:t>
      </w:r>
      <w:r w:rsidR="00873629">
        <w:t>‘prevailing pay and conditions’</w:t>
      </w:r>
      <w:r w:rsidR="00BE449D" w:rsidRPr="0090554C">
        <w:t xml:space="preserve"> test.</w:t>
      </w:r>
    </w:p>
    <w:p w:rsidR="00BC2A8C" w:rsidRPr="0090554C" w:rsidRDefault="006A0805" w:rsidP="006A0805">
      <w:pPr>
        <w:pStyle w:val="Heading2"/>
      </w:pPr>
      <w:bookmarkStart w:id="22" w:name="_Toc505681262"/>
      <w:r w:rsidRPr="0090554C">
        <w:t>Is a six-month period appropriate?</w:t>
      </w:r>
      <w:bookmarkEnd w:id="22"/>
    </w:p>
    <w:p w:rsidR="00034375" w:rsidRPr="0090554C" w:rsidRDefault="00FE0B4E">
      <w:r>
        <w:t>Since the g</w:t>
      </w:r>
      <w:r w:rsidR="00BC2A8C" w:rsidRPr="0090554C">
        <w:t xml:space="preserve">reenfields agreement amendments have taken effect there has been no application for approval of </w:t>
      </w:r>
      <w:r w:rsidR="003B2946">
        <w:t xml:space="preserve">a </w:t>
      </w:r>
      <w:r w:rsidR="00C4669B">
        <w:t>s</w:t>
      </w:r>
      <w:r w:rsidR="000D5E53" w:rsidRPr="0090554C">
        <w:t xml:space="preserve"> </w:t>
      </w:r>
      <w:r w:rsidR="006D5944" w:rsidRPr="0090554C">
        <w:t>18</w:t>
      </w:r>
      <w:r w:rsidR="006D5944">
        <w:t>2</w:t>
      </w:r>
      <w:r w:rsidR="003B2946" w:rsidRPr="0090554C">
        <w:t>(</w:t>
      </w:r>
      <w:r w:rsidR="006D5944">
        <w:t>4</w:t>
      </w:r>
      <w:r w:rsidR="003B2946" w:rsidRPr="0090554C">
        <w:t>) greenfields agreement</w:t>
      </w:r>
      <w:r w:rsidR="00BC2A8C" w:rsidRPr="0090554C">
        <w:t>.</w:t>
      </w:r>
      <w:r w:rsidR="00E448DF" w:rsidRPr="0090554C">
        <w:t xml:space="preserve"> The legislation does not require</w:t>
      </w:r>
      <w:r w:rsidR="00981B5A" w:rsidRPr="0090554C">
        <w:t xml:space="preserve"> an employer to advise the Fair Work Commission</w:t>
      </w:r>
      <w:r w:rsidR="0007438A" w:rsidRPr="0090554C">
        <w:t>,</w:t>
      </w:r>
      <w:r w:rsidR="00981B5A" w:rsidRPr="0090554C">
        <w:t xml:space="preserve"> </w:t>
      </w:r>
      <w:r w:rsidR="00B060FB">
        <w:t xml:space="preserve">or anyone other than the bargaining representatives, </w:t>
      </w:r>
      <w:r w:rsidR="00981B5A" w:rsidRPr="0090554C">
        <w:t xml:space="preserve">that the six-month negotiation period has commenced. </w:t>
      </w:r>
      <w:r w:rsidR="00CA05D2" w:rsidRPr="009B6F9F">
        <w:t>N</w:t>
      </w:r>
      <w:r w:rsidR="00A45A4C" w:rsidRPr="009B6F9F">
        <w:t xml:space="preserve">one </w:t>
      </w:r>
      <w:r w:rsidR="004B36FF" w:rsidRPr="009B6F9F">
        <w:t>of the</w:t>
      </w:r>
      <w:r w:rsidR="003B2946" w:rsidRPr="009B6F9F">
        <w:t xml:space="preserve"> </w:t>
      </w:r>
      <w:r w:rsidR="00981B5A" w:rsidRPr="009B6F9F">
        <w:t>submissions identified instances when notices</w:t>
      </w:r>
      <w:r w:rsidR="004B36FF" w:rsidRPr="009B6F9F">
        <w:t xml:space="preserve"> under </w:t>
      </w:r>
      <w:r w:rsidR="00C4669B" w:rsidRPr="009B6F9F">
        <w:t>s</w:t>
      </w:r>
      <w:r w:rsidR="004B36FF" w:rsidRPr="009B6F9F">
        <w:t> 178B</w:t>
      </w:r>
      <w:r w:rsidR="00981B5A" w:rsidRPr="009B6F9F">
        <w:t xml:space="preserve"> of this nature had been provided</w:t>
      </w:r>
      <w:r w:rsidR="00C41588" w:rsidRPr="009B6F9F">
        <w:t xml:space="preserve">. However, after further detail was requested by the review, some parties acknowledged that notices had been issued. The review has not been able to identify </w:t>
      </w:r>
      <w:r w:rsidR="00E058C3">
        <w:br/>
      </w:r>
      <w:r w:rsidR="00C41588" w:rsidRPr="009B6F9F">
        <w:t xml:space="preserve">a specific number of </w:t>
      </w:r>
      <w:r w:rsidR="009E76EF">
        <w:t>notifications</w:t>
      </w:r>
      <w:r w:rsidR="00C41588" w:rsidRPr="009B6F9F">
        <w:t xml:space="preserve">. </w:t>
      </w:r>
      <w:r w:rsidR="00CA05D2" w:rsidRPr="009B6F9F">
        <w:t>D</w:t>
      </w:r>
      <w:r w:rsidR="00A45A4C" w:rsidRPr="009B6F9F">
        <w:t xml:space="preserve">iscussions with </w:t>
      </w:r>
      <w:r w:rsidR="008C366A">
        <w:t>workplace relations professionals</w:t>
      </w:r>
      <w:r w:rsidR="00A45A4C" w:rsidRPr="009B6F9F">
        <w:t xml:space="preserve"> disclosed </w:t>
      </w:r>
      <w:r w:rsidR="003A6228" w:rsidRPr="009B6F9F">
        <w:t>some</w:t>
      </w:r>
      <w:r w:rsidR="00A45A4C" w:rsidRPr="009B6F9F">
        <w:t xml:space="preserve"> instances where notices of this nature</w:t>
      </w:r>
      <w:r w:rsidR="00ED0F95" w:rsidRPr="009B6F9F">
        <w:t xml:space="preserve"> had been provided soon after the negotiations had commenced</w:t>
      </w:r>
      <w:r w:rsidR="00981B5A" w:rsidRPr="009B6F9F">
        <w:t>.</w:t>
      </w:r>
      <w:r w:rsidR="00702B67" w:rsidRPr="009B6F9F">
        <w:t xml:space="preserve"> </w:t>
      </w:r>
      <w:r w:rsidR="00ED0F95" w:rsidRPr="009B6F9F">
        <w:lastRenderedPageBreak/>
        <w:t>In these instances, some of the negotiations had resulted in agreements being made, other negotiations had been abandoned whilst others were continuing.</w:t>
      </w:r>
    </w:p>
    <w:p w:rsidR="00AC7841" w:rsidRPr="0090554C" w:rsidRDefault="00DB3FF9" w:rsidP="004B36FF">
      <w:r>
        <w:t>The</w:t>
      </w:r>
      <w:r w:rsidR="00AC7841" w:rsidRPr="0090554C">
        <w:t xml:space="preserve"> </w:t>
      </w:r>
      <w:r w:rsidR="00036CA6">
        <w:t>stakeholder</w:t>
      </w:r>
      <w:r w:rsidR="00036CA6" w:rsidRPr="0090554C">
        <w:t xml:space="preserve"> </w:t>
      </w:r>
      <w:r w:rsidR="00AC7841" w:rsidRPr="0090554C">
        <w:t>positions with respect to negotiating periods</w:t>
      </w:r>
      <w:r>
        <w:t xml:space="preserve"> and</w:t>
      </w:r>
      <w:r w:rsidRPr="0090554C">
        <w:t xml:space="preserve"> </w:t>
      </w:r>
      <w:r w:rsidR="00C4669B">
        <w:t>s</w:t>
      </w:r>
      <w:r w:rsidR="00A20CD7" w:rsidRPr="0090554C">
        <w:t xml:space="preserve"> </w:t>
      </w:r>
      <w:r w:rsidR="00B07E51" w:rsidRPr="0090554C">
        <w:t>18</w:t>
      </w:r>
      <w:r w:rsidR="006D5944">
        <w:t>2</w:t>
      </w:r>
      <w:r w:rsidR="00B07E51" w:rsidRPr="0090554C">
        <w:t>(</w:t>
      </w:r>
      <w:r w:rsidR="006D5944">
        <w:t>4</w:t>
      </w:r>
      <w:r w:rsidR="00B07E51" w:rsidRPr="0090554C">
        <w:t xml:space="preserve">) greenfields agreement </w:t>
      </w:r>
      <w:r>
        <w:t>application</w:t>
      </w:r>
      <w:r w:rsidR="0007396C">
        <w:t>s</w:t>
      </w:r>
      <w:r>
        <w:t xml:space="preserve"> should</w:t>
      </w:r>
      <w:r w:rsidRPr="0090554C">
        <w:t xml:space="preserve"> </w:t>
      </w:r>
      <w:r w:rsidR="00AC7841" w:rsidRPr="0090554C">
        <w:t xml:space="preserve">necessarily take into account the extensive debate which occurred over these issues over a number of years. As </w:t>
      </w:r>
      <w:r w:rsidR="004B36FF">
        <w:t>noted in the</w:t>
      </w:r>
      <w:r w:rsidR="00AC7841" w:rsidRPr="0090554C">
        <w:t xml:space="preserve"> Background Paper, this issue was considered </w:t>
      </w:r>
      <w:r w:rsidR="0007438A" w:rsidRPr="0090554C">
        <w:t>extensively</w:t>
      </w:r>
      <w:r w:rsidR="00AC7841" w:rsidRPr="0090554C">
        <w:t xml:space="preserve"> by the Productivity Commission. </w:t>
      </w:r>
      <w:r w:rsidR="0007438A" w:rsidRPr="0090554C">
        <w:t>T</w:t>
      </w:r>
      <w:r w:rsidR="00AC7841" w:rsidRPr="0090554C">
        <w:t xml:space="preserve">he Productivity Commission report </w:t>
      </w:r>
      <w:r>
        <w:t>recommendation was:</w:t>
      </w:r>
      <w:r w:rsidR="004B36FF" w:rsidRPr="0090554C">
        <w:rPr>
          <w:b/>
          <w:vertAlign w:val="superscript"/>
        </w:rPr>
        <w:footnoteReference w:id="44"/>
      </w:r>
    </w:p>
    <w:p w:rsidR="00C42C9D" w:rsidRPr="0090554C" w:rsidRDefault="00C42C9D" w:rsidP="004B36FF">
      <w:pPr>
        <w:ind w:left="720"/>
        <w:rPr>
          <w:b/>
        </w:rPr>
      </w:pPr>
      <w:r w:rsidRPr="0090554C">
        <w:rPr>
          <w:b/>
        </w:rPr>
        <w:t xml:space="preserve">RECOMMENDATION 21.1 (SECTION 21.2) </w:t>
      </w:r>
    </w:p>
    <w:p w:rsidR="00C42C9D" w:rsidRPr="0090554C" w:rsidRDefault="00C42C9D" w:rsidP="004B36FF">
      <w:pPr>
        <w:ind w:left="720"/>
      </w:pPr>
      <w:r w:rsidRPr="0090554C">
        <w:t xml:space="preserve">The Australian Government should amend the </w:t>
      </w:r>
      <w:r w:rsidRPr="0090554C">
        <w:rPr>
          <w:i/>
          <w:iCs/>
        </w:rPr>
        <w:t xml:space="preserve">Fair Work Act 2009 </w:t>
      </w:r>
      <w:r w:rsidR="00B060FB">
        <w:t>(Cth)</w:t>
      </w:r>
      <w:r w:rsidRPr="0090554C">
        <w:t xml:space="preserve"> so that if an employer and union have not reached a negotiated outcome for a greenfields agreement after three months, the employer may: </w:t>
      </w:r>
    </w:p>
    <w:p w:rsidR="00C42C9D" w:rsidRPr="0090554C" w:rsidRDefault="00C42C9D" w:rsidP="002C284B">
      <w:pPr>
        <w:numPr>
          <w:ilvl w:val="0"/>
          <w:numId w:val="9"/>
        </w:numPr>
        <w:ind w:left="1800"/>
      </w:pPr>
      <w:r w:rsidRPr="0090554C">
        <w:t xml:space="preserve">continue negotiating with the union </w:t>
      </w:r>
    </w:p>
    <w:p w:rsidR="00C42C9D" w:rsidRPr="0090554C" w:rsidRDefault="00C42C9D" w:rsidP="002C284B">
      <w:pPr>
        <w:numPr>
          <w:ilvl w:val="0"/>
          <w:numId w:val="9"/>
        </w:numPr>
        <w:ind w:left="1800"/>
      </w:pPr>
      <w:r w:rsidRPr="0090554C">
        <w:t xml:space="preserve">request that the Fair Work Commission undertake ‘last offer’ arbitration by choosing between the last offers made by the employer and the union </w:t>
      </w:r>
    </w:p>
    <w:p w:rsidR="00C42C9D" w:rsidRPr="0090554C" w:rsidRDefault="00C42C9D" w:rsidP="002C284B">
      <w:pPr>
        <w:numPr>
          <w:ilvl w:val="0"/>
          <w:numId w:val="9"/>
        </w:numPr>
        <w:ind w:left="1800"/>
      </w:pPr>
      <w:r w:rsidRPr="0090554C">
        <w:t xml:space="preserve">submit the employer’s proposed greenfields arrangement for approval with a </w:t>
      </w:r>
      <w:r w:rsidR="004B36FF" w:rsidRPr="0090554C">
        <w:t>12-month</w:t>
      </w:r>
      <w:r w:rsidRPr="0090554C">
        <w:t xml:space="preserve"> nominal expiry date. </w:t>
      </w:r>
    </w:p>
    <w:p w:rsidR="00C42C9D" w:rsidRPr="0090554C" w:rsidRDefault="00C42C9D" w:rsidP="004B36FF">
      <w:pPr>
        <w:ind w:left="720"/>
      </w:pPr>
      <w:r w:rsidRPr="0090554C">
        <w:t>Regardless of the agreement-making process chosen by the employer, the ensuing greenfields arrangement must pass the no-disadvantage test specified in recommendation 20.5.</w:t>
      </w:r>
    </w:p>
    <w:p w:rsidR="00981B5A" w:rsidRPr="0090554C" w:rsidRDefault="00DB3FF9">
      <w:r>
        <w:t>These parts</w:t>
      </w:r>
      <w:r w:rsidR="00981B5A" w:rsidRPr="0090554C">
        <w:t xml:space="preserve"> of the </w:t>
      </w:r>
      <w:r w:rsidR="004B36FF">
        <w:t>g</w:t>
      </w:r>
      <w:r w:rsidR="00981B5A" w:rsidRPr="0090554C">
        <w:t xml:space="preserve">reenfields agreement amendments </w:t>
      </w:r>
      <w:r w:rsidRPr="0090554C">
        <w:t>w</w:t>
      </w:r>
      <w:r>
        <w:t>ere</w:t>
      </w:r>
      <w:r w:rsidRPr="0090554C">
        <w:t xml:space="preserve"> </w:t>
      </w:r>
      <w:r w:rsidR="00981B5A" w:rsidRPr="0090554C">
        <w:t>strongly opposed by the unions. The ACTU position was that:</w:t>
      </w:r>
      <w:r w:rsidR="00E12D82">
        <w:rPr>
          <w:rStyle w:val="FootnoteReference"/>
        </w:rPr>
        <w:footnoteReference w:id="45"/>
      </w:r>
    </w:p>
    <w:p w:rsidR="00C42C9D" w:rsidRPr="0090554C" w:rsidRDefault="00C42C9D" w:rsidP="004B36FF">
      <w:pPr>
        <w:ind w:left="720"/>
      </w:pPr>
      <w:r w:rsidRPr="0090554C">
        <w:t>Section 182(4) removes this protection by deeming a greenfields agreement to have been made with the relevant union/s despite the union/s not having agreed to it. This provision enables an employer to unilaterally determine the terms of a greenfields agreement at the conclusion of a six-month ‘notified negotiation period’. The Productivity Commission specifically recommended against the introduction of a provision such as s 182(4) because of the potential to incentivize employers to take a ‘hard bargaining’ approach, ‘holding out until the negotiating period had elapsed and having its proposed terms approved’.</w:t>
      </w:r>
    </w:p>
    <w:p w:rsidR="00C42C9D" w:rsidRPr="0090554C" w:rsidRDefault="00C42C9D" w:rsidP="004B36FF">
      <w:pPr>
        <w:ind w:left="720"/>
      </w:pPr>
      <w:r w:rsidRPr="0090554C">
        <w:t>Section 182(4) was introduced without a sound policy basis. Importantly, both the 2012 Fair Work Act Review and the 2015 Productivity Commission Inquiry into the Workplace Relations Framework (</w:t>
      </w:r>
      <w:r w:rsidRPr="006D5944">
        <w:t>Productivity Commission Inquiry</w:t>
      </w:r>
      <w:r w:rsidRPr="0090554C">
        <w:t xml:space="preserve">) concluded that there should </w:t>
      </w:r>
      <w:r w:rsidRPr="0090554C">
        <w:rPr>
          <w:i/>
        </w:rPr>
        <w:t>not</w:t>
      </w:r>
      <w:r w:rsidRPr="0090554C">
        <w:t xml:space="preserve"> be a return to unilateral employer greenfields agreement making arrangements, as permitted under the WorkChoices regime, and yet that is precisely what s 182(4) achieves. These arrangements were also emphatically rejected by the Australian electorate at the 2007 federal election. They remain deeply unpopular with the community – for good reason, including that these arrangements led to overall reductions in wages and conditions. </w:t>
      </w:r>
    </w:p>
    <w:p w:rsidR="00C42C9D" w:rsidRPr="0090554C" w:rsidRDefault="00C42C9D" w:rsidP="004B36FF">
      <w:pPr>
        <w:ind w:left="720"/>
      </w:pPr>
      <w:r w:rsidRPr="0090554C">
        <w:t>Further, s 182(4) was introduced to mitigate a ‘</w:t>
      </w:r>
      <w:r w:rsidRPr="0090554C">
        <w:rPr>
          <w:i/>
        </w:rPr>
        <w:t xml:space="preserve">potential </w:t>
      </w:r>
      <w:r w:rsidRPr="0090554C">
        <w:t xml:space="preserve">risk to projects of national significance’, because of a perception that the previous provisions conferred on unions a capacity to frustrate </w:t>
      </w:r>
      <w:r w:rsidRPr="0090554C">
        <w:lastRenderedPageBreak/>
        <w:t xml:space="preserve">the making of a greenfields agreement in a timely way. There was no actual evidence that this power was abused or that any significant project had not proceeded for want of an agreement. The evidence relied upon in the Explanatory Memorandum to the </w:t>
      </w:r>
      <w:r w:rsidRPr="0090554C">
        <w:rPr>
          <w:i/>
        </w:rPr>
        <w:t>Fair Work Amendment Bill 2014</w:t>
      </w:r>
      <w:r w:rsidRPr="0090554C">
        <w:t xml:space="preserve"> (Cth) was speculative and anecdotal, particularly in relation to the time taken to negotiate a greenfields agreement.</w:t>
      </w:r>
    </w:p>
    <w:p w:rsidR="004B36FF" w:rsidRDefault="004B36FF" w:rsidP="004B36FF">
      <w:pPr>
        <w:ind w:left="720"/>
      </w:pPr>
      <w:r>
        <w:t>…</w:t>
      </w:r>
    </w:p>
    <w:p w:rsidR="00C42C9D" w:rsidRPr="0090554C" w:rsidRDefault="00C42C9D" w:rsidP="004B36FF">
      <w:pPr>
        <w:ind w:left="720"/>
      </w:pPr>
      <w:r w:rsidRPr="0090554C">
        <w:t>Of course, the most telling evidence that its introduction was unnecessary is that no application has been made for approval of a greenfields agreement pursuant to s 182(4). Our affiliates report that they have not observed any altered bargaining behaviour on the part of either employers or unions as a result of the 2015 greenfields agreement amendments. We anticipate that the repeal of s 182(4) will have no effect on greenfields agreement making.</w:t>
      </w:r>
    </w:p>
    <w:p w:rsidR="00C42C9D" w:rsidRPr="0090554C" w:rsidRDefault="00C42C9D" w:rsidP="004B36FF">
      <w:pPr>
        <w:ind w:left="720"/>
      </w:pPr>
      <w:r w:rsidRPr="0090554C">
        <w:t>However for as long as s 182(4) remains in the Act, there is the potential for it to be utilised by employers to unilaterally determine pay and conditions, without the important safeguard of agreement with the relevant union/s on behalf of the workers for whom they are the legitimate bargaining representative under the Act. It is because of this potential that s 182(4) must be repealed.</w:t>
      </w:r>
    </w:p>
    <w:p w:rsidR="00C42C9D" w:rsidRPr="0090554C" w:rsidRDefault="00C42C9D" w:rsidP="004B36FF">
      <w:pPr>
        <w:ind w:left="720"/>
      </w:pPr>
      <w:r w:rsidRPr="0090554C">
        <w:t xml:space="preserve">This potential is of particular concern where workers have reduced market power, for example, ‘in non-project settings where timing is not as critical, or where workers may be less mobile or [formally] skilled, meaning that imbalances in bargaining power may persist.’ As noted, section 182(4) was introduced to mitigate a perceived risk in respect of major capital projects and resource development projects. Its operation however is not so limited and it has potential for use in industry contexts where workers have reduced market power. </w:t>
      </w:r>
    </w:p>
    <w:p w:rsidR="00981B5A" w:rsidRPr="0090554C" w:rsidRDefault="00C42C9D" w:rsidP="004B36FF">
      <w:pPr>
        <w:ind w:left="720"/>
      </w:pPr>
      <w:r w:rsidRPr="0090554C">
        <w:t xml:space="preserve">Workers’ market power is also contingent on the economic context – for example, workers have reduced market power when there are ‘relatively few alternative projects available to potential employees’. These are the precise economic circumstances that workers currently face, given the reduction in the number and scale of capital development projects. The current economic context is also marked by wage stagnation. As noted above, there is empirical evidence that unilateral employer greenfields agreements led to overall </w:t>
      </w:r>
      <w:r w:rsidRPr="0090554C">
        <w:rPr>
          <w:i/>
        </w:rPr>
        <w:t>reductions</w:t>
      </w:r>
      <w:r w:rsidRPr="0090554C">
        <w:t xml:space="preserve"> in wages. Collective bargaining is one of the most effective means to improve wage growth. In light of the growing consensus on the need to generate wage growth, reform should be directed to abolishing unilateral greenfields agreements and supporting genuine collective bargaining (further discussed below). </w:t>
      </w:r>
    </w:p>
    <w:p w:rsidR="00A3500C" w:rsidRPr="0090554C" w:rsidRDefault="004B36FF">
      <w:r>
        <w:t>The AWU summarised its position</w:t>
      </w:r>
      <w:r w:rsidR="004751F7" w:rsidRPr="0090554C">
        <w:t>:</w:t>
      </w:r>
      <w:r w:rsidR="00E12D82">
        <w:rPr>
          <w:rStyle w:val="FootnoteReference"/>
        </w:rPr>
        <w:footnoteReference w:id="46"/>
      </w:r>
    </w:p>
    <w:p w:rsidR="00A3500C" w:rsidRPr="0090554C" w:rsidRDefault="00C42C9D" w:rsidP="004B36FF">
      <w:pPr>
        <w:ind w:left="720"/>
      </w:pPr>
      <w:r w:rsidRPr="0090554C">
        <w:t>Section 182(4) should be repealed. Not only is the provision at odds with the balance of the Act, the recommendations of the Productivity Commission, and the recommendations of the Review Panel, it is evidently redundant in any operative sense. Prior to the Amendment, there was no evidence to suggest that such an amendment was required; now it is undeniable that s182(4) is both undesirable and unnecessary.</w:t>
      </w:r>
    </w:p>
    <w:p w:rsidR="00A3500C" w:rsidRPr="0090554C" w:rsidRDefault="00A3500C">
      <w:r w:rsidRPr="0090554C">
        <w:lastRenderedPageBreak/>
        <w:t>The CFMEU advocated a similar position in the following terms:</w:t>
      </w:r>
      <w:r w:rsidR="00E12D82">
        <w:rPr>
          <w:rStyle w:val="FootnoteReference"/>
        </w:rPr>
        <w:footnoteReference w:id="47"/>
      </w:r>
    </w:p>
    <w:p w:rsidR="00C976BE" w:rsidRPr="0090554C" w:rsidRDefault="00C42C9D" w:rsidP="004B36FF">
      <w:pPr>
        <w:ind w:left="720"/>
      </w:pPr>
      <w:r w:rsidRPr="0090554C">
        <w:t>The provisions providing for employer unilateral agreement making for greenfield agreements, section 182 (4), was based on assertions of capricious conduct by trade unions in the greenfield bargaining processes. The failure to see any good faith bargaining applications or the invocation of s 182(4) to conclude agreement-making raises serious concerns about the basis for these assertions. We ought to at the very least acknowledge reliance was wrongly placed on these assertions by employers. The good faith bargaining provisions and their application to greenfield agreements allows actual evidence to be put before the Commission about capricious or indeed unreasonable conduct. This has not occurred. Employer unilateralism for greenfield agreements must now be abolished.</w:t>
      </w:r>
    </w:p>
    <w:p w:rsidR="00ED0F95" w:rsidRDefault="00ED0F95" w:rsidP="00C976BE">
      <w:r>
        <w:t xml:space="preserve">None of the union submissions addressed the circumstances described by employers where no agreement had been possible after six months </w:t>
      </w:r>
      <w:r w:rsidR="00750659">
        <w:t xml:space="preserve">of </w:t>
      </w:r>
      <w:r>
        <w:t>negotiations.</w:t>
      </w:r>
    </w:p>
    <w:p w:rsidR="00C976BE" w:rsidRPr="0090554C" w:rsidRDefault="00C976BE" w:rsidP="00C976BE">
      <w:r w:rsidRPr="0090554C">
        <w:t xml:space="preserve">The employer organisations adopted </w:t>
      </w:r>
      <w:r w:rsidR="00750659">
        <w:t>a</w:t>
      </w:r>
      <w:r w:rsidR="00ED0F95">
        <w:t xml:space="preserve"> very different</w:t>
      </w:r>
      <w:r w:rsidRPr="0090554C">
        <w:t xml:space="preserve"> position</w:t>
      </w:r>
      <w:r w:rsidR="00ED0F95">
        <w:t xml:space="preserve"> to the unions</w:t>
      </w:r>
      <w:r w:rsidRPr="0090554C">
        <w:t xml:space="preserve">. ACCI argued that the capacity to </w:t>
      </w:r>
      <w:r w:rsidR="00C330BB">
        <w:t>apply for</w:t>
      </w:r>
      <w:r w:rsidR="00C330BB" w:rsidRPr="0090554C">
        <w:t xml:space="preserve"> </w:t>
      </w:r>
      <w:r w:rsidRPr="0090554C">
        <w:t>a</w:t>
      </w:r>
      <w:r w:rsidR="00B07E51" w:rsidRPr="0090554C">
        <w:t xml:space="preserve"> </w:t>
      </w:r>
      <w:r w:rsidR="00C4669B">
        <w:t>s</w:t>
      </w:r>
      <w:r w:rsidR="00B07E51" w:rsidRPr="0090554C">
        <w:t xml:space="preserve"> </w:t>
      </w:r>
      <w:r w:rsidR="00750659" w:rsidRPr="0090554C">
        <w:t>18</w:t>
      </w:r>
      <w:r w:rsidR="00750659">
        <w:t>2</w:t>
      </w:r>
      <w:r w:rsidR="00B07E51" w:rsidRPr="0090554C">
        <w:t>(</w:t>
      </w:r>
      <w:r w:rsidR="00750659">
        <w:t>4</w:t>
      </w:r>
      <w:r w:rsidR="00B07E51" w:rsidRPr="0090554C">
        <w:t>) greenfields agreement</w:t>
      </w:r>
      <w:r w:rsidR="00FE0B4E">
        <w:t xml:space="preserve"> </w:t>
      </w:r>
      <w:r w:rsidRPr="0090554C">
        <w:t xml:space="preserve">had to be seen in the context of the end of the resources boom, which substantially explained the reduction in the number of agreements and significantly impacted on commercial and labour market opportunities. ACCI </w:t>
      </w:r>
      <w:r w:rsidR="00D66D14">
        <w:t>argued for</w:t>
      </w:r>
      <w:r w:rsidRPr="0090554C">
        <w:t xml:space="preserve"> the replacement the six-month negotiation period with a three-month term, together with broader options at the discretion of the employer at the end of the negotiating period.</w:t>
      </w:r>
      <w:r w:rsidR="00E12D82">
        <w:rPr>
          <w:rStyle w:val="FootnoteReference"/>
        </w:rPr>
        <w:footnoteReference w:id="48"/>
      </w:r>
    </w:p>
    <w:p w:rsidR="00C976BE" w:rsidRPr="0090554C" w:rsidRDefault="00C976BE" w:rsidP="00C976BE">
      <w:r w:rsidRPr="0090554C">
        <w:t>The AiG argued that the six-month notification period should be reduced to 2 months because of the tight timeframes applicable</w:t>
      </w:r>
      <w:r w:rsidR="004B36FF">
        <w:t xml:space="preserve"> to major development projects.</w:t>
      </w:r>
      <w:r w:rsidR="004B36FF">
        <w:rPr>
          <w:rStyle w:val="FootnoteReference"/>
        </w:rPr>
        <w:footnoteReference w:id="49"/>
      </w:r>
    </w:p>
    <w:p w:rsidR="00C976BE" w:rsidRPr="0090554C" w:rsidRDefault="00750659" w:rsidP="00C976BE">
      <w:r>
        <w:t xml:space="preserve">ABI </w:t>
      </w:r>
      <w:r w:rsidR="00C976BE" w:rsidRPr="0090554C">
        <w:t>noted the reduction in the number of major investment projects made an assessment of the</w:t>
      </w:r>
      <w:r w:rsidR="00FE0B4E">
        <w:t xml:space="preserve"> effect of this element of the g</w:t>
      </w:r>
      <w:r w:rsidR="00C976BE" w:rsidRPr="0090554C">
        <w:t>reenfields agreement amendments difficult but suggested that the notified negotiation period be reduced to 3 months. Furthermore</w:t>
      </w:r>
      <w:r w:rsidR="004B36FF">
        <w:t>,</w:t>
      </w:r>
      <w:r w:rsidR="00C976BE" w:rsidRPr="0090554C">
        <w:t xml:space="preserve"> ABI proposes further consideration of the Productivity Commission recommendations. It opposed involuntary arbitration</w:t>
      </w:r>
      <w:r w:rsidR="008210F1">
        <w:t xml:space="preserve"> and</w:t>
      </w:r>
      <w:r w:rsidR="008210F1" w:rsidRPr="0090554C">
        <w:t xml:space="preserve"> support</w:t>
      </w:r>
      <w:r w:rsidR="008210F1">
        <w:t>ed</w:t>
      </w:r>
      <w:r w:rsidR="008210F1" w:rsidRPr="0090554C">
        <w:t xml:space="preserve"> </w:t>
      </w:r>
      <w:r w:rsidR="00C976BE" w:rsidRPr="0090554C">
        <w:t>a simple assessment against the BOOT. Failing th</w:t>
      </w:r>
      <w:r w:rsidR="00873629">
        <w:t>is, ABI tentatively favoured a ‘</w:t>
      </w:r>
      <w:r w:rsidR="00C976BE" w:rsidRPr="0090554C">
        <w:t>last offer arbitration</w:t>
      </w:r>
      <w:r w:rsidR="00873629">
        <w:t>’</w:t>
      </w:r>
      <w:r w:rsidR="00C976BE" w:rsidRPr="0090554C">
        <w:t xml:space="preserve"> option.</w:t>
      </w:r>
      <w:r w:rsidR="004B36FF">
        <w:rPr>
          <w:rStyle w:val="FootnoteReference"/>
        </w:rPr>
        <w:footnoteReference w:id="50"/>
      </w:r>
      <w:r w:rsidR="00C976BE" w:rsidRPr="0090554C">
        <w:t xml:space="preserve"> </w:t>
      </w:r>
    </w:p>
    <w:p w:rsidR="00C976BE" w:rsidRPr="0090554C" w:rsidRDefault="00C976BE" w:rsidP="00C976BE">
      <w:r w:rsidRPr="0090554C">
        <w:t>AMMA strongly supported the retention of a noti</w:t>
      </w:r>
      <w:r w:rsidR="00C36269">
        <w:t>fied negotiation period</w:t>
      </w:r>
      <w:r w:rsidRPr="0090554C">
        <w:t>. AMMA stated:</w:t>
      </w:r>
      <w:r w:rsidR="00E12D82">
        <w:rPr>
          <w:rStyle w:val="FootnoteReference"/>
        </w:rPr>
        <w:footnoteReference w:id="51"/>
      </w:r>
    </w:p>
    <w:p w:rsidR="00C42C9D" w:rsidRPr="0090554C" w:rsidRDefault="00C42C9D" w:rsidP="007C2B08">
      <w:pPr>
        <w:ind w:left="720"/>
      </w:pPr>
      <w:r w:rsidRPr="0090554C">
        <w:t xml:space="preserve">There is a clear need for some form of ‘circuit breaker’ to assist negotiations to proceed in a timely and constructive fashion. In feedback sought in response to this review, one AMMA member observed: </w:t>
      </w:r>
    </w:p>
    <w:p w:rsidR="00C42C9D" w:rsidRPr="0090554C" w:rsidRDefault="00C42C9D" w:rsidP="007C2B08">
      <w:pPr>
        <w:ind w:left="720"/>
        <w:rPr>
          <w:i/>
        </w:rPr>
      </w:pPr>
      <w:r w:rsidRPr="0090554C">
        <w:rPr>
          <w:i/>
        </w:rPr>
        <w:t xml:space="preserve">“knowing that there was a timeframe where arbitration could be utilised, the closer it came to six months, the union was held to meaningful conversations.” </w:t>
      </w:r>
    </w:p>
    <w:p w:rsidR="00C42C9D" w:rsidRPr="0090554C" w:rsidRDefault="00C42C9D" w:rsidP="007C2B08">
      <w:pPr>
        <w:ind w:left="720"/>
      </w:pPr>
      <w:r w:rsidRPr="0090554C">
        <w:t xml:space="preserve">This observation is a reflection that, in the experience of that member, bargaining behaviour was positively affected by the 2015 amendments. Other feedback received by AMMA expressed similar sentiments, although not all of AMMA’s members have seen a positive improvement in bargaining behaviour on the part of unions, with feedback noting that the process for </w:t>
      </w:r>
      <w:r w:rsidRPr="0090554C">
        <w:lastRenderedPageBreak/>
        <w:t xml:space="preserve">greenfields negotiations is often still heavily weighted in favour of unions. This is particularly the case where a contractor is obliged to have an agreement in place prior to mobilising labour, and there is a lead in time of less than 6 months before work is scheduled to commence. As greenfields agreements must be made with a union, the leverage exercised remains significant. </w:t>
      </w:r>
    </w:p>
    <w:p w:rsidR="00C976BE" w:rsidRPr="0090554C" w:rsidRDefault="00C42C9D" w:rsidP="007C2B08">
      <w:pPr>
        <w:ind w:left="720"/>
      </w:pPr>
      <w:r w:rsidRPr="0090554C">
        <w:t>It is AMMA’s view that further amendments are necessary to ensure a system that is effective and fair.</w:t>
      </w:r>
    </w:p>
    <w:p w:rsidR="00C976BE" w:rsidRPr="0090554C" w:rsidRDefault="00C976BE" w:rsidP="00C976BE">
      <w:r w:rsidRPr="0090554C">
        <w:t>In terms of the six-month negotiation period, AMMA confirmed its position that this should be reduced to 3 months. It stated:</w:t>
      </w:r>
      <w:r w:rsidR="00E12D82">
        <w:rPr>
          <w:rStyle w:val="FootnoteReference"/>
        </w:rPr>
        <w:footnoteReference w:id="52"/>
      </w:r>
    </w:p>
    <w:p w:rsidR="00702B67" w:rsidRDefault="00702B67" w:rsidP="00702B67">
      <w:pPr>
        <w:ind w:left="720"/>
      </w:pPr>
      <w:r w:rsidRPr="0090554C">
        <w:t>AMMA has not been able to identify any clear link between the 2015 amendments and the decrease in greenfields approval applications and suggests for the resources and energy sector at least, the current investment climate has impacted on the need for new greenfields agreements to be made.</w:t>
      </w:r>
    </w:p>
    <w:p w:rsidR="00702B67" w:rsidRPr="0090554C" w:rsidRDefault="00702B67" w:rsidP="00702B67">
      <w:pPr>
        <w:ind w:left="720"/>
      </w:pPr>
      <w:r>
        <w:t>…</w:t>
      </w:r>
    </w:p>
    <w:p w:rsidR="00C42C9D" w:rsidRDefault="00C42C9D" w:rsidP="007C2B08">
      <w:pPr>
        <w:ind w:left="720"/>
      </w:pPr>
      <w:r w:rsidRPr="0090554C">
        <w:t>Member feedback revealed that 85 per cent of employers who negotiate greenfields agreements for new projects are concerned about the time taken to reach a greenfields agreement. This is not just due to the resources taken to engage in bargaining, but also the realities of timeliness between the requirement to reach an agreement, engage a workforce and commence work on some projects will be less than 6 months.</w:t>
      </w:r>
    </w:p>
    <w:p w:rsidR="00702B67" w:rsidRPr="0090554C" w:rsidRDefault="00702B67" w:rsidP="007C2B08">
      <w:pPr>
        <w:ind w:left="720"/>
      </w:pPr>
      <w:r>
        <w:t>…</w:t>
      </w:r>
    </w:p>
    <w:p w:rsidR="00C42C9D" w:rsidRPr="0090554C" w:rsidRDefault="00C42C9D" w:rsidP="007C2B08">
      <w:pPr>
        <w:ind w:left="720"/>
      </w:pPr>
      <w:r w:rsidRPr="0090554C">
        <w:t xml:space="preserve">It also should be noted that the notification period of six months is a trigger for an application to be made to the FWC. The ultimate outcome, including final costs liabilities of the enterprise, will not be known for some time. Notwithstanding that an agreement is made when s 182(3) or </w:t>
      </w:r>
      <w:r w:rsidR="00D40D01">
        <w:br/>
      </w:r>
      <w:r w:rsidRPr="0090554C">
        <w:t xml:space="preserve">s 182(4) are satisfied, the agreement is still subject to formal approval. </w:t>
      </w:r>
    </w:p>
    <w:p w:rsidR="00C976BE" w:rsidRPr="0090554C" w:rsidRDefault="00C42C9D" w:rsidP="007C2B08">
      <w:pPr>
        <w:ind w:left="720"/>
      </w:pPr>
      <w:r w:rsidRPr="0090554C">
        <w:t>Under the FWC’s timeliness benchmarks, it aims to finalise all agreement approval applications within 12 weeks. It notes that the timeliness benchmarks are aspirational, and it expects that there will be circumstances where the FWC cannot meet its timeliness goals for a variety of reasons. The most recent FWC Annual Report reveals that 90 per cent of greenfields agreements were finalised by the FWC within 59 days in 2016-17.</w:t>
      </w:r>
    </w:p>
    <w:p w:rsidR="009A4C93" w:rsidRDefault="00494142" w:rsidP="00C976BE">
      <w:r>
        <w:t>The e</w:t>
      </w:r>
      <w:r w:rsidR="00BB0038" w:rsidRPr="0090554C">
        <w:t xml:space="preserve">xperienced </w:t>
      </w:r>
      <w:r w:rsidR="002F1169">
        <w:t>workplace relations professionals</w:t>
      </w:r>
      <w:r w:rsidR="00BB0038" w:rsidRPr="0090554C">
        <w:t xml:space="preserve"> involved in major </w:t>
      </w:r>
      <w:r w:rsidR="009A4C93">
        <w:t>resource</w:t>
      </w:r>
      <w:r w:rsidR="009A4C93" w:rsidRPr="0090554C">
        <w:t xml:space="preserve"> </w:t>
      </w:r>
      <w:r w:rsidRPr="0090554C">
        <w:t>development</w:t>
      </w:r>
      <w:r w:rsidR="009A4C93">
        <w:t xml:space="preserve"> projects</w:t>
      </w:r>
      <w:r>
        <w:t xml:space="preserve"> </w:t>
      </w:r>
      <w:r w:rsidR="008210F1">
        <w:t xml:space="preserve">with whom </w:t>
      </w:r>
      <w:r>
        <w:t>the review consulted</w:t>
      </w:r>
      <w:r w:rsidR="008B4341">
        <w:rPr>
          <w:rStyle w:val="FootnoteReference"/>
        </w:rPr>
        <w:footnoteReference w:id="53"/>
      </w:r>
      <w:r w:rsidR="00BB0038" w:rsidRPr="0090554C">
        <w:t xml:space="preserve"> </w:t>
      </w:r>
      <w:r w:rsidR="00431026">
        <w:t xml:space="preserve">suggested </w:t>
      </w:r>
      <w:r w:rsidR="00C976BE" w:rsidRPr="0090554C">
        <w:t>that a six-month notified negotiation period was simply too long</w:t>
      </w:r>
      <w:r w:rsidR="00431026">
        <w:t xml:space="preserve"> as even a delay of a few months could have serious repercussions for the viability of a significant project</w:t>
      </w:r>
      <w:r w:rsidR="00C976BE" w:rsidRPr="0090554C">
        <w:t>.</w:t>
      </w:r>
      <w:r w:rsidR="009A4C93">
        <w:t xml:space="preserve"> Certainty in terms of project labour costs was acknowledged as a critical element in final project costing and approval decisions. Whilst the high commodity prices during the resources boom provided increased project funding latitude, normal trading conditions make this cost certainty critical.</w:t>
      </w:r>
    </w:p>
    <w:p w:rsidR="00C36269" w:rsidRDefault="008C366A" w:rsidP="00C976BE">
      <w:r>
        <w:lastRenderedPageBreak/>
        <w:t>Based on feedback from workplace relations professionals, a</w:t>
      </w:r>
      <w:r w:rsidR="00BB0038" w:rsidRPr="0090554C">
        <w:t xml:space="preserve"> </w:t>
      </w:r>
      <w:r w:rsidR="008210F1">
        <w:t>general</w:t>
      </w:r>
      <w:r w:rsidR="008210F1" w:rsidRPr="0090554C">
        <w:t xml:space="preserve"> </w:t>
      </w:r>
      <w:r w:rsidR="00BB0038" w:rsidRPr="0090554C">
        <w:t>approach</w:t>
      </w:r>
      <w:r w:rsidR="00431026">
        <w:t xml:space="preserve"> for these projects </w:t>
      </w:r>
      <w:r>
        <w:t>wa</w:t>
      </w:r>
      <w:r w:rsidR="00431026">
        <w:t>s for an initial greenfields agreement to be negotiated for an early stage of a project</w:t>
      </w:r>
      <w:r w:rsidR="00F726CC">
        <w:t>. This agreement</w:t>
      </w:r>
      <w:r w:rsidR="00431026">
        <w:t xml:space="preserve"> </w:t>
      </w:r>
      <w:r>
        <w:t>may involve</w:t>
      </w:r>
      <w:r w:rsidR="00431026" w:rsidRPr="0090554C">
        <w:t xml:space="preserve"> civil works</w:t>
      </w:r>
      <w:r w:rsidR="00431026">
        <w:t xml:space="preserve"> with </w:t>
      </w:r>
      <w:r w:rsidR="00F726CC">
        <w:t xml:space="preserve">negotiations over a two to </w:t>
      </w:r>
      <w:r w:rsidR="00750659">
        <w:t>three-month</w:t>
      </w:r>
      <w:r w:rsidR="00494142">
        <w:t xml:space="preserve"> period.</w:t>
      </w:r>
      <w:r w:rsidR="00050351">
        <w:t xml:space="preserve"> The initial agreement could alternatively be negotiated with a managing contractor who was also a direct employer on a given project. </w:t>
      </w:r>
      <w:r w:rsidR="00494142">
        <w:t xml:space="preserve"> </w:t>
      </w:r>
      <w:r w:rsidR="00050351" w:rsidRPr="0090554C">
        <w:t>This was particularly the case if external funding was being sought but applied even if a resource development project was being funded from internal resources.</w:t>
      </w:r>
      <w:r w:rsidR="00050351">
        <w:t xml:space="preserve"> </w:t>
      </w:r>
      <w:r w:rsidR="00E06E3C">
        <w:t xml:space="preserve">The </w:t>
      </w:r>
      <w:r w:rsidR="00497248">
        <w:t xml:space="preserve">general terms and conditions of </w:t>
      </w:r>
      <w:r w:rsidR="000D6DD2">
        <w:t>the initial</w:t>
      </w:r>
      <w:r w:rsidR="00494142">
        <w:t xml:space="preserve"> agreement </w:t>
      </w:r>
      <w:r w:rsidR="00094541">
        <w:t xml:space="preserve">were </w:t>
      </w:r>
      <w:r w:rsidR="009A4C93">
        <w:t>commonly</w:t>
      </w:r>
      <w:r w:rsidR="00F726CC">
        <w:t xml:space="preserve"> adopted</w:t>
      </w:r>
      <w:r w:rsidR="00494142">
        <w:t xml:space="preserve"> in other greenfields agreements as other contractors bid for</w:t>
      </w:r>
      <w:r w:rsidR="00C019EF">
        <w:t>,</w:t>
      </w:r>
      <w:r w:rsidR="009A4C93">
        <w:t xml:space="preserve"> or win</w:t>
      </w:r>
      <w:r w:rsidR="00C019EF">
        <w:t>,</w:t>
      </w:r>
      <w:r w:rsidR="00494142">
        <w:t xml:space="preserve"> other areas of work on a project</w:t>
      </w:r>
      <w:r w:rsidR="00C36269">
        <w:t>, with variations specific to individual contractors</w:t>
      </w:r>
      <w:r w:rsidR="00494142">
        <w:t xml:space="preserve">. </w:t>
      </w:r>
    </w:p>
    <w:p w:rsidR="00431026" w:rsidRDefault="00494142" w:rsidP="00C976BE">
      <w:r>
        <w:t xml:space="preserve">Having the initial agreement </w:t>
      </w:r>
      <w:r w:rsidR="00F726CC">
        <w:t xml:space="preserve">established </w:t>
      </w:r>
      <w:r>
        <w:t xml:space="preserve">in a reasonable time is important </w:t>
      </w:r>
      <w:r w:rsidR="00F726CC">
        <w:t>to the commencement of the project.</w:t>
      </w:r>
      <w:r>
        <w:t xml:space="preserve"> </w:t>
      </w:r>
      <w:r w:rsidR="00F726CC">
        <w:t>Additionally,</w:t>
      </w:r>
      <w:r w:rsidR="00B73490">
        <w:t xml:space="preserve"> </w:t>
      </w:r>
      <w:r w:rsidR="00F726CC">
        <w:t xml:space="preserve">as subsequent contractors often had only a few weeks between </w:t>
      </w:r>
      <w:r w:rsidR="00050351">
        <w:t xml:space="preserve">being awarded </w:t>
      </w:r>
      <w:r w:rsidR="00E058C3">
        <w:br/>
      </w:r>
      <w:r w:rsidR="00050351">
        <w:t>a contract and commencing,</w:t>
      </w:r>
      <w:r w:rsidR="00F726CC">
        <w:t xml:space="preserve"> </w:t>
      </w:r>
      <w:r>
        <w:t xml:space="preserve">delays in </w:t>
      </w:r>
      <w:r w:rsidR="00050351">
        <w:t xml:space="preserve">concluding </w:t>
      </w:r>
      <w:r w:rsidR="00F726CC">
        <w:t xml:space="preserve">agreements applicable to </w:t>
      </w:r>
      <w:r w:rsidR="00497248">
        <w:t xml:space="preserve">contractors’ work on </w:t>
      </w:r>
      <w:r w:rsidR="00050351">
        <w:t>a project</w:t>
      </w:r>
      <w:r>
        <w:t xml:space="preserve"> </w:t>
      </w:r>
      <w:r w:rsidR="00F726CC">
        <w:t>have the potential to stop these contractors from being able to commence working</w:t>
      </w:r>
      <w:r w:rsidR="00050351">
        <w:t xml:space="preserve"> or to expose </w:t>
      </w:r>
      <w:r w:rsidR="00497248">
        <w:t>them</w:t>
      </w:r>
      <w:r w:rsidR="00050351">
        <w:t xml:space="preserve"> to potential additional costs or disruption</w:t>
      </w:r>
      <w:r>
        <w:t xml:space="preserve">. </w:t>
      </w:r>
    </w:p>
    <w:p w:rsidR="00431026" w:rsidRDefault="00B957CA" w:rsidP="00C976BE">
      <w:r>
        <w:t>The review was advised</w:t>
      </w:r>
      <w:r w:rsidR="002F1169">
        <w:t xml:space="preserve"> by workplace relations professionals</w:t>
      </w:r>
      <w:r>
        <w:t xml:space="preserve"> that, depending on the nature of the project, contractors could have only very limited time to finalise a bid, and, if successful, could be required to mobil</w:t>
      </w:r>
      <w:r w:rsidR="00B73490">
        <w:t>i</w:t>
      </w:r>
      <w:r>
        <w:t>se a workforce within a similar short time period. On other projects these time frames were substantially extended. The difference appears to relate to the proje</w:t>
      </w:r>
      <w:r w:rsidR="00E9405E">
        <w:t xml:space="preserve">ct management approach adopted </w:t>
      </w:r>
      <w:r>
        <w:t xml:space="preserve">for a given project. Timeframes for </w:t>
      </w:r>
      <w:r w:rsidR="00E9405E">
        <w:t>building construction and infrastructure projects were generally shorter than those applicable for major resource development projects.</w:t>
      </w:r>
      <w:r w:rsidR="00E9405E" w:rsidRPr="0090554C" w:rsidDel="00E9405E">
        <w:t xml:space="preserve"> </w:t>
      </w:r>
    </w:p>
    <w:p w:rsidR="00EF6A06" w:rsidRDefault="00EF6A06" w:rsidP="00EF6A06">
      <w:r>
        <w:t xml:space="preserve">As noted elsewhere in this report, if a greenfields agreement cannot be negotiated, the alternatives are that the project does not go ahead, or to go ahead without a greenfields agreement, exposing the project to potential protected industrial action. In addition to the risk of protected industrial action, </w:t>
      </w:r>
      <w:r w:rsidR="00E058C3">
        <w:br/>
      </w:r>
      <w:r>
        <w:t xml:space="preserve">the MBA also expressed concerns about the prevalence of unlawful behaviour by </w:t>
      </w:r>
      <w:r w:rsidR="00FE1DE4">
        <w:t xml:space="preserve">the </w:t>
      </w:r>
      <w:r>
        <w:t>CFMEU in the building sector.</w:t>
      </w:r>
      <w:r>
        <w:rPr>
          <w:rStyle w:val="FootnoteReference"/>
        </w:rPr>
        <w:footnoteReference w:id="54"/>
      </w:r>
      <w:r>
        <w:t xml:space="preserve"> Taken together, this may present a</w:t>
      </w:r>
      <w:r w:rsidR="00FE1DE4">
        <w:t xml:space="preserve"> significant</w:t>
      </w:r>
      <w:r>
        <w:t xml:space="preserve"> risk to the viability of a project. </w:t>
      </w:r>
    </w:p>
    <w:p w:rsidR="00E728E7" w:rsidRPr="0090554C" w:rsidRDefault="00C976BE" w:rsidP="00C976BE">
      <w:r w:rsidRPr="0090554C">
        <w:t xml:space="preserve">Finally, the advice provided to the </w:t>
      </w:r>
      <w:r w:rsidR="00750659">
        <w:t>r</w:t>
      </w:r>
      <w:r w:rsidR="00750659" w:rsidRPr="0090554C">
        <w:t>evi</w:t>
      </w:r>
      <w:r w:rsidR="00750659">
        <w:t>ew</w:t>
      </w:r>
      <w:r w:rsidR="002F1169">
        <w:t xml:space="preserve"> by workplace relations professionals</w:t>
      </w:r>
      <w:r w:rsidR="00750659">
        <w:t xml:space="preserve"> </w:t>
      </w:r>
      <w:r w:rsidR="00094541">
        <w:t>was that</w:t>
      </w:r>
      <w:r w:rsidR="00FE0B4E">
        <w:t xml:space="preserve"> g</w:t>
      </w:r>
      <w:r w:rsidRPr="0090554C">
        <w:t>reenfields agreements negotiated for major resource projects have hist</w:t>
      </w:r>
      <w:r w:rsidR="00873629">
        <w:t>orically involved estimates of ‘</w:t>
      </w:r>
      <w:r w:rsidRPr="0090554C">
        <w:t>going rates</w:t>
      </w:r>
      <w:r w:rsidR="00050351">
        <w:t xml:space="preserve"> and conditions</w:t>
      </w:r>
      <w:r w:rsidR="00873629">
        <w:t>’</w:t>
      </w:r>
      <w:r w:rsidRPr="0090554C">
        <w:t xml:space="preserve"> and relatively consistent wage increases. For most major projects</w:t>
      </w:r>
      <w:r w:rsidR="000E0842" w:rsidRPr="0090554C">
        <w:t xml:space="preserve"> completed in the period from 2009-2015</w:t>
      </w:r>
      <w:r w:rsidRPr="0090554C">
        <w:t xml:space="preserve"> this has translated to wage increases of </w:t>
      </w:r>
      <w:r w:rsidR="003169CC">
        <w:t>five per cent</w:t>
      </w:r>
      <w:r w:rsidRPr="0090554C">
        <w:t xml:space="preserve"> per annum. The </w:t>
      </w:r>
      <w:r w:rsidR="00497248">
        <w:t>significant reduction in resource prices and the absence of new resource projects means that the boom wages and conditions experience</w:t>
      </w:r>
      <w:r w:rsidR="00094541">
        <w:t>d</w:t>
      </w:r>
      <w:r w:rsidR="00497248">
        <w:t xml:space="preserve"> for the resources sector </w:t>
      </w:r>
      <w:r w:rsidR="00094541">
        <w:t>may have</w:t>
      </w:r>
      <w:r w:rsidR="00497248">
        <w:t xml:space="preserve"> been disturbed.</w:t>
      </w:r>
      <w:r w:rsidR="00497248" w:rsidRPr="0090554C" w:rsidDel="00497248">
        <w:t xml:space="preserve"> </w:t>
      </w:r>
    </w:p>
    <w:p w:rsidR="00E111D4" w:rsidRDefault="00E728E7" w:rsidP="00E728E7">
      <w:r w:rsidRPr="0090554C">
        <w:t xml:space="preserve">When the </w:t>
      </w:r>
      <w:r w:rsidR="002F018A">
        <w:t xml:space="preserve">duration of the </w:t>
      </w:r>
      <w:r w:rsidRPr="0090554C">
        <w:t xml:space="preserve">six-month negotiation period is considered in </w:t>
      </w:r>
      <w:r w:rsidR="000E0842" w:rsidRPr="0090554C">
        <w:t xml:space="preserve">the </w:t>
      </w:r>
      <w:r w:rsidRPr="0090554C">
        <w:t>context</w:t>
      </w:r>
      <w:r w:rsidR="00244A12" w:rsidRPr="0090554C">
        <w:t xml:space="preserve"> of all the information provided to the </w:t>
      </w:r>
      <w:r w:rsidR="00750659">
        <w:t>r</w:t>
      </w:r>
      <w:r w:rsidR="00244A12" w:rsidRPr="0090554C">
        <w:t>eview</w:t>
      </w:r>
      <w:r w:rsidRPr="0090554C">
        <w:t>, it represents a substantial possible delay and</w:t>
      </w:r>
      <w:r w:rsidR="00244A12" w:rsidRPr="0090554C">
        <w:t xml:space="preserve"> could very likely</w:t>
      </w:r>
      <w:r w:rsidR="00E111D4">
        <w:t xml:space="preserve"> jeopardise</w:t>
      </w:r>
      <w:r w:rsidRPr="0090554C">
        <w:t xml:space="preserve"> </w:t>
      </w:r>
      <w:r w:rsidR="00244A12" w:rsidRPr="0090554C">
        <w:t xml:space="preserve">either </w:t>
      </w:r>
      <w:r w:rsidRPr="0090554C">
        <w:t>a final project approval decision</w:t>
      </w:r>
      <w:r w:rsidR="00244A12" w:rsidRPr="0090554C">
        <w:t xml:space="preserve"> or a contractor’s capacity to participate in a project</w:t>
      </w:r>
      <w:r w:rsidRPr="0090554C">
        <w:t xml:space="preserve">. </w:t>
      </w:r>
    </w:p>
    <w:p w:rsidR="00A97CAD" w:rsidRDefault="00A97CAD" w:rsidP="00E728E7">
      <w:r>
        <w:t xml:space="preserve">Workplace relations </w:t>
      </w:r>
      <w:r w:rsidR="002F1169">
        <w:t xml:space="preserve">professionals </w:t>
      </w:r>
      <w:r>
        <w:t xml:space="preserve">in the infrastructure construction sector agreed that the </w:t>
      </w:r>
      <w:r w:rsidR="00750659">
        <w:t>six-month</w:t>
      </w:r>
      <w:r>
        <w:t xml:space="preserve"> negotiation period was too long and suggested three months was a more appropriate timeframe as they were commonly required to mobili</w:t>
      </w:r>
      <w:r w:rsidR="00C26CB9">
        <w:t>s</w:t>
      </w:r>
      <w:r>
        <w:t xml:space="preserve">e on a project well within six months. These </w:t>
      </w:r>
      <w:r w:rsidR="003A6228">
        <w:t>practitioners</w:t>
      </w:r>
      <w:r w:rsidR="00750659">
        <w:t xml:space="preserve"> indicated</w:t>
      </w:r>
      <w:r>
        <w:t xml:space="preserve"> that greenfields agreements reached for major infrastructure construction projects</w:t>
      </w:r>
      <w:r w:rsidR="003A6228">
        <w:t xml:space="preserve"> may</w:t>
      </w:r>
      <w:r>
        <w:t xml:space="preserve"> only appl</w:t>
      </w:r>
      <w:r w:rsidR="003A6228">
        <w:t>y</w:t>
      </w:r>
      <w:r>
        <w:t xml:space="preserve"> to the primary contractor and were not generally replicated by smaller subcontractors. Where no </w:t>
      </w:r>
      <w:r>
        <w:lastRenderedPageBreak/>
        <w:t>agreement was possible, alternative employment arrangements may be made</w:t>
      </w:r>
      <w:r w:rsidR="003A6228">
        <w:t>, sometimes</w:t>
      </w:r>
      <w:r>
        <w:t xml:space="preserve"> at lower rates of pay.</w:t>
      </w:r>
    </w:p>
    <w:p w:rsidR="00A97CAD" w:rsidRDefault="00A97CAD" w:rsidP="00E728E7">
      <w:r>
        <w:t xml:space="preserve">Infrastructure construction greenfields agreements negotiations could </w:t>
      </w:r>
      <w:r w:rsidR="00750659">
        <w:t>conceivably</w:t>
      </w:r>
      <w:r>
        <w:t xml:space="preserve"> be assisted by informal conferences in the Fair Work Commission</w:t>
      </w:r>
      <w:r w:rsidR="00C330BB">
        <w:t>,</w:t>
      </w:r>
      <w:r>
        <w:t xml:space="preserve"> although </w:t>
      </w:r>
      <w:r w:rsidR="00D1295C">
        <w:t xml:space="preserve">some </w:t>
      </w:r>
      <w:r w:rsidR="000C1E2C">
        <w:t xml:space="preserve">employers voiced reservations about the nature of the assistance available through </w:t>
      </w:r>
      <w:r w:rsidR="00873629">
        <w:t>the Fair Work Commission’s ‘interest based bargaining’</w:t>
      </w:r>
      <w:r>
        <w:t>.</w:t>
      </w:r>
    </w:p>
    <w:p w:rsidR="00A97CAD" w:rsidRDefault="00A97CAD" w:rsidP="00E728E7">
      <w:r>
        <w:t xml:space="preserve">In overall terms, </w:t>
      </w:r>
      <w:r w:rsidR="009625AD">
        <w:t xml:space="preserve">workplace relations professionals from </w:t>
      </w:r>
      <w:r>
        <w:t>the infrastructure construction</w:t>
      </w:r>
      <w:r w:rsidR="009625AD">
        <w:t xml:space="preserve"> </w:t>
      </w:r>
      <w:r w:rsidR="000C1E2C">
        <w:t>sector confirmed</w:t>
      </w:r>
      <w:r>
        <w:t xml:space="preserve"> </w:t>
      </w:r>
      <w:r w:rsidR="00094541">
        <w:t>that</w:t>
      </w:r>
      <w:r>
        <w:t xml:space="preserve"> </w:t>
      </w:r>
      <w:r w:rsidR="005B0E8C">
        <w:t xml:space="preserve">the </w:t>
      </w:r>
      <w:r w:rsidR="00750659">
        <w:t>six-month</w:t>
      </w:r>
      <w:r>
        <w:t xml:space="preserve"> negotiation period was too long and represented a threat to stable and secure</w:t>
      </w:r>
      <w:r w:rsidR="00641705">
        <w:t xml:space="preserve"> employment initiatives.</w:t>
      </w:r>
    </w:p>
    <w:p w:rsidR="00143E8F" w:rsidRDefault="00143E8F" w:rsidP="00143E8F">
      <w:pPr>
        <w:pStyle w:val="Heading2"/>
      </w:pPr>
      <w:bookmarkStart w:id="23" w:name="_Toc505681263"/>
      <w:r>
        <w:t>Additional timing considerations</w:t>
      </w:r>
      <w:bookmarkEnd w:id="23"/>
    </w:p>
    <w:p w:rsidR="00E728E7" w:rsidRDefault="00244A12" w:rsidP="00E728E7">
      <w:r w:rsidRPr="0090554C">
        <w:t>T</w:t>
      </w:r>
      <w:r w:rsidR="00E728E7" w:rsidRPr="0090554C">
        <w:t>wo additional time elements</w:t>
      </w:r>
      <w:r w:rsidRPr="0090554C">
        <w:t xml:space="preserve"> need to be considered</w:t>
      </w:r>
      <w:r w:rsidR="00E728E7" w:rsidRPr="0090554C">
        <w:t xml:space="preserve">. Firstly, </w:t>
      </w:r>
      <w:r w:rsidR="00094541">
        <w:t xml:space="preserve">it is unlikely </w:t>
      </w:r>
      <w:r w:rsidR="00ED0F95">
        <w:t xml:space="preserve">that </w:t>
      </w:r>
      <w:r w:rsidR="00E728E7" w:rsidRPr="0090554C">
        <w:t>the six month notified negotiation period</w:t>
      </w:r>
      <w:r w:rsidR="00ED0F95">
        <w:t xml:space="preserve"> </w:t>
      </w:r>
      <w:r w:rsidR="00094541">
        <w:t>would</w:t>
      </w:r>
      <w:r w:rsidR="00ED0F95" w:rsidRPr="0090554C">
        <w:t xml:space="preserve"> </w:t>
      </w:r>
      <w:r w:rsidR="00FE1DE4">
        <w:t>be commenced at the outset of</w:t>
      </w:r>
      <w:r w:rsidRPr="0090554C">
        <w:t xml:space="preserve"> </w:t>
      </w:r>
      <w:r w:rsidR="00FE0B4E">
        <w:t>g</w:t>
      </w:r>
      <w:r w:rsidR="00E728E7" w:rsidRPr="0090554C">
        <w:t xml:space="preserve">reenfields agreement discussions for a major </w:t>
      </w:r>
      <w:r w:rsidR="003A6228">
        <w:t xml:space="preserve">resources </w:t>
      </w:r>
      <w:r w:rsidR="00E728E7" w:rsidRPr="0090554C">
        <w:t xml:space="preserve">project agreement. </w:t>
      </w:r>
      <w:r w:rsidR="00E111D4">
        <w:t>It was put to the review that</w:t>
      </w:r>
      <w:r w:rsidR="00E728E7" w:rsidRPr="0090554C">
        <w:t xml:space="preserve"> employers </w:t>
      </w:r>
      <w:r w:rsidRPr="0090554C">
        <w:t xml:space="preserve">commonly </w:t>
      </w:r>
      <w:r w:rsidR="00E728E7" w:rsidRPr="0090554C">
        <w:t xml:space="preserve">seek to engage with unions as project partners. </w:t>
      </w:r>
      <w:r w:rsidR="002F018A">
        <w:t xml:space="preserve">This is </w:t>
      </w:r>
      <w:r w:rsidR="0050445E">
        <w:t>reflected in</w:t>
      </w:r>
      <w:r w:rsidR="002F018A">
        <w:t xml:space="preserve"> the wording of many project related</w:t>
      </w:r>
      <w:r w:rsidR="00F55089">
        <w:t xml:space="preserve"> </w:t>
      </w:r>
      <w:r w:rsidR="00207292">
        <w:t>agreements</w:t>
      </w:r>
      <w:r w:rsidR="0050445E">
        <w:t>.</w:t>
      </w:r>
      <w:r w:rsidR="002F018A">
        <w:t xml:space="preserve"> </w:t>
      </w:r>
      <w:r w:rsidR="00E728E7" w:rsidRPr="0090554C">
        <w:t>Given the advice provided by both unions and employer associations, it appears most likely that</w:t>
      </w:r>
      <w:r w:rsidR="000C1E2C">
        <w:t>, notwithstanding the amendments, resource project agreements discussions have been pursued without formal commencement of the notified negotiation period. T</w:t>
      </w:r>
      <w:r w:rsidR="00E728E7" w:rsidRPr="0090554C">
        <w:t>he historical practice</w:t>
      </w:r>
      <w:r w:rsidR="00222818">
        <w:t xml:space="preserve"> of</w:t>
      </w:r>
      <w:r w:rsidR="00E728E7" w:rsidRPr="0090554C">
        <w:t xml:space="preserve"> initiating discussions directed at achieving agreement has continued </w:t>
      </w:r>
      <w:r w:rsidR="0050445E">
        <w:t>without</w:t>
      </w:r>
      <w:r w:rsidR="00E728E7" w:rsidRPr="0090554C">
        <w:t xml:space="preserve"> </w:t>
      </w:r>
      <w:r w:rsidR="00222818">
        <w:t>formal commencement of the</w:t>
      </w:r>
      <w:r w:rsidR="00E728E7" w:rsidRPr="0090554C">
        <w:t xml:space="preserve"> notified negotiation period. The fact that no submission to this </w:t>
      </w:r>
      <w:r w:rsidR="00207292">
        <w:t>r</w:t>
      </w:r>
      <w:r w:rsidR="00207292" w:rsidRPr="0090554C">
        <w:t xml:space="preserve">eview </w:t>
      </w:r>
      <w:r w:rsidR="00E728E7" w:rsidRPr="0090554C">
        <w:t xml:space="preserve">has identified the commencement of such a notified negotiation period </w:t>
      </w:r>
      <w:r w:rsidR="001828F0">
        <w:t>on a resource project</w:t>
      </w:r>
      <w:r w:rsidR="001828F0" w:rsidRPr="0090554C">
        <w:t xml:space="preserve"> </w:t>
      </w:r>
      <w:r w:rsidR="00E728E7" w:rsidRPr="0090554C">
        <w:t>is consistent with this position.</w:t>
      </w:r>
      <w:r w:rsidRPr="0090554C">
        <w:t xml:space="preserve"> </w:t>
      </w:r>
      <w:r w:rsidR="000C1E2C">
        <w:t xml:space="preserve">Consequently, even in the event that a negotiation period is to be notified </w:t>
      </w:r>
      <w:r w:rsidR="00C330BB">
        <w:t>for</w:t>
      </w:r>
      <w:r w:rsidR="000C1E2C">
        <w:t xml:space="preserve"> a resources project, it</w:t>
      </w:r>
      <w:r w:rsidR="000C1E2C" w:rsidRPr="0090554C" w:rsidDel="000C1E2C">
        <w:t xml:space="preserve"> </w:t>
      </w:r>
      <w:r w:rsidRPr="0090554C">
        <w:t xml:space="preserve">is most likely that </w:t>
      </w:r>
      <w:r w:rsidR="0050445E">
        <w:t>some</w:t>
      </w:r>
      <w:r w:rsidRPr="0090554C">
        <w:t xml:space="preserve"> time will be spent negotiating before </w:t>
      </w:r>
      <w:r w:rsidR="000C1E2C">
        <w:t>this is done</w:t>
      </w:r>
      <w:r w:rsidRPr="0090554C">
        <w:t>.</w:t>
      </w:r>
    </w:p>
    <w:p w:rsidR="001828F0" w:rsidRPr="0090554C" w:rsidRDefault="001828F0" w:rsidP="00E728E7">
      <w:r>
        <w:t xml:space="preserve">The review </w:t>
      </w:r>
      <w:r w:rsidR="00930CA4">
        <w:t>was advised by</w:t>
      </w:r>
      <w:r>
        <w:t xml:space="preserve"> </w:t>
      </w:r>
      <w:r w:rsidR="00930CA4">
        <w:t xml:space="preserve">one </w:t>
      </w:r>
      <w:r>
        <w:t xml:space="preserve">infrastructure construction expert that time pressures dictated the initiation </w:t>
      </w:r>
      <w:r w:rsidR="00207292">
        <w:t>of the</w:t>
      </w:r>
      <w:r>
        <w:t xml:space="preserve"> notified negotiation period at an early stage in the negotiations</w:t>
      </w:r>
      <w:r w:rsidR="00930CA4">
        <w:t xml:space="preserve"> in some circumstances</w:t>
      </w:r>
      <w:r>
        <w:t>.</w:t>
      </w:r>
      <w:r w:rsidR="00930CA4">
        <w:t xml:space="preserve"> However, other construction sector stakeholders were unable to corroborate this practice on the information they had available, making the prevalence of the practice</w:t>
      </w:r>
      <w:r w:rsidR="00094541">
        <w:t xml:space="preserve"> in that sector</w:t>
      </w:r>
      <w:r w:rsidR="00930CA4">
        <w:t xml:space="preserve"> difficult to estimate. </w:t>
      </w:r>
    </w:p>
    <w:p w:rsidR="00F06C54" w:rsidRPr="0090554C" w:rsidRDefault="00244A12" w:rsidP="00F06C54">
      <w:r w:rsidRPr="0090554C">
        <w:t xml:space="preserve">In addition to </w:t>
      </w:r>
      <w:r w:rsidR="002D2D6F" w:rsidRPr="0090554C">
        <w:t>the time associated with the normal F</w:t>
      </w:r>
      <w:r w:rsidR="00207292">
        <w:t>air Work Commission</w:t>
      </w:r>
      <w:r w:rsidR="002D2D6F" w:rsidRPr="0090554C">
        <w:t xml:space="preserve"> agreement approval process, t</w:t>
      </w:r>
      <w:r w:rsidRPr="0090554C">
        <w:t xml:space="preserve">he </w:t>
      </w:r>
      <w:r w:rsidR="00F06C54" w:rsidRPr="0090554C">
        <w:t>concept of a notified negotiation period must necessarily be considered in conjunction with what happens at the end of that period</w:t>
      </w:r>
      <w:r w:rsidR="00A879EE">
        <w:t xml:space="preserve"> if an application </w:t>
      </w:r>
      <w:r w:rsidR="005307C9">
        <w:t xml:space="preserve">is made for approval of a </w:t>
      </w:r>
      <w:r w:rsidR="00A879EE">
        <w:t xml:space="preserve">s </w:t>
      </w:r>
      <w:r w:rsidR="00207292">
        <w:t>182</w:t>
      </w:r>
      <w:r w:rsidR="00A879EE">
        <w:t>(</w:t>
      </w:r>
      <w:r w:rsidR="00207292">
        <w:t>4</w:t>
      </w:r>
      <w:r w:rsidR="00A879EE">
        <w:t xml:space="preserve">) </w:t>
      </w:r>
      <w:r w:rsidR="005307C9">
        <w:t>greenfields agreement</w:t>
      </w:r>
      <w:r w:rsidR="00F06C54" w:rsidRPr="0090554C">
        <w:t xml:space="preserve">. Whilst the 2015 </w:t>
      </w:r>
      <w:r w:rsidR="00207292">
        <w:t>g</w:t>
      </w:r>
      <w:r w:rsidR="00207292" w:rsidRPr="0090554C">
        <w:t xml:space="preserve">reenfield </w:t>
      </w:r>
      <w:r w:rsidR="00F06C54" w:rsidRPr="0090554C">
        <w:t xml:space="preserve">agreement amendments were primarily directed at facilitating major project and resource development initiatives, </w:t>
      </w:r>
      <w:r w:rsidR="00A879EE">
        <w:t>consideration of the prevailing pay and conditions</w:t>
      </w:r>
      <w:r w:rsidR="00F06C54" w:rsidRPr="0090554C">
        <w:t xml:space="preserve"> </w:t>
      </w:r>
      <w:r w:rsidR="0050445E">
        <w:t xml:space="preserve">required </w:t>
      </w:r>
      <w:r w:rsidR="00A879EE">
        <w:t xml:space="preserve">to be undertaken </w:t>
      </w:r>
      <w:r w:rsidR="0050445E">
        <w:t xml:space="preserve">by </w:t>
      </w:r>
      <w:r w:rsidR="002D2D6F" w:rsidRPr="0090554C">
        <w:t xml:space="preserve">the Fair Work Commission </w:t>
      </w:r>
      <w:r w:rsidR="0050445E">
        <w:t xml:space="preserve">will depend on the </w:t>
      </w:r>
      <w:r w:rsidR="00A879EE">
        <w:t>circumstances of the application.</w:t>
      </w:r>
      <w:r w:rsidR="003D7296" w:rsidRPr="0090554C">
        <w:t xml:space="preserve"> In order to consider the likely time</w:t>
      </w:r>
      <w:r w:rsidR="00A879EE">
        <w:t xml:space="preserve"> and issues</w:t>
      </w:r>
      <w:r w:rsidR="003D7296" w:rsidRPr="0090554C">
        <w:t xml:space="preserve"> associated with the application of the prevailing pay and conditions test</w:t>
      </w:r>
      <w:r w:rsidR="009E76EF">
        <w:t>,</w:t>
      </w:r>
      <w:r w:rsidR="003D7296" w:rsidRPr="0090554C">
        <w:t xml:space="preserve"> the </w:t>
      </w:r>
      <w:r w:rsidR="00207292">
        <w:t>r</w:t>
      </w:r>
      <w:r w:rsidR="00207292" w:rsidRPr="0090554C">
        <w:t xml:space="preserve">eview </w:t>
      </w:r>
      <w:r w:rsidR="003D7296" w:rsidRPr="0090554C">
        <w:t xml:space="preserve">has considered the limited information available in a cross section of </w:t>
      </w:r>
      <w:r w:rsidR="00A879EE">
        <w:t xml:space="preserve">potential </w:t>
      </w:r>
      <w:r w:rsidR="00022AAB">
        <w:t>g</w:t>
      </w:r>
      <w:r w:rsidR="003D7296" w:rsidRPr="0090554C">
        <w:t>reenfields agreement applications.</w:t>
      </w:r>
    </w:p>
    <w:p w:rsidR="003D7296" w:rsidRDefault="00F017D5">
      <w:r>
        <w:t xml:space="preserve">Resource development project agreements represent </w:t>
      </w:r>
      <w:r w:rsidR="001828F0">
        <w:t>an</w:t>
      </w:r>
      <w:r>
        <w:t xml:space="preserve"> obvious potential application of s</w:t>
      </w:r>
      <w:r w:rsidR="00E3273D">
        <w:t xml:space="preserve"> </w:t>
      </w:r>
      <w:r>
        <w:t>18</w:t>
      </w:r>
      <w:r w:rsidR="00207292">
        <w:t>2</w:t>
      </w:r>
      <w:r>
        <w:t>(</w:t>
      </w:r>
      <w:r w:rsidR="00207292">
        <w:t>4</w:t>
      </w:r>
      <w:r>
        <w:t xml:space="preserve">). </w:t>
      </w:r>
      <w:r w:rsidR="00E058C3">
        <w:br/>
      </w:r>
      <w:r w:rsidR="000B413B">
        <w:t xml:space="preserve">As noted above, </w:t>
      </w:r>
      <w:r w:rsidR="00022AAB">
        <w:t>the initial g</w:t>
      </w:r>
      <w:r w:rsidR="00F06C54" w:rsidRPr="0090554C">
        <w:t xml:space="preserve">reenfields agreement </w:t>
      </w:r>
      <w:r w:rsidR="000B413B">
        <w:t xml:space="preserve">negotiated </w:t>
      </w:r>
      <w:r w:rsidR="00F06C54" w:rsidRPr="0090554C">
        <w:t xml:space="preserve">on a given major project is </w:t>
      </w:r>
      <w:r w:rsidR="000B413B">
        <w:t xml:space="preserve">likely to be the </w:t>
      </w:r>
      <w:r w:rsidR="00F06C54" w:rsidRPr="0090554C">
        <w:t xml:space="preserve">most contentious agreement. Generally, this involves an agreement reached with the initial major subcontractor. </w:t>
      </w:r>
      <w:r w:rsidR="005F0687">
        <w:t>There is no indication that</w:t>
      </w:r>
      <w:r w:rsidR="005F0687" w:rsidRPr="0090554C">
        <w:t xml:space="preserve"> </w:t>
      </w:r>
      <w:r w:rsidR="00F06C54" w:rsidRPr="0090554C">
        <w:t xml:space="preserve">project wide agreements with which subcontractors are obligated to comply are </w:t>
      </w:r>
      <w:r w:rsidR="005F0687">
        <w:t>now</w:t>
      </w:r>
      <w:r w:rsidR="00F06C54" w:rsidRPr="0090554C">
        <w:t xml:space="preserve"> applied,</w:t>
      </w:r>
      <w:r w:rsidR="0024318A">
        <w:t xml:space="preserve"> </w:t>
      </w:r>
      <w:r w:rsidR="005F0687">
        <w:t>as they</w:t>
      </w:r>
      <w:r w:rsidR="0024318A">
        <w:t xml:space="preserve"> may be incompatible with the </w:t>
      </w:r>
      <w:r w:rsidR="00DC4AE7" w:rsidRPr="00DC4AE7">
        <w:rPr>
          <w:i/>
          <w:iCs/>
        </w:rPr>
        <w:t>Code for the Tendering and Performance of Building Work 2016</w:t>
      </w:r>
      <w:r w:rsidR="005F0687">
        <w:t>. However, there</w:t>
      </w:r>
      <w:r w:rsidR="005F0687" w:rsidRPr="0090554C">
        <w:t xml:space="preserve"> </w:t>
      </w:r>
      <w:r w:rsidR="00F06C54" w:rsidRPr="0090554C">
        <w:t xml:space="preserve">is </w:t>
      </w:r>
      <w:r w:rsidR="004822E6">
        <w:t xml:space="preserve">some </w:t>
      </w:r>
      <w:r w:rsidR="00022AAB">
        <w:t>similarity between the first g</w:t>
      </w:r>
      <w:r w:rsidR="00F06C54" w:rsidRPr="0090554C">
        <w:t xml:space="preserve">reenfields agreement reached on a </w:t>
      </w:r>
      <w:r w:rsidR="005F0687">
        <w:t xml:space="preserve">resource development or major infrastructure </w:t>
      </w:r>
      <w:r w:rsidR="00F06C54" w:rsidRPr="0090554C">
        <w:t xml:space="preserve">project, and subsequent </w:t>
      </w:r>
      <w:r w:rsidR="005F0687">
        <w:lastRenderedPageBreak/>
        <w:t xml:space="preserve">contractor greenfields </w:t>
      </w:r>
      <w:r w:rsidR="00F06C54" w:rsidRPr="0090554C">
        <w:t xml:space="preserve">agreements. </w:t>
      </w:r>
      <w:r w:rsidR="00A879EE">
        <w:t xml:space="preserve">The information available to the </w:t>
      </w:r>
      <w:r w:rsidR="00207292">
        <w:t xml:space="preserve">review </w:t>
      </w:r>
      <w:r w:rsidR="00A879EE">
        <w:t>indicates that these matters are only rarely referred to the Fair Work Commission</w:t>
      </w:r>
      <w:r w:rsidR="00D014A9">
        <w:t xml:space="preserve">. Some insight into the negotiation of initial project agreements can be gained from the Wheatstone </w:t>
      </w:r>
      <w:r w:rsidR="00207292">
        <w:t>Project</w:t>
      </w:r>
      <w:r w:rsidR="00D014A9">
        <w:t xml:space="preserve">. </w:t>
      </w:r>
    </w:p>
    <w:p w:rsidR="00442434" w:rsidRPr="0076015D" w:rsidRDefault="00442434" w:rsidP="0076015D">
      <w:pPr>
        <w:pStyle w:val="Heading3"/>
        <w:pBdr>
          <w:top w:val="single" w:sz="4" w:space="1" w:color="auto"/>
          <w:left w:val="single" w:sz="4" w:space="4" w:color="auto"/>
          <w:bottom w:val="single" w:sz="4" w:space="1" w:color="auto"/>
          <w:right w:val="single" w:sz="4" w:space="4" w:color="auto"/>
        </w:pBdr>
        <w:rPr>
          <w:rFonts w:asciiTheme="minorHAnsi" w:hAnsiTheme="minorHAnsi"/>
          <w:b/>
          <w:color w:val="auto"/>
          <w:sz w:val="22"/>
        </w:rPr>
      </w:pPr>
      <w:r w:rsidRPr="0076015D">
        <w:rPr>
          <w:rFonts w:asciiTheme="minorHAnsi" w:hAnsiTheme="minorHAnsi"/>
          <w:b/>
          <w:color w:val="auto"/>
          <w:sz w:val="22"/>
        </w:rPr>
        <w:t>Wheatstone case study</w:t>
      </w:r>
    </w:p>
    <w:p w:rsidR="00442434" w:rsidRDefault="00442434" w:rsidP="0076015D">
      <w:pPr>
        <w:pBdr>
          <w:top w:val="single" w:sz="4" w:space="1" w:color="auto"/>
          <w:left w:val="single" w:sz="4" w:space="4" w:color="auto"/>
          <w:bottom w:val="single" w:sz="4" w:space="1" w:color="auto"/>
          <w:right w:val="single" w:sz="4" w:space="4" w:color="auto"/>
        </w:pBdr>
      </w:pPr>
      <w:r>
        <w:t xml:space="preserve">The Wheatstone Project is the construction of two liquefied natural gas (LNG) rail lines and a domestic gas plant linked to four gas fields off the coastal town of Onslow, in Western Australia. This significant economic development is estimated by Chevron to result in more than 30,000 direct and indirect </w:t>
      </w:r>
      <w:r w:rsidR="00E058C3">
        <w:br/>
      </w:r>
      <w:r>
        <w:t>full-time equivalent jobs in Australia over the life of the project and contribute approximately $6 billion to Australian GDP per year.</w:t>
      </w:r>
    </w:p>
    <w:p w:rsidR="00442434" w:rsidRDefault="00442434" w:rsidP="0076015D">
      <w:pPr>
        <w:pBdr>
          <w:top w:val="single" w:sz="4" w:space="1" w:color="auto"/>
          <w:left w:val="single" w:sz="4" w:space="4" w:color="auto"/>
          <w:bottom w:val="single" w:sz="4" w:space="1" w:color="auto"/>
          <w:right w:val="single" w:sz="4" w:space="4" w:color="auto"/>
        </w:pBdr>
      </w:pPr>
      <w:r>
        <w:t>While many greenfields agreements have been made for the Wheatstone Project, the Thiess Pty Ltd Wheatstone Project Agreement 2012 (the Thiess Agreement) and John Holland Pty Ltd Wheatstone Project Ag</w:t>
      </w:r>
      <w:r w:rsidR="00180ACB">
        <w:t>reement 2012 (the John Holland A</w:t>
      </w:r>
      <w:r>
        <w:t xml:space="preserve">greement) are examples of where a single union, the Australian Workers Union (AWU), made a greenfields agreement with an employer, where the other relevant unions, the Construction, Forestry, Mining and Energy Union (CFMEU), the Australian Manufacturing Workers’ Union (AMWU) and the Communications, Electrical, Electronic, Energy, Information, Postal, Plumbing and Allied Services Union of Australia (CEPU) opposed the agreement. </w:t>
      </w:r>
      <w:r w:rsidR="00E058C3">
        <w:br/>
      </w:r>
      <w:r>
        <w:t xml:space="preserve">The Thiess Agreement had substantially the same terms and conditions as the John Holland Agreement, but contained some additional provisions relating to tunnelling work. </w:t>
      </w:r>
    </w:p>
    <w:p w:rsidR="00442434" w:rsidRDefault="00442434" w:rsidP="0076015D">
      <w:pPr>
        <w:pBdr>
          <w:top w:val="single" w:sz="4" w:space="1" w:color="auto"/>
          <w:left w:val="single" w:sz="4" w:space="4" w:color="auto"/>
          <w:bottom w:val="single" w:sz="4" w:space="1" w:color="auto"/>
          <w:right w:val="single" w:sz="4" w:space="4" w:color="auto"/>
        </w:pBdr>
      </w:pPr>
      <w:r>
        <w:t xml:space="preserve">According to Fair Work Australia’s decisions to approve the Thiess Agreement ([2012] FWAA 7466) and the John Holland Agreement ([2012] FWAA 7307), the CFMEU, AMWU and CEPU opposed the application to approve the agreements on the ground that it was not in the public interest (s 187(5)(b)) as the AWU had not appropriately represented the interests of the employees who were to be employed under the agreements. Fair Work Australia Commissioner Williams rejected the CFMEU, AMWU and CEPU’s submissions and approved the agreements on 29 August 2012. </w:t>
      </w:r>
    </w:p>
    <w:p w:rsidR="00442434" w:rsidRDefault="00180ACB" w:rsidP="0076015D">
      <w:pPr>
        <w:pBdr>
          <w:top w:val="single" w:sz="4" w:space="1" w:color="auto"/>
          <w:left w:val="single" w:sz="4" w:space="4" w:color="auto"/>
          <w:bottom w:val="single" w:sz="4" w:space="1" w:color="auto"/>
          <w:right w:val="single" w:sz="4" w:space="4" w:color="auto"/>
        </w:pBdr>
      </w:pPr>
      <w:r>
        <w:t>In approving the Thiess A</w:t>
      </w:r>
      <w:r w:rsidR="00442434">
        <w:t xml:space="preserve">greement, Commissioner Williams commented on the application of the public interest test in relation to the John Holland </w:t>
      </w:r>
      <w:r>
        <w:t>A</w:t>
      </w:r>
      <w:r w:rsidR="00442434">
        <w:t xml:space="preserve">greement: </w:t>
      </w:r>
    </w:p>
    <w:p w:rsidR="00442434" w:rsidRPr="00442434" w:rsidRDefault="00442434" w:rsidP="0076015D">
      <w:pPr>
        <w:pBdr>
          <w:top w:val="single" w:sz="4" w:space="1" w:color="auto"/>
          <w:left w:val="single" w:sz="4" w:space="4" w:color="auto"/>
          <w:bottom w:val="single" w:sz="4" w:space="1" w:color="auto"/>
          <w:right w:val="single" w:sz="4" w:space="4" w:color="auto"/>
        </w:pBdr>
        <w:rPr>
          <w:i/>
        </w:rPr>
      </w:pPr>
      <w:r w:rsidRPr="00442434">
        <w:rPr>
          <w:i/>
        </w:rPr>
        <w:t>[56] The fact that, in the bargaining process for the John Holland Agreement, the unions did not achieve all they wanted is not unusual or surprising. However, the public interest is to be tested against what is actually in the Agreement, not what the unions claimed. Critically if the AWU had persisted together with the other unions in demanding complete adherence to the log of claims, the John Holland Agreement and then this Agreement would not have been reached at all; to the detriment of the Wheatstone Project and the employees to be employed there.</w:t>
      </w:r>
    </w:p>
    <w:p w:rsidR="00442434" w:rsidRPr="0090554C" w:rsidRDefault="00442434" w:rsidP="0076015D">
      <w:pPr>
        <w:pBdr>
          <w:top w:val="single" w:sz="4" w:space="1" w:color="auto"/>
          <w:left w:val="single" w:sz="4" w:space="4" w:color="auto"/>
          <w:bottom w:val="single" w:sz="4" w:space="1" w:color="auto"/>
          <w:right w:val="single" w:sz="4" w:space="4" w:color="auto"/>
        </w:pBdr>
      </w:pPr>
      <w:r>
        <w:t>The AWU and the other unions had pursued their claims on the Wheatstone Project through six months of negotiations. While a s 182(4) greenfields agreement was not available to Thiess or John Holland during these negotiations, the existence of this type of agreement may have changed the dynamics and behaviour of parties during negotiations.</w:t>
      </w:r>
    </w:p>
    <w:p w:rsidR="009952AE" w:rsidRDefault="00D014A9" w:rsidP="00E728E7">
      <w:r>
        <w:t xml:space="preserve">The Wheatstone experience </w:t>
      </w:r>
      <w:r w:rsidR="00F06C54" w:rsidRPr="0090554C">
        <w:t xml:space="preserve">is consistent with the </w:t>
      </w:r>
      <w:r>
        <w:t>earlier conclusions about timeframes</w:t>
      </w:r>
      <w:r w:rsidR="000A5E85">
        <w:t xml:space="preserve"> for making greenfields agreements</w:t>
      </w:r>
      <w:r>
        <w:t xml:space="preserve">.  The Wheatstone example also demonstrates the extent to which the range of matters likely to be in dispute are relatively limited. Most </w:t>
      </w:r>
      <w:r w:rsidR="00574ED8">
        <w:t>issues likely to be disputed</w:t>
      </w:r>
      <w:r>
        <w:t xml:space="preserve"> relate to the starting point for wage rates, the rate of wage increases and roster or working hours arrangements.</w:t>
      </w:r>
    </w:p>
    <w:p w:rsidR="00F1144F" w:rsidRPr="0090554C" w:rsidRDefault="009952AE" w:rsidP="00E728E7">
      <w:r>
        <w:lastRenderedPageBreak/>
        <w:t xml:space="preserve">It is difficult to see how an application for approval of a greenfields </w:t>
      </w:r>
      <w:r w:rsidR="001828F0">
        <w:t xml:space="preserve">resource development or an infrastructure </w:t>
      </w:r>
      <w:r>
        <w:t xml:space="preserve">construction project agreement which was fundamentally different to concurrent agreements in that industry or geographic area could be sustained under the prevailing pay and conditions test. It is far more likely that the debate and points of difference will go to questions of degree or issues associated with new projects in geographic areas where there are differing arrangements in place. </w:t>
      </w:r>
      <w:r w:rsidR="00D014A9">
        <w:t xml:space="preserve"> </w:t>
      </w:r>
    </w:p>
    <w:p w:rsidR="00E728E7" w:rsidRPr="0090554C" w:rsidRDefault="00D014A9" w:rsidP="00E728E7">
      <w:r>
        <w:t>Notwithstanding this</w:t>
      </w:r>
      <w:r w:rsidR="00046DB5" w:rsidRPr="0090554C">
        <w:t>,</w:t>
      </w:r>
      <w:r w:rsidR="008425B0">
        <w:t xml:space="preserve"> </w:t>
      </w:r>
      <w:r w:rsidR="009D347A">
        <w:t>the normal approval time for a g</w:t>
      </w:r>
      <w:r w:rsidR="00E728E7" w:rsidRPr="0090554C">
        <w:t>reenfields agreement</w:t>
      </w:r>
      <w:r w:rsidR="009952AE">
        <w:t xml:space="preserve"> will most likely be </w:t>
      </w:r>
      <w:r w:rsidR="00CB2666">
        <w:t>extended</w:t>
      </w:r>
      <w:r w:rsidR="009952AE">
        <w:t xml:space="preserve"> by</w:t>
      </w:r>
      <w:r w:rsidR="00E728E7" w:rsidRPr="0090554C">
        <w:t xml:space="preserve"> the application</w:t>
      </w:r>
      <w:r w:rsidR="009952AE">
        <w:t xml:space="preserve"> of the</w:t>
      </w:r>
      <w:r w:rsidR="00E728E7" w:rsidRPr="0090554C">
        <w:t xml:space="preserve"> prevailing pay and conditions test in s 187(6)</w:t>
      </w:r>
      <w:r w:rsidR="009952AE">
        <w:t>. That test</w:t>
      </w:r>
      <w:r w:rsidR="00E728E7" w:rsidRPr="0090554C">
        <w:t xml:space="preserve"> </w:t>
      </w:r>
      <w:r w:rsidR="00CB2666">
        <w:t>is likely</w:t>
      </w:r>
      <w:r w:rsidR="00E728E7" w:rsidRPr="0090554C">
        <w:t xml:space="preserve"> to </w:t>
      </w:r>
      <w:r w:rsidR="000C1E2C">
        <w:t>require some consideration of comparable arrangements by</w:t>
      </w:r>
      <w:r w:rsidR="000C1E2C" w:rsidRPr="0090554C" w:rsidDel="000C1E2C">
        <w:t xml:space="preserve"> </w:t>
      </w:r>
      <w:r w:rsidR="00E728E7" w:rsidRPr="0090554C">
        <w:t xml:space="preserve">the Fair Work Commission. This will particularly be the case for the first occasion when a test of this nature is to be applied. It is quite conceivable that this may involve either consideration by a Full Bench of the </w:t>
      </w:r>
      <w:r w:rsidR="003169CC">
        <w:t xml:space="preserve">Fair Work </w:t>
      </w:r>
      <w:r w:rsidR="00E728E7" w:rsidRPr="0090554C">
        <w:t>Commission or that the first such matter may involve a subsequent appeal. Consequently, it may be the case that the approval process</w:t>
      </w:r>
      <w:r w:rsidR="00046DB5" w:rsidRPr="0090554C">
        <w:t xml:space="preserve"> in the first tested instance</w:t>
      </w:r>
      <w:r w:rsidR="00E728E7" w:rsidRPr="0090554C">
        <w:t xml:space="preserve"> involves time allocations </w:t>
      </w:r>
      <w:r w:rsidR="00046DB5" w:rsidRPr="0090554C">
        <w:t xml:space="preserve">of </w:t>
      </w:r>
      <w:r w:rsidR="009952AE">
        <w:t>some</w:t>
      </w:r>
      <w:r w:rsidR="00E728E7" w:rsidRPr="0090554C">
        <w:t xml:space="preserve"> months.</w:t>
      </w:r>
      <w:r w:rsidR="00046DB5" w:rsidRPr="0090554C">
        <w:t xml:space="preserve"> Subsequent applications </w:t>
      </w:r>
      <w:r w:rsidR="008425B0">
        <w:t xml:space="preserve">may still take </w:t>
      </w:r>
      <w:r w:rsidR="009952AE">
        <w:t xml:space="preserve">some time </w:t>
      </w:r>
      <w:r w:rsidR="008425B0">
        <w:t>to finalise.</w:t>
      </w:r>
    </w:p>
    <w:p w:rsidR="009664CB" w:rsidRDefault="005F0687">
      <w:r>
        <w:t>This</w:t>
      </w:r>
      <w:r w:rsidR="00E728E7" w:rsidRPr="0090554C">
        <w:t xml:space="preserve"> means that the conclusion of a</w:t>
      </w:r>
      <w:r w:rsidR="00046DB5" w:rsidRPr="0090554C">
        <w:t xml:space="preserve"> contested</w:t>
      </w:r>
      <w:r w:rsidR="00E728E7" w:rsidRPr="0090554C">
        <w:t xml:space="preserve"> </w:t>
      </w:r>
      <w:r w:rsidR="009D347A">
        <w:t>g</w:t>
      </w:r>
      <w:r w:rsidR="00E728E7" w:rsidRPr="0090554C">
        <w:t xml:space="preserve">reenfields agreement might take </w:t>
      </w:r>
      <w:r w:rsidR="00046DB5" w:rsidRPr="0090554C">
        <w:t xml:space="preserve">well in excess of </w:t>
      </w:r>
      <w:r w:rsidR="009952AE">
        <w:t xml:space="preserve">the </w:t>
      </w:r>
      <w:r w:rsidR="001F315E" w:rsidRPr="0090554C">
        <w:t>six-month</w:t>
      </w:r>
      <w:r w:rsidR="009952AE">
        <w:t xml:space="preserve"> negotiation period</w:t>
      </w:r>
      <w:r w:rsidR="00E728E7" w:rsidRPr="0090554C">
        <w:t xml:space="preserve">. Time delays of this nature are very likely to harm or jeopardise </w:t>
      </w:r>
      <w:r w:rsidR="00CB2666">
        <w:t>a</w:t>
      </w:r>
      <w:r w:rsidR="00CB2666" w:rsidRPr="0090554C">
        <w:t xml:space="preserve"> </w:t>
      </w:r>
      <w:r w:rsidR="009952AE" w:rsidRPr="0090554C">
        <w:t xml:space="preserve">significant project </w:t>
      </w:r>
      <w:r w:rsidR="009952AE">
        <w:t>or a</w:t>
      </w:r>
      <w:r w:rsidR="001F315E">
        <w:t>n</w:t>
      </w:r>
      <w:r w:rsidR="009952AE">
        <w:t xml:space="preserve"> </w:t>
      </w:r>
      <w:r w:rsidR="001F315E">
        <w:t xml:space="preserve">individual </w:t>
      </w:r>
      <w:r w:rsidR="009952AE">
        <w:t>contractor</w:t>
      </w:r>
      <w:r w:rsidR="001F315E">
        <w:t>’s ability to deliver</w:t>
      </w:r>
      <w:r w:rsidR="00E728E7" w:rsidRPr="0090554C">
        <w:t xml:space="preserve">. </w:t>
      </w:r>
    </w:p>
    <w:p w:rsidR="00C976BE" w:rsidRDefault="005F0687">
      <w:r>
        <w:t>The</w:t>
      </w:r>
      <w:r w:rsidR="009D347A">
        <w:t xml:space="preserve"> review is </w:t>
      </w:r>
      <w:r>
        <w:t xml:space="preserve">satisfied </w:t>
      </w:r>
      <w:r w:rsidR="009D347A">
        <w:t xml:space="preserve">that </w:t>
      </w:r>
      <w:r w:rsidR="00574A56">
        <w:t xml:space="preserve">a </w:t>
      </w:r>
      <w:r w:rsidR="00CB2666">
        <w:t xml:space="preserve">capacity to resolve protracted disagreements about greenfields agreements is necessary and that the </w:t>
      </w:r>
      <w:r w:rsidR="00574A56">
        <w:t xml:space="preserve">six-month period is too long to be a </w:t>
      </w:r>
      <w:r w:rsidR="00CB2666">
        <w:t xml:space="preserve">satisfactory </w:t>
      </w:r>
      <w:r w:rsidR="00574A56">
        <w:t xml:space="preserve">circuit breaker. </w:t>
      </w:r>
      <w:r w:rsidR="006C5843">
        <w:t>This concern is exacerbated</w:t>
      </w:r>
      <w:r w:rsidR="00574A56">
        <w:t xml:space="preserve"> when the period before a notification and the period </w:t>
      </w:r>
      <w:r w:rsidR="00190BEC">
        <w:t>after</w:t>
      </w:r>
      <w:r w:rsidR="00574A56">
        <w:t xml:space="preserve"> an application to the Fair Work Commission to approve an agreement </w:t>
      </w:r>
      <w:r w:rsidR="00D66D14">
        <w:t xml:space="preserve">are </w:t>
      </w:r>
      <w:r w:rsidR="00574A56">
        <w:t>taken into account</w:t>
      </w:r>
      <w:r w:rsidR="006C5843">
        <w:t>.</w:t>
      </w:r>
      <w:r w:rsidR="00574A56">
        <w:t xml:space="preserve"> </w:t>
      </w:r>
      <w:r w:rsidR="00DE41B5">
        <w:t xml:space="preserve">It </w:t>
      </w:r>
      <w:r w:rsidR="00574A56" w:rsidRPr="0090554C">
        <w:t xml:space="preserve">represents an unreasonable period of uncertainty which has the real potential to stop </w:t>
      </w:r>
      <w:r w:rsidR="001828F0">
        <w:t xml:space="preserve">or disrupt </w:t>
      </w:r>
      <w:r w:rsidR="00574A56" w:rsidRPr="0090554C">
        <w:t xml:space="preserve">a major resource development proposal from proceeding or </w:t>
      </w:r>
      <w:r w:rsidR="00190BEC">
        <w:t xml:space="preserve">to </w:t>
      </w:r>
      <w:r w:rsidR="00574A56" w:rsidRPr="0090554C">
        <w:t>severely disrupt and delay these projects</w:t>
      </w:r>
      <w:r w:rsidR="00DE41B5">
        <w:t xml:space="preserve"> or businesses that wish to participate in them</w:t>
      </w:r>
      <w:r w:rsidR="00574A56" w:rsidRPr="0090554C">
        <w:t xml:space="preserve">. </w:t>
      </w:r>
      <w:r w:rsidR="001828F0">
        <w:t xml:space="preserve">This is not a criticism of any of the parties seeking to </w:t>
      </w:r>
      <w:r w:rsidR="00207292">
        <w:t>negotiate an</w:t>
      </w:r>
      <w:r w:rsidR="001828F0">
        <w:t xml:space="preserve"> agreement, but rather, a reflection of </w:t>
      </w:r>
      <w:r w:rsidR="000C1E2C">
        <w:t xml:space="preserve">the </w:t>
      </w:r>
      <w:r w:rsidR="001828F0">
        <w:t xml:space="preserve">employment significance of the successful negotiation of greenfields agreements. </w:t>
      </w:r>
    </w:p>
    <w:p w:rsidR="00DE41B5" w:rsidRPr="0076015D" w:rsidRDefault="00CA0BBF" w:rsidP="0076015D">
      <w:pPr>
        <w:pStyle w:val="Heading2"/>
        <w:pBdr>
          <w:top w:val="single" w:sz="4" w:space="1" w:color="auto"/>
          <w:left w:val="single" w:sz="4" w:space="4" w:color="auto"/>
          <w:bottom w:val="single" w:sz="4" w:space="1" w:color="auto"/>
          <w:right w:val="single" w:sz="4" w:space="4" w:color="auto"/>
        </w:pBdr>
        <w:rPr>
          <w:rFonts w:asciiTheme="minorHAnsi" w:hAnsiTheme="minorHAnsi"/>
          <w:b/>
          <w:color w:val="auto"/>
          <w:sz w:val="22"/>
        </w:rPr>
      </w:pPr>
      <w:r w:rsidRPr="0076015D">
        <w:rPr>
          <w:rFonts w:asciiTheme="minorHAnsi" w:hAnsiTheme="minorHAnsi"/>
          <w:b/>
          <w:color w:val="auto"/>
          <w:sz w:val="22"/>
        </w:rPr>
        <w:t>Recommendation 6</w:t>
      </w:r>
    </w:p>
    <w:p w:rsidR="00DE41B5" w:rsidRDefault="00DE41B5" w:rsidP="0076015D">
      <w:pPr>
        <w:keepNext/>
        <w:pBdr>
          <w:top w:val="single" w:sz="4" w:space="1" w:color="auto"/>
          <w:left w:val="single" w:sz="4" w:space="4" w:color="auto"/>
          <w:bottom w:val="single" w:sz="4" w:space="1" w:color="auto"/>
          <w:right w:val="single" w:sz="4" w:space="4" w:color="auto"/>
        </w:pBdr>
        <w:rPr>
          <w:b/>
        </w:rPr>
      </w:pPr>
      <w:r w:rsidRPr="00DE41B5">
        <w:rPr>
          <w:b/>
        </w:rPr>
        <w:t xml:space="preserve">That the capacity for an employer to seek approval of a </w:t>
      </w:r>
      <w:r w:rsidR="00022AAB">
        <w:rPr>
          <w:b/>
        </w:rPr>
        <w:t>g</w:t>
      </w:r>
      <w:r w:rsidRPr="00DE41B5">
        <w:rPr>
          <w:b/>
        </w:rPr>
        <w:t>reenfields agreement at the expiry of the notified negotiation period be retained.</w:t>
      </w:r>
    </w:p>
    <w:p w:rsidR="001F315E" w:rsidRPr="0076015D" w:rsidRDefault="00CA0BBF" w:rsidP="0076015D">
      <w:pPr>
        <w:pStyle w:val="Heading2"/>
        <w:pBdr>
          <w:top w:val="single" w:sz="4" w:space="1" w:color="auto"/>
          <w:left w:val="single" w:sz="4" w:space="4" w:color="auto"/>
          <w:bottom w:val="single" w:sz="4" w:space="1" w:color="auto"/>
          <w:right w:val="single" w:sz="4" w:space="4" w:color="auto"/>
        </w:pBdr>
        <w:rPr>
          <w:rFonts w:asciiTheme="minorHAnsi" w:hAnsiTheme="minorHAnsi"/>
          <w:b/>
          <w:color w:val="auto"/>
          <w:sz w:val="22"/>
        </w:rPr>
      </w:pPr>
      <w:r w:rsidRPr="0076015D">
        <w:rPr>
          <w:rFonts w:asciiTheme="minorHAnsi" w:hAnsiTheme="minorHAnsi"/>
          <w:b/>
          <w:color w:val="auto"/>
          <w:sz w:val="22"/>
        </w:rPr>
        <w:t>Recommendation 7</w:t>
      </w:r>
    </w:p>
    <w:p w:rsidR="001F315E" w:rsidRPr="00207292" w:rsidRDefault="001F315E" w:rsidP="0076015D">
      <w:pPr>
        <w:keepNext/>
        <w:pBdr>
          <w:top w:val="single" w:sz="4" w:space="1" w:color="auto"/>
          <w:left w:val="single" w:sz="4" w:space="4" w:color="auto"/>
          <w:bottom w:val="single" w:sz="4" w:space="1" w:color="auto"/>
          <w:right w:val="single" w:sz="4" w:space="4" w:color="auto"/>
        </w:pBdr>
        <w:rPr>
          <w:b/>
        </w:rPr>
      </w:pPr>
      <w:r w:rsidRPr="00207292">
        <w:rPr>
          <w:b/>
        </w:rPr>
        <w:t>That the Government reduce the notified negotiation period from six months</w:t>
      </w:r>
      <w:r w:rsidR="001828F0" w:rsidRPr="00207292">
        <w:rPr>
          <w:b/>
        </w:rPr>
        <w:t xml:space="preserve">. The review considers </w:t>
      </w:r>
      <w:r w:rsidR="00E058C3">
        <w:rPr>
          <w:b/>
        </w:rPr>
        <w:br/>
      </w:r>
      <w:r w:rsidR="001828F0" w:rsidRPr="00207292">
        <w:rPr>
          <w:b/>
        </w:rPr>
        <w:t xml:space="preserve">a </w:t>
      </w:r>
      <w:r w:rsidR="00CA0BBF" w:rsidRPr="00207292">
        <w:rPr>
          <w:b/>
        </w:rPr>
        <w:t>three-month</w:t>
      </w:r>
      <w:r w:rsidR="001828F0" w:rsidRPr="00207292">
        <w:rPr>
          <w:b/>
        </w:rPr>
        <w:t xml:space="preserve"> period</w:t>
      </w:r>
      <w:r w:rsidR="00AD3EC7" w:rsidRPr="00207292">
        <w:rPr>
          <w:b/>
        </w:rPr>
        <w:t xml:space="preserve"> consistent with the initial amendment proposal is more appropriate</w:t>
      </w:r>
      <w:r w:rsidRPr="00207292">
        <w:rPr>
          <w:b/>
        </w:rPr>
        <w:t>.</w:t>
      </w:r>
    </w:p>
    <w:p w:rsidR="00C976BE" w:rsidRPr="0090554C" w:rsidRDefault="00C976BE" w:rsidP="00143E8F">
      <w:pPr>
        <w:pStyle w:val="Heading1"/>
      </w:pPr>
      <w:bookmarkStart w:id="24" w:name="_Toc505681264"/>
      <w:r w:rsidRPr="0090554C">
        <w:t xml:space="preserve">Prevailing </w:t>
      </w:r>
      <w:r w:rsidR="00AA3EDE">
        <w:t xml:space="preserve">pay and </w:t>
      </w:r>
      <w:r w:rsidRPr="0090554C">
        <w:t>conditions test</w:t>
      </w:r>
      <w:bookmarkEnd w:id="24"/>
    </w:p>
    <w:p w:rsidR="00B777A3" w:rsidRPr="0090554C" w:rsidRDefault="00EE024B" w:rsidP="00B777A3">
      <w:r>
        <w:t xml:space="preserve">The prevailing pay and conditions test was included </w:t>
      </w:r>
      <w:r w:rsidR="00EC06FB">
        <w:t xml:space="preserve">in the Amendment Act </w:t>
      </w:r>
      <w:r>
        <w:t xml:space="preserve">to ensure that the interests of employees were still taken into account where an employer failed to reach agreement with a union </w:t>
      </w:r>
      <w:r w:rsidR="00342C10">
        <w:t>with</w:t>
      </w:r>
      <w:r>
        <w:t>in the six-month negotiation period.</w:t>
      </w:r>
      <w:r>
        <w:rPr>
          <w:rStyle w:val="FootnoteReference"/>
        </w:rPr>
        <w:footnoteReference w:id="55"/>
      </w:r>
      <w:r>
        <w:t xml:space="preserve"> </w:t>
      </w:r>
      <w:r w:rsidR="00E728E7" w:rsidRPr="0090554C">
        <w:t>The absence of any application to invoke the prevailing pay and conditions</w:t>
      </w:r>
      <w:r w:rsidR="00022AAB">
        <w:t xml:space="preserve"> test established by the 2015 g</w:t>
      </w:r>
      <w:r w:rsidR="00E728E7" w:rsidRPr="0090554C">
        <w:t xml:space="preserve">reenfields agreement amendments makes assessment of this form of circuit breaker </w:t>
      </w:r>
      <w:r w:rsidR="007E573A" w:rsidRPr="0090554C">
        <w:t>difficult</w:t>
      </w:r>
      <w:r w:rsidR="00E728E7" w:rsidRPr="0090554C">
        <w:t xml:space="preserve">. </w:t>
      </w:r>
    </w:p>
    <w:p w:rsidR="00AD3EC7" w:rsidRDefault="00B777A3" w:rsidP="00B777A3">
      <w:r w:rsidRPr="0090554C">
        <w:lastRenderedPageBreak/>
        <w:t xml:space="preserve">There is no evidence that s </w:t>
      </w:r>
      <w:r w:rsidR="00B761E7">
        <w:t>187(6</w:t>
      </w:r>
      <w:r w:rsidRPr="0090554C">
        <w:t>) and the existence of the capacity for an employer to make a</w:t>
      </w:r>
      <w:r w:rsidR="00B761E7">
        <w:t>n application for approval of a</w:t>
      </w:r>
      <w:r w:rsidRPr="0090554C">
        <w:t xml:space="preserve"> </w:t>
      </w:r>
      <w:r w:rsidR="00E3273D" w:rsidRPr="0090554C">
        <w:t xml:space="preserve">s </w:t>
      </w:r>
      <w:r w:rsidRPr="0090554C">
        <w:t>18</w:t>
      </w:r>
      <w:r w:rsidR="00342C10">
        <w:t>2</w:t>
      </w:r>
      <w:r w:rsidRPr="0090554C">
        <w:t>(</w:t>
      </w:r>
      <w:r w:rsidR="00342C10">
        <w:t>4</w:t>
      </w:r>
      <w:r w:rsidRPr="0090554C">
        <w:t xml:space="preserve">) greenfields agreement after the completion of a notified negotiation period has disadvantaged employees, unions or employers. However, in the event that the existing provisions of the Fair Work Act need to be applied, there is a reasonable basis for concern that uncertainty about what is meant by the prevailing pay and conditions test </w:t>
      </w:r>
      <w:r w:rsidR="000C1E2C">
        <w:t xml:space="preserve">could </w:t>
      </w:r>
      <w:r w:rsidRPr="0090554C">
        <w:t>result in delays that w</w:t>
      </w:r>
      <w:r w:rsidR="00EC06FB">
        <w:t>ould</w:t>
      </w:r>
      <w:r w:rsidRPr="0090554C">
        <w:t xml:space="preserve"> adversely affect resource </w:t>
      </w:r>
      <w:r w:rsidR="00F976E9" w:rsidRPr="0090554C">
        <w:t xml:space="preserve">development </w:t>
      </w:r>
      <w:r w:rsidR="00F976E9">
        <w:t>or</w:t>
      </w:r>
      <w:r w:rsidR="00AD3EC7">
        <w:t xml:space="preserve"> infrastructure construction </w:t>
      </w:r>
      <w:r w:rsidRPr="0090554C">
        <w:t xml:space="preserve">projects. </w:t>
      </w:r>
    </w:p>
    <w:p w:rsidR="00AD3EC7" w:rsidRDefault="00AD3EC7" w:rsidP="00B777A3">
      <w:r>
        <w:t>The advice provided to the review by infrastructure construction experts went to concern</w:t>
      </w:r>
      <w:r w:rsidR="00342C10">
        <w:t>s</w:t>
      </w:r>
      <w:r>
        <w:t xml:space="preserve"> about how the Fair Work Commission would apply the prevailing pay and conditions test</w:t>
      </w:r>
      <w:r w:rsidR="00CA0BBF">
        <w:t>.</w:t>
      </w:r>
      <w:r>
        <w:t xml:space="preserve"> </w:t>
      </w:r>
      <w:r w:rsidR="00CA0BBF">
        <w:t>P</w:t>
      </w:r>
      <w:r>
        <w:t>robable differential approaches by different Members of the</w:t>
      </w:r>
      <w:r w:rsidR="003169CC">
        <w:t xml:space="preserve"> Fair Work</w:t>
      </w:r>
      <w:r>
        <w:t xml:space="preserve"> Commission and likely delays associated with the application of that test, were critical factors in decisions not to seek to utilise s 182(4).</w:t>
      </w:r>
    </w:p>
    <w:p w:rsidR="00B777A3" w:rsidRPr="0090554C" w:rsidRDefault="00B777A3" w:rsidP="00B777A3">
      <w:r w:rsidRPr="0090554C">
        <w:t xml:space="preserve">There is no evidence </w:t>
      </w:r>
      <w:r w:rsidR="00AA3EDE">
        <w:t xml:space="preserve">from industry sectors other than construction and resource development </w:t>
      </w:r>
      <w:r w:rsidRPr="0090554C">
        <w:t xml:space="preserve">which indicates that this issue represents a matter of concern to employers </w:t>
      </w:r>
      <w:r w:rsidR="00022AAB">
        <w:t>who enter into g</w:t>
      </w:r>
      <w:r w:rsidRPr="0090554C">
        <w:t>reenfields agreements.</w:t>
      </w:r>
    </w:p>
    <w:p w:rsidR="00FE7E31" w:rsidRDefault="0064591F" w:rsidP="00143E8F">
      <w:pPr>
        <w:pStyle w:val="Heading2"/>
      </w:pPr>
      <w:bookmarkStart w:id="25" w:name="_Toc505681265"/>
      <w:r>
        <w:t>Productivity Commission r</w:t>
      </w:r>
      <w:r w:rsidR="00FE7E31">
        <w:t>ecommendations</w:t>
      </w:r>
      <w:bookmarkEnd w:id="25"/>
    </w:p>
    <w:p w:rsidR="00E728E7" w:rsidRPr="0090554C" w:rsidRDefault="00E728E7" w:rsidP="00E728E7">
      <w:r w:rsidRPr="0090554C">
        <w:t>This test can be contrasted with the recommendations made by the Productivity Commission in 2015. Those recommendations are set out below:</w:t>
      </w:r>
    </w:p>
    <w:p w:rsidR="000D4DB7" w:rsidRPr="0090554C" w:rsidRDefault="000D4DB7" w:rsidP="00FE7E31">
      <w:pPr>
        <w:ind w:left="720"/>
        <w:rPr>
          <w:b/>
        </w:rPr>
      </w:pPr>
      <w:r w:rsidRPr="0076015D">
        <w:rPr>
          <w:rStyle w:val="Heading3Char"/>
          <w:rFonts w:asciiTheme="minorHAnsi" w:hAnsiTheme="minorHAnsi"/>
          <w:b/>
          <w:caps/>
          <w:color w:val="auto"/>
          <w:sz w:val="22"/>
        </w:rPr>
        <w:t>RECOMMENDATION 21.1 (SECTION 21.2)</w:t>
      </w:r>
      <w:r w:rsidRPr="0090554C">
        <w:rPr>
          <w:b/>
          <w:vertAlign w:val="superscript"/>
        </w:rPr>
        <w:footnoteReference w:id="56"/>
      </w:r>
      <w:r w:rsidRPr="0090554C">
        <w:rPr>
          <w:b/>
        </w:rPr>
        <w:t xml:space="preserve"> </w:t>
      </w:r>
    </w:p>
    <w:p w:rsidR="000D4DB7" w:rsidRPr="0090554C" w:rsidRDefault="000D4DB7" w:rsidP="00FE7E31">
      <w:pPr>
        <w:ind w:left="720"/>
      </w:pPr>
      <w:r w:rsidRPr="0090554C">
        <w:t xml:space="preserve">The Australian Government should amend the </w:t>
      </w:r>
      <w:r w:rsidRPr="0090554C">
        <w:rPr>
          <w:i/>
          <w:iCs/>
        </w:rPr>
        <w:t xml:space="preserve">Fair Work Act 2009 </w:t>
      </w:r>
      <w:r w:rsidRPr="0090554C">
        <w:t xml:space="preserve">(Cth) so that if an employer and union have not reached a negotiated outcome for a greenfields agreement after three months, the employer may: </w:t>
      </w:r>
    </w:p>
    <w:p w:rsidR="000D4DB7" w:rsidRPr="0090554C" w:rsidRDefault="000D4DB7" w:rsidP="002C284B">
      <w:pPr>
        <w:numPr>
          <w:ilvl w:val="0"/>
          <w:numId w:val="9"/>
        </w:numPr>
        <w:ind w:left="1800"/>
      </w:pPr>
      <w:r w:rsidRPr="0090554C">
        <w:t xml:space="preserve">continue negotiating with the union </w:t>
      </w:r>
    </w:p>
    <w:p w:rsidR="000D4DB7" w:rsidRPr="0090554C" w:rsidRDefault="000D4DB7" w:rsidP="002C284B">
      <w:pPr>
        <w:numPr>
          <w:ilvl w:val="0"/>
          <w:numId w:val="9"/>
        </w:numPr>
        <w:ind w:left="1800"/>
      </w:pPr>
      <w:r w:rsidRPr="0090554C">
        <w:t xml:space="preserve">request that the Fair Work Commission undertake ‘last offer’ arbitration by choosing between the last offers made by the employer and the union </w:t>
      </w:r>
    </w:p>
    <w:p w:rsidR="000D4DB7" w:rsidRPr="0090554C" w:rsidRDefault="000D4DB7" w:rsidP="002C284B">
      <w:pPr>
        <w:numPr>
          <w:ilvl w:val="0"/>
          <w:numId w:val="9"/>
        </w:numPr>
        <w:ind w:left="1800"/>
      </w:pPr>
      <w:r w:rsidRPr="0090554C">
        <w:t xml:space="preserve">submit the employer’s proposed greenfields arrangement for approval with a </w:t>
      </w:r>
      <w:r w:rsidR="00E3273D">
        <w:br/>
      </w:r>
      <w:r w:rsidRPr="0090554C">
        <w:t xml:space="preserve">12 month nominal expiry date. </w:t>
      </w:r>
    </w:p>
    <w:p w:rsidR="000D4DB7" w:rsidRPr="0090554C" w:rsidRDefault="000D4DB7" w:rsidP="00FE7E31">
      <w:pPr>
        <w:ind w:left="720"/>
      </w:pPr>
      <w:r w:rsidRPr="0090554C">
        <w:t>Regardless of the agreement-making process chosen by the employer, the ensuing greenfields arrangement must pass the no-disadvantage test specified in recommendation 20.5.</w:t>
      </w:r>
    </w:p>
    <w:p w:rsidR="00FE7E31" w:rsidRPr="0090554C" w:rsidRDefault="00FE7E31" w:rsidP="00FE7E31">
      <w:r w:rsidRPr="0090554C">
        <w:t>AMMA advocated for adoption of the Productivity Commission recommendation 21.1 in the following terms:</w:t>
      </w:r>
      <w:r w:rsidR="00F93483">
        <w:rPr>
          <w:rStyle w:val="FootnoteReference"/>
        </w:rPr>
        <w:footnoteReference w:id="57"/>
      </w:r>
    </w:p>
    <w:p w:rsidR="00FE7E31" w:rsidRPr="0090554C" w:rsidRDefault="00FE7E31" w:rsidP="00E32E7B">
      <w:pPr>
        <w:ind w:left="720"/>
      </w:pPr>
      <w:r w:rsidRPr="0090554C">
        <w:t>AMMA and its members are also supportive of the Productivity Commission’s recommendation 21.1, which recommends providing a suite of options where parties are not able to reach agreement after three months of negotiating. Importantly, the recommendation included options:</w:t>
      </w:r>
    </w:p>
    <w:p w:rsidR="00FE7E31" w:rsidRPr="0090554C" w:rsidRDefault="00FE7E31" w:rsidP="002C284B">
      <w:pPr>
        <w:pStyle w:val="ListParagraph"/>
        <w:numPr>
          <w:ilvl w:val="0"/>
          <w:numId w:val="10"/>
        </w:numPr>
      </w:pPr>
      <w:r w:rsidRPr="0090554C">
        <w:t>To continue to negotiate with the union;</w:t>
      </w:r>
    </w:p>
    <w:p w:rsidR="00FE7E31" w:rsidRPr="0090554C" w:rsidRDefault="00FE7E31" w:rsidP="002C284B">
      <w:pPr>
        <w:pStyle w:val="ListParagraph"/>
        <w:numPr>
          <w:ilvl w:val="0"/>
          <w:numId w:val="10"/>
        </w:numPr>
      </w:pPr>
      <w:r w:rsidRPr="0090554C">
        <w:lastRenderedPageBreak/>
        <w:t xml:space="preserve">To request the FWC undertake a “last offer” arbitration by choosing between the last offers made by the employer and the union; </w:t>
      </w:r>
    </w:p>
    <w:p w:rsidR="00FE7E31" w:rsidRPr="0090554C" w:rsidRDefault="00FE7E31" w:rsidP="002C284B">
      <w:pPr>
        <w:pStyle w:val="ListParagraph"/>
        <w:numPr>
          <w:ilvl w:val="0"/>
          <w:numId w:val="10"/>
        </w:numPr>
      </w:pPr>
      <w:r w:rsidRPr="0090554C">
        <w:t>To submit the employer’s proposed greenfields agreement for approval with a limited (12 month) nominal expiry date.</w:t>
      </w:r>
    </w:p>
    <w:p w:rsidR="00FE7E31" w:rsidRPr="0090554C" w:rsidRDefault="00AA3EDE" w:rsidP="00FE7E31">
      <w:r>
        <w:t>The MBA proposed</w:t>
      </w:r>
      <w:r w:rsidR="00873629">
        <w:t xml:space="preserve"> the adoption of a new form of ‘</w:t>
      </w:r>
      <w:r>
        <w:t>no-disadvantage test</w:t>
      </w:r>
      <w:r w:rsidR="00EC06FB">
        <w:t>’</w:t>
      </w:r>
      <w:r>
        <w:t xml:space="preserve"> against award standards. H</w:t>
      </w:r>
      <w:r w:rsidRPr="0090554C">
        <w:t>owever</w:t>
      </w:r>
      <w:r>
        <w:t>, the</w:t>
      </w:r>
      <w:r w:rsidRPr="0090554C">
        <w:t xml:space="preserve"> MBA </w:t>
      </w:r>
      <w:r w:rsidR="00FE7E31" w:rsidRPr="0090554C">
        <w:t>remarked in relation to the same Productivity Commission recommendation:</w:t>
      </w:r>
      <w:r w:rsidR="00F93483">
        <w:rPr>
          <w:rStyle w:val="FootnoteReference"/>
        </w:rPr>
        <w:footnoteReference w:id="58"/>
      </w:r>
    </w:p>
    <w:p w:rsidR="001F315E" w:rsidRDefault="001479AC" w:rsidP="001F315E">
      <w:pPr>
        <w:ind w:left="720"/>
      </w:pPr>
      <w:r>
        <w:t xml:space="preserve">The need for certainty in the making of Greenfields agreements is paramount. The three points </w:t>
      </w:r>
      <w:r w:rsidR="00574ED8">
        <w:t xml:space="preserve">[in the] </w:t>
      </w:r>
      <w:r>
        <w:t xml:space="preserve">above recommendation [in PC recommendation 21.1] would not deliver certainty. </w:t>
      </w:r>
      <w:r w:rsidR="00FE7E31" w:rsidRPr="0090554C">
        <w:t>Arbitration of any kind is not appropriate as investors will not submit to an imposed outcome when considering labour costs as part of an investment proposal.  A Greenfields agreement should not last for only 12 months but for the life of the project as elsewhere recommended by the Commission. For all of these reasons, we do not support this recommendation.</w:t>
      </w:r>
    </w:p>
    <w:p w:rsidR="00932B1B" w:rsidRDefault="00932B1B" w:rsidP="00932B1B">
      <w:r>
        <w:t xml:space="preserve">In terms of the prevailing </w:t>
      </w:r>
      <w:r w:rsidR="005B0E8C">
        <w:t>pay and conditions</w:t>
      </w:r>
      <w:r>
        <w:t xml:space="preserve"> test enshrined in s 187(6) of the Fair Work Act, AMMA argued that the application of that test could entrench inflated, non-competitive terms and conditions that are no longer relevant to the market conditions of the day. In this regard it referred to very high labour costs at the height the resources boom and expressed concern that maintenance of these arrangements which negatively impact all investment opportunities. AMMA proposed that:</w:t>
      </w:r>
      <w:r w:rsidR="00F93483">
        <w:rPr>
          <w:rStyle w:val="FootnoteReference"/>
        </w:rPr>
        <w:footnoteReference w:id="59"/>
      </w:r>
    </w:p>
    <w:p w:rsidR="00932B1B" w:rsidRDefault="00932B1B" w:rsidP="001F315E">
      <w:pPr>
        <w:ind w:left="720"/>
      </w:pPr>
      <w:r>
        <w:t>In terms of an appropriate test where an arbitrated outcome is called for, if not the prevailing industry standards test that currently exists in the FW Act</w:t>
      </w:r>
      <w:r w:rsidR="00BD2A38">
        <w:t xml:space="preserve"> [Fair Work Act]</w:t>
      </w:r>
      <w:r>
        <w:t>, AMMA supported the Productivity Commission’s recommendation of a requirement to pass the no-disadvantage test. This recommendation was made in the context of a suite of other recommendations about agreement making, so may be beyond the scope of this review. Failing that, the two existing tests (the BOOT and the public interest test) are adequate to protect employees’ interests.</w:t>
      </w:r>
    </w:p>
    <w:p w:rsidR="00932B1B" w:rsidRDefault="00932B1B" w:rsidP="00932B1B">
      <w:r>
        <w:t xml:space="preserve">Other employer </w:t>
      </w:r>
      <w:r w:rsidR="001F315E">
        <w:t xml:space="preserve">organisation </w:t>
      </w:r>
      <w:r>
        <w:t xml:space="preserve">submissions also supported moving away from a prevailing pay and conditions test and instead simply relying on the general agreement processes such as the </w:t>
      </w:r>
      <w:r w:rsidR="00D9554B">
        <w:t>BOOT</w:t>
      </w:r>
      <w:r>
        <w:t>.</w:t>
      </w:r>
    </w:p>
    <w:p w:rsidR="008076E3" w:rsidRDefault="008076E3" w:rsidP="008076E3">
      <w:r w:rsidRPr="001807EE">
        <w:t>The AMWU considered that s</w:t>
      </w:r>
      <w:r w:rsidR="00E3273D" w:rsidRPr="001807EE">
        <w:t xml:space="preserve"> </w:t>
      </w:r>
      <w:r w:rsidRPr="001807EE">
        <w:t xml:space="preserve">187(6) was intended to provide some protection to prevent </w:t>
      </w:r>
      <w:r w:rsidR="00022AAB" w:rsidRPr="001807EE">
        <w:t>g</w:t>
      </w:r>
      <w:r w:rsidRPr="001807EE">
        <w:t xml:space="preserve">reenfields agreements being made with terms and conditions below the prevailing pay and conditions in an industry and forecast its desire to be involved in any determination of this issue </w:t>
      </w:r>
      <w:r w:rsidR="00AA3EDE" w:rsidRPr="001807EE">
        <w:t>by</w:t>
      </w:r>
      <w:r w:rsidRPr="001807EE">
        <w:t xml:space="preserve"> the Fair Work Commission. </w:t>
      </w:r>
      <w:r w:rsidR="00AA3EDE" w:rsidRPr="001807EE">
        <w:t>The AMWU</w:t>
      </w:r>
      <w:r w:rsidRPr="001807EE">
        <w:t xml:space="preserve"> recommended that there should be a review </w:t>
      </w:r>
      <w:r w:rsidR="001807EE" w:rsidRPr="001807EE">
        <w:t>to “consider the impact of the notified negotiation period provisions”</w:t>
      </w:r>
      <w:r w:rsidR="001807EE" w:rsidRPr="001807EE">
        <w:rPr>
          <w:rStyle w:val="FootnoteReference"/>
        </w:rPr>
        <w:footnoteReference w:id="60"/>
      </w:r>
      <w:r w:rsidR="001807EE" w:rsidRPr="001807EE">
        <w:t xml:space="preserve"> </w:t>
      </w:r>
      <w:r w:rsidR="00B761E7" w:rsidRPr="001807EE">
        <w:t xml:space="preserve">12 months </w:t>
      </w:r>
      <w:r w:rsidRPr="001807EE">
        <w:t>after there has been a</w:t>
      </w:r>
      <w:r w:rsidR="00B761E7" w:rsidRPr="001807EE">
        <w:t xml:space="preserve"> s 182(4)</w:t>
      </w:r>
      <w:r w:rsidRPr="001807EE">
        <w:t xml:space="preserve"> </w:t>
      </w:r>
      <w:r w:rsidR="00B761E7" w:rsidRPr="001807EE">
        <w:t xml:space="preserve">greenfields </w:t>
      </w:r>
      <w:r w:rsidRPr="001807EE">
        <w:t>agreement made for the first time.</w:t>
      </w:r>
      <w:r w:rsidR="001479AC" w:rsidRPr="001807EE">
        <w:rPr>
          <w:rStyle w:val="FootnoteReference"/>
        </w:rPr>
        <w:footnoteReference w:id="61"/>
      </w:r>
    </w:p>
    <w:p w:rsidR="008076E3" w:rsidRDefault="008076E3" w:rsidP="001F315E">
      <w:r>
        <w:t xml:space="preserve">In the context of their calls for an extension of the good faith bargaining obligations, both the AFAP and the ANMF indicated support for last resort arbitration </w:t>
      </w:r>
      <w:r w:rsidR="00094541">
        <w:t xml:space="preserve">for </w:t>
      </w:r>
      <w:r>
        <w:t>disputed issues by the Fair Work Commission.</w:t>
      </w:r>
      <w:r w:rsidR="00F93483">
        <w:rPr>
          <w:rStyle w:val="FootnoteReference"/>
        </w:rPr>
        <w:footnoteReference w:id="62"/>
      </w:r>
    </w:p>
    <w:p w:rsidR="00AD3EC7" w:rsidRDefault="000F55F8" w:rsidP="001F315E">
      <w:r>
        <w:lastRenderedPageBreak/>
        <w:t>None of the workplace relations professionals the review spoke to</w:t>
      </w:r>
      <w:r w:rsidR="00AD3EC7">
        <w:t xml:space="preserve"> proposed a departure from the prevailing pay and conditions test, but both groups acknowledged uncertainty about how the test would be applied.</w:t>
      </w:r>
      <w:r w:rsidR="004822E6">
        <w:t xml:space="preserve"> This uncertainty was also acknowledged by the CFMEU, in the following terms:</w:t>
      </w:r>
      <w:r w:rsidR="00F93483">
        <w:rPr>
          <w:rStyle w:val="FootnoteReference"/>
        </w:rPr>
        <w:footnoteReference w:id="63"/>
      </w:r>
    </w:p>
    <w:p w:rsidR="004822E6" w:rsidRPr="006C7E0F" w:rsidRDefault="004822E6" w:rsidP="006C7E0F">
      <w:pPr>
        <w:ind w:left="720"/>
      </w:pPr>
      <w:r w:rsidRPr="006C7E0F">
        <w:t xml:space="preserve">Whilst noted in the question we reiterate our opposition to employer unilateralism for the making of a greenfield agreement. The prevailing pay and conditions test is of utility although we are yet to see its practical application by the Commission. If the compelling arguments for the abolition of 182 </w:t>
      </w:r>
      <w:r w:rsidR="006C7E0F">
        <w:t>(</w:t>
      </w:r>
      <w:r w:rsidRPr="006C7E0F">
        <w:t xml:space="preserve">4) are to be resisted we would submit that the test should be strengthened.  </w:t>
      </w:r>
    </w:p>
    <w:p w:rsidR="004822E6" w:rsidRPr="006C7E0F" w:rsidRDefault="004822E6" w:rsidP="006C7E0F">
      <w:pPr>
        <w:ind w:left="720"/>
      </w:pPr>
      <w:r w:rsidRPr="006C7E0F">
        <w:t xml:space="preserve">An employer unilateral greenfield agreement should exceed prevailing pay and conditions in the relevant industry and should provide for ‘best practice pay and conditions’ in the relevant industry. Further relevant employee registered organisations must be accorded the opportunity to address the Commission as to what best practice standards are for pay and conditions in the relevant industry. </w:t>
      </w:r>
    </w:p>
    <w:p w:rsidR="004822E6" w:rsidRPr="006C7E0F" w:rsidRDefault="004822E6" w:rsidP="006C7E0F">
      <w:pPr>
        <w:ind w:left="720"/>
        <w:rPr>
          <w:i/>
        </w:rPr>
      </w:pPr>
      <w:r w:rsidRPr="006C7E0F">
        <w:t>We would respectfully argue the basis for this standard is clear. Employer unilateralism is antithetical to the objectives of the Fair Work Act and if it is to remain available in the prescribed and unique circumstances of a greenfields agreement than its application should be scrutinised, and as matter of policy, be designed to achieve best practice outcomes for employees.</w:t>
      </w:r>
    </w:p>
    <w:p w:rsidR="008076E3" w:rsidRDefault="008076E3" w:rsidP="008076E3">
      <w:r>
        <w:t xml:space="preserve">The 2015 </w:t>
      </w:r>
      <w:r w:rsidR="00022AAB">
        <w:t>g</w:t>
      </w:r>
      <w:r>
        <w:t xml:space="preserve">reenfields agreement amendments enable an employer to elect to continue to negotiate for a </w:t>
      </w:r>
      <w:r w:rsidR="00022AAB">
        <w:t>g</w:t>
      </w:r>
      <w:r>
        <w:t>reenfields agreement after the conclusion of the notified negotiation period. Hence, this first aspect of the Productivity Commission recommendation is effectively met by the current legislation.</w:t>
      </w:r>
    </w:p>
    <w:p w:rsidR="00CA0BBF" w:rsidRDefault="008076E3" w:rsidP="001F315E">
      <w:r>
        <w:t xml:space="preserve">The proposition that the Fair Work Commission undertake </w:t>
      </w:r>
      <w:r w:rsidR="00873629">
        <w:t>‘</w:t>
      </w:r>
      <w:r>
        <w:t>last offer arbitration</w:t>
      </w:r>
      <w:r w:rsidR="00873629">
        <w:t>’</w:t>
      </w:r>
      <w:r>
        <w:t xml:space="preserve"> by choosing between the last offers made by the employer and the union </w:t>
      </w:r>
      <w:r w:rsidR="00AA3EDE">
        <w:t xml:space="preserve">leaves significant questions about </w:t>
      </w:r>
      <w:r>
        <w:t xml:space="preserve">the criteria or factors to be considered in any such arbitration. It appears likely that any such </w:t>
      </w:r>
      <w:r w:rsidR="00932B1B">
        <w:t xml:space="preserve">last offer </w:t>
      </w:r>
      <w:r>
        <w:t xml:space="preserve">arbitration would take into account the prevailing pay and conditions. </w:t>
      </w:r>
      <w:r w:rsidR="00AA3EDE">
        <w:t>However,</w:t>
      </w:r>
      <w:r w:rsidR="001F315E">
        <w:t xml:space="preserve"> </w:t>
      </w:r>
      <w:r w:rsidR="00AA3EDE">
        <w:t>it</w:t>
      </w:r>
      <w:r>
        <w:t xml:space="preserve"> appears to enable far more extreme positions to be put and argued</w:t>
      </w:r>
      <w:r w:rsidR="0001140B">
        <w:t>,</w:t>
      </w:r>
      <w:r>
        <w:t xml:space="preserve"> and have very real potential for protracted proceedings which would impact on resource development project decision-making. For instance, it would enable a much lower wage proposal to be proposed for approval. Whilst that may be argued to be justifiable</w:t>
      </w:r>
      <w:r w:rsidR="00932B1B">
        <w:t>,</w:t>
      </w:r>
      <w:r>
        <w:t xml:space="preserve"> it is difficult to reconcile with the desire for a rapid </w:t>
      </w:r>
      <w:r w:rsidR="00022AAB">
        <w:t>g</w:t>
      </w:r>
      <w:r>
        <w:t>reenfields agreement settlement process</w:t>
      </w:r>
      <w:r w:rsidR="00932B1B">
        <w:t xml:space="preserve"> and the objective of certainty in agreement making</w:t>
      </w:r>
      <w:r>
        <w:t>.</w:t>
      </w:r>
      <w:r w:rsidR="00C45355">
        <w:t xml:space="preserve"> </w:t>
      </w:r>
    </w:p>
    <w:p w:rsidR="008076E3" w:rsidRPr="008076E3" w:rsidRDefault="00C45355" w:rsidP="001F315E">
      <w:r>
        <w:t xml:space="preserve">There was limited information from stakeholders about the likely effects </w:t>
      </w:r>
      <w:r w:rsidR="00574ED8">
        <w:t xml:space="preserve">of </w:t>
      </w:r>
      <w:r>
        <w:t>providing for a greenfields agreement to be simply tested against award standards. The review has concluded that such an approach would permit the approval of agreements which were significantly different from the prevailing pay and conditions</w:t>
      </w:r>
      <w:r w:rsidR="00A314ED">
        <w:t xml:space="preserve"> of the relevant industries</w:t>
      </w:r>
      <w:r>
        <w:t>. This creates doubt about the sustainability of such an agreement and appears contrary to the construction and resources project sector’s expressed desire to quickly achieve certainty in workplace industrial arrangements.</w:t>
      </w:r>
    </w:p>
    <w:p w:rsidR="00E728E7" w:rsidRPr="0090554C" w:rsidRDefault="00E728E7" w:rsidP="00E728E7">
      <w:r w:rsidRPr="0090554C">
        <w:t xml:space="preserve">The union concern that an application </w:t>
      </w:r>
      <w:r w:rsidR="005B761C">
        <w:t xml:space="preserve">for approval of a </w:t>
      </w:r>
      <w:r w:rsidRPr="0090554C">
        <w:t>s 18</w:t>
      </w:r>
      <w:r w:rsidR="00A314ED">
        <w:t>2</w:t>
      </w:r>
      <w:r w:rsidRPr="0090554C">
        <w:t>(</w:t>
      </w:r>
      <w:r w:rsidR="00A314ED">
        <w:t>4</w:t>
      </w:r>
      <w:r w:rsidRPr="0090554C">
        <w:t xml:space="preserve">) </w:t>
      </w:r>
      <w:r w:rsidR="005B761C">
        <w:t xml:space="preserve">greenfields agreement </w:t>
      </w:r>
      <w:r w:rsidRPr="0090554C">
        <w:t xml:space="preserve">could result in </w:t>
      </w:r>
      <w:r w:rsidR="00E058C3">
        <w:br/>
      </w:r>
      <w:r w:rsidRPr="0090554C">
        <w:t xml:space="preserve">a reduction in wages or conditions is difficult to sustain on a plain approach to the concept of the prevailing pay and conditions test. Almost by definition, an attempt to substantially reduce wages and </w:t>
      </w:r>
      <w:r w:rsidRPr="0090554C">
        <w:lastRenderedPageBreak/>
        <w:t xml:space="preserve">conditions appears contrary to any assessment of normal arrangements applicable to a project or business venture. </w:t>
      </w:r>
    </w:p>
    <w:p w:rsidR="00E728E7" w:rsidRPr="0090554C" w:rsidRDefault="00E728E7" w:rsidP="00E728E7">
      <w:r w:rsidRPr="0090554C">
        <w:t>It is far more likely that the matters that are disagreed will relate to more marginal arguments</w:t>
      </w:r>
      <w:r w:rsidR="00932B1B">
        <w:t>, to issues of managerial prerogative,</w:t>
      </w:r>
      <w:r w:rsidRPr="0090554C">
        <w:t xml:space="preserve"> or disputes over whether a rate, a roster or hours arrangement which is applicable in some areas should be extended to the employees to be covered </w:t>
      </w:r>
      <w:r w:rsidR="00022AAB">
        <w:t>by the new g</w:t>
      </w:r>
      <w:r w:rsidRPr="0090554C">
        <w:t>reenfields agreement. In this context, a disagreement</w:t>
      </w:r>
      <w:r w:rsidR="00022AAB">
        <w:t xml:space="preserve"> over such a claim sought in a g</w:t>
      </w:r>
      <w:r w:rsidRPr="0090554C">
        <w:t xml:space="preserve">reenfields agreement must </w:t>
      </w:r>
      <w:r w:rsidR="00E058C3">
        <w:br/>
      </w:r>
      <w:r w:rsidRPr="0090554C">
        <w:t xml:space="preserve">be weighed against the potential that the project or business may not then proceed. Obviously, this becomes a particularly significant issue relative to resource development </w:t>
      </w:r>
      <w:r w:rsidR="00AD3EC7">
        <w:t xml:space="preserve">and infrastructure construction </w:t>
      </w:r>
      <w:r w:rsidRPr="0090554C">
        <w:t>projects.</w:t>
      </w:r>
    </w:p>
    <w:p w:rsidR="00932B1B" w:rsidRDefault="00EE024B" w:rsidP="00932B1B">
      <w:r>
        <w:t xml:space="preserve">The review </w:t>
      </w:r>
      <w:r w:rsidR="00932B1B">
        <w:t>has concluded</w:t>
      </w:r>
      <w:r>
        <w:t xml:space="preserve"> </w:t>
      </w:r>
      <w:r w:rsidR="008076E3">
        <w:t xml:space="preserve">that </w:t>
      </w:r>
      <w:r w:rsidR="00932B1B">
        <w:t>the</w:t>
      </w:r>
      <w:r>
        <w:t xml:space="preserve"> prevailing pay and conditions test </w:t>
      </w:r>
      <w:r w:rsidR="008076E3">
        <w:t>provides</w:t>
      </w:r>
      <w:r>
        <w:t xml:space="preserve"> employees with </w:t>
      </w:r>
      <w:r w:rsidR="008076E3">
        <w:t xml:space="preserve">protection of general standards agreed </w:t>
      </w:r>
      <w:r w:rsidR="00932B1B">
        <w:t>in that industry</w:t>
      </w:r>
      <w:r w:rsidR="00C45355">
        <w:t xml:space="preserve"> and geographic location. That protection is appropriate as greenfields agreements are not negotiated directly with employees.</w:t>
      </w:r>
      <w:r>
        <w:t xml:space="preserve"> </w:t>
      </w:r>
    </w:p>
    <w:p w:rsidR="00CA0BBF" w:rsidRDefault="00536951" w:rsidP="00932B1B">
      <w:r>
        <w:t xml:space="preserve">The experience of the resources boom is that </w:t>
      </w:r>
      <w:r w:rsidR="00932B1B">
        <w:t xml:space="preserve">some </w:t>
      </w:r>
      <w:r w:rsidR="008076E3">
        <w:t xml:space="preserve">employers </w:t>
      </w:r>
      <w:r>
        <w:t xml:space="preserve">agreed to wages and conditions claims and escalation arrangements that were exceptional by general standards. It may well be that employers now say they had no choice in the matter and that they were forced into these arrangements in order to reach an agreement. </w:t>
      </w:r>
      <w:r w:rsidR="00CA0BBF">
        <w:t xml:space="preserve">Alternatively, the wage costs may not have been a concern during the peak of the resources boom. </w:t>
      </w:r>
      <w:r w:rsidR="0002065A">
        <w:t xml:space="preserve"> </w:t>
      </w:r>
    </w:p>
    <w:p w:rsidR="00A314ED" w:rsidRDefault="0002065A" w:rsidP="00932B1B">
      <w:r w:rsidRPr="001807EE">
        <w:t>The employer pro</w:t>
      </w:r>
      <w:r w:rsidR="00FD1927" w:rsidRPr="001807EE">
        <w:t>posals to be able to return to</w:t>
      </w:r>
      <w:r w:rsidRPr="001807EE">
        <w:t xml:space="preserve"> </w:t>
      </w:r>
      <w:r w:rsidR="00FD1927" w:rsidRPr="001807EE">
        <w:t xml:space="preserve">the </w:t>
      </w:r>
      <w:r w:rsidRPr="001807EE">
        <w:t xml:space="preserve">relatively simple </w:t>
      </w:r>
      <w:r w:rsidR="00FD1927" w:rsidRPr="001807EE">
        <w:t xml:space="preserve">BOOT </w:t>
      </w:r>
      <w:r w:rsidRPr="001807EE">
        <w:t>against award wages and conditions anticipates that unions can be expected to agree to arrangements significantly less than those applicable on other major resource projects without the endorsement of their members</w:t>
      </w:r>
      <w:r>
        <w:t xml:space="preserve">. </w:t>
      </w:r>
      <w:r w:rsidR="0001140B">
        <w:t>It is arguable that employees should be involved in decisions to adopt agreement arrangements t</w:t>
      </w:r>
      <w:r w:rsidR="00873629">
        <w:t>hat significantly deviate from ‘</w:t>
      </w:r>
      <w:r w:rsidR="0001140B">
        <w:t>going rates</w:t>
      </w:r>
      <w:r w:rsidR="00873629">
        <w:t>’</w:t>
      </w:r>
      <w:r w:rsidR="0001140B">
        <w:t xml:space="preserve"> on comparable projects.</w:t>
      </w:r>
      <w:r>
        <w:t xml:space="preserve">  </w:t>
      </w:r>
    </w:p>
    <w:p w:rsidR="00E32E7B" w:rsidRDefault="0002065A" w:rsidP="00932B1B">
      <w:r>
        <w:t xml:space="preserve">A </w:t>
      </w:r>
      <w:r w:rsidR="00A314ED">
        <w:t>f</w:t>
      </w:r>
      <w:r>
        <w:t xml:space="preserve">urther observation in this regard is appropriate. </w:t>
      </w:r>
      <w:r w:rsidR="00A40094">
        <w:t>Employers may consider</w:t>
      </w:r>
      <w:r>
        <w:t xml:space="preserve"> the extent that the current reduction in major project activity </w:t>
      </w:r>
      <w:r w:rsidR="00A40094">
        <w:t>provides</w:t>
      </w:r>
      <w:r>
        <w:t xml:space="preserve"> the opportunity to reset the </w:t>
      </w:r>
      <w:r w:rsidR="00A40094">
        <w:t xml:space="preserve">wage escalation </w:t>
      </w:r>
      <w:r>
        <w:t>arrangements that applied during the resources boom</w:t>
      </w:r>
      <w:r w:rsidR="001479AC">
        <w:t xml:space="preserve"> rather than relying on </w:t>
      </w:r>
      <w:r w:rsidR="00A40094">
        <w:t>a tribunal to do this</w:t>
      </w:r>
      <w:r>
        <w:t>.</w:t>
      </w:r>
    </w:p>
    <w:p w:rsidR="001807EE" w:rsidRDefault="001807EE" w:rsidP="001807EE">
      <w:r>
        <w:t xml:space="preserve">Some workplace relations professionals in the infrastructure sector flagged a concern that the prevailing pay and conditions test could be complicated where a particularly generous agreement, agreed for reasons very specific to a site, was used as a reference point. This could be exacerbated where there are very few comparable projects in a particular geographic region. There is a potential for this to lead to argument before the Fair Work Commission and additional delays. </w:t>
      </w:r>
    </w:p>
    <w:p w:rsidR="00EE024B" w:rsidRPr="0090554C" w:rsidRDefault="00EE024B" w:rsidP="00EE024B">
      <w:r w:rsidRPr="0090554C">
        <w:t xml:space="preserve">In </w:t>
      </w:r>
      <w:r w:rsidR="00E67601">
        <w:t xml:space="preserve">the construction </w:t>
      </w:r>
      <w:r w:rsidR="00A314ED">
        <w:t>sector</w:t>
      </w:r>
      <w:r w:rsidR="00574ED8">
        <w:t>,</w:t>
      </w:r>
      <w:r w:rsidR="00A314ED">
        <w:t xml:space="preserve"> agreements</w:t>
      </w:r>
      <w:r w:rsidR="00A40094">
        <w:t xml:space="preserve"> which are not project related also often reflect common approaches sought by particular unions. </w:t>
      </w:r>
      <w:r>
        <w:t>The MBA notes that despite various regulatory regimes seeking to minimise pattern agreements, they are still common.</w:t>
      </w:r>
      <w:r w:rsidR="00F93483">
        <w:rPr>
          <w:rStyle w:val="FootnoteReference"/>
        </w:rPr>
        <w:footnoteReference w:id="64"/>
      </w:r>
      <w:r w:rsidRPr="0090554C">
        <w:t xml:space="preserve"> </w:t>
      </w:r>
      <w:r w:rsidR="00811C14">
        <w:t xml:space="preserve"> Again, similarities in greenfields construction agreements applicable in various sectors </w:t>
      </w:r>
      <w:r w:rsidR="00CE3147">
        <w:t>indicates that the prevailing pay and conditions test is likely to be relatively straightforward.</w:t>
      </w:r>
    </w:p>
    <w:p w:rsidR="00EE024B" w:rsidRPr="0090554C" w:rsidRDefault="00EE024B" w:rsidP="00EE024B">
      <w:r w:rsidRPr="0090554C">
        <w:t>Greenfields agreements are</w:t>
      </w:r>
      <w:r>
        <w:t xml:space="preserve"> also</w:t>
      </w:r>
      <w:r w:rsidRPr="0090554C">
        <w:t xml:space="preserve"> </w:t>
      </w:r>
      <w:r w:rsidR="0001140B">
        <w:t>frequently</w:t>
      </w:r>
      <w:r w:rsidR="0001140B" w:rsidRPr="0090554C">
        <w:t xml:space="preserve"> </w:t>
      </w:r>
      <w:r w:rsidRPr="0090554C">
        <w:t xml:space="preserve">reached with </w:t>
      </w:r>
      <w:r w:rsidR="000B3833">
        <w:t>l</w:t>
      </w:r>
      <w:r w:rsidR="000B3833" w:rsidRPr="0090554C">
        <w:t xml:space="preserve">abour </w:t>
      </w:r>
      <w:r w:rsidR="000B3833">
        <w:t>h</w:t>
      </w:r>
      <w:r w:rsidR="000B3833" w:rsidRPr="0090554C">
        <w:t xml:space="preserve">ire </w:t>
      </w:r>
      <w:r w:rsidRPr="0090554C">
        <w:t>companies to apply to employees who are to be engaged to work in business</w:t>
      </w:r>
      <w:r w:rsidR="00A40094">
        <w:t>es</w:t>
      </w:r>
      <w:r w:rsidRPr="0090554C">
        <w:t xml:space="preserve"> which </w:t>
      </w:r>
      <w:r w:rsidR="00A40094" w:rsidRPr="0090554C">
        <w:t>ha</w:t>
      </w:r>
      <w:r w:rsidR="00A40094">
        <w:t>ve</w:t>
      </w:r>
      <w:r w:rsidR="00A40094" w:rsidRPr="0090554C">
        <w:t xml:space="preserve"> </w:t>
      </w:r>
      <w:r w:rsidRPr="0090554C">
        <w:t>an agreement</w:t>
      </w:r>
      <w:r w:rsidR="00574ED8">
        <w:t>. This creates</w:t>
      </w:r>
      <w:r w:rsidRPr="0090554C">
        <w:t xml:space="preserve"> an expectation that labour hire employees will receive wages and conditions commensurate with employees engaged by the </w:t>
      </w:r>
      <w:r w:rsidRPr="0090554C">
        <w:lastRenderedPageBreak/>
        <w:t>host employer. It is difficult to conceive that a dispute over those terms and conditions is likely or that it would involve difficulties in the application of the prevailing pay and conditions test.</w:t>
      </w:r>
    </w:p>
    <w:p w:rsidR="00EE024B" w:rsidRDefault="00EE024B" w:rsidP="00E32E7B">
      <w:r w:rsidRPr="0090554C">
        <w:t xml:space="preserve">The other significant </w:t>
      </w:r>
      <w:r w:rsidR="00022AAB">
        <w:t>use of g</w:t>
      </w:r>
      <w:r w:rsidRPr="0090554C">
        <w:t>reenfields agreements relates to businesses which are putting in place new ventures or locations. Transport, refuse and retailing businesses often fall into this category</w:t>
      </w:r>
      <w:r>
        <w:t>, as do live performance ventures</w:t>
      </w:r>
      <w:r w:rsidRPr="0090554C">
        <w:t>. Consideration of these agreements discloses close similarities with existing arrangements applying elsewhere within those businesses. As a result, it is difficult to see that the application of the prevailing pay and conditions test is likely to be an overly complicated process.</w:t>
      </w:r>
    </w:p>
    <w:p w:rsidR="00EB28C1" w:rsidRDefault="00EB28C1" w:rsidP="00E32E7B">
      <w:r>
        <w:t>Implicit in s</w:t>
      </w:r>
      <w:r w:rsidR="000B3833">
        <w:t xml:space="preserve"> 182</w:t>
      </w:r>
      <w:r>
        <w:t>(</w:t>
      </w:r>
      <w:r w:rsidR="000B3833">
        <w:t>4</w:t>
      </w:r>
      <w:r>
        <w:t xml:space="preserve">) is the expectation that greenfields agreements will meet and exceed the general </w:t>
      </w:r>
      <w:r w:rsidR="00FD1927">
        <w:t>BOOT</w:t>
      </w:r>
      <w:r>
        <w:t>. Consideration of greenfields agreements demonstrates this is already the case.</w:t>
      </w:r>
    </w:p>
    <w:p w:rsidR="00F7092E" w:rsidRDefault="001807EE" w:rsidP="00F7092E">
      <w:r>
        <w:t>Despite some of the concerns outlined above, t</w:t>
      </w:r>
      <w:r w:rsidR="00F93483">
        <w:t xml:space="preserve">he material before the review indicates that the prevailing pay and conditions test should not represent a particularly complex test, or the capacity for major reductions in relatively standard pay and conditions. It is more likely to be applied to resolve differences of a more marginal or incremental nature and is the most appropriate mechanism for the assessment of this type of agreement. </w:t>
      </w:r>
      <w:r w:rsidR="00F7092E">
        <w:t xml:space="preserve">The review does note concerns regarding the administrative processes for the Fair Work Commission to apply this test as being a likely source for delays for any initial cases considered. </w:t>
      </w:r>
    </w:p>
    <w:p w:rsidR="00DA4F98" w:rsidRDefault="00F7092E" w:rsidP="00F93483">
      <w:r w:rsidRPr="00D1295C">
        <w:t xml:space="preserve">Notwithstanding </w:t>
      </w:r>
      <w:r>
        <w:t>the review’s finding that the test should be retained as an appropriate safeguard for the consideration of s 182(4) greenfields agreements</w:t>
      </w:r>
      <w:r w:rsidRPr="00D1295C">
        <w:t>,</w:t>
      </w:r>
      <w:r>
        <w:t xml:space="preserve"> </w:t>
      </w:r>
      <w:r w:rsidR="00F93483" w:rsidRPr="00D1295C">
        <w:t>the initial application of the prevailing pay and conditions test could be facilitated by the Fair Work Commission through the establishment of principles to be considered in the application of the prevailing pay and conditions test. These principles could be developed in consultation with key stakeholders. The development of principles of this nature can be expected to further simplify consideration of the issues in s 187(6).</w:t>
      </w:r>
    </w:p>
    <w:p w:rsidR="00513CCA" w:rsidRPr="00513CCA" w:rsidRDefault="00513CCA" w:rsidP="00513CCA">
      <w:pPr>
        <w:pStyle w:val="Heading3"/>
        <w:pBdr>
          <w:top w:val="single" w:sz="4" w:space="1" w:color="auto"/>
          <w:left w:val="single" w:sz="4" w:space="4" w:color="auto"/>
          <w:bottom w:val="single" w:sz="4" w:space="1" w:color="auto"/>
          <w:right w:val="single" w:sz="4" w:space="4" w:color="auto"/>
        </w:pBdr>
        <w:rPr>
          <w:rFonts w:asciiTheme="minorHAnsi" w:hAnsiTheme="minorHAnsi"/>
          <w:b/>
          <w:color w:val="auto"/>
          <w:sz w:val="22"/>
        </w:rPr>
      </w:pPr>
      <w:r w:rsidRPr="00513CCA">
        <w:rPr>
          <w:rFonts w:asciiTheme="minorHAnsi" w:hAnsiTheme="minorHAnsi"/>
          <w:b/>
          <w:color w:val="auto"/>
          <w:sz w:val="22"/>
        </w:rPr>
        <w:t>Recommendation 8</w:t>
      </w:r>
    </w:p>
    <w:p w:rsidR="00513CCA" w:rsidRPr="00513CCA" w:rsidRDefault="00513CCA" w:rsidP="00513CCA">
      <w:pPr>
        <w:pBdr>
          <w:top w:val="single" w:sz="4" w:space="1" w:color="auto"/>
          <w:left w:val="single" w:sz="4" w:space="4" w:color="auto"/>
          <w:bottom w:val="single" w:sz="4" w:space="1" w:color="auto"/>
          <w:right w:val="single" w:sz="4" w:space="4" w:color="auto"/>
        </w:pBdr>
        <w:rPr>
          <w:b/>
        </w:rPr>
      </w:pPr>
      <w:r w:rsidRPr="00513CCA">
        <w:rPr>
          <w:b/>
        </w:rPr>
        <w:t>That the prevailing pay and conditions test be retained as the most appropriate test for consideration of applications made for approval of a s 182(4) greenfields agreement.</w:t>
      </w:r>
    </w:p>
    <w:p w:rsidR="00513CCA" w:rsidRPr="00513CCA" w:rsidRDefault="00513CCA" w:rsidP="00513CCA">
      <w:pPr>
        <w:pStyle w:val="Heading3"/>
        <w:pBdr>
          <w:top w:val="single" w:sz="4" w:space="1" w:color="auto"/>
          <w:left w:val="single" w:sz="4" w:space="4" w:color="auto"/>
          <w:bottom w:val="single" w:sz="4" w:space="1" w:color="auto"/>
          <w:right w:val="single" w:sz="4" w:space="4" w:color="auto"/>
        </w:pBdr>
        <w:rPr>
          <w:rFonts w:asciiTheme="minorHAnsi" w:hAnsiTheme="minorHAnsi"/>
          <w:b/>
          <w:color w:val="auto"/>
          <w:sz w:val="22"/>
        </w:rPr>
      </w:pPr>
      <w:r w:rsidRPr="00513CCA">
        <w:rPr>
          <w:rFonts w:asciiTheme="minorHAnsi" w:hAnsiTheme="minorHAnsi"/>
          <w:b/>
          <w:color w:val="auto"/>
          <w:sz w:val="22"/>
        </w:rPr>
        <w:t>Recommendation 9</w:t>
      </w:r>
    </w:p>
    <w:p w:rsidR="00513CCA" w:rsidRPr="00513CCA" w:rsidRDefault="00513CCA" w:rsidP="00513CCA">
      <w:pPr>
        <w:pBdr>
          <w:top w:val="single" w:sz="4" w:space="1" w:color="auto"/>
          <w:left w:val="single" w:sz="4" w:space="4" w:color="auto"/>
          <w:bottom w:val="single" w:sz="4" w:space="1" w:color="auto"/>
          <w:right w:val="single" w:sz="4" w:space="4" w:color="auto"/>
        </w:pBdr>
        <w:rPr>
          <w:b/>
        </w:rPr>
      </w:pPr>
      <w:r w:rsidRPr="00513CCA">
        <w:rPr>
          <w:b/>
        </w:rPr>
        <w:t xml:space="preserve">That in the event that an application is made pursuant to s 182(4), the Fair Work Commission should take all possible steps to ensure that the matter is resolved as expeditiously as possible. </w:t>
      </w:r>
    </w:p>
    <w:p w:rsidR="00513CCA" w:rsidRPr="00513CCA" w:rsidRDefault="00513CCA" w:rsidP="00513CCA">
      <w:pPr>
        <w:pStyle w:val="Heading3"/>
        <w:pBdr>
          <w:top w:val="single" w:sz="4" w:space="1" w:color="auto"/>
          <w:left w:val="single" w:sz="4" w:space="4" w:color="auto"/>
          <w:bottom w:val="single" w:sz="4" w:space="1" w:color="auto"/>
          <w:right w:val="single" w:sz="4" w:space="4" w:color="auto"/>
        </w:pBdr>
        <w:rPr>
          <w:rFonts w:asciiTheme="minorHAnsi" w:hAnsiTheme="minorHAnsi"/>
          <w:b/>
          <w:color w:val="auto"/>
          <w:sz w:val="22"/>
        </w:rPr>
      </w:pPr>
      <w:r w:rsidRPr="00513CCA">
        <w:rPr>
          <w:rFonts w:asciiTheme="minorHAnsi" w:hAnsiTheme="minorHAnsi"/>
          <w:b/>
          <w:color w:val="auto"/>
          <w:sz w:val="22"/>
        </w:rPr>
        <w:t>Recommendation 10</w:t>
      </w:r>
    </w:p>
    <w:p w:rsidR="00513CCA" w:rsidRPr="00513CCA" w:rsidRDefault="00513CCA" w:rsidP="00513CCA">
      <w:pPr>
        <w:pBdr>
          <w:top w:val="single" w:sz="4" w:space="1" w:color="auto"/>
          <w:left w:val="single" w:sz="4" w:space="4" w:color="auto"/>
          <w:bottom w:val="single" w:sz="4" w:space="1" w:color="auto"/>
          <w:right w:val="single" w:sz="4" w:space="4" w:color="auto"/>
        </w:pBdr>
        <w:rPr>
          <w:b/>
        </w:rPr>
      </w:pPr>
      <w:r w:rsidRPr="00513CCA">
        <w:rPr>
          <w:b/>
        </w:rPr>
        <w:t xml:space="preserve">That the Fair Work Commission develop and publish principles which detail the approach the Fair Work Commission will apply to applications for approval of greenfields agreements pursuant to </w:t>
      </w:r>
      <w:r w:rsidRPr="00513CCA">
        <w:rPr>
          <w:b/>
        </w:rPr>
        <w:br/>
        <w:t>s 187(6) and the prevailing pay and conditions test.</w:t>
      </w:r>
    </w:p>
    <w:p w:rsidR="00A3500C" w:rsidRPr="0090554C" w:rsidRDefault="002E507B" w:rsidP="00143E8F">
      <w:pPr>
        <w:pStyle w:val="Heading1"/>
      </w:pPr>
      <w:bookmarkStart w:id="26" w:name="_Toc505681266"/>
      <w:r>
        <w:t>Agreements made with small voting cohorts</w:t>
      </w:r>
      <w:bookmarkEnd w:id="26"/>
    </w:p>
    <w:p w:rsidR="0045027C" w:rsidRPr="0090554C" w:rsidRDefault="00EE024B">
      <w:r>
        <w:t xml:space="preserve">The </w:t>
      </w:r>
      <w:r w:rsidR="002E507B" w:rsidRPr="0090554C">
        <w:t>term</w:t>
      </w:r>
      <w:r w:rsidR="002E507B">
        <w:t xml:space="preserve"> </w:t>
      </w:r>
      <w:r w:rsidR="00873629">
        <w:t>‘</w:t>
      </w:r>
      <w:r>
        <w:t>b</w:t>
      </w:r>
      <w:r w:rsidR="0045027C" w:rsidRPr="0090554C">
        <w:t>rownfields agreements</w:t>
      </w:r>
      <w:r w:rsidR="00873629">
        <w:t>’</w:t>
      </w:r>
      <w:r w:rsidR="0045027C" w:rsidRPr="0090554C">
        <w:t xml:space="preserve"> was used </w:t>
      </w:r>
      <w:r w:rsidR="00EC06FB">
        <w:t>by unions</w:t>
      </w:r>
      <w:r w:rsidR="00D863C5">
        <w:t xml:space="preserve"> </w:t>
      </w:r>
      <w:r w:rsidR="0045027C" w:rsidRPr="0090554C">
        <w:t xml:space="preserve">to describe agreements reached with a small number of employees, but which then applied to a much larger cohort of employees who were subsequently engaged. Of particular concern </w:t>
      </w:r>
      <w:r w:rsidR="00BC5CC9">
        <w:t xml:space="preserve">to the unions </w:t>
      </w:r>
      <w:r w:rsidR="0045027C" w:rsidRPr="0090554C">
        <w:t>i</w:t>
      </w:r>
      <w:r w:rsidR="00D863C5">
        <w:t xml:space="preserve">s </w:t>
      </w:r>
      <w:r w:rsidR="0045027C" w:rsidRPr="0090554C">
        <w:t xml:space="preserve">the propensity for these agreements to be </w:t>
      </w:r>
      <w:r w:rsidR="0045027C" w:rsidRPr="0090554C">
        <w:lastRenderedPageBreak/>
        <w:t>reached without union involvement.</w:t>
      </w:r>
      <w:r w:rsidR="0017590F">
        <w:t xml:space="preserve"> The AMWU referred to</w:t>
      </w:r>
      <w:r w:rsidR="00D863C5">
        <w:t xml:space="preserve"> these same agreements as</w:t>
      </w:r>
      <w:r w:rsidR="0017590F">
        <w:t xml:space="preserve"> </w:t>
      </w:r>
      <w:r w:rsidR="00873629">
        <w:t>‘</w:t>
      </w:r>
      <w:r w:rsidR="0017590F">
        <w:t>base line</w:t>
      </w:r>
      <w:r w:rsidR="00873629">
        <w:t xml:space="preserve">’ </w:t>
      </w:r>
      <w:r w:rsidR="00D863C5">
        <w:t>or</w:t>
      </w:r>
      <w:r w:rsidR="00873629">
        <w:t xml:space="preserve"> ‘</w:t>
      </w:r>
      <w:r w:rsidR="0017590F">
        <w:t>sham</w:t>
      </w:r>
      <w:r w:rsidR="00873629">
        <w:t>’</w:t>
      </w:r>
      <w:r w:rsidR="0017590F">
        <w:t xml:space="preserve"> agreements</w:t>
      </w:r>
      <w:r w:rsidR="00D863C5">
        <w:t>.</w:t>
      </w:r>
      <w:r w:rsidR="00D863C5">
        <w:rPr>
          <w:rStyle w:val="FootnoteReference"/>
        </w:rPr>
        <w:footnoteReference w:id="65"/>
      </w:r>
    </w:p>
    <w:p w:rsidR="0045027C" w:rsidRPr="0090554C" w:rsidRDefault="0045027C" w:rsidP="0045027C">
      <w:r w:rsidRPr="0090554C">
        <w:t>The union submissions</w:t>
      </w:r>
      <w:r w:rsidR="002E507B">
        <w:t xml:space="preserve"> argued that b</w:t>
      </w:r>
      <w:r w:rsidR="0017590F">
        <w:t>rownfields agreements were sham agreements that were</w:t>
      </w:r>
      <w:r w:rsidRPr="0090554C">
        <w:t xml:space="preserve"> being utilised to reduce existing employee entitlements.</w:t>
      </w:r>
    </w:p>
    <w:p w:rsidR="0045027C" w:rsidRPr="0090554C" w:rsidRDefault="0045027C" w:rsidP="0045027C">
      <w:r w:rsidRPr="0090554C">
        <w:t>The ACTU detailed this concern in the following terms:</w:t>
      </w:r>
      <w:r w:rsidR="00F93483">
        <w:rPr>
          <w:rStyle w:val="FootnoteReference"/>
        </w:rPr>
        <w:footnoteReference w:id="66"/>
      </w:r>
    </w:p>
    <w:p w:rsidR="00CD1544" w:rsidRPr="0090554C" w:rsidRDefault="00CD1544" w:rsidP="00EE024B">
      <w:pPr>
        <w:ind w:left="720"/>
      </w:pPr>
      <w:r w:rsidRPr="0090554C">
        <w:t xml:space="preserve">The ability for employers to make agreements with small and unrepresentative voting cohorts is a significant ‘systemic impediment to the making of greenfields agreements’. It has allowed employers to achieve what they called for in the Fair Work Act Review and the Productivity Commission Inquiry but which both reviews rejected: unilateral employer greenfields agreements, without having to bargain with a union and without having to wait until the expiry of a set negotiation period. </w:t>
      </w:r>
    </w:p>
    <w:p w:rsidR="00CD1544" w:rsidRPr="0090554C" w:rsidRDefault="00CD1544" w:rsidP="00EE024B">
      <w:pPr>
        <w:ind w:left="720"/>
      </w:pPr>
      <w:r w:rsidRPr="0090554C">
        <w:t>The most effective means ‘to improve the effective access to greenfields agreements’ is to amend the Act to ensure that enterprise agreements can only be made with a voting cohort that is genuinely representative of the employees who will be covered by the agreement. Such amendments would require stakeholder consultation but could potentially include, for example:</w:t>
      </w:r>
    </w:p>
    <w:p w:rsidR="00CD1544" w:rsidRPr="0090554C" w:rsidRDefault="00CD1544" w:rsidP="002C284B">
      <w:pPr>
        <w:numPr>
          <w:ilvl w:val="0"/>
          <w:numId w:val="11"/>
        </w:numPr>
        <w:ind w:left="1647"/>
      </w:pPr>
      <w:r w:rsidRPr="0090554C">
        <w:t xml:space="preserve">an amendment to s 181 so that employers are not able to request employees to vote to approve an agreement that contains a majority of classifications in which no employees are currently employed; </w:t>
      </w:r>
    </w:p>
    <w:p w:rsidR="00CD1544" w:rsidRPr="0090554C" w:rsidRDefault="00CD1544" w:rsidP="002C284B">
      <w:pPr>
        <w:numPr>
          <w:ilvl w:val="0"/>
          <w:numId w:val="11"/>
        </w:numPr>
        <w:ind w:left="1647"/>
      </w:pPr>
      <w:r w:rsidRPr="0090554C">
        <w:t>an amendment to s 186(3) so that the Commission must also be satisfied that the group of employees who voted to approve the agreement was fairly chosen and, in so determining, must take into account whether the group was genuinely representative of the employees to be covered by the agreement and whether group was chosen to exclude a readily identifiable group of future employees or to avoid other aspects of the bargaining regime, such as the right to take protected action or to be represented by a bargaining representative; and</w:t>
      </w:r>
    </w:p>
    <w:p w:rsidR="0045027C" w:rsidRPr="0090554C" w:rsidRDefault="00CD1544" w:rsidP="002C284B">
      <w:pPr>
        <w:numPr>
          <w:ilvl w:val="0"/>
          <w:numId w:val="11"/>
        </w:numPr>
        <w:ind w:left="1647"/>
      </w:pPr>
      <w:r w:rsidRPr="0090554C">
        <w:t>an amendment to s 188 so that the Commission must also be satisfied that the agreement was made with a genuinely representative cohort of employees.</w:t>
      </w:r>
    </w:p>
    <w:p w:rsidR="0045027C" w:rsidRPr="0090554C" w:rsidRDefault="0045027C" w:rsidP="0045027C">
      <w:r w:rsidRPr="0090554C">
        <w:t>The CFMEU described this concern on the basis that:</w:t>
      </w:r>
      <w:r w:rsidR="00F93483">
        <w:rPr>
          <w:rStyle w:val="FootnoteReference"/>
        </w:rPr>
        <w:footnoteReference w:id="67"/>
      </w:r>
    </w:p>
    <w:p w:rsidR="006A2EA7" w:rsidRPr="0090554C" w:rsidRDefault="006A2EA7" w:rsidP="00EE024B">
      <w:pPr>
        <w:ind w:left="720"/>
      </w:pPr>
      <w:r w:rsidRPr="0090554C">
        <w:t xml:space="preserve">The CFMEU has serious concerns with what has been termed, ‘brownfield agreements’, that is agreements that have nominal employees in comparison to the scope and coverage of the agreement being sought. Following the </w:t>
      </w:r>
      <w:r w:rsidRPr="0090554C">
        <w:rPr>
          <w:i/>
        </w:rPr>
        <w:t>John Holland</w:t>
      </w:r>
      <w:r w:rsidRPr="0090554C">
        <w:t xml:space="preserve"> case, probably the seminal case in dealing with the requirement for the employee cohort in an agreement to be fairly chosen, we have unfortunately seen employers placing reliance on </w:t>
      </w:r>
      <w:r w:rsidRPr="0090554C">
        <w:rPr>
          <w:i/>
        </w:rPr>
        <w:t>John Holland</w:t>
      </w:r>
      <w:r w:rsidRPr="0090554C">
        <w:t xml:space="preserve"> to act to manipulate the bargaining process. To ‘game the system’, by making agreements with a small number of employees (sometimes handpicked) to seek to secure agreements with massive scope and coverage, invariably at or around legal minima wage rates. A classic example of this conduct was </w:t>
      </w:r>
      <w:r w:rsidRPr="0090554C">
        <w:lastRenderedPageBreak/>
        <w:t xml:space="preserve">disclosed in the </w:t>
      </w:r>
      <w:r w:rsidRPr="0090554C">
        <w:rPr>
          <w:i/>
        </w:rPr>
        <w:t xml:space="preserve">Site Fleet Services </w:t>
      </w:r>
      <w:r w:rsidRPr="0090554C">
        <w:t xml:space="preserve">case. In </w:t>
      </w:r>
      <w:r w:rsidRPr="0090554C">
        <w:rPr>
          <w:i/>
        </w:rPr>
        <w:t>Site Fleet Services</w:t>
      </w:r>
      <w:r w:rsidRPr="0090554C">
        <w:t>, a labour hire group set up a new entity and then hand-picked 14 ‘employees’ off its database to allegedly ‘bargain’ for a new enterprise agreement with national coverage and job classifications covering same 10 modern awards! The case highlighted a disgraceful attempt to game the system. In rejecting the agreement for approval Commissioner Roe stated;</w:t>
      </w:r>
    </w:p>
    <w:p w:rsidR="006A2EA7" w:rsidRPr="0090554C" w:rsidRDefault="006A2EA7" w:rsidP="00EE024B">
      <w:pPr>
        <w:ind w:left="720"/>
      </w:pPr>
      <w:r w:rsidRPr="0090554C">
        <w:rPr>
          <w:i/>
        </w:rPr>
        <w:t xml:space="preserve">‘..the process of making the agreement lacked authenticity and moral authority’ </w:t>
      </w:r>
      <w:r w:rsidRPr="0090554C">
        <w:t xml:space="preserve">(at [45]) </w:t>
      </w:r>
    </w:p>
    <w:p w:rsidR="006A2EA7" w:rsidRPr="0090554C" w:rsidRDefault="006A2EA7" w:rsidP="00EE024B">
      <w:pPr>
        <w:ind w:left="720"/>
      </w:pPr>
      <w:r w:rsidRPr="0090554C">
        <w:t xml:space="preserve">We are concerned ‘brownfield agreements’ are being used to avoid coverage of existing agreements, to avoid the greenfield agreement making obligations in the </w:t>
      </w:r>
      <w:r w:rsidRPr="0090554C">
        <w:rPr>
          <w:i/>
        </w:rPr>
        <w:t>Fair Work Act</w:t>
      </w:r>
      <w:r w:rsidRPr="0090554C">
        <w:t xml:space="preserve"> and to ‘bargain’ in a manner contrary to the objectives of the </w:t>
      </w:r>
      <w:r w:rsidRPr="0090554C">
        <w:rPr>
          <w:i/>
        </w:rPr>
        <w:t>Fair Work Act.</w:t>
      </w:r>
    </w:p>
    <w:p w:rsidR="0045027C" w:rsidRPr="0090554C" w:rsidRDefault="006A2EA7" w:rsidP="00EE024B">
      <w:pPr>
        <w:ind w:left="720"/>
      </w:pPr>
      <w:r w:rsidRPr="0090554C">
        <w:t xml:space="preserve">Whilst possibly outside the purview of this review we would welcome the reviewer noting the ‘brownfield agreement’ phenomenon and that it constitutes attempts by employers to bargain in a manner inconsistent with the objectives and intention of the </w:t>
      </w:r>
      <w:r w:rsidRPr="0090554C">
        <w:rPr>
          <w:i/>
        </w:rPr>
        <w:t>Fair Work Act</w:t>
      </w:r>
      <w:r w:rsidRPr="0090554C">
        <w:t xml:space="preserve"> and in some cases to seek to avoid the employer’s obligation to negotiate a greenfield agreement with </w:t>
      </w:r>
      <w:r w:rsidR="00E058C3">
        <w:br/>
      </w:r>
      <w:r w:rsidRPr="0090554C">
        <w:t>a registered employee organisation.</w:t>
      </w:r>
    </w:p>
    <w:p w:rsidR="0045027C" w:rsidRPr="0090554C" w:rsidRDefault="0045027C" w:rsidP="0045027C">
      <w:r w:rsidRPr="0090554C">
        <w:t>The AWU expressed similar concerns and referred to examples of agreements that had been reached in circumstances which it argued did not meet the requirements for approval of an agreement under the Fair Work Act.</w:t>
      </w:r>
      <w:r w:rsidR="005B761C">
        <w:rPr>
          <w:rStyle w:val="FootnoteReference"/>
        </w:rPr>
        <w:footnoteReference w:id="68"/>
      </w:r>
    </w:p>
    <w:p w:rsidR="0017590F" w:rsidRDefault="0045027C" w:rsidP="0017590F">
      <w:r w:rsidRPr="0090554C">
        <w:t>The AMWU identified concerns that businesses were increasingly bargaining with individual employees using the award as a base.</w:t>
      </w:r>
      <w:r w:rsidR="00852717">
        <w:rPr>
          <w:rStyle w:val="FootnoteReference"/>
        </w:rPr>
        <w:footnoteReference w:id="69"/>
      </w:r>
      <w:r w:rsidRPr="0090554C">
        <w:t xml:space="preserve"> It cited various examples of particular concern and sought that amendments be made to the Fair Work Act to guard against </w:t>
      </w:r>
      <w:r w:rsidR="0017590F">
        <w:t>such</w:t>
      </w:r>
      <w:r w:rsidR="0017590F" w:rsidRPr="0090554C">
        <w:t xml:space="preserve"> </w:t>
      </w:r>
      <w:r w:rsidRPr="0090554C">
        <w:t>agreement</w:t>
      </w:r>
      <w:r w:rsidR="0017590F">
        <w:t xml:space="preserve"> practices</w:t>
      </w:r>
      <w:r w:rsidR="00852717">
        <w:t>.</w:t>
      </w:r>
      <w:r w:rsidR="00852717">
        <w:rPr>
          <w:rStyle w:val="FootnoteReference"/>
        </w:rPr>
        <w:footnoteReference w:id="70"/>
      </w:r>
      <w:r w:rsidRPr="0090554C">
        <w:t xml:space="preserve"> </w:t>
      </w:r>
      <w:r w:rsidR="00852717">
        <w:t>In referring to their cited examples, t</w:t>
      </w:r>
      <w:r w:rsidRPr="0090554C">
        <w:t xml:space="preserve">he AMWU expressed concern about the approval process applied by the </w:t>
      </w:r>
      <w:r w:rsidR="00E058C3">
        <w:br/>
      </w:r>
      <w:r w:rsidRPr="0090554C">
        <w:t xml:space="preserve">Fair Work Commission, including the application of the </w:t>
      </w:r>
      <w:r w:rsidR="0064157A">
        <w:t>BOOT</w:t>
      </w:r>
      <w:r w:rsidR="00574ED8">
        <w:t xml:space="preserve"> and</w:t>
      </w:r>
      <w:r w:rsidRPr="0090554C">
        <w:t xml:space="preserve"> the extent to which the agreement approval was genuine</w:t>
      </w:r>
      <w:r w:rsidR="00574ED8">
        <w:t>. They</w:t>
      </w:r>
      <w:r w:rsidRPr="0090554C">
        <w:t xml:space="preserve"> argued that a range of agreements of this nature should not have been approved. The AMWU proposed that, if this issue was properly addressed, broader and more con</w:t>
      </w:r>
      <w:r w:rsidR="00022AAB">
        <w:t>structive use might be made of g</w:t>
      </w:r>
      <w:r w:rsidRPr="0090554C">
        <w:t xml:space="preserve">reenfields agreements. The AMWU </w:t>
      </w:r>
      <w:r w:rsidR="0017590F">
        <w:t>stated:</w:t>
      </w:r>
      <w:r w:rsidR="00F93483">
        <w:rPr>
          <w:rStyle w:val="FootnoteReference"/>
        </w:rPr>
        <w:footnoteReference w:id="71"/>
      </w:r>
    </w:p>
    <w:p w:rsidR="0008098F" w:rsidRPr="00E67601" w:rsidRDefault="0008098F" w:rsidP="00E67601">
      <w:pPr>
        <w:ind w:left="720"/>
      </w:pPr>
      <w:r w:rsidRPr="00E67601">
        <w:t xml:space="preserve">If these sham enterprise agreements are addressed through adequate amendments to the </w:t>
      </w:r>
      <w:r w:rsidR="00E058C3">
        <w:br/>
      </w:r>
      <w:r w:rsidRPr="00E67601">
        <w:t>Fair Work Act 2009, there may be a return to the use of Greenfields Agreements.  This may then result in the use of the arbitration provisions if there is a deadlock in negotiations.</w:t>
      </w:r>
    </w:p>
    <w:p w:rsidR="0008098F" w:rsidRPr="00E67601" w:rsidRDefault="0008098F" w:rsidP="00E67601">
      <w:pPr>
        <w:ind w:left="720"/>
      </w:pPr>
      <w:r w:rsidRPr="00E67601">
        <w:t>The New Greenfields Provisions allow for an employer to seek approval of an Enterprise Agreement without the Agreement of the relevant Union(s).  There have been no uses of this particular part of the New Greenfields Provisions, so there are no decision of the Fair Work Commission approving such Agreements, where a business and the relevant union did not reach agreement within the timeframe.</w:t>
      </w:r>
    </w:p>
    <w:p w:rsidR="0008098F" w:rsidRPr="00E67601" w:rsidRDefault="0008098F" w:rsidP="00E67601">
      <w:pPr>
        <w:ind w:left="720"/>
      </w:pPr>
      <w:r w:rsidRPr="00E67601">
        <w:lastRenderedPageBreak/>
        <w:t>There is an attempt to provide some protection to the potential workers to be covered by the Greenfields Agreements in the New Greenfields Provisions at s.187(6) of the Fair Work Act 2009, which provides as follows:</w:t>
      </w:r>
    </w:p>
    <w:p w:rsidR="007E0666" w:rsidRPr="00E67601" w:rsidRDefault="0008098F" w:rsidP="00E67601">
      <w:pPr>
        <w:ind w:left="1440"/>
        <w:rPr>
          <w:highlight w:val="yellow"/>
        </w:rPr>
      </w:pPr>
      <w:r w:rsidRPr="00E67601">
        <w:t>“(6) If an agreement is made under subsection 182(4) (which deals with a single-enterprise agreement that is a greenfields agreement), the FWC must be satisfied that the agreement, considered on an overall basis, provides for pay and conditions that are consistent with the prevailing pay and conditions within the relevant industry for equivalent.”</w:t>
      </w:r>
    </w:p>
    <w:p w:rsidR="0045027C" w:rsidRPr="0090554C" w:rsidRDefault="0045027C" w:rsidP="0045027C">
      <w:r w:rsidRPr="0090554C">
        <w:t>The AMWU similarly expressed concern about what it described as the “increasing use of sham enterprise agreements”.</w:t>
      </w:r>
      <w:r w:rsidR="00574ED8">
        <w:rPr>
          <w:rStyle w:val="FootnoteReference"/>
        </w:rPr>
        <w:footnoteReference w:id="72"/>
      </w:r>
      <w:r w:rsidRPr="0090554C">
        <w:t xml:space="preserve"> It sought that </w:t>
      </w:r>
      <w:r w:rsidR="007E0666" w:rsidRPr="0090554C">
        <w:t>businesses</w:t>
      </w:r>
      <w:r w:rsidRPr="0090554C">
        <w:t xml:space="preserve"> should negotiate in the first instance with a union. The AMWU identified particular concerns with agreements with broad coverage reached with casual employees and </w:t>
      </w:r>
      <w:r w:rsidR="007358C9">
        <w:t>suggested</w:t>
      </w:r>
      <w:r w:rsidR="007358C9" w:rsidRPr="0090554C">
        <w:t xml:space="preserve"> </w:t>
      </w:r>
      <w:r w:rsidRPr="0090554C">
        <w:t>that these agreements ought not be approved under the Fair Work Act.</w:t>
      </w:r>
      <w:r w:rsidR="007358C9">
        <w:rPr>
          <w:rStyle w:val="FootnoteReference"/>
        </w:rPr>
        <w:footnoteReference w:id="73"/>
      </w:r>
      <w:r w:rsidRPr="0090554C">
        <w:t xml:space="preserve"> </w:t>
      </w:r>
    </w:p>
    <w:p w:rsidR="0045027C" w:rsidRPr="0090554C" w:rsidRDefault="0045027C" w:rsidP="0045027C">
      <w:r w:rsidRPr="0090554C">
        <w:t xml:space="preserve">As the </w:t>
      </w:r>
      <w:r w:rsidR="00FF44AD">
        <w:t>CFME</w:t>
      </w:r>
      <w:r w:rsidRPr="0090554C">
        <w:t xml:space="preserve">U identified, </w:t>
      </w:r>
      <w:r w:rsidR="00FF44AD">
        <w:t>i</w:t>
      </w:r>
      <w:r w:rsidRPr="0090554C">
        <w:t>t is arguable that these concerns are outside of the terms of reference of this review.</w:t>
      </w:r>
      <w:r w:rsidR="00FF44AD">
        <w:rPr>
          <w:rStyle w:val="FootnoteReference"/>
        </w:rPr>
        <w:footnoteReference w:id="74"/>
      </w:r>
      <w:r w:rsidRPr="0090554C">
        <w:t xml:space="preserve"> However, these concerns have been addressed in the context of the argument that they impact </w:t>
      </w:r>
      <w:r w:rsidR="0017590F">
        <w:t>on</w:t>
      </w:r>
      <w:r w:rsidR="0017590F" w:rsidRPr="0090554C">
        <w:t xml:space="preserve"> </w:t>
      </w:r>
      <w:r w:rsidR="00022AAB">
        <w:t>g</w:t>
      </w:r>
      <w:r w:rsidRPr="0090554C">
        <w:t>reenfields agreement making.</w:t>
      </w:r>
      <w:r w:rsidR="00D15D45">
        <w:t xml:space="preserve"> Indeed, workplace relations </w:t>
      </w:r>
      <w:r w:rsidR="0064157A">
        <w:t>practitioners remarked</w:t>
      </w:r>
      <w:r w:rsidR="00D15D45">
        <w:t xml:space="preserve"> on the extent to which agreements of this nature are a possible consequence of an incapacity to make greenfields agreements.</w:t>
      </w:r>
    </w:p>
    <w:p w:rsidR="0045027C" w:rsidRPr="0090554C" w:rsidRDefault="0045027C" w:rsidP="0045027C">
      <w:r w:rsidRPr="0090554C">
        <w:t xml:space="preserve">The Fair Work Act provides detailed and </w:t>
      </w:r>
      <w:r w:rsidR="007E0666" w:rsidRPr="0090554C">
        <w:t>rigorous</w:t>
      </w:r>
      <w:r w:rsidRPr="0090554C">
        <w:t xml:space="preserve"> requirements for the making of agreements between employers and employees. There are </w:t>
      </w:r>
      <w:r w:rsidR="007A2AC0">
        <w:t xml:space="preserve">additional </w:t>
      </w:r>
      <w:r w:rsidRPr="0090554C">
        <w:t xml:space="preserve">requirements </w:t>
      </w:r>
      <w:r w:rsidR="007A2AC0">
        <w:t>that</w:t>
      </w:r>
      <w:r w:rsidR="0017590F" w:rsidRPr="0090554C">
        <w:t xml:space="preserve"> </w:t>
      </w:r>
      <w:r w:rsidRPr="0090554C">
        <w:t xml:space="preserve">the Fair Work Commission </w:t>
      </w:r>
      <w:r w:rsidR="0017590F">
        <w:t xml:space="preserve">must take into account </w:t>
      </w:r>
      <w:r w:rsidR="007A2AC0">
        <w:t>when</w:t>
      </w:r>
      <w:r w:rsidR="0017590F">
        <w:t xml:space="preserve"> considering applications for approval of agreements.</w:t>
      </w:r>
      <w:r w:rsidR="00EF335D">
        <w:t xml:space="preserve"> </w:t>
      </w:r>
    </w:p>
    <w:p w:rsidR="0045027C" w:rsidRPr="0090554C" w:rsidRDefault="0045027C" w:rsidP="0045027C">
      <w:r w:rsidRPr="0090554C">
        <w:t>There is no requirement for a</w:t>
      </w:r>
      <w:r w:rsidR="007A2AC0">
        <w:t>n employee organisation</w:t>
      </w:r>
      <w:r w:rsidRPr="0090554C">
        <w:t xml:space="preserve"> to be involved in making </w:t>
      </w:r>
      <w:r w:rsidR="007A2AC0">
        <w:t>non-greenfields enterprise agreements</w:t>
      </w:r>
      <w:r w:rsidRPr="0090554C">
        <w:t xml:space="preserve">. </w:t>
      </w:r>
      <w:r w:rsidR="007A2AC0">
        <w:t>Non-greenfields</w:t>
      </w:r>
      <w:r w:rsidR="00EF335D">
        <w:t xml:space="preserve"> agreements </w:t>
      </w:r>
      <w:r w:rsidR="00574ED8">
        <w:t xml:space="preserve">may be </w:t>
      </w:r>
      <w:r w:rsidR="00EF335D">
        <w:t>reached between employers and their employees.</w:t>
      </w:r>
      <w:r w:rsidRPr="0090554C">
        <w:t xml:space="preserve"> Division 3 of Part 2-4 establishes that </w:t>
      </w:r>
      <w:r w:rsidR="007A2AC0">
        <w:t>employee organisations</w:t>
      </w:r>
      <w:r w:rsidRPr="0090554C">
        <w:t xml:space="preserve"> are the default bargaining representatives for their members. Further, s </w:t>
      </w:r>
      <w:r w:rsidR="007A2AC0">
        <w:t>1</w:t>
      </w:r>
      <w:r w:rsidR="007A2AC0" w:rsidRPr="0090554C">
        <w:t xml:space="preserve">83 </w:t>
      </w:r>
      <w:r w:rsidRPr="0090554C">
        <w:t xml:space="preserve">provides </w:t>
      </w:r>
      <w:r w:rsidR="007A2AC0">
        <w:t>that</w:t>
      </w:r>
      <w:r w:rsidR="007A2AC0" w:rsidRPr="0090554C">
        <w:t xml:space="preserve"> </w:t>
      </w:r>
      <w:r w:rsidRPr="0090554C">
        <w:t xml:space="preserve">a union that was a bargaining representative for the agreement </w:t>
      </w:r>
      <w:r w:rsidR="007A2AC0">
        <w:t xml:space="preserve">may </w:t>
      </w:r>
      <w:r w:rsidRPr="0090554C">
        <w:t xml:space="preserve">give the Fair Work Commission a written notice stating that it wants the agreement to cover it. </w:t>
      </w:r>
    </w:p>
    <w:p w:rsidR="0064157A" w:rsidRDefault="0045027C" w:rsidP="0045027C">
      <w:r w:rsidRPr="0090554C">
        <w:t xml:space="preserve">One of the essential requirements for the </w:t>
      </w:r>
      <w:r w:rsidR="007A2AC0">
        <w:t xml:space="preserve">Fair Work Commission to </w:t>
      </w:r>
      <w:r w:rsidRPr="0090554C">
        <w:t>approv</w:t>
      </w:r>
      <w:r w:rsidR="007A2AC0">
        <w:t>e</w:t>
      </w:r>
      <w:r w:rsidRPr="0090554C">
        <w:t xml:space="preserve"> an enterprise agreement is that the group of employees covered by the agreement </w:t>
      </w:r>
      <w:r w:rsidR="004767F7">
        <w:t>was</w:t>
      </w:r>
      <w:r w:rsidRPr="0090554C">
        <w:t xml:space="preserve"> fairly chosen.</w:t>
      </w:r>
      <w:r w:rsidR="00F93483">
        <w:rPr>
          <w:rStyle w:val="FootnoteReference"/>
        </w:rPr>
        <w:footnoteReference w:id="75"/>
      </w:r>
      <w:r w:rsidRPr="0090554C">
        <w:t xml:space="preserve"> This has been a particularly contentious issue in the building and construction industry since the commencement of the Fair Work Act. What makes this industry particularly susceptible to these arguments is the extent to which the employers in the industry often require different employee skills at different times and locations. As the </w:t>
      </w:r>
      <w:r w:rsidR="004767F7">
        <w:t>CFMEU</w:t>
      </w:r>
      <w:r w:rsidR="004767F7" w:rsidRPr="0090554C">
        <w:t xml:space="preserve"> </w:t>
      </w:r>
      <w:r w:rsidRPr="0090554C">
        <w:t xml:space="preserve">observed, the decision of the Full Federal Court in </w:t>
      </w:r>
      <w:r w:rsidRPr="00F7092E">
        <w:rPr>
          <w:i/>
        </w:rPr>
        <w:t>Construction, Forestry, Mining and Energy Union v John Holland Pty Ltd</w:t>
      </w:r>
      <w:r w:rsidRPr="0090554C">
        <w:t xml:space="preserve"> [2015] FCAFC 16 represents a significant finding in this respect.</w:t>
      </w:r>
      <w:r w:rsidR="004767F7">
        <w:rPr>
          <w:rStyle w:val="FootnoteReference"/>
        </w:rPr>
        <w:footnoteReference w:id="76"/>
      </w:r>
      <w:r w:rsidRPr="0090554C">
        <w:t xml:space="preserve"> </w:t>
      </w:r>
      <w:r w:rsidR="00EF335D">
        <w:t xml:space="preserve">A more recent decision in </w:t>
      </w:r>
      <w:r w:rsidR="00EF335D" w:rsidRPr="00F7092E">
        <w:rPr>
          <w:i/>
        </w:rPr>
        <w:t>CFMEU v One Key Workforce Pty Ltd</w:t>
      </w:r>
      <w:r w:rsidR="00EF335D">
        <w:t xml:space="preserve"> [2017] FCA 1266 deals with somewhat different circumstances. </w:t>
      </w:r>
      <w:r w:rsidRPr="0090554C">
        <w:t xml:space="preserve">It is neither necessary nor appropriate that this </w:t>
      </w:r>
      <w:r w:rsidR="0064157A">
        <w:t>r</w:t>
      </w:r>
      <w:r w:rsidRPr="0090554C">
        <w:t>eview details the types of agreement</w:t>
      </w:r>
      <w:r w:rsidR="00D863C5">
        <w:t>s</w:t>
      </w:r>
      <w:r w:rsidRPr="0090554C">
        <w:t xml:space="preserve"> </w:t>
      </w:r>
      <w:r w:rsidRPr="0090554C">
        <w:lastRenderedPageBreak/>
        <w:t xml:space="preserve">that are permissible and those that are not. Suffice to say that </w:t>
      </w:r>
      <w:r w:rsidR="00EF335D">
        <w:t>these decisions</w:t>
      </w:r>
      <w:r w:rsidRPr="0090554C">
        <w:t xml:space="preserve"> </w:t>
      </w:r>
      <w:r w:rsidR="00EF335D">
        <w:t>represent findings based on particular circumstances.</w:t>
      </w:r>
      <w:r w:rsidR="00EF335D" w:rsidRPr="0090554C">
        <w:t xml:space="preserve"> </w:t>
      </w:r>
    </w:p>
    <w:p w:rsidR="0045027C" w:rsidRDefault="00F93483" w:rsidP="0045027C">
      <w:r w:rsidRPr="00F93483">
        <w:t xml:space="preserve"> </w:t>
      </w:r>
      <w:r>
        <w:t xml:space="preserve">As the case law in relation to these types of agreements is continuing to develop, </w:t>
      </w:r>
      <w:r w:rsidRPr="0090554C">
        <w:t>a call for amendments to be made to the Fair Work Act to remedy alleged deficiencies must be considered premature.</w:t>
      </w:r>
    </w:p>
    <w:p w:rsidR="00C213CB" w:rsidRPr="0096402A" w:rsidRDefault="004266E9" w:rsidP="00513CCA">
      <w:pPr>
        <w:pStyle w:val="Heading2"/>
        <w:pBdr>
          <w:top w:val="single" w:sz="4" w:space="1" w:color="auto"/>
          <w:left w:val="single" w:sz="4" w:space="4" w:color="auto"/>
          <w:bottom w:val="single" w:sz="4" w:space="1" w:color="auto"/>
          <w:right w:val="single" w:sz="4" w:space="4" w:color="auto"/>
        </w:pBdr>
        <w:rPr>
          <w:rFonts w:asciiTheme="minorHAnsi" w:hAnsiTheme="minorHAnsi"/>
          <w:b/>
          <w:color w:val="auto"/>
          <w:sz w:val="22"/>
        </w:rPr>
      </w:pPr>
      <w:r w:rsidRPr="0096402A">
        <w:rPr>
          <w:rFonts w:asciiTheme="minorHAnsi" w:hAnsiTheme="minorHAnsi"/>
          <w:b/>
          <w:color w:val="auto"/>
          <w:sz w:val="22"/>
        </w:rPr>
        <w:t>Case studies - Small voting cohorts</w:t>
      </w:r>
    </w:p>
    <w:p w:rsidR="00C213CB" w:rsidRPr="00513CCA" w:rsidRDefault="00C213CB" w:rsidP="00513CCA">
      <w:pPr>
        <w:pStyle w:val="Heading3"/>
        <w:pBdr>
          <w:top w:val="single" w:sz="4" w:space="1" w:color="auto"/>
          <w:left w:val="single" w:sz="4" w:space="4" w:color="auto"/>
          <w:bottom w:val="single" w:sz="4" w:space="1" w:color="auto"/>
          <w:right w:val="single" w:sz="4" w:space="4" w:color="auto"/>
        </w:pBdr>
        <w:spacing w:after="120"/>
        <w:rPr>
          <w:rStyle w:val="SubtleEmphasis"/>
          <w:rFonts w:asciiTheme="minorHAnsi" w:hAnsiTheme="minorHAnsi"/>
          <w:color w:val="auto"/>
          <w:sz w:val="22"/>
        </w:rPr>
      </w:pPr>
      <w:r w:rsidRPr="00513CCA">
        <w:rPr>
          <w:rStyle w:val="SubtleEmphasis"/>
          <w:rFonts w:asciiTheme="minorHAnsi" w:hAnsiTheme="minorHAnsi"/>
          <w:color w:val="auto"/>
          <w:sz w:val="22"/>
        </w:rPr>
        <w:t>Construction, Forestry, Mining and Energy Union (CFMEU) v John Holland Pty Ltd (John Holland)</w:t>
      </w:r>
    </w:p>
    <w:p w:rsidR="00C213CB" w:rsidRPr="000A0FB3" w:rsidRDefault="00C213CB" w:rsidP="00513CCA">
      <w:pPr>
        <w:pBdr>
          <w:top w:val="single" w:sz="4" w:space="1" w:color="auto"/>
          <w:left w:val="single" w:sz="4" w:space="4" w:color="auto"/>
          <w:bottom w:val="single" w:sz="4" w:space="1" w:color="auto"/>
          <w:right w:val="single" w:sz="4" w:space="4" w:color="auto"/>
        </w:pBdr>
        <w:tabs>
          <w:tab w:val="left" w:pos="2694"/>
        </w:tabs>
        <w:spacing w:after="120"/>
      </w:pPr>
      <w:r w:rsidRPr="000A0FB3">
        <w:t>In 2012 John Holland commenced construction work at the Perth Children’s Hospital construction site</w:t>
      </w:r>
      <w:r w:rsidR="004767F7" w:rsidRPr="000A0FB3">
        <w:t>.</w:t>
      </w:r>
      <w:r w:rsidRPr="000A0FB3">
        <w:t xml:space="preserve"> </w:t>
      </w:r>
      <w:r w:rsidR="004767F7" w:rsidRPr="000A0FB3">
        <w:t xml:space="preserve">John Holland engaged </w:t>
      </w:r>
      <w:r w:rsidRPr="000A0FB3">
        <w:t>three employees</w:t>
      </w:r>
      <w:r w:rsidR="004767F7" w:rsidRPr="000A0FB3">
        <w:t xml:space="preserve">, who each </w:t>
      </w:r>
      <w:r w:rsidRPr="000A0FB3">
        <w:t xml:space="preserve">voted to make the </w:t>
      </w:r>
      <w:r w:rsidRPr="000A0FB3">
        <w:rPr>
          <w:i/>
          <w:iCs/>
        </w:rPr>
        <w:t xml:space="preserve">Western Region Agreement Western Australia 2012-2016 </w:t>
      </w:r>
      <w:r w:rsidRPr="000A0FB3">
        <w:t xml:space="preserve">(the John Holland Agreement), which was expressed to cover all </w:t>
      </w:r>
      <w:r w:rsidR="00E058C3">
        <w:br/>
      </w:r>
      <w:r w:rsidRPr="000A0FB3">
        <w:t>John Holland building and construction employees in Western Australia, except employees covered by other</w:t>
      </w:r>
      <w:r w:rsidR="00E058C3">
        <w:t xml:space="preserve"> </w:t>
      </w:r>
      <w:r w:rsidRPr="000A0FB3">
        <w:t xml:space="preserve">project or site-specific agreements. The John Holland Agreement was expected to eventually cover around 25 employees and included classifications that the three employees voting on the agreement were not </w:t>
      </w:r>
      <w:r w:rsidR="004767F7" w:rsidRPr="000A0FB3">
        <w:t>employed in</w:t>
      </w:r>
      <w:r w:rsidRPr="000A0FB3">
        <w:t>.</w:t>
      </w:r>
    </w:p>
    <w:p w:rsidR="00C213CB" w:rsidRPr="000A0FB3" w:rsidRDefault="00C213CB" w:rsidP="00513CCA">
      <w:pPr>
        <w:pBdr>
          <w:top w:val="single" w:sz="4" w:space="1" w:color="auto"/>
          <w:left w:val="single" w:sz="4" w:space="4" w:color="auto"/>
          <w:bottom w:val="single" w:sz="4" w:space="1" w:color="auto"/>
          <w:right w:val="single" w:sz="4" w:space="4" w:color="auto"/>
        </w:pBdr>
        <w:tabs>
          <w:tab w:val="left" w:pos="2694"/>
        </w:tabs>
        <w:spacing w:after="120"/>
      </w:pPr>
      <w:r w:rsidRPr="000A0FB3">
        <w:t>While the John Holland Agreement was initially approved by Fair Work Australia in May 2012</w:t>
      </w:r>
      <w:r w:rsidRPr="00047121">
        <w:rPr>
          <w:rStyle w:val="FootnoteReference"/>
          <w:iCs/>
        </w:rPr>
        <w:footnoteReference w:id="77"/>
      </w:r>
      <w:r w:rsidRPr="000A0FB3">
        <w:t>, it was overturned by a Full Bench in September 2012</w:t>
      </w:r>
      <w:r w:rsidRPr="000A0FB3">
        <w:rPr>
          <w:rStyle w:val="FootnoteReference"/>
          <w:iCs/>
        </w:rPr>
        <w:footnoteReference w:id="78"/>
      </w:r>
      <w:r w:rsidRPr="000A0FB3">
        <w:t>. The Full Bench found that the John Holland Agreement undermined collective bargaining, and that the group of employees covered by the Agreement was not ‘fairly chosen’ as it was not possible to know which employees would ultimately be covered by the Agreement in the future.</w:t>
      </w:r>
    </w:p>
    <w:p w:rsidR="00C213CB" w:rsidRPr="000A0FB3" w:rsidRDefault="00C213CB" w:rsidP="00513CCA">
      <w:pPr>
        <w:pBdr>
          <w:top w:val="single" w:sz="4" w:space="1" w:color="auto"/>
          <w:left w:val="single" w:sz="4" w:space="4" w:color="auto"/>
          <w:bottom w:val="single" w:sz="4" w:space="1" w:color="auto"/>
          <w:right w:val="single" w:sz="4" w:space="4" w:color="auto"/>
        </w:pBdr>
        <w:tabs>
          <w:tab w:val="left" w:pos="2694"/>
        </w:tabs>
        <w:spacing w:after="120"/>
      </w:pPr>
      <w:r w:rsidRPr="000A0FB3">
        <w:t xml:space="preserve">John Holland appealed to the Federal Court and the matter was ultimately resolved by a Full Court of the Federal Court. </w:t>
      </w:r>
      <w:r>
        <w:t xml:space="preserve">The Federal Court </w:t>
      </w:r>
      <w:r w:rsidR="004767F7">
        <w:t xml:space="preserve">(Buchanan J) </w:t>
      </w:r>
      <w:r>
        <w:t>found that in</w:t>
      </w:r>
      <w:r w:rsidRPr="00B04311">
        <w:t xml:space="preserve"> determining whether a group of employees covered by an agreement was fairly chosen, Fair Work </w:t>
      </w:r>
      <w:r>
        <w:t>Australia</w:t>
      </w:r>
      <w:r w:rsidRPr="00B04311">
        <w:t xml:space="preserve"> was required</w:t>
      </w:r>
      <w:r>
        <w:t xml:space="preserve"> </w:t>
      </w:r>
      <w:r w:rsidRPr="00B04311">
        <w:t>to ascertain ‘the nature of the work to be regulated and rewarded by the agreement rather than how many employees may, in the years to come, carry out the work, or where’</w:t>
      </w:r>
      <w:r w:rsidRPr="000A0FB3">
        <w:rPr>
          <w:rStyle w:val="FootnoteReference"/>
        </w:rPr>
        <w:footnoteReference w:id="79"/>
      </w:r>
      <w:r w:rsidRPr="00B04311">
        <w:t xml:space="preserve">. That is, this requirement will be satisfied where the group of employees covered by the agreement, </w:t>
      </w:r>
      <w:r w:rsidR="004767F7">
        <w:t>by reference to</w:t>
      </w:r>
      <w:r w:rsidR="00EB4C0B">
        <w:t xml:space="preserve"> the work they do under the agreement</w:t>
      </w:r>
      <w:r w:rsidRPr="00B04311">
        <w:t>, was ‘fairly chosen’</w:t>
      </w:r>
      <w:r>
        <w:t>.</w:t>
      </w:r>
      <w:r w:rsidR="00EB4C0B">
        <w:t xml:space="preserve"> </w:t>
      </w:r>
      <w:r w:rsidR="00EB4C0B" w:rsidRPr="00332042">
        <w:t>Buchanan J found that the phrase ‘the group of employees covered by the agreement’ in s 186(3) should be broadly construed as ‘a reference to the whole class of employees to whom the agreement might in future apply, rather than the group of employees which actually voted on whether to make the agreement’</w:t>
      </w:r>
      <w:r w:rsidR="00D863C5">
        <w:t>.</w:t>
      </w:r>
      <w:r w:rsidR="00175CC2" w:rsidRPr="000A0FB3">
        <w:rPr>
          <w:rStyle w:val="FootnoteReference"/>
        </w:rPr>
        <w:footnoteReference w:id="80"/>
      </w:r>
    </w:p>
    <w:p w:rsidR="00C213CB" w:rsidRDefault="00C213CB" w:rsidP="00513CCA">
      <w:pPr>
        <w:pBdr>
          <w:top w:val="single" w:sz="4" w:space="1" w:color="auto"/>
          <w:left w:val="single" w:sz="4" w:space="4" w:color="auto"/>
          <w:bottom w:val="single" w:sz="4" w:space="1" w:color="auto"/>
          <w:right w:val="single" w:sz="4" w:space="4" w:color="auto"/>
        </w:pBdr>
        <w:tabs>
          <w:tab w:val="left" w:pos="2694"/>
        </w:tabs>
        <w:spacing w:after="120"/>
      </w:pPr>
      <w:r w:rsidRPr="000A0FB3">
        <w:t>The Federal Court also found that the ‘fairly chosen’ requirement does not permit the Fair Work Commission to withhold approval on the basis of concerns that an agreement would undermine collective bargaining.</w:t>
      </w:r>
      <w:r>
        <w:t xml:space="preserve"> </w:t>
      </w:r>
    </w:p>
    <w:p w:rsidR="00C213CB" w:rsidRPr="00513CCA" w:rsidRDefault="00C213CB" w:rsidP="00513CCA">
      <w:pPr>
        <w:pStyle w:val="Heading3"/>
        <w:pBdr>
          <w:top w:val="single" w:sz="4" w:space="1" w:color="auto"/>
          <w:left w:val="single" w:sz="4" w:space="4" w:color="auto"/>
          <w:bottom w:val="single" w:sz="4" w:space="1" w:color="auto"/>
          <w:right w:val="single" w:sz="4" w:space="4" w:color="auto"/>
        </w:pBdr>
        <w:spacing w:after="120"/>
        <w:rPr>
          <w:rStyle w:val="SubtleEmphasis"/>
          <w:rFonts w:asciiTheme="minorHAnsi" w:hAnsiTheme="minorHAnsi"/>
          <w:color w:val="auto"/>
          <w:sz w:val="22"/>
        </w:rPr>
      </w:pPr>
      <w:r w:rsidRPr="00513CCA">
        <w:rPr>
          <w:rStyle w:val="SubtleEmphasis"/>
          <w:rFonts w:asciiTheme="minorHAnsi" w:hAnsiTheme="minorHAnsi"/>
          <w:color w:val="auto"/>
          <w:sz w:val="22"/>
        </w:rPr>
        <w:lastRenderedPageBreak/>
        <w:t>Construction, Forestry, Mining and Energy Union v One Key Workforce Pty Ltd</w:t>
      </w:r>
    </w:p>
    <w:p w:rsidR="00C213CB" w:rsidRDefault="00C213CB" w:rsidP="00513CCA">
      <w:pPr>
        <w:keepNext/>
        <w:pBdr>
          <w:top w:val="single" w:sz="4" w:space="1" w:color="auto"/>
          <w:left w:val="single" w:sz="4" w:space="4" w:color="auto"/>
          <w:bottom w:val="single" w:sz="4" w:space="1" w:color="auto"/>
          <w:right w:val="single" w:sz="4" w:space="4" w:color="auto"/>
        </w:pBdr>
        <w:tabs>
          <w:tab w:val="left" w:pos="2694"/>
        </w:tabs>
        <w:spacing w:after="120"/>
      </w:pPr>
      <w:r>
        <w:t xml:space="preserve">One Key Workforce Pty Ltd (One Key) is a labour hire business that operates in a wide range of industries. Between March and August 2015, One Key recruited three employees, with whom it subsequently made the </w:t>
      </w:r>
      <w:r w:rsidRPr="00D23537">
        <w:rPr>
          <w:i/>
        </w:rPr>
        <w:t>RECS (Qld) Pty Ltd Enterprise Agreement 2015</w:t>
      </w:r>
      <w:r>
        <w:rPr>
          <w:i/>
        </w:rPr>
        <w:t xml:space="preserve"> </w:t>
      </w:r>
      <w:r w:rsidRPr="00D23537">
        <w:t>(</w:t>
      </w:r>
      <w:r>
        <w:t xml:space="preserve">the RECS Agreement). </w:t>
      </w:r>
    </w:p>
    <w:p w:rsidR="00C213CB" w:rsidRDefault="00C213CB" w:rsidP="00513CCA">
      <w:pPr>
        <w:keepNext/>
        <w:pBdr>
          <w:top w:val="single" w:sz="4" w:space="1" w:color="auto"/>
          <w:left w:val="single" w:sz="4" w:space="4" w:color="auto"/>
          <w:bottom w:val="single" w:sz="4" w:space="1" w:color="auto"/>
          <w:right w:val="single" w:sz="4" w:space="4" w:color="auto"/>
        </w:pBdr>
        <w:spacing w:before="240"/>
        <w:contextualSpacing/>
      </w:pPr>
      <w:r>
        <w:t xml:space="preserve">The </w:t>
      </w:r>
      <w:r w:rsidR="00094541">
        <w:t xml:space="preserve">RECS </w:t>
      </w:r>
      <w:r>
        <w:t>Agreement was expressed to cover employees who would be covered by 11 different modern awards, in industries including mining</w:t>
      </w:r>
      <w:r w:rsidR="00EB4C0B">
        <w:t>,</w:t>
      </w:r>
      <w:r>
        <w:t xml:space="preserve"> construction, manufacturing, road transport, clerical, hospitality, oil refining, and maritime offshore oil and gas.</w:t>
      </w:r>
    </w:p>
    <w:p w:rsidR="00C213CB" w:rsidRDefault="00C213CB" w:rsidP="00513CCA">
      <w:pPr>
        <w:keepNext/>
        <w:pBdr>
          <w:top w:val="single" w:sz="4" w:space="1" w:color="auto"/>
          <w:left w:val="single" w:sz="4" w:space="4" w:color="auto"/>
          <w:bottom w:val="single" w:sz="4" w:space="1" w:color="auto"/>
          <w:right w:val="single" w:sz="4" w:space="4" w:color="auto"/>
        </w:pBdr>
        <w:tabs>
          <w:tab w:val="left" w:pos="2694"/>
        </w:tabs>
        <w:spacing w:before="240" w:after="120"/>
      </w:pPr>
      <w:r>
        <w:t>On 30 October 2015, the Fair Work Commission approved the RECS Agreement with undertakings.</w:t>
      </w:r>
      <w:r>
        <w:rPr>
          <w:rStyle w:val="FootnoteReference"/>
        </w:rPr>
        <w:footnoteReference w:id="81"/>
      </w:r>
      <w:r>
        <w:t xml:space="preserve"> </w:t>
      </w:r>
      <w:r w:rsidR="00E058C3">
        <w:br/>
      </w:r>
      <w:r>
        <w:t>On 28 November 201</w:t>
      </w:r>
      <w:r w:rsidR="00EB4C0B">
        <w:t>6</w:t>
      </w:r>
      <w:r>
        <w:t>, the CFMEU challenged the approval in the Federal Court. The CFMEU broadly submitted that the RECS Agreement was incorrectly approved and failed the BOOT; the employer had failed to take ‘all reasonable steps’ to explain the terms of the proposed Agreement; the Agreement had not been ‘genuinely agreed to’; the Agreement impermissibly incorporated unknown policies and procedures; and the Agreement was not correctly signed.</w:t>
      </w:r>
    </w:p>
    <w:p w:rsidR="00C213CB" w:rsidRDefault="00C213CB" w:rsidP="00513CCA">
      <w:pPr>
        <w:keepNext/>
        <w:pBdr>
          <w:top w:val="single" w:sz="4" w:space="1" w:color="auto"/>
          <w:left w:val="single" w:sz="4" w:space="4" w:color="auto"/>
          <w:bottom w:val="single" w:sz="4" w:space="1" w:color="auto"/>
          <w:right w:val="single" w:sz="4" w:space="4" w:color="auto"/>
        </w:pBdr>
        <w:spacing w:before="240"/>
        <w:contextualSpacing/>
      </w:pPr>
      <w:r>
        <w:t xml:space="preserve">The Federal Court </w:t>
      </w:r>
      <w:r w:rsidR="00EB4C0B">
        <w:t xml:space="preserve">(Flick J) </w:t>
      </w:r>
      <w:r>
        <w:t>found that</w:t>
      </w:r>
      <w:r w:rsidR="00EB4C0B">
        <w:t xml:space="preserve"> by merely stating the terms of the </w:t>
      </w:r>
      <w:r w:rsidR="006170A8">
        <w:t xml:space="preserve">RECS </w:t>
      </w:r>
      <w:r w:rsidR="00EB4C0B">
        <w:t>Agreement to the employees, without explaining the terms and effect of those terms,</w:t>
      </w:r>
      <w:r>
        <w:t xml:space="preserve"> One Key had failed to take all reasonable steps to meet the pre-approval requirement at s 180(5) of the Fair Work Act.</w:t>
      </w:r>
    </w:p>
    <w:p w:rsidR="00EB4C0B" w:rsidRDefault="00C213CB" w:rsidP="00513CCA">
      <w:pPr>
        <w:keepNext/>
        <w:pBdr>
          <w:top w:val="single" w:sz="4" w:space="1" w:color="auto"/>
          <w:left w:val="single" w:sz="4" w:space="4" w:color="auto"/>
          <w:bottom w:val="single" w:sz="4" w:space="1" w:color="auto"/>
          <w:right w:val="single" w:sz="4" w:space="4" w:color="auto"/>
        </w:pBdr>
        <w:tabs>
          <w:tab w:val="left" w:pos="2694"/>
        </w:tabs>
        <w:spacing w:before="240" w:after="120"/>
      </w:pPr>
      <w:r>
        <w:t xml:space="preserve">The Federal Court </w:t>
      </w:r>
      <w:r w:rsidR="00EB4C0B">
        <w:t xml:space="preserve">accepted the approach in </w:t>
      </w:r>
      <w:r w:rsidR="00EB4C0B" w:rsidRPr="00175CC2">
        <w:t>John Holland</w:t>
      </w:r>
      <w:r w:rsidR="00EB4C0B">
        <w:t>, but was of the view that if the small cohort of employees who vote on the agreement has limited experience in areas of employment covered by the agreement, or represent areas of employment which are factually different to the various areas covered</w:t>
      </w:r>
      <w:r w:rsidR="00574ED8">
        <w:t xml:space="preserve"> by</w:t>
      </w:r>
      <w:r w:rsidR="00EB4C0B">
        <w:t xml:space="preserve"> the agreement, then the agreement may not have been genuinely agreed to.</w:t>
      </w:r>
    </w:p>
    <w:p w:rsidR="00C213CB" w:rsidRDefault="00EB4C0B" w:rsidP="00513CCA">
      <w:pPr>
        <w:keepNext/>
        <w:pBdr>
          <w:top w:val="single" w:sz="4" w:space="1" w:color="auto"/>
          <w:left w:val="single" w:sz="4" w:space="4" w:color="auto"/>
          <w:bottom w:val="single" w:sz="4" w:space="1" w:color="auto"/>
          <w:right w:val="single" w:sz="4" w:space="4" w:color="auto"/>
        </w:pBdr>
        <w:tabs>
          <w:tab w:val="left" w:pos="2694"/>
        </w:tabs>
        <w:spacing w:after="120"/>
      </w:pPr>
      <w:r>
        <w:t xml:space="preserve">The Federal Court found that </w:t>
      </w:r>
      <w:r w:rsidR="00C213CB">
        <w:t>the RECS Agreement could not have been genuinely agreed to by the three employees and that the Fair Work Commission failed to consider the ‘ability or appropriateness’ of the three employees ‘being called upon to agree to terms and conditions covering employees in such diverse areas of employment as road transport, clerking or the hospitality industry’</w:t>
      </w:r>
      <w:r w:rsidR="00C213CB">
        <w:rPr>
          <w:rStyle w:val="FootnoteReference"/>
        </w:rPr>
        <w:footnoteReference w:id="82"/>
      </w:r>
      <w:r w:rsidR="00C213CB">
        <w:t>, noting that the</w:t>
      </w:r>
      <w:r>
        <w:t>se</w:t>
      </w:r>
      <w:r w:rsidR="00C213CB">
        <w:t xml:space="preserve"> employees </w:t>
      </w:r>
      <w:r>
        <w:t xml:space="preserve">had </w:t>
      </w:r>
      <w:r w:rsidR="00C213CB">
        <w:t xml:space="preserve">very confined employment experience (and were covered by a limited number of </w:t>
      </w:r>
      <w:r w:rsidR="000A0FB3">
        <w:t>awards</w:t>
      </w:r>
      <w:r w:rsidR="00C213CB">
        <w:t xml:space="preserve">). The Federal Court concluded that One Key ‘unquestionably’ made the </w:t>
      </w:r>
      <w:r w:rsidR="006170A8">
        <w:t xml:space="preserve">RECS </w:t>
      </w:r>
      <w:r w:rsidR="00C213CB">
        <w:t>Agreement with these employees ‘with the intent [to] preclude a genuine bargaining process’.</w:t>
      </w:r>
      <w:r w:rsidR="000A0FB3">
        <w:rPr>
          <w:rStyle w:val="FootnoteReference"/>
        </w:rPr>
        <w:footnoteReference w:id="83"/>
      </w:r>
      <w:r w:rsidR="00C213CB">
        <w:t xml:space="preserve">  </w:t>
      </w:r>
    </w:p>
    <w:p w:rsidR="00C213CB" w:rsidRPr="00513CCA" w:rsidRDefault="00C213CB" w:rsidP="00513CCA">
      <w:pPr>
        <w:pStyle w:val="Heading3"/>
        <w:pBdr>
          <w:top w:val="single" w:sz="4" w:space="1" w:color="auto"/>
          <w:left w:val="single" w:sz="4" w:space="4" w:color="auto"/>
          <w:bottom w:val="single" w:sz="4" w:space="1" w:color="auto"/>
          <w:right w:val="single" w:sz="4" w:space="4" w:color="auto"/>
        </w:pBdr>
        <w:rPr>
          <w:rStyle w:val="SubtleEmphasis"/>
          <w:rFonts w:asciiTheme="minorHAnsi" w:hAnsiTheme="minorHAnsi"/>
          <w:color w:val="auto"/>
          <w:sz w:val="22"/>
        </w:rPr>
      </w:pPr>
      <w:r w:rsidRPr="00513CCA">
        <w:rPr>
          <w:rStyle w:val="SubtleEmphasis"/>
          <w:rFonts w:asciiTheme="minorHAnsi" w:hAnsiTheme="minorHAnsi"/>
          <w:color w:val="auto"/>
          <w:sz w:val="22"/>
        </w:rPr>
        <w:t>Conclusion</w:t>
      </w:r>
    </w:p>
    <w:p w:rsidR="007E0666" w:rsidRPr="0090554C" w:rsidRDefault="00C213CB" w:rsidP="00513CCA">
      <w:pPr>
        <w:keepNext/>
        <w:pBdr>
          <w:top w:val="single" w:sz="4" w:space="1" w:color="auto"/>
          <w:left w:val="single" w:sz="4" w:space="4" w:color="auto"/>
          <w:bottom w:val="single" w:sz="4" w:space="1" w:color="auto"/>
          <w:right w:val="single" w:sz="4" w:space="4" w:color="auto"/>
        </w:pBdr>
        <w:spacing w:before="120"/>
      </w:pPr>
      <w:r>
        <w:t xml:space="preserve">Under the Fair Work Act, small voting cohorts do not necessarily </w:t>
      </w:r>
      <w:r w:rsidR="00574ED8">
        <w:t>prevent</w:t>
      </w:r>
      <w:r>
        <w:t xml:space="preserve"> an agreement </w:t>
      </w:r>
      <w:r w:rsidR="002039A3">
        <w:t>from being</w:t>
      </w:r>
      <w:r>
        <w:t xml:space="preserve"> genuinely and fairly made between an employer and employees, but </w:t>
      </w:r>
      <w:r w:rsidR="00404622">
        <w:t xml:space="preserve">this </w:t>
      </w:r>
      <w:r>
        <w:t>will depend on the facts of each case. The Fair Work Act includes safeguards to ensure that employees voting on an agreement are suitably informed about the agreement, and that the employees voting on an agreement are fairly chosen, have a reasonable understanding or experience of the work</w:t>
      </w:r>
      <w:r w:rsidR="002039A3">
        <w:t>,</w:t>
      </w:r>
      <w:r>
        <w:t xml:space="preserve"> and the process cannot be manipulated to undermine genuine bargaining.</w:t>
      </w:r>
    </w:p>
    <w:p w:rsidR="0045027C" w:rsidRDefault="00022AAB" w:rsidP="0045027C">
      <w:r>
        <w:t>In any event, analysis of non-g</w:t>
      </w:r>
      <w:r w:rsidR="0045027C" w:rsidRPr="0090554C">
        <w:t>reenfields agreements over the past five years does not d</w:t>
      </w:r>
      <w:r w:rsidR="00D863C5">
        <w:t>emonstrate</w:t>
      </w:r>
      <w:r w:rsidR="0045027C" w:rsidRPr="0090554C">
        <w:t xml:space="preserve"> any increase in the </w:t>
      </w:r>
      <w:r w:rsidR="00D863C5">
        <w:t>numbers of</w:t>
      </w:r>
      <w:r w:rsidR="0045027C" w:rsidRPr="0090554C">
        <w:t xml:space="preserve"> agreements involving small numbers of employees. This analys</w:t>
      </w:r>
      <w:r w:rsidR="00B06B1E">
        <w:t>is is shown in</w:t>
      </w:r>
      <w:r w:rsidR="00E67601">
        <w:t xml:space="preserve"> T</w:t>
      </w:r>
      <w:r w:rsidR="00B06B1E">
        <w:t>able</w:t>
      </w:r>
      <w:r w:rsidR="00E67601">
        <w:t xml:space="preserve"> </w:t>
      </w:r>
      <w:r w:rsidR="000A0FB3">
        <w:t>6</w:t>
      </w:r>
      <w:r w:rsidR="00B06B1E">
        <w:t xml:space="preserve"> below.</w:t>
      </w:r>
    </w:p>
    <w:p w:rsidR="00C5080C" w:rsidRDefault="00C5080C" w:rsidP="00C5080C">
      <w:pPr>
        <w:pStyle w:val="Caption"/>
        <w:keepNext/>
      </w:pPr>
      <w:r>
        <w:lastRenderedPageBreak/>
        <w:t xml:space="preserve">Table </w:t>
      </w:r>
      <w:r>
        <w:fldChar w:fldCharType="begin"/>
      </w:r>
      <w:r>
        <w:instrText xml:space="preserve"> SEQ Table \* ARABIC </w:instrText>
      </w:r>
      <w:r>
        <w:fldChar w:fldCharType="separate"/>
      </w:r>
      <w:r w:rsidR="002C20F1">
        <w:rPr>
          <w:noProof/>
        </w:rPr>
        <w:t>6</w:t>
      </w:r>
      <w:r>
        <w:fldChar w:fldCharType="end"/>
      </w:r>
      <w:r w:rsidRPr="001A1AC3">
        <w:t>: Non-greenfields agreements with five or fewer employees</w:t>
      </w:r>
      <w:r>
        <w:rPr>
          <w:rStyle w:val="FootnoteReference"/>
          <w:b w:val="0"/>
        </w:rPr>
        <w:footnoteReference w:id="84"/>
      </w:r>
    </w:p>
    <w:tbl>
      <w:tblPr>
        <w:tblW w:w="0" w:type="auto"/>
        <w:tblLayout w:type="fixed"/>
        <w:tblCellMar>
          <w:left w:w="0" w:type="dxa"/>
          <w:right w:w="0" w:type="dxa"/>
        </w:tblCellMar>
        <w:tblLook w:val="01E0" w:firstRow="1" w:lastRow="1" w:firstColumn="1" w:lastColumn="1" w:noHBand="0" w:noVBand="0"/>
        <w:tblCaption w:val="Table 6 – Non-greenfields agreements that cover five or fewer employees when lodged"/>
        <w:tblDescription w:val="Table 6 shows the number of non-greenfields agreements made with five or fewer employees as a proportion of all non-greenfields agreements made over the past 5 years, from 2012 through to the first half of 2017. In 2012, 23.36 per cent (representing 1752 agreements approved) of non-greenfields agreements were made with five or fewer employees, which declined slightly to a low of 17.49 per cent in 2015 (821 agreements approved). There has been a modest increase in the proportion in the first half of 2017 to 19.16 percent (337 agreements approved)."/>
      </w:tblPr>
      <w:tblGrid>
        <w:gridCol w:w="1893"/>
        <w:gridCol w:w="3429"/>
        <w:gridCol w:w="2842"/>
      </w:tblGrid>
      <w:tr w:rsidR="003C17D6" w:rsidTr="00C5080C">
        <w:trPr>
          <w:trHeight w:hRule="exact" w:val="530"/>
          <w:tblHeader/>
        </w:trPr>
        <w:tc>
          <w:tcPr>
            <w:tcW w:w="1893" w:type="dxa"/>
            <w:tcBorders>
              <w:top w:val="nil"/>
              <w:left w:val="nil"/>
              <w:bottom w:val="nil"/>
              <w:right w:val="nil"/>
            </w:tcBorders>
            <w:shd w:val="clear" w:color="auto" w:fill="006D68"/>
          </w:tcPr>
          <w:p w:rsidR="003C17D6" w:rsidRDefault="003C17D6" w:rsidP="002B383B">
            <w:pPr>
              <w:pStyle w:val="TableParagraph"/>
              <w:keepNext/>
              <w:spacing w:before="2" w:line="160" w:lineRule="exact"/>
              <w:rPr>
                <w:sz w:val="16"/>
                <w:szCs w:val="16"/>
              </w:rPr>
            </w:pPr>
          </w:p>
          <w:p w:rsidR="003C17D6" w:rsidRDefault="003C17D6" w:rsidP="002B383B">
            <w:pPr>
              <w:pStyle w:val="TableParagraph"/>
              <w:keepNext/>
              <w:ind w:left="257"/>
              <w:rPr>
                <w:rFonts w:ascii="Arial" w:eastAsia="Arial" w:hAnsi="Arial" w:cs="Arial"/>
                <w:sz w:val="19"/>
                <w:szCs w:val="19"/>
              </w:rPr>
            </w:pPr>
            <w:r>
              <w:rPr>
                <w:rFonts w:ascii="Arial" w:eastAsia="Arial" w:hAnsi="Arial" w:cs="Arial"/>
                <w:color w:val="FFFFFF"/>
                <w:spacing w:val="-16"/>
                <w:w w:val="105"/>
                <w:sz w:val="19"/>
                <w:szCs w:val="19"/>
              </w:rPr>
              <w:t>Y</w:t>
            </w:r>
            <w:r>
              <w:rPr>
                <w:rFonts w:ascii="Arial" w:eastAsia="Arial" w:hAnsi="Arial" w:cs="Arial"/>
                <w:color w:val="FFFFFF"/>
                <w:spacing w:val="2"/>
                <w:w w:val="105"/>
                <w:sz w:val="19"/>
                <w:szCs w:val="19"/>
              </w:rPr>
              <w:t>ea</w:t>
            </w:r>
            <w:r>
              <w:rPr>
                <w:rFonts w:ascii="Arial" w:eastAsia="Arial" w:hAnsi="Arial" w:cs="Arial"/>
                <w:color w:val="FFFFFF"/>
                <w:w w:val="105"/>
                <w:sz w:val="19"/>
                <w:szCs w:val="19"/>
              </w:rPr>
              <w:t>r</w:t>
            </w:r>
            <w:r>
              <w:rPr>
                <w:rFonts w:ascii="Arial" w:eastAsia="Arial" w:hAnsi="Arial" w:cs="Arial"/>
                <w:color w:val="FFFFFF"/>
                <w:spacing w:val="-10"/>
                <w:w w:val="105"/>
                <w:sz w:val="19"/>
                <w:szCs w:val="19"/>
              </w:rPr>
              <w:t xml:space="preserve"> </w:t>
            </w:r>
            <w:r>
              <w:rPr>
                <w:rFonts w:ascii="Arial" w:eastAsia="Arial" w:hAnsi="Arial" w:cs="Arial"/>
                <w:color w:val="FFFFFF"/>
                <w:w w:val="105"/>
                <w:sz w:val="19"/>
                <w:szCs w:val="19"/>
              </w:rPr>
              <w:t>of</w:t>
            </w:r>
            <w:r>
              <w:rPr>
                <w:rFonts w:ascii="Arial" w:eastAsia="Arial" w:hAnsi="Arial" w:cs="Arial"/>
                <w:color w:val="FFFFFF"/>
                <w:spacing w:val="-9"/>
                <w:w w:val="105"/>
                <w:sz w:val="19"/>
                <w:szCs w:val="19"/>
              </w:rPr>
              <w:t xml:space="preserve"> </w:t>
            </w:r>
            <w:r>
              <w:rPr>
                <w:rFonts w:ascii="Arial" w:eastAsia="Arial" w:hAnsi="Arial" w:cs="Arial"/>
                <w:color w:val="FFFFFF"/>
                <w:spacing w:val="2"/>
                <w:w w:val="105"/>
                <w:sz w:val="19"/>
                <w:szCs w:val="19"/>
              </w:rPr>
              <w:t>a</w:t>
            </w:r>
            <w:r>
              <w:rPr>
                <w:rFonts w:ascii="Arial" w:eastAsia="Arial" w:hAnsi="Arial" w:cs="Arial"/>
                <w:color w:val="FFFFFF"/>
                <w:w w:val="105"/>
                <w:sz w:val="19"/>
                <w:szCs w:val="19"/>
              </w:rPr>
              <w:t>p</w:t>
            </w:r>
            <w:r>
              <w:rPr>
                <w:rFonts w:ascii="Arial" w:eastAsia="Arial" w:hAnsi="Arial" w:cs="Arial"/>
                <w:color w:val="FFFFFF"/>
                <w:spacing w:val="1"/>
                <w:w w:val="105"/>
                <w:sz w:val="19"/>
                <w:szCs w:val="19"/>
              </w:rPr>
              <w:t>p</w:t>
            </w:r>
            <w:r>
              <w:rPr>
                <w:rFonts w:ascii="Arial" w:eastAsia="Arial" w:hAnsi="Arial" w:cs="Arial"/>
                <w:color w:val="FFFFFF"/>
                <w:spacing w:val="2"/>
                <w:w w:val="105"/>
                <w:sz w:val="19"/>
                <w:szCs w:val="19"/>
              </w:rPr>
              <w:t>r</w:t>
            </w:r>
            <w:r>
              <w:rPr>
                <w:rFonts w:ascii="Arial" w:eastAsia="Arial" w:hAnsi="Arial" w:cs="Arial"/>
                <w:color w:val="FFFFFF"/>
                <w:spacing w:val="-2"/>
                <w:w w:val="105"/>
                <w:sz w:val="19"/>
                <w:szCs w:val="19"/>
              </w:rPr>
              <w:t>o</w:t>
            </w:r>
            <w:r>
              <w:rPr>
                <w:rFonts w:ascii="Arial" w:eastAsia="Arial" w:hAnsi="Arial" w:cs="Arial"/>
                <w:color w:val="FFFFFF"/>
                <w:spacing w:val="-1"/>
                <w:w w:val="105"/>
                <w:sz w:val="19"/>
                <w:szCs w:val="19"/>
              </w:rPr>
              <w:t>v</w:t>
            </w:r>
            <w:r>
              <w:rPr>
                <w:rFonts w:ascii="Arial" w:eastAsia="Arial" w:hAnsi="Arial" w:cs="Arial"/>
                <w:color w:val="FFFFFF"/>
                <w:spacing w:val="2"/>
                <w:w w:val="105"/>
                <w:sz w:val="19"/>
                <w:szCs w:val="19"/>
              </w:rPr>
              <w:t>a</w:t>
            </w:r>
            <w:r>
              <w:rPr>
                <w:rFonts w:ascii="Arial" w:eastAsia="Arial" w:hAnsi="Arial" w:cs="Arial"/>
                <w:color w:val="FFFFFF"/>
                <w:w w:val="105"/>
                <w:sz w:val="19"/>
                <w:szCs w:val="19"/>
              </w:rPr>
              <w:t>l</w:t>
            </w:r>
          </w:p>
        </w:tc>
        <w:tc>
          <w:tcPr>
            <w:tcW w:w="3429" w:type="dxa"/>
            <w:tcBorders>
              <w:top w:val="nil"/>
              <w:left w:val="nil"/>
              <w:bottom w:val="nil"/>
              <w:right w:val="nil"/>
            </w:tcBorders>
            <w:shd w:val="clear" w:color="auto" w:fill="006D68"/>
          </w:tcPr>
          <w:p w:rsidR="003C17D6" w:rsidRDefault="003C17D6" w:rsidP="002B383B">
            <w:pPr>
              <w:pStyle w:val="TableParagraph"/>
              <w:keepNext/>
              <w:spacing w:before="51" w:line="241" w:lineRule="auto"/>
              <w:ind w:left="619" w:right="275" w:hanging="434"/>
              <w:rPr>
                <w:rFonts w:ascii="Arial" w:eastAsia="Arial" w:hAnsi="Arial" w:cs="Arial"/>
                <w:sz w:val="19"/>
                <w:szCs w:val="19"/>
              </w:rPr>
            </w:pPr>
            <w:r>
              <w:rPr>
                <w:rFonts w:ascii="Arial" w:eastAsia="Arial" w:hAnsi="Arial" w:cs="Arial"/>
                <w:color w:val="FFFFFF"/>
                <w:spacing w:val="1"/>
                <w:w w:val="105"/>
                <w:sz w:val="19"/>
                <w:szCs w:val="19"/>
              </w:rPr>
              <w:t>No</w:t>
            </w:r>
            <w:r>
              <w:rPr>
                <w:rFonts w:ascii="Arial" w:eastAsia="Arial" w:hAnsi="Arial" w:cs="Arial"/>
                <w:color w:val="FFFFFF"/>
                <w:spacing w:val="2"/>
                <w:w w:val="105"/>
                <w:sz w:val="19"/>
                <w:szCs w:val="19"/>
              </w:rPr>
              <w:t>n</w:t>
            </w:r>
            <w:r>
              <w:rPr>
                <w:rFonts w:ascii="Arial" w:eastAsia="Arial" w:hAnsi="Arial" w:cs="Arial"/>
                <w:color w:val="FFFFFF"/>
                <w:spacing w:val="3"/>
                <w:w w:val="105"/>
                <w:sz w:val="19"/>
                <w:szCs w:val="19"/>
              </w:rPr>
              <w:t>-</w:t>
            </w:r>
            <w:r>
              <w:rPr>
                <w:rFonts w:ascii="Arial" w:eastAsia="Arial" w:hAnsi="Arial" w:cs="Arial"/>
                <w:color w:val="FFFFFF"/>
                <w:spacing w:val="1"/>
                <w:w w:val="105"/>
                <w:sz w:val="19"/>
                <w:szCs w:val="19"/>
              </w:rPr>
              <w:t>gr</w:t>
            </w:r>
            <w:r>
              <w:rPr>
                <w:rFonts w:ascii="Arial" w:eastAsia="Arial" w:hAnsi="Arial" w:cs="Arial"/>
                <w:color w:val="FFFFFF"/>
                <w:spacing w:val="3"/>
                <w:w w:val="105"/>
                <w:sz w:val="19"/>
                <w:szCs w:val="19"/>
              </w:rPr>
              <w:t>e</w:t>
            </w:r>
            <w:r>
              <w:rPr>
                <w:rFonts w:ascii="Arial" w:eastAsia="Arial" w:hAnsi="Arial" w:cs="Arial"/>
                <w:color w:val="FFFFFF"/>
                <w:spacing w:val="2"/>
                <w:w w:val="105"/>
                <w:sz w:val="19"/>
                <w:szCs w:val="19"/>
              </w:rPr>
              <w:t>e</w:t>
            </w:r>
            <w:r>
              <w:rPr>
                <w:rFonts w:ascii="Arial" w:eastAsia="Arial" w:hAnsi="Arial" w:cs="Arial"/>
                <w:color w:val="FFFFFF"/>
                <w:spacing w:val="1"/>
                <w:w w:val="105"/>
                <w:sz w:val="19"/>
                <w:szCs w:val="19"/>
              </w:rPr>
              <w:t>n</w:t>
            </w:r>
            <w:r>
              <w:rPr>
                <w:rFonts w:ascii="Arial" w:eastAsia="Arial" w:hAnsi="Arial" w:cs="Arial"/>
                <w:color w:val="FFFFFF"/>
                <w:w w:val="105"/>
                <w:sz w:val="19"/>
                <w:szCs w:val="19"/>
              </w:rPr>
              <w:t>fi</w:t>
            </w:r>
            <w:r>
              <w:rPr>
                <w:rFonts w:ascii="Arial" w:eastAsia="Arial" w:hAnsi="Arial" w:cs="Arial"/>
                <w:color w:val="FFFFFF"/>
                <w:spacing w:val="2"/>
                <w:w w:val="105"/>
                <w:sz w:val="19"/>
                <w:szCs w:val="19"/>
              </w:rPr>
              <w:t>e</w:t>
            </w:r>
            <w:r>
              <w:rPr>
                <w:rFonts w:ascii="Arial" w:eastAsia="Arial" w:hAnsi="Arial" w:cs="Arial"/>
                <w:color w:val="FFFFFF"/>
                <w:spacing w:val="1"/>
                <w:w w:val="105"/>
                <w:sz w:val="19"/>
                <w:szCs w:val="19"/>
              </w:rPr>
              <w:t>l</w:t>
            </w:r>
            <w:r>
              <w:rPr>
                <w:rFonts w:ascii="Arial" w:eastAsia="Arial" w:hAnsi="Arial" w:cs="Arial"/>
                <w:color w:val="FFFFFF"/>
                <w:w w:val="105"/>
                <w:sz w:val="19"/>
                <w:szCs w:val="19"/>
              </w:rPr>
              <w:t>ds</w:t>
            </w:r>
            <w:r>
              <w:rPr>
                <w:rFonts w:ascii="Arial" w:eastAsia="Arial" w:hAnsi="Arial" w:cs="Arial"/>
                <w:color w:val="FFFFFF"/>
                <w:spacing w:val="-6"/>
                <w:w w:val="105"/>
                <w:sz w:val="19"/>
                <w:szCs w:val="19"/>
              </w:rPr>
              <w:t xml:space="preserve"> </w:t>
            </w:r>
            <w:r>
              <w:rPr>
                <w:rFonts w:ascii="Arial" w:eastAsia="Arial" w:hAnsi="Arial" w:cs="Arial"/>
                <w:color w:val="FFFFFF"/>
                <w:spacing w:val="1"/>
                <w:w w:val="105"/>
                <w:sz w:val="19"/>
                <w:szCs w:val="19"/>
              </w:rPr>
              <w:t>agr</w:t>
            </w:r>
            <w:r>
              <w:rPr>
                <w:rFonts w:ascii="Arial" w:eastAsia="Arial" w:hAnsi="Arial" w:cs="Arial"/>
                <w:color w:val="FFFFFF"/>
                <w:spacing w:val="3"/>
                <w:w w:val="105"/>
                <w:sz w:val="19"/>
                <w:szCs w:val="19"/>
              </w:rPr>
              <w:t>e</w:t>
            </w:r>
            <w:r>
              <w:rPr>
                <w:rFonts w:ascii="Arial" w:eastAsia="Arial" w:hAnsi="Arial" w:cs="Arial"/>
                <w:color w:val="FFFFFF"/>
                <w:spacing w:val="2"/>
                <w:w w:val="105"/>
                <w:sz w:val="19"/>
                <w:szCs w:val="19"/>
              </w:rPr>
              <w:t>e</w:t>
            </w:r>
            <w:r>
              <w:rPr>
                <w:rFonts w:ascii="Arial" w:eastAsia="Arial" w:hAnsi="Arial" w:cs="Arial"/>
                <w:color w:val="FFFFFF"/>
                <w:spacing w:val="1"/>
                <w:w w:val="105"/>
                <w:sz w:val="19"/>
                <w:szCs w:val="19"/>
              </w:rPr>
              <w:t>m</w:t>
            </w:r>
            <w:r>
              <w:rPr>
                <w:rFonts w:ascii="Arial" w:eastAsia="Arial" w:hAnsi="Arial" w:cs="Arial"/>
                <w:color w:val="FFFFFF"/>
                <w:spacing w:val="2"/>
                <w:w w:val="105"/>
                <w:sz w:val="19"/>
                <w:szCs w:val="19"/>
              </w:rPr>
              <w:t>e</w:t>
            </w:r>
            <w:r>
              <w:rPr>
                <w:rFonts w:ascii="Arial" w:eastAsia="Arial" w:hAnsi="Arial" w:cs="Arial"/>
                <w:color w:val="FFFFFF"/>
                <w:spacing w:val="1"/>
                <w:w w:val="105"/>
                <w:sz w:val="19"/>
                <w:szCs w:val="19"/>
              </w:rPr>
              <w:t>nt</w:t>
            </w:r>
            <w:r>
              <w:rPr>
                <w:rFonts w:ascii="Arial" w:eastAsia="Arial" w:hAnsi="Arial" w:cs="Arial"/>
                <w:color w:val="FFFFFF"/>
                <w:w w:val="105"/>
                <w:sz w:val="19"/>
                <w:szCs w:val="19"/>
              </w:rPr>
              <w:t>s</w:t>
            </w:r>
            <w:r>
              <w:rPr>
                <w:rFonts w:ascii="Arial" w:eastAsia="Arial" w:hAnsi="Arial" w:cs="Arial"/>
                <w:color w:val="FFFFFF"/>
                <w:spacing w:val="-5"/>
                <w:w w:val="105"/>
                <w:sz w:val="19"/>
                <w:szCs w:val="19"/>
              </w:rPr>
              <w:t xml:space="preserve"> </w:t>
            </w:r>
            <w:r>
              <w:rPr>
                <w:rFonts w:ascii="Arial" w:eastAsia="Arial" w:hAnsi="Arial" w:cs="Arial"/>
                <w:color w:val="FFFFFF"/>
                <w:w w:val="105"/>
                <w:sz w:val="19"/>
                <w:szCs w:val="19"/>
              </w:rPr>
              <w:t>with</w:t>
            </w:r>
            <w:r>
              <w:rPr>
                <w:rFonts w:ascii="Arial" w:eastAsia="Arial" w:hAnsi="Arial" w:cs="Arial"/>
                <w:color w:val="FFFFFF"/>
                <w:w w:val="103"/>
                <w:sz w:val="19"/>
                <w:szCs w:val="19"/>
              </w:rPr>
              <w:t xml:space="preserve"> </w:t>
            </w:r>
            <w:r>
              <w:rPr>
                <w:rFonts w:ascii="Arial" w:eastAsia="Arial" w:hAnsi="Arial" w:cs="Arial"/>
                <w:color w:val="FFFFFF"/>
                <w:w w:val="105"/>
                <w:sz w:val="19"/>
                <w:szCs w:val="19"/>
              </w:rPr>
              <w:t>fi</w:t>
            </w:r>
            <w:r>
              <w:rPr>
                <w:rFonts w:ascii="Arial" w:eastAsia="Arial" w:hAnsi="Arial" w:cs="Arial"/>
                <w:color w:val="FFFFFF"/>
                <w:spacing w:val="-3"/>
                <w:w w:val="105"/>
                <w:sz w:val="19"/>
                <w:szCs w:val="19"/>
              </w:rPr>
              <w:t>v</w:t>
            </w:r>
            <w:r>
              <w:rPr>
                <w:rFonts w:ascii="Arial" w:eastAsia="Arial" w:hAnsi="Arial" w:cs="Arial"/>
                <w:color w:val="FFFFFF"/>
                <w:w w:val="105"/>
                <w:sz w:val="19"/>
                <w:szCs w:val="19"/>
              </w:rPr>
              <w:t>e</w:t>
            </w:r>
            <w:r>
              <w:rPr>
                <w:rFonts w:ascii="Arial" w:eastAsia="Arial" w:hAnsi="Arial" w:cs="Arial"/>
                <w:color w:val="FFFFFF"/>
                <w:spacing w:val="-7"/>
                <w:w w:val="105"/>
                <w:sz w:val="19"/>
                <w:szCs w:val="19"/>
              </w:rPr>
              <w:t xml:space="preserve"> </w:t>
            </w:r>
            <w:r>
              <w:rPr>
                <w:rFonts w:ascii="Arial" w:eastAsia="Arial" w:hAnsi="Arial" w:cs="Arial"/>
                <w:color w:val="FFFFFF"/>
                <w:spacing w:val="1"/>
                <w:w w:val="105"/>
                <w:sz w:val="19"/>
                <w:szCs w:val="19"/>
              </w:rPr>
              <w:t>o</w:t>
            </w:r>
            <w:r>
              <w:rPr>
                <w:rFonts w:ascii="Arial" w:eastAsia="Arial" w:hAnsi="Arial" w:cs="Arial"/>
                <w:color w:val="FFFFFF"/>
                <w:w w:val="105"/>
                <w:sz w:val="19"/>
                <w:szCs w:val="19"/>
              </w:rPr>
              <w:t>r</w:t>
            </w:r>
            <w:r>
              <w:rPr>
                <w:rFonts w:ascii="Arial" w:eastAsia="Arial" w:hAnsi="Arial" w:cs="Arial"/>
                <w:color w:val="FFFFFF"/>
                <w:spacing w:val="-7"/>
                <w:w w:val="105"/>
                <w:sz w:val="19"/>
                <w:szCs w:val="19"/>
              </w:rPr>
              <w:t xml:space="preserve"> </w:t>
            </w:r>
            <w:r>
              <w:rPr>
                <w:rFonts w:ascii="Arial" w:eastAsia="Arial" w:hAnsi="Arial" w:cs="Arial"/>
                <w:color w:val="FFFFFF"/>
                <w:w w:val="105"/>
                <w:sz w:val="19"/>
                <w:szCs w:val="19"/>
              </w:rPr>
              <w:t>f</w:t>
            </w:r>
            <w:r>
              <w:rPr>
                <w:rFonts w:ascii="Arial" w:eastAsia="Arial" w:hAnsi="Arial" w:cs="Arial"/>
                <w:color w:val="FFFFFF"/>
                <w:spacing w:val="-2"/>
                <w:w w:val="105"/>
                <w:sz w:val="19"/>
                <w:szCs w:val="19"/>
              </w:rPr>
              <w:t>ew</w:t>
            </w:r>
            <w:r>
              <w:rPr>
                <w:rFonts w:ascii="Arial" w:eastAsia="Arial" w:hAnsi="Arial" w:cs="Arial"/>
                <w:color w:val="FFFFFF"/>
                <w:spacing w:val="2"/>
                <w:w w:val="105"/>
                <w:sz w:val="19"/>
                <w:szCs w:val="19"/>
              </w:rPr>
              <w:t>e</w:t>
            </w:r>
            <w:r>
              <w:rPr>
                <w:rFonts w:ascii="Arial" w:eastAsia="Arial" w:hAnsi="Arial" w:cs="Arial"/>
                <w:color w:val="FFFFFF"/>
                <w:w w:val="105"/>
                <w:sz w:val="19"/>
                <w:szCs w:val="19"/>
              </w:rPr>
              <w:t>r</w:t>
            </w:r>
            <w:r>
              <w:rPr>
                <w:rFonts w:ascii="Arial" w:eastAsia="Arial" w:hAnsi="Arial" w:cs="Arial"/>
                <w:color w:val="FFFFFF"/>
                <w:spacing w:val="-7"/>
                <w:w w:val="105"/>
                <w:sz w:val="19"/>
                <w:szCs w:val="19"/>
              </w:rPr>
              <w:t xml:space="preserve"> </w:t>
            </w:r>
            <w:r>
              <w:rPr>
                <w:rFonts w:ascii="Arial" w:eastAsia="Arial" w:hAnsi="Arial" w:cs="Arial"/>
                <w:color w:val="FFFFFF"/>
                <w:spacing w:val="2"/>
                <w:w w:val="105"/>
                <w:sz w:val="19"/>
                <w:szCs w:val="19"/>
              </w:rPr>
              <w:t>e</w:t>
            </w:r>
            <w:r>
              <w:rPr>
                <w:rFonts w:ascii="Arial" w:eastAsia="Arial" w:hAnsi="Arial" w:cs="Arial"/>
                <w:color w:val="FFFFFF"/>
                <w:spacing w:val="1"/>
                <w:w w:val="105"/>
                <w:sz w:val="19"/>
                <w:szCs w:val="19"/>
              </w:rPr>
              <w:t>m</w:t>
            </w:r>
            <w:r>
              <w:rPr>
                <w:rFonts w:ascii="Arial" w:eastAsia="Arial" w:hAnsi="Arial" w:cs="Arial"/>
                <w:color w:val="FFFFFF"/>
                <w:w w:val="105"/>
                <w:sz w:val="19"/>
                <w:szCs w:val="19"/>
              </w:rPr>
              <w:t>pl</w:t>
            </w:r>
            <w:r>
              <w:rPr>
                <w:rFonts w:ascii="Arial" w:eastAsia="Arial" w:hAnsi="Arial" w:cs="Arial"/>
                <w:color w:val="FFFFFF"/>
                <w:spacing w:val="-2"/>
                <w:w w:val="105"/>
                <w:sz w:val="19"/>
                <w:szCs w:val="19"/>
              </w:rPr>
              <w:t>o</w:t>
            </w:r>
            <w:r>
              <w:rPr>
                <w:rFonts w:ascii="Arial" w:eastAsia="Arial" w:hAnsi="Arial" w:cs="Arial"/>
                <w:color w:val="FFFFFF"/>
                <w:spacing w:val="-3"/>
                <w:w w:val="105"/>
                <w:sz w:val="19"/>
                <w:szCs w:val="19"/>
              </w:rPr>
              <w:t>y</w:t>
            </w:r>
            <w:r>
              <w:rPr>
                <w:rFonts w:ascii="Arial" w:eastAsia="Arial" w:hAnsi="Arial" w:cs="Arial"/>
                <w:color w:val="FFFFFF"/>
                <w:spacing w:val="3"/>
                <w:w w:val="105"/>
                <w:sz w:val="19"/>
                <w:szCs w:val="19"/>
              </w:rPr>
              <w:t>e</w:t>
            </w:r>
            <w:r>
              <w:rPr>
                <w:rFonts w:ascii="Arial" w:eastAsia="Arial" w:hAnsi="Arial" w:cs="Arial"/>
                <w:color w:val="FFFFFF"/>
                <w:spacing w:val="2"/>
                <w:w w:val="105"/>
                <w:sz w:val="19"/>
                <w:szCs w:val="19"/>
              </w:rPr>
              <w:t>e</w:t>
            </w:r>
            <w:r>
              <w:rPr>
                <w:rFonts w:ascii="Arial" w:eastAsia="Arial" w:hAnsi="Arial" w:cs="Arial"/>
                <w:color w:val="FFFFFF"/>
                <w:w w:val="105"/>
                <w:sz w:val="19"/>
                <w:szCs w:val="19"/>
              </w:rPr>
              <w:t>s</w:t>
            </w:r>
          </w:p>
        </w:tc>
        <w:tc>
          <w:tcPr>
            <w:tcW w:w="2842" w:type="dxa"/>
            <w:tcBorders>
              <w:top w:val="nil"/>
              <w:left w:val="nil"/>
              <w:bottom w:val="nil"/>
              <w:right w:val="nil"/>
            </w:tcBorders>
            <w:shd w:val="clear" w:color="auto" w:fill="006D68"/>
          </w:tcPr>
          <w:p w:rsidR="003C17D6" w:rsidRDefault="003C17D6" w:rsidP="002B383B">
            <w:pPr>
              <w:pStyle w:val="TableParagraph"/>
              <w:keepNext/>
              <w:spacing w:before="51" w:line="241" w:lineRule="auto"/>
              <w:ind w:left="811" w:right="437" w:hanging="536"/>
              <w:rPr>
                <w:rFonts w:ascii="Arial" w:eastAsia="Arial" w:hAnsi="Arial" w:cs="Arial"/>
                <w:sz w:val="19"/>
                <w:szCs w:val="19"/>
              </w:rPr>
            </w:pPr>
            <w:r>
              <w:rPr>
                <w:rFonts w:ascii="Arial" w:eastAsia="Arial" w:hAnsi="Arial" w:cs="Arial"/>
                <w:color w:val="FFFFFF"/>
                <w:w w:val="105"/>
                <w:sz w:val="19"/>
                <w:szCs w:val="19"/>
              </w:rPr>
              <w:t>%</w:t>
            </w:r>
            <w:r>
              <w:rPr>
                <w:rFonts w:ascii="Arial" w:eastAsia="Arial" w:hAnsi="Arial" w:cs="Arial"/>
                <w:color w:val="FFFFFF"/>
                <w:spacing w:val="2"/>
                <w:w w:val="105"/>
                <w:sz w:val="19"/>
                <w:szCs w:val="19"/>
              </w:rPr>
              <w:t xml:space="preserve"> </w:t>
            </w:r>
            <w:r>
              <w:rPr>
                <w:rFonts w:ascii="Arial" w:eastAsia="Arial" w:hAnsi="Arial" w:cs="Arial"/>
                <w:color w:val="FFFFFF"/>
                <w:w w:val="105"/>
                <w:sz w:val="19"/>
                <w:szCs w:val="19"/>
              </w:rPr>
              <w:t>of</w:t>
            </w:r>
            <w:r>
              <w:rPr>
                <w:rFonts w:ascii="Arial" w:eastAsia="Arial" w:hAnsi="Arial" w:cs="Arial"/>
                <w:color w:val="FFFFFF"/>
                <w:spacing w:val="3"/>
                <w:w w:val="105"/>
                <w:sz w:val="19"/>
                <w:szCs w:val="19"/>
              </w:rPr>
              <w:t xml:space="preserve"> </w:t>
            </w:r>
            <w:r>
              <w:rPr>
                <w:rFonts w:ascii="Arial" w:eastAsia="Arial" w:hAnsi="Arial" w:cs="Arial"/>
                <w:color w:val="FFFFFF"/>
                <w:spacing w:val="2"/>
                <w:w w:val="105"/>
                <w:sz w:val="19"/>
                <w:szCs w:val="19"/>
              </w:rPr>
              <w:t>a</w:t>
            </w:r>
            <w:r>
              <w:rPr>
                <w:rFonts w:ascii="Arial" w:eastAsia="Arial" w:hAnsi="Arial" w:cs="Arial"/>
                <w:color w:val="FFFFFF"/>
                <w:w w:val="105"/>
                <w:sz w:val="19"/>
                <w:szCs w:val="19"/>
              </w:rPr>
              <w:t>ll</w:t>
            </w:r>
            <w:r>
              <w:rPr>
                <w:rFonts w:ascii="Arial" w:eastAsia="Arial" w:hAnsi="Arial" w:cs="Arial"/>
                <w:color w:val="FFFFFF"/>
                <w:spacing w:val="3"/>
                <w:w w:val="105"/>
                <w:sz w:val="19"/>
                <w:szCs w:val="19"/>
              </w:rPr>
              <w:t xml:space="preserve"> </w:t>
            </w:r>
            <w:r>
              <w:rPr>
                <w:rFonts w:ascii="Arial" w:eastAsia="Arial" w:hAnsi="Arial" w:cs="Arial"/>
                <w:color w:val="FFFFFF"/>
                <w:spacing w:val="1"/>
                <w:w w:val="105"/>
                <w:sz w:val="19"/>
                <w:szCs w:val="19"/>
              </w:rPr>
              <w:t>no</w:t>
            </w:r>
            <w:r>
              <w:rPr>
                <w:rFonts w:ascii="Arial" w:eastAsia="Arial" w:hAnsi="Arial" w:cs="Arial"/>
                <w:color w:val="FFFFFF"/>
                <w:spacing w:val="2"/>
                <w:w w:val="105"/>
                <w:sz w:val="19"/>
                <w:szCs w:val="19"/>
              </w:rPr>
              <w:t>n</w:t>
            </w:r>
            <w:r>
              <w:rPr>
                <w:rFonts w:ascii="Arial" w:eastAsia="Arial" w:hAnsi="Arial" w:cs="Arial"/>
                <w:color w:val="FFFFFF"/>
                <w:spacing w:val="3"/>
                <w:w w:val="105"/>
                <w:sz w:val="19"/>
                <w:szCs w:val="19"/>
              </w:rPr>
              <w:t>-</w:t>
            </w:r>
            <w:r>
              <w:rPr>
                <w:rFonts w:ascii="Arial" w:eastAsia="Arial" w:hAnsi="Arial" w:cs="Arial"/>
                <w:color w:val="FFFFFF"/>
                <w:spacing w:val="1"/>
                <w:w w:val="105"/>
                <w:sz w:val="19"/>
                <w:szCs w:val="19"/>
              </w:rPr>
              <w:t>g</w:t>
            </w:r>
            <w:r>
              <w:rPr>
                <w:rFonts w:ascii="Arial" w:eastAsia="Arial" w:hAnsi="Arial" w:cs="Arial"/>
                <w:color w:val="FFFFFF"/>
                <w:spacing w:val="2"/>
                <w:w w:val="105"/>
                <w:sz w:val="19"/>
                <w:szCs w:val="19"/>
              </w:rPr>
              <w:t>r</w:t>
            </w:r>
            <w:r>
              <w:rPr>
                <w:rFonts w:ascii="Arial" w:eastAsia="Arial" w:hAnsi="Arial" w:cs="Arial"/>
                <w:color w:val="FFFFFF"/>
                <w:spacing w:val="3"/>
                <w:w w:val="105"/>
                <w:sz w:val="19"/>
                <w:szCs w:val="19"/>
              </w:rPr>
              <w:t>e</w:t>
            </w:r>
            <w:r>
              <w:rPr>
                <w:rFonts w:ascii="Arial" w:eastAsia="Arial" w:hAnsi="Arial" w:cs="Arial"/>
                <w:color w:val="FFFFFF"/>
                <w:spacing w:val="2"/>
                <w:w w:val="105"/>
                <w:sz w:val="19"/>
                <w:szCs w:val="19"/>
              </w:rPr>
              <w:t>e</w:t>
            </w:r>
            <w:r>
              <w:rPr>
                <w:rFonts w:ascii="Arial" w:eastAsia="Arial" w:hAnsi="Arial" w:cs="Arial"/>
                <w:color w:val="FFFFFF"/>
                <w:spacing w:val="1"/>
                <w:w w:val="105"/>
                <w:sz w:val="19"/>
                <w:szCs w:val="19"/>
              </w:rPr>
              <w:t>n</w:t>
            </w:r>
            <w:r>
              <w:rPr>
                <w:rFonts w:ascii="Arial" w:eastAsia="Arial" w:hAnsi="Arial" w:cs="Arial"/>
                <w:color w:val="FFFFFF"/>
                <w:w w:val="105"/>
                <w:sz w:val="19"/>
                <w:szCs w:val="19"/>
              </w:rPr>
              <w:t>fi</w:t>
            </w:r>
            <w:r>
              <w:rPr>
                <w:rFonts w:ascii="Arial" w:eastAsia="Arial" w:hAnsi="Arial" w:cs="Arial"/>
                <w:color w:val="FFFFFF"/>
                <w:spacing w:val="2"/>
                <w:w w:val="105"/>
                <w:sz w:val="19"/>
                <w:szCs w:val="19"/>
              </w:rPr>
              <w:t>e</w:t>
            </w:r>
            <w:r>
              <w:rPr>
                <w:rFonts w:ascii="Arial" w:eastAsia="Arial" w:hAnsi="Arial" w:cs="Arial"/>
                <w:color w:val="FFFFFF"/>
                <w:w w:val="105"/>
                <w:sz w:val="19"/>
                <w:szCs w:val="19"/>
              </w:rPr>
              <w:t>lds</w:t>
            </w:r>
            <w:r>
              <w:rPr>
                <w:rFonts w:ascii="Arial" w:eastAsia="Arial" w:hAnsi="Arial" w:cs="Arial"/>
                <w:color w:val="FFFFFF"/>
                <w:w w:val="103"/>
                <w:sz w:val="19"/>
                <w:szCs w:val="19"/>
              </w:rPr>
              <w:t xml:space="preserve"> </w:t>
            </w:r>
            <w:r>
              <w:rPr>
                <w:rFonts w:ascii="Arial" w:eastAsia="Arial" w:hAnsi="Arial" w:cs="Arial"/>
                <w:color w:val="FFFFFF"/>
                <w:spacing w:val="1"/>
                <w:w w:val="105"/>
                <w:sz w:val="19"/>
                <w:szCs w:val="19"/>
              </w:rPr>
              <w:t>agr</w:t>
            </w:r>
            <w:r>
              <w:rPr>
                <w:rFonts w:ascii="Arial" w:eastAsia="Arial" w:hAnsi="Arial" w:cs="Arial"/>
                <w:color w:val="FFFFFF"/>
                <w:spacing w:val="3"/>
                <w:w w:val="105"/>
                <w:sz w:val="19"/>
                <w:szCs w:val="19"/>
              </w:rPr>
              <w:t>e</w:t>
            </w:r>
            <w:r>
              <w:rPr>
                <w:rFonts w:ascii="Arial" w:eastAsia="Arial" w:hAnsi="Arial" w:cs="Arial"/>
                <w:color w:val="FFFFFF"/>
                <w:spacing w:val="2"/>
                <w:w w:val="105"/>
                <w:sz w:val="19"/>
                <w:szCs w:val="19"/>
              </w:rPr>
              <w:t>e</w:t>
            </w:r>
            <w:r>
              <w:rPr>
                <w:rFonts w:ascii="Arial" w:eastAsia="Arial" w:hAnsi="Arial" w:cs="Arial"/>
                <w:color w:val="FFFFFF"/>
                <w:spacing w:val="1"/>
                <w:w w:val="105"/>
                <w:sz w:val="19"/>
                <w:szCs w:val="19"/>
              </w:rPr>
              <w:t>m</w:t>
            </w:r>
            <w:r>
              <w:rPr>
                <w:rFonts w:ascii="Arial" w:eastAsia="Arial" w:hAnsi="Arial" w:cs="Arial"/>
                <w:color w:val="FFFFFF"/>
                <w:spacing w:val="2"/>
                <w:w w:val="105"/>
                <w:sz w:val="19"/>
                <w:szCs w:val="19"/>
              </w:rPr>
              <w:t>e</w:t>
            </w:r>
            <w:r>
              <w:rPr>
                <w:rFonts w:ascii="Arial" w:eastAsia="Arial" w:hAnsi="Arial" w:cs="Arial"/>
                <w:color w:val="FFFFFF"/>
                <w:spacing w:val="1"/>
                <w:w w:val="105"/>
                <w:sz w:val="19"/>
                <w:szCs w:val="19"/>
              </w:rPr>
              <w:t>nts</w:t>
            </w:r>
          </w:p>
        </w:tc>
      </w:tr>
      <w:tr w:rsidR="003C17D6" w:rsidTr="003C17D6">
        <w:trPr>
          <w:trHeight w:hRule="exact" w:val="354"/>
        </w:trPr>
        <w:tc>
          <w:tcPr>
            <w:tcW w:w="1893" w:type="dxa"/>
            <w:tcBorders>
              <w:top w:val="nil"/>
              <w:left w:val="nil"/>
              <w:bottom w:val="single" w:sz="4" w:space="0" w:color="797979"/>
              <w:right w:val="nil"/>
            </w:tcBorders>
          </w:tcPr>
          <w:p w:rsidR="003C17D6" w:rsidRDefault="003C17D6" w:rsidP="002B383B">
            <w:pPr>
              <w:pStyle w:val="TableParagraph"/>
              <w:keepNext/>
              <w:spacing w:before="76"/>
              <w:ind w:left="748" w:right="684"/>
              <w:jc w:val="center"/>
              <w:rPr>
                <w:rFonts w:ascii="Arial" w:eastAsia="Arial" w:hAnsi="Arial" w:cs="Arial"/>
                <w:sz w:val="18"/>
                <w:szCs w:val="18"/>
              </w:rPr>
            </w:pPr>
            <w:r>
              <w:rPr>
                <w:rFonts w:ascii="Arial" w:eastAsia="Arial" w:hAnsi="Arial" w:cs="Arial"/>
                <w:spacing w:val="-1"/>
                <w:sz w:val="18"/>
                <w:szCs w:val="18"/>
              </w:rPr>
              <w:t>2</w:t>
            </w:r>
            <w:r>
              <w:rPr>
                <w:rFonts w:ascii="Arial" w:eastAsia="Arial" w:hAnsi="Arial" w:cs="Arial"/>
                <w:spacing w:val="-4"/>
                <w:sz w:val="18"/>
                <w:szCs w:val="18"/>
              </w:rPr>
              <w:t>0</w:t>
            </w:r>
            <w:r>
              <w:rPr>
                <w:rFonts w:ascii="Arial" w:eastAsia="Arial" w:hAnsi="Arial" w:cs="Arial"/>
                <w:spacing w:val="-9"/>
                <w:sz w:val="18"/>
                <w:szCs w:val="18"/>
              </w:rPr>
              <w:t>12</w:t>
            </w:r>
          </w:p>
        </w:tc>
        <w:tc>
          <w:tcPr>
            <w:tcW w:w="3429" w:type="dxa"/>
            <w:tcBorders>
              <w:top w:val="nil"/>
              <w:left w:val="nil"/>
              <w:bottom w:val="single" w:sz="4" w:space="0" w:color="797979"/>
              <w:right w:val="nil"/>
            </w:tcBorders>
          </w:tcPr>
          <w:p w:rsidR="003C17D6" w:rsidRDefault="003C17D6" w:rsidP="002B383B">
            <w:pPr>
              <w:pStyle w:val="TableParagraph"/>
              <w:keepNext/>
              <w:spacing w:before="76"/>
              <w:ind w:right="90"/>
              <w:jc w:val="center"/>
              <w:rPr>
                <w:rFonts w:ascii="Arial" w:eastAsia="Arial" w:hAnsi="Arial" w:cs="Arial"/>
                <w:sz w:val="18"/>
                <w:szCs w:val="18"/>
              </w:rPr>
            </w:pPr>
            <w:r>
              <w:rPr>
                <w:rFonts w:ascii="Arial" w:eastAsia="Arial" w:hAnsi="Arial" w:cs="Arial"/>
                <w:spacing w:val="-13"/>
                <w:sz w:val="18"/>
                <w:szCs w:val="18"/>
              </w:rPr>
              <w:t>1</w:t>
            </w:r>
            <w:r>
              <w:rPr>
                <w:rFonts w:ascii="Arial" w:eastAsia="Arial" w:hAnsi="Arial" w:cs="Arial"/>
                <w:spacing w:val="-5"/>
                <w:sz w:val="18"/>
                <w:szCs w:val="18"/>
              </w:rPr>
              <w:t>7</w:t>
            </w:r>
            <w:r>
              <w:rPr>
                <w:rFonts w:ascii="Arial" w:eastAsia="Arial" w:hAnsi="Arial" w:cs="Arial"/>
                <w:spacing w:val="-2"/>
                <w:sz w:val="18"/>
                <w:szCs w:val="18"/>
              </w:rPr>
              <w:t>5</w:t>
            </w:r>
            <w:r>
              <w:rPr>
                <w:rFonts w:ascii="Arial" w:eastAsia="Arial" w:hAnsi="Arial" w:cs="Arial"/>
                <w:sz w:val="18"/>
                <w:szCs w:val="18"/>
              </w:rPr>
              <w:t>2</w:t>
            </w:r>
          </w:p>
        </w:tc>
        <w:tc>
          <w:tcPr>
            <w:tcW w:w="2842" w:type="dxa"/>
            <w:tcBorders>
              <w:top w:val="nil"/>
              <w:left w:val="nil"/>
              <w:bottom w:val="single" w:sz="4" w:space="0" w:color="797979"/>
              <w:right w:val="nil"/>
            </w:tcBorders>
          </w:tcPr>
          <w:p w:rsidR="003C17D6" w:rsidRDefault="003C17D6" w:rsidP="002B383B">
            <w:pPr>
              <w:pStyle w:val="TableParagraph"/>
              <w:keepNext/>
              <w:spacing w:before="76"/>
              <w:ind w:right="162"/>
              <w:jc w:val="center"/>
              <w:rPr>
                <w:rFonts w:ascii="Arial" w:eastAsia="Arial" w:hAnsi="Arial" w:cs="Arial"/>
                <w:sz w:val="18"/>
                <w:szCs w:val="18"/>
              </w:rPr>
            </w:pPr>
            <w:r>
              <w:rPr>
                <w:rFonts w:ascii="Arial" w:eastAsia="Arial" w:hAnsi="Arial" w:cs="Arial"/>
                <w:spacing w:val="-2"/>
                <w:w w:val="105"/>
                <w:sz w:val="18"/>
                <w:szCs w:val="18"/>
              </w:rPr>
              <w:t>2</w:t>
            </w:r>
            <w:r>
              <w:rPr>
                <w:rFonts w:ascii="Arial" w:eastAsia="Arial" w:hAnsi="Arial" w:cs="Arial"/>
                <w:w w:val="105"/>
                <w:sz w:val="18"/>
                <w:szCs w:val="18"/>
              </w:rPr>
              <w:t>3</w:t>
            </w:r>
            <w:r>
              <w:rPr>
                <w:rFonts w:ascii="Arial" w:eastAsia="Arial" w:hAnsi="Arial" w:cs="Arial"/>
                <w:spacing w:val="1"/>
                <w:w w:val="105"/>
                <w:sz w:val="18"/>
                <w:szCs w:val="18"/>
              </w:rPr>
              <w:t>.</w:t>
            </w:r>
            <w:r>
              <w:rPr>
                <w:rFonts w:ascii="Arial" w:eastAsia="Arial" w:hAnsi="Arial" w:cs="Arial"/>
                <w:spacing w:val="2"/>
                <w:w w:val="105"/>
                <w:sz w:val="18"/>
                <w:szCs w:val="18"/>
              </w:rPr>
              <w:t>36</w:t>
            </w:r>
            <w:r>
              <w:rPr>
                <w:rFonts w:ascii="Arial" w:eastAsia="Arial" w:hAnsi="Arial" w:cs="Arial"/>
                <w:w w:val="105"/>
                <w:sz w:val="18"/>
                <w:szCs w:val="18"/>
              </w:rPr>
              <w:t>%</w:t>
            </w:r>
          </w:p>
        </w:tc>
      </w:tr>
      <w:tr w:rsidR="003C17D6" w:rsidTr="003C17D6">
        <w:trPr>
          <w:trHeight w:hRule="exact" w:val="349"/>
        </w:trPr>
        <w:tc>
          <w:tcPr>
            <w:tcW w:w="1893" w:type="dxa"/>
            <w:tcBorders>
              <w:top w:val="single" w:sz="4" w:space="0" w:color="797979"/>
              <w:left w:val="nil"/>
              <w:bottom w:val="single" w:sz="4" w:space="0" w:color="797979"/>
              <w:right w:val="nil"/>
            </w:tcBorders>
          </w:tcPr>
          <w:p w:rsidR="003C17D6" w:rsidRDefault="003C17D6" w:rsidP="002B383B">
            <w:pPr>
              <w:pStyle w:val="TableParagraph"/>
              <w:keepNext/>
              <w:spacing w:before="71"/>
              <w:ind w:left="748" w:right="684"/>
              <w:jc w:val="center"/>
              <w:rPr>
                <w:rFonts w:ascii="Arial" w:eastAsia="Arial" w:hAnsi="Arial" w:cs="Arial"/>
                <w:sz w:val="18"/>
                <w:szCs w:val="18"/>
              </w:rPr>
            </w:pPr>
            <w:r>
              <w:rPr>
                <w:rFonts w:ascii="Arial" w:eastAsia="Arial" w:hAnsi="Arial" w:cs="Arial"/>
                <w:spacing w:val="-1"/>
                <w:sz w:val="18"/>
                <w:szCs w:val="18"/>
              </w:rPr>
              <w:t>2</w:t>
            </w:r>
            <w:r>
              <w:rPr>
                <w:rFonts w:ascii="Arial" w:eastAsia="Arial" w:hAnsi="Arial" w:cs="Arial"/>
                <w:spacing w:val="-4"/>
                <w:sz w:val="18"/>
                <w:szCs w:val="18"/>
              </w:rPr>
              <w:t>0</w:t>
            </w:r>
            <w:r>
              <w:rPr>
                <w:rFonts w:ascii="Arial" w:eastAsia="Arial" w:hAnsi="Arial" w:cs="Arial"/>
                <w:spacing w:val="-9"/>
                <w:sz w:val="18"/>
                <w:szCs w:val="18"/>
              </w:rPr>
              <w:t>13</w:t>
            </w:r>
          </w:p>
        </w:tc>
        <w:tc>
          <w:tcPr>
            <w:tcW w:w="3429" w:type="dxa"/>
            <w:tcBorders>
              <w:top w:val="single" w:sz="4" w:space="0" w:color="797979"/>
              <w:left w:val="nil"/>
              <w:bottom w:val="single" w:sz="4" w:space="0" w:color="797979"/>
              <w:right w:val="nil"/>
            </w:tcBorders>
          </w:tcPr>
          <w:p w:rsidR="003C17D6" w:rsidRDefault="003C17D6" w:rsidP="002B383B">
            <w:pPr>
              <w:pStyle w:val="TableParagraph"/>
              <w:keepNext/>
              <w:spacing w:before="71"/>
              <w:ind w:right="90"/>
              <w:jc w:val="center"/>
              <w:rPr>
                <w:rFonts w:ascii="Arial" w:eastAsia="Arial" w:hAnsi="Arial" w:cs="Arial"/>
                <w:sz w:val="18"/>
                <w:szCs w:val="18"/>
              </w:rPr>
            </w:pPr>
            <w:r>
              <w:rPr>
                <w:rFonts w:ascii="Arial" w:eastAsia="Arial" w:hAnsi="Arial" w:cs="Arial"/>
                <w:spacing w:val="-9"/>
                <w:sz w:val="18"/>
                <w:szCs w:val="18"/>
              </w:rPr>
              <w:t>1</w:t>
            </w:r>
            <w:r>
              <w:rPr>
                <w:rFonts w:ascii="Arial" w:eastAsia="Arial" w:hAnsi="Arial" w:cs="Arial"/>
                <w:spacing w:val="-1"/>
                <w:sz w:val="18"/>
                <w:szCs w:val="18"/>
              </w:rPr>
              <w:t>2</w:t>
            </w:r>
            <w:r>
              <w:rPr>
                <w:rFonts w:ascii="Arial" w:eastAsia="Arial" w:hAnsi="Arial" w:cs="Arial"/>
                <w:spacing w:val="2"/>
                <w:sz w:val="18"/>
                <w:szCs w:val="18"/>
              </w:rPr>
              <w:t>6</w:t>
            </w:r>
            <w:r>
              <w:rPr>
                <w:rFonts w:ascii="Arial" w:eastAsia="Arial" w:hAnsi="Arial" w:cs="Arial"/>
                <w:sz w:val="18"/>
                <w:szCs w:val="18"/>
              </w:rPr>
              <w:t>5</w:t>
            </w:r>
          </w:p>
        </w:tc>
        <w:tc>
          <w:tcPr>
            <w:tcW w:w="2842" w:type="dxa"/>
            <w:tcBorders>
              <w:top w:val="single" w:sz="4" w:space="0" w:color="797979"/>
              <w:left w:val="nil"/>
              <w:bottom w:val="single" w:sz="4" w:space="0" w:color="797979"/>
              <w:right w:val="nil"/>
            </w:tcBorders>
          </w:tcPr>
          <w:p w:rsidR="003C17D6" w:rsidRDefault="003C17D6" w:rsidP="002B383B">
            <w:pPr>
              <w:pStyle w:val="TableParagraph"/>
              <w:keepNext/>
              <w:spacing w:before="71"/>
              <w:ind w:right="162"/>
              <w:jc w:val="center"/>
              <w:rPr>
                <w:rFonts w:ascii="Arial" w:eastAsia="Arial" w:hAnsi="Arial" w:cs="Arial"/>
                <w:sz w:val="18"/>
                <w:szCs w:val="18"/>
              </w:rPr>
            </w:pPr>
            <w:r>
              <w:rPr>
                <w:rFonts w:ascii="Arial" w:eastAsia="Arial" w:hAnsi="Arial" w:cs="Arial"/>
                <w:spacing w:val="-6"/>
                <w:w w:val="105"/>
                <w:sz w:val="18"/>
                <w:szCs w:val="18"/>
              </w:rPr>
              <w:t>2</w:t>
            </w:r>
            <w:r>
              <w:rPr>
                <w:rFonts w:ascii="Arial" w:eastAsia="Arial" w:hAnsi="Arial" w:cs="Arial"/>
                <w:spacing w:val="-11"/>
                <w:w w:val="105"/>
                <w:sz w:val="18"/>
                <w:szCs w:val="18"/>
              </w:rPr>
              <w:t>1</w:t>
            </w:r>
            <w:r>
              <w:rPr>
                <w:rFonts w:ascii="Arial" w:eastAsia="Arial" w:hAnsi="Arial" w:cs="Arial"/>
                <w:spacing w:val="4"/>
                <w:w w:val="105"/>
                <w:sz w:val="18"/>
                <w:szCs w:val="18"/>
              </w:rPr>
              <w:t>.</w:t>
            </w:r>
            <w:r>
              <w:rPr>
                <w:rFonts w:ascii="Arial" w:eastAsia="Arial" w:hAnsi="Arial" w:cs="Arial"/>
                <w:spacing w:val="-5"/>
                <w:w w:val="105"/>
                <w:sz w:val="18"/>
                <w:szCs w:val="18"/>
              </w:rPr>
              <w:t>2</w:t>
            </w:r>
            <w:r>
              <w:rPr>
                <w:rFonts w:ascii="Arial" w:eastAsia="Arial" w:hAnsi="Arial" w:cs="Arial"/>
                <w:spacing w:val="-6"/>
                <w:w w:val="105"/>
                <w:sz w:val="18"/>
                <w:szCs w:val="18"/>
              </w:rPr>
              <w:t>7</w:t>
            </w:r>
            <w:r>
              <w:rPr>
                <w:rFonts w:ascii="Arial" w:eastAsia="Arial" w:hAnsi="Arial" w:cs="Arial"/>
                <w:w w:val="105"/>
                <w:sz w:val="18"/>
                <w:szCs w:val="18"/>
              </w:rPr>
              <w:t>%</w:t>
            </w:r>
          </w:p>
        </w:tc>
      </w:tr>
      <w:tr w:rsidR="003C17D6" w:rsidTr="003C17D6">
        <w:trPr>
          <w:trHeight w:hRule="exact" w:val="349"/>
        </w:trPr>
        <w:tc>
          <w:tcPr>
            <w:tcW w:w="1893" w:type="dxa"/>
            <w:tcBorders>
              <w:top w:val="single" w:sz="4" w:space="0" w:color="797979"/>
              <w:left w:val="nil"/>
              <w:bottom w:val="single" w:sz="4" w:space="0" w:color="797979"/>
              <w:right w:val="nil"/>
            </w:tcBorders>
          </w:tcPr>
          <w:p w:rsidR="003C17D6" w:rsidRDefault="003C17D6" w:rsidP="002B383B">
            <w:pPr>
              <w:pStyle w:val="TableParagraph"/>
              <w:keepNext/>
              <w:spacing w:before="71"/>
              <w:ind w:left="61"/>
              <w:jc w:val="center"/>
              <w:rPr>
                <w:rFonts w:ascii="Arial" w:eastAsia="Arial" w:hAnsi="Arial" w:cs="Arial"/>
                <w:sz w:val="18"/>
                <w:szCs w:val="18"/>
              </w:rPr>
            </w:pPr>
            <w:r>
              <w:rPr>
                <w:rFonts w:ascii="Arial" w:eastAsia="Arial" w:hAnsi="Arial" w:cs="Arial"/>
                <w:spacing w:val="-1"/>
                <w:sz w:val="18"/>
                <w:szCs w:val="18"/>
              </w:rPr>
              <w:t>2</w:t>
            </w:r>
            <w:r>
              <w:rPr>
                <w:rFonts w:ascii="Arial" w:eastAsia="Arial" w:hAnsi="Arial" w:cs="Arial"/>
                <w:spacing w:val="-4"/>
                <w:sz w:val="18"/>
                <w:szCs w:val="18"/>
              </w:rPr>
              <w:t>0</w:t>
            </w:r>
            <w:r>
              <w:rPr>
                <w:rFonts w:ascii="Arial" w:eastAsia="Arial" w:hAnsi="Arial" w:cs="Arial"/>
                <w:spacing w:val="-11"/>
                <w:sz w:val="18"/>
                <w:szCs w:val="18"/>
              </w:rPr>
              <w:t>14</w:t>
            </w:r>
          </w:p>
        </w:tc>
        <w:tc>
          <w:tcPr>
            <w:tcW w:w="3429" w:type="dxa"/>
            <w:tcBorders>
              <w:top w:val="single" w:sz="4" w:space="0" w:color="797979"/>
              <w:left w:val="nil"/>
              <w:bottom w:val="single" w:sz="4" w:space="0" w:color="797979"/>
              <w:right w:val="nil"/>
            </w:tcBorders>
          </w:tcPr>
          <w:p w:rsidR="003C17D6" w:rsidRDefault="003C17D6" w:rsidP="002B383B">
            <w:pPr>
              <w:pStyle w:val="TableParagraph"/>
              <w:keepNext/>
              <w:spacing w:before="71"/>
              <w:ind w:right="90"/>
              <w:jc w:val="center"/>
              <w:rPr>
                <w:rFonts w:ascii="Arial" w:eastAsia="Arial" w:hAnsi="Arial" w:cs="Arial"/>
                <w:sz w:val="18"/>
                <w:szCs w:val="18"/>
              </w:rPr>
            </w:pPr>
            <w:r>
              <w:rPr>
                <w:rFonts w:ascii="Arial" w:eastAsia="Arial" w:hAnsi="Arial" w:cs="Arial"/>
                <w:spacing w:val="2"/>
                <w:sz w:val="18"/>
                <w:szCs w:val="18"/>
              </w:rPr>
              <w:t>93</w:t>
            </w:r>
            <w:r>
              <w:rPr>
                <w:rFonts w:ascii="Arial" w:eastAsia="Arial" w:hAnsi="Arial" w:cs="Arial"/>
                <w:sz w:val="18"/>
                <w:szCs w:val="18"/>
              </w:rPr>
              <w:t>8</w:t>
            </w:r>
          </w:p>
        </w:tc>
        <w:tc>
          <w:tcPr>
            <w:tcW w:w="2842" w:type="dxa"/>
            <w:tcBorders>
              <w:top w:val="single" w:sz="4" w:space="0" w:color="797979"/>
              <w:left w:val="nil"/>
              <w:bottom w:val="single" w:sz="4" w:space="0" w:color="797979"/>
              <w:right w:val="nil"/>
            </w:tcBorders>
          </w:tcPr>
          <w:p w:rsidR="003C17D6" w:rsidRDefault="003C17D6" w:rsidP="002B383B">
            <w:pPr>
              <w:pStyle w:val="TableParagraph"/>
              <w:keepNext/>
              <w:spacing w:before="71"/>
              <w:ind w:right="163"/>
              <w:jc w:val="center"/>
              <w:rPr>
                <w:rFonts w:ascii="Arial" w:eastAsia="Arial" w:hAnsi="Arial" w:cs="Arial"/>
                <w:sz w:val="18"/>
                <w:szCs w:val="18"/>
              </w:rPr>
            </w:pPr>
            <w:r>
              <w:rPr>
                <w:rFonts w:ascii="Arial" w:eastAsia="Arial" w:hAnsi="Arial" w:cs="Arial"/>
                <w:spacing w:val="-10"/>
                <w:w w:val="105"/>
                <w:sz w:val="18"/>
                <w:szCs w:val="18"/>
              </w:rPr>
              <w:t>1</w:t>
            </w:r>
            <w:r>
              <w:rPr>
                <w:rFonts w:ascii="Arial" w:eastAsia="Arial" w:hAnsi="Arial" w:cs="Arial"/>
                <w:spacing w:val="1"/>
                <w:w w:val="105"/>
                <w:sz w:val="18"/>
                <w:szCs w:val="18"/>
              </w:rPr>
              <w:t>8.</w:t>
            </w:r>
            <w:r>
              <w:rPr>
                <w:rFonts w:ascii="Arial" w:eastAsia="Arial" w:hAnsi="Arial" w:cs="Arial"/>
                <w:spacing w:val="2"/>
                <w:w w:val="105"/>
                <w:sz w:val="18"/>
                <w:szCs w:val="18"/>
              </w:rPr>
              <w:t>3</w:t>
            </w:r>
            <w:r>
              <w:rPr>
                <w:rFonts w:ascii="Arial" w:eastAsia="Arial" w:hAnsi="Arial" w:cs="Arial"/>
                <w:spacing w:val="-2"/>
                <w:w w:val="105"/>
                <w:sz w:val="18"/>
                <w:szCs w:val="18"/>
              </w:rPr>
              <w:t>4</w:t>
            </w:r>
            <w:r>
              <w:rPr>
                <w:rFonts w:ascii="Arial" w:eastAsia="Arial" w:hAnsi="Arial" w:cs="Arial"/>
                <w:w w:val="105"/>
                <w:sz w:val="18"/>
                <w:szCs w:val="18"/>
              </w:rPr>
              <w:t>%</w:t>
            </w:r>
          </w:p>
        </w:tc>
      </w:tr>
      <w:tr w:rsidR="003C17D6" w:rsidTr="003C17D6">
        <w:trPr>
          <w:trHeight w:hRule="exact" w:val="349"/>
        </w:trPr>
        <w:tc>
          <w:tcPr>
            <w:tcW w:w="1893" w:type="dxa"/>
            <w:tcBorders>
              <w:top w:val="single" w:sz="4" w:space="0" w:color="797979"/>
              <w:left w:val="nil"/>
              <w:bottom w:val="single" w:sz="4" w:space="0" w:color="797979"/>
              <w:right w:val="nil"/>
            </w:tcBorders>
          </w:tcPr>
          <w:p w:rsidR="003C17D6" w:rsidRDefault="003C17D6" w:rsidP="002B383B">
            <w:pPr>
              <w:pStyle w:val="TableParagraph"/>
              <w:keepNext/>
              <w:spacing w:before="71"/>
              <w:ind w:left="748" w:right="684"/>
              <w:jc w:val="center"/>
              <w:rPr>
                <w:rFonts w:ascii="Arial" w:eastAsia="Arial" w:hAnsi="Arial" w:cs="Arial"/>
                <w:sz w:val="18"/>
                <w:szCs w:val="18"/>
              </w:rPr>
            </w:pPr>
            <w:r>
              <w:rPr>
                <w:rFonts w:ascii="Arial" w:eastAsia="Arial" w:hAnsi="Arial" w:cs="Arial"/>
                <w:spacing w:val="-1"/>
                <w:sz w:val="18"/>
                <w:szCs w:val="18"/>
              </w:rPr>
              <w:t>2</w:t>
            </w:r>
            <w:r>
              <w:rPr>
                <w:rFonts w:ascii="Arial" w:eastAsia="Arial" w:hAnsi="Arial" w:cs="Arial"/>
                <w:spacing w:val="-4"/>
                <w:sz w:val="18"/>
                <w:szCs w:val="18"/>
              </w:rPr>
              <w:t>0</w:t>
            </w:r>
            <w:r>
              <w:rPr>
                <w:rFonts w:ascii="Arial" w:eastAsia="Arial" w:hAnsi="Arial" w:cs="Arial"/>
                <w:spacing w:val="-9"/>
                <w:sz w:val="18"/>
                <w:szCs w:val="18"/>
              </w:rPr>
              <w:t>15</w:t>
            </w:r>
          </w:p>
        </w:tc>
        <w:tc>
          <w:tcPr>
            <w:tcW w:w="3429" w:type="dxa"/>
            <w:tcBorders>
              <w:top w:val="single" w:sz="4" w:space="0" w:color="797979"/>
              <w:left w:val="nil"/>
              <w:bottom w:val="single" w:sz="4" w:space="0" w:color="797979"/>
              <w:right w:val="nil"/>
            </w:tcBorders>
          </w:tcPr>
          <w:p w:rsidR="003C17D6" w:rsidRDefault="003C17D6" w:rsidP="002B383B">
            <w:pPr>
              <w:pStyle w:val="TableParagraph"/>
              <w:keepNext/>
              <w:spacing w:before="71"/>
              <w:ind w:right="94"/>
              <w:jc w:val="center"/>
              <w:rPr>
                <w:rFonts w:ascii="Arial" w:eastAsia="Arial" w:hAnsi="Arial" w:cs="Arial"/>
                <w:sz w:val="18"/>
                <w:szCs w:val="18"/>
              </w:rPr>
            </w:pPr>
            <w:r>
              <w:rPr>
                <w:rFonts w:ascii="Arial" w:eastAsia="Arial" w:hAnsi="Arial" w:cs="Arial"/>
                <w:spacing w:val="1"/>
                <w:sz w:val="18"/>
                <w:szCs w:val="18"/>
              </w:rPr>
              <w:t>8</w:t>
            </w:r>
            <w:r>
              <w:rPr>
                <w:rFonts w:ascii="Arial" w:eastAsia="Arial" w:hAnsi="Arial" w:cs="Arial"/>
                <w:spacing w:val="-5"/>
                <w:sz w:val="18"/>
                <w:szCs w:val="18"/>
              </w:rPr>
              <w:t>21</w:t>
            </w:r>
          </w:p>
        </w:tc>
        <w:tc>
          <w:tcPr>
            <w:tcW w:w="2842" w:type="dxa"/>
            <w:tcBorders>
              <w:top w:val="single" w:sz="4" w:space="0" w:color="797979"/>
              <w:left w:val="nil"/>
              <w:bottom w:val="single" w:sz="4" w:space="0" w:color="797979"/>
              <w:right w:val="nil"/>
            </w:tcBorders>
          </w:tcPr>
          <w:p w:rsidR="003C17D6" w:rsidRDefault="003C17D6" w:rsidP="002B383B">
            <w:pPr>
              <w:pStyle w:val="TableParagraph"/>
              <w:keepNext/>
              <w:spacing w:before="71"/>
              <w:ind w:right="162"/>
              <w:jc w:val="center"/>
              <w:rPr>
                <w:rFonts w:ascii="Arial" w:eastAsia="Arial" w:hAnsi="Arial" w:cs="Arial"/>
                <w:sz w:val="18"/>
                <w:szCs w:val="18"/>
              </w:rPr>
            </w:pPr>
            <w:r>
              <w:rPr>
                <w:rFonts w:ascii="Arial" w:eastAsia="Arial" w:hAnsi="Arial" w:cs="Arial"/>
                <w:spacing w:val="-14"/>
                <w:w w:val="105"/>
                <w:sz w:val="18"/>
                <w:szCs w:val="18"/>
              </w:rPr>
              <w:t>1</w:t>
            </w:r>
            <w:r>
              <w:rPr>
                <w:rFonts w:ascii="Arial" w:eastAsia="Arial" w:hAnsi="Arial" w:cs="Arial"/>
                <w:spacing w:val="-20"/>
                <w:w w:val="105"/>
                <w:sz w:val="18"/>
                <w:szCs w:val="18"/>
              </w:rPr>
              <w:t>7</w:t>
            </w:r>
            <w:r>
              <w:rPr>
                <w:rFonts w:ascii="Arial" w:eastAsia="Arial" w:hAnsi="Arial" w:cs="Arial"/>
                <w:spacing w:val="-2"/>
                <w:w w:val="105"/>
                <w:sz w:val="18"/>
                <w:szCs w:val="18"/>
              </w:rPr>
              <w:t>.</w:t>
            </w:r>
            <w:r>
              <w:rPr>
                <w:rFonts w:ascii="Arial" w:eastAsia="Arial" w:hAnsi="Arial" w:cs="Arial"/>
                <w:w w:val="105"/>
                <w:sz w:val="18"/>
                <w:szCs w:val="18"/>
              </w:rPr>
              <w:t>4</w:t>
            </w:r>
            <w:r>
              <w:rPr>
                <w:rFonts w:ascii="Arial" w:eastAsia="Arial" w:hAnsi="Arial" w:cs="Arial"/>
                <w:spacing w:val="3"/>
                <w:w w:val="105"/>
                <w:sz w:val="18"/>
                <w:szCs w:val="18"/>
              </w:rPr>
              <w:t>9</w:t>
            </w:r>
            <w:r>
              <w:rPr>
                <w:rFonts w:ascii="Arial" w:eastAsia="Arial" w:hAnsi="Arial" w:cs="Arial"/>
                <w:w w:val="105"/>
                <w:sz w:val="18"/>
                <w:szCs w:val="18"/>
              </w:rPr>
              <w:t>%</w:t>
            </w:r>
          </w:p>
        </w:tc>
      </w:tr>
      <w:tr w:rsidR="003C17D6" w:rsidTr="003C17D6">
        <w:trPr>
          <w:trHeight w:hRule="exact" w:val="349"/>
        </w:trPr>
        <w:tc>
          <w:tcPr>
            <w:tcW w:w="1893" w:type="dxa"/>
            <w:tcBorders>
              <w:top w:val="single" w:sz="4" w:space="0" w:color="797979"/>
              <w:left w:val="nil"/>
              <w:bottom w:val="single" w:sz="4" w:space="0" w:color="797979"/>
              <w:right w:val="nil"/>
            </w:tcBorders>
          </w:tcPr>
          <w:p w:rsidR="003C17D6" w:rsidRDefault="003C17D6" w:rsidP="002B383B">
            <w:pPr>
              <w:pStyle w:val="TableParagraph"/>
              <w:keepNext/>
              <w:spacing w:before="71"/>
              <w:ind w:left="64"/>
              <w:jc w:val="center"/>
              <w:rPr>
                <w:rFonts w:ascii="Arial" w:eastAsia="Arial" w:hAnsi="Arial" w:cs="Arial"/>
                <w:sz w:val="18"/>
                <w:szCs w:val="18"/>
              </w:rPr>
            </w:pPr>
            <w:r>
              <w:rPr>
                <w:rFonts w:ascii="Arial" w:eastAsia="Arial" w:hAnsi="Arial" w:cs="Arial"/>
                <w:spacing w:val="-1"/>
                <w:sz w:val="18"/>
                <w:szCs w:val="18"/>
              </w:rPr>
              <w:t>2</w:t>
            </w:r>
            <w:r>
              <w:rPr>
                <w:rFonts w:ascii="Arial" w:eastAsia="Arial" w:hAnsi="Arial" w:cs="Arial"/>
                <w:spacing w:val="-4"/>
                <w:sz w:val="18"/>
                <w:szCs w:val="18"/>
              </w:rPr>
              <w:t>0</w:t>
            </w:r>
            <w:r>
              <w:rPr>
                <w:rFonts w:ascii="Arial" w:eastAsia="Arial" w:hAnsi="Arial" w:cs="Arial"/>
                <w:spacing w:val="-8"/>
                <w:sz w:val="18"/>
                <w:szCs w:val="18"/>
              </w:rPr>
              <w:t>16</w:t>
            </w:r>
          </w:p>
        </w:tc>
        <w:tc>
          <w:tcPr>
            <w:tcW w:w="3429" w:type="dxa"/>
            <w:tcBorders>
              <w:top w:val="single" w:sz="4" w:space="0" w:color="797979"/>
              <w:left w:val="nil"/>
              <w:bottom w:val="single" w:sz="4" w:space="0" w:color="797979"/>
              <w:right w:val="nil"/>
            </w:tcBorders>
          </w:tcPr>
          <w:p w:rsidR="003C17D6" w:rsidRDefault="003C17D6" w:rsidP="002B383B">
            <w:pPr>
              <w:pStyle w:val="TableParagraph"/>
              <w:keepNext/>
              <w:spacing w:before="71"/>
              <w:ind w:right="87"/>
              <w:jc w:val="center"/>
              <w:rPr>
                <w:rFonts w:ascii="Arial" w:eastAsia="Arial" w:hAnsi="Arial" w:cs="Arial"/>
                <w:sz w:val="18"/>
                <w:szCs w:val="18"/>
              </w:rPr>
            </w:pPr>
            <w:r>
              <w:rPr>
                <w:rFonts w:ascii="Arial" w:eastAsia="Arial" w:hAnsi="Arial" w:cs="Arial"/>
                <w:spacing w:val="3"/>
                <w:sz w:val="18"/>
                <w:szCs w:val="18"/>
              </w:rPr>
              <w:t>9</w:t>
            </w:r>
            <w:r>
              <w:rPr>
                <w:rFonts w:ascii="Arial" w:eastAsia="Arial" w:hAnsi="Arial" w:cs="Arial"/>
                <w:spacing w:val="2"/>
                <w:sz w:val="18"/>
                <w:szCs w:val="18"/>
              </w:rPr>
              <w:t>98</w:t>
            </w:r>
          </w:p>
        </w:tc>
        <w:tc>
          <w:tcPr>
            <w:tcW w:w="2842" w:type="dxa"/>
            <w:tcBorders>
              <w:top w:val="single" w:sz="4" w:space="0" w:color="797979"/>
              <w:left w:val="nil"/>
              <w:bottom w:val="single" w:sz="4" w:space="0" w:color="797979"/>
              <w:right w:val="nil"/>
            </w:tcBorders>
          </w:tcPr>
          <w:p w:rsidR="003C17D6" w:rsidRDefault="003C17D6" w:rsidP="002B383B">
            <w:pPr>
              <w:pStyle w:val="TableParagraph"/>
              <w:keepNext/>
              <w:spacing w:before="71"/>
              <w:ind w:right="162"/>
              <w:jc w:val="center"/>
              <w:rPr>
                <w:rFonts w:ascii="Arial" w:eastAsia="Arial" w:hAnsi="Arial" w:cs="Arial"/>
                <w:sz w:val="18"/>
                <w:szCs w:val="18"/>
              </w:rPr>
            </w:pPr>
            <w:r>
              <w:rPr>
                <w:rFonts w:ascii="Arial" w:eastAsia="Arial" w:hAnsi="Arial" w:cs="Arial"/>
                <w:spacing w:val="-9"/>
                <w:w w:val="105"/>
                <w:sz w:val="18"/>
                <w:szCs w:val="18"/>
              </w:rPr>
              <w:t>1</w:t>
            </w:r>
            <w:r>
              <w:rPr>
                <w:rFonts w:ascii="Arial" w:eastAsia="Arial" w:hAnsi="Arial" w:cs="Arial"/>
                <w:spacing w:val="-3"/>
                <w:w w:val="105"/>
                <w:sz w:val="18"/>
                <w:szCs w:val="18"/>
              </w:rPr>
              <w:t>9</w:t>
            </w:r>
            <w:r>
              <w:rPr>
                <w:rFonts w:ascii="Arial" w:eastAsia="Arial" w:hAnsi="Arial" w:cs="Arial"/>
                <w:w w:val="105"/>
                <w:sz w:val="18"/>
                <w:szCs w:val="18"/>
              </w:rPr>
              <w:t>.</w:t>
            </w:r>
            <w:r>
              <w:rPr>
                <w:rFonts w:ascii="Arial" w:eastAsia="Arial" w:hAnsi="Arial" w:cs="Arial"/>
                <w:spacing w:val="3"/>
                <w:w w:val="105"/>
                <w:sz w:val="18"/>
                <w:szCs w:val="18"/>
              </w:rPr>
              <w:t>99</w:t>
            </w:r>
            <w:r>
              <w:rPr>
                <w:rFonts w:ascii="Arial" w:eastAsia="Arial" w:hAnsi="Arial" w:cs="Arial"/>
                <w:w w:val="105"/>
                <w:sz w:val="18"/>
                <w:szCs w:val="18"/>
              </w:rPr>
              <w:t>%</w:t>
            </w:r>
          </w:p>
        </w:tc>
      </w:tr>
      <w:tr w:rsidR="003C17D6" w:rsidTr="003C17D6">
        <w:trPr>
          <w:trHeight w:hRule="exact" w:val="394"/>
        </w:trPr>
        <w:tc>
          <w:tcPr>
            <w:tcW w:w="1893" w:type="dxa"/>
            <w:tcBorders>
              <w:top w:val="single" w:sz="4" w:space="0" w:color="797979"/>
              <w:left w:val="nil"/>
              <w:bottom w:val="nil"/>
              <w:right w:val="nil"/>
            </w:tcBorders>
          </w:tcPr>
          <w:p w:rsidR="003C17D6" w:rsidRDefault="003C17D6" w:rsidP="002B383B">
            <w:pPr>
              <w:pStyle w:val="TableParagraph"/>
              <w:keepNext/>
              <w:spacing w:before="96"/>
              <w:ind w:left="503"/>
              <w:rPr>
                <w:rFonts w:ascii="Arial" w:eastAsia="Arial" w:hAnsi="Arial" w:cs="Arial"/>
                <w:sz w:val="18"/>
                <w:szCs w:val="18"/>
              </w:rPr>
            </w:pPr>
            <w:r>
              <w:rPr>
                <w:rFonts w:ascii="Arial" w:eastAsia="Arial" w:hAnsi="Arial" w:cs="Arial"/>
                <w:spacing w:val="-9"/>
                <w:sz w:val="18"/>
                <w:szCs w:val="18"/>
              </w:rPr>
              <w:t>1</w:t>
            </w:r>
            <w:r>
              <w:rPr>
                <w:rFonts w:ascii="Arial" w:eastAsia="Arial" w:hAnsi="Arial" w:cs="Arial"/>
                <w:spacing w:val="1"/>
                <w:position w:val="6"/>
                <w:sz w:val="10"/>
                <w:szCs w:val="10"/>
              </w:rPr>
              <w:t>s</w:t>
            </w:r>
            <w:r>
              <w:rPr>
                <w:rFonts w:ascii="Arial" w:eastAsia="Arial" w:hAnsi="Arial" w:cs="Arial"/>
                <w:position w:val="6"/>
                <w:sz w:val="10"/>
                <w:szCs w:val="10"/>
              </w:rPr>
              <w:t>t</w:t>
            </w:r>
            <w:r>
              <w:rPr>
                <w:rFonts w:ascii="Arial" w:eastAsia="Arial" w:hAnsi="Arial" w:cs="Arial"/>
                <w:spacing w:val="25"/>
                <w:position w:val="6"/>
                <w:sz w:val="10"/>
                <w:szCs w:val="10"/>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f</w:t>
            </w:r>
            <w:r>
              <w:rPr>
                <w:rFonts w:ascii="Arial" w:eastAsia="Arial" w:hAnsi="Arial" w:cs="Arial"/>
                <w:spacing w:val="3"/>
                <w:sz w:val="18"/>
                <w:szCs w:val="18"/>
              </w:rPr>
              <w:t xml:space="preserve"> </w:t>
            </w:r>
            <w:r>
              <w:rPr>
                <w:rFonts w:ascii="Arial" w:eastAsia="Arial" w:hAnsi="Arial" w:cs="Arial"/>
                <w:spacing w:val="-1"/>
                <w:sz w:val="18"/>
                <w:szCs w:val="18"/>
              </w:rPr>
              <w:t>2</w:t>
            </w:r>
            <w:r>
              <w:rPr>
                <w:rFonts w:ascii="Arial" w:eastAsia="Arial" w:hAnsi="Arial" w:cs="Arial"/>
                <w:spacing w:val="-4"/>
                <w:sz w:val="18"/>
                <w:szCs w:val="18"/>
              </w:rPr>
              <w:t>0</w:t>
            </w:r>
            <w:r>
              <w:rPr>
                <w:rFonts w:ascii="Arial" w:eastAsia="Arial" w:hAnsi="Arial" w:cs="Arial"/>
                <w:spacing w:val="-13"/>
                <w:sz w:val="18"/>
                <w:szCs w:val="18"/>
              </w:rPr>
              <w:t>1</w:t>
            </w:r>
            <w:r>
              <w:rPr>
                <w:rFonts w:ascii="Arial" w:eastAsia="Arial" w:hAnsi="Arial" w:cs="Arial"/>
                <w:sz w:val="18"/>
                <w:szCs w:val="18"/>
              </w:rPr>
              <w:t>7</w:t>
            </w:r>
          </w:p>
        </w:tc>
        <w:tc>
          <w:tcPr>
            <w:tcW w:w="3429" w:type="dxa"/>
            <w:tcBorders>
              <w:top w:val="single" w:sz="4" w:space="0" w:color="797979"/>
              <w:left w:val="nil"/>
              <w:bottom w:val="nil"/>
              <w:right w:val="nil"/>
            </w:tcBorders>
          </w:tcPr>
          <w:p w:rsidR="003C17D6" w:rsidRDefault="003C17D6" w:rsidP="002B383B">
            <w:pPr>
              <w:pStyle w:val="TableParagraph"/>
              <w:keepNext/>
              <w:spacing w:before="96"/>
              <w:ind w:right="90"/>
              <w:jc w:val="center"/>
              <w:rPr>
                <w:rFonts w:ascii="Arial" w:eastAsia="Arial" w:hAnsi="Arial" w:cs="Arial"/>
                <w:sz w:val="18"/>
                <w:szCs w:val="18"/>
              </w:rPr>
            </w:pPr>
            <w:r>
              <w:rPr>
                <w:rFonts w:ascii="Arial" w:eastAsia="Arial" w:hAnsi="Arial" w:cs="Arial"/>
                <w:spacing w:val="2"/>
                <w:sz w:val="18"/>
                <w:szCs w:val="18"/>
              </w:rPr>
              <w:t>3</w:t>
            </w:r>
            <w:r>
              <w:rPr>
                <w:rFonts w:ascii="Arial" w:eastAsia="Arial" w:hAnsi="Arial" w:cs="Arial"/>
                <w:spacing w:val="-4"/>
                <w:sz w:val="18"/>
                <w:szCs w:val="18"/>
              </w:rPr>
              <w:t>3</w:t>
            </w:r>
            <w:r>
              <w:rPr>
                <w:rFonts w:ascii="Arial" w:eastAsia="Arial" w:hAnsi="Arial" w:cs="Arial"/>
                <w:sz w:val="18"/>
                <w:szCs w:val="18"/>
              </w:rPr>
              <w:t>7</w:t>
            </w:r>
          </w:p>
        </w:tc>
        <w:tc>
          <w:tcPr>
            <w:tcW w:w="2842" w:type="dxa"/>
            <w:tcBorders>
              <w:top w:val="single" w:sz="4" w:space="0" w:color="797979"/>
              <w:left w:val="nil"/>
              <w:bottom w:val="nil"/>
              <w:right w:val="nil"/>
            </w:tcBorders>
          </w:tcPr>
          <w:p w:rsidR="003C17D6" w:rsidRDefault="003C17D6" w:rsidP="002B383B">
            <w:pPr>
              <w:pStyle w:val="TableParagraph"/>
              <w:keepNext/>
              <w:spacing w:before="96"/>
              <w:ind w:right="162"/>
              <w:jc w:val="center"/>
              <w:rPr>
                <w:rFonts w:ascii="Arial" w:eastAsia="Arial" w:hAnsi="Arial" w:cs="Arial"/>
                <w:sz w:val="18"/>
                <w:szCs w:val="18"/>
              </w:rPr>
            </w:pPr>
            <w:r>
              <w:rPr>
                <w:rFonts w:ascii="Arial" w:eastAsia="Arial" w:hAnsi="Arial" w:cs="Arial"/>
                <w:spacing w:val="-9"/>
                <w:w w:val="105"/>
                <w:sz w:val="18"/>
                <w:szCs w:val="18"/>
              </w:rPr>
              <w:t>1</w:t>
            </w:r>
            <w:r>
              <w:rPr>
                <w:rFonts w:ascii="Arial" w:eastAsia="Arial" w:hAnsi="Arial" w:cs="Arial"/>
                <w:spacing w:val="-3"/>
                <w:w w:val="105"/>
                <w:sz w:val="18"/>
                <w:szCs w:val="18"/>
              </w:rPr>
              <w:t>9</w:t>
            </w:r>
            <w:r>
              <w:rPr>
                <w:rFonts w:ascii="Arial" w:eastAsia="Arial" w:hAnsi="Arial" w:cs="Arial"/>
                <w:spacing w:val="-17"/>
                <w:w w:val="105"/>
                <w:sz w:val="18"/>
                <w:szCs w:val="18"/>
              </w:rPr>
              <w:t>.</w:t>
            </w:r>
            <w:r>
              <w:rPr>
                <w:rFonts w:ascii="Arial" w:eastAsia="Arial" w:hAnsi="Arial" w:cs="Arial"/>
                <w:spacing w:val="-9"/>
                <w:w w:val="105"/>
                <w:sz w:val="18"/>
                <w:szCs w:val="18"/>
              </w:rPr>
              <w:t>1</w:t>
            </w:r>
            <w:r>
              <w:rPr>
                <w:rFonts w:ascii="Arial" w:eastAsia="Arial" w:hAnsi="Arial" w:cs="Arial"/>
                <w:spacing w:val="2"/>
                <w:w w:val="105"/>
                <w:sz w:val="18"/>
                <w:szCs w:val="18"/>
              </w:rPr>
              <w:t>6</w:t>
            </w:r>
            <w:r>
              <w:rPr>
                <w:rFonts w:ascii="Arial" w:eastAsia="Arial" w:hAnsi="Arial" w:cs="Arial"/>
                <w:w w:val="105"/>
                <w:sz w:val="18"/>
                <w:szCs w:val="18"/>
              </w:rPr>
              <w:t>%</w:t>
            </w:r>
          </w:p>
        </w:tc>
      </w:tr>
      <w:tr w:rsidR="003C17D6" w:rsidTr="003C17D6">
        <w:trPr>
          <w:trHeight w:hRule="exact" w:val="349"/>
        </w:trPr>
        <w:tc>
          <w:tcPr>
            <w:tcW w:w="1893" w:type="dxa"/>
            <w:tcBorders>
              <w:top w:val="nil"/>
              <w:left w:val="nil"/>
              <w:bottom w:val="nil"/>
              <w:right w:val="nil"/>
            </w:tcBorders>
            <w:shd w:val="clear" w:color="auto" w:fill="C3D9DC"/>
          </w:tcPr>
          <w:p w:rsidR="003C17D6" w:rsidRDefault="003C17D6" w:rsidP="002B383B">
            <w:pPr>
              <w:pStyle w:val="TableParagraph"/>
              <w:keepNext/>
              <w:spacing w:before="76"/>
              <w:ind w:left="757" w:right="684"/>
              <w:jc w:val="center"/>
              <w:rPr>
                <w:rFonts w:ascii="Arial" w:eastAsia="Arial" w:hAnsi="Arial" w:cs="Arial"/>
                <w:sz w:val="18"/>
                <w:szCs w:val="18"/>
              </w:rPr>
            </w:pPr>
            <w:r>
              <w:rPr>
                <w:rFonts w:ascii="Arial" w:eastAsia="Arial" w:hAnsi="Arial" w:cs="Arial"/>
                <w:spacing w:val="-15"/>
                <w:w w:val="105"/>
                <w:sz w:val="18"/>
                <w:szCs w:val="18"/>
              </w:rPr>
              <w:t>T</w:t>
            </w:r>
            <w:r>
              <w:rPr>
                <w:rFonts w:ascii="Arial" w:eastAsia="Arial" w:hAnsi="Arial" w:cs="Arial"/>
                <w:spacing w:val="1"/>
                <w:w w:val="105"/>
                <w:sz w:val="18"/>
                <w:szCs w:val="18"/>
              </w:rPr>
              <w:t>o</w:t>
            </w:r>
            <w:r>
              <w:rPr>
                <w:rFonts w:ascii="Arial" w:eastAsia="Arial" w:hAnsi="Arial" w:cs="Arial"/>
                <w:spacing w:val="2"/>
                <w:w w:val="105"/>
                <w:sz w:val="18"/>
                <w:szCs w:val="18"/>
              </w:rPr>
              <w:t>t</w:t>
            </w:r>
            <w:r>
              <w:rPr>
                <w:rFonts w:ascii="Arial" w:eastAsia="Arial" w:hAnsi="Arial" w:cs="Arial"/>
                <w:spacing w:val="3"/>
                <w:w w:val="105"/>
                <w:sz w:val="18"/>
                <w:szCs w:val="18"/>
              </w:rPr>
              <w:t>a</w:t>
            </w:r>
            <w:r>
              <w:rPr>
                <w:rFonts w:ascii="Arial" w:eastAsia="Arial" w:hAnsi="Arial" w:cs="Arial"/>
                <w:w w:val="105"/>
                <w:sz w:val="18"/>
                <w:szCs w:val="18"/>
              </w:rPr>
              <w:t>l</w:t>
            </w:r>
          </w:p>
        </w:tc>
        <w:tc>
          <w:tcPr>
            <w:tcW w:w="3429" w:type="dxa"/>
            <w:tcBorders>
              <w:top w:val="nil"/>
              <w:left w:val="nil"/>
              <w:bottom w:val="nil"/>
              <w:right w:val="nil"/>
            </w:tcBorders>
            <w:shd w:val="clear" w:color="auto" w:fill="C3D9DC"/>
          </w:tcPr>
          <w:p w:rsidR="003C17D6" w:rsidRDefault="003C17D6" w:rsidP="002B383B">
            <w:pPr>
              <w:pStyle w:val="TableParagraph"/>
              <w:keepNext/>
              <w:spacing w:before="76"/>
              <w:ind w:right="103"/>
              <w:jc w:val="center"/>
              <w:rPr>
                <w:rFonts w:ascii="Arial" w:eastAsia="Arial" w:hAnsi="Arial" w:cs="Arial"/>
                <w:sz w:val="18"/>
                <w:szCs w:val="18"/>
              </w:rPr>
            </w:pPr>
            <w:r>
              <w:rPr>
                <w:rFonts w:ascii="Arial" w:eastAsia="Arial" w:hAnsi="Arial" w:cs="Arial"/>
                <w:sz w:val="18"/>
                <w:szCs w:val="18"/>
              </w:rPr>
              <w:t>6</w:t>
            </w:r>
            <w:r>
              <w:rPr>
                <w:rFonts w:ascii="Arial" w:eastAsia="Arial" w:hAnsi="Arial" w:cs="Arial"/>
                <w:spacing w:val="-14"/>
                <w:sz w:val="18"/>
                <w:szCs w:val="18"/>
              </w:rPr>
              <w:t>111</w:t>
            </w:r>
          </w:p>
        </w:tc>
        <w:tc>
          <w:tcPr>
            <w:tcW w:w="2842" w:type="dxa"/>
            <w:tcBorders>
              <w:top w:val="nil"/>
              <w:left w:val="nil"/>
              <w:bottom w:val="nil"/>
              <w:right w:val="nil"/>
            </w:tcBorders>
            <w:shd w:val="clear" w:color="auto" w:fill="C3D9DC"/>
          </w:tcPr>
          <w:p w:rsidR="003C17D6" w:rsidRDefault="003C17D6" w:rsidP="002B383B">
            <w:pPr>
              <w:pStyle w:val="TableParagraph"/>
              <w:keepNext/>
              <w:spacing w:before="76"/>
              <w:ind w:right="162"/>
              <w:jc w:val="center"/>
              <w:rPr>
                <w:rFonts w:ascii="Arial" w:eastAsia="Arial" w:hAnsi="Arial" w:cs="Arial"/>
                <w:sz w:val="18"/>
                <w:szCs w:val="18"/>
              </w:rPr>
            </w:pPr>
            <w:r>
              <w:rPr>
                <w:rFonts w:ascii="Arial" w:eastAsia="Arial" w:hAnsi="Arial" w:cs="Arial"/>
                <w:spacing w:val="2"/>
                <w:w w:val="105"/>
                <w:sz w:val="18"/>
                <w:szCs w:val="18"/>
              </w:rPr>
              <w:t>2</w:t>
            </w:r>
            <w:r>
              <w:rPr>
                <w:rFonts w:ascii="Arial" w:eastAsia="Arial" w:hAnsi="Arial" w:cs="Arial"/>
                <w:w w:val="105"/>
                <w:sz w:val="18"/>
                <w:szCs w:val="18"/>
              </w:rPr>
              <w:t>0</w:t>
            </w:r>
            <w:r>
              <w:rPr>
                <w:rFonts w:ascii="Arial" w:eastAsia="Arial" w:hAnsi="Arial" w:cs="Arial"/>
                <w:spacing w:val="2"/>
                <w:w w:val="105"/>
                <w:sz w:val="18"/>
                <w:szCs w:val="18"/>
              </w:rPr>
              <w:t>.</w:t>
            </w:r>
            <w:r>
              <w:rPr>
                <w:rFonts w:ascii="Arial" w:eastAsia="Arial" w:hAnsi="Arial" w:cs="Arial"/>
                <w:spacing w:val="3"/>
                <w:w w:val="105"/>
                <w:sz w:val="18"/>
                <w:szCs w:val="18"/>
              </w:rPr>
              <w:t>36</w:t>
            </w:r>
            <w:r>
              <w:rPr>
                <w:rFonts w:ascii="Arial" w:eastAsia="Arial" w:hAnsi="Arial" w:cs="Arial"/>
                <w:w w:val="105"/>
                <w:sz w:val="18"/>
                <w:szCs w:val="18"/>
              </w:rPr>
              <w:t>%</w:t>
            </w:r>
          </w:p>
        </w:tc>
      </w:tr>
    </w:tbl>
    <w:p w:rsidR="0045027C" w:rsidRPr="0090554C" w:rsidRDefault="00B06B1E" w:rsidP="00C5080C">
      <w:pPr>
        <w:spacing w:before="240" w:after="120"/>
      </w:pPr>
      <w:r>
        <w:t>While the aggregate data does not provide information on how many of these agreements may be considered</w:t>
      </w:r>
      <w:r w:rsidR="00873629">
        <w:t xml:space="preserve"> ‘</w:t>
      </w:r>
      <w:r>
        <w:t>brownfields</w:t>
      </w:r>
      <w:r w:rsidR="00873629">
        <w:t>’</w:t>
      </w:r>
      <w:r>
        <w:t xml:space="preserve"> agreement</w:t>
      </w:r>
      <w:r w:rsidR="002039A3">
        <w:t>s</w:t>
      </w:r>
      <w:r>
        <w:t xml:space="preserve">, a significant spike in agreements made with five or fewer employees is not apparent.  </w:t>
      </w:r>
      <w:r w:rsidR="0045027C" w:rsidRPr="0090554C">
        <w:t>This does not support or establish a</w:t>
      </w:r>
      <w:r w:rsidR="00022AAB">
        <w:t xml:space="preserve"> link between the reduction in g</w:t>
      </w:r>
      <w:r w:rsidR="0045027C" w:rsidRPr="0090554C">
        <w:t>reenfields agreements and the use of agreements involving small numbers of employees.</w:t>
      </w:r>
    </w:p>
    <w:p w:rsidR="005B6D32" w:rsidRDefault="0045027C">
      <w:r w:rsidRPr="0090554C">
        <w:t xml:space="preserve">A final comment is appropriate. Observations from employers reflect common frustration at union opposition to reviewing wages and conditions which were reached at a time of significant economic growth and business profitability or, for a project where they reflected a normal arrangement, when those circumstances no longer exist. </w:t>
      </w:r>
      <w:r w:rsidR="008F2746">
        <w:t>Employers contend that greater</w:t>
      </w:r>
      <w:r w:rsidR="008F2746" w:rsidRPr="0090554C">
        <w:t xml:space="preserve"> </w:t>
      </w:r>
      <w:r w:rsidRPr="0090554C">
        <w:t xml:space="preserve">readiness on the part of unions to at least consider changes in economic circumstances may reduce the </w:t>
      </w:r>
      <w:r w:rsidR="008F2746">
        <w:t>need to consider other agreement making options</w:t>
      </w:r>
      <w:r w:rsidRPr="0090554C">
        <w:t>.</w:t>
      </w:r>
    </w:p>
    <w:p w:rsidR="002E507B" w:rsidRPr="0090554C" w:rsidRDefault="002E507B" w:rsidP="002E507B">
      <w:r>
        <w:t>No basis for changing the Fair Work Act to limit the circumstance under which agreements can be reached with small numbers of employees has been established. Neither has a link between the 2015 g</w:t>
      </w:r>
      <w:r w:rsidRPr="0090554C">
        <w:t>reenfields agreement amendments and agreements reached between employers and small numbers of employees been established. In any event, the Fair Work Act provides for mechanisms to address concerns over the extent to which agreements have been properly made and approved by the Fair Work Commission.</w:t>
      </w:r>
    </w:p>
    <w:p w:rsidR="00714303" w:rsidRPr="0090554C" w:rsidRDefault="00714303" w:rsidP="00143E8F">
      <w:pPr>
        <w:pStyle w:val="Heading1"/>
      </w:pPr>
      <w:bookmarkStart w:id="27" w:name="_Toc505681267"/>
      <w:r w:rsidRPr="0090554C">
        <w:t xml:space="preserve">The duration of </w:t>
      </w:r>
      <w:r w:rsidR="00B06B1E">
        <w:t>g</w:t>
      </w:r>
      <w:r w:rsidRPr="0090554C">
        <w:t>reenfields agreements</w:t>
      </w:r>
      <w:bookmarkEnd w:id="27"/>
    </w:p>
    <w:p w:rsidR="00714303" w:rsidRPr="0090554C" w:rsidRDefault="004106E4">
      <w:r w:rsidRPr="0090554C">
        <w:t>T</w:t>
      </w:r>
      <w:r w:rsidR="00B06B1E">
        <w:t xml:space="preserve">he Fair Work Act provides that </w:t>
      </w:r>
      <w:r w:rsidR="00EB4C0B">
        <w:t xml:space="preserve">enterprise </w:t>
      </w:r>
      <w:r w:rsidRPr="0090554C">
        <w:t>agreements</w:t>
      </w:r>
      <w:r w:rsidR="00EB4C0B">
        <w:t>, including greenfields agreements, must specify a date on which they will nominally expire, which must not be more than four years after the day that the Fair Work Commission approves the agreement (s 186(5)).</w:t>
      </w:r>
    </w:p>
    <w:p w:rsidR="004106E4" w:rsidRPr="0090554C" w:rsidRDefault="004106E4">
      <w:r w:rsidRPr="0090554C">
        <w:t>The Productivity Commission recommendation was that:</w:t>
      </w:r>
    </w:p>
    <w:p w:rsidR="00AF228D" w:rsidRPr="0090554C" w:rsidRDefault="00AF228D" w:rsidP="00E058C3">
      <w:pPr>
        <w:keepNext/>
        <w:ind w:left="720"/>
      </w:pPr>
      <w:r w:rsidRPr="00C5080C">
        <w:rPr>
          <w:rStyle w:val="Heading2Char"/>
          <w:rFonts w:asciiTheme="minorHAnsi" w:hAnsiTheme="minorHAnsi"/>
          <w:b/>
          <w:color w:val="auto"/>
          <w:sz w:val="22"/>
        </w:rPr>
        <w:lastRenderedPageBreak/>
        <w:t>RECOMMENDATION 20.4</w:t>
      </w:r>
      <w:r w:rsidRPr="00B06B1E">
        <w:rPr>
          <w:b/>
        </w:rPr>
        <w:tab/>
        <w:t>(SECTION 20.4)</w:t>
      </w:r>
      <w:r w:rsidR="00EF589B" w:rsidRPr="0090554C">
        <w:rPr>
          <w:rStyle w:val="FootnoteReference"/>
          <w:b/>
        </w:rPr>
        <w:footnoteReference w:id="85"/>
      </w:r>
    </w:p>
    <w:p w:rsidR="00AF228D" w:rsidRPr="0090554C" w:rsidRDefault="00AF228D" w:rsidP="00E058C3">
      <w:pPr>
        <w:keepNext/>
        <w:ind w:left="720"/>
      </w:pPr>
      <w:r w:rsidRPr="0090554C">
        <w:t>The Australian Government should amend s. 186(5) of the Fair Work Act 2009 (Cth) to allow an enterprise agreement to specify a nominal expiry date that:</w:t>
      </w:r>
    </w:p>
    <w:p w:rsidR="00AF228D" w:rsidRPr="0090554C" w:rsidRDefault="00AF228D" w:rsidP="00E058C3">
      <w:pPr>
        <w:pStyle w:val="ListParagraph"/>
        <w:keepNext/>
        <w:numPr>
          <w:ilvl w:val="1"/>
          <w:numId w:val="7"/>
        </w:numPr>
        <w:ind w:left="2160"/>
      </w:pPr>
      <w:r w:rsidRPr="0090554C">
        <w:t>can be up to five years after the day on which the Fair Work Commission approves the agreement, or</w:t>
      </w:r>
    </w:p>
    <w:p w:rsidR="004106E4" w:rsidRPr="0090554C" w:rsidRDefault="00AF228D" w:rsidP="00E058C3">
      <w:pPr>
        <w:pStyle w:val="ListParagraph"/>
        <w:keepNext/>
        <w:numPr>
          <w:ilvl w:val="1"/>
          <w:numId w:val="7"/>
        </w:numPr>
        <w:ind w:left="2160"/>
      </w:pPr>
      <w:r w:rsidRPr="0090554C">
        <w:t>matches the life of a greenfields project. The resulting enterprise agreement could exceed five years, but where it does so, the business would have to satisfy the Fair Work Commission that the longer period was justified.</w:t>
      </w:r>
    </w:p>
    <w:p w:rsidR="00B06B1E" w:rsidRDefault="00B06B1E">
      <w:r>
        <w:t xml:space="preserve">In </w:t>
      </w:r>
      <w:r w:rsidR="00404622">
        <w:t xml:space="preserve">reaching </w:t>
      </w:r>
      <w:r>
        <w:t xml:space="preserve">this conclusion, the Productivity Commission noted that implementing it would affect around </w:t>
      </w:r>
      <w:r w:rsidR="003169CC">
        <w:t>nine</w:t>
      </w:r>
      <w:r>
        <w:t xml:space="preserve"> per cent of agreements.</w:t>
      </w:r>
      <w:r>
        <w:rPr>
          <w:rStyle w:val="FootnoteReference"/>
        </w:rPr>
        <w:footnoteReference w:id="86"/>
      </w:r>
      <w:r>
        <w:t xml:space="preserve"> </w:t>
      </w:r>
    </w:p>
    <w:p w:rsidR="004106E4" w:rsidRPr="0090554C" w:rsidRDefault="007B0730">
      <w:r w:rsidRPr="0090554C">
        <w:t xml:space="preserve">In its submission, the </w:t>
      </w:r>
      <w:r w:rsidR="004106E4" w:rsidRPr="0090554C">
        <w:t>AMWU</w:t>
      </w:r>
      <w:r w:rsidRPr="0090554C">
        <w:t xml:space="preserve"> argued that</w:t>
      </w:r>
      <w:r w:rsidR="00022AAB">
        <w:t xml:space="preserve"> the maximum nominal life of a g</w:t>
      </w:r>
      <w:r w:rsidRPr="0090554C">
        <w:t>reenfields agreement should be 12 months.</w:t>
      </w:r>
      <w:r w:rsidR="00F93483">
        <w:rPr>
          <w:rStyle w:val="FootnoteReference"/>
        </w:rPr>
        <w:footnoteReference w:id="87"/>
      </w:r>
    </w:p>
    <w:p w:rsidR="004106E4" w:rsidRDefault="007B0730">
      <w:r w:rsidRPr="0090554C">
        <w:t xml:space="preserve">The employer organisations generally </w:t>
      </w:r>
      <w:r w:rsidR="00022AAB">
        <w:t>supported the capacity to have g</w:t>
      </w:r>
      <w:r w:rsidRPr="0090554C">
        <w:t xml:space="preserve">reenfields agreements which applied for </w:t>
      </w:r>
      <w:r w:rsidR="008F2746">
        <w:t xml:space="preserve">five years or for </w:t>
      </w:r>
      <w:r w:rsidRPr="0090554C">
        <w:t>the duration of a given project.</w:t>
      </w:r>
      <w:r w:rsidR="00B06B1E">
        <w:t xml:space="preserve"> For example, the MBA noted:</w:t>
      </w:r>
      <w:r w:rsidR="00F93483">
        <w:rPr>
          <w:rStyle w:val="FootnoteReference"/>
        </w:rPr>
        <w:footnoteReference w:id="88"/>
      </w:r>
    </w:p>
    <w:p w:rsidR="00B06B1E" w:rsidRPr="0090554C" w:rsidRDefault="00FA6203" w:rsidP="00967F45">
      <w:pPr>
        <w:ind w:left="720"/>
      </w:pPr>
      <w:r>
        <w:t>This is exactly the sort of reform that will benefit the building and construction industry and provide the certainty of labour costs that underpins investment decisions. Having agreements in place for five years or during the life of a Greenfields project is warranted for the necessary certainty.  However, the reform of pattern bargaining should be a priority so that unacceptable pattern agreements are not in place for even longer periods.</w:t>
      </w:r>
    </w:p>
    <w:p w:rsidR="007B0730" w:rsidRDefault="007B0730" w:rsidP="0064157A">
      <w:pPr>
        <w:spacing w:before="240"/>
      </w:pPr>
      <w:r w:rsidRPr="0090554C">
        <w:t>Observations from workplace relations p</w:t>
      </w:r>
      <w:r w:rsidR="009B0E9F">
        <w:t>rofessionals</w:t>
      </w:r>
      <w:r w:rsidRPr="0090554C">
        <w:t xml:space="preserve"> involved in </w:t>
      </w:r>
      <w:r w:rsidR="008F2746">
        <w:t>resource development</w:t>
      </w:r>
      <w:r w:rsidR="00D15D45">
        <w:t xml:space="preserve"> and infrastructure </w:t>
      </w:r>
      <w:r w:rsidR="0064157A">
        <w:t xml:space="preserve">construction </w:t>
      </w:r>
      <w:r w:rsidR="0064157A" w:rsidRPr="0090554C">
        <w:t>projects</w:t>
      </w:r>
      <w:r w:rsidRPr="0090554C">
        <w:t xml:space="preserve"> were </w:t>
      </w:r>
      <w:r w:rsidR="008F2746">
        <w:t>varied.</w:t>
      </w:r>
      <w:r w:rsidRPr="0090554C">
        <w:t xml:space="preserve"> </w:t>
      </w:r>
      <w:r w:rsidR="008F2746">
        <w:t>A</w:t>
      </w:r>
      <w:r w:rsidRPr="0090554C">
        <w:t xml:space="preserve"> majority</w:t>
      </w:r>
      <w:r w:rsidR="008F2746">
        <w:t xml:space="preserve"> observed that</w:t>
      </w:r>
      <w:r w:rsidRPr="0090554C">
        <w:t xml:space="preserve"> </w:t>
      </w:r>
      <w:r w:rsidR="008F2746">
        <w:t xml:space="preserve">while most </w:t>
      </w:r>
      <w:r w:rsidRPr="0090554C">
        <w:t xml:space="preserve">contractors completed their work on a given resource development project within a </w:t>
      </w:r>
      <w:r w:rsidR="0064157A" w:rsidRPr="0090554C">
        <w:t>four-year</w:t>
      </w:r>
      <w:r w:rsidRPr="0090554C">
        <w:t xml:space="preserve"> time frame, delays in the completion of projects</w:t>
      </w:r>
      <w:r w:rsidR="00D15D45">
        <w:t>, or simply</w:t>
      </w:r>
      <w:r w:rsidR="002039A3">
        <w:t>,</w:t>
      </w:r>
      <w:r w:rsidR="000A0FB3">
        <w:t xml:space="preserve"> the duration of some projects</w:t>
      </w:r>
      <w:r w:rsidRPr="0090554C">
        <w:t xml:space="preserve"> </w:t>
      </w:r>
      <w:r w:rsidR="00FA6203">
        <w:t>sometimes</w:t>
      </w:r>
      <w:r w:rsidRPr="0090554C">
        <w:t xml:space="preserve"> meant that a </w:t>
      </w:r>
      <w:r w:rsidR="0064157A">
        <w:t>g</w:t>
      </w:r>
      <w:r w:rsidR="0064157A" w:rsidRPr="0090554C">
        <w:t xml:space="preserve">reenfields </w:t>
      </w:r>
      <w:r w:rsidRPr="0090554C">
        <w:t>agreement reached its expiry date before the contract</w:t>
      </w:r>
      <w:r w:rsidR="00376AB1" w:rsidRPr="0090554C">
        <w:t>or</w:t>
      </w:r>
      <w:r w:rsidRPr="0090554C">
        <w:t xml:space="preserve"> had completed its scope of work. This meant that renegotiation of agreement arrangements occurred at a time in the life of the project that was particularly sensitive. </w:t>
      </w:r>
      <w:r w:rsidR="008F2746">
        <w:t>However, in most instances greenfields agreements applying in both resources projects and infrastructure construction projects operate so that they expired at different times over the life of a project and thereby minimi</w:t>
      </w:r>
      <w:r w:rsidR="000A0FB3">
        <w:t>s</w:t>
      </w:r>
      <w:r w:rsidR="008F2746">
        <w:t>ed the</w:t>
      </w:r>
      <w:r w:rsidR="006508F8">
        <w:t xml:space="preserve"> potential for disruption associated with the renegotiation process.</w:t>
      </w:r>
      <w:r w:rsidR="00022AAB">
        <w:t xml:space="preserve"> </w:t>
      </w:r>
      <w:r w:rsidR="006508F8">
        <w:t>Some practition</w:t>
      </w:r>
      <w:r w:rsidR="00873629">
        <w:t>ers observed that five year or ‘</w:t>
      </w:r>
      <w:r w:rsidR="006508F8">
        <w:t>end of project</w:t>
      </w:r>
      <w:r w:rsidR="00873629">
        <w:t>’</w:t>
      </w:r>
      <w:r w:rsidR="006508F8">
        <w:t xml:space="preserve"> agreements were likely to be difficult to negotiate and could establish higher wages and conditions.</w:t>
      </w:r>
    </w:p>
    <w:p w:rsidR="006508F8" w:rsidRPr="0090554C" w:rsidRDefault="006508F8">
      <w:r>
        <w:t>The very nature of greenfields agreements</w:t>
      </w:r>
      <w:r w:rsidR="00404622">
        <w:t>,</w:t>
      </w:r>
      <w:r>
        <w:t xml:space="preserve"> as distinct from </w:t>
      </w:r>
      <w:r w:rsidR="00C4669B">
        <w:t xml:space="preserve">non-greenfields </w:t>
      </w:r>
      <w:r>
        <w:t>agreements</w:t>
      </w:r>
      <w:r w:rsidR="002039A3">
        <w:t>,</w:t>
      </w:r>
      <w:r>
        <w:t xml:space="preserve"> means that some particular care should be exercised in considering a different nominal </w:t>
      </w:r>
      <w:r w:rsidR="00C4669B">
        <w:t>expiry date</w:t>
      </w:r>
      <w:r>
        <w:t>.</w:t>
      </w:r>
    </w:p>
    <w:p w:rsidR="009E1B1B" w:rsidRDefault="0001338D" w:rsidP="009E1B1B">
      <w:r w:rsidRPr="0090554C">
        <w:t xml:space="preserve">The </w:t>
      </w:r>
      <w:r w:rsidR="00FD1927">
        <w:t>r</w:t>
      </w:r>
      <w:r w:rsidRPr="0090554C">
        <w:t>eview has considered the extent to whi</w:t>
      </w:r>
      <w:r w:rsidR="00022AAB">
        <w:t>ch the nominal expiry date for g</w:t>
      </w:r>
      <w:r w:rsidRPr="0090554C">
        <w:t>reenfields ag</w:t>
      </w:r>
      <w:r w:rsidR="003169CC">
        <w:t>reements should be extended to five</w:t>
      </w:r>
      <w:r w:rsidRPr="0090554C">
        <w:t xml:space="preserve"> years or the life of a given project. </w:t>
      </w:r>
      <w:r w:rsidR="00F7092E">
        <w:t>Extending greenfields agreement duration in this manner would deny</w:t>
      </w:r>
      <w:r w:rsidRPr="0090554C">
        <w:t xml:space="preserve"> employees</w:t>
      </w:r>
      <w:r w:rsidR="001D1F86" w:rsidRPr="0090554C">
        <w:t xml:space="preserve"> the capacity to make decisions about their employment </w:t>
      </w:r>
      <w:r w:rsidR="001D1F86" w:rsidRPr="0090554C">
        <w:lastRenderedPageBreak/>
        <w:t>arrangements for what might be very long periods of time</w:t>
      </w:r>
      <w:r w:rsidR="00022AAB">
        <w:t>. Further, if g</w:t>
      </w:r>
      <w:r w:rsidR="001D1F86" w:rsidRPr="0090554C">
        <w:t xml:space="preserve">reenfields agreements are able to operate for the duration of a given project, the </w:t>
      </w:r>
      <w:r w:rsidR="003C3AE9">
        <w:t>r</w:t>
      </w:r>
      <w:r w:rsidR="001D1F86" w:rsidRPr="0090554C">
        <w:t xml:space="preserve">eview is concerned </w:t>
      </w:r>
      <w:r w:rsidR="005B0E8C">
        <w:t>that wages and conditions</w:t>
      </w:r>
      <w:r w:rsidR="001D1F86" w:rsidRPr="0090554C">
        <w:t xml:space="preserve"> agreed at t</w:t>
      </w:r>
      <w:r w:rsidR="005B0E8C">
        <w:t>he commencement of one project could</w:t>
      </w:r>
      <w:r w:rsidR="001D1F86" w:rsidRPr="0090554C">
        <w:t xml:space="preserve"> adversel</w:t>
      </w:r>
      <w:r w:rsidR="005B0E8C">
        <w:t>y affect other projects, commenced i</w:t>
      </w:r>
      <w:r w:rsidR="001D1F86" w:rsidRPr="0090554C">
        <w:t>n entirely dif</w:t>
      </w:r>
      <w:r w:rsidR="005B0E8C">
        <w:t>ferent commercial circumstances</w:t>
      </w:r>
      <w:r w:rsidR="001D1F86" w:rsidRPr="0090554C">
        <w:t>.</w:t>
      </w:r>
      <w:r w:rsidR="009E1B1B" w:rsidRPr="009E1B1B">
        <w:t xml:space="preserve"> </w:t>
      </w:r>
    </w:p>
    <w:p w:rsidR="001D1F86" w:rsidRDefault="009E1B1B">
      <w:r>
        <w:t>While</w:t>
      </w:r>
      <w:r w:rsidRPr="0090554C">
        <w:t xml:space="preserve"> there may be appropriate arguments favouring consideration of the extensio</w:t>
      </w:r>
      <w:r>
        <w:t>n of the potential duration of g</w:t>
      </w:r>
      <w:r w:rsidRPr="0090554C">
        <w:t xml:space="preserve">reenfields agreements applicable to </w:t>
      </w:r>
      <w:r>
        <w:t xml:space="preserve">construction and </w:t>
      </w:r>
      <w:r w:rsidRPr="0090554C">
        <w:t xml:space="preserve">resource development projects, a basis for this has not been made out in the material provided to this </w:t>
      </w:r>
      <w:r w:rsidR="003C3AE9">
        <w:t>r</w:t>
      </w:r>
      <w:r w:rsidR="003C3AE9" w:rsidRPr="0090554C">
        <w:t>eview</w:t>
      </w:r>
      <w:r w:rsidRPr="0090554C">
        <w:t xml:space="preserve">. Additionally, there </w:t>
      </w:r>
      <w:r w:rsidR="00E67601">
        <w:t>was</w:t>
      </w:r>
      <w:r w:rsidRPr="0090554C">
        <w:t xml:space="preserve"> no material</w:t>
      </w:r>
      <w:r w:rsidR="00E67601">
        <w:t xml:space="preserve"> provided</w:t>
      </w:r>
      <w:r w:rsidRPr="0090554C">
        <w:t xml:space="preserve"> that supports such a position with respect to </w:t>
      </w:r>
      <w:r w:rsidR="003C3AE9">
        <w:t>g</w:t>
      </w:r>
      <w:r w:rsidR="003C3AE9" w:rsidRPr="0090554C">
        <w:t xml:space="preserve">reenfield </w:t>
      </w:r>
      <w:r w:rsidRPr="0090554C">
        <w:t>agreements that apply outside of the construction an</w:t>
      </w:r>
      <w:r>
        <w:t>d resource development sectors.</w:t>
      </w:r>
    </w:p>
    <w:p w:rsidR="005B0E8C" w:rsidRPr="0090554C" w:rsidRDefault="005B0E8C">
      <w:r>
        <w:t xml:space="preserve">Given the need for certainty on significant projects, the review also considers that a shorter nominal expiry date for greenfields agreements is inappropriate. </w:t>
      </w:r>
    </w:p>
    <w:p w:rsidR="00180ACB" w:rsidRDefault="00180ACB">
      <w:pPr>
        <w:rPr>
          <w:rFonts w:asciiTheme="majorHAnsi" w:eastAsiaTheme="majorEastAsia" w:hAnsiTheme="majorHAnsi" w:cstheme="majorBidi"/>
          <w:color w:val="2F5496" w:themeColor="accent1" w:themeShade="BF"/>
          <w:sz w:val="32"/>
          <w:szCs w:val="32"/>
        </w:rPr>
      </w:pPr>
      <w:bookmarkStart w:id="28" w:name="_Toc505681268"/>
      <w:r>
        <w:br w:type="page"/>
      </w:r>
    </w:p>
    <w:p w:rsidR="0045027C" w:rsidRPr="0090554C" w:rsidRDefault="0045027C" w:rsidP="0045027C">
      <w:pPr>
        <w:pStyle w:val="Heading1"/>
      </w:pPr>
      <w:r w:rsidRPr="0090554C">
        <w:lastRenderedPageBreak/>
        <w:t>Conclusion</w:t>
      </w:r>
      <w:bookmarkEnd w:id="28"/>
    </w:p>
    <w:p w:rsidR="001D1F86" w:rsidRDefault="00493B30">
      <w:r>
        <w:t>The 2015 greenfields agreement amendments must be considered in the context of the substantial downturn in resource development and construction work, which has reduced the demand for greenfields agreements since November 2015. Notwithstanding this, there remains an important role for greenfields agreements arrangements to facilitate new employment initiatives.</w:t>
      </w:r>
    </w:p>
    <w:p w:rsidR="00493B30" w:rsidRDefault="00493B30">
      <w:r>
        <w:t>Despite the reduction in resource development and construction work, greenfields agreements are crucial to the arrangement of approvals and the efficient conduct of these major projects.</w:t>
      </w:r>
    </w:p>
    <w:p w:rsidR="00493B30" w:rsidRDefault="00493B30">
      <w:r>
        <w:t>The good faith bargain</w:t>
      </w:r>
      <w:r w:rsidR="00CB3D3A">
        <w:t>in</w:t>
      </w:r>
      <w:r>
        <w:t>g requirements, introduced in 2015, should be retained</w:t>
      </w:r>
      <w:r w:rsidR="00CB3D3A">
        <w:t xml:space="preserve"> in their entirety.</w:t>
      </w:r>
    </w:p>
    <w:p w:rsidR="00CB3D3A" w:rsidRDefault="00CB3D3A">
      <w:r>
        <w:t xml:space="preserve">The duration of the </w:t>
      </w:r>
      <w:r w:rsidR="008C4F94">
        <w:t>six-month</w:t>
      </w:r>
      <w:r>
        <w:t xml:space="preserve"> negotiation period should be reduced, but the test for consideration of a proposed employer greenfields agreement should be retained as it represents the fairest mechanism for the resolution of continuing differences.</w:t>
      </w:r>
    </w:p>
    <w:p w:rsidR="00CB3D3A" w:rsidRDefault="00CB3D3A">
      <w:r>
        <w:t xml:space="preserve">The review has recommended a series of other procedural changes designed to improve the </w:t>
      </w:r>
      <w:r w:rsidR="002039A3">
        <w:t xml:space="preserve">Fair Work Commission’s </w:t>
      </w:r>
      <w:r>
        <w:t xml:space="preserve">approach to </w:t>
      </w:r>
      <w:r w:rsidR="008C4F94">
        <w:t>greenfields</w:t>
      </w:r>
      <w:r>
        <w:t xml:space="preserve"> agreements.</w:t>
      </w:r>
    </w:p>
    <w:p w:rsidR="002E35D6" w:rsidRDefault="002E35D6" w:rsidP="00C5080C">
      <w:pPr>
        <w:spacing w:before="480"/>
      </w:pPr>
      <w:r>
        <w:rPr>
          <w:noProof/>
          <w:lang w:eastAsia="en-AU"/>
        </w:rPr>
        <w:drawing>
          <wp:inline distT="0" distB="0" distL="0" distR="0" wp14:anchorId="172CF4AC" wp14:editId="32B32262">
            <wp:extent cx="1485900" cy="704850"/>
            <wp:effectExtent l="0" t="0" r="0" b="0"/>
            <wp:docPr id="3" name="Picture 3" descr="Matthew O’Callagha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85900" cy="704850"/>
                    </a:xfrm>
                    <a:prstGeom prst="rect">
                      <a:avLst/>
                    </a:prstGeom>
                  </pic:spPr>
                </pic:pic>
              </a:graphicData>
            </a:graphic>
          </wp:inline>
        </w:drawing>
      </w:r>
    </w:p>
    <w:p w:rsidR="00CB3D3A" w:rsidRPr="0090554C" w:rsidRDefault="00CB3D3A" w:rsidP="002E35D6">
      <w:pPr>
        <w:spacing w:after="0"/>
      </w:pPr>
      <w:r>
        <w:t>Matthew O’Callaghan</w:t>
      </w:r>
    </w:p>
    <w:p w:rsidR="00C433E3" w:rsidRDefault="00442434" w:rsidP="002E35D6">
      <w:pPr>
        <w:spacing w:after="0"/>
      </w:pPr>
      <w:r>
        <w:t>27 November 2017</w:t>
      </w:r>
      <w:r w:rsidR="00C433E3">
        <w:br w:type="page"/>
      </w:r>
    </w:p>
    <w:p w:rsidR="00C433E3" w:rsidRPr="00C433E3" w:rsidRDefault="00C433E3" w:rsidP="00C433E3">
      <w:pPr>
        <w:pStyle w:val="Heading1"/>
      </w:pPr>
      <w:r w:rsidRPr="00C433E3">
        <w:lastRenderedPageBreak/>
        <w:t xml:space="preserve">Attachment A – Biography of Matthew O’Callaghan </w:t>
      </w:r>
    </w:p>
    <w:p w:rsidR="00C433E3" w:rsidRDefault="00C433E3" w:rsidP="00C433E3">
      <w:r>
        <w:t xml:space="preserve">Matthew O’Callaghan was appointed as a Senior Deputy President with the Australian Industrial Relations Commission in January 2001. He continued in this role with Fair Work Australia, then the </w:t>
      </w:r>
      <w:r>
        <w:br/>
        <w:t>Fair Work Commission, until April 2017, when he retired. Over that time, he undertook Commission functions across the entire spectrum of industry, with an emphasis on work in South Australia and Western Australia.</w:t>
      </w:r>
    </w:p>
    <w:p w:rsidR="00C433E3" w:rsidRDefault="00C433E3" w:rsidP="00C433E3">
      <w:r>
        <w:t>Since his retirement, Mr O’Callaghan has undertaken a range of consulting work.</w:t>
      </w:r>
    </w:p>
    <w:p w:rsidR="00C433E3" w:rsidRDefault="00C433E3" w:rsidP="00C433E3">
      <w:r>
        <w:t>Prior to 2001, Mr O’Callaghan held senior and chief executive positions within the South Australian public sector.</w:t>
      </w:r>
    </w:p>
    <w:p w:rsidR="00C433E3" w:rsidRDefault="00C433E3" w:rsidP="00C433E3">
      <w:pPr>
        <w:spacing w:after="0"/>
      </w:pPr>
      <w:r>
        <w:t>Mr O’Callaghan was the Chief Executive of the South Australian Employers’ Federation until 1993 and has a long background in construction workplace relations issues. He commenced his workplace relations career at the BHP Whyalla steel-works.</w:t>
      </w:r>
      <w:r>
        <w:br w:type="page"/>
      </w:r>
    </w:p>
    <w:p w:rsidR="00C433E3" w:rsidRPr="00C433E3" w:rsidRDefault="00C433E3" w:rsidP="00C433E3">
      <w:pPr>
        <w:pStyle w:val="Heading1"/>
      </w:pPr>
      <w:r w:rsidRPr="00C433E3">
        <w:lastRenderedPageBreak/>
        <w:t>Attachment B - Greenfields agreement provisions and the Fair Work Act</w:t>
      </w:r>
    </w:p>
    <w:p w:rsidR="00C433E3" w:rsidRPr="0090554C" w:rsidRDefault="00C433E3" w:rsidP="00C433E3">
      <w:r w:rsidRPr="0090554C">
        <w:t xml:space="preserve">Part 2-4 of the Fair Work Act deals with the effect and the operation of enterprise agreements, and the processes to be followed in order to </w:t>
      </w:r>
      <w:r>
        <w:t>make</w:t>
      </w:r>
      <w:r w:rsidRPr="0090554C">
        <w:t xml:space="preserve"> an enterprise agreement and have it approved by the </w:t>
      </w:r>
      <w:r>
        <w:br/>
      </w:r>
      <w:r w:rsidRPr="0090554C">
        <w:t>Fair Work Commission.</w:t>
      </w:r>
    </w:p>
    <w:p w:rsidR="00C433E3" w:rsidRPr="0090554C" w:rsidRDefault="00C433E3" w:rsidP="00C433E3">
      <w:r w:rsidRPr="0090554C">
        <w:t xml:space="preserve">The Fair Work Act </w:t>
      </w:r>
      <w:r w:rsidRPr="002039A3">
        <w:t>(section 172)</w:t>
      </w:r>
      <w:r w:rsidRPr="0090554C">
        <w:t xml:space="preserve"> provides that a greenfields agreement can be made between an employer(s) and relevant </w:t>
      </w:r>
      <w:r>
        <w:t>employee organisation(s)</w:t>
      </w:r>
      <w:r w:rsidRPr="0090554C">
        <w:t xml:space="preserve"> if that agreement relates to a genuine new enterprise that is being established or is proposed to be established</w:t>
      </w:r>
      <w:r>
        <w:t>, and for which the employer(s) has not employed any persons who will be necessary for the normal conduct of the enterprise and will be covered by the agreement</w:t>
      </w:r>
      <w:r w:rsidRPr="0090554C">
        <w:t>. Greenfields agreements represent an exception to the general principle that enterprise agreements are reached between employers and their employees.</w:t>
      </w:r>
    </w:p>
    <w:p w:rsidR="00C433E3" w:rsidRPr="0090554C" w:rsidRDefault="00C433E3" w:rsidP="00C433E3">
      <w:r w:rsidRPr="0090554C">
        <w:t xml:space="preserve">Because a greenfields agreement is made between an employer(s) and </w:t>
      </w:r>
      <w:r>
        <w:t>employee organisation(s)</w:t>
      </w:r>
      <w:r w:rsidRPr="0090554C">
        <w:t xml:space="preserve">, rather than employees, the agreement making process is different. </w:t>
      </w:r>
      <w:r w:rsidRPr="002039A3">
        <w:t>Section 182(3)</w:t>
      </w:r>
      <w:r w:rsidRPr="0090554C">
        <w:t xml:space="preserve"> of the Fair Work Act simply confirms that a greenfields agreement is made when it has been signed by each employer and relevant employee organisation that it is expressed to cover. This need not be all of the relevant employee organisations for that agreement.</w:t>
      </w:r>
      <w:r>
        <w:t xml:space="preserve"> Additionally, the Fair Work Commission can only approve a greenfields agreement if it is satisfied that the relevant employee organisations that will be covered by the agreement are (taken as a group) entitled to represent the industrial interests of a majority of employees who will be covered by the agreement in relation to the work to be performed under the agreement, and it is in the public interest to approve the agreement (s 187(5)).</w:t>
      </w:r>
    </w:p>
    <w:p w:rsidR="00C433E3" w:rsidRPr="00C433E3" w:rsidRDefault="00C433E3" w:rsidP="00C433E3">
      <w:r w:rsidRPr="0090554C">
        <w:t xml:space="preserve">The specific sections of the Fair Work Act under consideration in this review are outlined below. </w:t>
      </w:r>
      <w:r>
        <w:br/>
      </w:r>
      <w:r w:rsidRPr="0090554C">
        <w:t>Section 182(4) states:</w:t>
      </w:r>
    </w:p>
    <w:p w:rsidR="00F93842" w:rsidRPr="0090554C" w:rsidRDefault="00F93842" w:rsidP="00F93842">
      <w:pPr>
        <w:ind w:left="720"/>
      </w:pPr>
      <w:r w:rsidRPr="0090554C">
        <w:t>If:</w:t>
      </w:r>
    </w:p>
    <w:p w:rsidR="00F93842" w:rsidRPr="0090554C" w:rsidRDefault="00F93842" w:rsidP="00F93842">
      <w:pPr>
        <w:ind w:left="1440"/>
      </w:pPr>
      <w:r w:rsidRPr="0090554C">
        <w:t>(a)  a proposed single</w:t>
      </w:r>
      <w:r w:rsidR="006170A8">
        <w:t xml:space="preserve"> </w:t>
      </w:r>
      <w:r w:rsidRPr="0090554C">
        <w:t>enterprise agreement is a greenfields agreement that has not been made under subsection (3); and</w:t>
      </w:r>
    </w:p>
    <w:p w:rsidR="00F93842" w:rsidRPr="0090554C" w:rsidRDefault="00F93842" w:rsidP="00F93842">
      <w:pPr>
        <w:ind w:left="1440"/>
      </w:pPr>
      <w:r w:rsidRPr="0090554C">
        <w:t>(b)  there has been a notified negotiation period for the agreement; and</w:t>
      </w:r>
    </w:p>
    <w:p w:rsidR="00F93842" w:rsidRPr="0090554C" w:rsidRDefault="00F93842" w:rsidP="00F93842">
      <w:pPr>
        <w:ind w:left="1440"/>
      </w:pPr>
      <w:r w:rsidRPr="0090554C">
        <w:t>(c)  the notified negotiation period has ended; and</w:t>
      </w:r>
    </w:p>
    <w:p w:rsidR="00F93842" w:rsidRPr="0090554C" w:rsidRDefault="00F93842" w:rsidP="00F93842">
      <w:pPr>
        <w:ind w:left="1440"/>
      </w:pPr>
      <w:r w:rsidRPr="0090554C">
        <w:t xml:space="preserve">(d)  the employer or employers that were bargaining representatives for the agreement (the </w:t>
      </w:r>
      <w:r w:rsidRPr="0090554C">
        <w:rPr>
          <w:b/>
          <w:bCs/>
          <w:i/>
          <w:iCs/>
        </w:rPr>
        <w:t>relevant employer or employers</w:t>
      </w:r>
      <w:r w:rsidRPr="0090554C">
        <w:t>) gave each of the employee organisations that were bargaining representatives for the agreement a reasonable opportunity to sign the agreement; and</w:t>
      </w:r>
    </w:p>
    <w:p w:rsidR="00F93842" w:rsidRPr="0090554C" w:rsidRDefault="00F93842" w:rsidP="00F93842">
      <w:pPr>
        <w:ind w:left="1440"/>
      </w:pPr>
      <w:r w:rsidRPr="0090554C">
        <w:t>(e)  the relevant employer or employers apply to the FWC for approval of the agreement;</w:t>
      </w:r>
    </w:p>
    <w:p w:rsidR="00F93842" w:rsidRPr="0090554C" w:rsidRDefault="00F93842" w:rsidP="00F93842">
      <w:pPr>
        <w:ind w:left="720"/>
      </w:pPr>
      <w:r w:rsidRPr="0090554C">
        <w:t xml:space="preserve">the agreement is taken to have been </w:t>
      </w:r>
      <w:r w:rsidRPr="0090554C">
        <w:rPr>
          <w:b/>
          <w:bCs/>
          <w:i/>
          <w:iCs/>
        </w:rPr>
        <w:t>made</w:t>
      </w:r>
      <w:r w:rsidRPr="0090554C">
        <w:t>:</w:t>
      </w:r>
    </w:p>
    <w:p w:rsidR="00F93842" w:rsidRPr="0090554C" w:rsidRDefault="00F93842" w:rsidP="00F93842">
      <w:pPr>
        <w:ind w:left="1440"/>
      </w:pPr>
      <w:r w:rsidRPr="0090554C">
        <w:t>(f)  by the relevant employer or employers with each of the employee organisations that were bargaining representatives for the agreement; and</w:t>
      </w:r>
    </w:p>
    <w:p w:rsidR="00F93842" w:rsidRPr="0090554C" w:rsidRDefault="00F93842" w:rsidP="00F93842">
      <w:pPr>
        <w:ind w:left="1440"/>
      </w:pPr>
      <w:r w:rsidRPr="0090554C">
        <w:t>(g)  when the application is made to the FWC for approval of the agreement.</w:t>
      </w:r>
    </w:p>
    <w:p w:rsidR="00F93842" w:rsidRPr="0090554C" w:rsidRDefault="00F93842" w:rsidP="00F93842">
      <w:pPr>
        <w:ind w:left="720"/>
      </w:pPr>
      <w:r w:rsidRPr="0090554C">
        <w:t>Note: See also section 185A (material that must accompany an application).</w:t>
      </w:r>
    </w:p>
    <w:p w:rsidR="00F93842" w:rsidRPr="0090554C" w:rsidRDefault="00F93842" w:rsidP="00F93842">
      <w:r w:rsidRPr="0090554C">
        <w:lastRenderedPageBreak/>
        <w:t>The notion of a notified negotiation period is addressed in section 178B of Fair Work Act in the following terms:</w:t>
      </w:r>
    </w:p>
    <w:p w:rsidR="00F93842" w:rsidRPr="0090554C" w:rsidRDefault="00F93842" w:rsidP="00F93842">
      <w:pPr>
        <w:ind w:left="720"/>
      </w:pPr>
      <w:bookmarkStart w:id="29" w:name="_Toc494463498"/>
      <w:r w:rsidRPr="0090554C">
        <w:t>178B Notified negotiation period for a proposed single</w:t>
      </w:r>
      <w:r w:rsidR="002C284B">
        <w:t xml:space="preserve"> </w:t>
      </w:r>
      <w:r w:rsidRPr="0090554C">
        <w:t>enterprise agreement that is a greenfields agreement</w:t>
      </w:r>
      <w:bookmarkEnd w:id="29"/>
    </w:p>
    <w:p w:rsidR="00F93842" w:rsidRPr="0090554C" w:rsidRDefault="003169CC" w:rsidP="00F93842">
      <w:pPr>
        <w:ind w:left="720"/>
      </w:pPr>
      <w:r>
        <w:t xml:space="preserve">(1)  If a proposed single </w:t>
      </w:r>
      <w:r w:rsidR="00F93842" w:rsidRPr="0090554C">
        <w:t>enterprise agreement is a greenfields agreement, an employer that is a bargaining representative for the agreement may give written notice:</w:t>
      </w:r>
    </w:p>
    <w:p w:rsidR="00F93842" w:rsidRPr="0090554C" w:rsidRDefault="00F93842" w:rsidP="00F93842">
      <w:pPr>
        <w:ind w:left="1440"/>
      </w:pPr>
      <w:r w:rsidRPr="0090554C">
        <w:t>(a)  to each employee organisation that is a bargaining representative for the agreement; and</w:t>
      </w:r>
    </w:p>
    <w:p w:rsidR="00F93842" w:rsidRPr="0090554C" w:rsidRDefault="00F93842" w:rsidP="00F93842">
      <w:pPr>
        <w:ind w:left="1440"/>
      </w:pPr>
      <w:r w:rsidRPr="0090554C">
        <w:t xml:space="preserve">(b)  stating that the period of 6 months beginning on a specified day is the </w:t>
      </w:r>
      <w:r w:rsidRPr="0090554C">
        <w:rPr>
          <w:b/>
          <w:bCs/>
          <w:i/>
          <w:iCs/>
        </w:rPr>
        <w:t>notified negotiation period</w:t>
      </w:r>
      <w:r w:rsidRPr="0090554C">
        <w:t xml:space="preserve"> for the agreement.</w:t>
      </w:r>
    </w:p>
    <w:p w:rsidR="00F93842" w:rsidRPr="0090554C" w:rsidRDefault="00F93842" w:rsidP="00F93842">
      <w:pPr>
        <w:ind w:left="720"/>
      </w:pPr>
      <w:r w:rsidRPr="0090554C">
        <w:t>(2)  The specified day must be later than:</w:t>
      </w:r>
    </w:p>
    <w:p w:rsidR="00F93842" w:rsidRPr="0090554C" w:rsidRDefault="00F93842" w:rsidP="00F93842">
      <w:pPr>
        <w:ind w:left="1440"/>
      </w:pPr>
      <w:r w:rsidRPr="0090554C">
        <w:t>(a)  if only one employee organisation is a bargaining representative for the agreement—the day on which the employer gave the notice to the organisation; or</w:t>
      </w:r>
    </w:p>
    <w:p w:rsidR="00F93842" w:rsidRPr="0090554C" w:rsidRDefault="00F93842" w:rsidP="00F93842">
      <w:pPr>
        <w:ind w:left="1440"/>
      </w:pPr>
      <w:r w:rsidRPr="0090554C">
        <w:t>(b)  if 2 or more employee organisations are bargaining representatives for the agreement—the last day on which the employer gave the notice to any of those organisations.</w:t>
      </w:r>
    </w:p>
    <w:p w:rsidR="00F93842" w:rsidRPr="0090554C" w:rsidRDefault="00F93842" w:rsidP="00F93842">
      <w:pPr>
        <w:ind w:left="720"/>
        <w:rPr>
          <w:i/>
        </w:rPr>
      </w:pPr>
      <w:r w:rsidRPr="0090554C">
        <w:rPr>
          <w:i/>
        </w:rPr>
        <w:t>Multiple employers—agreement to giving of notice</w:t>
      </w:r>
    </w:p>
    <w:p w:rsidR="00F93842" w:rsidRPr="0090554C" w:rsidRDefault="00F93842" w:rsidP="00F93842">
      <w:pPr>
        <w:ind w:left="720"/>
      </w:pPr>
      <w:r w:rsidRPr="0090554C">
        <w:t>(3)  If 2 or more employers are bargaining representatives for the agreement, the notice has no effect unless the other employer or employers agree to the giving of the notice.</w:t>
      </w:r>
    </w:p>
    <w:p w:rsidR="00F93842" w:rsidRPr="0090554C" w:rsidRDefault="00F93842" w:rsidP="00F93842">
      <w:r w:rsidRPr="0090554C">
        <w:t>Further, section 185A states:</w:t>
      </w:r>
    </w:p>
    <w:p w:rsidR="00F93842" w:rsidRPr="0090554C" w:rsidRDefault="00F93842" w:rsidP="00F93842">
      <w:pPr>
        <w:ind w:left="720"/>
      </w:pPr>
      <w:r w:rsidRPr="0090554C">
        <w:t>An application under subsection 182(4) for approval of an agreement must be accompanied by:</w:t>
      </w:r>
    </w:p>
    <w:p w:rsidR="00F93842" w:rsidRPr="0090554C" w:rsidRDefault="00F93842" w:rsidP="00F93842">
      <w:pPr>
        <w:ind w:left="1440"/>
      </w:pPr>
      <w:r w:rsidRPr="0090554C">
        <w:t>(a)  a copy of the agreement; and</w:t>
      </w:r>
    </w:p>
    <w:p w:rsidR="00F93842" w:rsidRPr="0090554C" w:rsidRDefault="00F93842" w:rsidP="00F93842">
      <w:pPr>
        <w:ind w:left="1440"/>
      </w:pPr>
      <w:r w:rsidRPr="0090554C">
        <w:t>(b)  any declarations that are required by the procedural rules to accompany the application.</w:t>
      </w:r>
    </w:p>
    <w:p w:rsidR="00F93842" w:rsidRPr="0090554C" w:rsidRDefault="00F93842" w:rsidP="00F93842">
      <w:r w:rsidRPr="0090554C">
        <w:t xml:space="preserve">For completeness, the </w:t>
      </w:r>
      <w:r w:rsidR="002039A3">
        <w:t xml:space="preserve">refer to the </w:t>
      </w:r>
      <w:r w:rsidRPr="0090554C">
        <w:t>relevant Fair Work Commission Rules</w:t>
      </w:r>
      <w:r w:rsidR="002039A3">
        <w:t>.</w:t>
      </w:r>
      <w:r w:rsidRPr="0090554C">
        <w:rPr>
          <w:rStyle w:val="FootnoteReference"/>
        </w:rPr>
        <w:footnoteReference w:id="89"/>
      </w:r>
      <w:r w:rsidRPr="0090554C">
        <w:t xml:space="preserve"> </w:t>
      </w:r>
    </w:p>
    <w:p w:rsidR="00F93842" w:rsidRPr="0090554C" w:rsidRDefault="00F93842" w:rsidP="00F93842">
      <w:r w:rsidRPr="0090554C">
        <w:t>Good faith bargaining rules were also extended to greenfields agreement making.  The Amendment Act inserted section 177, which states:</w:t>
      </w:r>
    </w:p>
    <w:p w:rsidR="00F93842" w:rsidRPr="0090554C" w:rsidRDefault="00F93842" w:rsidP="00F93842">
      <w:pPr>
        <w:ind w:left="720"/>
      </w:pPr>
      <w:r w:rsidRPr="0090554C">
        <w:t>The following paragraphs set out the persons who are bargaining repres</w:t>
      </w:r>
      <w:r w:rsidR="002C284B">
        <w:t xml:space="preserve">entatives for a proposed single </w:t>
      </w:r>
      <w:r w:rsidRPr="0090554C">
        <w:t>enterprise agreement that is a greenfields agreement:</w:t>
      </w:r>
    </w:p>
    <w:p w:rsidR="00F93842" w:rsidRPr="0090554C" w:rsidRDefault="00F93842" w:rsidP="00F93842">
      <w:pPr>
        <w:ind w:left="720"/>
      </w:pPr>
      <w:r w:rsidRPr="0090554C">
        <w:t>(a)  an employer that will be covered by the agreement;</w:t>
      </w:r>
    </w:p>
    <w:p w:rsidR="00F93842" w:rsidRPr="0090554C" w:rsidRDefault="00F93842" w:rsidP="00F93842">
      <w:pPr>
        <w:ind w:left="720"/>
      </w:pPr>
      <w:r w:rsidRPr="0090554C">
        <w:t>(b)  an employee organisation:</w:t>
      </w:r>
    </w:p>
    <w:p w:rsidR="00F93842" w:rsidRPr="0090554C" w:rsidRDefault="00F93842" w:rsidP="00F93842">
      <w:pPr>
        <w:ind w:left="1440"/>
      </w:pPr>
      <w:r w:rsidRPr="0090554C">
        <w:lastRenderedPageBreak/>
        <w:t>(i)  that is entitled to represent the industrial interests of one or more of the employees who will be covered by the agreement, in relation to work to be performed under the agreement; and</w:t>
      </w:r>
    </w:p>
    <w:p w:rsidR="00F93842" w:rsidRPr="0090554C" w:rsidRDefault="00F93842" w:rsidP="00F93842">
      <w:pPr>
        <w:ind w:left="1440"/>
      </w:pPr>
      <w:r w:rsidRPr="0090554C">
        <w:t>(ii)  with which the employer agrees to bargain for the agreement;</w:t>
      </w:r>
    </w:p>
    <w:p w:rsidR="00F93842" w:rsidRPr="0090554C" w:rsidRDefault="00F93842" w:rsidP="00F93842">
      <w:pPr>
        <w:ind w:left="720"/>
      </w:pPr>
      <w:r w:rsidRPr="0090554C">
        <w:t>(c)  a person who is a bargaining representative of an employer that will be covered by the agreement if the employer appoints, in writing, the person as his or her bargaining representative for the agreement.</w:t>
      </w:r>
    </w:p>
    <w:p w:rsidR="00F93842" w:rsidRPr="0090554C" w:rsidRDefault="00F93842" w:rsidP="00F93842">
      <w:r w:rsidRPr="0090554C">
        <w:t xml:space="preserve">As designated bargaining representatives, the parties to greenfields agreement making are required to adhere to the Fair Work Act </w:t>
      </w:r>
      <w:r w:rsidR="00A721E2" w:rsidRPr="0090554C">
        <w:t>pr</w:t>
      </w:r>
      <w:r w:rsidR="00A721E2">
        <w:t>e</w:t>
      </w:r>
      <w:r w:rsidR="00A721E2" w:rsidRPr="0090554C">
        <w:t xml:space="preserve">scribed </w:t>
      </w:r>
      <w:r w:rsidRPr="0090554C">
        <w:t>good faith bargaining requirements set out in section 228:</w:t>
      </w:r>
    </w:p>
    <w:p w:rsidR="00F93842" w:rsidRPr="0090554C" w:rsidRDefault="00F93842" w:rsidP="00F93842">
      <w:pPr>
        <w:ind w:left="720"/>
      </w:pPr>
      <w:r w:rsidRPr="0090554C">
        <w:t>(1)  The following are the good faith bargaining requirements that a bargaining representative for a proposed enterprise agreement must meet:</w:t>
      </w:r>
    </w:p>
    <w:p w:rsidR="00F93842" w:rsidRPr="0090554C" w:rsidRDefault="00F93842" w:rsidP="00F93842">
      <w:pPr>
        <w:ind w:left="1440"/>
      </w:pPr>
      <w:r w:rsidRPr="0090554C">
        <w:t>(a)  attending, and participating in, meetings at reasonable times;</w:t>
      </w:r>
    </w:p>
    <w:p w:rsidR="00F93842" w:rsidRPr="0090554C" w:rsidRDefault="00F93842" w:rsidP="00F93842">
      <w:pPr>
        <w:ind w:left="1440"/>
      </w:pPr>
      <w:r w:rsidRPr="0090554C">
        <w:t>(b)  disclosing relevant information (other than confidential or commercially sensitive information) in a timely manner;</w:t>
      </w:r>
    </w:p>
    <w:p w:rsidR="00F93842" w:rsidRPr="0090554C" w:rsidRDefault="00F93842" w:rsidP="00F93842">
      <w:pPr>
        <w:ind w:left="1440"/>
      </w:pPr>
      <w:r w:rsidRPr="0090554C">
        <w:t>(c)  responding to proposals made by other bargaining representatives for the agreement in a timely manner;</w:t>
      </w:r>
    </w:p>
    <w:p w:rsidR="00F93842" w:rsidRPr="0090554C" w:rsidRDefault="00F93842" w:rsidP="00F93842">
      <w:pPr>
        <w:ind w:left="1440"/>
      </w:pPr>
      <w:r w:rsidRPr="0090554C">
        <w:t>(d)  giving genuine consideration to the proposals of other bargaining representatives for the agreement, and giving reasons for the bargaining representative’s responses to those proposals;</w:t>
      </w:r>
    </w:p>
    <w:p w:rsidR="00F93842" w:rsidRPr="0090554C" w:rsidRDefault="00F93842" w:rsidP="00F93842">
      <w:pPr>
        <w:ind w:left="1440"/>
      </w:pPr>
      <w:r w:rsidRPr="0090554C">
        <w:t>(e)  refraining from capricious or unfair conduct that undermines freedom of association or collective bargaining;</w:t>
      </w:r>
    </w:p>
    <w:p w:rsidR="00F93842" w:rsidRPr="0090554C" w:rsidRDefault="00F93842" w:rsidP="00F93842">
      <w:pPr>
        <w:ind w:left="1440"/>
      </w:pPr>
      <w:r w:rsidRPr="0090554C">
        <w:t>(f)  recognising and bargaining with the other bargaining representatives for the agreement.</w:t>
      </w:r>
    </w:p>
    <w:p w:rsidR="00F93842" w:rsidRPr="0090554C" w:rsidRDefault="00F93842" w:rsidP="00F93842">
      <w:pPr>
        <w:ind w:left="720"/>
      </w:pPr>
      <w:r w:rsidRPr="0090554C">
        <w:t>Note: See also section 255A (limitations relating to greenfields agreements).</w:t>
      </w:r>
    </w:p>
    <w:p w:rsidR="00F93842" w:rsidRPr="0090554C" w:rsidRDefault="00F93842" w:rsidP="00F93842">
      <w:pPr>
        <w:ind w:left="720"/>
      </w:pPr>
      <w:r w:rsidRPr="0090554C">
        <w:t>(2)  The good faith bargaining requirements do not require:</w:t>
      </w:r>
    </w:p>
    <w:p w:rsidR="00F93842" w:rsidRPr="0090554C" w:rsidRDefault="00F93842" w:rsidP="00F93842">
      <w:pPr>
        <w:ind w:left="1440"/>
      </w:pPr>
      <w:r w:rsidRPr="0090554C">
        <w:t>(a)  a bargaining representative to make concessions during bargaining for the agreement; or</w:t>
      </w:r>
    </w:p>
    <w:p w:rsidR="00F93842" w:rsidRPr="0090554C" w:rsidRDefault="00F93842" w:rsidP="00F93842">
      <w:pPr>
        <w:ind w:left="1440"/>
      </w:pPr>
      <w:r w:rsidRPr="0090554C">
        <w:t>(b)  a bargaining representative to reach agreement on the terms that are to be included in the agreement.</w:t>
      </w:r>
    </w:p>
    <w:p w:rsidR="00F93842" w:rsidRPr="0090554C" w:rsidRDefault="00F93842" w:rsidP="00F93842">
      <w:r w:rsidRPr="0090554C">
        <w:t xml:space="preserve">Section 255A provides that a number of provisions, including the good faith bargaining provisions, do not apply at the conclusion of the notified negotiation period. </w:t>
      </w:r>
    </w:p>
    <w:p w:rsidR="00982067" w:rsidRDefault="00982067">
      <w:pPr>
        <w:sectPr w:rsidR="00982067">
          <w:pgSz w:w="12240" w:h="15840"/>
          <w:pgMar w:top="1440" w:right="1440" w:bottom="1440" w:left="1440" w:header="720" w:footer="720" w:gutter="0"/>
          <w:cols w:space="720"/>
          <w:docGrid w:linePitch="360"/>
        </w:sectPr>
      </w:pPr>
    </w:p>
    <w:p w:rsidR="00034375" w:rsidRDefault="00982067" w:rsidP="001479AC">
      <w:pPr>
        <w:pStyle w:val="Heading1"/>
      </w:pPr>
      <w:bookmarkStart w:id="30" w:name="_Toc505681271"/>
      <w:r w:rsidRPr="0090554C">
        <w:lastRenderedPageBreak/>
        <w:t xml:space="preserve">Attachment </w:t>
      </w:r>
      <w:r w:rsidR="000960A2">
        <w:t>C</w:t>
      </w:r>
      <w:r w:rsidR="000960A2" w:rsidRPr="0090554C">
        <w:t xml:space="preserve"> </w:t>
      </w:r>
      <w:r w:rsidRPr="0090554C">
        <w:t xml:space="preserve">- </w:t>
      </w:r>
      <w:r w:rsidRPr="00982067">
        <w:t xml:space="preserve">Agreements </w:t>
      </w:r>
      <w:r w:rsidR="002E35D6">
        <w:t>a</w:t>
      </w:r>
      <w:r w:rsidRPr="00982067">
        <w:t>pproved by ANZSIC and period approved</w:t>
      </w:r>
      <w:bookmarkEnd w:id="30"/>
    </w:p>
    <w:p w:rsidR="00BF61FC" w:rsidRDefault="00BF61FC" w:rsidP="00BF61FC">
      <w:pPr>
        <w:pStyle w:val="Caption"/>
        <w:keepNext/>
      </w:pPr>
      <w:r w:rsidRPr="00932E5E">
        <w:t>Greenfields agreements approved from 1/11/13 - 3</w:t>
      </w:r>
      <w:r>
        <w:t>0/6/17, by ANZSIC Division Name</w:t>
      </w:r>
      <w:r>
        <w:rPr>
          <w:rStyle w:val="FootnoteReference"/>
        </w:rPr>
        <w:footnoteReference w:id="90"/>
      </w:r>
    </w:p>
    <w:tbl>
      <w:tblPr>
        <w:tblW w:w="5000" w:type="pct"/>
        <w:tblLayout w:type="fixed"/>
        <w:tblCellMar>
          <w:left w:w="0" w:type="dxa"/>
          <w:right w:w="0" w:type="dxa"/>
        </w:tblCellMar>
        <w:tblLook w:val="01E0" w:firstRow="1" w:lastRow="1" w:firstColumn="1" w:lastColumn="1" w:noHBand="0" w:noVBand="0"/>
        <w:tblCaption w:val="Greenfields agreements approved by Australian and New Zealand Standard Industrial Classification (ANZSIC) and period approved – from 1 November 2013 to 30 June 2017."/>
        <w:tblDescription w:val="This table provides a high level overview showing that the number of greenfields agreements, across all industries, has decreased each year from November 2013 through to the most recent data to June 2017. Construction makes up the overwhelming number of all greenfields agreements of any industry, though the exact proportion varies somewhat each year. Other industries with a high use of greenfields agreements in the past four years are Administrative and Support Services, Manufacturing, Mining, Professional, Scientific and Technical Services, and Transport, Postal and Warehousing. Between November 2013 – October 2014, 384 greenfields agreements were approved in Construction, but from November 2016 to June 2017, Construction accounted for only 45 greenfields agreements."/>
      </w:tblPr>
      <w:tblGrid>
        <w:gridCol w:w="1703"/>
        <w:gridCol w:w="1095"/>
        <w:gridCol w:w="1032"/>
        <w:gridCol w:w="1068"/>
        <w:gridCol w:w="1034"/>
        <w:gridCol w:w="1068"/>
        <w:gridCol w:w="1034"/>
        <w:gridCol w:w="1068"/>
        <w:gridCol w:w="1034"/>
        <w:gridCol w:w="1068"/>
        <w:gridCol w:w="1068"/>
        <w:gridCol w:w="1068"/>
        <w:gridCol w:w="1060"/>
      </w:tblGrid>
      <w:tr w:rsidR="00F94EBD" w:rsidTr="00F94EBD">
        <w:trPr>
          <w:trHeight w:hRule="exact" w:val="2980"/>
          <w:tblHeader/>
        </w:trPr>
        <w:tc>
          <w:tcPr>
            <w:tcW w:w="591" w:type="pct"/>
            <w:tcBorders>
              <w:top w:val="nil"/>
              <w:left w:val="nil"/>
              <w:bottom w:val="single" w:sz="4" w:space="0" w:color="797979"/>
              <w:right w:val="single" w:sz="4" w:space="0" w:color="797979"/>
            </w:tcBorders>
            <w:shd w:val="clear" w:color="auto" w:fill="006D68"/>
            <w:vAlign w:val="center"/>
          </w:tcPr>
          <w:p w:rsidR="002C20F1" w:rsidRPr="00F94EBD" w:rsidRDefault="002C20F1" w:rsidP="00F94EBD">
            <w:pPr>
              <w:spacing w:after="0"/>
              <w:rPr>
                <w:color w:val="FFFFFF" w:themeColor="background1"/>
                <w:sz w:val="20"/>
              </w:rPr>
            </w:pPr>
            <w:r w:rsidRPr="00F94EBD">
              <w:rPr>
                <w:color w:val="FFFFFF" w:themeColor="background1"/>
                <w:sz w:val="20"/>
              </w:rPr>
              <w:t>ANZSIC Division Name</w:t>
            </w:r>
          </w:p>
        </w:tc>
        <w:tc>
          <w:tcPr>
            <w:tcW w:w="380" w:type="pct"/>
            <w:tcBorders>
              <w:top w:val="nil"/>
              <w:left w:val="single" w:sz="4" w:space="0" w:color="797979"/>
              <w:bottom w:val="single" w:sz="4" w:space="0" w:color="797979"/>
              <w:right w:val="single" w:sz="4" w:space="0" w:color="797979"/>
            </w:tcBorders>
            <w:shd w:val="clear" w:color="auto" w:fill="006D68"/>
            <w:vAlign w:val="center"/>
          </w:tcPr>
          <w:p w:rsidR="002C20F1" w:rsidRPr="00F94EBD" w:rsidRDefault="002C20F1" w:rsidP="00F94EBD">
            <w:pPr>
              <w:spacing w:after="0"/>
              <w:jc w:val="center"/>
              <w:rPr>
                <w:color w:val="FFFFFF" w:themeColor="background1"/>
                <w:sz w:val="20"/>
              </w:rPr>
            </w:pPr>
            <w:r w:rsidRPr="00F94EBD">
              <w:rPr>
                <w:color w:val="FFFFFF" w:themeColor="background1"/>
                <w:sz w:val="20"/>
              </w:rPr>
              <w:t>Greenfields agreements approved Nov 2013 - Oct 2014</w:t>
            </w:r>
          </w:p>
        </w:tc>
        <w:tc>
          <w:tcPr>
            <w:tcW w:w="358" w:type="pct"/>
            <w:tcBorders>
              <w:top w:val="nil"/>
              <w:left w:val="single" w:sz="4" w:space="0" w:color="797979"/>
              <w:bottom w:val="single" w:sz="4" w:space="0" w:color="797979"/>
              <w:right w:val="single" w:sz="4" w:space="0" w:color="797979"/>
            </w:tcBorders>
            <w:shd w:val="clear" w:color="auto" w:fill="006D68"/>
            <w:vAlign w:val="center"/>
          </w:tcPr>
          <w:p w:rsidR="002C20F1" w:rsidRPr="00F94EBD" w:rsidRDefault="002C20F1" w:rsidP="00F94EBD">
            <w:pPr>
              <w:spacing w:after="0"/>
              <w:jc w:val="center"/>
              <w:rPr>
                <w:color w:val="FFFFFF" w:themeColor="background1"/>
                <w:sz w:val="20"/>
              </w:rPr>
            </w:pPr>
            <w:r w:rsidRPr="00F94EBD">
              <w:rPr>
                <w:color w:val="FFFFFF" w:themeColor="background1"/>
                <w:sz w:val="20"/>
              </w:rPr>
              <w:t>% of total Greenfields for the same period</w:t>
            </w:r>
          </w:p>
        </w:tc>
        <w:tc>
          <w:tcPr>
            <w:tcW w:w="371" w:type="pct"/>
            <w:tcBorders>
              <w:top w:val="nil"/>
              <w:left w:val="single" w:sz="4" w:space="0" w:color="797979"/>
              <w:bottom w:val="single" w:sz="4" w:space="0" w:color="797979"/>
              <w:right w:val="single" w:sz="4" w:space="0" w:color="797979"/>
            </w:tcBorders>
            <w:shd w:val="clear" w:color="auto" w:fill="006D68"/>
            <w:vAlign w:val="center"/>
          </w:tcPr>
          <w:p w:rsidR="002C20F1" w:rsidRPr="00F94EBD" w:rsidRDefault="002C20F1" w:rsidP="00F94EBD">
            <w:pPr>
              <w:spacing w:after="0"/>
              <w:jc w:val="center"/>
              <w:rPr>
                <w:color w:val="FFFFFF" w:themeColor="background1"/>
                <w:sz w:val="20"/>
              </w:rPr>
            </w:pPr>
            <w:r w:rsidRPr="00F94EBD">
              <w:rPr>
                <w:color w:val="FFFFFF" w:themeColor="background1"/>
                <w:sz w:val="20"/>
              </w:rPr>
              <w:t>Greenfields agreements approved Nov 2014 - Oct 2015</w:t>
            </w:r>
          </w:p>
        </w:tc>
        <w:tc>
          <w:tcPr>
            <w:tcW w:w="359" w:type="pct"/>
            <w:tcBorders>
              <w:top w:val="nil"/>
              <w:left w:val="single" w:sz="4" w:space="0" w:color="797979"/>
              <w:bottom w:val="single" w:sz="4" w:space="0" w:color="797979"/>
              <w:right w:val="single" w:sz="4" w:space="0" w:color="797979"/>
            </w:tcBorders>
            <w:shd w:val="clear" w:color="auto" w:fill="006D68"/>
            <w:vAlign w:val="center"/>
          </w:tcPr>
          <w:p w:rsidR="002C20F1" w:rsidRPr="00F94EBD" w:rsidRDefault="002C20F1" w:rsidP="00F94EBD">
            <w:pPr>
              <w:spacing w:after="0"/>
              <w:jc w:val="center"/>
              <w:rPr>
                <w:color w:val="FFFFFF" w:themeColor="background1"/>
                <w:sz w:val="20"/>
              </w:rPr>
            </w:pPr>
            <w:r w:rsidRPr="00F94EBD">
              <w:rPr>
                <w:color w:val="FFFFFF" w:themeColor="background1"/>
                <w:sz w:val="20"/>
              </w:rPr>
              <w:t>% of total Greenfields for the same period</w:t>
            </w:r>
          </w:p>
        </w:tc>
        <w:tc>
          <w:tcPr>
            <w:tcW w:w="371" w:type="pct"/>
            <w:tcBorders>
              <w:top w:val="nil"/>
              <w:left w:val="single" w:sz="4" w:space="0" w:color="797979"/>
              <w:bottom w:val="single" w:sz="4" w:space="0" w:color="797979"/>
              <w:right w:val="single" w:sz="4" w:space="0" w:color="797979"/>
            </w:tcBorders>
            <w:shd w:val="clear" w:color="auto" w:fill="006D68"/>
            <w:vAlign w:val="center"/>
          </w:tcPr>
          <w:p w:rsidR="002C20F1" w:rsidRPr="00F94EBD" w:rsidRDefault="002C20F1" w:rsidP="00F94EBD">
            <w:pPr>
              <w:spacing w:after="0"/>
              <w:jc w:val="center"/>
              <w:rPr>
                <w:color w:val="FFFFFF" w:themeColor="background1"/>
                <w:sz w:val="20"/>
              </w:rPr>
            </w:pPr>
            <w:r w:rsidRPr="00F94EBD">
              <w:rPr>
                <w:color w:val="FFFFFF" w:themeColor="background1"/>
                <w:sz w:val="20"/>
              </w:rPr>
              <w:t>Greenfields agreements approved Nov 2015 - Oct 2016</w:t>
            </w:r>
          </w:p>
        </w:tc>
        <w:tc>
          <w:tcPr>
            <w:tcW w:w="359" w:type="pct"/>
            <w:tcBorders>
              <w:top w:val="nil"/>
              <w:left w:val="single" w:sz="4" w:space="0" w:color="797979"/>
              <w:bottom w:val="single" w:sz="4" w:space="0" w:color="797979"/>
              <w:right w:val="single" w:sz="4" w:space="0" w:color="797979"/>
            </w:tcBorders>
            <w:shd w:val="clear" w:color="auto" w:fill="006D68"/>
            <w:vAlign w:val="center"/>
          </w:tcPr>
          <w:p w:rsidR="002C20F1" w:rsidRPr="00F94EBD" w:rsidRDefault="002C20F1" w:rsidP="00F94EBD">
            <w:pPr>
              <w:spacing w:after="0"/>
              <w:jc w:val="center"/>
              <w:rPr>
                <w:color w:val="FFFFFF" w:themeColor="background1"/>
                <w:sz w:val="20"/>
              </w:rPr>
            </w:pPr>
            <w:r w:rsidRPr="00F94EBD">
              <w:rPr>
                <w:color w:val="FFFFFF" w:themeColor="background1"/>
                <w:sz w:val="20"/>
              </w:rPr>
              <w:t>% of total Greenfields for the same period</w:t>
            </w:r>
          </w:p>
        </w:tc>
        <w:tc>
          <w:tcPr>
            <w:tcW w:w="371" w:type="pct"/>
            <w:tcBorders>
              <w:top w:val="single" w:sz="4" w:space="0" w:color="FFFFFF" w:themeColor="background1"/>
              <w:left w:val="single" w:sz="4" w:space="0" w:color="797979"/>
              <w:bottom w:val="single" w:sz="4" w:space="0" w:color="797979"/>
              <w:right w:val="single" w:sz="4" w:space="0" w:color="797979"/>
            </w:tcBorders>
            <w:shd w:val="clear" w:color="auto" w:fill="006D68"/>
            <w:vAlign w:val="center"/>
          </w:tcPr>
          <w:p w:rsidR="002C20F1" w:rsidRPr="00F94EBD" w:rsidRDefault="002C20F1" w:rsidP="00F94EBD">
            <w:pPr>
              <w:spacing w:after="0"/>
              <w:jc w:val="center"/>
              <w:rPr>
                <w:color w:val="FFFFFF" w:themeColor="background1"/>
                <w:sz w:val="20"/>
              </w:rPr>
            </w:pPr>
            <w:r w:rsidRPr="00F94EBD">
              <w:rPr>
                <w:color w:val="FFFFFF" w:themeColor="background1"/>
                <w:sz w:val="20"/>
              </w:rPr>
              <w:t>Greenfields agreements approved Nov 2016 - Jun 2017</w:t>
            </w:r>
          </w:p>
        </w:tc>
        <w:tc>
          <w:tcPr>
            <w:tcW w:w="359" w:type="pct"/>
            <w:tcBorders>
              <w:top w:val="single" w:sz="4" w:space="0" w:color="FFFFFF" w:themeColor="background1"/>
              <w:left w:val="single" w:sz="4" w:space="0" w:color="797979"/>
              <w:bottom w:val="single" w:sz="4" w:space="0" w:color="797979"/>
              <w:right w:val="single" w:sz="4" w:space="0" w:color="797979"/>
            </w:tcBorders>
            <w:shd w:val="clear" w:color="auto" w:fill="006D68"/>
            <w:vAlign w:val="center"/>
          </w:tcPr>
          <w:p w:rsidR="002C20F1" w:rsidRPr="00F94EBD" w:rsidRDefault="002C20F1" w:rsidP="00F94EBD">
            <w:pPr>
              <w:spacing w:after="0"/>
              <w:jc w:val="center"/>
              <w:rPr>
                <w:color w:val="FFFFFF" w:themeColor="background1"/>
                <w:sz w:val="20"/>
              </w:rPr>
            </w:pPr>
            <w:r w:rsidRPr="00F94EBD">
              <w:rPr>
                <w:color w:val="FFFFFF" w:themeColor="background1"/>
                <w:sz w:val="20"/>
              </w:rPr>
              <w:t>% of total Greenfields for the same period</w:t>
            </w:r>
          </w:p>
        </w:tc>
        <w:tc>
          <w:tcPr>
            <w:tcW w:w="371" w:type="pct"/>
            <w:tcBorders>
              <w:top w:val="single" w:sz="4" w:space="0" w:color="FFFFFF" w:themeColor="background1"/>
              <w:left w:val="single" w:sz="4" w:space="0" w:color="797979"/>
              <w:bottom w:val="single" w:sz="4" w:space="0" w:color="797979"/>
              <w:right w:val="single" w:sz="4" w:space="0" w:color="797979"/>
            </w:tcBorders>
            <w:shd w:val="clear" w:color="auto" w:fill="006D68"/>
            <w:vAlign w:val="center"/>
          </w:tcPr>
          <w:p w:rsidR="002C20F1" w:rsidRPr="00F94EBD" w:rsidRDefault="002C20F1" w:rsidP="00F94EBD">
            <w:pPr>
              <w:spacing w:after="0"/>
              <w:jc w:val="center"/>
              <w:rPr>
                <w:color w:val="FFFFFF" w:themeColor="background1"/>
                <w:sz w:val="20"/>
              </w:rPr>
            </w:pPr>
            <w:r w:rsidRPr="00F94EBD">
              <w:rPr>
                <w:color w:val="FFFFFF" w:themeColor="background1"/>
                <w:sz w:val="20"/>
              </w:rPr>
              <w:t>Total agreements approved Nov 2013 - Oct 2014</w:t>
            </w:r>
          </w:p>
        </w:tc>
        <w:tc>
          <w:tcPr>
            <w:tcW w:w="371" w:type="pct"/>
            <w:tcBorders>
              <w:top w:val="single" w:sz="4" w:space="0" w:color="FFFFFF" w:themeColor="background1"/>
              <w:left w:val="single" w:sz="4" w:space="0" w:color="797979"/>
              <w:bottom w:val="single" w:sz="4" w:space="0" w:color="797979"/>
              <w:right w:val="single" w:sz="4" w:space="0" w:color="797979"/>
            </w:tcBorders>
            <w:shd w:val="clear" w:color="auto" w:fill="006D68"/>
            <w:vAlign w:val="center"/>
          </w:tcPr>
          <w:p w:rsidR="002C20F1" w:rsidRPr="00F94EBD" w:rsidRDefault="002C20F1" w:rsidP="00F94EBD">
            <w:pPr>
              <w:spacing w:after="0"/>
              <w:jc w:val="center"/>
              <w:rPr>
                <w:color w:val="FFFFFF" w:themeColor="background1"/>
                <w:sz w:val="20"/>
              </w:rPr>
            </w:pPr>
            <w:r w:rsidRPr="00F94EBD">
              <w:rPr>
                <w:color w:val="FFFFFF" w:themeColor="background1"/>
                <w:sz w:val="20"/>
              </w:rPr>
              <w:t>Total agreements approved Nov 2014 - Oct 2015</w:t>
            </w:r>
          </w:p>
        </w:tc>
        <w:tc>
          <w:tcPr>
            <w:tcW w:w="371" w:type="pct"/>
            <w:tcBorders>
              <w:top w:val="single" w:sz="4" w:space="0" w:color="FFFFFF" w:themeColor="background1"/>
              <w:left w:val="single" w:sz="4" w:space="0" w:color="797979"/>
              <w:bottom w:val="single" w:sz="4" w:space="0" w:color="797979"/>
              <w:right w:val="single" w:sz="4" w:space="0" w:color="797979"/>
            </w:tcBorders>
            <w:shd w:val="clear" w:color="auto" w:fill="006D68"/>
            <w:vAlign w:val="center"/>
          </w:tcPr>
          <w:p w:rsidR="002C20F1" w:rsidRPr="00F94EBD" w:rsidRDefault="002C20F1" w:rsidP="00F94EBD">
            <w:pPr>
              <w:spacing w:after="0"/>
              <w:jc w:val="center"/>
              <w:rPr>
                <w:color w:val="FFFFFF" w:themeColor="background1"/>
                <w:sz w:val="20"/>
              </w:rPr>
            </w:pPr>
            <w:r w:rsidRPr="00F94EBD">
              <w:rPr>
                <w:color w:val="FFFFFF" w:themeColor="background1"/>
                <w:sz w:val="20"/>
              </w:rPr>
              <w:t>Total agreements approved Nov 2015 - Oct 2016</w:t>
            </w:r>
          </w:p>
        </w:tc>
        <w:tc>
          <w:tcPr>
            <w:tcW w:w="369" w:type="pct"/>
            <w:tcBorders>
              <w:top w:val="single" w:sz="4" w:space="0" w:color="FFFFFF" w:themeColor="background1"/>
              <w:left w:val="single" w:sz="4" w:space="0" w:color="797979"/>
              <w:bottom w:val="single" w:sz="4" w:space="0" w:color="797979"/>
              <w:right w:val="nil"/>
            </w:tcBorders>
            <w:shd w:val="clear" w:color="auto" w:fill="006D68"/>
            <w:vAlign w:val="center"/>
          </w:tcPr>
          <w:p w:rsidR="002C20F1" w:rsidRPr="00F94EBD" w:rsidRDefault="002C20F1" w:rsidP="00F94EBD">
            <w:pPr>
              <w:spacing w:after="0"/>
              <w:jc w:val="center"/>
              <w:rPr>
                <w:color w:val="FFFFFF" w:themeColor="background1"/>
                <w:sz w:val="20"/>
              </w:rPr>
            </w:pPr>
            <w:r w:rsidRPr="00F94EBD">
              <w:rPr>
                <w:color w:val="FFFFFF" w:themeColor="background1"/>
                <w:sz w:val="20"/>
              </w:rPr>
              <w:t>Total agreements approved Nov 2016 - Jun 17</w:t>
            </w:r>
          </w:p>
        </w:tc>
      </w:tr>
      <w:tr w:rsidR="00F94EBD" w:rsidTr="00F94EBD">
        <w:trPr>
          <w:trHeight w:hRule="exact" w:val="697"/>
        </w:trPr>
        <w:tc>
          <w:tcPr>
            <w:tcW w:w="591" w:type="pct"/>
            <w:tcBorders>
              <w:top w:val="nil"/>
              <w:left w:val="nil"/>
              <w:bottom w:val="single" w:sz="4" w:space="0" w:color="797979"/>
              <w:right w:val="single" w:sz="4" w:space="0" w:color="797979"/>
            </w:tcBorders>
            <w:vAlign w:val="center"/>
          </w:tcPr>
          <w:p w:rsidR="003C17D6" w:rsidRPr="00F94EBD" w:rsidRDefault="003C17D6" w:rsidP="00F94EBD">
            <w:pPr>
              <w:pStyle w:val="TableParagraph"/>
              <w:ind w:left="80"/>
              <w:rPr>
                <w:rFonts w:ascii="Arial" w:eastAsia="Arial" w:hAnsi="Arial" w:cs="Arial"/>
                <w:sz w:val="20"/>
                <w:szCs w:val="18"/>
              </w:rPr>
            </w:pPr>
            <w:r w:rsidRPr="00F94EBD">
              <w:rPr>
                <w:rFonts w:ascii="Arial" w:eastAsia="Arial" w:hAnsi="Arial" w:cs="Arial"/>
                <w:sz w:val="20"/>
                <w:szCs w:val="18"/>
              </w:rPr>
              <w:t>A</w:t>
            </w:r>
            <w:r w:rsidRPr="00F94EBD">
              <w:rPr>
                <w:rFonts w:ascii="Arial" w:eastAsia="Arial" w:hAnsi="Arial" w:cs="Arial"/>
                <w:spacing w:val="1"/>
                <w:sz w:val="20"/>
                <w:szCs w:val="18"/>
              </w:rPr>
              <w:t>cc</w:t>
            </w:r>
            <w:r w:rsidRPr="00F94EBD">
              <w:rPr>
                <w:rFonts w:ascii="Arial" w:eastAsia="Arial" w:hAnsi="Arial" w:cs="Arial"/>
                <w:sz w:val="20"/>
                <w:szCs w:val="18"/>
              </w:rPr>
              <w:t>omm</w:t>
            </w:r>
            <w:r w:rsidRPr="00F94EBD">
              <w:rPr>
                <w:rFonts w:ascii="Arial" w:eastAsia="Arial" w:hAnsi="Arial" w:cs="Arial"/>
                <w:spacing w:val="1"/>
                <w:sz w:val="20"/>
                <w:szCs w:val="18"/>
              </w:rPr>
              <w:t>o</w:t>
            </w:r>
            <w:r w:rsidRPr="00F94EBD">
              <w:rPr>
                <w:rFonts w:ascii="Arial" w:eastAsia="Arial" w:hAnsi="Arial" w:cs="Arial"/>
                <w:sz w:val="20"/>
                <w:szCs w:val="18"/>
              </w:rPr>
              <w:t>d</w:t>
            </w:r>
            <w:r w:rsidRPr="00F94EBD">
              <w:rPr>
                <w:rFonts w:ascii="Arial" w:eastAsia="Arial" w:hAnsi="Arial" w:cs="Arial"/>
                <w:spacing w:val="1"/>
                <w:sz w:val="20"/>
                <w:szCs w:val="18"/>
              </w:rPr>
              <w:t>a</w:t>
            </w:r>
            <w:r w:rsidRPr="00F94EBD">
              <w:rPr>
                <w:rFonts w:ascii="Arial" w:eastAsia="Arial" w:hAnsi="Arial" w:cs="Arial"/>
                <w:sz w:val="20"/>
                <w:szCs w:val="18"/>
              </w:rPr>
              <w:t>t</w:t>
            </w:r>
            <w:r w:rsidRPr="00F94EBD">
              <w:rPr>
                <w:rFonts w:ascii="Arial" w:eastAsia="Arial" w:hAnsi="Arial" w:cs="Arial"/>
                <w:spacing w:val="1"/>
                <w:sz w:val="20"/>
                <w:szCs w:val="18"/>
              </w:rPr>
              <w:t>i</w:t>
            </w:r>
            <w:r w:rsidRPr="00F94EBD">
              <w:rPr>
                <w:rFonts w:ascii="Arial" w:eastAsia="Arial" w:hAnsi="Arial" w:cs="Arial"/>
                <w:sz w:val="20"/>
                <w:szCs w:val="18"/>
              </w:rPr>
              <w:t>on</w:t>
            </w:r>
            <w:r w:rsidRPr="00F94EBD">
              <w:rPr>
                <w:rFonts w:ascii="Arial" w:eastAsia="Arial" w:hAnsi="Arial" w:cs="Arial"/>
                <w:spacing w:val="15"/>
                <w:sz w:val="20"/>
                <w:szCs w:val="18"/>
              </w:rPr>
              <w:t xml:space="preserve"> </w:t>
            </w:r>
            <w:r w:rsidRPr="00F94EBD">
              <w:rPr>
                <w:rFonts w:ascii="Arial" w:eastAsia="Arial" w:hAnsi="Arial" w:cs="Arial"/>
                <w:spacing w:val="2"/>
                <w:sz w:val="20"/>
                <w:szCs w:val="18"/>
              </w:rPr>
              <w:t>a</w:t>
            </w:r>
            <w:r w:rsidRPr="00F94EBD">
              <w:rPr>
                <w:rFonts w:ascii="Arial" w:eastAsia="Arial" w:hAnsi="Arial" w:cs="Arial"/>
                <w:spacing w:val="1"/>
                <w:sz w:val="20"/>
                <w:szCs w:val="18"/>
              </w:rPr>
              <w:t>n</w:t>
            </w:r>
            <w:r w:rsidRPr="00F94EBD">
              <w:rPr>
                <w:rFonts w:ascii="Arial" w:eastAsia="Arial" w:hAnsi="Arial" w:cs="Arial"/>
                <w:sz w:val="20"/>
                <w:szCs w:val="18"/>
              </w:rPr>
              <w:t>d</w:t>
            </w:r>
            <w:r w:rsidRPr="00F94EBD">
              <w:rPr>
                <w:rFonts w:ascii="Arial" w:eastAsia="Arial" w:hAnsi="Arial" w:cs="Arial"/>
                <w:spacing w:val="15"/>
                <w:sz w:val="20"/>
                <w:szCs w:val="18"/>
              </w:rPr>
              <w:t xml:space="preserve"> </w:t>
            </w:r>
            <w:r w:rsidRPr="00F94EBD">
              <w:rPr>
                <w:rFonts w:ascii="Arial" w:eastAsia="Arial" w:hAnsi="Arial" w:cs="Arial"/>
                <w:spacing w:val="-3"/>
                <w:sz w:val="20"/>
                <w:szCs w:val="18"/>
              </w:rPr>
              <w:t>F</w:t>
            </w:r>
            <w:r w:rsidRPr="00F94EBD">
              <w:rPr>
                <w:rFonts w:ascii="Arial" w:eastAsia="Arial" w:hAnsi="Arial" w:cs="Arial"/>
                <w:spacing w:val="1"/>
                <w:sz w:val="20"/>
                <w:szCs w:val="18"/>
              </w:rPr>
              <w:t>oo</w:t>
            </w:r>
            <w:r w:rsidRPr="00F94EBD">
              <w:rPr>
                <w:rFonts w:ascii="Arial" w:eastAsia="Arial" w:hAnsi="Arial" w:cs="Arial"/>
                <w:sz w:val="20"/>
                <w:szCs w:val="18"/>
              </w:rPr>
              <w:t>d</w:t>
            </w:r>
            <w:r w:rsidRPr="00F94EBD">
              <w:rPr>
                <w:rFonts w:ascii="Arial" w:eastAsia="Arial" w:hAnsi="Arial" w:cs="Arial"/>
                <w:spacing w:val="15"/>
                <w:sz w:val="20"/>
                <w:szCs w:val="18"/>
              </w:rPr>
              <w:t xml:space="preserve"> </w:t>
            </w:r>
            <w:r w:rsidRPr="00F94EBD">
              <w:rPr>
                <w:rFonts w:ascii="Arial" w:eastAsia="Arial" w:hAnsi="Arial" w:cs="Arial"/>
                <w:spacing w:val="2"/>
                <w:sz w:val="20"/>
                <w:szCs w:val="18"/>
              </w:rPr>
              <w:t>Se</w:t>
            </w:r>
            <w:r w:rsidRPr="00F94EBD">
              <w:rPr>
                <w:rFonts w:ascii="Arial" w:eastAsia="Arial" w:hAnsi="Arial" w:cs="Arial"/>
                <w:spacing w:val="7"/>
                <w:sz w:val="20"/>
                <w:szCs w:val="18"/>
              </w:rPr>
              <w:t>r</w:t>
            </w:r>
            <w:r w:rsidRPr="00F94EBD">
              <w:rPr>
                <w:rFonts w:ascii="Arial" w:eastAsia="Arial" w:hAnsi="Arial" w:cs="Arial"/>
                <w:spacing w:val="1"/>
                <w:sz w:val="20"/>
                <w:szCs w:val="18"/>
              </w:rPr>
              <w:t>vic</w:t>
            </w:r>
            <w:r w:rsidRPr="00F94EBD">
              <w:rPr>
                <w:rFonts w:ascii="Arial" w:eastAsia="Arial" w:hAnsi="Arial" w:cs="Arial"/>
                <w:spacing w:val="2"/>
                <w:sz w:val="20"/>
                <w:szCs w:val="18"/>
              </w:rPr>
              <w:t>e</w:t>
            </w:r>
            <w:r w:rsidRPr="00F94EBD">
              <w:rPr>
                <w:rFonts w:ascii="Arial" w:eastAsia="Arial" w:hAnsi="Arial" w:cs="Arial"/>
                <w:sz w:val="20"/>
                <w:szCs w:val="18"/>
              </w:rPr>
              <w:t>s</w:t>
            </w:r>
          </w:p>
        </w:tc>
        <w:tc>
          <w:tcPr>
            <w:tcW w:w="380" w:type="pct"/>
            <w:tcBorders>
              <w:top w:val="nil"/>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93" w:right="293"/>
              <w:jc w:val="center"/>
              <w:rPr>
                <w:rFonts w:ascii="Arial" w:eastAsia="Arial" w:hAnsi="Arial" w:cs="Arial"/>
                <w:sz w:val="20"/>
                <w:szCs w:val="18"/>
              </w:rPr>
            </w:pPr>
            <w:r w:rsidRPr="00F94EBD">
              <w:rPr>
                <w:rFonts w:ascii="Arial" w:eastAsia="Arial" w:hAnsi="Arial" w:cs="Arial"/>
                <w:sz w:val="20"/>
                <w:szCs w:val="18"/>
              </w:rPr>
              <w:t>4</w:t>
            </w:r>
          </w:p>
        </w:tc>
        <w:tc>
          <w:tcPr>
            <w:tcW w:w="358" w:type="pct"/>
            <w:tcBorders>
              <w:top w:val="nil"/>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07"/>
              <w:jc w:val="center"/>
              <w:rPr>
                <w:rFonts w:ascii="Arial" w:eastAsia="Arial" w:hAnsi="Arial" w:cs="Arial"/>
                <w:sz w:val="20"/>
                <w:szCs w:val="18"/>
              </w:rPr>
            </w:pPr>
            <w:r w:rsidRPr="00F94EBD">
              <w:rPr>
                <w:rFonts w:ascii="Arial" w:eastAsia="Arial" w:hAnsi="Arial" w:cs="Arial"/>
                <w:spacing w:val="-7"/>
                <w:w w:val="105"/>
                <w:sz w:val="20"/>
                <w:szCs w:val="18"/>
              </w:rPr>
              <w:t>1%</w:t>
            </w:r>
          </w:p>
        </w:tc>
        <w:tc>
          <w:tcPr>
            <w:tcW w:w="371" w:type="pct"/>
            <w:tcBorders>
              <w:top w:val="nil"/>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36" w:right="236"/>
              <w:jc w:val="center"/>
              <w:rPr>
                <w:rFonts w:ascii="Arial" w:eastAsia="Arial" w:hAnsi="Arial" w:cs="Arial"/>
                <w:sz w:val="20"/>
                <w:szCs w:val="18"/>
              </w:rPr>
            </w:pPr>
            <w:r w:rsidRPr="00F94EBD">
              <w:rPr>
                <w:rFonts w:ascii="Arial" w:eastAsia="Arial" w:hAnsi="Arial" w:cs="Arial"/>
                <w:sz w:val="20"/>
                <w:szCs w:val="18"/>
              </w:rPr>
              <w:t>4</w:t>
            </w:r>
          </w:p>
        </w:tc>
        <w:tc>
          <w:tcPr>
            <w:tcW w:w="359" w:type="pct"/>
            <w:tcBorders>
              <w:top w:val="nil"/>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79"/>
              <w:jc w:val="center"/>
              <w:rPr>
                <w:rFonts w:ascii="Arial" w:eastAsia="Arial" w:hAnsi="Arial" w:cs="Arial"/>
                <w:sz w:val="20"/>
                <w:szCs w:val="18"/>
              </w:rPr>
            </w:pPr>
            <w:r w:rsidRPr="00F94EBD">
              <w:rPr>
                <w:rFonts w:ascii="Arial" w:eastAsia="Arial" w:hAnsi="Arial" w:cs="Arial"/>
                <w:spacing w:val="-7"/>
                <w:w w:val="105"/>
                <w:sz w:val="20"/>
                <w:szCs w:val="18"/>
              </w:rPr>
              <w:t>1%</w:t>
            </w:r>
          </w:p>
        </w:tc>
        <w:tc>
          <w:tcPr>
            <w:tcW w:w="371" w:type="pct"/>
            <w:tcBorders>
              <w:top w:val="nil"/>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84" w:right="284"/>
              <w:jc w:val="center"/>
              <w:rPr>
                <w:rFonts w:ascii="Arial" w:eastAsia="Arial" w:hAnsi="Arial" w:cs="Arial"/>
                <w:sz w:val="20"/>
                <w:szCs w:val="18"/>
              </w:rPr>
            </w:pPr>
            <w:r w:rsidRPr="00F94EBD">
              <w:rPr>
                <w:rFonts w:ascii="Arial" w:eastAsia="Arial" w:hAnsi="Arial" w:cs="Arial"/>
                <w:sz w:val="20"/>
                <w:szCs w:val="18"/>
              </w:rPr>
              <w:t>3</w:t>
            </w:r>
          </w:p>
        </w:tc>
        <w:tc>
          <w:tcPr>
            <w:tcW w:w="359" w:type="pct"/>
            <w:tcBorders>
              <w:top w:val="nil"/>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88"/>
              <w:jc w:val="center"/>
              <w:rPr>
                <w:rFonts w:ascii="Arial" w:eastAsia="Arial" w:hAnsi="Arial" w:cs="Arial"/>
                <w:sz w:val="20"/>
                <w:szCs w:val="18"/>
              </w:rPr>
            </w:pPr>
            <w:r w:rsidRPr="00F94EBD">
              <w:rPr>
                <w:rFonts w:ascii="Arial" w:eastAsia="Arial" w:hAnsi="Arial" w:cs="Arial"/>
                <w:spacing w:val="-7"/>
                <w:w w:val="105"/>
                <w:sz w:val="20"/>
                <w:szCs w:val="18"/>
              </w:rPr>
              <w:t>1%</w:t>
            </w:r>
          </w:p>
        </w:tc>
        <w:tc>
          <w:tcPr>
            <w:tcW w:w="371" w:type="pct"/>
            <w:tcBorders>
              <w:top w:val="single" w:sz="4" w:space="0" w:color="FFFFFF" w:themeColor="background1"/>
              <w:left w:val="single" w:sz="4" w:space="0" w:color="797979"/>
              <w:bottom w:val="single" w:sz="4" w:space="0" w:color="797979"/>
              <w:right w:val="single" w:sz="4" w:space="0" w:color="797979"/>
            </w:tcBorders>
            <w:vAlign w:val="center"/>
          </w:tcPr>
          <w:p w:rsidR="003C17D6" w:rsidRPr="00F94EBD" w:rsidRDefault="003C17D6" w:rsidP="00F94EBD">
            <w:pPr>
              <w:spacing w:after="0"/>
              <w:jc w:val="center"/>
              <w:rPr>
                <w:sz w:val="20"/>
              </w:rPr>
            </w:pPr>
          </w:p>
        </w:tc>
        <w:tc>
          <w:tcPr>
            <w:tcW w:w="359" w:type="pct"/>
            <w:tcBorders>
              <w:top w:val="single" w:sz="4" w:space="0" w:color="FFFFFF" w:themeColor="background1"/>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93"/>
              <w:jc w:val="center"/>
              <w:rPr>
                <w:rFonts w:ascii="Arial" w:eastAsia="Arial" w:hAnsi="Arial" w:cs="Arial"/>
                <w:sz w:val="20"/>
                <w:szCs w:val="18"/>
              </w:rPr>
            </w:pPr>
            <w:r w:rsidRPr="00F94EBD">
              <w:rPr>
                <w:rFonts w:ascii="Arial" w:eastAsia="Arial" w:hAnsi="Arial" w:cs="Arial"/>
                <w:spacing w:val="3"/>
                <w:w w:val="105"/>
                <w:sz w:val="20"/>
                <w:szCs w:val="18"/>
              </w:rPr>
              <w:t>0%</w:t>
            </w:r>
          </w:p>
        </w:tc>
        <w:tc>
          <w:tcPr>
            <w:tcW w:w="371" w:type="pct"/>
            <w:tcBorders>
              <w:top w:val="single" w:sz="4" w:space="0" w:color="FFFFFF" w:themeColor="background1"/>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91" w:right="291"/>
              <w:jc w:val="center"/>
              <w:rPr>
                <w:rFonts w:ascii="Arial" w:eastAsia="Arial" w:hAnsi="Arial" w:cs="Arial"/>
                <w:sz w:val="20"/>
                <w:szCs w:val="18"/>
              </w:rPr>
            </w:pPr>
            <w:r w:rsidRPr="00F94EBD">
              <w:rPr>
                <w:rFonts w:ascii="Arial" w:eastAsia="Arial" w:hAnsi="Arial" w:cs="Arial"/>
                <w:spacing w:val="-11"/>
                <w:sz w:val="20"/>
                <w:szCs w:val="18"/>
              </w:rPr>
              <w:t>1</w:t>
            </w:r>
            <w:r w:rsidRPr="00F94EBD">
              <w:rPr>
                <w:rFonts w:ascii="Arial" w:eastAsia="Arial" w:hAnsi="Arial" w:cs="Arial"/>
                <w:spacing w:val="1"/>
                <w:sz w:val="20"/>
                <w:szCs w:val="18"/>
              </w:rPr>
              <w:t>4</w:t>
            </w:r>
            <w:r w:rsidRPr="00F94EBD">
              <w:rPr>
                <w:rFonts w:ascii="Arial" w:eastAsia="Arial" w:hAnsi="Arial" w:cs="Arial"/>
                <w:sz w:val="20"/>
                <w:szCs w:val="18"/>
              </w:rPr>
              <w:t>6</w:t>
            </w:r>
          </w:p>
        </w:tc>
        <w:tc>
          <w:tcPr>
            <w:tcW w:w="371" w:type="pct"/>
            <w:tcBorders>
              <w:top w:val="single" w:sz="4" w:space="0" w:color="FFFFFF" w:themeColor="background1"/>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22"/>
              <w:jc w:val="center"/>
              <w:rPr>
                <w:rFonts w:ascii="Arial" w:eastAsia="Arial" w:hAnsi="Arial" w:cs="Arial"/>
                <w:sz w:val="20"/>
                <w:szCs w:val="18"/>
              </w:rPr>
            </w:pPr>
            <w:r w:rsidRPr="00F94EBD">
              <w:rPr>
                <w:rFonts w:ascii="Arial" w:eastAsia="Arial" w:hAnsi="Arial" w:cs="Arial"/>
                <w:spacing w:val="-9"/>
                <w:sz w:val="20"/>
                <w:szCs w:val="18"/>
              </w:rPr>
              <w:t>1</w:t>
            </w:r>
            <w:r w:rsidRPr="00F94EBD">
              <w:rPr>
                <w:rFonts w:ascii="Arial" w:eastAsia="Arial" w:hAnsi="Arial" w:cs="Arial"/>
                <w:spacing w:val="-6"/>
                <w:sz w:val="20"/>
                <w:szCs w:val="18"/>
              </w:rPr>
              <w:t>2</w:t>
            </w:r>
            <w:r w:rsidRPr="00F94EBD">
              <w:rPr>
                <w:rFonts w:ascii="Arial" w:eastAsia="Arial" w:hAnsi="Arial" w:cs="Arial"/>
                <w:sz w:val="20"/>
                <w:szCs w:val="18"/>
              </w:rPr>
              <w:t>4</w:t>
            </w:r>
          </w:p>
        </w:tc>
        <w:tc>
          <w:tcPr>
            <w:tcW w:w="371" w:type="pct"/>
            <w:tcBorders>
              <w:top w:val="single" w:sz="4" w:space="0" w:color="FFFFFF" w:themeColor="background1"/>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71"/>
              <w:jc w:val="center"/>
              <w:rPr>
                <w:rFonts w:ascii="Arial" w:eastAsia="Arial" w:hAnsi="Arial" w:cs="Arial"/>
                <w:sz w:val="20"/>
                <w:szCs w:val="18"/>
              </w:rPr>
            </w:pPr>
            <w:r w:rsidRPr="00F94EBD">
              <w:rPr>
                <w:rFonts w:ascii="Arial" w:eastAsia="Arial" w:hAnsi="Arial" w:cs="Arial"/>
                <w:spacing w:val="-8"/>
                <w:sz w:val="20"/>
                <w:szCs w:val="18"/>
              </w:rPr>
              <w:t>1</w:t>
            </w:r>
            <w:r w:rsidRPr="00F94EBD">
              <w:rPr>
                <w:rFonts w:ascii="Arial" w:eastAsia="Arial" w:hAnsi="Arial" w:cs="Arial"/>
                <w:spacing w:val="-4"/>
                <w:sz w:val="20"/>
                <w:szCs w:val="18"/>
              </w:rPr>
              <w:t>0</w:t>
            </w:r>
            <w:r w:rsidRPr="00F94EBD">
              <w:rPr>
                <w:rFonts w:ascii="Arial" w:eastAsia="Arial" w:hAnsi="Arial" w:cs="Arial"/>
                <w:sz w:val="20"/>
                <w:szCs w:val="18"/>
              </w:rPr>
              <w:t>1</w:t>
            </w:r>
          </w:p>
        </w:tc>
        <w:tc>
          <w:tcPr>
            <w:tcW w:w="369" w:type="pct"/>
            <w:tcBorders>
              <w:top w:val="single" w:sz="4" w:space="0" w:color="FFFFFF" w:themeColor="background1"/>
              <w:left w:val="single" w:sz="4" w:space="0" w:color="797979"/>
              <w:bottom w:val="single" w:sz="4" w:space="0" w:color="797979"/>
              <w:right w:val="nil"/>
            </w:tcBorders>
            <w:vAlign w:val="center"/>
          </w:tcPr>
          <w:p w:rsidR="003C17D6" w:rsidRPr="00F94EBD" w:rsidRDefault="003C17D6" w:rsidP="00F94EBD">
            <w:pPr>
              <w:pStyle w:val="TableParagraph"/>
              <w:ind w:left="215" w:right="218"/>
              <w:jc w:val="center"/>
              <w:rPr>
                <w:rFonts w:ascii="Arial" w:eastAsia="Arial" w:hAnsi="Arial" w:cs="Arial"/>
                <w:sz w:val="20"/>
                <w:szCs w:val="18"/>
              </w:rPr>
            </w:pPr>
            <w:r w:rsidRPr="00F94EBD">
              <w:rPr>
                <w:rFonts w:ascii="Arial" w:eastAsia="Arial" w:hAnsi="Arial" w:cs="Arial"/>
                <w:spacing w:val="1"/>
                <w:sz w:val="20"/>
                <w:szCs w:val="18"/>
              </w:rPr>
              <w:t>53</w:t>
            </w:r>
          </w:p>
        </w:tc>
      </w:tr>
      <w:tr w:rsidR="00F94EBD" w:rsidTr="00F94EBD">
        <w:trPr>
          <w:trHeight w:hRule="exact" w:val="721"/>
        </w:trPr>
        <w:tc>
          <w:tcPr>
            <w:tcW w:w="591" w:type="pct"/>
            <w:tcBorders>
              <w:top w:val="single" w:sz="4" w:space="0" w:color="797979"/>
              <w:left w:val="nil"/>
              <w:bottom w:val="single" w:sz="4" w:space="0" w:color="797979"/>
              <w:right w:val="single" w:sz="4" w:space="0" w:color="797979"/>
            </w:tcBorders>
            <w:vAlign w:val="center"/>
          </w:tcPr>
          <w:p w:rsidR="003C17D6" w:rsidRPr="00F94EBD" w:rsidRDefault="003C17D6" w:rsidP="00F94EBD">
            <w:pPr>
              <w:pStyle w:val="TableParagraph"/>
              <w:ind w:left="80"/>
              <w:rPr>
                <w:rFonts w:ascii="Arial" w:eastAsia="Arial" w:hAnsi="Arial" w:cs="Arial"/>
                <w:sz w:val="20"/>
                <w:szCs w:val="18"/>
              </w:rPr>
            </w:pPr>
            <w:r w:rsidRPr="00F94EBD">
              <w:rPr>
                <w:rFonts w:ascii="Arial" w:eastAsia="Arial" w:hAnsi="Arial" w:cs="Arial"/>
                <w:sz w:val="20"/>
                <w:szCs w:val="18"/>
              </w:rPr>
              <w:t>Adm</w:t>
            </w:r>
            <w:r w:rsidRPr="00F94EBD">
              <w:rPr>
                <w:rFonts w:ascii="Arial" w:eastAsia="Arial" w:hAnsi="Arial" w:cs="Arial"/>
                <w:spacing w:val="1"/>
                <w:sz w:val="20"/>
                <w:szCs w:val="18"/>
              </w:rPr>
              <w:t>ini</w:t>
            </w:r>
            <w:r w:rsidRPr="00F94EBD">
              <w:rPr>
                <w:rFonts w:ascii="Arial" w:eastAsia="Arial" w:hAnsi="Arial" w:cs="Arial"/>
                <w:spacing w:val="2"/>
                <w:sz w:val="20"/>
                <w:szCs w:val="18"/>
              </w:rPr>
              <w:t>s</w:t>
            </w:r>
            <w:r w:rsidRPr="00F94EBD">
              <w:rPr>
                <w:rFonts w:ascii="Arial" w:eastAsia="Arial" w:hAnsi="Arial" w:cs="Arial"/>
                <w:sz w:val="20"/>
                <w:szCs w:val="18"/>
              </w:rPr>
              <w:t>t</w:t>
            </w:r>
            <w:r w:rsidRPr="00F94EBD">
              <w:rPr>
                <w:rFonts w:ascii="Arial" w:eastAsia="Arial" w:hAnsi="Arial" w:cs="Arial"/>
                <w:spacing w:val="2"/>
                <w:sz w:val="20"/>
                <w:szCs w:val="18"/>
              </w:rPr>
              <w:t>r</w:t>
            </w:r>
            <w:r w:rsidRPr="00F94EBD">
              <w:rPr>
                <w:rFonts w:ascii="Arial" w:eastAsia="Arial" w:hAnsi="Arial" w:cs="Arial"/>
                <w:spacing w:val="1"/>
                <w:sz w:val="20"/>
                <w:szCs w:val="18"/>
              </w:rPr>
              <w:t>a</w:t>
            </w:r>
            <w:r w:rsidRPr="00F94EBD">
              <w:rPr>
                <w:rFonts w:ascii="Arial" w:eastAsia="Arial" w:hAnsi="Arial" w:cs="Arial"/>
                <w:sz w:val="20"/>
                <w:szCs w:val="18"/>
              </w:rPr>
              <w:t>t</w:t>
            </w:r>
            <w:r w:rsidRPr="00F94EBD">
              <w:rPr>
                <w:rFonts w:ascii="Arial" w:eastAsia="Arial" w:hAnsi="Arial" w:cs="Arial"/>
                <w:spacing w:val="1"/>
                <w:sz w:val="20"/>
                <w:szCs w:val="18"/>
              </w:rPr>
              <w:t>i</w:t>
            </w:r>
            <w:r w:rsidRPr="00F94EBD">
              <w:rPr>
                <w:rFonts w:ascii="Arial" w:eastAsia="Arial" w:hAnsi="Arial" w:cs="Arial"/>
                <w:spacing w:val="-2"/>
                <w:sz w:val="20"/>
                <w:szCs w:val="18"/>
              </w:rPr>
              <w:t>v</w:t>
            </w:r>
            <w:r w:rsidRPr="00F94EBD">
              <w:rPr>
                <w:rFonts w:ascii="Arial" w:eastAsia="Arial" w:hAnsi="Arial" w:cs="Arial"/>
                <w:sz w:val="20"/>
                <w:szCs w:val="18"/>
              </w:rPr>
              <w:t>e</w:t>
            </w:r>
            <w:r w:rsidRPr="00F94EBD">
              <w:rPr>
                <w:rFonts w:ascii="Arial" w:eastAsia="Arial" w:hAnsi="Arial" w:cs="Arial"/>
                <w:spacing w:val="10"/>
                <w:sz w:val="20"/>
                <w:szCs w:val="18"/>
              </w:rPr>
              <w:t xml:space="preserve"> </w:t>
            </w:r>
            <w:r w:rsidRPr="00F94EBD">
              <w:rPr>
                <w:rFonts w:ascii="Arial" w:eastAsia="Arial" w:hAnsi="Arial" w:cs="Arial"/>
                <w:spacing w:val="2"/>
                <w:sz w:val="20"/>
                <w:szCs w:val="18"/>
              </w:rPr>
              <w:t>a</w:t>
            </w:r>
            <w:r w:rsidRPr="00F94EBD">
              <w:rPr>
                <w:rFonts w:ascii="Arial" w:eastAsia="Arial" w:hAnsi="Arial" w:cs="Arial"/>
                <w:spacing w:val="1"/>
                <w:sz w:val="20"/>
                <w:szCs w:val="18"/>
              </w:rPr>
              <w:t>n</w:t>
            </w:r>
            <w:r w:rsidRPr="00F94EBD">
              <w:rPr>
                <w:rFonts w:ascii="Arial" w:eastAsia="Arial" w:hAnsi="Arial" w:cs="Arial"/>
                <w:sz w:val="20"/>
                <w:szCs w:val="18"/>
              </w:rPr>
              <w:t>d</w:t>
            </w:r>
            <w:r w:rsidRPr="00F94EBD">
              <w:rPr>
                <w:rFonts w:ascii="Arial" w:eastAsia="Arial" w:hAnsi="Arial" w:cs="Arial"/>
                <w:spacing w:val="10"/>
                <w:sz w:val="20"/>
                <w:szCs w:val="18"/>
              </w:rPr>
              <w:t xml:space="preserve"> </w:t>
            </w:r>
            <w:r w:rsidRPr="00F94EBD">
              <w:rPr>
                <w:rFonts w:ascii="Arial" w:eastAsia="Arial" w:hAnsi="Arial" w:cs="Arial"/>
                <w:spacing w:val="1"/>
                <w:sz w:val="20"/>
                <w:szCs w:val="18"/>
              </w:rPr>
              <w:t>Su</w:t>
            </w:r>
            <w:r w:rsidRPr="00F94EBD">
              <w:rPr>
                <w:rFonts w:ascii="Arial" w:eastAsia="Arial" w:hAnsi="Arial" w:cs="Arial"/>
                <w:sz w:val="20"/>
                <w:szCs w:val="18"/>
              </w:rPr>
              <w:t>p</w:t>
            </w:r>
            <w:r w:rsidRPr="00F94EBD">
              <w:rPr>
                <w:rFonts w:ascii="Arial" w:eastAsia="Arial" w:hAnsi="Arial" w:cs="Arial"/>
                <w:spacing w:val="1"/>
                <w:sz w:val="20"/>
                <w:szCs w:val="18"/>
              </w:rPr>
              <w:t>p</w:t>
            </w:r>
            <w:r w:rsidRPr="00F94EBD">
              <w:rPr>
                <w:rFonts w:ascii="Arial" w:eastAsia="Arial" w:hAnsi="Arial" w:cs="Arial"/>
                <w:sz w:val="20"/>
                <w:szCs w:val="18"/>
              </w:rPr>
              <w:t>o</w:t>
            </w:r>
            <w:r w:rsidRPr="00F94EBD">
              <w:rPr>
                <w:rFonts w:ascii="Arial" w:eastAsia="Arial" w:hAnsi="Arial" w:cs="Arial"/>
                <w:spacing w:val="7"/>
                <w:sz w:val="20"/>
                <w:szCs w:val="18"/>
              </w:rPr>
              <w:t>r</w:t>
            </w:r>
            <w:r w:rsidRPr="00F94EBD">
              <w:rPr>
                <w:rFonts w:ascii="Arial" w:eastAsia="Arial" w:hAnsi="Arial" w:cs="Arial"/>
                <w:sz w:val="20"/>
                <w:szCs w:val="18"/>
              </w:rPr>
              <w:t>t</w:t>
            </w:r>
            <w:r w:rsidRPr="00F94EBD">
              <w:rPr>
                <w:rFonts w:ascii="Arial" w:eastAsia="Arial" w:hAnsi="Arial" w:cs="Arial"/>
                <w:spacing w:val="11"/>
                <w:sz w:val="20"/>
                <w:szCs w:val="18"/>
              </w:rPr>
              <w:t xml:space="preserve"> </w:t>
            </w:r>
            <w:r w:rsidRPr="00F94EBD">
              <w:rPr>
                <w:rFonts w:ascii="Arial" w:eastAsia="Arial" w:hAnsi="Arial" w:cs="Arial"/>
                <w:spacing w:val="2"/>
                <w:sz w:val="20"/>
                <w:szCs w:val="18"/>
              </w:rPr>
              <w:t>Se</w:t>
            </w:r>
            <w:r w:rsidRPr="00F94EBD">
              <w:rPr>
                <w:rFonts w:ascii="Arial" w:eastAsia="Arial" w:hAnsi="Arial" w:cs="Arial"/>
                <w:spacing w:val="7"/>
                <w:sz w:val="20"/>
                <w:szCs w:val="18"/>
              </w:rPr>
              <w:t>r</w:t>
            </w:r>
            <w:r w:rsidRPr="00F94EBD">
              <w:rPr>
                <w:rFonts w:ascii="Arial" w:eastAsia="Arial" w:hAnsi="Arial" w:cs="Arial"/>
                <w:spacing w:val="1"/>
                <w:sz w:val="20"/>
                <w:szCs w:val="18"/>
              </w:rPr>
              <w:t>vic</w:t>
            </w:r>
            <w:r w:rsidRPr="00F94EBD">
              <w:rPr>
                <w:rFonts w:ascii="Arial" w:eastAsia="Arial" w:hAnsi="Arial" w:cs="Arial"/>
                <w:spacing w:val="2"/>
                <w:sz w:val="20"/>
                <w:szCs w:val="18"/>
              </w:rPr>
              <w:t>e</w:t>
            </w:r>
            <w:r w:rsidRPr="00F94EBD">
              <w:rPr>
                <w:rFonts w:ascii="Arial" w:eastAsia="Arial" w:hAnsi="Arial" w:cs="Arial"/>
                <w:sz w:val="20"/>
                <w:szCs w:val="18"/>
              </w:rPr>
              <w:t>s</w:t>
            </w:r>
          </w:p>
        </w:tc>
        <w:tc>
          <w:tcPr>
            <w:tcW w:w="380"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
              <w:jc w:val="center"/>
              <w:rPr>
                <w:rFonts w:ascii="Arial" w:eastAsia="Arial" w:hAnsi="Arial" w:cs="Arial"/>
                <w:sz w:val="20"/>
                <w:szCs w:val="18"/>
              </w:rPr>
            </w:pPr>
            <w:r w:rsidRPr="00F94EBD">
              <w:rPr>
                <w:rFonts w:ascii="Arial" w:eastAsia="Arial" w:hAnsi="Arial" w:cs="Arial"/>
                <w:spacing w:val="1"/>
                <w:sz w:val="20"/>
                <w:szCs w:val="18"/>
              </w:rPr>
              <w:t>48</w:t>
            </w:r>
          </w:p>
        </w:tc>
        <w:tc>
          <w:tcPr>
            <w:tcW w:w="358"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03"/>
              <w:jc w:val="center"/>
              <w:rPr>
                <w:rFonts w:ascii="Arial" w:eastAsia="Arial" w:hAnsi="Arial" w:cs="Arial"/>
                <w:sz w:val="20"/>
                <w:szCs w:val="18"/>
              </w:rPr>
            </w:pPr>
            <w:r w:rsidRPr="00F94EBD">
              <w:rPr>
                <w:rFonts w:ascii="Arial" w:eastAsia="Arial" w:hAnsi="Arial" w:cs="Arial"/>
                <w:spacing w:val="1"/>
                <w:w w:val="105"/>
                <w:sz w:val="20"/>
                <w:szCs w:val="18"/>
              </w:rPr>
              <w:t>8%</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right="2"/>
              <w:jc w:val="center"/>
              <w:rPr>
                <w:rFonts w:ascii="Arial" w:eastAsia="Arial" w:hAnsi="Arial" w:cs="Arial"/>
                <w:sz w:val="20"/>
                <w:szCs w:val="18"/>
              </w:rPr>
            </w:pPr>
            <w:r w:rsidRPr="00F94EBD">
              <w:rPr>
                <w:rFonts w:ascii="Arial" w:eastAsia="Arial" w:hAnsi="Arial" w:cs="Arial"/>
                <w:spacing w:val="-3"/>
                <w:sz w:val="20"/>
                <w:szCs w:val="18"/>
              </w:rPr>
              <w:t>28</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74"/>
              <w:jc w:val="center"/>
              <w:rPr>
                <w:rFonts w:ascii="Arial" w:eastAsia="Arial" w:hAnsi="Arial" w:cs="Arial"/>
                <w:sz w:val="20"/>
                <w:szCs w:val="18"/>
              </w:rPr>
            </w:pPr>
            <w:r w:rsidRPr="00F94EBD">
              <w:rPr>
                <w:rFonts w:ascii="Arial" w:eastAsia="Arial" w:hAnsi="Arial" w:cs="Arial"/>
                <w:spacing w:val="2"/>
                <w:w w:val="105"/>
                <w:sz w:val="20"/>
                <w:szCs w:val="18"/>
              </w:rPr>
              <w:t>9%</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right="7"/>
              <w:jc w:val="center"/>
              <w:rPr>
                <w:rFonts w:ascii="Arial" w:eastAsia="Arial" w:hAnsi="Arial" w:cs="Arial"/>
                <w:sz w:val="20"/>
                <w:szCs w:val="18"/>
              </w:rPr>
            </w:pPr>
            <w:r w:rsidRPr="00F94EBD">
              <w:rPr>
                <w:rFonts w:ascii="Arial" w:eastAsia="Arial" w:hAnsi="Arial" w:cs="Arial"/>
                <w:spacing w:val="-8"/>
                <w:sz w:val="20"/>
                <w:szCs w:val="18"/>
              </w:rPr>
              <w:t>19</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84"/>
              <w:jc w:val="center"/>
              <w:rPr>
                <w:rFonts w:ascii="Arial" w:eastAsia="Arial" w:hAnsi="Arial" w:cs="Arial"/>
                <w:sz w:val="20"/>
                <w:szCs w:val="18"/>
              </w:rPr>
            </w:pPr>
            <w:r w:rsidRPr="00F94EBD">
              <w:rPr>
                <w:rFonts w:ascii="Arial" w:eastAsia="Arial" w:hAnsi="Arial" w:cs="Arial"/>
                <w:spacing w:val="1"/>
                <w:w w:val="105"/>
                <w:sz w:val="20"/>
                <w:szCs w:val="18"/>
              </w:rPr>
              <w:t>8%</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66" w:right="265"/>
              <w:jc w:val="center"/>
              <w:rPr>
                <w:rFonts w:ascii="Arial" w:eastAsia="Arial" w:hAnsi="Arial" w:cs="Arial"/>
                <w:sz w:val="20"/>
                <w:szCs w:val="18"/>
              </w:rPr>
            </w:pPr>
            <w:r w:rsidRPr="00F94EBD">
              <w:rPr>
                <w:rFonts w:ascii="Arial" w:eastAsia="Arial" w:hAnsi="Arial" w:cs="Arial"/>
                <w:sz w:val="20"/>
                <w:szCs w:val="18"/>
              </w:rPr>
              <w:t>7</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93"/>
              <w:jc w:val="center"/>
              <w:rPr>
                <w:rFonts w:ascii="Arial" w:eastAsia="Arial" w:hAnsi="Arial" w:cs="Arial"/>
                <w:sz w:val="20"/>
                <w:szCs w:val="18"/>
              </w:rPr>
            </w:pPr>
            <w:r w:rsidRPr="00F94EBD">
              <w:rPr>
                <w:rFonts w:ascii="Arial" w:eastAsia="Arial" w:hAnsi="Arial" w:cs="Arial"/>
                <w:spacing w:val="1"/>
                <w:w w:val="105"/>
                <w:sz w:val="20"/>
                <w:szCs w:val="18"/>
              </w:rPr>
              <w:t>8%</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jc w:val="center"/>
              <w:rPr>
                <w:rFonts w:ascii="Arial" w:eastAsia="Arial" w:hAnsi="Arial" w:cs="Arial"/>
                <w:sz w:val="20"/>
                <w:szCs w:val="18"/>
              </w:rPr>
            </w:pPr>
            <w:r w:rsidRPr="00F94EBD">
              <w:rPr>
                <w:rFonts w:ascii="Arial" w:eastAsia="Arial" w:hAnsi="Arial" w:cs="Arial"/>
                <w:spacing w:val="-6"/>
                <w:sz w:val="20"/>
                <w:szCs w:val="18"/>
              </w:rPr>
              <w:t>2</w:t>
            </w:r>
            <w:r w:rsidRPr="00F94EBD">
              <w:rPr>
                <w:rFonts w:ascii="Arial" w:eastAsia="Arial" w:hAnsi="Arial" w:cs="Arial"/>
                <w:spacing w:val="1"/>
                <w:sz w:val="20"/>
                <w:szCs w:val="18"/>
              </w:rPr>
              <w:t>4</w:t>
            </w:r>
            <w:r w:rsidRPr="00F94EBD">
              <w:rPr>
                <w:rFonts w:ascii="Arial" w:eastAsia="Arial" w:hAnsi="Arial" w:cs="Arial"/>
                <w:sz w:val="20"/>
                <w:szCs w:val="18"/>
              </w:rPr>
              <w:t>0</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17"/>
              <w:jc w:val="center"/>
              <w:rPr>
                <w:rFonts w:ascii="Arial" w:eastAsia="Arial" w:hAnsi="Arial" w:cs="Arial"/>
                <w:sz w:val="20"/>
                <w:szCs w:val="18"/>
              </w:rPr>
            </w:pPr>
            <w:r w:rsidRPr="00F94EBD">
              <w:rPr>
                <w:rFonts w:ascii="Arial" w:eastAsia="Arial" w:hAnsi="Arial" w:cs="Arial"/>
                <w:spacing w:val="-1"/>
                <w:sz w:val="20"/>
                <w:szCs w:val="18"/>
              </w:rPr>
              <w:t>2</w:t>
            </w:r>
            <w:r w:rsidRPr="00F94EBD">
              <w:rPr>
                <w:rFonts w:ascii="Arial" w:eastAsia="Arial" w:hAnsi="Arial" w:cs="Arial"/>
                <w:spacing w:val="-4"/>
                <w:sz w:val="20"/>
                <w:szCs w:val="18"/>
              </w:rPr>
              <w:t>01</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68"/>
              <w:jc w:val="center"/>
              <w:rPr>
                <w:rFonts w:ascii="Arial" w:eastAsia="Arial" w:hAnsi="Arial" w:cs="Arial"/>
                <w:sz w:val="20"/>
                <w:szCs w:val="18"/>
              </w:rPr>
            </w:pPr>
            <w:r w:rsidRPr="00F94EBD">
              <w:rPr>
                <w:rFonts w:ascii="Arial" w:eastAsia="Arial" w:hAnsi="Arial" w:cs="Arial"/>
                <w:spacing w:val="-8"/>
                <w:sz w:val="20"/>
                <w:szCs w:val="18"/>
              </w:rPr>
              <w:t>1</w:t>
            </w:r>
            <w:r w:rsidRPr="00F94EBD">
              <w:rPr>
                <w:rFonts w:ascii="Arial" w:eastAsia="Arial" w:hAnsi="Arial" w:cs="Arial"/>
                <w:spacing w:val="2"/>
                <w:sz w:val="20"/>
                <w:szCs w:val="18"/>
              </w:rPr>
              <w:t>6</w:t>
            </w:r>
            <w:r w:rsidRPr="00F94EBD">
              <w:rPr>
                <w:rFonts w:ascii="Arial" w:eastAsia="Arial" w:hAnsi="Arial" w:cs="Arial"/>
                <w:sz w:val="20"/>
                <w:szCs w:val="18"/>
              </w:rPr>
              <w:t>9</w:t>
            </w:r>
          </w:p>
        </w:tc>
        <w:tc>
          <w:tcPr>
            <w:tcW w:w="369" w:type="pct"/>
            <w:tcBorders>
              <w:top w:val="single" w:sz="4" w:space="0" w:color="797979"/>
              <w:left w:val="single" w:sz="4" w:space="0" w:color="797979"/>
              <w:bottom w:val="single" w:sz="4" w:space="0" w:color="797979"/>
              <w:right w:val="nil"/>
            </w:tcBorders>
            <w:vAlign w:val="center"/>
          </w:tcPr>
          <w:p w:rsidR="003C17D6" w:rsidRPr="00F94EBD" w:rsidRDefault="003C17D6" w:rsidP="00F94EBD">
            <w:pPr>
              <w:pStyle w:val="TableParagraph"/>
              <w:ind w:right="2"/>
              <w:jc w:val="center"/>
              <w:rPr>
                <w:rFonts w:ascii="Arial" w:eastAsia="Arial" w:hAnsi="Arial" w:cs="Arial"/>
                <w:sz w:val="20"/>
                <w:szCs w:val="18"/>
              </w:rPr>
            </w:pPr>
            <w:r w:rsidRPr="00F94EBD">
              <w:rPr>
                <w:rFonts w:ascii="Arial" w:eastAsia="Arial" w:hAnsi="Arial" w:cs="Arial"/>
                <w:spacing w:val="2"/>
                <w:sz w:val="20"/>
                <w:szCs w:val="18"/>
              </w:rPr>
              <w:t>89</w:t>
            </w:r>
          </w:p>
        </w:tc>
      </w:tr>
      <w:tr w:rsidR="00F94EBD" w:rsidTr="00F94EBD">
        <w:trPr>
          <w:trHeight w:hRule="exact" w:val="704"/>
        </w:trPr>
        <w:tc>
          <w:tcPr>
            <w:tcW w:w="591" w:type="pct"/>
            <w:tcBorders>
              <w:top w:val="single" w:sz="4" w:space="0" w:color="797979"/>
              <w:left w:val="nil"/>
              <w:bottom w:val="single" w:sz="4" w:space="0" w:color="797979"/>
              <w:right w:val="single" w:sz="4" w:space="0" w:color="797979"/>
            </w:tcBorders>
            <w:vAlign w:val="center"/>
          </w:tcPr>
          <w:p w:rsidR="003C17D6" w:rsidRPr="00F94EBD" w:rsidRDefault="003C17D6" w:rsidP="00F94EBD">
            <w:pPr>
              <w:pStyle w:val="TableParagraph"/>
              <w:ind w:left="80"/>
              <w:rPr>
                <w:rFonts w:ascii="Arial" w:eastAsia="Arial" w:hAnsi="Arial" w:cs="Arial"/>
                <w:sz w:val="20"/>
                <w:szCs w:val="18"/>
              </w:rPr>
            </w:pPr>
            <w:r w:rsidRPr="00F94EBD">
              <w:rPr>
                <w:rFonts w:ascii="Arial" w:eastAsia="Arial" w:hAnsi="Arial" w:cs="Arial"/>
                <w:sz w:val="20"/>
                <w:szCs w:val="18"/>
              </w:rPr>
              <w:t>Ag</w:t>
            </w:r>
            <w:r w:rsidRPr="00F94EBD">
              <w:rPr>
                <w:rFonts w:ascii="Arial" w:eastAsia="Arial" w:hAnsi="Arial" w:cs="Arial"/>
                <w:spacing w:val="2"/>
                <w:sz w:val="20"/>
                <w:szCs w:val="18"/>
              </w:rPr>
              <w:t>r</w:t>
            </w:r>
            <w:r w:rsidRPr="00F94EBD">
              <w:rPr>
                <w:rFonts w:ascii="Arial" w:eastAsia="Arial" w:hAnsi="Arial" w:cs="Arial"/>
                <w:spacing w:val="1"/>
                <w:sz w:val="20"/>
                <w:szCs w:val="18"/>
              </w:rPr>
              <w:t>i</w:t>
            </w:r>
            <w:r w:rsidRPr="00F94EBD">
              <w:rPr>
                <w:rFonts w:ascii="Arial" w:eastAsia="Arial" w:hAnsi="Arial" w:cs="Arial"/>
                <w:sz w:val="20"/>
                <w:szCs w:val="18"/>
              </w:rPr>
              <w:t>c</w:t>
            </w:r>
            <w:r w:rsidRPr="00F94EBD">
              <w:rPr>
                <w:rFonts w:ascii="Arial" w:eastAsia="Arial" w:hAnsi="Arial" w:cs="Arial"/>
                <w:spacing w:val="1"/>
                <w:sz w:val="20"/>
                <w:szCs w:val="18"/>
              </w:rPr>
              <w:t>ul</w:t>
            </w:r>
            <w:r w:rsidRPr="00F94EBD">
              <w:rPr>
                <w:rFonts w:ascii="Arial" w:eastAsia="Arial" w:hAnsi="Arial" w:cs="Arial"/>
                <w:sz w:val="20"/>
                <w:szCs w:val="18"/>
              </w:rPr>
              <w:t>t</w:t>
            </w:r>
            <w:r w:rsidRPr="00F94EBD">
              <w:rPr>
                <w:rFonts w:ascii="Arial" w:eastAsia="Arial" w:hAnsi="Arial" w:cs="Arial"/>
                <w:spacing w:val="1"/>
                <w:sz w:val="20"/>
                <w:szCs w:val="18"/>
              </w:rPr>
              <w:t>u</w:t>
            </w:r>
            <w:r w:rsidRPr="00F94EBD">
              <w:rPr>
                <w:rFonts w:ascii="Arial" w:eastAsia="Arial" w:hAnsi="Arial" w:cs="Arial"/>
                <w:sz w:val="20"/>
                <w:szCs w:val="18"/>
              </w:rPr>
              <w:t>r</w:t>
            </w:r>
            <w:r w:rsidRPr="00F94EBD">
              <w:rPr>
                <w:rFonts w:ascii="Arial" w:eastAsia="Arial" w:hAnsi="Arial" w:cs="Arial"/>
                <w:spacing w:val="-2"/>
                <w:sz w:val="20"/>
                <w:szCs w:val="18"/>
              </w:rPr>
              <w:t>e</w:t>
            </w:r>
            <w:r w:rsidRPr="00F94EBD">
              <w:rPr>
                <w:rFonts w:ascii="Arial" w:eastAsia="Arial" w:hAnsi="Arial" w:cs="Arial"/>
                <w:sz w:val="20"/>
                <w:szCs w:val="18"/>
              </w:rPr>
              <w:t>,</w:t>
            </w:r>
            <w:r w:rsidRPr="00F94EBD">
              <w:rPr>
                <w:rFonts w:ascii="Arial" w:eastAsia="Arial" w:hAnsi="Arial" w:cs="Arial"/>
                <w:spacing w:val="2"/>
                <w:sz w:val="20"/>
                <w:szCs w:val="18"/>
              </w:rPr>
              <w:t xml:space="preserve"> </w:t>
            </w:r>
            <w:r w:rsidRPr="00F94EBD">
              <w:rPr>
                <w:rFonts w:ascii="Arial" w:eastAsia="Arial" w:hAnsi="Arial" w:cs="Arial"/>
                <w:spacing w:val="-3"/>
                <w:sz w:val="20"/>
                <w:szCs w:val="18"/>
              </w:rPr>
              <w:t>F</w:t>
            </w:r>
            <w:r w:rsidRPr="00F94EBD">
              <w:rPr>
                <w:rFonts w:ascii="Arial" w:eastAsia="Arial" w:hAnsi="Arial" w:cs="Arial"/>
                <w:sz w:val="20"/>
                <w:szCs w:val="18"/>
              </w:rPr>
              <w:t>or</w:t>
            </w:r>
            <w:r w:rsidRPr="00F94EBD">
              <w:rPr>
                <w:rFonts w:ascii="Arial" w:eastAsia="Arial" w:hAnsi="Arial" w:cs="Arial"/>
                <w:spacing w:val="2"/>
                <w:sz w:val="20"/>
                <w:szCs w:val="18"/>
              </w:rPr>
              <w:t>es</w:t>
            </w:r>
            <w:r w:rsidRPr="00F94EBD">
              <w:rPr>
                <w:rFonts w:ascii="Arial" w:eastAsia="Arial" w:hAnsi="Arial" w:cs="Arial"/>
                <w:sz w:val="20"/>
                <w:szCs w:val="18"/>
              </w:rPr>
              <w:t>t</w:t>
            </w:r>
            <w:r w:rsidRPr="00F94EBD">
              <w:rPr>
                <w:rFonts w:ascii="Arial" w:eastAsia="Arial" w:hAnsi="Arial" w:cs="Arial"/>
                <w:spacing w:val="7"/>
                <w:sz w:val="20"/>
                <w:szCs w:val="18"/>
              </w:rPr>
              <w:t>r</w:t>
            </w:r>
            <w:r w:rsidRPr="00F94EBD">
              <w:rPr>
                <w:rFonts w:ascii="Arial" w:eastAsia="Arial" w:hAnsi="Arial" w:cs="Arial"/>
                <w:sz w:val="20"/>
                <w:szCs w:val="18"/>
              </w:rPr>
              <w:t>y</w:t>
            </w:r>
            <w:r w:rsidRPr="00F94EBD">
              <w:rPr>
                <w:rFonts w:ascii="Arial" w:eastAsia="Arial" w:hAnsi="Arial" w:cs="Arial"/>
                <w:spacing w:val="3"/>
                <w:sz w:val="20"/>
                <w:szCs w:val="18"/>
              </w:rPr>
              <w:t xml:space="preserve"> </w:t>
            </w:r>
            <w:r w:rsidRPr="00F94EBD">
              <w:rPr>
                <w:rFonts w:ascii="Arial" w:eastAsia="Arial" w:hAnsi="Arial" w:cs="Arial"/>
                <w:spacing w:val="2"/>
                <w:sz w:val="20"/>
                <w:szCs w:val="18"/>
              </w:rPr>
              <w:t>a</w:t>
            </w:r>
            <w:r w:rsidRPr="00F94EBD">
              <w:rPr>
                <w:rFonts w:ascii="Arial" w:eastAsia="Arial" w:hAnsi="Arial" w:cs="Arial"/>
                <w:spacing w:val="1"/>
                <w:sz w:val="20"/>
                <w:szCs w:val="18"/>
              </w:rPr>
              <w:t>n</w:t>
            </w:r>
            <w:r w:rsidRPr="00F94EBD">
              <w:rPr>
                <w:rFonts w:ascii="Arial" w:eastAsia="Arial" w:hAnsi="Arial" w:cs="Arial"/>
                <w:sz w:val="20"/>
                <w:szCs w:val="18"/>
              </w:rPr>
              <w:t>d</w:t>
            </w:r>
            <w:r w:rsidRPr="00F94EBD">
              <w:rPr>
                <w:rFonts w:ascii="Arial" w:eastAsia="Arial" w:hAnsi="Arial" w:cs="Arial"/>
                <w:spacing w:val="3"/>
                <w:sz w:val="20"/>
                <w:szCs w:val="18"/>
              </w:rPr>
              <w:t xml:space="preserve"> </w:t>
            </w:r>
            <w:r w:rsidRPr="00F94EBD">
              <w:rPr>
                <w:rFonts w:ascii="Arial" w:eastAsia="Arial" w:hAnsi="Arial" w:cs="Arial"/>
                <w:sz w:val="20"/>
                <w:szCs w:val="18"/>
              </w:rPr>
              <w:t>F</w:t>
            </w:r>
            <w:r w:rsidRPr="00F94EBD">
              <w:rPr>
                <w:rFonts w:ascii="Arial" w:eastAsia="Arial" w:hAnsi="Arial" w:cs="Arial"/>
                <w:spacing w:val="1"/>
                <w:sz w:val="20"/>
                <w:szCs w:val="18"/>
              </w:rPr>
              <w:t>ishin</w:t>
            </w:r>
            <w:r w:rsidRPr="00F94EBD">
              <w:rPr>
                <w:rFonts w:ascii="Arial" w:eastAsia="Arial" w:hAnsi="Arial" w:cs="Arial"/>
                <w:sz w:val="20"/>
                <w:szCs w:val="18"/>
              </w:rPr>
              <w:t>g</w:t>
            </w:r>
          </w:p>
        </w:tc>
        <w:tc>
          <w:tcPr>
            <w:tcW w:w="380"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93" w:right="293"/>
              <w:jc w:val="center"/>
              <w:rPr>
                <w:rFonts w:ascii="Arial" w:eastAsia="Arial" w:hAnsi="Arial" w:cs="Arial"/>
                <w:sz w:val="20"/>
                <w:szCs w:val="18"/>
              </w:rPr>
            </w:pPr>
            <w:r w:rsidRPr="00F94EBD">
              <w:rPr>
                <w:rFonts w:ascii="Arial" w:eastAsia="Arial" w:hAnsi="Arial" w:cs="Arial"/>
                <w:sz w:val="20"/>
                <w:szCs w:val="18"/>
              </w:rPr>
              <w:t>2</w:t>
            </w:r>
          </w:p>
        </w:tc>
        <w:tc>
          <w:tcPr>
            <w:tcW w:w="358"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02"/>
              <w:jc w:val="center"/>
              <w:rPr>
                <w:rFonts w:ascii="Arial" w:eastAsia="Arial" w:hAnsi="Arial" w:cs="Arial"/>
                <w:sz w:val="20"/>
                <w:szCs w:val="18"/>
              </w:rPr>
            </w:pPr>
            <w:r w:rsidRPr="00F94EBD">
              <w:rPr>
                <w:rFonts w:ascii="Arial" w:eastAsia="Arial" w:hAnsi="Arial" w:cs="Arial"/>
                <w:spacing w:val="3"/>
                <w:w w:val="105"/>
                <w:sz w:val="20"/>
                <w:szCs w:val="18"/>
              </w:rPr>
              <w:t>0%</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spacing w:after="0"/>
              <w:jc w:val="center"/>
              <w:rPr>
                <w:sz w:val="20"/>
              </w:rPr>
            </w:pP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74"/>
              <w:jc w:val="center"/>
              <w:rPr>
                <w:rFonts w:ascii="Arial" w:eastAsia="Arial" w:hAnsi="Arial" w:cs="Arial"/>
                <w:sz w:val="20"/>
                <w:szCs w:val="18"/>
              </w:rPr>
            </w:pPr>
            <w:r w:rsidRPr="00F94EBD">
              <w:rPr>
                <w:rFonts w:ascii="Arial" w:eastAsia="Arial" w:hAnsi="Arial" w:cs="Arial"/>
                <w:spacing w:val="3"/>
                <w:w w:val="105"/>
                <w:sz w:val="20"/>
                <w:szCs w:val="18"/>
              </w:rPr>
              <w:t>0%</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84" w:right="284"/>
              <w:jc w:val="center"/>
              <w:rPr>
                <w:rFonts w:ascii="Arial" w:eastAsia="Arial" w:hAnsi="Arial" w:cs="Arial"/>
                <w:sz w:val="20"/>
                <w:szCs w:val="18"/>
              </w:rPr>
            </w:pPr>
            <w:r w:rsidRPr="00F94EBD">
              <w:rPr>
                <w:rFonts w:ascii="Arial" w:eastAsia="Arial" w:hAnsi="Arial" w:cs="Arial"/>
                <w:sz w:val="20"/>
                <w:szCs w:val="18"/>
              </w:rPr>
              <w:t>1</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83"/>
              <w:jc w:val="center"/>
              <w:rPr>
                <w:rFonts w:ascii="Arial" w:eastAsia="Arial" w:hAnsi="Arial" w:cs="Arial"/>
                <w:sz w:val="20"/>
                <w:szCs w:val="18"/>
              </w:rPr>
            </w:pPr>
            <w:r w:rsidRPr="00F94EBD">
              <w:rPr>
                <w:rFonts w:ascii="Arial" w:eastAsia="Arial" w:hAnsi="Arial" w:cs="Arial"/>
                <w:spacing w:val="3"/>
                <w:w w:val="105"/>
                <w:sz w:val="20"/>
                <w:szCs w:val="18"/>
              </w:rPr>
              <w:t>0%</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spacing w:after="0"/>
              <w:jc w:val="center"/>
              <w:rPr>
                <w:sz w:val="20"/>
              </w:rPr>
            </w:pP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93"/>
              <w:jc w:val="center"/>
              <w:rPr>
                <w:rFonts w:ascii="Arial" w:eastAsia="Arial" w:hAnsi="Arial" w:cs="Arial"/>
                <w:sz w:val="20"/>
                <w:szCs w:val="18"/>
              </w:rPr>
            </w:pPr>
            <w:r w:rsidRPr="00F94EBD">
              <w:rPr>
                <w:rFonts w:ascii="Arial" w:eastAsia="Arial" w:hAnsi="Arial" w:cs="Arial"/>
                <w:spacing w:val="3"/>
                <w:w w:val="105"/>
                <w:sz w:val="20"/>
                <w:szCs w:val="18"/>
              </w:rPr>
              <w:t>0%</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91" w:right="291"/>
              <w:jc w:val="center"/>
              <w:rPr>
                <w:rFonts w:ascii="Arial" w:eastAsia="Arial" w:hAnsi="Arial" w:cs="Arial"/>
                <w:sz w:val="20"/>
                <w:szCs w:val="18"/>
              </w:rPr>
            </w:pPr>
            <w:r w:rsidRPr="00F94EBD">
              <w:rPr>
                <w:rFonts w:ascii="Arial" w:eastAsia="Arial" w:hAnsi="Arial" w:cs="Arial"/>
                <w:spacing w:val="2"/>
                <w:sz w:val="20"/>
                <w:szCs w:val="18"/>
              </w:rPr>
              <w:t>3</w:t>
            </w:r>
            <w:r w:rsidRPr="00F94EBD">
              <w:rPr>
                <w:rFonts w:ascii="Arial" w:eastAsia="Arial" w:hAnsi="Arial" w:cs="Arial"/>
                <w:sz w:val="20"/>
                <w:szCs w:val="18"/>
              </w:rPr>
              <w:t>8</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3"/>
              <w:jc w:val="center"/>
              <w:rPr>
                <w:rFonts w:ascii="Arial" w:eastAsia="Arial" w:hAnsi="Arial" w:cs="Arial"/>
                <w:sz w:val="20"/>
                <w:szCs w:val="18"/>
              </w:rPr>
            </w:pPr>
            <w:r w:rsidRPr="00F94EBD">
              <w:rPr>
                <w:rFonts w:ascii="Arial" w:eastAsia="Arial" w:hAnsi="Arial" w:cs="Arial"/>
                <w:spacing w:val="3"/>
                <w:sz w:val="20"/>
                <w:szCs w:val="18"/>
              </w:rPr>
              <w:t>66</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jc w:val="center"/>
              <w:rPr>
                <w:rFonts w:ascii="Arial" w:eastAsia="Arial" w:hAnsi="Arial" w:cs="Arial"/>
                <w:sz w:val="20"/>
                <w:szCs w:val="18"/>
              </w:rPr>
            </w:pPr>
            <w:r w:rsidRPr="00F94EBD">
              <w:rPr>
                <w:rFonts w:ascii="Arial" w:eastAsia="Arial" w:hAnsi="Arial" w:cs="Arial"/>
                <w:spacing w:val="1"/>
                <w:sz w:val="20"/>
                <w:szCs w:val="18"/>
              </w:rPr>
              <w:t>4</w:t>
            </w:r>
            <w:r w:rsidRPr="00F94EBD">
              <w:rPr>
                <w:rFonts w:ascii="Arial" w:eastAsia="Arial" w:hAnsi="Arial" w:cs="Arial"/>
                <w:sz w:val="20"/>
                <w:szCs w:val="18"/>
              </w:rPr>
              <w:t>6</w:t>
            </w:r>
          </w:p>
        </w:tc>
        <w:tc>
          <w:tcPr>
            <w:tcW w:w="369" w:type="pct"/>
            <w:tcBorders>
              <w:top w:val="single" w:sz="4" w:space="0" w:color="797979"/>
              <w:left w:val="single" w:sz="4" w:space="0" w:color="797979"/>
              <w:bottom w:val="single" w:sz="4" w:space="0" w:color="797979"/>
              <w:right w:val="nil"/>
            </w:tcBorders>
            <w:vAlign w:val="center"/>
          </w:tcPr>
          <w:p w:rsidR="003C17D6" w:rsidRPr="00F94EBD" w:rsidRDefault="003C17D6" w:rsidP="00F94EBD">
            <w:pPr>
              <w:pStyle w:val="TableParagraph"/>
              <w:ind w:left="215" w:right="218"/>
              <w:jc w:val="center"/>
              <w:rPr>
                <w:rFonts w:ascii="Arial" w:eastAsia="Arial" w:hAnsi="Arial" w:cs="Arial"/>
                <w:sz w:val="20"/>
                <w:szCs w:val="18"/>
              </w:rPr>
            </w:pPr>
            <w:r w:rsidRPr="00F94EBD">
              <w:rPr>
                <w:rFonts w:ascii="Arial" w:eastAsia="Arial" w:hAnsi="Arial" w:cs="Arial"/>
                <w:spacing w:val="1"/>
                <w:sz w:val="20"/>
                <w:szCs w:val="18"/>
              </w:rPr>
              <w:t>33</w:t>
            </w:r>
          </w:p>
        </w:tc>
      </w:tr>
      <w:tr w:rsidR="00F94EBD" w:rsidTr="00F94EBD">
        <w:trPr>
          <w:trHeight w:hRule="exact" w:val="714"/>
        </w:trPr>
        <w:tc>
          <w:tcPr>
            <w:tcW w:w="591" w:type="pct"/>
            <w:tcBorders>
              <w:top w:val="single" w:sz="4" w:space="0" w:color="797979"/>
              <w:left w:val="nil"/>
              <w:bottom w:val="single" w:sz="4" w:space="0" w:color="797979"/>
              <w:right w:val="single" w:sz="4" w:space="0" w:color="797979"/>
            </w:tcBorders>
            <w:vAlign w:val="center"/>
          </w:tcPr>
          <w:p w:rsidR="003C17D6" w:rsidRPr="00F94EBD" w:rsidRDefault="003C17D6" w:rsidP="00F94EBD">
            <w:pPr>
              <w:pStyle w:val="TableParagraph"/>
              <w:ind w:left="80"/>
              <w:rPr>
                <w:rFonts w:ascii="Arial" w:eastAsia="Arial" w:hAnsi="Arial" w:cs="Arial"/>
                <w:sz w:val="20"/>
                <w:szCs w:val="18"/>
              </w:rPr>
            </w:pPr>
            <w:r w:rsidRPr="00F94EBD">
              <w:rPr>
                <w:rFonts w:ascii="Arial" w:eastAsia="Arial" w:hAnsi="Arial" w:cs="Arial"/>
                <w:spacing w:val="3"/>
                <w:sz w:val="20"/>
                <w:szCs w:val="18"/>
              </w:rPr>
              <w:t>A</w:t>
            </w:r>
            <w:r w:rsidRPr="00F94EBD">
              <w:rPr>
                <w:rFonts w:ascii="Arial" w:eastAsia="Arial" w:hAnsi="Arial" w:cs="Arial"/>
                <w:spacing w:val="7"/>
                <w:sz w:val="20"/>
                <w:szCs w:val="18"/>
              </w:rPr>
              <w:t>r</w:t>
            </w:r>
            <w:r w:rsidRPr="00F94EBD">
              <w:rPr>
                <w:rFonts w:ascii="Arial" w:eastAsia="Arial" w:hAnsi="Arial" w:cs="Arial"/>
                <w:sz w:val="20"/>
                <w:szCs w:val="18"/>
              </w:rPr>
              <w:t>ts</w:t>
            </w:r>
            <w:r w:rsidRPr="00F94EBD">
              <w:rPr>
                <w:rFonts w:ascii="Arial" w:eastAsia="Arial" w:hAnsi="Arial" w:cs="Arial"/>
                <w:spacing w:val="-1"/>
                <w:sz w:val="20"/>
                <w:szCs w:val="18"/>
              </w:rPr>
              <w:t xml:space="preserve"> </w:t>
            </w:r>
            <w:r w:rsidRPr="00F94EBD">
              <w:rPr>
                <w:rFonts w:ascii="Arial" w:eastAsia="Arial" w:hAnsi="Arial" w:cs="Arial"/>
                <w:spacing w:val="2"/>
                <w:sz w:val="20"/>
                <w:szCs w:val="18"/>
              </w:rPr>
              <w:t>a</w:t>
            </w:r>
            <w:r w:rsidRPr="00F94EBD">
              <w:rPr>
                <w:rFonts w:ascii="Arial" w:eastAsia="Arial" w:hAnsi="Arial" w:cs="Arial"/>
                <w:spacing w:val="1"/>
                <w:sz w:val="20"/>
                <w:szCs w:val="18"/>
              </w:rPr>
              <w:t>n</w:t>
            </w:r>
            <w:r w:rsidRPr="00F94EBD">
              <w:rPr>
                <w:rFonts w:ascii="Arial" w:eastAsia="Arial" w:hAnsi="Arial" w:cs="Arial"/>
                <w:sz w:val="20"/>
                <w:szCs w:val="18"/>
              </w:rPr>
              <w:t xml:space="preserve">d </w:t>
            </w:r>
            <w:r w:rsidRPr="00F94EBD">
              <w:rPr>
                <w:rFonts w:ascii="Arial" w:eastAsia="Arial" w:hAnsi="Arial" w:cs="Arial"/>
                <w:spacing w:val="1"/>
                <w:sz w:val="20"/>
                <w:szCs w:val="18"/>
              </w:rPr>
              <w:t>R</w:t>
            </w:r>
            <w:r w:rsidRPr="00F94EBD">
              <w:rPr>
                <w:rFonts w:ascii="Arial" w:eastAsia="Arial" w:hAnsi="Arial" w:cs="Arial"/>
                <w:spacing w:val="3"/>
                <w:sz w:val="20"/>
                <w:szCs w:val="18"/>
              </w:rPr>
              <w:t>e</w:t>
            </w:r>
            <w:r w:rsidRPr="00F94EBD">
              <w:rPr>
                <w:rFonts w:ascii="Arial" w:eastAsia="Arial" w:hAnsi="Arial" w:cs="Arial"/>
                <w:spacing w:val="1"/>
                <w:sz w:val="20"/>
                <w:szCs w:val="18"/>
              </w:rPr>
              <w:t>c</w:t>
            </w:r>
            <w:r w:rsidRPr="00F94EBD">
              <w:rPr>
                <w:rFonts w:ascii="Arial" w:eastAsia="Arial" w:hAnsi="Arial" w:cs="Arial"/>
                <w:sz w:val="20"/>
                <w:szCs w:val="18"/>
              </w:rPr>
              <w:t>r</w:t>
            </w:r>
            <w:r w:rsidRPr="00F94EBD">
              <w:rPr>
                <w:rFonts w:ascii="Arial" w:eastAsia="Arial" w:hAnsi="Arial" w:cs="Arial"/>
                <w:spacing w:val="2"/>
                <w:sz w:val="20"/>
                <w:szCs w:val="18"/>
              </w:rPr>
              <w:t>e</w:t>
            </w:r>
            <w:r w:rsidRPr="00F94EBD">
              <w:rPr>
                <w:rFonts w:ascii="Arial" w:eastAsia="Arial" w:hAnsi="Arial" w:cs="Arial"/>
                <w:spacing w:val="1"/>
                <w:sz w:val="20"/>
                <w:szCs w:val="18"/>
              </w:rPr>
              <w:t>a</w:t>
            </w:r>
            <w:r w:rsidRPr="00F94EBD">
              <w:rPr>
                <w:rFonts w:ascii="Arial" w:eastAsia="Arial" w:hAnsi="Arial" w:cs="Arial"/>
                <w:sz w:val="20"/>
                <w:szCs w:val="18"/>
              </w:rPr>
              <w:t>t</w:t>
            </w:r>
            <w:r w:rsidRPr="00F94EBD">
              <w:rPr>
                <w:rFonts w:ascii="Arial" w:eastAsia="Arial" w:hAnsi="Arial" w:cs="Arial"/>
                <w:spacing w:val="1"/>
                <w:sz w:val="20"/>
                <w:szCs w:val="18"/>
              </w:rPr>
              <w:t>i</w:t>
            </w:r>
            <w:r w:rsidRPr="00F94EBD">
              <w:rPr>
                <w:rFonts w:ascii="Arial" w:eastAsia="Arial" w:hAnsi="Arial" w:cs="Arial"/>
                <w:sz w:val="20"/>
                <w:szCs w:val="18"/>
              </w:rPr>
              <w:t xml:space="preserve">on </w:t>
            </w:r>
            <w:r w:rsidRPr="00F94EBD">
              <w:rPr>
                <w:rFonts w:ascii="Arial" w:eastAsia="Arial" w:hAnsi="Arial" w:cs="Arial"/>
                <w:spacing w:val="2"/>
                <w:sz w:val="20"/>
                <w:szCs w:val="18"/>
              </w:rPr>
              <w:t>Se</w:t>
            </w:r>
            <w:r w:rsidRPr="00F94EBD">
              <w:rPr>
                <w:rFonts w:ascii="Arial" w:eastAsia="Arial" w:hAnsi="Arial" w:cs="Arial"/>
                <w:spacing w:val="7"/>
                <w:sz w:val="20"/>
                <w:szCs w:val="18"/>
              </w:rPr>
              <w:t>r</w:t>
            </w:r>
            <w:r w:rsidRPr="00F94EBD">
              <w:rPr>
                <w:rFonts w:ascii="Arial" w:eastAsia="Arial" w:hAnsi="Arial" w:cs="Arial"/>
                <w:spacing w:val="1"/>
                <w:sz w:val="20"/>
                <w:szCs w:val="18"/>
              </w:rPr>
              <w:t>vic</w:t>
            </w:r>
            <w:r w:rsidRPr="00F94EBD">
              <w:rPr>
                <w:rFonts w:ascii="Arial" w:eastAsia="Arial" w:hAnsi="Arial" w:cs="Arial"/>
                <w:spacing w:val="2"/>
                <w:sz w:val="20"/>
                <w:szCs w:val="18"/>
              </w:rPr>
              <w:t>e</w:t>
            </w:r>
            <w:r w:rsidRPr="00F94EBD">
              <w:rPr>
                <w:rFonts w:ascii="Arial" w:eastAsia="Arial" w:hAnsi="Arial" w:cs="Arial"/>
                <w:sz w:val="20"/>
                <w:szCs w:val="18"/>
              </w:rPr>
              <w:t>s</w:t>
            </w:r>
          </w:p>
        </w:tc>
        <w:tc>
          <w:tcPr>
            <w:tcW w:w="380"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93" w:right="293"/>
              <w:jc w:val="center"/>
              <w:rPr>
                <w:rFonts w:ascii="Arial" w:eastAsia="Arial" w:hAnsi="Arial" w:cs="Arial"/>
                <w:sz w:val="20"/>
                <w:szCs w:val="18"/>
              </w:rPr>
            </w:pPr>
            <w:r w:rsidRPr="00F94EBD">
              <w:rPr>
                <w:rFonts w:ascii="Arial" w:eastAsia="Arial" w:hAnsi="Arial" w:cs="Arial"/>
                <w:sz w:val="20"/>
                <w:szCs w:val="18"/>
              </w:rPr>
              <w:t>1</w:t>
            </w:r>
          </w:p>
        </w:tc>
        <w:tc>
          <w:tcPr>
            <w:tcW w:w="358"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02"/>
              <w:jc w:val="center"/>
              <w:rPr>
                <w:rFonts w:ascii="Arial" w:eastAsia="Arial" w:hAnsi="Arial" w:cs="Arial"/>
                <w:sz w:val="20"/>
                <w:szCs w:val="18"/>
              </w:rPr>
            </w:pPr>
            <w:r w:rsidRPr="00F94EBD">
              <w:rPr>
                <w:rFonts w:ascii="Arial" w:eastAsia="Arial" w:hAnsi="Arial" w:cs="Arial"/>
                <w:spacing w:val="3"/>
                <w:w w:val="105"/>
                <w:sz w:val="20"/>
                <w:szCs w:val="18"/>
              </w:rPr>
              <w:t>0%</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36" w:right="236"/>
              <w:jc w:val="center"/>
              <w:rPr>
                <w:rFonts w:ascii="Arial" w:eastAsia="Arial" w:hAnsi="Arial" w:cs="Arial"/>
                <w:sz w:val="20"/>
                <w:szCs w:val="18"/>
              </w:rPr>
            </w:pPr>
            <w:r w:rsidRPr="00F94EBD">
              <w:rPr>
                <w:rFonts w:ascii="Arial" w:eastAsia="Arial" w:hAnsi="Arial" w:cs="Arial"/>
                <w:sz w:val="20"/>
                <w:szCs w:val="18"/>
              </w:rPr>
              <w:t>4</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79"/>
              <w:jc w:val="center"/>
              <w:rPr>
                <w:rFonts w:ascii="Arial" w:eastAsia="Arial" w:hAnsi="Arial" w:cs="Arial"/>
                <w:sz w:val="20"/>
                <w:szCs w:val="18"/>
              </w:rPr>
            </w:pPr>
            <w:r w:rsidRPr="00F94EBD">
              <w:rPr>
                <w:rFonts w:ascii="Arial" w:eastAsia="Arial" w:hAnsi="Arial" w:cs="Arial"/>
                <w:spacing w:val="-7"/>
                <w:w w:val="105"/>
                <w:sz w:val="20"/>
                <w:szCs w:val="18"/>
              </w:rPr>
              <w:t>1%</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84" w:right="284"/>
              <w:jc w:val="center"/>
              <w:rPr>
                <w:rFonts w:ascii="Arial" w:eastAsia="Arial" w:hAnsi="Arial" w:cs="Arial"/>
                <w:sz w:val="20"/>
                <w:szCs w:val="18"/>
              </w:rPr>
            </w:pPr>
            <w:r w:rsidRPr="00F94EBD">
              <w:rPr>
                <w:rFonts w:ascii="Arial" w:eastAsia="Arial" w:hAnsi="Arial" w:cs="Arial"/>
                <w:sz w:val="20"/>
                <w:szCs w:val="18"/>
              </w:rPr>
              <w:t>7</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84"/>
              <w:jc w:val="center"/>
              <w:rPr>
                <w:rFonts w:ascii="Arial" w:eastAsia="Arial" w:hAnsi="Arial" w:cs="Arial"/>
                <w:sz w:val="20"/>
                <w:szCs w:val="18"/>
              </w:rPr>
            </w:pPr>
            <w:r w:rsidRPr="00F94EBD">
              <w:rPr>
                <w:rFonts w:ascii="Arial" w:eastAsia="Arial" w:hAnsi="Arial" w:cs="Arial"/>
                <w:spacing w:val="1"/>
                <w:w w:val="105"/>
                <w:sz w:val="20"/>
                <w:szCs w:val="18"/>
              </w:rPr>
              <w:t>3%</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66" w:right="265"/>
              <w:jc w:val="center"/>
              <w:rPr>
                <w:rFonts w:ascii="Arial" w:eastAsia="Arial" w:hAnsi="Arial" w:cs="Arial"/>
                <w:sz w:val="20"/>
                <w:szCs w:val="18"/>
              </w:rPr>
            </w:pPr>
            <w:r w:rsidRPr="00F94EBD">
              <w:rPr>
                <w:rFonts w:ascii="Arial" w:eastAsia="Arial" w:hAnsi="Arial" w:cs="Arial"/>
                <w:sz w:val="20"/>
                <w:szCs w:val="18"/>
              </w:rPr>
              <w:t>3</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94"/>
              <w:jc w:val="center"/>
              <w:rPr>
                <w:rFonts w:ascii="Arial" w:eastAsia="Arial" w:hAnsi="Arial" w:cs="Arial"/>
                <w:sz w:val="20"/>
                <w:szCs w:val="18"/>
              </w:rPr>
            </w:pPr>
            <w:r w:rsidRPr="00F94EBD">
              <w:rPr>
                <w:rFonts w:ascii="Arial" w:eastAsia="Arial" w:hAnsi="Arial" w:cs="Arial"/>
                <w:spacing w:val="1"/>
                <w:w w:val="105"/>
                <w:sz w:val="20"/>
                <w:szCs w:val="18"/>
              </w:rPr>
              <w:t>3%</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right="7"/>
              <w:jc w:val="center"/>
              <w:rPr>
                <w:rFonts w:ascii="Arial" w:eastAsia="Arial" w:hAnsi="Arial" w:cs="Arial"/>
                <w:sz w:val="20"/>
                <w:szCs w:val="18"/>
              </w:rPr>
            </w:pPr>
            <w:r w:rsidRPr="00F94EBD">
              <w:rPr>
                <w:rFonts w:ascii="Arial" w:eastAsia="Arial" w:hAnsi="Arial" w:cs="Arial"/>
                <w:spacing w:val="-8"/>
                <w:sz w:val="20"/>
                <w:szCs w:val="18"/>
              </w:rPr>
              <w:t>47</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43" w:right="243"/>
              <w:jc w:val="center"/>
              <w:rPr>
                <w:rFonts w:ascii="Arial" w:eastAsia="Arial" w:hAnsi="Arial" w:cs="Arial"/>
                <w:sz w:val="20"/>
                <w:szCs w:val="18"/>
              </w:rPr>
            </w:pPr>
            <w:r w:rsidRPr="00F94EBD">
              <w:rPr>
                <w:rFonts w:ascii="Arial" w:eastAsia="Arial" w:hAnsi="Arial" w:cs="Arial"/>
                <w:spacing w:val="-9"/>
                <w:sz w:val="20"/>
                <w:szCs w:val="18"/>
              </w:rPr>
              <w:t>5</w:t>
            </w:r>
            <w:r w:rsidRPr="00F94EBD">
              <w:rPr>
                <w:rFonts w:ascii="Arial" w:eastAsia="Arial" w:hAnsi="Arial" w:cs="Arial"/>
                <w:sz w:val="20"/>
                <w:szCs w:val="18"/>
              </w:rPr>
              <w:t>1</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right="3"/>
              <w:jc w:val="center"/>
              <w:rPr>
                <w:rFonts w:ascii="Arial" w:eastAsia="Arial" w:hAnsi="Arial" w:cs="Arial"/>
                <w:sz w:val="20"/>
                <w:szCs w:val="18"/>
              </w:rPr>
            </w:pPr>
            <w:r w:rsidRPr="00F94EBD">
              <w:rPr>
                <w:rFonts w:ascii="Arial" w:eastAsia="Arial" w:hAnsi="Arial" w:cs="Arial"/>
                <w:spacing w:val="-4"/>
                <w:sz w:val="20"/>
                <w:szCs w:val="18"/>
              </w:rPr>
              <w:t>61</w:t>
            </w:r>
          </w:p>
        </w:tc>
        <w:tc>
          <w:tcPr>
            <w:tcW w:w="369" w:type="pct"/>
            <w:tcBorders>
              <w:top w:val="single" w:sz="4" w:space="0" w:color="797979"/>
              <w:left w:val="single" w:sz="4" w:space="0" w:color="797979"/>
              <w:bottom w:val="single" w:sz="4" w:space="0" w:color="797979"/>
              <w:right w:val="nil"/>
            </w:tcBorders>
            <w:vAlign w:val="center"/>
          </w:tcPr>
          <w:p w:rsidR="003C17D6" w:rsidRPr="00F94EBD" w:rsidRDefault="003C17D6" w:rsidP="00F94EBD">
            <w:pPr>
              <w:pStyle w:val="TableParagraph"/>
              <w:ind w:left="211" w:right="216"/>
              <w:jc w:val="center"/>
              <w:rPr>
                <w:rFonts w:ascii="Arial" w:eastAsia="Arial" w:hAnsi="Arial" w:cs="Arial"/>
                <w:sz w:val="20"/>
                <w:szCs w:val="18"/>
              </w:rPr>
            </w:pPr>
            <w:r w:rsidRPr="00F94EBD">
              <w:rPr>
                <w:rFonts w:ascii="Arial" w:eastAsia="Arial" w:hAnsi="Arial" w:cs="Arial"/>
                <w:sz w:val="20"/>
                <w:szCs w:val="18"/>
              </w:rPr>
              <w:t>29</w:t>
            </w:r>
          </w:p>
        </w:tc>
      </w:tr>
      <w:tr w:rsidR="00F94EBD" w:rsidTr="00F94EBD">
        <w:trPr>
          <w:trHeight w:hRule="exact" w:val="358"/>
        </w:trPr>
        <w:tc>
          <w:tcPr>
            <w:tcW w:w="591" w:type="pct"/>
            <w:tcBorders>
              <w:top w:val="single" w:sz="4" w:space="0" w:color="797979"/>
              <w:left w:val="nil"/>
              <w:bottom w:val="single" w:sz="4" w:space="0" w:color="797979"/>
              <w:right w:val="single" w:sz="4" w:space="0" w:color="797979"/>
            </w:tcBorders>
            <w:vAlign w:val="center"/>
          </w:tcPr>
          <w:p w:rsidR="003C17D6" w:rsidRPr="00F94EBD" w:rsidRDefault="003C17D6" w:rsidP="00F94EBD">
            <w:pPr>
              <w:pStyle w:val="TableParagraph"/>
              <w:ind w:left="80"/>
              <w:rPr>
                <w:rFonts w:ascii="Arial" w:eastAsia="Arial" w:hAnsi="Arial" w:cs="Arial"/>
                <w:sz w:val="20"/>
                <w:szCs w:val="18"/>
              </w:rPr>
            </w:pPr>
            <w:r w:rsidRPr="00F94EBD">
              <w:rPr>
                <w:rFonts w:ascii="Arial" w:eastAsia="Arial" w:hAnsi="Arial" w:cs="Arial"/>
                <w:spacing w:val="2"/>
                <w:sz w:val="20"/>
                <w:szCs w:val="18"/>
              </w:rPr>
              <w:t>C</w:t>
            </w:r>
            <w:r w:rsidRPr="00F94EBD">
              <w:rPr>
                <w:rFonts w:ascii="Arial" w:eastAsia="Arial" w:hAnsi="Arial" w:cs="Arial"/>
                <w:sz w:val="20"/>
                <w:szCs w:val="18"/>
              </w:rPr>
              <w:t>o</w:t>
            </w:r>
            <w:r w:rsidRPr="00F94EBD">
              <w:rPr>
                <w:rFonts w:ascii="Arial" w:eastAsia="Arial" w:hAnsi="Arial" w:cs="Arial"/>
                <w:spacing w:val="1"/>
                <w:sz w:val="20"/>
                <w:szCs w:val="18"/>
              </w:rPr>
              <w:t>n</w:t>
            </w:r>
            <w:r w:rsidRPr="00F94EBD">
              <w:rPr>
                <w:rFonts w:ascii="Arial" w:eastAsia="Arial" w:hAnsi="Arial" w:cs="Arial"/>
                <w:spacing w:val="2"/>
                <w:sz w:val="20"/>
                <w:szCs w:val="18"/>
              </w:rPr>
              <w:t>s</w:t>
            </w:r>
            <w:r w:rsidRPr="00F94EBD">
              <w:rPr>
                <w:rFonts w:ascii="Arial" w:eastAsia="Arial" w:hAnsi="Arial" w:cs="Arial"/>
                <w:sz w:val="20"/>
                <w:szCs w:val="18"/>
              </w:rPr>
              <w:t>t</w:t>
            </w:r>
            <w:r w:rsidRPr="00F94EBD">
              <w:rPr>
                <w:rFonts w:ascii="Arial" w:eastAsia="Arial" w:hAnsi="Arial" w:cs="Arial"/>
                <w:spacing w:val="2"/>
                <w:sz w:val="20"/>
                <w:szCs w:val="18"/>
              </w:rPr>
              <w:t>ru</w:t>
            </w:r>
            <w:r w:rsidRPr="00F94EBD">
              <w:rPr>
                <w:rFonts w:ascii="Arial" w:eastAsia="Arial" w:hAnsi="Arial" w:cs="Arial"/>
                <w:spacing w:val="1"/>
                <w:sz w:val="20"/>
                <w:szCs w:val="18"/>
              </w:rPr>
              <w:t>c</w:t>
            </w:r>
            <w:r w:rsidRPr="00F94EBD">
              <w:rPr>
                <w:rFonts w:ascii="Arial" w:eastAsia="Arial" w:hAnsi="Arial" w:cs="Arial"/>
                <w:sz w:val="20"/>
                <w:szCs w:val="18"/>
              </w:rPr>
              <w:t>t</w:t>
            </w:r>
            <w:r w:rsidRPr="00F94EBD">
              <w:rPr>
                <w:rFonts w:ascii="Arial" w:eastAsia="Arial" w:hAnsi="Arial" w:cs="Arial"/>
                <w:spacing w:val="1"/>
                <w:sz w:val="20"/>
                <w:szCs w:val="18"/>
              </w:rPr>
              <w:t>i</w:t>
            </w:r>
            <w:r w:rsidRPr="00F94EBD">
              <w:rPr>
                <w:rFonts w:ascii="Arial" w:eastAsia="Arial" w:hAnsi="Arial" w:cs="Arial"/>
                <w:sz w:val="20"/>
                <w:szCs w:val="18"/>
              </w:rPr>
              <w:t>on</w:t>
            </w:r>
          </w:p>
        </w:tc>
        <w:tc>
          <w:tcPr>
            <w:tcW w:w="380"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11"/>
              <w:jc w:val="center"/>
              <w:rPr>
                <w:rFonts w:ascii="Arial" w:eastAsia="Arial" w:hAnsi="Arial" w:cs="Arial"/>
                <w:sz w:val="20"/>
                <w:szCs w:val="18"/>
              </w:rPr>
            </w:pPr>
            <w:r w:rsidRPr="00F94EBD">
              <w:rPr>
                <w:rFonts w:ascii="Arial" w:eastAsia="Arial" w:hAnsi="Arial" w:cs="Arial"/>
                <w:spacing w:val="2"/>
                <w:sz w:val="20"/>
                <w:szCs w:val="18"/>
              </w:rPr>
              <w:t>38</w:t>
            </w:r>
            <w:r w:rsidRPr="00F94EBD">
              <w:rPr>
                <w:rFonts w:ascii="Arial" w:eastAsia="Arial" w:hAnsi="Arial" w:cs="Arial"/>
                <w:sz w:val="20"/>
                <w:szCs w:val="18"/>
              </w:rPr>
              <w:t>4</w:t>
            </w:r>
          </w:p>
        </w:tc>
        <w:tc>
          <w:tcPr>
            <w:tcW w:w="358"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53"/>
              <w:jc w:val="center"/>
              <w:rPr>
                <w:rFonts w:ascii="Arial" w:eastAsia="Arial" w:hAnsi="Arial" w:cs="Arial"/>
                <w:sz w:val="20"/>
                <w:szCs w:val="18"/>
              </w:rPr>
            </w:pPr>
            <w:r w:rsidRPr="00F94EBD">
              <w:rPr>
                <w:rFonts w:ascii="Arial" w:eastAsia="Arial" w:hAnsi="Arial" w:cs="Arial"/>
                <w:spacing w:val="2"/>
                <w:w w:val="105"/>
                <w:sz w:val="20"/>
                <w:szCs w:val="18"/>
              </w:rPr>
              <w:t>6</w:t>
            </w:r>
            <w:r w:rsidRPr="00F94EBD">
              <w:rPr>
                <w:rFonts w:ascii="Arial" w:eastAsia="Arial" w:hAnsi="Arial" w:cs="Arial"/>
                <w:spacing w:val="-1"/>
                <w:w w:val="105"/>
                <w:sz w:val="20"/>
                <w:szCs w:val="18"/>
              </w:rPr>
              <w:t>4%</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58"/>
              <w:jc w:val="center"/>
              <w:rPr>
                <w:rFonts w:ascii="Arial" w:eastAsia="Arial" w:hAnsi="Arial" w:cs="Arial"/>
                <w:sz w:val="20"/>
                <w:szCs w:val="18"/>
              </w:rPr>
            </w:pPr>
            <w:r w:rsidRPr="00F94EBD">
              <w:rPr>
                <w:rFonts w:ascii="Arial" w:eastAsia="Arial" w:hAnsi="Arial" w:cs="Arial"/>
                <w:sz w:val="20"/>
                <w:szCs w:val="18"/>
              </w:rPr>
              <w:t>2</w:t>
            </w:r>
            <w:r w:rsidRPr="00F94EBD">
              <w:rPr>
                <w:rFonts w:ascii="Arial" w:eastAsia="Arial" w:hAnsi="Arial" w:cs="Arial"/>
                <w:spacing w:val="-4"/>
                <w:sz w:val="20"/>
                <w:szCs w:val="18"/>
              </w:rPr>
              <w:t>27</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32"/>
              <w:jc w:val="center"/>
              <w:rPr>
                <w:rFonts w:ascii="Arial" w:eastAsia="Arial" w:hAnsi="Arial" w:cs="Arial"/>
                <w:sz w:val="20"/>
                <w:szCs w:val="18"/>
              </w:rPr>
            </w:pPr>
            <w:r w:rsidRPr="00F94EBD">
              <w:rPr>
                <w:rFonts w:ascii="Arial" w:eastAsia="Arial" w:hAnsi="Arial" w:cs="Arial"/>
                <w:spacing w:val="-7"/>
                <w:w w:val="105"/>
                <w:sz w:val="20"/>
                <w:szCs w:val="18"/>
              </w:rPr>
              <w:t>71%</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08"/>
              <w:jc w:val="center"/>
              <w:rPr>
                <w:rFonts w:ascii="Arial" w:eastAsia="Arial" w:hAnsi="Arial" w:cs="Arial"/>
                <w:sz w:val="20"/>
                <w:szCs w:val="18"/>
              </w:rPr>
            </w:pPr>
            <w:r w:rsidRPr="00F94EBD">
              <w:rPr>
                <w:rFonts w:ascii="Arial" w:eastAsia="Arial" w:hAnsi="Arial" w:cs="Arial"/>
                <w:spacing w:val="-11"/>
                <w:sz w:val="20"/>
                <w:szCs w:val="18"/>
              </w:rPr>
              <w:t>1</w:t>
            </w:r>
            <w:r w:rsidRPr="00F94EBD">
              <w:rPr>
                <w:rFonts w:ascii="Arial" w:eastAsia="Arial" w:hAnsi="Arial" w:cs="Arial"/>
                <w:spacing w:val="1"/>
                <w:sz w:val="20"/>
                <w:szCs w:val="18"/>
              </w:rPr>
              <w:t>4</w:t>
            </w:r>
            <w:r w:rsidRPr="00F94EBD">
              <w:rPr>
                <w:rFonts w:ascii="Arial" w:eastAsia="Arial" w:hAnsi="Arial" w:cs="Arial"/>
                <w:sz w:val="20"/>
                <w:szCs w:val="18"/>
              </w:rPr>
              <w:t>6</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33"/>
              <w:jc w:val="center"/>
              <w:rPr>
                <w:rFonts w:ascii="Arial" w:eastAsia="Arial" w:hAnsi="Arial" w:cs="Arial"/>
                <w:sz w:val="20"/>
                <w:szCs w:val="18"/>
              </w:rPr>
            </w:pPr>
            <w:r w:rsidRPr="00F94EBD">
              <w:rPr>
                <w:rFonts w:ascii="Arial" w:eastAsia="Arial" w:hAnsi="Arial" w:cs="Arial"/>
                <w:spacing w:val="2"/>
                <w:w w:val="105"/>
                <w:sz w:val="20"/>
                <w:szCs w:val="18"/>
              </w:rPr>
              <w:t>6</w:t>
            </w:r>
            <w:r w:rsidRPr="00F94EBD">
              <w:rPr>
                <w:rFonts w:ascii="Arial" w:eastAsia="Arial" w:hAnsi="Arial" w:cs="Arial"/>
                <w:spacing w:val="1"/>
                <w:w w:val="105"/>
                <w:sz w:val="20"/>
                <w:szCs w:val="18"/>
              </w:rPr>
              <w:t>3%</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
              <w:jc w:val="center"/>
              <w:rPr>
                <w:rFonts w:ascii="Arial" w:eastAsia="Arial" w:hAnsi="Arial" w:cs="Arial"/>
                <w:sz w:val="20"/>
                <w:szCs w:val="18"/>
              </w:rPr>
            </w:pPr>
            <w:r w:rsidRPr="00F94EBD">
              <w:rPr>
                <w:rFonts w:ascii="Arial" w:eastAsia="Arial" w:hAnsi="Arial" w:cs="Arial"/>
                <w:spacing w:val="1"/>
                <w:sz w:val="20"/>
                <w:szCs w:val="18"/>
              </w:rPr>
              <w:t>45</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45"/>
              <w:jc w:val="center"/>
              <w:rPr>
                <w:rFonts w:ascii="Arial" w:eastAsia="Arial" w:hAnsi="Arial" w:cs="Arial"/>
                <w:sz w:val="20"/>
                <w:szCs w:val="18"/>
              </w:rPr>
            </w:pPr>
            <w:r w:rsidRPr="00F94EBD">
              <w:rPr>
                <w:rFonts w:ascii="Arial" w:eastAsia="Arial" w:hAnsi="Arial" w:cs="Arial"/>
                <w:spacing w:val="-3"/>
                <w:w w:val="105"/>
                <w:sz w:val="20"/>
                <w:szCs w:val="18"/>
              </w:rPr>
              <w:t>5</w:t>
            </w:r>
            <w:r w:rsidRPr="00F94EBD">
              <w:rPr>
                <w:rFonts w:ascii="Arial" w:eastAsia="Arial" w:hAnsi="Arial" w:cs="Arial"/>
                <w:w w:val="105"/>
                <w:sz w:val="20"/>
                <w:szCs w:val="18"/>
              </w:rPr>
              <w:t>2%</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56"/>
              <w:jc w:val="center"/>
              <w:rPr>
                <w:rFonts w:ascii="Arial" w:eastAsia="Arial" w:hAnsi="Arial" w:cs="Arial"/>
                <w:sz w:val="20"/>
                <w:szCs w:val="18"/>
              </w:rPr>
            </w:pPr>
            <w:r w:rsidRPr="00F94EBD">
              <w:rPr>
                <w:rFonts w:ascii="Arial" w:eastAsia="Arial" w:hAnsi="Arial" w:cs="Arial"/>
                <w:spacing w:val="-8"/>
                <w:sz w:val="20"/>
                <w:szCs w:val="18"/>
              </w:rPr>
              <w:t>1</w:t>
            </w:r>
            <w:r w:rsidRPr="00F94EBD">
              <w:rPr>
                <w:rFonts w:ascii="Arial" w:eastAsia="Arial" w:hAnsi="Arial" w:cs="Arial"/>
                <w:spacing w:val="3"/>
                <w:sz w:val="20"/>
                <w:szCs w:val="18"/>
              </w:rPr>
              <w:t>60</w:t>
            </w:r>
            <w:r w:rsidRPr="00F94EBD">
              <w:rPr>
                <w:rFonts w:ascii="Arial" w:eastAsia="Arial" w:hAnsi="Arial" w:cs="Arial"/>
                <w:sz w:val="20"/>
                <w:szCs w:val="18"/>
              </w:rPr>
              <w:t>9</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68"/>
              <w:jc w:val="center"/>
              <w:rPr>
                <w:rFonts w:ascii="Arial" w:eastAsia="Arial" w:hAnsi="Arial" w:cs="Arial"/>
                <w:sz w:val="20"/>
                <w:szCs w:val="18"/>
              </w:rPr>
            </w:pPr>
            <w:r w:rsidRPr="00F94EBD">
              <w:rPr>
                <w:rFonts w:ascii="Arial" w:eastAsia="Arial" w:hAnsi="Arial" w:cs="Arial"/>
                <w:spacing w:val="-11"/>
                <w:sz w:val="20"/>
                <w:szCs w:val="18"/>
              </w:rPr>
              <w:t>1</w:t>
            </w:r>
            <w:r w:rsidRPr="00F94EBD">
              <w:rPr>
                <w:rFonts w:ascii="Arial" w:eastAsia="Arial" w:hAnsi="Arial" w:cs="Arial"/>
                <w:spacing w:val="1"/>
                <w:sz w:val="20"/>
                <w:szCs w:val="18"/>
              </w:rPr>
              <w:t>4</w:t>
            </w:r>
            <w:r w:rsidRPr="00F94EBD">
              <w:rPr>
                <w:rFonts w:ascii="Arial" w:eastAsia="Arial" w:hAnsi="Arial" w:cs="Arial"/>
                <w:spacing w:val="3"/>
                <w:sz w:val="20"/>
                <w:szCs w:val="18"/>
              </w:rPr>
              <w:t>0</w:t>
            </w:r>
            <w:r w:rsidRPr="00F94EBD">
              <w:rPr>
                <w:rFonts w:ascii="Arial" w:eastAsia="Arial" w:hAnsi="Arial" w:cs="Arial"/>
                <w:sz w:val="20"/>
                <w:szCs w:val="18"/>
              </w:rPr>
              <w:t>3</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23"/>
              <w:jc w:val="center"/>
              <w:rPr>
                <w:rFonts w:ascii="Arial" w:eastAsia="Arial" w:hAnsi="Arial" w:cs="Arial"/>
                <w:sz w:val="20"/>
                <w:szCs w:val="18"/>
              </w:rPr>
            </w:pPr>
            <w:r w:rsidRPr="00F94EBD">
              <w:rPr>
                <w:rFonts w:ascii="Arial" w:eastAsia="Arial" w:hAnsi="Arial" w:cs="Arial"/>
                <w:spacing w:val="-8"/>
                <w:sz w:val="20"/>
                <w:szCs w:val="18"/>
              </w:rPr>
              <w:t>1</w:t>
            </w:r>
            <w:r w:rsidRPr="00F94EBD">
              <w:rPr>
                <w:rFonts w:ascii="Arial" w:eastAsia="Arial" w:hAnsi="Arial" w:cs="Arial"/>
                <w:spacing w:val="-4"/>
                <w:sz w:val="20"/>
                <w:szCs w:val="18"/>
              </w:rPr>
              <w:t>9</w:t>
            </w:r>
            <w:r w:rsidRPr="00F94EBD">
              <w:rPr>
                <w:rFonts w:ascii="Arial" w:eastAsia="Arial" w:hAnsi="Arial" w:cs="Arial"/>
                <w:spacing w:val="-2"/>
                <w:sz w:val="20"/>
                <w:szCs w:val="18"/>
              </w:rPr>
              <w:t>7</w:t>
            </w:r>
            <w:r w:rsidRPr="00F94EBD">
              <w:rPr>
                <w:rFonts w:ascii="Arial" w:eastAsia="Arial" w:hAnsi="Arial" w:cs="Arial"/>
                <w:sz w:val="20"/>
                <w:szCs w:val="18"/>
              </w:rPr>
              <w:t>3</w:t>
            </w:r>
          </w:p>
        </w:tc>
        <w:tc>
          <w:tcPr>
            <w:tcW w:w="369" w:type="pct"/>
            <w:tcBorders>
              <w:top w:val="single" w:sz="4" w:space="0" w:color="797979"/>
              <w:left w:val="single" w:sz="4" w:space="0" w:color="797979"/>
              <w:bottom w:val="single" w:sz="4" w:space="0" w:color="797979"/>
              <w:right w:val="nil"/>
            </w:tcBorders>
            <w:vAlign w:val="center"/>
          </w:tcPr>
          <w:p w:rsidR="003C17D6" w:rsidRPr="00F94EBD" w:rsidRDefault="003C17D6" w:rsidP="00F94EBD">
            <w:pPr>
              <w:pStyle w:val="TableParagraph"/>
              <w:ind w:left="185"/>
              <w:jc w:val="center"/>
              <w:rPr>
                <w:rFonts w:ascii="Arial" w:eastAsia="Arial" w:hAnsi="Arial" w:cs="Arial"/>
                <w:sz w:val="20"/>
                <w:szCs w:val="18"/>
              </w:rPr>
            </w:pPr>
            <w:r w:rsidRPr="00F94EBD">
              <w:rPr>
                <w:rFonts w:ascii="Arial" w:eastAsia="Arial" w:hAnsi="Arial" w:cs="Arial"/>
                <w:spacing w:val="-2"/>
                <w:sz w:val="20"/>
                <w:szCs w:val="18"/>
              </w:rPr>
              <w:t>7</w:t>
            </w:r>
            <w:r w:rsidRPr="00F94EBD">
              <w:rPr>
                <w:rFonts w:ascii="Arial" w:eastAsia="Arial" w:hAnsi="Arial" w:cs="Arial"/>
                <w:spacing w:val="2"/>
                <w:sz w:val="20"/>
                <w:szCs w:val="18"/>
              </w:rPr>
              <w:t>3</w:t>
            </w:r>
            <w:r w:rsidRPr="00F94EBD">
              <w:rPr>
                <w:rFonts w:ascii="Arial" w:eastAsia="Arial" w:hAnsi="Arial" w:cs="Arial"/>
                <w:sz w:val="20"/>
                <w:szCs w:val="18"/>
              </w:rPr>
              <w:t>3</w:t>
            </w:r>
          </w:p>
        </w:tc>
      </w:tr>
      <w:tr w:rsidR="00F94EBD" w:rsidTr="00F94EBD">
        <w:trPr>
          <w:trHeight w:hRule="exact" w:val="510"/>
        </w:trPr>
        <w:tc>
          <w:tcPr>
            <w:tcW w:w="591" w:type="pct"/>
            <w:tcBorders>
              <w:top w:val="single" w:sz="4" w:space="0" w:color="797979"/>
              <w:left w:val="nil"/>
              <w:bottom w:val="single" w:sz="4" w:space="0" w:color="797979"/>
              <w:right w:val="single" w:sz="4" w:space="0" w:color="797979"/>
            </w:tcBorders>
            <w:vAlign w:val="center"/>
          </w:tcPr>
          <w:p w:rsidR="003C17D6" w:rsidRPr="00F94EBD" w:rsidRDefault="003C17D6" w:rsidP="00F94EBD">
            <w:pPr>
              <w:pStyle w:val="TableParagraph"/>
              <w:ind w:left="80"/>
              <w:rPr>
                <w:rFonts w:ascii="Arial" w:eastAsia="Arial" w:hAnsi="Arial" w:cs="Arial"/>
                <w:sz w:val="20"/>
                <w:szCs w:val="18"/>
              </w:rPr>
            </w:pPr>
            <w:r w:rsidRPr="00F94EBD">
              <w:rPr>
                <w:rFonts w:ascii="Arial" w:eastAsia="Arial" w:hAnsi="Arial" w:cs="Arial"/>
                <w:spacing w:val="-2"/>
                <w:sz w:val="20"/>
                <w:szCs w:val="18"/>
              </w:rPr>
              <w:t>E</w:t>
            </w:r>
            <w:r w:rsidRPr="00F94EBD">
              <w:rPr>
                <w:rFonts w:ascii="Arial" w:eastAsia="Arial" w:hAnsi="Arial" w:cs="Arial"/>
                <w:sz w:val="20"/>
                <w:szCs w:val="18"/>
              </w:rPr>
              <w:t>d</w:t>
            </w:r>
            <w:r w:rsidRPr="00F94EBD">
              <w:rPr>
                <w:rFonts w:ascii="Arial" w:eastAsia="Arial" w:hAnsi="Arial" w:cs="Arial"/>
                <w:spacing w:val="2"/>
                <w:sz w:val="20"/>
                <w:szCs w:val="18"/>
              </w:rPr>
              <w:t>u</w:t>
            </w:r>
            <w:r w:rsidRPr="00F94EBD">
              <w:rPr>
                <w:rFonts w:ascii="Arial" w:eastAsia="Arial" w:hAnsi="Arial" w:cs="Arial"/>
                <w:spacing w:val="1"/>
                <w:sz w:val="20"/>
                <w:szCs w:val="18"/>
              </w:rPr>
              <w:t>ca</w:t>
            </w:r>
            <w:r w:rsidRPr="00F94EBD">
              <w:rPr>
                <w:rFonts w:ascii="Arial" w:eastAsia="Arial" w:hAnsi="Arial" w:cs="Arial"/>
                <w:sz w:val="20"/>
                <w:szCs w:val="18"/>
              </w:rPr>
              <w:t>t</w:t>
            </w:r>
            <w:r w:rsidRPr="00F94EBD">
              <w:rPr>
                <w:rFonts w:ascii="Arial" w:eastAsia="Arial" w:hAnsi="Arial" w:cs="Arial"/>
                <w:spacing w:val="1"/>
                <w:sz w:val="20"/>
                <w:szCs w:val="18"/>
              </w:rPr>
              <w:t>i</w:t>
            </w:r>
            <w:r w:rsidRPr="00F94EBD">
              <w:rPr>
                <w:rFonts w:ascii="Arial" w:eastAsia="Arial" w:hAnsi="Arial" w:cs="Arial"/>
                <w:sz w:val="20"/>
                <w:szCs w:val="18"/>
              </w:rPr>
              <w:t>on</w:t>
            </w:r>
            <w:r w:rsidRPr="00F94EBD">
              <w:rPr>
                <w:rFonts w:ascii="Arial" w:eastAsia="Arial" w:hAnsi="Arial" w:cs="Arial"/>
                <w:spacing w:val="2"/>
                <w:sz w:val="20"/>
                <w:szCs w:val="18"/>
              </w:rPr>
              <w:t xml:space="preserve"> a</w:t>
            </w:r>
            <w:r w:rsidRPr="00F94EBD">
              <w:rPr>
                <w:rFonts w:ascii="Arial" w:eastAsia="Arial" w:hAnsi="Arial" w:cs="Arial"/>
                <w:spacing w:val="1"/>
                <w:sz w:val="20"/>
                <w:szCs w:val="18"/>
              </w:rPr>
              <w:t>n</w:t>
            </w:r>
            <w:r w:rsidRPr="00F94EBD">
              <w:rPr>
                <w:rFonts w:ascii="Arial" w:eastAsia="Arial" w:hAnsi="Arial" w:cs="Arial"/>
                <w:sz w:val="20"/>
                <w:szCs w:val="18"/>
              </w:rPr>
              <w:t>d</w:t>
            </w:r>
            <w:r w:rsidRPr="00F94EBD">
              <w:rPr>
                <w:rFonts w:ascii="Arial" w:eastAsia="Arial" w:hAnsi="Arial" w:cs="Arial"/>
                <w:spacing w:val="3"/>
                <w:sz w:val="20"/>
                <w:szCs w:val="18"/>
              </w:rPr>
              <w:t xml:space="preserve"> </w:t>
            </w:r>
            <w:r w:rsidRPr="00F94EBD">
              <w:rPr>
                <w:rFonts w:ascii="Arial" w:eastAsia="Arial" w:hAnsi="Arial" w:cs="Arial"/>
                <w:spacing w:val="-13"/>
                <w:sz w:val="20"/>
                <w:szCs w:val="18"/>
              </w:rPr>
              <w:t>T</w:t>
            </w:r>
            <w:r w:rsidRPr="00F94EBD">
              <w:rPr>
                <w:rFonts w:ascii="Arial" w:eastAsia="Arial" w:hAnsi="Arial" w:cs="Arial"/>
                <w:spacing w:val="2"/>
                <w:sz w:val="20"/>
                <w:szCs w:val="18"/>
              </w:rPr>
              <w:t>ra</w:t>
            </w:r>
            <w:r w:rsidRPr="00F94EBD">
              <w:rPr>
                <w:rFonts w:ascii="Arial" w:eastAsia="Arial" w:hAnsi="Arial" w:cs="Arial"/>
                <w:sz w:val="20"/>
                <w:szCs w:val="18"/>
              </w:rPr>
              <w:t>i</w:t>
            </w:r>
            <w:r w:rsidRPr="00F94EBD">
              <w:rPr>
                <w:rFonts w:ascii="Arial" w:eastAsia="Arial" w:hAnsi="Arial" w:cs="Arial"/>
                <w:spacing w:val="1"/>
                <w:sz w:val="20"/>
                <w:szCs w:val="18"/>
              </w:rPr>
              <w:t>nin</w:t>
            </w:r>
            <w:r w:rsidRPr="00F94EBD">
              <w:rPr>
                <w:rFonts w:ascii="Arial" w:eastAsia="Arial" w:hAnsi="Arial" w:cs="Arial"/>
                <w:sz w:val="20"/>
                <w:szCs w:val="18"/>
              </w:rPr>
              <w:t>g</w:t>
            </w:r>
          </w:p>
        </w:tc>
        <w:tc>
          <w:tcPr>
            <w:tcW w:w="380"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spacing w:after="0"/>
              <w:jc w:val="center"/>
              <w:rPr>
                <w:sz w:val="20"/>
              </w:rPr>
            </w:pPr>
          </w:p>
        </w:tc>
        <w:tc>
          <w:tcPr>
            <w:tcW w:w="358"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02"/>
              <w:jc w:val="center"/>
              <w:rPr>
                <w:rFonts w:ascii="Arial" w:eastAsia="Arial" w:hAnsi="Arial" w:cs="Arial"/>
                <w:sz w:val="20"/>
                <w:szCs w:val="18"/>
              </w:rPr>
            </w:pPr>
            <w:r w:rsidRPr="00F94EBD">
              <w:rPr>
                <w:rFonts w:ascii="Arial" w:eastAsia="Arial" w:hAnsi="Arial" w:cs="Arial"/>
                <w:spacing w:val="3"/>
                <w:w w:val="105"/>
                <w:sz w:val="20"/>
                <w:szCs w:val="18"/>
              </w:rPr>
              <w:t>0%</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36" w:right="237"/>
              <w:jc w:val="center"/>
              <w:rPr>
                <w:rFonts w:ascii="Arial" w:eastAsia="Arial" w:hAnsi="Arial" w:cs="Arial"/>
                <w:sz w:val="20"/>
                <w:szCs w:val="18"/>
              </w:rPr>
            </w:pPr>
            <w:r w:rsidRPr="00F94EBD">
              <w:rPr>
                <w:rFonts w:ascii="Arial" w:eastAsia="Arial" w:hAnsi="Arial" w:cs="Arial"/>
                <w:sz w:val="20"/>
                <w:szCs w:val="18"/>
              </w:rPr>
              <w:t>1</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74"/>
              <w:jc w:val="center"/>
              <w:rPr>
                <w:rFonts w:ascii="Arial" w:eastAsia="Arial" w:hAnsi="Arial" w:cs="Arial"/>
                <w:sz w:val="20"/>
                <w:szCs w:val="18"/>
              </w:rPr>
            </w:pPr>
            <w:r w:rsidRPr="00F94EBD">
              <w:rPr>
                <w:rFonts w:ascii="Arial" w:eastAsia="Arial" w:hAnsi="Arial" w:cs="Arial"/>
                <w:spacing w:val="3"/>
                <w:w w:val="105"/>
                <w:sz w:val="20"/>
                <w:szCs w:val="18"/>
              </w:rPr>
              <w:t>0%</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spacing w:after="0"/>
              <w:jc w:val="center"/>
              <w:rPr>
                <w:sz w:val="20"/>
              </w:rPr>
            </w:pP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83"/>
              <w:jc w:val="center"/>
              <w:rPr>
                <w:rFonts w:ascii="Arial" w:eastAsia="Arial" w:hAnsi="Arial" w:cs="Arial"/>
                <w:sz w:val="20"/>
                <w:szCs w:val="18"/>
              </w:rPr>
            </w:pPr>
            <w:r w:rsidRPr="00F94EBD">
              <w:rPr>
                <w:rFonts w:ascii="Arial" w:eastAsia="Arial" w:hAnsi="Arial" w:cs="Arial"/>
                <w:spacing w:val="3"/>
                <w:w w:val="105"/>
                <w:sz w:val="20"/>
                <w:szCs w:val="18"/>
              </w:rPr>
              <w:t>0%</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66" w:right="265"/>
              <w:jc w:val="center"/>
              <w:rPr>
                <w:rFonts w:ascii="Arial" w:eastAsia="Arial" w:hAnsi="Arial" w:cs="Arial"/>
                <w:sz w:val="20"/>
                <w:szCs w:val="18"/>
              </w:rPr>
            </w:pPr>
            <w:r w:rsidRPr="00F94EBD">
              <w:rPr>
                <w:rFonts w:ascii="Arial" w:eastAsia="Arial" w:hAnsi="Arial" w:cs="Arial"/>
                <w:sz w:val="20"/>
                <w:szCs w:val="18"/>
              </w:rPr>
              <w:t>1</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98"/>
              <w:jc w:val="center"/>
              <w:rPr>
                <w:rFonts w:ascii="Arial" w:eastAsia="Arial" w:hAnsi="Arial" w:cs="Arial"/>
                <w:sz w:val="20"/>
                <w:szCs w:val="18"/>
              </w:rPr>
            </w:pPr>
            <w:r w:rsidRPr="00F94EBD">
              <w:rPr>
                <w:rFonts w:ascii="Arial" w:eastAsia="Arial" w:hAnsi="Arial" w:cs="Arial"/>
                <w:spacing w:val="-7"/>
                <w:w w:val="105"/>
                <w:sz w:val="20"/>
                <w:szCs w:val="18"/>
              </w:rPr>
              <w:t>1%</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jc w:val="center"/>
              <w:rPr>
                <w:rFonts w:ascii="Arial" w:eastAsia="Arial" w:hAnsi="Arial" w:cs="Arial"/>
                <w:sz w:val="20"/>
                <w:szCs w:val="18"/>
              </w:rPr>
            </w:pPr>
            <w:r w:rsidRPr="00F94EBD">
              <w:rPr>
                <w:rFonts w:ascii="Arial" w:eastAsia="Arial" w:hAnsi="Arial" w:cs="Arial"/>
                <w:spacing w:val="-1"/>
                <w:sz w:val="20"/>
                <w:szCs w:val="18"/>
              </w:rPr>
              <w:t>2</w:t>
            </w:r>
            <w:r w:rsidRPr="00F94EBD">
              <w:rPr>
                <w:rFonts w:ascii="Arial" w:eastAsia="Arial" w:hAnsi="Arial" w:cs="Arial"/>
                <w:sz w:val="20"/>
                <w:szCs w:val="18"/>
              </w:rPr>
              <w:t>32</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17"/>
              <w:jc w:val="center"/>
              <w:rPr>
                <w:rFonts w:ascii="Arial" w:eastAsia="Arial" w:hAnsi="Arial" w:cs="Arial"/>
                <w:sz w:val="20"/>
                <w:szCs w:val="18"/>
              </w:rPr>
            </w:pPr>
            <w:r w:rsidRPr="00F94EBD">
              <w:rPr>
                <w:rFonts w:ascii="Arial" w:eastAsia="Arial" w:hAnsi="Arial" w:cs="Arial"/>
                <w:spacing w:val="-6"/>
                <w:sz w:val="20"/>
                <w:szCs w:val="18"/>
              </w:rPr>
              <w:t>2</w:t>
            </w:r>
            <w:r w:rsidRPr="00F94EBD">
              <w:rPr>
                <w:rFonts w:ascii="Arial" w:eastAsia="Arial" w:hAnsi="Arial" w:cs="Arial"/>
                <w:spacing w:val="2"/>
                <w:sz w:val="20"/>
                <w:szCs w:val="18"/>
              </w:rPr>
              <w:t>4</w:t>
            </w:r>
            <w:r w:rsidRPr="00F94EBD">
              <w:rPr>
                <w:rFonts w:ascii="Arial" w:eastAsia="Arial" w:hAnsi="Arial" w:cs="Arial"/>
                <w:sz w:val="20"/>
                <w:szCs w:val="18"/>
              </w:rPr>
              <w:t>4</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68"/>
              <w:jc w:val="center"/>
              <w:rPr>
                <w:rFonts w:ascii="Arial" w:eastAsia="Arial" w:hAnsi="Arial" w:cs="Arial"/>
                <w:sz w:val="20"/>
                <w:szCs w:val="18"/>
              </w:rPr>
            </w:pPr>
            <w:r w:rsidRPr="00F94EBD">
              <w:rPr>
                <w:rFonts w:ascii="Arial" w:eastAsia="Arial" w:hAnsi="Arial" w:cs="Arial"/>
                <w:sz w:val="20"/>
                <w:szCs w:val="18"/>
              </w:rPr>
              <w:t>2</w:t>
            </w:r>
            <w:r w:rsidRPr="00F94EBD">
              <w:rPr>
                <w:rFonts w:ascii="Arial" w:eastAsia="Arial" w:hAnsi="Arial" w:cs="Arial"/>
                <w:spacing w:val="-6"/>
                <w:sz w:val="20"/>
                <w:szCs w:val="18"/>
              </w:rPr>
              <w:t>24</w:t>
            </w:r>
          </w:p>
        </w:tc>
        <w:tc>
          <w:tcPr>
            <w:tcW w:w="369" w:type="pct"/>
            <w:tcBorders>
              <w:top w:val="single" w:sz="4" w:space="0" w:color="797979"/>
              <w:left w:val="single" w:sz="4" w:space="0" w:color="797979"/>
              <w:bottom w:val="single" w:sz="4" w:space="0" w:color="797979"/>
              <w:right w:val="nil"/>
            </w:tcBorders>
            <w:vAlign w:val="center"/>
          </w:tcPr>
          <w:p w:rsidR="003C17D6" w:rsidRPr="00F94EBD" w:rsidRDefault="003C17D6" w:rsidP="00F94EBD">
            <w:pPr>
              <w:pStyle w:val="TableParagraph"/>
              <w:ind w:left="188"/>
              <w:jc w:val="center"/>
              <w:rPr>
                <w:rFonts w:ascii="Arial" w:eastAsia="Arial" w:hAnsi="Arial" w:cs="Arial"/>
                <w:sz w:val="20"/>
                <w:szCs w:val="18"/>
              </w:rPr>
            </w:pPr>
            <w:r w:rsidRPr="00F94EBD">
              <w:rPr>
                <w:rFonts w:ascii="Arial" w:eastAsia="Arial" w:hAnsi="Arial" w:cs="Arial"/>
                <w:spacing w:val="-9"/>
                <w:sz w:val="20"/>
                <w:szCs w:val="18"/>
              </w:rPr>
              <w:t>1</w:t>
            </w:r>
            <w:r w:rsidRPr="00F94EBD">
              <w:rPr>
                <w:rFonts w:ascii="Arial" w:eastAsia="Arial" w:hAnsi="Arial" w:cs="Arial"/>
                <w:spacing w:val="2"/>
                <w:sz w:val="20"/>
                <w:szCs w:val="18"/>
              </w:rPr>
              <w:t>3</w:t>
            </w:r>
            <w:r w:rsidRPr="00F94EBD">
              <w:rPr>
                <w:rFonts w:ascii="Arial" w:eastAsia="Arial" w:hAnsi="Arial" w:cs="Arial"/>
                <w:sz w:val="20"/>
                <w:szCs w:val="18"/>
              </w:rPr>
              <w:t>0</w:t>
            </w:r>
          </w:p>
        </w:tc>
      </w:tr>
      <w:tr w:rsidR="00F94EBD" w:rsidTr="00F94EBD">
        <w:trPr>
          <w:trHeight w:hRule="exact" w:val="756"/>
        </w:trPr>
        <w:tc>
          <w:tcPr>
            <w:tcW w:w="591" w:type="pct"/>
            <w:tcBorders>
              <w:top w:val="single" w:sz="4" w:space="0" w:color="797979"/>
              <w:left w:val="nil"/>
              <w:bottom w:val="single" w:sz="4" w:space="0" w:color="797979"/>
              <w:right w:val="single" w:sz="4" w:space="0" w:color="797979"/>
            </w:tcBorders>
            <w:vAlign w:val="center"/>
          </w:tcPr>
          <w:p w:rsidR="003C17D6" w:rsidRPr="00F94EBD" w:rsidRDefault="003C17D6" w:rsidP="00F94EBD">
            <w:pPr>
              <w:pStyle w:val="TableParagraph"/>
              <w:ind w:left="80"/>
              <w:rPr>
                <w:rFonts w:ascii="Arial" w:eastAsia="Arial" w:hAnsi="Arial" w:cs="Arial"/>
                <w:sz w:val="20"/>
                <w:szCs w:val="18"/>
              </w:rPr>
            </w:pPr>
            <w:r w:rsidRPr="00F94EBD">
              <w:rPr>
                <w:rFonts w:ascii="Arial" w:eastAsia="Arial" w:hAnsi="Arial" w:cs="Arial"/>
                <w:sz w:val="20"/>
                <w:szCs w:val="18"/>
              </w:rPr>
              <w:t>E</w:t>
            </w:r>
            <w:r w:rsidRPr="00F94EBD">
              <w:rPr>
                <w:rFonts w:ascii="Arial" w:eastAsia="Arial" w:hAnsi="Arial" w:cs="Arial"/>
                <w:spacing w:val="1"/>
                <w:sz w:val="20"/>
                <w:szCs w:val="18"/>
              </w:rPr>
              <w:t>l</w:t>
            </w:r>
            <w:r w:rsidRPr="00F94EBD">
              <w:rPr>
                <w:rFonts w:ascii="Arial" w:eastAsia="Arial" w:hAnsi="Arial" w:cs="Arial"/>
                <w:spacing w:val="3"/>
                <w:sz w:val="20"/>
                <w:szCs w:val="18"/>
              </w:rPr>
              <w:t>e</w:t>
            </w:r>
            <w:r w:rsidRPr="00F94EBD">
              <w:rPr>
                <w:rFonts w:ascii="Arial" w:eastAsia="Arial" w:hAnsi="Arial" w:cs="Arial"/>
                <w:spacing w:val="1"/>
                <w:sz w:val="20"/>
                <w:szCs w:val="18"/>
              </w:rPr>
              <w:t>c</w:t>
            </w:r>
            <w:r w:rsidRPr="00F94EBD">
              <w:rPr>
                <w:rFonts w:ascii="Arial" w:eastAsia="Arial" w:hAnsi="Arial" w:cs="Arial"/>
                <w:sz w:val="20"/>
                <w:szCs w:val="18"/>
              </w:rPr>
              <w:t>t</w:t>
            </w:r>
            <w:r w:rsidRPr="00F94EBD">
              <w:rPr>
                <w:rFonts w:ascii="Arial" w:eastAsia="Arial" w:hAnsi="Arial" w:cs="Arial"/>
                <w:spacing w:val="2"/>
                <w:sz w:val="20"/>
                <w:szCs w:val="18"/>
              </w:rPr>
              <w:t>r</w:t>
            </w:r>
            <w:r w:rsidRPr="00F94EBD">
              <w:rPr>
                <w:rFonts w:ascii="Arial" w:eastAsia="Arial" w:hAnsi="Arial" w:cs="Arial"/>
                <w:spacing w:val="1"/>
                <w:sz w:val="20"/>
                <w:szCs w:val="18"/>
              </w:rPr>
              <w:t>i</w:t>
            </w:r>
            <w:r w:rsidRPr="00F94EBD">
              <w:rPr>
                <w:rFonts w:ascii="Arial" w:eastAsia="Arial" w:hAnsi="Arial" w:cs="Arial"/>
                <w:sz w:val="20"/>
                <w:szCs w:val="18"/>
              </w:rPr>
              <w:t>c</w:t>
            </w:r>
            <w:r w:rsidRPr="00F94EBD">
              <w:rPr>
                <w:rFonts w:ascii="Arial" w:eastAsia="Arial" w:hAnsi="Arial" w:cs="Arial"/>
                <w:spacing w:val="1"/>
                <w:sz w:val="20"/>
                <w:szCs w:val="18"/>
              </w:rPr>
              <w:t>i</w:t>
            </w:r>
            <w:r w:rsidRPr="00F94EBD">
              <w:rPr>
                <w:rFonts w:ascii="Arial" w:eastAsia="Arial" w:hAnsi="Arial" w:cs="Arial"/>
                <w:spacing w:val="4"/>
                <w:sz w:val="20"/>
                <w:szCs w:val="18"/>
              </w:rPr>
              <w:t>t</w:t>
            </w:r>
            <w:r w:rsidRPr="00F94EBD">
              <w:rPr>
                <w:rFonts w:ascii="Arial" w:eastAsia="Arial" w:hAnsi="Arial" w:cs="Arial"/>
                <w:spacing w:val="-11"/>
                <w:sz w:val="20"/>
                <w:szCs w:val="18"/>
              </w:rPr>
              <w:t>y</w:t>
            </w:r>
            <w:r w:rsidRPr="00F94EBD">
              <w:rPr>
                <w:rFonts w:ascii="Arial" w:eastAsia="Arial" w:hAnsi="Arial" w:cs="Arial"/>
                <w:sz w:val="20"/>
                <w:szCs w:val="18"/>
              </w:rPr>
              <w:t>,</w:t>
            </w:r>
            <w:r w:rsidRPr="00F94EBD">
              <w:rPr>
                <w:rFonts w:ascii="Arial" w:eastAsia="Arial" w:hAnsi="Arial" w:cs="Arial"/>
                <w:spacing w:val="-1"/>
                <w:sz w:val="20"/>
                <w:szCs w:val="18"/>
              </w:rPr>
              <w:t xml:space="preserve"> </w:t>
            </w:r>
            <w:r w:rsidRPr="00F94EBD">
              <w:rPr>
                <w:rFonts w:ascii="Arial" w:eastAsia="Arial" w:hAnsi="Arial" w:cs="Arial"/>
                <w:spacing w:val="2"/>
                <w:sz w:val="20"/>
                <w:szCs w:val="18"/>
              </w:rPr>
              <w:t>Ga</w:t>
            </w:r>
            <w:r w:rsidRPr="00F94EBD">
              <w:rPr>
                <w:rFonts w:ascii="Arial" w:eastAsia="Arial" w:hAnsi="Arial" w:cs="Arial"/>
                <w:spacing w:val="1"/>
                <w:sz w:val="20"/>
                <w:szCs w:val="18"/>
              </w:rPr>
              <w:t>s</w:t>
            </w:r>
            <w:r w:rsidRPr="00F94EBD">
              <w:rPr>
                <w:rFonts w:ascii="Arial" w:eastAsia="Arial" w:hAnsi="Arial" w:cs="Arial"/>
                <w:sz w:val="20"/>
                <w:szCs w:val="18"/>
              </w:rPr>
              <w:t>,</w:t>
            </w:r>
            <w:r w:rsidRPr="00F94EBD">
              <w:rPr>
                <w:rFonts w:ascii="Arial" w:eastAsia="Arial" w:hAnsi="Arial" w:cs="Arial"/>
                <w:spacing w:val="-1"/>
                <w:sz w:val="20"/>
                <w:szCs w:val="18"/>
              </w:rPr>
              <w:t xml:space="preserve"> </w:t>
            </w:r>
            <w:r w:rsidRPr="00F94EBD">
              <w:rPr>
                <w:rFonts w:ascii="Arial" w:eastAsia="Arial" w:hAnsi="Arial" w:cs="Arial"/>
                <w:spacing w:val="-5"/>
                <w:sz w:val="20"/>
                <w:szCs w:val="18"/>
              </w:rPr>
              <w:t>W</w:t>
            </w:r>
            <w:r w:rsidRPr="00F94EBD">
              <w:rPr>
                <w:rFonts w:ascii="Arial" w:eastAsia="Arial" w:hAnsi="Arial" w:cs="Arial"/>
                <w:spacing w:val="1"/>
                <w:sz w:val="20"/>
                <w:szCs w:val="18"/>
              </w:rPr>
              <w:t>a</w:t>
            </w:r>
            <w:r w:rsidRPr="00F94EBD">
              <w:rPr>
                <w:rFonts w:ascii="Arial" w:eastAsia="Arial" w:hAnsi="Arial" w:cs="Arial"/>
                <w:spacing w:val="-2"/>
                <w:sz w:val="20"/>
                <w:szCs w:val="18"/>
              </w:rPr>
              <w:t>t</w:t>
            </w:r>
            <w:r w:rsidRPr="00F94EBD">
              <w:rPr>
                <w:rFonts w:ascii="Arial" w:eastAsia="Arial" w:hAnsi="Arial" w:cs="Arial"/>
                <w:spacing w:val="2"/>
                <w:sz w:val="20"/>
                <w:szCs w:val="18"/>
              </w:rPr>
              <w:t>e</w:t>
            </w:r>
            <w:r w:rsidRPr="00F94EBD">
              <w:rPr>
                <w:rFonts w:ascii="Arial" w:eastAsia="Arial" w:hAnsi="Arial" w:cs="Arial"/>
                <w:sz w:val="20"/>
                <w:szCs w:val="18"/>
              </w:rPr>
              <w:t>r</w:t>
            </w:r>
            <w:r w:rsidRPr="00F94EBD">
              <w:rPr>
                <w:rFonts w:ascii="Arial" w:eastAsia="Arial" w:hAnsi="Arial" w:cs="Arial"/>
                <w:spacing w:val="-1"/>
                <w:sz w:val="20"/>
                <w:szCs w:val="18"/>
              </w:rPr>
              <w:t xml:space="preserve"> </w:t>
            </w:r>
            <w:r w:rsidRPr="00F94EBD">
              <w:rPr>
                <w:rFonts w:ascii="Arial" w:eastAsia="Arial" w:hAnsi="Arial" w:cs="Arial"/>
                <w:spacing w:val="2"/>
                <w:sz w:val="20"/>
                <w:szCs w:val="18"/>
              </w:rPr>
              <w:t>a</w:t>
            </w:r>
            <w:r w:rsidRPr="00F94EBD">
              <w:rPr>
                <w:rFonts w:ascii="Arial" w:eastAsia="Arial" w:hAnsi="Arial" w:cs="Arial"/>
                <w:spacing w:val="1"/>
                <w:sz w:val="20"/>
                <w:szCs w:val="18"/>
              </w:rPr>
              <w:t>n</w:t>
            </w:r>
            <w:r w:rsidRPr="00F94EBD">
              <w:rPr>
                <w:rFonts w:ascii="Arial" w:eastAsia="Arial" w:hAnsi="Arial" w:cs="Arial"/>
                <w:sz w:val="20"/>
                <w:szCs w:val="18"/>
              </w:rPr>
              <w:t>d</w:t>
            </w:r>
            <w:r w:rsidRPr="00F94EBD">
              <w:rPr>
                <w:rFonts w:ascii="Arial" w:eastAsia="Arial" w:hAnsi="Arial" w:cs="Arial"/>
                <w:spacing w:val="-1"/>
                <w:sz w:val="20"/>
                <w:szCs w:val="18"/>
              </w:rPr>
              <w:t xml:space="preserve"> </w:t>
            </w:r>
            <w:r w:rsidRPr="00F94EBD">
              <w:rPr>
                <w:rFonts w:ascii="Arial" w:eastAsia="Arial" w:hAnsi="Arial" w:cs="Arial"/>
                <w:spacing w:val="-5"/>
                <w:sz w:val="20"/>
                <w:szCs w:val="18"/>
              </w:rPr>
              <w:t>W</w:t>
            </w:r>
            <w:r w:rsidRPr="00F94EBD">
              <w:rPr>
                <w:rFonts w:ascii="Arial" w:eastAsia="Arial" w:hAnsi="Arial" w:cs="Arial"/>
                <w:spacing w:val="2"/>
                <w:sz w:val="20"/>
                <w:szCs w:val="18"/>
              </w:rPr>
              <w:t>as</w:t>
            </w:r>
            <w:r w:rsidRPr="00F94EBD">
              <w:rPr>
                <w:rFonts w:ascii="Arial" w:eastAsia="Arial" w:hAnsi="Arial" w:cs="Arial"/>
                <w:spacing w:val="-2"/>
                <w:sz w:val="20"/>
                <w:szCs w:val="18"/>
              </w:rPr>
              <w:t>t</w:t>
            </w:r>
            <w:r w:rsidRPr="00F94EBD">
              <w:rPr>
                <w:rFonts w:ascii="Arial" w:eastAsia="Arial" w:hAnsi="Arial" w:cs="Arial"/>
                <w:sz w:val="20"/>
                <w:szCs w:val="18"/>
              </w:rPr>
              <w:t>e</w:t>
            </w:r>
            <w:r w:rsidRPr="00F94EBD">
              <w:rPr>
                <w:rFonts w:ascii="Arial" w:eastAsia="Arial" w:hAnsi="Arial" w:cs="Arial"/>
                <w:spacing w:val="-1"/>
                <w:sz w:val="20"/>
                <w:szCs w:val="18"/>
              </w:rPr>
              <w:t xml:space="preserve"> </w:t>
            </w:r>
            <w:r w:rsidRPr="00F94EBD">
              <w:rPr>
                <w:rFonts w:ascii="Arial" w:eastAsia="Arial" w:hAnsi="Arial" w:cs="Arial"/>
                <w:spacing w:val="2"/>
                <w:sz w:val="20"/>
                <w:szCs w:val="18"/>
              </w:rPr>
              <w:t>Se</w:t>
            </w:r>
            <w:r w:rsidRPr="00F94EBD">
              <w:rPr>
                <w:rFonts w:ascii="Arial" w:eastAsia="Arial" w:hAnsi="Arial" w:cs="Arial"/>
                <w:spacing w:val="7"/>
                <w:sz w:val="20"/>
                <w:szCs w:val="18"/>
              </w:rPr>
              <w:t>r</w:t>
            </w:r>
            <w:r w:rsidRPr="00F94EBD">
              <w:rPr>
                <w:rFonts w:ascii="Arial" w:eastAsia="Arial" w:hAnsi="Arial" w:cs="Arial"/>
                <w:spacing w:val="1"/>
                <w:sz w:val="20"/>
                <w:szCs w:val="18"/>
              </w:rPr>
              <w:t>vic</w:t>
            </w:r>
            <w:r w:rsidRPr="00F94EBD">
              <w:rPr>
                <w:rFonts w:ascii="Arial" w:eastAsia="Arial" w:hAnsi="Arial" w:cs="Arial"/>
                <w:spacing w:val="2"/>
                <w:sz w:val="20"/>
                <w:szCs w:val="18"/>
              </w:rPr>
              <w:t>e</w:t>
            </w:r>
            <w:r w:rsidRPr="00F94EBD">
              <w:rPr>
                <w:rFonts w:ascii="Arial" w:eastAsia="Arial" w:hAnsi="Arial" w:cs="Arial"/>
                <w:sz w:val="20"/>
                <w:szCs w:val="18"/>
              </w:rPr>
              <w:t>s</w:t>
            </w:r>
          </w:p>
        </w:tc>
        <w:tc>
          <w:tcPr>
            <w:tcW w:w="380"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48" w:right="257"/>
              <w:jc w:val="center"/>
              <w:rPr>
                <w:rFonts w:ascii="Arial" w:eastAsia="Arial" w:hAnsi="Arial" w:cs="Arial"/>
                <w:sz w:val="20"/>
                <w:szCs w:val="18"/>
              </w:rPr>
            </w:pPr>
            <w:r w:rsidRPr="00F94EBD">
              <w:rPr>
                <w:rFonts w:ascii="Arial" w:eastAsia="Arial" w:hAnsi="Arial" w:cs="Arial"/>
                <w:spacing w:val="-9"/>
                <w:sz w:val="20"/>
                <w:szCs w:val="18"/>
              </w:rPr>
              <w:t>12</w:t>
            </w:r>
          </w:p>
        </w:tc>
        <w:tc>
          <w:tcPr>
            <w:tcW w:w="358"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04"/>
              <w:jc w:val="center"/>
              <w:rPr>
                <w:rFonts w:ascii="Arial" w:eastAsia="Arial" w:hAnsi="Arial" w:cs="Arial"/>
                <w:sz w:val="20"/>
                <w:szCs w:val="18"/>
              </w:rPr>
            </w:pPr>
            <w:r w:rsidRPr="00F94EBD">
              <w:rPr>
                <w:rFonts w:ascii="Arial" w:eastAsia="Arial" w:hAnsi="Arial" w:cs="Arial"/>
                <w:w w:val="105"/>
                <w:sz w:val="20"/>
                <w:szCs w:val="18"/>
              </w:rPr>
              <w:t>2%</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37" w:right="236"/>
              <w:jc w:val="center"/>
              <w:rPr>
                <w:rFonts w:ascii="Arial" w:eastAsia="Arial" w:hAnsi="Arial" w:cs="Arial"/>
                <w:sz w:val="20"/>
                <w:szCs w:val="18"/>
              </w:rPr>
            </w:pPr>
            <w:r w:rsidRPr="00F94EBD">
              <w:rPr>
                <w:rFonts w:ascii="Arial" w:eastAsia="Arial" w:hAnsi="Arial" w:cs="Arial"/>
                <w:sz w:val="20"/>
                <w:szCs w:val="18"/>
              </w:rPr>
              <w:t>5</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76"/>
              <w:jc w:val="center"/>
              <w:rPr>
                <w:rFonts w:ascii="Arial" w:eastAsia="Arial" w:hAnsi="Arial" w:cs="Arial"/>
                <w:sz w:val="20"/>
                <w:szCs w:val="18"/>
              </w:rPr>
            </w:pPr>
            <w:r w:rsidRPr="00F94EBD">
              <w:rPr>
                <w:rFonts w:ascii="Arial" w:eastAsia="Arial" w:hAnsi="Arial" w:cs="Arial"/>
                <w:w w:val="105"/>
                <w:sz w:val="20"/>
                <w:szCs w:val="18"/>
              </w:rPr>
              <w:t>2%</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84" w:right="284"/>
              <w:jc w:val="center"/>
              <w:rPr>
                <w:rFonts w:ascii="Arial" w:eastAsia="Arial" w:hAnsi="Arial" w:cs="Arial"/>
                <w:sz w:val="20"/>
                <w:szCs w:val="18"/>
              </w:rPr>
            </w:pPr>
            <w:r w:rsidRPr="00F94EBD">
              <w:rPr>
                <w:rFonts w:ascii="Arial" w:eastAsia="Arial" w:hAnsi="Arial" w:cs="Arial"/>
                <w:sz w:val="20"/>
                <w:szCs w:val="18"/>
              </w:rPr>
              <w:t>8</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84"/>
              <w:jc w:val="center"/>
              <w:rPr>
                <w:rFonts w:ascii="Arial" w:eastAsia="Arial" w:hAnsi="Arial" w:cs="Arial"/>
                <w:sz w:val="20"/>
                <w:szCs w:val="18"/>
              </w:rPr>
            </w:pPr>
            <w:r w:rsidRPr="00F94EBD">
              <w:rPr>
                <w:rFonts w:ascii="Arial" w:eastAsia="Arial" w:hAnsi="Arial" w:cs="Arial"/>
                <w:spacing w:val="1"/>
                <w:w w:val="105"/>
                <w:sz w:val="20"/>
                <w:szCs w:val="18"/>
              </w:rPr>
              <w:t>3%</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65" w:right="265"/>
              <w:jc w:val="center"/>
              <w:rPr>
                <w:rFonts w:ascii="Arial" w:eastAsia="Arial" w:hAnsi="Arial" w:cs="Arial"/>
                <w:sz w:val="20"/>
                <w:szCs w:val="18"/>
              </w:rPr>
            </w:pPr>
            <w:r w:rsidRPr="00F94EBD">
              <w:rPr>
                <w:rFonts w:ascii="Arial" w:eastAsia="Arial" w:hAnsi="Arial" w:cs="Arial"/>
                <w:sz w:val="20"/>
                <w:szCs w:val="18"/>
              </w:rPr>
              <w:t>2</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94"/>
              <w:jc w:val="center"/>
              <w:rPr>
                <w:rFonts w:ascii="Arial" w:eastAsia="Arial" w:hAnsi="Arial" w:cs="Arial"/>
                <w:sz w:val="20"/>
                <w:szCs w:val="18"/>
              </w:rPr>
            </w:pPr>
            <w:r w:rsidRPr="00F94EBD">
              <w:rPr>
                <w:rFonts w:ascii="Arial" w:eastAsia="Arial" w:hAnsi="Arial" w:cs="Arial"/>
                <w:w w:val="105"/>
                <w:sz w:val="20"/>
                <w:szCs w:val="18"/>
              </w:rPr>
              <w:t>2%</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jc w:val="center"/>
              <w:rPr>
                <w:rFonts w:ascii="Arial" w:eastAsia="Arial" w:hAnsi="Arial" w:cs="Arial"/>
                <w:sz w:val="20"/>
                <w:szCs w:val="18"/>
              </w:rPr>
            </w:pPr>
            <w:r w:rsidRPr="00F94EBD">
              <w:rPr>
                <w:rFonts w:ascii="Arial" w:eastAsia="Arial" w:hAnsi="Arial" w:cs="Arial"/>
                <w:spacing w:val="-9"/>
                <w:sz w:val="20"/>
                <w:szCs w:val="18"/>
              </w:rPr>
              <w:t>1</w:t>
            </w:r>
            <w:r w:rsidRPr="00F94EBD">
              <w:rPr>
                <w:rFonts w:ascii="Arial" w:eastAsia="Arial" w:hAnsi="Arial" w:cs="Arial"/>
                <w:spacing w:val="2"/>
                <w:sz w:val="20"/>
                <w:szCs w:val="18"/>
              </w:rPr>
              <w:t>3</w:t>
            </w:r>
            <w:r w:rsidRPr="00F94EBD">
              <w:rPr>
                <w:rFonts w:ascii="Arial" w:eastAsia="Arial" w:hAnsi="Arial" w:cs="Arial"/>
                <w:sz w:val="20"/>
                <w:szCs w:val="18"/>
              </w:rPr>
              <w:t>9</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18"/>
              <w:jc w:val="center"/>
              <w:rPr>
                <w:rFonts w:ascii="Arial" w:eastAsia="Arial" w:hAnsi="Arial" w:cs="Arial"/>
                <w:sz w:val="20"/>
                <w:szCs w:val="18"/>
              </w:rPr>
            </w:pPr>
            <w:r w:rsidRPr="00F94EBD">
              <w:rPr>
                <w:rFonts w:ascii="Arial" w:eastAsia="Arial" w:hAnsi="Arial" w:cs="Arial"/>
                <w:spacing w:val="-9"/>
                <w:sz w:val="20"/>
                <w:szCs w:val="18"/>
              </w:rPr>
              <w:t>1</w:t>
            </w:r>
            <w:r w:rsidRPr="00F94EBD">
              <w:rPr>
                <w:rFonts w:ascii="Arial" w:eastAsia="Arial" w:hAnsi="Arial" w:cs="Arial"/>
                <w:spacing w:val="1"/>
                <w:sz w:val="20"/>
                <w:szCs w:val="18"/>
              </w:rPr>
              <w:t>8</w:t>
            </w:r>
            <w:r w:rsidRPr="00F94EBD">
              <w:rPr>
                <w:rFonts w:ascii="Arial" w:eastAsia="Arial" w:hAnsi="Arial" w:cs="Arial"/>
                <w:sz w:val="20"/>
                <w:szCs w:val="18"/>
              </w:rPr>
              <w:t>2</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79"/>
              <w:jc w:val="center"/>
              <w:rPr>
                <w:rFonts w:ascii="Arial" w:eastAsia="Arial" w:hAnsi="Arial" w:cs="Arial"/>
                <w:sz w:val="20"/>
                <w:szCs w:val="18"/>
              </w:rPr>
            </w:pPr>
            <w:r w:rsidRPr="00F94EBD">
              <w:rPr>
                <w:rFonts w:ascii="Arial" w:eastAsia="Arial" w:hAnsi="Arial" w:cs="Arial"/>
                <w:spacing w:val="-16"/>
                <w:sz w:val="20"/>
                <w:szCs w:val="18"/>
              </w:rPr>
              <w:t>1</w:t>
            </w:r>
            <w:r w:rsidRPr="00F94EBD">
              <w:rPr>
                <w:rFonts w:ascii="Arial" w:eastAsia="Arial" w:hAnsi="Arial" w:cs="Arial"/>
                <w:spacing w:val="-12"/>
                <w:sz w:val="20"/>
                <w:szCs w:val="18"/>
              </w:rPr>
              <w:t>1</w:t>
            </w:r>
            <w:r w:rsidRPr="00F94EBD">
              <w:rPr>
                <w:rFonts w:ascii="Arial" w:eastAsia="Arial" w:hAnsi="Arial" w:cs="Arial"/>
                <w:sz w:val="20"/>
                <w:szCs w:val="18"/>
              </w:rPr>
              <w:t>4</w:t>
            </w:r>
          </w:p>
        </w:tc>
        <w:tc>
          <w:tcPr>
            <w:tcW w:w="369" w:type="pct"/>
            <w:tcBorders>
              <w:top w:val="single" w:sz="4" w:space="0" w:color="797979"/>
              <w:left w:val="single" w:sz="4" w:space="0" w:color="797979"/>
              <w:bottom w:val="single" w:sz="4" w:space="0" w:color="797979"/>
              <w:right w:val="nil"/>
            </w:tcBorders>
            <w:vAlign w:val="center"/>
          </w:tcPr>
          <w:p w:rsidR="003C17D6" w:rsidRPr="00F94EBD" w:rsidRDefault="003C17D6" w:rsidP="00F94EBD">
            <w:pPr>
              <w:pStyle w:val="TableParagraph"/>
              <w:ind w:left="211" w:right="218"/>
              <w:jc w:val="center"/>
              <w:rPr>
                <w:rFonts w:ascii="Arial" w:eastAsia="Arial" w:hAnsi="Arial" w:cs="Arial"/>
                <w:sz w:val="20"/>
                <w:szCs w:val="18"/>
              </w:rPr>
            </w:pPr>
            <w:r w:rsidRPr="00F94EBD">
              <w:rPr>
                <w:rFonts w:ascii="Arial" w:eastAsia="Arial" w:hAnsi="Arial" w:cs="Arial"/>
                <w:spacing w:val="-3"/>
                <w:sz w:val="20"/>
                <w:szCs w:val="18"/>
              </w:rPr>
              <w:t>67</w:t>
            </w:r>
          </w:p>
        </w:tc>
      </w:tr>
      <w:tr w:rsidR="00F94EBD" w:rsidTr="00F94EBD">
        <w:trPr>
          <w:trHeight w:hRule="exact" w:val="775"/>
        </w:trPr>
        <w:tc>
          <w:tcPr>
            <w:tcW w:w="591" w:type="pct"/>
            <w:tcBorders>
              <w:top w:val="single" w:sz="4" w:space="0" w:color="797979"/>
              <w:left w:val="nil"/>
              <w:bottom w:val="single" w:sz="4" w:space="0" w:color="797979"/>
              <w:right w:val="single" w:sz="4" w:space="0" w:color="797979"/>
            </w:tcBorders>
            <w:vAlign w:val="center"/>
          </w:tcPr>
          <w:p w:rsidR="003C17D6" w:rsidRPr="00F94EBD" w:rsidRDefault="003C17D6" w:rsidP="00F94EBD">
            <w:pPr>
              <w:pStyle w:val="TableParagraph"/>
              <w:ind w:left="80"/>
              <w:rPr>
                <w:rFonts w:ascii="Arial" w:eastAsia="Arial" w:hAnsi="Arial" w:cs="Arial"/>
                <w:sz w:val="20"/>
                <w:szCs w:val="18"/>
              </w:rPr>
            </w:pPr>
            <w:r w:rsidRPr="00F94EBD">
              <w:rPr>
                <w:rFonts w:ascii="Arial" w:eastAsia="Arial" w:hAnsi="Arial" w:cs="Arial"/>
                <w:sz w:val="20"/>
                <w:szCs w:val="18"/>
              </w:rPr>
              <w:t>F</w:t>
            </w:r>
            <w:r w:rsidRPr="00F94EBD">
              <w:rPr>
                <w:rFonts w:ascii="Arial" w:eastAsia="Arial" w:hAnsi="Arial" w:cs="Arial"/>
                <w:spacing w:val="1"/>
                <w:sz w:val="20"/>
                <w:szCs w:val="18"/>
              </w:rPr>
              <w:t>in</w:t>
            </w:r>
            <w:r w:rsidRPr="00F94EBD">
              <w:rPr>
                <w:rFonts w:ascii="Arial" w:eastAsia="Arial" w:hAnsi="Arial" w:cs="Arial"/>
                <w:spacing w:val="2"/>
                <w:sz w:val="20"/>
                <w:szCs w:val="18"/>
              </w:rPr>
              <w:t>a</w:t>
            </w:r>
            <w:r w:rsidRPr="00F94EBD">
              <w:rPr>
                <w:rFonts w:ascii="Arial" w:eastAsia="Arial" w:hAnsi="Arial" w:cs="Arial"/>
                <w:spacing w:val="1"/>
                <w:sz w:val="20"/>
                <w:szCs w:val="18"/>
              </w:rPr>
              <w:t>n</w:t>
            </w:r>
            <w:r w:rsidRPr="00F94EBD">
              <w:rPr>
                <w:rFonts w:ascii="Arial" w:eastAsia="Arial" w:hAnsi="Arial" w:cs="Arial"/>
                <w:sz w:val="20"/>
                <w:szCs w:val="18"/>
              </w:rPr>
              <w:t>c</w:t>
            </w:r>
            <w:r w:rsidRPr="00F94EBD">
              <w:rPr>
                <w:rFonts w:ascii="Arial" w:eastAsia="Arial" w:hAnsi="Arial" w:cs="Arial"/>
                <w:spacing w:val="1"/>
                <w:sz w:val="20"/>
                <w:szCs w:val="18"/>
              </w:rPr>
              <w:t>i</w:t>
            </w:r>
            <w:r w:rsidRPr="00F94EBD">
              <w:rPr>
                <w:rFonts w:ascii="Arial" w:eastAsia="Arial" w:hAnsi="Arial" w:cs="Arial"/>
                <w:spacing w:val="2"/>
                <w:sz w:val="20"/>
                <w:szCs w:val="18"/>
              </w:rPr>
              <w:t>a</w:t>
            </w:r>
            <w:r w:rsidRPr="00F94EBD">
              <w:rPr>
                <w:rFonts w:ascii="Arial" w:eastAsia="Arial" w:hAnsi="Arial" w:cs="Arial"/>
                <w:sz w:val="20"/>
                <w:szCs w:val="18"/>
              </w:rPr>
              <w:t>l</w:t>
            </w:r>
            <w:r w:rsidRPr="00F94EBD">
              <w:rPr>
                <w:rFonts w:ascii="Arial" w:eastAsia="Arial" w:hAnsi="Arial" w:cs="Arial"/>
                <w:spacing w:val="-5"/>
                <w:sz w:val="20"/>
                <w:szCs w:val="18"/>
              </w:rPr>
              <w:t xml:space="preserve"> </w:t>
            </w:r>
            <w:r w:rsidRPr="00F94EBD">
              <w:rPr>
                <w:rFonts w:ascii="Arial" w:eastAsia="Arial" w:hAnsi="Arial" w:cs="Arial"/>
                <w:spacing w:val="2"/>
                <w:sz w:val="20"/>
                <w:szCs w:val="18"/>
              </w:rPr>
              <w:t>a</w:t>
            </w:r>
            <w:r w:rsidRPr="00F94EBD">
              <w:rPr>
                <w:rFonts w:ascii="Arial" w:eastAsia="Arial" w:hAnsi="Arial" w:cs="Arial"/>
                <w:spacing w:val="1"/>
                <w:sz w:val="20"/>
                <w:szCs w:val="18"/>
              </w:rPr>
              <w:t>n</w:t>
            </w:r>
            <w:r w:rsidRPr="00F94EBD">
              <w:rPr>
                <w:rFonts w:ascii="Arial" w:eastAsia="Arial" w:hAnsi="Arial" w:cs="Arial"/>
                <w:sz w:val="20"/>
                <w:szCs w:val="18"/>
              </w:rPr>
              <w:t>d</w:t>
            </w:r>
            <w:r w:rsidRPr="00F94EBD">
              <w:rPr>
                <w:rFonts w:ascii="Arial" w:eastAsia="Arial" w:hAnsi="Arial" w:cs="Arial"/>
                <w:spacing w:val="-5"/>
                <w:sz w:val="20"/>
                <w:szCs w:val="18"/>
              </w:rPr>
              <w:t xml:space="preserve"> </w:t>
            </w:r>
            <w:r w:rsidRPr="00F94EBD">
              <w:rPr>
                <w:rFonts w:ascii="Arial" w:eastAsia="Arial" w:hAnsi="Arial" w:cs="Arial"/>
                <w:sz w:val="20"/>
                <w:szCs w:val="18"/>
              </w:rPr>
              <w:t>I</w:t>
            </w:r>
            <w:r w:rsidRPr="00F94EBD">
              <w:rPr>
                <w:rFonts w:ascii="Arial" w:eastAsia="Arial" w:hAnsi="Arial" w:cs="Arial"/>
                <w:spacing w:val="1"/>
                <w:sz w:val="20"/>
                <w:szCs w:val="18"/>
              </w:rPr>
              <w:t>nsu</w:t>
            </w:r>
            <w:r w:rsidRPr="00F94EBD">
              <w:rPr>
                <w:rFonts w:ascii="Arial" w:eastAsia="Arial" w:hAnsi="Arial" w:cs="Arial"/>
                <w:spacing w:val="2"/>
                <w:sz w:val="20"/>
                <w:szCs w:val="18"/>
              </w:rPr>
              <w:t>ra</w:t>
            </w:r>
            <w:r w:rsidRPr="00F94EBD">
              <w:rPr>
                <w:rFonts w:ascii="Arial" w:eastAsia="Arial" w:hAnsi="Arial" w:cs="Arial"/>
                <w:spacing w:val="1"/>
                <w:sz w:val="20"/>
                <w:szCs w:val="18"/>
              </w:rPr>
              <w:t>nc</w:t>
            </w:r>
            <w:r w:rsidRPr="00F94EBD">
              <w:rPr>
                <w:rFonts w:ascii="Arial" w:eastAsia="Arial" w:hAnsi="Arial" w:cs="Arial"/>
                <w:sz w:val="20"/>
                <w:szCs w:val="18"/>
              </w:rPr>
              <w:t>e</w:t>
            </w:r>
            <w:r w:rsidRPr="00F94EBD">
              <w:rPr>
                <w:rFonts w:ascii="Arial" w:eastAsia="Arial" w:hAnsi="Arial" w:cs="Arial"/>
                <w:spacing w:val="-5"/>
                <w:sz w:val="20"/>
                <w:szCs w:val="18"/>
              </w:rPr>
              <w:t xml:space="preserve"> </w:t>
            </w:r>
            <w:r w:rsidRPr="00F94EBD">
              <w:rPr>
                <w:rFonts w:ascii="Arial" w:eastAsia="Arial" w:hAnsi="Arial" w:cs="Arial"/>
                <w:spacing w:val="2"/>
                <w:sz w:val="20"/>
                <w:szCs w:val="18"/>
              </w:rPr>
              <w:t>Se</w:t>
            </w:r>
            <w:r w:rsidRPr="00F94EBD">
              <w:rPr>
                <w:rFonts w:ascii="Arial" w:eastAsia="Arial" w:hAnsi="Arial" w:cs="Arial"/>
                <w:spacing w:val="7"/>
                <w:sz w:val="20"/>
                <w:szCs w:val="18"/>
              </w:rPr>
              <w:t>r</w:t>
            </w:r>
            <w:r w:rsidRPr="00F94EBD">
              <w:rPr>
                <w:rFonts w:ascii="Arial" w:eastAsia="Arial" w:hAnsi="Arial" w:cs="Arial"/>
                <w:spacing w:val="1"/>
                <w:sz w:val="20"/>
                <w:szCs w:val="18"/>
              </w:rPr>
              <w:t>vic</w:t>
            </w:r>
            <w:r w:rsidRPr="00F94EBD">
              <w:rPr>
                <w:rFonts w:ascii="Arial" w:eastAsia="Arial" w:hAnsi="Arial" w:cs="Arial"/>
                <w:spacing w:val="2"/>
                <w:sz w:val="20"/>
                <w:szCs w:val="18"/>
              </w:rPr>
              <w:t>e</w:t>
            </w:r>
            <w:r w:rsidRPr="00F94EBD">
              <w:rPr>
                <w:rFonts w:ascii="Arial" w:eastAsia="Arial" w:hAnsi="Arial" w:cs="Arial"/>
                <w:sz w:val="20"/>
                <w:szCs w:val="18"/>
              </w:rPr>
              <w:t>s</w:t>
            </w:r>
          </w:p>
        </w:tc>
        <w:tc>
          <w:tcPr>
            <w:tcW w:w="380"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spacing w:after="0"/>
              <w:jc w:val="center"/>
              <w:rPr>
                <w:sz w:val="20"/>
              </w:rPr>
            </w:pPr>
          </w:p>
        </w:tc>
        <w:tc>
          <w:tcPr>
            <w:tcW w:w="358"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02"/>
              <w:jc w:val="center"/>
              <w:rPr>
                <w:rFonts w:ascii="Arial" w:eastAsia="Arial" w:hAnsi="Arial" w:cs="Arial"/>
                <w:sz w:val="20"/>
                <w:szCs w:val="18"/>
              </w:rPr>
            </w:pPr>
            <w:r w:rsidRPr="00F94EBD">
              <w:rPr>
                <w:rFonts w:ascii="Arial" w:eastAsia="Arial" w:hAnsi="Arial" w:cs="Arial"/>
                <w:spacing w:val="3"/>
                <w:w w:val="105"/>
                <w:sz w:val="20"/>
                <w:szCs w:val="18"/>
              </w:rPr>
              <w:t>0%</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spacing w:after="0"/>
              <w:jc w:val="center"/>
              <w:rPr>
                <w:sz w:val="20"/>
              </w:rPr>
            </w:pP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74"/>
              <w:jc w:val="center"/>
              <w:rPr>
                <w:rFonts w:ascii="Arial" w:eastAsia="Arial" w:hAnsi="Arial" w:cs="Arial"/>
                <w:sz w:val="20"/>
                <w:szCs w:val="18"/>
              </w:rPr>
            </w:pPr>
            <w:r w:rsidRPr="00F94EBD">
              <w:rPr>
                <w:rFonts w:ascii="Arial" w:eastAsia="Arial" w:hAnsi="Arial" w:cs="Arial"/>
                <w:spacing w:val="3"/>
                <w:w w:val="105"/>
                <w:sz w:val="20"/>
                <w:szCs w:val="18"/>
              </w:rPr>
              <w:t>0%</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spacing w:after="0"/>
              <w:jc w:val="center"/>
              <w:rPr>
                <w:sz w:val="20"/>
              </w:rPr>
            </w:pP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83"/>
              <w:jc w:val="center"/>
              <w:rPr>
                <w:rFonts w:ascii="Arial" w:eastAsia="Arial" w:hAnsi="Arial" w:cs="Arial"/>
                <w:sz w:val="20"/>
                <w:szCs w:val="18"/>
              </w:rPr>
            </w:pPr>
            <w:r w:rsidRPr="00F94EBD">
              <w:rPr>
                <w:rFonts w:ascii="Arial" w:eastAsia="Arial" w:hAnsi="Arial" w:cs="Arial"/>
                <w:spacing w:val="3"/>
                <w:w w:val="105"/>
                <w:sz w:val="20"/>
                <w:szCs w:val="18"/>
              </w:rPr>
              <w:t>0%</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spacing w:after="0"/>
              <w:jc w:val="center"/>
              <w:rPr>
                <w:sz w:val="20"/>
              </w:rPr>
            </w:pP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93"/>
              <w:jc w:val="center"/>
              <w:rPr>
                <w:rFonts w:ascii="Arial" w:eastAsia="Arial" w:hAnsi="Arial" w:cs="Arial"/>
                <w:sz w:val="20"/>
                <w:szCs w:val="18"/>
              </w:rPr>
            </w:pPr>
            <w:r w:rsidRPr="00F94EBD">
              <w:rPr>
                <w:rFonts w:ascii="Arial" w:eastAsia="Arial" w:hAnsi="Arial" w:cs="Arial"/>
                <w:spacing w:val="3"/>
                <w:w w:val="105"/>
                <w:sz w:val="20"/>
                <w:szCs w:val="18"/>
              </w:rPr>
              <w:t>0%</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right="2"/>
              <w:jc w:val="center"/>
              <w:rPr>
                <w:rFonts w:ascii="Arial" w:eastAsia="Arial" w:hAnsi="Arial" w:cs="Arial"/>
                <w:sz w:val="20"/>
                <w:szCs w:val="18"/>
              </w:rPr>
            </w:pPr>
            <w:r w:rsidRPr="00F94EBD">
              <w:rPr>
                <w:rFonts w:ascii="Arial" w:eastAsia="Arial" w:hAnsi="Arial" w:cs="Arial"/>
                <w:spacing w:val="-4"/>
                <w:sz w:val="20"/>
                <w:szCs w:val="18"/>
              </w:rPr>
              <w:t>57</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45" w:right="242"/>
              <w:jc w:val="center"/>
              <w:rPr>
                <w:rFonts w:ascii="Arial" w:eastAsia="Arial" w:hAnsi="Arial" w:cs="Arial"/>
                <w:sz w:val="20"/>
                <w:szCs w:val="18"/>
              </w:rPr>
            </w:pPr>
            <w:r w:rsidRPr="00F94EBD">
              <w:rPr>
                <w:rFonts w:ascii="Arial" w:eastAsia="Arial" w:hAnsi="Arial" w:cs="Arial"/>
                <w:spacing w:val="2"/>
                <w:sz w:val="20"/>
                <w:szCs w:val="18"/>
              </w:rPr>
              <w:t>36</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
              <w:jc w:val="center"/>
              <w:rPr>
                <w:rFonts w:ascii="Arial" w:eastAsia="Arial" w:hAnsi="Arial" w:cs="Arial"/>
                <w:sz w:val="20"/>
                <w:szCs w:val="18"/>
              </w:rPr>
            </w:pPr>
            <w:r w:rsidRPr="00F94EBD">
              <w:rPr>
                <w:rFonts w:ascii="Arial" w:eastAsia="Arial" w:hAnsi="Arial" w:cs="Arial"/>
                <w:spacing w:val="2"/>
                <w:sz w:val="20"/>
                <w:szCs w:val="18"/>
              </w:rPr>
              <w:t>36</w:t>
            </w:r>
          </w:p>
        </w:tc>
        <w:tc>
          <w:tcPr>
            <w:tcW w:w="369" w:type="pct"/>
            <w:tcBorders>
              <w:top w:val="single" w:sz="4" w:space="0" w:color="797979"/>
              <w:left w:val="single" w:sz="4" w:space="0" w:color="797979"/>
              <w:bottom w:val="single" w:sz="4" w:space="0" w:color="797979"/>
              <w:right w:val="nil"/>
            </w:tcBorders>
            <w:vAlign w:val="center"/>
          </w:tcPr>
          <w:p w:rsidR="003C17D6" w:rsidRPr="00F94EBD" w:rsidRDefault="003C17D6" w:rsidP="00F94EBD">
            <w:pPr>
              <w:pStyle w:val="TableParagraph"/>
              <w:ind w:right="10"/>
              <w:jc w:val="center"/>
              <w:rPr>
                <w:rFonts w:ascii="Arial" w:eastAsia="Arial" w:hAnsi="Arial" w:cs="Arial"/>
                <w:sz w:val="20"/>
                <w:szCs w:val="18"/>
              </w:rPr>
            </w:pPr>
            <w:r w:rsidRPr="00F94EBD">
              <w:rPr>
                <w:rFonts w:ascii="Arial" w:eastAsia="Arial" w:hAnsi="Arial" w:cs="Arial"/>
                <w:spacing w:val="-6"/>
                <w:sz w:val="20"/>
                <w:szCs w:val="18"/>
              </w:rPr>
              <w:t>24</w:t>
            </w:r>
          </w:p>
        </w:tc>
      </w:tr>
      <w:tr w:rsidR="00F94EBD" w:rsidTr="00F94EBD">
        <w:trPr>
          <w:trHeight w:hRule="exact" w:val="510"/>
        </w:trPr>
        <w:tc>
          <w:tcPr>
            <w:tcW w:w="591" w:type="pct"/>
            <w:tcBorders>
              <w:top w:val="single" w:sz="4" w:space="0" w:color="797979"/>
              <w:left w:val="nil"/>
              <w:bottom w:val="single" w:sz="4" w:space="0" w:color="797979"/>
              <w:right w:val="single" w:sz="4" w:space="0" w:color="797979"/>
            </w:tcBorders>
            <w:vAlign w:val="center"/>
          </w:tcPr>
          <w:p w:rsidR="003C17D6" w:rsidRPr="00F94EBD" w:rsidRDefault="003C17D6" w:rsidP="00F94EBD">
            <w:pPr>
              <w:pStyle w:val="TableParagraph"/>
              <w:ind w:left="80"/>
              <w:rPr>
                <w:rFonts w:ascii="Arial" w:eastAsia="Arial" w:hAnsi="Arial" w:cs="Arial"/>
                <w:sz w:val="20"/>
                <w:szCs w:val="18"/>
              </w:rPr>
            </w:pPr>
            <w:r w:rsidRPr="00F94EBD">
              <w:rPr>
                <w:rFonts w:ascii="Arial" w:eastAsia="Arial" w:hAnsi="Arial" w:cs="Arial"/>
                <w:spacing w:val="1"/>
                <w:sz w:val="20"/>
                <w:szCs w:val="18"/>
              </w:rPr>
              <w:t>H</w:t>
            </w:r>
            <w:r w:rsidRPr="00F94EBD">
              <w:rPr>
                <w:rFonts w:ascii="Arial" w:eastAsia="Arial" w:hAnsi="Arial" w:cs="Arial"/>
                <w:spacing w:val="2"/>
                <w:sz w:val="20"/>
                <w:szCs w:val="18"/>
              </w:rPr>
              <w:t>ea</w:t>
            </w:r>
            <w:r w:rsidRPr="00F94EBD">
              <w:rPr>
                <w:rFonts w:ascii="Arial" w:eastAsia="Arial" w:hAnsi="Arial" w:cs="Arial"/>
                <w:spacing w:val="1"/>
                <w:sz w:val="20"/>
                <w:szCs w:val="18"/>
              </w:rPr>
              <w:t>l</w:t>
            </w:r>
            <w:r w:rsidRPr="00F94EBD">
              <w:rPr>
                <w:rFonts w:ascii="Arial" w:eastAsia="Arial" w:hAnsi="Arial" w:cs="Arial"/>
                <w:sz w:val="20"/>
                <w:szCs w:val="18"/>
              </w:rPr>
              <w:t>th</w:t>
            </w:r>
            <w:r w:rsidRPr="00F94EBD">
              <w:rPr>
                <w:rFonts w:ascii="Arial" w:eastAsia="Arial" w:hAnsi="Arial" w:cs="Arial"/>
                <w:spacing w:val="-1"/>
                <w:sz w:val="20"/>
                <w:szCs w:val="18"/>
              </w:rPr>
              <w:t xml:space="preserve"> </w:t>
            </w:r>
            <w:r w:rsidRPr="00F94EBD">
              <w:rPr>
                <w:rFonts w:ascii="Arial" w:eastAsia="Arial" w:hAnsi="Arial" w:cs="Arial"/>
                <w:sz w:val="20"/>
                <w:szCs w:val="18"/>
              </w:rPr>
              <w:t>C</w:t>
            </w:r>
            <w:r w:rsidRPr="00F94EBD">
              <w:rPr>
                <w:rFonts w:ascii="Arial" w:eastAsia="Arial" w:hAnsi="Arial" w:cs="Arial"/>
                <w:spacing w:val="2"/>
                <w:sz w:val="20"/>
                <w:szCs w:val="18"/>
              </w:rPr>
              <w:t>a</w:t>
            </w:r>
            <w:r w:rsidRPr="00F94EBD">
              <w:rPr>
                <w:rFonts w:ascii="Arial" w:eastAsia="Arial" w:hAnsi="Arial" w:cs="Arial"/>
                <w:sz w:val="20"/>
                <w:szCs w:val="18"/>
              </w:rPr>
              <w:t xml:space="preserve">re </w:t>
            </w:r>
            <w:r w:rsidRPr="00F94EBD">
              <w:rPr>
                <w:rFonts w:ascii="Arial" w:eastAsia="Arial" w:hAnsi="Arial" w:cs="Arial"/>
                <w:spacing w:val="2"/>
                <w:sz w:val="20"/>
                <w:szCs w:val="18"/>
              </w:rPr>
              <w:t>a</w:t>
            </w:r>
            <w:r w:rsidRPr="00F94EBD">
              <w:rPr>
                <w:rFonts w:ascii="Arial" w:eastAsia="Arial" w:hAnsi="Arial" w:cs="Arial"/>
                <w:spacing w:val="1"/>
                <w:sz w:val="20"/>
                <w:szCs w:val="18"/>
              </w:rPr>
              <w:t>n</w:t>
            </w:r>
            <w:r w:rsidRPr="00F94EBD">
              <w:rPr>
                <w:rFonts w:ascii="Arial" w:eastAsia="Arial" w:hAnsi="Arial" w:cs="Arial"/>
                <w:sz w:val="20"/>
                <w:szCs w:val="18"/>
              </w:rPr>
              <w:t xml:space="preserve">d </w:t>
            </w:r>
            <w:r w:rsidRPr="00F94EBD">
              <w:rPr>
                <w:rFonts w:ascii="Arial" w:eastAsia="Arial" w:hAnsi="Arial" w:cs="Arial"/>
                <w:spacing w:val="2"/>
                <w:sz w:val="20"/>
                <w:szCs w:val="18"/>
              </w:rPr>
              <w:t>S</w:t>
            </w:r>
            <w:r w:rsidRPr="00F94EBD">
              <w:rPr>
                <w:rFonts w:ascii="Arial" w:eastAsia="Arial" w:hAnsi="Arial" w:cs="Arial"/>
                <w:spacing w:val="1"/>
                <w:sz w:val="20"/>
                <w:szCs w:val="18"/>
              </w:rPr>
              <w:t>o</w:t>
            </w:r>
            <w:r w:rsidRPr="00F94EBD">
              <w:rPr>
                <w:rFonts w:ascii="Arial" w:eastAsia="Arial" w:hAnsi="Arial" w:cs="Arial"/>
                <w:sz w:val="20"/>
                <w:szCs w:val="18"/>
              </w:rPr>
              <w:t>c</w:t>
            </w:r>
            <w:r w:rsidRPr="00F94EBD">
              <w:rPr>
                <w:rFonts w:ascii="Arial" w:eastAsia="Arial" w:hAnsi="Arial" w:cs="Arial"/>
                <w:spacing w:val="1"/>
                <w:sz w:val="20"/>
                <w:szCs w:val="18"/>
              </w:rPr>
              <w:t>i</w:t>
            </w:r>
            <w:r w:rsidRPr="00F94EBD">
              <w:rPr>
                <w:rFonts w:ascii="Arial" w:eastAsia="Arial" w:hAnsi="Arial" w:cs="Arial"/>
                <w:spacing w:val="2"/>
                <w:sz w:val="20"/>
                <w:szCs w:val="18"/>
              </w:rPr>
              <w:t>a</w:t>
            </w:r>
            <w:r w:rsidRPr="00F94EBD">
              <w:rPr>
                <w:rFonts w:ascii="Arial" w:eastAsia="Arial" w:hAnsi="Arial" w:cs="Arial"/>
                <w:sz w:val="20"/>
                <w:szCs w:val="18"/>
              </w:rPr>
              <w:t xml:space="preserve">l </w:t>
            </w:r>
            <w:r w:rsidRPr="00F94EBD">
              <w:rPr>
                <w:rFonts w:ascii="Arial" w:eastAsia="Arial" w:hAnsi="Arial" w:cs="Arial"/>
                <w:spacing w:val="2"/>
                <w:sz w:val="20"/>
                <w:szCs w:val="18"/>
              </w:rPr>
              <w:t>A</w:t>
            </w:r>
            <w:r w:rsidRPr="00F94EBD">
              <w:rPr>
                <w:rFonts w:ascii="Arial" w:eastAsia="Arial" w:hAnsi="Arial" w:cs="Arial"/>
                <w:spacing w:val="3"/>
                <w:sz w:val="20"/>
                <w:szCs w:val="18"/>
              </w:rPr>
              <w:t>s</w:t>
            </w:r>
            <w:r w:rsidRPr="00F94EBD">
              <w:rPr>
                <w:rFonts w:ascii="Arial" w:eastAsia="Arial" w:hAnsi="Arial" w:cs="Arial"/>
                <w:spacing w:val="1"/>
                <w:sz w:val="20"/>
                <w:szCs w:val="18"/>
              </w:rPr>
              <w:t>si</w:t>
            </w:r>
            <w:r w:rsidRPr="00F94EBD">
              <w:rPr>
                <w:rFonts w:ascii="Arial" w:eastAsia="Arial" w:hAnsi="Arial" w:cs="Arial"/>
                <w:spacing w:val="2"/>
                <w:sz w:val="20"/>
                <w:szCs w:val="18"/>
              </w:rPr>
              <w:t>s</w:t>
            </w:r>
            <w:r w:rsidRPr="00F94EBD">
              <w:rPr>
                <w:rFonts w:ascii="Arial" w:eastAsia="Arial" w:hAnsi="Arial" w:cs="Arial"/>
                <w:spacing w:val="1"/>
                <w:sz w:val="20"/>
                <w:szCs w:val="18"/>
              </w:rPr>
              <w:t>t</w:t>
            </w:r>
            <w:r w:rsidRPr="00F94EBD">
              <w:rPr>
                <w:rFonts w:ascii="Arial" w:eastAsia="Arial" w:hAnsi="Arial" w:cs="Arial"/>
                <w:spacing w:val="2"/>
                <w:sz w:val="20"/>
                <w:szCs w:val="18"/>
              </w:rPr>
              <w:t>a</w:t>
            </w:r>
            <w:r w:rsidRPr="00F94EBD">
              <w:rPr>
                <w:rFonts w:ascii="Arial" w:eastAsia="Arial" w:hAnsi="Arial" w:cs="Arial"/>
                <w:spacing w:val="1"/>
                <w:sz w:val="20"/>
                <w:szCs w:val="18"/>
              </w:rPr>
              <w:t>nc</w:t>
            </w:r>
            <w:r w:rsidRPr="00F94EBD">
              <w:rPr>
                <w:rFonts w:ascii="Arial" w:eastAsia="Arial" w:hAnsi="Arial" w:cs="Arial"/>
                <w:sz w:val="20"/>
                <w:szCs w:val="18"/>
              </w:rPr>
              <w:t>e</w:t>
            </w:r>
          </w:p>
        </w:tc>
        <w:tc>
          <w:tcPr>
            <w:tcW w:w="380"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jc w:val="center"/>
              <w:rPr>
                <w:rFonts w:ascii="Arial" w:eastAsia="Arial" w:hAnsi="Arial" w:cs="Arial"/>
                <w:sz w:val="20"/>
                <w:szCs w:val="18"/>
              </w:rPr>
            </w:pPr>
            <w:r w:rsidRPr="00F94EBD">
              <w:rPr>
                <w:rFonts w:ascii="Arial" w:eastAsia="Arial" w:hAnsi="Arial" w:cs="Arial"/>
                <w:sz w:val="20"/>
                <w:szCs w:val="18"/>
              </w:rPr>
              <w:t>1</w:t>
            </w:r>
          </w:p>
        </w:tc>
        <w:tc>
          <w:tcPr>
            <w:tcW w:w="358"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02"/>
              <w:jc w:val="center"/>
              <w:rPr>
                <w:rFonts w:ascii="Arial" w:eastAsia="Arial" w:hAnsi="Arial" w:cs="Arial"/>
                <w:sz w:val="20"/>
                <w:szCs w:val="18"/>
              </w:rPr>
            </w:pPr>
            <w:r w:rsidRPr="00F94EBD">
              <w:rPr>
                <w:rFonts w:ascii="Arial" w:eastAsia="Arial" w:hAnsi="Arial" w:cs="Arial"/>
                <w:spacing w:val="3"/>
                <w:w w:val="105"/>
                <w:sz w:val="20"/>
                <w:szCs w:val="18"/>
              </w:rPr>
              <w:t>0%</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37" w:right="236"/>
              <w:jc w:val="center"/>
              <w:rPr>
                <w:rFonts w:ascii="Arial" w:eastAsia="Arial" w:hAnsi="Arial" w:cs="Arial"/>
                <w:sz w:val="20"/>
                <w:szCs w:val="18"/>
              </w:rPr>
            </w:pPr>
            <w:r w:rsidRPr="00F94EBD">
              <w:rPr>
                <w:rFonts w:ascii="Arial" w:eastAsia="Arial" w:hAnsi="Arial" w:cs="Arial"/>
                <w:sz w:val="20"/>
                <w:szCs w:val="18"/>
              </w:rPr>
              <w:t>1</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74"/>
              <w:jc w:val="center"/>
              <w:rPr>
                <w:rFonts w:ascii="Arial" w:eastAsia="Arial" w:hAnsi="Arial" w:cs="Arial"/>
                <w:sz w:val="20"/>
                <w:szCs w:val="18"/>
              </w:rPr>
            </w:pPr>
            <w:r w:rsidRPr="00F94EBD">
              <w:rPr>
                <w:rFonts w:ascii="Arial" w:eastAsia="Arial" w:hAnsi="Arial" w:cs="Arial"/>
                <w:spacing w:val="3"/>
                <w:w w:val="105"/>
                <w:sz w:val="20"/>
                <w:szCs w:val="18"/>
              </w:rPr>
              <w:t>0%</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jc w:val="center"/>
              <w:rPr>
                <w:rFonts w:ascii="Arial" w:eastAsia="Arial" w:hAnsi="Arial" w:cs="Arial"/>
                <w:sz w:val="20"/>
                <w:szCs w:val="18"/>
              </w:rPr>
            </w:pPr>
            <w:r w:rsidRPr="00F94EBD">
              <w:rPr>
                <w:rFonts w:ascii="Arial" w:eastAsia="Arial" w:hAnsi="Arial" w:cs="Arial"/>
                <w:sz w:val="20"/>
                <w:szCs w:val="18"/>
              </w:rPr>
              <w:t>3</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88"/>
              <w:jc w:val="center"/>
              <w:rPr>
                <w:rFonts w:ascii="Arial" w:eastAsia="Arial" w:hAnsi="Arial" w:cs="Arial"/>
                <w:sz w:val="20"/>
                <w:szCs w:val="18"/>
              </w:rPr>
            </w:pPr>
            <w:r w:rsidRPr="00F94EBD">
              <w:rPr>
                <w:rFonts w:ascii="Arial" w:eastAsia="Arial" w:hAnsi="Arial" w:cs="Arial"/>
                <w:spacing w:val="-7"/>
                <w:w w:val="105"/>
                <w:sz w:val="20"/>
                <w:szCs w:val="18"/>
              </w:rPr>
              <w:t>1%</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spacing w:after="0"/>
              <w:jc w:val="center"/>
              <w:rPr>
                <w:sz w:val="20"/>
              </w:rPr>
            </w:pP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93"/>
              <w:jc w:val="center"/>
              <w:rPr>
                <w:rFonts w:ascii="Arial" w:eastAsia="Arial" w:hAnsi="Arial" w:cs="Arial"/>
                <w:sz w:val="20"/>
                <w:szCs w:val="18"/>
              </w:rPr>
            </w:pPr>
            <w:r w:rsidRPr="00F94EBD">
              <w:rPr>
                <w:rFonts w:ascii="Arial" w:eastAsia="Arial" w:hAnsi="Arial" w:cs="Arial"/>
                <w:spacing w:val="3"/>
                <w:w w:val="105"/>
                <w:sz w:val="20"/>
                <w:szCs w:val="18"/>
              </w:rPr>
              <w:t>0%</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303"/>
              <w:jc w:val="center"/>
              <w:rPr>
                <w:rFonts w:ascii="Arial" w:eastAsia="Arial" w:hAnsi="Arial" w:cs="Arial"/>
                <w:sz w:val="20"/>
                <w:szCs w:val="18"/>
              </w:rPr>
            </w:pPr>
            <w:r w:rsidRPr="00F94EBD">
              <w:rPr>
                <w:rFonts w:ascii="Arial" w:eastAsia="Arial" w:hAnsi="Arial" w:cs="Arial"/>
                <w:sz w:val="20"/>
                <w:szCs w:val="18"/>
              </w:rPr>
              <w:t>5</w:t>
            </w:r>
            <w:r w:rsidRPr="00F94EBD">
              <w:rPr>
                <w:rFonts w:ascii="Arial" w:eastAsia="Arial" w:hAnsi="Arial" w:cs="Arial"/>
                <w:spacing w:val="3"/>
                <w:sz w:val="20"/>
                <w:szCs w:val="18"/>
              </w:rPr>
              <w:t>0</w:t>
            </w:r>
            <w:r w:rsidRPr="00F94EBD">
              <w:rPr>
                <w:rFonts w:ascii="Arial" w:eastAsia="Arial" w:hAnsi="Arial" w:cs="Arial"/>
                <w:sz w:val="20"/>
                <w:szCs w:val="18"/>
              </w:rPr>
              <w:t>8</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16"/>
              <w:jc w:val="center"/>
              <w:rPr>
                <w:rFonts w:ascii="Arial" w:eastAsia="Arial" w:hAnsi="Arial" w:cs="Arial"/>
                <w:sz w:val="20"/>
                <w:szCs w:val="18"/>
              </w:rPr>
            </w:pPr>
            <w:r w:rsidRPr="00F94EBD">
              <w:rPr>
                <w:rFonts w:ascii="Arial" w:eastAsia="Arial" w:hAnsi="Arial" w:cs="Arial"/>
                <w:spacing w:val="1"/>
                <w:sz w:val="20"/>
                <w:szCs w:val="18"/>
              </w:rPr>
              <w:t>5</w:t>
            </w:r>
            <w:r w:rsidRPr="00F94EBD">
              <w:rPr>
                <w:rFonts w:ascii="Arial" w:eastAsia="Arial" w:hAnsi="Arial" w:cs="Arial"/>
                <w:spacing w:val="-4"/>
                <w:sz w:val="20"/>
                <w:szCs w:val="18"/>
              </w:rPr>
              <w:t>57</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64"/>
              <w:jc w:val="center"/>
              <w:rPr>
                <w:rFonts w:ascii="Arial" w:eastAsia="Arial" w:hAnsi="Arial" w:cs="Arial"/>
                <w:sz w:val="20"/>
                <w:szCs w:val="18"/>
              </w:rPr>
            </w:pPr>
            <w:r w:rsidRPr="00F94EBD">
              <w:rPr>
                <w:rFonts w:ascii="Arial" w:eastAsia="Arial" w:hAnsi="Arial" w:cs="Arial"/>
                <w:spacing w:val="1"/>
                <w:sz w:val="20"/>
                <w:szCs w:val="18"/>
              </w:rPr>
              <w:t>4</w:t>
            </w:r>
            <w:r w:rsidRPr="00F94EBD">
              <w:rPr>
                <w:rFonts w:ascii="Arial" w:eastAsia="Arial" w:hAnsi="Arial" w:cs="Arial"/>
                <w:spacing w:val="3"/>
                <w:sz w:val="20"/>
                <w:szCs w:val="18"/>
              </w:rPr>
              <w:t>0</w:t>
            </w:r>
            <w:r w:rsidRPr="00F94EBD">
              <w:rPr>
                <w:rFonts w:ascii="Arial" w:eastAsia="Arial" w:hAnsi="Arial" w:cs="Arial"/>
                <w:sz w:val="20"/>
                <w:szCs w:val="18"/>
              </w:rPr>
              <w:t>3</w:t>
            </w:r>
          </w:p>
        </w:tc>
        <w:tc>
          <w:tcPr>
            <w:tcW w:w="369" w:type="pct"/>
            <w:tcBorders>
              <w:top w:val="single" w:sz="4" w:space="0" w:color="797979"/>
              <w:left w:val="single" w:sz="4" w:space="0" w:color="797979"/>
              <w:bottom w:val="single" w:sz="4" w:space="0" w:color="797979"/>
              <w:right w:val="nil"/>
            </w:tcBorders>
            <w:vAlign w:val="center"/>
          </w:tcPr>
          <w:p w:rsidR="003C17D6" w:rsidRPr="00F94EBD" w:rsidRDefault="003C17D6" w:rsidP="00F94EBD">
            <w:pPr>
              <w:pStyle w:val="TableParagraph"/>
              <w:ind w:left="183"/>
              <w:jc w:val="center"/>
              <w:rPr>
                <w:rFonts w:ascii="Arial" w:eastAsia="Arial" w:hAnsi="Arial" w:cs="Arial"/>
                <w:sz w:val="20"/>
                <w:szCs w:val="18"/>
              </w:rPr>
            </w:pPr>
            <w:r w:rsidRPr="00F94EBD">
              <w:rPr>
                <w:rFonts w:ascii="Arial" w:eastAsia="Arial" w:hAnsi="Arial" w:cs="Arial"/>
                <w:spacing w:val="-1"/>
                <w:sz w:val="20"/>
                <w:szCs w:val="18"/>
              </w:rPr>
              <w:t>2</w:t>
            </w:r>
            <w:r w:rsidRPr="00F94EBD">
              <w:rPr>
                <w:rFonts w:ascii="Arial" w:eastAsia="Arial" w:hAnsi="Arial" w:cs="Arial"/>
                <w:spacing w:val="3"/>
                <w:sz w:val="20"/>
                <w:szCs w:val="18"/>
              </w:rPr>
              <w:t>0</w:t>
            </w:r>
            <w:r w:rsidRPr="00F94EBD">
              <w:rPr>
                <w:rFonts w:ascii="Arial" w:eastAsia="Arial" w:hAnsi="Arial" w:cs="Arial"/>
                <w:sz w:val="20"/>
                <w:szCs w:val="18"/>
              </w:rPr>
              <w:t>8</w:t>
            </w:r>
          </w:p>
        </w:tc>
      </w:tr>
      <w:tr w:rsidR="00F94EBD" w:rsidTr="00F94EBD">
        <w:trPr>
          <w:trHeight w:hRule="exact" w:val="995"/>
        </w:trPr>
        <w:tc>
          <w:tcPr>
            <w:tcW w:w="591" w:type="pct"/>
            <w:tcBorders>
              <w:top w:val="single" w:sz="4" w:space="0" w:color="797979"/>
              <w:left w:val="nil"/>
              <w:bottom w:val="single" w:sz="4" w:space="0" w:color="797979"/>
              <w:right w:val="single" w:sz="4" w:space="0" w:color="797979"/>
            </w:tcBorders>
            <w:vAlign w:val="center"/>
          </w:tcPr>
          <w:p w:rsidR="003C17D6" w:rsidRPr="00F94EBD" w:rsidRDefault="003C17D6" w:rsidP="00F94EBD">
            <w:pPr>
              <w:pStyle w:val="TableParagraph"/>
              <w:ind w:left="80"/>
              <w:rPr>
                <w:rFonts w:ascii="Arial" w:eastAsia="Arial" w:hAnsi="Arial" w:cs="Arial"/>
                <w:sz w:val="20"/>
                <w:szCs w:val="18"/>
              </w:rPr>
            </w:pPr>
            <w:r w:rsidRPr="00F94EBD">
              <w:rPr>
                <w:rFonts w:ascii="Arial" w:eastAsia="Arial" w:hAnsi="Arial" w:cs="Arial"/>
                <w:sz w:val="20"/>
                <w:szCs w:val="18"/>
              </w:rPr>
              <w:lastRenderedPageBreak/>
              <w:t>Info</w:t>
            </w:r>
            <w:r w:rsidRPr="00F94EBD">
              <w:rPr>
                <w:rFonts w:ascii="Arial" w:eastAsia="Arial" w:hAnsi="Arial" w:cs="Arial"/>
                <w:spacing w:val="2"/>
                <w:sz w:val="20"/>
                <w:szCs w:val="18"/>
              </w:rPr>
              <w:t>r</w:t>
            </w:r>
            <w:r w:rsidRPr="00F94EBD">
              <w:rPr>
                <w:rFonts w:ascii="Arial" w:eastAsia="Arial" w:hAnsi="Arial" w:cs="Arial"/>
                <w:sz w:val="20"/>
                <w:szCs w:val="18"/>
              </w:rPr>
              <w:t>m</w:t>
            </w:r>
            <w:r w:rsidRPr="00F94EBD">
              <w:rPr>
                <w:rFonts w:ascii="Arial" w:eastAsia="Arial" w:hAnsi="Arial" w:cs="Arial"/>
                <w:spacing w:val="1"/>
                <w:sz w:val="20"/>
                <w:szCs w:val="18"/>
              </w:rPr>
              <w:t>a</w:t>
            </w:r>
            <w:r w:rsidRPr="00F94EBD">
              <w:rPr>
                <w:rFonts w:ascii="Arial" w:eastAsia="Arial" w:hAnsi="Arial" w:cs="Arial"/>
                <w:sz w:val="20"/>
                <w:szCs w:val="18"/>
              </w:rPr>
              <w:t>t</w:t>
            </w:r>
            <w:r w:rsidRPr="00F94EBD">
              <w:rPr>
                <w:rFonts w:ascii="Arial" w:eastAsia="Arial" w:hAnsi="Arial" w:cs="Arial"/>
                <w:spacing w:val="1"/>
                <w:sz w:val="20"/>
                <w:szCs w:val="18"/>
              </w:rPr>
              <w:t>i</w:t>
            </w:r>
            <w:r w:rsidRPr="00F94EBD">
              <w:rPr>
                <w:rFonts w:ascii="Arial" w:eastAsia="Arial" w:hAnsi="Arial" w:cs="Arial"/>
                <w:sz w:val="20"/>
                <w:szCs w:val="18"/>
              </w:rPr>
              <w:t>on</w:t>
            </w:r>
            <w:r w:rsidRPr="00F94EBD">
              <w:rPr>
                <w:rFonts w:ascii="Arial" w:eastAsia="Arial" w:hAnsi="Arial" w:cs="Arial"/>
                <w:spacing w:val="13"/>
                <w:sz w:val="20"/>
                <w:szCs w:val="18"/>
              </w:rPr>
              <w:t xml:space="preserve"> </w:t>
            </w:r>
            <w:r w:rsidRPr="00F94EBD">
              <w:rPr>
                <w:rFonts w:ascii="Arial" w:eastAsia="Arial" w:hAnsi="Arial" w:cs="Arial"/>
                <w:sz w:val="20"/>
                <w:szCs w:val="18"/>
              </w:rPr>
              <w:t>M</w:t>
            </w:r>
            <w:r w:rsidRPr="00F94EBD">
              <w:rPr>
                <w:rFonts w:ascii="Arial" w:eastAsia="Arial" w:hAnsi="Arial" w:cs="Arial"/>
                <w:spacing w:val="3"/>
                <w:sz w:val="20"/>
                <w:szCs w:val="18"/>
              </w:rPr>
              <w:t>e</w:t>
            </w:r>
            <w:r w:rsidRPr="00F94EBD">
              <w:rPr>
                <w:rFonts w:ascii="Arial" w:eastAsia="Arial" w:hAnsi="Arial" w:cs="Arial"/>
                <w:sz w:val="20"/>
                <w:szCs w:val="18"/>
              </w:rPr>
              <w:t>d</w:t>
            </w:r>
            <w:r w:rsidRPr="00F94EBD">
              <w:rPr>
                <w:rFonts w:ascii="Arial" w:eastAsia="Arial" w:hAnsi="Arial" w:cs="Arial"/>
                <w:spacing w:val="1"/>
                <w:sz w:val="20"/>
                <w:szCs w:val="18"/>
              </w:rPr>
              <w:t>i</w:t>
            </w:r>
            <w:r w:rsidRPr="00F94EBD">
              <w:rPr>
                <w:rFonts w:ascii="Arial" w:eastAsia="Arial" w:hAnsi="Arial" w:cs="Arial"/>
                <w:sz w:val="20"/>
                <w:szCs w:val="18"/>
              </w:rPr>
              <w:t>a</w:t>
            </w:r>
            <w:r w:rsidRPr="00F94EBD">
              <w:rPr>
                <w:rFonts w:ascii="Arial" w:eastAsia="Arial" w:hAnsi="Arial" w:cs="Arial"/>
                <w:spacing w:val="13"/>
                <w:sz w:val="20"/>
                <w:szCs w:val="18"/>
              </w:rPr>
              <w:t xml:space="preserve"> </w:t>
            </w:r>
            <w:r w:rsidRPr="00F94EBD">
              <w:rPr>
                <w:rFonts w:ascii="Arial" w:eastAsia="Arial" w:hAnsi="Arial" w:cs="Arial"/>
                <w:spacing w:val="2"/>
                <w:sz w:val="20"/>
                <w:szCs w:val="18"/>
              </w:rPr>
              <w:t>a</w:t>
            </w:r>
            <w:r w:rsidRPr="00F94EBD">
              <w:rPr>
                <w:rFonts w:ascii="Arial" w:eastAsia="Arial" w:hAnsi="Arial" w:cs="Arial"/>
                <w:spacing w:val="1"/>
                <w:sz w:val="20"/>
                <w:szCs w:val="18"/>
              </w:rPr>
              <w:t>n</w:t>
            </w:r>
            <w:r w:rsidRPr="00F94EBD">
              <w:rPr>
                <w:rFonts w:ascii="Arial" w:eastAsia="Arial" w:hAnsi="Arial" w:cs="Arial"/>
                <w:sz w:val="20"/>
                <w:szCs w:val="18"/>
              </w:rPr>
              <w:t>d</w:t>
            </w:r>
            <w:r w:rsidRPr="00F94EBD">
              <w:rPr>
                <w:rFonts w:ascii="Arial" w:eastAsia="Arial" w:hAnsi="Arial" w:cs="Arial"/>
                <w:spacing w:val="13"/>
                <w:sz w:val="20"/>
                <w:szCs w:val="18"/>
              </w:rPr>
              <w:t xml:space="preserve"> </w:t>
            </w:r>
            <w:r w:rsidRPr="00F94EBD">
              <w:rPr>
                <w:rFonts w:ascii="Arial" w:eastAsia="Arial" w:hAnsi="Arial" w:cs="Arial"/>
                <w:spacing w:val="-14"/>
                <w:sz w:val="20"/>
                <w:szCs w:val="18"/>
              </w:rPr>
              <w:t>T</w:t>
            </w:r>
            <w:r w:rsidRPr="00F94EBD">
              <w:rPr>
                <w:rFonts w:ascii="Arial" w:eastAsia="Arial" w:hAnsi="Arial" w:cs="Arial"/>
                <w:spacing w:val="2"/>
                <w:sz w:val="20"/>
                <w:szCs w:val="18"/>
              </w:rPr>
              <w:t>e</w:t>
            </w:r>
            <w:r w:rsidRPr="00F94EBD">
              <w:rPr>
                <w:rFonts w:ascii="Arial" w:eastAsia="Arial" w:hAnsi="Arial" w:cs="Arial"/>
                <w:spacing w:val="1"/>
                <w:sz w:val="20"/>
                <w:szCs w:val="18"/>
              </w:rPr>
              <w:t>l</w:t>
            </w:r>
            <w:r w:rsidRPr="00F94EBD">
              <w:rPr>
                <w:rFonts w:ascii="Arial" w:eastAsia="Arial" w:hAnsi="Arial" w:cs="Arial"/>
                <w:spacing w:val="3"/>
                <w:sz w:val="20"/>
                <w:szCs w:val="18"/>
              </w:rPr>
              <w:t>e</w:t>
            </w:r>
            <w:r w:rsidRPr="00F94EBD">
              <w:rPr>
                <w:rFonts w:ascii="Arial" w:eastAsia="Arial" w:hAnsi="Arial" w:cs="Arial"/>
                <w:spacing w:val="1"/>
                <w:sz w:val="20"/>
                <w:szCs w:val="18"/>
              </w:rPr>
              <w:t>c</w:t>
            </w:r>
            <w:r w:rsidRPr="00F94EBD">
              <w:rPr>
                <w:rFonts w:ascii="Arial" w:eastAsia="Arial" w:hAnsi="Arial" w:cs="Arial"/>
                <w:sz w:val="20"/>
                <w:szCs w:val="18"/>
              </w:rPr>
              <w:t>omm</w:t>
            </w:r>
            <w:r w:rsidRPr="00F94EBD">
              <w:rPr>
                <w:rFonts w:ascii="Arial" w:eastAsia="Arial" w:hAnsi="Arial" w:cs="Arial"/>
                <w:spacing w:val="1"/>
                <w:sz w:val="20"/>
                <w:szCs w:val="18"/>
              </w:rPr>
              <w:t>unica</w:t>
            </w:r>
            <w:r w:rsidRPr="00F94EBD">
              <w:rPr>
                <w:rFonts w:ascii="Arial" w:eastAsia="Arial" w:hAnsi="Arial" w:cs="Arial"/>
                <w:sz w:val="20"/>
                <w:szCs w:val="18"/>
              </w:rPr>
              <w:t>t</w:t>
            </w:r>
            <w:r w:rsidRPr="00F94EBD">
              <w:rPr>
                <w:rFonts w:ascii="Arial" w:eastAsia="Arial" w:hAnsi="Arial" w:cs="Arial"/>
                <w:spacing w:val="1"/>
                <w:sz w:val="20"/>
                <w:szCs w:val="18"/>
              </w:rPr>
              <w:t>i</w:t>
            </w:r>
            <w:r w:rsidRPr="00F94EBD">
              <w:rPr>
                <w:rFonts w:ascii="Arial" w:eastAsia="Arial" w:hAnsi="Arial" w:cs="Arial"/>
                <w:sz w:val="20"/>
                <w:szCs w:val="18"/>
              </w:rPr>
              <w:t>o</w:t>
            </w:r>
            <w:r w:rsidRPr="00F94EBD">
              <w:rPr>
                <w:rFonts w:ascii="Arial" w:eastAsia="Arial" w:hAnsi="Arial" w:cs="Arial"/>
                <w:spacing w:val="1"/>
                <w:sz w:val="20"/>
                <w:szCs w:val="18"/>
              </w:rPr>
              <w:t>n</w:t>
            </w:r>
            <w:r w:rsidRPr="00F94EBD">
              <w:rPr>
                <w:rFonts w:ascii="Arial" w:eastAsia="Arial" w:hAnsi="Arial" w:cs="Arial"/>
                <w:sz w:val="20"/>
                <w:szCs w:val="18"/>
              </w:rPr>
              <w:t>s</w:t>
            </w:r>
          </w:p>
        </w:tc>
        <w:tc>
          <w:tcPr>
            <w:tcW w:w="380"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jc w:val="center"/>
              <w:rPr>
                <w:rFonts w:ascii="Arial" w:eastAsia="Arial" w:hAnsi="Arial" w:cs="Arial"/>
                <w:sz w:val="20"/>
                <w:szCs w:val="18"/>
              </w:rPr>
            </w:pPr>
            <w:r w:rsidRPr="00F94EBD">
              <w:rPr>
                <w:rFonts w:ascii="Arial" w:eastAsia="Arial" w:hAnsi="Arial" w:cs="Arial"/>
                <w:sz w:val="20"/>
                <w:szCs w:val="18"/>
              </w:rPr>
              <w:t>3</w:t>
            </w:r>
          </w:p>
        </w:tc>
        <w:tc>
          <w:tcPr>
            <w:tcW w:w="358"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07"/>
              <w:jc w:val="center"/>
              <w:rPr>
                <w:rFonts w:ascii="Arial" w:eastAsia="Arial" w:hAnsi="Arial" w:cs="Arial"/>
                <w:sz w:val="20"/>
                <w:szCs w:val="18"/>
              </w:rPr>
            </w:pPr>
            <w:r w:rsidRPr="00F94EBD">
              <w:rPr>
                <w:rFonts w:ascii="Arial" w:eastAsia="Arial" w:hAnsi="Arial" w:cs="Arial"/>
                <w:spacing w:val="-7"/>
                <w:w w:val="105"/>
                <w:sz w:val="20"/>
                <w:szCs w:val="18"/>
              </w:rPr>
              <w:t>1%</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36" w:right="237"/>
              <w:jc w:val="center"/>
              <w:rPr>
                <w:rFonts w:ascii="Arial" w:eastAsia="Arial" w:hAnsi="Arial" w:cs="Arial"/>
                <w:sz w:val="20"/>
                <w:szCs w:val="18"/>
              </w:rPr>
            </w:pPr>
            <w:r w:rsidRPr="00F94EBD">
              <w:rPr>
                <w:rFonts w:ascii="Arial" w:eastAsia="Arial" w:hAnsi="Arial" w:cs="Arial"/>
                <w:sz w:val="20"/>
                <w:szCs w:val="18"/>
              </w:rPr>
              <w:t>1</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74"/>
              <w:jc w:val="center"/>
              <w:rPr>
                <w:rFonts w:ascii="Arial" w:eastAsia="Arial" w:hAnsi="Arial" w:cs="Arial"/>
                <w:sz w:val="20"/>
                <w:szCs w:val="18"/>
              </w:rPr>
            </w:pPr>
            <w:r w:rsidRPr="00F94EBD">
              <w:rPr>
                <w:rFonts w:ascii="Arial" w:eastAsia="Arial" w:hAnsi="Arial" w:cs="Arial"/>
                <w:spacing w:val="3"/>
                <w:w w:val="105"/>
                <w:sz w:val="20"/>
                <w:szCs w:val="18"/>
              </w:rPr>
              <w:t>0%</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spacing w:after="0"/>
              <w:jc w:val="center"/>
              <w:rPr>
                <w:sz w:val="20"/>
              </w:rPr>
            </w:pP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83"/>
              <w:jc w:val="center"/>
              <w:rPr>
                <w:rFonts w:ascii="Arial" w:eastAsia="Arial" w:hAnsi="Arial" w:cs="Arial"/>
                <w:sz w:val="20"/>
                <w:szCs w:val="18"/>
              </w:rPr>
            </w:pPr>
            <w:r w:rsidRPr="00F94EBD">
              <w:rPr>
                <w:rFonts w:ascii="Arial" w:eastAsia="Arial" w:hAnsi="Arial" w:cs="Arial"/>
                <w:spacing w:val="3"/>
                <w:w w:val="105"/>
                <w:sz w:val="20"/>
                <w:szCs w:val="18"/>
              </w:rPr>
              <w:t>0%</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66" w:right="265"/>
              <w:jc w:val="center"/>
              <w:rPr>
                <w:rFonts w:ascii="Arial" w:eastAsia="Arial" w:hAnsi="Arial" w:cs="Arial"/>
                <w:sz w:val="20"/>
                <w:szCs w:val="18"/>
              </w:rPr>
            </w:pPr>
            <w:r w:rsidRPr="00F94EBD">
              <w:rPr>
                <w:rFonts w:ascii="Arial" w:eastAsia="Arial" w:hAnsi="Arial" w:cs="Arial"/>
                <w:sz w:val="20"/>
                <w:szCs w:val="18"/>
              </w:rPr>
              <w:t>1</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98"/>
              <w:jc w:val="center"/>
              <w:rPr>
                <w:rFonts w:ascii="Arial" w:eastAsia="Arial" w:hAnsi="Arial" w:cs="Arial"/>
                <w:sz w:val="20"/>
                <w:szCs w:val="18"/>
              </w:rPr>
            </w:pPr>
            <w:r w:rsidRPr="00F94EBD">
              <w:rPr>
                <w:rFonts w:ascii="Arial" w:eastAsia="Arial" w:hAnsi="Arial" w:cs="Arial"/>
                <w:spacing w:val="-7"/>
                <w:w w:val="105"/>
                <w:sz w:val="20"/>
                <w:szCs w:val="18"/>
              </w:rPr>
              <w:t>1%</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
              <w:jc w:val="center"/>
              <w:rPr>
                <w:rFonts w:ascii="Arial" w:eastAsia="Arial" w:hAnsi="Arial" w:cs="Arial"/>
                <w:sz w:val="20"/>
                <w:szCs w:val="18"/>
              </w:rPr>
            </w:pPr>
            <w:r w:rsidRPr="00F94EBD">
              <w:rPr>
                <w:rFonts w:ascii="Arial" w:eastAsia="Arial" w:hAnsi="Arial" w:cs="Arial"/>
                <w:spacing w:val="2"/>
                <w:sz w:val="20"/>
                <w:szCs w:val="18"/>
              </w:rPr>
              <w:t>43</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45" w:right="242"/>
              <w:jc w:val="center"/>
              <w:rPr>
                <w:rFonts w:ascii="Arial" w:eastAsia="Arial" w:hAnsi="Arial" w:cs="Arial"/>
                <w:sz w:val="20"/>
                <w:szCs w:val="18"/>
              </w:rPr>
            </w:pPr>
            <w:r w:rsidRPr="00F94EBD">
              <w:rPr>
                <w:rFonts w:ascii="Arial" w:eastAsia="Arial" w:hAnsi="Arial" w:cs="Arial"/>
                <w:spacing w:val="2"/>
                <w:sz w:val="20"/>
                <w:szCs w:val="18"/>
              </w:rPr>
              <w:t>43</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
              <w:jc w:val="center"/>
              <w:rPr>
                <w:rFonts w:ascii="Arial" w:eastAsia="Arial" w:hAnsi="Arial" w:cs="Arial"/>
                <w:sz w:val="20"/>
                <w:szCs w:val="18"/>
              </w:rPr>
            </w:pPr>
            <w:r w:rsidRPr="00F94EBD">
              <w:rPr>
                <w:rFonts w:ascii="Arial" w:eastAsia="Arial" w:hAnsi="Arial" w:cs="Arial"/>
                <w:spacing w:val="2"/>
                <w:sz w:val="20"/>
                <w:szCs w:val="18"/>
              </w:rPr>
              <w:t>34</w:t>
            </w:r>
          </w:p>
        </w:tc>
        <w:tc>
          <w:tcPr>
            <w:tcW w:w="369" w:type="pct"/>
            <w:tcBorders>
              <w:top w:val="single" w:sz="4" w:space="0" w:color="797979"/>
              <w:left w:val="single" w:sz="4" w:space="0" w:color="797979"/>
              <w:bottom w:val="single" w:sz="4" w:space="0" w:color="797979"/>
              <w:right w:val="nil"/>
            </w:tcBorders>
            <w:vAlign w:val="center"/>
          </w:tcPr>
          <w:p w:rsidR="003C17D6" w:rsidRPr="00F94EBD" w:rsidRDefault="003C17D6" w:rsidP="00F94EBD">
            <w:pPr>
              <w:pStyle w:val="TableParagraph"/>
              <w:ind w:left="206" w:right="219"/>
              <w:jc w:val="center"/>
              <w:rPr>
                <w:rFonts w:ascii="Arial" w:eastAsia="Arial" w:hAnsi="Arial" w:cs="Arial"/>
                <w:sz w:val="20"/>
                <w:szCs w:val="18"/>
              </w:rPr>
            </w:pPr>
            <w:r w:rsidRPr="00F94EBD">
              <w:rPr>
                <w:rFonts w:ascii="Arial" w:eastAsia="Arial" w:hAnsi="Arial" w:cs="Arial"/>
                <w:spacing w:val="-9"/>
                <w:sz w:val="20"/>
                <w:szCs w:val="18"/>
              </w:rPr>
              <w:t>18</w:t>
            </w:r>
          </w:p>
        </w:tc>
      </w:tr>
      <w:tr w:rsidR="00F94EBD" w:rsidTr="00F94EBD">
        <w:trPr>
          <w:trHeight w:hRule="exact" w:val="510"/>
        </w:trPr>
        <w:tc>
          <w:tcPr>
            <w:tcW w:w="591" w:type="pct"/>
            <w:tcBorders>
              <w:top w:val="single" w:sz="4" w:space="0" w:color="797979"/>
              <w:left w:val="nil"/>
              <w:bottom w:val="single" w:sz="4" w:space="0" w:color="797979"/>
              <w:right w:val="single" w:sz="4" w:space="0" w:color="797979"/>
            </w:tcBorders>
            <w:vAlign w:val="center"/>
          </w:tcPr>
          <w:p w:rsidR="003C17D6" w:rsidRPr="00F94EBD" w:rsidRDefault="003C17D6" w:rsidP="00F94EBD">
            <w:pPr>
              <w:pStyle w:val="TableParagraph"/>
              <w:ind w:left="80"/>
              <w:rPr>
                <w:rFonts w:ascii="Arial" w:eastAsia="Arial" w:hAnsi="Arial" w:cs="Arial"/>
                <w:sz w:val="20"/>
                <w:szCs w:val="18"/>
              </w:rPr>
            </w:pPr>
            <w:r w:rsidRPr="00F94EBD">
              <w:rPr>
                <w:rFonts w:ascii="Arial" w:eastAsia="Arial" w:hAnsi="Arial" w:cs="Arial"/>
                <w:sz w:val="20"/>
                <w:szCs w:val="18"/>
              </w:rPr>
              <w:t>M</w:t>
            </w:r>
            <w:r w:rsidRPr="00F94EBD">
              <w:rPr>
                <w:rFonts w:ascii="Arial" w:eastAsia="Arial" w:hAnsi="Arial" w:cs="Arial"/>
                <w:spacing w:val="2"/>
                <w:sz w:val="20"/>
                <w:szCs w:val="18"/>
              </w:rPr>
              <w:t>a</w:t>
            </w:r>
            <w:r w:rsidRPr="00F94EBD">
              <w:rPr>
                <w:rFonts w:ascii="Arial" w:eastAsia="Arial" w:hAnsi="Arial" w:cs="Arial"/>
                <w:sz w:val="20"/>
                <w:szCs w:val="18"/>
              </w:rPr>
              <w:t>n</w:t>
            </w:r>
            <w:r w:rsidRPr="00F94EBD">
              <w:rPr>
                <w:rFonts w:ascii="Arial" w:eastAsia="Arial" w:hAnsi="Arial" w:cs="Arial"/>
                <w:spacing w:val="1"/>
                <w:sz w:val="20"/>
                <w:szCs w:val="18"/>
              </w:rPr>
              <w:t>ufac</w:t>
            </w:r>
            <w:r w:rsidRPr="00F94EBD">
              <w:rPr>
                <w:rFonts w:ascii="Arial" w:eastAsia="Arial" w:hAnsi="Arial" w:cs="Arial"/>
                <w:sz w:val="20"/>
                <w:szCs w:val="18"/>
              </w:rPr>
              <w:t>t</w:t>
            </w:r>
            <w:r w:rsidRPr="00F94EBD">
              <w:rPr>
                <w:rFonts w:ascii="Arial" w:eastAsia="Arial" w:hAnsi="Arial" w:cs="Arial"/>
                <w:spacing w:val="1"/>
                <w:sz w:val="20"/>
                <w:szCs w:val="18"/>
              </w:rPr>
              <w:t>u</w:t>
            </w:r>
            <w:r w:rsidRPr="00F94EBD">
              <w:rPr>
                <w:rFonts w:ascii="Arial" w:eastAsia="Arial" w:hAnsi="Arial" w:cs="Arial"/>
                <w:spacing w:val="2"/>
                <w:sz w:val="20"/>
                <w:szCs w:val="18"/>
              </w:rPr>
              <w:t>r</w:t>
            </w:r>
            <w:r w:rsidRPr="00F94EBD">
              <w:rPr>
                <w:rFonts w:ascii="Arial" w:eastAsia="Arial" w:hAnsi="Arial" w:cs="Arial"/>
                <w:spacing w:val="1"/>
                <w:sz w:val="20"/>
                <w:szCs w:val="18"/>
              </w:rPr>
              <w:t>in</w:t>
            </w:r>
            <w:r w:rsidRPr="00F94EBD">
              <w:rPr>
                <w:rFonts w:ascii="Arial" w:eastAsia="Arial" w:hAnsi="Arial" w:cs="Arial"/>
                <w:sz w:val="20"/>
                <w:szCs w:val="18"/>
              </w:rPr>
              <w:t>g</w:t>
            </w:r>
          </w:p>
        </w:tc>
        <w:tc>
          <w:tcPr>
            <w:tcW w:w="380"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
              <w:jc w:val="center"/>
              <w:rPr>
                <w:rFonts w:ascii="Arial" w:eastAsia="Arial" w:hAnsi="Arial" w:cs="Arial"/>
                <w:sz w:val="20"/>
                <w:szCs w:val="18"/>
              </w:rPr>
            </w:pPr>
            <w:r w:rsidRPr="00F94EBD">
              <w:rPr>
                <w:rFonts w:ascii="Arial" w:eastAsia="Arial" w:hAnsi="Arial" w:cs="Arial"/>
                <w:spacing w:val="2"/>
                <w:sz w:val="20"/>
                <w:szCs w:val="18"/>
              </w:rPr>
              <w:t>30</w:t>
            </w:r>
          </w:p>
        </w:tc>
        <w:tc>
          <w:tcPr>
            <w:tcW w:w="358"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05"/>
              <w:jc w:val="center"/>
              <w:rPr>
                <w:rFonts w:ascii="Arial" w:eastAsia="Arial" w:hAnsi="Arial" w:cs="Arial"/>
                <w:sz w:val="20"/>
                <w:szCs w:val="18"/>
              </w:rPr>
            </w:pPr>
            <w:r w:rsidRPr="00F94EBD">
              <w:rPr>
                <w:rFonts w:ascii="Arial" w:eastAsia="Arial" w:hAnsi="Arial" w:cs="Arial"/>
                <w:spacing w:val="-2"/>
                <w:w w:val="105"/>
                <w:sz w:val="20"/>
                <w:szCs w:val="18"/>
              </w:rPr>
              <w:t>5</w:t>
            </w:r>
            <w:r w:rsidRPr="00F94EBD">
              <w:rPr>
                <w:rFonts w:ascii="Arial" w:eastAsia="Arial" w:hAnsi="Arial" w:cs="Arial"/>
                <w:w w:val="105"/>
                <w:sz w:val="20"/>
                <w:szCs w:val="18"/>
              </w:rPr>
              <w:t>%</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92" w:right="203"/>
              <w:jc w:val="center"/>
              <w:rPr>
                <w:rFonts w:ascii="Arial" w:eastAsia="Arial" w:hAnsi="Arial" w:cs="Arial"/>
                <w:sz w:val="20"/>
                <w:szCs w:val="18"/>
              </w:rPr>
            </w:pPr>
            <w:r w:rsidRPr="00F94EBD">
              <w:rPr>
                <w:rFonts w:ascii="Arial" w:eastAsia="Arial" w:hAnsi="Arial" w:cs="Arial"/>
                <w:spacing w:val="-11"/>
                <w:sz w:val="20"/>
                <w:szCs w:val="18"/>
              </w:rPr>
              <w:t>14</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76"/>
              <w:jc w:val="center"/>
              <w:rPr>
                <w:rFonts w:ascii="Arial" w:eastAsia="Arial" w:hAnsi="Arial" w:cs="Arial"/>
                <w:sz w:val="20"/>
                <w:szCs w:val="18"/>
              </w:rPr>
            </w:pPr>
            <w:r w:rsidRPr="00F94EBD">
              <w:rPr>
                <w:rFonts w:ascii="Arial" w:eastAsia="Arial" w:hAnsi="Arial" w:cs="Arial"/>
                <w:spacing w:val="-1"/>
                <w:w w:val="105"/>
                <w:sz w:val="20"/>
                <w:szCs w:val="18"/>
              </w:rPr>
              <w:t>4%</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right="8"/>
              <w:jc w:val="center"/>
              <w:rPr>
                <w:rFonts w:ascii="Arial" w:eastAsia="Arial" w:hAnsi="Arial" w:cs="Arial"/>
                <w:sz w:val="20"/>
                <w:szCs w:val="18"/>
              </w:rPr>
            </w:pPr>
            <w:r w:rsidRPr="00F94EBD">
              <w:rPr>
                <w:rFonts w:ascii="Arial" w:eastAsia="Arial" w:hAnsi="Arial" w:cs="Arial"/>
                <w:spacing w:val="-9"/>
                <w:sz w:val="20"/>
                <w:szCs w:val="18"/>
              </w:rPr>
              <w:t>12</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86"/>
              <w:jc w:val="center"/>
              <w:rPr>
                <w:rFonts w:ascii="Arial" w:eastAsia="Arial" w:hAnsi="Arial" w:cs="Arial"/>
                <w:sz w:val="20"/>
                <w:szCs w:val="18"/>
              </w:rPr>
            </w:pPr>
            <w:r w:rsidRPr="00F94EBD">
              <w:rPr>
                <w:rFonts w:ascii="Arial" w:eastAsia="Arial" w:hAnsi="Arial" w:cs="Arial"/>
                <w:spacing w:val="-2"/>
                <w:w w:val="105"/>
                <w:sz w:val="20"/>
                <w:szCs w:val="18"/>
              </w:rPr>
              <w:t>5</w:t>
            </w:r>
            <w:r w:rsidRPr="00F94EBD">
              <w:rPr>
                <w:rFonts w:ascii="Arial" w:eastAsia="Arial" w:hAnsi="Arial" w:cs="Arial"/>
                <w:w w:val="105"/>
                <w:sz w:val="20"/>
                <w:szCs w:val="18"/>
              </w:rPr>
              <w:t>%</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65" w:right="265"/>
              <w:jc w:val="center"/>
              <w:rPr>
                <w:rFonts w:ascii="Arial" w:eastAsia="Arial" w:hAnsi="Arial" w:cs="Arial"/>
                <w:sz w:val="20"/>
                <w:szCs w:val="18"/>
              </w:rPr>
            </w:pPr>
            <w:r w:rsidRPr="00F94EBD">
              <w:rPr>
                <w:rFonts w:ascii="Arial" w:eastAsia="Arial" w:hAnsi="Arial" w:cs="Arial"/>
                <w:sz w:val="20"/>
                <w:szCs w:val="18"/>
              </w:rPr>
              <w:t>7</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94"/>
              <w:jc w:val="center"/>
              <w:rPr>
                <w:rFonts w:ascii="Arial" w:eastAsia="Arial" w:hAnsi="Arial" w:cs="Arial"/>
                <w:sz w:val="20"/>
                <w:szCs w:val="18"/>
              </w:rPr>
            </w:pPr>
            <w:r w:rsidRPr="00F94EBD">
              <w:rPr>
                <w:rFonts w:ascii="Arial" w:eastAsia="Arial" w:hAnsi="Arial" w:cs="Arial"/>
                <w:spacing w:val="1"/>
                <w:w w:val="105"/>
                <w:sz w:val="20"/>
                <w:szCs w:val="18"/>
              </w:rPr>
              <w:t>8%</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304"/>
              <w:jc w:val="center"/>
              <w:rPr>
                <w:rFonts w:ascii="Arial" w:eastAsia="Arial" w:hAnsi="Arial" w:cs="Arial"/>
                <w:sz w:val="20"/>
                <w:szCs w:val="18"/>
              </w:rPr>
            </w:pPr>
            <w:r w:rsidRPr="00F94EBD">
              <w:rPr>
                <w:rFonts w:ascii="Arial" w:eastAsia="Arial" w:hAnsi="Arial" w:cs="Arial"/>
                <w:spacing w:val="2"/>
                <w:sz w:val="20"/>
                <w:szCs w:val="18"/>
              </w:rPr>
              <w:t>9</w:t>
            </w:r>
            <w:r w:rsidRPr="00F94EBD">
              <w:rPr>
                <w:rFonts w:ascii="Arial" w:eastAsia="Arial" w:hAnsi="Arial" w:cs="Arial"/>
                <w:spacing w:val="1"/>
                <w:sz w:val="20"/>
                <w:szCs w:val="18"/>
              </w:rPr>
              <w:t>82</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13"/>
              <w:jc w:val="center"/>
              <w:rPr>
                <w:rFonts w:ascii="Arial" w:eastAsia="Arial" w:hAnsi="Arial" w:cs="Arial"/>
                <w:sz w:val="20"/>
                <w:szCs w:val="18"/>
              </w:rPr>
            </w:pPr>
            <w:r w:rsidRPr="00F94EBD">
              <w:rPr>
                <w:rFonts w:ascii="Arial" w:eastAsia="Arial" w:hAnsi="Arial" w:cs="Arial"/>
                <w:spacing w:val="2"/>
                <w:sz w:val="20"/>
                <w:szCs w:val="18"/>
              </w:rPr>
              <w:t>9</w:t>
            </w:r>
            <w:r w:rsidRPr="00F94EBD">
              <w:rPr>
                <w:rFonts w:ascii="Arial" w:eastAsia="Arial" w:hAnsi="Arial" w:cs="Arial"/>
                <w:spacing w:val="1"/>
                <w:sz w:val="20"/>
                <w:szCs w:val="18"/>
              </w:rPr>
              <w:t>82</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72"/>
              <w:jc w:val="center"/>
              <w:rPr>
                <w:rFonts w:ascii="Arial" w:eastAsia="Arial" w:hAnsi="Arial" w:cs="Arial"/>
                <w:sz w:val="20"/>
                <w:szCs w:val="18"/>
              </w:rPr>
            </w:pPr>
            <w:r w:rsidRPr="00F94EBD">
              <w:rPr>
                <w:rFonts w:ascii="Arial" w:eastAsia="Arial" w:hAnsi="Arial" w:cs="Arial"/>
                <w:spacing w:val="-15"/>
                <w:sz w:val="20"/>
                <w:szCs w:val="18"/>
              </w:rPr>
              <w:t>7</w:t>
            </w:r>
            <w:r w:rsidRPr="00F94EBD">
              <w:rPr>
                <w:rFonts w:ascii="Arial" w:eastAsia="Arial" w:hAnsi="Arial" w:cs="Arial"/>
                <w:spacing w:val="2"/>
                <w:sz w:val="20"/>
                <w:szCs w:val="18"/>
              </w:rPr>
              <w:t>4</w:t>
            </w:r>
            <w:r w:rsidRPr="00F94EBD">
              <w:rPr>
                <w:rFonts w:ascii="Arial" w:eastAsia="Arial" w:hAnsi="Arial" w:cs="Arial"/>
                <w:sz w:val="20"/>
                <w:szCs w:val="18"/>
              </w:rPr>
              <w:t>5</w:t>
            </w:r>
          </w:p>
        </w:tc>
        <w:tc>
          <w:tcPr>
            <w:tcW w:w="369" w:type="pct"/>
            <w:tcBorders>
              <w:top w:val="single" w:sz="4" w:space="0" w:color="797979"/>
              <w:left w:val="single" w:sz="4" w:space="0" w:color="797979"/>
              <w:bottom w:val="single" w:sz="4" w:space="0" w:color="797979"/>
              <w:right w:val="nil"/>
            </w:tcBorders>
            <w:vAlign w:val="center"/>
          </w:tcPr>
          <w:p w:rsidR="003C17D6" w:rsidRPr="00F94EBD" w:rsidRDefault="003C17D6" w:rsidP="00F94EBD">
            <w:pPr>
              <w:pStyle w:val="TableParagraph"/>
              <w:ind w:left="183"/>
              <w:jc w:val="center"/>
              <w:rPr>
                <w:rFonts w:ascii="Arial" w:eastAsia="Arial" w:hAnsi="Arial" w:cs="Arial"/>
                <w:sz w:val="20"/>
                <w:szCs w:val="18"/>
              </w:rPr>
            </w:pPr>
            <w:r w:rsidRPr="00F94EBD">
              <w:rPr>
                <w:rFonts w:ascii="Arial" w:eastAsia="Arial" w:hAnsi="Arial" w:cs="Arial"/>
                <w:sz w:val="20"/>
                <w:szCs w:val="18"/>
              </w:rPr>
              <w:t>4</w:t>
            </w:r>
            <w:r w:rsidRPr="00F94EBD">
              <w:rPr>
                <w:rFonts w:ascii="Arial" w:eastAsia="Arial" w:hAnsi="Arial" w:cs="Arial"/>
                <w:spacing w:val="2"/>
                <w:sz w:val="20"/>
                <w:szCs w:val="18"/>
              </w:rPr>
              <w:t>9</w:t>
            </w:r>
            <w:r w:rsidRPr="00F94EBD">
              <w:rPr>
                <w:rFonts w:ascii="Arial" w:eastAsia="Arial" w:hAnsi="Arial" w:cs="Arial"/>
                <w:sz w:val="20"/>
                <w:szCs w:val="18"/>
              </w:rPr>
              <w:t>3</w:t>
            </w:r>
          </w:p>
        </w:tc>
      </w:tr>
      <w:tr w:rsidR="00F94EBD" w:rsidTr="00F94EBD">
        <w:trPr>
          <w:trHeight w:hRule="exact" w:val="510"/>
        </w:trPr>
        <w:tc>
          <w:tcPr>
            <w:tcW w:w="591" w:type="pct"/>
            <w:tcBorders>
              <w:top w:val="single" w:sz="4" w:space="0" w:color="797979"/>
              <w:left w:val="nil"/>
              <w:bottom w:val="single" w:sz="4" w:space="0" w:color="797979"/>
              <w:right w:val="single" w:sz="4" w:space="0" w:color="797979"/>
            </w:tcBorders>
            <w:vAlign w:val="center"/>
          </w:tcPr>
          <w:p w:rsidR="003C17D6" w:rsidRPr="00F94EBD" w:rsidRDefault="003C17D6" w:rsidP="00F94EBD">
            <w:pPr>
              <w:pStyle w:val="TableParagraph"/>
              <w:ind w:left="80"/>
              <w:rPr>
                <w:rFonts w:ascii="Arial" w:eastAsia="Arial" w:hAnsi="Arial" w:cs="Arial"/>
                <w:sz w:val="20"/>
                <w:szCs w:val="18"/>
              </w:rPr>
            </w:pPr>
            <w:r w:rsidRPr="00F94EBD">
              <w:rPr>
                <w:rFonts w:ascii="Arial" w:eastAsia="Arial" w:hAnsi="Arial" w:cs="Arial"/>
                <w:sz w:val="20"/>
                <w:szCs w:val="18"/>
              </w:rPr>
              <w:t>Mi</w:t>
            </w:r>
            <w:r w:rsidRPr="00F94EBD">
              <w:rPr>
                <w:rFonts w:ascii="Arial" w:eastAsia="Arial" w:hAnsi="Arial" w:cs="Arial"/>
                <w:spacing w:val="1"/>
                <w:sz w:val="20"/>
                <w:szCs w:val="18"/>
              </w:rPr>
              <w:t>nin</w:t>
            </w:r>
            <w:r w:rsidRPr="00F94EBD">
              <w:rPr>
                <w:rFonts w:ascii="Arial" w:eastAsia="Arial" w:hAnsi="Arial" w:cs="Arial"/>
                <w:sz w:val="20"/>
                <w:szCs w:val="18"/>
              </w:rPr>
              <w:t>g</w:t>
            </w:r>
          </w:p>
        </w:tc>
        <w:tc>
          <w:tcPr>
            <w:tcW w:w="380"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48" w:right="257"/>
              <w:jc w:val="center"/>
              <w:rPr>
                <w:rFonts w:ascii="Arial" w:eastAsia="Arial" w:hAnsi="Arial" w:cs="Arial"/>
                <w:sz w:val="20"/>
                <w:szCs w:val="18"/>
              </w:rPr>
            </w:pPr>
            <w:r w:rsidRPr="00F94EBD">
              <w:rPr>
                <w:rFonts w:ascii="Arial" w:eastAsia="Arial" w:hAnsi="Arial" w:cs="Arial"/>
                <w:spacing w:val="-9"/>
                <w:sz w:val="20"/>
                <w:szCs w:val="18"/>
              </w:rPr>
              <w:t>12</w:t>
            </w:r>
          </w:p>
        </w:tc>
        <w:tc>
          <w:tcPr>
            <w:tcW w:w="358"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04"/>
              <w:jc w:val="center"/>
              <w:rPr>
                <w:rFonts w:ascii="Arial" w:eastAsia="Arial" w:hAnsi="Arial" w:cs="Arial"/>
                <w:sz w:val="20"/>
                <w:szCs w:val="18"/>
              </w:rPr>
            </w:pPr>
            <w:r w:rsidRPr="00F94EBD">
              <w:rPr>
                <w:rFonts w:ascii="Arial" w:eastAsia="Arial" w:hAnsi="Arial" w:cs="Arial"/>
                <w:w w:val="105"/>
                <w:sz w:val="20"/>
                <w:szCs w:val="18"/>
              </w:rPr>
              <w:t>2%</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37" w:right="236"/>
              <w:jc w:val="center"/>
              <w:rPr>
                <w:rFonts w:ascii="Arial" w:eastAsia="Arial" w:hAnsi="Arial" w:cs="Arial"/>
                <w:sz w:val="20"/>
                <w:szCs w:val="18"/>
              </w:rPr>
            </w:pPr>
            <w:r w:rsidRPr="00F94EBD">
              <w:rPr>
                <w:rFonts w:ascii="Arial" w:eastAsia="Arial" w:hAnsi="Arial" w:cs="Arial"/>
                <w:sz w:val="20"/>
                <w:szCs w:val="18"/>
              </w:rPr>
              <w:t>3</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79"/>
              <w:jc w:val="center"/>
              <w:rPr>
                <w:rFonts w:ascii="Arial" w:eastAsia="Arial" w:hAnsi="Arial" w:cs="Arial"/>
                <w:sz w:val="20"/>
                <w:szCs w:val="18"/>
              </w:rPr>
            </w:pPr>
            <w:r w:rsidRPr="00F94EBD">
              <w:rPr>
                <w:rFonts w:ascii="Arial" w:eastAsia="Arial" w:hAnsi="Arial" w:cs="Arial"/>
                <w:spacing w:val="-7"/>
                <w:w w:val="105"/>
                <w:sz w:val="20"/>
                <w:szCs w:val="18"/>
              </w:rPr>
              <w:t>1%</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84" w:right="284"/>
              <w:jc w:val="center"/>
              <w:rPr>
                <w:rFonts w:ascii="Arial" w:eastAsia="Arial" w:hAnsi="Arial" w:cs="Arial"/>
                <w:sz w:val="20"/>
                <w:szCs w:val="18"/>
              </w:rPr>
            </w:pPr>
            <w:r w:rsidRPr="00F94EBD">
              <w:rPr>
                <w:rFonts w:ascii="Arial" w:eastAsia="Arial" w:hAnsi="Arial" w:cs="Arial"/>
                <w:sz w:val="20"/>
                <w:szCs w:val="18"/>
              </w:rPr>
              <w:t>4</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85"/>
              <w:jc w:val="center"/>
              <w:rPr>
                <w:rFonts w:ascii="Arial" w:eastAsia="Arial" w:hAnsi="Arial" w:cs="Arial"/>
                <w:sz w:val="20"/>
                <w:szCs w:val="18"/>
              </w:rPr>
            </w:pPr>
            <w:r w:rsidRPr="00F94EBD">
              <w:rPr>
                <w:rFonts w:ascii="Arial" w:eastAsia="Arial" w:hAnsi="Arial" w:cs="Arial"/>
                <w:w w:val="105"/>
                <w:sz w:val="20"/>
                <w:szCs w:val="18"/>
              </w:rPr>
              <w:t>2%</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65" w:right="265"/>
              <w:jc w:val="center"/>
              <w:rPr>
                <w:rFonts w:ascii="Arial" w:eastAsia="Arial" w:hAnsi="Arial" w:cs="Arial"/>
                <w:sz w:val="20"/>
                <w:szCs w:val="18"/>
              </w:rPr>
            </w:pPr>
            <w:r w:rsidRPr="00F94EBD">
              <w:rPr>
                <w:rFonts w:ascii="Arial" w:eastAsia="Arial" w:hAnsi="Arial" w:cs="Arial"/>
                <w:sz w:val="20"/>
                <w:szCs w:val="18"/>
              </w:rPr>
              <w:t>6</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97"/>
              <w:jc w:val="center"/>
              <w:rPr>
                <w:rFonts w:ascii="Arial" w:eastAsia="Arial" w:hAnsi="Arial" w:cs="Arial"/>
                <w:sz w:val="20"/>
                <w:szCs w:val="18"/>
              </w:rPr>
            </w:pPr>
            <w:r w:rsidRPr="00F94EBD">
              <w:rPr>
                <w:rFonts w:ascii="Arial" w:eastAsia="Arial" w:hAnsi="Arial" w:cs="Arial"/>
                <w:spacing w:val="-5"/>
                <w:w w:val="105"/>
                <w:sz w:val="20"/>
                <w:szCs w:val="18"/>
              </w:rPr>
              <w:t>7%</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91" w:right="291"/>
              <w:jc w:val="center"/>
              <w:rPr>
                <w:rFonts w:ascii="Arial" w:eastAsia="Arial" w:hAnsi="Arial" w:cs="Arial"/>
                <w:sz w:val="20"/>
                <w:szCs w:val="18"/>
              </w:rPr>
            </w:pPr>
            <w:r w:rsidRPr="00F94EBD">
              <w:rPr>
                <w:rFonts w:ascii="Arial" w:eastAsia="Arial" w:hAnsi="Arial" w:cs="Arial"/>
                <w:spacing w:val="-13"/>
                <w:sz w:val="20"/>
                <w:szCs w:val="18"/>
              </w:rPr>
              <w:t>1</w:t>
            </w:r>
            <w:r w:rsidRPr="00F94EBD">
              <w:rPr>
                <w:rFonts w:ascii="Arial" w:eastAsia="Arial" w:hAnsi="Arial" w:cs="Arial"/>
                <w:spacing w:val="-5"/>
                <w:sz w:val="20"/>
                <w:szCs w:val="18"/>
              </w:rPr>
              <w:t>7</w:t>
            </w:r>
            <w:r w:rsidRPr="00F94EBD">
              <w:rPr>
                <w:rFonts w:ascii="Arial" w:eastAsia="Arial" w:hAnsi="Arial" w:cs="Arial"/>
                <w:sz w:val="20"/>
                <w:szCs w:val="18"/>
              </w:rPr>
              <w:t>5</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19"/>
              <w:jc w:val="center"/>
              <w:rPr>
                <w:rFonts w:ascii="Arial" w:eastAsia="Arial" w:hAnsi="Arial" w:cs="Arial"/>
                <w:sz w:val="20"/>
                <w:szCs w:val="18"/>
              </w:rPr>
            </w:pPr>
            <w:r w:rsidRPr="00F94EBD">
              <w:rPr>
                <w:rFonts w:ascii="Arial" w:eastAsia="Arial" w:hAnsi="Arial" w:cs="Arial"/>
                <w:spacing w:val="-9"/>
                <w:sz w:val="20"/>
                <w:szCs w:val="18"/>
              </w:rPr>
              <w:t>1</w:t>
            </w:r>
            <w:r w:rsidRPr="00F94EBD">
              <w:rPr>
                <w:rFonts w:ascii="Arial" w:eastAsia="Arial" w:hAnsi="Arial" w:cs="Arial"/>
                <w:sz w:val="20"/>
                <w:szCs w:val="18"/>
              </w:rPr>
              <w:t>29</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68"/>
              <w:jc w:val="center"/>
              <w:rPr>
                <w:rFonts w:ascii="Arial" w:eastAsia="Arial" w:hAnsi="Arial" w:cs="Arial"/>
                <w:sz w:val="20"/>
                <w:szCs w:val="18"/>
              </w:rPr>
            </w:pPr>
            <w:r w:rsidRPr="00F94EBD">
              <w:rPr>
                <w:rFonts w:ascii="Arial" w:eastAsia="Arial" w:hAnsi="Arial" w:cs="Arial"/>
                <w:spacing w:val="-8"/>
                <w:sz w:val="20"/>
                <w:szCs w:val="18"/>
              </w:rPr>
              <w:t>1</w:t>
            </w:r>
            <w:r w:rsidRPr="00F94EBD">
              <w:rPr>
                <w:rFonts w:ascii="Arial" w:eastAsia="Arial" w:hAnsi="Arial" w:cs="Arial"/>
                <w:spacing w:val="2"/>
                <w:sz w:val="20"/>
                <w:szCs w:val="18"/>
              </w:rPr>
              <w:t>0</w:t>
            </w:r>
            <w:r w:rsidRPr="00F94EBD">
              <w:rPr>
                <w:rFonts w:ascii="Arial" w:eastAsia="Arial" w:hAnsi="Arial" w:cs="Arial"/>
                <w:sz w:val="20"/>
                <w:szCs w:val="18"/>
              </w:rPr>
              <w:t>5</w:t>
            </w:r>
          </w:p>
        </w:tc>
        <w:tc>
          <w:tcPr>
            <w:tcW w:w="369" w:type="pct"/>
            <w:tcBorders>
              <w:top w:val="single" w:sz="4" w:space="0" w:color="797979"/>
              <w:left w:val="single" w:sz="4" w:space="0" w:color="797979"/>
              <w:bottom w:val="single" w:sz="4" w:space="0" w:color="797979"/>
              <w:right w:val="nil"/>
            </w:tcBorders>
            <w:vAlign w:val="center"/>
          </w:tcPr>
          <w:p w:rsidR="003C17D6" w:rsidRPr="00F94EBD" w:rsidRDefault="003C17D6" w:rsidP="00F94EBD">
            <w:pPr>
              <w:pStyle w:val="TableParagraph"/>
              <w:ind w:right="4"/>
              <w:jc w:val="center"/>
              <w:rPr>
                <w:rFonts w:ascii="Arial" w:eastAsia="Arial" w:hAnsi="Arial" w:cs="Arial"/>
                <w:sz w:val="20"/>
                <w:szCs w:val="18"/>
              </w:rPr>
            </w:pPr>
            <w:r w:rsidRPr="00F94EBD">
              <w:rPr>
                <w:rFonts w:ascii="Arial" w:eastAsia="Arial" w:hAnsi="Arial" w:cs="Arial"/>
                <w:sz w:val="20"/>
                <w:szCs w:val="18"/>
              </w:rPr>
              <w:t>59</w:t>
            </w:r>
          </w:p>
        </w:tc>
      </w:tr>
      <w:tr w:rsidR="00F94EBD" w:rsidTr="00F94EBD">
        <w:trPr>
          <w:trHeight w:hRule="exact" w:val="510"/>
        </w:trPr>
        <w:tc>
          <w:tcPr>
            <w:tcW w:w="591" w:type="pct"/>
            <w:tcBorders>
              <w:top w:val="single" w:sz="4" w:space="0" w:color="797979"/>
              <w:left w:val="nil"/>
              <w:bottom w:val="single" w:sz="4" w:space="0" w:color="797979"/>
              <w:right w:val="single" w:sz="4" w:space="0" w:color="797979"/>
            </w:tcBorders>
            <w:vAlign w:val="center"/>
          </w:tcPr>
          <w:p w:rsidR="003C17D6" w:rsidRPr="00F94EBD" w:rsidRDefault="003C17D6" w:rsidP="00F94EBD">
            <w:pPr>
              <w:pStyle w:val="TableParagraph"/>
              <w:ind w:left="80"/>
              <w:rPr>
                <w:rFonts w:ascii="Arial" w:eastAsia="Arial" w:hAnsi="Arial" w:cs="Arial"/>
                <w:sz w:val="20"/>
                <w:szCs w:val="18"/>
              </w:rPr>
            </w:pPr>
            <w:r w:rsidRPr="00F94EBD">
              <w:rPr>
                <w:rFonts w:ascii="Arial" w:eastAsia="Arial" w:hAnsi="Arial" w:cs="Arial"/>
                <w:spacing w:val="4"/>
                <w:sz w:val="20"/>
                <w:szCs w:val="18"/>
              </w:rPr>
              <w:t>O</w:t>
            </w:r>
            <w:r w:rsidRPr="00F94EBD">
              <w:rPr>
                <w:rFonts w:ascii="Arial" w:eastAsia="Arial" w:hAnsi="Arial" w:cs="Arial"/>
                <w:sz w:val="20"/>
                <w:szCs w:val="18"/>
              </w:rPr>
              <w:t>t</w:t>
            </w:r>
            <w:r w:rsidRPr="00F94EBD">
              <w:rPr>
                <w:rFonts w:ascii="Arial" w:eastAsia="Arial" w:hAnsi="Arial" w:cs="Arial"/>
                <w:spacing w:val="1"/>
                <w:sz w:val="20"/>
                <w:szCs w:val="18"/>
              </w:rPr>
              <w:t>h</w:t>
            </w:r>
            <w:r w:rsidRPr="00F94EBD">
              <w:rPr>
                <w:rFonts w:ascii="Arial" w:eastAsia="Arial" w:hAnsi="Arial" w:cs="Arial"/>
                <w:spacing w:val="2"/>
                <w:sz w:val="20"/>
                <w:szCs w:val="18"/>
              </w:rPr>
              <w:t>e</w:t>
            </w:r>
            <w:r w:rsidRPr="00F94EBD">
              <w:rPr>
                <w:rFonts w:ascii="Arial" w:eastAsia="Arial" w:hAnsi="Arial" w:cs="Arial"/>
                <w:sz w:val="20"/>
                <w:szCs w:val="18"/>
              </w:rPr>
              <w:t>r</w:t>
            </w:r>
            <w:r w:rsidRPr="00F94EBD">
              <w:rPr>
                <w:rFonts w:ascii="Arial" w:eastAsia="Arial" w:hAnsi="Arial" w:cs="Arial"/>
                <w:spacing w:val="-8"/>
                <w:sz w:val="20"/>
                <w:szCs w:val="18"/>
              </w:rPr>
              <w:t xml:space="preserve"> </w:t>
            </w:r>
            <w:r w:rsidRPr="00F94EBD">
              <w:rPr>
                <w:rFonts w:ascii="Arial" w:eastAsia="Arial" w:hAnsi="Arial" w:cs="Arial"/>
                <w:spacing w:val="2"/>
                <w:sz w:val="20"/>
                <w:szCs w:val="18"/>
              </w:rPr>
              <w:t>Se</w:t>
            </w:r>
            <w:r w:rsidRPr="00F94EBD">
              <w:rPr>
                <w:rFonts w:ascii="Arial" w:eastAsia="Arial" w:hAnsi="Arial" w:cs="Arial"/>
                <w:spacing w:val="7"/>
                <w:sz w:val="20"/>
                <w:szCs w:val="18"/>
              </w:rPr>
              <w:t>r</w:t>
            </w:r>
            <w:r w:rsidRPr="00F94EBD">
              <w:rPr>
                <w:rFonts w:ascii="Arial" w:eastAsia="Arial" w:hAnsi="Arial" w:cs="Arial"/>
                <w:spacing w:val="1"/>
                <w:sz w:val="20"/>
                <w:szCs w:val="18"/>
              </w:rPr>
              <w:t>vic</w:t>
            </w:r>
            <w:r w:rsidRPr="00F94EBD">
              <w:rPr>
                <w:rFonts w:ascii="Arial" w:eastAsia="Arial" w:hAnsi="Arial" w:cs="Arial"/>
                <w:spacing w:val="2"/>
                <w:sz w:val="20"/>
                <w:szCs w:val="18"/>
              </w:rPr>
              <w:t>es</w:t>
            </w:r>
          </w:p>
        </w:tc>
        <w:tc>
          <w:tcPr>
            <w:tcW w:w="380"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right="8"/>
              <w:jc w:val="center"/>
              <w:rPr>
                <w:rFonts w:ascii="Arial" w:eastAsia="Arial" w:hAnsi="Arial" w:cs="Arial"/>
                <w:sz w:val="20"/>
                <w:szCs w:val="18"/>
              </w:rPr>
            </w:pPr>
            <w:r w:rsidRPr="00F94EBD">
              <w:rPr>
                <w:rFonts w:ascii="Arial" w:eastAsia="Arial" w:hAnsi="Arial" w:cs="Arial"/>
                <w:spacing w:val="-9"/>
                <w:sz w:val="20"/>
                <w:szCs w:val="18"/>
              </w:rPr>
              <w:t>15</w:t>
            </w:r>
          </w:p>
        </w:tc>
        <w:tc>
          <w:tcPr>
            <w:tcW w:w="358"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03"/>
              <w:jc w:val="center"/>
              <w:rPr>
                <w:rFonts w:ascii="Arial" w:eastAsia="Arial" w:hAnsi="Arial" w:cs="Arial"/>
                <w:sz w:val="20"/>
                <w:szCs w:val="18"/>
              </w:rPr>
            </w:pPr>
            <w:r w:rsidRPr="00F94EBD">
              <w:rPr>
                <w:rFonts w:ascii="Arial" w:eastAsia="Arial" w:hAnsi="Arial" w:cs="Arial"/>
                <w:spacing w:val="1"/>
                <w:w w:val="105"/>
                <w:sz w:val="20"/>
                <w:szCs w:val="18"/>
              </w:rPr>
              <w:t>3%</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37" w:right="236"/>
              <w:jc w:val="center"/>
              <w:rPr>
                <w:rFonts w:ascii="Arial" w:eastAsia="Arial" w:hAnsi="Arial" w:cs="Arial"/>
                <w:sz w:val="20"/>
                <w:szCs w:val="18"/>
              </w:rPr>
            </w:pPr>
            <w:r w:rsidRPr="00F94EBD">
              <w:rPr>
                <w:rFonts w:ascii="Arial" w:eastAsia="Arial" w:hAnsi="Arial" w:cs="Arial"/>
                <w:sz w:val="20"/>
                <w:szCs w:val="18"/>
              </w:rPr>
              <w:t>2</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79"/>
              <w:jc w:val="center"/>
              <w:rPr>
                <w:rFonts w:ascii="Arial" w:eastAsia="Arial" w:hAnsi="Arial" w:cs="Arial"/>
                <w:sz w:val="20"/>
                <w:szCs w:val="18"/>
              </w:rPr>
            </w:pPr>
            <w:r w:rsidRPr="00F94EBD">
              <w:rPr>
                <w:rFonts w:ascii="Arial" w:eastAsia="Arial" w:hAnsi="Arial" w:cs="Arial"/>
                <w:spacing w:val="-7"/>
                <w:w w:val="105"/>
                <w:sz w:val="20"/>
                <w:szCs w:val="18"/>
              </w:rPr>
              <w:t>1%</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84" w:right="284"/>
              <w:jc w:val="center"/>
              <w:rPr>
                <w:rFonts w:ascii="Arial" w:eastAsia="Arial" w:hAnsi="Arial" w:cs="Arial"/>
                <w:sz w:val="20"/>
                <w:szCs w:val="18"/>
              </w:rPr>
            </w:pPr>
            <w:r w:rsidRPr="00F94EBD">
              <w:rPr>
                <w:rFonts w:ascii="Arial" w:eastAsia="Arial" w:hAnsi="Arial" w:cs="Arial"/>
                <w:sz w:val="20"/>
                <w:szCs w:val="18"/>
              </w:rPr>
              <w:t>3</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89"/>
              <w:jc w:val="center"/>
              <w:rPr>
                <w:rFonts w:ascii="Arial" w:eastAsia="Arial" w:hAnsi="Arial" w:cs="Arial"/>
                <w:sz w:val="20"/>
                <w:szCs w:val="18"/>
              </w:rPr>
            </w:pPr>
            <w:r w:rsidRPr="00F94EBD">
              <w:rPr>
                <w:rFonts w:ascii="Arial" w:eastAsia="Arial" w:hAnsi="Arial" w:cs="Arial"/>
                <w:spacing w:val="-7"/>
                <w:w w:val="105"/>
                <w:sz w:val="20"/>
                <w:szCs w:val="18"/>
              </w:rPr>
              <w:t>1%</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spacing w:after="0"/>
              <w:jc w:val="center"/>
              <w:rPr>
                <w:sz w:val="20"/>
              </w:rPr>
            </w:pP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93"/>
              <w:jc w:val="center"/>
              <w:rPr>
                <w:rFonts w:ascii="Arial" w:eastAsia="Arial" w:hAnsi="Arial" w:cs="Arial"/>
                <w:sz w:val="20"/>
                <w:szCs w:val="18"/>
              </w:rPr>
            </w:pPr>
            <w:r w:rsidRPr="00F94EBD">
              <w:rPr>
                <w:rFonts w:ascii="Arial" w:eastAsia="Arial" w:hAnsi="Arial" w:cs="Arial"/>
                <w:spacing w:val="3"/>
                <w:w w:val="105"/>
                <w:sz w:val="20"/>
                <w:szCs w:val="18"/>
              </w:rPr>
              <w:t>0%</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jc w:val="center"/>
              <w:rPr>
                <w:rFonts w:ascii="Arial" w:eastAsia="Arial" w:hAnsi="Arial" w:cs="Arial"/>
                <w:sz w:val="20"/>
                <w:szCs w:val="18"/>
              </w:rPr>
            </w:pPr>
            <w:r w:rsidRPr="00F94EBD">
              <w:rPr>
                <w:rFonts w:ascii="Arial" w:eastAsia="Arial" w:hAnsi="Arial" w:cs="Arial"/>
                <w:spacing w:val="-11"/>
                <w:sz w:val="20"/>
                <w:szCs w:val="18"/>
              </w:rPr>
              <w:t>1</w:t>
            </w:r>
            <w:r w:rsidRPr="00F94EBD">
              <w:rPr>
                <w:rFonts w:ascii="Arial" w:eastAsia="Arial" w:hAnsi="Arial" w:cs="Arial"/>
                <w:spacing w:val="-8"/>
                <w:sz w:val="20"/>
                <w:szCs w:val="18"/>
              </w:rPr>
              <w:t>4</w:t>
            </w:r>
            <w:r w:rsidRPr="00F94EBD">
              <w:rPr>
                <w:rFonts w:ascii="Arial" w:eastAsia="Arial" w:hAnsi="Arial" w:cs="Arial"/>
                <w:sz w:val="20"/>
                <w:szCs w:val="18"/>
              </w:rPr>
              <w:t>7</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19"/>
              <w:jc w:val="center"/>
              <w:rPr>
                <w:rFonts w:ascii="Arial" w:eastAsia="Arial" w:hAnsi="Arial" w:cs="Arial"/>
                <w:sz w:val="20"/>
                <w:szCs w:val="18"/>
              </w:rPr>
            </w:pPr>
            <w:r w:rsidRPr="00F94EBD">
              <w:rPr>
                <w:rFonts w:ascii="Arial" w:eastAsia="Arial" w:hAnsi="Arial" w:cs="Arial"/>
                <w:spacing w:val="-9"/>
                <w:sz w:val="20"/>
                <w:szCs w:val="18"/>
              </w:rPr>
              <w:t>1</w:t>
            </w:r>
            <w:r w:rsidRPr="00F94EBD">
              <w:rPr>
                <w:rFonts w:ascii="Arial" w:eastAsia="Arial" w:hAnsi="Arial" w:cs="Arial"/>
                <w:spacing w:val="1"/>
                <w:sz w:val="20"/>
                <w:szCs w:val="18"/>
              </w:rPr>
              <w:t>5</w:t>
            </w:r>
            <w:r w:rsidRPr="00F94EBD">
              <w:rPr>
                <w:rFonts w:ascii="Arial" w:eastAsia="Arial" w:hAnsi="Arial" w:cs="Arial"/>
                <w:sz w:val="20"/>
                <w:szCs w:val="18"/>
              </w:rPr>
              <w:t>6</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70"/>
              <w:jc w:val="center"/>
              <w:rPr>
                <w:rFonts w:ascii="Arial" w:eastAsia="Arial" w:hAnsi="Arial" w:cs="Arial"/>
                <w:sz w:val="20"/>
                <w:szCs w:val="18"/>
              </w:rPr>
            </w:pPr>
            <w:r w:rsidRPr="00F94EBD">
              <w:rPr>
                <w:rFonts w:ascii="Arial" w:eastAsia="Arial" w:hAnsi="Arial" w:cs="Arial"/>
                <w:spacing w:val="-9"/>
                <w:sz w:val="20"/>
                <w:szCs w:val="18"/>
              </w:rPr>
              <w:t>1</w:t>
            </w:r>
            <w:r w:rsidRPr="00F94EBD">
              <w:rPr>
                <w:rFonts w:ascii="Arial" w:eastAsia="Arial" w:hAnsi="Arial" w:cs="Arial"/>
                <w:sz w:val="20"/>
                <w:szCs w:val="18"/>
              </w:rPr>
              <w:t>32</w:t>
            </w:r>
          </w:p>
        </w:tc>
        <w:tc>
          <w:tcPr>
            <w:tcW w:w="369" w:type="pct"/>
            <w:tcBorders>
              <w:top w:val="single" w:sz="4" w:space="0" w:color="797979"/>
              <w:left w:val="single" w:sz="4" w:space="0" w:color="797979"/>
              <w:bottom w:val="single" w:sz="4" w:space="0" w:color="797979"/>
              <w:right w:val="nil"/>
            </w:tcBorders>
            <w:vAlign w:val="center"/>
          </w:tcPr>
          <w:p w:rsidR="003C17D6" w:rsidRPr="00F94EBD" w:rsidRDefault="003C17D6" w:rsidP="00F94EBD">
            <w:pPr>
              <w:pStyle w:val="TableParagraph"/>
              <w:ind w:left="214" w:right="216"/>
              <w:jc w:val="center"/>
              <w:rPr>
                <w:rFonts w:ascii="Arial" w:eastAsia="Arial" w:hAnsi="Arial" w:cs="Arial"/>
                <w:sz w:val="20"/>
                <w:szCs w:val="18"/>
              </w:rPr>
            </w:pPr>
            <w:r w:rsidRPr="00F94EBD">
              <w:rPr>
                <w:rFonts w:ascii="Arial" w:eastAsia="Arial" w:hAnsi="Arial" w:cs="Arial"/>
                <w:spacing w:val="3"/>
                <w:sz w:val="20"/>
                <w:szCs w:val="18"/>
              </w:rPr>
              <w:t>99</w:t>
            </w:r>
          </w:p>
        </w:tc>
      </w:tr>
      <w:tr w:rsidR="00F94EBD" w:rsidTr="00F94EBD">
        <w:trPr>
          <w:trHeight w:hRule="exact" w:val="1031"/>
        </w:trPr>
        <w:tc>
          <w:tcPr>
            <w:tcW w:w="591" w:type="pct"/>
            <w:tcBorders>
              <w:top w:val="single" w:sz="4" w:space="0" w:color="797979"/>
              <w:left w:val="nil"/>
              <w:bottom w:val="single" w:sz="4" w:space="0" w:color="797979"/>
              <w:right w:val="single" w:sz="4" w:space="0" w:color="797979"/>
            </w:tcBorders>
            <w:vAlign w:val="center"/>
          </w:tcPr>
          <w:p w:rsidR="003C17D6" w:rsidRPr="00F94EBD" w:rsidRDefault="003C17D6" w:rsidP="00F94EBD">
            <w:pPr>
              <w:pStyle w:val="TableParagraph"/>
              <w:ind w:left="80"/>
              <w:rPr>
                <w:rFonts w:ascii="Arial" w:eastAsia="Arial" w:hAnsi="Arial" w:cs="Arial"/>
                <w:sz w:val="20"/>
                <w:szCs w:val="18"/>
              </w:rPr>
            </w:pPr>
            <w:r w:rsidRPr="00F94EBD">
              <w:rPr>
                <w:rFonts w:ascii="Arial" w:eastAsia="Arial" w:hAnsi="Arial" w:cs="Arial"/>
                <w:sz w:val="20"/>
                <w:szCs w:val="18"/>
              </w:rPr>
              <w:t>P</w:t>
            </w:r>
            <w:r w:rsidRPr="00F94EBD">
              <w:rPr>
                <w:rFonts w:ascii="Arial" w:eastAsia="Arial" w:hAnsi="Arial" w:cs="Arial"/>
                <w:spacing w:val="1"/>
                <w:sz w:val="20"/>
                <w:szCs w:val="18"/>
              </w:rPr>
              <w:t>r</w:t>
            </w:r>
            <w:r w:rsidRPr="00F94EBD">
              <w:rPr>
                <w:rFonts w:ascii="Arial" w:eastAsia="Arial" w:hAnsi="Arial" w:cs="Arial"/>
                <w:sz w:val="20"/>
                <w:szCs w:val="18"/>
              </w:rPr>
              <w:t>of</w:t>
            </w:r>
            <w:r w:rsidRPr="00F94EBD">
              <w:rPr>
                <w:rFonts w:ascii="Arial" w:eastAsia="Arial" w:hAnsi="Arial" w:cs="Arial"/>
                <w:spacing w:val="2"/>
                <w:sz w:val="20"/>
                <w:szCs w:val="18"/>
              </w:rPr>
              <w:t>e</w:t>
            </w:r>
            <w:r w:rsidRPr="00F94EBD">
              <w:rPr>
                <w:rFonts w:ascii="Arial" w:eastAsia="Arial" w:hAnsi="Arial" w:cs="Arial"/>
                <w:spacing w:val="3"/>
                <w:sz w:val="20"/>
                <w:szCs w:val="18"/>
              </w:rPr>
              <w:t>s</w:t>
            </w:r>
            <w:r w:rsidRPr="00F94EBD">
              <w:rPr>
                <w:rFonts w:ascii="Arial" w:eastAsia="Arial" w:hAnsi="Arial" w:cs="Arial"/>
                <w:spacing w:val="1"/>
                <w:sz w:val="20"/>
                <w:szCs w:val="18"/>
              </w:rPr>
              <w:t>si</w:t>
            </w:r>
            <w:r w:rsidRPr="00F94EBD">
              <w:rPr>
                <w:rFonts w:ascii="Arial" w:eastAsia="Arial" w:hAnsi="Arial" w:cs="Arial"/>
                <w:sz w:val="20"/>
                <w:szCs w:val="18"/>
              </w:rPr>
              <w:t>o</w:t>
            </w:r>
            <w:r w:rsidRPr="00F94EBD">
              <w:rPr>
                <w:rFonts w:ascii="Arial" w:eastAsia="Arial" w:hAnsi="Arial" w:cs="Arial"/>
                <w:spacing w:val="1"/>
                <w:sz w:val="20"/>
                <w:szCs w:val="18"/>
              </w:rPr>
              <w:t>n</w:t>
            </w:r>
            <w:r w:rsidRPr="00F94EBD">
              <w:rPr>
                <w:rFonts w:ascii="Arial" w:eastAsia="Arial" w:hAnsi="Arial" w:cs="Arial"/>
                <w:spacing w:val="2"/>
                <w:sz w:val="20"/>
                <w:szCs w:val="18"/>
              </w:rPr>
              <w:t>a</w:t>
            </w:r>
            <w:r w:rsidRPr="00F94EBD">
              <w:rPr>
                <w:rFonts w:ascii="Arial" w:eastAsia="Arial" w:hAnsi="Arial" w:cs="Arial"/>
                <w:spacing w:val="-1"/>
                <w:sz w:val="20"/>
                <w:szCs w:val="18"/>
              </w:rPr>
              <w:t>l</w:t>
            </w:r>
            <w:r w:rsidRPr="00F94EBD">
              <w:rPr>
                <w:rFonts w:ascii="Arial" w:eastAsia="Arial" w:hAnsi="Arial" w:cs="Arial"/>
                <w:sz w:val="20"/>
                <w:szCs w:val="18"/>
              </w:rPr>
              <w:t>,</w:t>
            </w:r>
            <w:r w:rsidRPr="00F94EBD">
              <w:rPr>
                <w:rFonts w:ascii="Arial" w:eastAsia="Arial" w:hAnsi="Arial" w:cs="Arial"/>
                <w:spacing w:val="2"/>
                <w:sz w:val="20"/>
                <w:szCs w:val="18"/>
              </w:rPr>
              <w:t xml:space="preserve"> S</w:t>
            </w:r>
            <w:r w:rsidRPr="00F94EBD">
              <w:rPr>
                <w:rFonts w:ascii="Arial" w:eastAsia="Arial" w:hAnsi="Arial" w:cs="Arial"/>
                <w:sz w:val="20"/>
                <w:szCs w:val="18"/>
              </w:rPr>
              <w:t>c</w:t>
            </w:r>
            <w:r w:rsidRPr="00F94EBD">
              <w:rPr>
                <w:rFonts w:ascii="Arial" w:eastAsia="Arial" w:hAnsi="Arial" w:cs="Arial"/>
                <w:spacing w:val="1"/>
                <w:sz w:val="20"/>
                <w:szCs w:val="18"/>
              </w:rPr>
              <w:t>i</w:t>
            </w:r>
            <w:r w:rsidRPr="00F94EBD">
              <w:rPr>
                <w:rFonts w:ascii="Arial" w:eastAsia="Arial" w:hAnsi="Arial" w:cs="Arial"/>
                <w:spacing w:val="2"/>
                <w:sz w:val="20"/>
                <w:szCs w:val="18"/>
              </w:rPr>
              <w:t>e</w:t>
            </w:r>
            <w:r w:rsidRPr="00F94EBD">
              <w:rPr>
                <w:rFonts w:ascii="Arial" w:eastAsia="Arial" w:hAnsi="Arial" w:cs="Arial"/>
                <w:spacing w:val="1"/>
                <w:sz w:val="20"/>
                <w:szCs w:val="18"/>
              </w:rPr>
              <w:t>n</w:t>
            </w:r>
            <w:r w:rsidRPr="00F94EBD">
              <w:rPr>
                <w:rFonts w:ascii="Arial" w:eastAsia="Arial" w:hAnsi="Arial" w:cs="Arial"/>
                <w:sz w:val="20"/>
                <w:szCs w:val="18"/>
              </w:rPr>
              <w:t>t</w:t>
            </w:r>
            <w:r w:rsidRPr="00F94EBD">
              <w:rPr>
                <w:rFonts w:ascii="Arial" w:eastAsia="Arial" w:hAnsi="Arial" w:cs="Arial"/>
                <w:spacing w:val="1"/>
                <w:sz w:val="20"/>
                <w:szCs w:val="18"/>
              </w:rPr>
              <w:t>i</w:t>
            </w:r>
            <w:r w:rsidRPr="00F94EBD">
              <w:rPr>
                <w:rFonts w:ascii="Arial" w:eastAsia="Arial" w:hAnsi="Arial" w:cs="Arial"/>
                <w:sz w:val="20"/>
                <w:szCs w:val="18"/>
              </w:rPr>
              <w:t>fic</w:t>
            </w:r>
            <w:r w:rsidRPr="00F94EBD">
              <w:rPr>
                <w:rFonts w:ascii="Arial" w:eastAsia="Arial" w:hAnsi="Arial" w:cs="Arial"/>
                <w:spacing w:val="3"/>
                <w:sz w:val="20"/>
                <w:szCs w:val="18"/>
              </w:rPr>
              <w:t xml:space="preserve"> </w:t>
            </w:r>
            <w:r w:rsidRPr="00F94EBD">
              <w:rPr>
                <w:rFonts w:ascii="Arial" w:eastAsia="Arial" w:hAnsi="Arial" w:cs="Arial"/>
                <w:spacing w:val="2"/>
                <w:sz w:val="20"/>
                <w:szCs w:val="18"/>
              </w:rPr>
              <w:t>a</w:t>
            </w:r>
            <w:r w:rsidRPr="00F94EBD">
              <w:rPr>
                <w:rFonts w:ascii="Arial" w:eastAsia="Arial" w:hAnsi="Arial" w:cs="Arial"/>
                <w:spacing w:val="1"/>
                <w:sz w:val="20"/>
                <w:szCs w:val="18"/>
              </w:rPr>
              <w:t>n</w:t>
            </w:r>
            <w:r w:rsidRPr="00F94EBD">
              <w:rPr>
                <w:rFonts w:ascii="Arial" w:eastAsia="Arial" w:hAnsi="Arial" w:cs="Arial"/>
                <w:sz w:val="20"/>
                <w:szCs w:val="18"/>
              </w:rPr>
              <w:t>d</w:t>
            </w:r>
            <w:r w:rsidRPr="00F94EBD">
              <w:rPr>
                <w:rFonts w:ascii="Arial" w:eastAsia="Arial" w:hAnsi="Arial" w:cs="Arial"/>
                <w:spacing w:val="3"/>
                <w:sz w:val="20"/>
                <w:szCs w:val="18"/>
              </w:rPr>
              <w:t xml:space="preserve"> </w:t>
            </w:r>
            <w:r w:rsidRPr="00F94EBD">
              <w:rPr>
                <w:rFonts w:ascii="Arial" w:eastAsia="Arial" w:hAnsi="Arial" w:cs="Arial"/>
                <w:spacing w:val="-14"/>
                <w:sz w:val="20"/>
                <w:szCs w:val="18"/>
              </w:rPr>
              <w:t>T</w:t>
            </w:r>
            <w:r w:rsidRPr="00F94EBD">
              <w:rPr>
                <w:rFonts w:ascii="Arial" w:eastAsia="Arial" w:hAnsi="Arial" w:cs="Arial"/>
                <w:spacing w:val="3"/>
                <w:sz w:val="20"/>
                <w:szCs w:val="18"/>
              </w:rPr>
              <w:t>e</w:t>
            </w:r>
            <w:r w:rsidRPr="00F94EBD">
              <w:rPr>
                <w:rFonts w:ascii="Arial" w:eastAsia="Arial" w:hAnsi="Arial" w:cs="Arial"/>
                <w:sz w:val="20"/>
                <w:szCs w:val="18"/>
              </w:rPr>
              <w:t>c</w:t>
            </w:r>
            <w:r w:rsidRPr="00F94EBD">
              <w:rPr>
                <w:rFonts w:ascii="Arial" w:eastAsia="Arial" w:hAnsi="Arial" w:cs="Arial"/>
                <w:spacing w:val="1"/>
                <w:sz w:val="20"/>
                <w:szCs w:val="18"/>
              </w:rPr>
              <w:t>hnic</w:t>
            </w:r>
            <w:r w:rsidRPr="00F94EBD">
              <w:rPr>
                <w:rFonts w:ascii="Arial" w:eastAsia="Arial" w:hAnsi="Arial" w:cs="Arial"/>
                <w:spacing w:val="2"/>
                <w:sz w:val="20"/>
                <w:szCs w:val="18"/>
              </w:rPr>
              <w:t>a</w:t>
            </w:r>
            <w:r w:rsidRPr="00F94EBD">
              <w:rPr>
                <w:rFonts w:ascii="Arial" w:eastAsia="Arial" w:hAnsi="Arial" w:cs="Arial"/>
                <w:sz w:val="20"/>
                <w:szCs w:val="18"/>
              </w:rPr>
              <w:t>l</w:t>
            </w:r>
            <w:r w:rsidRPr="00F94EBD">
              <w:rPr>
                <w:rFonts w:ascii="Arial" w:eastAsia="Arial" w:hAnsi="Arial" w:cs="Arial"/>
                <w:spacing w:val="3"/>
                <w:sz w:val="20"/>
                <w:szCs w:val="18"/>
              </w:rPr>
              <w:t xml:space="preserve"> </w:t>
            </w:r>
            <w:r w:rsidRPr="00F94EBD">
              <w:rPr>
                <w:rFonts w:ascii="Arial" w:eastAsia="Arial" w:hAnsi="Arial" w:cs="Arial"/>
                <w:spacing w:val="2"/>
                <w:sz w:val="20"/>
                <w:szCs w:val="18"/>
              </w:rPr>
              <w:t>Se</w:t>
            </w:r>
            <w:r w:rsidRPr="00F94EBD">
              <w:rPr>
                <w:rFonts w:ascii="Arial" w:eastAsia="Arial" w:hAnsi="Arial" w:cs="Arial"/>
                <w:spacing w:val="7"/>
                <w:sz w:val="20"/>
                <w:szCs w:val="18"/>
              </w:rPr>
              <w:t>r</w:t>
            </w:r>
            <w:r w:rsidRPr="00F94EBD">
              <w:rPr>
                <w:rFonts w:ascii="Arial" w:eastAsia="Arial" w:hAnsi="Arial" w:cs="Arial"/>
                <w:spacing w:val="1"/>
                <w:sz w:val="20"/>
                <w:szCs w:val="18"/>
              </w:rPr>
              <w:t>vic</w:t>
            </w:r>
            <w:r w:rsidRPr="00F94EBD">
              <w:rPr>
                <w:rFonts w:ascii="Arial" w:eastAsia="Arial" w:hAnsi="Arial" w:cs="Arial"/>
                <w:spacing w:val="2"/>
                <w:sz w:val="20"/>
                <w:szCs w:val="18"/>
              </w:rPr>
              <w:t>e</w:t>
            </w:r>
            <w:r w:rsidRPr="00F94EBD">
              <w:rPr>
                <w:rFonts w:ascii="Arial" w:eastAsia="Arial" w:hAnsi="Arial" w:cs="Arial"/>
                <w:sz w:val="20"/>
                <w:szCs w:val="18"/>
              </w:rPr>
              <w:t>s</w:t>
            </w:r>
          </w:p>
        </w:tc>
        <w:tc>
          <w:tcPr>
            <w:tcW w:w="380"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right="5"/>
              <w:jc w:val="center"/>
              <w:rPr>
                <w:rFonts w:ascii="Arial" w:eastAsia="Arial" w:hAnsi="Arial" w:cs="Arial"/>
                <w:sz w:val="20"/>
                <w:szCs w:val="18"/>
              </w:rPr>
            </w:pPr>
            <w:r w:rsidRPr="00F94EBD">
              <w:rPr>
                <w:rFonts w:ascii="Arial" w:eastAsia="Arial" w:hAnsi="Arial" w:cs="Arial"/>
                <w:spacing w:val="-6"/>
                <w:sz w:val="20"/>
                <w:szCs w:val="18"/>
              </w:rPr>
              <w:t>31</w:t>
            </w:r>
          </w:p>
        </w:tc>
        <w:tc>
          <w:tcPr>
            <w:tcW w:w="358"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04"/>
              <w:jc w:val="center"/>
              <w:rPr>
                <w:rFonts w:ascii="Arial" w:eastAsia="Arial" w:hAnsi="Arial" w:cs="Arial"/>
                <w:sz w:val="20"/>
                <w:szCs w:val="18"/>
              </w:rPr>
            </w:pPr>
            <w:r w:rsidRPr="00F94EBD">
              <w:rPr>
                <w:rFonts w:ascii="Arial" w:eastAsia="Arial" w:hAnsi="Arial" w:cs="Arial"/>
                <w:spacing w:val="-2"/>
                <w:w w:val="105"/>
                <w:sz w:val="20"/>
                <w:szCs w:val="18"/>
              </w:rPr>
              <w:t>5</w:t>
            </w:r>
            <w:r w:rsidRPr="00F94EBD">
              <w:rPr>
                <w:rFonts w:ascii="Arial" w:eastAsia="Arial" w:hAnsi="Arial" w:cs="Arial"/>
                <w:w w:val="105"/>
                <w:sz w:val="20"/>
                <w:szCs w:val="18"/>
              </w:rPr>
              <w:t>%</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37" w:right="236"/>
              <w:jc w:val="center"/>
              <w:rPr>
                <w:rFonts w:ascii="Arial" w:eastAsia="Arial" w:hAnsi="Arial" w:cs="Arial"/>
                <w:sz w:val="20"/>
                <w:szCs w:val="18"/>
              </w:rPr>
            </w:pPr>
            <w:r w:rsidRPr="00F94EBD">
              <w:rPr>
                <w:rFonts w:ascii="Arial" w:eastAsia="Arial" w:hAnsi="Arial" w:cs="Arial"/>
                <w:sz w:val="20"/>
                <w:szCs w:val="18"/>
              </w:rPr>
              <w:t>6</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75"/>
              <w:jc w:val="center"/>
              <w:rPr>
                <w:rFonts w:ascii="Arial" w:eastAsia="Arial" w:hAnsi="Arial" w:cs="Arial"/>
                <w:sz w:val="20"/>
                <w:szCs w:val="18"/>
              </w:rPr>
            </w:pPr>
            <w:r w:rsidRPr="00F94EBD">
              <w:rPr>
                <w:rFonts w:ascii="Arial" w:eastAsia="Arial" w:hAnsi="Arial" w:cs="Arial"/>
                <w:w w:val="105"/>
                <w:sz w:val="20"/>
                <w:szCs w:val="18"/>
              </w:rPr>
              <w:t>2%</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84" w:right="284"/>
              <w:jc w:val="center"/>
              <w:rPr>
                <w:rFonts w:ascii="Arial" w:eastAsia="Arial" w:hAnsi="Arial" w:cs="Arial"/>
                <w:sz w:val="20"/>
                <w:szCs w:val="18"/>
              </w:rPr>
            </w:pPr>
            <w:r w:rsidRPr="00F94EBD">
              <w:rPr>
                <w:rFonts w:ascii="Arial" w:eastAsia="Arial" w:hAnsi="Arial" w:cs="Arial"/>
                <w:sz w:val="20"/>
                <w:szCs w:val="18"/>
              </w:rPr>
              <w:t>2</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89"/>
              <w:jc w:val="center"/>
              <w:rPr>
                <w:rFonts w:ascii="Arial" w:eastAsia="Arial" w:hAnsi="Arial" w:cs="Arial"/>
                <w:sz w:val="20"/>
                <w:szCs w:val="18"/>
              </w:rPr>
            </w:pPr>
            <w:r w:rsidRPr="00F94EBD">
              <w:rPr>
                <w:rFonts w:ascii="Arial" w:eastAsia="Arial" w:hAnsi="Arial" w:cs="Arial"/>
                <w:spacing w:val="-7"/>
                <w:w w:val="105"/>
                <w:sz w:val="20"/>
                <w:szCs w:val="18"/>
              </w:rPr>
              <w:t>1%</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65" w:right="265"/>
              <w:jc w:val="center"/>
              <w:rPr>
                <w:rFonts w:ascii="Arial" w:eastAsia="Arial" w:hAnsi="Arial" w:cs="Arial"/>
                <w:sz w:val="20"/>
                <w:szCs w:val="18"/>
              </w:rPr>
            </w:pPr>
            <w:r w:rsidRPr="00F94EBD">
              <w:rPr>
                <w:rFonts w:ascii="Arial" w:eastAsia="Arial" w:hAnsi="Arial" w:cs="Arial"/>
                <w:sz w:val="20"/>
                <w:szCs w:val="18"/>
              </w:rPr>
              <w:t>4</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95"/>
              <w:jc w:val="center"/>
              <w:rPr>
                <w:rFonts w:ascii="Arial" w:eastAsia="Arial" w:hAnsi="Arial" w:cs="Arial"/>
                <w:sz w:val="20"/>
                <w:szCs w:val="18"/>
              </w:rPr>
            </w:pPr>
            <w:r w:rsidRPr="00F94EBD">
              <w:rPr>
                <w:rFonts w:ascii="Arial" w:eastAsia="Arial" w:hAnsi="Arial" w:cs="Arial"/>
                <w:spacing w:val="-2"/>
                <w:w w:val="105"/>
                <w:sz w:val="20"/>
                <w:szCs w:val="18"/>
              </w:rPr>
              <w:t>5</w:t>
            </w:r>
            <w:r w:rsidRPr="00F94EBD">
              <w:rPr>
                <w:rFonts w:ascii="Arial" w:eastAsia="Arial" w:hAnsi="Arial" w:cs="Arial"/>
                <w:w w:val="105"/>
                <w:sz w:val="20"/>
                <w:szCs w:val="18"/>
              </w:rPr>
              <w:t>%</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jc w:val="center"/>
              <w:rPr>
                <w:rFonts w:ascii="Arial" w:eastAsia="Arial" w:hAnsi="Arial" w:cs="Arial"/>
                <w:sz w:val="20"/>
                <w:szCs w:val="18"/>
              </w:rPr>
            </w:pPr>
            <w:r w:rsidRPr="00F94EBD">
              <w:rPr>
                <w:rFonts w:ascii="Arial" w:eastAsia="Arial" w:hAnsi="Arial" w:cs="Arial"/>
                <w:spacing w:val="-11"/>
                <w:sz w:val="20"/>
                <w:szCs w:val="18"/>
              </w:rPr>
              <w:t>1</w:t>
            </w:r>
            <w:r w:rsidRPr="00F94EBD">
              <w:rPr>
                <w:rFonts w:ascii="Arial" w:eastAsia="Arial" w:hAnsi="Arial" w:cs="Arial"/>
                <w:sz w:val="20"/>
                <w:szCs w:val="18"/>
              </w:rPr>
              <w:t>49</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20"/>
              <w:jc w:val="center"/>
              <w:rPr>
                <w:rFonts w:ascii="Arial" w:eastAsia="Arial" w:hAnsi="Arial" w:cs="Arial"/>
                <w:sz w:val="20"/>
                <w:szCs w:val="18"/>
              </w:rPr>
            </w:pPr>
            <w:r w:rsidRPr="00F94EBD">
              <w:rPr>
                <w:rFonts w:ascii="Arial" w:eastAsia="Arial" w:hAnsi="Arial" w:cs="Arial"/>
                <w:spacing w:val="-11"/>
                <w:sz w:val="20"/>
                <w:szCs w:val="18"/>
              </w:rPr>
              <w:t>1</w:t>
            </w:r>
            <w:r w:rsidRPr="00F94EBD">
              <w:rPr>
                <w:rFonts w:ascii="Arial" w:eastAsia="Arial" w:hAnsi="Arial" w:cs="Arial"/>
                <w:spacing w:val="1"/>
                <w:sz w:val="20"/>
                <w:szCs w:val="18"/>
              </w:rPr>
              <w:t>4</w:t>
            </w:r>
            <w:r w:rsidRPr="00F94EBD">
              <w:rPr>
                <w:rFonts w:ascii="Arial" w:eastAsia="Arial" w:hAnsi="Arial" w:cs="Arial"/>
                <w:sz w:val="20"/>
                <w:szCs w:val="18"/>
              </w:rPr>
              <w:t>6</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78"/>
              <w:jc w:val="center"/>
              <w:rPr>
                <w:rFonts w:ascii="Arial" w:eastAsia="Arial" w:hAnsi="Arial" w:cs="Arial"/>
                <w:sz w:val="20"/>
                <w:szCs w:val="18"/>
              </w:rPr>
            </w:pPr>
            <w:r w:rsidRPr="00F94EBD">
              <w:rPr>
                <w:rFonts w:ascii="Arial" w:eastAsia="Arial" w:hAnsi="Arial" w:cs="Arial"/>
                <w:spacing w:val="-16"/>
                <w:sz w:val="20"/>
                <w:szCs w:val="18"/>
              </w:rPr>
              <w:t>1</w:t>
            </w:r>
            <w:r w:rsidRPr="00F94EBD">
              <w:rPr>
                <w:rFonts w:ascii="Arial" w:eastAsia="Arial" w:hAnsi="Arial" w:cs="Arial"/>
                <w:spacing w:val="-9"/>
                <w:sz w:val="20"/>
                <w:szCs w:val="18"/>
              </w:rPr>
              <w:t>1</w:t>
            </w:r>
            <w:r w:rsidRPr="00F94EBD">
              <w:rPr>
                <w:rFonts w:ascii="Arial" w:eastAsia="Arial" w:hAnsi="Arial" w:cs="Arial"/>
                <w:sz w:val="20"/>
                <w:szCs w:val="18"/>
              </w:rPr>
              <w:t>3</w:t>
            </w:r>
          </w:p>
        </w:tc>
        <w:tc>
          <w:tcPr>
            <w:tcW w:w="369" w:type="pct"/>
            <w:tcBorders>
              <w:top w:val="single" w:sz="4" w:space="0" w:color="797979"/>
              <w:left w:val="single" w:sz="4" w:space="0" w:color="797979"/>
              <w:bottom w:val="single" w:sz="4" w:space="0" w:color="797979"/>
              <w:right w:val="nil"/>
            </w:tcBorders>
            <w:vAlign w:val="center"/>
          </w:tcPr>
          <w:p w:rsidR="003C17D6" w:rsidRPr="00F94EBD" w:rsidRDefault="003C17D6" w:rsidP="00F94EBD">
            <w:pPr>
              <w:pStyle w:val="TableParagraph"/>
              <w:ind w:left="214" w:right="219"/>
              <w:jc w:val="center"/>
              <w:rPr>
                <w:rFonts w:ascii="Arial" w:eastAsia="Arial" w:hAnsi="Arial" w:cs="Arial"/>
                <w:sz w:val="20"/>
                <w:szCs w:val="18"/>
              </w:rPr>
            </w:pPr>
            <w:r w:rsidRPr="00F94EBD">
              <w:rPr>
                <w:rFonts w:ascii="Arial" w:eastAsia="Arial" w:hAnsi="Arial" w:cs="Arial"/>
                <w:spacing w:val="-6"/>
                <w:sz w:val="20"/>
                <w:szCs w:val="18"/>
              </w:rPr>
              <w:t>7</w:t>
            </w:r>
            <w:r w:rsidRPr="00F94EBD">
              <w:rPr>
                <w:rFonts w:ascii="Arial" w:eastAsia="Arial" w:hAnsi="Arial" w:cs="Arial"/>
                <w:sz w:val="20"/>
                <w:szCs w:val="18"/>
              </w:rPr>
              <w:t>1</w:t>
            </w:r>
          </w:p>
        </w:tc>
      </w:tr>
      <w:tr w:rsidR="00F94EBD" w:rsidTr="00F94EBD">
        <w:trPr>
          <w:trHeight w:hRule="exact" w:val="706"/>
        </w:trPr>
        <w:tc>
          <w:tcPr>
            <w:tcW w:w="591" w:type="pct"/>
            <w:tcBorders>
              <w:top w:val="single" w:sz="4" w:space="0" w:color="797979"/>
              <w:left w:val="nil"/>
              <w:bottom w:val="single" w:sz="4" w:space="0" w:color="797979"/>
              <w:right w:val="single" w:sz="4" w:space="0" w:color="797979"/>
            </w:tcBorders>
            <w:vAlign w:val="center"/>
          </w:tcPr>
          <w:p w:rsidR="003C17D6" w:rsidRPr="00F94EBD" w:rsidRDefault="003C17D6" w:rsidP="00F94EBD">
            <w:pPr>
              <w:pStyle w:val="TableParagraph"/>
              <w:ind w:left="80"/>
              <w:rPr>
                <w:rFonts w:ascii="Arial" w:eastAsia="Arial" w:hAnsi="Arial" w:cs="Arial"/>
                <w:sz w:val="20"/>
                <w:szCs w:val="18"/>
              </w:rPr>
            </w:pPr>
            <w:r w:rsidRPr="00F94EBD">
              <w:rPr>
                <w:rFonts w:ascii="Arial" w:eastAsia="Arial" w:hAnsi="Arial" w:cs="Arial"/>
                <w:spacing w:val="-2"/>
                <w:sz w:val="20"/>
                <w:szCs w:val="18"/>
              </w:rPr>
              <w:t>P</w:t>
            </w:r>
            <w:r w:rsidRPr="00F94EBD">
              <w:rPr>
                <w:rFonts w:ascii="Arial" w:eastAsia="Arial" w:hAnsi="Arial" w:cs="Arial"/>
                <w:spacing w:val="1"/>
                <w:sz w:val="20"/>
                <w:szCs w:val="18"/>
              </w:rPr>
              <w:t>u</w:t>
            </w:r>
            <w:r w:rsidRPr="00F94EBD">
              <w:rPr>
                <w:rFonts w:ascii="Arial" w:eastAsia="Arial" w:hAnsi="Arial" w:cs="Arial"/>
                <w:sz w:val="20"/>
                <w:szCs w:val="18"/>
              </w:rPr>
              <w:t>bl</w:t>
            </w:r>
            <w:r w:rsidRPr="00F94EBD">
              <w:rPr>
                <w:rFonts w:ascii="Arial" w:eastAsia="Arial" w:hAnsi="Arial" w:cs="Arial"/>
                <w:spacing w:val="1"/>
                <w:sz w:val="20"/>
                <w:szCs w:val="18"/>
              </w:rPr>
              <w:t>i</w:t>
            </w:r>
            <w:r w:rsidRPr="00F94EBD">
              <w:rPr>
                <w:rFonts w:ascii="Arial" w:eastAsia="Arial" w:hAnsi="Arial" w:cs="Arial"/>
                <w:sz w:val="20"/>
                <w:szCs w:val="18"/>
              </w:rPr>
              <w:t>c</w:t>
            </w:r>
            <w:r w:rsidRPr="00F94EBD">
              <w:rPr>
                <w:rFonts w:ascii="Arial" w:eastAsia="Arial" w:hAnsi="Arial" w:cs="Arial"/>
                <w:spacing w:val="10"/>
                <w:sz w:val="20"/>
                <w:szCs w:val="18"/>
              </w:rPr>
              <w:t xml:space="preserve"> </w:t>
            </w:r>
            <w:r w:rsidRPr="00F94EBD">
              <w:rPr>
                <w:rFonts w:ascii="Arial" w:eastAsia="Arial" w:hAnsi="Arial" w:cs="Arial"/>
                <w:sz w:val="20"/>
                <w:szCs w:val="18"/>
              </w:rPr>
              <w:t>Adm</w:t>
            </w:r>
            <w:r w:rsidRPr="00F94EBD">
              <w:rPr>
                <w:rFonts w:ascii="Arial" w:eastAsia="Arial" w:hAnsi="Arial" w:cs="Arial"/>
                <w:spacing w:val="1"/>
                <w:sz w:val="20"/>
                <w:szCs w:val="18"/>
              </w:rPr>
              <w:t>ini</w:t>
            </w:r>
            <w:r w:rsidRPr="00F94EBD">
              <w:rPr>
                <w:rFonts w:ascii="Arial" w:eastAsia="Arial" w:hAnsi="Arial" w:cs="Arial"/>
                <w:spacing w:val="2"/>
                <w:sz w:val="20"/>
                <w:szCs w:val="18"/>
              </w:rPr>
              <w:t>s</w:t>
            </w:r>
            <w:r w:rsidRPr="00F94EBD">
              <w:rPr>
                <w:rFonts w:ascii="Arial" w:eastAsia="Arial" w:hAnsi="Arial" w:cs="Arial"/>
                <w:sz w:val="20"/>
                <w:szCs w:val="18"/>
              </w:rPr>
              <w:t>t</w:t>
            </w:r>
            <w:r w:rsidRPr="00F94EBD">
              <w:rPr>
                <w:rFonts w:ascii="Arial" w:eastAsia="Arial" w:hAnsi="Arial" w:cs="Arial"/>
                <w:spacing w:val="2"/>
                <w:sz w:val="20"/>
                <w:szCs w:val="18"/>
              </w:rPr>
              <w:t>r</w:t>
            </w:r>
            <w:r w:rsidRPr="00F94EBD">
              <w:rPr>
                <w:rFonts w:ascii="Arial" w:eastAsia="Arial" w:hAnsi="Arial" w:cs="Arial"/>
                <w:spacing w:val="1"/>
                <w:sz w:val="20"/>
                <w:szCs w:val="18"/>
              </w:rPr>
              <w:t>a</w:t>
            </w:r>
            <w:r w:rsidRPr="00F94EBD">
              <w:rPr>
                <w:rFonts w:ascii="Arial" w:eastAsia="Arial" w:hAnsi="Arial" w:cs="Arial"/>
                <w:sz w:val="20"/>
                <w:szCs w:val="18"/>
              </w:rPr>
              <w:t>t</w:t>
            </w:r>
            <w:r w:rsidRPr="00F94EBD">
              <w:rPr>
                <w:rFonts w:ascii="Arial" w:eastAsia="Arial" w:hAnsi="Arial" w:cs="Arial"/>
                <w:spacing w:val="1"/>
                <w:sz w:val="20"/>
                <w:szCs w:val="18"/>
              </w:rPr>
              <w:t>i</w:t>
            </w:r>
            <w:r w:rsidRPr="00F94EBD">
              <w:rPr>
                <w:rFonts w:ascii="Arial" w:eastAsia="Arial" w:hAnsi="Arial" w:cs="Arial"/>
                <w:sz w:val="20"/>
                <w:szCs w:val="18"/>
              </w:rPr>
              <w:t>on</w:t>
            </w:r>
            <w:r w:rsidRPr="00F94EBD">
              <w:rPr>
                <w:rFonts w:ascii="Arial" w:eastAsia="Arial" w:hAnsi="Arial" w:cs="Arial"/>
                <w:spacing w:val="11"/>
                <w:sz w:val="20"/>
                <w:szCs w:val="18"/>
              </w:rPr>
              <w:t xml:space="preserve"> </w:t>
            </w:r>
            <w:r w:rsidRPr="00F94EBD">
              <w:rPr>
                <w:rFonts w:ascii="Arial" w:eastAsia="Arial" w:hAnsi="Arial" w:cs="Arial"/>
                <w:spacing w:val="2"/>
                <w:sz w:val="20"/>
                <w:szCs w:val="18"/>
              </w:rPr>
              <w:t>a</w:t>
            </w:r>
            <w:r w:rsidRPr="00F94EBD">
              <w:rPr>
                <w:rFonts w:ascii="Arial" w:eastAsia="Arial" w:hAnsi="Arial" w:cs="Arial"/>
                <w:spacing w:val="1"/>
                <w:sz w:val="20"/>
                <w:szCs w:val="18"/>
              </w:rPr>
              <w:t>n</w:t>
            </w:r>
            <w:r w:rsidRPr="00F94EBD">
              <w:rPr>
                <w:rFonts w:ascii="Arial" w:eastAsia="Arial" w:hAnsi="Arial" w:cs="Arial"/>
                <w:sz w:val="20"/>
                <w:szCs w:val="18"/>
              </w:rPr>
              <w:t>d</w:t>
            </w:r>
            <w:r w:rsidRPr="00F94EBD">
              <w:rPr>
                <w:rFonts w:ascii="Arial" w:eastAsia="Arial" w:hAnsi="Arial" w:cs="Arial"/>
                <w:spacing w:val="10"/>
                <w:sz w:val="20"/>
                <w:szCs w:val="18"/>
              </w:rPr>
              <w:t xml:space="preserve"> </w:t>
            </w:r>
            <w:r w:rsidRPr="00F94EBD">
              <w:rPr>
                <w:rFonts w:ascii="Arial" w:eastAsia="Arial" w:hAnsi="Arial" w:cs="Arial"/>
                <w:spacing w:val="2"/>
                <w:sz w:val="20"/>
                <w:szCs w:val="18"/>
              </w:rPr>
              <w:t>S</w:t>
            </w:r>
            <w:r w:rsidRPr="00F94EBD">
              <w:rPr>
                <w:rFonts w:ascii="Arial" w:eastAsia="Arial" w:hAnsi="Arial" w:cs="Arial"/>
                <w:spacing w:val="1"/>
                <w:sz w:val="20"/>
                <w:szCs w:val="18"/>
              </w:rPr>
              <w:t>a</w:t>
            </w:r>
            <w:r w:rsidRPr="00F94EBD">
              <w:rPr>
                <w:rFonts w:ascii="Arial" w:eastAsia="Arial" w:hAnsi="Arial" w:cs="Arial"/>
                <w:sz w:val="20"/>
                <w:szCs w:val="18"/>
              </w:rPr>
              <w:t>f</w:t>
            </w:r>
            <w:r w:rsidRPr="00F94EBD">
              <w:rPr>
                <w:rFonts w:ascii="Arial" w:eastAsia="Arial" w:hAnsi="Arial" w:cs="Arial"/>
                <w:spacing w:val="1"/>
                <w:sz w:val="20"/>
                <w:szCs w:val="18"/>
              </w:rPr>
              <w:t>e</w:t>
            </w:r>
            <w:r w:rsidRPr="00F94EBD">
              <w:rPr>
                <w:rFonts w:ascii="Arial" w:eastAsia="Arial" w:hAnsi="Arial" w:cs="Arial"/>
                <w:spacing w:val="4"/>
                <w:sz w:val="20"/>
                <w:szCs w:val="18"/>
              </w:rPr>
              <w:t>t</w:t>
            </w:r>
            <w:r w:rsidRPr="00F94EBD">
              <w:rPr>
                <w:rFonts w:ascii="Arial" w:eastAsia="Arial" w:hAnsi="Arial" w:cs="Arial"/>
                <w:sz w:val="20"/>
                <w:szCs w:val="18"/>
              </w:rPr>
              <w:t>y</w:t>
            </w:r>
          </w:p>
        </w:tc>
        <w:tc>
          <w:tcPr>
            <w:tcW w:w="380"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jc w:val="center"/>
              <w:rPr>
                <w:rFonts w:ascii="Arial" w:eastAsia="Arial" w:hAnsi="Arial" w:cs="Arial"/>
                <w:sz w:val="20"/>
                <w:szCs w:val="18"/>
              </w:rPr>
            </w:pPr>
            <w:r w:rsidRPr="00F94EBD">
              <w:rPr>
                <w:rFonts w:ascii="Arial" w:eastAsia="Arial" w:hAnsi="Arial" w:cs="Arial"/>
                <w:sz w:val="20"/>
                <w:szCs w:val="18"/>
              </w:rPr>
              <w:t>5</w:t>
            </w:r>
          </w:p>
        </w:tc>
        <w:tc>
          <w:tcPr>
            <w:tcW w:w="358"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07"/>
              <w:jc w:val="center"/>
              <w:rPr>
                <w:rFonts w:ascii="Arial" w:eastAsia="Arial" w:hAnsi="Arial" w:cs="Arial"/>
                <w:sz w:val="20"/>
                <w:szCs w:val="18"/>
              </w:rPr>
            </w:pPr>
            <w:r w:rsidRPr="00F94EBD">
              <w:rPr>
                <w:rFonts w:ascii="Arial" w:eastAsia="Arial" w:hAnsi="Arial" w:cs="Arial"/>
                <w:spacing w:val="-7"/>
                <w:w w:val="105"/>
                <w:sz w:val="20"/>
                <w:szCs w:val="18"/>
              </w:rPr>
              <w:t>1%</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37" w:right="236"/>
              <w:jc w:val="center"/>
              <w:rPr>
                <w:rFonts w:ascii="Arial" w:eastAsia="Arial" w:hAnsi="Arial" w:cs="Arial"/>
                <w:sz w:val="20"/>
                <w:szCs w:val="18"/>
              </w:rPr>
            </w:pPr>
            <w:r w:rsidRPr="00F94EBD">
              <w:rPr>
                <w:rFonts w:ascii="Arial" w:eastAsia="Arial" w:hAnsi="Arial" w:cs="Arial"/>
                <w:sz w:val="20"/>
                <w:szCs w:val="18"/>
              </w:rPr>
              <w:t>2</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79"/>
              <w:jc w:val="center"/>
              <w:rPr>
                <w:rFonts w:ascii="Arial" w:eastAsia="Arial" w:hAnsi="Arial" w:cs="Arial"/>
                <w:sz w:val="20"/>
                <w:szCs w:val="18"/>
              </w:rPr>
            </w:pPr>
            <w:r w:rsidRPr="00F94EBD">
              <w:rPr>
                <w:rFonts w:ascii="Arial" w:eastAsia="Arial" w:hAnsi="Arial" w:cs="Arial"/>
                <w:spacing w:val="-7"/>
                <w:w w:val="105"/>
                <w:sz w:val="20"/>
                <w:szCs w:val="18"/>
              </w:rPr>
              <w:t>1%</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84" w:right="284"/>
              <w:jc w:val="center"/>
              <w:rPr>
                <w:rFonts w:ascii="Arial" w:eastAsia="Arial" w:hAnsi="Arial" w:cs="Arial"/>
                <w:sz w:val="20"/>
                <w:szCs w:val="18"/>
              </w:rPr>
            </w:pPr>
            <w:r w:rsidRPr="00F94EBD">
              <w:rPr>
                <w:rFonts w:ascii="Arial" w:eastAsia="Arial" w:hAnsi="Arial" w:cs="Arial"/>
                <w:sz w:val="20"/>
                <w:szCs w:val="18"/>
              </w:rPr>
              <w:t>4</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85"/>
              <w:jc w:val="center"/>
              <w:rPr>
                <w:rFonts w:ascii="Arial" w:eastAsia="Arial" w:hAnsi="Arial" w:cs="Arial"/>
                <w:sz w:val="20"/>
                <w:szCs w:val="18"/>
              </w:rPr>
            </w:pPr>
            <w:r w:rsidRPr="00F94EBD">
              <w:rPr>
                <w:rFonts w:ascii="Arial" w:eastAsia="Arial" w:hAnsi="Arial" w:cs="Arial"/>
                <w:w w:val="105"/>
                <w:sz w:val="20"/>
                <w:szCs w:val="18"/>
              </w:rPr>
              <w:t>2%</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65" w:right="265"/>
              <w:jc w:val="center"/>
              <w:rPr>
                <w:rFonts w:ascii="Arial" w:eastAsia="Arial" w:hAnsi="Arial" w:cs="Arial"/>
                <w:sz w:val="20"/>
                <w:szCs w:val="18"/>
              </w:rPr>
            </w:pPr>
            <w:r w:rsidRPr="00F94EBD">
              <w:rPr>
                <w:rFonts w:ascii="Arial" w:eastAsia="Arial" w:hAnsi="Arial" w:cs="Arial"/>
                <w:sz w:val="20"/>
                <w:szCs w:val="18"/>
              </w:rPr>
              <w:t>2</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94"/>
              <w:jc w:val="center"/>
              <w:rPr>
                <w:rFonts w:ascii="Arial" w:eastAsia="Arial" w:hAnsi="Arial" w:cs="Arial"/>
                <w:sz w:val="20"/>
                <w:szCs w:val="18"/>
              </w:rPr>
            </w:pPr>
            <w:r w:rsidRPr="00F94EBD">
              <w:rPr>
                <w:rFonts w:ascii="Arial" w:eastAsia="Arial" w:hAnsi="Arial" w:cs="Arial"/>
                <w:w w:val="105"/>
                <w:sz w:val="20"/>
                <w:szCs w:val="18"/>
              </w:rPr>
              <w:t>2%</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right="2"/>
              <w:jc w:val="center"/>
              <w:rPr>
                <w:rFonts w:ascii="Arial" w:eastAsia="Arial" w:hAnsi="Arial" w:cs="Arial"/>
                <w:sz w:val="20"/>
                <w:szCs w:val="18"/>
              </w:rPr>
            </w:pPr>
            <w:r w:rsidRPr="00F94EBD">
              <w:rPr>
                <w:rFonts w:ascii="Arial" w:eastAsia="Arial" w:hAnsi="Arial" w:cs="Arial"/>
                <w:sz w:val="20"/>
                <w:szCs w:val="18"/>
              </w:rPr>
              <w:t>2</w:t>
            </w:r>
            <w:r w:rsidRPr="00F94EBD">
              <w:rPr>
                <w:rFonts w:ascii="Arial" w:eastAsia="Arial" w:hAnsi="Arial" w:cs="Arial"/>
                <w:spacing w:val="-4"/>
                <w:sz w:val="20"/>
                <w:szCs w:val="18"/>
              </w:rPr>
              <w:t>27</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21"/>
              <w:jc w:val="center"/>
              <w:rPr>
                <w:rFonts w:ascii="Arial" w:eastAsia="Arial" w:hAnsi="Arial" w:cs="Arial"/>
                <w:sz w:val="20"/>
                <w:szCs w:val="18"/>
              </w:rPr>
            </w:pPr>
            <w:r w:rsidRPr="00F94EBD">
              <w:rPr>
                <w:rFonts w:ascii="Arial" w:eastAsia="Arial" w:hAnsi="Arial" w:cs="Arial"/>
                <w:spacing w:val="-8"/>
                <w:sz w:val="20"/>
                <w:szCs w:val="18"/>
              </w:rPr>
              <w:t>1</w:t>
            </w:r>
            <w:r w:rsidRPr="00F94EBD">
              <w:rPr>
                <w:rFonts w:ascii="Arial" w:eastAsia="Arial" w:hAnsi="Arial" w:cs="Arial"/>
                <w:spacing w:val="-4"/>
                <w:sz w:val="20"/>
                <w:szCs w:val="18"/>
              </w:rPr>
              <w:t>6</w:t>
            </w:r>
            <w:r w:rsidRPr="00F94EBD">
              <w:rPr>
                <w:rFonts w:ascii="Arial" w:eastAsia="Arial" w:hAnsi="Arial" w:cs="Arial"/>
                <w:sz w:val="20"/>
                <w:szCs w:val="18"/>
              </w:rPr>
              <w:t>1</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65"/>
              <w:jc w:val="center"/>
              <w:rPr>
                <w:rFonts w:ascii="Arial" w:eastAsia="Arial" w:hAnsi="Arial" w:cs="Arial"/>
                <w:sz w:val="20"/>
                <w:szCs w:val="18"/>
              </w:rPr>
            </w:pPr>
            <w:r w:rsidRPr="00F94EBD">
              <w:rPr>
                <w:rFonts w:ascii="Arial" w:eastAsia="Arial" w:hAnsi="Arial" w:cs="Arial"/>
                <w:spacing w:val="-1"/>
                <w:sz w:val="20"/>
                <w:szCs w:val="18"/>
              </w:rPr>
              <w:t>2</w:t>
            </w:r>
            <w:r w:rsidRPr="00F94EBD">
              <w:rPr>
                <w:rFonts w:ascii="Arial" w:eastAsia="Arial" w:hAnsi="Arial" w:cs="Arial"/>
                <w:spacing w:val="2"/>
                <w:sz w:val="20"/>
                <w:szCs w:val="18"/>
              </w:rPr>
              <w:t>3</w:t>
            </w:r>
            <w:r w:rsidRPr="00F94EBD">
              <w:rPr>
                <w:rFonts w:ascii="Arial" w:eastAsia="Arial" w:hAnsi="Arial" w:cs="Arial"/>
                <w:sz w:val="20"/>
                <w:szCs w:val="18"/>
              </w:rPr>
              <w:t>3</w:t>
            </w:r>
          </w:p>
        </w:tc>
        <w:tc>
          <w:tcPr>
            <w:tcW w:w="369" w:type="pct"/>
            <w:tcBorders>
              <w:top w:val="single" w:sz="4" w:space="0" w:color="797979"/>
              <w:left w:val="single" w:sz="4" w:space="0" w:color="797979"/>
              <w:bottom w:val="single" w:sz="4" w:space="0" w:color="797979"/>
              <w:right w:val="nil"/>
            </w:tcBorders>
            <w:vAlign w:val="center"/>
          </w:tcPr>
          <w:p w:rsidR="003C17D6" w:rsidRPr="00F94EBD" w:rsidRDefault="003C17D6" w:rsidP="00F94EBD">
            <w:pPr>
              <w:pStyle w:val="TableParagraph"/>
              <w:ind w:left="191"/>
              <w:jc w:val="center"/>
              <w:rPr>
                <w:rFonts w:ascii="Arial" w:eastAsia="Arial" w:hAnsi="Arial" w:cs="Arial"/>
                <w:sz w:val="20"/>
                <w:szCs w:val="18"/>
              </w:rPr>
            </w:pPr>
            <w:r w:rsidRPr="00F94EBD">
              <w:rPr>
                <w:rFonts w:ascii="Arial" w:eastAsia="Arial" w:hAnsi="Arial" w:cs="Arial"/>
                <w:spacing w:val="-9"/>
                <w:sz w:val="20"/>
                <w:szCs w:val="18"/>
              </w:rPr>
              <w:t>1</w:t>
            </w:r>
            <w:r w:rsidRPr="00F94EBD">
              <w:rPr>
                <w:rFonts w:ascii="Arial" w:eastAsia="Arial" w:hAnsi="Arial" w:cs="Arial"/>
                <w:spacing w:val="-4"/>
                <w:sz w:val="20"/>
                <w:szCs w:val="18"/>
              </w:rPr>
              <w:t>3</w:t>
            </w:r>
            <w:r w:rsidRPr="00F94EBD">
              <w:rPr>
                <w:rFonts w:ascii="Arial" w:eastAsia="Arial" w:hAnsi="Arial" w:cs="Arial"/>
                <w:sz w:val="20"/>
                <w:szCs w:val="18"/>
              </w:rPr>
              <w:t>7</w:t>
            </w:r>
          </w:p>
        </w:tc>
      </w:tr>
      <w:tr w:rsidR="00F94EBD" w:rsidTr="00F94EBD">
        <w:trPr>
          <w:trHeight w:hRule="exact" w:val="751"/>
        </w:trPr>
        <w:tc>
          <w:tcPr>
            <w:tcW w:w="591" w:type="pct"/>
            <w:tcBorders>
              <w:top w:val="single" w:sz="4" w:space="0" w:color="797979"/>
              <w:left w:val="nil"/>
              <w:bottom w:val="single" w:sz="4" w:space="0" w:color="797979"/>
              <w:right w:val="single" w:sz="4" w:space="0" w:color="797979"/>
            </w:tcBorders>
            <w:vAlign w:val="center"/>
          </w:tcPr>
          <w:p w:rsidR="003C17D6" w:rsidRPr="00F94EBD" w:rsidRDefault="003C17D6" w:rsidP="00F94EBD">
            <w:pPr>
              <w:pStyle w:val="TableParagraph"/>
              <w:ind w:left="80"/>
              <w:rPr>
                <w:rFonts w:ascii="Arial" w:eastAsia="Arial" w:hAnsi="Arial" w:cs="Arial"/>
                <w:sz w:val="20"/>
                <w:szCs w:val="18"/>
              </w:rPr>
            </w:pPr>
            <w:r w:rsidRPr="00F94EBD">
              <w:rPr>
                <w:rFonts w:ascii="Arial" w:eastAsia="Arial" w:hAnsi="Arial" w:cs="Arial"/>
                <w:spacing w:val="1"/>
                <w:sz w:val="20"/>
                <w:szCs w:val="18"/>
              </w:rPr>
              <w:t>R</w:t>
            </w:r>
            <w:r w:rsidRPr="00F94EBD">
              <w:rPr>
                <w:rFonts w:ascii="Arial" w:eastAsia="Arial" w:hAnsi="Arial" w:cs="Arial"/>
                <w:spacing w:val="2"/>
                <w:sz w:val="20"/>
                <w:szCs w:val="18"/>
              </w:rPr>
              <w:t>e</w:t>
            </w:r>
            <w:r w:rsidRPr="00F94EBD">
              <w:rPr>
                <w:rFonts w:ascii="Arial" w:eastAsia="Arial" w:hAnsi="Arial" w:cs="Arial"/>
                <w:spacing w:val="1"/>
                <w:sz w:val="20"/>
                <w:szCs w:val="18"/>
              </w:rPr>
              <w:t>nt</w:t>
            </w:r>
            <w:r w:rsidRPr="00F94EBD">
              <w:rPr>
                <w:rFonts w:ascii="Arial" w:eastAsia="Arial" w:hAnsi="Arial" w:cs="Arial"/>
                <w:spacing w:val="2"/>
                <w:sz w:val="20"/>
                <w:szCs w:val="18"/>
              </w:rPr>
              <w:t>a</w:t>
            </w:r>
            <w:r w:rsidRPr="00F94EBD">
              <w:rPr>
                <w:rFonts w:ascii="Arial" w:eastAsia="Arial" w:hAnsi="Arial" w:cs="Arial"/>
                <w:spacing w:val="-1"/>
                <w:sz w:val="20"/>
                <w:szCs w:val="18"/>
              </w:rPr>
              <w:t>l</w:t>
            </w:r>
            <w:r w:rsidRPr="00F94EBD">
              <w:rPr>
                <w:rFonts w:ascii="Arial" w:eastAsia="Arial" w:hAnsi="Arial" w:cs="Arial"/>
                <w:sz w:val="20"/>
                <w:szCs w:val="18"/>
              </w:rPr>
              <w:t>,</w:t>
            </w:r>
            <w:r w:rsidRPr="00F94EBD">
              <w:rPr>
                <w:rFonts w:ascii="Arial" w:eastAsia="Arial" w:hAnsi="Arial" w:cs="Arial"/>
                <w:spacing w:val="-6"/>
                <w:sz w:val="20"/>
                <w:szCs w:val="18"/>
              </w:rPr>
              <w:t xml:space="preserve"> </w:t>
            </w:r>
            <w:r w:rsidRPr="00F94EBD">
              <w:rPr>
                <w:rFonts w:ascii="Arial" w:eastAsia="Arial" w:hAnsi="Arial" w:cs="Arial"/>
                <w:spacing w:val="1"/>
                <w:sz w:val="20"/>
                <w:szCs w:val="18"/>
              </w:rPr>
              <w:t>Hi</w:t>
            </w:r>
            <w:r w:rsidRPr="00F94EBD">
              <w:rPr>
                <w:rFonts w:ascii="Arial" w:eastAsia="Arial" w:hAnsi="Arial" w:cs="Arial"/>
                <w:spacing w:val="2"/>
                <w:sz w:val="20"/>
                <w:szCs w:val="18"/>
              </w:rPr>
              <w:t>r</w:t>
            </w:r>
            <w:r w:rsidRPr="00F94EBD">
              <w:rPr>
                <w:rFonts w:ascii="Arial" w:eastAsia="Arial" w:hAnsi="Arial" w:cs="Arial"/>
                <w:spacing w:val="1"/>
                <w:sz w:val="20"/>
                <w:szCs w:val="18"/>
              </w:rPr>
              <w:t>in</w:t>
            </w:r>
            <w:r w:rsidRPr="00F94EBD">
              <w:rPr>
                <w:rFonts w:ascii="Arial" w:eastAsia="Arial" w:hAnsi="Arial" w:cs="Arial"/>
                <w:sz w:val="20"/>
                <w:szCs w:val="18"/>
              </w:rPr>
              <w:t>g</w:t>
            </w:r>
            <w:r w:rsidRPr="00F94EBD">
              <w:rPr>
                <w:rFonts w:ascii="Arial" w:eastAsia="Arial" w:hAnsi="Arial" w:cs="Arial"/>
                <w:spacing w:val="-6"/>
                <w:sz w:val="20"/>
                <w:szCs w:val="18"/>
              </w:rPr>
              <w:t xml:space="preserve"> </w:t>
            </w:r>
            <w:r w:rsidRPr="00F94EBD">
              <w:rPr>
                <w:rFonts w:ascii="Arial" w:eastAsia="Arial" w:hAnsi="Arial" w:cs="Arial"/>
                <w:spacing w:val="2"/>
                <w:sz w:val="20"/>
                <w:szCs w:val="18"/>
              </w:rPr>
              <w:t>a</w:t>
            </w:r>
            <w:r w:rsidRPr="00F94EBD">
              <w:rPr>
                <w:rFonts w:ascii="Arial" w:eastAsia="Arial" w:hAnsi="Arial" w:cs="Arial"/>
                <w:spacing w:val="1"/>
                <w:sz w:val="20"/>
                <w:szCs w:val="18"/>
              </w:rPr>
              <w:t>n</w:t>
            </w:r>
            <w:r w:rsidRPr="00F94EBD">
              <w:rPr>
                <w:rFonts w:ascii="Arial" w:eastAsia="Arial" w:hAnsi="Arial" w:cs="Arial"/>
                <w:sz w:val="20"/>
                <w:szCs w:val="18"/>
              </w:rPr>
              <w:t>d</w:t>
            </w:r>
            <w:r w:rsidRPr="00F94EBD">
              <w:rPr>
                <w:rFonts w:ascii="Arial" w:eastAsia="Arial" w:hAnsi="Arial" w:cs="Arial"/>
                <w:spacing w:val="-5"/>
                <w:sz w:val="20"/>
                <w:szCs w:val="18"/>
              </w:rPr>
              <w:t xml:space="preserve"> </w:t>
            </w:r>
            <w:r w:rsidRPr="00F94EBD">
              <w:rPr>
                <w:rFonts w:ascii="Arial" w:eastAsia="Arial" w:hAnsi="Arial" w:cs="Arial"/>
                <w:spacing w:val="1"/>
                <w:sz w:val="20"/>
                <w:szCs w:val="18"/>
              </w:rPr>
              <w:t>R</w:t>
            </w:r>
            <w:r w:rsidRPr="00F94EBD">
              <w:rPr>
                <w:rFonts w:ascii="Arial" w:eastAsia="Arial" w:hAnsi="Arial" w:cs="Arial"/>
                <w:spacing w:val="2"/>
                <w:sz w:val="20"/>
                <w:szCs w:val="18"/>
              </w:rPr>
              <w:t>ea</w:t>
            </w:r>
            <w:r w:rsidRPr="00F94EBD">
              <w:rPr>
                <w:rFonts w:ascii="Arial" w:eastAsia="Arial" w:hAnsi="Arial" w:cs="Arial"/>
                <w:sz w:val="20"/>
                <w:szCs w:val="18"/>
              </w:rPr>
              <w:t>l</w:t>
            </w:r>
            <w:r w:rsidRPr="00F94EBD">
              <w:rPr>
                <w:rFonts w:ascii="Arial" w:eastAsia="Arial" w:hAnsi="Arial" w:cs="Arial"/>
                <w:spacing w:val="-6"/>
                <w:sz w:val="20"/>
                <w:szCs w:val="18"/>
              </w:rPr>
              <w:t xml:space="preserve"> </w:t>
            </w:r>
            <w:r w:rsidRPr="00F94EBD">
              <w:rPr>
                <w:rFonts w:ascii="Arial" w:eastAsia="Arial" w:hAnsi="Arial" w:cs="Arial"/>
                <w:spacing w:val="1"/>
                <w:sz w:val="20"/>
                <w:szCs w:val="18"/>
              </w:rPr>
              <w:t>E</w:t>
            </w:r>
            <w:r w:rsidRPr="00F94EBD">
              <w:rPr>
                <w:rFonts w:ascii="Arial" w:eastAsia="Arial" w:hAnsi="Arial" w:cs="Arial"/>
                <w:spacing w:val="2"/>
                <w:sz w:val="20"/>
                <w:szCs w:val="18"/>
              </w:rPr>
              <w:t>s</w:t>
            </w:r>
            <w:r w:rsidRPr="00F94EBD">
              <w:rPr>
                <w:rFonts w:ascii="Arial" w:eastAsia="Arial" w:hAnsi="Arial" w:cs="Arial"/>
                <w:spacing w:val="1"/>
                <w:sz w:val="20"/>
                <w:szCs w:val="18"/>
              </w:rPr>
              <w:t>ta</w:t>
            </w:r>
            <w:r w:rsidRPr="00F94EBD">
              <w:rPr>
                <w:rFonts w:ascii="Arial" w:eastAsia="Arial" w:hAnsi="Arial" w:cs="Arial"/>
                <w:spacing w:val="-2"/>
                <w:sz w:val="20"/>
                <w:szCs w:val="18"/>
              </w:rPr>
              <w:t>t</w:t>
            </w:r>
            <w:r w:rsidRPr="00F94EBD">
              <w:rPr>
                <w:rFonts w:ascii="Arial" w:eastAsia="Arial" w:hAnsi="Arial" w:cs="Arial"/>
                <w:sz w:val="20"/>
                <w:szCs w:val="18"/>
              </w:rPr>
              <w:t>e</w:t>
            </w:r>
            <w:r w:rsidRPr="00F94EBD">
              <w:rPr>
                <w:rFonts w:ascii="Arial" w:eastAsia="Arial" w:hAnsi="Arial" w:cs="Arial"/>
                <w:spacing w:val="-6"/>
                <w:sz w:val="20"/>
                <w:szCs w:val="18"/>
              </w:rPr>
              <w:t xml:space="preserve"> </w:t>
            </w:r>
            <w:r w:rsidRPr="00F94EBD">
              <w:rPr>
                <w:rFonts w:ascii="Arial" w:eastAsia="Arial" w:hAnsi="Arial" w:cs="Arial"/>
                <w:spacing w:val="2"/>
                <w:sz w:val="20"/>
                <w:szCs w:val="18"/>
              </w:rPr>
              <w:t>Se</w:t>
            </w:r>
            <w:r w:rsidRPr="00F94EBD">
              <w:rPr>
                <w:rFonts w:ascii="Arial" w:eastAsia="Arial" w:hAnsi="Arial" w:cs="Arial"/>
                <w:spacing w:val="7"/>
                <w:sz w:val="20"/>
                <w:szCs w:val="18"/>
              </w:rPr>
              <w:t>r</w:t>
            </w:r>
            <w:r w:rsidRPr="00F94EBD">
              <w:rPr>
                <w:rFonts w:ascii="Arial" w:eastAsia="Arial" w:hAnsi="Arial" w:cs="Arial"/>
                <w:spacing w:val="1"/>
                <w:sz w:val="20"/>
                <w:szCs w:val="18"/>
              </w:rPr>
              <w:t>vic</w:t>
            </w:r>
            <w:r w:rsidRPr="00F94EBD">
              <w:rPr>
                <w:rFonts w:ascii="Arial" w:eastAsia="Arial" w:hAnsi="Arial" w:cs="Arial"/>
                <w:spacing w:val="2"/>
                <w:sz w:val="20"/>
                <w:szCs w:val="18"/>
              </w:rPr>
              <w:t>e</w:t>
            </w:r>
            <w:r w:rsidRPr="00F94EBD">
              <w:rPr>
                <w:rFonts w:ascii="Arial" w:eastAsia="Arial" w:hAnsi="Arial" w:cs="Arial"/>
                <w:sz w:val="20"/>
                <w:szCs w:val="18"/>
              </w:rPr>
              <w:t>s</w:t>
            </w:r>
          </w:p>
        </w:tc>
        <w:tc>
          <w:tcPr>
            <w:tcW w:w="380"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right="12"/>
              <w:jc w:val="center"/>
              <w:rPr>
                <w:rFonts w:ascii="Arial" w:eastAsia="Arial" w:hAnsi="Arial" w:cs="Arial"/>
                <w:sz w:val="20"/>
                <w:szCs w:val="18"/>
              </w:rPr>
            </w:pPr>
            <w:r w:rsidRPr="00F94EBD">
              <w:rPr>
                <w:rFonts w:ascii="Arial" w:eastAsia="Arial" w:hAnsi="Arial" w:cs="Arial"/>
                <w:spacing w:val="-13"/>
                <w:sz w:val="20"/>
                <w:szCs w:val="18"/>
              </w:rPr>
              <w:t>17</w:t>
            </w:r>
          </w:p>
        </w:tc>
        <w:tc>
          <w:tcPr>
            <w:tcW w:w="358"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03"/>
              <w:jc w:val="center"/>
              <w:rPr>
                <w:rFonts w:ascii="Arial" w:eastAsia="Arial" w:hAnsi="Arial" w:cs="Arial"/>
                <w:sz w:val="20"/>
                <w:szCs w:val="18"/>
              </w:rPr>
            </w:pPr>
            <w:r w:rsidRPr="00F94EBD">
              <w:rPr>
                <w:rFonts w:ascii="Arial" w:eastAsia="Arial" w:hAnsi="Arial" w:cs="Arial"/>
                <w:spacing w:val="1"/>
                <w:w w:val="105"/>
                <w:sz w:val="20"/>
                <w:szCs w:val="18"/>
              </w:rPr>
              <w:t>3%</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37" w:right="236"/>
              <w:jc w:val="center"/>
              <w:rPr>
                <w:rFonts w:ascii="Arial" w:eastAsia="Arial" w:hAnsi="Arial" w:cs="Arial"/>
                <w:sz w:val="20"/>
                <w:szCs w:val="18"/>
              </w:rPr>
            </w:pPr>
            <w:r w:rsidRPr="00F94EBD">
              <w:rPr>
                <w:rFonts w:ascii="Arial" w:eastAsia="Arial" w:hAnsi="Arial" w:cs="Arial"/>
                <w:sz w:val="20"/>
                <w:szCs w:val="18"/>
              </w:rPr>
              <w:t>3</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79"/>
              <w:jc w:val="center"/>
              <w:rPr>
                <w:rFonts w:ascii="Arial" w:eastAsia="Arial" w:hAnsi="Arial" w:cs="Arial"/>
                <w:sz w:val="20"/>
                <w:szCs w:val="18"/>
              </w:rPr>
            </w:pPr>
            <w:r w:rsidRPr="00F94EBD">
              <w:rPr>
                <w:rFonts w:ascii="Arial" w:eastAsia="Arial" w:hAnsi="Arial" w:cs="Arial"/>
                <w:spacing w:val="-7"/>
                <w:w w:val="105"/>
                <w:sz w:val="20"/>
                <w:szCs w:val="18"/>
              </w:rPr>
              <w:t>1%</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84" w:right="284"/>
              <w:jc w:val="center"/>
              <w:rPr>
                <w:rFonts w:ascii="Arial" w:eastAsia="Arial" w:hAnsi="Arial" w:cs="Arial"/>
                <w:sz w:val="20"/>
                <w:szCs w:val="18"/>
              </w:rPr>
            </w:pPr>
            <w:r w:rsidRPr="00F94EBD">
              <w:rPr>
                <w:rFonts w:ascii="Arial" w:eastAsia="Arial" w:hAnsi="Arial" w:cs="Arial"/>
                <w:sz w:val="20"/>
                <w:szCs w:val="18"/>
              </w:rPr>
              <w:t>1</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83"/>
              <w:jc w:val="center"/>
              <w:rPr>
                <w:rFonts w:ascii="Arial" w:eastAsia="Arial" w:hAnsi="Arial" w:cs="Arial"/>
                <w:sz w:val="20"/>
                <w:szCs w:val="18"/>
              </w:rPr>
            </w:pPr>
            <w:r w:rsidRPr="00F94EBD">
              <w:rPr>
                <w:rFonts w:ascii="Arial" w:eastAsia="Arial" w:hAnsi="Arial" w:cs="Arial"/>
                <w:spacing w:val="3"/>
                <w:w w:val="105"/>
                <w:sz w:val="20"/>
                <w:szCs w:val="18"/>
              </w:rPr>
              <w:t>0%</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65" w:right="265"/>
              <w:jc w:val="center"/>
              <w:rPr>
                <w:rFonts w:ascii="Arial" w:eastAsia="Arial" w:hAnsi="Arial" w:cs="Arial"/>
                <w:sz w:val="20"/>
                <w:szCs w:val="18"/>
              </w:rPr>
            </w:pPr>
            <w:r w:rsidRPr="00F94EBD">
              <w:rPr>
                <w:rFonts w:ascii="Arial" w:eastAsia="Arial" w:hAnsi="Arial" w:cs="Arial"/>
                <w:sz w:val="20"/>
                <w:szCs w:val="18"/>
              </w:rPr>
              <w:t>1</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98"/>
              <w:jc w:val="center"/>
              <w:rPr>
                <w:rFonts w:ascii="Arial" w:eastAsia="Arial" w:hAnsi="Arial" w:cs="Arial"/>
                <w:sz w:val="20"/>
                <w:szCs w:val="18"/>
              </w:rPr>
            </w:pPr>
            <w:r w:rsidRPr="00F94EBD">
              <w:rPr>
                <w:rFonts w:ascii="Arial" w:eastAsia="Arial" w:hAnsi="Arial" w:cs="Arial"/>
                <w:spacing w:val="-7"/>
                <w:w w:val="105"/>
                <w:sz w:val="20"/>
                <w:szCs w:val="18"/>
              </w:rPr>
              <w:t>1%</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jc w:val="center"/>
              <w:rPr>
                <w:rFonts w:ascii="Arial" w:eastAsia="Arial" w:hAnsi="Arial" w:cs="Arial"/>
                <w:sz w:val="20"/>
                <w:szCs w:val="18"/>
              </w:rPr>
            </w:pPr>
            <w:r w:rsidRPr="00F94EBD">
              <w:rPr>
                <w:rFonts w:ascii="Arial" w:eastAsia="Arial" w:hAnsi="Arial" w:cs="Arial"/>
                <w:spacing w:val="-16"/>
                <w:sz w:val="20"/>
                <w:szCs w:val="18"/>
              </w:rPr>
              <w:t>1</w:t>
            </w:r>
            <w:r w:rsidRPr="00F94EBD">
              <w:rPr>
                <w:rFonts w:ascii="Arial" w:eastAsia="Arial" w:hAnsi="Arial" w:cs="Arial"/>
                <w:spacing w:val="-8"/>
                <w:sz w:val="20"/>
                <w:szCs w:val="18"/>
              </w:rPr>
              <w:t>1</w:t>
            </w:r>
            <w:r w:rsidRPr="00F94EBD">
              <w:rPr>
                <w:rFonts w:ascii="Arial" w:eastAsia="Arial" w:hAnsi="Arial" w:cs="Arial"/>
                <w:sz w:val="20"/>
                <w:szCs w:val="18"/>
              </w:rPr>
              <w:t>9</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46" w:right="243"/>
              <w:jc w:val="center"/>
              <w:rPr>
                <w:rFonts w:ascii="Arial" w:eastAsia="Arial" w:hAnsi="Arial" w:cs="Arial"/>
                <w:sz w:val="20"/>
                <w:szCs w:val="18"/>
              </w:rPr>
            </w:pPr>
            <w:r w:rsidRPr="00F94EBD">
              <w:rPr>
                <w:rFonts w:ascii="Arial" w:eastAsia="Arial" w:hAnsi="Arial" w:cs="Arial"/>
                <w:spacing w:val="1"/>
                <w:sz w:val="20"/>
                <w:szCs w:val="18"/>
              </w:rPr>
              <w:t>82</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95" w:right="192"/>
              <w:jc w:val="center"/>
              <w:rPr>
                <w:rFonts w:ascii="Arial" w:eastAsia="Arial" w:hAnsi="Arial" w:cs="Arial"/>
                <w:sz w:val="20"/>
                <w:szCs w:val="18"/>
              </w:rPr>
            </w:pPr>
            <w:r w:rsidRPr="00F94EBD">
              <w:rPr>
                <w:rFonts w:ascii="Arial" w:eastAsia="Arial" w:hAnsi="Arial" w:cs="Arial"/>
                <w:spacing w:val="2"/>
                <w:sz w:val="20"/>
                <w:szCs w:val="18"/>
              </w:rPr>
              <w:t>88</w:t>
            </w:r>
          </w:p>
        </w:tc>
        <w:tc>
          <w:tcPr>
            <w:tcW w:w="369" w:type="pct"/>
            <w:tcBorders>
              <w:top w:val="single" w:sz="4" w:space="0" w:color="797979"/>
              <w:left w:val="single" w:sz="4" w:space="0" w:color="797979"/>
              <w:bottom w:val="single" w:sz="4" w:space="0" w:color="797979"/>
              <w:right w:val="nil"/>
            </w:tcBorders>
            <w:vAlign w:val="center"/>
          </w:tcPr>
          <w:p w:rsidR="003C17D6" w:rsidRPr="00F94EBD" w:rsidRDefault="003C17D6" w:rsidP="00F94EBD">
            <w:pPr>
              <w:pStyle w:val="TableParagraph"/>
              <w:ind w:right="2"/>
              <w:jc w:val="center"/>
              <w:rPr>
                <w:rFonts w:ascii="Arial" w:eastAsia="Arial" w:hAnsi="Arial" w:cs="Arial"/>
                <w:sz w:val="20"/>
                <w:szCs w:val="18"/>
              </w:rPr>
            </w:pPr>
            <w:r w:rsidRPr="00F94EBD">
              <w:rPr>
                <w:rFonts w:ascii="Arial" w:eastAsia="Arial" w:hAnsi="Arial" w:cs="Arial"/>
                <w:spacing w:val="2"/>
                <w:sz w:val="20"/>
                <w:szCs w:val="18"/>
              </w:rPr>
              <w:t>43</w:t>
            </w:r>
          </w:p>
        </w:tc>
      </w:tr>
      <w:tr w:rsidR="00F94EBD" w:rsidTr="00F94EBD">
        <w:trPr>
          <w:trHeight w:hRule="exact" w:val="390"/>
        </w:trPr>
        <w:tc>
          <w:tcPr>
            <w:tcW w:w="591" w:type="pct"/>
            <w:tcBorders>
              <w:top w:val="single" w:sz="4" w:space="0" w:color="797979"/>
              <w:left w:val="nil"/>
              <w:bottom w:val="single" w:sz="4" w:space="0" w:color="797979"/>
              <w:right w:val="single" w:sz="4" w:space="0" w:color="797979"/>
            </w:tcBorders>
            <w:vAlign w:val="center"/>
          </w:tcPr>
          <w:p w:rsidR="003C17D6" w:rsidRPr="00F94EBD" w:rsidRDefault="003C17D6" w:rsidP="00F94EBD">
            <w:pPr>
              <w:pStyle w:val="TableParagraph"/>
              <w:ind w:left="80"/>
              <w:rPr>
                <w:rFonts w:ascii="Arial" w:eastAsia="Arial" w:hAnsi="Arial" w:cs="Arial"/>
                <w:sz w:val="20"/>
                <w:szCs w:val="18"/>
              </w:rPr>
            </w:pPr>
            <w:r w:rsidRPr="00F94EBD">
              <w:rPr>
                <w:rFonts w:ascii="Arial" w:eastAsia="Arial" w:hAnsi="Arial" w:cs="Arial"/>
                <w:spacing w:val="1"/>
                <w:sz w:val="20"/>
                <w:szCs w:val="18"/>
              </w:rPr>
              <w:t>Ret</w:t>
            </w:r>
            <w:r w:rsidRPr="00F94EBD">
              <w:rPr>
                <w:rFonts w:ascii="Arial" w:eastAsia="Arial" w:hAnsi="Arial" w:cs="Arial"/>
                <w:spacing w:val="2"/>
                <w:sz w:val="20"/>
                <w:szCs w:val="18"/>
              </w:rPr>
              <w:t>a</w:t>
            </w:r>
            <w:r w:rsidRPr="00F94EBD">
              <w:rPr>
                <w:rFonts w:ascii="Arial" w:eastAsia="Arial" w:hAnsi="Arial" w:cs="Arial"/>
                <w:sz w:val="20"/>
                <w:szCs w:val="18"/>
              </w:rPr>
              <w:t>il</w:t>
            </w:r>
            <w:r w:rsidRPr="00F94EBD">
              <w:rPr>
                <w:rFonts w:ascii="Arial" w:eastAsia="Arial" w:hAnsi="Arial" w:cs="Arial"/>
                <w:spacing w:val="-18"/>
                <w:sz w:val="20"/>
                <w:szCs w:val="18"/>
              </w:rPr>
              <w:t xml:space="preserve"> </w:t>
            </w:r>
            <w:r w:rsidRPr="00F94EBD">
              <w:rPr>
                <w:rFonts w:ascii="Arial" w:eastAsia="Arial" w:hAnsi="Arial" w:cs="Arial"/>
                <w:spacing w:val="-13"/>
                <w:sz w:val="20"/>
                <w:szCs w:val="18"/>
              </w:rPr>
              <w:t>T</w:t>
            </w:r>
            <w:r w:rsidRPr="00F94EBD">
              <w:rPr>
                <w:rFonts w:ascii="Arial" w:eastAsia="Arial" w:hAnsi="Arial" w:cs="Arial"/>
                <w:spacing w:val="2"/>
                <w:sz w:val="20"/>
                <w:szCs w:val="18"/>
              </w:rPr>
              <w:t>r</w:t>
            </w:r>
            <w:r w:rsidRPr="00F94EBD">
              <w:rPr>
                <w:rFonts w:ascii="Arial" w:eastAsia="Arial" w:hAnsi="Arial" w:cs="Arial"/>
                <w:spacing w:val="1"/>
                <w:sz w:val="20"/>
                <w:szCs w:val="18"/>
              </w:rPr>
              <w:t>ade</w:t>
            </w:r>
          </w:p>
        </w:tc>
        <w:tc>
          <w:tcPr>
            <w:tcW w:w="380"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jc w:val="center"/>
              <w:rPr>
                <w:rFonts w:ascii="Arial" w:eastAsia="Arial" w:hAnsi="Arial" w:cs="Arial"/>
                <w:sz w:val="20"/>
                <w:szCs w:val="18"/>
              </w:rPr>
            </w:pPr>
            <w:r w:rsidRPr="00F94EBD">
              <w:rPr>
                <w:rFonts w:ascii="Arial" w:eastAsia="Arial" w:hAnsi="Arial" w:cs="Arial"/>
                <w:sz w:val="20"/>
                <w:szCs w:val="18"/>
              </w:rPr>
              <w:t>2</w:t>
            </w:r>
          </w:p>
        </w:tc>
        <w:tc>
          <w:tcPr>
            <w:tcW w:w="358"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02"/>
              <w:jc w:val="center"/>
              <w:rPr>
                <w:rFonts w:ascii="Arial" w:eastAsia="Arial" w:hAnsi="Arial" w:cs="Arial"/>
                <w:sz w:val="20"/>
                <w:szCs w:val="18"/>
              </w:rPr>
            </w:pPr>
            <w:r w:rsidRPr="00F94EBD">
              <w:rPr>
                <w:rFonts w:ascii="Arial" w:eastAsia="Arial" w:hAnsi="Arial" w:cs="Arial"/>
                <w:spacing w:val="3"/>
                <w:w w:val="105"/>
                <w:sz w:val="20"/>
                <w:szCs w:val="18"/>
              </w:rPr>
              <w:t>0%</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92" w:right="192"/>
              <w:jc w:val="center"/>
              <w:rPr>
                <w:rFonts w:ascii="Arial" w:eastAsia="Arial" w:hAnsi="Arial" w:cs="Arial"/>
                <w:sz w:val="20"/>
                <w:szCs w:val="18"/>
              </w:rPr>
            </w:pPr>
            <w:r w:rsidRPr="00F94EBD">
              <w:rPr>
                <w:rFonts w:ascii="Arial" w:eastAsia="Arial" w:hAnsi="Arial" w:cs="Arial"/>
                <w:sz w:val="20"/>
                <w:szCs w:val="18"/>
              </w:rPr>
              <w:t>1</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74"/>
              <w:jc w:val="center"/>
              <w:rPr>
                <w:rFonts w:ascii="Arial" w:eastAsia="Arial" w:hAnsi="Arial" w:cs="Arial"/>
                <w:sz w:val="20"/>
                <w:szCs w:val="18"/>
              </w:rPr>
            </w:pPr>
            <w:r w:rsidRPr="00F94EBD">
              <w:rPr>
                <w:rFonts w:ascii="Arial" w:eastAsia="Arial" w:hAnsi="Arial" w:cs="Arial"/>
                <w:spacing w:val="3"/>
                <w:w w:val="105"/>
                <w:sz w:val="20"/>
                <w:szCs w:val="18"/>
              </w:rPr>
              <w:t>0%</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84" w:right="284"/>
              <w:jc w:val="center"/>
              <w:rPr>
                <w:rFonts w:ascii="Arial" w:eastAsia="Arial" w:hAnsi="Arial" w:cs="Arial"/>
                <w:sz w:val="20"/>
                <w:szCs w:val="18"/>
              </w:rPr>
            </w:pPr>
            <w:r w:rsidRPr="00F94EBD">
              <w:rPr>
                <w:rFonts w:ascii="Arial" w:eastAsia="Arial" w:hAnsi="Arial" w:cs="Arial"/>
                <w:sz w:val="20"/>
                <w:szCs w:val="18"/>
              </w:rPr>
              <w:t>1</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83"/>
              <w:jc w:val="center"/>
              <w:rPr>
                <w:rFonts w:ascii="Arial" w:eastAsia="Arial" w:hAnsi="Arial" w:cs="Arial"/>
                <w:sz w:val="20"/>
                <w:szCs w:val="18"/>
              </w:rPr>
            </w:pPr>
            <w:r w:rsidRPr="00F94EBD">
              <w:rPr>
                <w:rFonts w:ascii="Arial" w:eastAsia="Arial" w:hAnsi="Arial" w:cs="Arial"/>
                <w:spacing w:val="3"/>
                <w:w w:val="105"/>
                <w:sz w:val="20"/>
                <w:szCs w:val="18"/>
              </w:rPr>
              <w:t>0%</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65" w:right="265"/>
              <w:jc w:val="center"/>
              <w:rPr>
                <w:rFonts w:ascii="Arial" w:eastAsia="Arial" w:hAnsi="Arial" w:cs="Arial"/>
                <w:sz w:val="20"/>
                <w:szCs w:val="18"/>
              </w:rPr>
            </w:pPr>
            <w:r w:rsidRPr="00F94EBD">
              <w:rPr>
                <w:rFonts w:ascii="Arial" w:eastAsia="Arial" w:hAnsi="Arial" w:cs="Arial"/>
                <w:sz w:val="20"/>
                <w:szCs w:val="18"/>
              </w:rPr>
              <w:t>2</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94"/>
              <w:jc w:val="center"/>
              <w:rPr>
                <w:rFonts w:ascii="Arial" w:eastAsia="Arial" w:hAnsi="Arial" w:cs="Arial"/>
                <w:sz w:val="20"/>
                <w:szCs w:val="18"/>
              </w:rPr>
            </w:pPr>
            <w:r w:rsidRPr="00F94EBD">
              <w:rPr>
                <w:rFonts w:ascii="Arial" w:eastAsia="Arial" w:hAnsi="Arial" w:cs="Arial"/>
                <w:w w:val="105"/>
                <w:sz w:val="20"/>
                <w:szCs w:val="18"/>
              </w:rPr>
              <w:t>2%</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jc w:val="center"/>
              <w:rPr>
                <w:rFonts w:ascii="Arial" w:eastAsia="Arial" w:hAnsi="Arial" w:cs="Arial"/>
                <w:sz w:val="20"/>
                <w:szCs w:val="18"/>
              </w:rPr>
            </w:pPr>
            <w:r w:rsidRPr="00F94EBD">
              <w:rPr>
                <w:rFonts w:ascii="Arial" w:eastAsia="Arial" w:hAnsi="Arial" w:cs="Arial"/>
                <w:spacing w:val="-8"/>
                <w:sz w:val="20"/>
                <w:szCs w:val="18"/>
              </w:rPr>
              <w:t>1</w:t>
            </w:r>
            <w:r w:rsidRPr="00F94EBD">
              <w:rPr>
                <w:rFonts w:ascii="Arial" w:eastAsia="Arial" w:hAnsi="Arial" w:cs="Arial"/>
                <w:spacing w:val="4"/>
                <w:sz w:val="20"/>
                <w:szCs w:val="18"/>
              </w:rPr>
              <w:t>0</w:t>
            </w:r>
            <w:r w:rsidRPr="00F94EBD">
              <w:rPr>
                <w:rFonts w:ascii="Arial" w:eastAsia="Arial" w:hAnsi="Arial" w:cs="Arial"/>
                <w:sz w:val="20"/>
                <w:szCs w:val="18"/>
              </w:rPr>
              <w:t>6</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right="2"/>
              <w:jc w:val="center"/>
              <w:rPr>
                <w:rFonts w:ascii="Arial" w:eastAsia="Arial" w:hAnsi="Arial" w:cs="Arial"/>
                <w:sz w:val="20"/>
                <w:szCs w:val="18"/>
              </w:rPr>
            </w:pPr>
            <w:r w:rsidRPr="00F94EBD">
              <w:rPr>
                <w:rFonts w:ascii="Arial" w:eastAsia="Arial" w:hAnsi="Arial" w:cs="Arial"/>
                <w:spacing w:val="-4"/>
                <w:sz w:val="20"/>
                <w:szCs w:val="18"/>
              </w:rPr>
              <w:t>57</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95" w:right="192"/>
              <w:jc w:val="center"/>
              <w:rPr>
                <w:rFonts w:ascii="Arial" w:eastAsia="Arial" w:hAnsi="Arial" w:cs="Arial"/>
                <w:sz w:val="20"/>
                <w:szCs w:val="18"/>
              </w:rPr>
            </w:pPr>
            <w:r w:rsidRPr="00F94EBD">
              <w:rPr>
                <w:rFonts w:ascii="Arial" w:eastAsia="Arial" w:hAnsi="Arial" w:cs="Arial"/>
                <w:spacing w:val="2"/>
                <w:sz w:val="20"/>
                <w:szCs w:val="18"/>
              </w:rPr>
              <w:t>69</w:t>
            </w:r>
          </w:p>
        </w:tc>
        <w:tc>
          <w:tcPr>
            <w:tcW w:w="369" w:type="pct"/>
            <w:tcBorders>
              <w:top w:val="single" w:sz="4" w:space="0" w:color="797979"/>
              <w:left w:val="single" w:sz="4" w:space="0" w:color="797979"/>
              <w:bottom w:val="single" w:sz="4" w:space="0" w:color="797979"/>
              <w:right w:val="nil"/>
            </w:tcBorders>
            <w:vAlign w:val="center"/>
          </w:tcPr>
          <w:p w:rsidR="003C17D6" w:rsidRPr="00F94EBD" w:rsidRDefault="003C17D6" w:rsidP="00F94EBD">
            <w:pPr>
              <w:pStyle w:val="TableParagraph"/>
              <w:ind w:left="214" w:right="219"/>
              <w:jc w:val="center"/>
              <w:rPr>
                <w:rFonts w:ascii="Arial" w:eastAsia="Arial" w:hAnsi="Arial" w:cs="Arial"/>
                <w:sz w:val="20"/>
                <w:szCs w:val="18"/>
              </w:rPr>
            </w:pPr>
            <w:r w:rsidRPr="00F94EBD">
              <w:rPr>
                <w:rFonts w:ascii="Arial" w:eastAsia="Arial" w:hAnsi="Arial" w:cs="Arial"/>
                <w:spacing w:val="2"/>
                <w:sz w:val="20"/>
                <w:szCs w:val="18"/>
              </w:rPr>
              <w:t>3</w:t>
            </w:r>
            <w:r w:rsidRPr="00F94EBD">
              <w:rPr>
                <w:rFonts w:ascii="Arial" w:eastAsia="Arial" w:hAnsi="Arial" w:cs="Arial"/>
                <w:sz w:val="20"/>
                <w:szCs w:val="18"/>
              </w:rPr>
              <w:t>8</w:t>
            </w:r>
          </w:p>
        </w:tc>
      </w:tr>
      <w:tr w:rsidR="00F94EBD" w:rsidTr="00F94EBD">
        <w:trPr>
          <w:trHeight w:hRule="exact" w:val="510"/>
        </w:trPr>
        <w:tc>
          <w:tcPr>
            <w:tcW w:w="591" w:type="pct"/>
            <w:tcBorders>
              <w:top w:val="single" w:sz="4" w:space="0" w:color="797979"/>
              <w:left w:val="nil"/>
              <w:bottom w:val="single" w:sz="4" w:space="0" w:color="797979"/>
              <w:right w:val="single" w:sz="4" w:space="0" w:color="797979"/>
            </w:tcBorders>
            <w:vAlign w:val="center"/>
          </w:tcPr>
          <w:p w:rsidR="003C17D6" w:rsidRPr="00F94EBD" w:rsidRDefault="003C17D6" w:rsidP="00F94EBD">
            <w:pPr>
              <w:pStyle w:val="TableParagraph"/>
              <w:ind w:left="80"/>
              <w:rPr>
                <w:rFonts w:ascii="Arial" w:eastAsia="Arial" w:hAnsi="Arial" w:cs="Arial"/>
                <w:sz w:val="20"/>
                <w:szCs w:val="18"/>
              </w:rPr>
            </w:pPr>
            <w:r w:rsidRPr="00F94EBD">
              <w:rPr>
                <w:rFonts w:ascii="Arial" w:eastAsia="Arial" w:hAnsi="Arial" w:cs="Arial"/>
                <w:spacing w:val="-13"/>
                <w:sz w:val="20"/>
                <w:szCs w:val="18"/>
              </w:rPr>
              <w:t>T</w:t>
            </w:r>
            <w:r w:rsidRPr="00F94EBD">
              <w:rPr>
                <w:rFonts w:ascii="Arial" w:eastAsia="Arial" w:hAnsi="Arial" w:cs="Arial"/>
                <w:spacing w:val="2"/>
                <w:sz w:val="20"/>
                <w:szCs w:val="18"/>
              </w:rPr>
              <w:t>ra</w:t>
            </w:r>
            <w:r w:rsidRPr="00F94EBD">
              <w:rPr>
                <w:rFonts w:ascii="Arial" w:eastAsia="Arial" w:hAnsi="Arial" w:cs="Arial"/>
                <w:spacing w:val="1"/>
                <w:sz w:val="20"/>
                <w:szCs w:val="18"/>
              </w:rPr>
              <w:t>nsp</w:t>
            </w:r>
            <w:r w:rsidRPr="00F94EBD">
              <w:rPr>
                <w:rFonts w:ascii="Arial" w:eastAsia="Arial" w:hAnsi="Arial" w:cs="Arial"/>
                <w:sz w:val="20"/>
                <w:szCs w:val="18"/>
              </w:rPr>
              <w:t>o</w:t>
            </w:r>
            <w:r w:rsidRPr="00F94EBD">
              <w:rPr>
                <w:rFonts w:ascii="Arial" w:eastAsia="Arial" w:hAnsi="Arial" w:cs="Arial"/>
                <w:spacing w:val="7"/>
                <w:sz w:val="20"/>
                <w:szCs w:val="18"/>
              </w:rPr>
              <w:t>r</w:t>
            </w:r>
            <w:r w:rsidRPr="00F94EBD">
              <w:rPr>
                <w:rFonts w:ascii="Arial" w:eastAsia="Arial" w:hAnsi="Arial" w:cs="Arial"/>
                <w:sz w:val="20"/>
                <w:szCs w:val="18"/>
              </w:rPr>
              <w:t>t,</w:t>
            </w:r>
            <w:r w:rsidRPr="00F94EBD">
              <w:rPr>
                <w:rFonts w:ascii="Arial" w:eastAsia="Arial" w:hAnsi="Arial" w:cs="Arial"/>
                <w:spacing w:val="3"/>
                <w:sz w:val="20"/>
                <w:szCs w:val="18"/>
              </w:rPr>
              <w:t xml:space="preserve"> </w:t>
            </w:r>
            <w:r w:rsidRPr="00F94EBD">
              <w:rPr>
                <w:rFonts w:ascii="Arial" w:eastAsia="Arial" w:hAnsi="Arial" w:cs="Arial"/>
                <w:spacing w:val="-3"/>
                <w:sz w:val="20"/>
                <w:szCs w:val="18"/>
              </w:rPr>
              <w:t>P</w:t>
            </w:r>
            <w:r w:rsidRPr="00F94EBD">
              <w:rPr>
                <w:rFonts w:ascii="Arial" w:eastAsia="Arial" w:hAnsi="Arial" w:cs="Arial"/>
                <w:sz w:val="20"/>
                <w:szCs w:val="18"/>
              </w:rPr>
              <w:t>o</w:t>
            </w:r>
            <w:r w:rsidRPr="00F94EBD">
              <w:rPr>
                <w:rFonts w:ascii="Arial" w:eastAsia="Arial" w:hAnsi="Arial" w:cs="Arial"/>
                <w:spacing w:val="2"/>
                <w:sz w:val="20"/>
                <w:szCs w:val="18"/>
              </w:rPr>
              <w:t>s</w:t>
            </w:r>
            <w:r w:rsidRPr="00F94EBD">
              <w:rPr>
                <w:rFonts w:ascii="Arial" w:eastAsia="Arial" w:hAnsi="Arial" w:cs="Arial"/>
                <w:spacing w:val="1"/>
                <w:sz w:val="20"/>
                <w:szCs w:val="18"/>
              </w:rPr>
              <w:t>t</w:t>
            </w:r>
            <w:r w:rsidRPr="00F94EBD">
              <w:rPr>
                <w:rFonts w:ascii="Arial" w:eastAsia="Arial" w:hAnsi="Arial" w:cs="Arial"/>
                <w:spacing w:val="2"/>
                <w:sz w:val="20"/>
                <w:szCs w:val="18"/>
              </w:rPr>
              <w:t>a</w:t>
            </w:r>
            <w:r w:rsidRPr="00F94EBD">
              <w:rPr>
                <w:rFonts w:ascii="Arial" w:eastAsia="Arial" w:hAnsi="Arial" w:cs="Arial"/>
                <w:sz w:val="20"/>
                <w:szCs w:val="18"/>
              </w:rPr>
              <w:t>l</w:t>
            </w:r>
            <w:r w:rsidRPr="00F94EBD">
              <w:rPr>
                <w:rFonts w:ascii="Arial" w:eastAsia="Arial" w:hAnsi="Arial" w:cs="Arial"/>
                <w:spacing w:val="3"/>
                <w:sz w:val="20"/>
                <w:szCs w:val="18"/>
              </w:rPr>
              <w:t xml:space="preserve"> </w:t>
            </w:r>
            <w:r w:rsidRPr="00F94EBD">
              <w:rPr>
                <w:rFonts w:ascii="Arial" w:eastAsia="Arial" w:hAnsi="Arial" w:cs="Arial"/>
                <w:spacing w:val="2"/>
                <w:sz w:val="20"/>
                <w:szCs w:val="18"/>
              </w:rPr>
              <w:t>a</w:t>
            </w:r>
            <w:r w:rsidRPr="00F94EBD">
              <w:rPr>
                <w:rFonts w:ascii="Arial" w:eastAsia="Arial" w:hAnsi="Arial" w:cs="Arial"/>
                <w:spacing w:val="1"/>
                <w:sz w:val="20"/>
                <w:szCs w:val="18"/>
              </w:rPr>
              <w:t>n</w:t>
            </w:r>
            <w:r w:rsidRPr="00F94EBD">
              <w:rPr>
                <w:rFonts w:ascii="Arial" w:eastAsia="Arial" w:hAnsi="Arial" w:cs="Arial"/>
                <w:sz w:val="20"/>
                <w:szCs w:val="18"/>
              </w:rPr>
              <w:t>d</w:t>
            </w:r>
            <w:r w:rsidRPr="00F94EBD">
              <w:rPr>
                <w:rFonts w:ascii="Arial" w:eastAsia="Arial" w:hAnsi="Arial" w:cs="Arial"/>
                <w:spacing w:val="4"/>
                <w:sz w:val="20"/>
                <w:szCs w:val="18"/>
              </w:rPr>
              <w:t xml:space="preserve"> </w:t>
            </w:r>
            <w:r w:rsidRPr="00F94EBD">
              <w:rPr>
                <w:rFonts w:ascii="Arial" w:eastAsia="Arial" w:hAnsi="Arial" w:cs="Arial"/>
                <w:spacing w:val="-5"/>
                <w:sz w:val="20"/>
                <w:szCs w:val="18"/>
              </w:rPr>
              <w:t>W</w:t>
            </w:r>
            <w:r w:rsidRPr="00F94EBD">
              <w:rPr>
                <w:rFonts w:ascii="Arial" w:eastAsia="Arial" w:hAnsi="Arial" w:cs="Arial"/>
                <w:spacing w:val="2"/>
                <w:sz w:val="20"/>
                <w:szCs w:val="18"/>
              </w:rPr>
              <w:t>a</w:t>
            </w:r>
            <w:r w:rsidRPr="00F94EBD">
              <w:rPr>
                <w:rFonts w:ascii="Arial" w:eastAsia="Arial" w:hAnsi="Arial" w:cs="Arial"/>
                <w:sz w:val="20"/>
                <w:szCs w:val="18"/>
              </w:rPr>
              <w:t>r</w:t>
            </w:r>
            <w:r w:rsidRPr="00F94EBD">
              <w:rPr>
                <w:rFonts w:ascii="Arial" w:eastAsia="Arial" w:hAnsi="Arial" w:cs="Arial"/>
                <w:spacing w:val="2"/>
                <w:sz w:val="20"/>
                <w:szCs w:val="18"/>
              </w:rPr>
              <w:t>e</w:t>
            </w:r>
            <w:r w:rsidRPr="00F94EBD">
              <w:rPr>
                <w:rFonts w:ascii="Arial" w:eastAsia="Arial" w:hAnsi="Arial" w:cs="Arial"/>
                <w:spacing w:val="1"/>
                <w:sz w:val="20"/>
                <w:szCs w:val="18"/>
              </w:rPr>
              <w:t>h</w:t>
            </w:r>
            <w:r w:rsidRPr="00F94EBD">
              <w:rPr>
                <w:rFonts w:ascii="Arial" w:eastAsia="Arial" w:hAnsi="Arial" w:cs="Arial"/>
                <w:sz w:val="20"/>
                <w:szCs w:val="18"/>
              </w:rPr>
              <w:t>o</w:t>
            </w:r>
            <w:r w:rsidRPr="00F94EBD">
              <w:rPr>
                <w:rFonts w:ascii="Arial" w:eastAsia="Arial" w:hAnsi="Arial" w:cs="Arial"/>
                <w:spacing w:val="2"/>
                <w:sz w:val="20"/>
                <w:szCs w:val="18"/>
              </w:rPr>
              <w:t>u</w:t>
            </w:r>
            <w:r w:rsidRPr="00F94EBD">
              <w:rPr>
                <w:rFonts w:ascii="Arial" w:eastAsia="Arial" w:hAnsi="Arial" w:cs="Arial"/>
                <w:spacing w:val="1"/>
                <w:sz w:val="20"/>
                <w:szCs w:val="18"/>
              </w:rPr>
              <w:t>sin</w:t>
            </w:r>
            <w:r w:rsidRPr="00F94EBD">
              <w:rPr>
                <w:rFonts w:ascii="Arial" w:eastAsia="Arial" w:hAnsi="Arial" w:cs="Arial"/>
                <w:sz w:val="20"/>
                <w:szCs w:val="18"/>
              </w:rPr>
              <w:t>g</w:t>
            </w:r>
          </w:p>
        </w:tc>
        <w:tc>
          <w:tcPr>
            <w:tcW w:w="380"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right="6"/>
              <w:jc w:val="center"/>
              <w:rPr>
                <w:rFonts w:ascii="Arial" w:eastAsia="Arial" w:hAnsi="Arial" w:cs="Arial"/>
                <w:sz w:val="20"/>
                <w:szCs w:val="18"/>
              </w:rPr>
            </w:pPr>
            <w:r w:rsidRPr="00F94EBD">
              <w:rPr>
                <w:rFonts w:ascii="Arial" w:eastAsia="Arial" w:hAnsi="Arial" w:cs="Arial"/>
                <w:spacing w:val="-6"/>
                <w:sz w:val="20"/>
                <w:szCs w:val="18"/>
              </w:rPr>
              <w:t>24</w:t>
            </w:r>
          </w:p>
        </w:tc>
        <w:tc>
          <w:tcPr>
            <w:tcW w:w="358"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04"/>
              <w:jc w:val="center"/>
              <w:rPr>
                <w:rFonts w:ascii="Arial" w:eastAsia="Arial" w:hAnsi="Arial" w:cs="Arial"/>
                <w:sz w:val="20"/>
                <w:szCs w:val="18"/>
              </w:rPr>
            </w:pPr>
            <w:r w:rsidRPr="00F94EBD">
              <w:rPr>
                <w:rFonts w:ascii="Arial" w:eastAsia="Arial" w:hAnsi="Arial" w:cs="Arial"/>
                <w:spacing w:val="-1"/>
                <w:w w:val="105"/>
                <w:sz w:val="20"/>
                <w:szCs w:val="18"/>
              </w:rPr>
              <w:t>4%</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right="7"/>
              <w:jc w:val="center"/>
              <w:rPr>
                <w:rFonts w:ascii="Arial" w:eastAsia="Arial" w:hAnsi="Arial" w:cs="Arial"/>
                <w:sz w:val="20"/>
                <w:szCs w:val="18"/>
              </w:rPr>
            </w:pPr>
            <w:r w:rsidRPr="00F94EBD">
              <w:rPr>
                <w:rFonts w:ascii="Arial" w:eastAsia="Arial" w:hAnsi="Arial" w:cs="Arial"/>
                <w:spacing w:val="-8"/>
                <w:sz w:val="20"/>
                <w:szCs w:val="18"/>
              </w:rPr>
              <w:t>16</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76"/>
              <w:jc w:val="center"/>
              <w:rPr>
                <w:rFonts w:ascii="Arial" w:eastAsia="Arial" w:hAnsi="Arial" w:cs="Arial"/>
                <w:sz w:val="20"/>
                <w:szCs w:val="18"/>
              </w:rPr>
            </w:pPr>
            <w:r w:rsidRPr="00F94EBD">
              <w:rPr>
                <w:rFonts w:ascii="Arial" w:eastAsia="Arial" w:hAnsi="Arial" w:cs="Arial"/>
                <w:spacing w:val="-2"/>
                <w:w w:val="105"/>
                <w:sz w:val="20"/>
                <w:szCs w:val="18"/>
              </w:rPr>
              <w:t>5</w:t>
            </w:r>
            <w:r w:rsidRPr="00F94EBD">
              <w:rPr>
                <w:rFonts w:ascii="Arial" w:eastAsia="Arial" w:hAnsi="Arial" w:cs="Arial"/>
                <w:w w:val="105"/>
                <w:sz w:val="20"/>
                <w:szCs w:val="18"/>
              </w:rPr>
              <w:t>%</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right="13"/>
              <w:jc w:val="center"/>
              <w:rPr>
                <w:rFonts w:ascii="Arial" w:eastAsia="Arial" w:hAnsi="Arial" w:cs="Arial"/>
                <w:sz w:val="20"/>
                <w:szCs w:val="18"/>
              </w:rPr>
            </w:pPr>
            <w:r w:rsidRPr="00F94EBD">
              <w:rPr>
                <w:rFonts w:ascii="Arial" w:eastAsia="Arial" w:hAnsi="Arial" w:cs="Arial"/>
                <w:spacing w:val="-13"/>
                <w:sz w:val="20"/>
                <w:szCs w:val="18"/>
              </w:rPr>
              <w:t>17</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87"/>
              <w:jc w:val="center"/>
              <w:rPr>
                <w:rFonts w:ascii="Arial" w:eastAsia="Arial" w:hAnsi="Arial" w:cs="Arial"/>
                <w:sz w:val="20"/>
                <w:szCs w:val="18"/>
              </w:rPr>
            </w:pPr>
            <w:r w:rsidRPr="00F94EBD">
              <w:rPr>
                <w:rFonts w:ascii="Arial" w:eastAsia="Arial" w:hAnsi="Arial" w:cs="Arial"/>
                <w:spacing w:val="-5"/>
                <w:w w:val="105"/>
                <w:sz w:val="20"/>
                <w:szCs w:val="18"/>
              </w:rPr>
              <w:t>7%</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jc w:val="center"/>
              <w:rPr>
                <w:rFonts w:ascii="Arial" w:eastAsia="Arial" w:hAnsi="Arial" w:cs="Arial"/>
                <w:sz w:val="20"/>
                <w:szCs w:val="18"/>
              </w:rPr>
            </w:pPr>
            <w:r w:rsidRPr="00F94EBD">
              <w:rPr>
                <w:rFonts w:ascii="Arial" w:eastAsia="Arial" w:hAnsi="Arial" w:cs="Arial"/>
                <w:sz w:val="20"/>
                <w:szCs w:val="18"/>
              </w:rPr>
              <w:t>6</w:t>
            </w:r>
          </w:p>
        </w:tc>
        <w:tc>
          <w:tcPr>
            <w:tcW w:w="359"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97"/>
              <w:jc w:val="center"/>
              <w:rPr>
                <w:rFonts w:ascii="Arial" w:eastAsia="Arial" w:hAnsi="Arial" w:cs="Arial"/>
                <w:sz w:val="20"/>
                <w:szCs w:val="18"/>
              </w:rPr>
            </w:pPr>
            <w:r w:rsidRPr="00F94EBD">
              <w:rPr>
                <w:rFonts w:ascii="Arial" w:eastAsia="Arial" w:hAnsi="Arial" w:cs="Arial"/>
                <w:spacing w:val="-5"/>
                <w:w w:val="105"/>
                <w:sz w:val="20"/>
                <w:szCs w:val="18"/>
              </w:rPr>
              <w:t>7%</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303"/>
              <w:jc w:val="center"/>
              <w:rPr>
                <w:rFonts w:ascii="Arial" w:eastAsia="Arial" w:hAnsi="Arial" w:cs="Arial"/>
                <w:sz w:val="20"/>
                <w:szCs w:val="18"/>
              </w:rPr>
            </w:pPr>
            <w:r w:rsidRPr="00F94EBD">
              <w:rPr>
                <w:rFonts w:ascii="Arial" w:eastAsia="Arial" w:hAnsi="Arial" w:cs="Arial"/>
                <w:spacing w:val="2"/>
                <w:sz w:val="20"/>
                <w:szCs w:val="18"/>
              </w:rPr>
              <w:t>434</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212"/>
              <w:jc w:val="center"/>
              <w:rPr>
                <w:rFonts w:ascii="Arial" w:eastAsia="Arial" w:hAnsi="Arial" w:cs="Arial"/>
                <w:sz w:val="20"/>
                <w:szCs w:val="18"/>
              </w:rPr>
            </w:pPr>
            <w:r w:rsidRPr="00F94EBD">
              <w:rPr>
                <w:rFonts w:ascii="Arial" w:eastAsia="Arial" w:hAnsi="Arial" w:cs="Arial"/>
                <w:spacing w:val="2"/>
                <w:sz w:val="20"/>
                <w:szCs w:val="18"/>
              </w:rPr>
              <w:t>4</w:t>
            </w:r>
            <w:r w:rsidRPr="00F94EBD">
              <w:rPr>
                <w:rFonts w:ascii="Arial" w:eastAsia="Arial" w:hAnsi="Arial" w:cs="Arial"/>
                <w:spacing w:val="1"/>
                <w:sz w:val="20"/>
                <w:szCs w:val="18"/>
              </w:rPr>
              <w:t>45</w:t>
            </w:r>
          </w:p>
        </w:tc>
        <w:tc>
          <w:tcPr>
            <w:tcW w:w="371" w:type="pct"/>
            <w:tcBorders>
              <w:top w:val="single" w:sz="4" w:space="0" w:color="797979"/>
              <w:left w:val="single" w:sz="4" w:space="0" w:color="797979"/>
              <w:bottom w:val="single" w:sz="4" w:space="0" w:color="797979"/>
              <w:right w:val="single" w:sz="4" w:space="0" w:color="797979"/>
            </w:tcBorders>
            <w:vAlign w:val="center"/>
          </w:tcPr>
          <w:p w:rsidR="003C17D6" w:rsidRPr="00F94EBD" w:rsidRDefault="003C17D6" w:rsidP="00F94EBD">
            <w:pPr>
              <w:pStyle w:val="TableParagraph"/>
              <w:ind w:left="168"/>
              <w:jc w:val="center"/>
              <w:rPr>
                <w:rFonts w:ascii="Arial" w:eastAsia="Arial" w:hAnsi="Arial" w:cs="Arial"/>
                <w:sz w:val="20"/>
                <w:szCs w:val="18"/>
              </w:rPr>
            </w:pPr>
            <w:r w:rsidRPr="00F94EBD">
              <w:rPr>
                <w:rFonts w:ascii="Arial" w:eastAsia="Arial" w:hAnsi="Arial" w:cs="Arial"/>
                <w:spacing w:val="-4"/>
                <w:sz w:val="20"/>
                <w:szCs w:val="18"/>
              </w:rPr>
              <w:t>3</w:t>
            </w:r>
            <w:r w:rsidRPr="00F94EBD">
              <w:rPr>
                <w:rFonts w:ascii="Arial" w:eastAsia="Arial" w:hAnsi="Arial" w:cs="Arial"/>
                <w:spacing w:val="-2"/>
                <w:sz w:val="20"/>
                <w:szCs w:val="18"/>
              </w:rPr>
              <w:t>7</w:t>
            </w:r>
            <w:r w:rsidRPr="00F94EBD">
              <w:rPr>
                <w:rFonts w:ascii="Arial" w:eastAsia="Arial" w:hAnsi="Arial" w:cs="Arial"/>
                <w:sz w:val="20"/>
                <w:szCs w:val="18"/>
              </w:rPr>
              <w:t>3</w:t>
            </w:r>
          </w:p>
        </w:tc>
        <w:tc>
          <w:tcPr>
            <w:tcW w:w="369" w:type="pct"/>
            <w:tcBorders>
              <w:top w:val="single" w:sz="4" w:space="0" w:color="797979"/>
              <w:left w:val="single" w:sz="4" w:space="0" w:color="797979"/>
              <w:bottom w:val="single" w:sz="4" w:space="0" w:color="797979"/>
              <w:right w:val="nil"/>
            </w:tcBorders>
            <w:vAlign w:val="center"/>
          </w:tcPr>
          <w:p w:rsidR="003C17D6" w:rsidRPr="00F94EBD" w:rsidRDefault="003C17D6" w:rsidP="00F94EBD">
            <w:pPr>
              <w:pStyle w:val="TableParagraph"/>
              <w:ind w:left="183"/>
              <w:jc w:val="center"/>
              <w:rPr>
                <w:rFonts w:ascii="Arial" w:eastAsia="Arial" w:hAnsi="Arial" w:cs="Arial"/>
                <w:sz w:val="20"/>
                <w:szCs w:val="18"/>
              </w:rPr>
            </w:pPr>
            <w:r w:rsidRPr="00F94EBD">
              <w:rPr>
                <w:rFonts w:ascii="Arial" w:eastAsia="Arial" w:hAnsi="Arial" w:cs="Arial"/>
                <w:spacing w:val="-1"/>
                <w:sz w:val="20"/>
                <w:szCs w:val="18"/>
              </w:rPr>
              <w:t>2</w:t>
            </w:r>
            <w:r w:rsidRPr="00F94EBD">
              <w:rPr>
                <w:rFonts w:ascii="Arial" w:eastAsia="Arial" w:hAnsi="Arial" w:cs="Arial"/>
                <w:spacing w:val="4"/>
                <w:sz w:val="20"/>
                <w:szCs w:val="18"/>
              </w:rPr>
              <w:t>0</w:t>
            </w:r>
            <w:r w:rsidRPr="00F94EBD">
              <w:rPr>
                <w:rFonts w:ascii="Arial" w:eastAsia="Arial" w:hAnsi="Arial" w:cs="Arial"/>
                <w:sz w:val="20"/>
                <w:szCs w:val="18"/>
              </w:rPr>
              <w:t>6</w:t>
            </w:r>
          </w:p>
        </w:tc>
      </w:tr>
      <w:tr w:rsidR="00F94EBD" w:rsidTr="00F94EBD">
        <w:trPr>
          <w:trHeight w:hRule="exact" w:val="358"/>
        </w:trPr>
        <w:tc>
          <w:tcPr>
            <w:tcW w:w="591" w:type="pct"/>
            <w:tcBorders>
              <w:top w:val="single" w:sz="4" w:space="0" w:color="797979"/>
              <w:left w:val="nil"/>
              <w:bottom w:val="nil"/>
              <w:right w:val="single" w:sz="4" w:space="0" w:color="797979"/>
            </w:tcBorders>
            <w:vAlign w:val="center"/>
          </w:tcPr>
          <w:p w:rsidR="003C17D6" w:rsidRPr="00F94EBD" w:rsidRDefault="003C17D6" w:rsidP="00F94EBD">
            <w:pPr>
              <w:pStyle w:val="TableParagraph"/>
              <w:ind w:left="80"/>
              <w:rPr>
                <w:rFonts w:ascii="Arial" w:eastAsia="Arial" w:hAnsi="Arial" w:cs="Arial"/>
                <w:sz w:val="20"/>
                <w:szCs w:val="18"/>
              </w:rPr>
            </w:pPr>
            <w:r w:rsidRPr="00F94EBD">
              <w:rPr>
                <w:rFonts w:ascii="Arial" w:eastAsia="Arial" w:hAnsi="Arial" w:cs="Arial"/>
                <w:spacing w:val="2"/>
                <w:sz w:val="20"/>
                <w:szCs w:val="18"/>
              </w:rPr>
              <w:t>W</w:t>
            </w:r>
            <w:r w:rsidRPr="00F94EBD">
              <w:rPr>
                <w:rFonts w:ascii="Arial" w:eastAsia="Arial" w:hAnsi="Arial" w:cs="Arial"/>
                <w:spacing w:val="1"/>
                <w:sz w:val="20"/>
                <w:szCs w:val="18"/>
              </w:rPr>
              <w:t>hol</w:t>
            </w:r>
            <w:r w:rsidRPr="00F94EBD">
              <w:rPr>
                <w:rFonts w:ascii="Arial" w:eastAsia="Arial" w:hAnsi="Arial" w:cs="Arial"/>
                <w:spacing w:val="2"/>
                <w:sz w:val="20"/>
                <w:szCs w:val="18"/>
              </w:rPr>
              <w:t>esa</w:t>
            </w:r>
            <w:r w:rsidRPr="00F94EBD">
              <w:rPr>
                <w:rFonts w:ascii="Arial" w:eastAsia="Arial" w:hAnsi="Arial" w:cs="Arial"/>
                <w:spacing w:val="1"/>
                <w:sz w:val="20"/>
                <w:szCs w:val="18"/>
              </w:rPr>
              <w:t>l</w:t>
            </w:r>
            <w:r w:rsidRPr="00F94EBD">
              <w:rPr>
                <w:rFonts w:ascii="Arial" w:eastAsia="Arial" w:hAnsi="Arial" w:cs="Arial"/>
                <w:sz w:val="20"/>
                <w:szCs w:val="18"/>
              </w:rPr>
              <w:t>e</w:t>
            </w:r>
            <w:r w:rsidRPr="00F94EBD">
              <w:rPr>
                <w:rFonts w:ascii="Arial" w:eastAsia="Arial" w:hAnsi="Arial" w:cs="Arial"/>
                <w:spacing w:val="-25"/>
                <w:sz w:val="20"/>
                <w:szCs w:val="18"/>
              </w:rPr>
              <w:t xml:space="preserve"> </w:t>
            </w:r>
            <w:r w:rsidRPr="00F94EBD">
              <w:rPr>
                <w:rFonts w:ascii="Arial" w:eastAsia="Arial" w:hAnsi="Arial" w:cs="Arial"/>
                <w:spacing w:val="-13"/>
                <w:sz w:val="20"/>
                <w:szCs w:val="18"/>
              </w:rPr>
              <w:t>T</w:t>
            </w:r>
            <w:r w:rsidRPr="00F94EBD">
              <w:rPr>
                <w:rFonts w:ascii="Arial" w:eastAsia="Arial" w:hAnsi="Arial" w:cs="Arial"/>
                <w:spacing w:val="2"/>
                <w:sz w:val="20"/>
                <w:szCs w:val="18"/>
              </w:rPr>
              <w:t>r</w:t>
            </w:r>
            <w:r w:rsidRPr="00F94EBD">
              <w:rPr>
                <w:rFonts w:ascii="Arial" w:eastAsia="Arial" w:hAnsi="Arial" w:cs="Arial"/>
                <w:spacing w:val="1"/>
                <w:sz w:val="20"/>
                <w:szCs w:val="18"/>
              </w:rPr>
              <w:t>ade</w:t>
            </w:r>
          </w:p>
        </w:tc>
        <w:tc>
          <w:tcPr>
            <w:tcW w:w="380" w:type="pct"/>
            <w:tcBorders>
              <w:top w:val="single" w:sz="4" w:space="0" w:color="797979"/>
              <w:left w:val="single" w:sz="4" w:space="0" w:color="797979"/>
              <w:bottom w:val="nil"/>
              <w:right w:val="single" w:sz="4" w:space="0" w:color="797979"/>
            </w:tcBorders>
            <w:vAlign w:val="center"/>
          </w:tcPr>
          <w:p w:rsidR="003C17D6" w:rsidRPr="00F94EBD" w:rsidRDefault="003C17D6" w:rsidP="00F94EBD">
            <w:pPr>
              <w:pStyle w:val="TableParagraph"/>
              <w:ind w:left="293" w:right="293"/>
              <w:jc w:val="center"/>
              <w:rPr>
                <w:rFonts w:ascii="Arial" w:eastAsia="Arial" w:hAnsi="Arial" w:cs="Arial"/>
                <w:sz w:val="20"/>
                <w:szCs w:val="18"/>
              </w:rPr>
            </w:pPr>
            <w:r w:rsidRPr="00F94EBD">
              <w:rPr>
                <w:rFonts w:ascii="Arial" w:eastAsia="Arial" w:hAnsi="Arial" w:cs="Arial"/>
                <w:sz w:val="20"/>
                <w:szCs w:val="18"/>
              </w:rPr>
              <w:t>6</w:t>
            </w:r>
          </w:p>
        </w:tc>
        <w:tc>
          <w:tcPr>
            <w:tcW w:w="358" w:type="pct"/>
            <w:tcBorders>
              <w:top w:val="single" w:sz="4" w:space="0" w:color="797979"/>
              <w:left w:val="single" w:sz="4" w:space="0" w:color="797979"/>
              <w:bottom w:val="nil"/>
              <w:right w:val="single" w:sz="4" w:space="0" w:color="797979"/>
            </w:tcBorders>
            <w:vAlign w:val="center"/>
          </w:tcPr>
          <w:p w:rsidR="003C17D6" w:rsidRPr="00F94EBD" w:rsidRDefault="003C17D6" w:rsidP="00F94EBD">
            <w:pPr>
              <w:pStyle w:val="TableParagraph"/>
              <w:ind w:left="207"/>
              <w:jc w:val="center"/>
              <w:rPr>
                <w:rFonts w:ascii="Arial" w:eastAsia="Arial" w:hAnsi="Arial" w:cs="Arial"/>
                <w:sz w:val="20"/>
                <w:szCs w:val="18"/>
              </w:rPr>
            </w:pPr>
            <w:r w:rsidRPr="00F94EBD">
              <w:rPr>
                <w:rFonts w:ascii="Arial" w:eastAsia="Arial" w:hAnsi="Arial" w:cs="Arial"/>
                <w:spacing w:val="-7"/>
                <w:w w:val="105"/>
                <w:sz w:val="20"/>
                <w:szCs w:val="18"/>
              </w:rPr>
              <w:t>1%</w:t>
            </w:r>
          </w:p>
        </w:tc>
        <w:tc>
          <w:tcPr>
            <w:tcW w:w="371" w:type="pct"/>
            <w:tcBorders>
              <w:top w:val="single" w:sz="4" w:space="0" w:color="797979"/>
              <w:left w:val="single" w:sz="4" w:space="0" w:color="797979"/>
              <w:bottom w:val="nil"/>
              <w:right w:val="single" w:sz="4" w:space="0" w:color="797979"/>
            </w:tcBorders>
            <w:vAlign w:val="center"/>
          </w:tcPr>
          <w:p w:rsidR="003C17D6" w:rsidRPr="00F94EBD" w:rsidRDefault="003C17D6" w:rsidP="00F94EBD">
            <w:pPr>
              <w:pStyle w:val="TableParagraph"/>
              <w:ind w:left="236" w:right="236"/>
              <w:jc w:val="center"/>
              <w:rPr>
                <w:rFonts w:ascii="Arial" w:eastAsia="Arial" w:hAnsi="Arial" w:cs="Arial"/>
                <w:sz w:val="20"/>
                <w:szCs w:val="18"/>
              </w:rPr>
            </w:pPr>
            <w:r w:rsidRPr="00F94EBD">
              <w:rPr>
                <w:rFonts w:ascii="Arial" w:eastAsia="Arial" w:hAnsi="Arial" w:cs="Arial"/>
                <w:sz w:val="20"/>
                <w:szCs w:val="18"/>
              </w:rPr>
              <w:t>2</w:t>
            </w:r>
          </w:p>
        </w:tc>
        <w:tc>
          <w:tcPr>
            <w:tcW w:w="359" w:type="pct"/>
            <w:tcBorders>
              <w:top w:val="single" w:sz="4" w:space="0" w:color="797979"/>
              <w:left w:val="single" w:sz="4" w:space="0" w:color="797979"/>
              <w:bottom w:val="nil"/>
              <w:right w:val="single" w:sz="4" w:space="0" w:color="797979"/>
            </w:tcBorders>
            <w:vAlign w:val="center"/>
          </w:tcPr>
          <w:p w:rsidR="003C17D6" w:rsidRPr="00F94EBD" w:rsidRDefault="003C17D6" w:rsidP="00F94EBD">
            <w:pPr>
              <w:pStyle w:val="TableParagraph"/>
              <w:ind w:left="179"/>
              <w:jc w:val="center"/>
              <w:rPr>
                <w:rFonts w:ascii="Arial" w:eastAsia="Arial" w:hAnsi="Arial" w:cs="Arial"/>
                <w:sz w:val="20"/>
                <w:szCs w:val="18"/>
              </w:rPr>
            </w:pPr>
            <w:r w:rsidRPr="00F94EBD">
              <w:rPr>
                <w:rFonts w:ascii="Arial" w:eastAsia="Arial" w:hAnsi="Arial" w:cs="Arial"/>
                <w:spacing w:val="-7"/>
                <w:w w:val="105"/>
                <w:sz w:val="20"/>
                <w:szCs w:val="18"/>
              </w:rPr>
              <w:t>1%</w:t>
            </w:r>
          </w:p>
        </w:tc>
        <w:tc>
          <w:tcPr>
            <w:tcW w:w="371" w:type="pct"/>
            <w:tcBorders>
              <w:top w:val="single" w:sz="4" w:space="0" w:color="797979"/>
              <w:left w:val="single" w:sz="4" w:space="0" w:color="797979"/>
              <w:bottom w:val="nil"/>
              <w:right w:val="single" w:sz="4" w:space="0" w:color="797979"/>
            </w:tcBorders>
            <w:vAlign w:val="center"/>
          </w:tcPr>
          <w:p w:rsidR="003C17D6" w:rsidRPr="00F94EBD" w:rsidRDefault="003C17D6" w:rsidP="00F94EBD">
            <w:pPr>
              <w:spacing w:after="0"/>
              <w:jc w:val="center"/>
              <w:rPr>
                <w:sz w:val="20"/>
              </w:rPr>
            </w:pPr>
          </w:p>
        </w:tc>
        <w:tc>
          <w:tcPr>
            <w:tcW w:w="359" w:type="pct"/>
            <w:tcBorders>
              <w:top w:val="single" w:sz="4" w:space="0" w:color="797979"/>
              <w:left w:val="single" w:sz="4" w:space="0" w:color="797979"/>
              <w:bottom w:val="nil"/>
              <w:right w:val="single" w:sz="4" w:space="0" w:color="797979"/>
            </w:tcBorders>
            <w:vAlign w:val="center"/>
          </w:tcPr>
          <w:p w:rsidR="003C17D6" w:rsidRPr="00F94EBD" w:rsidRDefault="003C17D6" w:rsidP="00F94EBD">
            <w:pPr>
              <w:pStyle w:val="TableParagraph"/>
              <w:ind w:left="183"/>
              <w:jc w:val="center"/>
              <w:rPr>
                <w:rFonts w:ascii="Arial" w:eastAsia="Arial" w:hAnsi="Arial" w:cs="Arial"/>
                <w:sz w:val="20"/>
                <w:szCs w:val="18"/>
              </w:rPr>
            </w:pPr>
            <w:r w:rsidRPr="00F94EBD">
              <w:rPr>
                <w:rFonts w:ascii="Arial" w:eastAsia="Arial" w:hAnsi="Arial" w:cs="Arial"/>
                <w:spacing w:val="3"/>
                <w:w w:val="105"/>
                <w:sz w:val="20"/>
                <w:szCs w:val="18"/>
              </w:rPr>
              <w:t>0%</w:t>
            </w:r>
          </w:p>
        </w:tc>
        <w:tc>
          <w:tcPr>
            <w:tcW w:w="371" w:type="pct"/>
            <w:tcBorders>
              <w:top w:val="single" w:sz="4" w:space="0" w:color="797979"/>
              <w:left w:val="single" w:sz="4" w:space="0" w:color="797979"/>
              <w:bottom w:val="nil"/>
              <w:right w:val="single" w:sz="4" w:space="0" w:color="797979"/>
            </w:tcBorders>
            <w:vAlign w:val="center"/>
          </w:tcPr>
          <w:p w:rsidR="003C17D6" w:rsidRPr="00F94EBD" w:rsidRDefault="003C17D6" w:rsidP="00F94EBD">
            <w:pPr>
              <w:spacing w:after="0"/>
              <w:jc w:val="center"/>
              <w:rPr>
                <w:sz w:val="20"/>
              </w:rPr>
            </w:pPr>
          </w:p>
        </w:tc>
        <w:tc>
          <w:tcPr>
            <w:tcW w:w="359" w:type="pct"/>
            <w:tcBorders>
              <w:top w:val="single" w:sz="4" w:space="0" w:color="797979"/>
              <w:left w:val="single" w:sz="4" w:space="0" w:color="797979"/>
              <w:bottom w:val="nil"/>
              <w:right w:val="single" w:sz="4" w:space="0" w:color="797979"/>
            </w:tcBorders>
            <w:vAlign w:val="center"/>
          </w:tcPr>
          <w:p w:rsidR="003C17D6" w:rsidRPr="00F94EBD" w:rsidRDefault="003C17D6" w:rsidP="00F94EBD">
            <w:pPr>
              <w:pStyle w:val="TableParagraph"/>
              <w:ind w:left="193"/>
              <w:jc w:val="center"/>
              <w:rPr>
                <w:rFonts w:ascii="Arial" w:eastAsia="Arial" w:hAnsi="Arial" w:cs="Arial"/>
                <w:sz w:val="20"/>
                <w:szCs w:val="18"/>
              </w:rPr>
            </w:pPr>
            <w:r w:rsidRPr="00F94EBD">
              <w:rPr>
                <w:rFonts w:ascii="Arial" w:eastAsia="Arial" w:hAnsi="Arial" w:cs="Arial"/>
                <w:spacing w:val="3"/>
                <w:w w:val="105"/>
                <w:sz w:val="20"/>
                <w:szCs w:val="18"/>
              </w:rPr>
              <w:t>0%</w:t>
            </w:r>
          </w:p>
        </w:tc>
        <w:tc>
          <w:tcPr>
            <w:tcW w:w="371" w:type="pct"/>
            <w:tcBorders>
              <w:top w:val="single" w:sz="4" w:space="0" w:color="797979"/>
              <w:left w:val="single" w:sz="4" w:space="0" w:color="797979"/>
              <w:bottom w:val="nil"/>
              <w:right w:val="single" w:sz="4" w:space="0" w:color="797979"/>
            </w:tcBorders>
            <w:vAlign w:val="center"/>
          </w:tcPr>
          <w:p w:rsidR="003C17D6" w:rsidRPr="00F94EBD" w:rsidRDefault="003C17D6" w:rsidP="00F94EBD">
            <w:pPr>
              <w:pStyle w:val="TableParagraph"/>
              <w:jc w:val="center"/>
              <w:rPr>
                <w:rFonts w:ascii="Arial" w:eastAsia="Arial" w:hAnsi="Arial" w:cs="Arial"/>
                <w:sz w:val="20"/>
                <w:szCs w:val="18"/>
              </w:rPr>
            </w:pPr>
            <w:r w:rsidRPr="00F94EBD">
              <w:rPr>
                <w:rFonts w:ascii="Arial" w:eastAsia="Arial" w:hAnsi="Arial" w:cs="Arial"/>
                <w:spacing w:val="-1"/>
                <w:sz w:val="20"/>
                <w:szCs w:val="18"/>
              </w:rPr>
              <w:t>2</w:t>
            </w:r>
            <w:r w:rsidRPr="00F94EBD">
              <w:rPr>
                <w:rFonts w:ascii="Arial" w:eastAsia="Arial" w:hAnsi="Arial" w:cs="Arial"/>
                <w:spacing w:val="2"/>
                <w:sz w:val="20"/>
                <w:szCs w:val="18"/>
              </w:rPr>
              <w:t>0</w:t>
            </w:r>
            <w:r w:rsidRPr="00F94EBD">
              <w:rPr>
                <w:rFonts w:ascii="Arial" w:eastAsia="Arial" w:hAnsi="Arial" w:cs="Arial"/>
                <w:sz w:val="20"/>
                <w:szCs w:val="18"/>
              </w:rPr>
              <w:t>5</w:t>
            </w:r>
          </w:p>
        </w:tc>
        <w:tc>
          <w:tcPr>
            <w:tcW w:w="371" w:type="pct"/>
            <w:tcBorders>
              <w:top w:val="single" w:sz="4" w:space="0" w:color="797979"/>
              <w:left w:val="single" w:sz="4" w:space="0" w:color="797979"/>
              <w:bottom w:val="nil"/>
              <w:right w:val="single" w:sz="4" w:space="0" w:color="797979"/>
            </w:tcBorders>
            <w:vAlign w:val="center"/>
          </w:tcPr>
          <w:p w:rsidR="003C17D6" w:rsidRPr="00F94EBD" w:rsidRDefault="003C17D6" w:rsidP="00F94EBD">
            <w:pPr>
              <w:pStyle w:val="TableParagraph"/>
              <w:ind w:left="218"/>
              <w:jc w:val="center"/>
              <w:rPr>
                <w:rFonts w:ascii="Arial" w:eastAsia="Arial" w:hAnsi="Arial" w:cs="Arial"/>
                <w:sz w:val="20"/>
                <w:szCs w:val="18"/>
              </w:rPr>
            </w:pPr>
            <w:r w:rsidRPr="00F94EBD">
              <w:rPr>
                <w:rFonts w:ascii="Arial" w:eastAsia="Arial" w:hAnsi="Arial" w:cs="Arial"/>
                <w:spacing w:val="-8"/>
                <w:sz w:val="20"/>
                <w:szCs w:val="18"/>
              </w:rPr>
              <w:t>1</w:t>
            </w:r>
            <w:r w:rsidRPr="00F94EBD">
              <w:rPr>
                <w:rFonts w:ascii="Arial" w:eastAsia="Arial" w:hAnsi="Arial" w:cs="Arial"/>
                <w:spacing w:val="1"/>
                <w:sz w:val="20"/>
                <w:szCs w:val="18"/>
              </w:rPr>
              <w:t>9</w:t>
            </w:r>
            <w:r w:rsidRPr="00F94EBD">
              <w:rPr>
                <w:rFonts w:ascii="Arial" w:eastAsia="Arial" w:hAnsi="Arial" w:cs="Arial"/>
                <w:sz w:val="20"/>
                <w:szCs w:val="18"/>
              </w:rPr>
              <w:t>4</w:t>
            </w:r>
          </w:p>
        </w:tc>
        <w:tc>
          <w:tcPr>
            <w:tcW w:w="371" w:type="pct"/>
            <w:tcBorders>
              <w:top w:val="single" w:sz="4" w:space="0" w:color="797979"/>
              <w:left w:val="single" w:sz="4" w:space="0" w:color="797979"/>
              <w:bottom w:val="nil"/>
              <w:right w:val="single" w:sz="4" w:space="0" w:color="797979"/>
            </w:tcBorders>
            <w:vAlign w:val="center"/>
          </w:tcPr>
          <w:p w:rsidR="003C17D6" w:rsidRPr="00F94EBD" w:rsidRDefault="003C17D6" w:rsidP="00F94EBD">
            <w:pPr>
              <w:pStyle w:val="TableParagraph"/>
              <w:ind w:left="170"/>
              <w:jc w:val="center"/>
              <w:rPr>
                <w:rFonts w:ascii="Arial" w:eastAsia="Arial" w:hAnsi="Arial" w:cs="Arial"/>
                <w:sz w:val="20"/>
                <w:szCs w:val="18"/>
              </w:rPr>
            </w:pPr>
            <w:r w:rsidRPr="00F94EBD">
              <w:rPr>
                <w:rFonts w:ascii="Arial" w:eastAsia="Arial" w:hAnsi="Arial" w:cs="Arial"/>
                <w:spacing w:val="-9"/>
                <w:sz w:val="20"/>
                <w:szCs w:val="18"/>
              </w:rPr>
              <w:t>1</w:t>
            </w:r>
            <w:r w:rsidRPr="00F94EBD">
              <w:rPr>
                <w:rFonts w:ascii="Arial" w:eastAsia="Arial" w:hAnsi="Arial" w:cs="Arial"/>
                <w:sz w:val="20"/>
                <w:szCs w:val="18"/>
              </w:rPr>
              <w:t>59</w:t>
            </w:r>
          </w:p>
        </w:tc>
        <w:tc>
          <w:tcPr>
            <w:tcW w:w="369" w:type="pct"/>
            <w:tcBorders>
              <w:top w:val="single" w:sz="4" w:space="0" w:color="797979"/>
              <w:left w:val="single" w:sz="4" w:space="0" w:color="797979"/>
              <w:bottom w:val="nil"/>
              <w:right w:val="nil"/>
            </w:tcBorders>
            <w:vAlign w:val="center"/>
          </w:tcPr>
          <w:p w:rsidR="003C17D6" w:rsidRPr="00F94EBD" w:rsidRDefault="003C17D6" w:rsidP="00F94EBD">
            <w:pPr>
              <w:pStyle w:val="TableParagraph"/>
              <w:ind w:left="192"/>
              <w:jc w:val="center"/>
              <w:rPr>
                <w:rFonts w:ascii="Arial" w:eastAsia="Arial" w:hAnsi="Arial" w:cs="Arial"/>
                <w:sz w:val="20"/>
                <w:szCs w:val="18"/>
              </w:rPr>
            </w:pPr>
            <w:r w:rsidRPr="00F94EBD">
              <w:rPr>
                <w:rFonts w:ascii="Arial" w:eastAsia="Arial" w:hAnsi="Arial" w:cs="Arial"/>
                <w:spacing w:val="-9"/>
                <w:sz w:val="20"/>
                <w:szCs w:val="18"/>
              </w:rPr>
              <w:t>1</w:t>
            </w:r>
            <w:r w:rsidRPr="00F94EBD">
              <w:rPr>
                <w:rFonts w:ascii="Arial" w:eastAsia="Arial" w:hAnsi="Arial" w:cs="Arial"/>
                <w:spacing w:val="-6"/>
                <w:sz w:val="20"/>
                <w:szCs w:val="18"/>
              </w:rPr>
              <w:t>2</w:t>
            </w:r>
            <w:r w:rsidRPr="00F94EBD">
              <w:rPr>
                <w:rFonts w:ascii="Arial" w:eastAsia="Arial" w:hAnsi="Arial" w:cs="Arial"/>
                <w:sz w:val="20"/>
                <w:szCs w:val="18"/>
              </w:rPr>
              <w:t>4</w:t>
            </w:r>
          </w:p>
        </w:tc>
      </w:tr>
      <w:tr w:rsidR="00F94EBD" w:rsidTr="00F94EBD">
        <w:trPr>
          <w:trHeight w:hRule="exact" w:val="268"/>
        </w:trPr>
        <w:tc>
          <w:tcPr>
            <w:tcW w:w="591" w:type="pct"/>
            <w:tcBorders>
              <w:top w:val="nil"/>
              <w:left w:val="nil"/>
              <w:bottom w:val="nil"/>
              <w:right w:val="single" w:sz="4" w:space="0" w:color="FFFFFF"/>
            </w:tcBorders>
            <w:shd w:val="clear" w:color="auto" w:fill="C3D9DC"/>
            <w:vAlign w:val="center"/>
          </w:tcPr>
          <w:p w:rsidR="003C17D6" w:rsidRPr="00F94EBD" w:rsidRDefault="003C17D6" w:rsidP="00F94EBD">
            <w:pPr>
              <w:pStyle w:val="TableParagraph"/>
              <w:ind w:left="80"/>
              <w:jc w:val="center"/>
              <w:rPr>
                <w:rFonts w:ascii="Arial" w:eastAsia="Arial" w:hAnsi="Arial" w:cs="Arial"/>
                <w:sz w:val="20"/>
                <w:szCs w:val="18"/>
              </w:rPr>
            </w:pPr>
            <w:r w:rsidRPr="00F94EBD">
              <w:rPr>
                <w:rFonts w:ascii="Arial" w:eastAsia="Arial" w:hAnsi="Arial" w:cs="Arial"/>
                <w:b/>
                <w:bCs/>
                <w:spacing w:val="4"/>
                <w:sz w:val="20"/>
                <w:szCs w:val="18"/>
              </w:rPr>
              <w:t>Gr</w:t>
            </w:r>
            <w:r w:rsidRPr="00F94EBD">
              <w:rPr>
                <w:rFonts w:ascii="Arial" w:eastAsia="Arial" w:hAnsi="Arial" w:cs="Arial"/>
                <w:b/>
                <w:bCs/>
                <w:spacing w:val="2"/>
                <w:sz w:val="20"/>
                <w:szCs w:val="18"/>
              </w:rPr>
              <w:t>a</w:t>
            </w:r>
            <w:r w:rsidRPr="00F94EBD">
              <w:rPr>
                <w:rFonts w:ascii="Arial" w:eastAsia="Arial" w:hAnsi="Arial" w:cs="Arial"/>
                <w:b/>
                <w:bCs/>
                <w:spacing w:val="3"/>
                <w:sz w:val="20"/>
                <w:szCs w:val="18"/>
              </w:rPr>
              <w:t>n</w:t>
            </w:r>
            <w:r w:rsidRPr="00F94EBD">
              <w:rPr>
                <w:rFonts w:ascii="Arial" w:eastAsia="Arial" w:hAnsi="Arial" w:cs="Arial"/>
                <w:b/>
                <w:bCs/>
                <w:sz w:val="20"/>
                <w:szCs w:val="18"/>
              </w:rPr>
              <w:t xml:space="preserve">d </w:t>
            </w:r>
            <w:r w:rsidRPr="00F94EBD">
              <w:rPr>
                <w:rFonts w:ascii="Arial" w:eastAsia="Arial" w:hAnsi="Arial" w:cs="Arial"/>
                <w:b/>
                <w:bCs/>
                <w:spacing w:val="-12"/>
                <w:sz w:val="20"/>
                <w:szCs w:val="18"/>
              </w:rPr>
              <w:t>T</w:t>
            </w:r>
            <w:r w:rsidRPr="00F94EBD">
              <w:rPr>
                <w:rFonts w:ascii="Arial" w:eastAsia="Arial" w:hAnsi="Arial" w:cs="Arial"/>
                <w:b/>
                <w:bCs/>
                <w:spacing w:val="1"/>
                <w:sz w:val="20"/>
                <w:szCs w:val="18"/>
              </w:rPr>
              <w:t>o</w:t>
            </w:r>
            <w:r w:rsidRPr="00F94EBD">
              <w:rPr>
                <w:rFonts w:ascii="Arial" w:eastAsia="Arial" w:hAnsi="Arial" w:cs="Arial"/>
                <w:b/>
                <w:bCs/>
                <w:spacing w:val="3"/>
                <w:sz w:val="20"/>
                <w:szCs w:val="18"/>
              </w:rPr>
              <w:t>t</w:t>
            </w:r>
            <w:r w:rsidRPr="00F94EBD">
              <w:rPr>
                <w:rFonts w:ascii="Arial" w:eastAsia="Arial" w:hAnsi="Arial" w:cs="Arial"/>
                <w:b/>
                <w:bCs/>
                <w:spacing w:val="2"/>
                <w:sz w:val="20"/>
                <w:szCs w:val="18"/>
              </w:rPr>
              <w:t>a</w:t>
            </w:r>
            <w:r w:rsidRPr="00F94EBD">
              <w:rPr>
                <w:rFonts w:ascii="Arial" w:eastAsia="Arial" w:hAnsi="Arial" w:cs="Arial"/>
                <w:b/>
                <w:bCs/>
                <w:sz w:val="20"/>
                <w:szCs w:val="18"/>
              </w:rPr>
              <w:t>l</w:t>
            </w:r>
          </w:p>
        </w:tc>
        <w:tc>
          <w:tcPr>
            <w:tcW w:w="380" w:type="pct"/>
            <w:tcBorders>
              <w:top w:val="nil"/>
              <w:left w:val="single" w:sz="4" w:space="0" w:color="FFFFFF"/>
              <w:bottom w:val="nil"/>
              <w:right w:val="single" w:sz="4" w:space="0" w:color="FFFFFF"/>
            </w:tcBorders>
            <w:shd w:val="clear" w:color="auto" w:fill="C3D9DC"/>
            <w:vAlign w:val="center"/>
          </w:tcPr>
          <w:p w:rsidR="003C17D6" w:rsidRPr="00F94EBD" w:rsidRDefault="003C17D6" w:rsidP="00F94EBD">
            <w:pPr>
              <w:pStyle w:val="TableParagraph"/>
              <w:ind w:left="211"/>
              <w:jc w:val="center"/>
              <w:rPr>
                <w:rFonts w:ascii="Arial" w:eastAsia="Arial" w:hAnsi="Arial" w:cs="Arial"/>
                <w:sz w:val="20"/>
                <w:szCs w:val="18"/>
              </w:rPr>
            </w:pPr>
            <w:r w:rsidRPr="00F94EBD">
              <w:rPr>
                <w:rFonts w:ascii="Arial" w:eastAsia="Arial" w:hAnsi="Arial" w:cs="Arial"/>
                <w:b/>
                <w:bCs/>
                <w:spacing w:val="4"/>
                <w:sz w:val="20"/>
                <w:szCs w:val="18"/>
              </w:rPr>
              <w:t>5</w:t>
            </w:r>
            <w:r w:rsidRPr="00F94EBD">
              <w:rPr>
                <w:rFonts w:ascii="Arial" w:eastAsia="Arial" w:hAnsi="Arial" w:cs="Arial"/>
                <w:b/>
                <w:bCs/>
                <w:sz w:val="20"/>
                <w:szCs w:val="18"/>
              </w:rPr>
              <w:t>97</w:t>
            </w:r>
          </w:p>
        </w:tc>
        <w:tc>
          <w:tcPr>
            <w:tcW w:w="358" w:type="pct"/>
            <w:tcBorders>
              <w:top w:val="nil"/>
              <w:left w:val="single" w:sz="4" w:space="0" w:color="FFFFFF"/>
              <w:bottom w:val="nil"/>
              <w:right w:val="single" w:sz="4" w:space="0" w:color="FFFFFF"/>
            </w:tcBorders>
            <w:shd w:val="clear" w:color="auto" w:fill="C3D9DC"/>
            <w:vAlign w:val="center"/>
          </w:tcPr>
          <w:p w:rsidR="003C17D6" w:rsidRPr="00F94EBD" w:rsidRDefault="003C17D6" w:rsidP="00F94EBD">
            <w:pPr>
              <w:pStyle w:val="TableParagraph"/>
              <w:ind w:left="104"/>
              <w:jc w:val="center"/>
              <w:rPr>
                <w:rFonts w:ascii="Arial" w:eastAsia="Arial" w:hAnsi="Arial" w:cs="Arial"/>
                <w:sz w:val="20"/>
                <w:szCs w:val="18"/>
              </w:rPr>
            </w:pPr>
            <w:r w:rsidRPr="00F94EBD">
              <w:rPr>
                <w:rFonts w:ascii="Arial" w:eastAsia="Arial" w:hAnsi="Arial" w:cs="Arial"/>
                <w:spacing w:val="-9"/>
                <w:w w:val="105"/>
                <w:sz w:val="20"/>
                <w:szCs w:val="18"/>
              </w:rPr>
              <w:t>1</w:t>
            </w:r>
            <w:r w:rsidRPr="00F94EBD">
              <w:rPr>
                <w:rFonts w:ascii="Arial" w:eastAsia="Arial" w:hAnsi="Arial" w:cs="Arial"/>
                <w:spacing w:val="4"/>
                <w:w w:val="105"/>
                <w:sz w:val="20"/>
                <w:szCs w:val="18"/>
              </w:rPr>
              <w:t>00</w:t>
            </w:r>
            <w:r w:rsidRPr="00F94EBD">
              <w:rPr>
                <w:rFonts w:ascii="Arial" w:eastAsia="Arial" w:hAnsi="Arial" w:cs="Arial"/>
                <w:w w:val="105"/>
                <w:sz w:val="20"/>
                <w:szCs w:val="18"/>
              </w:rPr>
              <w:t>%</w:t>
            </w:r>
          </w:p>
        </w:tc>
        <w:tc>
          <w:tcPr>
            <w:tcW w:w="371" w:type="pct"/>
            <w:tcBorders>
              <w:top w:val="nil"/>
              <w:left w:val="single" w:sz="4" w:space="0" w:color="FFFFFF"/>
              <w:bottom w:val="nil"/>
              <w:right w:val="nil"/>
            </w:tcBorders>
            <w:shd w:val="clear" w:color="auto" w:fill="C3D9DC"/>
            <w:vAlign w:val="center"/>
          </w:tcPr>
          <w:p w:rsidR="003C17D6" w:rsidRPr="00F94EBD" w:rsidRDefault="003C17D6" w:rsidP="00F94EBD">
            <w:pPr>
              <w:pStyle w:val="TableParagraph"/>
              <w:ind w:left="157"/>
              <w:jc w:val="center"/>
              <w:rPr>
                <w:rFonts w:ascii="Arial" w:eastAsia="Arial" w:hAnsi="Arial" w:cs="Arial"/>
                <w:sz w:val="20"/>
                <w:szCs w:val="18"/>
              </w:rPr>
            </w:pPr>
            <w:r w:rsidRPr="00F94EBD">
              <w:rPr>
                <w:rFonts w:ascii="Arial" w:eastAsia="Arial" w:hAnsi="Arial" w:cs="Arial"/>
                <w:sz w:val="20"/>
                <w:szCs w:val="18"/>
              </w:rPr>
              <w:t>3</w:t>
            </w:r>
            <w:r w:rsidRPr="00F94EBD">
              <w:rPr>
                <w:rFonts w:ascii="Arial" w:eastAsia="Arial" w:hAnsi="Arial" w:cs="Arial"/>
                <w:spacing w:val="-1"/>
                <w:sz w:val="20"/>
                <w:szCs w:val="18"/>
              </w:rPr>
              <w:t>20</w:t>
            </w:r>
          </w:p>
        </w:tc>
        <w:tc>
          <w:tcPr>
            <w:tcW w:w="359" w:type="pct"/>
            <w:tcBorders>
              <w:top w:val="nil"/>
              <w:left w:val="nil"/>
              <w:bottom w:val="nil"/>
              <w:right w:val="single" w:sz="4" w:space="0" w:color="FFFFFF"/>
            </w:tcBorders>
            <w:shd w:val="clear" w:color="auto" w:fill="C3D9DC"/>
            <w:vAlign w:val="center"/>
          </w:tcPr>
          <w:p w:rsidR="003C17D6" w:rsidRPr="00F94EBD" w:rsidRDefault="003C17D6" w:rsidP="00F94EBD">
            <w:pPr>
              <w:pStyle w:val="TableParagraph"/>
              <w:ind w:left="80"/>
              <w:jc w:val="center"/>
              <w:rPr>
                <w:rFonts w:ascii="Arial" w:eastAsia="Arial" w:hAnsi="Arial" w:cs="Arial"/>
                <w:sz w:val="20"/>
                <w:szCs w:val="18"/>
              </w:rPr>
            </w:pPr>
            <w:r w:rsidRPr="00F94EBD">
              <w:rPr>
                <w:rFonts w:ascii="Arial" w:eastAsia="Arial" w:hAnsi="Arial" w:cs="Arial"/>
                <w:spacing w:val="-9"/>
                <w:w w:val="105"/>
                <w:sz w:val="20"/>
                <w:szCs w:val="18"/>
              </w:rPr>
              <w:t>1</w:t>
            </w:r>
            <w:r w:rsidRPr="00F94EBD">
              <w:rPr>
                <w:rFonts w:ascii="Arial" w:eastAsia="Arial" w:hAnsi="Arial" w:cs="Arial"/>
                <w:spacing w:val="4"/>
                <w:w w:val="105"/>
                <w:sz w:val="20"/>
                <w:szCs w:val="18"/>
              </w:rPr>
              <w:t>00</w:t>
            </w:r>
            <w:r w:rsidRPr="00F94EBD">
              <w:rPr>
                <w:rFonts w:ascii="Arial" w:eastAsia="Arial" w:hAnsi="Arial" w:cs="Arial"/>
                <w:w w:val="105"/>
                <w:sz w:val="20"/>
                <w:szCs w:val="18"/>
              </w:rPr>
              <w:t>%</w:t>
            </w:r>
          </w:p>
        </w:tc>
        <w:tc>
          <w:tcPr>
            <w:tcW w:w="371" w:type="pct"/>
            <w:tcBorders>
              <w:top w:val="nil"/>
              <w:left w:val="single" w:sz="4" w:space="0" w:color="FFFFFF"/>
              <w:bottom w:val="nil"/>
              <w:right w:val="nil"/>
            </w:tcBorders>
            <w:shd w:val="clear" w:color="auto" w:fill="C3D9DC"/>
            <w:vAlign w:val="center"/>
          </w:tcPr>
          <w:p w:rsidR="003C17D6" w:rsidRPr="00F94EBD" w:rsidRDefault="003C17D6" w:rsidP="00F94EBD">
            <w:pPr>
              <w:pStyle w:val="TableParagraph"/>
              <w:ind w:left="207"/>
              <w:jc w:val="center"/>
              <w:rPr>
                <w:rFonts w:ascii="Arial" w:eastAsia="Arial" w:hAnsi="Arial" w:cs="Arial"/>
                <w:sz w:val="20"/>
                <w:szCs w:val="18"/>
              </w:rPr>
            </w:pPr>
            <w:r w:rsidRPr="00F94EBD">
              <w:rPr>
                <w:rFonts w:ascii="Arial" w:eastAsia="Arial" w:hAnsi="Arial" w:cs="Arial"/>
                <w:spacing w:val="-1"/>
                <w:sz w:val="20"/>
                <w:szCs w:val="18"/>
              </w:rPr>
              <w:t>2</w:t>
            </w:r>
            <w:r w:rsidRPr="00F94EBD">
              <w:rPr>
                <w:rFonts w:ascii="Arial" w:eastAsia="Arial" w:hAnsi="Arial" w:cs="Arial"/>
                <w:spacing w:val="-6"/>
                <w:sz w:val="20"/>
                <w:szCs w:val="18"/>
              </w:rPr>
              <w:t>31</w:t>
            </w:r>
          </w:p>
        </w:tc>
        <w:tc>
          <w:tcPr>
            <w:tcW w:w="359" w:type="pct"/>
            <w:tcBorders>
              <w:top w:val="nil"/>
              <w:left w:val="nil"/>
              <w:bottom w:val="nil"/>
              <w:right w:val="single" w:sz="4" w:space="0" w:color="FFFFFF"/>
            </w:tcBorders>
            <w:shd w:val="clear" w:color="auto" w:fill="C3D9DC"/>
            <w:vAlign w:val="center"/>
          </w:tcPr>
          <w:p w:rsidR="003C17D6" w:rsidRPr="00F94EBD" w:rsidRDefault="003C17D6" w:rsidP="00F94EBD">
            <w:pPr>
              <w:pStyle w:val="TableParagraph"/>
              <w:ind w:left="90"/>
              <w:jc w:val="center"/>
              <w:rPr>
                <w:rFonts w:ascii="Arial" w:eastAsia="Arial" w:hAnsi="Arial" w:cs="Arial"/>
                <w:sz w:val="20"/>
                <w:szCs w:val="18"/>
              </w:rPr>
            </w:pPr>
            <w:r w:rsidRPr="00F94EBD">
              <w:rPr>
                <w:rFonts w:ascii="Arial" w:eastAsia="Arial" w:hAnsi="Arial" w:cs="Arial"/>
                <w:spacing w:val="-9"/>
                <w:w w:val="105"/>
                <w:sz w:val="20"/>
                <w:szCs w:val="18"/>
              </w:rPr>
              <w:t>1</w:t>
            </w:r>
            <w:r w:rsidRPr="00F94EBD">
              <w:rPr>
                <w:rFonts w:ascii="Arial" w:eastAsia="Arial" w:hAnsi="Arial" w:cs="Arial"/>
                <w:spacing w:val="4"/>
                <w:w w:val="105"/>
                <w:sz w:val="20"/>
                <w:szCs w:val="18"/>
              </w:rPr>
              <w:t>00</w:t>
            </w:r>
            <w:r w:rsidRPr="00F94EBD">
              <w:rPr>
                <w:rFonts w:ascii="Arial" w:eastAsia="Arial" w:hAnsi="Arial" w:cs="Arial"/>
                <w:w w:val="105"/>
                <w:sz w:val="20"/>
                <w:szCs w:val="18"/>
              </w:rPr>
              <w:t>%</w:t>
            </w:r>
          </w:p>
        </w:tc>
        <w:tc>
          <w:tcPr>
            <w:tcW w:w="371" w:type="pct"/>
            <w:tcBorders>
              <w:top w:val="nil"/>
              <w:left w:val="single" w:sz="4" w:space="0" w:color="FFFFFF"/>
              <w:bottom w:val="nil"/>
              <w:right w:val="single" w:sz="4" w:space="0" w:color="FFFFFF"/>
            </w:tcBorders>
            <w:shd w:val="clear" w:color="auto" w:fill="C3D9DC"/>
            <w:vAlign w:val="center"/>
          </w:tcPr>
          <w:p w:rsidR="003C17D6" w:rsidRPr="00F94EBD" w:rsidRDefault="003C17D6" w:rsidP="00F94EBD">
            <w:pPr>
              <w:pStyle w:val="TableParagraph"/>
              <w:ind w:right="2"/>
              <w:jc w:val="center"/>
              <w:rPr>
                <w:rFonts w:ascii="Arial" w:eastAsia="Arial" w:hAnsi="Arial" w:cs="Arial"/>
                <w:sz w:val="20"/>
                <w:szCs w:val="18"/>
              </w:rPr>
            </w:pPr>
            <w:r w:rsidRPr="00F94EBD">
              <w:rPr>
                <w:rFonts w:ascii="Arial" w:eastAsia="Arial" w:hAnsi="Arial" w:cs="Arial"/>
                <w:spacing w:val="-4"/>
                <w:sz w:val="20"/>
                <w:szCs w:val="18"/>
              </w:rPr>
              <w:t>87</w:t>
            </w:r>
          </w:p>
        </w:tc>
        <w:tc>
          <w:tcPr>
            <w:tcW w:w="359" w:type="pct"/>
            <w:tcBorders>
              <w:top w:val="nil"/>
              <w:left w:val="single" w:sz="4" w:space="0" w:color="FFFFFF"/>
              <w:bottom w:val="nil"/>
              <w:right w:val="single" w:sz="4" w:space="0" w:color="FFFFFF"/>
            </w:tcBorders>
            <w:shd w:val="clear" w:color="auto" w:fill="C3D9DC"/>
            <w:vAlign w:val="center"/>
          </w:tcPr>
          <w:p w:rsidR="003C17D6" w:rsidRPr="00F94EBD" w:rsidRDefault="003C17D6" w:rsidP="00F94EBD">
            <w:pPr>
              <w:pStyle w:val="TableParagraph"/>
              <w:ind w:left="94"/>
              <w:jc w:val="center"/>
              <w:rPr>
                <w:rFonts w:ascii="Arial" w:eastAsia="Arial" w:hAnsi="Arial" w:cs="Arial"/>
                <w:sz w:val="20"/>
                <w:szCs w:val="18"/>
              </w:rPr>
            </w:pPr>
            <w:r w:rsidRPr="00F94EBD">
              <w:rPr>
                <w:rFonts w:ascii="Arial" w:eastAsia="Arial" w:hAnsi="Arial" w:cs="Arial"/>
                <w:spacing w:val="-9"/>
                <w:w w:val="105"/>
                <w:sz w:val="20"/>
                <w:szCs w:val="18"/>
              </w:rPr>
              <w:t>1</w:t>
            </w:r>
            <w:r w:rsidRPr="00F94EBD">
              <w:rPr>
                <w:rFonts w:ascii="Arial" w:eastAsia="Arial" w:hAnsi="Arial" w:cs="Arial"/>
                <w:spacing w:val="4"/>
                <w:w w:val="105"/>
                <w:sz w:val="20"/>
                <w:szCs w:val="18"/>
              </w:rPr>
              <w:t>00</w:t>
            </w:r>
            <w:r w:rsidRPr="00F94EBD">
              <w:rPr>
                <w:rFonts w:ascii="Arial" w:eastAsia="Arial" w:hAnsi="Arial" w:cs="Arial"/>
                <w:w w:val="105"/>
                <w:sz w:val="20"/>
                <w:szCs w:val="18"/>
              </w:rPr>
              <w:t>%</w:t>
            </w:r>
          </w:p>
        </w:tc>
        <w:tc>
          <w:tcPr>
            <w:tcW w:w="371" w:type="pct"/>
            <w:tcBorders>
              <w:top w:val="nil"/>
              <w:left w:val="single" w:sz="4" w:space="0" w:color="FFFFFF"/>
              <w:bottom w:val="nil"/>
              <w:right w:val="single" w:sz="4" w:space="0" w:color="FFFFFF"/>
            </w:tcBorders>
            <w:shd w:val="clear" w:color="auto" w:fill="C3D9DC"/>
            <w:vAlign w:val="center"/>
          </w:tcPr>
          <w:p w:rsidR="003C17D6" w:rsidRPr="00F94EBD" w:rsidRDefault="003C17D6" w:rsidP="00F94EBD">
            <w:pPr>
              <w:pStyle w:val="TableParagraph"/>
              <w:ind w:left="252"/>
              <w:jc w:val="center"/>
              <w:rPr>
                <w:rFonts w:ascii="Arial" w:eastAsia="Arial" w:hAnsi="Arial" w:cs="Arial"/>
                <w:sz w:val="20"/>
                <w:szCs w:val="18"/>
              </w:rPr>
            </w:pPr>
            <w:r w:rsidRPr="00F94EBD">
              <w:rPr>
                <w:rFonts w:ascii="Arial" w:eastAsia="Arial" w:hAnsi="Arial" w:cs="Arial"/>
                <w:spacing w:val="1"/>
                <w:sz w:val="20"/>
                <w:szCs w:val="18"/>
              </w:rPr>
              <w:t>5</w:t>
            </w:r>
            <w:r w:rsidRPr="00F94EBD">
              <w:rPr>
                <w:rFonts w:ascii="Arial" w:eastAsia="Arial" w:hAnsi="Arial" w:cs="Arial"/>
                <w:spacing w:val="3"/>
                <w:sz w:val="20"/>
                <w:szCs w:val="18"/>
              </w:rPr>
              <w:t>60</w:t>
            </w:r>
            <w:r w:rsidRPr="00F94EBD">
              <w:rPr>
                <w:rFonts w:ascii="Arial" w:eastAsia="Arial" w:hAnsi="Arial" w:cs="Arial"/>
                <w:sz w:val="20"/>
                <w:szCs w:val="18"/>
              </w:rPr>
              <w:t>3</w:t>
            </w:r>
          </w:p>
        </w:tc>
        <w:tc>
          <w:tcPr>
            <w:tcW w:w="371" w:type="pct"/>
            <w:tcBorders>
              <w:top w:val="nil"/>
              <w:left w:val="single" w:sz="4" w:space="0" w:color="FFFFFF"/>
              <w:bottom w:val="nil"/>
              <w:right w:val="single" w:sz="4" w:space="0" w:color="FFFFFF"/>
            </w:tcBorders>
            <w:shd w:val="clear" w:color="auto" w:fill="C3D9DC"/>
            <w:vAlign w:val="center"/>
          </w:tcPr>
          <w:p w:rsidR="003C17D6" w:rsidRPr="00F94EBD" w:rsidRDefault="003C17D6" w:rsidP="00F94EBD">
            <w:pPr>
              <w:pStyle w:val="TableParagraph"/>
              <w:ind w:left="167"/>
              <w:jc w:val="center"/>
              <w:rPr>
                <w:rFonts w:ascii="Arial" w:eastAsia="Arial" w:hAnsi="Arial" w:cs="Arial"/>
                <w:sz w:val="20"/>
                <w:szCs w:val="18"/>
              </w:rPr>
            </w:pPr>
            <w:r w:rsidRPr="00F94EBD">
              <w:rPr>
                <w:rFonts w:ascii="Arial" w:eastAsia="Arial" w:hAnsi="Arial" w:cs="Arial"/>
                <w:spacing w:val="-2"/>
                <w:sz w:val="20"/>
                <w:szCs w:val="18"/>
              </w:rPr>
              <w:t>5</w:t>
            </w:r>
            <w:r w:rsidRPr="00F94EBD">
              <w:rPr>
                <w:rFonts w:ascii="Arial" w:eastAsia="Arial" w:hAnsi="Arial" w:cs="Arial"/>
                <w:spacing w:val="-3"/>
                <w:sz w:val="20"/>
                <w:szCs w:val="18"/>
              </w:rPr>
              <w:t>2</w:t>
            </w:r>
            <w:r w:rsidRPr="00F94EBD">
              <w:rPr>
                <w:rFonts w:ascii="Arial" w:eastAsia="Arial" w:hAnsi="Arial" w:cs="Arial"/>
                <w:sz w:val="20"/>
                <w:szCs w:val="18"/>
              </w:rPr>
              <w:t>59</w:t>
            </w:r>
          </w:p>
        </w:tc>
        <w:tc>
          <w:tcPr>
            <w:tcW w:w="371" w:type="pct"/>
            <w:tcBorders>
              <w:top w:val="nil"/>
              <w:left w:val="single" w:sz="4" w:space="0" w:color="FFFFFF"/>
              <w:bottom w:val="nil"/>
              <w:right w:val="single" w:sz="4" w:space="0" w:color="FFFFFF"/>
            </w:tcBorders>
            <w:shd w:val="clear" w:color="auto" w:fill="C3D9DC"/>
            <w:vAlign w:val="center"/>
          </w:tcPr>
          <w:p w:rsidR="003C17D6" w:rsidRPr="00F94EBD" w:rsidRDefault="003C17D6" w:rsidP="00F94EBD">
            <w:pPr>
              <w:pStyle w:val="TableParagraph"/>
              <w:ind w:left="128"/>
              <w:jc w:val="center"/>
              <w:rPr>
                <w:rFonts w:ascii="Arial" w:eastAsia="Arial" w:hAnsi="Arial" w:cs="Arial"/>
                <w:sz w:val="20"/>
                <w:szCs w:val="18"/>
              </w:rPr>
            </w:pPr>
            <w:r w:rsidRPr="00F94EBD">
              <w:rPr>
                <w:rFonts w:ascii="Arial" w:eastAsia="Arial" w:hAnsi="Arial" w:cs="Arial"/>
                <w:spacing w:val="-9"/>
                <w:sz w:val="20"/>
                <w:szCs w:val="18"/>
              </w:rPr>
              <w:t>5</w:t>
            </w:r>
            <w:r w:rsidRPr="00F94EBD">
              <w:rPr>
                <w:rFonts w:ascii="Arial" w:eastAsia="Arial" w:hAnsi="Arial" w:cs="Arial"/>
                <w:spacing w:val="-13"/>
                <w:sz w:val="20"/>
                <w:szCs w:val="18"/>
              </w:rPr>
              <w:t>1</w:t>
            </w:r>
            <w:r w:rsidRPr="00F94EBD">
              <w:rPr>
                <w:rFonts w:ascii="Arial" w:eastAsia="Arial" w:hAnsi="Arial" w:cs="Arial"/>
                <w:spacing w:val="-3"/>
                <w:sz w:val="20"/>
                <w:szCs w:val="18"/>
              </w:rPr>
              <w:t>7</w:t>
            </w:r>
            <w:r w:rsidRPr="00F94EBD">
              <w:rPr>
                <w:rFonts w:ascii="Arial" w:eastAsia="Arial" w:hAnsi="Arial" w:cs="Arial"/>
                <w:sz w:val="20"/>
                <w:szCs w:val="18"/>
              </w:rPr>
              <w:t>8</w:t>
            </w:r>
          </w:p>
        </w:tc>
        <w:tc>
          <w:tcPr>
            <w:tcW w:w="369" w:type="pct"/>
            <w:tcBorders>
              <w:top w:val="nil"/>
              <w:left w:val="single" w:sz="4" w:space="0" w:color="FFFFFF"/>
              <w:bottom w:val="nil"/>
              <w:right w:val="nil"/>
            </w:tcBorders>
            <w:shd w:val="clear" w:color="auto" w:fill="C3D9DC"/>
            <w:vAlign w:val="center"/>
          </w:tcPr>
          <w:p w:rsidR="003C17D6" w:rsidRPr="00F94EBD" w:rsidRDefault="003C17D6" w:rsidP="00F94EBD">
            <w:pPr>
              <w:pStyle w:val="TableParagraph"/>
              <w:ind w:left="133"/>
              <w:jc w:val="center"/>
              <w:rPr>
                <w:rFonts w:ascii="Arial" w:eastAsia="Arial" w:hAnsi="Arial" w:cs="Arial"/>
                <w:sz w:val="20"/>
                <w:szCs w:val="18"/>
              </w:rPr>
            </w:pPr>
            <w:r w:rsidRPr="00F94EBD">
              <w:rPr>
                <w:rFonts w:ascii="Arial" w:eastAsia="Arial" w:hAnsi="Arial" w:cs="Arial"/>
                <w:spacing w:val="-1"/>
                <w:sz w:val="20"/>
                <w:szCs w:val="18"/>
              </w:rPr>
              <w:t>2</w:t>
            </w:r>
            <w:r w:rsidRPr="00F94EBD">
              <w:rPr>
                <w:rFonts w:ascii="Arial" w:eastAsia="Arial" w:hAnsi="Arial" w:cs="Arial"/>
                <w:spacing w:val="2"/>
                <w:sz w:val="20"/>
                <w:szCs w:val="18"/>
              </w:rPr>
              <w:t>65</w:t>
            </w:r>
            <w:r w:rsidRPr="00F94EBD">
              <w:rPr>
                <w:rFonts w:ascii="Arial" w:eastAsia="Arial" w:hAnsi="Arial" w:cs="Arial"/>
                <w:sz w:val="20"/>
                <w:szCs w:val="18"/>
              </w:rPr>
              <w:t>4</w:t>
            </w:r>
          </w:p>
        </w:tc>
      </w:tr>
    </w:tbl>
    <w:p w:rsidR="00F94EBD" w:rsidRPr="00F94EBD" w:rsidRDefault="00F94EBD" w:rsidP="00F94EBD">
      <w:pPr>
        <w:pStyle w:val="Tablenote"/>
      </w:pPr>
      <w:r w:rsidRPr="00F94EBD">
        <w:rPr>
          <w:rStyle w:val="FootnoteReference"/>
          <w:sz w:val="18"/>
        </w:rPr>
        <w:footnoteRef/>
      </w:r>
      <w:r w:rsidRPr="00F94EBD">
        <w:t xml:space="preserve"> Workplace Agreements Database, Department of Employment.</w:t>
      </w:r>
    </w:p>
    <w:p w:rsidR="00BF61FC" w:rsidRDefault="00BF61FC">
      <w:r>
        <w:br w:type="page"/>
      </w:r>
    </w:p>
    <w:p w:rsidR="00BF61FC" w:rsidRDefault="00BF61FC" w:rsidP="00BF61FC">
      <w:pPr>
        <w:pStyle w:val="Caption"/>
        <w:keepNext/>
      </w:pPr>
      <w:r w:rsidRPr="004852E2">
        <w:lastRenderedPageBreak/>
        <w:t>Non-greenfields agreements approved from 1/11/13 - 3</w:t>
      </w:r>
      <w:r>
        <w:t>0/6/17, by ANZSIC Division Name</w:t>
      </w:r>
      <w:r>
        <w:rPr>
          <w:rStyle w:val="FootnoteReference"/>
        </w:rPr>
        <w:footnoteReference w:id="91"/>
      </w:r>
    </w:p>
    <w:tbl>
      <w:tblPr>
        <w:tblW w:w="5000" w:type="pct"/>
        <w:tblInd w:w="104" w:type="dxa"/>
        <w:tblLayout w:type="fixed"/>
        <w:tblCellMar>
          <w:left w:w="0" w:type="dxa"/>
          <w:right w:w="0" w:type="dxa"/>
        </w:tblCellMar>
        <w:tblLook w:val="01E0" w:firstRow="1" w:lastRow="1" w:firstColumn="1" w:lastColumn="1" w:noHBand="0" w:noVBand="0"/>
        <w:tblCaption w:val="Non-greenfields agreements approved by Australian and New Zealand Standard Industrial Classification (ANZSIC) and period approved – from 1 November 2013 to 30 June 2017."/>
        <w:tblDescription w:val="This table provides a high level overview showing that the industries where an approved non-greenfields agreement is most used over the past four years. These are Construction, Manufacturing, Health Care and Social Assistance, Transport, Postal and Warehousing, Education and Training, Public Administration and Safety, and Wholesale Trade. Although Construction is still a primary user of enterprise agreements, as with greenfields agreements, it accounts for a much smaller proportion of non-greenfields agreements over the past four years, than it does of greenfields agreements. "/>
      </w:tblPr>
      <w:tblGrid>
        <w:gridCol w:w="1716"/>
        <w:gridCol w:w="1057"/>
        <w:gridCol w:w="1057"/>
        <w:gridCol w:w="1057"/>
        <w:gridCol w:w="1057"/>
        <w:gridCol w:w="1057"/>
        <w:gridCol w:w="1057"/>
        <w:gridCol w:w="1057"/>
        <w:gridCol w:w="1057"/>
        <w:gridCol w:w="1057"/>
        <w:gridCol w:w="1057"/>
        <w:gridCol w:w="1057"/>
        <w:gridCol w:w="1057"/>
      </w:tblGrid>
      <w:tr w:rsidR="00CB193F" w:rsidTr="00CB193F">
        <w:trPr>
          <w:tblHeader/>
        </w:trPr>
        <w:tc>
          <w:tcPr>
            <w:tcW w:w="1716" w:type="dxa"/>
            <w:tcBorders>
              <w:top w:val="nil"/>
              <w:left w:val="nil"/>
              <w:bottom w:val="single" w:sz="4" w:space="0" w:color="797979"/>
              <w:right w:val="single" w:sz="2" w:space="0" w:color="000000"/>
            </w:tcBorders>
            <w:shd w:val="clear" w:color="auto" w:fill="006D68"/>
            <w:vAlign w:val="center"/>
          </w:tcPr>
          <w:p w:rsidR="00F94EBD" w:rsidRPr="00CB193F" w:rsidRDefault="00F94EBD" w:rsidP="00CB193F">
            <w:pPr>
              <w:rPr>
                <w:color w:val="FFFFFF" w:themeColor="background1"/>
              </w:rPr>
            </w:pPr>
            <w:r w:rsidRPr="00CB193F">
              <w:rPr>
                <w:color w:val="FFFFFF" w:themeColor="background1"/>
              </w:rPr>
              <w:t>ANZSIC Division Name</w:t>
            </w:r>
          </w:p>
        </w:tc>
        <w:tc>
          <w:tcPr>
            <w:tcW w:w="1057" w:type="dxa"/>
            <w:tcBorders>
              <w:top w:val="nil"/>
              <w:left w:val="single" w:sz="2" w:space="0" w:color="000000"/>
              <w:bottom w:val="single" w:sz="4" w:space="0" w:color="797979"/>
              <w:right w:val="single" w:sz="2" w:space="0" w:color="000000"/>
            </w:tcBorders>
            <w:shd w:val="clear" w:color="auto" w:fill="006D68"/>
            <w:vAlign w:val="center"/>
          </w:tcPr>
          <w:p w:rsidR="00F94EBD" w:rsidRPr="00CB193F" w:rsidRDefault="00F94EBD" w:rsidP="00F94EBD">
            <w:pPr>
              <w:jc w:val="center"/>
              <w:rPr>
                <w:color w:val="FFFFFF" w:themeColor="background1"/>
              </w:rPr>
            </w:pPr>
            <w:r w:rsidRPr="00CB193F">
              <w:rPr>
                <w:color w:val="FFFFFF" w:themeColor="background1"/>
              </w:rPr>
              <w:t>Non-greenfields agreements approved Nov 2013 - Oct 2014</w:t>
            </w:r>
          </w:p>
        </w:tc>
        <w:tc>
          <w:tcPr>
            <w:tcW w:w="1057" w:type="dxa"/>
            <w:tcBorders>
              <w:top w:val="nil"/>
              <w:left w:val="single" w:sz="2" w:space="0" w:color="000000"/>
              <w:bottom w:val="single" w:sz="4" w:space="0" w:color="797979"/>
              <w:right w:val="single" w:sz="2" w:space="0" w:color="000000"/>
            </w:tcBorders>
            <w:shd w:val="clear" w:color="auto" w:fill="006D68"/>
            <w:vAlign w:val="center"/>
          </w:tcPr>
          <w:p w:rsidR="00F94EBD" w:rsidRPr="00CB193F" w:rsidRDefault="00F94EBD" w:rsidP="00F94EBD">
            <w:pPr>
              <w:jc w:val="center"/>
              <w:rPr>
                <w:color w:val="FFFFFF" w:themeColor="background1"/>
              </w:rPr>
            </w:pPr>
            <w:r w:rsidRPr="00CB193F">
              <w:rPr>
                <w:color w:val="FFFFFF" w:themeColor="background1"/>
              </w:rPr>
              <w:t>% of total non-greenfields for the same period</w:t>
            </w:r>
          </w:p>
        </w:tc>
        <w:tc>
          <w:tcPr>
            <w:tcW w:w="1057" w:type="dxa"/>
            <w:tcBorders>
              <w:top w:val="nil"/>
              <w:left w:val="single" w:sz="2" w:space="0" w:color="000000"/>
              <w:bottom w:val="single" w:sz="4" w:space="0" w:color="797979"/>
              <w:right w:val="single" w:sz="2" w:space="0" w:color="000000"/>
            </w:tcBorders>
            <w:shd w:val="clear" w:color="auto" w:fill="006D68"/>
            <w:vAlign w:val="center"/>
          </w:tcPr>
          <w:p w:rsidR="00F94EBD" w:rsidRPr="00CB193F" w:rsidRDefault="00F94EBD" w:rsidP="00F94EBD">
            <w:pPr>
              <w:jc w:val="center"/>
              <w:rPr>
                <w:color w:val="FFFFFF" w:themeColor="background1"/>
              </w:rPr>
            </w:pPr>
            <w:r w:rsidRPr="00CB193F">
              <w:rPr>
                <w:color w:val="FFFFFF" w:themeColor="background1"/>
              </w:rPr>
              <w:t>Non-greenfields agreements approved Nov 2014 - Oct 2015</w:t>
            </w:r>
          </w:p>
        </w:tc>
        <w:tc>
          <w:tcPr>
            <w:tcW w:w="1057" w:type="dxa"/>
            <w:tcBorders>
              <w:top w:val="nil"/>
              <w:left w:val="single" w:sz="2" w:space="0" w:color="000000"/>
              <w:bottom w:val="single" w:sz="4" w:space="0" w:color="797979"/>
              <w:right w:val="single" w:sz="2" w:space="0" w:color="000000"/>
            </w:tcBorders>
            <w:shd w:val="clear" w:color="auto" w:fill="006D68"/>
            <w:vAlign w:val="center"/>
          </w:tcPr>
          <w:p w:rsidR="00F94EBD" w:rsidRPr="00CB193F" w:rsidRDefault="00F94EBD" w:rsidP="00F94EBD">
            <w:pPr>
              <w:jc w:val="center"/>
              <w:rPr>
                <w:color w:val="FFFFFF" w:themeColor="background1"/>
              </w:rPr>
            </w:pPr>
            <w:r w:rsidRPr="00CB193F">
              <w:rPr>
                <w:color w:val="FFFFFF" w:themeColor="background1"/>
              </w:rPr>
              <w:t>% of total non-greenfields for the same period</w:t>
            </w:r>
          </w:p>
        </w:tc>
        <w:tc>
          <w:tcPr>
            <w:tcW w:w="1057" w:type="dxa"/>
            <w:tcBorders>
              <w:top w:val="nil"/>
              <w:left w:val="single" w:sz="2" w:space="0" w:color="000000"/>
              <w:bottom w:val="single" w:sz="4" w:space="0" w:color="797979"/>
              <w:right w:val="single" w:sz="2" w:space="0" w:color="000000"/>
            </w:tcBorders>
            <w:shd w:val="clear" w:color="auto" w:fill="006D68"/>
            <w:vAlign w:val="center"/>
          </w:tcPr>
          <w:p w:rsidR="00F94EBD" w:rsidRPr="00CB193F" w:rsidRDefault="00F94EBD" w:rsidP="00F94EBD">
            <w:pPr>
              <w:jc w:val="center"/>
              <w:rPr>
                <w:color w:val="FFFFFF" w:themeColor="background1"/>
              </w:rPr>
            </w:pPr>
            <w:r w:rsidRPr="00CB193F">
              <w:rPr>
                <w:color w:val="FFFFFF" w:themeColor="background1"/>
              </w:rPr>
              <w:t>Non-greenfields agreements approved Nov 2015 - Oct 2016</w:t>
            </w:r>
          </w:p>
        </w:tc>
        <w:tc>
          <w:tcPr>
            <w:tcW w:w="1057" w:type="dxa"/>
            <w:tcBorders>
              <w:top w:val="nil"/>
              <w:left w:val="single" w:sz="2" w:space="0" w:color="000000"/>
              <w:bottom w:val="single" w:sz="4" w:space="0" w:color="797979"/>
              <w:right w:val="single" w:sz="2" w:space="0" w:color="000000"/>
            </w:tcBorders>
            <w:shd w:val="clear" w:color="auto" w:fill="006D68"/>
            <w:vAlign w:val="center"/>
          </w:tcPr>
          <w:p w:rsidR="00F94EBD" w:rsidRPr="00CB193F" w:rsidRDefault="00F94EBD" w:rsidP="00F94EBD">
            <w:pPr>
              <w:jc w:val="center"/>
              <w:rPr>
                <w:color w:val="FFFFFF" w:themeColor="background1"/>
              </w:rPr>
            </w:pPr>
            <w:r w:rsidRPr="00CB193F">
              <w:rPr>
                <w:color w:val="FFFFFF" w:themeColor="background1"/>
              </w:rPr>
              <w:t>% of total non-greenfields for the same period</w:t>
            </w:r>
          </w:p>
        </w:tc>
        <w:tc>
          <w:tcPr>
            <w:tcW w:w="1057" w:type="dxa"/>
            <w:tcBorders>
              <w:top w:val="nil"/>
              <w:left w:val="single" w:sz="2" w:space="0" w:color="000000"/>
              <w:bottom w:val="single" w:sz="4" w:space="0" w:color="797979"/>
              <w:right w:val="single" w:sz="2" w:space="0" w:color="000000"/>
            </w:tcBorders>
            <w:shd w:val="clear" w:color="auto" w:fill="006D68"/>
            <w:vAlign w:val="center"/>
          </w:tcPr>
          <w:p w:rsidR="00F94EBD" w:rsidRPr="00CB193F" w:rsidRDefault="00F94EBD" w:rsidP="00F94EBD">
            <w:pPr>
              <w:jc w:val="center"/>
              <w:rPr>
                <w:color w:val="FFFFFF" w:themeColor="background1"/>
              </w:rPr>
            </w:pPr>
            <w:r w:rsidRPr="00CB193F">
              <w:rPr>
                <w:color w:val="FFFFFF" w:themeColor="background1"/>
              </w:rPr>
              <w:t>Non-greenfields agreements approved Nov 2016 - Jun 2017</w:t>
            </w:r>
          </w:p>
        </w:tc>
        <w:tc>
          <w:tcPr>
            <w:tcW w:w="1057" w:type="dxa"/>
            <w:tcBorders>
              <w:top w:val="nil"/>
              <w:left w:val="single" w:sz="2" w:space="0" w:color="000000"/>
              <w:bottom w:val="single" w:sz="4" w:space="0" w:color="797979"/>
              <w:right w:val="nil"/>
            </w:tcBorders>
            <w:shd w:val="clear" w:color="auto" w:fill="006D68"/>
            <w:vAlign w:val="center"/>
          </w:tcPr>
          <w:p w:rsidR="00F94EBD" w:rsidRPr="00CB193F" w:rsidRDefault="00F94EBD" w:rsidP="00F94EBD">
            <w:pPr>
              <w:jc w:val="center"/>
              <w:rPr>
                <w:color w:val="FFFFFF" w:themeColor="background1"/>
              </w:rPr>
            </w:pPr>
            <w:r w:rsidRPr="00CB193F">
              <w:rPr>
                <w:color w:val="FFFFFF" w:themeColor="background1"/>
              </w:rPr>
              <w:t>% of total non-greenfields for the same period</w:t>
            </w:r>
          </w:p>
        </w:tc>
        <w:tc>
          <w:tcPr>
            <w:tcW w:w="1057" w:type="dxa"/>
            <w:tcBorders>
              <w:top w:val="nil"/>
              <w:left w:val="nil"/>
              <w:bottom w:val="nil"/>
              <w:right w:val="single" w:sz="2" w:space="0" w:color="FFFFFF"/>
            </w:tcBorders>
            <w:shd w:val="clear" w:color="auto" w:fill="006D68"/>
            <w:vAlign w:val="center"/>
          </w:tcPr>
          <w:p w:rsidR="00F94EBD" w:rsidRPr="00CB193F" w:rsidRDefault="00F94EBD" w:rsidP="00F94EBD">
            <w:pPr>
              <w:jc w:val="center"/>
              <w:rPr>
                <w:color w:val="FFFFFF" w:themeColor="background1"/>
              </w:rPr>
            </w:pPr>
            <w:r w:rsidRPr="00CB193F">
              <w:rPr>
                <w:color w:val="FFFFFF" w:themeColor="background1"/>
              </w:rPr>
              <w:t>Total agreements approved Nov 2013 - Oct 2014</w:t>
            </w:r>
          </w:p>
        </w:tc>
        <w:tc>
          <w:tcPr>
            <w:tcW w:w="1057" w:type="dxa"/>
            <w:tcBorders>
              <w:top w:val="nil"/>
              <w:left w:val="single" w:sz="2" w:space="0" w:color="FFFFFF"/>
              <w:bottom w:val="nil"/>
              <w:right w:val="nil"/>
            </w:tcBorders>
            <w:shd w:val="clear" w:color="auto" w:fill="006D68"/>
            <w:vAlign w:val="center"/>
          </w:tcPr>
          <w:p w:rsidR="00F94EBD" w:rsidRPr="00CB193F" w:rsidRDefault="00F94EBD" w:rsidP="00F94EBD">
            <w:pPr>
              <w:jc w:val="center"/>
              <w:rPr>
                <w:color w:val="FFFFFF" w:themeColor="background1"/>
              </w:rPr>
            </w:pPr>
            <w:r w:rsidRPr="00CB193F">
              <w:rPr>
                <w:color w:val="FFFFFF" w:themeColor="background1"/>
              </w:rPr>
              <w:t>Total agreements approved Nov 2014 - Oct 2015</w:t>
            </w:r>
          </w:p>
        </w:tc>
        <w:tc>
          <w:tcPr>
            <w:tcW w:w="1057" w:type="dxa"/>
            <w:tcBorders>
              <w:top w:val="nil"/>
              <w:left w:val="nil"/>
              <w:bottom w:val="nil"/>
              <w:right w:val="single" w:sz="2" w:space="0" w:color="FFFFFF"/>
            </w:tcBorders>
            <w:shd w:val="clear" w:color="auto" w:fill="006D68"/>
            <w:vAlign w:val="center"/>
          </w:tcPr>
          <w:p w:rsidR="00F94EBD" w:rsidRPr="00CB193F" w:rsidRDefault="00F94EBD" w:rsidP="00F94EBD">
            <w:pPr>
              <w:jc w:val="center"/>
              <w:rPr>
                <w:color w:val="FFFFFF" w:themeColor="background1"/>
              </w:rPr>
            </w:pPr>
            <w:r w:rsidRPr="00CB193F">
              <w:rPr>
                <w:color w:val="FFFFFF" w:themeColor="background1"/>
              </w:rPr>
              <w:t>Total agreements approved Nov 2015 - Oct 2016</w:t>
            </w:r>
          </w:p>
        </w:tc>
        <w:tc>
          <w:tcPr>
            <w:tcW w:w="1057" w:type="dxa"/>
            <w:tcBorders>
              <w:top w:val="nil"/>
              <w:left w:val="single" w:sz="2" w:space="0" w:color="FFFFFF"/>
              <w:bottom w:val="nil"/>
              <w:right w:val="nil"/>
            </w:tcBorders>
            <w:shd w:val="clear" w:color="auto" w:fill="006D68"/>
            <w:vAlign w:val="center"/>
          </w:tcPr>
          <w:p w:rsidR="00F94EBD" w:rsidRPr="00CB193F" w:rsidRDefault="00F94EBD" w:rsidP="00F94EBD">
            <w:pPr>
              <w:jc w:val="center"/>
              <w:rPr>
                <w:color w:val="FFFFFF" w:themeColor="background1"/>
              </w:rPr>
            </w:pPr>
            <w:r w:rsidRPr="00CB193F">
              <w:rPr>
                <w:color w:val="FFFFFF" w:themeColor="background1"/>
              </w:rPr>
              <w:t>Total agreements approved Nov 2016 - Jun 17</w:t>
            </w:r>
          </w:p>
        </w:tc>
      </w:tr>
      <w:tr w:rsidR="003C17D6" w:rsidTr="00CB193F">
        <w:tc>
          <w:tcPr>
            <w:tcW w:w="1716" w:type="dxa"/>
            <w:tcBorders>
              <w:top w:val="nil"/>
              <w:left w:val="nil"/>
              <w:bottom w:val="single" w:sz="4" w:space="0" w:color="797979"/>
              <w:right w:val="single" w:sz="2" w:space="0" w:color="000000"/>
            </w:tcBorders>
            <w:vAlign w:val="center"/>
          </w:tcPr>
          <w:p w:rsidR="003C17D6" w:rsidRDefault="003C17D6" w:rsidP="00CB193F">
            <w:pPr>
              <w:pStyle w:val="TableParagraph"/>
              <w:spacing w:before="52"/>
              <w:ind w:left="80"/>
              <w:rPr>
                <w:rFonts w:ascii="Arial" w:eastAsia="Arial" w:hAnsi="Arial" w:cs="Arial"/>
                <w:sz w:val="18"/>
                <w:szCs w:val="18"/>
              </w:rPr>
            </w:pPr>
            <w:r>
              <w:rPr>
                <w:rFonts w:ascii="Arial" w:eastAsia="Arial" w:hAnsi="Arial" w:cs="Arial"/>
                <w:sz w:val="18"/>
                <w:szCs w:val="18"/>
              </w:rPr>
              <w:t>A</w:t>
            </w:r>
            <w:r>
              <w:rPr>
                <w:rFonts w:ascii="Arial" w:eastAsia="Arial" w:hAnsi="Arial" w:cs="Arial"/>
                <w:spacing w:val="1"/>
                <w:sz w:val="18"/>
                <w:szCs w:val="18"/>
              </w:rPr>
              <w:t>cc</w:t>
            </w:r>
            <w:r>
              <w:rPr>
                <w:rFonts w:ascii="Arial" w:eastAsia="Arial" w:hAnsi="Arial" w:cs="Arial"/>
                <w:sz w:val="18"/>
                <w:szCs w:val="18"/>
              </w:rPr>
              <w:t>omm</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5"/>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5"/>
                <w:sz w:val="18"/>
                <w:szCs w:val="18"/>
              </w:rPr>
              <w:t xml:space="preserve"> </w:t>
            </w:r>
            <w:r>
              <w:rPr>
                <w:rFonts w:ascii="Arial" w:eastAsia="Arial" w:hAnsi="Arial" w:cs="Arial"/>
                <w:spacing w:val="-3"/>
                <w:sz w:val="18"/>
                <w:szCs w:val="18"/>
              </w:rPr>
              <w:t>F</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5"/>
                <w:sz w:val="18"/>
                <w:szCs w:val="18"/>
              </w:rPr>
              <w:t xml:space="preserve"> </w:t>
            </w:r>
            <w:r>
              <w:rPr>
                <w:rFonts w:ascii="Arial" w:eastAsia="Arial" w:hAnsi="Arial" w:cs="Arial"/>
                <w:spacing w:val="2"/>
                <w:sz w:val="18"/>
                <w:szCs w:val="18"/>
              </w:rPr>
              <w:t>Se</w:t>
            </w:r>
            <w:r>
              <w:rPr>
                <w:rFonts w:ascii="Arial" w:eastAsia="Arial" w:hAnsi="Arial" w:cs="Arial"/>
                <w:spacing w:val="7"/>
                <w:sz w:val="18"/>
                <w:szCs w:val="18"/>
              </w:rPr>
              <w:t>r</w:t>
            </w:r>
            <w:r>
              <w:rPr>
                <w:rFonts w:ascii="Arial" w:eastAsia="Arial" w:hAnsi="Arial" w:cs="Arial"/>
                <w:spacing w:val="1"/>
                <w:sz w:val="18"/>
                <w:szCs w:val="18"/>
              </w:rPr>
              <w:t>vic</w:t>
            </w:r>
            <w:r>
              <w:rPr>
                <w:rFonts w:ascii="Arial" w:eastAsia="Arial" w:hAnsi="Arial" w:cs="Arial"/>
                <w:spacing w:val="2"/>
                <w:sz w:val="18"/>
                <w:szCs w:val="18"/>
              </w:rPr>
              <w:t>e</w:t>
            </w:r>
            <w:r>
              <w:rPr>
                <w:rFonts w:ascii="Arial" w:eastAsia="Arial" w:hAnsi="Arial" w:cs="Arial"/>
                <w:sz w:val="18"/>
                <w:szCs w:val="18"/>
              </w:rPr>
              <w:t>s</w:t>
            </w:r>
          </w:p>
        </w:tc>
        <w:tc>
          <w:tcPr>
            <w:tcW w:w="1057" w:type="dxa"/>
            <w:tcBorders>
              <w:top w:val="nil"/>
              <w:left w:val="single" w:sz="2" w:space="0" w:color="000000"/>
              <w:bottom w:val="single" w:sz="4" w:space="0" w:color="797979"/>
              <w:right w:val="single" w:sz="2" w:space="0" w:color="000000"/>
            </w:tcBorders>
            <w:vAlign w:val="center"/>
          </w:tcPr>
          <w:p w:rsidR="003C17D6" w:rsidRDefault="003C17D6" w:rsidP="00F94EBD">
            <w:pPr>
              <w:pStyle w:val="TableParagraph"/>
              <w:spacing w:before="52"/>
              <w:ind w:left="221"/>
              <w:jc w:val="center"/>
              <w:rPr>
                <w:rFonts w:ascii="Arial" w:eastAsia="Arial" w:hAnsi="Arial" w:cs="Arial"/>
                <w:sz w:val="18"/>
                <w:szCs w:val="18"/>
              </w:rPr>
            </w:pPr>
            <w:r>
              <w:rPr>
                <w:rFonts w:ascii="Arial" w:eastAsia="Arial" w:hAnsi="Arial" w:cs="Arial"/>
                <w:spacing w:val="-11"/>
                <w:sz w:val="18"/>
                <w:szCs w:val="18"/>
              </w:rPr>
              <w:t>1</w:t>
            </w:r>
            <w:r>
              <w:rPr>
                <w:rFonts w:ascii="Arial" w:eastAsia="Arial" w:hAnsi="Arial" w:cs="Arial"/>
                <w:spacing w:val="-1"/>
                <w:sz w:val="18"/>
                <w:szCs w:val="18"/>
              </w:rPr>
              <w:t>4</w:t>
            </w:r>
            <w:r>
              <w:rPr>
                <w:rFonts w:ascii="Arial" w:eastAsia="Arial" w:hAnsi="Arial" w:cs="Arial"/>
                <w:sz w:val="18"/>
                <w:szCs w:val="18"/>
              </w:rPr>
              <w:t>2</w:t>
            </w:r>
          </w:p>
        </w:tc>
        <w:tc>
          <w:tcPr>
            <w:tcW w:w="1057" w:type="dxa"/>
            <w:tcBorders>
              <w:top w:val="nil"/>
              <w:left w:val="single" w:sz="2" w:space="0" w:color="000000"/>
              <w:bottom w:val="single" w:sz="4" w:space="0" w:color="797979"/>
              <w:right w:val="single" w:sz="2" w:space="0" w:color="000000"/>
            </w:tcBorders>
            <w:vAlign w:val="center"/>
          </w:tcPr>
          <w:p w:rsidR="003C17D6" w:rsidRDefault="003C17D6" w:rsidP="00F94EBD">
            <w:pPr>
              <w:pStyle w:val="TableParagraph"/>
              <w:spacing w:before="52"/>
              <w:ind w:left="206"/>
              <w:jc w:val="center"/>
              <w:rPr>
                <w:rFonts w:ascii="Arial" w:eastAsia="Arial" w:hAnsi="Arial" w:cs="Arial"/>
                <w:sz w:val="18"/>
                <w:szCs w:val="18"/>
              </w:rPr>
            </w:pPr>
            <w:r>
              <w:rPr>
                <w:rFonts w:ascii="Arial" w:eastAsia="Arial" w:hAnsi="Arial" w:cs="Arial"/>
                <w:spacing w:val="1"/>
                <w:w w:val="105"/>
                <w:sz w:val="18"/>
                <w:szCs w:val="18"/>
              </w:rPr>
              <w:t>3%</w:t>
            </w:r>
          </w:p>
        </w:tc>
        <w:tc>
          <w:tcPr>
            <w:tcW w:w="1057" w:type="dxa"/>
            <w:tcBorders>
              <w:top w:val="nil"/>
              <w:left w:val="single" w:sz="2" w:space="0" w:color="000000"/>
              <w:bottom w:val="single" w:sz="4" w:space="0" w:color="797979"/>
              <w:right w:val="single" w:sz="2" w:space="0" w:color="000000"/>
            </w:tcBorders>
            <w:vAlign w:val="center"/>
          </w:tcPr>
          <w:p w:rsidR="003C17D6" w:rsidRDefault="003C17D6" w:rsidP="00F94EBD">
            <w:pPr>
              <w:pStyle w:val="TableParagraph"/>
              <w:spacing w:before="52"/>
              <w:jc w:val="center"/>
              <w:rPr>
                <w:rFonts w:ascii="Arial" w:eastAsia="Arial" w:hAnsi="Arial" w:cs="Arial"/>
                <w:sz w:val="18"/>
                <w:szCs w:val="18"/>
              </w:rPr>
            </w:pPr>
            <w:r>
              <w:rPr>
                <w:rFonts w:ascii="Arial" w:eastAsia="Arial" w:hAnsi="Arial" w:cs="Arial"/>
                <w:spacing w:val="-9"/>
                <w:sz w:val="18"/>
                <w:szCs w:val="18"/>
              </w:rPr>
              <w:t>1</w:t>
            </w:r>
            <w:r>
              <w:rPr>
                <w:rFonts w:ascii="Arial" w:eastAsia="Arial" w:hAnsi="Arial" w:cs="Arial"/>
                <w:spacing w:val="-1"/>
                <w:sz w:val="18"/>
                <w:szCs w:val="18"/>
              </w:rPr>
              <w:t>2</w:t>
            </w:r>
            <w:r>
              <w:rPr>
                <w:rFonts w:ascii="Arial" w:eastAsia="Arial" w:hAnsi="Arial" w:cs="Arial"/>
                <w:sz w:val="18"/>
                <w:szCs w:val="18"/>
              </w:rPr>
              <w:t>0</w:t>
            </w:r>
          </w:p>
        </w:tc>
        <w:tc>
          <w:tcPr>
            <w:tcW w:w="1057" w:type="dxa"/>
            <w:tcBorders>
              <w:top w:val="nil"/>
              <w:left w:val="single" w:sz="2" w:space="0" w:color="000000"/>
              <w:bottom w:val="single" w:sz="4" w:space="0" w:color="797979"/>
              <w:right w:val="single" w:sz="2" w:space="0" w:color="000000"/>
            </w:tcBorders>
            <w:vAlign w:val="center"/>
          </w:tcPr>
          <w:p w:rsidR="003C17D6" w:rsidRDefault="003C17D6" w:rsidP="00F94EBD">
            <w:pPr>
              <w:pStyle w:val="TableParagraph"/>
              <w:spacing w:before="52"/>
              <w:ind w:left="208"/>
              <w:jc w:val="center"/>
              <w:rPr>
                <w:rFonts w:ascii="Arial" w:eastAsia="Arial" w:hAnsi="Arial" w:cs="Arial"/>
                <w:sz w:val="18"/>
                <w:szCs w:val="18"/>
              </w:rPr>
            </w:pPr>
            <w:r>
              <w:rPr>
                <w:rFonts w:ascii="Arial" w:eastAsia="Arial" w:hAnsi="Arial" w:cs="Arial"/>
                <w:w w:val="105"/>
                <w:sz w:val="18"/>
                <w:szCs w:val="18"/>
              </w:rPr>
              <w:t>2%</w:t>
            </w:r>
          </w:p>
        </w:tc>
        <w:tc>
          <w:tcPr>
            <w:tcW w:w="1057" w:type="dxa"/>
            <w:tcBorders>
              <w:top w:val="nil"/>
              <w:left w:val="single" w:sz="2" w:space="0" w:color="000000"/>
              <w:bottom w:val="single" w:sz="4" w:space="0" w:color="797979"/>
              <w:right w:val="single" w:sz="2" w:space="0" w:color="000000"/>
            </w:tcBorders>
            <w:vAlign w:val="center"/>
          </w:tcPr>
          <w:p w:rsidR="003C17D6" w:rsidRDefault="003C17D6" w:rsidP="00F94EBD">
            <w:pPr>
              <w:pStyle w:val="TableParagraph"/>
              <w:spacing w:before="52"/>
              <w:ind w:left="259" w:right="256"/>
              <w:jc w:val="center"/>
              <w:rPr>
                <w:rFonts w:ascii="Arial" w:eastAsia="Arial" w:hAnsi="Arial" w:cs="Arial"/>
                <w:sz w:val="18"/>
                <w:szCs w:val="18"/>
              </w:rPr>
            </w:pPr>
            <w:r>
              <w:rPr>
                <w:rFonts w:ascii="Arial" w:eastAsia="Arial" w:hAnsi="Arial" w:cs="Arial"/>
                <w:spacing w:val="2"/>
                <w:sz w:val="18"/>
                <w:szCs w:val="18"/>
              </w:rPr>
              <w:t>98</w:t>
            </w:r>
          </w:p>
        </w:tc>
        <w:tc>
          <w:tcPr>
            <w:tcW w:w="1057" w:type="dxa"/>
            <w:tcBorders>
              <w:top w:val="nil"/>
              <w:left w:val="single" w:sz="2" w:space="0" w:color="000000"/>
              <w:bottom w:val="single" w:sz="4" w:space="0" w:color="797979"/>
              <w:right w:val="single" w:sz="2" w:space="0" w:color="000000"/>
            </w:tcBorders>
            <w:vAlign w:val="center"/>
          </w:tcPr>
          <w:p w:rsidR="003C17D6" w:rsidRDefault="003C17D6" w:rsidP="00F94EBD">
            <w:pPr>
              <w:pStyle w:val="TableParagraph"/>
              <w:spacing w:before="52"/>
              <w:ind w:left="202"/>
              <w:jc w:val="center"/>
              <w:rPr>
                <w:rFonts w:ascii="Arial" w:eastAsia="Arial" w:hAnsi="Arial" w:cs="Arial"/>
                <w:sz w:val="18"/>
                <w:szCs w:val="18"/>
              </w:rPr>
            </w:pPr>
            <w:r>
              <w:rPr>
                <w:rFonts w:ascii="Arial" w:eastAsia="Arial" w:hAnsi="Arial" w:cs="Arial"/>
                <w:w w:val="105"/>
                <w:sz w:val="18"/>
                <w:szCs w:val="18"/>
              </w:rPr>
              <w:t>2%</w:t>
            </w:r>
          </w:p>
        </w:tc>
        <w:tc>
          <w:tcPr>
            <w:tcW w:w="1057" w:type="dxa"/>
            <w:tcBorders>
              <w:top w:val="nil"/>
              <w:left w:val="single" w:sz="2" w:space="0" w:color="000000"/>
              <w:bottom w:val="single" w:sz="4" w:space="0" w:color="797979"/>
              <w:right w:val="single" w:sz="2" w:space="0" w:color="000000"/>
            </w:tcBorders>
            <w:vAlign w:val="center"/>
          </w:tcPr>
          <w:p w:rsidR="003C17D6" w:rsidRDefault="003C17D6" w:rsidP="00F94EBD">
            <w:pPr>
              <w:pStyle w:val="TableParagraph"/>
              <w:spacing w:before="52"/>
              <w:ind w:left="199" w:right="196"/>
              <w:jc w:val="center"/>
              <w:rPr>
                <w:rFonts w:ascii="Arial" w:eastAsia="Arial" w:hAnsi="Arial" w:cs="Arial"/>
                <w:sz w:val="18"/>
                <w:szCs w:val="18"/>
              </w:rPr>
            </w:pPr>
            <w:r>
              <w:rPr>
                <w:rFonts w:ascii="Arial" w:eastAsia="Arial" w:hAnsi="Arial" w:cs="Arial"/>
                <w:spacing w:val="1"/>
                <w:sz w:val="18"/>
                <w:szCs w:val="18"/>
              </w:rPr>
              <w:t>53</w:t>
            </w:r>
          </w:p>
        </w:tc>
        <w:tc>
          <w:tcPr>
            <w:tcW w:w="1057" w:type="dxa"/>
            <w:tcBorders>
              <w:top w:val="nil"/>
              <w:left w:val="single" w:sz="2" w:space="0" w:color="000000"/>
              <w:bottom w:val="single" w:sz="4" w:space="0" w:color="797979"/>
              <w:right w:val="nil"/>
            </w:tcBorders>
            <w:vAlign w:val="center"/>
          </w:tcPr>
          <w:p w:rsidR="003C17D6" w:rsidRDefault="003C17D6" w:rsidP="00F94EBD">
            <w:pPr>
              <w:pStyle w:val="TableParagraph"/>
              <w:spacing w:before="52"/>
              <w:ind w:left="197"/>
              <w:jc w:val="center"/>
              <w:rPr>
                <w:rFonts w:ascii="Arial" w:eastAsia="Arial" w:hAnsi="Arial" w:cs="Arial"/>
                <w:sz w:val="18"/>
                <w:szCs w:val="18"/>
              </w:rPr>
            </w:pPr>
            <w:r>
              <w:rPr>
                <w:rFonts w:ascii="Arial" w:eastAsia="Arial" w:hAnsi="Arial" w:cs="Arial"/>
                <w:w w:val="105"/>
                <w:sz w:val="18"/>
                <w:szCs w:val="18"/>
              </w:rPr>
              <w:t>2%</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48"/>
              <w:jc w:val="center"/>
              <w:rPr>
                <w:rFonts w:ascii="Arial" w:eastAsia="Arial" w:hAnsi="Arial" w:cs="Arial"/>
                <w:sz w:val="18"/>
                <w:szCs w:val="18"/>
              </w:rPr>
            </w:pPr>
            <w:r>
              <w:rPr>
                <w:rFonts w:ascii="Arial" w:eastAsia="Arial" w:hAnsi="Arial" w:cs="Arial"/>
                <w:spacing w:val="-11"/>
                <w:sz w:val="18"/>
                <w:szCs w:val="18"/>
              </w:rPr>
              <w:t>1</w:t>
            </w:r>
            <w:r>
              <w:rPr>
                <w:rFonts w:ascii="Arial" w:eastAsia="Arial" w:hAnsi="Arial" w:cs="Arial"/>
                <w:spacing w:val="1"/>
                <w:sz w:val="18"/>
                <w:szCs w:val="18"/>
              </w:rPr>
              <w:t>4</w:t>
            </w:r>
            <w:r>
              <w:rPr>
                <w:rFonts w:ascii="Arial" w:eastAsia="Arial" w:hAnsi="Arial" w:cs="Arial"/>
                <w:sz w:val="18"/>
                <w:szCs w:val="18"/>
              </w:rPr>
              <w:t>6</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left="157"/>
              <w:jc w:val="center"/>
              <w:rPr>
                <w:rFonts w:ascii="Arial" w:eastAsia="Arial" w:hAnsi="Arial" w:cs="Arial"/>
                <w:sz w:val="18"/>
                <w:szCs w:val="18"/>
              </w:rPr>
            </w:pPr>
            <w:r>
              <w:rPr>
                <w:rFonts w:ascii="Arial" w:eastAsia="Arial" w:hAnsi="Arial" w:cs="Arial"/>
                <w:spacing w:val="-9"/>
                <w:sz w:val="18"/>
                <w:szCs w:val="18"/>
              </w:rPr>
              <w:t>1</w:t>
            </w:r>
            <w:r>
              <w:rPr>
                <w:rFonts w:ascii="Arial" w:eastAsia="Arial" w:hAnsi="Arial" w:cs="Arial"/>
                <w:spacing w:val="-6"/>
                <w:sz w:val="18"/>
                <w:szCs w:val="18"/>
              </w:rPr>
              <w:t>2</w:t>
            </w:r>
            <w:r>
              <w:rPr>
                <w:rFonts w:ascii="Arial" w:eastAsia="Arial" w:hAnsi="Arial" w:cs="Arial"/>
                <w:sz w:val="18"/>
                <w:szCs w:val="18"/>
              </w:rPr>
              <w:t>4</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53"/>
              <w:jc w:val="center"/>
              <w:rPr>
                <w:rFonts w:ascii="Arial" w:eastAsia="Arial" w:hAnsi="Arial" w:cs="Arial"/>
                <w:sz w:val="18"/>
                <w:szCs w:val="18"/>
              </w:rPr>
            </w:pPr>
            <w:r>
              <w:rPr>
                <w:rFonts w:ascii="Arial" w:eastAsia="Arial" w:hAnsi="Arial" w:cs="Arial"/>
                <w:spacing w:val="-8"/>
                <w:sz w:val="18"/>
                <w:szCs w:val="18"/>
              </w:rPr>
              <w:t>1</w:t>
            </w:r>
            <w:r>
              <w:rPr>
                <w:rFonts w:ascii="Arial" w:eastAsia="Arial" w:hAnsi="Arial" w:cs="Arial"/>
                <w:spacing w:val="-4"/>
                <w:sz w:val="18"/>
                <w:szCs w:val="18"/>
              </w:rPr>
              <w:t>0</w:t>
            </w:r>
            <w:r>
              <w:rPr>
                <w:rFonts w:ascii="Arial" w:eastAsia="Arial" w:hAnsi="Arial" w:cs="Arial"/>
                <w:sz w:val="18"/>
                <w:szCs w:val="18"/>
              </w:rPr>
              <w:t>1</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left="199"/>
              <w:jc w:val="center"/>
              <w:rPr>
                <w:rFonts w:ascii="Arial" w:eastAsia="Arial" w:hAnsi="Arial" w:cs="Arial"/>
                <w:sz w:val="18"/>
                <w:szCs w:val="18"/>
              </w:rPr>
            </w:pPr>
            <w:r>
              <w:rPr>
                <w:rFonts w:ascii="Arial" w:eastAsia="Arial" w:hAnsi="Arial" w:cs="Arial"/>
                <w:spacing w:val="1"/>
                <w:sz w:val="18"/>
                <w:szCs w:val="18"/>
              </w:rPr>
              <w:t>53</w:t>
            </w:r>
          </w:p>
        </w:tc>
      </w:tr>
      <w:tr w:rsidR="003C17D6" w:rsidTr="00CB193F">
        <w:tc>
          <w:tcPr>
            <w:tcW w:w="1716" w:type="dxa"/>
            <w:tcBorders>
              <w:top w:val="single" w:sz="4" w:space="0" w:color="797979"/>
              <w:left w:val="nil"/>
              <w:bottom w:val="single" w:sz="4" w:space="0" w:color="797979"/>
              <w:right w:val="single" w:sz="2" w:space="0" w:color="000000"/>
            </w:tcBorders>
            <w:vAlign w:val="center"/>
          </w:tcPr>
          <w:p w:rsidR="003C17D6" w:rsidRDefault="003C17D6" w:rsidP="00CB193F">
            <w:pPr>
              <w:pStyle w:val="TableParagraph"/>
              <w:spacing w:before="47"/>
              <w:ind w:left="80"/>
              <w:rPr>
                <w:rFonts w:ascii="Arial" w:eastAsia="Arial" w:hAnsi="Arial" w:cs="Arial"/>
                <w:sz w:val="18"/>
                <w:szCs w:val="18"/>
              </w:rPr>
            </w:pPr>
            <w:r>
              <w:rPr>
                <w:rFonts w:ascii="Arial" w:eastAsia="Arial" w:hAnsi="Arial" w:cs="Arial"/>
                <w:sz w:val="18"/>
                <w:szCs w:val="18"/>
              </w:rPr>
              <w:t>Adm</w:t>
            </w:r>
            <w:r>
              <w:rPr>
                <w:rFonts w:ascii="Arial" w:eastAsia="Arial" w:hAnsi="Arial" w:cs="Arial"/>
                <w:spacing w:val="1"/>
                <w:sz w:val="18"/>
                <w:szCs w:val="18"/>
              </w:rPr>
              <w:t>ini</w:t>
            </w:r>
            <w:r>
              <w:rPr>
                <w:rFonts w:ascii="Arial" w:eastAsia="Arial" w:hAnsi="Arial" w:cs="Arial"/>
                <w:spacing w:val="2"/>
                <w:sz w:val="18"/>
                <w:szCs w:val="18"/>
              </w:rPr>
              <w:t>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v</w:t>
            </w:r>
            <w:r>
              <w:rPr>
                <w:rFonts w:ascii="Arial" w:eastAsia="Arial" w:hAnsi="Arial" w:cs="Arial"/>
                <w:sz w:val="18"/>
                <w:szCs w:val="18"/>
              </w:rPr>
              <w:t>e</w:t>
            </w:r>
            <w:r>
              <w:rPr>
                <w:rFonts w:ascii="Arial" w:eastAsia="Arial" w:hAnsi="Arial" w:cs="Arial"/>
                <w:spacing w:val="10"/>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0"/>
                <w:sz w:val="18"/>
                <w:szCs w:val="18"/>
              </w:rPr>
              <w:t xml:space="preserve"> </w:t>
            </w:r>
            <w:r>
              <w:rPr>
                <w:rFonts w:ascii="Arial" w:eastAsia="Arial" w:hAnsi="Arial" w:cs="Arial"/>
                <w:spacing w:val="1"/>
                <w:sz w:val="18"/>
                <w:szCs w:val="18"/>
              </w:rPr>
              <w:t>Su</w:t>
            </w:r>
            <w:r>
              <w:rPr>
                <w:rFonts w:ascii="Arial" w:eastAsia="Arial" w:hAnsi="Arial" w:cs="Arial"/>
                <w:sz w:val="18"/>
                <w:szCs w:val="18"/>
              </w:rPr>
              <w:t>p</w:t>
            </w:r>
            <w:r>
              <w:rPr>
                <w:rFonts w:ascii="Arial" w:eastAsia="Arial" w:hAnsi="Arial" w:cs="Arial"/>
                <w:spacing w:val="1"/>
                <w:sz w:val="18"/>
                <w:szCs w:val="18"/>
              </w:rPr>
              <w:t>p</w:t>
            </w:r>
            <w:r>
              <w:rPr>
                <w:rFonts w:ascii="Arial" w:eastAsia="Arial" w:hAnsi="Arial" w:cs="Arial"/>
                <w:sz w:val="18"/>
                <w:szCs w:val="18"/>
              </w:rPr>
              <w:t>o</w:t>
            </w:r>
            <w:r>
              <w:rPr>
                <w:rFonts w:ascii="Arial" w:eastAsia="Arial" w:hAnsi="Arial" w:cs="Arial"/>
                <w:spacing w:val="7"/>
                <w:sz w:val="18"/>
                <w:szCs w:val="18"/>
              </w:rPr>
              <w:t>r</w:t>
            </w:r>
            <w:r>
              <w:rPr>
                <w:rFonts w:ascii="Arial" w:eastAsia="Arial" w:hAnsi="Arial" w:cs="Arial"/>
                <w:sz w:val="18"/>
                <w:szCs w:val="18"/>
              </w:rPr>
              <w:t>t</w:t>
            </w:r>
            <w:r>
              <w:rPr>
                <w:rFonts w:ascii="Arial" w:eastAsia="Arial" w:hAnsi="Arial" w:cs="Arial"/>
                <w:spacing w:val="11"/>
                <w:sz w:val="18"/>
                <w:szCs w:val="18"/>
              </w:rPr>
              <w:t xml:space="preserve"> </w:t>
            </w:r>
            <w:r>
              <w:rPr>
                <w:rFonts w:ascii="Arial" w:eastAsia="Arial" w:hAnsi="Arial" w:cs="Arial"/>
                <w:spacing w:val="2"/>
                <w:sz w:val="18"/>
                <w:szCs w:val="18"/>
              </w:rPr>
              <w:t>Se</w:t>
            </w:r>
            <w:r>
              <w:rPr>
                <w:rFonts w:ascii="Arial" w:eastAsia="Arial" w:hAnsi="Arial" w:cs="Arial"/>
                <w:spacing w:val="7"/>
                <w:sz w:val="18"/>
                <w:szCs w:val="18"/>
              </w:rPr>
              <w:t>r</w:t>
            </w:r>
            <w:r>
              <w:rPr>
                <w:rFonts w:ascii="Arial" w:eastAsia="Arial" w:hAnsi="Arial" w:cs="Arial"/>
                <w:spacing w:val="1"/>
                <w:sz w:val="18"/>
                <w:szCs w:val="18"/>
              </w:rPr>
              <w:t>vic</w:t>
            </w:r>
            <w:r>
              <w:rPr>
                <w:rFonts w:ascii="Arial" w:eastAsia="Arial" w:hAnsi="Arial" w:cs="Arial"/>
                <w:spacing w:val="2"/>
                <w:sz w:val="18"/>
                <w:szCs w:val="18"/>
              </w:rPr>
              <w:t>e</w:t>
            </w:r>
            <w:r>
              <w:rPr>
                <w:rFonts w:ascii="Arial" w:eastAsia="Arial" w:hAnsi="Arial" w:cs="Arial"/>
                <w:sz w:val="18"/>
                <w:szCs w:val="18"/>
              </w:rPr>
              <w:t>s</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19"/>
              <w:jc w:val="center"/>
              <w:rPr>
                <w:rFonts w:ascii="Arial" w:eastAsia="Arial" w:hAnsi="Arial" w:cs="Arial"/>
                <w:sz w:val="18"/>
                <w:szCs w:val="18"/>
              </w:rPr>
            </w:pPr>
            <w:r>
              <w:rPr>
                <w:rFonts w:ascii="Arial" w:eastAsia="Arial" w:hAnsi="Arial" w:cs="Arial"/>
                <w:spacing w:val="-8"/>
                <w:sz w:val="18"/>
                <w:szCs w:val="18"/>
              </w:rPr>
              <w:t>1</w:t>
            </w:r>
            <w:r>
              <w:rPr>
                <w:rFonts w:ascii="Arial" w:eastAsia="Arial" w:hAnsi="Arial" w:cs="Arial"/>
                <w:spacing w:val="1"/>
                <w:sz w:val="18"/>
                <w:szCs w:val="18"/>
              </w:rPr>
              <w:t>9</w:t>
            </w:r>
            <w:r>
              <w:rPr>
                <w:rFonts w:ascii="Arial" w:eastAsia="Arial" w:hAnsi="Arial" w:cs="Arial"/>
                <w:sz w:val="18"/>
                <w:szCs w:val="18"/>
              </w:rPr>
              <w:t>2</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07"/>
              <w:jc w:val="center"/>
              <w:rPr>
                <w:rFonts w:ascii="Arial" w:eastAsia="Arial" w:hAnsi="Arial" w:cs="Arial"/>
                <w:sz w:val="18"/>
                <w:szCs w:val="18"/>
              </w:rPr>
            </w:pPr>
            <w:r>
              <w:rPr>
                <w:rFonts w:ascii="Arial" w:eastAsia="Arial" w:hAnsi="Arial" w:cs="Arial"/>
                <w:spacing w:val="-1"/>
                <w:w w:val="105"/>
                <w:sz w:val="18"/>
                <w:szCs w:val="18"/>
              </w:rPr>
              <w:t>4%</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jc w:val="center"/>
              <w:rPr>
                <w:rFonts w:ascii="Arial" w:eastAsia="Arial" w:hAnsi="Arial" w:cs="Arial"/>
                <w:sz w:val="18"/>
                <w:szCs w:val="18"/>
              </w:rPr>
            </w:pPr>
            <w:r>
              <w:rPr>
                <w:rFonts w:ascii="Arial" w:eastAsia="Arial" w:hAnsi="Arial" w:cs="Arial"/>
                <w:spacing w:val="-13"/>
                <w:sz w:val="18"/>
                <w:szCs w:val="18"/>
              </w:rPr>
              <w:t>1</w:t>
            </w:r>
            <w:r>
              <w:rPr>
                <w:rFonts w:ascii="Arial" w:eastAsia="Arial" w:hAnsi="Arial" w:cs="Arial"/>
                <w:spacing w:val="-2"/>
                <w:sz w:val="18"/>
                <w:szCs w:val="18"/>
              </w:rPr>
              <w:t>7</w:t>
            </w:r>
            <w:r>
              <w:rPr>
                <w:rFonts w:ascii="Arial" w:eastAsia="Arial" w:hAnsi="Arial" w:cs="Arial"/>
                <w:sz w:val="18"/>
                <w:szCs w:val="18"/>
              </w:rPr>
              <w:t>3</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09"/>
              <w:jc w:val="center"/>
              <w:rPr>
                <w:rFonts w:ascii="Arial" w:eastAsia="Arial" w:hAnsi="Arial" w:cs="Arial"/>
                <w:sz w:val="18"/>
                <w:szCs w:val="18"/>
              </w:rPr>
            </w:pPr>
            <w:r>
              <w:rPr>
                <w:rFonts w:ascii="Arial" w:eastAsia="Arial" w:hAnsi="Arial" w:cs="Arial"/>
                <w:spacing w:val="-1"/>
                <w:w w:val="105"/>
                <w:sz w:val="18"/>
                <w:szCs w:val="18"/>
              </w:rPr>
              <w:t>4%</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34"/>
              <w:jc w:val="center"/>
              <w:rPr>
                <w:rFonts w:ascii="Arial" w:eastAsia="Arial" w:hAnsi="Arial" w:cs="Arial"/>
                <w:sz w:val="18"/>
                <w:szCs w:val="18"/>
              </w:rPr>
            </w:pPr>
            <w:r>
              <w:rPr>
                <w:rFonts w:ascii="Arial" w:eastAsia="Arial" w:hAnsi="Arial" w:cs="Arial"/>
                <w:spacing w:val="-9"/>
                <w:sz w:val="18"/>
                <w:szCs w:val="18"/>
              </w:rPr>
              <w:t>1</w:t>
            </w:r>
            <w:r>
              <w:rPr>
                <w:rFonts w:ascii="Arial" w:eastAsia="Arial" w:hAnsi="Arial" w:cs="Arial"/>
                <w:sz w:val="18"/>
                <w:szCs w:val="18"/>
              </w:rPr>
              <w:t>50</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01"/>
              <w:jc w:val="center"/>
              <w:rPr>
                <w:rFonts w:ascii="Arial" w:eastAsia="Arial" w:hAnsi="Arial" w:cs="Arial"/>
                <w:sz w:val="18"/>
                <w:szCs w:val="18"/>
              </w:rPr>
            </w:pPr>
            <w:r>
              <w:rPr>
                <w:rFonts w:ascii="Arial" w:eastAsia="Arial" w:hAnsi="Arial" w:cs="Arial"/>
                <w:spacing w:val="1"/>
                <w:w w:val="105"/>
                <w:sz w:val="18"/>
                <w:szCs w:val="18"/>
              </w:rPr>
              <w:t>3%</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199" w:right="196"/>
              <w:jc w:val="center"/>
              <w:rPr>
                <w:rFonts w:ascii="Arial" w:eastAsia="Arial" w:hAnsi="Arial" w:cs="Arial"/>
                <w:sz w:val="18"/>
                <w:szCs w:val="18"/>
              </w:rPr>
            </w:pPr>
            <w:r>
              <w:rPr>
                <w:rFonts w:ascii="Arial" w:eastAsia="Arial" w:hAnsi="Arial" w:cs="Arial"/>
                <w:spacing w:val="1"/>
                <w:sz w:val="18"/>
                <w:szCs w:val="18"/>
              </w:rPr>
              <w:t>82</w:t>
            </w:r>
          </w:p>
        </w:tc>
        <w:tc>
          <w:tcPr>
            <w:tcW w:w="1057" w:type="dxa"/>
            <w:tcBorders>
              <w:top w:val="single" w:sz="4" w:space="0" w:color="797979"/>
              <w:left w:val="single" w:sz="2" w:space="0" w:color="000000"/>
              <w:bottom w:val="single" w:sz="4" w:space="0" w:color="797979"/>
              <w:right w:val="nil"/>
            </w:tcBorders>
            <w:vAlign w:val="center"/>
          </w:tcPr>
          <w:p w:rsidR="003C17D6" w:rsidRDefault="003C17D6" w:rsidP="00F94EBD">
            <w:pPr>
              <w:pStyle w:val="TableParagraph"/>
              <w:spacing w:before="47"/>
              <w:ind w:left="197"/>
              <w:jc w:val="center"/>
              <w:rPr>
                <w:rFonts w:ascii="Arial" w:eastAsia="Arial" w:hAnsi="Arial" w:cs="Arial"/>
                <w:sz w:val="18"/>
                <w:szCs w:val="18"/>
              </w:rPr>
            </w:pPr>
            <w:r>
              <w:rPr>
                <w:rFonts w:ascii="Arial" w:eastAsia="Arial" w:hAnsi="Arial" w:cs="Arial"/>
                <w:spacing w:val="1"/>
                <w:w w:val="105"/>
                <w:sz w:val="18"/>
                <w:szCs w:val="18"/>
              </w:rPr>
              <w:t>3%</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45"/>
              <w:jc w:val="center"/>
              <w:rPr>
                <w:rFonts w:ascii="Arial" w:eastAsia="Arial" w:hAnsi="Arial" w:cs="Arial"/>
                <w:sz w:val="18"/>
                <w:szCs w:val="18"/>
              </w:rPr>
            </w:pPr>
            <w:r>
              <w:rPr>
                <w:rFonts w:ascii="Arial" w:eastAsia="Arial" w:hAnsi="Arial" w:cs="Arial"/>
                <w:spacing w:val="-6"/>
                <w:sz w:val="18"/>
                <w:szCs w:val="18"/>
              </w:rPr>
              <w:t>2</w:t>
            </w:r>
            <w:r>
              <w:rPr>
                <w:rFonts w:ascii="Arial" w:eastAsia="Arial" w:hAnsi="Arial" w:cs="Arial"/>
                <w:spacing w:val="1"/>
                <w:sz w:val="18"/>
                <w:szCs w:val="18"/>
              </w:rPr>
              <w:t>4</w:t>
            </w:r>
            <w:r>
              <w:rPr>
                <w:rFonts w:ascii="Arial" w:eastAsia="Arial" w:hAnsi="Arial" w:cs="Arial"/>
                <w:sz w:val="18"/>
                <w:szCs w:val="18"/>
              </w:rPr>
              <w:t>0</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left="152"/>
              <w:jc w:val="center"/>
              <w:rPr>
                <w:rFonts w:ascii="Arial" w:eastAsia="Arial" w:hAnsi="Arial" w:cs="Arial"/>
                <w:sz w:val="18"/>
                <w:szCs w:val="18"/>
              </w:rPr>
            </w:pPr>
            <w:r>
              <w:rPr>
                <w:rFonts w:ascii="Arial" w:eastAsia="Arial" w:hAnsi="Arial" w:cs="Arial"/>
                <w:spacing w:val="-1"/>
                <w:sz w:val="18"/>
                <w:szCs w:val="18"/>
              </w:rPr>
              <w:t>2</w:t>
            </w:r>
            <w:r>
              <w:rPr>
                <w:rFonts w:ascii="Arial" w:eastAsia="Arial" w:hAnsi="Arial" w:cs="Arial"/>
                <w:spacing w:val="-4"/>
                <w:sz w:val="18"/>
                <w:szCs w:val="18"/>
              </w:rPr>
              <w:t>01</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50"/>
              <w:jc w:val="center"/>
              <w:rPr>
                <w:rFonts w:ascii="Arial" w:eastAsia="Arial" w:hAnsi="Arial" w:cs="Arial"/>
                <w:sz w:val="18"/>
                <w:szCs w:val="18"/>
              </w:rPr>
            </w:pPr>
            <w:r>
              <w:rPr>
                <w:rFonts w:ascii="Arial" w:eastAsia="Arial" w:hAnsi="Arial" w:cs="Arial"/>
                <w:spacing w:val="-8"/>
                <w:sz w:val="18"/>
                <w:szCs w:val="18"/>
              </w:rPr>
              <w:t>1</w:t>
            </w:r>
            <w:r>
              <w:rPr>
                <w:rFonts w:ascii="Arial" w:eastAsia="Arial" w:hAnsi="Arial" w:cs="Arial"/>
                <w:spacing w:val="2"/>
                <w:sz w:val="18"/>
                <w:szCs w:val="18"/>
              </w:rPr>
              <w:t>6</w:t>
            </w:r>
            <w:r>
              <w:rPr>
                <w:rFonts w:ascii="Arial" w:eastAsia="Arial" w:hAnsi="Arial" w:cs="Arial"/>
                <w:sz w:val="18"/>
                <w:szCs w:val="18"/>
              </w:rPr>
              <w:t>9</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left="199"/>
              <w:jc w:val="center"/>
              <w:rPr>
                <w:rFonts w:ascii="Arial" w:eastAsia="Arial" w:hAnsi="Arial" w:cs="Arial"/>
                <w:sz w:val="18"/>
                <w:szCs w:val="18"/>
              </w:rPr>
            </w:pPr>
            <w:r>
              <w:rPr>
                <w:rFonts w:ascii="Arial" w:eastAsia="Arial" w:hAnsi="Arial" w:cs="Arial"/>
                <w:spacing w:val="2"/>
                <w:sz w:val="18"/>
                <w:szCs w:val="18"/>
              </w:rPr>
              <w:t>89</w:t>
            </w:r>
          </w:p>
        </w:tc>
      </w:tr>
      <w:tr w:rsidR="003C17D6" w:rsidTr="00CB193F">
        <w:tc>
          <w:tcPr>
            <w:tcW w:w="1716" w:type="dxa"/>
            <w:tcBorders>
              <w:top w:val="single" w:sz="4" w:space="0" w:color="797979"/>
              <w:left w:val="nil"/>
              <w:bottom w:val="single" w:sz="4" w:space="0" w:color="797979"/>
              <w:right w:val="single" w:sz="2" w:space="0" w:color="000000"/>
            </w:tcBorders>
            <w:vAlign w:val="center"/>
          </w:tcPr>
          <w:p w:rsidR="003C17D6" w:rsidRDefault="003C17D6" w:rsidP="00CB193F">
            <w:pPr>
              <w:pStyle w:val="TableParagraph"/>
              <w:spacing w:before="47"/>
              <w:ind w:left="80"/>
              <w:rPr>
                <w:rFonts w:ascii="Arial" w:eastAsia="Arial" w:hAnsi="Arial" w:cs="Arial"/>
                <w:sz w:val="18"/>
                <w:szCs w:val="18"/>
              </w:rPr>
            </w:pPr>
            <w:r>
              <w:rPr>
                <w:rFonts w:ascii="Arial" w:eastAsia="Arial" w:hAnsi="Arial" w:cs="Arial"/>
                <w:sz w:val="18"/>
                <w:szCs w:val="18"/>
              </w:rPr>
              <w:t>Ag</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3"/>
                <w:sz w:val="18"/>
                <w:szCs w:val="18"/>
              </w:rPr>
              <w:t>F</w:t>
            </w:r>
            <w:r>
              <w:rPr>
                <w:rFonts w:ascii="Arial" w:eastAsia="Arial" w:hAnsi="Arial" w:cs="Arial"/>
                <w:sz w:val="18"/>
                <w:szCs w:val="18"/>
              </w:rPr>
              <w:t>or</w:t>
            </w:r>
            <w:r>
              <w:rPr>
                <w:rFonts w:ascii="Arial" w:eastAsia="Arial" w:hAnsi="Arial" w:cs="Arial"/>
                <w:spacing w:val="2"/>
                <w:sz w:val="18"/>
                <w:szCs w:val="18"/>
              </w:rPr>
              <w:t>es</w:t>
            </w:r>
            <w:r>
              <w:rPr>
                <w:rFonts w:ascii="Arial" w:eastAsia="Arial" w:hAnsi="Arial" w:cs="Arial"/>
                <w:sz w:val="18"/>
                <w:szCs w:val="18"/>
              </w:rPr>
              <w:t>t</w:t>
            </w:r>
            <w:r>
              <w:rPr>
                <w:rFonts w:ascii="Arial" w:eastAsia="Arial" w:hAnsi="Arial" w:cs="Arial"/>
                <w:spacing w:val="7"/>
                <w:sz w:val="18"/>
                <w:szCs w:val="18"/>
              </w:rPr>
              <w:t>r</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z w:val="18"/>
                <w:szCs w:val="18"/>
              </w:rPr>
              <w:t>F</w:t>
            </w:r>
            <w:r>
              <w:rPr>
                <w:rFonts w:ascii="Arial" w:eastAsia="Arial" w:hAnsi="Arial" w:cs="Arial"/>
                <w:spacing w:val="1"/>
                <w:sz w:val="18"/>
                <w:szCs w:val="18"/>
              </w:rPr>
              <w:t>ishin</w:t>
            </w:r>
            <w:r>
              <w:rPr>
                <w:rFonts w:ascii="Arial" w:eastAsia="Arial" w:hAnsi="Arial" w:cs="Arial"/>
                <w:sz w:val="18"/>
                <w:szCs w:val="18"/>
              </w:rPr>
              <w:t>g</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3"/>
              <w:jc w:val="center"/>
              <w:rPr>
                <w:rFonts w:ascii="Arial" w:eastAsia="Arial" w:hAnsi="Arial" w:cs="Arial"/>
                <w:sz w:val="18"/>
                <w:szCs w:val="18"/>
              </w:rPr>
            </w:pPr>
            <w:r>
              <w:rPr>
                <w:rFonts w:ascii="Arial" w:eastAsia="Arial" w:hAnsi="Arial" w:cs="Arial"/>
                <w:spacing w:val="2"/>
                <w:sz w:val="18"/>
                <w:szCs w:val="18"/>
              </w:rPr>
              <w:t>36</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11"/>
              <w:jc w:val="center"/>
              <w:rPr>
                <w:rFonts w:ascii="Arial" w:eastAsia="Arial" w:hAnsi="Arial" w:cs="Arial"/>
                <w:sz w:val="18"/>
                <w:szCs w:val="18"/>
              </w:rPr>
            </w:pPr>
            <w:r>
              <w:rPr>
                <w:rFonts w:ascii="Arial" w:eastAsia="Arial" w:hAnsi="Arial" w:cs="Arial"/>
                <w:spacing w:val="-7"/>
                <w:w w:val="105"/>
                <w:sz w:val="18"/>
                <w:szCs w:val="18"/>
              </w:rPr>
              <w:t>1%</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88" w:right="284"/>
              <w:jc w:val="center"/>
              <w:rPr>
                <w:rFonts w:ascii="Arial" w:eastAsia="Arial" w:hAnsi="Arial" w:cs="Arial"/>
                <w:sz w:val="18"/>
                <w:szCs w:val="18"/>
              </w:rPr>
            </w:pPr>
            <w:r>
              <w:rPr>
                <w:rFonts w:ascii="Arial" w:eastAsia="Arial" w:hAnsi="Arial" w:cs="Arial"/>
                <w:spacing w:val="3"/>
                <w:sz w:val="18"/>
                <w:szCs w:val="18"/>
              </w:rPr>
              <w:t>66</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12"/>
              <w:jc w:val="center"/>
              <w:rPr>
                <w:rFonts w:ascii="Arial" w:eastAsia="Arial" w:hAnsi="Arial" w:cs="Arial"/>
                <w:sz w:val="18"/>
                <w:szCs w:val="18"/>
              </w:rPr>
            </w:pPr>
            <w:r>
              <w:rPr>
                <w:rFonts w:ascii="Arial" w:eastAsia="Arial" w:hAnsi="Arial" w:cs="Arial"/>
                <w:spacing w:val="-7"/>
                <w:w w:val="105"/>
                <w:sz w:val="18"/>
                <w:szCs w:val="18"/>
              </w:rPr>
              <w:t>1%</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59" w:right="256"/>
              <w:jc w:val="center"/>
              <w:rPr>
                <w:rFonts w:ascii="Arial" w:eastAsia="Arial" w:hAnsi="Arial" w:cs="Arial"/>
                <w:sz w:val="18"/>
                <w:szCs w:val="18"/>
              </w:rPr>
            </w:pPr>
            <w:r>
              <w:rPr>
                <w:rFonts w:ascii="Arial" w:eastAsia="Arial" w:hAnsi="Arial" w:cs="Arial"/>
                <w:spacing w:val="1"/>
                <w:sz w:val="18"/>
                <w:szCs w:val="18"/>
              </w:rPr>
              <w:t>45</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06"/>
              <w:jc w:val="center"/>
              <w:rPr>
                <w:rFonts w:ascii="Arial" w:eastAsia="Arial" w:hAnsi="Arial" w:cs="Arial"/>
                <w:sz w:val="18"/>
                <w:szCs w:val="18"/>
              </w:rPr>
            </w:pPr>
            <w:r>
              <w:rPr>
                <w:rFonts w:ascii="Arial" w:eastAsia="Arial" w:hAnsi="Arial" w:cs="Arial"/>
                <w:spacing w:val="-7"/>
                <w:w w:val="105"/>
                <w:sz w:val="18"/>
                <w:szCs w:val="18"/>
              </w:rPr>
              <w:t>1%</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3"/>
              <w:jc w:val="center"/>
              <w:rPr>
                <w:rFonts w:ascii="Arial" w:eastAsia="Arial" w:hAnsi="Arial" w:cs="Arial"/>
                <w:sz w:val="18"/>
                <w:szCs w:val="18"/>
              </w:rPr>
            </w:pPr>
            <w:r>
              <w:rPr>
                <w:rFonts w:ascii="Arial" w:eastAsia="Arial" w:hAnsi="Arial" w:cs="Arial"/>
                <w:spacing w:val="1"/>
                <w:sz w:val="18"/>
                <w:szCs w:val="18"/>
              </w:rPr>
              <w:t>33</w:t>
            </w:r>
          </w:p>
        </w:tc>
        <w:tc>
          <w:tcPr>
            <w:tcW w:w="1057" w:type="dxa"/>
            <w:tcBorders>
              <w:top w:val="single" w:sz="4" w:space="0" w:color="797979"/>
              <w:left w:val="single" w:sz="2" w:space="0" w:color="000000"/>
              <w:bottom w:val="single" w:sz="4" w:space="0" w:color="797979"/>
              <w:right w:val="nil"/>
            </w:tcBorders>
            <w:vAlign w:val="center"/>
          </w:tcPr>
          <w:p w:rsidR="003C17D6" w:rsidRDefault="003C17D6" w:rsidP="00F94EBD">
            <w:pPr>
              <w:pStyle w:val="TableParagraph"/>
              <w:spacing w:before="47"/>
              <w:ind w:left="201"/>
              <w:jc w:val="center"/>
              <w:rPr>
                <w:rFonts w:ascii="Arial" w:eastAsia="Arial" w:hAnsi="Arial" w:cs="Arial"/>
                <w:sz w:val="18"/>
                <w:szCs w:val="18"/>
              </w:rPr>
            </w:pPr>
            <w:r>
              <w:rPr>
                <w:rFonts w:ascii="Arial" w:eastAsia="Arial" w:hAnsi="Arial" w:cs="Arial"/>
                <w:spacing w:val="-7"/>
                <w:w w:val="105"/>
                <w:sz w:val="18"/>
                <w:szCs w:val="18"/>
              </w:rPr>
              <w:t>1%</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92"/>
              <w:jc w:val="center"/>
              <w:rPr>
                <w:rFonts w:ascii="Arial" w:eastAsia="Arial" w:hAnsi="Arial" w:cs="Arial"/>
                <w:sz w:val="18"/>
                <w:szCs w:val="18"/>
              </w:rPr>
            </w:pPr>
            <w:r>
              <w:rPr>
                <w:rFonts w:ascii="Arial" w:eastAsia="Arial" w:hAnsi="Arial" w:cs="Arial"/>
                <w:spacing w:val="2"/>
                <w:sz w:val="18"/>
                <w:szCs w:val="18"/>
              </w:rPr>
              <w:t>3</w:t>
            </w:r>
            <w:r>
              <w:rPr>
                <w:rFonts w:ascii="Arial" w:eastAsia="Arial" w:hAnsi="Arial" w:cs="Arial"/>
                <w:sz w:val="18"/>
                <w:szCs w:val="18"/>
              </w:rPr>
              <w:t>8</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left="198"/>
              <w:jc w:val="center"/>
              <w:rPr>
                <w:rFonts w:ascii="Arial" w:eastAsia="Arial" w:hAnsi="Arial" w:cs="Arial"/>
                <w:sz w:val="18"/>
                <w:szCs w:val="18"/>
              </w:rPr>
            </w:pPr>
            <w:r>
              <w:rPr>
                <w:rFonts w:ascii="Arial" w:eastAsia="Arial" w:hAnsi="Arial" w:cs="Arial"/>
                <w:spacing w:val="3"/>
                <w:sz w:val="18"/>
                <w:szCs w:val="18"/>
              </w:rPr>
              <w:t>66</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97"/>
              <w:jc w:val="center"/>
              <w:rPr>
                <w:rFonts w:ascii="Arial" w:eastAsia="Arial" w:hAnsi="Arial" w:cs="Arial"/>
                <w:sz w:val="18"/>
                <w:szCs w:val="18"/>
              </w:rPr>
            </w:pPr>
            <w:r>
              <w:rPr>
                <w:rFonts w:ascii="Arial" w:eastAsia="Arial" w:hAnsi="Arial" w:cs="Arial"/>
                <w:spacing w:val="1"/>
                <w:sz w:val="18"/>
                <w:szCs w:val="18"/>
              </w:rPr>
              <w:t>4</w:t>
            </w:r>
            <w:r>
              <w:rPr>
                <w:rFonts w:ascii="Arial" w:eastAsia="Arial" w:hAnsi="Arial" w:cs="Arial"/>
                <w:sz w:val="18"/>
                <w:szCs w:val="18"/>
              </w:rPr>
              <w:t>6</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left="199"/>
              <w:jc w:val="center"/>
              <w:rPr>
                <w:rFonts w:ascii="Arial" w:eastAsia="Arial" w:hAnsi="Arial" w:cs="Arial"/>
                <w:sz w:val="18"/>
                <w:szCs w:val="18"/>
              </w:rPr>
            </w:pPr>
            <w:r>
              <w:rPr>
                <w:rFonts w:ascii="Arial" w:eastAsia="Arial" w:hAnsi="Arial" w:cs="Arial"/>
                <w:spacing w:val="1"/>
                <w:sz w:val="18"/>
                <w:szCs w:val="18"/>
              </w:rPr>
              <w:t>33</w:t>
            </w:r>
          </w:p>
        </w:tc>
      </w:tr>
      <w:tr w:rsidR="003C17D6" w:rsidTr="00CB193F">
        <w:tc>
          <w:tcPr>
            <w:tcW w:w="1716" w:type="dxa"/>
            <w:tcBorders>
              <w:top w:val="single" w:sz="4" w:space="0" w:color="797979"/>
              <w:left w:val="nil"/>
              <w:bottom w:val="single" w:sz="4" w:space="0" w:color="797979"/>
              <w:right w:val="single" w:sz="2" w:space="0" w:color="000000"/>
            </w:tcBorders>
            <w:vAlign w:val="center"/>
          </w:tcPr>
          <w:p w:rsidR="003C17D6" w:rsidRDefault="003C17D6" w:rsidP="00CB193F">
            <w:pPr>
              <w:pStyle w:val="TableParagraph"/>
              <w:spacing w:before="47"/>
              <w:ind w:left="80"/>
              <w:rPr>
                <w:rFonts w:ascii="Arial" w:eastAsia="Arial" w:hAnsi="Arial" w:cs="Arial"/>
                <w:sz w:val="18"/>
                <w:szCs w:val="18"/>
              </w:rPr>
            </w:pPr>
            <w:r>
              <w:rPr>
                <w:rFonts w:ascii="Arial" w:eastAsia="Arial" w:hAnsi="Arial" w:cs="Arial"/>
                <w:spacing w:val="3"/>
                <w:sz w:val="18"/>
                <w:szCs w:val="18"/>
              </w:rPr>
              <w:t>A</w:t>
            </w:r>
            <w:r>
              <w:rPr>
                <w:rFonts w:ascii="Arial" w:eastAsia="Arial" w:hAnsi="Arial" w:cs="Arial"/>
                <w:spacing w:val="7"/>
                <w:sz w:val="18"/>
                <w:szCs w:val="18"/>
              </w:rPr>
              <w:t>r</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 xml:space="preserve">d </w:t>
            </w:r>
            <w:r>
              <w:rPr>
                <w:rFonts w:ascii="Arial" w:eastAsia="Arial" w:hAnsi="Arial" w:cs="Arial"/>
                <w:spacing w:val="1"/>
                <w:sz w:val="18"/>
                <w:szCs w:val="18"/>
              </w:rPr>
              <w:t>R</w:t>
            </w:r>
            <w:r>
              <w:rPr>
                <w:rFonts w:ascii="Arial" w:eastAsia="Arial" w:hAnsi="Arial" w:cs="Arial"/>
                <w:spacing w:val="3"/>
                <w:sz w:val="18"/>
                <w:szCs w:val="18"/>
              </w:rPr>
              <w:t>e</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2"/>
                <w:sz w:val="18"/>
                <w:szCs w:val="18"/>
              </w:rPr>
              <w:t>Se</w:t>
            </w:r>
            <w:r>
              <w:rPr>
                <w:rFonts w:ascii="Arial" w:eastAsia="Arial" w:hAnsi="Arial" w:cs="Arial"/>
                <w:spacing w:val="7"/>
                <w:sz w:val="18"/>
                <w:szCs w:val="18"/>
              </w:rPr>
              <w:t>r</w:t>
            </w:r>
            <w:r>
              <w:rPr>
                <w:rFonts w:ascii="Arial" w:eastAsia="Arial" w:hAnsi="Arial" w:cs="Arial"/>
                <w:spacing w:val="1"/>
                <w:sz w:val="18"/>
                <w:szCs w:val="18"/>
              </w:rPr>
              <w:t>vic</w:t>
            </w:r>
            <w:r>
              <w:rPr>
                <w:rFonts w:ascii="Arial" w:eastAsia="Arial" w:hAnsi="Arial" w:cs="Arial"/>
                <w:spacing w:val="2"/>
                <w:sz w:val="18"/>
                <w:szCs w:val="18"/>
              </w:rPr>
              <w:t>e</w:t>
            </w:r>
            <w:r>
              <w:rPr>
                <w:rFonts w:ascii="Arial" w:eastAsia="Arial" w:hAnsi="Arial" w:cs="Arial"/>
                <w:sz w:val="18"/>
                <w:szCs w:val="18"/>
              </w:rPr>
              <w:t>s</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1"/>
              <w:jc w:val="center"/>
              <w:rPr>
                <w:rFonts w:ascii="Arial" w:eastAsia="Arial" w:hAnsi="Arial" w:cs="Arial"/>
                <w:sz w:val="18"/>
                <w:szCs w:val="18"/>
              </w:rPr>
            </w:pPr>
            <w:r>
              <w:rPr>
                <w:rFonts w:ascii="Arial" w:eastAsia="Arial" w:hAnsi="Arial" w:cs="Arial"/>
                <w:spacing w:val="1"/>
                <w:sz w:val="18"/>
                <w:szCs w:val="18"/>
              </w:rPr>
              <w:t>4</w:t>
            </w:r>
            <w:r>
              <w:rPr>
                <w:rFonts w:ascii="Arial" w:eastAsia="Arial" w:hAnsi="Arial" w:cs="Arial"/>
                <w:sz w:val="18"/>
                <w:szCs w:val="18"/>
              </w:rPr>
              <w:t>6</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10"/>
              <w:jc w:val="center"/>
              <w:rPr>
                <w:rFonts w:ascii="Arial" w:eastAsia="Arial" w:hAnsi="Arial" w:cs="Arial"/>
                <w:sz w:val="18"/>
                <w:szCs w:val="18"/>
              </w:rPr>
            </w:pPr>
            <w:r>
              <w:rPr>
                <w:rFonts w:ascii="Arial" w:eastAsia="Arial" w:hAnsi="Arial" w:cs="Arial"/>
                <w:spacing w:val="-7"/>
                <w:w w:val="105"/>
                <w:sz w:val="18"/>
                <w:szCs w:val="18"/>
              </w:rPr>
              <w:t>1%</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right="6"/>
              <w:jc w:val="center"/>
              <w:rPr>
                <w:rFonts w:ascii="Arial" w:eastAsia="Arial" w:hAnsi="Arial" w:cs="Arial"/>
                <w:sz w:val="18"/>
                <w:szCs w:val="18"/>
              </w:rPr>
            </w:pPr>
            <w:r>
              <w:rPr>
                <w:rFonts w:ascii="Arial" w:eastAsia="Arial" w:hAnsi="Arial" w:cs="Arial"/>
                <w:spacing w:val="-8"/>
                <w:sz w:val="18"/>
                <w:szCs w:val="18"/>
              </w:rPr>
              <w:t>47</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12"/>
              <w:jc w:val="center"/>
              <w:rPr>
                <w:rFonts w:ascii="Arial" w:eastAsia="Arial" w:hAnsi="Arial" w:cs="Arial"/>
                <w:sz w:val="18"/>
                <w:szCs w:val="18"/>
              </w:rPr>
            </w:pPr>
            <w:r>
              <w:rPr>
                <w:rFonts w:ascii="Arial" w:eastAsia="Arial" w:hAnsi="Arial" w:cs="Arial"/>
                <w:spacing w:val="-7"/>
                <w:w w:val="105"/>
                <w:sz w:val="18"/>
                <w:szCs w:val="18"/>
              </w:rPr>
              <w:t>1%</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3"/>
              <w:jc w:val="center"/>
              <w:rPr>
                <w:rFonts w:ascii="Arial" w:eastAsia="Arial" w:hAnsi="Arial" w:cs="Arial"/>
                <w:sz w:val="18"/>
                <w:szCs w:val="18"/>
              </w:rPr>
            </w:pPr>
            <w:r>
              <w:rPr>
                <w:rFonts w:ascii="Arial" w:eastAsia="Arial" w:hAnsi="Arial" w:cs="Arial"/>
                <w:spacing w:val="2"/>
                <w:sz w:val="18"/>
                <w:szCs w:val="18"/>
              </w:rPr>
              <w:t>54</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06"/>
              <w:jc w:val="center"/>
              <w:rPr>
                <w:rFonts w:ascii="Arial" w:eastAsia="Arial" w:hAnsi="Arial" w:cs="Arial"/>
                <w:sz w:val="18"/>
                <w:szCs w:val="18"/>
              </w:rPr>
            </w:pPr>
            <w:r>
              <w:rPr>
                <w:rFonts w:ascii="Arial" w:eastAsia="Arial" w:hAnsi="Arial" w:cs="Arial"/>
                <w:spacing w:val="-7"/>
                <w:w w:val="105"/>
                <w:sz w:val="18"/>
                <w:szCs w:val="18"/>
              </w:rPr>
              <w:t>1%</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jc w:val="center"/>
              <w:rPr>
                <w:rFonts w:ascii="Arial" w:eastAsia="Arial" w:hAnsi="Arial" w:cs="Arial"/>
                <w:sz w:val="18"/>
                <w:szCs w:val="18"/>
              </w:rPr>
            </w:pPr>
            <w:r>
              <w:rPr>
                <w:rFonts w:ascii="Arial" w:eastAsia="Arial" w:hAnsi="Arial" w:cs="Arial"/>
                <w:spacing w:val="-1"/>
                <w:sz w:val="18"/>
                <w:szCs w:val="18"/>
              </w:rPr>
              <w:t>26</w:t>
            </w:r>
          </w:p>
        </w:tc>
        <w:tc>
          <w:tcPr>
            <w:tcW w:w="1057" w:type="dxa"/>
            <w:tcBorders>
              <w:top w:val="single" w:sz="4" w:space="0" w:color="797979"/>
              <w:left w:val="single" w:sz="2" w:space="0" w:color="000000"/>
              <w:bottom w:val="single" w:sz="4" w:space="0" w:color="797979"/>
              <w:right w:val="nil"/>
            </w:tcBorders>
            <w:vAlign w:val="center"/>
          </w:tcPr>
          <w:p w:rsidR="003C17D6" w:rsidRDefault="003C17D6" w:rsidP="00F94EBD">
            <w:pPr>
              <w:pStyle w:val="TableParagraph"/>
              <w:spacing w:before="47"/>
              <w:ind w:left="201"/>
              <w:jc w:val="center"/>
              <w:rPr>
                <w:rFonts w:ascii="Arial" w:eastAsia="Arial" w:hAnsi="Arial" w:cs="Arial"/>
                <w:sz w:val="18"/>
                <w:szCs w:val="18"/>
              </w:rPr>
            </w:pPr>
            <w:r>
              <w:rPr>
                <w:rFonts w:ascii="Arial" w:eastAsia="Arial" w:hAnsi="Arial" w:cs="Arial"/>
                <w:spacing w:val="-7"/>
                <w:w w:val="105"/>
                <w:sz w:val="18"/>
                <w:szCs w:val="18"/>
              </w:rPr>
              <w:t>1%</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right="4"/>
              <w:jc w:val="center"/>
              <w:rPr>
                <w:rFonts w:ascii="Arial" w:eastAsia="Arial" w:hAnsi="Arial" w:cs="Arial"/>
                <w:sz w:val="18"/>
                <w:szCs w:val="18"/>
              </w:rPr>
            </w:pPr>
            <w:r>
              <w:rPr>
                <w:rFonts w:ascii="Arial" w:eastAsia="Arial" w:hAnsi="Arial" w:cs="Arial"/>
                <w:spacing w:val="-8"/>
                <w:sz w:val="18"/>
                <w:szCs w:val="18"/>
              </w:rPr>
              <w:t>47</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left="3"/>
              <w:jc w:val="center"/>
              <w:rPr>
                <w:rFonts w:ascii="Arial" w:eastAsia="Arial" w:hAnsi="Arial" w:cs="Arial"/>
                <w:sz w:val="18"/>
                <w:szCs w:val="18"/>
              </w:rPr>
            </w:pPr>
            <w:r>
              <w:rPr>
                <w:rFonts w:ascii="Arial" w:eastAsia="Arial" w:hAnsi="Arial" w:cs="Arial"/>
                <w:spacing w:val="-9"/>
                <w:sz w:val="18"/>
                <w:szCs w:val="18"/>
              </w:rPr>
              <w:t>5</w:t>
            </w:r>
            <w:r>
              <w:rPr>
                <w:rFonts w:ascii="Arial" w:eastAsia="Arial" w:hAnsi="Arial" w:cs="Arial"/>
                <w:sz w:val="18"/>
                <w:szCs w:val="18"/>
              </w:rPr>
              <w:t>1</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200"/>
              <w:jc w:val="center"/>
              <w:rPr>
                <w:rFonts w:ascii="Arial" w:eastAsia="Arial" w:hAnsi="Arial" w:cs="Arial"/>
                <w:sz w:val="18"/>
                <w:szCs w:val="18"/>
              </w:rPr>
            </w:pPr>
            <w:r>
              <w:rPr>
                <w:rFonts w:ascii="Arial" w:eastAsia="Arial" w:hAnsi="Arial" w:cs="Arial"/>
                <w:spacing w:val="-4"/>
                <w:sz w:val="18"/>
                <w:szCs w:val="18"/>
              </w:rPr>
              <w:t>61</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left="200"/>
              <w:jc w:val="center"/>
              <w:rPr>
                <w:rFonts w:ascii="Arial" w:eastAsia="Arial" w:hAnsi="Arial" w:cs="Arial"/>
                <w:sz w:val="18"/>
                <w:szCs w:val="18"/>
              </w:rPr>
            </w:pPr>
            <w:r>
              <w:rPr>
                <w:rFonts w:ascii="Arial" w:eastAsia="Arial" w:hAnsi="Arial" w:cs="Arial"/>
                <w:sz w:val="18"/>
                <w:szCs w:val="18"/>
              </w:rPr>
              <w:t>29</w:t>
            </w:r>
          </w:p>
        </w:tc>
      </w:tr>
      <w:tr w:rsidR="003C17D6" w:rsidTr="00CB193F">
        <w:tc>
          <w:tcPr>
            <w:tcW w:w="1716" w:type="dxa"/>
            <w:tcBorders>
              <w:top w:val="single" w:sz="4" w:space="0" w:color="797979"/>
              <w:left w:val="nil"/>
              <w:bottom w:val="single" w:sz="4" w:space="0" w:color="797979"/>
              <w:right w:val="single" w:sz="2" w:space="0" w:color="000000"/>
            </w:tcBorders>
            <w:vAlign w:val="center"/>
          </w:tcPr>
          <w:p w:rsidR="003C17D6" w:rsidRDefault="003C17D6" w:rsidP="00CB193F">
            <w:pPr>
              <w:pStyle w:val="TableParagraph"/>
              <w:spacing w:before="47"/>
              <w:ind w:left="80"/>
              <w:rPr>
                <w:rFonts w:ascii="Arial" w:eastAsia="Arial" w:hAnsi="Arial" w:cs="Arial"/>
                <w:sz w:val="18"/>
                <w:szCs w:val="18"/>
              </w:rPr>
            </w:pPr>
            <w:r>
              <w:rPr>
                <w:rFonts w:ascii="Arial" w:eastAsia="Arial" w:hAnsi="Arial" w:cs="Arial"/>
                <w:spacing w:val="2"/>
                <w:sz w:val="18"/>
                <w:szCs w:val="18"/>
              </w:rPr>
              <w:t>C</w:t>
            </w:r>
            <w:r>
              <w:rPr>
                <w:rFonts w:ascii="Arial" w:eastAsia="Arial" w:hAnsi="Arial" w:cs="Arial"/>
                <w:sz w:val="18"/>
                <w:szCs w:val="18"/>
              </w:rPr>
              <w:t>o</w:t>
            </w:r>
            <w:r>
              <w:rPr>
                <w:rFonts w:ascii="Arial" w:eastAsia="Arial" w:hAnsi="Arial" w:cs="Arial"/>
                <w:spacing w:val="1"/>
                <w:sz w:val="18"/>
                <w:szCs w:val="18"/>
              </w:rPr>
              <w:t>n</w:t>
            </w:r>
            <w:r>
              <w:rPr>
                <w:rFonts w:ascii="Arial" w:eastAsia="Arial" w:hAnsi="Arial" w:cs="Arial"/>
                <w:spacing w:val="2"/>
                <w:sz w:val="18"/>
                <w:szCs w:val="18"/>
              </w:rPr>
              <w:t>s</w:t>
            </w:r>
            <w:r>
              <w:rPr>
                <w:rFonts w:ascii="Arial" w:eastAsia="Arial" w:hAnsi="Arial" w:cs="Arial"/>
                <w:sz w:val="18"/>
                <w:szCs w:val="18"/>
              </w:rPr>
              <w:t>t</w:t>
            </w:r>
            <w:r>
              <w:rPr>
                <w:rFonts w:ascii="Arial" w:eastAsia="Arial" w:hAnsi="Arial" w:cs="Arial"/>
                <w:spacing w:val="2"/>
                <w:sz w:val="18"/>
                <w:szCs w:val="18"/>
              </w:rPr>
              <w:t>ru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on</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171"/>
              <w:jc w:val="center"/>
              <w:rPr>
                <w:rFonts w:ascii="Arial" w:eastAsia="Arial" w:hAnsi="Arial" w:cs="Arial"/>
                <w:sz w:val="18"/>
                <w:szCs w:val="18"/>
              </w:rPr>
            </w:pPr>
            <w:r>
              <w:rPr>
                <w:rFonts w:ascii="Arial" w:eastAsia="Arial" w:hAnsi="Arial" w:cs="Arial"/>
                <w:spacing w:val="-9"/>
                <w:sz w:val="18"/>
                <w:szCs w:val="18"/>
              </w:rPr>
              <w:t>1</w:t>
            </w:r>
            <w:r>
              <w:rPr>
                <w:rFonts w:ascii="Arial" w:eastAsia="Arial" w:hAnsi="Arial" w:cs="Arial"/>
                <w:sz w:val="18"/>
                <w:szCs w:val="18"/>
              </w:rPr>
              <w:t>2</w:t>
            </w:r>
            <w:r>
              <w:rPr>
                <w:rFonts w:ascii="Arial" w:eastAsia="Arial" w:hAnsi="Arial" w:cs="Arial"/>
                <w:spacing w:val="-3"/>
                <w:sz w:val="18"/>
                <w:szCs w:val="18"/>
              </w:rPr>
              <w:t>2</w:t>
            </w:r>
            <w:r>
              <w:rPr>
                <w:rFonts w:ascii="Arial" w:eastAsia="Arial" w:hAnsi="Arial" w:cs="Arial"/>
                <w:sz w:val="18"/>
                <w:szCs w:val="18"/>
              </w:rPr>
              <w:t>5</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160"/>
              <w:jc w:val="center"/>
              <w:rPr>
                <w:rFonts w:ascii="Arial" w:eastAsia="Arial" w:hAnsi="Arial" w:cs="Arial"/>
                <w:sz w:val="18"/>
                <w:szCs w:val="18"/>
              </w:rPr>
            </w:pPr>
            <w:r>
              <w:rPr>
                <w:rFonts w:ascii="Arial" w:eastAsia="Arial" w:hAnsi="Arial" w:cs="Arial"/>
                <w:spacing w:val="-7"/>
                <w:w w:val="105"/>
                <w:sz w:val="18"/>
                <w:szCs w:val="18"/>
              </w:rPr>
              <w:t>2</w:t>
            </w:r>
            <w:r>
              <w:rPr>
                <w:rFonts w:ascii="Arial" w:eastAsia="Arial" w:hAnsi="Arial" w:cs="Arial"/>
                <w:spacing w:val="-2"/>
                <w:w w:val="105"/>
                <w:sz w:val="18"/>
                <w:szCs w:val="18"/>
              </w:rPr>
              <w:t>4</w:t>
            </w:r>
            <w:r>
              <w:rPr>
                <w:rFonts w:ascii="Arial" w:eastAsia="Arial" w:hAnsi="Arial" w:cs="Arial"/>
                <w:w w:val="105"/>
                <w:sz w:val="18"/>
                <w:szCs w:val="18"/>
              </w:rPr>
              <w:t>%</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75"/>
              <w:jc w:val="center"/>
              <w:rPr>
                <w:rFonts w:ascii="Arial" w:eastAsia="Arial" w:hAnsi="Arial" w:cs="Arial"/>
                <w:sz w:val="18"/>
                <w:szCs w:val="18"/>
              </w:rPr>
            </w:pPr>
            <w:r>
              <w:rPr>
                <w:rFonts w:ascii="Arial" w:eastAsia="Arial" w:hAnsi="Arial" w:cs="Arial"/>
                <w:spacing w:val="-16"/>
                <w:sz w:val="18"/>
                <w:szCs w:val="18"/>
              </w:rPr>
              <w:t>1</w:t>
            </w:r>
            <w:r>
              <w:rPr>
                <w:rFonts w:ascii="Arial" w:eastAsia="Arial" w:hAnsi="Arial" w:cs="Arial"/>
                <w:spacing w:val="-13"/>
                <w:sz w:val="18"/>
                <w:szCs w:val="18"/>
              </w:rPr>
              <w:t>1</w:t>
            </w:r>
            <w:r>
              <w:rPr>
                <w:rFonts w:ascii="Arial" w:eastAsia="Arial" w:hAnsi="Arial" w:cs="Arial"/>
                <w:spacing w:val="-5"/>
                <w:sz w:val="18"/>
                <w:szCs w:val="18"/>
              </w:rPr>
              <w:t>7</w:t>
            </w:r>
            <w:r>
              <w:rPr>
                <w:rFonts w:ascii="Arial" w:eastAsia="Arial" w:hAnsi="Arial" w:cs="Arial"/>
                <w:sz w:val="18"/>
                <w:szCs w:val="18"/>
              </w:rPr>
              <w:t>6</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162"/>
              <w:jc w:val="center"/>
              <w:rPr>
                <w:rFonts w:ascii="Arial" w:eastAsia="Arial" w:hAnsi="Arial" w:cs="Arial"/>
                <w:sz w:val="18"/>
                <w:szCs w:val="18"/>
              </w:rPr>
            </w:pPr>
            <w:r>
              <w:rPr>
                <w:rFonts w:ascii="Arial" w:eastAsia="Arial" w:hAnsi="Arial" w:cs="Arial"/>
                <w:spacing w:val="-7"/>
                <w:w w:val="105"/>
                <w:sz w:val="18"/>
                <w:szCs w:val="18"/>
              </w:rPr>
              <w:t>2</w:t>
            </w:r>
            <w:r>
              <w:rPr>
                <w:rFonts w:ascii="Arial" w:eastAsia="Arial" w:hAnsi="Arial" w:cs="Arial"/>
                <w:spacing w:val="-2"/>
                <w:w w:val="105"/>
                <w:sz w:val="18"/>
                <w:szCs w:val="18"/>
              </w:rPr>
              <w:t>4</w:t>
            </w:r>
            <w:r>
              <w:rPr>
                <w:rFonts w:ascii="Arial" w:eastAsia="Arial" w:hAnsi="Arial" w:cs="Arial"/>
                <w:w w:val="105"/>
                <w:sz w:val="18"/>
                <w:szCs w:val="18"/>
              </w:rPr>
              <w:t>%</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185"/>
              <w:jc w:val="center"/>
              <w:rPr>
                <w:rFonts w:ascii="Arial" w:eastAsia="Arial" w:hAnsi="Arial" w:cs="Arial"/>
                <w:sz w:val="18"/>
                <w:szCs w:val="18"/>
              </w:rPr>
            </w:pPr>
            <w:r>
              <w:rPr>
                <w:rFonts w:ascii="Arial" w:eastAsia="Arial" w:hAnsi="Arial" w:cs="Arial"/>
                <w:spacing w:val="-9"/>
                <w:sz w:val="18"/>
                <w:szCs w:val="18"/>
              </w:rPr>
              <w:t>1</w:t>
            </w:r>
            <w:r>
              <w:rPr>
                <w:rFonts w:ascii="Arial" w:eastAsia="Arial" w:hAnsi="Arial" w:cs="Arial"/>
                <w:spacing w:val="1"/>
                <w:sz w:val="18"/>
                <w:szCs w:val="18"/>
              </w:rPr>
              <w:t>8</w:t>
            </w:r>
            <w:r>
              <w:rPr>
                <w:rFonts w:ascii="Arial" w:eastAsia="Arial" w:hAnsi="Arial" w:cs="Arial"/>
                <w:spacing w:val="-4"/>
                <w:sz w:val="18"/>
                <w:szCs w:val="18"/>
              </w:rPr>
              <w:t>2</w:t>
            </w:r>
            <w:r>
              <w:rPr>
                <w:rFonts w:ascii="Arial" w:eastAsia="Arial" w:hAnsi="Arial" w:cs="Arial"/>
                <w:sz w:val="18"/>
                <w:szCs w:val="18"/>
              </w:rPr>
              <w:t>7</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157"/>
              <w:jc w:val="center"/>
              <w:rPr>
                <w:rFonts w:ascii="Arial" w:eastAsia="Arial" w:hAnsi="Arial" w:cs="Arial"/>
                <w:sz w:val="18"/>
                <w:szCs w:val="18"/>
              </w:rPr>
            </w:pPr>
            <w:r>
              <w:rPr>
                <w:rFonts w:ascii="Arial" w:eastAsia="Arial" w:hAnsi="Arial" w:cs="Arial"/>
                <w:spacing w:val="-5"/>
                <w:w w:val="105"/>
                <w:sz w:val="18"/>
                <w:szCs w:val="18"/>
              </w:rPr>
              <w:t>37%</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166"/>
              <w:jc w:val="center"/>
              <w:rPr>
                <w:rFonts w:ascii="Arial" w:eastAsia="Arial" w:hAnsi="Arial" w:cs="Arial"/>
                <w:sz w:val="18"/>
                <w:szCs w:val="18"/>
              </w:rPr>
            </w:pPr>
            <w:r>
              <w:rPr>
                <w:rFonts w:ascii="Arial" w:eastAsia="Arial" w:hAnsi="Arial" w:cs="Arial"/>
                <w:spacing w:val="2"/>
                <w:sz w:val="18"/>
                <w:szCs w:val="18"/>
              </w:rPr>
              <w:t>688</w:t>
            </w:r>
          </w:p>
        </w:tc>
        <w:tc>
          <w:tcPr>
            <w:tcW w:w="1057" w:type="dxa"/>
            <w:tcBorders>
              <w:top w:val="single" w:sz="4" w:space="0" w:color="797979"/>
              <w:left w:val="single" w:sz="2" w:space="0" w:color="000000"/>
              <w:bottom w:val="single" w:sz="4" w:space="0" w:color="797979"/>
              <w:right w:val="nil"/>
            </w:tcBorders>
            <w:vAlign w:val="center"/>
          </w:tcPr>
          <w:p w:rsidR="003C17D6" w:rsidRDefault="003C17D6" w:rsidP="00F94EBD">
            <w:pPr>
              <w:pStyle w:val="TableParagraph"/>
              <w:spacing w:before="47"/>
              <w:ind w:left="152"/>
              <w:jc w:val="center"/>
              <w:rPr>
                <w:rFonts w:ascii="Arial" w:eastAsia="Arial" w:hAnsi="Arial" w:cs="Arial"/>
                <w:sz w:val="18"/>
                <w:szCs w:val="18"/>
              </w:rPr>
            </w:pPr>
            <w:r>
              <w:rPr>
                <w:rFonts w:ascii="Arial" w:eastAsia="Arial" w:hAnsi="Arial" w:cs="Arial"/>
                <w:spacing w:val="-5"/>
                <w:w w:val="105"/>
                <w:sz w:val="18"/>
                <w:szCs w:val="18"/>
              </w:rPr>
              <w:t>27%</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93"/>
              <w:jc w:val="center"/>
              <w:rPr>
                <w:rFonts w:ascii="Arial" w:eastAsia="Arial" w:hAnsi="Arial" w:cs="Arial"/>
                <w:sz w:val="18"/>
                <w:szCs w:val="18"/>
              </w:rPr>
            </w:pPr>
            <w:r>
              <w:rPr>
                <w:rFonts w:ascii="Arial" w:eastAsia="Arial" w:hAnsi="Arial" w:cs="Arial"/>
                <w:spacing w:val="-8"/>
                <w:sz w:val="18"/>
                <w:szCs w:val="18"/>
              </w:rPr>
              <w:t>1</w:t>
            </w:r>
            <w:r>
              <w:rPr>
                <w:rFonts w:ascii="Arial" w:eastAsia="Arial" w:hAnsi="Arial" w:cs="Arial"/>
                <w:spacing w:val="3"/>
                <w:sz w:val="18"/>
                <w:szCs w:val="18"/>
              </w:rPr>
              <w:t>60</w:t>
            </w:r>
            <w:r>
              <w:rPr>
                <w:rFonts w:ascii="Arial" w:eastAsia="Arial" w:hAnsi="Arial" w:cs="Arial"/>
                <w:sz w:val="18"/>
                <w:szCs w:val="18"/>
              </w:rPr>
              <w:t>9</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left="104"/>
              <w:jc w:val="center"/>
              <w:rPr>
                <w:rFonts w:ascii="Arial" w:eastAsia="Arial" w:hAnsi="Arial" w:cs="Arial"/>
                <w:sz w:val="18"/>
                <w:szCs w:val="18"/>
              </w:rPr>
            </w:pPr>
            <w:r>
              <w:rPr>
                <w:rFonts w:ascii="Arial" w:eastAsia="Arial" w:hAnsi="Arial" w:cs="Arial"/>
                <w:spacing w:val="-11"/>
                <w:sz w:val="18"/>
                <w:szCs w:val="18"/>
              </w:rPr>
              <w:t>1</w:t>
            </w:r>
            <w:r>
              <w:rPr>
                <w:rFonts w:ascii="Arial" w:eastAsia="Arial" w:hAnsi="Arial" w:cs="Arial"/>
                <w:spacing w:val="1"/>
                <w:sz w:val="18"/>
                <w:szCs w:val="18"/>
              </w:rPr>
              <w:t>4</w:t>
            </w:r>
            <w:r>
              <w:rPr>
                <w:rFonts w:ascii="Arial" w:eastAsia="Arial" w:hAnsi="Arial" w:cs="Arial"/>
                <w:spacing w:val="3"/>
                <w:sz w:val="18"/>
                <w:szCs w:val="18"/>
              </w:rPr>
              <w:t>0</w:t>
            </w:r>
            <w:r>
              <w:rPr>
                <w:rFonts w:ascii="Arial" w:eastAsia="Arial" w:hAnsi="Arial" w:cs="Arial"/>
                <w:sz w:val="18"/>
                <w:szCs w:val="18"/>
              </w:rPr>
              <w:t>3</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05"/>
              <w:jc w:val="center"/>
              <w:rPr>
                <w:rFonts w:ascii="Arial" w:eastAsia="Arial" w:hAnsi="Arial" w:cs="Arial"/>
                <w:sz w:val="18"/>
                <w:szCs w:val="18"/>
              </w:rPr>
            </w:pPr>
            <w:r>
              <w:rPr>
                <w:rFonts w:ascii="Arial" w:eastAsia="Arial" w:hAnsi="Arial" w:cs="Arial"/>
                <w:spacing w:val="-8"/>
                <w:sz w:val="18"/>
                <w:szCs w:val="18"/>
              </w:rPr>
              <w:t>1</w:t>
            </w:r>
            <w:r>
              <w:rPr>
                <w:rFonts w:ascii="Arial" w:eastAsia="Arial" w:hAnsi="Arial" w:cs="Arial"/>
                <w:spacing w:val="-4"/>
                <w:sz w:val="18"/>
                <w:szCs w:val="18"/>
              </w:rPr>
              <w:t>9</w:t>
            </w:r>
            <w:r>
              <w:rPr>
                <w:rFonts w:ascii="Arial" w:eastAsia="Arial" w:hAnsi="Arial" w:cs="Arial"/>
                <w:spacing w:val="-2"/>
                <w:sz w:val="18"/>
                <w:szCs w:val="18"/>
              </w:rPr>
              <w:t>7</w:t>
            </w:r>
            <w:r>
              <w:rPr>
                <w:rFonts w:ascii="Arial" w:eastAsia="Arial" w:hAnsi="Arial" w:cs="Arial"/>
                <w:sz w:val="18"/>
                <w:szCs w:val="18"/>
              </w:rPr>
              <w:t>3</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left="150"/>
              <w:jc w:val="center"/>
              <w:rPr>
                <w:rFonts w:ascii="Arial" w:eastAsia="Arial" w:hAnsi="Arial" w:cs="Arial"/>
                <w:sz w:val="18"/>
                <w:szCs w:val="18"/>
              </w:rPr>
            </w:pPr>
            <w:r>
              <w:rPr>
                <w:rFonts w:ascii="Arial" w:eastAsia="Arial" w:hAnsi="Arial" w:cs="Arial"/>
                <w:spacing w:val="-2"/>
                <w:sz w:val="18"/>
                <w:szCs w:val="18"/>
              </w:rPr>
              <w:t>7</w:t>
            </w:r>
            <w:r>
              <w:rPr>
                <w:rFonts w:ascii="Arial" w:eastAsia="Arial" w:hAnsi="Arial" w:cs="Arial"/>
                <w:spacing w:val="2"/>
                <w:sz w:val="18"/>
                <w:szCs w:val="18"/>
              </w:rPr>
              <w:t>3</w:t>
            </w:r>
            <w:r>
              <w:rPr>
                <w:rFonts w:ascii="Arial" w:eastAsia="Arial" w:hAnsi="Arial" w:cs="Arial"/>
                <w:sz w:val="18"/>
                <w:szCs w:val="18"/>
              </w:rPr>
              <w:t>3</w:t>
            </w:r>
          </w:p>
        </w:tc>
      </w:tr>
      <w:tr w:rsidR="003C17D6" w:rsidTr="00CB193F">
        <w:tc>
          <w:tcPr>
            <w:tcW w:w="1716" w:type="dxa"/>
            <w:tcBorders>
              <w:top w:val="single" w:sz="4" w:space="0" w:color="797979"/>
              <w:left w:val="nil"/>
              <w:bottom w:val="single" w:sz="4" w:space="0" w:color="797979"/>
              <w:right w:val="single" w:sz="2" w:space="0" w:color="000000"/>
            </w:tcBorders>
            <w:vAlign w:val="center"/>
          </w:tcPr>
          <w:p w:rsidR="003C17D6" w:rsidRDefault="003C17D6" w:rsidP="00CB193F">
            <w:pPr>
              <w:pStyle w:val="TableParagraph"/>
              <w:spacing w:before="47"/>
              <w:ind w:left="80"/>
              <w:rPr>
                <w:rFonts w:ascii="Arial" w:eastAsia="Arial" w:hAnsi="Arial" w:cs="Arial"/>
                <w:sz w:val="18"/>
                <w:szCs w:val="18"/>
              </w:rPr>
            </w:pP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2"/>
                <w:sz w:val="18"/>
                <w:szCs w:val="18"/>
              </w:rPr>
              <w:t>u</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2"/>
                <w:sz w:val="18"/>
                <w:szCs w:val="18"/>
              </w:rPr>
              <w:t xml:space="preserv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13"/>
                <w:sz w:val="18"/>
                <w:szCs w:val="18"/>
              </w:rPr>
              <w:t>T</w:t>
            </w:r>
            <w:r>
              <w:rPr>
                <w:rFonts w:ascii="Arial" w:eastAsia="Arial" w:hAnsi="Arial" w:cs="Arial"/>
                <w:spacing w:val="2"/>
                <w:sz w:val="18"/>
                <w:szCs w:val="18"/>
              </w:rPr>
              <w:t>ra</w:t>
            </w:r>
            <w:r>
              <w:rPr>
                <w:rFonts w:ascii="Arial" w:eastAsia="Arial" w:hAnsi="Arial" w:cs="Arial"/>
                <w:sz w:val="18"/>
                <w:szCs w:val="18"/>
              </w:rPr>
              <w:t>i</w:t>
            </w:r>
            <w:r>
              <w:rPr>
                <w:rFonts w:ascii="Arial" w:eastAsia="Arial" w:hAnsi="Arial" w:cs="Arial"/>
                <w:spacing w:val="1"/>
                <w:sz w:val="18"/>
                <w:szCs w:val="18"/>
              </w:rPr>
              <w:t>nin</w:t>
            </w:r>
            <w:r>
              <w:rPr>
                <w:rFonts w:ascii="Arial" w:eastAsia="Arial" w:hAnsi="Arial" w:cs="Arial"/>
                <w:sz w:val="18"/>
                <w:szCs w:val="18"/>
              </w:rPr>
              <w:t>g</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16"/>
              <w:jc w:val="center"/>
              <w:rPr>
                <w:rFonts w:ascii="Arial" w:eastAsia="Arial" w:hAnsi="Arial" w:cs="Arial"/>
                <w:sz w:val="18"/>
                <w:szCs w:val="18"/>
              </w:rPr>
            </w:pPr>
            <w:r>
              <w:rPr>
                <w:rFonts w:ascii="Arial" w:eastAsia="Arial" w:hAnsi="Arial" w:cs="Arial"/>
                <w:spacing w:val="-1"/>
                <w:sz w:val="18"/>
                <w:szCs w:val="18"/>
              </w:rPr>
              <w:t>2</w:t>
            </w:r>
            <w:r>
              <w:rPr>
                <w:rFonts w:ascii="Arial" w:eastAsia="Arial" w:hAnsi="Arial" w:cs="Arial"/>
                <w:sz w:val="18"/>
                <w:szCs w:val="18"/>
              </w:rPr>
              <w:t>32</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08"/>
              <w:jc w:val="center"/>
              <w:rPr>
                <w:rFonts w:ascii="Arial" w:eastAsia="Arial" w:hAnsi="Arial" w:cs="Arial"/>
                <w:sz w:val="18"/>
                <w:szCs w:val="18"/>
              </w:rPr>
            </w:pPr>
            <w:r>
              <w:rPr>
                <w:rFonts w:ascii="Arial" w:eastAsia="Arial" w:hAnsi="Arial" w:cs="Arial"/>
                <w:spacing w:val="-2"/>
                <w:w w:val="105"/>
                <w:sz w:val="18"/>
                <w:szCs w:val="18"/>
              </w:rPr>
              <w:t>5</w:t>
            </w:r>
            <w:r>
              <w:rPr>
                <w:rFonts w:ascii="Arial" w:eastAsia="Arial" w:hAnsi="Arial" w:cs="Arial"/>
                <w:w w:val="105"/>
                <w:sz w:val="18"/>
                <w:szCs w:val="18"/>
              </w:rPr>
              <w:t>%</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1"/>
              <w:jc w:val="center"/>
              <w:rPr>
                <w:rFonts w:ascii="Arial" w:eastAsia="Arial" w:hAnsi="Arial" w:cs="Arial"/>
                <w:sz w:val="18"/>
                <w:szCs w:val="18"/>
              </w:rPr>
            </w:pPr>
            <w:r>
              <w:rPr>
                <w:rFonts w:ascii="Arial" w:eastAsia="Arial" w:hAnsi="Arial" w:cs="Arial"/>
                <w:spacing w:val="-6"/>
                <w:sz w:val="18"/>
                <w:szCs w:val="18"/>
              </w:rPr>
              <w:t>2</w:t>
            </w:r>
            <w:r>
              <w:rPr>
                <w:rFonts w:ascii="Arial" w:eastAsia="Arial" w:hAnsi="Arial" w:cs="Arial"/>
                <w:spacing w:val="2"/>
                <w:sz w:val="18"/>
                <w:szCs w:val="18"/>
              </w:rPr>
              <w:t>4</w:t>
            </w:r>
            <w:r>
              <w:rPr>
                <w:rFonts w:ascii="Arial" w:eastAsia="Arial" w:hAnsi="Arial" w:cs="Arial"/>
                <w:sz w:val="18"/>
                <w:szCs w:val="18"/>
              </w:rPr>
              <w:t>3</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10"/>
              <w:jc w:val="center"/>
              <w:rPr>
                <w:rFonts w:ascii="Arial" w:eastAsia="Arial" w:hAnsi="Arial" w:cs="Arial"/>
                <w:sz w:val="18"/>
                <w:szCs w:val="18"/>
              </w:rPr>
            </w:pPr>
            <w:r>
              <w:rPr>
                <w:rFonts w:ascii="Arial" w:eastAsia="Arial" w:hAnsi="Arial" w:cs="Arial"/>
                <w:spacing w:val="-2"/>
                <w:w w:val="105"/>
                <w:sz w:val="18"/>
                <w:szCs w:val="18"/>
              </w:rPr>
              <w:t>5</w:t>
            </w:r>
            <w:r>
              <w:rPr>
                <w:rFonts w:ascii="Arial" w:eastAsia="Arial" w:hAnsi="Arial" w:cs="Arial"/>
                <w:w w:val="105"/>
                <w:sz w:val="18"/>
                <w:szCs w:val="18"/>
              </w:rPr>
              <w:t>%</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33"/>
              <w:jc w:val="center"/>
              <w:rPr>
                <w:rFonts w:ascii="Arial" w:eastAsia="Arial" w:hAnsi="Arial" w:cs="Arial"/>
                <w:sz w:val="18"/>
                <w:szCs w:val="18"/>
              </w:rPr>
            </w:pPr>
            <w:r>
              <w:rPr>
                <w:rFonts w:ascii="Arial" w:eastAsia="Arial" w:hAnsi="Arial" w:cs="Arial"/>
                <w:sz w:val="18"/>
                <w:szCs w:val="18"/>
              </w:rPr>
              <w:t>2</w:t>
            </w:r>
            <w:r>
              <w:rPr>
                <w:rFonts w:ascii="Arial" w:eastAsia="Arial" w:hAnsi="Arial" w:cs="Arial"/>
                <w:spacing w:val="-6"/>
                <w:sz w:val="18"/>
                <w:szCs w:val="18"/>
              </w:rPr>
              <w:t>24</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03"/>
              <w:jc w:val="center"/>
              <w:rPr>
                <w:rFonts w:ascii="Arial" w:eastAsia="Arial" w:hAnsi="Arial" w:cs="Arial"/>
                <w:sz w:val="18"/>
                <w:szCs w:val="18"/>
              </w:rPr>
            </w:pPr>
            <w:r>
              <w:rPr>
                <w:rFonts w:ascii="Arial" w:eastAsia="Arial" w:hAnsi="Arial" w:cs="Arial"/>
                <w:spacing w:val="-2"/>
                <w:w w:val="105"/>
                <w:sz w:val="18"/>
                <w:szCs w:val="18"/>
              </w:rPr>
              <w:t>5</w:t>
            </w:r>
            <w:r>
              <w:rPr>
                <w:rFonts w:ascii="Arial" w:eastAsia="Arial" w:hAnsi="Arial" w:cs="Arial"/>
                <w:w w:val="105"/>
                <w:sz w:val="18"/>
                <w:szCs w:val="18"/>
              </w:rPr>
              <w:t>%</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173"/>
              <w:jc w:val="center"/>
              <w:rPr>
                <w:rFonts w:ascii="Arial" w:eastAsia="Arial" w:hAnsi="Arial" w:cs="Arial"/>
                <w:sz w:val="18"/>
                <w:szCs w:val="18"/>
              </w:rPr>
            </w:pPr>
            <w:r>
              <w:rPr>
                <w:rFonts w:ascii="Arial" w:eastAsia="Arial" w:hAnsi="Arial" w:cs="Arial"/>
                <w:spacing w:val="-9"/>
                <w:sz w:val="18"/>
                <w:szCs w:val="18"/>
              </w:rPr>
              <w:t>1</w:t>
            </w:r>
            <w:r>
              <w:rPr>
                <w:rFonts w:ascii="Arial" w:eastAsia="Arial" w:hAnsi="Arial" w:cs="Arial"/>
                <w:sz w:val="18"/>
                <w:szCs w:val="18"/>
              </w:rPr>
              <w:t>29</w:t>
            </w:r>
          </w:p>
        </w:tc>
        <w:tc>
          <w:tcPr>
            <w:tcW w:w="1057" w:type="dxa"/>
            <w:tcBorders>
              <w:top w:val="single" w:sz="4" w:space="0" w:color="797979"/>
              <w:left w:val="single" w:sz="2" w:space="0" w:color="000000"/>
              <w:bottom w:val="single" w:sz="4" w:space="0" w:color="797979"/>
              <w:right w:val="nil"/>
            </w:tcBorders>
            <w:vAlign w:val="center"/>
          </w:tcPr>
          <w:p w:rsidR="003C17D6" w:rsidRDefault="003C17D6" w:rsidP="00F94EBD">
            <w:pPr>
              <w:pStyle w:val="TableParagraph"/>
              <w:spacing w:before="47"/>
              <w:ind w:left="198"/>
              <w:jc w:val="center"/>
              <w:rPr>
                <w:rFonts w:ascii="Arial" w:eastAsia="Arial" w:hAnsi="Arial" w:cs="Arial"/>
                <w:sz w:val="18"/>
                <w:szCs w:val="18"/>
              </w:rPr>
            </w:pPr>
            <w:r>
              <w:rPr>
                <w:rFonts w:ascii="Arial" w:eastAsia="Arial" w:hAnsi="Arial" w:cs="Arial"/>
                <w:spacing w:val="-2"/>
                <w:w w:val="105"/>
                <w:sz w:val="18"/>
                <w:szCs w:val="18"/>
              </w:rPr>
              <w:t>5</w:t>
            </w:r>
            <w:r>
              <w:rPr>
                <w:rFonts w:ascii="Arial" w:eastAsia="Arial" w:hAnsi="Arial" w:cs="Arial"/>
                <w:w w:val="105"/>
                <w:sz w:val="18"/>
                <w:szCs w:val="18"/>
              </w:rPr>
              <w:t>%</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43"/>
              <w:jc w:val="center"/>
              <w:rPr>
                <w:rFonts w:ascii="Arial" w:eastAsia="Arial" w:hAnsi="Arial" w:cs="Arial"/>
                <w:sz w:val="18"/>
                <w:szCs w:val="18"/>
              </w:rPr>
            </w:pPr>
            <w:r>
              <w:rPr>
                <w:rFonts w:ascii="Arial" w:eastAsia="Arial" w:hAnsi="Arial" w:cs="Arial"/>
                <w:spacing w:val="-1"/>
                <w:sz w:val="18"/>
                <w:szCs w:val="18"/>
              </w:rPr>
              <w:t>2</w:t>
            </w:r>
            <w:r>
              <w:rPr>
                <w:rFonts w:ascii="Arial" w:eastAsia="Arial" w:hAnsi="Arial" w:cs="Arial"/>
                <w:sz w:val="18"/>
                <w:szCs w:val="18"/>
              </w:rPr>
              <w:t>32</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left="152"/>
              <w:jc w:val="center"/>
              <w:rPr>
                <w:rFonts w:ascii="Arial" w:eastAsia="Arial" w:hAnsi="Arial" w:cs="Arial"/>
                <w:sz w:val="18"/>
                <w:szCs w:val="18"/>
              </w:rPr>
            </w:pPr>
            <w:r>
              <w:rPr>
                <w:rFonts w:ascii="Arial" w:eastAsia="Arial" w:hAnsi="Arial" w:cs="Arial"/>
                <w:spacing w:val="-6"/>
                <w:sz w:val="18"/>
                <w:szCs w:val="18"/>
              </w:rPr>
              <w:t>2</w:t>
            </w:r>
            <w:r>
              <w:rPr>
                <w:rFonts w:ascii="Arial" w:eastAsia="Arial" w:hAnsi="Arial" w:cs="Arial"/>
                <w:spacing w:val="2"/>
                <w:sz w:val="18"/>
                <w:szCs w:val="18"/>
              </w:rPr>
              <w:t>4</w:t>
            </w:r>
            <w:r>
              <w:rPr>
                <w:rFonts w:ascii="Arial" w:eastAsia="Arial" w:hAnsi="Arial" w:cs="Arial"/>
                <w:sz w:val="18"/>
                <w:szCs w:val="18"/>
              </w:rPr>
              <w:t>4</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51"/>
              <w:jc w:val="center"/>
              <w:rPr>
                <w:rFonts w:ascii="Arial" w:eastAsia="Arial" w:hAnsi="Arial" w:cs="Arial"/>
                <w:sz w:val="18"/>
                <w:szCs w:val="18"/>
              </w:rPr>
            </w:pPr>
            <w:r>
              <w:rPr>
                <w:rFonts w:ascii="Arial" w:eastAsia="Arial" w:hAnsi="Arial" w:cs="Arial"/>
                <w:sz w:val="18"/>
                <w:szCs w:val="18"/>
              </w:rPr>
              <w:t>2</w:t>
            </w:r>
            <w:r>
              <w:rPr>
                <w:rFonts w:ascii="Arial" w:eastAsia="Arial" w:hAnsi="Arial" w:cs="Arial"/>
                <w:spacing w:val="-6"/>
                <w:sz w:val="18"/>
                <w:szCs w:val="18"/>
              </w:rPr>
              <w:t>24</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left="153"/>
              <w:jc w:val="center"/>
              <w:rPr>
                <w:rFonts w:ascii="Arial" w:eastAsia="Arial" w:hAnsi="Arial" w:cs="Arial"/>
                <w:sz w:val="18"/>
                <w:szCs w:val="18"/>
              </w:rPr>
            </w:pPr>
            <w:r>
              <w:rPr>
                <w:rFonts w:ascii="Arial" w:eastAsia="Arial" w:hAnsi="Arial" w:cs="Arial"/>
                <w:spacing w:val="-9"/>
                <w:sz w:val="18"/>
                <w:szCs w:val="18"/>
              </w:rPr>
              <w:t>1</w:t>
            </w:r>
            <w:r>
              <w:rPr>
                <w:rFonts w:ascii="Arial" w:eastAsia="Arial" w:hAnsi="Arial" w:cs="Arial"/>
                <w:spacing w:val="2"/>
                <w:sz w:val="18"/>
                <w:szCs w:val="18"/>
              </w:rPr>
              <w:t>3</w:t>
            </w:r>
            <w:r>
              <w:rPr>
                <w:rFonts w:ascii="Arial" w:eastAsia="Arial" w:hAnsi="Arial" w:cs="Arial"/>
                <w:sz w:val="18"/>
                <w:szCs w:val="18"/>
              </w:rPr>
              <w:t>0</w:t>
            </w:r>
          </w:p>
        </w:tc>
      </w:tr>
      <w:tr w:rsidR="003C17D6" w:rsidTr="00CB193F">
        <w:tc>
          <w:tcPr>
            <w:tcW w:w="1716" w:type="dxa"/>
            <w:tcBorders>
              <w:top w:val="single" w:sz="4" w:space="0" w:color="797979"/>
              <w:left w:val="nil"/>
              <w:bottom w:val="single" w:sz="4" w:space="0" w:color="797979"/>
              <w:right w:val="single" w:sz="2" w:space="0" w:color="000000"/>
            </w:tcBorders>
            <w:vAlign w:val="center"/>
          </w:tcPr>
          <w:p w:rsidR="003C17D6" w:rsidRDefault="003C17D6" w:rsidP="00CB193F">
            <w:pPr>
              <w:pStyle w:val="TableParagraph"/>
              <w:spacing w:before="47"/>
              <w:ind w:left="80"/>
              <w:rPr>
                <w:rFonts w:ascii="Arial" w:eastAsia="Arial" w:hAnsi="Arial" w:cs="Arial"/>
                <w:sz w:val="18"/>
                <w:szCs w:val="18"/>
              </w:rPr>
            </w:pPr>
            <w:r>
              <w:rPr>
                <w:rFonts w:ascii="Arial" w:eastAsia="Arial" w:hAnsi="Arial" w:cs="Arial"/>
                <w:sz w:val="18"/>
                <w:szCs w:val="18"/>
              </w:rPr>
              <w:t>E</w:t>
            </w:r>
            <w:r>
              <w:rPr>
                <w:rFonts w:ascii="Arial" w:eastAsia="Arial" w:hAnsi="Arial" w:cs="Arial"/>
                <w:spacing w:val="1"/>
                <w:sz w:val="18"/>
                <w:szCs w:val="18"/>
              </w:rPr>
              <w:t>l</w:t>
            </w:r>
            <w:r>
              <w:rPr>
                <w:rFonts w:ascii="Arial" w:eastAsia="Arial" w:hAnsi="Arial" w:cs="Arial"/>
                <w:spacing w:val="3"/>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i</w:t>
            </w:r>
            <w:r>
              <w:rPr>
                <w:rFonts w:ascii="Arial" w:eastAsia="Arial" w:hAnsi="Arial" w:cs="Arial"/>
                <w:spacing w:val="4"/>
                <w:sz w:val="18"/>
                <w:szCs w:val="18"/>
              </w:rPr>
              <w:t>t</w:t>
            </w:r>
            <w:r>
              <w:rPr>
                <w:rFonts w:ascii="Arial" w:eastAsia="Arial" w:hAnsi="Arial" w:cs="Arial"/>
                <w:spacing w:val="-1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Ga</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as</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Se</w:t>
            </w:r>
            <w:r>
              <w:rPr>
                <w:rFonts w:ascii="Arial" w:eastAsia="Arial" w:hAnsi="Arial" w:cs="Arial"/>
                <w:spacing w:val="7"/>
                <w:sz w:val="18"/>
                <w:szCs w:val="18"/>
              </w:rPr>
              <w:t>r</w:t>
            </w:r>
            <w:r>
              <w:rPr>
                <w:rFonts w:ascii="Arial" w:eastAsia="Arial" w:hAnsi="Arial" w:cs="Arial"/>
                <w:spacing w:val="1"/>
                <w:sz w:val="18"/>
                <w:szCs w:val="18"/>
              </w:rPr>
              <w:t>vic</w:t>
            </w:r>
            <w:r>
              <w:rPr>
                <w:rFonts w:ascii="Arial" w:eastAsia="Arial" w:hAnsi="Arial" w:cs="Arial"/>
                <w:spacing w:val="2"/>
                <w:sz w:val="18"/>
                <w:szCs w:val="18"/>
              </w:rPr>
              <w:t>e</w:t>
            </w:r>
            <w:r>
              <w:rPr>
                <w:rFonts w:ascii="Arial" w:eastAsia="Arial" w:hAnsi="Arial" w:cs="Arial"/>
                <w:sz w:val="18"/>
                <w:szCs w:val="18"/>
              </w:rPr>
              <w:t>s</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22"/>
              <w:jc w:val="center"/>
              <w:rPr>
                <w:rFonts w:ascii="Arial" w:eastAsia="Arial" w:hAnsi="Arial" w:cs="Arial"/>
                <w:sz w:val="18"/>
                <w:szCs w:val="18"/>
              </w:rPr>
            </w:pPr>
            <w:r>
              <w:rPr>
                <w:rFonts w:ascii="Arial" w:eastAsia="Arial" w:hAnsi="Arial" w:cs="Arial"/>
                <w:spacing w:val="-9"/>
                <w:sz w:val="18"/>
                <w:szCs w:val="18"/>
              </w:rPr>
              <w:t>1</w:t>
            </w:r>
            <w:r>
              <w:rPr>
                <w:rFonts w:ascii="Arial" w:eastAsia="Arial" w:hAnsi="Arial" w:cs="Arial"/>
                <w:spacing w:val="-4"/>
                <w:sz w:val="18"/>
                <w:szCs w:val="18"/>
              </w:rPr>
              <w:t>2</w:t>
            </w:r>
            <w:r>
              <w:rPr>
                <w:rFonts w:ascii="Arial" w:eastAsia="Arial" w:hAnsi="Arial" w:cs="Arial"/>
                <w:sz w:val="18"/>
                <w:szCs w:val="18"/>
              </w:rPr>
              <w:t>7</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06"/>
              <w:jc w:val="center"/>
              <w:rPr>
                <w:rFonts w:ascii="Arial" w:eastAsia="Arial" w:hAnsi="Arial" w:cs="Arial"/>
                <w:sz w:val="18"/>
                <w:szCs w:val="18"/>
              </w:rPr>
            </w:pPr>
            <w:r>
              <w:rPr>
                <w:rFonts w:ascii="Arial" w:eastAsia="Arial" w:hAnsi="Arial" w:cs="Arial"/>
                <w:spacing w:val="1"/>
                <w:w w:val="105"/>
                <w:sz w:val="18"/>
                <w:szCs w:val="18"/>
              </w:rPr>
              <w:t>3%</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88" w:right="287"/>
              <w:jc w:val="center"/>
              <w:rPr>
                <w:rFonts w:ascii="Arial" w:eastAsia="Arial" w:hAnsi="Arial" w:cs="Arial"/>
                <w:sz w:val="18"/>
                <w:szCs w:val="18"/>
              </w:rPr>
            </w:pPr>
            <w:r>
              <w:rPr>
                <w:rFonts w:ascii="Arial" w:eastAsia="Arial" w:hAnsi="Arial" w:cs="Arial"/>
                <w:spacing w:val="-13"/>
                <w:sz w:val="18"/>
                <w:szCs w:val="18"/>
              </w:rPr>
              <w:t>1</w:t>
            </w:r>
            <w:r>
              <w:rPr>
                <w:rFonts w:ascii="Arial" w:eastAsia="Arial" w:hAnsi="Arial" w:cs="Arial"/>
                <w:sz w:val="18"/>
                <w:szCs w:val="18"/>
              </w:rPr>
              <w:t>77</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10"/>
              <w:jc w:val="center"/>
              <w:rPr>
                <w:rFonts w:ascii="Arial" w:eastAsia="Arial" w:hAnsi="Arial" w:cs="Arial"/>
                <w:sz w:val="18"/>
                <w:szCs w:val="18"/>
              </w:rPr>
            </w:pPr>
            <w:r>
              <w:rPr>
                <w:rFonts w:ascii="Arial" w:eastAsia="Arial" w:hAnsi="Arial" w:cs="Arial"/>
                <w:spacing w:val="-1"/>
                <w:w w:val="105"/>
                <w:sz w:val="18"/>
                <w:szCs w:val="18"/>
              </w:rPr>
              <w:t>4%</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32"/>
              <w:jc w:val="center"/>
              <w:rPr>
                <w:rFonts w:ascii="Arial" w:eastAsia="Arial" w:hAnsi="Arial" w:cs="Arial"/>
                <w:sz w:val="18"/>
                <w:szCs w:val="18"/>
              </w:rPr>
            </w:pPr>
            <w:r>
              <w:rPr>
                <w:rFonts w:ascii="Arial" w:eastAsia="Arial" w:hAnsi="Arial" w:cs="Arial"/>
                <w:spacing w:val="-8"/>
                <w:sz w:val="18"/>
                <w:szCs w:val="18"/>
              </w:rPr>
              <w:t>1</w:t>
            </w:r>
            <w:r>
              <w:rPr>
                <w:rFonts w:ascii="Arial" w:eastAsia="Arial" w:hAnsi="Arial" w:cs="Arial"/>
                <w:spacing w:val="4"/>
                <w:sz w:val="18"/>
                <w:szCs w:val="18"/>
              </w:rPr>
              <w:t>0</w:t>
            </w:r>
            <w:r>
              <w:rPr>
                <w:rFonts w:ascii="Arial" w:eastAsia="Arial" w:hAnsi="Arial" w:cs="Arial"/>
                <w:sz w:val="18"/>
                <w:szCs w:val="18"/>
              </w:rPr>
              <w:t>6</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02"/>
              <w:jc w:val="center"/>
              <w:rPr>
                <w:rFonts w:ascii="Arial" w:eastAsia="Arial" w:hAnsi="Arial" w:cs="Arial"/>
                <w:sz w:val="18"/>
                <w:szCs w:val="18"/>
              </w:rPr>
            </w:pPr>
            <w:r>
              <w:rPr>
                <w:rFonts w:ascii="Arial" w:eastAsia="Arial" w:hAnsi="Arial" w:cs="Arial"/>
                <w:w w:val="105"/>
                <w:sz w:val="18"/>
                <w:szCs w:val="18"/>
              </w:rPr>
              <w:t>2%</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197" w:right="193"/>
              <w:jc w:val="center"/>
              <w:rPr>
                <w:rFonts w:ascii="Arial" w:eastAsia="Arial" w:hAnsi="Arial" w:cs="Arial"/>
                <w:sz w:val="18"/>
                <w:szCs w:val="18"/>
              </w:rPr>
            </w:pPr>
            <w:r>
              <w:rPr>
                <w:rFonts w:ascii="Arial" w:eastAsia="Arial" w:hAnsi="Arial" w:cs="Arial"/>
                <w:spacing w:val="2"/>
                <w:sz w:val="18"/>
                <w:szCs w:val="18"/>
              </w:rPr>
              <w:t>65</w:t>
            </w:r>
          </w:p>
        </w:tc>
        <w:tc>
          <w:tcPr>
            <w:tcW w:w="1057" w:type="dxa"/>
            <w:tcBorders>
              <w:top w:val="single" w:sz="4" w:space="0" w:color="797979"/>
              <w:left w:val="single" w:sz="2" w:space="0" w:color="000000"/>
              <w:bottom w:val="single" w:sz="4" w:space="0" w:color="797979"/>
              <w:right w:val="nil"/>
            </w:tcBorders>
            <w:vAlign w:val="center"/>
          </w:tcPr>
          <w:p w:rsidR="003C17D6" w:rsidRDefault="003C17D6" w:rsidP="00F94EBD">
            <w:pPr>
              <w:pStyle w:val="TableParagraph"/>
              <w:spacing w:before="47"/>
              <w:ind w:left="197"/>
              <w:jc w:val="center"/>
              <w:rPr>
                <w:rFonts w:ascii="Arial" w:eastAsia="Arial" w:hAnsi="Arial" w:cs="Arial"/>
                <w:sz w:val="18"/>
                <w:szCs w:val="18"/>
              </w:rPr>
            </w:pPr>
            <w:r>
              <w:rPr>
                <w:rFonts w:ascii="Arial" w:eastAsia="Arial" w:hAnsi="Arial" w:cs="Arial"/>
                <w:spacing w:val="1"/>
                <w:w w:val="105"/>
                <w:sz w:val="18"/>
                <w:szCs w:val="18"/>
              </w:rPr>
              <w:t>3%</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46"/>
              <w:jc w:val="center"/>
              <w:rPr>
                <w:rFonts w:ascii="Arial" w:eastAsia="Arial" w:hAnsi="Arial" w:cs="Arial"/>
                <w:sz w:val="18"/>
                <w:szCs w:val="18"/>
              </w:rPr>
            </w:pPr>
            <w:r>
              <w:rPr>
                <w:rFonts w:ascii="Arial" w:eastAsia="Arial" w:hAnsi="Arial" w:cs="Arial"/>
                <w:spacing w:val="-9"/>
                <w:sz w:val="18"/>
                <w:szCs w:val="18"/>
              </w:rPr>
              <w:t>1</w:t>
            </w:r>
            <w:r>
              <w:rPr>
                <w:rFonts w:ascii="Arial" w:eastAsia="Arial" w:hAnsi="Arial" w:cs="Arial"/>
                <w:spacing w:val="2"/>
                <w:sz w:val="18"/>
                <w:szCs w:val="18"/>
              </w:rPr>
              <w:t>3</w:t>
            </w:r>
            <w:r>
              <w:rPr>
                <w:rFonts w:ascii="Arial" w:eastAsia="Arial" w:hAnsi="Arial" w:cs="Arial"/>
                <w:sz w:val="18"/>
                <w:szCs w:val="18"/>
              </w:rPr>
              <w:t>9</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left="153"/>
              <w:jc w:val="center"/>
              <w:rPr>
                <w:rFonts w:ascii="Arial" w:eastAsia="Arial" w:hAnsi="Arial" w:cs="Arial"/>
                <w:sz w:val="18"/>
                <w:szCs w:val="18"/>
              </w:rPr>
            </w:pPr>
            <w:r>
              <w:rPr>
                <w:rFonts w:ascii="Arial" w:eastAsia="Arial" w:hAnsi="Arial" w:cs="Arial"/>
                <w:spacing w:val="-9"/>
                <w:sz w:val="18"/>
                <w:szCs w:val="18"/>
              </w:rPr>
              <w:t>1</w:t>
            </w:r>
            <w:r>
              <w:rPr>
                <w:rFonts w:ascii="Arial" w:eastAsia="Arial" w:hAnsi="Arial" w:cs="Arial"/>
                <w:spacing w:val="1"/>
                <w:sz w:val="18"/>
                <w:szCs w:val="18"/>
              </w:rPr>
              <w:t>8</w:t>
            </w:r>
            <w:r>
              <w:rPr>
                <w:rFonts w:ascii="Arial" w:eastAsia="Arial" w:hAnsi="Arial" w:cs="Arial"/>
                <w:sz w:val="18"/>
                <w:szCs w:val="18"/>
              </w:rPr>
              <w:t>2</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62"/>
              <w:jc w:val="center"/>
              <w:rPr>
                <w:rFonts w:ascii="Arial" w:eastAsia="Arial" w:hAnsi="Arial" w:cs="Arial"/>
                <w:sz w:val="18"/>
                <w:szCs w:val="18"/>
              </w:rPr>
            </w:pPr>
            <w:r>
              <w:rPr>
                <w:rFonts w:ascii="Arial" w:eastAsia="Arial" w:hAnsi="Arial" w:cs="Arial"/>
                <w:spacing w:val="-16"/>
                <w:sz w:val="18"/>
                <w:szCs w:val="18"/>
              </w:rPr>
              <w:t>1</w:t>
            </w:r>
            <w:r>
              <w:rPr>
                <w:rFonts w:ascii="Arial" w:eastAsia="Arial" w:hAnsi="Arial" w:cs="Arial"/>
                <w:spacing w:val="-12"/>
                <w:sz w:val="18"/>
                <w:szCs w:val="18"/>
              </w:rPr>
              <w:t>1</w:t>
            </w:r>
            <w:r>
              <w:rPr>
                <w:rFonts w:ascii="Arial" w:eastAsia="Arial" w:hAnsi="Arial" w:cs="Arial"/>
                <w:sz w:val="18"/>
                <w:szCs w:val="18"/>
              </w:rPr>
              <w:t>4</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right="3"/>
              <w:jc w:val="center"/>
              <w:rPr>
                <w:rFonts w:ascii="Arial" w:eastAsia="Arial" w:hAnsi="Arial" w:cs="Arial"/>
                <w:sz w:val="18"/>
                <w:szCs w:val="18"/>
              </w:rPr>
            </w:pPr>
            <w:r>
              <w:rPr>
                <w:rFonts w:ascii="Arial" w:eastAsia="Arial" w:hAnsi="Arial" w:cs="Arial"/>
                <w:spacing w:val="-3"/>
                <w:sz w:val="18"/>
                <w:szCs w:val="18"/>
              </w:rPr>
              <w:t>67</w:t>
            </w:r>
          </w:p>
        </w:tc>
      </w:tr>
      <w:tr w:rsidR="003C17D6" w:rsidTr="00CB193F">
        <w:tc>
          <w:tcPr>
            <w:tcW w:w="1716" w:type="dxa"/>
            <w:tcBorders>
              <w:top w:val="single" w:sz="4" w:space="0" w:color="797979"/>
              <w:left w:val="nil"/>
              <w:bottom w:val="single" w:sz="4" w:space="0" w:color="797979"/>
              <w:right w:val="single" w:sz="2" w:space="0" w:color="000000"/>
            </w:tcBorders>
            <w:vAlign w:val="center"/>
          </w:tcPr>
          <w:p w:rsidR="003C17D6" w:rsidRDefault="003C17D6" w:rsidP="00CB193F">
            <w:pPr>
              <w:pStyle w:val="TableParagraph"/>
              <w:spacing w:before="47"/>
              <w:ind w:left="80"/>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c</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5"/>
                <w:sz w:val="18"/>
                <w:szCs w:val="18"/>
              </w:rPr>
              <w:t xml:space="preserve"> </w:t>
            </w:r>
            <w:r>
              <w:rPr>
                <w:rFonts w:ascii="Arial" w:eastAsia="Arial" w:hAnsi="Arial" w:cs="Arial"/>
                <w:sz w:val="18"/>
                <w:szCs w:val="18"/>
              </w:rPr>
              <w:t>I</w:t>
            </w:r>
            <w:r>
              <w:rPr>
                <w:rFonts w:ascii="Arial" w:eastAsia="Arial" w:hAnsi="Arial" w:cs="Arial"/>
                <w:spacing w:val="1"/>
                <w:sz w:val="18"/>
                <w:szCs w:val="18"/>
              </w:rPr>
              <w:t>nsu</w:t>
            </w:r>
            <w:r>
              <w:rPr>
                <w:rFonts w:ascii="Arial" w:eastAsia="Arial" w:hAnsi="Arial" w:cs="Arial"/>
                <w:spacing w:val="2"/>
                <w:sz w:val="18"/>
                <w:szCs w:val="18"/>
              </w:rPr>
              <w:t>ra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5"/>
                <w:sz w:val="18"/>
                <w:szCs w:val="18"/>
              </w:rPr>
              <w:t xml:space="preserve"> </w:t>
            </w:r>
            <w:r>
              <w:rPr>
                <w:rFonts w:ascii="Arial" w:eastAsia="Arial" w:hAnsi="Arial" w:cs="Arial"/>
                <w:spacing w:val="2"/>
                <w:sz w:val="18"/>
                <w:szCs w:val="18"/>
              </w:rPr>
              <w:t>Se</w:t>
            </w:r>
            <w:r>
              <w:rPr>
                <w:rFonts w:ascii="Arial" w:eastAsia="Arial" w:hAnsi="Arial" w:cs="Arial"/>
                <w:spacing w:val="7"/>
                <w:sz w:val="18"/>
                <w:szCs w:val="18"/>
              </w:rPr>
              <w:t>r</w:t>
            </w:r>
            <w:r>
              <w:rPr>
                <w:rFonts w:ascii="Arial" w:eastAsia="Arial" w:hAnsi="Arial" w:cs="Arial"/>
                <w:spacing w:val="1"/>
                <w:sz w:val="18"/>
                <w:szCs w:val="18"/>
              </w:rPr>
              <w:t>vic</w:t>
            </w:r>
            <w:r>
              <w:rPr>
                <w:rFonts w:ascii="Arial" w:eastAsia="Arial" w:hAnsi="Arial" w:cs="Arial"/>
                <w:spacing w:val="2"/>
                <w:sz w:val="18"/>
                <w:szCs w:val="18"/>
              </w:rPr>
              <w:t>e</w:t>
            </w:r>
            <w:r>
              <w:rPr>
                <w:rFonts w:ascii="Arial" w:eastAsia="Arial" w:hAnsi="Arial" w:cs="Arial"/>
                <w:sz w:val="18"/>
                <w:szCs w:val="18"/>
              </w:rPr>
              <w:t>s</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right="2"/>
              <w:jc w:val="center"/>
              <w:rPr>
                <w:rFonts w:ascii="Arial" w:eastAsia="Arial" w:hAnsi="Arial" w:cs="Arial"/>
                <w:sz w:val="18"/>
                <w:szCs w:val="18"/>
              </w:rPr>
            </w:pPr>
            <w:r>
              <w:rPr>
                <w:rFonts w:ascii="Arial" w:eastAsia="Arial" w:hAnsi="Arial" w:cs="Arial"/>
                <w:spacing w:val="-4"/>
                <w:sz w:val="18"/>
                <w:szCs w:val="18"/>
              </w:rPr>
              <w:t>57</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10"/>
              <w:jc w:val="center"/>
              <w:rPr>
                <w:rFonts w:ascii="Arial" w:eastAsia="Arial" w:hAnsi="Arial" w:cs="Arial"/>
                <w:sz w:val="18"/>
                <w:szCs w:val="18"/>
              </w:rPr>
            </w:pPr>
            <w:r>
              <w:rPr>
                <w:rFonts w:ascii="Arial" w:eastAsia="Arial" w:hAnsi="Arial" w:cs="Arial"/>
                <w:spacing w:val="-7"/>
                <w:w w:val="105"/>
                <w:sz w:val="18"/>
                <w:szCs w:val="18"/>
              </w:rPr>
              <w:t>1%</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
              <w:jc w:val="center"/>
              <w:rPr>
                <w:rFonts w:ascii="Arial" w:eastAsia="Arial" w:hAnsi="Arial" w:cs="Arial"/>
                <w:sz w:val="18"/>
                <w:szCs w:val="18"/>
              </w:rPr>
            </w:pPr>
            <w:r>
              <w:rPr>
                <w:rFonts w:ascii="Arial" w:eastAsia="Arial" w:hAnsi="Arial" w:cs="Arial"/>
                <w:spacing w:val="2"/>
                <w:sz w:val="18"/>
                <w:szCs w:val="18"/>
              </w:rPr>
              <w:t>36</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12"/>
              <w:jc w:val="center"/>
              <w:rPr>
                <w:rFonts w:ascii="Arial" w:eastAsia="Arial" w:hAnsi="Arial" w:cs="Arial"/>
                <w:sz w:val="18"/>
                <w:szCs w:val="18"/>
              </w:rPr>
            </w:pPr>
            <w:r>
              <w:rPr>
                <w:rFonts w:ascii="Arial" w:eastAsia="Arial" w:hAnsi="Arial" w:cs="Arial"/>
                <w:spacing w:val="-7"/>
                <w:w w:val="105"/>
                <w:sz w:val="18"/>
                <w:szCs w:val="18"/>
              </w:rPr>
              <w:t>1%</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
              <w:jc w:val="center"/>
              <w:rPr>
                <w:rFonts w:ascii="Arial" w:eastAsia="Arial" w:hAnsi="Arial" w:cs="Arial"/>
                <w:sz w:val="18"/>
                <w:szCs w:val="18"/>
              </w:rPr>
            </w:pPr>
            <w:r>
              <w:rPr>
                <w:rFonts w:ascii="Arial" w:eastAsia="Arial" w:hAnsi="Arial" w:cs="Arial"/>
                <w:spacing w:val="2"/>
                <w:sz w:val="18"/>
                <w:szCs w:val="18"/>
              </w:rPr>
              <w:t>36</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05"/>
              <w:jc w:val="center"/>
              <w:rPr>
                <w:rFonts w:ascii="Arial" w:eastAsia="Arial" w:hAnsi="Arial" w:cs="Arial"/>
                <w:sz w:val="18"/>
                <w:szCs w:val="18"/>
              </w:rPr>
            </w:pPr>
            <w:r>
              <w:rPr>
                <w:rFonts w:ascii="Arial" w:eastAsia="Arial" w:hAnsi="Arial" w:cs="Arial"/>
                <w:spacing w:val="-7"/>
                <w:w w:val="105"/>
                <w:sz w:val="18"/>
                <w:szCs w:val="18"/>
              </w:rPr>
              <w:t>1%</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right="5"/>
              <w:jc w:val="center"/>
              <w:rPr>
                <w:rFonts w:ascii="Arial" w:eastAsia="Arial" w:hAnsi="Arial" w:cs="Arial"/>
                <w:sz w:val="18"/>
                <w:szCs w:val="18"/>
              </w:rPr>
            </w:pPr>
            <w:r>
              <w:rPr>
                <w:rFonts w:ascii="Arial" w:eastAsia="Arial" w:hAnsi="Arial" w:cs="Arial"/>
                <w:spacing w:val="-6"/>
                <w:sz w:val="18"/>
                <w:szCs w:val="18"/>
              </w:rPr>
              <w:t>24</w:t>
            </w:r>
          </w:p>
        </w:tc>
        <w:tc>
          <w:tcPr>
            <w:tcW w:w="1057" w:type="dxa"/>
            <w:tcBorders>
              <w:top w:val="single" w:sz="4" w:space="0" w:color="797979"/>
              <w:left w:val="single" w:sz="2" w:space="0" w:color="000000"/>
              <w:bottom w:val="single" w:sz="4" w:space="0" w:color="797979"/>
              <w:right w:val="nil"/>
            </w:tcBorders>
            <w:vAlign w:val="center"/>
          </w:tcPr>
          <w:p w:rsidR="003C17D6" w:rsidRDefault="003C17D6" w:rsidP="00F94EBD">
            <w:pPr>
              <w:pStyle w:val="TableParagraph"/>
              <w:spacing w:before="47"/>
              <w:ind w:left="201"/>
              <w:jc w:val="center"/>
              <w:rPr>
                <w:rFonts w:ascii="Arial" w:eastAsia="Arial" w:hAnsi="Arial" w:cs="Arial"/>
                <w:sz w:val="18"/>
                <w:szCs w:val="18"/>
              </w:rPr>
            </w:pPr>
            <w:r>
              <w:rPr>
                <w:rFonts w:ascii="Arial" w:eastAsia="Arial" w:hAnsi="Arial" w:cs="Arial"/>
                <w:spacing w:val="-7"/>
                <w:w w:val="105"/>
                <w:sz w:val="18"/>
                <w:szCs w:val="18"/>
              </w:rPr>
              <w:t>1%</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jc w:val="center"/>
              <w:rPr>
                <w:rFonts w:ascii="Arial" w:eastAsia="Arial" w:hAnsi="Arial" w:cs="Arial"/>
                <w:sz w:val="18"/>
                <w:szCs w:val="18"/>
              </w:rPr>
            </w:pPr>
            <w:r>
              <w:rPr>
                <w:rFonts w:ascii="Arial" w:eastAsia="Arial" w:hAnsi="Arial" w:cs="Arial"/>
                <w:spacing w:val="-4"/>
                <w:sz w:val="18"/>
                <w:szCs w:val="18"/>
              </w:rPr>
              <w:t>57</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left="198"/>
              <w:jc w:val="center"/>
              <w:rPr>
                <w:rFonts w:ascii="Arial" w:eastAsia="Arial" w:hAnsi="Arial" w:cs="Arial"/>
                <w:sz w:val="18"/>
                <w:szCs w:val="18"/>
              </w:rPr>
            </w:pPr>
            <w:r>
              <w:rPr>
                <w:rFonts w:ascii="Arial" w:eastAsia="Arial" w:hAnsi="Arial" w:cs="Arial"/>
                <w:spacing w:val="2"/>
                <w:sz w:val="18"/>
                <w:szCs w:val="18"/>
              </w:rPr>
              <w:t>36</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96"/>
              <w:jc w:val="center"/>
              <w:rPr>
                <w:rFonts w:ascii="Arial" w:eastAsia="Arial" w:hAnsi="Arial" w:cs="Arial"/>
                <w:sz w:val="18"/>
                <w:szCs w:val="18"/>
              </w:rPr>
            </w:pPr>
            <w:r>
              <w:rPr>
                <w:rFonts w:ascii="Arial" w:eastAsia="Arial" w:hAnsi="Arial" w:cs="Arial"/>
                <w:spacing w:val="2"/>
                <w:sz w:val="18"/>
                <w:szCs w:val="18"/>
              </w:rPr>
              <w:t>36</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right="8"/>
              <w:jc w:val="center"/>
              <w:rPr>
                <w:rFonts w:ascii="Arial" w:eastAsia="Arial" w:hAnsi="Arial" w:cs="Arial"/>
                <w:sz w:val="18"/>
                <w:szCs w:val="18"/>
              </w:rPr>
            </w:pPr>
            <w:r>
              <w:rPr>
                <w:rFonts w:ascii="Arial" w:eastAsia="Arial" w:hAnsi="Arial" w:cs="Arial"/>
                <w:spacing w:val="-6"/>
                <w:sz w:val="18"/>
                <w:szCs w:val="18"/>
              </w:rPr>
              <w:t>24</w:t>
            </w:r>
          </w:p>
        </w:tc>
      </w:tr>
      <w:tr w:rsidR="003C17D6" w:rsidTr="00CB193F">
        <w:tc>
          <w:tcPr>
            <w:tcW w:w="1716" w:type="dxa"/>
            <w:tcBorders>
              <w:top w:val="single" w:sz="4" w:space="0" w:color="797979"/>
              <w:left w:val="nil"/>
              <w:bottom w:val="single" w:sz="4" w:space="0" w:color="797979"/>
              <w:right w:val="single" w:sz="2" w:space="0" w:color="000000"/>
            </w:tcBorders>
            <w:vAlign w:val="center"/>
          </w:tcPr>
          <w:p w:rsidR="003C17D6" w:rsidRDefault="003C17D6" w:rsidP="00CB193F">
            <w:pPr>
              <w:pStyle w:val="TableParagraph"/>
              <w:spacing w:before="47"/>
              <w:ind w:left="80"/>
              <w:rPr>
                <w:rFonts w:ascii="Arial" w:eastAsia="Arial" w:hAnsi="Arial" w:cs="Arial"/>
                <w:sz w:val="18"/>
                <w:szCs w:val="18"/>
              </w:rPr>
            </w:pPr>
            <w:r>
              <w:rPr>
                <w:rFonts w:ascii="Arial" w:eastAsia="Arial" w:hAnsi="Arial" w:cs="Arial"/>
                <w:spacing w:val="1"/>
                <w:sz w:val="18"/>
                <w:szCs w:val="18"/>
              </w:rPr>
              <w:t>H</w:t>
            </w:r>
            <w:r>
              <w:rPr>
                <w:rFonts w:ascii="Arial" w:eastAsia="Arial" w:hAnsi="Arial" w:cs="Arial"/>
                <w:spacing w:val="2"/>
                <w:sz w:val="18"/>
                <w:szCs w:val="18"/>
              </w:rPr>
              <w:t>ea</w:t>
            </w:r>
            <w:r>
              <w:rPr>
                <w:rFonts w:ascii="Arial" w:eastAsia="Arial" w:hAnsi="Arial" w:cs="Arial"/>
                <w:spacing w:val="1"/>
                <w:sz w:val="18"/>
                <w:szCs w:val="18"/>
              </w:rPr>
              <w:t>l</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a</w:t>
            </w:r>
            <w:r>
              <w:rPr>
                <w:rFonts w:ascii="Arial" w:eastAsia="Arial" w:hAnsi="Arial" w:cs="Arial"/>
                <w:sz w:val="18"/>
                <w:szCs w:val="18"/>
              </w:rPr>
              <w:t xml:space="preserve">re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 xml:space="preserve">d </w:t>
            </w:r>
            <w:r>
              <w:rPr>
                <w:rFonts w:ascii="Arial" w:eastAsia="Arial" w:hAnsi="Arial" w:cs="Arial"/>
                <w:spacing w:val="2"/>
                <w:sz w:val="18"/>
                <w:szCs w:val="18"/>
              </w:rPr>
              <w:t>S</w:t>
            </w:r>
            <w:r>
              <w:rPr>
                <w:rFonts w:ascii="Arial" w:eastAsia="Arial" w:hAnsi="Arial" w:cs="Arial"/>
                <w:spacing w:val="1"/>
                <w:sz w:val="18"/>
                <w:szCs w:val="18"/>
              </w:rPr>
              <w:t>o</w:t>
            </w:r>
            <w:r>
              <w:rPr>
                <w:rFonts w:ascii="Arial" w:eastAsia="Arial" w:hAnsi="Arial" w:cs="Arial"/>
                <w:sz w:val="18"/>
                <w:szCs w:val="18"/>
              </w:rPr>
              <w:t>c</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2"/>
                <w:sz w:val="18"/>
                <w:szCs w:val="18"/>
              </w:rPr>
              <w:t>A</w:t>
            </w:r>
            <w:r>
              <w:rPr>
                <w:rFonts w:ascii="Arial" w:eastAsia="Arial" w:hAnsi="Arial" w:cs="Arial"/>
                <w:spacing w:val="3"/>
                <w:sz w:val="18"/>
                <w:szCs w:val="18"/>
              </w:rPr>
              <w:t>s</w:t>
            </w:r>
            <w:r>
              <w:rPr>
                <w:rFonts w:ascii="Arial" w:eastAsia="Arial" w:hAnsi="Arial" w:cs="Arial"/>
                <w:spacing w:val="1"/>
                <w:sz w:val="18"/>
                <w:szCs w:val="18"/>
              </w:rPr>
              <w:t>si</w:t>
            </w:r>
            <w:r>
              <w:rPr>
                <w:rFonts w:ascii="Arial" w:eastAsia="Arial" w:hAnsi="Arial" w:cs="Arial"/>
                <w:spacing w:val="2"/>
                <w:sz w:val="18"/>
                <w:szCs w:val="18"/>
              </w:rPr>
              <w:t>s</w:t>
            </w:r>
            <w:r>
              <w:rPr>
                <w:rFonts w:ascii="Arial" w:eastAsia="Arial" w:hAnsi="Arial" w:cs="Arial"/>
                <w:spacing w:val="1"/>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17"/>
              <w:jc w:val="center"/>
              <w:rPr>
                <w:rFonts w:ascii="Arial" w:eastAsia="Arial" w:hAnsi="Arial" w:cs="Arial"/>
                <w:sz w:val="18"/>
                <w:szCs w:val="18"/>
              </w:rPr>
            </w:pPr>
            <w:r>
              <w:rPr>
                <w:rFonts w:ascii="Arial" w:eastAsia="Arial" w:hAnsi="Arial" w:cs="Arial"/>
                <w:sz w:val="18"/>
                <w:szCs w:val="18"/>
              </w:rPr>
              <w:t>5</w:t>
            </w:r>
            <w:r>
              <w:rPr>
                <w:rFonts w:ascii="Arial" w:eastAsia="Arial" w:hAnsi="Arial" w:cs="Arial"/>
                <w:spacing w:val="-4"/>
                <w:sz w:val="18"/>
                <w:szCs w:val="18"/>
              </w:rPr>
              <w:t>07</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158"/>
              <w:jc w:val="center"/>
              <w:rPr>
                <w:rFonts w:ascii="Arial" w:eastAsia="Arial" w:hAnsi="Arial" w:cs="Arial"/>
                <w:sz w:val="18"/>
                <w:szCs w:val="18"/>
              </w:rPr>
            </w:pPr>
            <w:r>
              <w:rPr>
                <w:rFonts w:ascii="Arial" w:eastAsia="Arial" w:hAnsi="Arial" w:cs="Arial"/>
                <w:spacing w:val="-9"/>
                <w:w w:val="105"/>
                <w:sz w:val="18"/>
                <w:szCs w:val="18"/>
              </w:rPr>
              <w:t>1</w:t>
            </w:r>
            <w:r>
              <w:rPr>
                <w:rFonts w:ascii="Arial" w:eastAsia="Arial" w:hAnsi="Arial" w:cs="Arial"/>
                <w:spacing w:val="4"/>
                <w:w w:val="105"/>
                <w:sz w:val="18"/>
                <w:szCs w:val="18"/>
              </w:rPr>
              <w:t>0</w:t>
            </w:r>
            <w:r>
              <w:rPr>
                <w:rFonts w:ascii="Arial" w:eastAsia="Arial" w:hAnsi="Arial" w:cs="Arial"/>
                <w:w w:val="105"/>
                <w:sz w:val="18"/>
                <w:szCs w:val="18"/>
              </w:rPr>
              <w:t>%</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1"/>
              <w:jc w:val="center"/>
              <w:rPr>
                <w:rFonts w:ascii="Arial" w:eastAsia="Arial" w:hAnsi="Arial" w:cs="Arial"/>
                <w:sz w:val="18"/>
                <w:szCs w:val="18"/>
              </w:rPr>
            </w:pPr>
            <w:r>
              <w:rPr>
                <w:rFonts w:ascii="Arial" w:eastAsia="Arial" w:hAnsi="Arial" w:cs="Arial"/>
                <w:spacing w:val="1"/>
                <w:sz w:val="18"/>
                <w:szCs w:val="18"/>
              </w:rPr>
              <w:t>556</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170"/>
              <w:jc w:val="center"/>
              <w:rPr>
                <w:rFonts w:ascii="Arial" w:eastAsia="Arial" w:hAnsi="Arial" w:cs="Arial"/>
                <w:sz w:val="18"/>
                <w:szCs w:val="18"/>
              </w:rPr>
            </w:pPr>
            <w:r>
              <w:rPr>
                <w:rFonts w:ascii="Arial" w:eastAsia="Arial" w:hAnsi="Arial" w:cs="Arial"/>
                <w:spacing w:val="-17"/>
                <w:w w:val="105"/>
                <w:sz w:val="18"/>
                <w:szCs w:val="18"/>
              </w:rPr>
              <w:t>1</w:t>
            </w:r>
            <w:r>
              <w:rPr>
                <w:rFonts w:ascii="Arial" w:eastAsia="Arial" w:hAnsi="Arial" w:cs="Arial"/>
                <w:spacing w:val="-8"/>
                <w:w w:val="105"/>
                <w:sz w:val="18"/>
                <w:szCs w:val="18"/>
              </w:rPr>
              <w:t>1</w:t>
            </w:r>
            <w:r>
              <w:rPr>
                <w:rFonts w:ascii="Arial" w:eastAsia="Arial" w:hAnsi="Arial" w:cs="Arial"/>
                <w:w w:val="105"/>
                <w:sz w:val="18"/>
                <w:szCs w:val="18"/>
              </w:rPr>
              <w:t>%</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27"/>
              <w:jc w:val="center"/>
              <w:rPr>
                <w:rFonts w:ascii="Arial" w:eastAsia="Arial" w:hAnsi="Arial" w:cs="Arial"/>
                <w:sz w:val="18"/>
                <w:szCs w:val="18"/>
              </w:rPr>
            </w:pPr>
            <w:r>
              <w:rPr>
                <w:rFonts w:ascii="Arial" w:eastAsia="Arial" w:hAnsi="Arial" w:cs="Arial"/>
                <w:spacing w:val="1"/>
                <w:sz w:val="18"/>
                <w:szCs w:val="18"/>
              </w:rPr>
              <w:t>4</w:t>
            </w:r>
            <w:r>
              <w:rPr>
                <w:rFonts w:ascii="Arial" w:eastAsia="Arial" w:hAnsi="Arial" w:cs="Arial"/>
                <w:spacing w:val="4"/>
                <w:sz w:val="18"/>
                <w:szCs w:val="18"/>
              </w:rPr>
              <w:t>0</w:t>
            </w:r>
            <w:r>
              <w:rPr>
                <w:rFonts w:ascii="Arial" w:eastAsia="Arial" w:hAnsi="Arial" w:cs="Arial"/>
                <w:sz w:val="18"/>
                <w:szCs w:val="18"/>
              </w:rPr>
              <w:t>0</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01"/>
              <w:jc w:val="center"/>
              <w:rPr>
                <w:rFonts w:ascii="Arial" w:eastAsia="Arial" w:hAnsi="Arial" w:cs="Arial"/>
                <w:sz w:val="18"/>
                <w:szCs w:val="18"/>
              </w:rPr>
            </w:pPr>
            <w:r>
              <w:rPr>
                <w:rFonts w:ascii="Arial" w:eastAsia="Arial" w:hAnsi="Arial" w:cs="Arial"/>
                <w:spacing w:val="1"/>
                <w:w w:val="105"/>
                <w:sz w:val="18"/>
                <w:szCs w:val="18"/>
              </w:rPr>
              <w:t>8%</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167"/>
              <w:jc w:val="center"/>
              <w:rPr>
                <w:rFonts w:ascii="Arial" w:eastAsia="Arial" w:hAnsi="Arial" w:cs="Arial"/>
                <w:sz w:val="18"/>
                <w:szCs w:val="18"/>
              </w:rPr>
            </w:pPr>
            <w:r>
              <w:rPr>
                <w:rFonts w:ascii="Arial" w:eastAsia="Arial" w:hAnsi="Arial" w:cs="Arial"/>
                <w:spacing w:val="-1"/>
                <w:sz w:val="18"/>
                <w:szCs w:val="18"/>
              </w:rPr>
              <w:t>2</w:t>
            </w:r>
            <w:r>
              <w:rPr>
                <w:rFonts w:ascii="Arial" w:eastAsia="Arial" w:hAnsi="Arial" w:cs="Arial"/>
                <w:spacing w:val="3"/>
                <w:sz w:val="18"/>
                <w:szCs w:val="18"/>
              </w:rPr>
              <w:t>0</w:t>
            </w:r>
            <w:r>
              <w:rPr>
                <w:rFonts w:ascii="Arial" w:eastAsia="Arial" w:hAnsi="Arial" w:cs="Arial"/>
                <w:sz w:val="18"/>
                <w:szCs w:val="18"/>
              </w:rPr>
              <w:t>8</w:t>
            </w:r>
          </w:p>
        </w:tc>
        <w:tc>
          <w:tcPr>
            <w:tcW w:w="1057" w:type="dxa"/>
            <w:tcBorders>
              <w:top w:val="single" w:sz="4" w:space="0" w:color="797979"/>
              <w:left w:val="single" w:sz="2" w:space="0" w:color="000000"/>
              <w:bottom w:val="single" w:sz="4" w:space="0" w:color="797979"/>
              <w:right w:val="nil"/>
            </w:tcBorders>
            <w:vAlign w:val="center"/>
          </w:tcPr>
          <w:p w:rsidR="003C17D6" w:rsidRDefault="003C17D6" w:rsidP="00F94EBD">
            <w:pPr>
              <w:pStyle w:val="TableParagraph"/>
              <w:spacing w:before="47"/>
              <w:ind w:left="196"/>
              <w:jc w:val="center"/>
              <w:rPr>
                <w:rFonts w:ascii="Arial" w:eastAsia="Arial" w:hAnsi="Arial" w:cs="Arial"/>
                <w:sz w:val="18"/>
                <w:szCs w:val="18"/>
              </w:rPr>
            </w:pPr>
            <w:r>
              <w:rPr>
                <w:rFonts w:ascii="Arial" w:eastAsia="Arial" w:hAnsi="Arial" w:cs="Arial"/>
                <w:spacing w:val="1"/>
                <w:w w:val="105"/>
                <w:sz w:val="18"/>
                <w:szCs w:val="18"/>
              </w:rPr>
              <w:t>8%</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41"/>
              <w:jc w:val="center"/>
              <w:rPr>
                <w:rFonts w:ascii="Arial" w:eastAsia="Arial" w:hAnsi="Arial" w:cs="Arial"/>
                <w:sz w:val="18"/>
                <w:szCs w:val="18"/>
              </w:rPr>
            </w:pPr>
            <w:r>
              <w:rPr>
                <w:rFonts w:ascii="Arial" w:eastAsia="Arial" w:hAnsi="Arial" w:cs="Arial"/>
                <w:sz w:val="18"/>
                <w:szCs w:val="18"/>
              </w:rPr>
              <w:t>5</w:t>
            </w:r>
            <w:r>
              <w:rPr>
                <w:rFonts w:ascii="Arial" w:eastAsia="Arial" w:hAnsi="Arial" w:cs="Arial"/>
                <w:spacing w:val="3"/>
                <w:sz w:val="18"/>
                <w:szCs w:val="18"/>
              </w:rPr>
              <w:t>0</w:t>
            </w:r>
            <w:r>
              <w:rPr>
                <w:rFonts w:ascii="Arial" w:eastAsia="Arial" w:hAnsi="Arial" w:cs="Arial"/>
                <w:sz w:val="18"/>
                <w:szCs w:val="18"/>
              </w:rPr>
              <w:t>8</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left="150"/>
              <w:jc w:val="center"/>
              <w:rPr>
                <w:rFonts w:ascii="Arial" w:eastAsia="Arial" w:hAnsi="Arial" w:cs="Arial"/>
                <w:sz w:val="18"/>
                <w:szCs w:val="18"/>
              </w:rPr>
            </w:pPr>
            <w:r>
              <w:rPr>
                <w:rFonts w:ascii="Arial" w:eastAsia="Arial" w:hAnsi="Arial" w:cs="Arial"/>
                <w:spacing w:val="1"/>
                <w:sz w:val="18"/>
                <w:szCs w:val="18"/>
              </w:rPr>
              <w:t>5</w:t>
            </w:r>
            <w:r>
              <w:rPr>
                <w:rFonts w:ascii="Arial" w:eastAsia="Arial" w:hAnsi="Arial" w:cs="Arial"/>
                <w:spacing w:val="-4"/>
                <w:sz w:val="18"/>
                <w:szCs w:val="18"/>
              </w:rPr>
              <w:t>57</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45"/>
              <w:jc w:val="center"/>
              <w:rPr>
                <w:rFonts w:ascii="Arial" w:eastAsia="Arial" w:hAnsi="Arial" w:cs="Arial"/>
                <w:sz w:val="18"/>
                <w:szCs w:val="18"/>
              </w:rPr>
            </w:pPr>
            <w:r>
              <w:rPr>
                <w:rFonts w:ascii="Arial" w:eastAsia="Arial" w:hAnsi="Arial" w:cs="Arial"/>
                <w:spacing w:val="1"/>
                <w:sz w:val="18"/>
                <w:szCs w:val="18"/>
              </w:rPr>
              <w:t>4</w:t>
            </w:r>
            <w:r>
              <w:rPr>
                <w:rFonts w:ascii="Arial" w:eastAsia="Arial" w:hAnsi="Arial" w:cs="Arial"/>
                <w:spacing w:val="3"/>
                <w:sz w:val="18"/>
                <w:szCs w:val="18"/>
              </w:rPr>
              <w:t>0</w:t>
            </w:r>
            <w:r>
              <w:rPr>
                <w:rFonts w:ascii="Arial" w:eastAsia="Arial" w:hAnsi="Arial" w:cs="Arial"/>
                <w:sz w:val="18"/>
                <w:szCs w:val="18"/>
              </w:rPr>
              <w:t>3</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left="148"/>
              <w:jc w:val="center"/>
              <w:rPr>
                <w:rFonts w:ascii="Arial" w:eastAsia="Arial" w:hAnsi="Arial" w:cs="Arial"/>
                <w:sz w:val="18"/>
                <w:szCs w:val="18"/>
              </w:rPr>
            </w:pPr>
            <w:r>
              <w:rPr>
                <w:rFonts w:ascii="Arial" w:eastAsia="Arial" w:hAnsi="Arial" w:cs="Arial"/>
                <w:spacing w:val="-1"/>
                <w:sz w:val="18"/>
                <w:szCs w:val="18"/>
              </w:rPr>
              <w:t>2</w:t>
            </w:r>
            <w:r>
              <w:rPr>
                <w:rFonts w:ascii="Arial" w:eastAsia="Arial" w:hAnsi="Arial" w:cs="Arial"/>
                <w:spacing w:val="3"/>
                <w:sz w:val="18"/>
                <w:szCs w:val="18"/>
              </w:rPr>
              <w:t>0</w:t>
            </w:r>
            <w:r>
              <w:rPr>
                <w:rFonts w:ascii="Arial" w:eastAsia="Arial" w:hAnsi="Arial" w:cs="Arial"/>
                <w:sz w:val="18"/>
                <w:szCs w:val="18"/>
              </w:rPr>
              <w:t>8</w:t>
            </w:r>
          </w:p>
        </w:tc>
      </w:tr>
      <w:tr w:rsidR="003C17D6" w:rsidTr="00CB193F">
        <w:tc>
          <w:tcPr>
            <w:tcW w:w="1716" w:type="dxa"/>
            <w:tcBorders>
              <w:top w:val="single" w:sz="4" w:space="0" w:color="797979"/>
              <w:left w:val="nil"/>
              <w:bottom w:val="single" w:sz="4" w:space="0" w:color="797979"/>
              <w:right w:val="single" w:sz="2" w:space="0" w:color="000000"/>
            </w:tcBorders>
            <w:vAlign w:val="center"/>
          </w:tcPr>
          <w:p w:rsidR="003C17D6" w:rsidRDefault="003C17D6" w:rsidP="00CB193F">
            <w:pPr>
              <w:pStyle w:val="TableParagraph"/>
              <w:spacing w:before="47"/>
              <w:ind w:left="80"/>
              <w:rPr>
                <w:rFonts w:ascii="Arial" w:eastAsia="Arial" w:hAnsi="Arial" w:cs="Arial"/>
                <w:sz w:val="18"/>
                <w:szCs w:val="18"/>
              </w:rPr>
            </w:pPr>
            <w:r>
              <w:rPr>
                <w:rFonts w:ascii="Arial" w:eastAsia="Arial" w:hAnsi="Arial" w:cs="Arial"/>
                <w:sz w:val="18"/>
                <w:szCs w:val="18"/>
              </w:rPr>
              <w:t>Info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3"/>
                <w:sz w:val="18"/>
                <w:szCs w:val="18"/>
              </w:rPr>
              <w:t xml:space="preserve"> </w:t>
            </w:r>
            <w:r>
              <w:rPr>
                <w:rFonts w:ascii="Arial" w:eastAsia="Arial" w:hAnsi="Arial" w:cs="Arial"/>
                <w:sz w:val="18"/>
                <w:szCs w:val="18"/>
              </w:rPr>
              <w:t>M</w:t>
            </w:r>
            <w:r>
              <w:rPr>
                <w:rFonts w:ascii="Arial" w:eastAsia="Arial" w:hAnsi="Arial" w:cs="Arial"/>
                <w:spacing w:val="3"/>
                <w:sz w:val="18"/>
                <w:szCs w:val="18"/>
              </w:rPr>
              <w:t>e</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a</w:t>
            </w:r>
            <w:r>
              <w:rPr>
                <w:rFonts w:ascii="Arial" w:eastAsia="Arial" w:hAnsi="Arial" w:cs="Arial"/>
                <w:spacing w:val="13"/>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3"/>
                <w:sz w:val="18"/>
                <w:szCs w:val="18"/>
              </w:rPr>
              <w:t xml:space="preserve"> </w:t>
            </w:r>
            <w:r>
              <w:rPr>
                <w:rFonts w:ascii="Arial" w:eastAsia="Arial" w:hAnsi="Arial" w:cs="Arial"/>
                <w:spacing w:val="-14"/>
                <w:sz w:val="18"/>
                <w:szCs w:val="18"/>
              </w:rPr>
              <w:t>T</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pacing w:val="3"/>
                <w:sz w:val="18"/>
                <w:szCs w:val="18"/>
              </w:rPr>
              <w:t>e</w:t>
            </w:r>
            <w:r>
              <w:rPr>
                <w:rFonts w:ascii="Arial" w:eastAsia="Arial" w:hAnsi="Arial" w:cs="Arial"/>
                <w:spacing w:val="1"/>
                <w:sz w:val="18"/>
                <w:szCs w:val="18"/>
              </w:rPr>
              <w:t>c</w:t>
            </w:r>
            <w:r>
              <w:rPr>
                <w:rFonts w:ascii="Arial" w:eastAsia="Arial" w:hAnsi="Arial" w:cs="Arial"/>
                <w:sz w:val="18"/>
                <w:szCs w:val="18"/>
              </w:rPr>
              <w:t>omm</w:t>
            </w:r>
            <w:r>
              <w:rPr>
                <w:rFonts w:ascii="Arial" w:eastAsia="Arial" w:hAnsi="Arial" w:cs="Arial"/>
                <w:spacing w:val="1"/>
                <w:sz w:val="18"/>
                <w:szCs w:val="18"/>
              </w:rPr>
              <w:t>unica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o</w:t>
            </w:r>
            <w:r>
              <w:rPr>
                <w:rFonts w:ascii="Arial" w:eastAsia="Arial" w:hAnsi="Arial" w:cs="Arial"/>
                <w:spacing w:val="1"/>
                <w:sz w:val="18"/>
                <w:szCs w:val="18"/>
              </w:rPr>
              <w:t>n</w:t>
            </w:r>
            <w:r>
              <w:rPr>
                <w:rFonts w:ascii="Arial" w:eastAsia="Arial" w:hAnsi="Arial" w:cs="Arial"/>
                <w:sz w:val="18"/>
                <w:szCs w:val="18"/>
              </w:rPr>
              <w:t>s</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1"/>
              <w:jc w:val="center"/>
              <w:rPr>
                <w:rFonts w:ascii="Arial" w:eastAsia="Arial" w:hAnsi="Arial" w:cs="Arial"/>
                <w:sz w:val="18"/>
                <w:szCs w:val="18"/>
              </w:rPr>
            </w:pPr>
            <w:r>
              <w:rPr>
                <w:rFonts w:ascii="Arial" w:eastAsia="Arial" w:hAnsi="Arial" w:cs="Arial"/>
                <w:spacing w:val="1"/>
                <w:sz w:val="18"/>
                <w:szCs w:val="18"/>
              </w:rPr>
              <w:t>40</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10"/>
              <w:jc w:val="center"/>
              <w:rPr>
                <w:rFonts w:ascii="Arial" w:eastAsia="Arial" w:hAnsi="Arial" w:cs="Arial"/>
                <w:sz w:val="18"/>
                <w:szCs w:val="18"/>
              </w:rPr>
            </w:pPr>
            <w:r>
              <w:rPr>
                <w:rFonts w:ascii="Arial" w:eastAsia="Arial" w:hAnsi="Arial" w:cs="Arial"/>
                <w:spacing w:val="-7"/>
                <w:w w:val="105"/>
                <w:sz w:val="18"/>
                <w:szCs w:val="18"/>
              </w:rPr>
              <w:t>1%</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jc w:val="center"/>
              <w:rPr>
                <w:rFonts w:ascii="Arial" w:eastAsia="Arial" w:hAnsi="Arial" w:cs="Arial"/>
                <w:sz w:val="18"/>
                <w:szCs w:val="18"/>
              </w:rPr>
            </w:pPr>
            <w:r>
              <w:rPr>
                <w:rFonts w:ascii="Arial" w:eastAsia="Arial" w:hAnsi="Arial" w:cs="Arial"/>
                <w:spacing w:val="-1"/>
                <w:sz w:val="18"/>
                <w:szCs w:val="18"/>
              </w:rPr>
              <w:t>42</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12"/>
              <w:jc w:val="center"/>
              <w:rPr>
                <w:rFonts w:ascii="Arial" w:eastAsia="Arial" w:hAnsi="Arial" w:cs="Arial"/>
                <w:sz w:val="18"/>
                <w:szCs w:val="18"/>
              </w:rPr>
            </w:pPr>
            <w:r>
              <w:rPr>
                <w:rFonts w:ascii="Arial" w:eastAsia="Arial" w:hAnsi="Arial" w:cs="Arial"/>
                <w:spacing w:val="-7"/>
                <w:w w:val="105"/>
                <w:sz w:val="18"/>
                <w:szCs w:val="18"/>
              </w:rPr>
              <w:t>1%</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59" w:right="256"/>
              <w:jc w:val="center"/>
              <w:rPr>
                <w:rFonts w:ascii="Arial" w:eastAsia="Arial" w:hAnsi="Arial" w:cs="Arial"/>
                <w:sz w:val="18"/>
                <w:szCs w:val="18"/>
              </w:rPr>
            </w:pPr>
            <w:r>
              <w:rPr>
                <w:rFonts w:ascii="Arial" w:eastAsia="Arial" w:hAnsi="Arial" w:cs="Arial"/>
                <w:spacing w:val="2"/>
                <w:sz w:val="18"/>
                <w:szCs w:val="18"/>
              </w:rPr>
              <w:t>34</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06"/>
              <w:jc w:val="center"/>
              <w:rPr>
                <w:rFonts w:ascii="Arial" w:eastAsia="Arial" w:hAnsi="Arial" w:cs="Arial"/>
                <w:sz w:val="18"/>
                <w:szCs w:val="18"/>
              </w:rPr>
            </w:pPr>
            <w:r>
              <w:rPr>
                <w:rFonts w:ascii="Arial" w:eastAsia="Arial" w:hAnsi="Arial" w:cs="Arial"/>
                <w:spacing w:val="-7"/>
                <w:w w:val="105"/>
                <w:sz w:val="18"/>
                <w:szCs w:val="18"/>
              </w:rPr>
              <w:t>1%</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right="12"/>
              <w:jc w:val="center"/>
              <w:rPr>
                <w:rFonts w:ascii="Arial" w:eastAsia="Arial" w:hAnsi="Arial" w:cs="Arial"/>
                <w:sz w:val="18"/>
                <w:szCs w:val="18"/>
              </w:rPr>
            </w:pPr>
            <w:r>
              <w:rPr>
                <w:rFonts w:ascii="Arial" w:eastAsia="Arial" w:hAnsi="Arial" w:cs="Arial"/>
                <w:spacing w:val="-13"/>
                <w:sz w:val="18"/>
                <w:szCs w:val="18"/>
              </w:rPr>
              <w:t>17</w:t>
            </w:r>
          </w:p>
        </w:tc>
        <w:tc>
          <w:tcPr>
            <w:tcW w:w="1057" w:type="dxa"/>
            <w:tcBorders>
              <w:top w:val="single" w:sz="4" w:space="0" w:color="797979"/>
              <w:left w:val="single" w:sz="2" w:space="0" w:color="000000"/>
              <w:bottom w:val="single" w:sz="4" w:space="0" w:color="797979"/>
              <w:right w:val="nil"/>
            </w:tcBorders>
            <w:vAlign w:val="center"/>
          </w:tcPr>
          <w:p w:rsidR="003C17D6" w:rsidRDefault="003C17D6" w:rsidP="00F94EBD">
            <w:pPr>
              <w:pStyle w:val="TableParagraph"/>
              <w:spacing w:before="47"/>
              <w:ind w:left="201"/>
              <w:jc w:val="center"/>
              <w:rPr>
                <w:rFonts w:ascii="Arial" w:eastAsia="Arial" w:hAnsi="Arial" w:cs="Arial"/>
                <w:sz w:val="18"/>
                <w:szCs w:val="18"/>
              </w:rPr>
            </w:pPr>
            <w:r>
              <w:rPr>
                <w:rFonts w:ascii="Arial" w:eastAsia="Arial" w:hAnsi="Arial" w:cs="Arial"/>
                <w:spacing w:val="-7"/>
                <w:w w:val="105"/>
                <w:sz w:val="18"/>
                <w:szCs w:val="18"/>
              </w:rPr>
              <w:t>1%</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92"/>
              <w:jc w:val="center"/>
              <w:rPr>
                <w:rFonts w:ascii="Arial" w:eastAsia="Arial" w:hAnsi="Arial" w:cs="Arial"/>
                <w:sz w:val="18"/>
                <w:szCs w:val="18"/>
              </w:rPr>
            </w:pPr>
            <w:r>
              <w:rPr>
                <w:rFonts w:ascii="Arial" w:eastAsia="Arial" w:hAnsi="Arial" w:cs="Arial"/>
                <w:spacing w:val="2"/>
                <w:sz w:val="18"/>
                <w:szCs w:val="18"/>
              </w:rPr>
              <w:t>43</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left="199"/>
              <w:jc w:val="center"/>
              <w:rPr>
                <w:rFonts w:ascii="Arial" w:eastAsia="Arial" w:hAnsi="Arial" w:cs="Arial"/>
                <w:sz w:val="18"/>
                <w:szCs w:val="18"/>
              </w:rPr>
            </w:pPr>
            <w:r>
              <w:rPr>
                <w:rFonts w:ascii="Arial" w:eastAsia="Arial" w:hAnsi="Arial" w:cs="Arial"/>
                <w:spacing w:val="2"/>
                <w:sz w:val="18"/>
                <w:szCs w:val="18"/>
              </w:rPr>
              <w:t>43</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97"/>
              <w:jc w:val="center"/>
              <w:rPr>
                <w:rFonts w:ascii="Arial" w:eastAsia="Arial" w:hAnsi="Arial" w:cs="Arial"/>
                <w:sz w:val="18"/>
                <w:szCs w:val="18"/>
              </w:rPr>
            </w:pPr>
            <w:r>
              <w:rPr>
                <w:rFonts w:ascii="Arial" w:eastAsia="Arial" w:hAnsi="Arial" w:cs="Arial"/>
                <w:spacing w:val="2"/>
                <w:sz w:val="18"/>
                <w:szCs w:val="18"/>
              </w:rPr>
              <w:t>34</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right="9"/>
              <w:jc w:val="center"/>
              <w:rPr>
                <w:rFonts w:ascii="Arial" w:eastAsia="Arial" w:hAnsi="Arial" w:cs="Arial"/>
                <w:sz w:val="18"/>
                <w:szCs w:val="18"/>
              </w:rPr>
            </w:pPr>
            <w:r>
              <w:rPr>
                <w:rFonts w:ascii="Arial" w:eastAsia="Arial" w:hAnsi="Arial" w:cs="Arial"/>
                <w:spacing w:val="-9"/>
                <w:sz w:val="18"/>
                <w:szCs w:val="18"/>
              </w:rPr>
              <w:t>18</w:t>
            </w:r>
          </w:p>
        </w:tc>
      </w:tr>
      <w:tr w:rsidR="003C17D6" w:rsidTr="00CB193F">
        <w:tc>
          <w:tcPr>
            <w:tcW w:w="1716" w:type="dxa"/>
            <w:tcBorders>
              <w:top w:val="single" w:sz="4" w:space="0" w:color="797979"/>
              <w:left w:val="nil"/>
              <w:bottom w:val="single" w:sz="4" w:space="0" w:color="797979"/>
              <w:right w:val="single" w:sz="2" w:space="0" w:color="000000"/>
            </w:tcBorders>
            <w:vAlign w:val="center"/>
          </w:tcPr>
          <w:p w:rsidR="003C17D6" w:rsidRDefault="003C17D6" w:rsidP="00CB193F">
            <w:pPr>
              <w:pStyle w:val="TableParagraph"/>
              <w:spacing w:before="47"/>
              <w:ind w:left="80"/>
              <w:rPr>
                <w:rFonts w:ascii="Arial" w:eastAsia="Arial" w:hAnsi="Arial" w:cs="Arial"/>
                <w:sz w:val="18"/>
                <w:szCs w:val="18"/>
              </w:rPr>
            </w:pPr>
            <w:r>
              <w:rPr>
                <w:rFonts w:ascii="Arial" w:eastAsia="Arial" w:hAnsi="Arial" w:cs="Arial"/>
                <w:sz w:val="18"/>
                <w:szCs w:val="18"/>
              </w:rPr>
              <w:t>M</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ufac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15"/>
              <w:jc w:val="center"/>
              <w:rPr>
                <w:rFonts w:ascii="Arial" w:eastAsia="Arial" w:hAnsi="Arial" w:cs="Arial"/>
                <w:sz w:val="18"/>
                <w:szCs w:val="18"/>
              </w:rPr>
            </w:pPr>
            <w:r>
              <w:rPr>
                <w:rFonts w:ascii="Arial" w:eastAsia="Arial" w:hAnsi="Arial" w:cs="Arial"/>
                <w:spacing w:val="2"/>
                <w:sz w:val="18"/>
                <w:szCs w:val="18"/>
              </w:rPr>
              <w:t>9</w:t>
            </w:r>
            <w:r>
              <w:rPr>
                <w:rFonts w:ascii="Arial" w:eastAsia="Arial" w:hAnsi="Arial" w:cs="Arial"/>
                <w:spacing w:val="-2"/>
                <w:sz w:val="18"/>
                <w:szCs w:val="18"/>
              </w:rPr>
              <w:t>52</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159"/>
              <w:jc w:val="center"/>
              <w:rPr>
                <w:rFonts w:ascii="Arial" w:eastAsia="Arial" w:hAnsi="Arial" w:cs="Arial"/>
                <w:sz w:val="18"/>
                <w:szCs w:val="18"/>
              </w:rPr>
            </w:pPr>
            <w:r>
              <w:rPr>
                <w:rFonts w:ascii="Arial" w:eastAsia="Arial" w:hAnsi="Arial" w:cs="Arial"/>
                <w:spacing w:val="-9"/>
                <w:w w:val="105"/>
                <w:sz w:val="18"/>
                <w:szCs w:val="18"/>
              </w:rPr>
              <w:t>1</w:t>
            </w:r>
            <w:r>
              <w:rPr>
                <w:rFonts w:ascii="Arial" w:eastAsia="Arial" w:hAnsi="Arial" w:cs="Arial"/>
                <w:spacing w:val="3"/>
                <w:w w:val="105"/>
                <w:sz w:val="18"/>
                <w:szCs w:val="18"/>
              </w:rPr>
              <w:t>9</w:t>
            </w:r>
            <w:r>
              <w:rPr>
                <w:rFonts w:ascii="Arial" w:eastAsia="Arial" w:hAnsi="Arial" w:cs="Arial"/>
                <w:w w:val="105"/>
                <w:sz w:val="18"/>
                <w:szCs w:val="18"/>
              </w:rPr>
              <w:t>%</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305"/>
              <w:jc w:val="center"/>
              <w:rPr>
                <w:rFonts w:ascii="Arial" w:eastAsia="Arial" w:hAnsi="Arial" w:cs="Arial"/>
                <w:sz w:val="18"/>
                <w:szCs w:val="18"/>
              </w:rPr>
            </w:pPr>
            <w:r>
              <w:rPr>
                <w:rFonts w:ascii="Arial" w:eastAsia="Arial" w:hAnsi="Arial" w:cs="Arial"/>
                <w:spacing w:val="3"/>
                <w:sz w:val="18"/>
                <w:szCs w:val="18"/>
              </w:rPr>
              <w:t>9</w:t>
            </w:r>
            <w:r>
              <w:rPr>
                <w:rFonts w:ascii="Arial" w:eastAsia="Arial" w:hAnsi="Arial" w:cs="Arial"/>
                <w:spacing w:val="2"/>
                <w:sz w:val="18"/>
                <w:szCs w:val="18"/>
              </w:rPr>
              <w:t>68</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157"/>
              <w:jc w:val="center"/>
              <w:rPr>
                <w:rFonts w:ascii="Arial" w:eastAsia="Arial" w:hAnsi="Arial" w:cs="Arial"/>
                <w:sz w:val="18"/>
                <w:szCs w:val="18"/>
              </w:rPr>
            </w:pPr>
            <w:r>
              <w:rPr>
                <w:rFonts w:ascii="Arial" w:eastAsia="Arial" w:hAnsi="Arial" w:cs="Arial"/>
                <w:spacing w:val="-2"/>
                <w:w w:val="105"/>
                <w:sz w:val="18"/>
                <w:szCs w:val="18"/>
              </w:rPr>
              <w:t>2</w:t>
            </w:r>
            <w:r>
              <w:rPr>
                <w:rFonts w:ascii="Arial" w:eastAsia="Arial" w:hAnsi="Arial" w:cs="Arial"/>
                <w:spacing w:val="4"/>
                <w:w w:val="105"/>
                <w:sz w:val="18"/>
                <w:szCs w:val="18"/>
              </w:rPr>
              <w:t>0</w:t>
            </w:r>
            <w:r>
              <w:rPr>
                <w:rFonts w:ascii="Arial" w:eastAsia="Arial" w:hAnsi="Arial" w:cs="Arial"/>
                <w:w w:val="105"/>
                <w:sz w:val="18"/>
                <w:szCs w:val="18"/>
              </w:rPr>
              <w:t>%</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30"/>
              <w:jc w:val="center"/>
              <w:rPr>
                <w:rFonts w:ascii="Arial" w:eastAsia="Arial" w:hAnsi="Arial" w:cs="Arial"/>
                <w:sz w:val="18"/>
                <w:szCs w:val="18"/>
              </w:rPr>
            </w:pPr>
            <w:r>
              <w:rPr>
                <w:rFonts w:ascii="Arial" w:eastAsia="Arial" w:hAnsi="Arial" w:cs="Arial"/>
                <w:spacing w:val="-2"/>
                <w:sz w:val="18"/>
                <w:szCs w:val="18"/>
              </w:rPr>
              <w:t>7</w:t>
            </w:r>
            <w:r>
              <w:rPr>
                <w:rFonts w:ascii="Arial" w:eastAsia="Arial" w:hAnsi="Arial" w:cs="Arial"/>
                <w:spacing w:val="2"/>
                <w:sz w:val="18"/>
                <w:szCs w:val="18"/>
              </w:rPr>
              <w:t>3</w:t>
            </w:r>
            <w:r>
              <w:rPr>
                <w:rFonts w:ascii="Arial" w:eastAsia="Arial" w:hAnsi="Arial" w:cs="Arial"/>
                <w:sz w:val="18"/>
                <w:szCs w:val="18"/>
              </w:rPr>
              <w:t>3</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157"/>
              <w:jc w:val="center"/>
              <w:rPr>
                <w:rFonts w:ascii="Arial" w:eastAsia="Arial" w:hAnsi="Arial" w:cs="Arial"/>
                <w:sz w:val="18"/>
                <w:szCs w:val="18"/>
              </w:rPr>
            </w:pPr>
            <w:r>
              <w:rPr>
                <w:rFonts w:ascii="Arial" w:eastAsia="Arial" w:hAnsi="Arial" w:cs="Arial"/>
                <w:spacing w:val="-10"/>
                <w:w w:val="105"/>
                <w:sz w:val="18"/>
                <w:szCs w:val="18"/>
              </w:rPr>
              <w:t>1</w:t>
            </w:r>
            <w:r>
              <w:rPr>
                <w:rFonts w:ascii="Arial" w:eastAsia="Arial" w:hAnsi="Arial" w:cs="Arial"/>
                <w:spacing w:val="-2"/>
                <w:w w:val="105"/>
                <w:sz w:val="18"/>
                <w:szCs w:val="18"/>
              </w:rPr>
              <w:t>5</w:t>
            </w:r>
            <w:r>
              <w:rPr>
                <w:rFonts w:ascii="Arial" w:eastAsia="Arial" w:hAnsi="Arial" w:cs="Arial"/>
                <w:w w:val="105"/>
                <w:sz w:val="18"/>
                <w:szCs w:val="18"/>
              </w:rPr>
              <w:t>%</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166"/>
              <w:jc w:val="center"/>
              <w:rPr>
                <w:rFonts w:ascii="Arial" w:eastAsia="Arial" w:hAnsi="Arial" w:cs="Arial"/>
                <w:sz w:val="18"/>
                <w:szCs w:val="18"/>
              </w:rPr>
            </w:pPr>
            <w:r>
              <w:rPr>
                <w:rFonts w:ascii="Arial" w:eastAsia="Arial" w:hAnsi="Arial" w:cs="Arial"/>
                <w:spacing w:val="1"/>
                <w:sz w:val="18"/>
                <w:szCs w:val="18"/>
              </w:rPr>
              <w:t>4</w:t>
            </w:r>
            <w:r>
              <w:rPr>
                <w:rFonts w:ascii="Arial" w:eastAsia="Arial" w:hAnsi="Arial" w:cs="Arial"/>
                <w:spacing w:val="2"/>
                <w:sz w:val="18"/>
                <w:szCs w:val="18"/>
              </w:rPr>
              <w:t>8</w:t>
            </w:r>
            <w:r>
              <w:rPr>
                <w:rFonts w:ascii="Arial" w:eastAsia="Arial" w:hAnsi="Arial" w:cs="Arial"/>
                <w:sz w:val="18"/>
                <w:szCs w:val="18"/>
              </w:rPr>
              <w:t>6</w:t>
            </w:r>
          </w:p>
        </w:tc>
        <w:tc>
          <w:tcPr>
            <w:tcW w:w="1057" w:type="dxa"/>
            <w:tcBorders>
              <w:top w:val="single" w:sz="4" w:space="0" w:color="797979"/>
              <w:left w:val="single" w:sz="2" w:space="0" w:color="000000"/>
              <w:bottom w:val="single" w:sz="4" w:space="0" w:color="797979"/>
              <w:right w:val="nil"/>
            </w:tcBorders>
            <w:vAlign w:val="center"/>
          </w:tcPr>
          <w:p w:rsidR="003C17D6" w:rsidRDefault="003C17D6" w:rsidP="00F94EBD">
            <w:pPr>
              <w:pStyle w:val="TableParagraph"/>
              <w:spacing w:before="47"/>
              <w:ind w:left="149"/>
              <w:jc w:val="center"/>
              <w:rPr>
                <w:rFonts w:ascii="Arial" w:eastAsia="Arial" w:hAnsi="Arial" w:cs="Arial"/>
                <w:sz w:val="18"/>
                <w:szCs w:val="18"/>
              </w:rPr>
            </w:pPr>
            <w:r>
              <w:rPr>
                <w:rFonts w:ascii="Arial" w:eastAsia="Arial" w:hAnsi="Arial" w:cs="Arial"/>
                <w:spacing w:val="-9"/>
                <w:w w:val="105"/>
                <w:sz w:val="18"/>
                <w:szCs w:val="18"/>
              </w:rPr>
              <w:t>1</w:t>
            </w:r>
            <w:r>
              <w:rPr>
                <w:rFonts w:ascii="Arial" w:eastAsia="Arial" w:hAnsi="Arial" w:cs="Arial"/>
                <w:spacing w:val="3"/>
                <w:w w:val="105"/>
                <w:sz w:val="18"/>
                <w:szCs w:val="18"/>
              </w:rPr>
              <w:t>9</w:t>
            </w:r>
            <w:r>
              <w:rPr>
                <w:rFonts w:ascii="Arial" w:eastAsia="Arial" w:hAnsi="Arial" w:cs="Arial"/>
                <w:w w:val="105"/>
                <w:sz w:val="18"/>
                <w:szCs w:val="18"/>
              </w:rPr>
              <w:t>%</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41"/>
              <w:jc w:val="center"/>
              <w:rPr>
                <w:rFonts w:ascii="Arial" w:eastAsia="Arial" w:hAnsi="Arial" w:cs="Arial"/>
                <w:sz w:val="18"/>
                <w:szCs w:val="18"/>
              </w:rPr>
            </w:pPr>
            <w:r>
              <w:rPr>
                <w:rFonts w:ascii="Arial" w:eastAsia="Arial" w:hAnsi="Arial" w:cs="Arial"/>
                <w:spacing w:val="2"/>
                <w:sz w:val="18"/>
                <w:szCs w:val="18"/>
              </w:rPr>
              <w:t>9</w:t>
            </w:r>
            <w:r>
              <w:rPr>
                <w:rFonts w:ascii="Arial" w:eastAsia="Arial" w:hAnsi="Arial" w:cs="Arial"/>
                <w:spacing w:val="1"/>
                <w:sz w:val="18"/>
                <w:szCs w:val="18"/>
              </w:rPr>
              <w:t>82</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left="148"/>
              <w:jc w:val="center"/>
              <w:rPr>
                <w:rFonts w:ascii="Arial" w:eastAsia="Arial" w:hAnsi="Arial" w:cs="Arial"/>
                <w:sz w:val="18"/>
                <w:szCs w:val="18"/>
              </w:rPr>
            </w:pPr>
            <w:r>
              <w:rPr>
                <w:rFonts w:ascii="Arial" w:eastAsia="Arial" w:hAnsi="Arial" w:cs="Arial"/>
                <w:spacing w:val="2"/>
                <w:sz w:val="18"/>
                <w:szCs w:val="18"/>
              </w:rPr>
              <w:t>9</w:t>
            </w:r>
            <w:r>
              <w:rPr>
                <w:rFonts w:ascii="Arial" w:eastAsia="Arial" w:hAnsi="Arial" w:cs="Arial"/>
                <w:spacing w:val="1"/>
                <w:sz w:val="18"/>
                <w:szCs w:val="18"/>
              </w:rPr>
              <w:t>82</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54"/>
              <w:jc w:val="center"/>
              <w:rPr>
                <w:rFonts w:ascii="Arial" w:eastAsia="Arial" w:hAnsi="Arial" w:cs="Arial"/>
                <w:sz w:val="18"/>
                <w:szCs w:val="18"/>
              </w:rPr>
            </w:pPr>
            <w:r>
              <w:rPr>
                <w:rFonts w:ascii="Arial" w:eastAsia="Arial" w:hAnsi="Arial" w:cs="Arial"/>
                <w:spacing w:val="-15"/>
                <w:sz w:val="18"/>
                <w:szCs w:val="18"/>
              </w:rPr>
              <w:t>7</w:t>
            </w:r>
            <w:r>
              <w:rPr>
                <w:rFonts w:ascii="Arial" w:eastAsia="Arial" w:hAnsi="Arial" w:cs="Arial"/>
                <w:spacing w:val="2"/>
                <w:sz w:val="18"/>
                <w:szCs w:val="18"/>
              </w:rPr>
              <w:t>4</w:t>
            </w:r>
            <w:r>
              <w:rPr>
                <w:rFonts w:ascii="Arial" w:eastAsia="Arial" w:hAnsi="Arial" w:cs="Arial"/>
                <w:sz w:val="18"/>
                <w:szCs w:val="18"/>
              </w:rPr>
              <w:t>5</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left="148"/>
              <w:jc w:val="center"/>
              <w:rPr>
                <w:rFonts w:ascii="Arial" w:eastAsia="Arial" w:hAnsi="Arial" w:cs="Arial"/>
                <w:sz w:val="18"/>
                <w:szCs w:val="18"/>
              </w:rPr>
            </w:pPr>
            <w:r>
              <w:rPr>
                <w:rFonts w:ascii="Arial" w:eastAsia="Arial" w:hAnsi="Arial" w:cs="Arial"/>
                <w:sz w:val="18"/>
                <w:szCs w:val="18"/>
              </w:rPr>
              <w:t>4</w:t>
            </w:r>
            <w:r>
              <w:rPr>
                <w:rFonts w:ascii="Arial" w:eastAsia="Arial" w:hAnsi="Arial" w:cs="Arial"/>
                <w:spacing w:val="2"/>
                <w:sz w:val="18"/>
                <w:szCs w:val="18"/>
              </w:rPr>
              <w:t>9</w:t>
            </w:r>
            <w:r>
              <w:rPr>
                <w:rFonts w:ascii="Arial" w:eastAsia="Arial" w:hAnsi="Arial" w:cs="Arial"/>
                <w:sz w:val="18"/>
                <w:szCs w:val="18"/>
              </w:rPr>
              <w:t>3</w:t>
            </w:r>
          </w:p>
        </w:tc>
      </w:tr>
      <w:tr w:rsidR="003C17D6" w:rsidTr="00CB193F">
        <w:tc>
          <w:tcPr>
            <w:tcW w:w="1716" w:type="dxa"/>
            <w:tcBorders>
              <w:top w:val="single" w:sz="4" w:space="0" w:color="797979"/>
              <w:left w:val="nil"/>
              <w:bottom w:val="single" w:sz="4" w:space="0" w:color="797979"/>
              <w:right w:val="single" w:sz="2" w:space="0" w:color="000000"/>
            </w:tcBorders>
            <w:vAlign w:val="center"/>
          </w:tcPr>
          <w:p w:rsidR="003C17D6" w:rsidRDefault="003C17D6" w:rsidP="00CB193F">
            <w:pPr>
              <w:pStyle w:val="TableParagraph"/>
              <w:spacing w:before="47"/>
              <w:ind w:left="80"/>
              <w:rPr>
                <w:rFonts w:ascii="Arial" w:eastAsia="Arial" w:hAnsi="Arial" w:cs="Arial"/>
                <w:sz w:val="18"/>
                <w:szCs w:val="18"/>
              </w:rPr>
            </w:pPr>
            <w:r>
              <w:rPr>
                <w:rFonts w:ascii="Arial" w:eastAsia="Arial" w:hAnsi="Arial" w:cs="Arial"/>
                <w:sz w:val="18"/>
                <w:szCs w:val="18"/>
              </w:rPr>
              <w:t>Mi</w:t>
            </w:r>
            <w:r>
              <w:rPr>
                <w:rFonts w:ascii="Arial" w:eastAsia="Arial" w:hAnsi="Arial" w:cs="Arial"/>
                <w:spacing w:val="1"/>
                <w:sz w:val="18"/>
                <w:szCs w:val="18"/>
              </w:rPr>
              <w:t>nin</w:t>
            </w:r>
            <w:r>
              <w:rPr>
                <w:rFonts w:ascii="Arial" w:eastAsia="Arial" w:hAnsi="Arial" w:cs="Arial"/>
                <w:sz w:val="18"/>
                <w:szCs w:val="18"/>
              </w:rPr>
              <w:t>g</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18"/>
              <w:jc w:val="center"/>
              <w:rPr>
                <w:rFonts w:ascii="Arial" w:eastAsia="Arial" w:hAnsi="Arial" w:cs="Arial"/>
                <w:sz w:val="18"/>
                <w:szCs w:val="18"/>
              </w:rPr>
            </w:pPr>
            <w:r>
              <w:rPr>
                <w:rFonts w:ascii="Arial" w:eastAsia="Arial" w:hAnsi="Arial" w:cs="Arial"/>
                <w:spacing w:val="-8"/>
                <w:sz w:val="18"/>
                <w:szCs w:val="18"/>
              </w:rPr>
              <w:t>1</w:t>
            </w:r>
            <w:r>
              <w:rPr>
                <w:rFonts w:ascii="Arial" w:eastAsia="Arial" w:hAnsi="Arial" w:cs="Arial"/>
                <w:spacing w:val="2"/>
                <w:sz w:val="18"/>
                <w:szCs w:val="18"/>
              </w:rPr>
              <w:t>6</w:t>
            </w:r>
            <w:r>
              <w:rPr>
                <w:rFonts w:ascii="Arial" w:eastAsia="Arial" w:hAnsi="Arial" w:cs="Arial"/>
                <w:sz w:val="18"/>
                <w:szCs w:val="18"/>
              </w:rPr>
              <w:t>3</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06"/>
              <w:jc w:val="center"/>
              <w:rPr>
                <w:rFonts w:ascii="Arial" w:eastAsia="Arial" w:hAnsi="Arial" w:cs="Arial"/>
                <w:sz w:val="18"/>
                <w:szCs w:val="18"/>
              </w:rPr>
            </w:pPr>
            <w:r>
              <w:rPr>
                <w:rFonts w:ascii="Arial" w:eastAsia="Arial" w:hAnsi="Arial" w:cs="Arial"/>
                <w:spacing w:val="1"/>
                <w:w w:val="105"/>
                <w:sz w:val="18"/>
                <w:szCs w:val="18"/>
              </w:rPr>
              <w:t>3%</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jc w:val="center"/>
              <w:rPr>
                <w:rFonts w:ascii="Arial" w:eastAsia="Arial" w:hAnsi="Arial" w:cs="Arial"/>
                <w:sz w:val="18"/>
                <w:szCs w:val="18"/>
              </w:rPr>
            </w:pPr>
            <w:r>
              <w:rPr>
                <w:rFonts w:ascii="Arial" w:eastAsia="Arial" w:hAnsi="Arial" w:cs="Arial"/>
                <w:spacing w:val="-9"/>
                <w:sz w:val="18"/>
                <w:szCs w:val="18"/>
              </w:rPr>
              <w:t>1</w:t>
            </w:r>
            <w:r>
              <w:rPr>
                <w:rFonts w:ascii="Arial" w:eastAsia="Arial" w:hAnsi="Arial" w:cs="Arial"/>
                <w:spacing w:val="-1"/>
                <w:sz w:val="18"/>
                <w:szCs w:val="18"/>
              </w:rPr>
              <w:t>2</w:t>
            </w:r>
            <w:r>
              <w:rPr>
                <w:rFonts w:ascii="Arial" w:eastAsia="Arial" w:hAnsi="Arial" w:cs="Arial"/>
                <w:sz w:val="18"/>
                <w:szCs w:val="18"/>
              </w:rPr>
              <w:t>6</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08"/>
              <w:jc w:val="center"/>
              <w:rPr>
                <w:rFonts w:ascii="Arial" w:eastAsia="Arial" w:hAnsi="Arial" w:cs="Arial"/>
                <w:sz w:val="18"/>
                <w:szCs w:val="18"/>
              </w:rPr>
            </w:pPr>
            <w:r>
              <w:rPr>
                <w:rFonts w:ascii="Arial" w:eastAsia="Arial" w:hAnsi="Arial" w:cs="Arial"/>
                <w:spacing w:val="1"/>
                <w:w w:val="105"/>
                <w:sz w:val="18"/>
                <w:szCs w:val="18"/>
              </w:rPr>
              <w:t>3%</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35"/>
              <w:jc w:val="center"/>
              <w:rPr>
                <w:rFonts w:ascii="Arial" w:eastAsia="Arial" w:hAnsi="Arial" w:cs="Arial"/>
                <w:sz w:val="18"/>
                <w:szCs w:val="18"/>
              </w:rPr>
            </w:pPr>
            <w:r>
              <w:rPr>
                <w:rFonts w:ascii="Arial" w:eastAsia="Arial" w:hAnsi="Arial" w:cs="Arial"/>
                <w:spacing w:val="-8"/>
                <w:sz w:val="18"/>
                <w:szCs w:val="18"/>
              </w:rPr>
              <w:t>1</w:t>
            </w:r>
            <w:r>
              <w:rPr>
                <w:rFonts w:ascii="Arial" w:eastAsia="Arial" w:hAnsi="Arial" w:cs="Arial"/>
                <w:spacing w:val="-4"/>
                <w:sz w:val="18"/>
                <w:szCs w:val="18"/>
              </w:rPr>
              <w:t>0</w:t>
            </w:r>
            <w:r>
              <w:rPr>
                <w:rFonts w:ascii="Arial" w:eastAsia="Arial" w:hAnsi="Arial" w:cs="Arial"/>
                <w:sz w:val="18"/>
                <w:szCs w:val="18"/>
              </w:rPr>
              <w:t>1</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02"/>
              <w:jc w:val="center"/>
              <w:rPr>
                <w:rFonts w:ascii="Arial" w:eastAsia="Arial" w:hAnsi="Arial" w:cs="Arial"/>
                <w:sz w:val="18"/>
                <w:szCs w:val="18"/>
              </w:rPr>
            </w:pPr>
            <w:r>
              <w:rPr>
                <w:rFonts w:ascii="Arial" w:eastAsia="Arial" w:hAnsi="Arial" w:cs="Arial"/>
                <w:w w:val="105"/>
                <w:sz w:val="18"/>
                <w:szCs w:val="18"/>
              </w:rPr>
              <w:t>2%</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199" w:right="196"/>
              <w:jc w:val="center"/>
              <w:rPr>
                <w:rFonts w:ascii="Arial" w:eastAsia="Arial" w:hAnsi="Arial" w:cs="Arial"/>
                <w:sz w:val="18"/>
                <w:szCs w:val="18"/>
              </w:rPr>
            </w:pPr>
            <w:r>
              <w:rPr>
                <w:rFonts w:ascii="Arial" w:eastAsia="Arial" w:hAnsi="Arial" w:cs="Arial"/>
                <w:spacing w:val="1"/>
                <w:sz w:val="18"/>
                <w:szCs w:val="18"/>
              </w:rPr>
              <w:t>53</w:t>
            </w:r>
          </w:p>
        </w:tc>
        <w:tc>
          <w:tcPr>
            <w:tcW w:w="1057" w:type="dxa"/>
            <w:tcBorders>
              <w:top w:val="single" w:sz="4" w:space="0" w:color="797979"/>
              <w:left w:val="single" w:sz="2" w:space="0" w:color="000000"/>
              <w:bottom w:val="single" w:sz="4" w:space="0" w:color="797979"/>
              <w:right w:val="nil"/>
            </w:tcBorders>
            <w:vAlign w:val="center"/>
          </w:tcPr>
          <w:p w:rsidR="003C17D6" w:rsidRDefault="003C17D6" w:rsidP="00F94EBD">
            <w:pPr>
              <w:pStyle w:val="TableParagraph"/>
              <w:spacing w:before="47"/>
              <w:ind w:left="197"/>
              <w:jc w:val="center"/>
              <w:rPr>
                <w:rFonts w:ascii="Arial" w:eastAsia="Arial" w:hAnsi="Arial" w:cs="Arial"/>
                <w:sz w:val="18"/>
                <w:szCs w:val="18"/>
              </w:rPr>
            </w:pPr>
            <w:r>
              <w:rPr>
                <w:rFonts w:ascii="Arial" w:eastAsia="Arial" w:hAnsi="Arial" w:cs="Arial"/>
                <w:w w:val="105"/>
                <w:sz w:val="18"/>
                <w:szCs w:val="18"/>
              </w:rPr>
              <w:t>2%</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51"/>
              <w:jc w:val="center"/>
              <w:rPr>
                <w:rFonts w:ascii="Arial" w:eastAsia="Arial" w:hAnsi="Arial" w:cs="Arial"/>
                <w:sz w:val="18"/>
                <w:szCs w:val="18"/>
              </w:rPr>
            </w:pPr>
            <w:r>
              <w:rPr>
                <w:rFonts w:ascii="Arial" w:eastAsia="Arial" w:hAnsi="Arial" w:cs="Arial"/>
                <w:spacing w:val="-13"/>
                <w:sz w:val="18"/>
                <w:szCs w:val="18"/>
              </w:rPr>
              <w:t>1</w:t>
            </w:r>
            <w:r>
              <w:rPr>
                <w:rFonts w:ascii="Arial" w:eastAsia="Arial" w:hAnsi="Arial" w:cs="Arial"/>
                <w:spacing w:val="-5"/>
                <w:sz w:val="18"/>
                <w:szCs w:val="18"/>
              </w:rPr>
              <w:t>7</w:t>
            </w:r>
            <w:r>
              <w:rPr>
                <w:rFonts w:ascii="Arial" w:eastAsia="Arial" w:hAnsi="Arial" w:cs="Arial"/>
                <w:sz w:val="18"/>
                <w:szCs w:val="18"/>
              </w:rPr>
              <w:t>5</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left="154"/>
              <w:jc w:val="center"/>
              <w:rPr>
                <w:rFonts w:ascii="Arial" w:eastAsia="Arial" w:hAnsi="Arial" w:cs="Arial"/>
                <w:sz w:val="18"/>
                <w:szCs w:val="18"/>
              </w:rPr>
            </w:pPr>
            <w:r>
              <w:rPr>
                <w:rFonts w:ascii="Arial" w:eastAsia="Arial" w:hAnsi="Arial" w:cs="Arial"/>
                <w:spacing w:val="-9"/>
                <w:sz w:val="18"/>
                <w:szCs w:val="18"/>
              </w:rPr>
              <w:t>1</w:t>
            </w:r>
            <w:r>
              <w:rPr>
                <w:rFonts w:ascii="Arial" w:eastAsia="Arial" w:hAnsi="Arial" w:cs="Arial"/>
                <w:sz w:val="18"/>
                <w:szCs w:val="18"/>
              </w:rPr>
              <w:t>29</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50"/>
              <w:jc w:val="center"/>
              <w:rPr>
                <w:rFonts w:ascii="Arial" w:eastAsia="Arial" w:hAnsi="Arial" w:cs="Arial"/>
                <w:sz w:val="18"/>
                <w:szCs w:val="18"/>
              </w:rPr>
            </w:pPr>
            <w:r>
              <w:rPr>
                <w:rFonts w:ascii="Arial" w:eastAsia="Arial" w:hAnsi="Arial" w:cs="Arial"/>
                <w:spacing w:val="-8"/>
                <w:sz w:val="18"/>
                <w:szCs w:val="18"/>
              </w:rPr>
              <w:t>1</w:t>
            </w:r>
            <w:r>
              <w:rPr>
                <w:rFonts w:ascii="Arial" w:eastAsia="Arial" w:hAnsi="Arial" w:cs="Arial"/>
                <w:spacing w:val="2"/>
                <w:sz w:val="18"/>
                <w:szCs w:val="18"/>
              </w:rPr>
              <w:t>0</w:t>
            </w:r>
            <w:r>
              <w:rPr>
                <w:rFonts w:ascii="Arial" w:eastAsia="Arial" w:hAnsi="Arial" w:cs="Arial"/>
                <w:sz w:val="18"/>
                <w:szCs w:val="18"/>
              </w:rPr>
              <w:t>5</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left="200"/>
              <w:jc w:val="center"/>
              <w:rPr>
                <w:rFonts w:ascii="Arial" w:eastAsia="Arial" w:hAnsi="Arial" w:cs="Arial"/>
                <w:sz w:val="18"/>
                <w:szCs w:val="18"/>
              </w:rPr>
            </w:pPr>
            <w:r>
              <w:rPr>
                <w:rFonts w:ascii="Arial" w:eastAsia="Arial" w:hAnsi="Arial" w:cs="Arial"/>
                <w:sz w:val="18"/>
                <w:szCs w:val="18"/>
              </w:rPr>
              <w:t>59</w:t>
            </w:r>
          </w:p>
        </w:tc>
      </w:tr>
      <w:tr w:rsidR="003C17D6" w:rsidTr="00CB193F">
        <w:tc>
          <w:tcPr>
            <w:tcW w:w="1716" w:type="dxa"/>
            <w:tcBorders>
              <w:top w:val="single" w:sz="4" w:space="0" w:color="797979"/>
              <w:left w:val="nil"/>
              <w:bottom w:val="single" w:sz="4" w:space="0" w:color="797979"/>
              <w:right w:val="single" w:sz="2" w:space="0" w:color="000000"/>
            </w:tcBorders>
            <w:vAlign w:val="center"/>
          </w:tcPr>
          <w:p w:rsidR="003C17D6" w:rsidRDefault="003C17D6" w:rsidP="00CB193F">
            <w:pPr>
              <w:pStyle w:val="TableParagraph"/>
              <w:spacing w:before="47"/>
              <w:ind w:left="80"/>
              <w:rPr>
                <w:rFonts w:ascii="Arial" w:eastAsia="Arial" w:hAnsi="Arial" w:cs="Arial"/>
                <w:sz w:val="18"/>
                <w:szCs w:val="18"/>
              </w:rPr>
            </w:pPr>
            <w:r>
              <w:rPr>
                <w:rFonts w:ascii="Arial" w:eastAsia="Arial" w:hAnsi="Arial" w:cs="Arial"/>
                <w:spacing w:val="4"/>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8"/>
                <w:sz w:val="18"/>
                <w:szCs w:val="18"/>
              </w:rPr>
              <w:t xml:space="preserve"> </w:t>
            </w:r>
            <w:r>
              <w:rPr>
                <w:rFonts w:ascii="Arial" w:eastAsia="Arial" w:hAnsi="Arial" w:cs="Arial"/>
                <w:spacing w:val="2"/>
                <w:sz w:val="18"/>
                <w:szCs w:val="18"/>
              </w:rPr>
              <w:t>Se</w:t>
            </w:r>
            <w:r>
              <w:rPr>
                <w:rFonts w:ascii="Arial" w:eastAsia="Arial" w:hAnsi="Arial" w:cs="Arial"/>
                <w:spacing w:val="7"/>
                <w:sz w:val="18"/>
                <w:szCs w:val="18"/>
              </w:rPr>
              <w:t>r</w:t>
            </w:r>
            <w:r>
              <w:rPr>
                <w:rFonts w:ascii="Arial" w:eastAsia="Arial" w:hAnsi="Arial" w:cs="Arial"/>
                <w:spacing w:val="1"/>
                <w:sz w:val="18"/>
                <w:szCs w:val="18"/>
              </w:rPr>
              <w:t>vic</w:t>
            </w:r>
            <w:r>
              <w:rPr>
                <w:rFonts w:ascii="Arial" w:eastAsia="Arial" w:hAnsi="Arial" w:cs="Arial"/>
                <w:spacing w:val="2"/>
                <w:sz w:val="18"/>
                <w:szCs w:val="18"/>
              </w:rPr>
              <w:t>es</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20"/>
              <w:jc w:val="center"/>
              <w:rPr>
                <w:rFonts w:ascii="Arial" w:eastAsia="Arial" w:hAnsi="Arial" w:cs="Arial"/>
                <w:sz w:val="18"/>
                <w:szCs w:val="18"/>
              </w:rPr>
            </w:pPr>
            <w:r>
              <w:rPr>
                <w:rFonts w:ascii="Arial" w:eastAsia="Arial" w:hAnsi="Arial" w:cs="Arial"/>
                <w:spacing w:val="-9"/>
                <w:sz w:val="18"/>
                <w:szCs w:val="18"/>
              </w:rPr>
              <w:t>1</w:t>
            </w:r>
            <w:r>
              <w:rPr>
                <w:rFonts w:ascii="Arial" w:eastAsia="Arial" w:hAnsi="Arial" w:cs="Arial"/>
                <w:sz w:val="18"/>
                <w:szCs w:val="18"/>
              </w:rPr>
              <w:t>32</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06"/>
              <w:jc w:val="center"/>
              <w:rPr>
                <w:rFonts w:ascii="Arial" w:eastAsia="Arial" w:hAnsi="Arial" w:cs="Arial"/>
                <w:sz w:val="18"/>
                <w:szCs w:val="18"/>
              </w:rPr>
            </w:pPr>
            <w:r>
              <w:rPr>
                <w:rFonts w:ascii="Arial" w:eastAsia="Arial" w:hAnsi="Arial" w:cs="Arial"/>
                <w:spacing w:val="1"/>
                <w:w w:val="105"/>
                <w:sz w:val="18"/>
                <w:szCs w:val="18"/>
              </w:rPr>
              <w:t>3%</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jc w:val="center"/>
              <w:rPr>
                <w:rFonts w:ascii="Arial" w:eastAsia="Arial" w:hAnsi="Arial" w:cs="Arial"/>
                <w:sz w:val="18"/>
                <w:szCs w:val="18"/>
              </w:rPr>
            </w:pPr>
            <w:r>
              <w:rPr>
                <w:rFonts w:ascii="Arial" w:eastAsia="Arial" w:hAnsi="Arial" w:cs="Arial"/>
                <w:spacing w:val="-9"/>
                <w:sz w:val="18"/>
                <w:szCs w:val="18"/>
              </w:rPr>
              <w:t>1</w:t>
            </w:r>
            <w:r>
              <w:rPr>
                <w:rFonts w:ascii="Arial" w:eastAsia="Arial" w:hAnsi="Arial" w:cs="Arial"/>
                <w:spacing w:val="2"/>
                <w:sz w:val="18"/>
                <w:szCs w:val="18"/>
              </w:rPr>
              <w:t>5</w:t>
            </w:r>
            <w:r>
              <w:rPr>
                <w:rFonts w:ascii="Arial" w:eastAsia="Arial" w:hAnsi="Arial" w:cs="Arial"/>
                <w:sz w:val="18"/>
                <w:szCs w:val="18"/>
              </w:rPr>
              <w:t>4</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08"/>
              <w:jc w:val="center"/>
              <w:rPr>
                <w:rFonts w:ascii="Arial" w:eastAsia="Arial" w:hAnsi="Arial" w:cs="Arial"/>
                <w:sz w:val="18"/>
                <w:szCs w:val="18"/>
              </w:rPr>
            </w:pPr>
            <w:r>
              <w:rPr>
                <w:rFonts w:ascii="Arial" w:eastAsia="Arial" w:hAnsi="Arial" w:cs="Arial"/>
                <w:spacing w:val="1"/>
                <w:w w:val="105"/>
                <w:sz w:val="18"/>
                <w:szCs w:val="18"/>
              </w:rPr>
              <w:t>3%</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34"/>
              <w:jc w:val="center"/>
              <w:rPr>
                <w:rFonts w:ascii="Arial" w:eastAsia="Arial" w:hAnsi="Arial" w:cs="Arial"/>
                <w:sz w:val="18"/>
                <w:szCs w:val="18"/>
              </w:rPr>
            </w:pPr>
            <w:r>
              <w:rPr>
                <w:rFonts w:ascii="Arial" w:eastAsia="Arial" w:hAnsi="Arial" w:cs="Arial"/>
                <w:spacing w:val="-9"/>
                <w:sz w:val="18"/>
                <w:szCs w:val="18"/>
              </w:rPr>
              <w:t>1</w:t>
            </w:r>
            <w:r>
              <w:rPr>
                <w:rFonts w:ascii="Arial" w:eastAsia="Arial" w:hAnsi="Arial" w:cs="Arial"/>
                <w:sz w:val="18"/>
                <w:szCs w:val="18"/>
              </w:rPr>
              <w:t>29</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01"/>
              <w:jc w:val="center"/>
              <w:rPr>
                <w:rFonts w:ascii="Arial" w:eastAsia="Arial" w:hAnsi="Arial" w:cs="Arial"/>
                <w:sz w:val="18"/>
                <w:szCs w:val="18"/>
              </w:rPr>
            </w:pPr>
            <w:r>
              <w:rPr>
                <w:rFonts w:ascii="Arial" w:eastAsia="Arial" w:hAnsi="Arial" w:cs="Arial"/>
                <w:spacing w:val="1"/>
                <w:w w:val="105"/>
                <w:sz w:val="18"/>
                <w:szCs w:val="18"/>
              </w:rPr>
              <w:t>3%</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197" w:right="193"/>
              <w:jc w:val="center"/>
              <w:rPr>
                <w:rFonts w:ascii="Arial" w:eastAsia="Arial" w:hAnsi="Arial" w:cs="Arial"/>
                <w:sz w:val="18"/>
                <w:szCs w:val="18"/>
              </w:rPr>
            </w:pPr>
            <w:r>
              <w:rPr>
                <w:rFonts w:ascii="Arial" w:eastAsia="Arial" w:hAnsi="Arial" w:cs="Arial"/>
                <w:spacing w:val="3"/>
                <w:sz w:val="18"/>
                <w:szCs w:val="18"/>
              </w:rPr>
              <w:t>99</w:t>
            </w:r>
          </w:p>
        </w:tc>
        <w:tc>
          <w:tcPr>
            <w:tcW w:w="1057" w:type="dxa"/>
            <w:tcBorders>
              <w:top w:val="single" w:sz="4" w:space="0" w:color="797979"/>
              <w:left w:val="single" w:sz="2" w:space="0" w:color="000000"/>
              <w:bottom w:val="single" w:sz="4" w:space="0" w:color="797979"/>
              <w:right w:val="nil"/>
            </w:tcBorders>
            <w:vAlign w:val="center"/>
          </w:tcPr>
          <w:p w:rsidR="003C17D6" w:rsidRDefault="003C17D6" w:rsidP="00F94EBD">
            <w:pPr>
              <w:pStyle w:val="TableParagraph"/>
              <w:spacing w:before="47"/>
              <w:ind w:left="198"/>
              <w:jc w:val="center"/>
              <w:rPr>
                <w:rFonts w:ascii="Arial" w:eastAsia="Arial" w:hAnsi="Arial" w:cs="Arial"/>
                <w:sz w:val="18"/>
                <w:szCs w:val="18"/>
              </w:rPr>
            </w:pPr>
            <w:r>
              <w:rPr>
                <w:rFonts w:ascii="Arial" w:eastAsia="Arial" w:hAnsi="Arial" w:cs="Arial"/>
                <w:spacing w:val="-1"/>
                <w:w w:val="105"/>
                <w:sz w:val="18"/>
                <w:szCs w:val="18"/>
              </w:rPr>
              <w:t>4%</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52"/>
              <w:jc w:val="center"/>
              <w:rPr>
                <w:rFonts w:ascii="Arial" w:eastAsia="Arial" w:hAnsi="Arial" w:cs="Arial"/>
                <w:sz w:val="18"/>
                <w:szCs w:val="18"/>
              </w:rPr>
            </w:pPr>
            <w:r>
              <w:rPr>
                <w:rFonts w:ascii="Arial" w:eastAsia="Arial" w:hAnsi="Arial" w:cs="Arial"/>
                <w:spacing w:val="-11"/>
                <w:sz w:val="18"/>
                <w:szCs w:val="18"/>
              </w:rPr>
              <w:t>1</w:t>
            </w:r>
            <w:r>
              <w:rPr>
                <w:rFonts w:ascii="Arial" w:eastAsia="Arial" w:hAnsi="Arial" w:cs="Arial"/>
                <w:spacing w:val="-8"/>
                <w:sz w:val="18"/>
                <w:szCs w:val="18"/>
              </w:rPr>
              <w:t>4</w:t>
            </w:r>
            <w:r>
              <w:rPr>
                <w:rFonts w:ascii="Arial" w:eastAsia="Arial" w:hAnsi="Arial" w:cs="Arial"/>
                <w:sz w:val="18"/>
                <w:szCs w:val="18"/>
              </w:rPr>
              <w:t>7</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left="153"/>
              <w:jc w:val="center"/>
              <w:rPr>
                <w:rFonts w:ascii="Arial" w:eastAsia="Arial" w:hAnsi="Arial" w:cs="Arial"/>
                <w:sz w:val="18"/>
                <w:szCs w:val="18"/>
              </w:rPr>
            </w:pPr>
            <w:r>
              <w:rPr>
                <w:rFonts w:ascii="Arial" w:eastAsia="Arial" w:hAnsi="Arial" w:cs="Arial"/>
                <w:spacing w:val="-9"/>
                <w:sz w:val="18"/>
                <w:szCs w:val="18"/>
              </w:rPr>
              <w:t>1</w:t>
            </w:r>
            <w:r>
              <w:rPr>
                <w:rFonts w:ascii="Arial" w:eastAsia="Arial" w:hAnsi="Arial" w:cs="Arial"/>
                <w:spacing w:val="1"/>
                <w:sz w:val="18"/>
                <w:szCs w:val="18"/>
              </w:rPr>
              <w:t>5</w:t>
            </w:r>
            <w:r>
              <w:rPr>
                <w:rFonts w:ascii="Arial" w:eastAsia="Arial" w:hAnsi="Arial" w:cs="Arial"/>
                <w:sz w:val="18"/>
                <w:szCs w:val="18"/>
              </w:rPr>
              <w:t>6</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52"/>
              <w:jc w:val="center"/>
              <w:rPr>
                <w:rFonts w:ascii="Arial" w:eastAsia="Arial" w:hAnsi="Arial" w:cs="Arial"/>
                <w:sz w:val="18"/>
                <w:szCs w:val="18"/>
              </w:rPr>
            </w:pPr>
            <w:r>
              <w:rPr>
                <w:rFonts w:ascii="Arial" w:eastAsia="Arial" w:hAnsi="Arial" w:cs="Arial"/>
                <w:spacing w:val="-9"/>
                <w:sz w:val="18"/>
                <w:szCs w:val="18"/>
              </w:rPr>
              <w:t>1</w:t>
            </w:r>
            <w:r>
              <w:rPr>
                <w:rFonts w:ascii="Arial" w:eastAsia="Arial" w:hAnsi="Arial" w:cs="Arial"/>
                <w:sz w:val="18"/>
                <w:szCs w:val="18"/>
              </w:rPr>
              <w:t>32</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left="198"/>
              <w:jc w:val="center"/>
              <w:rPr>
                <w:rFonts w:ascii="Arial" w:eastAsia="Arial" w:hAnsi="Arial" w:cs="Arial"/>
                <w:sz w:val="18"/>
                <w:szCs w:val="18"/>
              </w:rPr>
            </w:pPr>
            <w:r>
              <w:rPr>
                <w:rFonts w:ascii="Arial" w:eastAsia="Arial" w:hAnsi="Arial" w:cs="Arial"/>
                <w:spacing w:val="3"/>
                <w:sz w:val="18"/>
                <w:szCs w:val="18"/>
              </w:rPr>
              <w:t>99</w:t>
            </w:r>
          </w:p>
        </w:tc>
      </w:tr>
      <w:tr w:rsidR="003C17D6" w:rsidTr="00CB193F">
        <w:tc>
          <w:tcPr>
            <w:tcW w:w="1716" w:type="dxa"/>
            <w:tcBorders>
              <w:top w:val="single" w:sz="4" w:space="0" w:color="797979"/>
              <w:left w:val="nil"/>
              <w:bottom w:val="single" w:sz="4" w:space="0" w:color="797979"/>
              <w:right w:val="single" w:sz="2" w:space="0" w:color="000000"/>
            </w:tcBorders>
            <w:vAlign w:val="center"/>
          </w:tcPr>
          <w:p w:rsidR="003C17D6" w:rsidRDefault="003C17D6" w:rsidP="00CB193F">
            <w:pPr>
              <w:pStyle w:val="TableParagraph"/>
              <w:spacing w:before="47"/>
              <w:ind w:left="80"/>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of</w:t>
            </w:r>
            <w:r>
              <w:rPr>
                <w:rFonts w:ascii="Arial" w:eastAsia="Arial" w:hAnsi="Arial" w:cs="Arial"/>
                <w:spacing w:val="2"/>
                <w:sz w:val="18"/>
                <w:szCs w:val="18"/>
              </w:rPr>
              <w:t>e</w:t>
            </w:r>
            <w:r>
              <w:rPr>
                <w:rFonts w:ascii="Arial" w:eastAsia="Arial" w:hAnsi="Arial" w:cs="Arial"/>
                <w:spacing w:val="3"/>
                <w:sz w:val="18"/>
                <w:szCs w:val="18"/>
              </w:rPr>
              <w:t>s</w:t>
            </w:r>
            <w:r>
              <w:rPr>
                <w:rFonts w:ascii="Arial" w:eastAsia="Arial" w:hAnsi="Arial" w:cs="Arial"/>
                <w:spacing w:val="1"/>
                <w:sz w:val="18"/>
                <w:szCs w:val="18"/>
              </w:rPr>
              <w:t>si</w:t>
            </w:r>
            <w:r>
              <w:rPr>
                <w:rFonts w:ascii="Arial" w:eastAsia="Arial" w:hAnsi="Arial" w:cs="Arial"/>
                <w:sz w:val="18"/>
                <w:szCs w:val="18"/>
              </w:rPr>
              <w:t>o</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2"/>
                <w:sz w:val="18"/>
                <w:szCs w:val="18"/>
              </w:rPr>
              <w:t xml:space="preserve"> S</w:t>
            </w:r>
            <w:r>
              <w:rPr>
                <w:rFonts w:ascii="Arial" w:eastAsia="Arial" w:hAnsi="Arial" w:cs="Arial"/>
                <w:sz w:val="18"/>
                <w:szCs w:val="18"/>
              </w:rPr>
              <w:t>c</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fic</w:t>
            </w:r>
            <w:r>
              <w:rPr>
                <w:rFonts w:ascii="Arial" w:eastAsia="Arial" w:hAnsi="Arial" w:cs="Arial"/>
                <w:spacing w:val="3"/>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14"/>
                <w:sz w:val="18"/>
                <w:szCs w:val="18"/>
              </w:rPr>
              <w:t>T</w:t>
            </w:r>
            <w:r>
              <w:rPr>
                <w:rFonts w:ascii="Arial" w:eastAsia="Arial" w:hAnsi="Arial" w:cs="Arial"/>
                <w:spacing w:val="3"/>
                <w:sz w:val="18"/>
                <w:szCs w:val="18"/>
              </w:rPr>
              <w:t>e</w:t>
            </w:r>
            <w:r>
              <w:rPr>
                <w:rFonts w:ascii="Arial" w:eastAsia="Arial" w:hAnsi="Arial" w:cs="Arial"/>
                <w:sz w:val="18"/>
                <w:szCs w:val="18"/>
              </w:rPr>
              <w:t>c</w:t>
            </w:r>
            <w:r>
              <w:rPr>
                <w:rFonts w:ascii="Arial" w:eastAsia="Arial" w:hAnsi="Arial" w:cs="Arial"/>
                <w:spacing w:val="1"/>
                <w:sz w:val="18"/>
                <w:szCs w:val="18"/>
              </w:rPr>
              <w:t>hnic</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3"/>
                <w:sz w:val="18"/>
                <w:szCs w:val="18"/>
              </w:rPr>
              <w:t xml:space="preserve"> </w:t>
            </w:r>
            <w:r>
              <w:rPr>
                <w:rFonts w:ascii="Arial" w:eastAsia="Arial" w:hAnsi="Arial" w:cs="Arial"/>
                <w:spacing w:val="2"/>
                <w:sz w:val="18"/>
                <w:szCs w:val="18"/>
              </w:rPr>
              <w:t>Se</w:t>
            </w:r>
            <w:r>
              <w:rPr>
                <w:rFonts w:ascii="Arial" w:eastAsia="Arial" w:hAnsi="Arial" w:cs="Arial"/>
                <w:spacing w:val="7"/>
                <w:sz w:val="18"/>
                <w:szCs w:val="18"/>
              </w:rPr>
              <w:t>r</w:t>
            </w:r>
            <w:r>
              <w:rPr>
                <w:rFonts w:ascii="Arial" w:eastAsia="Arial" w:hAnsi="Arial" w:cs="Arial"/>
                <w:spacing w:val="1"/>
                <w:sz w:val="18"/>
                <w:szCs w:val="18"/>
              </w:rPr>
              <w:t>vic</w:t>
            </w:r>
            <w:r>
              <w:rPr>
                <w:rFonts w:ascii="Arial" w:eastAsia="Arial" w:hAnsi="Arial" w:cs="Arial"/>
                <w:spacing w:val="2"/>
                <w:sz w:val="18"/>
                <w:szCs w:val="18"/>
              </w:rPr>
              <w:t>e</w:t>
            </w:r>
            <w:r>
              <w:rPr>
                <w:rFonts w:ascii="Arial" w:eastAsia="Arial" w:hAnsi="Arial" w:cs="Arial"/>
                <w:sz w:val="18"/>
                <w:szCs w:val="18"/>
              </w:rPr>
              <w:t>s</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28"/>
              <w:jc w:val="center"/>
              <w:rPr>
                <w:rFonts w:ascii="Arial" w:eastAsia="Arial" w:hAnsi="Arial" w:cs="Arial"/>
                <w:sz w:val="18"/>
                <w:szCs w:val="18"/>
              </w:rPr>
            </w:pPr>
            <w:r>
              <w:rPr>
                <w:rFonts w:ascii="Arial" w:eastAsia="Arial" w:hAnsi="Arial" w:cs="Arial"/>
                <w:spacing w:val="-16"/>
                <w:sz w:val="18"/>
                <w:szCs w:val="18"/>
              </w:rPr>
              <w:t>1</w:t>
            </w:r>
            <w:r>
              <w:rPr>
                <w:rFonts w:ascii="Arial" w:eastAsia="Arial" w:hAnsi="Arial" w:cs="Arial"/>
                <w:spacing w:val="-9"/>
                <w:sz w:val="18"/>
                <w:szCs w:val="18"/>
              </w:rPr>
              <w:t>1</w:t>
            </w:r>
            <w:r>
              <w:rPr>
                <w:rFonts w:ascii="Arial" w:eastAsia="Arial" w:hAnsi="Arial" w:cs="Arial"/>
                <w:sz w:val="18"/>
                <w:szCs w:val="18"/>
              </w:rPr>
              <w:t>8</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06"/>
              <w:jc w:val="center"/>
              <w:rPr>
                <w:rFonts w:ascii="Arial" w:eastAsia="Arial" w:hAnsi="Arial" w:cs="Arial"/>
                <w:sz w:val="18"/>
                <w:szCs w:val="18"/>
              </w:rPr>
            </w:pPr>
            <w:r>
              <w:rPr>
                <w:rFonts w:ascii="Arial" w:eastAsia="Arial" w:hAnsi="Arial" w:cs="Arial"/>
                <w:w w:val="105"/>
                <w:sz w:val="18"/>
                <w:szCs w:val="18"/>
              </w:rPr>
              <w:t>2%</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jc w:val="center"/>
              <w:rPr>
                <w:rFonts w:ascii="Arial" w:eastAsia="Arial" w:hAnsi="Arial" w:cs="Arial"/>
                <w:sz w:val="18"/>
                <w:szCs w:val="18"/>
              </w:rPr>
            </w:pPr>
            <w:r>
              <w:rPr>
                <w:rFonts w:ascii="Arial" w:eastAsia="Arial" w:hAnsi="Arial" w:cs="Arial"/>
                <w:spacing w:val="-11"/>
                <w:sz w:val="18"/>
                <w:szCs w:val="18"/>
              </w:rPr>
              <w:t>1</w:t>
            </w:r>
            <w:r>
              <w:rPr>
                <w:rFonts w:ascii="Arial" w:eastAsia="Arial" w:hAnsi="Arial" w:cs="Arial"/>
                <w:spacing w:val="1"/>
                <w:sz w:val="18"/>
                <w:szCs w:val="18"/>
              </w:rPr>
              <w:t>4</w:t>
            </w:r>
            <w:r>
              <w:rPr>
                <w:rFonts w:ascii="Arial" w:eastAsia="Arial" w:hAnsi="Arial" w:cs="Arial"/>
                <w:sz w:val="18"/>
                <w:szCs w:val="18"/>
              </w:rPr>
              <w:t>0</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08"/>
              <w:jc w:val="center"/>
              <w:rPr>
                <w:rFonts w:ascii="Arial" w:eastAsia="Arial" w:hAnsi="Arial" w:cs="Arial"/>
                <w:sz w:val="18"/>
                <w:szCs w:val="18"/>
              </w:rPr>
            </w:pPr>
            <w:r>
              <w:rPr>
                <w:rFonts w:ascii="Arial" w:eastAsia="Arial" w:hAnsi="Arial" w:cs="Arial"/>
                <w:spacing w:val="1"/>
                <w:w w:val="105"/>
                <w:sz w:val="18"/>
                <w:szCs w:val="18"/>
              </w:rPr>
              <w:t>3%</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46"/>
              <w:jc w:val="center"/>
              <w:rPr>
                <w:rFonts w:ascii="Arial" w:eastAsia="Arial" w:hAnsi="Arial" w:cs="Arial"/>
                <w:sz w:val="18"/>
                <w:szCs w:val="18"/>
              </w:rPr>
            </w:pPr>
            <w:r>
              <w:rPr>
                <w:rFonts w:ascii="Arial" w:eastAsia="Arial" w:hAnsi="Arial" w:cs="Arial"/>
                <w:spacing w:val="-16"/>
                <w:sz w:val="18"/>
                <w:szCs w:val="18"/>
              </w:rPr>
              <w:t>111</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02"/>
              <w:jc w:val="center"/>
              <w:rPr>
                <w:rFonts w:ascii="Arial" w:eastAsia="Arial" w:hAnsi="Arial" w:cs="Arial"/>
                <w:sz w:val="18"/>
                <w:szCs w:val="18"/>
              </w:rPr>
            </w:pPr>
            <w:r>
              <w:rPr>
                <w:rFonts w:ascii="Arial" w:eastAsia="Arial" w:hAnsi="Arial" w:cs="Arial"/>
                <w:w w:val="105"/>
                <w:sz w:val="18"/>
                <w:szCs w:val="18"/>
              </w:rPr>
              <w:t>2%</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right="1"/>
              <w:jc w:val="center"/>
              <w:rPr>
                <w:rFonts w:ascii="Arial" w:eastAsia="Arial" w:hAnsi="Arial" w:cs="Arial"/>
                <w:sz w:val="18"/>
                <w:szCs w:val="18"/>
              </w:rPr>
            </w:pPr>
            <w:r>
              <w:rPr>
                <w:rFonts w:ascii="Arial" w:eastAsia="Arial" w:hAnsi="Arial" w:cs="Arial"/>
                <w:spacing w:val="-3"/>
                <w:sz w:val="18"/>
                <w:szCs w:val="18"/>
              </w:rPr>
              <w:t>67</w:t>
            </w:r>
          </w:p>
        </w:tc>
        <w:tc>
          <w:tcPr>
            <w:tcW w:w="1057" w:type="dxa"/>
            <w:tcBorders>
              <w:top w:val="single" w:sz="4" w:space="0" w:color="797979"/>
              <w:left w:val="single" w:sz="2" w:space="0" w:color="000000"/>
              <w:bottom w:val="single" w:sz="4" w:space="0" w:color="797979"/>
              <w:right w:val="nil"/>
            </w:tcBorders>
            <w:vAlign w:val="center"/>
          </w:tcPr>
          <w:p w:rsidR="003C17D6" w:rsidRDefault="003C17D6" w:rsidP="00F94EBD">
            <w:pPr>
              <w:pStyle w:val="TableParagraph"/>
              <w:spacing w:before="47"/>
              <w:ind w:left="196"/>
              <w:jc w:val="center"/>
              <w:rPr>
                <w:rFonts w:ascii="Arial" w:eastAsia="Arial" w:hAnsi="Arial" w:cs="Arial"/>
                <w:sz w:val="18"/>
                <w:szCs w:val="18"/>
              </w:rPr>
            </w:pPr>
            <w:r>
              <w:rPr>
                <w:rFonts w:ascii="Arial" w:eastAsia="Arial" w:hAnsi="Arial" w:cs="Arial"/>
                <w:spacing w:val="1"/>
                <w:w w:val="105"/>
                <w:sz w:val="18"/>
                <w:szCs w:val="18"/>
              </w:rPr>
              <w:t>3%</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48"/>
              <w:jc w:val="center"/>
              <w:rPr>
                <w:rFonts w:ascii="Arial" w:eastAsia="Arial" w:hAnsi="Arial" w:cs="Arial"/>
                <w:sz w:val="18"/>
                <w:szCs w:val="18"/>
              </w:rPr>
            </w:pPr>
            <w:r>
              <w:rPr>
                <w:rFonts w:ascii="Arial" w:eastAsia="Arial" w:hAnsi="Arial" w:cs="Arial"/>
                <w:spacing w:val="-11"/>
                <w:sz w:val="18"/>
                <w:szCs w:val="18"/>
              </w:rPr>
              <w:t>1</w:t>
            </w:r>
            <w:r>
              <w:rPr>
                <w:rFonts w:ascii="Arial" w:eastAsia="Arial" w:hAnsi="Arial" w:cs="Arial"/>
                <w:sz w:val="18"/>
                <w:szCs w:val="18"/>
              </w:rPr>
              <w:t>49</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left="154"/>
              <w:jc w:val="center"/>
              <w:rPr>
                <w:rFonts w:ascii="Arial" w:eastAsia="Arial" w:hAnsi="Arial" w:cs="Arial"/>
                <w:sz w:val="18"/>
                <w:szCs w:val="18"/>
              </w:rPr>
            </w:pPr>
            <w:r>
              <w:rPr>
                <w:rFonts w:ascii="Arial" w:eastAsia="Arial" w:hAnsi="Arial" w:cs="Arial"/>
                <w:spacing w:val="-11"/>
                <w:sz w:val="18"/>
                <w:szCs w:val="18"/>
              </w:rPr>
              <w:t>1</w:t>
            </w:r>
            <w:r>
              <w:rPr>
                <w:rFonts w:ascii="Arial" w:eastAsia="Arial" w:hAnsi="Arial" w:cs="Arial"/>
                <w:spacing w:val="1"/>
                <w:sz w:val="18"/>
                <w:szCs w:val="18"/>
              </w:rPr>
              <w:t>4</w:t>
            </w:r>
            <w:r>
              <w:rPr>
                <w:rFonts w:ascii="Arial" w:eastAsia="Arial" w:hAnsi="Arial" w:cs="Arial"/>
                <w:sz w:val="18"/>
                <w:szCs w:val="18"/>
              </w:rPr>
              <w:t>6</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60"/>
              <w:jc w:val="center"/>
              <w:rPr>
                <w:rFonts w:ascii="Arial" w:eastAsia="Arial" w:hAnsi="Arial" w:cs="Arial"/>
                <w:sz w:val="18"/>
                <w:szCs w:val="18"/>
              </w:rPr>
            </w:pPr>
            <w:r>
              <w:rPr>
                <w:rFonts w:ascii="Arial" w:eastAsia="Arial" w:hAnsi="Arial" w:cs="Arial"/>
                <w:spacing w:val="-16"/>
                <w:sz w:val="18"/>
                <w:szCs w:val="18"/>
              </w:rPr>
              <w:t>1</w:t>
            </w:r>
            <w:r>
              <w:rPr>
                <w:rFonts w:ascii="Arial" w:eastAsia="Arial" w:hAnsi="Arial" w:cs="Arial"/>
                <w:spacing w:val="-9"/>
                <w:sz w:val="18"/>
                <w:szCs w:val="18"/>
              </w:rPr>
              <w:t>1</w:t>
            </w:r>
            <w:r>
              <w:rPr>
                <w:rFonts w:ascii="Arial" w:eastAsia="Arial" w:hAnsi="Arial" w:cs="Arial"/>
                <w:sz w:val="18"/>
                <w:szCs w:val="18"/>
              </w:rPr>
              <w:t>3</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right="1"/>
              <w:jc w:val="center"/>
              <w:rPr>
                <w:rFonts w:ascii="Arial" w:eastAsia="Arial" w:hAnsi="Arial" w:cs="Arial"/>
                <w:sz w:val="18"/>
                <w:szCs w:val="18"/>
              </w:rPr>
            </w:pPr>
            <w:r>
              <w:rPr>
                <w:rFonts w:ascii="Arial" w:eastAsia="Arial" w:hAnsi="Arial" w:cs="Arial"/>
                <w:spacing w:val="-6"/>
                <w:sz w:val="18"/>
                <w:szCs w:val="18"/>
              </w:rPr>
              <w:t>7</w:t>
            </w:r>
            <w:r>
              <w:rPr>
                <w:rFonts w:ascii="Arial" w:eastAsia="Arial" w:hAnsi="Arial" w:cs="Arial"/>
                <w:sz w:val="18"/>
                <w:szCs w:val="18"/>
              </w:rPr>
              <w:t>1</w:t>
            </w:r>
          </w:p>
        </w:tc>
      </w:tr>
      <w:tr w:rsidR="003C17D6" w:rsidTr="00CB193F">
        <w:tc>
          <w:tcPr>
            <w:tcW w:w="1716" w:type="dxa"/>
            <w:tcBorders>
              <w:top w:val="single" w:sz="4" w:space="0" w:color="797979"/>
              <w:left w:val="nil"/>
              <w:bottom w:val="single" w:sz="4" w:space="0" w:color="797979"/>
              <w:right w:val="single" w:sz="2" w:space="0" w:color="000000"/>
            </w:tcBorders>
            <w:vAlign w:val="center"/>
          </w:tcPr>
          <w:p w:rsidR="003C17D6" w:rsidRDefault="003C17D6" w:rsidP="00A15915">
            <w:pPr>
              <w:pStyle w:val="TableParagraph"/>
              <w:keepNext/>
              <w:spacing w:before="47"/>
              <w:ind w:left="80"/>
              <w:rPr>
                <w:rFonts w:ascii="Arial" w:eastAsia="Arial" w:hAnsi="Arial" w:cs="Arial"/>
                <w:sz w:val="18"/>
                <w:szCs w:val="18"/>
              </w:rPr>
            </w:pPr>
            <w:r>
              <w:rPr>
                <w:rFonts w:ascii="Arial" w:eastAsia="Arial" w:hAnsi="Arial" w:cs="Arial"/>
                <w:spacing w:val="-2"/>
                <w:sz w:val="18"/>
                <w:szCs w:val="18"/>
              </w:rPr>
              <w:lastRenderedPageBreak/>
              <w:t>P</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0"/>
                <w:sz w:val="18"/>
                <w:szCs w:val="18"/>
              </w:rPr>
              <w:t xml:space="preserve"> </w:t>
            </w:r>
            <w:r>
              <w:rPr>
                <w:rFonts w:ascii="Arial" w:eastAsia="Arial" w:hAnsi="Arial" w:cs="Arial"/>
                <w:sz w:val="18"/>
                <w:szCs w:val="18"/>
              </w:rPr>
              <w:t>Adm</w:t>
            </w:r>
            <w:r>
              <w:rPr>
                <w:rFonts w:ascii="Arial" w:eastAsia="Arial" w:hAnsi="Arial" w:cs="Arial"/>
                <w:spacing w:val="1"/>
                <w:sz w:val="18"/>
                <w:szCs w:val="18"/>
              </w:rPr>
              <w:t>ini</w:t>
            </w:r>
            <w:r>
              <w:rPr>
                <w:rFonts w:ascii="Arial" w:eastAsia="Arial" w:hAnsi="Arial" w:cs="Arial"/>
                <w:spacing w:val="2"/>
                <w:sz w:val="18"/>
                <w:szCs w:val="18"/>
              </w:rPr>
              <w:t>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0"/>
                <w:sz w:val="18"/>
                <w:szCs w:val="18"/>
              </w:rPr>
              <w:t xml:space="preserve"> </w:t>
            </w:r>
            <w:r>
              <w:rPr>
                <w:rFonts w:ascii="Arial" w:eastAsia="Arial" w:hAnsi="Arial" w:cs="Arial"/>
                <w:spacing w:val="2"/>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4"/>
                <w:sz w:val="18"/>
                <w:szCs w:val="18"/>
              </w:rPr>
              <w:t>t</w:t>
            </w:r>
            <w:r>
              <w:rPr>
                <w:rFonts w:ascii="Arial" w:eastAsia="Arial" w:hAnsi="Arial" w:cs="Arial"/>
                <w:sz w:val="18"/>
                <w:szCs w:val="18"/>
              </w:rPr>
              <w:t>y</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A15915">
            <w:pPr>
              <w:pStyle w:val="TableParagraph"/>
              <w:keepNext/>
              <w:spacing w:before="47"/>
              <w:ind w:left="215"/>
              <w:jc w:val="center"/>
              <w:rPr>
                <w:rFonts w:ascii="Arial" w:eastAsia="Arial" w:hAnsi="Arial" w:cs="Arial"/>
                <w:sz w:val="18"/>
                <w:szCs w:val="18"/>
              </w:rPr>
            </w:pPr>
            <w:r>
              <w:rPr>
                <w:rFonts w:ascii="Arial" w:eastAsia="Arial" w:hAnsi="Arial" w:cs="Arial"/>
                <w:sz w:val="18"/>
                <w:szCs w:val="18"/>
              </w:rPr>
              <w:t>222</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A15915">
            <w:pPr>
              <w:pStyle w:val="TableParagraph"/>
              <w:keepNext/>
              <w:spacing w:before="47"/>
              <w:ind w:left="207"/>
              <w:jc w:val="center"/>
              <w:rPr>
                <w:rFonts w:ascii="Arial" w:eastAsia="Arial" w:hAnsi="Arial" w:cs="Arial"/>
                <w:sz w:val="18"/>
                <w:szCs w:val="18"/>
              </w:rPr>
            </w:pPr>
            <w:r>
              <w:rPr>
                <w:rFonts w:ascii="Arial" w:eastAsia="Arial" w:hAnsi="Arial" w:cs="Arial"/>
                <w:spacing w:val="-1"/>
                <w:w w:val="105"/>
                <w:sz w:val="18"/>
                <w:szCs w:val="18"/>
              </w:rPr>
              <w:t>4%</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A15915">
            <w:pPr>
              <w:pStyle w:val="TableParagraph"/>
              <w:keepNext/>
              <w:spacing w:before="47"/>
              <w:ind w:left="288" w:right="288"/>
              <w:jc w:val="center"/>
              <w:rPr>
                <w:rFonts w:ascii="Arial" w:eastAsia="Arial" w:hAnsi="Arial" w:cs="Arial"/>
                <w:sz w:val="18"/>
                <w:szCs w:val="18"/>
              </w:rPr>
            </w:pPr>
            <w:r>
              <w:rPr>
                <w:rFonts w:ascii="Arial" w:eastAsia="Arial" w:hAnsi="Arial" w:cs="Arial"/>
                <w:spacing w:val="-9"/>
                <w:sz w:val="18"/>
                <w:szCs w:val="18"/>
              </w:rPr>
              <w:t>1</w:t>
            </w:r>
            <w:r>
              <w:rPr>
                <w:rFonts w:ascii="Arial" w:eastAsia="Arial" w:hAnsi="Arial" w:cs="Arial"/>
                <w:sz w:val="18"/>
                <w:szCs w:val="18"/>
              </w:rPr>
              <w:t>59</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A15915">
            <w:pPr>
              <w:pStyle w:val="TableParagraph"/>
              <w:keepNext/>
              <w:spacing w:before="47"/>
              <w:ind w:left="208"/>
              <w:jc w:val="center"/>
              <w:rPr>
                <w:rFonts w:ascii="Arial" w:eastAsia="Arial" w:hAnsi="Arial" w:cs="Arial"/>
                <w:sz w:val="18"/>
                <w:szCs w:val="18"/>
              </w:rPr>
            </w:pPr>
            <w:r>
              <w:rPr>
                <w:rFonts w:ascii="Arial" w:eastAsia="Arial" w:hAnsi="Arial" w:cs="Arial"/>
                <w:spacing w:val="1"/>
                <w:w w:val="105"/>
                <w:sz w:val="18"/>
                <w:szCs w:val="18"/>
              </w:rPr>
              <w:t>3%</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A15915">
            <w:pPr>
              <w:pStyle w:val="TableParagraph"/>
              <w:keepNext/>
              <w:spacing w:before="47"/>
              <w:ind w:left="229"/>
              <w:jc w:val="center"/>
              <w:rPr>
                <w:rFonts w:ascii="Arial" w:eastAsia="Arial" w:hAnsi="Arial" w:cs="Arial"/>
                <w:sz w:val="18"/>
                <w:szCs w:val="18"/>
              </w:rPr>
            </w:pPr>
            <w:r>
              <w:rPr>
                <w:rFonts w:ascii="Arial" w:eastAsia="Arial" w:hAnsi="Arial" w:cs="Arial"/>
                <w:sz w:val="18"/>
                <w:szCs w:val="18"/>
              </w:rPr>
              <w:t>229</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A15915">
            <w:pPr>
              <w:pStyle w:val="TableParagraph"/>
              <w:keepNext/>
              <w:spacing w:before="47"/>
              <w:ind w:left="202"/>
              <w:jc w:val="center"/>
              <w:rPr>
                <w:rFonts w:ascii="Arial" w:eastAsia="Arial" w:hAnsi="Arial" w:cs="Arial"/>
                <w:sz w:val="18"/>
                <w:szCs w:val="18"/>
              </w:rPr>
            </w:pPr>
            <w:r>
              <w:rPr>
                <w:rFonts w:ascii="Arial" w:eastAsia="Arial" w:hAnsi="Arial" w:cs="Arial"/>
                <w:spacing w:val="-2"/>
                <w:w w:val="105"/>
                <w:sz w:val="18"/>
                <w:szCs w:val="18"/>
              </w:rPr>
              <w:t>5</w:t>
            </w:r>
            <w:r>
              <w:rPr>
                <w:rFonts w:ascii="Arial" w:eastAsia="Arial" w:hAnsi="Arial" w:cs="Arial"/>
                <w:w w:val="105"/>
                <w:sz w:val="18"/>
                <w:szCs w:val="18"/>
              </w:rPr>
              <w:t>%</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A15915">
            <w:pPr>
              <w:pStyle w:val="TableParagraph"/>
              <w:keepNext/>
              <w:spacing w:before="47"/>
              <w:ind w:left="172"/>
              <w:jc w:val="center"/>
              <w:rPr>
                <w:rFonts w:ascii="Arial" w:eastAsia="Arial" w:hAnsi="Arial" w:cs="Arial"/>
                <w:sz w:val="18"/>
                <w:szCs w:val="18"/>
              </w:rPr>
            </w:pPr>
            <w:r>
              <w:rPr>
                <w:rFonts w:ascii="Arial" w:eastAsia="Arial" w:hAnsi="Arial" w:cs="Arial"/>
                <w:spacing w:val="-9"/>
                <w:sz w:val="18"/>
                <w:szCs w:val="18"/>
              </w:rPr>
              <w:t>1</w:t>
            </w:r>
            <w:r>
              <w:rPr>
                <w:rFonts w:ascii="Arial" w:eastAsia="Arial" w:hAnsi="Arial" w:cs="Arial"/>
                <w:spacing w:val="1"/>
                <w:sz w:val="18"/>
                <w:szCs w:val="18"/>
              </w:rPr>
              <w:t>3</w:t>
            </w:r>
            <w:r>
              <w:rPr>
                <w:rFonts w:ascii="Arial" w:eastAsia="Arial" w:hAnsi="Arial" w:cs="Arial"/>
                <w:sz w:val="18"/>
                <w:szCs w:val="18"/>
              </w:rPr>
              <w:t>5</w:t>
            </w:r>
          </w:p>
        </w:tc>
        <w:tc>
          <w:tcPr>
            <w:tcW w:w="1057" w:type="dxa"/>
            <w:tcBorders>
              <w:top w:val="single" w:sz="4" w:space="0" w:color="797979"/>
              <w:left w:val="single" w:sz="2" w:space="0" w:color="000000"/>
              <w:bottom w:val="single" w:sz="4" w:space="0" w:color="797979"/>
              <w:right w:val="nil"/>
            </w:tcBorders>
            <w:vAlign w:val="center"/>
          </w:tcPr>
          <w:p w:rsidR="003C17D6" w:rsidRDefault="003C17D6" w:rsidP="00A15915">
            <w:pPr>
              <w:pStyle w:val="TableParagraph"/>
              <w:keepNext/>
              <w:spacing w:before="47"/>
              <w:ind w:left="198"/>
              <w:jc w:val="center"/>
              <w:rPr>
                <w:rFonts w:ascii="Arial" w:eastAsia="Arial" w:hAnsi="Arial" w:cs="Arial"/>
                <w:sz w:val="18"/>
                <w:szCs w:val="18"/>
              </w:rPr>
            </w:pPr>
            <w:r>
              <w:rPr>
                <w:rFonts w:ascii="Arial" w:eastAsia="Arial" w:hAnsi="Arial" w:cs="Arial"/>
                <w:spacing w:val="-2"/>
                <w:w w:val="105"/>
                <w:sz w:val="18"/>
                <w:szCs w:val="18"/>
              </w:rPr>
              <w:t>5</w:t>
            </w:r>
            <w:r>
              <w:rPr>
                <w:rFonts w:ascii="Arial" w:eastAsia="Arial" w:hAnsi="Arial" w:cs="Arial"/>
                <w:w w:val="105"/>
                <w:sz w:val="18"/>
                <w:szCs w:val="18"/>
              </w:rPr>
              <w:t>%</w:t>
            </w:r>
          </w:p>
        </w:tc>
        <w:tc>
          <w:tcPr>
            <w:tcW w:w="1057" w:type="dxa"/>
            <w:tcBorders>
              <w:top w:val="nil"/>
              <w:left w:val="nil"/>
              <w:bottom w:val="nil"/>
              <w:right w:val="single" w:sz="2" w:space="0" w:color="FFFFFF"/>
            </w:tcBorders>
            <w:shd w:val="clear" w:color="auto" w:fill="C3D9DC"/>
            <w:vAlign w:val="center"/>
          </w:tcPr>
          <w:p w:rsidR="003C17D6" w:rsidRDefault="003C17D6" w:rsidP="00A15915">
            <w:pPr>
              <w:pStyle w:val="TableParagraph"/>
              <w:keepNext/>
              <w:spacing w:before="52"/>
              <w:ind w:left="144"/>
              <w:jc w:val="center"/>
              <w:rPr>
                <w:rFonts w:ascii="Arial" w:eastAsia="Arial" w:hAnsi="Arial" w:cs="Arial"/>
                <w:sz w:val="18"/>
                <w:szCs w:val="18"/>
              </w:rPr>
            </w:pPr>
            <w:r>
              <w:rPr>
                <w:rFonts w:ascii="Arial" w:eastAsia="Arial" w:hAnsi="Arial" w:cs="Arial"/>
                <w:sz w:val="18"/>
                <w:szCs w:val="18"/>
              </w:rPr>
              <w:t>2</w:t>
            </w:r>
            <w:r>
              <w:rPr>
                <w:rFonts w:ascii="Arial" w:eastAsia="Arial" w:hAnsi="Arial" w:cs="Arial"/>
                <w:spacing w:val="-4"/>
                <w:sz w:val="18"/>
                <w:szCs w:val="18"/>
              </w:rPr>
              <w:t>27</w:t>
            </w:r>
          </w:p>
        </w:tc>
        <w:tc>
          <w:tcPr>
            <w:tcW w:w="1057" w:type="dxa"/>
            <w:tcBorders>
              <w:top w:val="nil"/>
              <w:left w:val="single" w:sz="2" w:space="0" w:color="FFFFFF"/>
              <w:bottom w:val="nil"/>
              <w:right w:val="nil"/>
            </w:tcBorders>
            <w:shd w:val="clear" w:color="auto" w:fill="C3D9DC"/>
            <w:vAlign w:val="center"/>
          </w:tcPr>
          <w:p w:rsidR="003C17D6" w:rsidRDefault="003C17D6" w:rsidP="00A15915">
            <w:pPr>
              <w:pStyle w:val="TableParagraph"/>
              <w:keepNext/>
              <w:spacing w:before="52"/>
              <w:ind w:left="155"/>
              <w:jc w:val="center"/>
              <w:rPr>
                <w:rFonts w:ascii="Arial" w:eastAsia="Arial" w:hAnsi="Arial" w:cs="Arial"/>
                <w:sz w:val="18"/>
                <w:szCs w:val="18"/>
              </w:rPr>
            </w:pPr>
            <w:r>
              <w:rPr>
                <w:rFonts w:ascii="Arial" w:eastAsia="Arial" w:hAnsi="Arial" w:cs="Arial"/>
                <w:spacing w:val="-8"/>
                <w:sz w:val="18"/>
                <w:szCs w:val="18"/>
              </w:rPr>
              <w:t>1</w:t>
            </w:r>
            <w:r>
              <w:rPr>
                <w:rFonts w:ascii="Arial" w:eastAsia="Arial" w:hAnsi="Arial" w:cs="Arial"/>
                <w:spacing w:val="-4"/>
                <w:sz w:val="18"/>
                <w:szCs w:val="18"/>
              </w:rPr>
              <w:t>6</w:t>
            </w:r>
            <w:r>
              <w:rPr>
                <w:rFonts w:ascii="Arial" w:eastAsia="Arial" w:hAnsi="Arial" w:cs="Arial"/>
                <w:sz w:val="18"/>
                <w:szCs w:val="18"/>
              </w:rPr>
              <w:t>1</w:t>
            </w:r>
          </w:p>
        </w:tc>
        <w:tc>
          <w:tcPr>
            <w:tcW w:w="1057" w:type="dxa"/>
            <w:tcBorders>
              <w:top w:val="nil"/>
              <w:left w:val="nil"/>
              <w:bottom w:val="nil"/>
              <w:right w:val="single" w:sz="2" w:space="0" w:color="FFFFFF"/>
            </w:tcBorders>
            <w:shd w:val="clear" w:color="auto" w:fill="C3D9DC"/>
            <w:vAlign w:val="center"/>
          </w:tcPr>
          <w:p w:rsidR="003C17D6" w:rsidRDefault="003C17D6" w:rsidP="00A15915">
            <w:pPr>
              <w:pStyle w:val="TableParagraph"/>
              <w:keepNext/>
              <w:spacing w:before="52"/>
              <w:ind w:left="147"/>
              <w:jc w:val="center"/>
              <w:rPr>
                <w:rFonts w:ascii="Arial" w:eastAsia="Arial" w:hAnsi="Arial" w:cs="Arial"/>
                <w:sz w:val="18"/>
                <w:szCs w:val="18"/>
              </w:rPr>
            </w:pPr>
            <w:r>
              <w:rPr>
                <w:rFonts w:ascii="Arial" w:eastAsia="Arial" w:hAnsi="Arial" w:cs="Arial"/>
                <w:spacing w:val="-1"/>
                <w:sz w:val="18"/>
                <w:szCs w:val="18"/>
              </w:rPr>
              <w:t>2</w:t>
            </w:r>
            <w:r>
              <w:rPr>
                <w:rFonts w:ascii="Arial" w:eastAsia="Arial" w:hAnsi="Arial" w:cs="Arial"/>
                <w:spacing w:val="2"/>
                <w:sz w:val="18"/>
                <w:szCs w:val="18"/>
              </w:rPr>
              <w:t>3</w:t>
            </w:r>
            <w:r>
              <w:rPr>
                <w:rFonts w:ascii="Arial" w:eastAsia="Arial" w:hAnsi="Arial" w:cs="Arial"/>
                <w:sz w:val="18"/>
                <w:szCs w:val="18"/>
              </w:rPr>
              <w:t>3</w:t>
            </w:r>
          </w:p>
        </w:tc>
        <w:tc>
          <w:tcPr>
            <w:tcW w:w="1057" w:type="dxa"/>
            <w:tcBorders>
              <w:top w:val="nil"/>
              <w:left w:val="single" w:sz="2" w:space="0" w:color="FFFFFF"/>
              <w:bottom w:val="nil"/>
              <w:right w:val="nil"/>
            </w:tcBorders>
            <w:shd w:val="clear" w:color="auto" w:fill="C3D9DC"/>
            <w:vAlign w:val="center"/>
          </w:tcPr>
          <w:p w:rsidR="003C17D6" w:rsidRDefault="003C17D6" w:rsidP="00A15915">
            <w:pPr>
              <w:pStyle w:val="TableParagraph"/>
              <w:keepNext/>
              <w:spacing w:before="52"/>
              <w:ind w:left="156"/>
              <w:jc w:val="center"/>
              <w:rPr>
                <w:rFonts w:ascii="Arial" w:eastAsia="Arial" w:hAnsi="Arial" w:cs="Arial"/>
                <w:sz w:val="18"/>
                <w:szCs w:val="18"/>
              </w:rPr>
            </w:pPr>
            <w:r>
              <w:rPr>
                <w:rFonts w:ascii="Arial" w:eastAsia="Arial" w:hAnsi="Arial" w:cs="Arial"/>
                <w:spacing w:val="-9"/>
                <w:sz w:val="18"/>
                <w:szCs w:val="18"/>
              </w:rPr>
              <w:t>1</w:t>
            </w:r>
            <w:r>
              <w:rPr>
                <w:rFonts w:ascii="Arial" w:eastAsia="Arial" w:hAnsi="Arial" w:cs="Arial"/>
                <w:spacing w:val="-4"/>
                <w:sz w:val="18"/>
                <w:szCs w:val="18"/>
              </w:rPr>
              <w:t>3</w:t>
            </w:r>
            <w:r>
              <w:rPr>
                <w:rFonts w:ascii="Arial" w:eastAsia="Arial" w:hAnsi="Arial" w:cs="Arial"/>
                <w:sz w:val="18"/>
                <w:szCs w:val="18"/>
              </w:rPr>
              <w:t>7</w:t>
            </w:r>
          </w:p>
        </w:tc>
      </w:tr>
      <w:tr w:rsidR="003C17D6" w:rsidTr="00CB193F">
        <w:tc>
          <w:tcPr>
            <w:tcW w:w="1716" w:type="dxa"/>
            <w:tcBorders>
              <w:top w:val="single" w:sz="4" w:space="0" w:color="797979"/>
              <w:left w:val="nil"/>
              <w:bottom w:val="single" w:sz="4" w:space="0" w:color="797979"/>
              <w:right w:val="single" w:sz="2" w:space="0" w:color="000000"/>
            </w:tcBorders>
            <w:vAlign w:val="center"/>
          </w:tcPr>
          <w:p w:rsidR="003C17D6" w:rsidRDefault="003C17D6" w:rsidP="00CB193F">
            <w:pPr>
              <w:pStyle w:val="TableParagraph"/>
              <w:spacing w:before="47"/>
              <w:ind w:left="80"/>
              <w:rPr>
                <w:rFonts w:ascii="Arial" w:eastAsia="Arial" w:hAnsi="Arial" w:cs="Arial"/>
                <w:sz w:val="18"/>
                <w:szCs w:val="18"/>
              </w:rPr>
            </w:pPr>
            <w:r>
              <w:rPr>
                <w:rFonts w:ascii="Arial" w:eastAsia="Arial" w:hAnsi="Arial" w:cs="Arial"/>
                <w:spacing w:val="1"/>
                <w:sz w:val="18"/>
                <w:szCs w:val="18"/>
              </w:rPr>
              <w:t>R</w:t>
            </w:r>
            <w:r>
              <w:rPr>
                <w:rFonts w:ascii="Arial" w:eastAsia="Arial" w:hAnsi="Arial" w:cs="Arial"/>
                <w:spacing w:val="2"/>
                <w:sz w:val="18"/>
                <w:szCs w:val="18"/>
              </w:rPr>
              <w:t>e</w:t>
            </w:r>
            <w:r>
              <w:rPr>
                <w:rFonts w:ascii="Arial" w:eastAsia="Arial" w:hAnsi="Arial" w:cs="Arial"/>
                <w:spacing w:val="1"/>
                <w:sz w:val="18"/>
                <w:szCs w:val="18"/>
              </w:rPr>
              <w:t>nt</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6"/>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5"/>
                <w:sz w:val="18"/>
                <w:szCs w:val="18"/>
              </w:rPr>
              <w:t xml:space="preserve"> </w:t>
            </w:r>
            <w:r>
              <w:rPr>
                <w:rFonts w:ascii="Arial" w:eastAsia="Arial" w:hAnsi="Arial" w:cs="Arial"/>
                <w:spacing w:val="1"/>
                <w:sz w:val="18"/>
                <w:szCs w:val="18"/>
              </w:rPr>
              <w:t>R</w:t>
            </w:r>
            <w:r>
              <w:rPr>
                <w:rFonts w:ascii="Arial" w:eastAsia="Arial" w:hAnsi="Arial" w:cs="Arial"/>
                <w:spacing w:val="2"/>
                <w:sz w:val="18"/>
                <w:szCs w:val="18"/>
              </w:rPr>
              <w:t>ea</w:t>
            </w:r>
            <w:r>
              <w:rPr>
                <w:rFonts w:ascii="Arial" w:eastAsia="Arial" w:hAnsi="Arial" w:cs="Arial"/>
                <w:sz w:val="18"/>
                <w:szCs w:val="18"/>
              </w:rPr>
              <w:t>l</w:t>
            </w:r>
            <w:r>
              <w:rPr>
                <w:rFonts w:ascii="Arial" w:eastAsia="Arial" w:hAnsi="Arial" w:cs="Arial"/>
                <w:spacing w:val="-6"/>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s</w:t>
            </w:r>
            <w:r>
              <w:rPr>
                <w:rFonts w:ascii="Arial" w:eastAsia="Arial" w:hAnsi="Arial" w:cs="Arial"/>
                <w:spacing w:val="1"/>
                <w:sz w:val="18"/>
                <w:szCs w:val="18"/>
              </w:rPr>
              <w:t>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2"/>
                <w:sz w:val="18"/>
                <w:szCs w:val="18"/>
              </w:rPr>
              <w:t>Se</w:t>
            </w:r>
            <w:r>
              <w:rPr>
                <w:rFonts w:ascii="Arial" w:eastAsia="Arial" w:hAnsi="Arial" w:cs="Arial"/>
                <w:spacing w:val="7"/>
                <w:sz w:val="18"/>
                <w:szCs w:val="18"/>
              </w:rPr>
              <w:t>r</w:t>
            </w:r>
            <w:r>
              <w:rPr>
                <w:rFonts w:ascii="Arial" w:eastAsia="Arial" w:hAnsi="Arial" w:cs="Arial"/>
                <w:spacing w:val="1"/>
                <w:sz w:val="18"/>
                <w:szCs w:val="18"/>
              </w:rPr>
              <w:t>vic</w:t>
            </w:r>
            <w:r>
              <w:rPr>
                <w:rFonts w:ascii="Arial" w:eastAsia="Arial" w:hAnsi="Arial" w:cs="Arial"/>
                <w:spacing w:val="2"/>
                <w:sz w:val="18"/>
                <w:szCs w:val="18"/>
              </w:rPr>
              <w:t>e</w:t>
            </w:r>
            <w:r>
              <w:rPr>
                <w:rFonts w:ascii="Arial" w:eastAsia="Arial" w:hAnsi="Arial" w:cs="Arial"/>
                <w:sz w:val="18"/>
                <w:szCs w:val="18"/>
              </w:rPr>
              <w:t>s</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18"/>
              <w:jc w:val="center"/>
              <w:rPr>
                <w:rFonts w:ascii="Arial" w:eastAsia="Arial" w:hAnsi="Arial" w:cs="Arial"/>
                <w:sz w:val="18"/>
                <w:szCs w:val="18"/>
              </w:rPr>
            </w:pPr>
            <w:r>
              <w:rPr>
                <w:rFonts w:ascii="Arial" w:eastAsia="Arial" w:hAnsi="Arial" w:cs="Arial"/>
                <w:spacing w:val="-8"/>
                <w:sz w:val="18"/>
                <w:szCs w:val="18"/>
              </w:rPr>
              <w:t>1</w:t>
            </w:r>
            <w:r>
              <w:rPr>
                <w:rFonts w:ascii="Arial" w:eastAsia="Arial" w:hAnsi="Arial" w:cs="Arial"/>
                <w:spacing w:val="1"/>
                <w:sz w:val="18"/>
                <w:szCs w:val="18"/>
              </w:rPr>
              <w:t>0</w:t>
            </w:r>
            <w:r>
              <w:rPr>
                <w:rFonts w:ascii="Arial" w:eastAsia="Arial" w:hAnsi="Arial" w:cs="Arial"/>
                <w:sz w:val="18"/>
                <w:szCs w:val="18"/>
              </w:rPr>
              <w:t>2</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06"/>
              <w:jc w:val="center"/>
              <w:rPr>
                <w:rFonts w:ascii="Arial" w:eastAsia="Arial" w:hAnsi="Arial" w:cs="Arial"/>
                <w:sz w:val="18"/>
                <w:szCs w:val="18"/>
              </w:rPr>
            </w:pPr>
            <w:r>
              <w:rPr>
                <w:rFonts w:ascii="Arial" w:eastAsia="Arial" w:hAnsi="Arial" w:cs="Arial"/>
                <w:w w:val="105"/>
                <w:sz w:val="18"/>
                <w:szCs w:val="18"/>
              </w:rPr>
              <w:t>2%</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jc w:val="center"/>
              <w:rPr>
                <w:rFonts w:ascii="Arial" w:eastAsia="Arial" w:hAnsi="Arial" w:cs="Arial"/>
                <w:sz w:val="18"/>
                <w:szCs w:val="18"/>
              </w:rPr>
            </w:pPr>
            <w:r>
              <w:rPr>
                <w:rFonts w:ascii="Arial" w:eastAsia="Arial" w:hAnsi="Arial" w:cs="Arial"/>
                <w:spacing w:val="-2"/>
                <w:sz w:val="18"/>
                <w:szCs w:val="18"/>
              </w:rPr>
              <w:t>79</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08"/>
              <w:jc w:val="center"/>
              <w:rPr>
                <w:rFonts w:ascii="Arial" w:eastAsia="Arial" w:hAnsi="Arial" w:cs="Arial"/>
                <w:sz w:val="18"/>
                <w:szCs w:val="18"/>
              </w:rPr>
            </w:pPr>
            <w:r>
              <w:rPr>
                <w:rFonts w:ascii="Arial" w:eastAsia="Arial" w:hAnsi="Arial" w:cs="Arial"/>
                <w:w w:val="105"/>
                <w:sz w:val="18"/>
                <w:szCs w:val="18"/>
              </w:rPr>
              <w:t>2%</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right="2"/>
              <w:jc w:val="center"/>
              <w:rPr>
                <w:rFonts w:ascii="Arial" w:eastAsia="Arial" w:hAnsi="Arial" w:cs="Arial"/>
                <w:sz w:val="18"/>
                <w:szCs w:val="18"/>
              </w:rPr>
            </w:pPr>
            <w:r>
              <w:rPr>
                <w:rFonts w:ascii="Arial" w:eastAsia="Arial" w:hAnsi="Arial" w:cs="Arial"/>
                <w:spacing w:val="-4"/>
                <w:sz w:val="18"/>
                <w:szCs w:val="18"/>
              </w:rPr>
              <w:t>87</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02"/>
              <w:jc w:val="center"/>
              <w:rPr>
                <w:rFonts w:ascii="Arial" w:eastAsia="Arial" w:hAnsi="Arial" w:cs="Arial"/>
                <w:sz w:val="18"/>
                <w:szCs w:val="18"/>
              </w:rPr>
            </w:pPr>
            <w:r>
              <w:rPr>
                <w:rFonts w:ascii="Arial" w:eastAsia="Arial" w:hAnsi="Arial" w:cs="Arial"/>
                <w:w w:val="105"/>
                <w:sz w:val="18"/>
                <w:szCs w:val="18"/>
              </w:rPr>
              <w:t>2%</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jc w:val="center"/>
              <w:rPr>
                <w:rFonts w:ascii="Arial" w:eastAsia="Arial" w:hAnsi="Arial" w:cs="Arial"/>
                <w:sz w:val="18"/>
                <w:szCs w:val="18"/>
              </w:rPr>
            </w:pPr>
            <w:r>
              <w:rPr>
                <w:rFonts w:ascii="Arial" w:eastAsia="Arial" w:hAnsi="Arial" w:cs="Arial"/>
                <w:spacing w:val="-1"/>
                <w:sz w:val="18"/>
                <w:szCs w:val="18"/>
              </w:rPr>
              <w:t>42</w:t>
            </w:r>
          </w:p>
        </w:tc>
        <w:tc>
          <w:tcPr>
            <w:tcW w:w="1057" w:type="dxa"/>
            <w:tcBorders>
              <w:top w:val="single" w:sz="4" w:space="0" w:color="797979"/>
              <w:left w:val="single" w:sz="2" w:space="0" w:color="000000"/>
              <w:bottom w:val="single" w:sz="4" w:space="0" w:color="797979"/>
              <w:right w:val="nil"/>
            </w:tcBorders>
            <w:vAlign w:val="center"/>
          </w:tcPr>
          <w:p w:rsidR="003C17D6" w:rsidRDefault="003C17D6" w:rsidP="00F94EBD">
            <w:pPr>
              <w:pStyle w:val="TableParagraph"/>
              <w:spacing w:before="47"/>
              <w:ind w:left="197"/>
              <w:jc w:val="center"/>
              <w:rPr>
                <w:rFonts w:ascii="Arial" w:eastAsia="Arial" w:hAnsi="Arial" w:cs="Arial"/>
                <w:sz w:val="18"/>
                <w:szCs w:val="18"/>
              </w:rPr>
            </w:pPr>
            <w:r>
              <w:rPr>
                <w:rFonts w:ascii="Arial" w:eastAsia="Arial" w:hAnsi="Arial" w:cs="Arial"/>
                <w:w w:val="105"/>
                <w:sz w:val="18"/>
                <w:szCs w:val="18"/>
              </w:rPr>
              <w:t>2%</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54"/>
              <w:jc w:val="center"/>
              <w:rPr>
                <w:rFonts w:ascii="Arial" w:eastAsia="Arial" w:hAnsi="Arial" w:cs="Arial"/>
                <w:sz w:val="18"/>
                <w:szCs w:val="18"/>
              </w:rPr>
            </w:pPr>
            <w:r>
              <w:rPr>
                <w:rFonts w:ascii="Arial" w:eastAsia="Arial" w:hAnsi="Arial" w:cs="Arial"/>
                <w:spacing w:val="-16"/>
                <w:sz w:val="18"/>
                <w:szCs w:val="18"/>
              </w:rPr>
              <w:t>1</w:t>
            </w:r>
            <w:r>
              <w:rPr>
                <w:rFonts w:ascii="Arial" w:eastAsia="Arial" w:hAnsi="Arial" w:cs="Arial"/>
                <w:spacing w:val="-8"/>
                <w:sz w:val="18"/>
                <w:szCs w:val="18"/>
              </w:rPr>
              <w:t>1</w:t>
            </w:r>
            <w:r>
              <w:rPr>
                <w:rFonts w:ascii="Arial" w:eastAsia="Arial" w:hAnsi="Arial" w:cs="Arial"/>
                <w:sz w:val="18"/>
                <w:szCs w:val="18"/>
              </w:rPr>
              <w:t>9</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left="199"/>
              <w:jc w:val="center"/>
              <w:rPr>
                <w:rFonts w:ascii="Arial" w:eastAsia="Arial" w:hAnsi="Arial" w:cs="Arial"/>
                <w:sz w:val="18"/>
                <w:szCs w:val="18"/>
              </w:rPr>
            </w:pPr>
            <w:r>
              <w:rPr>
                <w:rFonts w:ascii="Arial" w:eastAsia="Arial" w:hAnsi="Arial" w:cs="Arial"/>
                <w:spacing w:val="1"/>
                <w:sz w:val="18"/>
                <w:szCs w:val="18"/>
              </w:rPr>
              <w:t>82</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96"/>
              <w:jc w:val="center"/>
              <w:rPr>
                <w:rFonts w:ascii="Arial" w:eastAsia="Arial" w:hAnsi="Arial" w:cs="Arial"/>
                <w:sz w:val="18"/>
                <w:szCs w:val="18"/>
              </w:rPr>
            </w:pPr>
            <w:r>
              <w:rPr>
                <w:rFonts w:ascii="Arial" w:eastAsia="Arial" w:hAnsi="Arial" w:cs="Arial"/>
                <w:spacing w:val="2"/>
                <w:sz w:val="18"/>
                <w:szCs w:val="18"/>
              </w:rPr>
              <w:t>88</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left="198"/>
              <w:jc w:val="center"/>
              <w:rPr>
                <w:rFonts w:ascii="Arial" w:eastAsia="Arial" w:hAnsi="Arial" w:cs="Arial"/>
                <w:sz w:val="18"/>
                <w:szCs w:val="18"/>
              </w:rPr>
            </w:pPr>
            <w:r>
              <w:rPr>
                <w:rFonts w:ascii="Arial" w:eastAsia="Arial" w:hAnsi="Arial" w:cs="Arial"/>
                <w:spacing w:val="2"/>
                <w:sz w:val="18"/>
                <w:szCs w:val="18"/>
              </w:rPr>
              <w:t>43</w:t>
            </w:r>
          </w:p>
        </w:tc>
      </w:tr>
      <w:tr w:rsidR="003C17D6" w:rsidTr="00CB193F">
        <w:tc>
          <w:tcPr>
            <w:tcW w:w="1716" w:type="dxa"/>
            <w:tcBorders>
              <w:top w:val="single" w:sz="4" w:space="0" w:color="797979"/>
              <w:left w:val="nil"/>
              <w:bottom w:val="single" w:sz="4" w:space="0" w:color="797979"/>
              <w:right w:val="single" w:sz="2" w:space="0" w:color="000000"/>
            </w:tcBorders>
            <w:vAlign w:val="center"/>
          </w:tcPr>
          <w:p w:rsidR="003C17D6" w:rsidRDefault="003C17D6" w:rsidP="00CB193F">
            <w:pPr>
              <w:pStyle w:val="TableParagraph"/>
              <w:spacing w:before="47"/>
              <w:ind w:left="80"/>
              <w:rPr>
                <w:rFonts w:ascii="Arial" w:eastAsia="Arial" w:hAnsi="Arial" w:cs="Arial"/>
                <w:sz w:val="18"/>
                <w:szCs w:val="18"/>
              </w:rPr>
            </w:pPr>
            <w:r>
              <w:rPr>
                <w:rFonts w:ascii="Arial" w:eastAsia="Arial" w:hAnsi="Arial" w:cs="Arial"/>
                <w:spacing w:val="1"/>
                <w:sz w:val="18"/>
                <w:szCs w:val="18"/>
              </w:rPr>
              <w:t>Ret</w:t>
            </w:r>
            <w:r>
              <w:rPr>
                <w:rFonts w:ascii="Arial" w:eastAsia="Arial" w:hAnsi="Arial" w:cs="Arial"/>
                <w:spacing w:val="2"/>
                <w:sz w:val="18"/>
                <w:szCs w:val="18"/>
              </w:rPr>
              <w:t>a</w:t>
            </w:r>
            <w:r>
              <w:rPr>
                <w:rFonts w:ascii="Arial" w:eastAsia="Arial" w:hAnsi="Arial" w:cs="Arial"/>
                <w:sz w:val="18"/>
                <w:szCs w:val="18"/>
              </w:rPr>
              <w:t>il</w:t>
            </w:r>
            <w:r>
              <w:rPr>
                <w:rFonts w:ascii="Arial" w:eastAsia="Arial" w:hAnsi="Arial" w:cs="Arial"/>
                <w:spacing w:val="-18"/>
                <w:sz w:val="18"/>
                <w:szCs w:val="18"/>
              </w:rPr>
              <w:t xml:space="preserve"> </w:t>
            </w:r>
            <w:r>
              <w:rPr>
                <w:rFonts w:ascii="Arial" w:eastAsia="Arial" w:hAnsi="Arial" w:cs="Arial"/>
                <w:spacing w:val="-13"/>
                <w:sz w:val="18"/>
                <w:szCs w:val="18"/>
              </w:rPr>
              <w:t>T</w:t>
            </w:r>
            <w:r>
              <w:rPr>
                <w:rFonts w:ascii="Arial" w:eastAsia="Arial" w:hAnsi="Arial" w:cs="Arial"/>
                <w:spacing w:val="2"/>
                <w:sz w:val="18"/>
                <w:szCs w:val="18"/>
              </w:rPr>
              <w:t>r</w:t>
            </w:r>
            <w:r>
              <w:rPr>
                <w:rFonts w:ascii="Arial" w:eastAsia="Arial" w:hAnsi="Arial" w:cs="Arial"/>
                <w:spacing w:val="1"/>
                <w:sz w:val="18"/>
                <w:szCs w:val="18"/>
              </w:rPr>
              <w:t>ade</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18"/>
              <w:jc w:val="center"/>
              <w:rPr>
                <w:rFonts w:ascii="Arial" w:eastAsia="Arial" w:hAnsi="Arial" w:cs="Arial"/>
                <w:sz w:val="18"/>
                <w:szCs w:val="18"/>
              </w:rPr>
            </w:pPr>
            <w:r>
              <w:rPr>
                <w:rFonts w:ascii="Arial" w:eastAsia="Arial" w:hAnsi="Arial" w:cs="Arial"/>
                <w:spacing w:val="-8"/>
                <w:sz w:val="18"/>
                <w:szCs w:val="18"/>
              </w:rPr>
              <w:t>1</w:t>
            </w:r>
            <w:r>
              <w:rPr>
                <w:rFonts w:ascii="Arial" w:eastAsia="Arial" w:hAnsi="Arial" w:cs="Arial"/>
                <w:spacing w:val="2"/>
                <w:sz w:val="18"/>
                <w:szCs w:val="18"/>
              </w:rPr>
              <w:t>0</w:t>
            </w:r>
            <w:r>
              <w:rPr>
                <w:rFonts w:ascii="Arial" w:eastAsia="Arial" w:hAnsi="Arial" w:cs="Arial"/>
                <w:sz w:val="18"/>
                <w:szCs w:val="18"/>
              </w:rPr>
              <w:t>4</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06"/>
              <w:jc w:val="center"/>
              <w:rPr>
                <w:rFonts w:ascii="Arial" w:eastAsia="Arial" w:hAnsi="Arial" w:cs="Arial"/>
                <w:sz w:val="18"/>
                <w:szCs w:val="18"/>
              </w:rPr>
            </w:pPr>
            <w:r>
              <w:rPr>
                <w:rFonts w:ascii="Arial" w:eastAsia="Arial" w:hAnsi="Arial" w:cs="Arial"/>
                <w:w w:val="105"/>
                <w:sz w:val="18"/>
                <w:szCs w:val="18"/>
              </w:rPr>
              <w:t>2%</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91" w:right="290"/>
              <w:jc w:val="center"/>
              <w:rPr>
                <w:rFonts w:ascii="Arial" w:eastAsia="Arial" w:hAnsi="Arial" w:cs="Arial"/>
                <w:sz w:val="18"/>
                <w:szCs w:val="18"/>
              </w:rPr>
            </w:pPr>
            <w:r>
              <w:rPr>
                <w:rFonts w:ascii="Arial" w:eastAsia="Arial" w:hAnsi="Arial" w:cs="Arial"/>
                <w:spacing w:val="1"/>
                <w:sz w:val="18"/>
                <w:szCs w:val="18"/>
              </w:rPr>
              <w:t>56</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12"/>
              <w:jc w:val="center"/>
              <w:rPr>
                <w:rFonts w:ascii="Arial" w:eastAsia="Arial" w:hAnsi="Arial" w:cs="Arial"/>
                <w:sz w:val="18"/>
                <w:szCs w:val="18"/>
              </w:rPr>
            </w:pPr>
            <w:r>
              <w:rPr>
                <w:rFonts w:ascii="Arial" w:eastAsia="Arial" w:hAnsi="Arial" w:cs="Arial"/>
                <w:spacing w:val="-7"/>
                <w:w w:val="105"/>
                <w:sz w:val="18"/>
                <w:szCs w:val="18"/>
              </w:rPr>
              <w:t>1%</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59" w:right="256"/>
              <w:jc w:val="center"/>
              <w:rPr>
                <w:rFonts w:ascii="Arial" w:eastAsia="Arial" w:hAnsi="Arial" w:cs="Arial"/>
                <w:sz w:val="18"/>
                <w:szCs w:val="18"/>
              </w:rPr>
            </w:pPr>
            <w:r>
              <w:rPr>
                <w:rFonts w:ascii="Arial" w:eastAsia="Arial" w:hAnsi="Arial" w:cs="Arial"/>
                <w:spacing w:val="2"/>
                <w:sz w:val="18"/>
                <w:szCs w:val="18"/>
              </w:rPr>
              <w:t>68</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05"/>
              <w:jc w:val="center"/>
              <w:rPr>
                <w:rFonts w:ascii="Arial" w:eastAsia="Arial" w:hAnsi="Arial" w:cs="Arial"/>
                <w:sz w:val="18"/>
                <w:szCs w:val="18"/>
              </w:rPr>
            </w:pPr>
            <w:r>
              <w:rPr>
                <w:rFonts w:ascii="Arial" w:eastAsia="Arial" w:hAnsi="Arial" w:cs="Arial"/>
                <w:spacing w:val="-7"/>
                <w:w w:val="105"/>
                <w:sz w:val="18"/>
                <w:szCs w:val="18"/>
              </w:rPr>
              <w:t>1%</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
              <w:jc w:val="center"/>
              <w:rPr>
                <w:rFonts w:ascii="Arial" w:eastAsia="Arial" w:hAnsi="Arial" w:cs="Arial"/>
                <w:sz w:val="18"/>
                <w:szCs w:val="18"/>
              </w:rPr>
            </w:pPr>
            <w:r>
              <w:rPr>
                <w:rFonts w:ascii="Arial" w:eastAsia="Arial" w:hAnsi="Arial" w:cs="Arial"/>
                <w:spacing w:val="2"/>
                <w:sz w:val="18"/>
                <w:szCs w:val="18"/>
              </w:rPr>
              <w:t>36</w:t>
            </w:r>
          </w:p>
        </w:tc>
        <w:tc>
          <w:tcPr>
            <w:tcW w:w="1057" w:type="dxa"/>
            <w:tcBorders>
              <w:top w:val="single" w:sz="4" w:space="0" w:color="797979"/>
              <w:left w:val="single" w:sz="2" w:space="0" w:color="000000"/>
              <w:bottom w:val="single" w:sz="4" w:space="0" w:color="797979"/>
              <w:right w:val="nil"/>
            </w:tcBorders>
            <w:vAlign w:val="center"/>
          </w:tcPr>
          <w:p w:rsidR="003C17D6" w:rsidRDefault="003C17D6" w:rsidP="00F94EBD">
            <w:pPr>
              <w:pStyle w:val="TableParagraph"/>
              <w:spacing w:before="47"/>
              <w:ind w:left="200"/>
              <w:jc w:val="center"/>
              <w:rPr>
                <w:rFonts w:ascii="Arial" w:eastAsia="Arial" w:hAnsi="Arial" w:cs="Arial"/>
                <w:sz w:val="18"/>
                <w:szCs w:val="18"/>
              </w:rPr>
            </w:pPr>
            <w:r>
              <w:rPr>
                <w:rFonts w:ascii="Arial" w:eastAsia="Arial" w:hAnsi="Arial" w:cs="Arial"/>
                <w:spacing w:val="-7"/>
                <w:w w:val="105"/>
                <w:sz w:val="18"/>
                <w:szCs w:val="18"/>
              </w:rPr>
              <w:t>1%</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44"/>
              <w:jc w:val="center"/>
              <w:rPr>
                <w:rFonts w:ascii="Arial" w:eastAsia="Arial" w:hAnsi="Arial" w:cs="Arial"/>
                <w:sz w:val="18"/>
                <w:szCs w:val="18"/>
              </w:rPr>
            </w:pPr>
            <w:r>
              <w:rPr>
                <w:rFonts w:ascii="Arial" w:eastAsia="Arial" w:hAnsi="Arial" w:cs="Arial"/>
                <w:spacing w:val="-8"/>
                <w:sz w:val="18"/>
                <w:szCs w:val="18"/>
              </w:rPr>
              <w:t>1</w:t>
            </w:r>
            <w:r>
              <w:rPr>
                <w:rFonts w:ascii="Arial" w:eastAsia="Arial" w:hAnsi="Arial" w:cs="Arial"/>
                <w:spacing w:val="4"/>
                <w:sz w:val="18"/>
                <w:szCs w:val="18"/>
              </w:rPr>
              <w:t>0</w:t>
            </w:r>
            <w:r>
              <w:rPr>
                <w:rFonts w:ascii="Arial" w:eastAsia="Arial" w:hAnsi="Arial" w:cs="Arial"/>
                <w:sz w:val="18"/>
                <w:szCs w:val="18"/>
              </w:rPr>
              <w:t>6</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jc w:val="center"/>
              <w:rPr>
                <w:rFonts w:ascii="Arial" w:eastAsia="Arial" w:hAnsi="Arial" w:cs="Arial"/>
                <w:sz w:val="18"/>
                <w:szCs w:val="18"/>
              </w:rPr>
            </w:pPr>
            <w:r>
              <w:rPr>
                <w:rFonts w:ascii="Arial" w:eastAsia="Arial" w:hAnsi="Arial" w:cs="Arial"/>
                <w:spacing w:val="-4"/>
                <w:sz w:val="18"/>
                <w:szCs w:val="18"/>
              </w:rPr>
              <w:t>57</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96"/>
              <w:jc w:val="center"/>
              <w:rPr>
                <w:rFonts w:ascii="Arial" w:eastAsia="Arial" w:hAnsi="Arial" w:cs="Arial"/>
                <w:sz w:val="18"/>
                <w:szCs w:val="18"/>
              </w:rPr>
            </w:pPr>
            <w:r>
              <w:rPr>
                <w:rFonts w:ascii="Arial" w:eastAsia="Arial" w:hAnsi="Arial" w:cs="Arial"/>
                <w:spacing w:val="2"/>
                <w:sz w:val="18"/>
                <w:szCs w:val="18"/>
              </w:rPr>
              <w:t>69</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left="198"/>
              <w:jc w:val="center"/>
              <w:rPr>
                <w:rFonts w:ascii="Arial" w:eastAsia="Arial" w:hAnsi="Arial" w:cs="Arial"/>
                <w:sz w:val="18"/>
                <w:szCs w:val="18"/>
              </w:rPr>
            </w:pPr>
            <w:r>
              <w:rPr>
                <w:rFonts w:ascii="Arial" w:eastAsia="Arial" w:hAnsi="Arial" w:cs="Arial"/>
                <w:spacing w:val="2"/>
                <w:sz w:val="18"/>
                <w:szCs w:val="18"/>
              </w:rPr>
              <w:t>3</w:t>
            </w:r>
            <w:r>
              <w:rPr>
                <w:rFonts w:ascii="Arial" w:eastAsia="Arial" w:hAnsi="Arial" w:cs="Arial"/>
                <w:sz w:val="18"/>
                <w:szCs w:val="18"/>
              </w:rPr>
              <w:t>8</w:t>
            </w:r>
          </w:p>
        </w:tc>
      </w:tr>
      <w:tr w:rsidR="003C17D6" w:rsidTr="00CB193F">
        <w:tc>
          <w:tcPr>
            <w:tcW w:w="1716" w:type="dxa"/>
            <w:tcBorders>
              <w:top w:val="single" w:sz="4" w:space="0" w:color="797979"/>
              <w:left w:val="nil"/>
              <w:bottom w:val="single" w:sz="4" w:space="0" w:color="797979"/>
              <w:right w:val="single" w:sz="2" w:space="0" w:color="000000"/>
            </w:tcBorders>
            <w:vAlign w:val="center"/>
          </w:tcPr>
          <w:p w:rsidR="003C17D6" w:rsidRDefault="003C17D6" w:rsidP="00CB193F">
            <w:pPr>
              <w:pStyle w:val="TableParagraph"/>
              <w:spacing w:before="47"/>
              <w:ind w:left="79"/>
              <w:rPr>
                <w:rFonts w:ascii="Arial" w:eastAsia="Arial" w:hAnsi="Arial" w:cs="Arial"/>
                <w:sz w:val="18"/>
                <w:szCs w:val="18"/>
              </w:rPr>
            </w:pPr>
            <w:r>
              <w:rPr>
                <w:rFonts w:ascii="Arial" w:eastAsia="Arial" w:hAnsi="Arial" w:cs="Arial"/>
                <w:spacing w:val="-13"/>
                <w:sz w:val="18"/>
                <w:szCs w:val="18"/>
              </w:rPr>
              <w:t>T</w:t>
            </w:r>
            <w:r>
              <w:rPr>
                <w:rFonts w:ascii="Arial" w:eastAsia="Arial" w:hAnsi="Arial" w:cs="Arial"/>
                <w:spacing w:val="2"/>
                <w:sz w:val="18"/>
                <w:szCs w:val="18"/>
              </w:rPr>
              <w:t>ra</w:t>
            </w:r>
            <w:r>
              <w:rPr>
                <w:rFonts w:ascii="Arial" w:eastAsia="Arial" w:hAnsi="Arial" w:cs="Arial"/>
                <w:spacing w:val="1"/>
                <w:sz w:val="18"/>
                <w:szCs w:val="18"/>
              </w:rPr>
              <w:t>nsp</w:t>
            </w:r>
            <w:r>
              <w:rPr>
                <w:rFonts w:ascii="Arial" w:eastAsia="Arial" w:hAnsi="Arial" w:cs="Arial"/>
                <w:sz w:val="18"/>
                <w:szCs w:val="18"/>
              </w:rPr>
              <w:t>o</w:t>
            </w:r>
            <w:r>
              <w:rPr>
                <w:rFonts w:ascii="Arial" w:eastAsia="Arial" w:hAnsi="Arial" w:cs="Arial"/>
                <w:spacing w:val="7"/>
                <w:sz w:val="18"/>
                <w:szCs w:val="18"/>
              </w:rPr>
              <w:t>r</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3"/>
                <w:sz w:val="18"/>
                <w:szCs w:val="18"/>
              </w:rPr>
              <w:t>P</w:t>
            </w:r>
            <w:r>
              <w:rPr>
                <w:rFonts w:ascii="Arial" w:eastAsia="Arial" w:hAnsi="Arial" w:cs="Arial"/>
                <w:sz w:val="18"/>
                <w:szCs w:val="18"/>
              </w:rPr>
              <w:t>o</w:t>
            </w:r>
            <w:r>
              <w:rPr>
                <w:rFonts w:ascii="Arial" w:eastAsia="Arial" w:hAnsi="Arial" w:cs="Arial"/>
                <w:spacing w:val="2"/>
                <w:sz w:val="18"/>
                <w:szCs w:val="18"/>
              </w:rPr>
              <w:t>s</w:t>
            </w:r>
            <w:r>
              <w:rPr>
                <w:rFonts w:ascii="Arial" w:eastAsia="Arial" w:hAnsi="Arial" w:cs="Arial"/>
                <w:spacing w:val="1"/>
                <w:sz w:val="18"/>
                <w:szCs w:val="18"/>
              </w:rPr>
              <w:t>t</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3"/>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2"/>
                <w:sz w:val="18"/>
                <w:szCs w:val="18"/>
              </w:rPr>
              <w:t>u</w:t>
            </w:r>
            <w:r>
              <w:rPr>
                <w:rFonts w:ascii="Arial" w:eastAsia="Arial" w:hAnsi="Arial" w:cs="Arial"/>
                <w:spacing w:val="1"/>
                <w:sz w:val="18"/>
                <w:szCs w:val="18"/>
              </w:rPr>
              <w:t>sin</w:t>
            </w:r>
            <w:r>
              <w:rPr>
                <w:rFonts w:ascii="Arial" w:eastAsia="Arial" w:hAnsi="Arial" w:cs="Arial"/>
                <w:sz w:val="18"/>
                <w:szCs w:val="18"/>
              </w:rPr>
              <w:t>g</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24"/>
              <w:jc w:val="center"/>
              <w:rPr>
                <w:rFonts w:ascii="Arial" w:eastAsia="Arial" w:hAnsi="Arial" w:cs="Arial"/>
                <w:sz w:val="18"/>
                <w:szCs w:val="18"/>
              </w:rPr>
            </w:pPr>
            <w:r>
              <w:rPr>
                <w:rFonts w:ascii="Arial" w:eastAsia="Arial" w:hAnsi="Arial" w:cs="Arial"/>
                <w:spacing w:val="-11"/>
                <w:sz w:val="18"/>
                <w:szCs w:val="18"/>
              </w:rPr>
              <w:t>4</w:t>
            </w:r>
            <w:r>
              <w:rPr>
                <w:rFonts w:ascii="Arial" w:eastAsia="Arial" w:hAnsi="Arial" w:cs="Arial"/>
                <w:spacing w:val="-8"/>
                <w:sz w:val="18"/>
                <w:szCs w:val="18"/>
              </w:rPr>
              <w:t>1</w:t>
            </w:r>
            <w:r>
              <w:rPr>
                <w:rFonts w:ascii="Arial" w:eastAsia="Arial" w:hAnsi="Arial" w:cs="Arial"/>
                <w:sz w:val="18"/>
                <w:szCs w:val="18"/>
              </w:rPr>
              <w:t>0</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05"/>
              <w:jc w:val="center"/>
              <w:rPr>
                <w:rFonts w:ascii="Arial" w:eastAsia="Arial" w:hAnsi="Arial" w:cs="Arial"/>
                <w:sz w:val="18"/>
                <w:szCs w:val="18"/>
              </w:rPr>
            </w:pPr>
            <w:r>
              <w:rPr>
                <w:rFonts w:ascii="Arial" w:eastAsia="Arial" w:hAnsi="Arial" w:cs="Arial"/>
                <w:spacing w:val="1"/>
                <w:w w:val="105"/>
                <w:sz w:val="18"/>
                <w:szCs w:val="18"/>
              </w:rPr>
              <w:t>8%</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88" w:right="289"/>
              <w:jc w:val="center"/>
              <w:rPr>
                <w:rFonts w:ascii="Arial" w:eastAsia="Arial" w:hAnsi="Arial" w:cs="Arial"/>
                <w:sz w:val="18"/>
                <w:szCs w:val="18"/>
              </w:rPr>
            </w:pPr>
            <w:r>
              <w:rPr>
                <w:rFonts w:ascii="Arial" w:eastAsia="Arial" w:hAnsi="Arial" w:cs="Arial"/>
                <w:spacing w:val="-1"/>
                <w:sz w:val="18"/>
                <w:szCs w:val="18"/>
              </w:rPr>
              <w:t>4</w:t>
            </w:r>
            <w:r>
              <w:rPr>
                <w:rFonts w:ascii="Arial" w:eastAsia="Arial" w:hAnsi="Arial" w:cs="Arial"/>
                <w:sz w:val="18"/>
                <w:szCs w:val="18"/>
              </w:rPr>
              <w:t>29</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07"/>
              <w:jc w:val="center"/>
              <w:rPr>
                <w:rFonts w:ascii="Arial" w:eastAsia="Arial" w:hAnsi="Arial" w:cs="Arial"/>
                <w:sz w:val="18"/>
                <w:szCs w:val="18"/>
              </w:rPr>
            </w:pPr>
            <w:r>
              <w:rPr>
                <w:rFonts w:ascii="Arial" w:eastAsia="Arial" w:hAnsi="Arial" w:cs="Arial"/>
                <w:spacing w:val="2"/>
                <w:w w:val="105"/>
                <w:sz w:val="18"/>
                <w:szCs w:val="18"/>
              </w:rPr>
              <w:t>9%</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28"/>
              <w:jc w:val="center"/>
              <w:rPr>
                <w:rFonts w:ascii="Arial" w:eastAsia="Arial" w:hAnsi="Arial" w:cs="Arial"/>
                <w:sz w:val="18"/>
                <w:szCs w:val="18"/>
              </w:rPr>
            </w:pPr>
            <w:r>
              <w:rPr>
                <w:rFonts w:ascii="Arial" w:eastAsia="Arial" w:hAnsi="Arial" w:cs="Arial"/>
                <w:spacing w:val="1"/>
                <w:sz w:val="18"/>
                <w:szCs w:val="18"/>
              </w:rPr>
              <w:t>356</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204"/>
              <w:jc w:val="center"/>
              <w:rPr>
                <w:rFonts w:ascii="Arial" w:eastAsia="Arial" w:hAnsi="Arial" w:cs="Arial"/>
                <w:sz w:val="18"/>
                <w:szCs w:val="18"/>
              </w:rPr>
            </w:pPr>
            <w:r>
              <w:rPr>
                <w:rFonts w:ascii="Arial" w:eastAsia="Arial" w:hAnsi="Arial" w:cs="Arial"/>
                <w:spacing w:val="-5"/>
                <w:w w:val="105"/>
                <w:sz w:val="18"/>
                <w:szCs w:val="18"/>
              </w:rPr>
              <w:t>7%</w:t>
            </w:r>
          </w:p>
        </w:tc>
        <w:tc>
          <w:tcPr>
            <w:tcW w:w="1057" w:type="dxa"/>
            <w:tcBorders>
              <w:top w:val="single" w:sz="4" w:space="0" w:color="797979"/>
              <w:left w:val="single" w:sz="2" w:space="0" w:color="000000"/>
              <w:bottom w:val="single" w:sz="4" w:space="0" w:color="797979"/>
              <w:right w:val="single" w:sz="2" w:space="0" w:color="000000"/>
            </w:tcBorders>
            <w:vAlign w:val="center"/>
          </w:tcPr>
          <w:p w:rsidR="003C17D6" w:rsidRDefault="003C17D6" w:rsidP="00F94EBD">
            <w:pPr>
              <w:pStyle w:val="TableParagraph"/>
              <w:spacing w:before="47"/>
              <w:ind w:left="166"/>
              <w:jc w:val="center"/>
              <w:rPr>
                <w:rFonts w:ascii="Arial" w:eastAsia="Arial" w:hAnsi="Arial" w:cs="Arial"/>
                <w:sz w:val="18"/>
                <w:szCs w:val="18"/>
              </w:rPr>
            </w:pPr>
            <w:r>
              <w:rPr>
                <w:rFonts w:ascii="Arial" w:eastAsia="Arial" w:hAnsi="Arial" w:cs="Arial"/>
                <w:spacing w:val="-1"/>
                <w:sz w:val="18"/>
                <w:szCs w:val="18"/>
              </w:rPr>
              <w:t>2</w:t>
            </w:r>
            <w:r>
              <w:rPr>
                <w:rFonts w:ascii="Arial" w:eastAsia="Arial" w:hAnsi="Arial" w:cs="Arial"/>
                <w:spacing w:val="4"/>
                <w:sz w:val="18"/>
                <w:szCs w:val="18"/>
              </w:rPr>
              <w:t>0</w:t>
            </w:r>
            <w:r>
              <w:rPr>
                <w:rFonts w:ascii="Arial" w:eastAsia="Arial" w:hAnsi="Arial" w:cs="Arial"/>
                <w:sz w:val="18"/>
                <w:szCs w:val="18"/>
              </w:rPr>
              <w:t>0</w:t>
            </w:r>
          </w:p>
        </w:tc>
        <w:tc>
          <w:tcPr>
            <w:tcW w:w="1057" w:type="dxa"/>
            <w:tcBorders>
              <w:top w:val="single" w:sz="4" w:space="0" w:color="797979"/>
              <w:left w:val="single" w:sz="2" w:space="0" w:color="000000"/>
              <w:bottom w:val="single" w:sz="4" w:space="0" w:color="797979"/>
              <w:right w:val="nil"/>
            </w:tcBorders>
            <w:vAlign w:val="center"/>
          </w:tcPr>
          <w:p w:rsidR="003C17D6" w:rsidRDefault="003C17D6" w:rsidP="00F94EBD">
            <w:pPr>
              <w:pStyle w:val="TableParagraph"/>
              <w:spacing w:before="47"/>
              <w:ind w:left="196"/>
              <w:jc w:val="center"/>
              <w:rPr>
                <w:rFonts w:ascii="Arial" w:eastAsia="Arial" w:hAnsi="Arial" w:cs="Arial"/>
                <w:sz w:val="18"/>
                <w:szCs w:val="18"/>
              </w:rPr>
            </w:pPr>
            <w:r>
              <w:rPr>
                <w:rFonts w:ascii="Arial" w:eastAsia="Arial" w:hAnsi="Arial" w:cs="Arial"/>
                <w:spacing w:val="1"/>
                <w:w w:val="105"/>
                <w:sz w:val="18"/>
                <w:szCs w:val="18"/>
              </w:rPr>
              <w:t>8%</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40"/>
              <w:jc w:val="center"/>
              <w:rPr>
                <w:rFonts w:ascii="Arial" w:eastAsia="Arial" w:hAnsi="Arial" w:cs="Arial"/>
                <w:sz w:val="18"/>
                <w:szCs w:val="18"/>
              </w:rPr>
            </w:pPr>
            <w:r>
              <w:rPr>
                <w:rFonts w:ascii="Arial" w:eastAsia="Arial" w:hAnsi="Arial" w:cs="Arial"/>
                <w:spacing w:val="2"/>
                <w:sz w:val="18"/>
                <w:szCs w:val="18"/>
              </w:rPr>
              <w:t>434</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left="147"/>
              <w:jc w:val="center"/>
              <w:rPr>
                <w:rFonts w:ascii="Arial" w:eastAsia="Arial" w:hAnsi="Arial" w:cs="Arial"/>
                <w:sz w:val="18"/>
                <w:szCs w:val="18"/>
              </w:rPr>
            </w:pPr>
            <w:r>
              <w:rPr>
                <w:rFonts w:ascii="Arial" w:eastAsia="Arial" w:hAnsi="Arial" w:cs="Arial"/>
                <w:spacing w:val="2"/>
                <w:sz w:val="18"/>
                <w:szCs w:val="18"/>
              </w:rPr>
              <w:t>4</w:t>
            </w:r>
            <w:r>
              <w:rPr>
                <w:rFonts w:ascii="Arial" w:eastAsia="Arial" w:hAnsi="Arial" w:cs="Arial"/>
                <w:spacing w:val="1"/>
                <w:sz w:val="18"/>
                <w:szCs w:val="18"/>
              </w:rPr>
              <w:t>45</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52"/>
              <w:ind w:left="150"/>
              <w:jc w:val="center"/>
              <w:rPr>
                <w:rFonts w:ascii="Arial" w:eastAsia="Arial" w:hAnsi="Arial" w:cs="Arial"/>
                <w:sz w:val="18"/>
                <w:szCs w:val="18"/>
              </w:rPr>
            </w:pPr>
            <w:r>
              <w:rPr>
                <w:rFonts w:ascii="Arial" w:eastAsia="Arial" w:hAnsi="Arial" w:cs="Arial"/>
                <w:spacing w:val="-4"/>
                <w:sz w:val="18"/>
                <w:szCs w:val="18"/>
              </w:rPr>
              <w:t>3</w:t>
            </w:r>
            <w:r>
              <w:rPr>
                <w:rFonts w:ascii="Arial" w:eastAsia="Arial" w:hAnsi="Arial" w:cs="Arial"/>
                <w:spacing w:val="-2"/>
                <w:sz w:val="18"/>
                <w:szCs w:val="18"/>
              </w:rPr>
              <w:t>7</w:t>
            </w:r>
            <w:r>
              <w:rPr>
                <w:rFonts w:ascii="Arial" w:eastAsia="Arial" w:hAnsi="Arial" w:cs="Arial"/>
                <w:sz w:val="18"/>
                <w:szCs w:val="18"/>
              </w:rPr>
              <w:t>3</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52"/>
              <w:ind w:left="148"/>
              <w:jc w:val="center"/>
              <w:rPr>
                <w:rFonts w:ascii="Arial" w:eastAsia="Arial" w:hAnsi="Arial" w:cs="Arial"/>
                <w:sz w:val="18"/>
                <w:szCs w:val="18"/>
              </w:rPr>
            </w:pPr>
            <w:r>
              <w:rPr>
                <w:rFonts w:ascii="Arial" w:eastAsia="Arial" w:hAnsi="Arial" w:cs="Arial"/>
                <w:spacing w:val="-1"/>
                <w:sz w:val="18"/>
                <w:szCs w:val="18"/>
              </w:rPr>
              <w:t>2</w:t>
            </w:r>
            <w:r>
              <w:rPr>
                <w:rFonts w:ascii="Arial" w:eastAsia="Arial" w:hAnsi="Arial" w:cs="Arial"/>
                <w:spacing w:val="4"/>
                <w:sz w:val="18"/>
                <w:szCs w:val="18"/>
              </w:rPr>
              <w:t>0</w:t>
            </w:r>
            <w:r>
              <w:rPr>
                <w:rFonts w:ascii="Arial" w:eastAsia="Arial" w:hAnsi="Arial" w:cs="Arial"/>
                <w:sz w:val="18"/>
                <w:szCs w:val="18"/>
              </w:rPr>
              <w:t>6</w:t>
            </w:r>
          </w:p>
        </w:tc>
      </w:tr>
      <w:tr w:rsidR="003C17D6" w:rsidTr="00CB193F">
        <w:tc>
          <w:tcPr>
            <w:tcW w:w="1716" w:type="dxa"/>
            <w:tcBorders>
              <w:top w:val="single" w:sz="4" w:space="0" w:color="797979"/>
              <w:left w:val="nil"/>
              <w:bottom w:val="nil"/>
              <w:right w:val="single" w:sz="2" w:space="0" w:color="000000"/>
            </w:tcBorders>
            <w:vAlign w:val="center"/>
          </w:tcPr>
          <w:p w:rsidR="003C17D6" w:rsidRDefault="003C17D6" w:rsidP="00CB193F">
            <w:pPr>
              <w:pStyle w:val="TableParagraph"/>
              <w:spacing w:before="61"/>
              <w:ind w:left="80"/>
              <w:rPr>
                <w:rFonts w:ascii="Arial" w:eastAsia="Arial" w:hAnsi="Arial" w:cs="Arial"/>
                <w:sz w:val="18"/>
                <w:szCs w:val="18"/>
              </w:rPr>
            </w:pPr>
            <w:r>
              <w:rPr>
                <w:rFonts w:ascii="Arial" w:eastAsia="Arial" w:hAnsi="Arial" w:cs="Arial"/>
                <w:spacing w:val="2"/>
                <w:sz w:val="18"/>
                <w:szCs w:val="18"/>
              </w:rPr>
              <w:t>W</w:t>
            </w:r>
            <w:r>
              <w:rPr>
                <w:rFonts w:ascii="Arial" w:eastAsia="Arial" w:hAnsi="Arial" w:cs="Arial"/>
                <w:spacing w:val="1"/>
                <w:sz w:val="18"/>
                <w:szCs w:val="18"/>
              </w:rPr>
              <w:t>hol</w:t>
            </w:r>
            <w:r>
              <w:rPr>
                <w:rFonts w:ascii="Arial" w:eastAsia="Arial" w:hAnsi="Arial" w:cs="Arial"/>
                <w:spacing w:val="2"/>
                <w:sz w:val="18"/>
                <w:szCs w:val="18"/>
              </w:rPr>
              <w:t>esa</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25"/>
                <w:sz w:val="18"/>
                <w:szCs w:val="18"/>
              </w:rPr>
              <w:t xml:space="preserve"> </w:t>
            </w:r>
            <w:r>
              <w:rPr>
                <w:rFonts w:ascii="Arial" w:eastAsia="Arial" w:hAnsi="Arial" w:cs="Arial"/>
                <w:spacing w:val="-13"/>
                <w:sz w:val="18"/>
                <w:szCs w:val="18"/>
              </w:rPr>
              <w:t>T</w:t>
            </w:r>
            <w:r>
              <w:rPr>
                <w:rFonts w:ascii="Arial" w:eastAsia="Arial" w:hAnsi="Arial" w:cs="Arial"/>
                <w:spacing w:val="2"/>
                <w:sz w:val="18"/>
                <w:szCs w:val="18"/>
              </w:rPr>
              <w:t>r</w:t>
            </w:r>
            <w:r>
              <w:rPr>
                <w:rFonts w:ascii="Arial" w:eastAsia="Arial" w:hAnsi="Arial" w:cs="Arial"/>
                <w:spacing w:val="1"/>
                <w:sz w:val="18"/>
                <w:szCs w:val="18"/>
              </w:rPr>
              <w:t>ade</w:t>
            </w:r>
          </w:p>
        </w:tc>
        <w:tc>
          <w:tcPr>
            <w:tcW w:w="1057" w:type="dxa"/>
            <w:tcBorders>
              <w:top w:val="single" w:sz="4" w:space="0" w:color="797979"/>
              <w:left w:val="single" w:sz="2" w:space="0" w:color="000000"/>
              <w:bottom w:val="nil"/>
              <w:right w:val="single" w:sz="2" w:space="0" w:color="000000"/>
            </w:tcBorders>
            <w:vAlign w:val="center"/>
          </w:tcPr>
          <w:p w:rsidR="003C17D6" w:rsidRDefault="003C17D6" w:rsidP="00F94EBD">
            <w:pPr>
              <w:pStyle w:val="TableParagraph"/>
              <w:spacing w:before="61"/>
              <w:ind w:left="218"/>
              <w:jc w:val="center"/>
              <w:rPr>
                <w:rFonts w:ascii="Arial" w:eastAsia="Arial" w:hAnsi="Arial" w:cs="Arial"/>
                <w:sz w:val="18"/>
                <w:szCs w:val="18"/>
              </w:rPr>
            </w:pPr>
            <w:r>
              <w:rPr>
                <w:rFonts w:ascii="Arial" w:eastAsia="Arial" w:hAnsi="Arial" w:cs="Arial"/>
                <w:spacing w:val="-8"/>
                <w:sz w:val="18"/>
                <w:szCs w:val="18"/>
              </w:rPr>
              <w:t>1</w:t>
            </w:r>
            <w:r>
              <w:rPr>
                <w:rFonts w:ascii="Arial" w:eastAsia="Arial" w:hAnsi="Arial" w:cs="Arial"/>
                <w:spacing w:val="3"/>
                <w:sz w:val="18"/>
                <w:szCs w:val="18"/>
              </w:rPr>
              <w:t>9</w:t>
            </w:r>
            <w:r>
              <w:rPr>
                <w:rFonts w:ascii="Arial" w:eastAsia="Arial" w:hAnsi="Arial" w:cs="Arial"/>
                <w:sz w:val="18"/>
                <w:szCs w:val="18"/>
              </w:rPr>
              <w:t>9</w:t>
            </w:r>
          </w:p>
        </w:tc>
        <w:tc>
          <w:tcPr>
            <w:tcW w:w="1057" w:type="dxa"/>
            <w:tcBorders>
              <w:top w:val="single" w:sz="4" w:space="0" w:color="797979"/>
              <w:left w:val="single" w:sz="2" w:space="0" w:color="000000"/>
              <w:bottom w:val="nil"/>
              <w:right w:val="single" w:sz="2" w:space="0" w:color="000000"/>
            </w:tcBorders>
            <w:vAlign w:val="center"/>
          </w:tcPr>
          <w:p w:rsidR="003C17D6" w:rsidRDefault="003C17D6" w:rsidP="00F94EBD">
            <w:pPr>
              <w:pStyle w:val="TableParagraph"/>
              <w:spacing w:before="61"/>
              <w:ind w:left="207"/>
              <w:jc w:val="center"/>
              <w:rPr>
                <w:rFonts w:ascii="Arial" w:eastAsia="Arial" w:hAnsi="Arial" w:cs="Arial"/>
                <w:sz w:val="18"/>
                <w:szCs w:val="18"/>
              </w:rPr>
            </w:pPr>
            <w:r>
              <w:rPr>
                <w:rFonts w:ascii="Arial" w:eastAsia="Arial" w:hAnsi="Arial" w:cs="Arial"/>
                <w:spacing w:val="-1"/>
                <w:w w:val="105"/>
                <w:sz w:val="18"/>
                <w:szCs w:val="18"/>
              </w:rPr>
              <w:t>4%</w:t>
            </w:r>
          </w:p>
        </w:tc>
        <w:tc>
          <w:tcPr>
            <w:tcW w:w="1057" w:type="dxa"/>
            <w:tcBorders>
              <w:top w:val="single" w:sz="4" w:space="0" w:color="797979"/>
              <w:left w:val="single" w:sz="2" w:space="0" w:color="000000"/>
              <w:bottom w:val="nil"/>
              <w:right w:val="single" w:sz="2" w:space="0" w:color="000000"/>
            </w:tcBorders>
            <w:vAlign w:val="center"/>
          </w:tcPr>
          <w:p w:rsidR="003C17D6" w:rsidRDefault="003C17D6" w:rsidP="00F94EBD">
            <w:pPr>
              <w:pStyle w:val="TableParagraph"/>
              <w:spacing w:before="61"/>
              <w:ind w:left="291" w:right="292"/>
              <w:jc w:val="center"/>
              <w:rPr>
                <w:rFonts w:ascii="Arial" w:eastAsia="Arial" w:hAnsi="Arial" w:cs="Arial"/>
                <w:sz w:val="18"/>
                <w:szCs w:val="18"/>
              </w:rPr>
            </w:pPr>
            <w:r>
              <w:rPr>
                <w:rFonts w:ascii="Arial" w:eastAsia="Arial" w:hAnsi="Arial" w:cs="Arial"/>
                <w:spacing w:val="-8"/>
                <w:sz w:val="18"/>
                <w:szCs w:val="18"/>
              </w:rPr>
              <w:t>1</w:t>
            </w:r>
            <w:r>
              <w:rPr>
                <w:rFonts w:ascii="Arial" w:eastAsia="Arial" w:hAnsi="Arial" w:cs="Arial"/>
                <w:spacing w:val="1"/>
                <w:sz w:val="18"/>
                <w:szCs w:val="18"/>
              </w:rPr>
              <w:t>9</w:t>
            </w:r>
            <w:r>
              <w:rPr>
                <w:rFonts w:ascii="Arial" w:eastAsia="Arial" w:hAnsi="Arial" w:cs="Arial"/>
                <w:sz w:val="18"/>
                <w:szCs w:val="18"/>
              </w:rPr>
              <w:t>2</w:t>
            </w:r>
          </w:p>
        </w:tc>
        <w:tc>
          <w:tcPr>
            <w:tcW w:w="1057" w:type="dxa"/>
            <w:tcBorders>
              <w:top w:val="single" w:sz="4" w:space="0" w:color="797979"/>
              <w:left w:val="single" w:sz="2" w:space="0" w:color="000000"/>
              <w:bottom w:val="nil"/>
              <w:right w:val="single" w:sz="2" w:space="0" w:color="000000"/>
            </w:tcBorders>
            <w:vAlign w:val="center"/>
          </w:tcPr>
          <w:p w:rsidR="003C17D6" w:rsidRDefault="003C17D6" w:rsidP="00F94EBD">
            <w:pPr>
              <w:pStyle w:val="TableParagraph"/>
              <w:spacing w:before="61"/>
              <w:ind w:left="209"/>
              <w:jc w:val="center"/>
              <w:rPr>
                <w:rFonts w:ascii="Arial" w:eastAsia="Arial" w:hAnsi="Arial" w:cs="Arial"/>
                <w:sz w:val="18"/>
                <w:szCs w:val="18"/>
              </w:rPr>
            </w:pPr>
            <w:r>
              <w:rPr>
                <w:rFonts w:ascii="Arial" w:eastAsia="Arial" w:hAnsi="Arial" w:cs="Arial"/>
                <w:spacing w:val="-1"/>
                <w:w w:val="105"/>
                <w:sz w:val="18"/>
                <w:szCs w:val="18"/>
              </w:rPr>
              <w:t>4%</w:t>
            </w:r>
          </w:p>
        </w:tc>
        <w:tc>
          <w:tcPr>
            <w:tcW w:w="1057" w:type="dxa"/>
            <w:tcBorders>
              <w:top w:val="single" w:sz="4" w:space="0" w:color="797979"/>
              <w:left w:val="single" w:sz="2" w:space="0" w:color="000000"/>
              <w:bottom w:val="nil"/>
              <w:right w:val="single" w:sz="2" w:space="0" w:color="000000"/>
            </w:tcBorders>
            <w:vAlign w:val="center"/>
          </w:tcPr>
          <w:p w:rsidR="003C17D6" w:rsidRDefault="003C17D6" w:rsidP="00F94EBD">
            <w:pPr>
              <w:pStyle w:val="TableParagraph"/>
              <w:spacing w:before="61"/>
              <w:ind w:left="234"/>
              <w:jc w:val="center"/>
              <w:rPr>
                <w:rFonts w:ascii="Arial" w:eastAsia="Arial" w:hAnsi="Arial" w:cs="Arial"/>
                <w:sz w:val="18"/>
                <w:szCs w:val="18"/>
              </w:rPr>
            </w:pPr>
            <w:r>
              <w:rPr>
                <w:rFonts w:ascii="Arial" w:eastAsia="Arial" w:hAnsi="Arial" w:cs="Arial"/>
                <w:spacing w:val="-9"/>
                <w:sz w:val="18"/>
                <w:szCs w:val="18"/>
              </w:rPr>
              <w:t>1</w:t>
            </w:r>
            <w:r>
              <w:rPr>
                <w:rFonts w:ascii="Arial" w:eastAsia="Arial" w:hAnsi="Arial" w:cs="Arial"/>
                <w:sz w:val="18"/>
                <w:szCs w:val="18"/>
              </w:rPr>
              <w:t>59</w:t>
            </w:r>
          </w:p>
        </w:tc>
        <w:tc>
          <w:tcPr>
            <w:tcW w:w="1057" w:type="dxa"/>
            <w:tcBorders>
              <w:top w:val="single" w:sz="4" w:space="0" w:color="797979"/>
              <w:left w:val="single" w:sz="2" w:space="0" w:color="000000"/>
              <w:bottom w:val="nil"/>
              <w:right w:val="single" w:sz="2" w:space="0" w:color="000000"/>
            </w:tcBorders>
            <w:vAlign w:val="center"/>
          </w:tcPr>
          <w:p w:rsidR="003C17D6" w:rsidRDefault="003C17D6" w:rsidP="00F94EBD">
            <w:pPr>
              <w:pStyle w:val="TableParagraph"/>
              <w:spacing w:before="61"/>
              <w:ind w:left="201"/>
              <w:jc w:val="center"/>
              <w:rPr>
                <w:rFonts w:ascii="Arial" w:eastAsia="Arial" w:hAnsi="Arial" w:cs="Arial"/>
                <w:sz w:val="18"/>
                <w:szCs w:val="18"/>
              </w:rPr>
            </w:pPr>
            <w:r>
              <w:rPr>
                <w:rFonts w:ascii="Arial" w:eastAsia="Arial" w:hAnsi="Arial" w:cs="Arial"/>
                <w:spacing w:val="1"/>
                <w:w w:val="105"/>
                <w:sz w:val="18"/>
                <w:szCs w:val="18"/>
              </w:rPr>
              <w:t>3%</w:t>
            </w:r>
          </w:p>
        </w:tc>
        <w:tc>
          <w:tcPr>
            <w:tcW w:w="1057" w:type="dxa"/>
            <w:tcBorders>
              <w:top w:val="single" w:sz="4" w:space="0" w:color="797979"/>
              <w:left w:val="single" w:sz="2" w:space="0" w:color="000000"/>
              <w:bottom w:val="nil"/>
              <w:right w:val="single" w:sz="2" w:space="0" w:color="000000"/>
            </w:tcBorders>
            <w:vAlign w:val="center"/>
          </w:tcPr>
          <w:p w:rsidR="003C17D6" w:rsidRDefault="003C17D6" w:rsidP="00F94EBD">
            <w:pPr>
              <w:pStyle w:val="TableParagraph"/>
              <w:spacing w:before="61"/>
              <w:ind w:left="175"/>
              <w:jc w:val="center"/>
              <w:rPr>
                <w:rFonts w:ascii="Arial" w:eastAsia="Arial" w:hAnsi="Arial" w:cs="Arial"/>
                <w:sz w:val="18"/>
                <w:szCs w:val="18"/>
              </w:rPr>
            </w:pPr>
            <w:r>
              <w:rPr>
                <w:rFonts w:ascii="Arial" w:eastAsia="Arial" w:hAnsi="Arial" w:cs="Arial"/>
                <w:spacing w:val="-9"/>
                <w:sz w:val="18"/>
                <w:szCs w:val="18"/>
              </w:rPr>
              <w:t>1</w:t>
            </w:r>
            <w:r>
              <w:rPr>
                <w:rFonts w:ascii="Arial" w:eastAsia="Arial" w:hAnsi="Arial" w:cs="Arial"/>
                <w:spacing w:val="-6"/>
                <w:sz w:val="18"/>
                <w:szCs w:val="18"/>
              </w:rPr>
              <w:t>2</w:t>
            </w:r>
            <w:r>
              <w:rPr>
                <w:rFonts w:ascii="Arial" w:eastAsia="Arial" w:hAnsi="Arial" w:cs="Arial"/>
                <w:sz w:val="18"/>
                <w:szCs w:val="18"/>
              </w:rPr>
              <w:t>4</w:t>
            </w:r>
          </w:p>
        </w:tc>
        <w:tc>
          <w:tcPr>
            <w:tcW w:w="1057" w:type="dxa"/>
            <w:tcBorders>
              <w:top w:val="single" w:sz="4" w:space="0" w:color="797979"/>
              <w:left w:val="single" w:sz="2" w:space="0" w:color="000000"/>
              <w:bottom w:val="nil"/>
              <w:right w:val="nil"/>
            </w:tcBorders>
            <w:vAlign w:val="center"/>
          </w:tcPr>
          <w:p w:rsidR="003C17D6" w:rsidRDefault="003C17D6" w:rsidP="00F94EBD">
            <w:pPr>
              <w:pStyle w:val="TableParagraph"/>
              <w:spacing w:before="61"/>
              <w:ind w:left="197"/>
              <w:jc w:val="center"/>
              <w:rPr>
                <w:rFonts w:ascii="Arial" w:eastAsia="Arial" w:hAnsi="Arial" w:cs="Arial"/>
                <w:sz w:val="18"/>
                <w:szCs w:val="18"/>
              </w:rPr>
            </w:pPr>
            <w:r>
              <w:rPr>
                <w:rFonts w:ascii="Arial" w:eastAsia="Arial" w:hAnsi="Arial" w:cs="Arial"/>
                <w:spacing w:val="-2"/>
                <w:w w:val="105"/>
                <w:sz w:val="18"/>
                <w:szCs w:val="18"/>
              </w:rPr>
              <w:t>5</w:t>
            </w:r>
            <w:r>
              <w:rPr>
                <w:rFonts w:ascii="Arial" w:eastAsia="Arial" w:hAnsi="Arial" w:cs="Arial"/>
                <w:w w:val="105"/>
                <w:sz w:val="18"/>
                <w:szCs w:val="18"/>
              </w:rPr>
              <w:t>%</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66"/>
              <w:ind w:left="141"/>
              <w:jc w:val="center"/>
              <w:rPr>
                <w:rFonts w:ascii="Arial" w:eastAsia="Arial" w:hAnsi="Arial" w:cs="Arial"/>
                <w:sz w:val="18"/>
                <w:szCs w:val="18"/>
              </w:rPr>
            </w:pPr>
            <w:r>
              <w:rPr>
                <w:rFonts w:ascii="Arial" w:eastAsia="Arial" w:hAnsi="Arial" w:cs="Arial"/>
                <w:spacing w:val="-1"/>
                <w:sz w:val="18"/>
                <w:szCs w:val="18"/>
              </w:rPr>
              <w:t>2</w:t>
            </w:r>
            <w:r>
              <w:rPr>
                <w:rFonts w:ascii="Arial" w:eastAsia="Arial" w:hAnsi="Arial" w:cs="Arial"/>
                <w:spacing w:val="2"/>
                <w:sz w:val="18"/>
                <w:szCs w:val="18"/>
              </w:rPr>
              <w:t>0</w:t>
            </w:r>
            <w:r>
              <w:rPr>
                <w:rFonts w:ascii="Arial" w:eastAsia="Arial" w:hAnsi="Arial" w:cs="Arial"/>
                <w:sz w:val="18"/>
                <w:szCs w:val="18"/>
              </w:rPr>
              <w:t>5</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66"/>
              <w:ind w:left="152"/>
              <w:jc w:val="center"/>
              <w:rPr>
                <w:rFonts w:ascii="Arial" w:eastAsia="Arial" w:hAnsi="Arial" w:cs="Arial"/>
                <w:sz w:val="18"/>
                <w:szCs w:val="18"/>
              </w:rPr>
            </w:pPr>
            <w:r>
              <w:rPr>
                <w:rFonts w:ascii="Arial" w:eastAsia="Arial" w:hAnsi="Arial" w:cs="Arial"/>
                <w:spacing w:val="-8"/>
                <w:sz w:val="18"/>
                <w:szCs w:val="18"/>
              </w:rPr>
              <w:t>1</w:t>
            </w:r>
            <w:r>
              <w:rPr>
                <w:rFonts w:ascii="Arial" w:eastAsia="Arial" w:hAnsi="Arial" w:cs="Arial"/>
                <w:spacing w:val="1"/>
                <w:sz w:val="18"/>
                <w:szCs w:val="18"/>
              </w:rPr>
              <w:t>9</w:t>
            </w:r>
            <w:r>
              <w:rPr>
                <w:rFonts w:ascii="Arial" w:eastAsia="Arial" w:hAnsi="Arial" w:cs="Arial"/>
                <w:sz w:val="18"/>
                <w:szCs w:val="18"/>
              </w:rPr>
              <w:t>4</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66"/>
              <w:ind w:left="151"/>
              <w:jc w:val="center"/>
              <w:rPr>
                <w:rFonts w:ascii="Arial" w:eastAsia="Arial" w:hAnsi="Arial" w:cs="Arial"/>
                <w:sz w:val="18"/>
                <w:szCs w:val="18"/>
              </w:rPr>
            </w:pPr>
            <w:r>
              <w:rPr>
                <w:rFonts w:ascii="Arial" w:eastAsia="Arial" w:hAnsi="Arial" w:cs="Arial"/>
                <w:spacing w:val="-9"/>
                <w:sz w:val="18"/>
                <w:szCs w:val="18"/>
              </w:rPr>
              <w:t>1</w:t>
            </w:r>
            <w:r>
              <w:rPr>
                <w:rFonts w:ascii="Arial" w:eastAsia="Arial" w:hAnsi="Arial" w:cs="Arial"/>
                <w:sz w:val="18"/>
                <w:szCs w:val="18"/>
              </w:rPr>
              <w:t>59</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66"/>
              <w:ind w:left="156"/>
              <w:jc w:val="center"/>
              <w:rPr>
                <w:rFonts w:ascii="Arial" w:eastAsia="Arial" w:hAnsi="Arial" w:cs="Arial"/>
                <w:sz w:val="18"/>
                <w:szCs w:val="18"/>
              </w:rPr>
            </w:pPr>
            <w:r>
              <w:rPr>
                <w:rFonts w:ascii="Arial" w:eastAsia="Arial" w:hAnsi="Arial" w:cs="Arial"/>
                <w:spacing w:val="-9"/>
                <w:sz w:val="18"/>
                <w:szCs w:val="18"/>
              </w:rPr>
              <w:t>1</w:t>
            </w:r>
            <w:r>
              <w:rPr>
                <w:rFonts w:ascii="Arial" w:eastAsia="Arial" w:hAnsi="Arial" w:cs="Arial"/>
                <w:spacing w:val="-6"/>
                <w:sz w:val="18"/>
                <w:szCs w:val="18"/>
              </w:rPr>
              <w:t>2</w:t>
            </w:r>
            <w:r>
              <w:rPr>
                <w:rFonts w:ascii="Arial" w:eastAsia="Arial" w:hAnsi="Arial" w:cs="Arial"/>
                <w:sz w:val="18"/>
                <w:szCs w:val="18"/>
              </w:rPr>
              <w:t>4</w:t>
            </w:r>
          </w:p>
        </w:tc>
      </w:tr>
      <w:tr w:rsidR="003C17D6" w:rsidTr="00CB193F">
        <w:tc>
          <w:tcPr>
            <w:tcW w:w="1716" w:type="dxa"/>
            <w:tcBorders>
              <w:top w:val="nil"/>
              <w:left w:val="nil"/>
              <w:bottom w:val="nil"/>
              <w:right w:val="nil"/>
            </w:tcBorders>
            <w:shd w:val="clear" w:color="auto" w:fill="C3D9DC"/>
            <w:vAlign w:val="center"/>
          </w:tcPr>
          <w:p w:rsidR="003C17D6" w:rsidRDefault="003C17D6" w:rsidP="00CB193F">
            <w:pPr>
              <w:pStyle w:val="TableParagraph"/>
              <w:spacing w:before="66"/>
              <w:ind w:left="79"/>
              <w:rPr>
                <w:rFonts w:ascii="Arial" w:eastAsia="Arial" w:hAnsi="Arial" w:cs="Arial"/>
                <w:sz w:val="18"/>
                <w:szCs w:val="18"/>
              </w:rPr>
            </w:pPr>
            <w:r>
              <w:rPr>
                <w:rFonts w:ascii="Arial" w:eastAsia="Arial" w:hAnsi="Arial" w:cs="Arial"/>
                <w:b/>
                <w:bCs/>
                <w:spacing w:val="4"/>
                <w:sz w:val="18"/>
                <w:szCs w:val="18"/>
              </w:rPr>
              <w:t>Gr</w:t>
            </w:r>
            <w:r>
              <w:rPr>
                <w:rFonts w:ascii="Arial" w:eastAsia="Arial" w:hAnsi="Arial" w:cs="Arial"/>
                <w:b/>
                <w:bCs/>
                <w:spacing w:val="2"/>
                <w:sz w:val="18"/>
                <w:szCs w:val="18"/>
              </w:rPr>
              <w:t>a</w:t>
            </w:r>
            <w:r>
              <w:rPr>
                <w:rFonts w:ascii="Arial" w:eastAsia="Arial" w:hAnsi="Arial" w:cs="Arial"/>
                <w:b/>
                <w:bCs/>
                <w:spacing w:val="3"/>
                <w:sz w:val="18"/>
                <w:szCs w:val="18"/>
              </w:rPr>
              <w:t>n</w:t>
            </w:r>
            <w:r>
              <w:rPr>
                <w:rFonts w:ascii="Arial" w:eastAsia="Arial" w:hAnsi="Arial" w:cs="Arial"/>
                <w:b/>
                <w:bCs/>
                <w:sz w:val="18"/>
                <w:szCs w:val="18"/>
              </w:rPr>
              <w:t xml:space="preserve">d </w:t>
            </w:r>
            <w:r>
              <w:rPr>
                <w:rFonts w:ascii="Arial" w:eastAsia="Arial" w:hAnsi="Arial" w:cs="Arial"/>
                <w:b/>
                <w:bCs/>
                <w:spacing w:val="-12"/>
                <w:sz w:val="18"/>
                <w:szCs w:val="18"/>
              </w:rPr>
              <w:t>T</w:t>
            </w:r>
            <w:r>
              <w:rPr>
                <w:rFonts w:ascii="Arial" w:eastAsia="Arial" w:hAnsi="Arial" w:cs="Arial"/>
                <w:b/>
                <w:bCs/>
                <w:spacing w:val="1"/>
                <w:sz w:val="18"/>
                <w:szCs w:val="18"/>
              </w:rPr>
              <w:t>o</w:t>
            </w:r>
            <w:r>
              <w:rPr>
                <w:rFonts w:ascii="Arial" w:eastAsia="Arial" w:hAnsi="Arial" w:cs="Arial"/>
                <w:b/>
                <w:bCs/>
                <w:spacing w:val="3"/>
                <w:sz w:val="18"/>
                <w:szCs w:val="18"/>
              </w:rPr>
              <w:t>t</w:t>
            </w:r>
            <w:r>
              <w:rPr>
                <w:rFonts w:ascii="Arial" w:eastAsia="Arial" w:hAnsi="Arial" w:cs="Arial"/>
                <w:b/>
                <w:bCs/>
                <w:spacing w:val="2"/>
                <w:sz w:val="18"/>
                <w:szCs w:val="18"/>
              </w:rPr>
              <w:t>a</w:t>
            </w:r>
            <w:r>
              <w:rPr>
                <w:rFonts w:ascii="Arial" w:eastAsia="Arial" w:hAnsi="Arial" w:cs="Arial"/>
                <w:b/>
                <w:bCs/>
                <w:sz w:val="18"/>
                <w:szCs w:val="18"/>
              </w:rPr>
              <w:t>l</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66"/>
              <w:ind w:left="163"/>
              <w:jc w:val="center"/>
              <w:rPr>
                <w:rFonts w:ascii="Arial" w:eastAsia="Arial" w:hAnsi="Arial" w:cs="Arial"/>
                <w:sz w:val="18"/>
                <w:szCs w:val="18"/>
              </w:rPr>
            </w:pPr>
            <w:r>
              <w:rPr>
                <w:rFonts w:ascii="Arial" w:eastAsia="Arial" w:hAnsi="Arial" w:cs="Arial"/>
                <w:sz w:val="18"/>
                <w:szCs w:val="18"/>
              </w:rPr>
              <w:t>5</w:t>
            </w:r>
            <w:r>
              <w:rPr>
                <w:rFonts w:ascii="Arial" w:eastAsia="Arial" w:hAnsi="Arial" w:cs="Arial"/>
                <w:spacing w:val="4"/>
                <w:sz w:val="18"/>
                <w:szCs w:val="18"/>
              </w:rPr>
              <w:t>00</w:t>
            </w:r>
            <w:r>
              <w:rPr>
                <w:rFonts w:ascii="Arial" w:eastAsia="Arial" w:hAnsi="Arial" w:cs="Arial"/>
                <w:sz w:val="18"/>
                <w:szCs w:val="18"/>
              </w:rPr>
              <w:t>6</w:t>
            </w:r>
          </w:p>
        </w:tc>
        <w:tc>
          <w:tcPr>
            <w:tcW w:w="1057" w:type="dxa"/>
            <w:tcBorders>
              <w:top w:val="nil"/>
              <w:left w:val="single" w:sz="2" w:space="0" w:color="FFFFFF"/>
              <w:bottom w:val="nil"/>
              <w:right w:val="single" w:sz="2" w:space="0" w:color="FFFFFF"/>
            </w:tcBorders>
            <w:shd w:val="clear" w:color="auto" w:fill="C3D9DC"/>
            <w:vAlign w:val="center"/>
          </w:tcPr>
          <w:p w:rsidR="003C17D6" w:rsidRDefault="003C17D6" w:rsidP="00F94EBD">
            <w:pPr>
              <w:pStyle w:val="TableParagraph"/>
              <w:spacing w:before="66"/>
              <w:ind w:left="106"/>
              <w:jc w:val="center"/>
              <w:rPr>
                <w:rFonts w:ascii="Arial" w:eastAsia="Arial" w:hAnsi="Arial" w:cs="Arial"/>
                <w:sz w:val="18"/>
                <w:szCs w:val="18"/>
              </w:rPr>
            </w:pPr>
            <w:r>
              <w:rPr>
                <w:rFonts w:ascii="Arial" w:eastAsia="Arial" w:hAnsi="Arial" w:cs="Arial"/>
                <w:spacing w:val="-9"/>
                <w:w w:val="105"/>
                <w:sz w:val="18"/>
                <w:szCs w:val="18"/>
              </w:rPr>
              <w:t>1</w:t>
            </w:r>
            <w:r>
              <w:rPr>
                <w:rFonts w:ascii="Arial" w:eastAsia="Arial" w:hAnsi="Arial" w:cs="Arial"/>
                <w:spacing w:val="4"/>
                <w:w w:val="105"/>
                <w:sz w:val="18"/>
                <w:szCs w:val="18"/>
              </w:rPr>
              <w:t>00</w:t>
            </w:r>
            <w:r>
              <w:rPr>
                <w:rFonts w:ascii="Arial" w:eastAsia="Arial" w:hAnsi="Arial" w:cs="Arial"/>
                <w:w w:val="105"/>
                <w:sz w:val="18"/>
                <w:szCs w:val="18"/>
              </w:rPr>
              <w:t>%</w:t>
            </w:r>
          </w:p>
        </w:tc>
        <w:tc>
          <w:tcPr>
            <w:tcW w:w="1057" w:type="dxa"/>
            <w:tcBorders>
              <w:top w:val="nil"/>
              <w:left w:val="single" w:sz="2" w:space="0" w:color="FFFFFF"/>
              <w:bottom w:val="nil"/>
              <w:right w:val="single" w:sz="2" w:space="0" w:color="FFFFFF"/>
            </w:tcBorders>
            <w:shd w:val="clear" w:color="auto" w:fill="C3D9DC"/>
            <w:vAlign w:val="center"/>
          </w:tcPr>
          <w:p w:rsidR="003C17D6" w:rsidRDefault="003C17D6" w:rsidP="00F94EBD">
            <w:pPr>
              <w:pStyle w:val="TableParagraph"/>
              <w:spacing w:before="66"/>
              <w:ind w:left="255"/>
              <w:jc w:val="center"/>
              <w:rPr>
                <w:rFonts w:ascii="Arial" w:eastAsia="Arial" w:hAnsi="Arial" w:cs="Arial"/>
                <w:sz w:val="18"/>
                <w:szCs w:val="18"/>
              </w:rPr>
            </w:pPr>
            <w:r>
              <w:rPr>
                <w:rFonts w:ascii="Arial" w:eastAsia="Arial" w:hAnsi="Arial" w:cs="Arial"/>
                <w:sz w:val="18"/>
                <w:szCs w:val="18"/>
              </w:rPr>
              <w:t>4</w:t>
            </w:r>
            <w:r>
              <w:rPr>
                <w:rFonts w:ascii="Arial" w:eastAsia="Arial" w:hAnsi="Arial" w:cs="Arial"/>
                <w:spacing w:val="2"/>
                <w:sz w:val="18"/>
                <w:szCs w:val="18"/>
              </w:rPr>
              <w:t>93</w:t>
            </w:r>
            <w:r>
              <w:rPr>
                <w:rFonts w:ascii="Arial" w:eastAsia="Arial" w:hAnsi="Arial" w:cs="Arial"/>
                <w:sz w:val="18"/>
                <w:szCs w:val="18"/>
              </w:rPr>
              <w:t>9</w:t>
            </w:r>
          </w:p>
        </w:tc>
        <w:tc>
          <w:tcPr>
            <w:tcW w:w="1057" w:type="dxa"/>
            <w:tcBorders>
              <w:top w:val="nil"/>
              <w:left w:val="single" w:sz="2" w:space="0" w:color="FFFFFF"/>
              <w:bottom w:val="nil"/>
              <w:right w:val="single" w:sz="2" w:space="0" w:color="FFFFFF"/>
            </w:tcBorders>
            <w:shd w:val="clear" w:color="auto" w:fill="C3D9DC"/>
            <w:vAlign w:val="center"/>
          </w:tcPr>
          <w:p w:rsidR="003C17D6" w:rsidRDefault="003C17D6" w:rsidP="00F94EBD">
            <w:pPr>
              <w:pStyle w:val="TableParagraph"/>
              <w:spacing w:before="66"/>
              <w:ind w:left="108"/>
              <w:jc w:val="center"/>
              <w:rPr>
                <w:rFonts w:ascii="Arial" w:eastAsia="Arial" w:hAnsi="Arial" w:cs="Arial"/>
                <w:sz w:val="18"/>
                <w:szCs w:val="18"/>
              </w:rPr>
            </w:pPr>
            <w:r>
              <w:rPr>
                <w:rFonts w:ascii="Arial" w:eastAsia="Arial" w:hAnsi="Arial" w:cs="Arial"/>
                <w:spacing w:val="-9"/>
                <w:w w:val="105"/>
                <w:sz w:val="18"/>
                <w:szCs w:val="18"/>
              </w:rPr>
              <w:t>1</w:t>
            </w:r>
            <w:r>
              <w:rPr>
                <w:rFonts w:ascii="Arial" w:eastAsia="Arial" w:hAnsi="Arial" w:cs="Arial"/>
                <w:spacing w:val="4"/>
                <w:w w:val="105"/>
                <w:sz w:val="18"/>
                <w:szCs w:val="18"/>
              </w:rPr>
              <w:t>00</w:t>
            </w:r>
            <w:r>
              <w:rPr>
                <w:rFonts w:ascii="Arial" w:eastAsia="Arial" w:hAnsi="Arial" w:cs="Arial"/>
                <w:w w:val="105"/>
                <w:sz w:val="18"/>
                <w:szCs w:val="18"/>
              </w:rPr>
              <w:t>%</w:t>
            </w:r>
          </w:p>
        </w:tc>
        <w:tc>
          <w:tcPr>
            <w:tcW w:w="1057" w:type="dxa"/>
            <w:tcBorders>
              <w:top w:val="nil"/>
              <w:left w:val="single" w:sz="2" w:space="0" w:color="FFFFFF"/>
              <w:bottom w:val="nil"/>
              <w:right w:val="single" w:sz="2" w:space="0" w:color="FFFFFF"/>
            </w:tcBorders>
            <w:shd w:val="clear" w:color="auto" w:fill="C3D9DC"/>
            <w:vAlign w:val="center"/>
          </w:tcPr>
          <w:p w:rsidR="003C17D6" w:rsidRDefault="003C17D6" w:rsidP="00F94EBD">
            <w:pPr>
              <w:pStyle w:val="TableParagraph"/>
              <w:spacing w:before="66"/>
              <w:ind w:left="182"/>
              <w:jc w:val="center"/>
              <w:rPr>
                <w:rFonts w:ascii="Arial" w:eastAsia="Arial" w:hAnsi="Arial" w:cs="Arial"/>
                <w:sz w:val="18"/>
                <w:szCs w:val="18"/>
              </w:rPr>
            </w:pPr>
            <w:r>
              <w:rPr>
                <w:rFonts w:ascii="Arial" w:eastAsia="Arial" w:hAnsi="Arial" w:cs="Arial"/>
                <w:sz w:val="18"/>
                <w:szCs w:val="18"/>
              </w:rPr>
              <w:t>4</w:t>
            </w:r>
            <w:r>
              <w:rPr>
                <w:rFonts w:ascii="Arial" w:eastAsia="Arial" w:hAnsi="Arial" w:cs="Arial"/>
                <w:spacing w:val="1"/>
                <w:sz w:val="18"/>
                <w:szCs w:val="18"/>
              </w:rPr>
              <w:t>9</w:t>
            </w:r>
            <w:r>
              <w:rPr>
                <w:rFonts w:ascii="Arial" w:eastAsia="Arial" w:hAnsi="Arial" w:cs="Arial"/>
                <w:spacing w:val="-8"/>
                <w:sz w:val="18"/>
                <w:szCs w:val="18"/>
              </w:rPr>
              <w:t>47</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66"/>
              <w:ind w:left="101"/>
              <w:jc w:val="center"/>
              <w:rPr>
                <w:rFonts w:ascii="Arial" w:eastAsia="Arial" w:hAnsi="Arial" w:cs="Arial"/>
                <w:sz w:val="18"/>
                <w:szCs w:val="18"/>
              </w:rPr>
            </w:pPr>
            <w:r>
              <w:rPr>
                <w:rFonts w:ascii="Arial" w:eastAsia="Arial" w:hAnsi="Arial" w:cs="Arial"/>
                <w:spacing w:val="-9"/>
                <w:w w:val="105"/>
                <w:sz w:val="18"/>
                <w:szCs w:val="18"/>
              </w:rPr>
              <w:t>1</w:t>
            </w:r>
            <w:r>
              <w:rPr>
                <w:rFonts w:ascii="Arial" w:eastAsia="Arial" w:hAnsi="Arial" w:cs="Arial"/>
                <w:spacing w:val="4"/>
                <w:w w:val="105"/>
                <w:sz w:val="18"/>
                <w:szCs w:val="18"/>
              </w:rPr>
              <w:t>00</w:t>
            </w:r>
            <w:r>
              <w:rPr>
                <w:rFonts w:ascii="Arial" w:eastAsia="Arial" w:hAnsi="Arial" w:cs="Arial"/>
                <w:w w:val="105"/>
                <w:sz w:val="18"/>
                <w:szCs w:val="18"/>
              </w:rPr>
              <w:t>%</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66"/>
              <w:ind w:left="122"/>
              <w:jc w:val="center"/>
              <w:rPr>
                <w:rFonts w:ascii="Arial" w:eastAsia="Arial" w:hAnsi="Arial" w:cs="Arial"/>
                <w:sz w:val="18"/>
                <w:szCs w:val="18"/>
              </w:rPr>
            </w:pPr>
            <w:r>
              <w:rPr>
                <w:rFonts w:ascii="Arial" w:eastAsia="Arial" w:hAnsi="Arial" w:cs="Arial"/>
                <w:spacing w:val="-3"/>
                <w:sz w:val="18"/>
                <w:szCs w:val="18"/>
              </w:rPr>
              <w:t>2</w:t>
            </w:r>
            <w:r>
              <w:rPr>
                <w:rFonts w:ascii="Arial" w:eastAsia="Arial" w:hAnsi="Arial" w:cs="Arial"/>
                <w:spacing w:val="1"/>
                <w:sz w:val="18"/>
                <w:szCs w:val="18"/>
              </w:rPr>
              <w:t>5</w:t>
            </w:r>
            <w:r>
              <w:rPr>
                <w:rFonts w:ascii="Arial" w:eastAsia="Arial" w:hAnsi="Arial" w:cs="Arial"/>
                <w:spacing w:val="-3"/>
                <w:sz w:val="18"/>
                <w:szCs w:val="18"/>
              </w:rPr>
              <w:t>67</w:t>
            </w:r>
          </w:p>
        </w:tc>
        <w:tc>
          <w:tcPr>
            <w:tcW w:w="1057" w:type="dxa"/>
            <w:tcBorders>
              <w:top w:val="nil"/>
              <w:left w:val="single" w:sz="2" w:space="0" w:color="FFFFFF"/>
              <w:bottom w:val="nil"/>
              <w:right w:val="single" w:sz="2" w:space="0" w:color="FFFFFF"/>
            </w:tcBorders>
            <w:shd w:val="clear" w:color="auto" w:fill="C3D9DC"/>
            <w:vAlign w:val="center"/>
          </w:tcPr>
          <w:p w:rsidR="003C17D6" w:rsidRDefault="003C17D6" w:rsidP="00F94EBD">
            <w:pPr>
              <w:pStyle w:val="TableParagraph"/>
              <w:spacing w:before="66"/>
              <w:ind w:left="96"/>
              <w:jc w:val="center"/>
              <w:rPr>
                <w:rFonts w:ascii="Arial" w:eastAsia="Arial" w:hAnsi="Arial" w:cs="Arial"/>
                <w:sz w:val="18"/>
                <w:szCs w:val="18"/>
              </w:rPr>
            </w:pPr>
            <w:r>
              <w:rPr>
                <w:rFonts w:ascii="Arial" w:eastAsia="Arial" w:hAnsi="Arial" w:cs="Arial"/>
                <w:spacing w:val="-9"/>
                <w:w w:val="105"/>
                <w:sz w:val="18"/>
                <w:szCs w:val="18"/>
              </w:rPr>
              <w:t>1</w:t>
            </w:r>
            <w:r>
              <w:rPr>
                <w:rFonts w:ascii="Arial" w:eastAsia="Arial" w:hAnsi="Arial" w:cs="Arial"/>
                <w:spacing w:val="4"/>
                <w:w w:val="105"/>
                <w:sz w:val="18"/>
                <w:szCs w:val="18"/>
              </w:rPr>
              <w:t>00</w:t>
            </w:r>
            <w:r>
              <w:rPr>
                <w:rFonts w:ascii="Arial" w:eastAsia="Arial" w:hAnsi="Arial" w:cs="Arial"/>
                <w:w w:val="105"/>
                <w:sz w:val="18"/>
                <w:szCs w:val="18"/>
              </w:rPr>
              <w:t>%</w:t>
            </w:r>
          </w:p>
        </w:tc>
        <w:tc>
          <w:tcPr>
            <w:tcW w:w="1057" w:type="dxa"/>
            <w:tcBorders>
              <w:top w:val="nil"/>
              <w:left w:val="single" w:sz="2" w:space="0" w:color="FFFFFF"/>
              <w:bottom w:val="nil"/>
              <w:right w:val="single" w:sz="2" w:space="0" w:color="FFFFFF"/>
            </w:tcBorders>
            <w:shd w:val="clear" w:color="auto" w:fill="C3D9DC"/>
            <w:vAlign w:val="center"/>
          </w:tcPr>
          <w:p w:rsidR="003C17D6" w:rsidRDefault="003C17D6" w:rsidP="00F94EBD">
            <w:pPr>
              <w:pStyle w:val="TableParagraph"/>
              <w:spacing w:before="66"/>
              <w:ind w:left="86"/>
              <w:jc w:val="center"/>
              <w:rPr>
                <w:rFonts w:ascii="Arial" w:eastAsia="Arial" w:hAnsi="Arial" w:cs="Arial"/>
                <w:sz w:val="18"/>
                <w:szCs w:val="18"/>
              </w:rPr>
            </w:pPr>
            <w:r>
              <w:rPr>
                <w:rFonts w:ascii="Arial" w:eastAsia="Arial" w:hAnsi="Arial" w:cs="Arial"/>
                <w:spacing w:val="1"/>
                <w:sz w:val="18"/>
                <w:szCs w:val="18"/>
              </w:rPr>
              <w:t>5</w:t>
            </w:r>
            <w:r>
              <w:rPr>
                <w:rFonts w:ascii="Arial" w:eastAsia="Arial" w:hAnsi="Arial" w:cs="Arial"/>
                <w:spacing w:val="3"/>
                <w:sz w:val="18"/>
                <w:szCs w:val="18"/>
              </w:rPr>
              <w:t>60</w:t>
            </w:r>
            <w:r>
              <w:rPr>
                <w:rFonts w:ascii="Arial" w:eastAsia="Arial" w:hAnsi="Arial" w:cs="Arial"/>
                <w:sz w:val="18"/>
                <w:szCs w:val="18"/>
              </w:rPr>
              <w:t>3</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66"/>
              <w:ind w:left="101"/>
              <w:jc w:val="center"/>
              <w:rPr>
                <w:rFonts w:ascii="Arial" w:eastAsia="Arial" w:hAnsi="Arial" w:cs="Arial"/>
                <w:sz w:val="18"/>
                <w:szCs w:val="18"/>
              </w:rPr>
            </w:pPr>
            <w:r>
              <w:rPr>
                <w:rFonts w:ascii="Arial" w:eastAsia="Arial" w:hAnsi="Arial" w:cs="Arial"/>
                <w:spacing w:val="-2"/>
                <w:sz w:val="18"/>
                <w:szCs w:val="18"/>
              </w:rPr>
              <w:t>5</w:t>
            </w:r>
            <w:r>
              <w:rPr>
                <w:rFonts w:ascii="Arial" w:eastAsia="Arial" w:hAnsi="Arial" w:cs="Arial"/>
                <w:spacing w:val="-3"/>
                <w:sz w:val="18"/>
                <w:szCs w:val="18"/>
              </w:rPr>
              <w:t>2</w:t>
            </w:r>
            <w:r>
              <w:rPr>
                <w:rFonts w:ascii="Arial" w:eastAsia="Arial" w:hAnsi="Arial" w:cs="Arial"/>
                <w:sz w:val="18"/>
                <w:szCs w:val="18"/>
              </w:rPr>
              <w:t>59</w:t>
            </w:r>
          </w:p>
        </w:tc>
        <w:tc>
          <w:tcPr>
            <w:tcW w:w="1057" w:type="dxa"/>
            <w:tcBorders>
              <w:top w:val="nil"/>
              <w:left w:val="nil"/>
              <w:bottom w:val="nil"/>
              <w:right w:val="single" w:sz="2" w:space="0" w:color="FFFFFF"/>
            </w:tcBorders>
            <w:shd w:val="clear" w:color="auto" w:fill="C3D9DC"/>
            <w:vAlign w:val="center"/>
          </w:tcPr>
          <w:p w:rsidR="003C17D6" w:rsidRDefault="003C17D6" w:rsidP="00F94EBD">
            <w:pPr>
              <w:pStyle w:val="TableParagraph"/>
              <w:spacing w:before="66"/>
              <w:ind w:left="109"/>
              <w:jc w:val="center"/>
              <w:rPr>
                <w:rFonts w:ascii="Arial" w:eastAsia="Arial" w:hAnsi="Arial" w:cs="Arial"/>
                <w:sz w:val="18"/>
                <w:szCs w:val="18"/>
              </w:rPr>
            </w:pPr>
            <w:r>
              <w:rPr>
                <w:rFonts w:ascii="Arial" w:eastAsia="Arial" w:hAnsi="Arial" w:cs="Arial"/>
                <w:spacing w:val="-9"/>
                <w:sz w:val="18"/>
                <w:szCs w:val="18"/>
              </w:rPr>
              <w:t>5</w:t>
            </w:r>
            <w:r>
              <w:rPr>
                <w:rFonts w:ascii="Arial" w:eastAsia="Arial" w:hAnsi="Arial" w:cs="Arial"/>
                <w:spacing w:val="-13"/>
                <w:sz w:val="18"/>
                <w:szCs w:val="18"/>
              </w:rPr>
              <w:t>1</w:t>
            </w:r>
            <w:r>
              <w:rPr>
                <w:rFonts w:ascii="Arial" w:eastAsia="Arial" w:hAnsi="Arial" w:cs="Arial"/>
                <w:spacing w:val="-3"/>
                <w:sz w:val="18"/>
                <w:szCs w:val="18"/>
              </w:rPr>
              <w:t>7</w:t>
            </w:r>
            <w:r>
              <w:rPr>
                <w:rFonts w:ascii="Arial" w:eastAsia="Arial" w:hAnsi="Arial" w:cs="Arial"/>
                <w:sz w:val="18"/>
                <w:szCs w:val="18"/>
              </w:rPr>
              <w:t>8</w:t>
            </w:r>
          </w:p>
        </w:tc>
        <w:tc>
          <w:tcPr>
            <w:tcW w:w="1057" w:type="dxa"/>
            <w:tcBorders>
              <w:top w:val="nil"/>
              <w:left w:val="single" w:sz="2" w:space="0" w:color="FFFFFF"/>
              <w:bottom w:val="nil"/>
              <w:right w:val="nil"/>
            </w:tcBorders>
            <w:shd w:val="clear" w:color="auto" w:fill="C3D9DC"/>
            <w:vAlign w:val="center"/>
          </w:tcPr>
          <w:p w:rsidR="003C17D6" w:rsidRDefault="003C17D6" w:rsidP="00F94EBD">
            <w:pPr>
              <w:pStyle w:val="TableParagraph"/>
              <w:spacing w:before="66"/>
              <w:ind w:left="97"/>
              <w:jc w:val="center"/>
              <w:rPr>
                <w:rFonts w:ascii="Arial" w:eastAsia="Arial" w:hAnsi="Arial" w:cs="Arial"/>
                <w:sz w:val="18"/>
                <w:szCs w:val="18"/>
              </w:rPr>
            </w:pPr>
            <w:r>
              <w:rPr>
                <w:rFonts w:ascii="Arial" w:eastAsia="Arial" w:hAnsi="Arial" w:cs="Arial"/>
                <w:spacing w:val="-1"/>
                <w:sz w:val="18"/>
                <w:szCs w:val="18"/>
              </w:rPr>
              <w:t>2</w:t>
            </w:r>
            <w:r>
              <w:rPr>
                <w:rFonts w:ascii="Arial" w:eastAsia="Arial" w:hAnsi="Arial" w:cs="Arial"/>
                <w:spacing w:val="2"/>
                <w:sz w:val="18"/>
                <w:szCs w:val="18"/>
              </w:rPr>
              <w:t>65</w:t>
            </w:r>
            <w:r>
              <w:rPr>
                <w:rFonts w:ascii="Arial" w:eastAsia="Arial" w:hAnsi="Arial" w:cs="Arial"/>
                <w:sz w:val="18"/>
                <w:szCs w:val="18"/>
              </w:rPr>
              <w:t>4</w:t>
            </w:r>
          </w:p>
        </w:tc>
      </w:tr>
    </w:tbl>
    <w:p w:rsidR="000932A3" w:rsidRPr="0090554C" w:rsidRDefault="00CB193F" w:rsidP="00CB193F">
      <w:pPr>
        <w:pStyle w:val="Tablenote"/>
      </w:pPr>
      <w:r>
        <w:rPr>
          <w:rStyle w:val="FootnoteReference"/>
        </w:rPr>
        <w:footnoteRef/>
      </w:r>
      <w:r>
        <w:t xml:space="preserve"> </w:t>
      </w:r>
      <w:r w:rsidRPr="006C208B">
        <w:t>Workplace Agreements Database, Department of Employment</w:t>
      </w:r>
      <w:r>
        <w:t>.</w:t>
      </w:r>
    </w:p>
    <w:sectPr w:rsidR="000932A3" w:rsidRPr="0090554C" w:rsidSect="00F718C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915" w:rsidRDefault="00A15915" w:rsidP="00314191">
      <w:pPr>
        <w:spacing w:after="0" w:line="240" w:lineRule="auto"/>
      </w:pPr>
      <w:r>
        <w:separator/>
      </w:r>
    </w:p>
  </w:endnote>
  <w:endnote w:type="continuationSeparator" w:id="0">
    <w:p w:rsidR="00A15915" w:rsidRDefault="00A15915" w:rsidP="00314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2141697"/>
      <w:docPartObj>
        <w:docPartGallery w:val="Page Numbers (Bottom of Page)"/>
        <w:docPartUnique/>
      </w:docPartObj>
    </w:sdtPr>
    <w:sdtEndPr>
      <w:rPr>
        <w:noProof/>
      </w:rPr>
    </w:sdtEndPr>
    <w:sdtContent>
      <w:p w:rsidR="00A15915" w:rsidRDefault="00A15915">
        <w:pPr>
          <w:pStyle w:val="Footer"/>
          <w:jc w:val="right"/>
        </w:pPr>
        <w:r>
          <w:fldChar w:fldCharType="begin"/>
        </w:r>
        <w:r>
          <w:instrText xml:space="preserve"> PAGE   \* MERGEFORMAT </w:instrText>
        </w:r>
        <w:r>
          <w:fldChar w:fldCharType="separate"/>
        </w:r>
        <w:r w:rsidR="00DD5538">
          <w:rPr>
            <w:noProof/>
          </w:rPr>
          <w:t>4</w:t>
        </w:r>
        <w:r>
          <w:rPr>
            <w:noProof/>
          </w:rPr>
          <w:fldChar w:fldCharType="end"/>
        </w:r>
      </w:p>
    </w:sdtContent>
  </w:sdt>
  <w:p w:rsidR="00A15915" w:rsidRDefault="00A15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915" w:rsidRDefault="00A15915" w:rsidP="00314191">
      <w:pPr>
        <w:spacing w:after="0" w:line="240" w:lineRule="auto"/>
      </w:pPr>
      <w:r>
        <w:separator/>
      </w:r>
    </w:p>
  </w:footnote>
  <w:footnote w:type="continuationSeparator" w:id="0">
    <w:p w:rsidR="00A15915" w:rsidRDefault="00A15915" w:rsidP="00314191">
      <w:pPr>
        <w:spacing w:after="0" w:line="240" w:lineRule="auto"/>
      </w:pPr>
      <w:r>
        <w:continuationSeparator/>
      </w:r>
    </w:p>
  </w:footnote>
  <w:footnote w:id="1">
    <w:p w:rsidR="00A15915" w:rsidRDefault="00A15915" w:rsidP="0033300E">
      <w:pPr>
        <w:pStyle w:val="Tablenote"/>
        <w:spacing w:after="0"/>
      </w:pPr>
      <w:r>
        <w:rPr>
          <w:rStyle w:val="FootnoteReference"/>
        </w:rPr>
        <w:footnoteRef/>
      </w:r>
      <w:r>
        <w:t xml:space="preserve"> The terms ‘employee organisation’ and ‘union’ are used interchangeably in this review, though generally union is preferred for simplicity.</w:t>
      </w:r>
    </w:p>
  </w:footnote>
  <w:footnote w:id="2">
    <w:p w:rsidR="00A15915" w:rsidRDefault="00A15915" w:rsidP="0033300E">
      <w:pPr>
        <w:pStyle w:val="Tablenote"/>
        <w:spacing w:after="0"/>
      </w:pPr>
      <w:r>
        <w:rPr>
          <w:rStyle w:val="FootnoteReference"/>
        </w:rPr>
        <w:footnoteRef/>
      </w:r>
      <w:r>
        <w:t xml:space="preserve"> </w:t>
      </w:r>
      <w:r w:rsidRPr="00613CFB">
        <w:t>Explanatory Memorandum, Regulation Impact Statement Fair Wor</w:t>
      </w:r>
      <w:r>
        <w:t>k Amendment Bill 2014, p.</w:t>
      </w:r>
      <w:r w:rsidRPr="00613CFB">
        <w:t xml:space="preserve"> x</w:t>
      </w:r>
      <w:r>
        <w:t>.</w:t>
      </w:r>
    </w:p>
  </w:footnote>
  <w:footnote w:id="3">
    <w:p w:rsidR="00A15915" w:rsidRDefault="00A15915" w:rsidP="0033300E">
      <w:pPr>
        <w:pStyle w:val="Tablenote"/>
        <w:spacing w:after="0"/>
      </w:pPr>
      <w:r>
        <w:rPr>
          <w:rStyle w:val="FootnoteReference"/>
        </w:rPr>
        <w:footnoteRef/>
      </w:r>
      <w:r>
        <w:t xml:space="preserve"> </w:t>
      </w:r>
      <w:r w:rsidRPr="00F7092E">
        <w:rPr>
          <w:i/>
          <w:iCs/>
        </w:rPr>
        <w:t>Towards more productive and equitable workplaces: An evaluation of the Fair Work legislation</w:t>
      </w:r>
      <w:r w:rsidRPr="00F7092E">
        <w:rPr>
          <w:iCs/>
        </w:rPr>
        <w:t>, 2012</w:t>
      </w:r>
      <w:r w:rsidRPr="00F7092E">
        <w:rPr>
          <w:i/>
          <w:iCs/>
        </w:rPr>
        <w:t xml:space="preserve">, </w:t>
      </w:r>
      <w:r w:rsidRPr="00F7092E">
        <w:t>p. 270.</w:t>
      </w:r>
    </w:p>
  </w:footnote>
  <w:footnote w:id="4">
    <w:p w:rsidR="00A15915" w:rsidRDefault="00A15915" w:rsidP="0033300E">
      <w:pPr>
        <w:pStyle w:val="Tablenote"/>
        <w:spacing w:after="0"/>
      </w:pPr>
      <w:r>
        <w:rPr>
          <w:rStyle w:val="FootnoteReference"/>
        </w:rPr>
        <w:footnoteRef/>
      </w:r>
      <w:r>
        <w:t xml:space="preserve"> See Hansard: </w:t>
      </w:r>
      <w:r w:rsidRPr="00D40D01">
        <w:t>https://www.aph.gov.au/Parliamentary_Business/Hansard/Hansard_Display?bid=chamber/hansards/e32f7c8c-0087-4580-abd4-e03d80c33290/&amp;sid=0030</w:t>
      </w:r>
      <w:r>
        <w:t>; and</w:t>
      </w:r>
    </w:p>
    <w:p w:rsidR="00A15915" w:rsidRDefault="00A15915" w:rsidP="0033300E">
      <w:pPr>
        <w:pStyle w:val="Tablenote"/>
        <w:spacing w:after="0"/>
      </w:pPr>
      <w:r w:rsidRPr="000C29AF">
        <w:t>https://www.aph.gov.au/Parliamentary_Business/Hansard/Hansard_Display?bid=chamber/hansards/bb21c29d-b3f6-4b66-8bd5-4668ba5f93d4/&amp;sid=0011</w:t>
      </w:r>
      <w:r>
        <w:t>.</w:t>
      </w:r>
    </w:p>
  </w:footnote>
  <w:footnote w:id="5">
    <w:p w:rsidR="00A15915" w:rsidRDefault="00A15915" w:rsidP="00253358">
      <w:pPr>
        <w:pStyle w:val="Tablenote"/>
        <w:spacing w:after="0"/>
      </w:pPr>
      <w:r w:rsidRPr="000932A3">
        <w:rPr>
          <w:rStyle w:val="FootnoteReference"/>
        </w:rPr>
        <w:footnoteRef/>
      </w:r>
      <w:r w:rsidRPr="000932A3">
        <w:t xml:space="preserve"> Workplace Agreements Database, Department of Employment</w:t>
      </w:r>
      <w:r>
        <w:t>.</w:t>
      </w:r>
      <w:r w:rsidRPr="000932A3" w:rsidDel="000932A3">
        <w:t xml:space="preserve"> </w:t>
      </w:r>
    </w:p>
  </w:footnote>
  <w:footnote w:id="6">
    <w:p w:rsidR="00A15915" w:rsidRDefault="00A15915" w:rsidP="00BF1301">
      <w:pPr>
        <w:pStyle w:val="Tablenote"/>
        <w:spacing w:after="0"/>
      </w:pPr>
      <w:r>
        <w:rPr>
          <w:rStyle w:val="FootnoteReference"/>
        </w:rPr>
        <w:footnoteRef/>
      </w:r>
      <w:r>
        <w:t xml:space="preserve"> </w:t>
      </w:r>
      <w:r w:rsidRPr="001B38B3">
        <w:t>Workplace Agreements Database, Department of Employment</w:t>
      </w:r>
      <w:r>
        <w:t>. Period reflected is 1 November 2013 to 30 June 2017.</w:t>
      </w:r>
    </w:p>
  </w:footnote>
  <w:footnote w:id="7">
    <w:p w:rsidR="00A15915" w:rsidRDefault="00A15915" w:rsidP="0033300E">
      <w:pPr>
        <w:pStyle w:val="Tablenote"/>
        <w:spacing w:after="0"/>
      </w:pPr>
      <w:r>
        <w:rPr>
          <w:rStyle w:val="FootnoteReference"/>
        </w:rPr>
        <w:footnoteRef/>
      </w:r>
      <w:r>
        <w:t xml:space="preserve"> MBA Submission, pars. 32-34.</w:t>
      </w:r>
    </w:p>
  </w:footnote>
  <w:footnote w:id="8">
    <w:p w:rsidR="00A15915" w:rsidRDefault="00A15915" w:rsidP="00D631EA">
      <w:pPr>
        <w:pStyle w:val="Tablenote"/>
        <w:spacing w:after="0"/>
      </w:pPr>
      <w:r>
        <w:rPr>
          <w:rStyle w:val="FootnoteReference"/>
        </w:rPr>
        <w:footnoteRef/>
      </w:r>
      <w:r>
        <w:t xml:space="preserve"> </w:t>
      </w:r>
      <w:r w:rsidRPr="001B38B3">
        <w:t>Workplace Agreements Database, Department of Employment</w:t>
      </w:r>
      <w:r>
        <w:t>.</w:t>
      </w:r>
    </w:p>
  </w:footnote>
  <w:footnote w:id="9">
    <w:p w:rsidR="00A15915" w:rsidRDefault="00A15915" w:rsidP="00D631EA">
      <w:pPr>
        <w:pStyle w:val="Tablenote"/>
        <w:spacing w:after="0"/>
      </w:pPr>
      <w:r>
        <w:rPr>
          <w:rStyle w:val="FootnoteReference"/>
        </w:rPr>
        <w:footnoteRef/>
      </w:r>
      <w:r>
        <w:t xml:space="preserve"> </w:t>
      </w:r>
      <w:r w:rsidRPr="001B38B3">
        <w:t>Workplace Agreements Database, Department of Employment</w:t>
      </w:r>
      <w:r>
        <w:t>.</w:t>
      </w:r>
    </w:p>
  </w:footnote>
  <w:footnote w:id="10">
    <w:p w:rsidR="00A15915" w:rsidRDefault="00A15915" w:rsidP="009E5570">
      <w:pPr>
        <w:pStyle w:val="Tablenote"/>
        <w:spacing w:after="0"/>
      </w:pPr>
      <w:r>
        <w:rPr>
          <w:rStyle w:val="FootnoteReference"/>
        </w:rPr>
        <w:footnoteRef/>
      </w:r>
      <w:r>
        <w:t xml:space="preserve"> Australian Bureau of Statistics (ABS) data uses the general term ‘collective agreements’ to capture to all bargaining employment arrangements at both a state and national level.</w:t>
      </w:r>
    </w:p>
  </w:footnote>
  <w:footnote w:id="11">
    <w:p w:rsidR="00A15915" w:rsidRDefault="00A15915" w:rsidP="009E5570">
      <w:pPr>
        <w:pStyle w:val="Tablenote"/>
        <w:spacing w:after="0"/>
      </w:pPr>
      <w:r>
        <w:rPr>
          <w:rStyle w:val="FootnoteReference"/>
        </w:rPr>
        <w:footnoteRef/>
      </w:r>
      <w:r>
        <w:t xml:space="preserve"> ABS </w:t>
      </w:r>
      <w:r w:rsidRPr="006428BB">
        <w:rPr>
          <w:i/>
        </w:rPr>
        <w:t>Employee Earnings and Hours</w:t>
      </w:r>
      <w:r>
        <w:t>, Cat. No. 6306.0, 2010 to 2016, published and unpublished data.</w:t>
      </w:r>
    </w:p>
  </w:footnote>
  <w:footnote w:id="12">
    <w:p w:rsidR="00A15915" w:rsidRDefault="00A15915" w:rsidP="009E5570">
      <w:pPr>
        <w:pStyle w:val="Tablenote"/>
        <w:spacing w:after="0"/>
      </w:pPr>
      <w:r>
        <w:rPr>
          <w:rStyle w:val="FootnoteReference"/>
        </w:rPr>
        <w:footnoteRef/>
      </w:r>
      <w:r>
        <w:t xml:space="preserve"> The ABS undertook a conceptual review of the Method of Setting Pay framework in 2016. </w:t>
      </w:r>
    </w:p>
  </w:footnote>
  <w:footnote w:id="13">
    <w:p w:rsidR="00A15915" w:rsidRPr="004B51E4" w:rsidRDefault="00A15915" w:rsidP="009E5570">
      <w:pPr>
        <w:pStyle w:val="Tablenote"/>
        <w:spacing w:after="0"/>
      </w:pPr>
      <w:r w:rsidRPr="009E5570">
        <w:rPr>
          <w:rStyle w:val="FootnoteReference"/>
        </w:rPr>
        <w:footnoteRef/>
      </w:r>
      <w:r w:rsidRPr="004B51E4">
        <w:t xml:space="preserve"> Department of Industry, Innovation and Science, Resources and Energy Quarterly, September 2017.</w:t>
      </w:r>
    </w:p>
  </w:footnote>
  <w:footnote w:id="14">
    <w:p w:rsidR="00A15915" w:rsidRPr="006A2DCD" w:rsidRDefault="00A15915" w:rsidP="009E5570">
      <w:pPr>
        <w:pStyle w:val="Tablenote"/>
        <w:spacing w:after="0"/>
      </w:pPr>
      <w:r w:rsidRPr="006A2DCD">
        <w:rPr>
          <w:rStyle w:val="FootnoteReference"/>
        </w:rPr>
        <w:footnoteRef/>
      </w:r>
      <w:r w:rsidRPr="006A2DCD">
        <w:t xml:space="preserve"> </w:t>
      </w:r>
      <w:r>
        <w:t>ACTU Submission, par. 19</w:t>
      </w:r>
      <w:r w:rsidRPr="00B02973">
        <w:t>.</w:t>
      </w:r>
    </w:p>
  </w:footnote>
  <w:footnote w:id="15">
    <w:p w:rsidR="00A15915" w:rsidRDefault="00A15915" w:rsidP="009E5570">
      <w:pPr>
        <w:pStyle w:val="Tablenote"/>
        <w:spacing w:after="0"/>
      </w:pPr>
      <w:r>
        <w:rPr>
          <w:rStyle w:val="FootnoteReference"/>
        </w:rPr>
        <w:footnoteRef/>
      </w:r>
      <w:r>
        <w:t xml:space="preserve"> AMMA Submission, pars. 7-10.</w:t>
      </w:r>
    </w:p>
  </w:footnote>
  <w:footnote w:id="16">
    <w:p w:rsidR="00A15915" w:rsidRPr="00B02973" w:rsidRDefault="00A15915" w:rsidP="009E5570">
      <w:pPr>
        <w:pStyle w:val="Tablenote"/>
        <w:spacing w:after="0"/>
      </w:pPr>
      <w:r w:rsidRPr="00716B9E">
        <w:rPr>
          <w:rStyle w:val="FootnoteReference"/>
        </w:rPr>
        <w:footnoteRef/>
      </w:r>
      <w:r w:rsidRPr="00716B9E">
        <w:t xml:space="preserve"> AMMA Submission, </w:t>
      </w:r>
      <w:r>
        <w:t>par</w:t>
      </w:r>
      <w:r w:rsidRPr="00716B9E">
        <w:t>s</w:t>
      </w:r>
      <w:r>
        <w:t>.</w:t>
      </w:r>
      <w:r w:rsidRPr="00716B9E">
        <w:t xml:space="preserve"> 28-29.</w:t>
      </w:r>
    </w:p>
  </w:footnote>
  <w:footnote w:id="17">
    <w:p w:rsidR="00A15915" w:rsidRDefault="00A15915" w:rsidP="009E5570">
      <w:pPr>
        <w:pStyle w:val="Tablenote"/>
        <w:spacing w:after="0"/>
      </w:pPr>
      <w:r w:rsidRPr="00B02973">
        <w:rPr>
          <w:rStyle w:val="FootnoteReference"/>
        </w:rPr>
        <w:footnoteRef/>
      </w:r>
      <w:r w:rsidRPr="00B02973">
        <w:t xml:space="preserve"> ABI</w:t>
      </w:r>
      <w:r>
        <w:t xml:space="preserve"> Submission, p. 7.</w:t>
      </w:r>
    </w:p>
  </w:footnote>
  <w:footnote w:id="18">
    <w:p w:rsidR="00A15915" w:rsidRDefault="00A15915" w:rsidP="009E5570">
      <w:pPr>
        <w:pStyle w:val="Tablenote"/>
        <w:spacing w:after="0"/>
      </w:pPr>
      <w:r w:rsidRPr="00716B9E">
        <w:rPr>
          <w:rStyle w:val="FootnoteReference"/>
        </w:rPr>
        <w:footnoteRef/>
      </w:r>
      <w:r w:rsidRPr="00716B9E">
        <w:t xml:space="preserve"> ACCI Submission, </w:t>
      </w:r>
      <w:r>
        <w:t>par.</w:t>
      </w:r>
      <w:r w:rsidRPr="00716B9E">
        <w:t xml:space="preserve"> 23.</w:t>
      </w:r>
    </w:p>
  </w:footnote>
  <w:footnote w:id="19">
    <w:p w:rsidR="00A15915" w:rsidRDefault="00A15915" w:rsidP="009E5570">
      <w:pPr>
        <w:pStyle w:val="Tablenote"/>
        <w:spacing w:after="0"/>
      </w:pPr>
      <w:r>
        <w:rPr>
          <w:rStyle w:val="FootnoteReference"/>
        </w:rPr>
        <w:footnoteRef/>
      </w:r>
      <w:r>
        <w:t xml:space="preserve"> MBA submission, par. 45(a).</w:t>
      </w:r>
    </w:p>
  </w:footnote>
  <w:footnote w:id="20">
    <w:p w:rsidR="00A15915" w:rsidRDefault="00A15915" w:rsidP="009E5570">
      <w:pPr>
        <w:pStyle w:val="Tablenote"/>
        <w:spacing w:after="0"/>
      </w:pPr>
      <w:r>
        <w:rPr>
          <w:rStyle w:val="FootnoteReference"/>
        </w:rPr>
        <w:footnoteRef/>
      </w:r>
      <w:r>
        <w:t xml:space="preserve"> ACTU submission, pars. 8-10.</w:t>
      </w:r>
    </w:p>
  </w:footnote>
  <w:footnote w:id="21">
    <w:p w:rsidR="00A15915" w:rsidRDefault="00A15915" w:rsidP="009E5570">
      <w:pPr>
        <w:pStyle w:val="Tablenote"/>
        <w:spacing w:after="0"/>
      </w:pPr>
      <w:r>
        <w:rPr>
          <w:rStyle w:val="FootnoteReference"/>
        </w:rPr>
        <w:footnoteRef/>
      </w:r>
      <w:r>
        <w:t xml:space="preserve"> CFMEU Submission, pars. 4, 5 &amp; 8; ACTU Submission, par. 9; AMWU Submission, par. 12.</w:t>
      </w:r>
    </w:p>
  </w:footnote>
  <w:footnote w:id="22">
    <w:p w:rsidR="00A15915" w:rsidRDefault="00A15915" w:rsidP="009E5570">
      <w:pPr>
        <w:pStyle w:val="Tablenote"/>
        <w:spacing w:after="0"/>
      </w:pPr>
      <w:r>
        <w:rPr>
          <w:rStyle w:val="FootnoteReference"/>
        </w:rPr>
        <w:footnoteRef/>
      </w:r>
      <w:r>
        <w:t xml:space="preserve"> AMWU Submission, par. 5.</w:t>
      </w:r>
    </w:p>
  </w:footnote>
  <w:footnote w:id="23">
    <w:p w:rsidR="00A15915" w:rsidRDefault="00A15915" w:rsidP="009E5570">
      <w:pPr>
        <w:pStyle w:val="Tablenote"/>
        <w:spacing w:after="0"/>
      </w:pPr>
      <w:r>
        <w:rPr>
          <w:rStyle w:val="FootnoteReference"/>
        </w:rPr>
        <w:footnoteRef/>
      </w:r>
      <w:r>
        <w:t xml:space="preserve"> MBA Submission, par. 45(c).</w:t>
      </w:r>
    </w:p>
  </w:footnote>
  <w:footnote w:id="24">
    <w:p w:rsidR="00A15915" w:rsidRDefault="00A15915" w:rsidP="009E5570">
      <w:pPr>
        <w:pStyle w:val="Tablenote"/>
        <w:spacing w:after="0"/>
      </w:pPr>
      <w:r>
        <w:rPr>
          <w:rStyle w:val="FootnoteReference"/>
        </w:rPr>
        <w:footnoteRef/>
      </w:r>
      <w:r>
        <w:t xml:space="preserve"> AWU Submission, p. 4.</w:t>
      </w:r>
    </w:p>
  </w:footnote>
  <w:footnote w:id="25">
    <w:p w:rsidR="00A15915" w:rsidRPr="00CE6959" w:rsidRDefault="00A15915" w:rsidP="009E5570">
      <w:pPr>
        <w:pStyle w:val="Tablenote"/>
        <w:spacing w:after="0"/>
      </w:pPr>
      <w:r>
        <w:rPr>
          <w:rStyle w:val="FootnoteReference"/>
        </w:rPr>
        <w:footnoteRef/>
      </w:r>
      <w:r>
        <w:t xml:space="preserve"> Fair Work Commission (FWC) Submission, pars. 12-18.</w:t>
      </w:r>
    </w:p>
  </w:footnote>
  <w:footnote w:id="26">
    <w:p w:rsidR="00A15915" w:rsidRDefault="00A15915" w:rsidP="009E5570">
      <w:pPr>
        <w:pStyle w:val="Tablenote"/>
        <w:spacing w:after="0"/>
      </w:pPr>
      <w:r w:rsidRPr="009E5570">
        <w:rPr>
          <w:rStyle w:val="FootnoteReference"/>
        </w:rPr>
        <w:footnoteRef/>
      </w:r>
      <w:r w:rsidRPr="009E5570">
        <w:rPr>
          <w:vertAlign w:val="superscript"/>
        </w:rPr>
        <w:t xml:space="preserve"> </w:t>
      </w:r>
      <w:r w:rsidRPr="00CE6959">
        <w:t>FWC Submission, pars. 34-36.</w:t>
      </w:r>
    </w:p>
  </w:footnote>
  <w:footnote w:id="27">
    <w:p w:rsidR="00A15915" w:rsidRDefault="00A15915" w:rsidP="009E5570">
      <w:pPr>
        <w:pStyle w:val="Tablenote"/>
        <w:spacing w:after="0"/>
      </w:pPr>
      <w:r>
        <w:rPr>
          <w:rStyle w:val="FootnoteReference"/>
        </w:rPr>
        <w:footnoteRef/>
      </w:r>
      <w:r>
        <w:t xml:space="preserve"> Email communication with the Fair Work Commission, 13 November 2017.</w:t>
      </w:r>
    </w:p>
  </w:footnote>
  <w:footnote w:id="28">
    <w:p w:rsidR="00A15915" w:rsidRDefault="00A15915" w:rsidP="009E5570">
      <w:pPr>
        <w:pStyle w:val="Tablenote"/>
        <w:spacing w:after="0"/>
      </w:pPr>
      <w:r>
        <w:rPr>
          <w:rStyle w:val="FootnoteReference"/>
        </w:rPr>
        <w:footnoteRef/>
      </w:r>
      <w:r>
        <w:t xml:space="preserve"> As at 1 November 2017.</w:t>
      </w:r>
    </w:p>
  </w:footnote>
  <w:footnote w:id="29">
    <w:p w:rsidR="00A15915" w:rsidRDefault="00A15915" w:rsidP="009E5570">
      <w:pPr>
        <w:pStyle w:val="Tablenote"/>
        <w:spacing w:after="0"/>
      </w:pPr>
      <w:r>
        <w:rPr>
          <w:rStyle w:val="FootnoteReference"/>
        </w:rPr>
        <w:footnoteRef/>
      </w:r>
      <w:r>
        <w:t xml:space="preserve"> ACTU Submission, par. 18.</w:t>
      </w:r>
    </w:p>
  </w:footnote>
  <w:footnote w:id="30">
    <w:p w:rsidR="00A15915" w:rsidRDefault="00A15915" w:rsidP="009E5570">
      <w:pPr>
        <w:pStyle w:val="Tablenote"/>
        <w:spacing w:after="0"/>
      </w:pPr>
      <w:r>
        <w:rPr>
          <w:rStyle w:val="FootnoteReference"/>
        </w:rPr>
        <w:footnoteRef/>
      </w:r>
      <w:r>
        <w:t xml:space="preserve"> CFMEU Submission, pars. 11-12.</w:t>
      </w:r>
    </w:p>
  </w:footnote>
  <w:footnote w:id="31">
    <w:p w:rsidR="00A15915" w:rsidRDefault="00A15915" w:rsidP="009E5570">
      <w:pPr>
        <w:pStyle w:val="Tablenote"/>
        <w:spacing w:after="0"/>
      </w:pPr>
      <w:r>
        <w:rPr>
          <w:rStyle w:val="FootnoteReference"/>
        </w:rPr>
        <w:footnoteRef/>
      </w:r>
      <w:r>
        <w:t xml:space="preserve"> AMWU Submission, pars. 9-10.</w:t>
      </w:r>
    </w:p>
  </w:footnote>
  <w:footnote w:id="32">
    <w:p w:rsidR="00A15915" w:rsidRDefault="00A15915" w:rsidP="009E5570">
      <w:pPr>
        <w:pStyle w:val="Tablenote"/>
        <w:spacing w:after="0"/>
      </w:pPr>
      <w:r>
        <w:rPr>
          <w:rStyle w:val="FootnoteReference"/>
        </w:rPr>
        <w:footnoteRef/>
      </w:r>
      <w:r>
        <w:t xml:space="preserve"> </w:t>
      </w:r>
      <w:r w:rsidRPr="009664CB">
        <w:t>AWU Submission, p</w:t>
      </w:r>
      <w:r>
        <w:t>.</w:t>
      </w:r>
      <w:r w:rsidRPr="009664CB">
        <w:t xml:space="preserve"> 3. </w:t>
      </w:r>
    </w:p>
  </w:footnote>
  <w:footnote w:id="33">
    <w:p w:rsidR="00A15915" w:rsidRDefault="00A15915" w:rsidP="009E5570">
      <w:pPr>
        <w:pStyle w:val="Tablenote"/>
        <w:spacing w:after="0"/>
      </w:pPr>
      <w:r>
        <w:rPr>
          <w:rStyle w:val="FootnoteReference"/>
        </w:rPr>
        <w:footnoteRef/>
      </w:r>
      <w:r>
        <w:t xml:space="preserve"> AMMA Submission, pars. 19-20.</w:t>
      </w:r>
    </w:p>
  </w:footnote>
  <w:footnote w:id="34">
    <w:p w:rsidR="00A15915" w:rsidRDefault="00A15915" w:rsidP="009E5570">
      <w:pPr>
        <w:pStyle w:val="Tablenote"/>
        <w:spacing w:after="0"/>
      </w:pPr>
      <w:r w:rsidRPr="0007396C">
        <w:rPr>
          <w:rStyle w:val="FootnoteReference"/>
        </w:rPr>
        <w:footnoteRef/>
      </w:r>
      <w:r w:rsidRPr="0007396C">
        <w:t xml:space="preserve"> AMMA Submission, </w:t>
      </w:r>
      <w:r>
        <w:t>pars.</w:t>
      </w:r>
      <w:r w:rsidRPr="0007396C">
        <w:t xml:space="preserve"> 13-15.</w:t>
      </w:r>
    </w:p>
  </w:footnote>
  <w:footnote w:id="35">
    <w:p w:rsidR="00A15915" w:rsidRPr="0007396C" w:rsidRDefault="00A15915" w:rsidP="009E5570">
      <w:pPr>
        <w:pStyle w:val="Tablenote"/>
        <w:spacing w:after="0"/>
        <w:rPr>
          <w:vertAlign w:val="superscript"/>
        </w:rPr>
      </w:pPr>
      <w:r>
        <w:rPr>
          <w:rStyle w:val="FootnoteReference"/>
        </w:rPr>
        <w:footnoteRef/>
      </w:r>
      <w:r>
        <w:t xml:space="preserve"> ACCI Submission, par. 12.</w:t>
      </w:r>
    </w:p>
  </w:footnote>
  <w:footnote w:id="36">
    <w:p w:rsidR="00A15915" w:rsidRPr="00CE6959" w:rsidRDefault="00A15915" w:rsidP="009E5570">
      <w:pPr>
        <w:pStyle w:val="Tablenote"/>
        <w:spacing w:after="0"/>
      </w:pPr>
      <w:r w:rsidRPr="009E5570">
        <w:rPr>
          <w:rStyle w:val="FootnoteReference"/>
        </w:rPr>
        <w:footnoteRef/>
      </w:r>
      <w:r w:rsidRPr="00CE6959">
        <w:t xml:space="preserve"> Note, s 187(5) requires that the Fair Work Commission must be satisfied that the relevant employee organisation(s) that will be covered by the agreement (when taken as a group) are entitled to represent the industrial interests of a majority of the employees who will be covered by the agreement and that it is in the public interest to approve the agreement.</w:t>
      </w:r>
    </w:p>
  </w:footnote>
  <w:footnote w:id="37">
    <w:p w:rsidR="00A15915" w:rsidRPr="00CE6959" w:rsidRDefault="00A15915" w:rsidP="009E5570">
      <w:pPr>
        <w:pStyle w:val="Tablenote"/>
        <w:spacing w:after="0"/>
      </w:pPr>
      <w:r w:rsidRPr="009E5570">
        <w:rPr>
          <w:rStyle w:val="FootnoteReference"/>
        </w:rPr>
        <w:footnoteRef/>
      </w:r>
      <w:r w:rsidRPr="00CE6959">
        <w:t xml:space="preserve"> AFAP Submission, p. 1.</w:t>
      </w:r>
    </w:p>
  </w:footnote>
  <w:footnote w:id="38">
    <w:p w:rsidR="00A15915" w:rsidRPr="00CE6959" w:rsidRDefault="00A15915" w:rsidP="009E5570">
      <w:pPr>
        <w:pStyle w:val="Tablenote"/>
        <w:spacing w:after="0"/>
      </w:pPr>
      <w:r w:rsidRPr="009E5570">
        <w:rPr>
          <w:rStyle w:val="FootnoteReference"/>
        </w:rPr>
        <w:footnoteRef/>
      </w:r>
      <w:r w:rsidRPr="00CE6959">
        <w:t xml:space="preserve"> AFAP Submission, p. 4.</w:t>
      </w:r>
    </w:p>
  </w:footnote>
  <w:footnote w:id="39">
    <w:p w:rsidR="00A15915" w:rsidRPr="00CE6959" w:rsidRDefault="00A15915" w:rsidP="009E5570">
      <w:pPr>
        <w:pStyle w:val="Tablenote"/>
        <w:spacing w:after="0"/>
      </w:pPr>
      <w:r w:rsidRPr="009E5570">
        <w:rPr>
          <w:rStyle w:val="FootnoteReference"/>
        </w:rPr>
        <w:footnoteRef/>
      </w:r>
      <w:r w:rsidRPr="00CE6959">
        <w:t xml:space="preserve"> AFAP Submission, p. 3.</w:t>
      </w:r>
    </w:p>
  </w:footnote>
  <w:footnote w:id="40">
    <w:p w:rsidR="00A15915" w:rsidRPr="00CE6959" w:rsidRDefault="00A15915" w:rsidP="009E5570">
      <w:pPr>
        <w:pStyle w:val="Tablenote"/>
        <w:spacing w:after="0"/>
      </w:pPr>
      <w:r w:rsidRPr="009E5570">
        <w:rPr>
          <w:rStyle w:val="FootnoteReference"/>
        </w:rPr>
        <w:footnoteRef/>
      </w:r>
      <w:r w:rsidRPr="00CE6959">
        <w:t xml:space="preserve"> AFAP Submission, p. 4.</w:t>
      </w:r>
    </w:p>
  </w:footnote>
  <w:footnote w:id="41">
    <w:p w:rsidR="00A15915" w:rsidRDefault="00A15915" w:rsidP="009E5570">
      <w:pPr>
        <w:pStyle w:val="Tablenote"/>
        <w:spacing w:after="0"/>
      </w:pPr>
      <w:r w:rsidRPr="009E5570">
        <w:rPr>
          <w:rStyle w:val="FootnoteReference"/>
        </w:rPr>
        <w:footnoteRef/>
      </w:r>
      <w:r w:rsidRPr="00CE6959">
        <w:t xml:space="preserve"> ANMF Submission, p. 2.</w:t>
      </w:r>
    </w:p>
  </w:footnote>
  <w:footnote w:id="42">
    <w:p w:rsidR="00A15915" w:rsidRDefault="00A15915" w:rsidP="009E5570">
      <w:pPr>
        <w:pStyle w:val="Tablenote"/>
        <w:spacing w:after="0"/>
      </w:pPr>
      <w:r>
        <w:rPr>
          <w:rStyle w:val="FootnoteReference"/>
        </w:rPr>
        <w:footnoteRef/>
      </w:r>
      <w:r>
        <w:t xml:space="preserve"> AiG Submission, p. 3.</w:t>
      </w:r>
    </w:p>
  </w:footnote>
  <w:footnote w:id="43">
    <w:p w:rsidR="00A15915" w:rsidRPr="009B6F9F" w:rsidRDefault="00A15915" w:rsidP="009E5570">
      <w:pPr>
        <w:pStyle w:val="Tablenote"/>
        <w:spacing w:after="0"/>
      </w:pPr>
      <w:r>
        <w:rPr>
          <w:rStyle w:val="FootnoteReference"/>
        </w:rPr>
        <w:footnoteRef/>
      </w:r>
      <w:r>
        <w:t xml:space="preserve"> For examples, see</w:t>
      </w:r>
      <w:r w:rsidRPr="00D40D01">
        <w:t xml:space="preserve">: </w:t>
      </w:r>
      <w:r w:rsidRPr="009B6F9F">
        <w:t>The Australian Workers' Union v Killarnee Civil &amp; Concrete Contractors Pty Ltd, ITF The Thompson Family Trust and another [2011] FWAFB 4349;</w:t>
      </w:r>
    </w:p>
    <w:p w:rsidR="00A15915" w:rsidRPr="009B6F9F" w:rsidRDefault="00A15915" w:rsidP="009E5570">
      <w:pPr>
        <w:pStyle w:val="Tablenote"/>
        <w:spacing w:after="0"/>
      </w:pPr>
      <w:r w:rsidRPr="009B6F9F">
        <w:t xml:space="preserve">Leighton Contractors Pty Limited re Leighton Contractors Broadmeadow Sustaining Operations Project Union Greenfield Agreement [2011] FWAA 5408; </w:t>
      </w:r>
    </w:p>
    <w:p w:rsidR="00A15915" w:rsidRPr="006D5944" w:rsidRDefault="00A15915" w:rsidP="009E5570">
      <w:pPr>
        <w:pStyle w:val="Tablenote"/>
        <w:spacing w:after="0"/>
      </w:pPr>
      <w:r w:rsidRPr="009B6F9F">
        <w:t>John Holland Pty Ltd re Abigroup, John Holland and the Australian Workers’ Union-Regional Rail Link Southern Cross Station to Footscray Junction Project 2012-1015 [2012] FWAA 1565; Macmahon Contractors Pty Ltd re MJHJV (Macmahon) Ichthys Onshore Construction Greenfield</w:t>
      </w:r>
      <w:r>
        <w:t>s</w:t>
      </w:r>
      <w:r w:rsidRPr="009B6F9F">
        <w:t xml:space="preserve"> Agreement [2012] FWAA 2937.</w:t>
      </w:r>
    </w:p>
    <w:p w:rsidR="00A15915" w:rsidRDefault="00A15915">
      <w:pPr>
        <w:pStyle w:val="FootnoteText"/>
      </w:pPr>
    </w:p>
  </w:footnote>
  <w:footnote w:id="44">
    <w:p w:rsidR="00A15915" w:rsidRPr="0090554C" w:rsidRDefault="00A15915" w:rsidP="009E5570">
      <w:pPr>
        <w:pStyle w:val="Tablenote"/>
        <w:spacing w:after="0"/>
      </w:pPr>
      <w:r w:rsidRPr="0090554C">
        <w:rPr>
          <w:rStyle w:val="FootnoteReference"/>
        </w:rPr>
        <w:footnoteRef/>
      </w:r>
      <w:r w:rsidRPr="0090554C">
        <w:t xml:space="preserve"> Productivity Commission Inquiry Report, </w:t>
      </w:r>
      <w:r w:rsidRPr="0090554C">
        <w:rPr>
          <w:i/>
        </w:rPr>
        <w:t xml:space="preserve">Overview and recommendations </w:t>
      </w:r>
      <w:r w:rsidRPr="0090554C">
        <w:t>(30 November 2015), p</w:t>
      </w:r>
      <w:r>
        <w:t>.</w:t>
      </w:r>
      <w:r w:rsidRPr="0090554C">
        <w:t xml:space="preserve"> 60</w:t>
      </w:r>
      <w:r>
        <w:t>.</w:t>
      </w:r>
    </w:p>
  </w:footnote>
  <w:footnote w:id="45">
    <w:p w:rsidR="00A15915" w:rsidRPr="00CE6959" w:rsidRDefault="00A15915" w:rsidP="009E5570">
      <w:pPr>
        <w:pStyle w:val="Tablenote"/>
        <w:spacing w:after="0"/>
      </w:pPr>
      <w:r w:rsidRPr="009E5570">
        <w:rPr>
          <w:rStyle w:val="FootnoteReference"/>
        </w:rPr>
        <w:footnoteRef/>
      </w:r>
      <w:r w:rsidRPr="009E5570">
        <w:rPr>
          <w:rStyle w:val="FootnoteReference"/>
        </w:rPr>
        <w:t xml:space="preserve"> </w:t>
      </w:r>
      <w:r w:rsidRPr="00CE6959">
        <w:t>ACTU Submission, pars. 10, 11, 12, 14, 15, 16 and 17.</w:t>
      </w:r>
    </w:p>
  </w:footnote>
  <w:footnote w:id="46">
    <w:p w:rsidR="00A15915" w:rsidRDefault="00A15915" w:rsidP="009E5570">
      <w:pPr>
        <w:pStyle w:val="Tablenote"/>
        <w:spacing w:after="0"/>
      </w:pPr>
      <w:r>
        <w:rPr>
          <w:rStyle w:val="FootnoteReference"/>
        </w:rPr>
        <w:footnoteRef/>
      </w:r>
      <w:r>
        <w:t xml:space="preserve"> AWU Submission, p. 3.</w:t>
      </w:r>
    </w:p>
  </w:footnote>
  <w:footnote w:id="47">
    <w:p w:rsidR="00A15915" w:rsidRDefault="00A15915" w:rsidP="009E5570">
      <w:pPr>
        <w:pStyle w:val="Tablenote"/>
        <w:spacing w:after="0"/>
      </w:pPr>
      <w:r>
        <w:rPr>
          <w:rStyle w:val="FootnoteReference"/>
        </w:rPr>
        <w:footnoteRef/>
      </w:r>
      <w:r>
        <w:t xml:space="preserve"> CFMEU Submission, par. 14.</w:t>
      </w:r>
    </w:p>
  </w:footnote>
  <w:footnote w:id="48">
    <w:p w:rsidR="00A15915" w:rsidRDefault="00A15915" w:rsidP="009E5570">
      <w:pPr>
        <w:pStyle w:val="Tablenote"/>
        <w:spacing w:after="0"/>
      </w:pPr>
      <w:r>
        <w:rPr>
          <w:rStyle w:val="FootnoteReference"/>
        </w:rPr>
        <w:footnoteRef/>
      </w:r>
      <w:r>
        <w:t xml:space="preserve"> ACCI Submission, pars. 37-41.</w:t>
      </w:r>
    </w:p>
  </w:footnote>
  <w:footnote w:id="49">
    <w:p w:rsidR="00A15915" w:rsidRDefault="00A15915" w:rsidP="009E5570">
      <w:pPr>
        <w:pStyle w:val="Tablenote"/>
        <w:spacing w:after="0"/>
      </w:pPr>
      <w:r>
        <w:rPr>
          <w:rStyle w:val="FootnoteReference"/>
        </w:rPr>
        <w:footnoteRef/>
      </w:r>
      <w:r>
        <w:t xml:space="preserve"> AiG Submission, p. 3.</w:t>
      </w:r>
    </w:p>
  </w:footnote>
  <w:footnote w:id="50">
    <w:p w:rsidR="00A15915" w:rsidRDefault="00A15915" w:rsidP="009E5570">
      <w:pPr>
        <w:pStyle w:val="Tablenote"/>
        <w:spacing w:after="0"/>
      </w:pPr>
      <w:r>
        <w:rPr>
          <w:rStyle w:val="FootnoteReference"/>
        </w:rPr>
        <w:footnoteRef/>
      </w:r>
      <w:r>
        <w:t xml:space="preserve"> ABI Submission, p. 9.</w:t>
      </w:r>
    </w:p>
  </w:footnote>
  <w:footnote w:id="51">
    <w:p w:rsidR="00A15915" w:rsidRDefault="00A15915" w:rsidP="009E5570">
      <w:pPr>
        <w:pStyle w:val="Tablenote"/>
        <w:spacing w:after="0"/>
      </w:pPr>
      <w:r>
        <w:rPr>
          <w:rStyle w:val="FootnoteReference"/>
        </w:rPr>
        <w:footnoteRef/>
      </w:r>
      <w:r>
        <w:t xml:space="preserve"> AMMA Submission, pars. 19-21.</w:t>
      </w:r>
    </w:p>
  </w:footnote>
  <w:footnote w:id="52">
    <w:p w:rsidR="00A15915" w:rsidRDefault="00A15915" w:rsidP="009E5570">
      <w:pPr>
        <w:pStyle w:val="Tablenote"/>
        <w:spacing w:after="0"/>
      </w:pPr>
      <w:r>
        <w:rPr>
          <w:rStyle w:val="FootnoteReference"/>
        </w:rPr>
        <w:footnoteRef/>
      </w:r>
      <w:r>
        <w:t xml:space="preserve"> AMMA Submission, pars. 30, 33, 35 and 36.</w:t>
      </w:r>
    </w:p>
  </w:footnote>
  <w:footnote w:id="53">
    <w:p w:rsidR="00A15915" w:rsidRDefault="00A15915" w:rsidP="009E5570">
      <w:pPr>
        <w:pStyle w:val="Tablenote"/>
        <w:spacing w:after="0"/>
      </w:pPr>
      <w:r>
        <w:rPr>
          <w:rStyle w:val="FootnoteReference"/>
        </w:rPr>
        <w:footnoteRef/>
      </w:r>
      <w:r>
        <w:t xml:space="preserve"> These consultations were undertaken by telephone on 3 November 2017, 16 November 2017, 21 November 2017 and 23 November 2017, and were made on an in-confidence basis.</w:t>
      </w:r>
    </w:p>
  </w:footnote>
  <w:footnote w:id="54">
    <w:p w:rsidR="00A15915" w:rsidRDefault="00A15915" w:rsidP="009E5570">
      <w:pPr>
        <w:pStyle w:val="Tablenote"/>
        <w:spacing w:after="0"/>
      </w:pPr>
      <w:r>
        <w:rPr>
          <w:rStyle w:val="FootnoteReference"/>
        </w:rPr>
        <w:footnoteRef/>
      </w:r>
      <w:r>
        <w:t xml:space="preserve"> MBA Submission, pars. 19 &amp; 20, and Attachment A.</w:t>
      </w:r>
    </w:p>
  </w:footnote>
  <w:footnote w:id="55">
    <w:p w:rsidR="00A15915" w:rsidRDefault="00A15915" w:rsidP="009E5570">
      <w:pPr>
        <w:pStyle w:val="Tablenote"/>
        <w:spacing w:after="0"/>
      </w:pPr>
      <w:r>
        <w:rPr>
          <w:rStyle w:val="FootnoteReference"/>
        </w:rPr>
        <w:footnoteRef/>
      </w:r>
      <w:r>
        <w:t xml:space="preserve"> </w:t>
      </w:r>
      <w:r w:rsidRPr="00613CFB">
        <w:t>Explanatory Memorandum, Regulation Impact Statement Fair Wor</w:t>
      </w:r>
      <w:r>
        <w:t>k Amendment Bill 2014, p.</w:t>
      </w:r>
      <w:r w:rsidRPr="00613CFB">
        <w:t xml:space="preserve"> x</w:t>
      </w:r>
      <w:r>
        <w:t>.</w:t>
      </w:r>
    </w:p>
  </w:footnote>
  <w:footnote w:id="56">
    <w:p w:rsidR="00A15915" w:rsidRPr="0090554C" w:rsidRDefault="00A15915" w:rsidP="009E5570">
      <w:pPr>
        <w:pStyle w:val="Tablenote"/>
        <w:spacing w:after="0"/>
      </w:pPr>
      <w:r w:rsidRPr="0090554C">
        <w:rPr>
          <w:rStyle w:val="FootnoteReference"/>
        </w:rPr>
        <w:footnoteRef/>
      </w:r>
      <w:r w:rsidRPr="0090554C">
        <w:t xml:space="preserve"> Productivity Commission Inquiry Report, </w:t>
      </w:r>
      <w:r w:rsidRPr="0090554C">
        <w:rPr>
          <w:i/>
        </w:rPr>
        <w:t xml:space="preserve">Overview and recommendations </w:t>
      </w:r>
      <w:r w:rsidRPr="0090554C">
        <w:t>(30 November 2015), p 60</w:t>
      </w:r>
      <w:r>
        <w:t>.</w:t>
      </w:r>
    </w:p>
  </w:footnote>
  <w:footnote w:id="57">
    <w:p w:rsidR="00A15915" w:rsidRDefault="00A15915" w:rsidP="009E5570">
      <w:pPr>
        <w:pStyle w:val="Tablenote"/>
        <w:spacing w:after="0"/>
      </w:pPr>
      <w:r>
        <w:rPr>
          <w:rStyle w:val="FootnoteReference"/>
        </w:rPr>
        <w:footnoteRef/>
      </w:r>
      <w:r>
        <w:t xml:space="preserve"> AMMA Submission, par. 47.</w:t>
      </w:r>
    </w:p>
  </w:footnote>
  <w:footnote w:id="58">
    <w:p w:rsidR="00A15915" w:rsidRDefault="00A15915" w:rsidP="009E5570">
      <w:pPr>
        <w:pStyle w:val="Tablenote"/>
        <w:spacing w:after="0"/>
      </w:pPr>
      <w:r>
        <w:rPr>
          <w:rStyle w:val="FootnoteReference"/>
        </w:rPr>
        <w:footnoteRef/>
      </w:r>
      <w:r>
        <w:t xml:space="preserve"> MBA Submission, par. 74.</w:t>
      </w:r>
    </w:p>
  </w:footnote>
  <w:footnote w:id="59">
    <w:p w:rsidR="00A15915" w:rsidRDefault="00A15915" w:rsidP="009E5570">
      <w:pPr>
        <w:pStyle w:val="Tablenote"/>
        <w:spacing w:after="0"/>
      </w:pPr>
      <w:r>
        <w:rPr>
          <w:rStyle w:val="FootnoteReference"/>
        </w:rPr>
        <w:footnoteRef/>
      </w:r>
      <w:r>
        <w:t xml:space="preserve"> AMMA Submission, par. 43.</w:t>
      </w:r>
    </w:p>
  </w:footnote>
  <w:footnote w:id="60">
    <w:p w:rsidR="00A15915" w:rsidRDefault="00A15915" w:rsidP="009E5570">
      <w:pPr>
        <w:pStyle w:val="Tablenote"/>
        <w:spacing w:after="0"/>
      </w:pPr>
      <w:r>
        <w:rPr>
          <w:rStyle w:val="FootnoteReference"/>
        </w:rPr>
        <w:footnoteRef/>
      </w:r>
      <w:r>
        <w:t xml:space="preserve"> AMWU Submission, p. 14.</w:t>
      </w:r>
    </w:p>
  </w:footnote>
  <w:footnote w:id="61">
    <w:p w:rsidR="00A15915" w:rsidRDefault="00A15915" w:rsidP="009E5570">
      <w:pPr>
        <w:pStyle w:val="Tablenote"/>
        <w:spacing w:after="0"/>
      </w:pPr>
      <w:r>
        <w:rPr>
          <w:rStyle w:val="FootnoteReference"/>
        </w:rPr>
        <w:footnoteRef/>
      </w:r>
      <w:r>
        <w:t xml:space="preserve"> AMWU Submission, pars. 80-89.</w:t>
      </w:r>
    </w:p>
  </w:footnote>
  <w:footnote w:id="62">
    <w:p w:rsidR="00A15915" w:rsidRDefault="00A15915" w:rsidP="009E5570">
      <w:pPr>
        <w:pStyle w:val="Tablenote"/>
        <w:spacing w:after="0"/>
      </w:pPr>
      <w:r>
        <w:rPr>
          <w:rStyle w:val="FootnoteReference"/>
        </w:rPr>
        <w:footnoteRef/>
      </w:r>
      <w:r>
        <w:t xml:space="preserve"> ANMF Submission, p. 2 &amp; AFAP Submission, p. 4.</w:t>
      </w:r>
    </w:p>
  </w:footnote>
  <w:footnote w:id="63">
    <w:p w:rsidR="00A15915" w:rsidRDefault="00A15915" w:rsidP="009E5570">
      <w:pPr>
        <w:pStyle w:val="Tablenote"/>
        <w:spacing w:after="0"/>
      </w:pPr>
      <w:r>
        <w:rPr>
          <w:rStyle w:val="FootnoteReference"/>
        </w:rPr>
        <w:footnoteRef/>
      </w:r>
      <w:r>
        <w:t xml:space="preserve"> Email communication with the CFMEU, 23 November 2017.</w:t>
      </w:r>
    </w:p>
  </w:footnote>
  <w:footnote w:id="64">
    <w:p w:rsidR="00A15915" w:rsidRDefault="00A15915" w:rsidP="009E5570">
      <w:pPr>
        <w:pStyle w:val="Tablenote"/>
        <w:spacing w:after="0"/>
      </w:pPr>
      <w:r>
        <w:rPr>
          <w:rStyle w:val="FootnoteReference"/>
        </w:rPr>
        <w:footnoteRef/>
      </w:r>
      <w:r>
        <w:t xml:space="preserve"> MBA Submission, par. 42.</w:t>
      </w:r>
    </w:p>
  </w:footnote>
  <w:footnote w:id="65">
    <w:p w:rsidR="00A15915" w:rsidRDefault="00A15915" w:rsidP="009E5570">
      <w:pPr>
        <w:pStyle w:val="Tablenote"/>
        <w:spacing w:after="0"/>
      </w:pPr>
      <w:r>
        <w:rPr>
          <w:rStyle w:val="FootnoteReference"/>
        </w:rPr>
        <w:footnoteRef/>
      </w:r>
      <w:r>
        <w:t xml:space="preserve"> AMWU Submission, par. 11.</w:t>
      </w:r>
    </w:p>
  </w:footnote>
  <w:footnote w:id="66">
    <w:p w:rsidR="00A15915" w:rsidRDefault="00A15915" w:rsidP="009E5570">
      <w:pPr>
        <w:pStyle w:val="Tablenote"/>
        <w:spacing w:after="0"/>
      </w:pPr>
      <w:r>
        <w:rPr>
          <w:rStyle w:val="FootnoteReference"/>
        </w:rPr>
        <w:footnoteRef/>
      </w:r>
      <w:r>
        <w:t xml:space="preserve"> ACTU Submission, pars. 20 and 21.</w:t>
      </w:r>
    </w:p>
  </w:footnote>
  <w:footnote w:id="67">
    <w:p w:rsidR="00A15915" w:rsidRDefault="00A15915" w:rsidP="009E5570">
      <w:pPr>
        <w:pStyle w:val="Tablenote"/>
        <w:spacing w:after="0"/>
      </w:pPr>
      <w:r>
        <w:rPr>
          <w:rStyle w:val="FootnoteReference"/>
        </w:rPr>
        <w:footnoteRef/>
      </w:r>
      <w:r>
        <w:t xml:space="preserve"> CFMEU submission, pars. 18-20.</w:t>
      </w:r>
    </w:p>
  </w:footnote>
  <w:footnote w:id="68">
    <w:p w:rsidR="00A15915" w:rsidRDefault="00A15915" w:rsidP="009E5570">
      <w:pPr>
        <w:pStyle w:val="Tablenote"/>
        <w:spacing w:after="0"/>
      </w:pPr>
      <w:r>
        <w:rPr>
          <w:rStyle w:val="FootnoteReference"/>
        </w:rPr>
        <w:footnoteRef/>
      </w:r>
      <w:r>
        <w:t xml:space="preserve"> AWU Submission, pp. 5-6.</w:t>
      </w:r>
    </w:p>
  </w:footnote>
  <w:footnote w:id="69">
    <w:p w:rsidR="00A15915" w:rsidRDefault="00A15915" w:rsidP="009E5570">
      <w:pPr>
        <w:pStyle w:val="Tablenote"/>
        <w:spacing w:after="0"/>
      </w:pPr>
      <w:r>
        <w:rPr>
          <w:rStyle w:val="FootnoteReference"/>
        </w:rPr>
        <w:footnoteRef/>
      </w:r>
      <w:r>
        <w:t xml:space="preserve"> AMWU Submission, par. 5.</w:t>
      </w:r>
    </w:p>
  </w:footnote>
  <w:footnote w:id="70">
    <w:p w:rsidR="00A15915" w:rsidRDefault="00A15915" w:rsidP="009E5570">
      <w:pPr>
        <w:pStyle w:val="Tablenote"/>
        <w:spacing w:after="0"/>
      </w:pPr>
      <w:r>
        <w:rPr>
          <w:rStyle w:val="FootnoteReference"/>
        </w:rPr>
        <w:footnoteRef/>
      </w:r>
      <w:r>
        <w:t xml:space="preserve"> AMWU Submission, pars. 16-79 &amp; 90(a).</w:t>
      </w:r>
    </w:p>
  </w:footnote>
  <w:footnote w:id="71">
    <w:p w:rsidR="00A15915" w:rsidRDefault="00A15915" w:rsidP="009E5570">
      <w:pPr>
        <w:pStyle w:val="Tablenote"/>
        <w:spacing w:after="0"/>
      </w:pPr>
      <w:r>
        <w:rPr>
          <w:rStyle w:val="FootnoteReference"/>
        </w:rPr>
        <w:footnoteRef/>
      </w:r>
      <w:r>
        <w:t xml:space="preserve"> AMWU Submission, pars. 80-82.</w:t>
      </w:r>
    </w:p>
  </w:footnote>
  <w:footnote w:id="72">
    <w:p w:rsidR="00A15915" w:rsidRDefault="00A15915" w:rsidP="009E5570">
      <w:pPr>
        <w:pStyle w:val="Tablenote"/>
        <w:spacing w:after="0"/>
      </w:pPr>
      <w:r>
        <w:rPr>
          <w:rStyle w:val="FootnoteReference"/>
        </w:rPr>
        <w:footnoteRef/>
      </w:r>
      <w:r>
        <w:t xml:space="preserve"> AMWU Submission, par. 11.</w:t>
      </w:r>
    </w:p>
  </w:footnote>
  <w:footnote w:id="73">
    <w:p w:rsidR="00A15915" w:rsidRDefault="00A15915" w:rsidP="009E5570">
      <w:pPr>
        <w:pStyle w:val="Tablenote"/>
        <w:spacing w:after="0"/>
      </w:pPr>
      <w:r>
        <w:rPr>
          <w:rStyle w:val="FootnoteReference"/>
        </w:rPr>
        <w:footnoteRef/>
      </w:r>
      <w:r>
        <w:t xml:space="preserve"> AMWU Submission, pars. 12-15.</w:t>
      </w:r>
    </w:p>
  </w:footnote>
  <w:footnote w:id="74">
    <w:p w:rsidR="00A15915" w:rsidRDefault="00A15915" w:rsidP="009E5570">
      <w:pPr>
        <w:pStyle w:val="Tablenote"/>
        <w:spacing w:after="0"/>
      </w:pPr>
      <w:r>
        <w:rPr>
          <w:rStyle w:val="FootnoteReference"/>
        </w:rPr>
        <w:footnoteRef/>
      </w:r>
      <w:r>
        <w:t xml:space="preserve"> CFMEU Submission, par. 20.</w:t>
      </w:r>
    </w:p>
  </w:footnote>
  <w:footnote w:id="75">
    <w:p w:rsidR="00A15915" w:rsidRPr="007E0666" w:rsidRDefault="00A15915" w:rsidP="009E5570">
      <w:pPr>
        <w:pStyle w:val="Tablenote"/>
        <w:spacing w:after="0"/>
        <w:rPr>
          <w:i/>
        </w:rPr>
      </w:pPr>
      <w:r>
        <w:rPr>
          <w:rStyle w:val="FootnoteReference"/>
        </w:rPr>
        <w:footnoteRef/>
      </w:r>
      <w:r>
        <w:t xml:space="preserve"> S 186(3) and(3A) of the </w:t>
      </w:r>
      <w:r>
        <w:rPr>
          <w:i/>
        </w:rPr>
        <w:t>Fair Work Act 2009.</w:t>
      </w:r>
    </w:p>
  </w:footnote>
  <w:footnote w:id="76">
    <w:p w:rsidR="00A15915" w:rsidRDefault="00A15915" w:rsidP="009E5570">
      <w:pPr>
        <w:pStyle w:val="Tablenote"/>
        <w:spacing w:after="0"/>
      </w:pPr>
      <w:r>
        <w:rPr>
          <w:rStyle w:val="FootnoteReference"/>
        </w:rPr>
        <w:footnoteRef/>
      </w:r>
      <w:r>
        <w:t xml:space="preserve"> CFMEU Submission, par. 18.</w:t>
      </w:r>
    </w:p>
  </w:footnote>
  <w:footnote w:id="77">
    <w:p w:rsidR="00A15915" w:rsidRDefault="00A15915" w:rsidP="009E5570">
      <w:pPr>
        <w:pStyle w:val="Tablenote"/>
        <w:spacing w:after="0"/>
      </w:pPr>
      <w:r>
        <w:rPr>
          <w:rStyle w:val="FootnoteReference"/>
        </w:rPr>
        <w:footnoteRef/>
      </w:r>
      <w:r>
        <w:t xml:space="preserve"> </w:t>
      </w:r>
      <w:r w:rsidRPr="00C40464">
        <w:t>[2012] FWAA 4449</w:t>
      </w:r>
      <w:r>
        <w:t>.</w:t>
      </w:r>
    </w:p>
  </w:footnote>
  <w:footnote w:id="78">
    <w:p w:rsidR="00A15915" w:rsidRDefault="00A15915" w:rsidP="009E5570">
      <w:pPr>
        <w:pStyle w:val="Tablenote"/>
        <w:spacing w:after="0"/>
      </w:pPr>
      <w:r>
        <w:rPr>
          <w:rStyle w:val="FootnoteReference"/>
        </w:rPr>
        <w:footnoteRef/>
      </w:r>
      <w:r>
        <w:t xml:space="preserve"> </w:t>
      </w:r>
      <w:r w:rsidRPr="00C40464">
        <w:t>[2012] FWAFB 7866</w:t>
      </w:r>
      <w:r>
        <w:t>.</w:t>
      </w:r>
    </w:p>
  </w:footnote>
  <w:footnote w:id="79">
    <w:p w:rsidR="00A15915" w:rsidRDefault="00A15915" w:rsidP="009E5570">
      <w:pPr>
        <w:pStyle w:val="Tablenote"/>
        <w:spacing w:after="0"/>
      </w:pPr>
      <w:r>
        <w:rPr>
          <w:rStyle w:val="FootnoteReference"/>
        </w:rPr>
        <w:footnoteRef/>
      </w:r>
      <w:r>
        <w:t xml:space="preserve"> </w:t>
      </w:r>
      <w:r w:rsidRPr="00FC63CF">
        <w:rPr>
          <w:i/>
        </w:rPr>
        <w:t>Construction, Forestry, Mining, and Energy Union v John Holland Pty Ltd [2015</w:t>
      </w:r>
      <w:r w:rsidRPr="00DB7519">
        <w:t>] FCAFC 16</w:t>
      </w:r>
      <w:r>
        <w:t xml:space="preserve"> at [64].</w:t>
      </w:r>
    </w:p>
  </w:footnote>
  <w:footnote w:id="80">
    <w:p w:rsidR="00A15915" w:rsidRDefault="00A15915" w:rsidP="009E5570">
      <w:pPr>
        <w:pStyle w:val="Tablenote"/>
        <w:spacing w:after="0"/>
      </w:pPr>
      <w:r>
        <w:rPr>
          <w:rStyle w:val="FootnoteReference"/>
        </w:rPr>
        <w:footnoteRef/>
      </w:r>
      <w:r>
        <w:t xml:space="preserve"> Ibid at [34].</w:t>
      </w:r>
    </w:p>
  </w:footnote>
  <w:footnote w:id="81">
    <w:p w:rsidR="00A15915" w:rsidRDefault="00A15915" w:rsidP="009E5570">
      <w:pPr>
        <w:pStyle w:val="Tablenote"/>
        <w:spacing w:after="0"/>
      </w:pPr>
      <w:r>
        <w:rPr>
          <w:rStyle w:val="FootnoteReference"/>
        </w:rPr>
        <w:footnoteRef/>
      </w:r>
      <w:r>
        <w:t xml:space="preserve"> </w:t>
      </w:r>
      <w:r w:rsidRPr="00C40464">
        <w:t>[2015] FWCA 7516</w:t>
      </w:r>
      <w:r>
        <w:t>.</w:t>
      </w:r>
    </w:p>
  </w:footnote>
  <w:footnote w:id="82">
    <w:p w:rsidR="00A15915" w:rsidRDefault="00A15915" w:rsidP="009E5570">
      <w:pPr>
        <w:pStyle w:val="Tablenote"/>
        <w:spacing w:after="0"/>
      </w:pPr>
      <w:r>
        <w:rPr>
          <w:rStyle w:val="FootnoteReference"/>
        </w:rPr>
        <w:footnoteRef/>
      </w:r>
      <w:r>
        <w:t xml:space="preserve"> Construction, Forestry, Mining and Energy Union v One Key Workforce Pty Ltd [2017] FCA 1266 at [122].</w:t>
      </w:r>
    </w:p>
  </w:footnote>
  <w:footnote w:id="83">
    <w:p w:rsidR="00A15915" w:rsidRDefault="00A15915" w:rsidP="009E5570">
      <w:pPr>
        <w:pStyle w:val="Tablenote"/>
        <w:spacing w:after="0"/>
      </w:pPr>
      <w:r>
        <w:rPr>
          <w:rStyle w:val="FootnoteReference"/>
        </w:rPr>
        <w:footnoteRef/>
      </w:r>
      <w:r>
        <w:t xml:space="preserve"> Ibid at [124].</w:t>
      </w:r>
    </w:p>
  </w:footnote>
  <w:footnote w:id="84">
    <w:p w:rsidR="00A15915" w:rsidRDefault="00A15915" w:rsidP="00C5080C">
      <w:pPr>
        <w:pStyle w:val="Tablenote"/>
        <w:spacing w:after="0"/>
      </w:pPr>
      <w:r>
        <w:rPr>
          <w:rStyle w:val="FootnoteReference"/>
        </w:rPr>
        <w:footnoteRef/>
      </w:r>
      <w:r>
        <w:t xml:space="preserve"> </w:t>
      </w:r>
      <w:r w:rsidRPr="002F5E4D">
        <w:t>Workplace Agreements Database, Department of Employment</w:t>
      </w:r>
      <w:r>
        <w:t>.</w:t>
      </w:r>
    </w:p>
  </w:footnote>
  <w:footnote w:id="85">
    <w:p w:rsidR="00A15915" w:rsidRDefault="00A15915" w:rsidP="009E5570">
      <w:pPr>
        <w:pStyle w:val="Tablenote"/>
        <w:spacing w:after="0"/>
      </w:pPr>
      <w:r>
        <w:rPr>
          <w:rStyle w:val="FootnoteReference"/>
        </w:rPr>
        <w:footnoteRef/>
      </w:r>
      <w:r>
        <w:t xml:space="preserve"> </w:t>
      </w:r>
      <w:r w:rsidRPr="00B06B1E">
        <w:t xml:space="preserve">Productivity Commission Inquiry Report, </w:t>
      </w:r>
      <w:r w:rsidRPr="00B06B1E">
        <w:rPr>
          <w:i/>
        </w:rPr>
        <w:t xml:space="preserve">Overview and recommendations </w:t>
      </w:r>
      <w:r w:rsidRPr="00B06B1E">
        <w:t>(30 November 2015), p</w:t>
      </w:r>
      <w:r>
        <w:t>.</w:t>
      </w:r>
      <w:r w:rsidRPr="00B06B1E">
        <w:t xml:space="preserve"> 59</w:t>
      </w:r>
      <w:r>
        <w:t>.</w:t>
      </w:r>
    </w:p>
  </w:footnote>
  <w:footnote w:id="86">
    <w:p w:rsidR="00A15915" w:rsidRDefault="00A15915" w:rsidP="009E5570">
      <w:pPr>
        <w:pStyle w:val="Tablenote"/>
        <w:spacing w:after="0"/>
      </w:pPr>
      <w:r>
        <w:rPr>
          <w:rStyle w:val="FootnoteReference"/>
        </w:rPr>
        <w:footnoteRef/>
      </w:r>
      <w:r>
        <w:t xml:space="preserve"> </w:t>
      </w:r>
      <w:r w:rsidRPr="008C4F94">
        <w:rPr>
          <w:i/>
        </w:rPr>
        <w:t>Workplace Relations Framework</w:t>
      </w:r>
      <w:r w:rsidRPr="008C4F94">
        <w:t>, Productivity Commission Inquiry Report No 76, 30 November 2015, vol 2, p</w:t>
      </w:r>
      <w:r>
        <w:t>p</w:t>
      </w:r>
      <w:r w:rsidRPr="008C4F94">
        <w:t>.</w:t>
      </w:r>
      <w:r>
        <w:t xml:space="preserve"> 689-690.</w:t>
      </w:r>
    </w:p>
  </w:footnote>
  <w:footnote w:id="87">
    <w:p w:rsidR="00A15915" w:rsidRDefault="00A15915" w:rsidP="009E5570">
      <w:pPr>
        <w:pStyle w:val="Tablenote"/>
        <w:spacing w:after="0"/>
      </w:pPr>
      <w:r>
        <w:rPr>
          <w:rStyle w:val="FootnoteReference"/>
        </w:rPr>
        <w:footnoteRef/>
      </w:r>
      <w:r>
        <w:t xml:space="preserve"> AMWU Submission, par. 8(b).</w:t>
      </w:r>
    </w:p>
  </w:footnote>
  <w:footnote w:id="88">
    <w:p w:rsidR="00A15915" w:rsidRDefault="00A15915" w:rsidP="009E5570">
      <w:pPr>
        <w:pStyle w:val="Tablenote"/>
        <w:spacing w:after="0"/>
      </w:pPr>
      <w:r>
        <w:rPr>
          <w:rStyle w:val="FootnoteReference"/>
        </w:rPr>
        <w:footnoteRef/>
      </w:r>
      <w:r>
        <w:t xml:space="preserve"> MBA Submission, par. 70.</w:t>
      </w:r>
    </w:p>
  </w:footnote>
  <w:footnote w:id="89">
    <w:p w:rsidR="00A15915" w:rsidRPr="00F27BF2" w:rsidRDefault="00A15915" w:rsidP="009E5570">
      <w:pPr>
        <w:pStyle w:val="Tablenote"/>
        <w:spacing w:after="0"/>
        <w:rPr>
          <w:i/>
        </w:rPr>
      </w:pPr>
      <w:r>
        <w:rPr>
          <w:rStyle w:val="FootnoteReference"/>
        </w:rPr>
        <w:footnoteRef/>
      </w:r>
      <w:r>
        <w:t xml:space="preserve"> Refer to </w:t>
      </w:r>
      <w:r w:rsidRPr="002039A3">
        <w:rPr>
          <w:lang w:val="en"/>
        </w:rPr>
        <w:t>Rule 24(5B) and 24(5C)</w:t>
      </w:r>
      <w:r w:rsidRPr="00891ACA">
        <w:rPr>
          <w:lang w:val="en"/>
        </w:rPr>
        <w:t xml:space="preserve"> </w:t>
      </w:r>
      <w:r w:rsidRPr="002039A3">
        <w:rPr>
          <w:lang w:val="en"/>
        </w:rPr>
        <w:t>Sch 1</w:t>
      </w:r>
      <w:r>
        <w:t xml:space="preserve"> </w:t>
      </w:r>
      <w:r>
        <w:rPr>
          <w:i/>
        </w:rPr>
        <w:t>Fair Work Commission Rules 2013.</w:t>
      </w:r>
    </w:p>
  </w:footnote>
  <w:footnote w:id="90">
    <w:p w:rsidR="00A15915" w:rsidRDefault="00A15915" w:rsidP="00BF61FC">
      <w:pPr>
        <w:pStyle w:val="Tablenote"/>
        <w:spacing w:after="0"/>
      </w:pPr>
      <w:r>
        <w:rPr>
          <w:rStyle w:val="FootnoteReference"/>
        </w:rPr>
        <w:footnoteRef/>
      </w:r>
      <w:r>
        <w:t xml:space="preserve"> </w:t>
      </w:r>
      <w:r w:rsidRPr="006C208B">
        <w:t>Workplace Agreements Database, Department of Employment</w:t>
      </w:r>
      <w:r>
        <w:t>.</w:t>
      </w:r>
    </w:p>
  </w:footnote>
  <w:footnote w:id="91">
    <w:p w:rsidR="00A15915" w:rsidRDefault="00A15915" w:rsidP="00BF61FC">
      <w:pPr>
        <w:pStyle w:val="Tablenote"/>
        <w:spacing w:after="0"/>
      </w:pPr>
      <w:r>
        <w:rPr>
          <w:rStyle w:val="FootnoteReference"/>
        </w:rPr>
        <w:footnoteRef/>
      </w:r>
      <w:r>
        <w:t xml:space="preserve"> </w:t>
      </w:r>
      <w:r w:rsidRPr="006C208B">
        <w:t>Workplace Agreements Database, Department of Employment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1EB"/>
    <w:multiLevelType w:val="hybridMultilevel"/>
    <w:tmpl w:val="631EFE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6201941"/>
    <w:multiLevelType w:val="hybridMultilevel"/>
    <w:tmpl w:val="2D6E2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8623CB"/>
    <w:multiLevelType w:val="hybridMultilevel"/>
    <w:tmpl w:val="96EAF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86669A"/>
    <w:multiLevelType w:val="multilevel"/>
    <w:tmpl w:val="4D22652A"/>
    <w:styleLink w:val="submissionlist"/>
    <w:lvl w:ilvl="0">
      <w:start w:val="1"/>
      <w:numFmt w:val="decimal"/>
      <w:lvlText w:val="%1"/>
      <w:lvlJc w:val="left"/>
      <w:pPr>
        <w:ind w:left="567" w:hanging="567"/>
      </w:pPr>
      <w:rPr>
        <w:rFonts w:hint="default"/>
      </w:rPr>
    </w:lvl>
    <w:lvl w:ilvl="1">
      <w:start w:val="1"/>
      <w:numFmt w:val="decimal"/>
      <w:lvlText w:val="%1.%2"/>
      <w:lvlJc w:val="left"/>
      <w:pPr>
        <w:ind w:left="1418" w:hanging="851"/>
      </w:pPr>
      <w:rPr>
        <w:rFonts w:hint="default"/>
      </w:rPr>
    </w:lvl>
    <w:lvl w:ilvl="2">
      <w:start w:val="1"/>
      <w:numFmt w:val="decimal"/>
      <w:lvlText w:val="%1.%2.%3"/>
      <w:lvlJc w:val="left"/>
      <w:pPr>
        <w:ind w:left="2381" w:hanging="963"/>
      </w:pPr>
      <w:rPr>
        <w:rFonts w:hint="default"/>
      </w:rPr>
    </w:lvl>
    <w:lvl w:ilvl="3">
      <w:start w:val="1"/>
      <w:numFmt w:val="decimal"/>
      <w:lvlText w:val="%1.%2.%3.%4"/>
      <w:lvlJc w:val="left"/>
      <w:pPr>
        <w:ind w:left="3402" w:hanging="1021"/>
      </w:pPr>
      <w:rPr>
        <w:rFonts w:hint="default"/>
      </w:rPr>
    </w:lvl>
    <w:lvl w:ilvl="4">
      <w:start w:val="1"/>
      <w:numFmt w:val="decimal"/>
      <w:lvlText w:val="%1.%2.%3.%4.%5."/>
      <w:lvlJc w:val="left"/>
      <w:pPr>
        <w:ind w:left="2232" w:hanging="24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0E5ECF"/>
    <w:multiLevelType w:val="hybridMultilevel"/>
    <w:tmpl w:val="AF107D1A"/>
    <w:lvl w:ilvl="0" w:tplc="0C090017">
      <w:start w:val="1"/>
      <w:numFmt w:val="lowerLetter"/>
      <w:lvlText w:val="%1)"/>
      <w:lvlJc w:val="left"/>
      <w:pPr>
        <w:ind w:left="720" w:hanging="360"/>
      </w:pPr>
    </w:lvl>
    <w:lvl w:ilvl="1" w:tplc="B21C81A4">
      <w:numFmt w:val="bullet"/>
      <w:lvlText w:val="•"/>
      <w:lvlJc w:val="left"/>
      <w:pPr>
        <w:ind w:left="1440" w:hanging="360"/>
      </w:pPr>
      <w:rPr>
        <w:rFonts w:asciiTheme="minorHAnsi" w:eastAsiaTheme="minorHAnsi" w:hAnsiTheme="minorHAnsi"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CB6A44"/>
    <w:multiLevelType w:val="hybridMultilevel"/>
    <w:tmpl w:val="D1EA8FD6"/>
    <w:lvl w:ilvl="0" w:tplc="8200CE28">
      <w:start w:val="1"/>
      <w:numFmt w:val="bullet"/>
      <w:pStyle w:val="submissionbullet"/>
      <w:lvlText w:val=""/>
      <w:lvlJc w:val="left"/>
      <w:pPr>
        <w:ind w:left="1494" w:hanging="360"/>
      </w:pPr>
      <w:rPr>
        <w:rFonts w:ascii="Symbol" w:hAnsi="Symbol" w:hint="default"/>
      </w:rPr>
    </w:lvl>
    <w:lvl w:ilvl="1" w:tplc="0C090003">
      <w:start w:val="1"/>
      <w:numFmt w:val="bullet"/>
      <w:lvlText w:val="o"/>
      <w:lvlJc w:val="left"/>
      <w:pPr>
        <w:ind w:left="2313" w:hanging="360"/>
      </w:pPr>
      <w:rPr>
        <w:rFonts w:ascii="Courier New" w:hAnsi="Courier New" w:cs="Courier New" w:hint="default"/>
      </w:rPr>
    </w:lvl>
    <w:lvl w:ilvl="2" w:tplc="0C090005" w:tentative="1">
      <w:start w:val="1"/>
      <w:numFmt w:val="bullet"/>
      <w:lvlText w:val=""/>
      <w:lvlJc w:val="left"/>
      <w:pPr>
        <w:ind w:left="3033" w:hanging="360"/>
      </w:pPr>
      <w:rPr>
        <w:rFonts w:ascii="Wingdings" w:hAnsi="Wingdings" w:hint="default"/>
      </w:rPr>
    </w:lvl>
    <w:lvl w:ilvl="3" w:tplc="0C090001" w:tentative="1">
      <w:start w:val="1"/>
      <w:numFmt w:val="bullet"/>
      <w:lvlText w:val=""/>
      <w:lvlJc w:val="left"/>
      <w:pPr>
        <w:ind w:left="3753" w:hanging="360"/>
      </w:pPr>
      <w:rPr>
        <w:rFonts w:ascii="Symbol" w:hAnsi="Symbol" w:hint="default"/>
      </w:rPr>
    </w:lvl>
    <w:lvl w:ilvl="4" w:tplc="0C090003" w:tentative="1">
      <w:start w:val="1"/>
      <w:numFmt w:val="bullet"/>
      <w:lvlText w:val="o"/>
      <w:lvlJc w:val="left"/>
      <w:pPr>
        <w:ind w:left="4473" w:hanging="360"/>
      </w:pPr>
      <w:rPr>
        <w:rFonts w:ascii="Courier New" w:hAnsi="Courier New" w:cs="Courier New" w:hint="default"/>
      </w:rPr>
    </w:lvl>
    <w:lvl w:ilvl="5" w:tplc="0C090005" w:tentative="1">
      <w:start w:val="1"/>
      <w:numFmt w:val="bullet"/>
      <w:lvlText w:val=""/>
      <w:lvlJc w:val="left"/>
      <w:pPr>
        <w:ind w:left="5193" w:hanging="360"/>
      </w:pPr>
      <w:rPr>
        <w:rFonts w:ascii="Wingdings" w:hAnsi="Wingdings" w:hint="default"/>
      </w:rPr>
    </w:lvl>
    <w:lvl w:ilvl="6" w:tplc="0C090001" w:tentative="1">
      <w:start w:val="1"/>
      <w:numFmt w:val="bullet"/>
      <w:lvlText w:val=""/>
      <w:lvlJc w:val="left"/>
      <w:pPr>
        <w:ind w:left="5913" w:hanging="360"/>
      </w:pPr>
      <w:rPr>
        <w:rFonts w:ascii="Symbol" w:hAnsi="Symbol" w:hint="default"/>
      </w:rPr>
    </w:lvl>
    <w:lvl w:ilvl="7" w:tplc="0C090003" w:tentative="1">
      <w:start w:val="1"/>
      <w:numFmt w:val="bullet"/>
      <w:lvlText w:val="o"/>
      <w:lvlJc w:val="left"/>
      <w:pPr>
        <w:ind w:left="6633" w:hanging="360"/>
      </w:pPr>
      <w:rPr>
        <w:rFonts w:ascii="Courier New" w:hAnsi="Courier New" w:cs="Courier New" w:hint="default"/>
      </w:rPr>
    </w:lvl>
    <w:lvl w:ilvl="8" w:tplc="0C090005" w:tentative="1">
      <w:start w:val="1"/>
      <w:numFmt w:val="bullet"/>
      <w:lvlText w:val=""/>
      <w:lvlJc w:val="left"/>
      <w:pPr>
        <w:ind w:left="7353" w:hanging="360"/>
      </w:pPr>
      <w:rPr>
        <w:rFonts w:ascii="Wingdings" w:hAnsi="Wingdings" w:hint="default"/>
      </w:rPr>
    </w:lvl>
  </w:abstractNum>
  <w:abstractNum w:abstractNumId="6" w15:restartNumberingAfterBreak="0">
    <w:nsid w:val="1E443C2D"/>
    <w:multiLevelType w:val="hybridMultilevel"/>
    <w:tmpl w:val="A13E776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24B44D62"/>
    <w:multiLevelType w:val="hybridMultilevel"/>
    <w:tmpl w:val="EC6C8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263D93"/>
    <w:multiLevelType w:val="hybridMultilevel"/>
    <w:tmpl w:val="E42AC6C6"/>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76F7900"/>
    <w:multiLevelType w:val="hybridMultilevel"/>
    <w:tmpl w:val="8FDA2B9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2FBA2117"/>
    <w:multiLevelType w:val="hybridMultilevel"/>
    <w:tmpl w:val="1D047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E840237"/>
    <w:multiLevelType w:val="hybridMultilevel"/>
    <w:tmpl w:val="3514882E"/>
    <w:lvl w:ilvl="0" w:tplc="8A32278A">
      <w:start w:val="9"/>
      <w:numFmt w:val="bullet"/>
      <w:lvlText w:val=""/>
      <w:lvlJc w:val="left"/>
      <w:pPr>
        <w:ind w:left="927" w:hanging="360"/>
      </w:pPr>
      <w:rPr>
        <w:rFonts w:ascii="Symbol" w:eastAsia="Arial" w:hAnsi="Symbol"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2" w15:restartNumberingAfterBreak="0">
    <w:nsid w:val="41B57FE9"/>
    <w:multiLevelType w:val="hybridMultilevel"/>
    <w:tmpl w:val="BBD427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58213859"/>
    <w:multiLevelType w:val="hybridMultilevel"/>
    <w:tmpl w:val="C7D27D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61B53275"/>
    <w:multiLevelType w:val="multilevel"/>
    <w:tmpl w:val="C4C4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41222B"/>
    <w:multiLevelType w:val="hybridMultilevel"/>
    <w:tmpl w:val="633668E6"/>
    <w:lvl w:ilvl="0" w:tplc="A5A659CA">
      <w:start w:val="1"/>
      <w:numFmt w:val="decimal"/>
      <w:lvlText w:val="%1."/>
      <w:lvlJc w:val="left"/>
      <w:pPr>
        <w:ind w:left="720" w:hanging="360"/>
      </w:pPr>
      <w:rPr>
        <w:rFonts w:ascii="Arial Narrow" w:hAnsi="Arial Narrow" w:hint="default"/>
        <w:b w:val="0"/>
        <w:i w:val="0"/>
        <w:sz w:val="26"/>
        <w:szCs w:val="26"/>
      </w:rPr>
    </w:lvl>
    <w:lvl w:ilvl="1" w:tplc="5B506746">
      <w:start w:val="1"/>
      <w:numFmt w:val="lowerLetter"/>
      <w:lvlText w:val="%2."/>
      <w:lvlJc w:val="left"/>
      <w:pPr>
        <w:ind w:left="1440" w:hanging="360"/>
      </w:pPr>
      <w:rPr>
        <w:rFonts w:hint="default"/>
        <w:b w:val="0"/>
        <w:i w:val="0"/>
      </w:rPr>
    </w:lvl>
    <w:lvl w:ilvl="2" w:tplc="A06CFC30">
      <w:start w:val="1"/>
      <w:numFmt w:val="lowerRoman"/>
      <w:lvlText w:val="%3."/>
      <w:lvlJc w:val="left"/>
      <w:pPr>
        <w:ind w:left="2160" w:hanging="180"/>
      </w:pPr>
      <w:rPr>
        <w:rFonts w:hint="default"/>
        <w:i w:val="0"/>
      </w:rPr>
    </w:lvl>
    <w:lvl w:ilvl="3" w:tplc="A5F0808E">
      <w:start w:val="1"/>
      <w:numFmt w:val="decimal"/>
      <w:lvlText w:val="%4."/>
      <w:lvlJc w:val="left"/>
      <w:pPr>
        <w:ind w:left="2880" w:hanging="360"/>
      </w:pPr>
      <w:rPr>
        <w:i w:val="0"/>
      </w:r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B0611AC"/>
    <w:multiLevelType w:val="hybridMultilevel"/>
    <w:tmpl w:val="4D761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45300B"/>
    <w:multiLevelType w:val="hybridMultilevel"/>
    <w:tmpl w:val="8290711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15:restartNumberingAfterBreak="0">
    <w:nsid w:val="71994D8B"/>
    <w:multiLevelType w:val="multilevel"/>
    <w:tmpl w:val="0170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6"/>
  </w:num>
  <w:num w:numId="3">
    <w:abstractNumId w:val="1"/>
  </w:num>
  <w:num w:numId="4">
    <w:abstractNumId w:val="9"/>
  </w:num>
  <w:num w:numId="5">
    <w:abstractNumId w:val="17"/>
  </w:num>
  <w:num w:numId="6">
    <w:abstractNumId w:val="15"/>
  </w:num>
  <w:num w:numId="7">
    <w:abstractNumId w:val="4"/>
  </w:num>
  <w:num w:numId="8">
    <w:abstractNumId w:val="10"/>
  </w:num>
  <w:num w:numId="9">
    <w:abstractNumId w:val="0"/>
  </w:num>
  <w:num w:numId="10">
    <w:abstractNumId w:val="12"/>
  </w:num>
  <w:num w:numId="11">
    <w:abstractNumId w:val="11"/>
  </w:num>
  <w:num w:numId="12">
    <w:abstractNumId w:val="14"/>
  </w:num>
  <w:num w:numId="13">
    <w:abstractNumId w:val="18"/>
  </w:num>
  <w:num w:numId="14">
    <w:abstractNumId w:val="3"/>
  </w:num>
  <w:num w:numId="15">
    <w:abstractNumId w:val="5"/>
  </w:num>
  <w:num w:numId="16">
    <w:abstractNumId w:val="7"/>
  </w:num>
  <w:num w:numId="17">
    <w:abstractNumId w:val="6"/>
  </w:num>
  <w:num w:numId="18">
    <w:abstractNumId w:val="8"/>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7E4B8CD-C373-4E70-94A9-E95CFBDE2055}"/>
    <w:docVar w:name="dgnword-eventsink" w:val="143414456"/>
  </w:docVars>
  <w:rsids>
    <w:rsidRoot w:val="00DE3EA9"/>
    <w:rsid w:val="000007A3"/>
    <w:rsid w:val="00010709"/>
    <w:rsid w:val="0001140B"/>
    <w:rsid w:val="0001338D"/>
    <w:rsid w:val="00014BEF"/>
    <w:rsid w:val="0001678B"/>
    <w:rsid w:val="0002065A"/>
    <w:rsid w:val="00022AAB"/>
    <w:rsid w:val="00025912"/>
    <w:rsid w:val="00034375"/>
    <w:rsid w:val="00036CA6"/>
    <w:rsid w:val="00046DB5"/>
    <w:rsid w:val="00047121"/>
    <w:rsid w:val="00050351"/>
    <w:rsid w:val="00050573"/>
    <w:rsid w:val="00052424"/>
    <w:rsid w:val="000550EF"/>
    <w:rsid w:val="0006232E"/>
    <w:rsid w:val="00063235"/>
    <w:rsid w:val="00066A9B"/>
    <w:rsid w:val="00067CA1"/>
    <w:rsid w:val="000719F3"/>
    <w:rsid w:val="0007396C"/>
    <w:rsid w:val="000739F6"/>
    <w:rsid w:val="0007438A"/>
    <w:rsid w:val="0008098F"/>
    <w:rsid w:val="000816A4"/>
    <w:rsid w:val="00084EC7"/>
    <w:rsid w:val="00090053"/>
    <w:rsid w:val="000932A3"/>
    <w:rsid w:val="00094541"/>
    <w:rsid w:val="000960A2"/>
    <w:rsid w:val="000967B0"/>
    <w:rsid w:val="000A0FB3"/>
    <w:rsid w:val="000A3EDF"/>
    <w:rsid w:val="000A5E85"/>
    <w:rsid w:val="000A694E"/>
    <w:rsid w:val="000B3833"/>
    <w:rsid w:val="000B413B"/>
    <w:rsid w:val="000B5071"/>
    <w:rsid w:val="000B50AC"/>
    <w:rsid w:val="000C1E2C"/>
    <w:rsid w:val="000C212A"/>
    <w:rsid w:val="000C29AF"/>
    <w:rsid w:val="000D4DB7"/>
    <w:rsid w:val="000D5E53"/>
    <w:rsid w:val="000D638E"/>
    <w:rsid w:val="000D6DD2"/>
    <w:rsid w:val="000E04FA"/>
    <w:rsid w:val="000E0842"/>
    <w:rsid w:val="000E49D1"/>
    <w:rsid w:val="000F1445"/>
    <w:rsid w:val="000F55F8"/>
    <w:rsid w:val="00103285"/>
    <w:rsid w:val="00111F5A"/>
    <w:rsid w:val="00114DA9"/>
    <w:rsid w:val="001168C9"/>
    <w:rsid w:val="001213F8"/>
    <w:rsid w:val="00132091"/>
    <w:rsid w:val="001356C7"/>
    <w:rsid w:val="00135994"/>
    <w:rsid w:val="00137E19"/>
    <w:rsid w:val="00137F04"/>
    <w:rsid w:val="00141B9C"/>
    <w:rsid w:val="0014370F"/>
    <w:rsid w:val="00143E8F"/>
    <w:rsid w:val="001479AC"/>
    <w:rsid w:val="001511B8"/>
    <w:rsid w:val="001606DC"/>
    <w:rsid w:val="001705E3"/>
    <w:rsid w:val="001712B5"/>
    <w:rsid w:val="0017590F"/>
    <w:rsid w:val="00175CC2"/>
    <w:rsid w:val="001807EE"/>
    <w:rsid w:val="00180ACB"/>
    <w:rsid w:val="001828F0"/>
    <w:rsid w:val="00183E13"/>
    <w:rsid w:val="00185BD5"/>
    <w:rsid w:val="00187776"/>
    <w:rsid w:val="00190220"/>
    <w:rsid w:val="00190BEC"/>
    <w:rsid w:val="00191DB0"/>
    <w:rsid w:val="001A5E32"/>
    <w:rsid w:val="001B311F"/>
    <w:rsid w:val="001B38B3"/>
    <w:rsid w:val="001B5B13"/>
    <w:rsid w:val="001C1D34"/>
    <w:rsid w:val="001C6788"/>
    <w:rsid w:val="001D1F86"/>
    <w:rsid w:val="001D2887"/>
    <w:rsid w:val="001D62DD"/>
    <w:rsid w:val="001E6E66"/>
    <w:rsid w:val="001F315E"/>
    <w:rsid w:val="001F762D"/>
    <w:rsid w:val="0020037D"/>
    <w:rsid w:val="002039A3"/>
    <w:rsid w:val="00207292"/>
    <w:rsid w:val="002115FF"/>
    <w:rsid w:val="002145D4"/>
    <w:rsid w:val="00220716"/>
    <w:rsid w:val="00222818"/>
    <w:rsid w:val="00227F09"/>
    <w:rsid w:val="0024318A"/>
    <w:rsid w:val="002445D5"/>
    <w:rsid w:val="00244A12"/>
    <w:rsid w:val="00245BDF"/>
    <w:rsid w:val="002514D2"/>
    <w:rsid w:val="00251E0F"/>
    <w:rsid w:val="00253358"/>
    <w:rsid w:val="00260299"/>
    <w:rsid w:val="00265173"/>
    <w:rsid w:val="00271A62"/>
    <w:rsid w:val="00272BA8"/>
    <w:rsid w:val="0028288D"/>
    <w:rsid w:val="00283002"/>
    <w:rsid w:val="00283381"/>
    <w:rsid w:val="002863E7"/>
    <w:rsid w:val="00287158"/>
    <w:rsid w:val="00293D7B"/>
    <w:rsid w:val="00294474"/>
    <w:rsid w:val="002944CA"/>
    <w:rsid w:val="002964B7"/>
    <w:rsid w:val="002A31CA"/>
    <w:rsid w:val="002B0A19"/>
    <w:rsid w:val="002B383B"/>
    <w:rsid w:val="002B6EC3"/>
    <w:rsid w:val="002C20F1"/>
    <w:rsid w:val="002C2554"/>
    <w:rsid w:val="002C284B"/>
    <w:rsid w:val="002C29C2"/>
    <w:rsid w:val="002D2D6F"/>
    <w:rsid w:val="002E35D6"/>
    <w:rsid w:val="002E507B"/>
    <w:rsid w:val="002F018A"/>
    <w:rsid w:val="002F0F91"/>
    <w:rsid w:val="002F1169"/>
    <w:rsid w:val="002F2F50"/>
    <w:rsid w:val="002F5E4D"/>
    <w:rsid w:val="003036A1"/>
    <w:rsid w:val="00305377"/>
    <w:rsid w:val="00310B2A"/>
    <w:rsid w:val="0031303E"/>
    <w:rsid w:val="00314191"/>
    <w:rsid w:val="00314D69"/>
    <w:rsid w:val="003169CC"/>
    <w:rsid w:val="00321061"/>
    <w:rsid w:val="00332481"/>
    <w:rsid w:val="0033300E"/>
    <w:rsid w:val="00342C10"/>
    <w:rsid w:val="00352424"/>
    <w:rsid w:val="0035258E"/>
    <w:rsid w:val="00354BEC"/>
    <w:rsid w:val="0036020D"/>
    <w:rsid w:val="00361098"/>
    <w:rsid w:val="003649F2"/>
    <w:rsid w:val="00365508"/>
    <w:rsid w:val="0036561A"/>
    <w:rsid w:val="003728FE"/>
    <w:rsid w:val="003739D7"/>
    <w:rsid w:val="0037645B"/>
    <w:rsid w:val="00376AB1"/>
    <w:rsid w:val="003775E2"/>
    <w:rsid w:val="00377D66"/>
    <w:rsid w:val="00390017"/>
    <w:rsid w:val="0039370B"/>
    <w:rsid w:val="00396BAC"/>
    <w:rsid w:val="003A0180"/>
    <w:rsid w:val="003A6228"/>
    <w:rsid w:val="003B2946"/>
    <w:rsid w:val="003B4BBD"/>
    <w:rsid w:val="003B6E47"/>
    <w:rsid w:val="003C05CB"/>
    <w:rsid w:val="003C17D6"/>
    <w:rsid w:val="003C392E"/>
    <w:rsid w:val="003C3AE9"/>
    <w:rsid w:val="003D04A1"/>
    <w:rsid w:val="003D7296"/>
    <w:rsid w:val="003E09E4"/>
    <w:rsid w:val="003E76D3"/>
    <w:rsid w:val="003E7ED9"/>
    <w:rsid w:val="003F22CA"/>
    <w:rsid w:val="00402B6F"/>
    <w:rsid w:val="00404622"/>
    <w:rsid w:val="0040677B"/>
    <w:rsid w:val="00406AF7"/>
    <w:rsid w:val="004106E4"/>
    <w:rsid w:val="00410AF1"/>
    <w:rsid w:val="00411506"/>
    <w:rsid w:val="0041563B"/>
    <w:rsid w:val="00416FDE"/>
    <w:rsid w:val="00417DC4"/>
    <w:rsid w:val="00425E71"/>
    <w:rsid w:val="004265AD"/>
    <w:rsid w:val="004266E9"/>
    <w:rsid w:val="00431026"/>
    <w:rsid w:val="00442434"/>
    <w:rsid w:val="00442F34"/>
    <w:rsid w:val="00447FD3"/>
    <w:rsid w:val="0045027C"/>
    <w:rsid w:val="00451056"/>
    <w:rsid w:val="004537F6"/>
    <w:rsid w:val="0045480E"/>
    <w:rsid w:val="00455B15"/>
    <w:rsid w:val="004627C8"/>
    <w:rsid w:val="004751F7"/>
    <w:rsid w:val="004767F7"/>
    <w:rsid w:val="0048078D"/>
    <w:rsid w:val="004822E6"/>
    <w:rsid w:val="00493AC4"/>
    <w:rsid w:val="00493B30"/>
    <w:rsid w:val="00494142"/>
    <w:rsid w:val="004944BE"/>
    <w:rsid w:val="004971F8"/>
    <w:rsid w:val="00497248"/>
    <w:rsid w:val="004A406E"/>
    <w:rsid w:val="004B36FF"/>
    <w:rsid w:val="004B421B"/>
    <w:rsid w:val="004B4334"/>
    <w:rsid w:val="004B51E4"/>
    <w:rsid w:val="004B5A74"/>
    <w:rsid w:val="004C078D"/>
    <w:rsid w:val="004C6FE5"/>
    <w:rsid w:val="004D0D88"/>
    <w:rsid w:val="004D23A3"/>
    <w:rsid w:val="004D2FDF"/>
    <w:rsid w:val="004D6E54"/>
    <w:rsid w:val="004E3E25"/>
    <w:rsid w:val="004F6F2A"/>
    <w:rsid w:val="004F7263"/>
    <w:rsid w:val="0050031A"/>
    <w:rsid w:val="0050445E"/>
    <w:rsid w:val="005044A2"/>
    <w:rsid w:val="00513C3B"/>
    <w:rsid w:val="00513CCA"/>
    <w:rsid w:val="00514E04"/>
    <w:rsid w:val="005213C1"/>
    <w:rsid w:val="00526CD0"/>
    <w:rsid w:val="005307C9"/>
    <w:rsid w:val="00532CAF"/>
    <w:rsid w:val="00536951"/>
    <w:rsid w:val="00547A21"/>
    <w:rsid w:val="005636AC"/>
    <w:rsid w:val="00564AD3"/>
    <w:rsid w:val="0056788D"/>
    <w:rsid w:val="00574A56"/>
    <w:rsid w:val="00574ED8"/>
    <w:rsid w:val="0057513D"/>
    <w:rsid w:val="00596E68"/>
    <w:rsid w:val="005A2802"/>
    <w:rsid w:val="005A2B1A"/>
    <w:rsid w:val="005A4540"/>
    <w:rsid w:val="005A483C"/>
    <w:rsid w:val="005B0E8C"/>
    <w:rsid w:val="005B17D9"/>
    <w:rsid w:val="005B35C0"/>
    <w:rsid w:val="005B538F"/>
    <w:rsid w:val="005B59C5"/>
    <w:rsid w:val="005B6D32"/>
    <w:rsid w:val="005B761C"/>
    <w:rsid w:val="005C166A"/>
    <w:rsid w:val="005C4DBC"/>
    <w:rsid w:val="005C707F"/>
    <w:rsid w:val="005D1A92"/>
    <w:rsid w:val="005D2D12"/>
    <w:rsid w:val="005D6088"/>
    <w:rsid w:val="005E1D74"/>
    <w:rsid w:val="005E35D4"/>
    <w:rsid w:val="005E3A9E"/>
    <w:rsid w:val="005E7380"/>
    <w:rsid w:val="005F0687"/>
    <w:rsid w:val="00602CC8"/>
    <w:rsid w:val="00605730"/>
    <w:rsid w:val="00605A12"/>
    <w:rsid w:val="00606622"/>
    <w:rsid w:val="00613CFB"/>
    <w:rsid w:val="0061483F"/>
    <w:rsid w:val="006170A8"/>
    <w:rsid w:val="006210E9"/>
    <w:rsid w:val="00625F31"/>
    <w:rsid w:val="00625F79"/>
    <w:rsid w:val="00637A46"/>
    <w:rsid w:val="00640A9F"/>
    <w:rsid w:val="0064125B"/>
    <w:rsid w:val="0064157A"/>
    <w:rsid w:val="00641705"/>
    <w:rsid w:val="00641A00"/>
    <w:rsid w:val="0064591F"/>
    <w:rsid w:val="00645ACE"/>
    <w:rsid w:val="006502A9"/>
    <w:rsid w:val="006503F0"/>
    <w:rsid w:val="006508F8"/>
    <w:rsid w:val="006724A9"/>
    <w:rsid w:val="00673E6F"/>
    <w:rsid w:val="006748C0"/>
    <w:rsid w:val="00681EFC"/>
    <w:rsid w:val="006838AF"/>
    <w:rsid w:val="00692C4F"/>
    <w:rsid w:val="0069670D"/>
    <w:rsid w:val="00697E35"/>
    <w:rsid w:val="006A0805"/>
    <w:rsid w:val="006A2DCD"/>
    <w:rsid w:val="006A2EA7"/>
    <w:rsid w:val="006A6708"/>
    <w:rsid w:val="006B3FA1"/>
    <w:rsid w:val="006C208B"/>
    <w:rsid w:val="006C28C3"/>
    <w:rsid w:val="006C5843"/>
    <w:rsid w:val="006C7E0F"/>
    <w:rsid w:val="006D5944"/>
    <w:rsid w:val="006E22FA"/>
    <w:rsid w:val="006F64F9"/>
    <w:rsid w:val="00702B67"/>
    <w:rsid w:val="00703D4A"/>
    <w:rsid w:val="0071330C"/>
    <w:rsid w:val="00714303"/>
    <w:rsid w:val="00716B9E"/>
    <w:rsid w:val="00716C46"/>
    <w:rsid w:val="00720B4A"/>
    <w:rsid w:val="007234FF"/>
    <w:rsid w:val="00734249"/>
    <w:rsid w:val="0073506B"/>
    <w:rsid w:val="007358C9"/>
    <w:rsid w:val="00740352"/>
    <w:rsid w:val="00740F2F"/>
    <w:rsid w:val="00750659"/>
    <w:rsid w:val="0076015D"/>
    <w:rsid w:val="007646B3"/>
    <w:rsid w:val="007800E7"/>
    <w:rsid w:val="007824B7"/>
    <w:rsid w:val="007868A5"/>
    <w:rsid w:val="007874CF"/>
    <w:rsid w:val="007920BA"/>
    <w:rsid w:val="00796E25"/>
    <w:rsid w:val="007A2AC0"/>
    <w:rsid w:val="007A48F7"/>
    <w:rsid w:val="007A7357"/>
    <w:rsid w:val="007A78D4"/>
    <w:rsid w:val="007B0730"/>
    <w:rsid w:val="007B2A3C"/>
    <w:rsid w:val="007B7CBC"/>
    <w:rsid w:val="007C2B08"/>
    <w:rsid w:val="007D4AA7"/>
    <w:rsid w:val="007D5953"/>
    <w:rsid w:val="007D5D92"/>
    <w:rsid w:val="007E0666"/>
    <w:rsid w:val="007E1DB0"/>
    <w:rsid w:val="007E573A"/>
    <w:rsid w:val="007F0EC3"/>
    <w:rsid w:val="007F459B"/>
    <w:rsid w:val="008028B9"/>
    <w:rsid w:val="0080413A"/>
    <w:rsid w:val="008076E3"/>
    <w:rsid w:val="00811C14"/>
    <w:rsid w:val="00816DF8"/>
    <w:rsid w:val="00816ECA"/>
    <w:rsid w:val="00820CD4"/>
    <w:rsid w:val="008210F1"/>
    <w:rsid w:val="00830517"/>
    <w:rsid w:val="00830F1D"/>
    <w:rsid w:val="00836F94"/>
    <w:rsid w:val="008371B6"/>
    <w:rsid w:val="0084031E"/>
    <w:rsid w:val="008425B0"/>
    <w:rsid w:val="0084579A"/>
    <w:rsid w:val="00846C3B"/>
    <w:rsid w:val="00846F98"/>
    <w:rsid w:val="00852717"/>
    <w:rsid w:val="00856C9B"/>
    <w:rsid w:val="00857D52"/>
    <w:rsid w:val="00873629"/>
    <w:rsid w:val="00873A7C"/>
    <w:rsid w:val="00875BA1"/>
    <w:rsid w:val="00881856"/>
    <w:rsid w:val="00883E3A"/>
    <w:rsid w:val="008873B9"/>
    <w:rsid w:val="00893926"/>
    <w:rsid w:val="008A08F7"/>
    <w:rsid w:val="008A7A59"/>
    <w:rsid w:val="008B3C22"/>
    <w:rsid w:val="008B4341"/>
    <w:rsid w:val="008C358B"/>
    <w:rsid w:val="008C366A"/>
    <w:rsid w:val="008C4F94"/>
    <w:rsid w:val="008D24C3"/>
    <w:rsid w:val="008E0CB3"/>
    <w:rsid w:val="008E6231"/>
    <w:rsid w:val="008F2746"/>
    <w:rsid w:val="008F32DD"/>
    <w:rsid w:val="008F35CC"/>
    <w:rsid w:val="008F60C8"/>
    <w:rsid w:val="00901FEE"/>
    <w:rsid w:val="0090554C"/>
    <w:rsid w:val="00910DEF"/>
    <w:rsid w:val="00920986"/>
    <w:rsid w:val="0092361F"/>
    <w:rsid w:val="00923BCF"/>
    <w:rsid w:val="00930AD1"/>
    <w:rsid w:val="00930CA4"/>
    <w:rsid w:val="00932B1B"/>
    <w:rsid w:val="00936729"/>
    <w:rsid w:val="0094073E"/>
    <w:rsid w:val="009429CE"/>
    <w:rsid w:val="009450CB"/>
    <w:rsid w:val="0096170C"/>
    <w:rsid w:val="009625AD"/>
    <w:rsid w:val="0096402A"/>
    <w:rsid w:val="009656BC"/>
    <w:rsid w:val="009664CB"/>
    <w:rsid w:val="00967F45"/>
    <w:rsid w:val="00972870"/>
    <w:rsid w:val="00973A41"/>
    <w:rsid w:val="00981B5A"/>
    <w:rsid w:val="00982067"/>
    <w:rsid w:val="0098448E"/>
    <w:rsid w:val="00990FE8"/>
    <w:rsid w:val="00992239"/>
    <w:rsid w:val="009952AE"/>
    <w:rsid w:val="009979B3"/>
    <w:rsid w:val="009A28BC"/>
    <w:rsid w:val="009A4C93"/>
    <w:rsid w:val="009A6EB1"/>
    <w:rsid w:val="009B0E9F"/>
    <w:rsid w:val="009B15E5"/>
    <w:rsid w:val="009B4CE0"/>
    <w:rsid w:val="009B6F9F"/>
    <w:rsid w:val="009B76FC"/>
    <w:rsid w:val="009C00CC"/>
    <w:rsid w:val="009C4283"/>
    <w:rsid w:val="009D347A"/>
    <w:rsid w:val="009E1B1B"/>
    <w:rsid w:val="009E3B4E"/>
    <w:rsid w:val="009E5570"/>
    <w:rsid w:val="009E76EF"/>
    <w:rsid w:val="009F462B"/>
    <w:rsid w:val="009F5EA5"/>
    <w:rsid w:val="00A01583"/>
    <w:rsid w:val="00A02A95"/>
    <w:rsid w:val="00A0755A"/>
    <w:rsid w:val="00A15915"/>
    <w:rsid w:val="00A20CD7"/>
    <w:rsid w:val="00A24A7B"/>
    <w:rsid w:val="00A313D5"/>
    <w:rsid w:val="00A314ED"/>
    <w:rsid w:val="00A3276A"/>
    <w:rsid w:val="00A3500C"/>
    <w:rsid w:val="00A3568C"/>
    <w:rsid w:val="00A357A7"/>
    <w:rsid w:val="00A40094"/>
    <w:rsid w:val="00A41B07"/>
    <w:rsid w:val="00A41E7C"/>
    <w:rsid w:val="00A42ED6"/>
    <w:rsid w:val="00A457EB"/>
    <w:rsid w:val="00A45A4C"/>
    <w:rsid w:val="00A45B5B"/>
    <w:rsid w:val="00A6512E"/>
    <w:rsid w:val="00A721E2"/>
    <w:rsid w:val="00A73EB7"/>
    <w:rsid w:val="00A754A8"/>
    <w:rsid w:val="00A77F2A"/>
    <w:rsid w:val="00A879EE"/>
    <w:rsid w:val="00A91B48"/>
    <w:rsid w:val="00A95E1B"/>
    <w:rsid w:val="00A97CAD"/>
    <w:rsid w:val="00AA3EDE"/>
    <w:rsid w:val="00AB0D73"/>
    <w:rsid w:val="00AB289F"/>
    <w:rsid w:val="00AB4E4B"/>
    <w:rsid w:val="00AB509C"/>
    <w:rsid w:val="00AB66D8"/>
    <w:rsid w:val="00AB6AFD"/>
    <w:rsid w:val="00AC7841"/>
    <w:rsid w:val="00AD3EC7"/>
    <w:rsid w:val="00AD5A4D"/>
    <w:rsid w:val="00AE2C95"/>
    <w:rsid w:val="00AE6680"/>
    <w:rsid w:val="00AE6C24"/>
    <w:rsid w:val="00AF228D"/>
    <w:rsid w:val="00AF2872"/>
    <w:rsid w:val="00AF60C8"/>
    <w:rsid w:val="00AF7105"/>
    <w:rsid w:val="00B0080B"/>
    <w:rsid w:val="00B02973"/>
    <w:rsid w:val="00B060FB"/>
    <w:rsid w:val="00B06B1E"/>
    <w:rsid w:val="00B07E51"/>
    <w:rsid w:val="00B109FC"/>
    <w:rsid w:val="00B14453"/>
    <w:rsid w:val="00B162A1"/>
    <w:rsid w:val="00B16A3D"/>
    <w:rsid w:val="00B206FA"/>
    <w:rsid w:val="00B265D1"/>
    <w:rsid w:val="00B3068C"/>
    <w:rsid w:val="00B414AD"/>
    <w:rsid w:val="00B42702"/>
    <w:rsid w:val="00B44777"/>
    <w:rsid w:val="00B4652E"/>
    <w:rsid w:val="00B51B2A"/>
    <w:rsid w:val="00B61413"/>
    <w:rsid w:val="00B71D19"/>
    <w:rsid w:val="00B73490"/>
    <w:rsid w:val="00B761E7"/>
    <w:rsid w:val="00B777A3"/>
    <w:rsid w:val="00B81047"/>
    <w:rsid w:val="00B81DF2"/>
    <w:rsid w:val="00B87302"/>
    <w:rsid w:val="00B957CA"/>
    <w:rsid w:val="00BA2760"/>
    <w:rsid w:val="00BA4133"/>
    <w:rsid w:val="00BA656F"/>
    <w:rsid w:val="00BB0038"/>
    <w:rsid w:val="00BB7FDE"/>
    <w:rsid w:val="00BC2A8C"/>
    <w:rsid w:val="00BC5CC9"/>
    <w:rsid w:val="00BC79FD"/>
    <w:rsid w:val="00BD2A38"/>
    <w:rsid w:val="00BE449D"/>
    <w:rsid w:val="00BE6E0D"/>
    <w:rsid w:val="00BF1301"/>
    <w:rsid w:val="00BF61FC"/>
    <w:rsid w:val="00BF72E1"/>
    <w:rsid w:val="00C019EF"/>
    <w:rsid w:val="00C025F7"/>
    <w:rsid w:val="00C04E29"/>
    <w:rsid w:val="00C06F66"/>
    <w:rsid w:val="00C10136"/>
    <w:rsid w:val="00C10C14"/>
    <w:rsid w:val="00C1440A"/>
    <w:rsid w:val="00C17EBD"/>
    <w:rsid w:val="00C20437"/>
    <w:rsid w:val="00C213CB"/>
    <w:rsid w:val="00C2512C"/>
    <w:rsid w:val="00C26CB9"/>
    <w:rsid w:val="00C330BB"/>
    <w:rsid w:val="00C35934"/>
    <w:rsid w:val="00C36269"/>
    <w:rsid w:val="00C37318"/>
    <w:rsid w:val="00C37376"/>
    <w:rsid w:val="00C40759"/>
    <w:rsid w:val="00C41489"/>
    <w:rsid w:val="00C41588"/>
    <w:rsid w:val="00C42C9D"/>
    <w:rsid w:val="00C433E3"/>
    <w:rsid w:val="00C45355"/>
    <w:rsid w:val="00C45364"/>
    <w:rsid w:val="00C4669B"/>
    <w:rsid w:val="00C5080C"/>
    <w:rsid w:val="00C5102E"/>
    <w:rsid w:val="00C51BC6"/>
    <w:rsid w:val="00C553E4"/>
    <w:rsid w:val="00C62F73"/>
    <w:rsid w:val="00C705CD"/>
    <w:rsid w:val="00C706E5"/>
    <w:rsid w:val="00C72D66"/>
    <w:rsid w:val="00C74037"/>
    <w:rsid w:val="00C82F04"/>
    <w:rsid w:val="00C83390"/>
    <w:rsid w:val="00C95382"/>
    <w:rsid w:val="00C976BE"/>
    <w:rsid w:val="00CA05D2"/>
    <w:rsid w:val="00CA0AF9"/>
    <w:rsid w:val="00CA0BBF"/>
    <w:rsid w:val="00CA31AE"/>
    <w:rsid w:val="00CA6CE7"/>
    <w:rsid w:val="00CB067B"/>
    <w:rsid w:val="00CB193F"/>
    <w:rsid w:val="00CB2666"/>
    <w:rsid w:val="00CB3D3A"/>
    <w:rsid w:val="00CB4357"/>
    <w:rsid w:val="00CC7C14"/>
    <w:rsid w:val="00CC7C18"/>
    <w:rsid w:val="00CD1544"/>
    <w:rsid w:val="00CE1482"/>
    <w:rsid w:val="00CE3147"/>
    <w:rsid w:val="00CE68AD"/>
    <w:rsid w:val="00CE6959"/>
    <w:rsid w:val="00D014A9"/>
    <w:rsid w:val="00D1295C"/>
    <w:rsid w:val="00D15D45"/>
    <w:rsid w:val="00D20441"/>
    <w:rsid w:val="00D219DF"/>
    <w:rsid w:val="00D22B54"/>
    <w:rsid w:val="00D2307F"/>
    <w:rsid w:val="00D24B65"/>
    <w:rsid w:val="00D374FC"/>
    <w:rsid w:val="00D40121"/>
    <w:rsid w:val="00D40D01"/>
    <w:rsid w:val="00D419C0"/>
    <w:rsid w:val="00D53519"/>
    <w:rsid w:val="00D56549"/>
    <w:rsid w:val="00D631EA"/>
    <w:rsid w:val="00D66D14"/>
    <w:rsid w:val="00D742F6"/>
    <w:rsid w:val="00D819B2"/>
    <w:rsid w:val="00D81BBC"/>
    <w:rsid w:val="00D863C5"/>
    <w:rsid w:val="00D9554B"/>
    <w:rsid w:val="00DA0E4D"/>
    <w:rsid w:val="00DA1D6D"/>
    <w:rsid w:val="00DA49D5"/>
    <w:rsid w:val="00DA4F98"/>
    <w:rsid w:val="00DB3FF9"/>
    <w:rsid w:val="00DB4E84"/>
    <w:rsid w:val="00DC4AE7"/>
    <w:rsid w:val="00DC657A"/>
    <w:rsid w:val="00DD37FB"/>
    <w:rsid w:val="00DD5538"/>
    <w:rsid w:val="00DD5858"/>
    <w:rsid w:val="00DE3EA9"/>
    <w:rsid w:val="00DE41B5"/>
    <w:rsid w:val="00DE7688"/>
    <w:rsid w:val="00DF5062"/>
    <w:rsid w:val="00E058C3"/>
    <w:rsid w:val="00E06E3C"/>
    <w:rsid w:val="00E111D4"/>
    <w:rsid w:val="00E12D82"/>
    <w:rsid w:val="00E3273D"/>
    <w:rsid w:val="00E32E7B"/>
    <w:rsid w:val="00E448DF"/>
    <w:rsid w:val="00E54C55"/>
    <w:rsid w:val="00E556F7"/>
    <w:rsid w:val="00E65DF1"/>
    <w:rsid w:val="00E67601"/>
    <w:rsid w:val="00E728E7"/>
    <w:rsid w:val="00E73697"/>
    <w:rsid w:val="00E85781"/>
    <w:rsid w:val="00E9405E"/>
    <w:rsid w:val="00E95653"/>
    <w:rsid w:val="00E957D2"/>
    <w:rsid w:val="00EA29D0"/>
    <w:rsid w:val="00EA4E0E"/>
    <w:rsid w:val="00EA4F03"/>
    <w:rsid w:val="00EB28C1"/>
    <w:rsid w:val="00EB4C0B"/>
    <w:rsid w:val="00EC06FB"/>
    <w:rsid w:val="00EC31E7"/>
    <w:rsid w:val="00ED0F95"/>
    <w:rsid w:val="00ED62D1"/>
    <w:rsid w:val="00EE024B"/>
    <w:rsid w:val="00EE273A"/>
    <w:rsid w:val="00EE71F3"/>
    <w:rsid w:val="00EF10F6"/>
    <w:rsid w:val="00EF13EE"/>
    <w:rsid w:val="00EF1ABF"/>
    <w:rsid w:val="00EF335D"/>
    <w:rsid w:val="00EF3C29"/>
    <w:rsid w:val="00EF589B"/>
    <w:rsid w:val="00EF6A06"/>
    <w:rsid w:val="00EF7CCE"/>
    <w:rsid w:val="00F017D5"/>
    <w:rsid w:val="00F06C54"/>
    <w:rsid w:val="00F0788F"/>
    <w:rsid w:val="00F1144F"/>
    <w:rsid w:val="00F13346"/>
    <w:rsid w:val="00F15D64"/>
    <w:rsid w:val="00F16D98"/>
    <w:rsid w:val="00F2723D"/>
    <w:rsid w:val="00F304C7"/>
    <w:rsid w:val="00F35D8A"/>
    <w:rsid w:val="00F374DC"/>
    <w:rsid w:val="00F403B6"/>
    <w:rsid w:val="00F42841"/>
    <w:rsid w:val="00F46E27"/>
    <w:rsid w:val="00F55089"/>
    <w:rsid w:val="00F56164"/>
    <w:rsid w:val="00F5670F"/>
    <w:rsid w:val="00F65B12"/>
    <w:rsid w:val="00F66B8B"/>
    <w:rsid w:val="00F7092E"/>
    <w:rsid w:val="00F718CF"/>
    <w:rsid w:val="00F726CC"/>
    <w:rsid w:val="00F8554B"/>
    <w:rsid w:val="00F85F30"/>
    <w:rsid w:val="00F93483"/>
    <w:rsid w:val="00F93842"/>
    <w:rsid w:val="00F94EBD"/>
    <w:rsid w:val="00F9568F"/>
    <w:rsid w:val="00F976BC"/>
    <w:rsid w:val="00F976E9"/>
    <w:rsid w:val="00FA6203"/>
    <w:rsid w:val="00FB145C"/>
    <w:rsid w:val="00FB40FB"/>
    <w:rsid w:val="00FB5230"/>
    <w:rsid w:val="00FC1E3D"/>
    <w:rsid w:val="00FC7F7B"/>
    <w:rsid w:val="00FD1471"/>
    <w:rsid w:val="00FD1927"/>
    <w:rsid w:val="00FD43CC"/>
    <w:rsid w:val="00FD5057"/>
    <w:rsid w:val="00FE0B4E"/>
    <w:rsid w:val="00FE1DE4"/>
    <w:rsid w:val="00FE53FC"/>
    <w:rsid w:val="00FE7E31"/>
    <w:rsid w:val="00FF164E"/>
    <w:rsid w:val="00FF3DB6"/>
    <w:rsid w:val="00FF4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A015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15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A08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uiPriority w:val="9"/>
    <w:unhideWhenUsed/>
    <w:qFormat/>
    <w:rsid w:val="00FA6203"/>
    <w:pPr>
      <w:keepNext w:val="0"/>
      <w:keepLines w:val="0"/>
      <w:spacing w:before="0" w:after="120" w:line="360" w:lineRule="auto"/>
      <w:ind w:left="3654" w:hanging="360"/>
      <w:outlineLvl w:val="3"/>
    </w:pPr>
    <w:rPr>
      <w:rFonts w:ascii="Arial" w:eastAsiaTheme="minorHAnsi" w:hAnsi="Arial"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7A21"/>
    <w:rPr>
      <w:sz w:val="16"/>
      <w:szCs w:val="16"/>
    </w:rPr>
  </w:style>
  <w:style w:type="paragraph" w:styleId="CommentText">
    <w:name w:val="annotation text"/>
    <w:basedOn w:val="Normal"/>
    <w:link w:val="CommentTextChar"/>
    <w:uiPriority w:val="99"/>
    <w:unhideWhenUsed/>
    <w:rsid w:val="00547A21"/>
    <w:pPr>
      <w:spacing w:line="240" w:lineRule="auto"/>
    </w:pPr>
    <w:rPr>
      <w:sz w:val="20"/>
      <w:szCs w:val="20"/>
    </w:rPr>
  </w:style>
  <w:style w:type="character" w:customStyle="1" w:styleId="CommentTextChar">
    <w:name w:val="Comment Text Char"/>
    <w:basedOn w:val="DefaultParagraphFont"/>
    <w:link w:val="CommentText"/>
    <w:uiPriority w:val="99"/>
    <w:rsid w:val="00547A21"/>
    <w:rPr>
      <w:sz w:val="20"/>
      <w:szCs w:val="20"/>
    </w:rPr>
  </w:style>
  <w:style w:type="paragraph" w:styleId="CommentSubject">
    <w:name w:val="annotation subject"/>
    <w:basedOn w:val="CommentText"/>
    <w:next w:val="CommentText"/>
    <w:link w:val="CommentSubjectChar"/>
    <w:uiPriority w:val="99"/>
    <w:semiHidden/>
    <w:unhideWhenUsed/>
    <w:rsid w:val="00547A21"/>
    <w:rPr>
      <w:b/>
      <w:bCs/>
    </w:rPr>
  </w:style>
  <w:style w:type="character" w:customStyle="1" w:styleId="CommentSubjectChar">
    <w:name w:val="Comment Subject Char"/>
    <w:basedOn w:val="CommentTextChar"/>
    <w:link w:val="CommentSubject"/>
    <w:uiPriority w:val="99"/>
    <w:semiHidden/>
    <w:rsid w:val="00547A21"/>
    <w:rPr>
      <w:b/>
      <w:bCs/>
      <w:sz w:val="20"/>
      <w:szCs w:val="20"/>
    </w:rPr>
  </w:style>
  <w:style w:type="paragraph" w:styleId="BalloonText">
    <w:name w:val="Balloon Text"/>
    <w:basedOn w:val="Normal"/>
    <w:link w:val="BalloonTextChar"/>
    <w:uiPriority w:val="99"/>
    <w:semiHidden/>
    <w:unhideWhenUsed/>
    <w:rsid w:val="00547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A21"/>
    <w:rPr>
      <w:rFonts w:ascii="Segoe UI" w:hAnsi="Segoe UI" w:cs="Segoe UI"/>
      <w:sz w:val="18"/>
      <w:szCs w:val="18"/>
    </w:rPr>
  </w:style>
  <w:style w:type="paragraph" w:styleId="ListParagraph">
    <w:name w:val="List Paragraph"/>
    <w:aliases w:val="List Paragraph1,Recommendation,List Paragraph11,L,Bullet point,NFP GP Bulleted List,Numbered paragraph"/>
    <w:basedOn w:val="Normal"/>
    <w:link w:val="ListParagraphChar"/>
    <w:uiPriority w:val="34"/>
    <w:qFormat/>
    <w:rsid w:val="00451056"/>
    <w:pPr>
      <w:ind w:left="720"/>
      <w:contextualSpacing/>
    </w:pPr>
  </w:style>
  <w:style w:type="paragraph" w:styleId="Header">
    <w:name w:val="header"/>
    <w:basedOn w:val="Normal"/>
    <w:link w:val="HeaderChar"/>
    <w:uiPriority w:val="99"/>
    <w:unhideWhenUsed/>
    <w:rsid w:val="00314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191"/>
  </w:style>
  <w:style w:type="paragraph" w:styleId="Footer">
    <w:name w:val="footer"/>
    <w:basedOn w:val="Normal"/>
    <w:link w:val="FooterChar"/>
    <w:uiPriority w:val="99"/>
    <w:unhideWhenUsed/>
    <w:rsid w:val="00314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191"/>
  </w:style>
  <w:style w:type="character" w:customStyle="1" w:styleId="Heading1Char">
    <w:name w:val="Heading 1 Char"/>
    <w:basedOn w:val="DefaultParagraphFont"/>
    <w:link w:val="Heading1"/>
    <w:uiPriority w:val="9"/>
    <w:rsid w:val="00A0158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01583"/>
    <w:pPr>
      <w:outlineLvl w:val="9"/>
    </w:pPr>
  </w:style>
  <w:style w:type="paragraph" w:styleId="TOC1">
    <w:name w:val="toc 1"/>
    <w:basedOn w:val="Normal"/>
    <w:next w:val="Normal"/>
    <w:autoRedefine/>
    <w:uiPriority w:val="39"/>
    <w:unhideWhenUsed/>
    <w:rsid w:val="00D66D14"/>
    <w:pPr>
      <w:tabs>
        <w:tab w:val="right" w:leader="dot" w:pos="9350"/>
      </w:tabs>
      <w:spacing w:after="100"/>
    </w:pPr>
  </w:style>
  <w:style w:type="character" w:styleId="Hyperlink">
    <w:name w:val="Hyperlink"/>
    <w:basedOn w:val="DefaultParagraphFont"/>
    <w:uiPriority w:val="99"/>
    <w:unhideWhenUsed/>
    <w:rsid w:val="00A01583"/>
    <w:rPr>
      <w:color w:val="0563C1" w:themeColor="hyperlink"/>
      <w:u w:val="single"/>
    </w:rPr>
  </w:style>
  <w:style w:type="character" w:customStyle="1" w:styleId="Heading2Char">
    <w:name w:val="Heading 2 Char"/>
    <w:basedOn w:val="DefaultParagraphFont"/>
    <w:link w:val="Heading2"/>
    <w:uiPriority w:val="9"/>
    <w:rsid w:val="00A01583"/>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D66D14"/>
    <w:pPr>
      <w:tabs>
        <w:tab w:val="right" w:leader="dot" w:pos="9350"/>
      </w:tabs>
      <w:spacing w:after="100"/>
      <w:ind w:left="220"/>
    </w:pPr>
  </w:style>
  <w:style w:type="paragraph" w:styleId="Title">
    <w:name w:val="Title"/>
    <w:basedOn w:val="Normal"/>
    <w:next w:val="Normal"/>
    <w:link w:val="TitleChar"/>
    <w:uiPriority w:val="10"/>
    <w:qFormat/>
    <w:rsid w:val="00253358"/>
    <w:pPr>
      <w:spacing w:before="3360"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358"/>
    <w:rPr>
      <w:rFonts w:asciiTheme="majorHAnsi" w:eastAsiaTheme="majorEastAsia" w:hAnsiTheme="majorHAnsi" w:cstheme="majorBidi"/>
      <w:spacing w:val="-10"/>
      <w:kern w:val="28"/>
      <w:sz w:val="56"/>
      <w:szCs w:val="56"/>
      <w:lang w:val="en-AU"/>
    </w:rPr>
  </w:style>
  <w:style w:type="character" w:customStyle="1" w:styleId="Heading3Char">
    <w:name w:val="Heading 3 Char"/>
    <w:basedOn w:val="DefaultParagraphFont"/>
    <w:link w:val="Heading3"/>
    <w:uiPriority w:val="9"/>
    <w:rsid w:val="008A08F7"/>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8A0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85F30"/>
    <w:pPr>
      <w:spacing w:after="100"/>
      <w:ind w:left="440"/>
    </w:pPr>
  </w:style>
  <w:style w:type="paragraph" w:styleId="FootnoteText">
    <w:name w:val="footnote text"/>
    <w:basedOn w:val="Normal"/>
    <w:link w:val="FootnoteTextChar"/>
    <w:uiPriority w:val="99"/>
    <w:unhideWhenUsed/>
    <w:rsid w:val="00D742F6"/>
    <w:pPr>
      <w:spacing w:after="0" w:line="240" w:lineRule="auto"/>
    </w:pPr>
    <w:rPr>
      <w:sz w:val="20"/>
      <w:szCs w:val="20"/>
    </w:rPr>
  </w:style>
  <w:style w:type="character" w:customStyle="1" w:styleId="FootnoteTextChar">
    <w:name w:val="Footnote Text Char"/>
    <w:basedOn w:val="DefaultParagraphFont"/>
    <w:link w:val="FootnoteText"/>
    <w:uiPriority w:val="99"/>
    <w:rsid w:val="00D742F6"/>
    <w:rPr>
      <w:sz w:val="20"/>
      <w:szCs w:val="20"/>
      <w:lang w:val="en-AU"/>
    </w:rPr>
  </w:style>
  <w:style w:type="character" w:styleId="FootnoteReference">
    <w:name w:val="footnote reference"/>
    <w:aliases w:val="NO,(NECG) Footnote Reference"/>
    <w:basedOn w:val="DefaultParagraphFont"/>
    <w:uiPriority w:val="99"/>
    <w:unhideWhenUsed/>
    <w:rsid w:val="00D742F6"/>
    <w:rPr>
      <w:vertAlign w:val="superscript"/>
    </w:rPr>
  </w:style>
  <w:style w:type="character" w:customStyle="1" w:styleId="ListParagraphChar">
    <w:name w:val="List Paragraph Char"/>
    <w:aliases w:val="List Paragraph1 Char,Recommendation Char,List Paragraph11 Char,L Char,Bullet point Char,NFP GP Bulleted List Char,Numbered paragraph Char"/>
    <w:basedOn w:val="DefaultParagraphFont"/>
    <w:link w:val="ListParagraph"/>
    <w:uiPriority w:val="34"/>
    <w:rsid w:val="00D742F6"/>
  </w:style>
  <w:style w:type="paragraph" w:styleId="Revision">
    <w:name w:val="Revision"/>
    <w:hidden/>
    <w:uiPriority w:val="99"/>
    <w:semiHidden/>
    <w:rsid w:val="00F06C54"/>
    <w:pPr>
      <w:spacing w:after="0" w:line="240" w:lineRule="auto"/>
    </w:pPr>
  </w:style>
  <w:style w:type="paragraph" w:styleId="Quote">
    <w:name w:val="Quote"/>
    <w:basedOn w:val="Normal"/>
    <w:next w:val="Normal"/>
    <w:link w:val="QuoteChar"/>
    <w:uiPriority w:val="29"/>
    <w:qFormat/>
    <w:rsid w:val="00AB509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B509C"/>
    <w:rPr>
      <w:i/>
      <w:iCs/>
      <w:color w:val="404040" w:themeColor="text1" w:themeTint="BF"/>
    </w:rPr>
  </w:style>
  <w:style w:type="paragraph" w:customStyle="1" w:styleId="Tablenote">
    <w:name w:val="Table note"/>
    <w:basedOn w:val="Normal"/>
    <w:qFormat/>
    <w:rsid w:val="00137F04"/>
    <w:pPr>
      <w:keepLines/>
      <w:suppressAutoHyphens/>
      <w:spacing w:before="40" w:after="120" w:line="240" w:lineRule="auto"/>
    </w:pPr>
    <w:rPr>
      <w:rFonts w:ascii="Arial" w:eastAsiaTheme="minorEastAsia" w:hAnsi="Arial"/>
      <w:bCs/>
      <w:sz w:val="15"/>
      <w:szCs w:val="18"/>
      <w:lang w:val="en-US" w:eastAsia="en-AU"/>
    </w:rPr>
  </w:style>
  <w:style w:type="paragraph" w:customStyle="1" w:styleId="Tabletitle">
    <w:name w:val="Table title"/>
    <w:basedOn w:val="Normal"/>
    <w:qFormat/>
    <w:rsid w:val="00137F04"/>
    <w:pPr>
      <w:keepNext/>
      <w:suppressAutoHyphens/>
      <w:spacing w:before="320" w:after="120" w:line="200" w:lineRule="atLeast"/>
    </w:pPr>
    <w:rPr>
      <w:rFonts w:ascii="Arial" w:eastAsiaTheme="minorEastAsia" w:hAnsi="Arial"/>
      <w:b/>
      <w:color w:val="153058"/>
      <w:sz w:val="18"/>
      <w:szCs w:val="24"/>
      <w:lang w:val="en-GB" w:eastAsia="ja-JP"/>
    </w:rPr>
  </w:style>
  <w:style w:type="table" w:customStyle="1" w:styleId="LightListReporttable12">
    <w:name w:val="Light List – Report table12"/>
    <w:basedOn w:val="TableNormal"/>
    <w:next w:val="LightList"/>
    <w:uiPriority w:val="61"/>
    <w:rsid w:val="00137F04"/>
    <w:pPr>
      <w:spacing w:after="0" w:line="240" w:lineRule="auto"/>
    </w:pPr>
    <w:rPr>
      <w:rFonts w:ascii="Arial" w:eastAsiaTheme="minorEastAsia" w:hAnsi="Arial"/>
      <w:sz w:val="16"/>
      <w:szCs w:val="24"/>
      <w:lang w:eastAsia="ja-JP"/>
    </w:rPr>
    <w:tblPr>
      <w:tblStyleRowBandSize w:val="1"/>
      <w:tblStyleColBandSize w:val="1"/>
      <w:tblInd w:w="113" w:type="dxa"/>
      <w:tblCellMar>
        <w:top w:w="100" w:type="dxa"/>
        <w:left w:w="100" w:type="dxa"/>
        <w:bottom w:w="100" w:type="dxa"/>
        <w:right w:w="100" w:type="dxa"/>
      </w:tblCellMar>
    </w:tblPr>
    <w:tcPr>
      <w:tcMar>
        <w:top w:w="85" w:type="dxa"/>
        <w:left w:w="113" w:type="dxa"/>
        <w:bottom w:w="85" w:type="dxa"/>
        <w:right w:w="113" w:type="dxa"/>
      </w:tcMar>
    </w:tcPr>
    <w:tblStylePr w:type="firstRow">
      <w:pPr>
        <w:spacing w:before="0" w:after="0" w:line="240" w:lineRule="auto"/>
      </w:pPr>
      <w:rPr>
        <w:b/>
        <w:bCs/>
        <w:color w:val="FFFFFF" w:themeColor="background1"/>
      </w:rPr>
      <w:tblPr/>
      <w:trPr>
        <w:cantSplit/>
        <w:tblHeader/>
      </w:trPr>
      <w:tcPr>
        <w:tcBorders>
          <w:top w:val="nil"/>
          <w:left w:val="nil"/>
          <w:bottom w:val="nil"/>
          <w:right w:val="nil"/>
          <w:insideH w:val="nil"/>
          <w:insideV w:val="nil"/>
          <w:tl2br w:val="nil"/>
          <w:tr2bl w:val="nil"/>
        </w:tcBorders>
        <w:shd w:val="clear" w:color="auto" w:fill="153058"/>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val="0"/>
        <w:bCs/>
      </w:rPr>
      <w:tblPr/>
      <w:tcPr>
        <w:tcBorders>
          <w:top w:val="nil"/>
          <w:left w:val="nil"/>
          <w:bottom w:val="single" w:sz="4" w:space="0" w:color="auto"/>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paragraph" w:customStyle="1" w:styleId="Tabletext">
    <w:name w:val="Table text"/>
    <w:basedOn w:val="Normal"/>
    <w:qFormat/>
    <w:rsid w:val="00137F04"/>
    <w:pPr>
      <w:suppressAutoHyphens/>
      <w:spacing w:after="60" w:line="200" w:lineRule="atLeast"/>
    </w:pPr>
    <w:rPr>
      <w:rFonts w:ascii="Arial" w:eastAsia="Calibri" w:hAnsi="Arial" w:cs="Times New Roman"/>
      <w:sz w:val="20"/>
      <w:szCs w:val="24"/>
      <w:lang w:val="en-GB"/>
    </w:rPr>
  </w:style>
  <w:style w:type="table" w:styleId="LightList">
    <w:name w:val="Light List"/>
    <w:basedOn w:val="TableNormal"/>
    <w:uiPriority w:val="61"/>
    <w:semiHidden/>
    <w:unhideWhenUsed/>
    <w:rsid w:val="00137F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4Char">
    <w:name w:val="Heading 4 Char"/>
    <w:basedOn w:val="DefaultParagraphFont"/>
    <w:link w:val="Heading4"/>
    <w:uiPriority w:val="9"/>
    <w:rsid w:val="00FA6203"/>
    <w:rPr>
      <w:rFonts w:ascii="Arial" w:hAnsi="Arial" w:cs="Arial"/>
      <w:b/>
      <w:sz w:val="24"/>
      <w:szCs w:val="24"/>
      <w:lang w:val="en-AU"/>
    </w:rPr>
  </w:style>
  <w:style w:type="numbering" w:customStyle="1" w:styleId="submissionlist">
    <w:name w:val="submission list"/>
    <w:uiPriority w:val="99"/>
    <w:rsid w:val="00FA6203"/>
    <w:pPr>
      <w:numPr>
        <w:numId w:val="14"/>
      </w:numPr>
    </w:pPr>
  </w:style>
  <w:style w:type="paragraph" w:customStyle="1" w:styleId="Numberedpara">
    <w:name w:val="Numbered para"/>
    <w:basedOn w:val="ListParagraph"/>
    <w:qFormat/>
    <w:rsid w:val="00FA6203"/>
    <w:pPr>
      <w:numPr>
        <w:ilvl w:val="1"/>
      </w:numPr>
      <w:spacing w:after="240" w:line="360" w:lineRule="auto"/>
      <w:ind w:left="2214" w:hanging="360"/>
      <w:contextualSpacing w:val="0"/>
      <w:jc w:val="both"/>
    </w:pPr>
    <w:rPr>
      <w:rFonts w:ascii="Calibri" w:hAnsi="Calibri"/>
    </w:rPr>
  </w:style>
  <w:style w:type="paragraph" w:customStyle="1" w:styleId="submissionbullet">
    <w:name w:val="submission bullet"/>
    <w:basedOn w:val="ListParagraph"/>
    <w:qFormat/>
    <w:rsid w:val="00716B9E"/>
    <w:pPr>
      <w:numPr>
        <w:numId w:val="15"/>
      </w:numPr>
      <w:spacing w:after="240" w:line="360" w:lineRule="auto"/>
      <w:ind w:left="1843" w:hanging="425"/>
      <w:contextualSpacing w:val="0"/>
      <w:jc w:val="both"/>
    </w:pPr>
    <w:rPr>
      <w:rFonts w:ascii="Calibri" w:hAnsi="Calibri"/>
    </w:rPr>
  </w:style>
  <w:style w:type="paragraph" w:styleId="Subtitle">
    <w:name w:val="Subtitle"/>
    <w:basedOn w:val="Normal"/>
    <w:next w:val="Normal"/>
    <w:link w:val="SubtitleChar"/>
    <w:uiPriority w:val="11"/>
    <w:qFormat/>
    <w:rsid w:val="00967F4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67F45"/>
    <w:rPr>
      <w:rFonts w:eastAsiaTheme="minorEastAsia"/>
      <w:color w:val="5A5A5A" w:themeColor="text1" w:themeTint="A5"/>
      <w:spacing w:val="15"/>
      <w:lang w:val="en-AU"/>
    </w:rPr>
  </w:style>
  <w:style w:type="character" w:styleId="SubtleEmphasis">
    <w:name w:val="Subtle Emphasis"/>
    <w:basedOn w:val="DefaultParagraphFont"/>
    <w:uiPriority w:val="19"/>
    <w:qFormat/>
    <w:rsid w:val="00967F45"/>
    <w:rPr>
      <w:i/>
      <w:iCs/>
      <w:color w:val="404040" w:themeColor="text1" w:themeTint="BF"/>
    </w:rPr>
  </w:style>
  <w:style w:type="paragraph" w:customStyle="1" w:styleId="TableParagraph">
    <w:name w:val="Table Paragraph"/>
    <w:basedOn w:val="Normal"/>
    <w:uiPriority w:val="1"/>
    <w:qFormat/>
    <w:rsid w:val="003C17D6"/>
    <w:pPr>
      <w:widowControl w:val="0"/>
      <w:spacing w:after="0" w:line="240" w:lineRule="auto"/>
    </w:pPr>
    <w:rPr>
      <w:lang w:val="en-US"/>
    </w:rPr>
  </w:style>
  <w:style w:type="paragraph" w:styleId="Caption">
    <w:name w:val="caption"/>
    <w:basedOn w:val="Normal"/>
    <w:next w:val="Normal"/>
    <w:uiPriority w:val="35"/>
    <w:unhideWhenUsed/>
    <w:qFormat/>
    <w:rsid w:val="00253358"/>
    <w:pPr>
      <w:spacing w:before="120" w:after="120" w:line="240" w:lineRule="auto"/>
    </w:pPr>
    <w:rPr>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81488">
      <w:bodyDiv w:val="1"/>
      <w:marLeft w:val="0"/>
      <w:marRight w:val="0"/>
      <w:marTop w:val="0"/>
      <w:marBottom w:val="0"/>
      <w:divBdr>
        <w:top w:val="none" w:sz="0" w:space="0" w:color="auto"/>
        <w:left w:val="none" w:sz="0" w:space="0" w:color="auto"/>
        <w:bottom w:val="none" w:sz="0" w:space="0" w:color="auto"/>
        <w:right w:val="none" w:sz="0" w:space="0" w:color="auto"/>
      </w:divBdr>
    </w:div>
    <w:div w:id="114252666">
      <w:bodyDiv w:val="1"/>
      <w:marLeft w:val="0"/>
      <w:marRight w:val="0"/>
      <w:marTop w:val="0"/>
      <w:marBottom w:val="0"/>
      <w:divBdr>
        <w:top w:val="none" w:sz="0" w:space="0" w:color="auto"/>
        <w:left w:val="none" w:sz="0" w:space="0" w:color="auto"/>
        <w:bottom w:val="none" w:sz="0" w:space="0" w:color="auto"/>
        <w:right w:val="none" w:sz="0" w:space="0" w:color="auto"/>
      </w:divBdr>
    </w:div>
    <w:div w:id="142284562">
      <w:bodyDiv w:val="1"/>
      <w:marLeft w:val="0"/>
      <w:marRight w:val="0"/>
      <w:marTop w:val="0"/>
      <w:marBottom w:val="0"/>
      <w:divBdr>
        <w:top w:val="none" w:sz="0" w:space="0" w:color="auto"/>
        <w:left w:val="none" w:sz="0" w:space="0" w:color="auto"/>
        <w:bottom w:val="none" w:sz="0" w:space="0" w:color="auto"/>
        <w:right w:val="none" w:sz="0" w:space="0" w:color="auto"/>
      </w:divBdr>
    </w:div>
    <w:div w:id="148710990">
      <w:bodyDiv w:val="1"/>
      <w:marLeft w:val="0"/>
      <w:marRight w:val="0"/>
      <w:marTop w:val="0"/>
      <w:marBottom w:val="0"/>
      <w:divBdr>
        <w:top w:val="none" w:sz="0" w:space="0" w:color="auto"/>
        <w:left w:val="none" w:sz="0" w:space="0" w:color="auto"/>
        <w:bottom w:val="none" w:sz="0" w:space="0" w:color="auto"/>
        <w:right w:val="none" w:sz="0" w:space="0" w:color="auto"/>
      </w:divBdr>
    </w:div>
    <w:div w:id="157968432">
      <w:bodyDiv w:val="1"/>
      <w:marLeft w:val="0"/>
      <w:marRight w:val="0"/>
      <w:marTop w:val="0"/>
      <w:marBottom w:val="0"/>
      <w:divBdr>
        <w:top w:val="none" w:sz="0" w:space="0" w:color="auto"/>
        <w:left w:val="none" w:sz="0" w:space="0" w:color="auto"/>
        <w:bottom w:val="none" w:sz="0" w:space="0" w:color="auto"/>
        <w:right w:val="none" w:sz="0" w:space="0" w:color="auto"/>
      </w:divBdr>
    </w:div>
    <w:div w:id="184448755">
      <w:bodyDiv w:val="1"/>
      <w:marLeft w:val="0"/>
      <w:marRight w:val="0"/>
      <w:marTop w:val="0"/>
      <w:marBottom w:val="0"/>
      <w:divBdr>
        <w:top w:val="none" w:sz="0" w:space="0" w:color="auto"/>
        <w:left w:val="none" w:sz="0" w:space="0" w:color="auto"/>
        <w:bottom w:val="none" w:sz="0" w:space="0" w:color="auto"/>
        <w:right w:val="none" w:sz="0" w:space="0" w:color="auto"/>
      </w:divBdr>
    </w:div>
    <w:div w:id="241959826">
      <w:bodyDiv w:val="1"/>
      <w:marLeft w:val="0"/>
      <w:marRight w:val="0"/>
      <w:marTop w:val="0"/>
      <w:marBottom w:val="0"/>
      <w:divBdr>
        <w:top w:val="none" w:sz="0" w:space="0" w:color="auto"/>
        <w:left w:val="none" w:sz="0" w:space="0" w:color="auto"/>
        <w:bottom w:val="none" w:sz="0" w:space="0" w:color="auto"/>
        <w:right w:val="none" w:sz="0" w:space="0" w:color="auto"/>
      </w:divBdr>
    </w:div>
    <w:div w:id="262029517">
      <w:bodyDiv w:val="1"/>
      <w:marLeft w:val="0"/>
      <w:marRight w:val="0"/>
      <w:marTop w:val="0"/>
      <w:marBottom w:val="0"/>
      <w:divBdr>
        <w:top w:val="none" w:sz="0" w:space="0" w:color="auto"/>
        <w:left w:val="none" w:sz="0" w:space="0" w:color="auto"/>
        <w:bottom w:val="none" w:sz="0" w:space="0" w:color="auto"/>
        <w:right w:val="none" w:sz="0" w:space="0" w:color="auto"/>
      </w:divBdr>
    </w:div>
    <w:div w:id="330568228">
      <w:bodyDiv w:val="1"/>
      <w:marLeft w:val="0"/>
      <w:marRight w:val="0"/>
      <w:marTop w:val="0"/>
      <w:marBottom w:val="0"/>
      <w:divBdr>
        <w:top w:val="none" w:sz="0" w:space="0" w:color="auto"/>
        <w:left w:val="none" w:sz="0" w:space="0" w:color="auto"/>
        <w:bottom w:val="none" w:sz="0" w:space="0" w:color="auto"/>
        <w:right w:val="none" w:sz="0" w:space="0" w:color="auto"/>
      </w:divBdr>
    </w:div>
    <w:div w:id="356009154">
      <w:bodyDiv w:val="1"/>
      <w:marLeft w:val="0"/>
      <w:marRight w:val="0"/>
      <w:marTop w:val="0"/>
      <w:marBottom w:val="0"/>
      <w:divBdr>
        <w:top w:val="none" w:sz="0" w:space="0" w:color="auto"/>
        <w:left w:val="none" w:sz="0" w:space="0" w:color="auto"/>
        <w:bottom w:val="none" w:sz="0" w:space="0" w:color="auto"/>
        <w:right w:val="none" w:sz="0" w:space="0" w:color="auto"/>
      </w:divBdr>
    </w:div>
    <w:div w:id="370038829">
      <w:bodyDiv w:val="1"/>
      <w:marLeft w:val="0"/>
      <w:marRight w:val="0"/>
      <w:marTop w:val="0"/>
      <w:marBottom w:val="0"/>
      <w:divBdr>
        <w:top w:val="none" w:sz="0" w:space="0" w:color="auto"/>
        <w:left w:val="none" w:sz="0" w:space="0" w:color="auto"/>
        <w:bottom w:val="none" w:sz="0" w:space="0" w:color="auto"/>
        <w:right w:val="none" w:sz="0" w:space="0" w:color="auto"/>
      </w:divBdr>
    </w:div>
    <w:div w:id="385490425">
      <w:bodyDiv w:val="1"/>
      <w:marLeft w:val="0"/>
      <w:marRight w:val="0"/>
      <w:marTop w:val="0"/>
      <w:marBottom w:val="0"/>
      <w:divBdr>
        <w:top w:val="none" w:sz="0" w:space="0" w:color="auto"/>
        <w:left w:val="none" w:sz="0" w:space="0" w:color="auto"/>
        <w:bottom w:val="none" w:sz="0" w:space="0" w:color="auto"/>
        <w:right w:val="none" w:sz="0" w:space="0" w:color="auto"/>
      </w:divBdr>
    </w:div>
    <w:div w:id="437335907">
      <w:bodyDiv w:val="1"/>
      <w:marLeft w:val="0"/>
      <w:marRight w:val="0"/>
      <w:marTop w:val="0"/>
      <w:marBottom w:val="0"/>
      <w:divBdr>
        <w:top w:val="none" w:sz="0" w:space="0" w:color="auto"/>
        <w:left w:val="none" w:sz="0" w:space="0" w:color="auto"/>
        <w:bottom w:val="none" w:sz="0" w:space="0" w:color="auto"/>
        <w:right w:val="none" w:sz="0" w:space="0" w:color="auto"/>
      </w:divBdr>
    </w:div>
    <w:div w:id="442773487">
      <w:bodyDiv w:val="1"/>
      <w:marLeft w:val="0"/>
      <w:marRight w:val="0"/>
      <w:marTop w:val="0"/>
      <w:marBottom w:val="0"/>
      <w:divBdr>
        <w:top w:val="none" w:sz="0" w:space="0" w:color="auto"/>
        <w:left w:val="none" w:sz="0" w:space="0" w:color="auto"/>
        <w:bottom w:val="none" w:sz="0" w:space="0" w:color="auto"/>
        <w:right w:val="none" w:sz="0" w:space="0" w:color="auto"/>
      </w:divBdr>
    </w:div>
    <w:div w:id="448671229">
      <w:bodyDiv w:val="1"/>
      <w:marLeft w:val="0"/>
      <w:marRight w:val="0"/>
      <w:marTop w:val="0"/>
      <w:marBottom w:val="0"/>
      <w:divBdr>
        <w:top w:val="none" w:sz="0" w:space="0" w:color="auto"/>
        <w:left w:val="none" w:sz="0" w:space="0" w:color="auto"/>
        <w:bottom w:val="none" w:sz="0" w:space="0" w:color="auto"/>
        <w:right w:val="none" w:sz="0" w:space="0" w:color="auto"/>
      </w:divBdr>
    </w:div>
    <w:div w:id="455491242">
      <w:bodyDiv w:val="1"/>
      <w:marLeft w:val="0"/>
      <w:marRight w:val="0"/>
      <w:marTop w:val="0"/>
      <w:marBottom w:val="0"/>
      <w:divBdr>
        <w:top w:val="none" w:sz="0" w:space="0" w:color="auto"/>
        <w:left w:val="none" w:sz="0" w:space="0" w:color="auto"/>
        <w:bottom w:val="none" w:sz="0" w:space="0" w:color="auto"/>
        <w:right w:val="none" w:sz="0" w:space="0" w:color="auto"/>
      </w:divBdr>
    </w:div>
    <w:div w:id="571164609">
      <w:bodyDiv w:val="1"/>
      <w:marLeft w:val="0"/>
      <w:marRight w:val="0"/>
      <w:marTop w:val="0"/>
      <w:marBottom w:val="0"/>
      <w:divBdr>
        <w:top w:val="none" w:sz="0" w:space="0" w:color="auto"/>
        <w:left w:val="none" w:sz="0" w:space="0" w:color="auto"/>
        <w:bottom w:val="none" w:sz="0" w:space="0" w:color="auto"/>
        <w:right w:val="none" w:sz="0" w:space="0" w:color="auto"/>
      </w:divBdr>
      <w:divsChild>
        <w:div w:id="418142021">
          <w:marLeft w:val="0"/>
          <w:marRight w:val="0"/>
          <w:marTop w:val="0"/>
          <w:marBottom w:val="0"/>
          <w:divBdr>
            <w:top w:val="none" w:sz="0" w:space="0" w:color="auto"/>
            <w:left w:val="none" w:sz="0" w:space="0" w:color="auto"/>
            <w:bottom w:val="none" w:sz="0" w:space="0" w:color="auto"/>
            <w:right w:val="none" w:sz="0" w:space="0" w:color="auto"/>
          </w:divBdr>
          <w:divsChild>
            <w:div w:id="351540086">
              <w:marLeft w:val="0"/>
              <w:marRight w:val="0"/>
              <w:marTop w:val="0"/>
              <w:marBottom w:val="0"/>
              <w:divBdr>
                <w:top w:val="none" w:sz="0" w:space="0" w:color="auto"/>
                <w:left w:val="none" w:sz="0" w:space="0" w:color="auto"/>
                <w:bottom w:val="none" w:sz="0" w:space="0" w:color="auto"/>
                <w:right w:val="none" w:sz="0" w:space="0" w:color="auto"/>
              </w:divBdr>
              <w:divsChild>
                <w:div w:id="89472779">
                  <w:marLeft w:val="0"/>
                  <w:marRight w:val="0"/>
                  <w:marTop w:val="0"/>
                  <w:marBottom w:val="0"/>
                  <w:divBdr>
                    <w:top w:val="none" w:sz="0" w:space="0" w:color="auto"/>
                    <w:left w:val="none" w:sz="0" w:space="0" w:color="auto"/>
                    <w:bottom w:val="none" w:sz="0" w:space="0" w:color="auto"/>
                    <w:right w:val="none" w:sz="0" w:space="0" w:color="auto"/>
                  </w:divBdr>
                  <w:divsChild>
                    <w:div w:id="471213289">
                      <w:marLeft w:val="0"/>
                      <w:marRight w:val="0"/>
                      <w:marTop w:val="0"/>
                      <w:marBottom w:val="0"/>
                      <w:divBdr>
                        <w:top w:val="none" w:sz="0" w:space="0" w:color="auto"/>
                        <w:left w:val="none" w:sz="0" w:space="0" w:color="auto"/>
                        <w:bottom w:val="none" w:sz="0" w:space="0" w:color="auto"/>
                        <w:right w:val="none" w:sz="0" w:space="0" w:color="auto"/>
                      </w:divBdr>
                      <w:divsChild>
                        <w:div w:id="485825762">
                          <w:marLeft w:val="0"/>
                          <w:marRight w:val="0"/>
                          <w:marTop w:val="0"/>
                          <w:marBottom w:val="0"/>
                          <w:divBdr>
                            <w:top w:val="none" w:sz="0" w:space="0" w:color="auto"/>
                            <w:left w:val="none" w:sz="0" w:space="0" w:color="auto"/>
                            <w:bottom w:val="none" w:sz="0" w:space="0" w:color="auto"/>
                            <w:right w:val="none" w:sz="0" w:space="0" w:color="auto"/>
                          </w:divBdr>
                          <w:divsChild>
                            <w:div w:id="392237154">
                              <w:marLeft w:val="0"/>
                              <w:marRight w:val="0"/>
                              <w:marTop w:val="0"/>
                              <w:marBottom w:val="0"/>
                              <w:divBdr>
                                <w:top w:val="none" w:sz="0" w:space="0" w:color="auto"/>
                                <w:left w:val="none" w:sz="0" w:space="0" w:color="auto"/>
                                <w:bottom w:val="none" w:sz="0" w:space="0" w:color="auto"/>
                                <w:right w:val="none" w:sz="0" w:space="0" w:color="auto"/>
                              </w:divBdr>
                              <w:divsChild>
                                <w:div w:id="438258383">
                                  <w:marLeft w:val="0"/>
                                  <w:marRight w:val="0"/>
                                  <w:marTop w:val="0"/>
                                  <w:marBottom w:val="0"/>
                                  <w:divBdr>
                                    <w:top w:val="none" w:sz="0" w:space="0" w:color="auto"/>
                                    <w:left w:val="none" w:sz="0" w:space="0" w:color="auto"/>
                                    <w:bottom w:val="none" w:sz="0" w:space="0" w:color="auto"/>
                                    <w:right w:val="none" w:sz="0" w:space="0" w:color="auto"/>
                                  </w:divBdr>
                                  <w:divsChild>
                                    <w:div w:id="861432970">
                                      <w:marLeft w:val="0"/>
                                      <w:marRight w:val="0"/>
                                      <w:marTop w:val="0"/>
                                      <w:marBottom w:val="0"/>
                                      <w:divBdr>
                                        <w:top w:val="none" w:sz="0" w:space="0" w:color="auto"/>
                                        <w:left w:val="none" w:sz="0" w:space="0" w:color="auto"/>
                                        <w:bottom w:val="none" w:sz="0" w:space="0" w:color="auto"/>
                                        <w:right w:val="none" w:sz="0" w:space="0" w:color="auto"/>
                                      </w:divBdr>
                                      <w:divsChild>
                                        <w:div w:id="525288214">
                                          <w:marLeft w:val="0"/>
                                          <w:marRight w:val="0"/>
                                          <w:marTop w:val="0"/>
                                          <w:marBottom w:val="0"/>
                                          <w:divBdr>
                                            <w:top w:val="none" w:sz="0" w:space="0" w:color="auto"/>
                                            <w:left w:val="none" w:sz="0" w:space="0" w:color="auto"/>
                                            <w:bottom w:val="none" w:sz="0" w:space="0" w:color="auto"/>
                                            <w:right w:val="none" w:sz="0" w:space="0" w:color="auto"/>
                                          </w:divBdr>
                                          <w:divsChild>
                                            <w:div w:id="211619832">
                                              <w:marLeft w:val="0"/>
                                              <w:marRight w:val="0"/>
                                              <w:marTop w:val="0"/>
                                              <w:marBottom w:val="0"/>
                                              <w:divBdr>
                                                <w:top w:val="none" w:sz="0" w:space="0" w:color="auto"/>
                                                <w:left w:val="none" w:sz="0" w:space="0" w:color="auto"/>
                                                <w:bottom w:val="none" w:sz="0" w:space="0" w:color="auto"/>
                                                <w:right w:val="none" w:sz="0" w:space="0" w:color="auto"/>
                                              </w:divBdr>
                                              <w:divsChild>
                                                <w:div w:id="1214468816">
                                                  <w:marLeft w:val="0"/>
                                                  <w:marRight w:val="0"/>
                                                  <w:marTop w:val="0"/>
                                                  <w:marBottom w:val="0"/>
                                                  <w:divBdr>
                                                    <w:top w:val="none" w:sz="0" w:space="0" w:color="auto"/>
                                                    <w:left w:val="none" w:sz="0" w:space="0" w:color="auto"/>
                                                    <w:bottom w:val="none" w:sz="0" w:space="0" w:color="auto"/>
                                                    <w:right w:val="none" w:sz="0" w:space="0" w:color="auto"/>
                                                  </w:divBdr>
                                                  <w:divsChild>
                                                    <w:div w:id="1282884157">
                                                      <w:marLeft w:val="0"/>
                                                      <w:marRight w:val="0"/>
                                                      <w:marTop w:val="0"/>
                                                      <w:marBottom w:val="0"/>
                                                      <w:divBdr>
                                                        <w:top w:val="none" w:sz="0" w:space="0" w:color="auto"/>
                                                        <w:left w:val="none" w:sz="0" w:space="0" w:color="auto"/>
                                                        <w:bottom w:val="none" w:sz="0" w:space="0" w:color="auto"/>
                                                        <w:right w:val="none" w:sz="0" w:space="0" w:color="auto"/>
                                                      </w:divBdr>
                                                      <w:divsChild>
                                                        <w:div w:id="24761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5336197">
      <w:bodyDiv w:val="1"/>
      <w:marLeft w:val="0"/>
      <w:marRight w:val="0"/>
      <w:marTop w:val="0"/>
      <w:marBottom w:val="0"/>
      <w:divBdr>
        <w:top w:val="none" w:sz="0" w:space="0" w:color="auto"/>
        <w:left w:val="none" w:sz="0" w:space="0" w:color="auto"/>
        <w:bottom w:val="none" w:sz="0" w:space="0" w:color="auto"/>
        <w:right w:val="none" w:sz="0" w:space="0" w:color="auto"/>
      </w:divBdr>
    </w:div>
    <w:div w:id="648753685">
      <w:bodyDiv w:val="1"/>
      <w:marLeft w:val="0"/>
      <w:marRight w:val="0"/>
      <w:marTop w:val="0"/>
      <w:marBottom w:val="0"/>
      <w:divBdr>
        <w:top w:val="none" w:sz="0" w:space="0" w:color="auto"/>
        <w:left w:val="none" w:sz="0" w:space="0" w:color="auto"/>
        <w:bottom w:val="none" w:sz="0" w:space="0" w:color="auto"/>
        <w:right w:val="none" w:sz="0" w:space="0" w:color="auto"/>
      </w:divBdr>
    </w:div>
    <w:div w:id="678240604">
      <w:bodyDiv w:val="1"/>
      <w:marLeft w:val="0"/>
      <w:marRight w:val="0"/>
      <w:marTop w:val="0"/>
      <w:marBottom w:val="0"/>
      <w:divBdr>
        <w:top w:val="none" w:sz="0" w:space="0" w:color="auto"/>
        <w:left w:val="none" w:sz="0" w:space="0" w:color="auto"/>
        <w:bottom w:val="none" w:sz="0" w:space="0" w:color="auto"/>
        <w:right w:val="none" w:sz="0" w:space="0" w:color="auto"/>
      </w:divBdr>
    </w:div>
    <w:div w:id="709456990">
      <w:bodyDiv w:val="1"/>
      <w:marLeft w:val="0"/>
      <w:marRight w:val="0"/>
      <w:marTop w:val="0"/>
      <w:marBottom w:val="0"/>
      <w:divBdr>
        <w:top w:val="none" w:sz="0" w:space="0" w:color="auto"/>
        <w:left w:val="none" w:sz="0" w:space="0" w:color="auto"/>
        <w:bottom w:val="none" w:sz="0" w:space="0" w:color="auto"/>
        <w:right w:val="none" w:sz="0" w:space="0" w:color="auto"/>
      </w:divBdr>
    </w:div>
    <w:div w:id="781848918">
      <w:bodyDiv w:val="1"/>
      <w:marLeft w:val="0"/>
      <w:marRight w:val="0"/>
      <w:marTop w:val="0"/>
      <w:marBottom w:val="0"/>
      <w:divBdr>
        <w:top w:val="none" w:sz="0" w:space="0" w:color="auto"/>
        <w:left w:val="none" w:sz="0" w:space="0" w:color="auto"/>
        <w:bottom w:val="none" w:sz="0" w:space="0" w:color="auto"/>
        <w:right w:val="none" w:sz="0" w:space="0" w:color="auto"/>
      </w:divBdr>
    </w:div>
    <w:div w:id="795873928">
      <w:bodyDiv w:val="1"/>
      <w:marLeft w:val="0"/>
      <w:marRight w:val="0"/>
      <w:marTop w:val="0"/>
      <w:marBottom w:val="0"/>
      <w:divBdr>
        <w:top w:val="none" w:sz="0" w:space="0" w:color="auto"/>
        <w:left w:val="none" w:sz="0" w:space="0" w:color="auto"/>
        <w:bottom w:val="none" w:sz="0" w:space="0" w:color="auto"/>
        <w:right w:val="none" w:sz="0" w:space="0" w:color="auto"/>
      </w:divBdr>
    </w:div>
    <w:div w:id="805122390">
      <w:bodyDiv w:val="1"/>
      <w:marLeft w:val="0"/>
      <w:marRight w:val="0"/>
      <w:marTop w:val="0"/>
      <w:marBottom w:val="0"/>
      <w:divBdr>
        <w:top w:val="none" w:sz="0" w:space="0" w:color="auto"/>
        <w:left w:val="none" w:sz="0" w:space="0" w:color="auto"/>
        <w:bottom w:val="none" w:sz="0" w:space="0" w:color="auto"/>
        <w:right w:val="none" w:sz="0" w:space="0" w:color="auto"/>
      </w:divBdr>
    </w:div>
    <w:div w:id="807236557">
      <w:bodyDiv w:val="1"/>
      <w:marLeft w:val="0"/>
      <w:marRight w:val="0"/>
      <w:marTop w:val="0"/>
      <w:marBottom w:val="0"/>
      <w:divBdr>
        <w:top w:val="none" w:sz="0" w:space="0" w:color="auto"/>
        <w:left w:val="none" w:sz="0" w:space="0" w:color="auto"/>
        <w:bottom w:val="none" w:sz="0" w:space="0" w:color="auto"/>
        <w:right w:val="none" w:sz="0" w:space="0" w:color="auto"/>
      </w:divBdr>
    </w:div>
    <w:div w:id="869992628">
      <w:bodyDiv w:val="1"/>
      <w:marLeft w:val="0"/>
      <w:marRight w:val="0"/>
      <w:marTop w:val="0"/>
      <w:marBottom w:val="0"/>
      <w:divBdr>
        <w:top w:val="none" w:sz="0" w:space="0" w:color="auto"/>
        <w:left w:val="none" w:sz="0" w:space="0" w:color="auto"/>
        <w:bottom w:val="none" w:sz="0" w:space="0" w:color="auto"/>
        <w:right w:val="none" w:sz="0" w:space="0" w:color="auto"/>
      </w:divBdr>
    </w:div>
    <w:div w:id="888300294">
      <w:bodyDiv w:val="1"/>
      <w:marLeft w:val="0"/>
      <w:marRight w:val="0"/>
      <w:marTop w:val="0"/>
      <w:marBottom w:val="0"/>
      <w:divBdr>
        <w:top w:val="none" w:sz="0" w:space="0" w:color="auto"/>
        <w:left w:val="none" w:sz="0" w:space="0" w:color="auto"/>
        <w:bottom w:val="none" w:sz="0" w:space="0" w:color="auto"/>
        <w:right w:val="none" w:sz="0" w:space="0" w:color="auto"/>
      </w:divBdr>
    </w:div>
    <w:div w:id="980813441">
      <w:bodyDiv w:val="1"/>
      <w:marLeft w:val="0"/>
      <w:marRight w:val="0"/>
      <w:marTop w:val="0"/>
      <w:marBottom w:val="0"/>
      <w:divBdr>
        <w:top w:val="none" w:sz="0" w:space="0" w:color="auto"/>
        <w:left w:val="none" w:sz="0" w:space="0" w:color="auto"/>
        <w:bottom w:val="none" w:sz="0" w:space="0" w:color="auto"/>
        <w:right w:val="none" w:sz="0" w:space="0" w:color="auto"/>
      </w:divBdr>
    </w:div>
    <w:div w:id="1013192915">
      <w:bodyDiv w:val="1"/>
      <w:marLeft w:val="0"/>
      <w:marRight w:val="0"/>
      <w:marTop w:val="0"/>
      <w:marBottom w:val="0"/>
      <w:divBdr>
        <w:top w:val="none" w:sz="0" w:space="0" w:color="auto"/>
        <w:left w:val="none" w:sz="0" w:space="0" w:color="auto"/>
        <w:bottom w:val="none" w:sz="0" w:space="0" w:color="auto"/>
        <w:right w:val="none" w:sz="0" w:space="0" w:color="auto"/>
      </w:divBdr>
    </w:div>
    <w:div w:id="1041437130">
      <w:bodyDiv w:val="1"/>
      <w:marLeft w:val="0"/>
      <w:marRight w:val="0"/>
      <w:marTop w:val="0"/>
      <w:marBottom w:val="0"/>
      <w:divBdr>
        <w:top w:val="none" w:sz="0" w:space="0" w:color="auto"/>
        <w:left w:val="none" w:sz="0" w:space="0" w:color="auto"/>
        <w:bottom w:val="none" w:sz="0" w:space="0" w:color="auto"/>
        <w:right w:val="none" w:sz="0" w:space="0" w:color="auto"/>
      </w:divBdr>
    </w:div>
    <w:div w:id="1056122342">
      <w:bodyDiv w:val="1"/>
      <w:marLeft w:val="0"/>
      <w:marRight w:val="0"/>
      <w:marTop w:val="0"/>
      <w:marBottom w:val="0"/>
      <w:divBdr>
        <w:top w:val="none" w:sz="0" w:space="0" w:color="auto"/>
        <w:left w:val="none" w:sz="0" w:space="0" w:color="auto"/>
        <w:bottom w:val="none" w:sz="0" w:space="0" w:color="auto"/>
        <w:right w:val="none" w:sz="0" w:space="0" w:color="auto"/>
      </w:divBdr>
    </w:div>
    <w:div w:id="1073045442">
      <w:bodyDiv w:val="1"/>
      <w:marLeft w:val="0"/>
      <w:marRight w:val="0"/>
      <w:marTop w:val="0"/>
      <w:marBottom w:val="0"/>
      <w:divBdr>
        <w:top w:val="none" w:sz="0" w:space="0" w:color="auto"/>
        <w:left w:val="none" w:sz="0" w:space="0" w:color="auto"/>
        <w:bottom w:val="none" w:sz="0" w:space="0" w:color="auto"/>
        <w:right w:val="none" w:sz="0" w:space="0" w:color="auto"/>
      </w:divBdr>
    </w:div>
    <w:div w:id="1169129406">
      <w:bodyDiv w:val="1"/>
      <w:marLeft w:val="0"/>
      <w:marRight w:val="0"/>
      <w:marTop w:val="0"/>
      <w:marBottom w:val="0"/>
      <w:divBdr>
        <w:top w:val="none" w:sz="0" w:space="0" w:color="auto"/>
        <w:left w:val="none" w:sz="0" w:space="0" w:color="auto"/>
        <w:bottom w:val="none" w:sz="0" w:space="0" w:color="auto"/>
        <w:right w:val="none" w:sz="0" w:space="0" w:color="auto"/>
      </w:divBdr>
    </w:div>
    <w:div w:id="1190610972">
      <w:bodyDiv w:val="1"/>
      <w:marLeft w:val="0"/>
      <w:marRight w:val="0"/>
      <w:marTop w:val="0"/>
      <w:marBottom w:val="0"/>
      <w:divBdr>
        <w:top w:val="none" w:sz="0" w:space="0" w:color="auto"/>
        <w:left w:val="none" w:sz="0" w:space="0" w:color="auto"/>
        <w:bottom w:val="none" w:sz="0" w:space="0" w:color="auto"/>
        <w:right w:val="none" w:sz="0" w:space="0" w:color="auto"/>
      </w:divBdr>
    </w:div>
    <w:div w:id="1207989278">
      <w:bodyDiv w:val="1"/>
      <w:marLeft w:val="0"/>
      <w:marRight w:val="0"/>
      <w:marTop w:val="0"/>
      <w:marBottom w:val="0"/>
      <w:divBdr>
        <w:top w:val="none" w:sz="0" w:space="0" w:color="auto"/>
        <w:left w:val="none" w:sz="0" w:space="0" w:color="auto"/>
        <w:bottom w:val="none" w:sz="0" w:space="0" w:color="auto"/>
        <w:right w:val="none" w:sz="0" w:space="0" w:color="auto"/>
      </w:divBdr>
    </w:div>
    <w:div w:id="1261599068">
      <w:bodyDiv w:val="1"/>
      <w:marLeft w:val="0"/>
      <w:marRight w:val="0"/>
      <w:marTop w:val="0"/>
      <w:marBottom w:val="0"/>
      <w:divBdr>
        <w:top w:val="none" w:sz="0" w:space="0" w:color="auto"/>
        <w:left w:val="none" w:sz="0" w:space="0" w:color="auto"/>
        <w:bottom w:val="none" w:sz="0" w:space="0" w:color="auto"/>
        <w:right w:val="none" w:sz="0" w:space="0" w:color="auto"/>
      </w:divBdr>
    </w:div>
    <w:div w:id="1289707346">
      <w:bodyDiv w:val="1"/>
      <w:marLeft w:val="0"/>
      <w:marRight w:val="0"/>
      <w:marTop w:val="0"/>
      <w:marBottom w:val="0"/>
      <w:divBdr>
        <w:top w:val="none" w:sz="0" w:space="0" w:color="auto"/>
        <w:left w:val="none" w:sz="0" w:space="0" w:color="auto"/>
        <w:bottom w:val="none" w:sz="0" w:space="0" w:color="auto"/>
        <w:right w:val="none" w:sz="0" w:space="0" w:color="auto"/>
      </w:divBdr>
    </w:div>
    <w:div w:id="1300188203">
      <w:bodyDiv w:val="1"/>
      <w:marLeft w:val="0"/>
      <w:marRight w:val="0"/>
      <w:marTop w:val="0"/>
      <w:marBottom w:val="0"/>
      <w:divBdr>
        <w:top w:val="none" w:sz="0" w:space="0" w:color="auto"/>
        <w:left w:val="none" w:sz="0" w:space="0" w:color="auto"/>
        <w:bottom w:val="none" w:sz="0" w:space="0" w:color="auto"/>
        <w:right w:val="none" w:sz="0" w:space="0" w:color="auto"/>
      </w:divBdr>
      <w:divsChild>
        <w:div w:id="2128041315">
          <w:marLeft w:val="0"/>
          <w:marRight w:val="0"/>
          <w:marTop w:val="0"/>
          <w:marBottom w:val="0"/>
          <w:divBdr>
            <w:top w:val="none" w:sz="0" w:space="0" w:color="auto"/>
            <w:left w:val="none" w:sz="0" w:space="0" w:color="auto"/>
            <w:bottom w:val="none" w:sz="0" w:space="0" w:color="auto"/>
            <w:right w:val="none" w:sz="0" w:space="0" w:color="auto"/>
          </w:divBdr>
          <w:divsChild>
            <w:div w:id="1158348877">
              <w:marLeft w:val="0"/>
              <w:marRight w:val="0"/>
              <w:marTop w:val="0"/>
              <w:marBottom w:val="0"/>
              <w:divBdr>
                <w:top w:val="none" w:sz="0" w:space="0" w:color="auto"/>
                <w:left w:val="none" w:sz="0" w:space="0" w:color="auto"/>
                <w:bottom w:val="none" w:sz="0" w:space="0" w:color="auto"/>
                <w:right w:val="none" w:sz="0" w:space="0" w:color="auto"/>
              </w:divBdr>
              <w:divsChild>
                <w:div w:id="437020544">
                  <w:marLeft w:val="0"/>
                  <w:marRight w:val="0"/>
                  <w:marTop w:val="0"/>
                  <w:marBottom w:val="0"/>
                  <w:divBdr>
                    <w:top w:val="none" w:sz="0" w:space="0" w:color="auto"/>
                    <w:left w:val="none" w:sz="0" w:space="0" w:color="auto"/>
                    <w:bottom w:val="none" w:sz="0" w:space="0" w:color="auto"/>
                    <w:right w:val="none" w:sz="0" w:space="0" w:color="auto"/>
                  </w:divBdr>
                  <w:divsChild>
                    <w:div w:id="1099330645">
                      <w:marLeft w:val="0"/>
                      <w:marRight w:val="0"/>
                      <w:marTop w:val="0"/>
                      <w:marBottom w:val="0"/>
                      <w:divBdr>
                        <w:top w:val="none" w:sz="0" w:space="0" w:color="auto"/>
                        <w:left w:val="none" w:sz="0" w:space="0" w:color="auto"/>
                        <w:bottom w:val="none" w:sz="0" w:space="0" w:color="auto"/>
                        <w:right w:val="none" w:sz="0" w:space="0" w:color="auto"/>
                      </w:divBdr>
                      <w:divsChild>
                        <w:div w:id="578947471">
                          <w:marLeft w:val="0"/>
                          <w:marRight w:val="0"/>
                          <w:marTop w:val="0"/>
                          <w:marBottom w:val="0"/>
                          <w:divBdr>
                            <w:top w:val="none" w:sz="0" w:space="0" w:color="auto"/>
                            <w:left w:val="none" w:sz="0" w:space="0" w:color="auto"/>
                            <w:bottom w:val="none" w:sz="0" w:space="0" w:color="auto"/>
                            <w:right w:val="none" w:sz="0" w:space="0" w:color="auto"/>
                          </w:divBdr>
                          <w:divsChild>
                            <w:div w:id="312876505">
                              <w:marLeft w:val="0"/>
                              <w:marRight w:val="0"/>
                              <w:marTop w:val="0"/>
                              <w:marBottom w:val="0"/>
                              <w:divBdr>
                                <w:top w:val="none" w:sz="0" w:space="0" w:color="auto"/>
                                <w:left w:val="none" w:sz="0" w:space="0" w:color="auto"/>
                                <w:bottom w:val="none" w:sz="0" w:space="0" w:color="auto"/>
                                <w:right w:val="none" w:sz="0" w:space="0" w:color="auto"/>
                              </w:divBdr>
                              <w:divsChild>
                                <w:div w:id="1174344115">
                                  <w:marLeft w:val="0"/>
                                  <w:marRight w:val="0"/>
                                  <w:marTop w:val="0"/>
                                  <w:marBottom w:val="0"/>
                                  <w:divBdr>
                                    <w:top w:val="none" w:sz="0" w:space="0" w:color="auto"/>
                                    <w:left w:val="none" w:sz="0" w:space="0" w:color="auto"/>
                                    <w:bottom w:val="none" w:sz="0" w:space="0" w:color="auto"/>
                                    <w:right w:val="none" w:sz="0" w:space="0" w:color="auto"/>
                                  </w:divBdr>
                                  <w:divsChild>
                                    <w:div w:id="797577396">
                                      <w:marLeft w:val="0"/>
                                      <w:marRight w:val="0"/>
                                      <w:marTop w:val="0"/>
                                      <w:marBottom w:val="0"/>
                                      <w:divBdr>
                                        <w:top w:val="none" w:sz="0" w:space="0" w:color="auto"/>
                                        <w:left w:val="none" w:sz="0" w:space="0" w:color="auto"/>
                                        <w:bottom w:val="none" w:sz="0" w:space="0" w:color="auto"/>
                                        <w:right w:val="none" w:sz="0" w:space="0" w:color="auto"/>
                                      </w:divBdr>
                                      <w:divsChild>
                                        <w:div w:id="802230985">
                                          <w:marLeft w:val="0"/>
                                          <w:marRight w:val="0"/>
                                          <w:marTop w:val="0"/>
                                          <w:marBottom w:val="0"/>
                                          <w:divBdr>
                                            <w:top w:val="none" w:sz="0" w:space="0" w:color="auto"/>
                                            <w:left w:val="none" w:sz="0" w:space="0" w:color="auto"/>
                                            <w:bottom w:val="none" w:sz="0" w:space="0" w:color="auto"/>
                                            <w:right w:val="none" w:sz="0" w:space="0" w:color="auto"/>
                                          </w:divBdr>
                                          <w:divsChild>
                                            <w:div w:id="141897042">
                                              <w:marLeft w:val="0"/>
                                              <w:marRight w:val="0"/>
                                              <w:marTop w:val="0"/>
                                              <w:marBottom w:val="0"/>
                                              <w:divBdr>
                                                <w:top w:val="none" w:sz="0" w:space="0" w:color="auto"/>
                                                <w:left w:val="none" w:sz="0" w:space="0" w:color="auto"/>
                                                <w:bottom w:val="none" w:sz="0" w:space="0" w:color="auto"/>
                                                <w:right w:val="none" w:sz="0" w:space="0" w:color="auto"/>
                                              </w:divBdr>
                                              <w:divsChild>
                                                <w:div w:id="187649013">
                                                  <w:marLeft w:val="0"/>
                                                  <w:marRight w:val="0"/>
                                                  <w:marTop w:val="0"/>
                                                  <w:marBottom w:val="0"/>
                                                  <w:divBdr>
                                                    <w:top w:val="none" w:sz="0" w:space="0" w:color="auto"/>
                                                    <w:left w:val="none" w:sz="0" w:space="0" w:color="auto"/>
                                                    <w:bottom w:val="none" w:sz="0" w:space="0" w:color="auto"/>
                                                    <w:right w:val="none" w:sz="0" w:space="0" w:color="auto"/>
                                                  </w:divBdr>
                                                  <w:divsChild>
                                                    <w:div w:id="82266007">
                                                      <w:marLeft w:val="0"/>
                                                      <w:marRight w:val="0"/>
                                                      <w:marTop w:val="0"/>
                                                      <w:marBottom w:val="0"/>
                                                      <w:divBdr>
                                                        <w:top w:val="none" w:sz="0" w:space="0" w:color="auto"/>
                                                        <w:left w:val="none" w:sz="0" w:space="0" w:color="auto"/>
                                                        <w:bottom w:val="none" w:sz="0" w:space="0" w:color="auto"/>
                                                        <w:right w:val="none" w:sz="0" w:space="0" w:color="auto"/>
                                                      </w:divBdr>
                                                      <w:divsChild>
                                                        <w:div w:id="26091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7205649">
      <w:bodyDiv w:val="1"/>
      <w:marLeft w:val="0"/>
      <w:marRight w:val="0"/>
      <w:marTop w:val="0"/>
      <w:marBottom w:val="0"/>
      <w:divBdr>
        <w:top w:val="none" w:sz="0" w:space="0" w:color="auto"/>
        <w:left w:val="none" w:sz="0" w:space="0" w:color="auto"/>
        <w:bottom w:val="none" w:sz="0" w:space="0" w:color="auto"/>
        <w:right w:val="none" w:sz="0" w:space="0" w:color="auto"/>
      </w:divBdr>
    </w:div>
    <w:div w:id="1311473390">
      <w:bodyDiv w:val="1"/>
      <w:marLeft w:val="0"/>
      <w:marRight w:val="0"/>
      <w:marTop w:val="0"/>
      <w:marBottom w:val="0"/>
      <w:divBdr>
        <w:top w:val="none" w:sz="0" w:space="0" w:color="auto"/>
        <w:left w:val="none" w:sz="0" w:space="0" w:color="auto"/>
        <w:bottom w:val="none" w:sz="0" w:space="0" w:color="auto"/>
        <w:right w:val="none" w:sz="0" w:space="0" w:color="auto"/>
      </w:divBdr>
    </w:div>
    <w:div w:id="1347636871">
      <w:bodyDiv w:val="1"/>
      <w:marLeft w:val="0"/>
      <w:marRight w:val="0"/>
      <w:marTop w:val="0"/>
      <w:marBottom w:val="0"/>
      <w:divBdr>
        <w:top w:val="none" w:sz="0" w:space="0" w:color="auto"/>
        <w:left w:val="none" w:sz="0" w:space="0" w:color="auto"/>
        <w:bottom w:val="none" w:sz="0" w:space="0" w:color="auto"/>
        <w:right w:val="none" w:sz="0" w:space="0" w:color="auto"/>
      </w:divBdr>
    </w:div>
    <w:div w:id="1351487941">
      <w:bodyDiv w:val="1"/>
      <w:marLeft w:val="0"/>
      <w:marRight w:val="0"/>
      <w:marTop w:val="0"/>
      <w:marBottom w:val="0"/>
      <w:divBdr>
        <w:top w:val="none" w:sz="0" w:space="0" w:color="auto"/>
        <w:left w:val="none" w:sz="0" w:space="0" w:color="auto"/>
        <w:bottom w:val="none" w:sz="0" w:space="0" w:color="auto"/>
        <w:right w:val="none" w:sz="0" w:space="0" w:color="auto"/>
      </w:divBdr>
    </w:div>
    <w:div w:id="1357852507">
      <w:bodyDiv w:val="1"/>
      <w:marLeft w:val="0"/>
      <w:marRight w:val="0"/>
      <w:marTop w:val="0"/>
      <w:marBottom w:val="0"/>
      <w:divBdr>
        <w:top w:val="none" w:sz="0" w:space="0" w:color="auto"/>
        <w:left w:val="none" w:sz="0" w:space="0" w:color="auto"/>
        <w:bottom w:val="none" w:sz="0" w:space="0" w:color="auto"/>
        <w:right w:val="none" w:sz="0" w:space="0" w:color="auto"/>
      </w:divBdr>
      <w:divsChild>
        <w:div w:id="1916010565">
          <w:marLeft w:val="0"/>
          <w:marRight w:val="0"/>
          <w:marTop w:val="0"/>
          <w:marBottom w:val="0"/>
          <w:divBdr>
            <w:top w:val="none" w:sz="0" w:space="0" w:color="auto"/>
            <w:left w:val="none" w:sz="0" w:space="0" w:color="auto"/>
            <w:bottom w:val="none" w:sz="0" w:space="0" w:color="auto"/>
            <w:right w:val="none" w:sz="0" w:space="0" w:color="auto"/>
          </w:divBdr>
          <w:divsChild>
            <w:div w:id="779838774">
              <w:marLeft w:val="0"/>
              <w:marRight w:val="0"/>
              <w:marTop w:val="0"/>
              <w:marBottom w:val="0"/>
              <w:divBdr>
                <w:top w:val="none" w:sz="0" w:space="0" w:color="auto"/>
                <w:left w:val="none" w:sz="0" w:space="0" w:color="auto"/>
                <w:bottom w:val="none" w:sz="0" w:space="0" w:color="auto"/>
                <w:right w:val="none" w:sz="0" w:space="0" w:color="auto"/>
              </w:divBdr>
              <w:divsChild>
                <w:div w:id="2027322438">
                  <w:marLeft w:val="0"/>
                  <w:marRight w:val="0"/>
                  <w:marTop w:val="0"/>
                  <w:marBottom w:val="0"/>
                  <w:divBdr>
                    <w:top w:val="none" w:sz="0" w:space="0" w:color="auto"/>
                    <w:left w:val="none" w:sz="0" w:space="0" w:color="auto"/>
                    <w:bottom w:val="none" w:sz="0" w:space="0" w:color="auto"/>
                    <w:right w:val="none" w:sz="0" w:space="0" w:color="auto"/>
                  </w:divBdr>
                  <w:divsChild>
                    <w:div w:id="960651400">
                      <w:marLeft w:val="0"/>
                      <w:marRight w:val="0"/>
                      <w:marTop w:val="0"/>
                      <w:marBottom w:val="0"/>
                      <w:divBdr>
                        <w:top w:val="none" w:sz="0" w:space="0" w:color="auto"/>
                        <w:left w:val="none" w:sz="0" w:space="0" w:color="auto"/>
                        <w:bottom w:val="none" w:sz="0" w:space="0" w:color="auto"/>
                        <w:right w:val="none" w:sz="0" w:space="0" w:color="auto"/>
                      </w:divBdr>
                      <w:divsChild>
                        <w:div w:id="660080408">
                          <w:marLeft w:val="0"/>
                          <w:marRight w:val="0"/>
                          <w:marTop w:val="0"/>
                          <w:marBottom w:val="0"/>
                          <w:divBdr>
                            <w:top w:val="none" w:sz="0" w:space="0" w:color="auto"/>
                            <w:left w:val="none" w:sz="0" w:space="0" w:color="auto"/>
                            <w:bottom w:val="none" w:sz="0" w:space="0" w:color="auto"/>
                            <w:right w:val="none" w:sz="0" w:space="0" w:color="auto"/>
                          </w:divBdr>
                          <w:divsChild>
                            <w:div w:id="268776299">
                              <w:marLeft w:val="0"/>
                              <w:marRight w:val="0"/>
                              <w:marTop w:val="0"/>
                              <w:marBottom w:val="0"/>
                              <w:divBdr>
                                <w:top w:val="none" w:sz="0" w:space="0" w:color="auto"/>
                                <w:left w:val="none" w:sz="0" w:space="0" w:color="auto"/>
                                <w:bottom w:val="none" w:sz="0" w:space="0" w:color="auto"/>
                                <w:right w:val="none" w:sz="0" w:space="0" w:color="auto"/>
                              </w:divBdr>
                              <w:divsChild>
                                <w:div w:id="133304448">
                                  <w:marLeft w:val="0"/>
                                  <w:marRight w:val="0"/>
                                  <w:marTop w:val="0"/>
                                  <w:marBottom w:val="0"/>
                                  <w:divBdr>
                                    <w:top w:val="none" w:sz="0" w:space="0" w:color="auto"/>
                                    <w:left w:val="none" w:sz="0" w:space="0" w:color="auto"/>
                                    <w:bottom w:val="none" w:sz="0" w:space="0" w:color="auto"/>
                                    <w:right w:val="none" w:sz="0" w:space="0" w:color="auto"/>
                                  </w:divBdr>
                                  <w:divsChild>
                                    <w:div w:id="405030787">
                                      <w:marLeft w:val="0"/>
                                      <w:marRight w:val="0"/>
                                      <w:marTop w:val="0"/>
                                      <w:marBottom w:val="0"/>
                                      <w:divBdr>
                                        <w:top w:val="none" w:sz="0" w:space="0" w:color="auto"/>
                                        <w:left w:val="none" w:sz="0" w:space="0" w:color="auto"/>
                                        <w:bottom w:val="none" w:sz="0" w:space="0" w:color="auto"/>
                                        <w:right w:val="none" w:sz="0" w:space="0" w:color="auto"/>
                                      </w:divBdr>
                                      <w:divsChild>
                                        <w:div w:id="1702629768">
                                          <w:marLeft w:val="0"/>
                                          <w:marRight w:val="0"/>
                                          <w:marTop w:val="0"/>
                                          <w:marBottom w:val="0"/>
                                          <w:divBdr>
                                            <w:top w:val="none" w:sz="0" w:space="0" w:color="auto"/>
                                            <w:left w:val="none" w:sz="0" w:space="0" w:color="auto"/>
                                            <w:bottom w:val="none" w:sz="0" w:space="0" w:color="auto"/>
                                            <w:right w:val="none" w:sz="0" w:space="0" w:color="auto"/>
                                          </w:divBdr>
                                          <w:divsChild>
                                            <w:div w:id="170264793">
                                              <w:marLeft w:val="0"/>
                                              <w:marRight w:val="0"/>
                                              <w:marTop w:val="0"/>
                                              <w:marBottom w:val="0"/>
                                              <w:divBdr>
                                                <w:top w:val="none" w:sz="0" w:space="0" w:color="auto"/>
                                                <w:left w:val="none" w:sz="0" w:space="0" w:color="auto"/>
                                                <w:bottom w:val="none" w:sz="0" w:space="0" w:color="auto"/>
                                                <w:right w:val="none" w:sz="0" w:space="0" w:color="auto"/>
                                              </w:divBdr>
                                              <w:divsChild>
                                                <w:div w:id="10766204">
                                                  <w:marLeft w:val="0"/>
                                                  <w:marRight w:val="0"/>
                                                  <w:marTop w:val="0"/>
                                                  <w:marBottom w:val="0"/>
                                                  <w:divBdr>
                                                    <w:top w:val="none" w:sz="0" w:space="0" w:color="auto"/>
                                                    <w:left w:val="none" w:sz="0" w:space="0" w:color="auto"/>
                                                    <w:bottom w:val="none" w:sz="0" w:space="0" w:color="auto"/>
                                                    <w:right w:val="none" w:sz="0" w:space="0" w:color="auto"/>
                                                  </w:divBdr>
                                                  <w:divsChild>
                                                    <w:div w:id="11419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2510277">
      <w:bodyDiv w:val="1"/>
      <w:marLeft w:val="0"/>
      <w:marRight w:val="0"/>
      <w:marTop w:val="0"/>
      <w:marBottom w:val="0"/>
      <w:divBdr>
        <w:top w:val="none" w:sz="0" w:space="0" w:color="auto"/>
        <w:left w:val="none" w:sz="0" w:space="0" w:color="auto"/>
        <w:bottom w:val="none" w:sz="0" w:space="0" w:color="auto"/>
        <w:right w:val="none" w:sz="0" w:space="0" w:color="auto"/>
      </w:divBdr>
    </w:div>
    <w:div w:id="1474711345">
      <w:bodyDiv w:val="1"/>
      <w:marLeft w:val="0"/>
      <w:marRight w:val="0"/>
      <w:marTop w:val="0"/>
      <w:marBottom w:val="0"/>
      <w:divBdr>
        <w:top w:val="none" w:sz="0" w:space="0" w:color="auto"/>
        <w:left w:val="none" w:sz="0" w:space="0" w:color="auto"/>
        <w:bottom w:val="none" w:sz="0" w:space="0" w:color="auto"/>
        <w:right w:val="none" w:sz="0" w:space="0" w:color="auto"/>
      </w:divBdr>
      <w:divsChild>
        <w:div w:id="112946272">
          <w:marLeft w:val="0"/>
          <w:marRight w:val="0"/>
          <w:marTop w:val="0"/>
          <w:marBottom w:val="0"/>
          <w:divBdr>
            <w:top w:val="none" w:sz="0" w:space="0" w:color="auto"/>
            <w:left w:val="none" w:sz="0" w:space="0" w:color="auto"/>
            <w:bottom w:val="none" w:sz="0" w:space="0" w:color="auto"/>
            <w:right w:val="none" w:sz="0" w:space="0" w:color="auto"/>
          </w:divBdr>
          <w:divsChild>
            <w:div w:id="992835152">
              <w:marLeft w:val="0"/>
              <w:marRight w:val="0"/>
              <w:marTop w:val="0"/>
              <w:marBottom w:val="0"/>
              <w:divBdr>
                <w:top w:val="none" w:sz="0" w:space="0" w:color="auto"/>
                <w:left w:val="none" w:sz="0" w:space="0" w:color="auto"/>
                <w:bottom w:val="none" w:sz="0" w:space="0" w:color="auto"/>
                <w:right w:val="none" w:sz="0" w:space="0" w:color="auto"/>
              </w:divBdr>
              <w:divsChild>
                <w:div w:id="174461257">
                  <w:marLeft w:val="0"/>
                  <w:marRight w:val="0"/>
                  <w:marTop w:val="0"/>
                  <w:marBottom w:val="0"/>
                  <w:divBdr>
                    <w:top w:val="none" w:sz="0" w:space="0" w:color="auto"/>
                    <w:left w:val="none" w:sz="0" w:space="0" w:color="auto"/>
                    <w:bottom w:val="none" w:sz="0" w:space="0" w:color="auto"/>
                    <w:right w:val="none" w:sz="0" w:space="0" w:color="auto"/>
                  </w:divBdr>
                  <w:divsChild>
                    <w:div w:id="1201432500">
                      <w:marLeft w:val="0"/>
                      <w:marRight w:val="0"/>
                      <w:marTop w:val="0"/>
                      <w:marBottom w:val="0"/>
                      <w:divBdr>
                        <w:top w:val="none" w:sz="0" w:space="0" w:color="auto"/>
                        <w:left w:val="none" w:sz="0" w:space="0" w:color="auto"/>
                        <w:bottom w:val="none" w:sz="0" w:space="0" w:color="auto"/>
                        <w:right w:val="none" w:sz="0" w:space="0" w:color="auto"/>
                      </w:divBdr>
                      <w:divsChild>
                        <w:div w:id="158545382">
                          <w:marLeft w:val="0"/>
                          <w:marRight w:val="0"/>
                          <w:marTop w:val="0"/>
                          <w:marBottom w:val="0"/>
                          <w:divBdr>
                            <w:top w:val="none" w:sz="0" w:space="0" w:color="auto"/>
                            <w:left w:val="none" w:sz="0" w:space="0" w:color="auto"/>
                            <w:bottom w:val="none" w:sz="0" w:space="0" w:color="auto"/>
                            <w:right w:val="none" w:sz="0" w:space="0" w:color="auto"/>
                          </w:divBdr>
                          <w:divsChild>
                            <w:div w:id="2089647343">
                              <w:marLeft w:val="0"/>
                              <w:marRight w:val="0"/>
                              <w:marTop w:val="0"/>
                              <w:marBottom w:val="0"/>
                              <w:divBdr>
                                <w:top w:val="none" w:sz="0" w:space="0" w:color="auto"/>
                                <w:left w:val="none" w:sz="0" w:space="0" w:color="auto"/>
                                <w:bottom w:val="none" w:sz="0" w:space="0" w:color="auto"/>
                                <w:right w:val="none" w:sz="0" w:space="0" w:color="auto"/>
                              </w:divBdr>
                              <w:divsChild>
                                <w:div w:id="131099679">
                                  <w:marLeft w:val="0"/>
                                  <w:marRight w:val="0"/>
                                  <w:marTop w:val="0"/>
                                  <w:marBottom w:val="0"/>
                                  <w:divBdr>
                                    <w:top w:val="none" w:sz="0" w:space="0" w:color="auto"/>
                                    <w:left w:val="none" w:sz="0" w:space="0" w:color="auto"/>
                                    <w:bottom w:val="none" w:sz="0" w:space="0" w:color="auto"/>
                                    <w:right w:val="none" w:sz="0" w:space="0" w:color="auto"/>
                                  </w:divBdr>
                                  <w:divsChild>
                                    <w:div w:id="357899700">
                                      <w:marLeft w:val="0"/>
                                      <w:marRight w:val="0"/>
                                      <w:marTop w:val="0"/>
                                      <w:marBottom w:val="0"/>
                                      <w:divBdr>
                                        <w:top w:val="none" w:sz="0" w:space="0" w:color="auto"/>
                                        <w:left w:val="none" w:sz="0" w:space="0" w:color="auto"/>
                                        <w:bottom w:val="none" w:sz="0" w:space="0" w:color="auto"/>
                                        <w:right w:val="none" w:sz="0" w:space="0" w:color="auto"/>
                                      </w:divBdr>
                                      <w:divsChild>
                                        <w:div w:id="1026054728">
                                          <w:marLeft w:val="0"/>
                                          <w:marRight w:val="0"/>
                                          <w:marTop w:val="0"/>
                                          <w:marBottom w:val="0"/>
                                          <w:divBdr>
                                            <w:top w:val="none" w:sz="0" w:space="0" w:color="auto"/>
                                            <w:left w:val="none" w:sz="0" w:space="0" w:color="auto"/>
                                            <w:bottom w:val="none" w:sz="0" w:space="0" w:color="auto"/>
                                            <w:right w:val="none" w:sz="0" w:space="0" w:color="auto"/>
                                          </w:divBdr>
                                          <w:divsChild>
                                            <w:div w:id="667102062">
                                              <w:marLeft w:val="0"/>
                                              <w:marRight w:val="0"/>
                                              <w:marTop w:val="0"/>
                                              <w:marBottom w:val="0"/>
                                              <w:divBdr>
                                                <w:top w:val="none" w:sz="0" w:space="0" w:color="auto"/>
                                                <w:left w:val="none" w:sz="0" w:space="0" w:color="auto"/>
                                                <w:bottom w:val="none" w:sz="0" w:space="0" w:color="auto"/>
                                                <w:right w:val="none" w:sz="0" w:space="0" w:color="auto"/>
                                              </w:divBdr>
                                              <w:divsChild>
                                                <w:div w:id="1902054255">
                                                  <w:marLeft w:val="0"/>
                                                  <w:marRight w:val="0"/>
                                                  <w:marTop w:val="0"/>
                                                  <w:marBottom w:val="0"/>
                                                  <w:divBdr>
                                                    <w:top w:val="none" w:sz="0" w:space="0" w:color="auto"/>
                                                    <w:left w:val="none" w:sz="0" w:space="0" w:color="auto"/>
                                                    <w:bottom w:val="none" w:sz="0" w:space="0" w:color="auto"/>
                                                    <w:right w:val="none" w:sz="0" w:space="0" w:color="auto"/>
                                                  </w:divBdr>
                                                  <w:divsChild>
                                                    <w:div w:id="4004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8130526">
      <w:bodyDiv w:val="1"/>
      <w:marLeft w:val="0"/>
      <w:marRight w:val="0"/>
      <w:marTop w:val="0"/>
      <w:marBottom w:val="0"/>
      <w:divBdr>
        <w:top w:val="none" w:sz="0" w:space="0" w:color="auto"/>
        <w:left w:val="none" w:sz="0" w:space="0" w:color="auto"/>
        <w:bottom w:val="none" w:sz="0" w:space="0" w:color="auto"/>
        <w:right w:val="none" w:sz="0" w:space="0" w:color="auto"/>
      </w:divBdr>
    </w:div>
    <w:div w:id="1511413812">
      <w:bodyDiv w:val="1"/>
      <w:marLeft w:val="0"/>
      <w:marRight w:val="0"/>
      <w:marTop w:val="0"/>
      <w:marBottom w:val="0"/>
      <w:divBdr>
        <w:top w:val="none" w:sz="0" w:space="0" w:color="auto"/>
        <w:left w:val="none" w:sz="0" w:space="0" w:color="auto"/>
        <w:bottom w:val="none" w:sz="0" w:space="0" w:color="auto"/>
        <w:right w:val="none" w:sz="0" w:space="0" w:color="auto"/>
      </w:divBdr>
    </w:div>
    <w:div w:id="1517385989">
      <w:bodyDiv w:val="1"/>
      <w:marLeft w:val="0"/>
      <w:marRight w:val="0"/>
      <w:marTop w:val="0"/>
      <w:marBottom w:val="0"/>
      <w:divBdr>
        <w:top w:val="none" w:sz="0" w:space="0" w:color="auto"/>
        <w:left w:val="none" w:sz="0" w:space="0" w:color="auto"/>
        <w:bottom w:val="none" w:sz="0" w:space="0" w:color="auto"/>
        <w:right w:val="none" w:sz="0" w:space="0" w:color="auto"/>
      </w:divBdr>
    </w:div>
    <w:div w:id="1544248850">
      <w:bodyDiv w:val="1"/>
      <w:marLeft w:val="0"/>
      <w:marRight w:val="0"/>
      <w:marTop w:val="0"/>
      <w:marBottom w:val="0"/>
      <w:divBdr>
        <w:top w:val="none" w:sz="0" w:space="0" w:color="auto"/>
        <w:left w:val="none" w:sz="0" w:space="0" w:color="auto"/>
        <w:bottom w:val="none" w:sz="0" w:space="0" w:color="auto"/>
        <w:right w:val="none" w:sz="0" w:space="0" w:color="auto"/>
      </w:divBdr>
    </w:div>
    <w:div w:id="1605571300">
      <w:bodyDiv w:val="1"/>
      <w:marLeft w:val="0"/>
      <w:marRight w:val="0"/>
      <w:marTop w:val="0"/>
      <w:marBottom w:val="0"/>
      <w:divBdr>
        <w:top w:val="none" w:sz="0" w:space="0" w:color="auto"/>
        <w:left w:val="none" w:sz="0" w:space="0" w:color="auto"/>
        <w:bottom w:val="none" w:sz="0" w:space="0" w:color="auto"/>
        <w:right w:val="none" w:sz="0" w:space="0" w:color="auto"/>
      </w:divBdr>
    </w:div>
    <w:div w:id="1629821289">
      <w:bodyDiv w:val="1"/>
      <w:marLeft w:val="0"/>
      <w:marRight w:val="0"/>
      <w:marTop w:val="0"/>
      <w:marBottom w:val="0"/>
      <w:divBdr>
        <w:top w:val="none" w:sz="0" w:space="0" w:color="auto"/>
        <w:left w:val="none" w:sz="0" w:space="0" w:color="auto"/>
        <w:bottom w:val="none" w:sz="0" w:space="0" w:color="auto"/>
        <w:right w:val="none" w:sz="0" w:space="0" w:color="auto"/>
      </w:divBdr>
    </w:div>
    <w:div w:id="1664697295">
      <w:bodyDiv w:val="1"/>
      <w:marLeft w:val="0"/>
      <w:marRight w:val="0"/>
      <w:marTop w:val="0"/>
      <w:marBottom w:val="0"/>
      <w:divBdr>
        <w:top w:val="none" w:sz="0" w:space="0" w:color="auto"/>
        <w:left w:val="none" w:sz="0" w:space="0" w:color="auto"/>
        <w:bottom w:val="none" w:sz="0" w:space="0" w:color="auto"/>
        <w:right w:val="none" w:sz="0" w:space="0" w:color="auto"/>
      </w:divBdr>
    </w:div>
    <w:div w:id="1709067795">
      <w:bodyDiv w:val="1"/>
      <w:marLeft w:val="0"/>
      <w:marRight w:val="0"/>
      <w:marTop w:val="0"/>
      <w:marBottom w:val="0"/>
      <w:divBdr>
        <w:top w:val="none" w:sz="0" w:space="0" w:color="auto"/>
        <w:left w:val="none" w:sz="0" w:space="0" w:color="auto"/>
        <w:bottom w:val="none" w:sz="0" w:space="0" w:color="auto"/>
        <w:right w:val="none" w:sz="0" w:space="0" w:color="auto"/>
      </w:divBdr>
    </w:div>
    <w:div w:id="1714454110">
      <w:bodyDiv w:val="1"/>
      <w:marLeft w:val="0"/>
      <w:marRight w:val="0"/>
      <w:marTop w:val="0"/>
      <w:marBottom w:val="0"/>
      <w:divBdr>
        <w:top w:val="none" w:sz="0" w:space="0" w:color="auto"/>
        <w:left w:val="none" w:sz="0" w:space="0" w:color="auto"/>
        <w:bottom w:val="none" w:sz="0" w:space="0" w:color="auto"/>
        <w:right w:val="none" w:sz="0" w:space="0" w:color="auto"/>
      </w:divBdr>
    </w:div>
    <w:div w:id="1900162827">
      <w:bodyDiv w:val="1"/>
      <w:marLeft w:val="0"/>
      <w:marRight w:val="0"/>
      <w:marTop w:val="0"/>
      <w:marBottom w:val="0"/>
      <w:divBdr>
        <w:top w:val="none" w:sz="0" w:space="0" w:color="auto"/>
        <w:left w:val="none" w:sz="0" w:space="0" w:color="auto"/>
        <w:bottom w:val="none" w:sz="0" w:space="0" w:color="auto"/>
        <w:right w:val="none" w:sz="0" w:space="0" w:color="auto"/>
      </w:divBdr>
    </w:div>
    <w:div w:id="1917785636">
      <w:bodyDiv w:val="1"/>
      <w:marLeft w:val="0"/>
      <w:marRight w:val="0"/>
      <w:marTop w:val="0"/>
      <w:marBottom w:val="0"/>
      <w:divBdr>
        <w:top w:val="none" w:sz="0" w:space="0" w:color="auto"/>
        <w:left w:val="none" w:sz="0" w:space="0" w:color="auto"/>
        <w:bottom w:val="none" w:sz="0" w:space="0" w:color="auto"/>
        <w:right w:val="none" w:sz="0" w:space="0" w:color="auto"/>
      </w:divBdr>
    </w:div>
    <w:div w:id="2028678510">
      <w:bodyDiv w:val="1"/>
      <w:marLeft w:val="0"/>
      <w:marRight w:val="0"/>
      <w:marTop w:val="0"/>
      <w:marBottom w:val="0"/>
      <w:divBdr>
        <w:top w:val="none" w:sz="0" w:space="0" w:color="auto"/>
        <w:left w:val="none" w:sz="0" w:space="0" w:color="auto"/>
        <w:bottom w:val="none" w:sz="0" w:space="0" w:color="auto"/>
        <w:right w:val="none" w:sz="0" w:space="0" w:color="auto"/>
      </w:divBdr>
    </w:div>
    <w:div w:id="2109108676">
      <w:bodyDiv w:val="1"/>
      <w:marLeft w:val="0"/>
      <w:marRight w:val="0"/>
      <w:marTop w:val="0"/>
      <w:marBottom w:val="0"/>
      <w:divBdr>
        <w:top w:val="none" w:sz="0" w:space="0" w:color="auto"/>
        <w:left w:val="none" w:sz="0" w:space="0" w:color="auto"/>
        <w:bottom w:val="none" w:sz="0" w:space="0" w:color="auto"/>
        <w:right w:val="none" w:sz="0" w:space="0" w:color="auto"/>
      </w:divBdr>
    </w:div>
    <w:div w:id="214161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44B46CD48E7D439D0376E9A76A2E31" ma:contentTypeVersion="2" ma:contentTypeDescription="Create a new document." ma:contentTypeScope="" ma:versionID="165a45e2c905b319c790719ca812c69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01AF3-0B18-44D1-BD05-447FD89C7247}"/>
</file>

<file path=customXml/itemProps2.xml><?xml version="1.0" encoding="utf-8"?>
<ds:datastoreItem xmlns:ds="http://schemas.openxmlformats.org/officeDocument/2006/customXml" ds:itemID="{ACA1F2CC-14DC-44F0-9851-9585EC8E9F3A}"/>
</file>

<file path=customXml/itemProps3.xml><?xml version="1.0" encoding="utf-8"?>
<ds:datastoreItem xmlns:ds="http://schemas.openxmlformats.org/officeDocument/2006/customXml" ds:itemID="{28350FCF-28D1-4835-B293-BA5D16CD19F6}"/>
</file>

<file path=customXml/itemProps4.xml><?xml version="1.0" encoding="utf-8"?>
<ds:datastoreItem xmlns:ds="http://schemas.openxmlformats.org/officeDocument/2006/customXml" ds:itemID="{D77299F8-4AC3-4E7D-A9B4-9FD32030D9ED}"/>
</file>

<file path=docProps/app.xml><?xml version="1.0" encoding="utf-8"?>
<Properties xmlns="http://schemas.openxmlformats.org/officeDocument/2006/extended-properties" xmlns:vt="http://schemas.openxmlformats.org/officeDocument/2006/docPropsVTypes">
  <Template>65002FF9.dotm</Template>
  <TotalTime>0</TotalTime>
  <Pages>60</Pages>
  <Words>22658</Words>
  <Characters>129153</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Greenfields Agreement Review</dc:title>
  <dc:creator/>
  <cp:lastModifiedBy/>
  <cp:revision>1</cp:revision>
  <dcterms:created xsi:type="dcterms:W3CDTF">2018-02-12T02:38:00Z</dcterms:created>
  <dcterms:modified xsi:type="dcterms:W3CDTF">2018-02-13T05:52:00Z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0x0101006F44B46CD48E7D439D0376E9A76A2E31</vt:lpwstr>
  </property>
  <property fmtid="{D5CDD505-2E9C-101B-9397-08002B2CF9AE}" pid="3" name="TemplateUrl">
    <vt:lpwstr/>
  </property>
  <property fmtid="{D5CDD505-2E9C-101B-9397-08002B2CF9AE}" pid="4" name="Order">
    <vt:r8>24500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