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AED6" w14:textId="77777777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78AEC0FD" wp14:editId="632EAEC2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0F32444" wp14:editId="3DEB9F1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5F1ED" w14:textId="77777777" w:rsidR="00EC6A53" w:rsidRDefault="00EC6A53" w:rsidP="00067075">
      <w:pPr>
        <w:spacing w:before="100" w:beforeAutospacing="1" w:after="0"/>
        <w:sectPr w:rsidR="00EC6A53" w:rsidSect="00992B5B">
          <w:footerReference w:type="default" r:id="rId14"/>
          <w:footerReference w:type="first" r:id="rId15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774EF50D" w14:textId="4410E4D8" w:rsidR="006D154E" w:rsidRPr="00E36EF8" w:rsidRDefault="009C00C5" w:rsidP="00E36EF8">
      <w:pPr>
        <w:pStyle w:val="Title"/>
      </w:pPr>
      <w:r>
        <w:t>Australian Skills Guarantee</w:t>
      </w:r>
    </w:p>
    <w:p w14:paraId="02D38742" w14:textId="04078F9D" w:rsidR="00792196" w:rsidRPr="00EA56C4" w:rsidRDefault="009C00C5" w:rsidP="00252133">
      <w:pPr>
        <w:pStyle w:val="Subtitle"/>
      </w:pPr>
      <w:r w:rsidRPr="00EA56C4">
        <w:t>Frequently asked questions</w:t>
      </w:r>
    </w:p>
    <w:p w14:paraId="43A7F4E3" w14:textId="783E07E0" w:rsidR="00252133" w:rsidRPr="00252133" w:rsidRDefault="00252133" w:rsidP="00422604">
      <w:pPr>
        <w:pStyle w:val="Heading1"/>
      </w:pPr>
      <w:r w:rsidRPr="00252133">
        <w:t>Introduction</w:t>
      </w:r>
    </w:p>
    <w:p w14:paraId="6601CA65" w14:textId="030A7EA2" w:rsidR="00792196" w:rsidRDefault="00AE589A" w:rsidP="00B131DF">
      <w:r>
        <w:rPr>
          <w:rStyle w:val="normaltextrun"/>
          <w:rFonts w:ascii="Calibri" w:hAnsi="Calibri" w:cs="Calibri"/>
          <w:color w:val="000000"/>
          <w:shd w:val="clear" w:color="auto" w:fill="FFFFFF"/>
        </w:rPr>
        <w:t>The Australian Skills Guarantee (Skills Guarantee) introduce</w:t>
      </w:r>
      <w:r w:rsidR="00B131DF">
        <w:rPr>
          <w:rStyle w:val="normaltextrun"/>
          <w:rFonts w:ascii="Calibri" w:hAnsi="Calibri" w:cs="Calibri"/>
          <w:color w:val="000000"/>
          <w:shd w:val="clear" w:color="auto" w:fill="FFFFFF"/>
        </w:rPr>
        <w:t>d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national targets for apprentices, trainees, paid cadets, and women on eligible Commonwealth-funded major projects. </w:t>
      </w:r>
      <w:r w:rsidR="00B131DF">
        <w:rPr>
          <w:rStyle w:val="normaltextrun"/>
          <w:rFonts w:ascii="Calibri" w:hAnsi="Calibri" w:cs="Calibri"/>
          <w:color w:val="000000"/>
          <w:shd w:val="clear" w:color="auto" w:fill="FFFFFF"/>
        </w:rPr>
        <w:t>T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argets apply to new Commonwealth tender processes for </w:t>
      </w:r>
      <w:r w:rsidR="00526563">
        <w:rPr>
          <w:rStyle w:val="normaltextrun"/>
          <w:rFonts w:ascii="Calibri" w:hAnsi="Calibri" w:cs="Calibri"/>
          <w:color w:val="000000"/>
          <w:shd w:val="clear" w:color="auto" w:fill="FFFFFF"/>
        </w:rPr>
        <w:t>b</w:t>
      </w:r>
      <w:r w:rsidR="00526563" w:rsidRPr="0052656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uilding and </w:t>
      </w:r>
      <w:r w:rsidR="00526563">
        <w:rPr>
          <w:rStyle w:val="normaltextrun"/>
          <w:rFonts w:ascii="Calibri" w:hAnsi="Calibri" w:cs="Calibri"/>
          <w:color w:val="000000"/>
          <w:shd w:val="clear" w:color="auto" w:fill="FFFFFF"/>
        </w:rPr>
        <w:t>c</w:t>
      </w:r>
      <w:r w:rsidR="00526563" w:rsidRPr="0052656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onstruction and </w:t>
      </w:r>
      <w:r w:rsidR="00526563">
        <w:rPr>
          <w:rStyle w:val="normaltextrun"/>
          <w:rFonts w:ascii="Calibri" w:hAnsi="Calibri" w:cs="Calibri"/>
          <w:color w:val="000000"/>
          <w:shd w:val="clear" w:color="auto" w:fill="FFFFFF"/>
        </w:rPr>
        <w:t>m</w:t>
      </w:r>
      <w:r w:rsidR="00526563" w:rsidRPr="0052656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aintenance </w:t>
      </w:r>
      <w:r w:rsidR="00526563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="00526563" w:rsidRPr="00526563">
        <w:rPr>
          <w:rStyle w:val="normaltextrun"/>
          <w:rFonts w:ascii="Calibri" w:hAnsi="Calibri" w:cs="Calibri"/>
          <w:color w:val="000000"/>
          <w:shd w:val="clear" w:color="auto" w:fill="FFFFFF"/>
        </w:rPr>
        <w:t>ervices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(construction) and information and communications technology (ICT) procurements with a total contract value of $10 million or more.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26B5079D" w14:textId="4516FF56" w:rsidR="00515B3F" w:rsidRDefault="003A7852" w:rsidP="00B131DF">
      <w:r>
        <w:t xml:space="preserve">The </w:t>
      </w:r>
      <w:r w:rsidR="00526563">
        <w:t xml:space="preserve">Skills Guarantee </w:t>
      </w:r>
      <w:r>
        <w:t>Procurement Connected Policy</w:t>
      </w:r>
      <w:r w:rsidR="00515B3F">
        <w:t xml:space="preserve"> (PCP)</w:t>
      </w:r>
      <w:r>
        <w:t xml:space="preserve"> </w:t>
      </w:r>
      <w:r w:rsidR="00F11553">
        <w:t>provide</w:t>
      </w:r>
      <w:r w:rsidR="00DC00DE">
        <w:t>s</w:t>
      </w:r>
      <w:r w:rsidR="00F11553">
        <w:t xml:space="preserve"> detailed instruction</w:t>
      </w:r>
      <w:r w:rsidR="00512A4D">
        <w:t>s</w:t>
      </w:r>
      <w:r w:rsidR="00F11553">
        <w:t xml:space="preserve"> to parties engaging in major Australian Government-funded construction and ICT project</w:t>
      </w:r>
      <w:r w:rsidR="00AF539B">
        <w:t>s. The</w:t>
      </w:r>
      <w:r w:rsidR="673A13E0">
        <w:t xml:space="preserve"> Skills Guarantee</w:t>
      </w:r>
      <w:r w:rsidR="00AF539B">
        <w:t xml:space="preserve"> </w:t>
      </w:r>
      <w:r w:rsidR="00DC00DE">
        <w:t>PCP is</w:t>
      </w:r>
      <w:r w:rsidR="00AF539B">
        <w:t xml:space="preserve"> available</w:t>
      </w:r>
      <w:r w:rsidR="003E5B8C">
        <w:t xml:space="preserve"> to access on the DEWR website</w:t>
      </w:r>
      <w:r w:rsidR="392C88E4">
        <w:t xml:space="preserve"> and should be the first point of reference for the Skills Guarantee</w:t>
      </w:r>
      <w:r w:rsidR="003E5B8C">
        <w:t>.</w:t>
      </w:r>
      <w:r w:rsidR="00AF539B">
        <w:t xml:space="preserve"> </w:t>
      </w:r>
    </w:p>
    <w:p w14:paraId="10760AC8" w14:textId="5CF11D60" w:rsidR="00792196" w:rsidRDefault="001E697D" w:rsidP="00B131DF">
      <w:r>
        <w:t xml:space="preserve">This document </w:t>
      </w:r>
      <w:proofErr w:type="gramStart"/>
      <w:r>
        <w:t>is intended</w:t>
      </w:r>
      <w:proofErr w:type="gramEnd"/>
      <w:r>
        <w:t xml:space="preserve"> to complement </w:t>
      </w:r>
      <w:r w:rsidR="188234A4">
        <w:t xml:space="preserve">the Skills Guarantee PCP and </w:t>
      </w:r>
      <w:r>
        <w:t xml:space="preserve">operational guidance and will be updated </w:t>
      </w:r>
      <w:r w:rsidR="0000383D">
        <w:t xml:space="preserve">on a regular basis. </w:t>
      </w:r>
      <w:r w:rsidR="08D8EC8B">
        <w:t xml:space="preserve">To ensure that the most recent version of the document is consulted, please check the </w:t>
      </w:r>
      <w:r w:rsidR="009F0D6A">
        <w:t xml:space="preserve">Skills Guarantee </w:t>
      </w:r>
      <w:r w:rsidR="08D8EC8B">
        <w:t>website</w:t>
      </w:r>
      <w:r w:rsidR="21A14DC3">
        <w:t xml:space="preserve"> when requ</w:t>
      </w:r>
      <w:r w:rsidR="56D7C987">
        <w:t>i</w:t>
      </w:r>
      <w:r w:rsidR="21A14DC3">
        <w:t>red</w:t>
      </w:r>
      <w:r w:rsidR="08D8EC8B">
        <w:t xml:space="preserve"> and refer to the date </w:t>
      </w:r>
      <w:r w:rsidR="7BEF5301">
        <w:t>on the document</w:t>
      </w:r>
      <w:r w:rsidR="009F0D6A">
        <w:t>:</w:t>
      </w:r>
      <w:r w:rsidR="00A60082">
        <w:t xml:space="preserve"> </w:t>
      </w:r>
      <w:hyperlink r:id="rId16" w:history="1">
        <w:r w:rsidR="00A60082" w:rsidRPr="00DD361F">
          <w:rPr>
            <w:rStyle w:val="Hyperlink"/>
          </w:rPr>
          <w:t>https://www.dewr.gov.au/australian-skills-guarantee</w:t>
        </w:r>
      </w:hyperlink>
      <w:r w:rsidR="00A60082">
        <w:t xml:space="preserve"> </w:t>
      </w:r>
    </w:p>
    <w:p w14:paraId="4AA0C879" w14:textId="33752C54" w:rsidR="00792196" w:rsidRDefault="1AF9CEBA" w:rsidP="00B131DF">
      <w:pPr>
        <w:rPr>
          <w:highlight w:val="yellow"/>
        </w:rPr>
      </w:pPr>
      <w:r>
        <w:t>For further information</w:t>
      </w:r>
      <w:r w:rsidR="3CC5FD48">
        <w:t xml:space="preserve"> </w:t>
      </w:r>
      <w:r w:rsidR="01EED28D">
        <w:t xml:space="preserve">on the Skills Guarantee </w:t>
      </w:r>
      <w:r w:rsidR="4DFF07D8">
        <w:t>please contact DEWR at</w:t>
      </w:r>
      <w:r w:rsidR="00F12714">
        <w:t>:</w:t>
      </w:r>
      <w:r w:rsidR="4DFF07D8">
        <w:t xml:space="preserve"> </w:t>
      </w:r>
      <w:hyperlink r:id="rId17">
        <w:r w:rsidR="4DFF07D8" w:rsidRPr="0A28C6E8">
          <w:rPr>
            <w:rStyle w:val="Hyperlink"/>
          </w:rPr>
          <w:t>ASG@dewr.gov.au</w:t>
        </w:r>
      </w:hyperlink>
      <w:r w:rsidR="4DFF07D8">
        <w:t xml:space="preserve"> </w:t>
      </w:r>
    </w:p>
    <w:p w14:paraId="114629C9" w14:textId="39266C7A" w:rsidR="00792196" w:rsidRDefault="004E20C1">
      <w:pPr>
        <w:spacing w:after="160" w:line="259" w:lineRule="auto"/>
      </w:pPr>
      <w:r>
        <w:br w:type="page"/>
      </w:r>
    </w:p>
    <w:p w14:paraId="1205BD96" w14:textId="0D3712FC" w:rsidR="00792196" w:rsidRPr="006F3863" w:rsidRDefault="000C5B19" w:rsidP="00422604">
      <w:pPr>
        <w:pStyle w:val="Heading1"/>
      </w:pPr>
      <w:r>
        <w:rPr>
          <w:rStyle w:val="normaltextrun"/>
          <w:rFonts w:cs="Calibri"/>
          <w:bCs/>
          <w:shd w:val="clear" w:color="auto" w:fill="FFFFFF"/>
        </w:rPr>
        <w:lastRenderedPageBreak/>
        <w:t>Eligi</w:t>
      </w:r>
      <w:r w:rsidRPr="006F3863">
        <w:rPr>
          <w:rStyle w:val="normaltextrun"/>
          <w:rFonts w:cs="Calibri"/>
          <w:bCs/>
          <w:shd w:val="clear" w:color="auto" w:fill="FFFFFF"/>
        </w:rPr>
        <w:t>ble Projects</w:t>
      </w:r>
      <w:r w:rsidRPr="006F3863">
        <w:rPr>
          <w:rStyle w:val="eop"/>
          <w:rFonts w:cs="Calibri"/>
          <w:bCs/>
          <w:shd w:val="clear" w:color="auto" w:fill="FFFFFF"/>
        </w:rPr>
        <w:t> </w:t>
      </w:r>
    </w:p>
    <w:p w14:paraId="1BF666C3" w14:textId="0AFA5766" w:rsidR="00B3054A" w:rsidRPr="00EA56C4" w:rsidRDefault="00B26B17" w:rsidP="00551F0C">
      <w:pPr>
        <w:pStyle w:val="Heading3"/>
        <w:numPr>
          <w:ilvl w:val="0"/>
          <w:numId w:val="18"/>
        </w:numPr>
        <w:jc w:val="both"/>
        <w:rPr>
          <w:b/>
          <w:bCs/>
          <w:color w:val="404246"/>
        </w:rPr>
      </w:pPr>
      <w:r w:rsidRPr="00EA56C4">
        <w:rPr>
          <w:b/>
          <w:bCs/>
          <w:color w:val="404246"/>
        </w:rPr>
        <w:t xml:space="preserve">Do </w:t>
      </w:r>
      <w:r w:rsidR="00C237DA" w:rsidRPr="00EA56C4">
        <w:rPr>
          <w:b/>
          <w:bCs/>
          <w:color w:val="404246"/>
        </w:rPr>
        <w:t>Skills Guarantee th</w:t>
      </w:r>
      <w:r w:rsidR="009942C5" w:rsidRPr="00EA56C4">
        <w:rPr>
          <w:b/>
          <w:bCs/>
          <w:color w:val="404246"/>
        </w:rPr>
        <w:t>r</w:t>
      </w:r>
      <w:r w:rsidR="00C237DA" w:rsidRPr="00EA56C4">
        <w:rPr>
          <w:b/>
          <w:bCs/>
          <w:color w:val="404246"/>
        </w:rPr>
        <w:t xml:space="preserve">esholds apply to </w:t>
      </w:r>
      <w:r w:rsidR="00972444" w:rsidRPr="00EA56C4">
        <w:rPr>
          <w:b/>
          <w:bCs/>
          <w:color w:val="404246"/>
        </w:rPr>
        <w:t>projects as a whole or individual procurements</w:t>
      </w:r>
      <w:r w:rsidR="001973C6" w:rsidRPr="00EA56C4">
        <w:rPr>
          <w:b/>
          <w:bCs/>
          <w:color w:val="404246"/>
        </w:rPr>
        <w:t>?</w:t>
      </w:r>
      <w:r w:rsidR="00B3054A" w:rsidRPr="00EA56C4">
        <w:rPr>
          <w:b/>
          <w:bCs/>
          <w:color w:val="404246"/>
        </w:rPr>
        <w:t xml:space="preserve"> </w:t>
      </w:r>
    </w:p>
    <w:p w14:paraId="0AA622B1" w14:textId="77777777" w:rsidR="000A731F" w:rsidRPr="006F3863" w:rsidRDefault="002A0B78" w:rsidP="005B318B">
      <w:pPr>
        <w:pStyle w:val="ListParagraph"/>
        <w:numPr>
          <w:ilvl w:val="0"/>
          <w:numId w:val="17"/>
        </w:numPr>
        <w:jc w:val="both"/>
      </w:pPr>
      <w:r w:rsidRPr="006F3863">
        <w:t>T</w:t>
      </w:r>
      <w:r w:rsidR="00941104" w:rsidRPr="006F3863">
        <w:t xml:space="preserve">he Skills Guarantee </w:t>
      </w:r>
      <w:r w:rsidR="0003390A" w:rsidRPr="006F3863">
        <w:t>financial threshold</w:t>
      </w:r>
      <w:r w:rsidRPr="006F3863">
        <w:t>s</w:t>
      </w:r>
      <w:r w:rsidR="0003390A" w:rsidRPr="006F3863">
        <w:t xml:space="preserve"> </w:t>
      </w:r>
      <w:r w:rsidR="00941104" w:rsidRPr="006F3863">
        <w:t>appl</w:t>
      </w:r>
      <w:r w:rsidRPr="006F3863">
        <w:t>y</w:t>
      </w:r>
      <w:r w:rsidR="00941104" w:rsidRPr="006F3863">
        <w:t xml:space="preserve"> </w:t>
      </w:r>
      <w:r w:rsidR="00600798" w:rsidRPr="006F3863">
        <w:t xml:space="preserve">to each </w:t>
      </w:r>
      <w:r w:rsidR="008C4AD0" w:rsidRPr="006F3863">
        <w:t xml:space="preserve">individual </w:t>
      </w:r>
      <w:r w:rsidR="00941104" w:rsidRPr="006F3863">
        <w:t>procurement.</w:t>
      </w:r>
    </w:p>
    <w:p w14:paraId="2995D4B7" w14:textId="2F496A99" w:rsidR="000E44EE" w:rsidRPr="00EA56C4" w:rsidRDefault="00941104" w:rsidP="006F3863">
      <w:pPr>
        <w:pStyle w:val="Heading3"/>
        <w:numPr>
          <w:ilvl w:val="0"/>
          <w:numId w:val="18"/>
        </w:numPr>
        <w:jc w:val="both"/>
        <w:rPr>
          <w:b/>
          <w:color w:val="404246"/>
        </w:rPr>
      </w:pPr>
      <w:r w:rsidRPr="00EA56C4">
        <w:rPr>
          <w:color w:val="404246"/>
        </w:rPr>
        <w:t xml:space="preserve"> </w:t>
      </w:r>
      <w:r w:rsidR="000A731F" w:rsidRPr="00EA56C4">
        <w:rPr>
          <w:b/>
          <w:bCs/>
          <w:color w:val="404246"/>
        </w:rPr>
        <w:t xml:space="preserve">Which procurements does the Skills Guarantee </w:t>
      </w:r>
      <w:r w:rsidR="00F2470A" w:rsidRPr="00EA56C4">
        <w:rPr>
          <w:b/>
          <w:bCs/>
          <w:color w:val="404246"/>
        </w:rPr>
        <w:t xml:space="preserve">PCP </w:t>
      </w:r>
      <w:r w:rsidR="000A731F" w:rsidRPr="00EA56C4">
        <w:rPr>
          <w:b/>
          <w:bCs/>
          <w:color w:val="404246"/>
        </w:rPr>
        <w:t>apply to?</w:t>
      </w:r>
    </w:p>
    <w:p w14:paraId="4442A40E" w14:textId="1A038342" w:rsidR="00941104" w:rsidRPr="006F3863" w:rsidRDefault="00BD5CE8" w:rsidP="00635D8E">
      <w:pPr>
        <w:pStyle w:val="ListParagraph"/>
        <w:numPr>
          <w:ilvl w:val="0"/>
          <w:numId w:val="17"/>
        </w:numPr>
        <w:jc w:val="both"/>
      </w:pPr>
      <w:r w:rsidRPr="006F3863">
        <w:t xml:space="preserve">The Skills Guarantee </w:t>
      </w:r>
      <w:r w:rsidR="00F2470A" w:rsidRPr="006F3863">
        <w:t xml:space="preserve">PCP </w:t>
      </w:r>
      <w:r w:rsidR="00DE0B7C" w:rsidRPr="006F3863">
        <w:t xml:space="preserve">applies to </w:t>
      </w:r>
      <w:r w:rsidR="00250C13" w:rsidRPr="006F3863">
        <w:t>construction and ICT procurements,</w:t>
      </w:r>
      <w:r w:rsidR="00560446" w:rsidRPr="006F3863">
        <w:t xml:space="preserve"> which </w:t>
      </w:r>
      <w:proofErr w:type="gramStart"/>
      <w:r w:rsidR="00560446" w:rsidRPr="006F3863">
        <w:t>are</w:t>
      </w:r>
      <w:r w:rsidR="00250C13" w:rsidRPr="006F3863">
        <w:t xml:space="preserve"> referred</w:t>
      </w:r>
      <w:proofErr w:type="gramEnd"/>
      <w:r w:rsidR="00250C13" w:rsidRPr="006F3863">
        <w:t xml:space="preserve"> to as </w:t>
      </w:r>
      <w:r w:rsidR="00C77420" w:rsidRPr="006F3863">
        <w:t>‘</w:t>
      </w:r>
      <w:r w:rsidR="005723C9" w:rsidRPr="006F3863">
        <w:t>eligible</w:t>
      </w:r>
      <w:r w:rsidR="00250C13" w:rsidRPr="006F3863">
        <w:t xml:space="preserve"> projects</w:t>
      </w:r>
      <w:r w:rsidR="00C77420" w:rsidRPr="006F3863">
        <w:t>’</w:t>
      </w:r>
      <w:r w:rsidR="00250C13" w:rsidRPr="006F3863">
        <w:t xml:space="preserve"> in the Skills Guarantee PCP. The Skills Guarantee PCP </w:t>
      </w:r>
      <w:r w:rsidRPr="006F3863">
        <w:t xml:space="preserve">provides definitions for </w:t>
      </w:r>
      <w:r w:rsidR="00241DA9" w:rsidRPr="006F3863">
        <w:t>each type of project</w:t>
      </w:r>
      <w:r w:rsidR="00844174" w:rsidRPr="006F3863">
        <w:t xml:space="preserve"> in the </w:t>
      </w:r>
      <w:r w:rsidR="00844174" w:rsidRPr="006F3863">
        <w:rPr>
          <w:b/>
        </w:rPr>
        <w:t>Glossary</w:t>
      </w:r>
      <w:r w:rsidR="00DD11BB" w:rsidRPr="006F3863">
        <w:t>, including the relevant financial threshold</w:t>
      </w:r>
      <w:r w:rsidR="004A067F" w:rsidRPr="006F3863">
        <w:t xml:space="preserve">: </w:t>
      </w:r>
    </w:p>
    <w:p w14:paraId="6BC4E616" w14:textId="7B201E29" w:rsidR="00AE6AFD" w:rsidRPr="006F3863" w:rsidRDefault="00AE6AFD" w:rsidP="00635D8E">
      <w:pPr>
        <w:pStyle w:val="ListParagraph"/>
        <w:numPr>
          <w:ilvl w:val="1"/>
          <w:numId w:val="17"/>
        </w:numPr>
        <w:jc w:val="both"/>
      </w:pPr>
      <w:r w:rsidRPr="006F3863">
        <w:rPr>
          <w:b/>
        </w:rPr>
        <w:t xml:space="preserve">Flagship construction projects </w:t>
      </w:r>
      <w:r w:rsidRPr="006F3863">
        <w:t xml:space="preserve">are those procurements with an estimated individual value of $100 million and above (GST inclusive). </w:t>
      </w:r>
      <w:r w:rsidR="000915AE">
        <w:rPr>
          <w:i/>
          <w:iCs/>
        </w:rPr>
        <w:t>United Nati</w:t>
      </w:r>
      <w:r w:rsidR="00330115">
        <w:rPr>
          <w:i/>
          <w:iCs/>
        </w:rPr>
        <w:t xml:space="preserve">ons Standard Products and Services Codes </w:t>
      </w:r>
      <w:r w:rsidR="00330115">
        <w:t>(</w:t>
      </w:r>
      <w:r w:rsidRPr="006F3863">
        <w:rPr>
          <w:i/>
        </w:rPr>
        <w:t>UNSPSCs</w:t>
      </w:r>
      <w:r w:rsidR="00330115">
        <w:rPr>
          <w:iCs/>
        </w:rPr>
        <w:t>)</w:t>
      </w:r>
      <w:r w:rsidRPr="006F3863">
        <w:t xml:space="preserve"> that fall within the scope of </w:t>
      </w:r>
      <w:r w:rsidRPr="006F3863">
        <w:rPr>
          <w:i/>
        </w:rPr>
        <w:t>construction services</w:t>
      </w:r>
      <w:r w:rsidRPr="006F3863">
        <w:t xml:space="preserve"> for the Skills Guarantee </w:t>
      </w:r>
      <w:proofErr w:type="gramStart"/>
      <w:r w:rsidRPr="006F3863">
        <w:t>are specified</w:t>
      </w:r>
      <w:proofErr w:type="gramEnd"/>
      <w:r w:rsidRPr="006F3863">
        <w:t xml:space="preserve"> in </w:t>
      </w:r>
      <w:r w:rsidRPr="006F3863">
        <w:rPr>
          <w:b/>
        </w:rPr>
        <w:t>Appendix C</w:t>
      </w:r>
      <w:r w:rsidRPr="006F3863">
        <w:t>.</w:t>
      </w:r>
    </w:p>
    <w:p w14:paraId="673987B2" w14:textId="5443FFDD" w:rsidR="00E35FE7" w:rsidRPr="006F3863" w:rsidRDefault="00E35FE7" w:rsidP="00635D8E">
      <w:pPr>
        <w:pStyle w:val="ListParagraph"/>
        <w:numPr>
          <w:ilvl w:val="1"/>
          <w:numId w:val="17"/>
        </w:numPr>
        <w:jc w:val="both"/>
      </w:pPr>
      <w:r w:rsidRPr="006F3863">
        <w:rPr>
          <w:b/>
        </w:rPr>
        <w:t>Major construction projects</w:t>
      </w:r>
      <w:r w:rsidRPr="006F3863">
        <w:t xml:space="preserve"> are those procurements with an estimated individual value of $10 million and above (GST inclusive). </w:t>
      </w:r>
      <w:r w:rsidRPr="006F3863">
        <w:rPr>
          <w:i/>
        </w:rPr>
        <w:t>UNSPSCs</w:t>
      </w:r>
      <w:r w:rsidRPr="006F3863">
        <w:t xml:space="preserve"> that fall within the scope of </w:t>
      </w:r>
      <w:r w:rsidRPr="006F3863">
        <w:rPr>
          <w:i/>
        </w:rPr>
        <w:t>construction services</w:t>
      </w:r>
      <w:r w:rsidRPr="006F3863">
        <w:t xml:space="preserve"> for the Skills Guarantee </w:t>
      </w:r>
      <w:proofErr w:type="gramStart"/>
      <w:r w:rsidRPr="006F3863">
        <w:t>are specified</w:t>
      </w:r>
      <w:proofErr w:type="gramEnd"/>
      <w:r w:rsidRPr="006F3863">
        <w:t xml:space="preserve"> in </w:t>
      </w:r>
      <w:r w:rsidRPr="006F3863">
        <w:rPr>
          <w:b/>
        </w:rPr>
        <w:t>Appendix C</w:t>
      </w:r>
      <w:r w:rsidRPr="006F3863">
        <w:t>.</w:t>
      </w:r>
    </w:p>
    <w:p w14:paraId="75A5D16A" w14:textId="66DE3EE3" w:rsidR="0063369A" w:rsidRPr="006F3863" w:rsidRDefault="00E35FE7" w:rsidP="00635D8E">
      <w:pPr>
        <w:pStyle w:val="ListParagraph"/>
        <w:numPr>
          <w:ilvl w:val="1"/>
          <w:numId w:val="17"/>
        </w:numPr>
        <w:jc w:val="both"/>
      </w:pPr>
      <w:r w:rsidRPr="006F3863">
        <w:rPr>
          <w:b/>
        </w:rPr>
        <w:t>Major ICT projects</w:t>
      </w:r>
      <w:r w:rsidRPr="006F3863">
        <w:t xml:space="preserve"> are those procurements with an estimated individual value of $10 million and above (GST inclusive) in the </w:t>
      </w:r>
      <w:r w:rsidRPr="006F3863">
        <w:rPr>
          <w:i/>
        </w:rPr>
        <w:t>UNSPSC</w:t>
      </w:r>
      <w:r w:rsidRPr="006F3863">
        <w:t xml:space="preserve">s specified in </w:t>
      </w:r>
      <w:r w:rsidRPr="006F3863">
        <w:rPr>
          <w:b/>
        </w:rPr>
        <w:t>Appendix D</w:t>
      </w:r>
      <w:r w:rsidRPr="006F3863">
        <w:t>.</w:t>
      </w:r>
    </w:p>
    <w:p w14:paraId="609D1705" w14:textId="7F2957A2" w:rsidR="00D27C3E" w:rsidRPr="00EA56C4" w:rsidRDefault="00D27C3E" w:rsidP="0CEE36D1">
      <w:pPr>
        <w:pStyle w:val="Heading3"/>
        <w:numPr>
          <w:ilvl w:val="0"/>
          <w:numId w:val="18"/>
        </w:numPr>
        <w:jc w:val="both"/>
        <w:rPr>
          <w:b/>
          <w:bCs/>
          <w:color w:val="404246"/>
        </w:rPr>
      </w:pPr>
      <w:r w:rsidRPr="00EA56C4">
        <w:rPr>
          <w:b/>
          <w:bCs/>
          <w:color w:val="404246"/>
        </w:rPr>
        <w:t>Does the Skills Guarantee apply to sub-</w:t>
      </w:r>
      <w:r w:rsidR="00034D76" w:rsidRPr="00EA56C4">
        <w:rPr>
          <w:b/>
          <w:bCs/>
          <w:color w:val="404246"/>
        </w:rPr>
        <w:t>contractors</w:t>
      </w:r>
      <w:r w:rsidRPr="00EA56C4">
        <w:rPr>
          <w:b/>
          <w:bCs/>
          <w:color w:val="404246"/>
        </w:rPr>
        <w:t>?</w:t>
      </w:r>
    </w:p>
    <w:p w14:paraId="3F5112FD" w14:textId="54AB5307" w:rsidR="7DD21543" w:rsidRDefault="7DD21543" w:rsidP="00036094">
      <w:pPr>
        <w:pStyle w:val="ListParagraph"/>
        <w:numPr>
          <w:ilvl w:val="0"/>
          <w:numId w:val="17"/>
        </w:numPr>
        <w:jc w:val="both"/>
        <w:rPr>
          <w:rFonts w:ascii="Calibri" w:eastAsia="Calibri" w:hAnsi="Calibri" w:cs="Calibri"/>
        </w:rPr>
      </w:pPr>
      <w:r w:rsidRPr="4D2A5A4C">
        <w:rPr>
          <w:rFonts w:ascii="Calibri" w:eastAsia="Calibri" w:hAnsi="Calibri" w:cs="Calibri"/>
        </w:rPr>
        <w:t>The Skills Guarantee PCP applies to the contract between the Commonwealth agency (the relevant entity) and the lead contractor (the supplier)</w:t>
      </w:r>
      <w:proofErr w:type="gramStart"/>
      <w:r w:rsidRPr="4D2A5A4C">
        <w:rPr>
          <w:rFonts w:ascii="Calibri" w:eastAsia="Calibri" w:hAnsi="Calibri" w:cs="Calibri"/>
        </w:rPr>
        <w:t xml:space="preserve">.  </w:t>
      </w:r>
      <w:proofErr w:type="gramEnd"/>
    </w:p>
    <w:p w14:paraId="5EC52955" w14:textId="770DF0E0" w:rsidR="7DD21543" w:rsidRDefault="7DD21543" w:rsidP="00036094">
      <w:pPr>
        <w:pStyle w:val="ListParagraph"/>
        <w:numPr>
          <w:ilvl w:val="0"/>
          <w:numId w:val="17"/>
        </w:numPr>
        <w:jc w:val="both"/>
      </w:pPr>
      <w:r w:rsidRPr="4D2A5A4C">
        <w:rPr>
          <w:rFonts w:ascii="Calibri" w:eastAsia="Calibri" w:hAnsi="Calibri" w:cs="Calibri"/>
        </w:rPr>
        <w:t>This means that while it does not apply to sub-contractors directly, suppliers are expected to report on all labour hours on the project</w:t>
      </w:r>
      <w:proofErr w:type="gramStart"/>
      <w:r w:rsidRPr="4D2A5A4C">
        <w:rPr>
          <w:rFonts w:ascii="Calibri" w:eastAsia="Calibri" w:hAnsi="Calibri" w:cs="Calibri"/>
        </w:rPr>
        <w:t xml:space="preserve">.  </w:t>
      </w:r>
      <w:proofErr w:type="gramEnd"/>
      <w:r w:rsidRPr="4D2A5A4C">
        <w:rPr>
          <w:rFonts w:ascii="Calibri" w:eastAsia="Calibri" w:hAnsi="Calibri" w:cs="Calibri"/>
        </w:rPr>
        <w:t>Suppliers will need to ensure sub-contractors provide accurate and timely reporting against the targets to the supplier, to enable the supplier to meet their reporting obligations to the relevant entity.</w:t>
      </w:r>
    </w:p>
    <w:p w14:paraId="6F9CEB86" w14:textId="04D9D889" w:rsidR="000C5B19" w:rsidRPr="00EA56C4" w:rsidRDefault="7E0E4DFA" w:rsidP="000C5B19">
      <w:pPr>
        <w:pStyle w:val="Heading3"/>
        <w:numPr>
          <w:ilvl w:val="0"/>
          <w:numId w:val="18"/>
        </w:numPr>
        <w:jc w:val="both"/>
        <w:rPr>
          <w:b/>
          <w:bCs/>
          <w:color w:val="404246"/>
        </w:rPr>
      </w:pPr>
      <w:r w:rsidRPr="00EA56C4">
        <w:rPr>
          <w:b/>
          <w:bCs/>
          <w:color w:val="404246"/>
        </w:rPr>
        <w:t>How will the Skills Guarantee apply to contract variations?</w:t>
      </w:r>
    </w:p>
    <w:p w14:paraId="72046F9C" w14:textId="4D60FF01" w:rsidR="000C5B19" w:rsidRDefault="000C5B19" w:rsidP="000C5B19">
      <w:pPr>
        <w:pStyle w:val="ListParagraph"/>
        <w:numPr>
          <w:ilvl w:val="0"/>
          <w:numId w:val="17"/>
        </w:numPr>
        <w:jc w:val="both"/>
      </w:pPr>
      <w:r>
        <w:t xml:space="preserve">Skills Guarantee requirements </w:t>
      </w:r>
      <w:r w:rsidR="003D7109">
        <w:t xml:space="preserve">do </w:t>
      </w:r>
      <w:r>
        <w:t xml:space="preserve">not apply to a contract variation if the original contract </w:t>
      </w:r>
      <w:proofErr w:type="gramStart"/>
      <w:r>
        <w:t>was executed</w:t>
      </w:r>
      <w:proofErr w:type="gramEnd"/>
      <w:r>
        <w:t xml:space="preserve"> prior to 1 July 2024.</w:t>
      </w:r>
    </w:p>
    <w:p w14:paraId="2F3A9E4C" w14:textId="04940F2E" w:rsidR="000C5B19" w:rsidRDefault="000C5B19" w:rsidP="000C5B19">
      <w:pPr>
        <w:pStyle w:val="ListParagraph"/>
        <w:numPr>
          <w:ilvl w:val="0"/>
          <w:numId w:val="17"/>
        </w:numPr>
        <w:jc w:val="both"/>
      </w:pPr>
      <w:r>
        <w:t xml:space="preserve">Where a contract variation increases the estimated value of a contract </w:t>
      </w:r>
      <w:r w:rsidR="00F43BD7">
        <w:t>and</w:t>
      </w:r>
      <w:r w:rsidR="00807CC6">
        <w:t xml:space="preserve"> it meets the definition of an eligible project, </w:t>
      </w:r>
      <w:r>
        <w:t>the</w:t>
      </w:r>
      <w:r w:rsidR="008C785A">
        <w:t xml:space="preserve"> relevant entity</w:t>
      </w:r>
      <w:r>
        <w:t xml:space="preserve"> </w:t>
      </w:r>
      <w:r w:rsidR="008C785A">
        <w:t>(</w:t>
      </w:r>
      <w:r>
        <w:t>contracting agency</w:t>
      </w:r>
      <w:r w:rsidR="008C785A">
        <w:t>)</w:t>
      </w:r>
      <w:r>
        <w:t xml:space="preserve"> will negotiate with suppliers to apply Skills Guarantee requirements if it presents an opportunity for greater </w:t>
      </w:r>
      <w:r>
        <w:lastRenderedPageBreak/>
        <w:t>participation of apprentices/ ICT cadets and women in the delivery of the remainder of the contract.</w:t>
      </w:r>
    </w:p>
    <w:p w14:paraId="7BEF8FC5" w14:textId="669B796B" w:rsidR="005C6A4C" w:rsidRDefault="000C5B19" w:rsidP="683640D3">
      <w:pPr>
        <w:pStyle w:val="ListParagraph"/>
        <w:numPr>
          <w:ilvl w:val="0"/>
          <w:numId w:val="17"/>
        </w:numPr>
        <w:jc w:val="both"/>
      </w:pPr>
      <w:r>
        <w:t xml:space="preserve">There will be circumstances where it is not appropriate for Skills Guarantee requirements to be applied, for example, where </w:t>
      </w:r>
      <w:proofErr w:type="gramStart"/>
      <w:r>
        <w:t>almost all</w:t>
      </w:r>
      <w:proofErr w:type="gramEnd"/>
      <w:r>
        <w:t xml:space="preserve"> of the contract has been completed.</w:t>
      </w:r>
    </w:p>
    <w:p w14:paraId="20E15915" w14:textId="65079801" w:rsidR="000C5B19" w:rsidRDefault="00F322B8" w:rsidP="000C5B19">
      <w:pPr>
        <w:jc w:val="both"/>
      </w:pPr>
      <w:r>
        <w:rPr>
          <w:rStyle w:val="normaltextrun"/>
          <w:rFonts w:ascii="Calibri" w:hAnsi="Calibri" w:cs="Calibri"/>
          <w:b/>
          <w:bCs/>
          <w:color w:val="404246"/>
          <w:sz w:val="32"/>
          <w:szCs w:val="32"/>
          <w:shd w:val="clear" w:color="auto" w:fill="FFFFFF"/>
        </w:rPr>
        <w:t>Apprentices</w:t>
      </w:r>
      <w:r w:rsidR="0091484E">
        <w:rPr>
          <w:rStyle w:val="normaltextrun"/>
          <w:rFonts w:ascii="Calibri" w:hAnsi="Calibri" w:cs="Calibri"/>
          <w:b/>
          <w:bCs/>
          <w:color w:val="404246"/>
          <w:sz w:val="32"/>
          <w:szCs w:val="3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404246"/>
          <w:sz w:val="32"/>
          <w:szCs w:val="32"/>
          <w:shd w:val="clear" w:color="auto" w:fill="FFFFFF"/>
        </w:rPr>
        <w:t xml:space="preserve">and ICT </w:t>
      </w:r>
      <w:r w:rsidR="00E02ACD">
        <w:rPr>
          <w:rStyle w:val="normaltextrun"/>
          <w:rFonts w:ascii="Calibri" w:hAnsi="Calibri" w:cs="Calibri"/>
          <w:b/>
          <w:bCs/>
          <w:color w:val="404246"/>
          <w:sz w:val="32"/>
          <w:szCs w:val="32"/>
          <w:shd w:val="clear" w:color="auto" w:fill="FFFFFF"/>
        </w:rPr>
        <w:t>c</w:t>
      </w:r>
      <w:r>
        <w:rPr>
          <w:rStyle w:val="normaltextrun"/>
          <w:rFonts w:ascii="Calibri" w:hAnsi="Calibri" w:cs="Calibri"/>
          <w:b/>
          <w:bCs/>
          <w:color w:val="404246"/>
          <w:sz w:val="32"/>
          <w:szCs w:val="32"/>
          <w:shd w:val="clear" w:color="auto" w:fill="FFFFFF"/>
        </w:rPr>
        <w:t>adets</w:t>
      </w:r>
      <w:r>
        <w:rPr>
          <w:rStyle w:val="eop"/>
          <w:rFonts w:cs="Calibri"/>
          <w:b/>
          <w:bCs/>
          <w:sz w:val="32"/>
          <w:szCs w:val="32"/>
          <w:shd w:val="clear" w:color="auto" w:fill="FFFFFF"/>
        </w:rPr>
        <w:t> </w:t>
      </w:r>
    </w:p>
    <w:p w14:paraId="2A17E827" w14:textId="2ED87BB5" w:rsidR="00D741C0" w:rsidRPr="00EA56C4" w:rsidRDefault="00D741C0" w:rsidP="00DA54D1">
      <w:pPr>
        <w:pStyle w:val="Heading3"/>
        <w:numPr>
          <w:ilvl w:val="0"/>
          <w:numId w:val="18"/>
        </w:numPr>
        <w:jc w:val="both"/>
        <w:rPr>
          <w:b/>
          <w:bCs/>
          <w:color w:val="404246"/>
        </w:rPr>
      </w:pPr>
      <w:r w:rsidRPr="00EA56C4">
        <w:rPr>
          <w:b/>
          <w:bCs/>
          <w:color w:val="404246"/>
        </w:rPr>
        <w:t xml:space="preserve">What is an </w:t>
      </w:r>
      <w:r w:rsidR="008D085B" w:rsidRPr="00EA56C4">
        <w:rPr>
          <w:b/>
          <w:bCs/>
          <w:color w:val="404246"/>
        </w:rPr>
        <w:t>apprentice?</w:t>
      </w:r>
    </w:p>
    <w:p w14:paraId="361570D8" w14:textId="3684E58D" w:rsidR="008D085B" w:rsidRPr="008D085B" w:rsidRDefault="3D058B61" w:rsidP="00635D8E">
      <w:pPr>
        <w:pStyle w:val="ListParagraph"/>
        <w:numPr>
          <w:ilvl w:val="0"/>
          <w:numId w:val="27"/>
        </w:numPr>
        <w:jc w:val="both"/>
        <w:rPr>
          <w:rStyle w:val="eop"/>
        </w:rPr>
      </w:pPr>
      <w:r w:rsidRPr="4D2A5A4C">
        <w:rPr>
          <w:rStyle w:val="normaltextrun"/>
          <w:rFonts w:ascii="Calibri" w:hAnsi="Calibri" w:cs="Calibri"/>
          <w:color w:val="000000" w:themeColor="text1"/>
        </w:rPr>
        <w:t xml:space="preserve">In line with the Skills Guarantee PCP </w:t>
      </w:r>
      <w:r w:rsidRPr="4D59F992">
        <w:rPr>
          <w:rStyle w:val="normaltextrun"/>
          <w:rFonts w:ascii="Calibri" w:hAnsi="Calibri" w:cs="Calibri"/>
          <w:b/>
          <w:bCs/>
          <w:color w:val="000000" w:themeColor="text1"/>
        </w:rPr>
        <w:t>Glossary</w:t>
      </w:r>
      <w:r w:rsidRPr="4D2A5A4C">
        <w:rPr>
          <w:rStyle w:val="normaltextrun"/>
          <w:rFonts w:ascii="Calibri" w:hAnsi="Calibri" w:cs="Calibri"/>
          <w:color w:val="000000" w:themeColor="text1"/>
        </w:rPr>
        <w:t xml:space="preserve">, an </w:t>
      </w:r>
      <w:r w:rsidR="008D085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apprentice </w:t>
      </w:r>
      <w:r w:rsidR="00BD65A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(also known as a </w:t>
      </w:r>
      <w:r w:rsidR="00BD65A5" w:rsidRPr="4D59F992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trainee or Australian </w:t>
      </w:r>
      <w:r w:rsidR="00BD65A5" w:rsidRPr="00BD65A5">
        <w:rPr>
          <w:rStyle w:val="normaltextrun"/>
          <w:rFonts w:ascii="Calibri" w:hAnsi="Calibri" w:cs="Calibri"/>
          <w:color w:val="000000"/>
          <w:shd w:val="clear" w:color="auto" w:fill="FFFFFF"/>
        </w:rPr>
        <w:t>Apprentice</w:t>
      </w:r>
      <w:r w:rsidR="00BD65A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) </w:t>
      </w:r>
      <w:r w:rsidR="008D085B" w:rsidRPr="00BD65A5">
        <w:rPr>
          <w:rStyle w:val="normaltextrun"/>
          <w:rFonts w:ascii="Calibri" w:hAnsi="Calibri" w:cs="Calibri"/>
          <w:color w:val="000000"/>
          <w:shd w:val="clear" w:color="auto" w:fill="FFFFFF"/>
        </w:rPr>
        <w:t>is</w:t>
      </w:r>
      <w:r w:rsidR="008D085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 person who is:</w:t>
      </w:r>
      <w:r w:rsidR="008D085B">
        <w:rPr>
          <w:rStyle w:val="eop"/>
          <w:rFonts w:cs="Calibri"/>
          <w:color w:val="000000"/>
          <w:shd w:val="clear" w:color="auto" w:fill="FFFFFF"/>
        </w:rPr>
        <w:t> </w:t>
      </w:r>
    </w:p>
    <w:p w14:paraId="502DF91B" w14:textId="161AC94F" w:rsidR="008D085B" w:rsidRPr="008D085B" w:rsidRDefault="008D085B" w:rsidP="00635D8E">
      <w:pPr>
        <w:pStyle w:val="ListParagraph"/>
        <w:numPr>
          <w:ilvl w:val="1"/>
          <w:numId w:val="27"/>
        </w:numPr>
        <w:jc w:val="both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Employed under a training contract that has been registered with, and validated by, their State/Territory Training </w:t>
      </w:r>
      <w:proofErr w:type="gram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Authority;</w:t>
      </w:r>
      <w:proofErr w:type="gramEnd"/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1F71694F" w14:textId="1F633722" w:rsidR="008D085B" w:rsidRPr="00A4403A" w:rsidRDefault="00A4403A" w:rsidP="00635D8E">
      <w:pPr>
        <w:pStyle w:val="ListParagraph"/>
        <w:numPr>
          <w:ilvl w:val="1"/>
          <w:numId w:val="27"/>
        </w:numPr>
        <w:jc w:val="both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Undertaking paid work and structured training which comprises both on and off the job </w:t>
      </w:r>
      <w:proofErr w:type="gram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training;</w:t>
      </w:r>
      <w:proofErr w:type="gram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64FEC13A" w14:textId="5CDBE105" w:rsidR="00A4403A" w:rsidRPr="00A4403A" w:rsidRDefault="00A4403A" w:rsidP="00635D8E">
      <w:pPr>
        <w:pStyle w:val="ListParagraph"/>
        <w:numPr>
          <w:ilvl w:val="1"/>
          <w:numId w:val="27"/>
        </w:numPr>
        <w:jc w:val="both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Undertaking a negotiated training program that involves obtaining a nationally recognised qualification; and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15C72E9B" w14:textId="1BD288ED" w:rsidR="00A4403A" w:rsidRPr="008D085B" w:rsidRDefault="000E2E4E" w:rsidP="00635D8E">
      <w:pPr>
        <w:pStyle w:val="ListParagraph"/>
        <w:numPr>
          <w:ilvl w:val="1"/>
          <w:numId w:val="27"/>
        </w:numPr>
        <w:jc w:val="both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Either directly employed by the supplier or sub-contractors, or indirectly employed through a group training organisation to work on an eligible project.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3AD9BE02" w14:textId="5E1C6540" w:rsidR="00DA54D1" w:rsidRPr="00EA56C4" w:rsidRDefault="79FEE895" w:rsidP="00DA54D1">
      <w:pPr>
        <w:pStyle w:val="Heading3"/>
        <w:numPr>
          <w:ilvl w:val="0"/>
          <w:numId w:val="18"/>
        </w:numPr>
        <w:jc w:val="both"/>
        <w:rPr>
          <w:b/>
          <w:bCs/>
          <w:color w:val="404246"/>
        </w:rPr>
      </w:pPr>
      <w:r w:rsidRPr="00EA56C4">
        <w:rPr>
          <w:b/>
          <w:bCs/>
          <w:color w:val="404246"/>
        </w:rPr>
        <w:t>What is an ICT cadet?</w:t>
      </w:r>
    </w:p>
    <w:p w14:paraId="7DDEBD6C" w14:textId="69B1D34C" w:rsidR="00E335D1" w:rsidRDefault="056C2C5F" w:rsidP="00E335D1">
      <w:pPr>
        <w:pStyle w:val="ListParagraph"/>
        <w:numPr>
          <w:ilvl w:val="0"/>
          <w:numId w:val="19"/>
        </w:numPr>
        <w:jc w:val="both"/>
      </w:pPr>
      <w:r w:rsidRPr="4D59F992">
        <w:rPr>
          <w:rFonts w:ascii="Calibri" w:eastAsia="Calibri" w:hAnsi="Calibri" w:cs="Calibri"/>
          <w:color w:val="000000" w:themeColor="text1"/>
        </w:rPr>
        <w:t xml:space="preserve">In line with the Skills Guarantee PCP </w:t>
      </w:r>
      <w:r w:rsidRPr="4D59F992">
        <w:rPr>
          <w:rFonts w:ascii="Calibri" w:eastAsia="Calibri" w:hAnsi="Calibri" w:cs="Calibri"/>
          <w:b/>
          <w:bCs/>
          <w:color w:val="000000" w:themeColor="text1"/>
        </w:rPr>
        <w:t>Glossary</w:t>
      </w:r>
      <w:r w:rsidRPr="4D59F992">
        <w:rPr>
          <w:rFonts w:ascii="Calibri" w:eastAsia="Calibri" w:hAnsi="Calibri" w:cs="Calibri"/>
          <w:color w:val="000000" w:themeColor="text1"/>
        </w:rPr>
        <w:t>, an</w:t>
      </w:r>
      <w:r w:rsidR="00DF343A">
        <w:t xml:space="preserve"> </w:t>
      </w:r>
      <w:r w:rsidR="00C95667">
        <w:t>ICT cadet is a paid employee who is working on a major ICT project and who is employed in an entry-level role and undertaking academic study through either the VET or higher education system towards a qualification under the Australian Qualification Framework, where the employer has formally committed to providing the employee with on-the-job training and support to complete the specific course of academic study.</w:t>
      </w:r>
    </w:p>
    <w:p w14:paraId="0AC9A595" w14:textId="60FA253E" w:rsidR="002547E4" w:rsidRDefault="002547E4">
      <w:pPr>
        <w:spacing w:after="160" w:line="259" w:lineRule="auto"/>
        <w:rPr>
          <w:rStyle w:val="normaltextrun"/>
          <w:rFonts w:ascii="Calibri" w:hAnsi="Calibri" w:cs="Calibri"/>
          <w:b/>
          <w:bCs/>
          <w:color w:val="404246"/>
          <w:sz w:val="32"/>
          <w:szCs w:val="3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404246"/>
          <w:sz w:val="32"/>
          <w:szCs w:val="32"/>
          <w:shd w:val="clear" w:color="auto" w:fill="FFFFFF"/>
        </w:rPr>
        <w:br w:type="page"/>
      </w:r>
    </w:p>
    <w:p w14:paraId="7221E509" w14:textId="50D91EAE" w:rsidR="00177F99" w:rsidRDefault="00177F99" w:rsidP="00177F99">
      <w:pPr>
        <w:jc w:val="both"/>
      </w:pPr>
      <w:r>
        <w:rPr>
          <w:rStyle w:val="normaltextrun"/>
          <w:rFonts w:ascii="Calibri" w:hAnsi="Calibri" w:cs="Calibri"/>
          <w:b/>
          <w:bCs/>
          <w:color w:val="404246"/>
          <w:sz w:val="32"/>
          <w:szCs w:val="32"/>
          <w:shd w:val="clear" w:color="auto" w:fill="FFFFFF"/>
        </w:rPr>
        <w:lastRenderedPageBreak/>
        <w:t>Skills Guarantee Targets</w:t>
      </w:r>
      <w:r>
        <w:rPr>
          <w:rStyle w:val="eop"/>
          <w:rFonts w:cs="Calibri"/>
          <w:b/>
          <w:bCs/>
          <w:sz w:val="32"/>
          <w:szCs w:val="32"/>
          <w:shd w:val="clear" w:color="auto" w:fill="FFFFFF"/>
        </w:rPr>
        <w:t> </w:t>
      </w:r>
    </w:p>
    <w:p w14:paraId="43B0545C" w14:textId="18151D77" w:rsidR="00E335D1" w:rsidRPr="00EA56C4" w:rsidRDefault="67168CD6" w:rsidP="00E335D1">
      <w:pPr>
        <w:pStyle w:val="Heading3"/>
        <w:numPr>
          <w:ilvl w:val="0"/>
          <w:numId w:val="18"/>
        </w:numPr>
        <w:jc w:val="both"/>
        <w:rPr>
          <w:b/>
          <w:bCs/>
          <w:color w:val="404246"/>
        </w:rPr>
      </w:pPr>
      <w:r w:rsidRPr="00EA56C4">
        <w:rPr>
          <w:b/>
          <w:bCs/>
          <w:color w:val="404246"/>
        </w:rPr>
        <w:t>How are hours off-site for apprentices and trainees treated when calculating targets under the Skills Guarantee?</w:t>
      </w:r>
    </w:p>
    <w:p w14:paraId="5E691694" w14:textId="77777777" w:rsidR="007C497B" w:rsidRDefault="007C497B" w:rsidP="007C497B">
      <w:pPr>
        <w:pStyle w:val="ListParagraph"/>
        <w:numPr>
          <w:ilvl w:val="0"/>
          <w:numId w:val="19"/>
        </w:numPr>
        <w:jc w:val="both"/>
      </w:pPr>
      <w:r>
        <w:t xml:space="preserve">Labour hours worked off-site to deliver inputs for an eligible project can </w:t>
      </w:r>
      <w:proofErr w:type="gramStart"/>
      <w:r>
        <w:t>be counted</w:t>
      </w:r>
      <w:proofErr w:type="gramEnd"/>
      <w:r>
        <w:t xml:space="preserve"> towards the Skills Guarantee targets e.g., hours worked by a cabinet maker to manufacture cabinets for use on an eligible project will count towards the target.</w:t>
      </w:r>
    </w:p>
    <w:p w14:paraId="0E245C70" w14:textId="77777777" w:rsidR="00F96049" w:rsidRDefault="00F96049" w:rsidP="00F96049">
      <w:pPr>
        <w:pStyle w:val="ListParagraph"/>
        <w:numPr>
          <w:ilvl w:val="0"/>
          <w:numId w:val="19"/>
        </w:numPr>
        <w:jc w:val="both"/>
      </w:pPr>
      <w:r>
        <w:t xml:space="preserve">Hours spent off-site for formal apprentice or ICT cadet training and education, including hours spent at a registered training organisation or university, can </w:t>
      </w:r>
      <w:proofErr w:type="gramStart"/>
      <w:r>
        <w:t>be counted</w:t>
      </w:r>
      <w:proofErr w:type="gramEnd"/>
      <w:r>
        <w:t xml:space="preserve"> towards the Skills Guarantee targets. However, these hours can only </w:t>
      </w:r>
      <w:proofErr w:type="gramStart"/>
      <w:r>
        <w:t>be counted</w:t>
      </w:r>
      <w:proofErr w:type="gramEnd"/>
      <w:r>
        <w:t xml:space="preserve"> once towards the eligible project.</w:t>
      </w:r>
    </w:p>
    <w:p w14:paraId="08DB6497" w14:textId="77777777" w:rsidR="000E3705" w:rsidRDefault="000E3705" w:rsidP="000E3705">
      <w:pPr>
        <w:pStyle w:val="ListParagraph"/>
        <w:numPr>
          <w:ilvl w:val="1"/>
          <w:numId w:val="19"/>
        </w:numPr>
        <w:jc w:val="both"/>
      </w:pPr>
      <w:r>
        <w:t xml:space="preserve">If these hours are to </w:t>
      </w:r>
      <w:proofErr w:type="gramStart"/>
      <w:r>
        <w:t>be split</w:t>
      </w:r>
      <w:proofErr w:type="gramEnd"/>
      <w:r>
        <w:t xml:space="preserve"> between multiple projects, the sum of the reported hours must not be greater than the total hours the apprentice worked off-site.</w:t>
      </w:r>
    </w:p>
    <w:p w14:paraId="537BE501" w14:textId="7034B38C" w:rsidR="000E3705" w:rsidRPr="00EA56C4" w:rsidRDefault="2AA197CA" w:rsidP="000E3705">
      <w:pPr>
        <w:pStyle w:val="Heading3"/>
        <w:numPr>
          <w:ilvl w:val="0"/>
          <w:numId w:val="18"/>
        </w:numPr>
        <w:jc w:val="both"/>
        <w:rPr>
          <w:b/>
          <w:bCs/>
          <w:color w:val="404246"/>
        </w:rPr>
      </w:pPr>
      <w:r w:rsidRPr="00EA56C4">
        <w:rPr>
          <w:b/>
          <w:bCs/>
          <w:color w:val="404246"/>
        </w:rPr>
        <w:t xml:space="preserve">How are </w:t>
      </w:r>
      <w:r w:rsidR="70FC626A" w:rsidRPr="00EA56C4">
        <w:rPr>
          <w:b/>
          <w:bCs/>
          <w:color w:val="404246"/>
        </w:rPr>
        <w:t>part-time hours treated under the Skills Guarantee?</w:t>
      </w:r>
    </w:p>
    <w:p w14:paraId="1ED0E569" w14:textId="2275E8F1" w:rsidR="00E335D1" w:rsidRPr="00E66085" w:rsidRDefault="00CA76CA" w:rsidP="007C6556">
      <w:pPr>
        <w:pStyle w:val="ListParagraph"/>
        <w:numPr>
          <w:ilvl w:val="0"/>
          <w:numId w:val="25"/>
        </w:numPr>
        <w:jc w:val="both"/>
      </w:pPr>
      <w:r>
        <w:t>All</w:t>
      </w:r>
      <w:r w:rsidR="00BE6F04">
        <w:t xml:space="preserve"> labour hours</w:t>
      </w:r>
      <w:r>
        <w:t>, including part-time labour hours,</w:t>
      </w:r>
      <w:r w:rsidR="00BE6F04">
        <w:t xml:space="preserve"> that </w:t>
      </w:r>
      <w:r>
        <w:t xml:space="preserve">an apprentice or ICT cadet </w:t>
      </w:r>
      <w:r w:rsidR="00BE6F04">
        <w:t xml:space="preserve">has worked on </w:t>
      </w:r>
      <w:r w:rsidR="00BE6F04" w:rsidRPr="00E66085">
        <w:t>an eligible project</w:t>
      </w:r>
      <w:r>
        <w:t xml:space="preserve"> will count towards Skills Guarantee targets</w:t>
      </w:r>
      <w:r w:rsidR="00BE6F04" w:rsidRPr="00E66085">
        <w:t>.</w:t>
      </w:r>
    </w:p>
    <w:p w14:paraId="1D4CAE81" w14:textId="35102C49" w:rsidR="00603EAF" w:rsidRPr="00EA56C4" w:rsidRDefault="696F80DF" w:rsidP="00603EAF">
      <w:pPr>
        <w:pStyle w:val="Heading3"/>
        <w:numPr>
          <w:ilvl w:val="0"/>
          <w:numId w:val="18"/>
        </w:numPr>
        <w:jc w:val="both"/>
        <w:rPr>
          <w:b/>
          <w:bCs/>
          <w:color w:val="404246"/>
        </w:rPr>
      </w:pPr>
      <w:r w:rsidRPr="00EA56C4">
        <w:rPr>
          <w:b/>
          <w:bCs/>
          <w:color w:val="404246"/>
        </w:rPr>
        <w:t>Can more than one apprentice, trainee or ICT cadet contribute to the labour hour targets?</w:t>
      </w:r>
    </w:p>
    <w:p w14:paraId="671D391C" w14:textId="65215DC2" w:rsidR="00F84B68" w:rsidRDefault="004C4CAC" w:rsidP="007C6556">
      <w:pPr>
        <w:pStyle w:val="ListParagraph"/>
        <w:numPr>
          <w:ilvl w:val="0"/>
          <w:numId w:val="25"/>
        </w:numPr>
        <w:jc w:val="both"/>
      </w:pPr>
      <w:r w:rsidRPr="004C4CAC">
        <w:t xml:space="preserve">It does </w:t>
      </w:r>
      <w:r w:rsidR="002132FF" w:rsidRPr="007735FE">
        <w:t xml:space="preserve">not matter how </w:t>
      </w:r>
      <w:proofErr w:type="gramStart"/>
      <w:r w:rsidR="002132FF" w:rsidRPr="007735FE">
        <w:t>many</w:t>
      </w:r>
      <w:proofErr w:type="gramEnd"/>
      <w:r w:rsidR="002132FF" w:rsidRPr="007735FE">
        <w:t xml:space="preserve"> different employees contribute to the targets, as the Skills Guarantee targets are based on hours rather than head count. Suppliers will </w:t>
      </w:r>
      <w:proofErr w:type="gramStart"/>
      <w:r w:rsidR="002132FF" w:rsidRPr="007735FE">
        <w:t>be asked</w:t>
      </w:r>
      <w:proofErr w:type="gramEnd"/>
      <w:r w:rsidR="002132FF" w:rsidRPr="007735FE">
        <w:t xml:space="preserve"> to supply total labour hours worked on the project, rather than the number of employees that are working on the project.</w:t>
      </w:r>
    </w:p>
    <w:p w14:paraId="7214A796" w14:textId="3F4B240C" w:rsidR="00805B15" w:rsidRDefault="0D9D4348" w:rsidP="00805B15">
      <w:pPr>
        <w:pStyle w:val="Heading3"/>
        <w:numPr>
          <w:ilvl w:val="0"/>
          <w:numId w:val="18"/>
        </w:numPr>
        <w:jc w:val="both"/>
        <w:rPr>
          <w:b/>
          <w:bCs/>
        </w:rPr>
      </w:pPr>
      <w:r w:rsidRPr="0CEE36D1">
        <w:rPr>
          <w:b/>
          <w:bCs/>
        </w:rPr>
        <w:t xml:space="preserve"> </w:t>
      </w:r>
      <w:r w:rsidR="174496C7" w:rsidRPr="00EA56C4">
        <w:rPr>
          <w:b/>
          <w:bCs/>
          <w:color w:val="404246"/>
        </w:rPr>
        <w:t xml:space="preserve">Can non-binary employee’s hours </w:t>
      </w:r>
      <w:proofErr w:type="gramStart"/>
      <w:r w:rsidR="174496C7" w:rsidRPr="00EA56C4">
        <w:rPr>
          <w:b/>
          <w:bCs/>
          <w:color w:val="404246"/>
        </w:rPr>
        <w:t>be attributed</w:t>
      </w:r>
      <w:proofErr w:type="gramEnd"/>
      <w:r w:rsidR="174496C7" w:rsidRPr="00EA56C4">
        <w:rPr>
          <w:b/>
          <w:bCs/>
          <w:color w:val="404246"/>
        </w:rPr>
        <w:t xml:space="preserve"> towards the women’s Skills Guarantee targets?</w:t>
      </w:r>
    </w:p>
    <w:p w14:paraId="74E619E9" w14:textId="12A204E9" w:rsidR="008E517F" w:rsidRDefault="008B0971" w:rsidP="007C6556">
      <w:pPr>
        <w:pStyle w:val="ListParagraph"/>
        <w:numPr>
          <w:ilvl w:val="0"/>
          <w:numId w:val="25"/>
        </w:numPr>
        <w:jc w:val="both"/>
      </w:pPr>
      <w:r>
        <w:t>The Skills</w:t>
      </w:r>
      <w:r w:rsidR="008F004F">
        <w:t xml:space="preserve"> Guarantee </w:t>
      </w:r>
      <w:r w:rsidR="0033317A">
        <w:t>includes</w:t>
      </w:r>
      <w:r w:rsidR="008F004F">
        <w:t xml:space="preserve"> targets for women apprentices and trainees</w:t>
      </w:r>
      <w:r w:rsidR="003E54BF">
        <w:t>, as well as an overarching target for apprentices and trainees.</w:t>
      </w:r>
    </w:p>
    <w:p w14:paraId="35C2F4B4" w14:textId="3A0AC9F2" w:rsidR="009141AC" w:rsidRDefault="003613F6" w:rsidP="007C6556">
      <w:pPr>
        <w:pStyle w:val="ListParagraph"/>
        <w:numPr>
          <w:ilvl w:val="0"/>
          <w:numId w:val="25"/>
        </w:numPr>
        <w:jc w:val="both"/>
      </w:pPr>
      <w:r>
        <w:t>The targets for women include anyone who identifies as a woman.</w:t>
      </w:r>
      <w:r w:rsidR="00CA09DD">
        <w:t xml:space="preserve"> </w:t>
      </w:r>
    </w:p>
    <w:p w14:paraId="1942185E" w14:textId="4D7FAAA9" w:rsidR="00896011" w:rsidRDefault="00896011" w:rsidP="007C6556">
      <w:pPr>
        <w:pStyle w:val="ListParagraph"/>
        <w:numPr>
          <w:ilvl w:val="0"/>
          <w:numId w:val="25"/>
        </w:numPr>
        <w:jc w:val="both"/>
      </w:pPr>
      <w:r>
        <w:t xml:space="preserve">The overarching target is not gender specific, so people who identify as non-binary </w:t>
      </w:r>
      <w:r w:rsidR="004D7CCC">
        <w:t xml:space="preserve">can </w:t>
      </w:r>
      <w:proofErr w:type="gramStart"/>
      <w:r>
        <w:t>be included</w:t>
      </w:r>
      <w:proofErr w:type="gramEnd"/>
      <w:r>
        <w:t xml:space="preserve"> in the overarching target. </w:t>
      </w:r>
    </w:p>
    <w:p w14:paraId="45E8BB63" w14:textId="61CF9545" w:rsidR="006B282B" w:rsidRDefault="006B282B">
      <w:pPr>
        <w:spacing w:after="160" w:line="259" w:lineRule="auto"/>
      </w:pPr>
      <w:r>
        <w:br w:type="page"/>
      </w:r>
    </w:p>
    <w:p w14:paraId="3A013A11" w14:textId="023F2883" w:rsidR="004F23EB" w:rsidRPr="002132FF" w:rsidRDefault="004F23EB" w:rsidP="004F23EB">
      <w:pPr>
        <w:jc w:val="both"/>
      </w:pPr>
      <w:r>
        <w:rPr>
          <w:rStyle w:val="normaltextrun"/>
          <w:rFonts w:ascii="Calibri" w:hAnsi="Calibri" w:cs="Calibri"/>
          <w:b/>
          <w:bCs/>
          <w:color w:val="404246"/>
          <w:sz w:val="32"/>
          <w:szCs w:val="32"/>
          <w:shd w:val="clear" w:color="auto" w:fill="FFFFFF"/>
        </w:rPr>
        <w:t>Reporting and Compliance</w:t>
      </w:r>
      <w:r>
        <w:rPr>
          <w:rStyle w:val="eop"/>
          <w:rFonts w:cs="Calibri"/>
          <w:b/>
          <w:bCs/>
          <w:sz w:val="32"/>
          <w:szCs w:val="32"/>
          <w:shd w:val="clear" w:color="auto" w:fill="FFFFFF"/>
        </w:rPr>
        <w:t> </w:t>
      </w:r>
    </w:p>
    <w:p w14:paraId="38EFE958" w14:textId="07EAC807" w:rsidR="001E6EA4" w:rsidRDefault="004C7E06" w:rsidP="001E6EA4">
      <w:pPr>
        <w:pStyle w:val="Heading3"/>
        <w:numPr>
          <w:ilvl w:val="0"/>
          <w:numId w:val="18"/>
        </w:numPr>
        <w:jc w:val="both"/>
        <w:rPr>
          <w:b/>
          <w:bCs/>
        </w:rPr>
      </w:pPr>
      <w:r w:rsidRPr="0CEE36D1">
        <w:rPr>
          <w:b/>
          <w:bCs/>
        </w:rPr>
        <w:t xml:space="preserve"> </w:t>
      </w:r>
      <w:r w:rsidR="3291653F" w:rsidRPr="00EA56C4">
        <w:rPr>
          <w:b/>
          <w:bCs/>
          <w:color w:val="404246"/>
        </w:rPr>
        <w:t>What is the frequency of reporting under the Skills Guarantee?</w:t>
      </w:r>
    </w:p>
    <w:p w14:paraId="77C9E2D3" w14:textId="10BADD81" w:rsidR="003E7100" w:rsidRDefault="00817BB5" w:rsidP="007C6556">
      <w:pPr>
        <w:pStyle w:val="ListParagraph"/>
        <w:numPr>
          <w:ilvl w:val="0"/>
          <w:numId w:val="20"/>
        </w:numPr>
        <w:jc w:val="both"/>
      </w:pPr>
      <w:r>
        <w:t xml:space="preserve">Suppliers </w:t>
      </w:r>
      <w:r w:rsidR="00A31DC0">
        <w:t>are</w:t>
      </w:r>
      <w:r w:rsidR="00261EFC">
        <w:t xml:space="preserve"> required to report at the end of every quarter and </w:t>
      </w:r>
      <w:proofErr w:type="gramStart"/>
      <w:r w:rsidR="00261EFC">
        <w:t>financial year</w:t>
      </w:r>
      <w:proofErr w:type="gramEnd"/>
      <w:r w:rsidR="00261EFC">
        <w:t>, as well as the end of the contract. Suppliers must record, track and report information on behalf of their sub-contractors as well.</w:t>
      </w:r>
    </w:p>
    <w:p w14:paraId="370F0886" w14:textId="6D33D779" w:rsidR="00654660" w:rsidRDefault="00E54B23" w:rsidP="007C6556">
      <w:pPr>
        <w:pStyle w:val="ListParagraph"/>
        <w:numPr>
          <w:ilvl w:val="0"/>
          <w:numId w:val="20"/>
        </w:numPr>
        <w:jc w:val="both"/>
      </w:pPr>
      <w:r>
        <w:t>Relevant entities</w:t>
      </w:r>
      <w:r w:rsidR="00025B3C">
        <w:t xml:space="preserve"> need to report every six months on the progress of all eligible projects towards Skills Guarantee targets, any compliance activity undertaken, as well as </w:t>
      </w:r>
      <w:proofErr w:type="gramStart"/>
      <w:r w:rsidR="00025B3C">
        <w:t>final end</w:t>
      </w:r>
      <w:proofErr w:type="gramEnd"/>
      <w:r w:rsidR="00025B3C">
        <w:t xml:space="preserve"> of contract assessments for each project.</w:t>
      </w:r>
    </w:p>
    <w:p w14:paraId="0F8D8C8C" w14:textId="55085FDA" w:rsidR="00654660" w:rsidRDefault="004C7E06" w:rsidP="00654660">
      <w:pPr>
        <w:pStyle w:val="Heading3"/>
        <w:numPr>
          <w:ilvl w:val="0"/>
          <w:numId w:val="18"/>
        </w:numPr>
        <w:jc w:val="both"/>
        <w:rPr>
          <w:b/>
          <w:bCs/>
        </w:rPr>
      </w:pPr>
      <w:r w:rsidRPr="0CEE36D1">
        <w:rPr>
          <w:b/>
          <w:bCs/>
        </w:rPr>
        <w:t xml:space="preserve"> </w:t>
      </w:r>
      <w:r w:rsidR="6AAF8023" w:rsidRPr="00EA56C4">
        <w:rPr>
          <w:b/>
          <w:bCs/>
          <w:color w:val="404246"/>
        </w:rPr>
        <w:t>How will suppliers report on Skills Guarantee targets?</w:t>
      </w:r>
    </w:p>
    <w:p w14:paraId="4447EB45" w14:textId="48D07C0C" w:rsidR="00654660" w:rsidRDefault="77129529" w:rsidP="007C6556">
      <w:pPr>
        <w:pStyle w:val="ListParagraph"/>
        <w:numPr>
          <w:ilvl w:val="0"/>
          <w:numId w:val="21"/>
        </w:numPr>
        <w:jc w:val="both"/>
      </w:pPr>
      <w:r>
        <w:t>S</w:t>
      </w:r>
      <w:r w:rsidR="00F05016">
        <w:t xml:space="preserve">uppliers submit quarterly reports to </w:t>
      </w:r>
      <w:r w:rsidR="00E54B23">
        <w:t>relevant entities</w:t>
      </w:r>
      <w:r w:rsidR="00F05016">
        <w:t xml:space="preserve"> through a designated reporting template</w:t>
      </w:r>
      <w:r w:rsidR="1D69604F">
        <w:t xml:space="preserve">. </w:t>
      </w:r>
      <w:r w:rsidR="71257C2B">
        <w:t xml:space="preserve">This </w:t>
      </w:r>
      <w:r w:rsidR="004E2893">
        <w:t xml:space="preserve">template </w:t>
      </w:r>
      <w:r w:rsidR="71257C2B">
        <w:t xml:space="preserve">will be in use for </w:t>
      </w:r>
      <w:r w:rsidR="00D80173">
        <w:t xml:space="preserve">approximately </w:t>
      </w:r>
      <w:r w:rsidR="71257C2B">
        <w:t xml:space="preserve">12 </w:t>
      </w:r>
      <w:r w:rsidR="00635D8E">
        <w:t>months</w:t>
      </w:r>
      <w:r w:rsidR="300B0E56">
        <w:t>.</w:t>
      </w:r>
      <w:r w:rsidR="00F05016">
        <w:t xml:space="preserve"> </w:t>
      </w:r>
    </w:p>
    <w:p w14:paraId="5A94AE31" w14:textId="41129699" w:rsidR="00C5657C" w:rsidRPr="00EA56C4" w:rsidRDefault="111FEF54" w:rsidP="00C5657C">
      <w:pPr>
        <w:pStyle w:val="Heading3"/>
        <w:numPr>
          <w:ilvl w:val="0"/>
          <w:numId w:val="18"/>
        </w:numPr>
        <w:jc w:val="both"/>
        <w:rPr>
          <w:b/>
          <w:bCs/>
          <w:color w:val="404246"/>
        </w:rPr>
      </w:pPr>
      <w:r w:rsidRPr="00EA56C4">
        <w:rPr>
          <w:b/>
          <w:bCs/>
          <w:color w:val="404246"/>
        </w:rPr>
        <w:t>Will a supplier’s performance be publicly available?</w:t>
      </w:r>
    </w:p>
    <w:p w14:paraId="006F383F" w14:textId="778C6B0B" w:rsidR="00176223" w:rsidRDefault="00176223" w:rsidP="007C6556">
      <w:pPr>
        <w:pStyle w:val="ListParagraph"/>
        <w:numPr>
          <w:ilvl w:val="0"/>
          <w:numId w:val="21"/>
        </w:numPr>
        <w:jc w:val="both"/>
      </w:pPr>
      <w:r>
        <w:t xml:space="preserve">No, supplier </w:t>
      </w:r>
      <w:r w:rsidR="00191F78">
        <w:t xml:space="preserve">reports will not </w:t>
      </w:r>
      <w:proofErr w:type="gramStart"/>
      <w:r w:rsidR="00191F78">
        <w:t>be shared</w:t>
      </w:r>
      <w:proofErr w:type="gramEnd"/>
      <w:r w:rsidR="00191F78">
        <w:t xml:space="preserve"> publicly. However, a supplier’s compliance history with the Skills Guarantee will be available for </w:t>
      </w:r>
      <w:r w:rsidR="00E54B23">
        <w:t>relevant entities</w:t>
      </w:r>
      <w:r w:rsidR="00191F78">
        <w:t xml:space="preserve"> to view after a project has </w:t>
      </w:r>
      <w:proofErr w:type="gramStart"/>
      <w:r w:rsidR="00AF3B1C">
        <w:t xml:space="preserve">been </w:t>
      </w:r>
      <w:r w:rsidR="00191F78">
        <w:t>completed</w:t>
      </w:r>
      <w:proofErr w:type="gramEnd"/>
      <w:r w:rsidR="00191F78">
        <w:t>.</w:t>
      </w:r>
    </w:p>
    <w:p w14:paraId="0FE93A92" w14:textId="702F14CE" w:rsidR="00832FE1" w:rsidRDefault="002E6D87" w:rsidP="00832FE1">
      <w:pPr>
        <w:pStyle w:val="Heading3"/>
        <w:numPr>
          <w:ilvl w:val="0"/>
          <w:numId w:val="18"/>
        </w:numPr>
        <w:jc w:val="both"/>
        <w:rPr>
          <w:b/>
          <w:bCs/>
        </w:rPr>
      </w:pPr>
      <w:r w:rsidRPr="0CEE36D1">
        <w:rPr>
          <w:b/>
          <w:bCs/>
        </w:rPr>
        <w:t xml:space="preserve"> </w:t>
      </w:r>
      <w:r w:rsidR="66BCF52D" w:rsidRPr="00EA56C4">
        <w:rPr>
          <w:b/>
          <w:bCs/>
          <w:color w:val="404246"/>
        </w:rPr>
        <w:t xml:space="preserve">How will compliance </w:t>
      </w:r>
      <w:proofErr w:type="gramStart"/>
      <w:r w:rsidR="66BCF52D" w:rsidRPr="00EA56C4">
        <w:rPr>
          <w:b/>
          <w:bCs/>
          <w:color w:val="404246"/>
        </w:rPr>
        <w:t>be monitored</w:t>
      </w:r>
      <w:proofErr w:type="gramEnd"/>
      <w:r w:rsidR="66BCF52D" w:rsidRPr="00EA56C4">
        <w:rPr>
          <w:b/>
          <w:bCs/>
          <w:color w:val="404246"/>
        </w:rPr>
        <w:t xml:space="preserve"> under the Skills Guarantee?</w:t>
      </w:r>
    </w:p>
    <w:p w14:paraId="569407FA" w14:textId="2FC51470" w:rsidR="00555126" w:rsidRDefault="00E54B23" w:rsidP="007C6556">
      <w:pPr>
        <w:pStyle w:val="ListParagraph"/>
        <w:numPr>
          <w:ilvl w:val="0"/>
          <w:numId w:val="21"/>
        </w:numPr>
        <w:jc w:val="both"/>
      </w:pPr>
      <w:r>
        <w:t>Relevant entities</w:t>
      </w:r>
      <w:r w:rsidR="00284BCA">
        <w:t xml:space="preserve"> </w:t>
      </w:r>
      <w:proofErr w:type="gramStart"/>
      <w:r w:rsidR="00284BCA">
        <w:t>are required</w:t>
      </w:r>
      <w:proofErr w:type="gramEnd"/>
      <w:r w:rsidR="00284BCA">
        <w:t xml:space="preserve"> to monitor supplier</w:t>
      </w:r>
      <w:r w:rsidR="00F97B37">
        <w:t xml:space="preserve"> performance</w:t>
      </w:r>
      <w:r w:rsidR="00284BCA">
        <w:t xml:space="preserve"> based on their quarterly reporting. When required, </w:t>
      </w:r>
      <w:r>
        <w:t>relevant entities</w:t>
      </w:r>
      <w:r w:rsidR="00284BCA">
        <w:t xml:space="preserve"> will need to address non-compliance with suppliers in accordance with the streams of non-compliance detailed in the PCP. It </w:t>
      </w:r>
      <w:proofErr w:type="gramStart"/>
      <w:r w:rsidR="00284BCA">
        <w:t>is expected</w:t>
      </w:r>
      <w:proofErr w:type="gramEnd"/>
      <w:r w:rsidR="00284BCA">
        <w:t xml:space="preserve"> that </w:t>
      </w:r>
      <w:r>
        <w:t>relevant entities</w:t>
      </w:r>
      <w:r w:rsidR="00284BCA">
        <w:t xml:space="preserve"> will have in place mechanisms to discuss performance with suppliers.</w:t>
      </w:r>
    </w:p>
    <w:p w14:paraId="4554978B" w14:textId="0358F933" w:rsidR="00284BCA" w:rsidRDefault="5AF45F0F" w:rsidP="00284BCA">
      <w:pPr>
        <w:pStyle w:val="Heading3"/>
        <w:numPr>
          <w:ilvl w:val="0"/>
          <w:numId w:val="18"/>
        </w:numPr>
        <w:jc w:val="both"/>
        <w:rPr>
          <w:b/>
          <w:bCs/>
        </w:rPr>
      </w:pPr>
      <w:r w:rsidRPr="0CEE36D1">
        <w:rPr>
          <w:b/>
          <w:bCs/>
        </w:rPr>
        <w:t xml:space="preserve"> </w:t>
      </w:r>
      <w:r w:rsidRPr="00EA56C4">
        <w:rPr>
          <w:b/>
          <w:bCs/>
          <w:color w:val="404246"/>
        </w:rPr>
        <w:t>What are the consequences of non-compliance?</w:t>
      </w:r>
    </w:p>
    <w:p w14:paraId="10A6F4B7" w14:textId="163B0059" w:rsidR="00284BCA" w:rsidRDefault="00E54B23" w:rsidP="00635D8E">
      <w:pPr>
        <w:pStyle w:val="ListParagraph"/>
        <w:numPr>
          <w:ilvl w:val="0"/>
          <w:numId w:val="21"/>
        </w:numPr>
        <w:jc w:val="both"/>
      </w:pPr>
      <w:r>
        <w:t>Relevant entities</w:t>
      </w:r>
      <w:r w:rsidR="00EC72F0">
        <w:t xml:space="preserve"> </w:t>
      </w:r>
      <w:proofErr w:type="gramStart"/>
      <w:r w:rsidR="004E2893">
        <w:t>are</w:t>
      </w:r>
      <w:r w:rsidR="00825139">
        <w:t xml:space="preserve"> required</w:t>
      </w:r>
      <w:proofErr w:type="gramEnd"/>
      <w:r w:rsidR="00825139">
        <w:t xml:space="preserve"> to undertake six-monthly assessments and a final (end-contract) assessment for contracts with Skills Guarantee targets.</w:t>
      </w:r>
    </w:p>
    <w:p w14:paraId="6906CDF3" w14:textId="37B1318A" w:rsidR="00825139" w:rsidRDefault="00825139" w:rsidP="00635D8E">
      <w:pPr>
        <w:pStyle w:val="ListParagraph"/>
        <w:numPr>
          <w:ilvl w:val="0"/>
          <w:numId w:val="21"/>
        </w:numPr>
        <w:jc w:val="both"/>
      </w:pPr>
      <w:r>
        <w:t xml:space="preserve">There </w:t>
      </w:r>
      <w:r w:rsidR="008A50DE">
        <w:t xml:space="preserve">are </w:t>
      </w:r>
      <w:proofErr w:type="gramStart"/>
      <w:r w:rsidR="008A50DE">
        <w:t>4</w:t>
      </w:r>
      <w:proofErr w:type="gramEnd"/>
      <w:r w:rsidR="00127E68">
        <w:t xml:space="preserve"> streams of non-compliance, ranging from applying an educative approach, through to stronger compliance measures, depending on the severity of the non-compliance.</w:t>
      </w:r>
      <w:r w:rsidR="004B30E8">
        <w:t xml:space="preserve"> </w:t>
      </w:r>
      <w:r w:rsidR="004841A6">
        <w:t xml:space="preserve">In undertaking assessments </w:t>
      </w:r>
      <w:r w:rsidR="00E90903">
        <w:t>r</w:t>
      </w:r>
      <w:r w:rsidR="00E54B23">
        <w:t>elevant entities</w:t>
      </w:r>
      <w:r w:rsidR="004B30E8">
        <w:t xml:space="preserve"> should consider the circumstances </w:t>
      </w:r>
      <w:r w:rsidR="00E90903">
        <w:t>contributing to</w:t>
      </w:r>
      <w:r w:rsidR="004B30E8">
        <w:t xml:space="preserve"> non-compliance to determine the appropriate action. Further information is available in the</w:t>
      </w:r>
      <w:r w:rsidR="0E05FDD7">
        <w:t xml:space="preserve"> Skills Guarantee</w:t>
      </w:r>
      <w:r w:rsidR="004B30E8">
        <w:t xml:space="preserve"> PCP.</w:t>
      </w:r>
    </w:p>
    <w:p w14:paraId="300F379B" w14:textId="6C568C51" w:rsidR="009E128C" w:rsidRDefault="18A2193B" w:rsidP="00635D8E">
      <w:pPr>
        <w:pStyle w:val="ListParagraph"/>
        <w:numPr>
          <w:ilvl w:val="0"/>
          <w:numId w:val="21"/>
        </w:numPr>
        <w:spacing w:after="0"/>
        <w:ind w:left="1077" w:hanging="357"/>
        <w:jc w:val="both"/>
      </w:pPr>
      <w:r>
        <w:t xml:space="preserve">A supplier’s compliance history with the Skills Guarantee will be available for relevant entities to view after a project has </w:t>
      </w:r>
      <w:proofErr w:type="gramStart"/>
      <w:r>
        <w:t>been completed</w:t>
      </w:r>
      <w:proofErr w:type="gramEnd"/>
      <w:r>
        <w:t xml:space="preserve">. If a supplier demonstrates extreme </w:t>
      </w:r>
      <w:r>
        <w:lastRenderedPageBreak/>
        <w:t xml:space="preserve">non-compliance, this will </w:t>
      </w:r>
      <w:proofErr w:type="gramStart"/>
      <w:r>
        <w:t>be taken</w:t>
      </w:r>
      <w:proofErr w:type="gramEnd"/>
      <w:r>
        <w:t xml:space="preserve"> into consideration in the assessment of future procurement activities.</w:t>
      </w:r>
      <w:r w:rsidR="009E128C">
        <w:t xml:space="preserve"> </w:t>
      </w:r>
    </w:p>
    <w:p w14:paraId="69F59106" w14:textId="2A75451D" w:rsidR="683640D3" w:rsidRDefault="05DEE77C" w:rsidP="00635D8E">
      <w:pPr>
        <w:pStyle w:val="ListBullet"/>
        <w:ind w:left="1077"/>
        <w:jc w:val="both"/>
        <w:rPr>
          <w:rFonts w:cs="Calibri"/>
        </w:rPr>
      </w:pPr>
      <w:r>
        <w:t>DEWR will support relevant entities to understand their obligations under the Australian Skills Guarantee and ensure there are comprehensive operational materials to support implementation.</w:t>
      </w:r>
    </w:p>
    <w:p w14:paraId="3F515EE2" w14:textId="367FAED1" w:rsidR="18A2193B" w:rsidRDefault="18A2193B" w:rsidP="683640D3">
      <w:pPr>
        <w:pStyle w:val="Heading3"/>
        <w:numPr>
          <w:ilvl w:val="0"/>
          <w:numId w:val="18"/>
        </w:numPr>
        <w:jc w:val="both"/>
        <w:rPr>
          <w:b/>
          <w:bCs/>
        </w:rPr>
      </w:pPr>
      <w:r w:rsidRPr="0CEE36D1">
        <w:rPr>
          <w:b/>
          <w:bCs/>
        </w:rPr>
        <w:t xml:space="preserve"> </w:t>
      </w:r>
      <w:r w:rsidRPr="00EA56C4">
        <w:rPr>
          <w:b/>
          <w:bCs/>
          <w:color w:val="404246"/>
        </w:rPr>
        <w:t>Are there financial penalties for non-compliance with Skills Guarantee P</w:t>
      </w:r>
      <w:r w:rsidR="42DD683C" w:rsidRPr="00EA56C4">
        <w:rPr>
          <w:b/>
          <w:bCs/>
          <w:color w:val="404246"/>
        </w:rPr>
        <w:t>CP</w:t>
      </w:r>
      <w:r w:rsidRPr="00EA56C4">
        <w:rPr>
          <w:b/>
          <w:bCs/>
          <w:color w:val="404246"/>
        </w:rPr>
        <w:t xml:space="preserve"> and targets?</w:t>
      </w:r>
    </w:p>
    <w:p w14:paraId="33A0C534" w14:textId="428D14A5" w:rsidR="18A2193B" w:rsidRDefault="18A2193B" w:rsidP="683640D3">
      <w:pPr>
        <w:pStyle w:val="ListParagraph"/>
        <w:numPr>
          <w:ilvl w:val="0"/>
          <w:numId w:val="21"/>
        </w:numPr>
        <w:jc w:val="both"/>
      </w:pPr>
      <w:r>
        <w:t xml:space="preserve">No, there is no requirement for financial penalties to </w:t>
      </w:r>
      <w:proofErr w:type="gramStart"/>
      <w:r>
        <w:t>be imposed</w:t>
      </w:r>
      <w:proofErr w:type="gramEnd"/>
      <w:r>
        <w:t xml:space="preserve"> under the Skills Guarantee. However, this does not preclude relevant entities from imposing financial penalties for non-compliance where these have </w:t>
      </w:r>
      <w:proofErr w:type="gramStart"/>
      <w:r>
        <w:t>been agreed</w:t>
      </w:r>
      <w:proofErr w:type="gramEnd"/>
      <w:r>
        <w:t xml:space="preserve"> under the relevant contract.</w:t>
      </w:r>
    </w:p>
    <w:p w14:paraId="2CD58332" w14:textId="66C8DDA9" w:rsidR="00210020" w:rsidRDefault="584890F2" w:rsidP="00210020">
      <w:pPr>
        <w:pStyle w:val="Heading3"/>
        <w:numPr>
          <w:ilvl w:val="0"/>
          <w:numId w:val="18"/>
        </w:numPr>
        <w:jc w:val="both"/>
        <w:rPr>
          <w:b/>
          <w:bCs/>
        </w:rPr>
      </w:pPr>
      <w:r w:rsidRPr="0CEE36D1">
        <w:rPr>
          <w:b/>
          <w:bCs/>
        </w:rPr>
        <w:t xml:space="preserve"> </w:t>
      </w:r>
      <w:r w:rsidR="7B142F16" w:rsidRPr="00EA56C4">
        <w:rPr>
          <w:b/>
          <w:bCs/>
          <w:color w:val="404246"/>
        </w:rPr>
        <w:t xml:space="preserve">Will mitigating factors </w:t>
      </w:r>
      <w:proofErr w:type="gramStart"/>
      <w:r w:rsidR="7B142F16" w:rsidRPr="00EA56C4">
        <w:rPr>
          <w:b/>
          <w:bCs/>
          <w:color w:val="404246"/>
        </w:rPr>
        <w:t>be considered</w:t>
      </w:r>
      <w:proofErr w:type="gramEnd"/>
      <w:r w:rsidR="7B142F16" w:rsidRPr="00EA56C4">
        <w:rPr>
          <w:b/>
          <w:bCs/>
          <w:color w:val="404246"/>
        </w:rPr>
        <w:t xml:space="preserve"> when assessing a supplier’s compliance with the Skills Guarantee?</w:t>
      </w:r>
    </w:p>
    <w:p w14:paraId="2A7B13CF" w14:textId="611A057D" w:rsidR="00210020" w:rsidRPr="00152CDF" w:rsidRDefault="2A679B72" w:rsidP="00635D8E">
      <w:pPr>
        <w:pStyle w:val="ListParagraph"/>
        <w:numPr>
          <w:ilvl w:val="0"/>
          <w:numId w:val="21"/>
        </w:numPr>
        <w:jc w:val="both"/>
      </w:pPr>
      <w:r>
        <w:t xml:space="preserve">Where performance is below expectations mitigating factors should </w:t>
      </w:r>
      <w:proofErr w:type="gramStart"/>
      <w:r>
        <w:t>be considered</w:t>
      </w:r>
      <w:proofErr w:type="gramEnd"/>
      <w:r>
        <w:t xml:space="preserve"> by relevant entities</w:t>
      </w:r>
      <w:r w:rsidR="00DF53FF">
        <w:t>.</w:t>
      </w:r>
      <w:r w:rsidR="008724E4">
        <w:t xml:space="preserve"> </w:t>
      </w:r>
      <w:r w:rsidR="00443247">
        <w:t>There is a</w:t>
      </w:r>
      <w:r w:rsidR="008724E4">
        <w:t xml:space="preserve">n opportunity in the reporting tool for suppliers to </w:t>
      </w:r>
      <w:r w:rsidR="00443247">
        <w:t>provide</w:t>
      </w:r>
      <w:r w:rsidR="008724E4">
        <w:t xml:space="preserve"> reasons for non-compliance.</w:t>
      </w:r>
    </w:p>
    <w:p w14:paraId="4961CDF1" w14:textId="507B362A" w:rsidR="007C6556" w:rsidRPr="00454808" w:rsidRDefault="008724E4" w:rsidP="00635D8E">
      <w:pPr>
        <w:pStyle w:val="ListParagraph"/>
        <w:numPr>
          <w:ilvl w:val="0"/>
          <w:numId w:val="21"/>
        </w:numPr>
        <w:jc w:val="both"/>
      </w:pPr>
      <w:r>
        <w:t xml:space="preserve">For example, </w:t>
      </w:r>
      <w:r w:rsidR="008933C6">
        <w:t xml:space="preserve">if the eligible project is </w:t>
      </w:r>
      <w:proofErr w:type="gramStart"/>
      <w:r w:rsidR="00991840">
        <w:t>being delivered</w:t>
      </w:r>
      <w:proofErr w:type="gramEnd"/>
      <w:r w:rsidR="008933C6">
        <w:t xml:space="preserve"> in a regional or remote area, and the supplier has not met Skills Guarantee targets despite demonstrating </w:t>
      </w:r>
      <w:r w:rsidR="00E72D5B">
        <w:t xml:space="preserve">reasonable </w:t>
      </w:r>
      <w:r w:rsidR="008933C6">
        <w:t xml:space="preserve">efforts to do so, suppliers </w:t>
      </w:r>
      <w:r w:rsidR="00CA2B1A">
        <w:t xml:space="preserve">could </w:t>
      </w:r>
      <w:r w:rsidR="008933C6">
        <w:t xml:space="preserve">indicate this as a mitigating factor in reporting. </w:t>
      </w:r>
      <w:r w:rsidR="00E54B23">
        <w:t>Relevant entities</w:t>
      </w:r>
      <w:r w:rsidR="008933C6">
        <w:t xml:space="preserve"> should consider these factors when determining the appropriate compliance action to undertake</w:t>
      </w:r>
      <w:r w:rsidR="00054445">
        <w:t xml:space="preserve">, noting that </w:t>
      </w:r>
      <w:r w:rsidR="00AA2D16">
        <w:t xml:space="preserve">suppliers are expected to continue </w:t>
      </w:r>
      <w:proofErr w:type="gramStart"/>
      <w:r w:rsidR="00AA2D16">
        <w:t>working</w:t>
      </w:r>
      <w:proofErr w:type="gramEnd"/>
      <w:r w:rsidR="00AA2D16">
        <w:t xml:space="preserve"> with sub-contractors in regional and remote areas who may have limited access to apprentices</w:t>
      </w:r>
      <w:r w:rsidR="00F82580">
        <w:t xml:space="preserve"> as per </w:t>
      </w:r>
      <w:r w:rsidR="00F82580" w:rsidRPr="683640D3">
        <w:rPr>
          <w:b/>
          <w:bCs/>
        </w:rPr>
        <w:t>Section 4</w:t>
      </w:r>
      <w:r w:rsidR="00521626" w:rsidRPr="683640D3">
        <w:rPr>
          <w:b/>
          <w:bCs/>
        </w:rPr>
        <w:t>.1.4</w:t>
      </w:r>
      <w:r w:rsidR="003923BE" w:rsidRPr="683640D3">
        <w:rPr>
          <w:b/>
          <w:bCs/>
        </w:rPr>
        <w:t xml:space="preserve"> </w:t>
      </w:r>
      <w:r w:rsidR="003923BE">
        <w:t>of the Skills Guarantee PCP</w:t>
      </w:r>
      <w:r w:rsidR="00AA2D16">
        <w:t xml:space="preserve">.  </w:t>
      </w:r>
    </w:p>
    <w:sectPr w:rsidR="007C6556" w:rsidRPr="00454808" w:rsidSect="00992B5B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CFB45" w14:textId="77777777" w:rsidR="00992B5B" w:rsidRDefault="00992B5B" w:rsidP="0051352E">
      <w:pPr>
        <w:spacing w:after="0" w:line="240" w:lineRule="auto"/>
      </w:pPr>
      <w:r>
        <w:separator/>
      </w:r>
    </w:p>
  </w:endnote>
  <w:endnote w:type="continuationSeparator" w:id="0">
    <w:p w14:paraId="2FFB4BB5" w14:textId="77777777" w:rsidR="00992B5B" w:rsidRDefault="00992B5B" w:rsidP="0051352E">
      <w:pPr>
        <w:spacing w:after="0" w:line="240" w:lineRule="auto"/>
      </w:pPr>
      <w:r>
        <w:continuationSeparator/>
      </w:r>
    </w:p>
  </w:endnote>
  <w:endnote w:type="continuationNotice" w:id="1">
    <w:p w14:paraId="0CCAEDBC" w14:textId="77777777" w:rsidR="00992B5B" w:rsidRDefault="00992B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458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DA060" w14:textId="04401266" w:rsidR="007664CB" w:rsidRDefault="007664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183E01" w14:textId="325EAB1B" w:rsidR="00662A42" w:rsidRPr="006B282B" w:rsidRDefault="007664CB">
    <w:pPr>
      <w:pStyle w:val="Footer"/>
    </w:pPr>
    <w:r w:rsidRPr="006B282B">
      <w:t xml:space="preserve">Last updated </w:t>
    </w:r>
    <w:r w:rsidR="00050DF4">
      <w:t>3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E112" w14:textId="5A6C5250" w:rsidR="00662A42" w:rsidRPr="006B282B" w:rsidRDefault="00662A42">
    <w:pPr>
      <w:pStyle w:val="Footer"/>
    </w:pPr>
    <w:r w:rsidRPr="00050DF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BBBC5" wp14:editId="2C8F5FF1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839279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  <w:r w:rsidR="00635D8E" w:rsidRPr="006B282B">
      <w:t xml:space="preserve">Last updated </w:t>
    </w:r>
    <w:r w:rsidR="00050DF4">
      <w:t>3 July</w:t>
    </w:r>
    <w:r w:rsidR="00635D8E" w:rsidRPr="006B282B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956B4" w14:textId="77777777" w:rsidR="00992B5B" w:rsidRDefault="00992B5B" w:rsidP="0051352E">
      <w:pPr>
        <w:spacing w:after="0" w:line="240" w:lineRule="auto"/>
      </w:pPr>
      <w:r>
        <w:separator/>
      </w:r>
    </w:p>
  </w:footnote>
  <w:footnote w:type="continuationSeparator" w:id="0">
    <w:p w14:paraId="31413A85" w14:textId="77777777" w:rsidR="00992B5B" w:rsidRDefault="00992B5B" w:rsidP="0051352E">
      <w:pPr>
        <w:spacing w:after="0" w:line="240" w:lineRule="auto"/>
      </w:pPr>
      <w:r>
        <w:continuationSeparator/>
      </w:r>
    </w:p>
  </w:footnote>
  <w:footnote w:type="continuationNotice" w:id="1">
    <w:p w14:paraId="6CA2EE7D" w14:textId="77777777" w:rsidR="00992B5B" w:rsidRDefault="00992B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F9FBB"/>
    <w:multiLevelType w:val="multilevel"/>
    <w:tmpl w:val="5B94A06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5CF4BC2"/>
    <w:multiLevelType w:val="hybridMultilevel"/>
    <w:tmpl w:val="2EE0A4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FE4596"/>
    <w:multiLevelType w:val="hybridMultilevel"/>
    <w:tmpl w:val="A0F8C5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CB6176"/>
    <w:multiLevelType w:val="hybridMultilevel"/>
    <w:tmpl w:val="00AC3E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9AA60E5"/>
    <w:multiLevelType w:val="hybridMultilevel"/>
    <w:tmpl w:val="E0EEC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1761C"/>
    <w:multiLevelType w:val="hybridMultilevel"/>
    <w:tmpl w:val="81A664DC"/>
    <w:lvl w:ilvl="0" w:tplc="D7903E5E">
      <w:start w:val="1"/>
      <w:numFmt w:val="decimal"/>
      <w:lvlText w:val="%1."/>
      <w:lvlJc w:val="left"/>
      <w:pPr>
        <w:ind w:left="360" w:hanging="360"/>
      </w:pPr>
      <w:rPr>
        <w:b/>
        <w:bCs/>
        <w:color w:val="40424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F1365A"/>
    <w:multiLevelType w:val="hybridMultilevel"/>
    <w:tmpl w:val="564C0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C293E"/>
    <w:multiLevelType w:val="hybridMultilevel"/>
    <w:tmpl w:val="F29497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AD2734"/>
    <w:multiLevelType w:val="hybridMultilevel"/>
    <w:tmpl w:val="55D89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74EB2"/>
    <w:multiLevelType w:val="hybridMultilevel"/>
    <w:tmpl w:val="9E384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30658"/>
    <w:multiLevelType w:val="hybridMultilevel"/>
    <w:tmpl w:val="608C76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424F6B"/>
    <w:multiLevelType w:val="hybridMultilevel"/>
    <w:tmpl w:val="1C786E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F5ACF2"/>
    <w:multiLevelType w:val="hybridMultilevel"/>
    <w:tmpl w:val="FFFFFFFF"/>
    <w:lvl w:ilvl="0" w:tplc="2ABCCF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F89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CA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AE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4D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EE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CC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82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E6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45E5D"/>
    <w:multiLevelType w:val="hybridMultilevel"/>
    <w:tmpl w:val="A5F67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293703">
    <w:abstractNumId w:val="25"/>
  </w:num>
  <w:num w:numId="2" w16cid:durableId="78337555">
    <w:abstractNumId w:val="10"/>
  </w:num>
  <w:num w:numId="3" w16cid:durableId="960846514">
    <w:abstractNumId w:val="9"/>
  </w:num>
  <w:num w:numId="4" w16cid:durableId="18510268">
    <w:abstractNumId w:val="7"/>
  </w:num>
  <w:num w:numId="5" w16cid:durableId="614992433">
    <w:abstractNumId w:val="6"/>
  </w:num>
  <w:num w:numId="6" w16cid:durableId="1476222053">
    <w:abstractNumId w:val="5"/>
  </w:num>
  <w:num w:numId="7" w16cid:durableId="670714429">
    <w:abstractNumId w:val="4"/>
  </w:num>
  <w:num w:numId="8" w16cid:durableId="1780024286">
    <w:abstractNumId w:val="8"/>
  </w:num>
  <w:num w:numId="9" w16cid:durableId="1930963737">
    <w:abstractNumId w:val="3"/>
  </w:num>
  <w:num w:numId="10" w16cid:durableId="570895671">
    <w:abstractNumId w:val="2"/>
  </w:num>
  <w:num w:numId="11" w16cid:durableId="1779181761">
    <w:abstractNumId w:val="1"/>
  </w:num>
  <w:num w:numId="12" w16cid:durableId="510294770">
    <w:abstractNumId w:val="0"/>
  </w:num>
  <w:num w:numId="13" w16cid:durableId="993876545">
    <w:abstractNumId w:val="11"/>
  </w:num>
  <w:num w:numId="14" w16cid:durableId="1386181724">
    <w:abstractNumId w:val="14"/>
  </w:num>
  <w:num w:numId="15" w16cid:durableId="1053576547">
    <w:abstractNumId w:val="16"/>
  </w:num>
  <w:num w:numId="16" w16cid:durableId="942569852">
    <w:abstractNumId w:val="21"/>
  </w:num>
  <w:num w:numId="17" w16cid:durableId="895355791">
    <w:abstractNumId w:val="15"/>
  </w:num>
  <w:num w:numId="18" w16cid:durableId="2103182762">
    <w:abstractNumId w:val="18"/>
  </w:num>
  <w:num w:numId="19" w16cid:durableId="1686706186">
    <w:abstractNumId w:val="23"/>
  </w:num>
  <w:num w:numId="20" w16cid:durableId="238905634">
    <w:abstractNumId w:val="12"/>
  </w:num>
  <w:num w:numId="21" w16cid:durableId="2097626620">
    <w:abstractNumId w:val="13"/>
  </w:num>
  <w:num w:numId="22" w16cid:durableId="1957442952">
    <w:abstractNumId w:val="19"/>
  </w:num>
  <w:num w:numId="23" w16cid:durableId="661156517">
    <w:abstractNumId w:val="26"/>
  </w:num>
  <w:num w:numId="24" w16cid:durableId="319425999">
    <w:abstractNumId w:val="22"/>
  </w:num>
  <w:num w:numId="25" w16cid:durableId="1913664054">
    <w:abstractNumId w:val="24"/>
  </w:num>
  <w:num w:numId="26" w16cid:durableId="462816017">
    <w:abstractNumId w:val="20"/>
  </w:num>
  <w:num w:numId="27" w16cid:durableId="4726739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383D"/>
    <w:rsid w:val="00013DBE"/>
    <w:rsid w:val="000143FB"/>
    <w:rsid w:val="00014417"/>
    <w:rsid w:val="00025B3C"/>
    <w:rsid w:val="00033350"/>
    <w:rsid w:val="0003390A"/>
    <w:rsid w:val="00034728"/>
    <w:rsid w:val="00034D76"/>
    <w:rsid w:val="00036094"/>
    <w:rsid w:val="00050DE2"/>
    <w:rsid w:val="00050DF4"/>
    <w:rsid w:val="00052BBC"/>
    <w:rsid w:val="00053684"/>
    <w:rsid w:val="00054445"/>
    <w:rsid w:val="00063F0F"/>
    <w:rsid w:val="0006429B"/>
    <w:rsid w:val="00067075"/>
    <w:rsid w:val="000706B6"/>
    <w:rsid w:val="0007248B"/>
    <w:rsid w:val="00077686"/>
    <w:rsid w:val="00085A25"/>
    <w:rsid w:val="00087CE4"/>
    <w:rsid w:val="000915AE"/>
    <w:rsid w:val="00091B52"/>
    <w:rsid w:val="00091EC3"/>
    <w:rsid w:val="00092D61"/>
    <w:rsid w:val="00096658"/>
    <w:rsid w:val="00096AB7"/>
    <w:rsid w:val="00096E16"/>
    <w:rsid w:val="000A2F5A"/>
    <w:rsid w:val="000A3045"/>
    <w:rsid w:val="000A453D"/>
    <w:rsid w:val="000A731F"/>
    <w:rsid w:val="000C2558"/>
    <w:rsid w:val="000C5B19"/>
    <w:rsid w:val="000C7F40"/>
    <w:rsid w:val="000D0DCD"/>
    <w:rsid w:val="000D28AB"/>
    <w:rsid w:val="000D77E4"/>
    <w:rsid w:val="000E1F28"/>
    <w:rsid w:val="000E2E4E"/>
    <w:rsid w:val="000E3426"/>
    <w:rsid w:val="000E352B"/>
    <w:rsid w:val="000E3705"/>
    <w:rsid w:val="000E44EE"/>
    <w:rsid w:val="000E51BE"/>
    <w:rsid w:val="000F3271"/>
    <w:rsid w:val="000F5AEE"/>
    <w:rsid w:val="00101164"/>
    <w:rsid w:val="0010408C"/>
    <w:rsid w:val="00107A19"/>
    <w:rsid w:val="00111085"/>
    <w:rsid w:val="001113E1"/>
    <w:rsid w:val="0011379C"/>
    <w:rsid w:val="0011441D"/>
    <w:rsid w:val="0011459A"/>
    <w:rsid w:val="00116668"/>
    <w:rsid w:val="00120FF2"/>
    <w:rsid w:val="00125A4E"/>
    <w:rsid w:val="00126FA1"/>
    <w:rsid w:val="0012701F"/>
    <w:rsid w:val="00127E68"/>
    <w:rsid w:val="00135AD6"/>
    <w:rsid w:val="00135B0A"/>
    <w:rsid w:val="00137A6B"/>
    <w:rsid w:val="001424C7"/>
    <w:rsid w:val="00152436"/>
    <w:rsid w:val="00152CDF"/>
    <w:rsid w:val="001549E2"/>
    <w:rsid w:val="00157F35"/>
    <w:rsid w:val="0016213B"/>
    <w:rsid w:val="0016256B"/>
    <w:rsid w:val="001721B9"/>
    <w:rsid w:val="00174FCD"/>
    <w:rsid w:val="00176223"/>
    <w:rsid w:val="00177F99"/>
    <w:rsid w:val="00180922"/>
    <w:rsid w:val="00183F04"/>
    <w:rsid w:val="001840BE"/>
    <w:rsid w:val="00187662"/>
    <w:rsid w:val="00191F78"/>
    <w:rsid w:val="00192490"/>
    <w:rsid w:val="0019589D"/>
    <w:rsid w:val="00195F7B"/>
    <w:rsid w:val="001973C6"/>
    <w:rsid w:val="001975FC"/>
    <w:rsid w:val="0019781F"/>
    <w:rsid w:val="001A02BE"/>
    <w:rsid w:val="001B2F9A"/>
    <w:rsid w:val="001B4BC9"/>
    <w:rsid w:val="001B575F"/>
    <w:rsid w:val="001C0C78"/>
    <w:rsid w:val="001C3846"/>
    <w:rsid w:val="001C4894"/>
    <w:rsid w:val="001C5E27"/>
    <w:rsid w:val="001C61CC"/>
    <w:rsid w:val="001C70EF"/>
    <w:rsid w:val="001D3016"/>
    <w:rsid w:val="001E4DDC"/>
    <w:rsid w:val="001E697D"/>
    <w:rsid w:val="001E6EA4"/>
    <w:rsid w:val="001E75A0"/>
    <w:rsid w:val="001F02F8"/>
    <w:rsid w:val="001F0E7F"/>
    <w:rsid w:val="001F4415"/>
    <w:rsid w:val="00210020"/>
    <w:rsid w:val="00210CB8"/>
    <w:rsid w:val="002132FF"/>
    <w:rsid w:val="00217841"/>
    <w:rsid w:val="00217EAB"/>
    <w:rsid w:val="00222B78"/>
    <w:rsid w:val="0022498C"/>
    <w:rsid w:val="002254F2"/>
    <w:rsid w:val="00225663"/>
    <w:rsid w:val="0022626C"/>
    <w:rsid w:val="00226B89"/>
    <w:rsid w:val="00227679"/>
    <w:rsid w:val="002336B5"/>
    <w:rsid w:val="00233A4C"/>
    <w:rsid w:val="00235343"/>
    <w:rsid w:val="00235B92"/>
    <w:rsid w:val="00235BE3"/>
    <w:rsid w:val="00241DA9"/>
    <w:rsid w:val="00243F3C"/>
    <w:rsid w:val="00244E8A"/>
    <w:rsid w:val="002508F3"/>
    <w:rsid w:val="00250C13"/>
    <w:rsid w:val="00252133"/>
    <w:rsid w:val="002547E4"/>
    <w:rsid w:val="00256826"/>
    <w:rsid w:val="002568A9"/>
    <w:rsid w:val="00257A16"/>
    <w:rsid w:val="0026069C"/>
    <w:rsid w:val="00261EFC"/>
    <w:rsid w:val="002709FE"/>
    <w:rsid w:val="002724D0"/>
    <w:rsid w:val="00277039"/>
    <w:rsid w:val="00282E2B"/>
    <w:rsid w:val="00284BCA"/>
    <w:rsid w:val="0028512D"/>
    <w:rsid w:val="00294C1A"/>
    <w:rsid w:val="00295675"/>
    <w:rsid w:val="002959E5"/>
    <w:rsid w:val="002A0B78"/>
    <w:rsid w:val="002A214C"/>
    <w:rsid w:val="002A2C2B"/>
    <w:rsid w:val="002A3CE1"/>
    <w:rsid w:val="002A6BC3"/>
    <w:rsid w:val="002A7840"/>
    <w:rsid w:val="002B0C99"/>
    <w:rsid w:val="002B1CE5"/>
    <w:rsid w:val="002B33F3"/>
    <w:rsid w:val="002C2FF9"/>
    <w:rsid w:val="002C77FA"/>
    <w:rsid w:val="002D29A6"/>
    <w:rsid w:val="002D438F"/>
    <w:rsid w:val="002D5CBC"/>
    <w:rsid w:val="002D663A"/>
    <w:rsid w:val="002D70B4"/>
    <w:rsid w:val="002D7D8A"/>
    <w:rsid w:val="002E2179"/>
    <w:rsid w:val="002E4728"/>
    <w:rsid w:val="002E5AED"/>
    <w:rsid w:val="002E6D87"/>
    <w:rsid w:val="002F265C"/>
    <w:rsid w:val="002F2697"/>
    <w:rsid w:val="002F2F67"/>
    <w:rsid w:val="002F4DB3"/>
    <w:rsid w:val="00303D09"/>
    <w:rsid w:val="00317B42"/>
    <w:rsid w:val="003200C3"/>
    <w:rsid w:val="003214BF"/>
    <w:rsid w:val="00326DC6"/>
    <w:rsid w:val="00330115"/>
    <w:rsid w:val="003309FE"/>
    <w:rsid w:val="00331AEE"/>
    <w:rsid w:val="0033317A"/>
    <w:rsid w:val="00335A72"/>
    <w:rsid w:val="00344685"/>
    <w:rsid w:val="00350FFA"/>
    <w:rsid w:val="00353B11"/>
    <w:rsid w:val="00354F9D"/>
    <w:rsid w:val="00360B97"/>
    <w:rsid w:val="003613F6"/>
    <w:rsid w:val="00370228"/>
    <w:rsid w:val="0037351D"/>
    <w:rsid w:val="00380AD3"/>
    <w:rsid w:val="003820BD"/>
    <w:rsid w:val="00382F07"/>
    <w:rsid w:val="003923BE"/>
    <w:rsid w:val="00394BD7"/>
    <w:rsid w:val="003A13DC"/>
    <w:rsid w:val="003A2EFF"/>
    <w:rsid w:val="003A33A8"/>
    <w:rsid w:val="003A4E60"/>
    <w:rsid w:val="003A53A4"/>
    <w:rsid w:val="003A7852"/>
    <w:rsid w:val="003B0BD9"/>
    <w:rsid w:val="003B1114"/>
    <w:rsid w:val="003C0631"/>
    <w:rsid w:val="003C19C7"/>
    <w:rsid w:val="003C40BF"/>
    <w:rsid w:val="003C7B6F"/>
    <w:rsid w:val="003D0950"/>
    <w:rsid w:val="003D0DDA"/>
    <w:rsid w:val="003D11D0"/>
    <w:rsid w:val="003D2190"/>
    <w:rsid w:val="003D4EE5"/>
    <w:rsid w:val="003D4F4A"/>
    <w:rsid w:val="003D530C"/>
    <w:rsid w:val="003D6B47"/>
    <w:rsid w:val="003D7109"/>
    <w:rsid w:val="003E400F"/>
    <w:rsid w:val="003E45A9"/>
    <w:rsid w:val="003E54BF"/>
    <w:rsid w:val="003E5B8C"/>
    <w:rsid w:val="003E7100"/>
    <w:rsid w:val="003F6943"/>
    <w:rsid w:val="00402720"/>
    <w:rsid w:val="00403487"/>
    <w:rsid w:val="00406349"/>
    <w:rsid w:val="00406D2C"/>
    <w:rsid w:val="00412393"/>
    <w:rsid w:val="00414677"/>
    <w:rsid w:val="00415D66"/>
    <w:rsid w:val="00416EEE"/>
    <w:rsid w:val="00420675"/>
    <w:rsid w:val="00422604"/>
    <w:rsid w:val="00434A58"/>
    <w:rsid w:val="004374C3"/>
    <w:rsid w:val="004425D0"/>
    <w:rsid w:val="00443247"/>
    <w:rsid w:val="00444A99"/>
    <w:rsid w:val="00445EEB"/>
    <w:rsid w:val="00446512"/>
    <w:rsid w:val="00447E9D"/>
    <w:rsid w:val="00453C04"/>
    <w:rsid w:val="00454808"/>
    <w:rsid w:val="004633C5"/>
    <w:rsid w:val="00465E89"/>
    <w:rsid w:val="00466943"/>
    <w:rsid w:val="00471A71"/>
    <w:rsid w:val="00475FB2"/>
    <w:rsid w:val="00482801"/>
    <w:rsid w:val="004841A6"/>
    <w:rsid w:val="00486F47"/>
    <w:rsid w:val="00487C39"/>
    <w:rsid w:val="00496F10"/>
    <w:rsid w:val="00497764"/>
    <w:rsid w:val="004A067F"/>
    <w:rsid w:val="004B30E8"/>
    <w:rsid w:val="004B53AD"/>
    <w:rsid w:val="004C264E"/>
    <w:rsid w:val="004C35DD"/>
    <w:rsid w:val="004C3A73"/>
    <w:rsid w:val="004C4CAC"/>
    <w:rsid w:val="004C7E06"/>
    <w:rsid w:val="004D296A"/>
    <w:rsid w:val="004D4D70"/>
    <w:rsid w:val="004D5790"/>
    <w:rsid w:val="004D6A63"/>
    <w:rsid w:val="004D6F17"/>
    <w:rsid w:val="004D7CCC"/>
    <w:rsid w:val="004E20C1"/>
    <w:rsid w:val="004E2893"/>
    <w:rsid w:val="004F23EB"/>
    <w:rsid w:val="004F5C1B"/>
    <w:rsid w:val="004F65EC"/>
    <w:rsid w:val="00507B2E"/>
    <w:rsid w:val="005105FF"/>
    <w:rsid w:val="005112CF"/>
    <w:rsid w:val="00512A4D"/>
    <w:rsid w:val="0051352E"/>
    <w:rsid w:val="00515B3F"/>
    <w:rsid w:val="00517379"/>
    <w:rsid w:val="00517DA7"/>
    <w:rsid w:val="00517E8F"/>
    <w:rsid w:val="00520A33"/>
    <w:rsid w:val="00521626"/>
    <w:rsid w:val="00521B1D"/>
    <w:rsid w:val="0052453B"/>
    <w:rsid w:val="00524EA3"/>
    <w:rsid w:val="00526563"/>
    <w:rsid w:val="005271A2"/>
    <w:rsid w:val="005275A2"/>
    <w:rsid w:val="00527AE4"/>
    <w:rsid w:val="005309FD"/>
    <w:rsid w:val="005321C7"/>
    <w:rsid w:val="005333E4"/>
    <w:rsid w:val="00534DDF"/>
    <w:rsid w:val="005364DD"/>
    <w:rsid w:val="00541460"/>
    <w:rsid w:val="00541987"/>
    <w:rsid w:val="00542A89"/>
    <w:rsid w:val="00542BE3"/>
    <w:rsid w:val="00543320"/>
    <w:rsid w:val="00546CDC"/>
    <w:rsid w:val="00551F0C"/>
    <w:rsid w:val="00554766"/>
    <w:rsid w:val="00555126"/>
    <w:rsid w:val="0055561B"/>
    <w:rsid w:val="0055569D"/>
    <w:rsid w:val="00557A6A"/>
    <w:rsid w:val="00560446"/>
    <w:rsid w:val="0056068A"/>
    <w:rsid w:val="00561BE8"/>
    <w:rsid w:val="00566309"/>
    <w:rsid w:val="005723C9"/>
    <w:rsid w:val="005725B0"/>
    <w:rsid w:val="005728DE"/>
    <w:rsid w:val="00587FD7"/>
    <w:rsid w:val="00595B56"/>
    <w:rsid w:val="0059600B"/>
    <w:rsid w:val="005962E4"/>
    <w:rsid w:val="00596524"/>
    <w:rsid w:val="00596A88"/>
    <w:rsid w:val="005A0985"/>
    <w:rsid w:val="005A2F98"/>
    <w:rsid w:val="005A31D8"/>
    <w:rsid w:val="005A52D8"/>
    <w:rsid w:val="005A666C"/>
    <w:rsid w:val="005A689C"/>
    <w:rsid w:val="005A7F1C"/>
    <w:rsid w:val="005B11A5"/>
    <w:rsid w:val="005B2663"/>
    <w:rsid w:val="005B318B"/>
    <w:rsid w:val="005B7FC7"/>
    <w:rsid w:val="005C1979"/>
    <w:rsid w:val="005C30F1"/>
    <w:rsid w:val="005C394D"/>
    <w:rsid w:val="005C3D01"/>
    <w:rsid w:val="005C459B"/>
    <w:rsid w:val="005C6A4C"/>
    <w:rsid w:val="005D0A25"/>
    <w:rsid w:val="005D1380"/>
    <w:rsid w:val="005D3D97"/>
    <w:rsid w:val="005D7CE7"/>
    <w:rsid w:val="005E084D"/>
    <w:rsid w:val="005E143B"/>
    <w:rsid w:val="005E1EF9"/>
    <w:rsid w:val="005E5E05"/>
    <w:rsid w:val="005E71CD"/>
    <w:rsid w:val="005E7E93"/>
    <w:rsid w:val="00600798"/>
    <w:rsid w:val="00600E3C"/>
    <w:rsid w:val="00602AFA"/>
    <w:rsid w:val="00603329"/>
    <w:rsid w:val="00603EAF"/>
    <w:rsid w:val="0060639E"/>
    <w:rsid w:val="00610160"/>
    <w:rsid w:val="00610A38"/>
    <w:rsid w:val="0061458A"/>
    <w:rsid w:val="00615D1B"/>
    <w:rsid w:val="00622102"/>
    <w:rsid w:val="00622BA1"/>
    <w:rsid w:val="00623516"/>
    <w:rsid w:val="00624819"/>
    <w:rsid w:val="0062691E"/>
    <w:rsid w:val="00630DDF"/>
    <w:rsid w:val="006310A7"/>
    <w:rsid w:val="00631D4E"/>
    <w:rsid w:val="0063369A"/>
    <w:rsid w:val="00635D8E"/>
    <w:rsid w:val="00636CD9"/>
    <w:rsid w:val="0063712C"/>
    <w:rsid w:val="00641609"/>
    <w:rsid w:val="006443CB"/>
    <w:rsid w:val="006454D0"/>
    <w:rsid w:val="0065107E"/>
    <w:rsid w:val="00654660"/>
    <w:rsid w:val="00654FBD"/>
    <w:rsid w:val="006625E0"/>
    <w:rsid w:val="00662A42"/>
    <w:rsid w:val="00665F5B"/>
    <w:rsid w:val="0067014F"/>
    <w:rsid w:val="00671AAE"/>
    <w:rsid w:val="00673A8E"/>
    <w:rsid w:val="00673EB3"/>
    <w:rsid w:val="00675BF8"/>
    <w:rsid w:val="00693E54"/>
    <w:rsid w:val="006A2E79"/>
    <w:rsid w:val="006A594F"/>
    <w:rsid w:val="006A79EF"/>
    <w:rsid w:val="006B0B39"/>
    <w:rsid w:val="006B282B"/>
    <w:rsid w:val="006B5202"/>
    <w:rsid w:val="006C0ABF"/>
    <w:rsid w:val="006C2BD8"/>
    <w:rsid w:val="006D0122"/>
    <w:rsid w:val="006D154E"/>
    <w:rsid w:val="006D503F"/>
    <w:rsid w:val="006D6D60"/>
    <w:rsid w:val="006D7960"/>
    <w:rsid w:val="006D7FC1"/>
    <w:rsid w:val="006E0BF0"/>
    <w:rsid w:val="006E1ABD"/>
    <w:rsid w:val="006E2C83"/>
    <w:rsid w:val="006E3FAD"/>
    <w:rsid w:val="006E4656"/>
    <w:rsid w:val="006E5D6E"/>
    <w:rsid w:val="006E79CC"/>
    <w:rsid w:val="006F3863"/>
    <w:rsid w:val="006F3CC7"/>
    <w:rsid w:val="006F7C4B"/>
    <w:rsid w:val="00700174"/>
    <w:rsid w:val="00700D61"/>
    <w:rsid w:val="00704417"/>
    <w:rsid w:val="007068BF"/>
    <w:rsid w:val="00711007"/>
    <w:rsid w:val="0071423B"/>
    <w:rsid w:val="00714FEA"/>
    <w:rsid w:val="00721B03"/>
    <w:rsid w:val="00724E21"/>
    <w:rsid w:val="0072774E"/>
    <w:rsid w:val="0073676E"/>
    <w:rsid w:val="0074080B"/>
    <w:rsid w:val="00742A79"/>
    <w:rsid w:val="007431A2"/>
    <w:rsid w:val="0074593D"/>
    <w:rsid w:val="007477E5"/>
    <w:rsid w:val="00752703"/>
    <w:rsid w:val="007570DC"/>
    <w:rsid w:val="007659AB"/>
    <w:rsid w:val="007664CB"/>
    <w:rsid w:val="007669C9"/>
    <w:rsid w:val="007672B8"/>
    <w:rsid w:val="0077591A"/>
    <w:rsid w:val="00787CEC"/>
    <w:rsid w:val="0079100F"/>
    <w:rsid w:val="00792196"/>
    <w:rsid w:val="007A437D"/>
    <w:rsid w:val="007B0F0A"/>
    <w:rsid w:val="007B1ABA"/>
    <w:rsid w:val="007B1BEB"/>
    <w:rsid w:val="007B74C5"/>
    <w:rsid w:val="007C497B"/>
    <w:rsid w:val="007C6556"/>
    <w:rsid w:val="007D160C"/>
    <w:rsid w:val="007D669C"/>
    <w:rsid w:val="007E687A"/>
    <w:rsid w:val="007E7B02"/>
    <w:rsid w:val="007F1A59"/>
    <w:rsid w:val="007F24EB"/>
    <w:rsid w:val="007F47A3"/>
    <w:rsid w:val="0080196E"/>
    <w:rsid w:val="00805B15"/>
    <w:rsid w:val="00807CC6"/>
    <w:rsid w:val="00817BB5"/>
    <w:rsid w:val="00817DB8"/>
    <w:rsid w:val="00825139"/>
    <w:rsid w:val="00830314"/>
    <w:rsid w:val="0083083C"/>
    <w:rsid w:val="00832FE1"/>
    <w:rsid w:val="0083300D"/>
    <w:rsid w:val="008349D7"/>
    <w:rsid w:val="008406DD"/>
    <w:rsid w:val="00842C50"/>
    <w:rsid w:val="00842F98"/>
    <w:rsid w:val="00843736"/>
    <w:rsid w:val="00843800"/>
    <w:rsid w:val="00844174"/>
    <w:rsid w:val="008445CA"/>
    <w:rsid w:val="008507C1"/>
    <w:rsid w:val="00854587"/>
    <w:rsid w:val="00861934"/>
    <w:rsid w:val="0086320D"/>
    <w:rsid w:val="00865142"/>
    <w:rsid w:val="008724E4"/>
    <w:rsid w:val="00872B4F"/>
    <w:rsid w:val="008734F5"/>
    <w:rsid w:val="0087399E"/>
    <w:rsid w:val="00874D6A"/>
    <w:rsid w:val="00882A41"/>
    <w:rsid w:val="008858AA"/>
    <w:rsid w:val="00890C94"/>
    <w:rsid w:val="00891E22"/>
    <w:rsid w:val="008933C6"/>
    <w:rsid w:val="00896011"/>
    <w:rsid w:val="008A2F13"/>
    <w:rsid w:val="008A50DE"/>
    <w:rsid w:val="008A6FCD"/>
    <w:rsid w:val="008A73A6"/>
    <w:rsid w:val="008B0971"/>
    <w:rsid w:val="008B1403"/>
    <w:rsid w:val="008B3AC8"/>
    <w:rsid w:val="008B60EC"/>
    <w:rsid w:val="008C4AD0"/>
    <w:rsid w:val="008C67CC"/>
    <w:rsid w:val="008C7530"/>
    <w:rsid w:val="008C77EC"/>
    <w:rsid w:val="008C785A"/>
    <w:rsid w:val="008D085B"/>
    <w:rsid w:val="008D1117"/>
    <w:rsid w:val="008D2A74"/>
    <w:rsid w:val="008D5462"/>
    <w:rsid w:val="008E1F47"/>
    <w:rsid w:val="008E22BA"/>
    <w:rsid w:val="008E517F"/>
    <w:rsid w:val="008F004F"/>
    <w:rsid w:val="008F0AC9"/>
    <w:rsid w:val="008F19D2"/>
    <w:rsid w:val="008F249F"/>
    <w:rsid w:val="008F446B"/>
    <w:rsid w:val="008F54F4"/>
    <w:rsid w:val="00900F7F"/>
    <w:rsid w:val="0090191D"/>
    <w:rsid w:val="00902C65"/>
    <w:rsid w:val="009031EA"/>
    <w:rsid w:val="009128CD"/>
    <w:rsid w:val="009141AC"/>
    <w:rsid w:val="0091484E"/>
    <w:rsid w:val="00914B73"/>
    <w:rsid w:val="00915884"/>
    <w:rsid w:val="00921F3B"/>
    <w:rsid w:val="00923663"/>
    <w:rsid w:val="00925860"/>
    <w:rsid w:val="00931FD0"/>
    <w:rsid w:val="009322DB"/>
    <w:rsid w:val="0093473D"/>
    <w:rsid w:val="00941104"/>
    <w:rsid w:val="00942F2E"/>
    <w:rsid w:val="00943B4E"/>
    <w:rsid w:val="0094478B"/>
    <w:rsid w:val="00944ECC"/>
    <w:rsid w:val="00945411"/>
    <w:rsid w:val="00961667"/>
    <w:rsid w:val="009656AC"/>
    <w:rsid w:val="00965BDB"/>
    <w:rsid w:val="009671BB"/>
    <w:rsid w:val="009712DF"/>
    <w:rsid w:val="00972444"/>
    <w:rsid w:val="00972F57"/>
    <w:rsid w:val="009746D8"/>
    <w:rsid w:val="00981284"/>
    <w:rsid w:val="009812DE"/>
    <w:rsid w:val="00981AA0"/>
    <w:rsid w:val="00982832"/>
    <w:rsid w:val="00982DA2"/>
    <w:rsid w:val="00982F87"/>
    <w:rsid w:val="00991840"/>
    <w:rsid w:val="00992B5B"/>
    <w:rsid w:val="00992D99"/>
    <w:rsid w:val="009942C5"/>
    <w:rsid w:val="00995280"/>
    <w:rsid w:val="009959C6"/>
    <w:rsid w:val="009A23D9"/>
    <w:rsid w:val="009A5E74"/>
    <w:rsid w:val="009B2B15"/>
    <w:rsid w:val="009B31AE"/>
    <w:rsid w:val="009B5B11"/>
    <w:rsid w:val="009B6C4B"/>
    <w:rsid w:val="009B70D9"/>
    <w:rsid w:val="009C00C5"/>
    <w:rsid w:val="009C3340"/>
    <w:rsid w:val="009C68D0"/>
    <w:rsid w:val="009C7D5B"/>
    <w:rsid w:val="009D1844"/>
    <w:rsid w:val="009E0920"/>
    <w:rsid w:val="009E10A1"/>
    <w:rsid w:val="009E128C"/>
    <w:rsid w:val="009E17AD"/>
    <w:rsid w:val="009E2B16"/>
    <w:rsid w:val="009E341C"/>
    <w:rsid w:val="009E47A5"/>
    <w:rsid w:val="009E546D"/>
    <w:rsid w:val="009F0D6A"/>
    <w:rsid w:val="009F2395"/>
    <w:rsid w:val="009F428E"/>
    <w:rsid w:val="009F4DD6"/>
    <w:rsid w:val="00A149B5"/>
    <w:rsid w:val="00A15A79"/>
    <w:rsid w:val="00A16CA0"/>
    <w:rsid w:val="00A249F9"/>
    <w:rsid w:val="00A24E6E"/>
    <w:rsid w:val="00A278A7"/>
    <w:rsid w:val="00A31DC0"/>
    <w:rsid w:val="00A3539B"/>
    <w:rsid w:val="00A36853"/>
    <w:rsid w:val="00A373FE"/>
    <w:rsid w:val="00A41C20"/>
    <w:rsid w:val="00A42CF5"/>
    <w:rsid w:val="00A43694"/>
    <w:rsid w:val="00A4403A"/>
    <w:rsid w:val="00A443C3"/>
    <w:rsid w:val="00A500F5"/>
    <w:rsid w:val="00A562D4"/>
    <w:rsid w:val="00A56FC7"/>
    <w:rsid w:val="00A579CD"/>
    <w:rsid w:val="00A60082"/>
    <w:rsid w:val="00A600E0"/>
    <w:rsid w:val="00A63088"/>
    <w:rsid w:val="00A63A1D"/>
    <w:rsid w:val="00A66889"/>
    <w:rsid w:val="00A668BF"/>
    <w:rsid w:val="00A66CE2"/>
    <w:rsid w:val="00A66D98"/>
    <w:rsid w:val="00A719D6"/>
    <w:rsid w:val="00A72575"/>
    <w:rsid w:val="00A74071"/>
    <w:rsid w:val="00A754E4"/>
    <w:rsid w:val="00A757B7"/>
    <w:rsid w:val="00A77136"/>
    <w:rsid w:val="00A773E4"/>
    <w:rsid w:val="00A775F4"/>
    <w:rsid w:val="00A77C7B"/>
    <w:rsid w:val="00A824FD"/>
    <w:rsid w:val="00A83159"/>
    <w:rsid w:val="00A84846"/>
    <w:rsid w:val="00A90D05"/>
    <w:rsid w:val="00A91964"/>
    <w:rsid w:val="00A95543"/>
    <w:rsid w:val="00A970D6"/>
    <w:rsid w:val="00AA124A"/>
    <w:rsid w:val="00AA12FB"/>
    <w:rsid w:val="00AA2A96"/>
    <w:rsid w:val="00AA2D16"/>
    <w:rsid w:val="00AA4396"/>
    <w:rsid w:val="00AB0FFD"/>
    <w:rsid w:val="00AB3055"/>
    <w:rsid w:val="00AB34B2"/>
    <w:rsid w:val="00AB361D"/>
    <w:rsid w:val="00AB4958"/>
    <w:rsid w:val="00AB7E00"/>
    <w:rsid w:val="00AC6453"/>
    <w:rsid w:val="00AC72BC"/>
    <w:rsid w:val="00AC79AC"/>
    <w:rsid w:val="00AD5210"/>
    <w:rsid w:val="00AD6A05"/>
    <w:rsid w:val="00AE118A"/>
    <w:rsid w:val="00AE3C7E"/>
    <w:rsid w:val="00AE47CB"/>
    <w:rsid w:val="00AE508B"/>
    <w:rsid w:val="00AE589A"/>
    <w:rsid w:val="00AE6AFD"/>
    <w:rsid w:val="00AF0434"/>
    <w:rsid w:val="00AF305A"/>
    <w:rsid w:val="00AF3B1C"/>
    <w:rsid w:val="00AF539B"/>
    <w:rsid w:val="00AF6B85"/>
    <w:rsid w:val="00B02BAC"/>
    <w:rsid w:val="00B04230"/>
    <w:rsid w:val="00B100CC"/>
    <w:rsid w:val="00B131DF"/>
    <w:rsid w:val="00B14D77"/>
    <w:rsid w:val="00B157EF"/>
    <w:rsid w:val="00B16E61"/>
    <w:rsid w:val="00B17096"/>
    <w:rsid w:val="00B21113"/>
    <w:rsid w:val="00B25D0E"/>
    <w:rsid w:val="00B26B17"/>
    <w:rsid w:val="00B3054A"/>
    <w:rsid w:val="00B3097B"/>
    <w:rsid w:val="00B335A1"/>
    <w:rsid w:val="00B35E8E"/>
    <w:rsid w:val="00B4136B"/>
    <w:rsid w:val="00B42C72"/>
    <w:rsid w:val="00B44CC3"/>
    <w:rsid w:val="00B456C5"/>
    <w:rsid w:val="00B51B28"/>
    <w:rsid w:val="00B527F3"/>
    <w:rsid w:val="00B606B4"/>
    <w:rsid w:val="00B6689D"/>
    <w:rsid w:val="00B67A69"/>
    <w:rsid w:val="00B72368"/>
    <w:rsid w:val="00B75072"/>
    <w:rsid w:val="00B7612B"/>
    <w:rsid w:val="00B93F29"/>
    <w:rsid w:val="00B96558"/>
    <w:rsid w:val="00BA3DB2"/>
    <w:rsid w:val="00BA4279"/>
    <w:rsid w:val="00BA640B"/>
    <w:rsid w:val="00BB022D"/>
    <w:rsid w:val="00BB2422"/>
    <w:rsid w:val="00BB4001"/>
    <w:rsid w:val="00BB4FE1"/>
    <w:rsid w:val="00BC01B2"/>
    <w:rsid w:val="00BC08B6"/>
    <w:rsid w:val="00BC1155"/>
    <w:rsid w:val="00BC3539"/>
    <w:rsid w:val="00BC3FFC"/>
    <w:rsid w:val="00BC4F54"/>
    <w:rsid w:val="00BC6CE6"/>
    <w:rsid w:val="00BD596F"/>
    <w:rsid w:val="00BD5CE8"/>
    <w:rsid w:val="00BD5F8B"/>
    <w:rsid w:val="00BD65A5"/>
    <w:rsid w:val="00BD79BA"/>
    <w:rsid w:val="00BE2ED2"/>
    <w:rsid w:val="00BE3BF0"/>
    <w:rsid w:val="00BE5994"/>
    <w:rsid w:val="00BE6F04"/>
    <w:rsid w:val="00BF6C9C"/>
    <w:rsid w:val="00C01862"/>
    <w:rsid w:val="00C0279F"/>
    <w:rsid w:val="00C04CC8"/>
    <w:rsid w:val="00C07AD0"/>
    <w:rsid w:val="00C1295B"/>
    <w:rsid w:val="00C16D1D"/>
    <w:rsid w:val="00C2153B"/>
    <w:rsid w:val="00C237DA"/>
    <w:rsid w:val="00C24FED"/>
    <w:rsid w:val="00C31E85"/>
    <w:rsid w:val="00C3783F"/>
    <w:rsid w:val="00C40191"/>
    <w:rsid w:val="00C40253"/>
    <w:rsid w:val="00C44F57"/>
    <w:rsid w:val="00C529D6"/>
    <w:rsid w:val="00C53F30"/>
    <w:rsid w:val="00C54D58"/>
    <w:rsid w:val="00C55753"/>
    <w:rsid w:val="00C5657C"/>
    <w:rsid w:val="00C573E1"/>
    <w:rsid w:val="00C60222"/>
    <w:rsid w:val="00C620C4"/>
    <w:rsid w:val="00C6536A"/>
    <w:rsid w:val="00C65700"/>
    <w:rsid w:val="00C672CE"/>
    <w:rsid w:val="00C732E9"/>
    <w:rsid w:val="00C736D3"/>
    <w:rsid w:val="00C77420"/>
    <w:rsid w:val="00C82CB9"/>
    <w:rsid w:val="00C84667"/>
    <w:rsid w:val="00C846C2"/>
    <w:rsid w:val="00C907FE"/>
    <w:rsid w:val="00C93CC8"/>
    <w:rsid w:val="00C95667"/>
    <w:rsid w:val="00C95DF6"/>
    <w:rsid w:val="00C96405"/>
    <w:rsid w:val="00CA09DD"/>
    <w:rsid w:val="00CA0A24"/>
    <w:rsid w:val="00CA0EDD"/>
    <w:rsid w:val="00CA2B1A"/>
    <w:rsid w:val="00CA2B53"/>
    <w:rsid w:val="00CA2F09"/>
    <w:rsid w:val="00CA33AD"/>
    <w:rsid w:val="00CA72B3"/>
    <w:rsid w:val="00CA76CA"/>
    <w:rsid w:val="00CB18E3"/>
    <w:rsid w:val="00CC202E"/>
    <w:rsid w:val="00CC3BA4"/>
    <w:rsid w:val="00CC5A11"/>
    <w:rsid w:val="00CC65D6"/>
    <w:rsid w:val="00CD21AC"/>
    <w:rsid w:val="00CD315F"/>
    <w:rsid w:val="00CD3506"/>
    <w:rsid w:val="00CD6D2B"/>
    <w:rsid w:val="00CE43CD"/>
    <w:rsid w:val="00CF1CB0"/>
    <w:rsid w:val="00CF4595"/>
    <w:rsid w:val="00CF4837"/>
    <w:rsid w:val="00CF4845"/>
    <w:rsid w:val="00CF4FFB"/>
    <w:rsid w:val="00CF6194"/>
    <w:rsid w:val="00CF6831"/>
    <w:rsid w:val="00CF7B06"/>
    <w:rsid w:val="00D1152C"/>
    <w:rsid w:val="00D21AA4"/>
    <w:rsid w:val="00D27C3E"/>
    <w:rsid w:val="00D303F4"/>
    <w:rsid w:val="00D331D4"/>
    <w:rsid w:val="00D33288"/>
    <w:rsid w:val="00D332B2"/>
    <w:rsid w:val="00D4569C"/>
    <w:rsid w:val="00D51962"/>
    <w:rsid w:val="00D5230D"/>
    <w:rsid w:val="00D5392B"/>
    <w:rsid w:val="00D53F30"/>
    <w:rsid w:val="00D57889"/>
    <w:rsid w:val="00D579F8"/>
    <w:rsid w:val="00D60748"/>
    <w:rsid w:val="00D62D8B"/>
    <w:rsid w:val="00D6400F"/>
    <w:rsid w:val="00D66EBD"/>
    <w:rsid w:val="00D67DAC"/>
    <w:rsid w:val="00D719C8"/>
    <w:rsid w:val="00D741C0"/>
    <w:rsid w:val="00D75AFC"/>
    <w:rsid w:val="00D80173"/>
    <w:rsid w:val="00D8104A"/>
    <w:rsid w:val="00D81730"/>
    <w:rsid w:val="00D82AB3"/>
    <w:rsid w:val="00D8311A"/>
    <w:rsid w:val="00D900AD"/>
    <w:rsid w:val="00D91EEB"/>
    <w:rsid w:val="00D925E2"/>
    <w:rsid w:val="00D975C6"/>
    <w:rsid w:val="00DA164F"/>
    <w:rsid w:val="00DA1B7B"/>
    <w:rsid w:val="00DA215B"/>
    <w:rsid w:val="00DA54D1"/>
    <w:rsid w:val="00DA5DC7"/>
    <w:rsid w:val="00DB2CED"/>
    <w:rsid w:val="00DB79DF"/>
    <w:rsid w:val="00DC00DE"/>
    <w:rsid w:val="00DD00D6"/>
    <w:rsid w:val="00DD11BB"/>
    <w:rsid w:val="00DD21F7"/>
    <w:rsid w:val="00DE0075"/>
    <w:rsid w:val="00DE0402"/>
    <w:rsid w:val="00DE0B7C"/>
    <w:rsid w:val="00DE236E"/>
    <w:rsid w:val="00DE4CB2"/>
    <w:rsid w:val="00DF15CC"/>
    <w:rsid w:val="00DF343A"/>
    <w:rsid w:val="00DF53FF"/>
    <w:rsid w:val="00DF7CB9"/>
    <w:rsid w:val="00E02099"/>
    <w:rsid w:val="00E02ACD"/>
    <w:rsid w:val="00E05BEA"/>
    <w:rsid w:val="00E145CE"/>
    <w:rsid w:val="00E22C4A"/>
    <w:rsid w:val="00E25A56"/>
    <w:rsid w:val="00E26103"/>
    <w:rsid w:val="00E263CB"/>
    <w:rsid w:val="00E335D1"/>
    <w:rsid w:val="00E35FE7"/>
    <w:rsid w:val="00E363DB"/>
    <w:rsid w:val="00E36EF8"/>
    <w:rsid w:val="00E37326"/>
    <w:rsid w:val="00E3760E"/>
    <w:rsid w:val="00E415DB"/>
    <w:rsid w:val="00E44792"/>
    <w:rsid w:val="00E45CB5"/>
    <w:rsid w:val="00E51AED"/>
    <w:rsid w:val="00E53D0C"/>
    <w:rsid w:val="00E54B23"/>
    <w:rsid w:val="00E56621"/>
    <w:rsid w:val="00E568FC"/>
    <w:rsid w:val="00E57783"/>
    <w:rsid w:val="00E624CF"/>
    <w:rsid w:val="00E65AAB"/>
    <w:rsid w:val="00E66085"/>
    <w:rsid w:val="00E67289"/>
    <w:rsid w:val="00E72D5B"/>
    <w:rsid w:val="00E77432"/>
    <w:rsid w:val="00E90903"/>
    <w:rsid w:val="00E9665C"/>
    <w:rsid w:val="00E978A2"/>
    <w:rsid w:val="00EA0907"/>
    <w:rsid w:val="00EA17D5"/>
    <w:rsid w:val="00EA32F7"/>
    <w:rsid w:val="00EA56C4"/>
    <w:rsid w:val="00EA70D3"/>
    <w:rsid w:val="00EB0A75"/>
    <w:rsid w:val="00EB1822"/>
    <w:rsid w:val="00EC48B8"/>
    <w:rsid w:val="00EC52F8"/>
    <w:rsid w:val="00EC692E"/>
    <w:rsid w:val="00EC6A53"/>
    <w:rsid w:val="00EC72F0"/>
    <w:rsid w:val="00EC7FB8"/>
    <w:rsid w:val="00ED030A"/>
    <w:rsid w:val="00ED4191"/>
    <w:rsid w:val="00ED4C6C"/>
    <w:rsid w:val="00ED7C09"/>
    <w:rsid w:val="00EE5EEB"/>
    <w:rsid w:val="00EF1762"/>
    <w:rsid w:val="00EF271E"/>
    <w:rsid w:val="00EF2A8B"/>
    <w:rsid w:val="00F00DFD"/>
    <w:rsid w:val="00F05016"/>
    <w:rsid w:val="00F11257"/>
    <w:rsid w:val="00F11553"/>
    <w:rsid w:val="00F12714"/>
    <w:rsid w:val="00F136D2"/>
    <w:rsid w:val="00F147F3"/>
    <w:rsid w:val="00F1480F"/>
    <w:rsid w:val="00F21B7F"/>
    <w:rsid w:val="00F230CD"/>
    <w:rsid w:val="00F2470A"/>
    <w:rsid w:val="00F30F35"/>
    <w:rsid w:val="00F322B8"/>
    <w:rsid w:val="00F32954"/>
    <w:rsid w:val="00F4021F"/>
    <w:rsid w:val="00F40A12"/>
    <w:rsid w:val="00F4151B"/>
    <w:rsid w:val="00F4170E"/>
    <w:rsid w:val="00F43BD7"/>
    <w:rsid w:val="00F45FEA"/>
    <w:rsid w:val="00F5179C"/>
    <w:rsid w:val="00F518CD"/>
    <w:rsid w:val="00F51BD7"/>
    <w:rsid w:val="00F51C18"/>
    <w:rsid w:val="00F57044"/>
    <w:rsid w:val="00F620AF"/>
    <w:rsid w:val="00F62FD7"/>
    <w:rsid w:val="00F70C25"/>
    <w:rsid w:val="00F727AA"/>
    <w:rsid w:val="00F73EC3"/>
    <w:rsid w:val="00F76EC2"/>
    <w:rsid w:val="00F776F2"/>
    <w:rsid w:val="00F8094A"/>
    <w:rsid w:val="00F8117B"/>
    <w:rsid w:val="00F82580"/>
    <w:rsid w:val="00F84216"/>
    <w:rsid w:val="00F84B68"/>
    <w:rsid w:val="00F87AB0"/>
    <w:rsid w:val="00F87D67"/>
    <w:rsid w:val="00F900DC"/>
    <w:rsid w:val="00F91169"/>
    <w:rsid w:val="00F96049"/>
    <w:rsid w:val="00F97B37"/>
    <w:rsid w:val="00FA31E2"/>
    <w:rsid w:val="00FA5813"/>
    <w:rsid w:val="00FA63FB"/>
    <w:rsid w:val="00FA7752"/>
    <w:rsid w:val="00FB6477"/>
    <w:rsid w:val="00FB73C3"/>
    <w:rsid w:val="00FC0FAA"/>
    <w:rsid w:val="00FC118F"/>
    <w:rsid w:val="00FC2611"/>
    <w:rsid w:val="00FC761C"/>
    <w:rsid w:val="00FD74F4"/>
    <w:rsid w:val="00FE0920"/>
    <w:rsid w:val="00FE2D16"/>
    <w:rsid w:val="00FF070B"/>
    <w:rsid w:val="00FF3203"/>
    <w:rsid w:val="00FF5B70"/>
    <w:rsid w:val="00FF5BB9"/>
    <w:rsid w:val="01EED28D"/>
    <w:rsid w:val="02B45832"/>
    <w:rsid w:val="02F29F8D"/>
    <w:rsid w:val="056C2C5F"/>
    <w:rsid w:val="05DEE77C"/>
    <w:rsid w:val="08D8EC8B"/>
    <w:rsid w:val="0A28C6E8"/>
    <w:rsid w:val="0A7D0C8D"/>
    <w:rsid w:val="0CEE36D1"/>
    <w:rsid w:val="0D9D4348"/>
    <w:rsid w:val="0E05FDD7"/>
    <w:rsid w:val="111FEF54"/>
    <w:rsid w:val="142EF833"/>
    <w:rsid w:val="14E397CE"/>
    <w:rsid w:val="16857A22"/>
    <w:rsid w:val="174496C7"/>
    <w:rsid w:val="188234A4"/>
    <w:rsid w:val="18A2193B"/>
    <w:rsid w:val="18F3CA56"/>
    <w:rsid w:val="18FD1F5F"/>
    <w:rsid w:val="1AF9CEBA"/>
    <w:rsid w:val="1D69604F"/>
    <w:rsid w:val="1EEA7241"/>
    <w:rsid w:val="2088B236"/>
    <w:rsid w:val="21A14DC3"/>
    <w:rsid w:val="22CA08A0"/>
    <w:rsid w:val="2312E1D7"/>
    <w:rsid w:val="23C15DBE"/>
    <w:rsid w:val="2A679B72"/>
    <w:rsid w:val="2AA197CA"/>
    <w:rsid w:val="2B4FB9E0"/>
    <w:rsid w:val="2B9EE950"/>
    <w:rsid w:val="2DE2B02A"/>
    <w:rsid w:val="300B0E56"/>
    <w:rsid w:val="31D5BD5F"/>
    <w:rsid w:val="3291653F"/>
    <w:rsid w:val="349123E5"/>
    <w:rsid w:val="382761B9"/>
    <w:rsid w:val="392C88E4"/>
    <w:rsid w:val="3B4B1027"/>
    <w:rsid w:val="3CC5FD48"/>
    <w:rsid w:val="3D058B61"/>
    <w:rsid w:val="403AC0B9"/>
    <w:rsid w:val="41AB930E"/>
    <w:rsid w:val="42DD683C"/>
    <w:rsid w:val="43938C0E"/>
    <w:rsid w:val="45A09C4F"/>
    <w:rsid w:val="4AB9A368"/>
    <w:rsid w:val="4D2A5A4C"/>
    <w:rsid w:val="4D59F992"/>
    <w:rsid w:val="4DFF07D8"/>
    <w:rsid w:val="506C0F3A"/>
    <w:rsid w:val="50E380D9"/>
    <w:rsid w:val="523F8EC0"/>
    <w:rsid w:val="526D1CA8"/>
    <w:rsid w:val="535115DA"/>
    <w:rsid w:val="53AE0666"/>
    <w:rsid w:val="56D7C987"/>
    <w:rsid w:val="584890F2"/>
    <w:rsid w:val="5AF45F0F"/>
    <w:rsid w:val="5CFDBBEE"/>
    <w:rsid w:val="64944C97"/>
    <w:rsid w:val="65611E1F"/>
    <w:rsid w:val="66BCF52D"/>
    <w:rsid w:val="67168CD6"/>
    <w:rsid w:val="673A13E0"/>
    <w:rsid w:val="683640D3"/>
    <w:rsid w:val="696F80DF"/>
    <w:rsid w:val="6AAF8023"/>
    <w:rsid w:val="6FF354E9"/>
    <w:rsid w:val="7031FBCC"/>
    <w:rsid w:val="70FC626A"/>
    <w:rsid w:val="71257C2B"/>
    <w:rsid w:val="7556E3E9"/>
    <w:rsid w:val="7640364A"/>
    <w:rsid w:val="77129529"/>
    <w:rsid w:val="786A5B30"/>
    <w:rsid w:val="79858532"/>
    <w:rsid w:val="79FEE895"/>
    <w:rsid w:val="7A05031C"/>
    <w:rsid w:val="7AD778DA"/>
    <w:rsid w:val="7B142F16"/>
    <w:rsid w:val="7BEF5301"/>
    <w:rsid w:val="7DD21543"/>
    <w:rsid w:val="7E0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30AEF1"/>
  <w14:defaultImageDpi w14:val="330"/>
  <w15:chartTrackingRefBased/>
  <w15:docId w15:val="{C136EF70-0CEF-4AC0-B708-6BDCE93C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Recommendation,List Paragraph1,List Paragraph11,Bullet point,List Paragraph Number,Bullet Point,L,Bullet points,Content descriptions,Use Case List Paragraph,List Paragraph - bullets,standard lewis,Numbered Para 1,Dot pt,No Spacing1,B1,列出段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3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4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5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Recommendation Char,List Paragraph1 Char,List Paragraph11 Char,Bullet point Char,List Paragraph Number Char,Bullet Point Char,L Char,Bullet points Char,Content descriptions Char,Use Case List Paragraph Char,standard lewis Char"/>
    <w:basedOn w:val="DefaultParagraphFont"/>
    <w:link w:val="ListParagraph"/>
    <w:uiPriority w:val="34"/>
    <w:qFormat/>
    <w:locked/>
    <w:rsid w:val="009C00C5"/>
  </w:style>
  <w:style w:type="paragraph" w:styleId="Revision">
    <w:name w:val="Revision"/>
    <w:hidden/>
    <w:uiPriority w:val="99"/>
    <w:semiHidden/>
    <w:rsid w:val="00C44F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0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54A"/>
    <w:rPr>
      <w:sz w:val="20"/>
      <w:szCs w:val="20"/>
    </w:rPr>
  </w:style>
  <w:style w:type="character" w:customStyle="1" w:styleId="normaltextrun">
    <w:name w:val="normaltextrun"/>
    <w:basedOn w:val="DefaultParagraphFont"/>
    <w:rsid w:val="00210020"/>
  </w:style>
  <w:style w:type="character" w:customStyle="1" w:styleId="eop">
    <w:name w:val="eop"/>
    <w:basedOn w:val="DefaultParagraphFont"/>
    <w:rsid w:val="00AE589A"/>
  </w:style>
  <w:style w:type="character" w:styleId="UnresolvedMention">
    <w:name w:val="Unresolved Mention"/>
    <w:basedOn w:val="DefaultParagraphFont"/>
    <w:uiPriority w:val="99"/>
    <w:semiHidden/>
    <w:unhideWhenUsed/>
    <w:rsid w:val="00E263C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90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D79BA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62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mailto:ASG@dewr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ewr.gov.au/australian-skills-guarante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025033DE46047828D88018635091B" ma:contentTypeVersion="24" ma:contentTypeDescription="Create a new document." ma:contentTypeScope="" ma:versionID="ca13587fbb33158ca6bf5f3e1733e807">
  <xsd:schema xmlns:xsd="http://www.w3.org/2001/XMLSchema" xmlns:xs="http://www.w3.org/2001/XMLSchema" xmlns:p="http://schemas.microsoft.com/office/2006/metadata/properties" xmlns:ns2="409f8594-b164-455e-aca0-53614ef5b7c1" xmlns:ns3="469d646d-0fe8-4876-8896-a85182c8c4b5" targetNamespace="http://schemas.microsoft.com/office/2006/metadata/properties" ma:root="true" ma:fieldsID="af56b4865b0ec5bca56831293e3504c1" ns2:_="" ns3:_="">
    <xsd:import namespace="409f8594-b164-455e-aca0-53614ef5b7c1"/>
    <xsd:import namespace="469d646d-0fe8-4876-8896-a85182c8c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ocation" minOccurs="0"/>
                <xsd:element ref="ns2:ac32b987-56ab-4177-9673-f26ed9159544CountryOrRegion" minOccurs="0"/>
                <xsd:element ref="ns2:ac32b987-56ab-4177-9673-f26ed9159544State" minOccurs="0"/>
                <xsd:element ref="ns2:ac32b987-56ab-4177-9673-f26ed9159544City" minOccurs="0"/>
                <xsd:element ref="ns2:ac32b987-56ab-4177-9673-f26ed9159544PostalCode" minOccurs="0"/>
                <xsd:element ref="ns2:ac32b987-56ab-4177-9673-f26ed9159544Street" minOccurs="0"/>
                <xsd:element ref="ns2:ac32b987-56ab-4177-9673-f26ed9159544GeoLoc" minOccurs="0"/>
                <xsd:element ref="ns2:ac32b987-56ab-4177-9673-f26ed9159544Disp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f8594-b164-455e-aca0-53614ef5b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ocation" ma:index="23" nillable="true" ma:displayName="Location" ma:format="Dropdown" ma:internalName="Location">
      <xsd:simpleType>
        <xsd:restriction base="dms:Unknown"/>
      </xsd:simpleType>
    </xsd:element>
    <xsd:element name="ac32b987-56ab-4177-9673-f26ed9159544CountryOrRegion" ma:index="24" nillable="true" ma:displayName="Location: Country/Region" ma:internalName="CountryOrRegion" ma:readOnly="true">
      <xsd:simpleType>
        <xsd:restriction base="dms:Text"/>
      </xsd:simpleType>
    </xsd:element>
    <xsd:element name="ac32b987-56ab-4177-9673-f26ed9159544State" ma:index="25" nillable="true" ma:displayName="Location: State" ma:internalName="State" ma:readOnly="true">
      <xsd:simpleType>
        <xsd:restriction base="dms:Text"/>
      </xsd:simpleType>
    </xsd:element>
    <xsd:element name="ac32b987-56ab-4177-9673-f26ed9159544City" ma:index="26" nillable="true" ma:displayName="Location: City" ma:internalName="City" ma:readOnly="true">
      <xsd:simpleType>
        <xsd:restriction base="dms:Text"/>
      </xsd:simpleType>
    </xsd:element>
    <xsd:element name="ac32b987-56ab-4177-9673-f26ed9159544PostalCode" ma:index="27" nillable="true" ma:displayName="Location: Postal Code" ma:internalName="PostalCode" ma:readOnly="true">
      <xsd:simpleType>
        <xsd:restriction base="dms:Text"/>
      </xsd:simpleType>
    </xsd:element>
    <xsd:element name="ac32b987-56ab-4177-9673-f26ed9159544Street" ma:index="28" nillable="true" ma:displayName="Location: Street" ma:internalName="Street" ma:readOnly="true">
      <xsd:simpleType>
        <xsd:restriction base="dms:Text"/>
      </xsd:simpleType>
    </xsd:element>
    <xsd:element name="ac32b987-56ab-4177-9673-f26ed9159544GeoLoc" ma:index="29" nillable="true" ma:displayName="Location: Coordinates" ma:internalName="GeoLoc" ma:readOnly="true">
      <xsd:simpleType>
        <xsd:restriction base="dms:Unknown"/>
      </xsd:simpleType>
    </xsd:element>
    <xsd:element name="ac32b987-56ab-4177-9673-f26ed9159544DispName" ma:index="30" nillable="true" ma:displayName="Location: Name" ma:internalName="DispName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d646d-0fe8-4876-8896-a85182c8c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4f870d-0731-45b1-afd8-7abc9af48d8f}" ma:internalName="TaxCatchAll" ma:showField="CatchAllData" ma:web="469d646d-0fe8-4876-8896-a85182c8c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9d646d-0fe8-4876-8896-a85182c8c4b5" xsi:nil="true"/>
    <Location xmlns="409f8594-b164-455e-aca0-53614ef5b7c1" xsi:nil="true"/>
    <lcf76f155ced4ddcb4097134ff3c332f xmlns="409f8594-b164-455e-aca0-53614ef5b7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3445A1-60E4-4967-9124-99CC264AA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f8594-b164-455e-aca0-53614ef5b7c1"/>
    <ds:schemaRef ds:uri="469d646d-0fe8-4876-8896-a85182c8c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409f8594-b164-455e-aca0-53614ef5b7c1"/>
    <ds:schemaRef ds:uri="http://purl.org/dc/elements/1.1/"/>
    <ds:schemaRef ds:uri="http://purl.org/dc/dcmitype/"/>
    <ds:schemaRef ds:uri="469d646d-0fe8-4876-8896-a85182c8c4b5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Links>
    <vt:vector size="12" baseType="variant">
      <vt:variant>
        <vt:i4>7143454</vt:i4>
      </vt:variant>
      <vt:variant>
        <vt:i4>0</vt:i4>
      </vt:variant>
      <vt:variant>
        <vt:i4>0</vt:i4>
      </vt:variant>
      <vt:variant>
        <vt:i4>5</vt:i4>
      </vt:variant>
      <vt:variant>
        <vt:lpwstr>mailto:ASG@dewr.gov.au</vt:lpwstr>
      </vt:variant>
      <vt:variant>
        <vt:lpwstr/>
      </vt:variant>
      <vt:variant>
        <vt:i4>4391034</vt:i4>
      </vt:variant>
      <vt:variant>
        <vt:i4>0</vt:i4>
      </vt:variant>
      <vt:variant>
        <vt:i4>0</vt:i4>
      </vt:variant>
      <vt:variant>
        <vt:i4>5</vt:i4>
      </vt:variant>
      <vt:variant>
        <vt:lpwstr>mailto:Rachel.Pearce@dewr.gov.au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Template</dc:title>
  <dc:subject/>
  <dc:creator>THOMAS,Taylor</dc:creator>
  <cp:keywords/>
  <dc:description/>
  <cp:lastModifiedBy>LODWICK,Harrison</cp:lastModifiedBy>
  <cp:revision>38</cp:revision>
  <cp:lastPrinted>2024-07-04T00:50:00Z</cp:lastPrinted>
  <dcterms:created xsi:type="dcterms:W3CDTF">2024-07-03T05:09:00Z</dcterms:created>
  <dcterms:modified xsi:type="dcterms:W3CDTF">2024-07-04T00:50:00Z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0x010100066025033DE46047828D88018635091B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