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54FC" w14:textId="479E1DE8" w:rsidR="00067075" w:rsidRDefault="00512AD6" w:rsidP="00E14881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22A518D" wp14:editId="747D62B9">
                <wp:simplePos x="0" y="0"/>
                <wp:positionH relativeFrom="margin">
                  <wp:posOffset>3188491</wp:posOffset>
                </wp:positionH>
                <wp:positionV relativeFrom="paragraph">
                  <wp:posOffset>89343</wp:posOffset>
                </wp:positionV>
                <wp:extent cx="3418936" cy="781050"/>
                <wp:effectExtent l="0" t="0" r="0" b="0"/>
                <wp:wrapNone/>
                <wp:docPr id="1829619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936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A23B9" w14:textId="1F5C4E40" w:rsidR="00512AD6" w:rsidRPr="00D86F50" w:rsidRDefault="00B124E5" w:rsidP="00512AD6">
                            <w:pPr>
                              <w:spacing w:line="240" w:lineRule="auto"/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>2023-</w:t>
                            </w:r>
                            <w:r w:rsidR="00B541BC" w:rsidRPr="00D86F50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24 </w:t>
                            </w:r>
                            <w:r w:rsidR="00512AD6" w:rsidRPr="00D86F50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>Gender Pay Gap Employ</w:t>
                            </w:r>
                            <w:r w:rsidR="00B541BC" w:rsidRPr="00D86F50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>er</w:t>
                            </w:r>
                            <w:r w:rsidR="00512AD6" w:rsidRPr="00D86F50">
                              <w:rPr>
                                <w:rFonts w:ascii="Montserrat" w:hAnsi="Montserra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51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1.05pt;margin-top:7.05pt;width:269.2pt;height:61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" filled="f" stroked="f" strokeweight=".5pt">
                <v:textbox>
                  <w:txbxContent>
                    <w:p w14:paraId="6E1A23B9" w14:textId="1F5C4E40" w:rsidR="00512AD6" w:rsidRPr="00D86F50" w:rsidRDefault="00B124E5" w:rsidP="00512AD6">
                      <w:pPr>
                        <w:spacing w:line="240" w:lineRule="auto"/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>2023-</w:t>
                      </w:r>
                      <w:r w:rsidR="00B541BC" w:rsidRPr="00D86F50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24 </w:t>
                      </w:r>
                      <w:r w:rsidR="00512AD6" w:rsidRPr="00D86F50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>Gender Pay Gap Employ</w:t>
                      </w:r>
                      <w:r w:rsidR="00B541BC" w:rsidRPr="00D86F50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>er</w:t>
                      </w:r>
                      <w:r w:rsidR="00512AD6" w:rsidRPr="00D86F50">
                        <w:rPr>
                          <w:rFonts w:ascii="Montserrat" w:hAnsi="Montserrat"/>
                          <w:color w:val="FFFFFF" w:themeColor="background1"/>
                          <w:sz w:val="40"/>
                          <w:szCs w:val="40"/>
                        </w:rPr>
                        <w:t xml:space="preserve"> Statement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66BB20F" wp14:editId="1EDDA585">
            <wp:simplePos x="0" y="0"/>
            <wp:positionH relativeFrom="page">
              <wp:align>left</wp:align>
            </wp:positionH>
            <wp:positionV relativeFrom="paragraph">
              <wp:posOffset>-540385</wp:posOffset>
            </wp:positionV>
            <wp:extent cx="7557454" cy="1857375"/>
            <wp:effectExtent l="0" t="0" r="571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454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>
        <w:rPr>
          <w:noProof/>
        </w:rPr>
        <w:drawing>
          <wp:inline distT="0" distB="0" distL="0" distR="0" wp14:anchorId="1C99412E" wp14:editId="5D98D270">
            <wp:extent cx="2789020" cy="850900"/>
            <wp:effectExtent l="0" t="0" r="0" b="635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320" cy="85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AFF25" w14:textId="1B60DE21" w:rsidR="00EC6A53" w:rsidRDefault="00EC6A53" w:rsidP="00512AD6">
      <w:pPr>
        <w:tabs>
          <w:tab w:val="left" w:pos="5955"/>
        </w:tabs>
        <w:spacing w:before="100" w:beforeAutospacing="1" w:after="0"/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1F4C227F" w14:textId="77777777" w:rsidR="00B541BC" w:rsidRDefault="00B541BC" w:rsidP="00B541BC">
      <w:pPr>
        <w:rPr>
          <w:rFonts w:ascii="Aptos" w:eastAsia="Aptos Display" w:hAnsi="Aptos" w:cs="Aptos Display"/>
          <w14:textOutline w14:w="0" w14:cap="flat" w14:cmpd="sng" w14:algn="ctr">
            <w14:noFill/>
            <w14:prstDash w14:val="solid"/>
            <w14:round/>
          </w14:textOutline>
        </w:rPr>
        <w:sectPr w:rsidR="00B541BC" w:rsidSect="00B541BC">
          <w:type w:val="continuous"/>
          <w:pgSz w:w="11906" w:h="16838"/>
          <w:pgMar w:top="1418" w:right="1418" w:bottom="1418" w:left="1418" w:header="0" w:footer="709" w:gutter="0"/>
          <w:cols w:space="708"/>
          <w:titlePg/>
          <w:docGrid w:linePitch="360"/>
        </w:sectPr>
      </w:pPr>
    </w:p>
    <w:p w14:paraId="282BC93B" w14:textId="77777777" w:rsidR="00B541BC" w:rsidRPr="00B541BC" w:rsidRDefault="00B541BC" w:rsidP="00B541BC"/>
    <w:p w14:paraId="244B6496" w14:textId="77777777" w:rsidR="00B541BC" w:rsidRDefault="00B541BC" w:rsidP="00B541BC">
      <w:pPr>
        <w:rPr>
          <w:rFonts w:ascii="Aptos" w:eastAsia="Aptos Display" w:hAnsi="Aptos" w:cs="Aptos Display"/>
          <w14:textOutline w14:w="0" w14:cap="flat" w14:cmpd="sng" w14:algn="ctr">
            <w14:noFill/>
            <w14:prstDash w14:val="solid"/>
            <w14:round/>
          </w14:textOutline>
        </w:rPr>
        <w:sectPr w:rsidR="00B541BC" w:rsidSect="00512AD6">
          <w:type w:val="continuous"/>
          <w:pgSz w:w="11906" w:h="16838"/>
          <w:pgMar w:top="1418" w:right="1418" w:bottom="1418" w:left="1418" w:header="0" w:footer="709" w:gutter="0"/>
          <w:cols w:num="2" w:space="708"/>
          <w:titlePg/>
          <w:docGrid w:linePitch="360"/>
        </w:sectPr>
      </w:pPr>
    </w:p>
    <w:p w14:paraId="7D705AD2" w14:textId="60BA8FA7" w:rsidR="00A31684" w:rsidRPr="002A7977" w:rsidRDefault="00B541BC" w:rsidP="00B541BC">
      <w:pPr>
        <w:jc w:val="center"/>
        <w:rPr>
          <w:rFonts w:ascii="Montserrat" w:eastAsia="Aptos Display" w:hAnsi="Montserrat" w:cs="Aptos Display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2A7977">
        <w:rPr>
          <w:rFonts w:ascii="Montserrat" w:eastAsia="Aptos Display" w:hAnsi="Montserrat" w:cs="Aptos Display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Our </w:t>
      </w:r>
      <w:r w:rsidR="00B124E5">
        <w:rPr>
          <w:rFonts w:ascii="Montserrat" w:eastAsia="Aptos Display" w:hAnsi="Montserrat" w:cs="Aptos Display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2023-</w:t>
      </w:r>
      <w:r w:rsidRPr="002A7977">
        <w:rPr>
          <w:rFonts w:ascii="Montserrat" w:eastAsia="Aptos Display" w:hAnsi="Montserrat" w:cs="Aptos Display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24 Gender Pay Gap Employer Statement</w:t>
      </w:r>
    </w:p>
    <w:p w14:paraId="72832D5D" w14:textId="77777777" w:rsidR="00725E9D" w:rsidRDefault="00725E9D" w:rsidP="00725E9D">
      <w:pPr>
        <w:spacing w:after="160" w:line="259" w:lineRule="auto"/>
        <w:contextualSpacing/>
        <w:rPr>
          <w:rFonts w:ascii="Aptos" w:hAnsi="Aptos"/>
        </w:rPr>
      </w:pPr>
      <w:r w:rsidRPr="00254F11">
        <w:rPr>
          <w:rFonts w:ascii="Aptos" w:hAnsi="Aptos"/>
        </w:rPr>
        <w:t>The department aims to set the standard, as a model employer, to attract, grow and retain a diverse and inclusive workforce that reflects the Australian community we serve.</w:t>
      </w:r>
    </w:p>
    <w:p w14:paraId="7E303529" w14:textId="77777777" w:rsidR="00753588" w:rsidRDefault="00753588" w:rsidP="00725E9D">
      <w:pPr>
        <w:spacing w:after="160" w:line="259" w:lineRule="auto"/>
        <w:contextualSpacing/>
        <w:rPr>
          <w:rFonts w:ascii="Aptos" w:hAnsi="Aptos"/>
        </w:rPr>
      </w:pPr>
    </w:p>
    <w:p w14:paraId="7BFF7B89" w14:textId="0AF35F7C" w:rsidR="00753588" w:rsidRDefault="00753588" w:rsidP="00725E9D">
      <w:pPr>
        <w:spacing w:after="160" w:line="259" w:lineRule="auto"/>
        <w:contextualSpacing/>
        <w:rPr>
          <w:rFonts w:ascii="Aptos" w:hAnsi="Aptos"/>
        </w:rPr>
      </w:pPr>
      <w:r>
        <w:rPr>
          <w:rFonts w:ascii="Aptos" w:hAnsi="Aptos"/>
        </w:rPr>
        <w:t>We are committed to gender equality and providing diverse and equal opportunities and outcomes for all genders.</w:t>
      </w:r>
    </w:p>
    <w:p w14:paraId="23645515" w14:textId="77777777" w:rsidR="00443F5C" w:rsidRDefault="00443F5C" w:rsidP="00725E9D">
      <w:pPr>
        <w:spacing w:after="160" w:line="259" w:lineRule="auto"/>
        <w:contextualSpacing/>
        <w:rPr>
          <w:rFonts w:ascii="Aptos" w:hAnsi="Aptos"/>
        </w:rPr>
      </w:pPr>
    </w:p>
    <w:p w14:paraId="1A57A611" w14:textId="77777777" w:rsidR="00443F5C" w:rsidRDefault="00443F5C" w:rsidP="00725E9D">
      <w:pPr>
        <w:spacing w:after="160" w:line="259" w:lineRule="auto"/>
        <w:contextualSpacing/>
        <w:rPr>
          <w:rFonts w:ascii="Aptos" w:hAnsi="Aptos"/>
        </w:rPr>
      </w:pPr>
      <w:r>
        <w:rPr>
          <w:rFonts w:ascii="Aptos" w:hAnsi="Aptos"/>
        </w:rPr>
        <w:t>Our workplace diversity program is established through our Diversity and Inclusion Action Plan. The plan identifies the priority actions that we are taking to foster a safe, fair and inclusive environment for everyone.</w:t>
      </w:r>
    </w:p>
    <w:p w14:paraId="5C262D4A" w14:textId="6D8E2893" w:rsidR="00B541BC" w:rsidRPr="00254F11" w:rsidRDefault="00B541BC" w:rsidP="00B541BC">
      <w:pPr>
        <w:rPr>
          <w:rFonts w:ascii="Aptos" w:eastAsia="Aptos Display" w:hAnsi="Aptos" w:cs="Aptos Display"/>
          <w14:textOutline w14:w="0" w14:cap="flat" w14:cmpd="sng" w14:algn="ctr">
            <w14:noFill/>
            <w14:prstDash w14:val="solid"/>
            <w14:round/>
          </w14:textOutline>
        </w:rPr>
      </w:pPr>
    </w:p>
    <w:p w14:paraId="617A2582" w14:textId="3E97BC9D" w:rsidR="008C71B4" w:rsidRPr="00254F11" w:rsidRDefault="001C60A2" w:rsidP="00B541BC">
      <w:pPr>
        <w:rPr>
          <w:rFonts w:ascii="Aptos" w:eastAsia="Aptos Display" w:hAnsi="Aptos" w:cs="Aptos Display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254F11">
        <w:rPr>
          <w:rFonts w:ascii="Aptos" w:eastAsia="Aptos Display" w:hAnsi="Aptos" w:cs="Aptos Display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Our Gender Profile</w:t>
      </w:r>
    </w:p>
    <w:p w14:paraId="3C455499" w14:textId="31D1A4E6" w:rsidR="002E0A67" w:rsidRPr="00254F11" w:rsidRDefault="002E0A67" w:rsidP="00B541BC">
      <w:pPr>
        <w:rPr>
          <w:rFonts w:ascii="Aptos" w:eastAsia="Aptos Display" w:hAnsi="Aptos" w:cs="Aptos Display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254F11">
        <w:rPr>
          <w:rFonts w:ascii="Aptos" w:eastAsia="Aptos Display" w:hAnsi="Aptos" w:cs="Aptos Display"/>
          <w:b/>
          <w:bCs/>
          <w14:textOutline w14:w="0" w14:cap="flat" w14:cmpd="sng" w14:algn="ctr">
            <w14:noFill/>
            <w14:prstDash w14:val="solid"/>
            <w14:round/>
          </w14:textOutline>
        </w:rPr>
        <w:t>Gender Pay Gap</w:t>
      </w:r>
    </w:p>
    <w:p w14:paraId="10C7E6F9" w14:textId="336497DE" w:rsidR="003E6FDD" w:rsidRDefault="00254F11" w:rsidP="00254F11">
      <w:pPr>
        <w:spacing w:after="160" w:line="259" w:lineRule="auto"/>
        <w:contextualSpacing/>
        <w:rPr>
          <w:rFonts w:ascii="Aptos" w:hAnsi="Aptos"/>
        </w:rPr>
      </w:pPr>
      <w:r w:rsidRPr="00254F11">
        <w:rPr>
          <w:rFonts w:ascii="Aptos" w:hAnsi="Aptos"/>
        </w:rPr>
        <w:t>On</w:t>
      </w:r>
      <w:r w:rsidR="0032326A" w:rsidRPr="00254F11">
        <w:rPr>
          <w:rFonts w:ascii="Aptos" w:hAnsi="Aptos"/>
        </w:rPr>
        <w:t xml:space="preserve"> 31 December 2023, </w:t>
      </w:r>
      <w:r w:rsidR="003E6FDD">
        <w:rPr>
          <w:rFonts w:ascii="Aptos" w:hAnsi="Aptos"/>
        </w:rPr>
        <w:t xml:space="preserve">our gender pay gap data </w:t>
      </w:r>
      <w:r w:rsidR="00F01D94">
        <w:rPr>
          <w:rFonts w:ascii="Aptos" w:hAnsi="Aptos"/>
        </w:rPr>
        <w:t>indicated</w:t>
      </w:r>
      <w:r w:rsidR="003E6FDD">
        <w:rPr>
          <w:rFonts w:ascii="Aptos" w:hAnsi="Aptos"/>
        </w:rPr>
        <w:t xml:space="preserve"> </w:t>
      </w:r>
      <w:r w:rsidR="004F00B3">
        <w:rPr>
          <w:rFonts w:ascii="Aptos" w:hAnsi="Aptos"/>
        </w:rPr>
        <w:t xml:space="preserve">the actions we have taken to address gender equity and equality have </w:t>
      </w:r>
      <w:r w:rsidR="00F01D94">
        <w:rPr>
          <w:rFonts w:ascii="Aptos" w:hAnsi="Aptos"/>
        </w:rPr>
        <w:t>made</w:t>
      </w:r>
      <w:r w:rsidR="004F00B3">
        <w:rPr>
          <w:rFonts w:ascii="Aptos" w:hAnsi="Aptos"/>
        </w:rPr>
        <w:t xml:space="preserve"> a significant impact on closing our gender pay gap. We have seen improvements from both the 2022 data </w:t>
      </w:r>
      <w:r w:rsidR="00E03C7A">
        <w:rPr>
          <w:rFonts w:ascii="Aptos" w:hAnsi="Aptos"/>
        </w:rPr>
        <w:t xml:space="preserve">and in comparison </w:t>
      </w:r>
      <w:r w:rsidR="004F00B3">
        <w:rPr>
          <w:rFonts w:ascii="Aptos" w:hAnsi="Aptos"/>
        </w:rPr>
        <w:t>to other public sector agencies.</w:t>
      </w:r>
    </w:p>
    <w:p w14:paraId="268A4A66" w14:textId="77777777" w:rsidR="004F00B3" w:rsidRDefault="004F00B3" w:rsidP="00254F11">
      <w:pPr>
        <w:spacing w:after="160" w:line="259" w:lineRule="auto"/>
        <w:contextualSpacing/>
        <w:rPr>
          <w:rFonts w:ascii="Aptos" w:hAnsi="Aptos"/>
        </w:rPr>
      </w:pPr>
    </w:p>
    <w:p w14:paraId="2E3FE9B1" w14:textId="3351A5FB" w:rsidR="004F00B3" w:rsidRDefault="004F00B3" w:rsidP="00254F11">
      <w:pPr>
        <w:spacing w:after="160" w:line="259" w:lineRule="auto"/>
        <w:contextualSpacing/>
        <w:rPr>
          <w:rFonts w:ascii="Aptos" w:hAnsi="Aptos"/>
        </w:rPr>
      </w:pPr>
      <w:r>
        <w:rPr>
          <w:rFonts w:ascii="Aptos" w:hAnsi="Aptos"/>
        </w:rPr>
        <w:t>The table below shows our 2023 gender gap pay results compared to our 2022 results and our 2023 comparison group (other public sector agencies).</w:t>
      </w:r>
    </w:p>
    <w:p w14:paraId="1B4E2425" w14:textId="77777777" w:rsidR="003E6FDD" w:rsidRDefault="003E6FDD" w:rsidP="00254F11">
      <w:pPr>
        <w:spacing w:after="160" w:line="259" w:lineRule="auto"/>
        <w:contextualSpacing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4F00B3" w14:paraId="3ED69A59" w14:textId="77777777" w:rsidTr="00E03C7A"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69EF8496" w14:textId="0AF36528" w:rsidR="004F00B3" w:rsidRPr="00B81BB6" w:rsidRDefault="00E03C7A" w:rsidP="00E03C7A">
            <w:pPr>
              <w:spacing w:after="160" w:line="259" w:lineRule="auto"/>
              <w:contextualSpacing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81BB6">
              <w:rPr>
                <w:rFonts w:ascii="Aptos" w:hAnsi="Aptos"/>
                <w:b/>
                <w:bCs/>
                <w:sz w:val="20"/>
                <w:szCs w:val="20"/>
              </w:rPr>
              <w:t>Gender Pay Gap Measure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24BE70A5" w14:textId="142144E7" w:rsidR="004F00B3" w:rsidRPr="00B81BB6" w:rsidRDefault="004F00B3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81BB6">
              <w:rPr>
                <w:rFonts w:ascii="Aptos" w:hAnsi="Aptos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38F430F9" w14:textId="719B2E59" w:rsidR="004F00B3" w:rsidRPr="00B81BB6" w:rsidRDefault="004F00B3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81BB6">
              <w:rPr>
                <w:rFonts w:ascii="Aptos" w:hAnsi="Aptos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0B07A1CB" w14:textId="06064838" w:rsidR="004F00B3" w:rsidRPr="00B81BB6" w:rsidRDefault="004F00B3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81BB6">
              <w:rPr>
                <w:rFonts w:ascii="Aptos" w:hAnsi="Aptos"/>
                <w:b/>
                <w:bCs/>
                <w:sz w:val="20"/>
                <w:szCs w:val="20"/>
              </w:rPr>
              <w:t>Comparison Group 2023</w:t>
            </w:r>
          </w:p>
        </w:tc>
      </w:tr>
      <w:tr w:rsidR="004F00B3" w14:paraId="3A85E91D" w14:textId="77777777" w:rsidTr="00E03C7A">
        <w:tc>
          <w:tcPr>
            <w:tcW w:w="2265" w:type="dxa"/>
            <w:vAlign w:val="center"/>
          </w:tcPr>
          <w:p w14:paraId="49EC2B9D" w14:textId="39F315F0" w:rsidR="004F00B3" w:rsidRPr="00B81BB6" w:rsidRDefault="00E03C7A" w:rsidP="00E03C7A">
            <w:pPr>
              <w:spacing w:after="160" w:line="259" w:lineRule="auto"/>
              <w:contextualSpacing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Average total remuneration</w:t>
            </w:r>
          </w:p>
        </w:tc>
        <w:tc>
          <w:tcPr>
            <w:tcW w:w="2265" w:type="dxa"/>
            <w:vAlign w:val="center"/>
          </w:tcPr>
          <w:p w14:paraId="0451F35D" w14:textId="7E082FCE" w:rsidR="004F00B3" w:rsidRPr="00B81BB6" w:rsidRDefault="00E03C7A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1.5%</w:t>
            </w:r>
          </w:p>
        </w:tc>
        <w:tc>
          <w:tcPr>
            <w:tcW w:w="2265" w:type="dxa"/>
            <w:vAlign w:val="center"/>
          </w:tcPr>
          <w:p w14:paraId="56F1FBA5" w14:textId="179AFF68" w:rsidR="004F00B3" w:rsidRPr="00B81BB6" w:rsidRDefault="00E03C7A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81BB6">
              <w:rPr>
                <w:rFonts w:ascii="Aptos" w:hAnsi="Aptos"/>
                <w:b/>
                <w:bCs/>
                <w:sz w:val="20"/>
                <w:szCs w:val="20"/>
              </w:rPr>
              <w:t>0.2%</w:t>
            </w:r>
          </w:p>
        </w:tc>
        <w:tc>
          <w:tcPr>
            <w:tcW w:w="2265" w:type="dxa"/>
            <w:vAlign w:val="center"/>
          </w:tcPr>
          <w:p w14:paraId="1C4FC003" w14:textId="1DBAE361" w:rsidR="004F00B3" w:rsidRPr="00B81BB6" w:rsidRDefault="00E03C7A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3.6%</w:t>
            </w:r>
          </w:p>
        </w:tc>
      </w:tr>
      <w:tr w:rsidR="004F00B3" w14:paraId="05C7C811" w14:textId="77777777" w:rsidTr="00E03C7A">
        <w:tc>
          <w:tcPr>
            <w:tcW w:w="2265" w:type="dxa"/>
            <w:vAlign w:val="center"/>
          </w:tcPr>
          <w:p w14:paraId="3E4CD5F3" w14:textId="11FFC022" w:rsidR="004F00B3" w:rsidRPr="00B81BB6" w:rsidRDefault="00E03C7A" w:rsidP="00E03C7A">
            <w:pPr>
              <w:spacing w:after="160" w:line="259" w:lineRule="auto"/>
              <w:contextualSpacing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Median total remuneration</w:t>
            </w:r>
          </w:p>
        </w:tc>
        <w:tc>
          <w:tcPr>
            <w:tcW w:w="2265" w:type="dxa"/>
            <w:vAlign w:val="center"/>
          </w:tcPr>
          <w:p w14:paraId="24B8B202" w14:textId="7DD5E04F" w:rsidR="004F00B3" w:rsidRPr="00B81BB6" w:rsidRDefault="00E03C7A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8.2%</w:t>
            </w:r>
          </w:p>
        </w:tc>
        <w:tc>
          <w:tcPr>
            <w:tcW w:w="2265" w:type="dxa"/>
            <w:vAlign w:val="center"/>
          </w:tcPr>
          <w:p w14:paraId="5C91AB53" w14:textId="71B3F851" w:rsidR="004F00B3" w:rsidRPr="00B81BB6" w:rsidRDefault="00E03C7A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81BB6">
              <w:rPr>
                <w:rFonts w:ascii="Aptos" w:hAnsi="Aptos"/>
                <w:b/>
                <w:bCs/>
                <w:sz w:val="20"/>
                <w:szCs w:val="20"/>
              </w:rPr>
              <w:t>3.1%</w:t>
            </w:r>
          </w:p>
        </w:tc>
        <w:tc>
          <w:tcPr>
            <w:tcW w:w="2265" w:type="dxa"/>
            <w:vAlign w:val="center"/>
          </w:tcPr>
          <w:p w14:paraId="5B667C9F" w14:textId="486DE11B" w:rsidR="004F00B3" w:rsidRPr="00B81BB6" w:rsidRDefault="00E03C7A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1.9%</w:t>
            </w:r>
          </w:p>
        </w:tc>
      </w:tr>
      <w:tr w:rsidR="004F00B3" w14:paraId="39573164" w14:textId="77777777" w:rsidTr="00E03C7A">
        <w:trPr>
          <w:trHeight w:val="576"/>
        </w:trPr>
        <w:tc>
          <w:tcPr>
            <w:tcW w:w="2265" w:type="dxa"/>
            <w:vAlign w:val="center"/>
          </w:tcPr>
          <w:p w14:paraId="5C52E1A8" w14:textId="62471E50" w:rsidR="004F00B3" w:rsidRPr="00B81BB6" w:rsidRDefault="00E03C7A" w:rsidP="00E03C7A">
            <w:pPr>
              <w:spacing w:after="160" w:line="259" w:lineRule="auto"/>
              <w:contextualSpacing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Average base salary</w:t>
            </w:r>
          </w:p>
        </w:tc>
        <w:tc>
          <w:tcPr>
            <w:tcW w:w="2265" w:type="dxa"/>
            <w:vAlign w:val="center"/>
          </w:tcPr>
          <w:p w14:paraId="72A7CDAF" w14:textId="21D21602" w:rsidR="004F00B3" w:rsidRPr="00B81BB6" w:rsidRDefault="00E03C7A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0.9%</w:t>
            </w:r>
          </w:p>
        </w:tc>
        <w:tc>
          <w:tcPr>
            <w:tcW w:w="2265" w:type="dxa"/>
            <w:vAlign w:val="center"/>
          </w:tcPr>
          <w:p w14:paraId="2A8AA2BE" w14:textId="5BD9542A" w:rsidR="004F00B3" w:rsidRPr="00B81BB6" w:rsidRDefault="00E03C7A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81BB6">
              <w:rPr>
                <w:rFonts w:ascii="Aptos" w:hAnsi="Aptos"/>
                <w:b/>
                <w:bCs/>
                <w:sz w:val="20"/>
                <w:szCs w:val="20"/>
              </w:rPr>
              <w:t>-0.3%</w:t>
            </w:r>
          </w:p>
        </w:tc>
        <w:tc>
          <w:tcPr>
            <w:tcW w:w="2265" w:type="dxa"/>
            <w:vAlign w:val="center"/>
          </w:tcPr>
          <w:p w14:paraId="239229B8" w14:textId="1DF18158" w:rsidR="004F00B3" w:rsidRPr="00B81BB6" w:rsidRDefault="00E03C7A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3.0%</w:t>
            </w:r>
          </w:p>
        </w:tc>
      </w:tr>
      <w:tr w:rsidR="004F00B3" w14:paraId="22F67358" w14:textId="77777777" w:rsidTr="00E03C7A">
        <w:trPr>
          <w:trHeight w:val="438"/>
        </w:trPr>
        <w:tc>
          <w:tcPr>
            <w:tcW w:w="2265" w:type="dxa"/>
            <w:vAlign w:val="center"/>
          </w:tcPr>
          <w:p w14:paraId="610E8FFC" w14:textId="43032D33" w:rsidR="004F00B3" w:rsidRPr="00B81BB6" w:rsidRDefault="00E03C7A" w:rsidP="00E03C7A">
            <w:pPr>
              <w:spacing w:after="160" w:line="259" w:lineRule="auto"/>
              <w:contextualSpacing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Median base salary</w:t>
            </w:r>
          </w:p>
        </w:tc>
        <w:tc>
          <w:tcPr>
            <w:tcW w:w="2265" w:type="dxa"/>
            <w:vAlign w:val="center"/>
          </w:tcPr>
          <w:p w14:paraId="06B69B67" w14:textId="700F096F" w:rsidR="004F00B3" w:rsidRPr="00B81BB6" w:rsidRDefault="00E03C7A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10.6%</w:t>
            </w:r>
          </w:p>
        </w:tc>
        <w:tc>
          <w:tcPr>
            <w:tcW w:w="2265" w:type="dxa"/>
            <w:vAlign w:val="center"/>
          </w:tcPr>
          <w:p w14:paraId="267484A1" w14:textId="75C1E70F" w:rsidR="004F00B3" w:rsidRPr="00B81BB6" w:rsidRDefault="00E03C7A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81BB6">
              <w:rPr>
                <w:rFonts w:ascii="Aptos" w:hAnsi="Aptos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2265" w:type="dxa"/>
            <w:vAlign w:val="center"/>
          </w:tcPr>
          <w:p w14:paraId="5F10CF88" w14:textId="54DFC0DE" w:rsidR="004F00B3" w:rsidRPr="00B81BB6" w:rsidRDefault="00E03C7A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0.0%</w:t>
            </w:r>
          </w:p>
        </w:tc>
      </w:tr>
      <w:tr w:rsidR="00463DC2" w14:paraId="320C2749" w14:textId="77777777" w:rsidTr="00E03C7A">
        <w:trPr>
          <w:trHeight w:val="438"/>
        </w:trPr>
        <w:tc>
          <w:tcPr>
            <w:tcW w:w="2265" w:type="dxa"/>
            <w:vAlign w:val="center"/>
          </w:tcPr>
          <w:p w14:paraId="403F4DEF" w14:textId="522335C9" w:rsidR="00463DC2" w:rsidRPr="00B81BB6" w:rsidRDefault="00463DC2" w:rsidP="00E03C7A">
            <w:pPr>
              <w:spacing w:after="160" w:line="259" w:lineRule="auto"/>
              <w:contextualSpacing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Key management personnel</w:t>
            </w:r>
          </w:p>
        </w:tc>
        <w:tc>
          <w:tcPr>
            <w:tcW w:w="2265" w:type="dxa"/>
            <w:vAlign w:val="center"/>
          </w:tcPr>
          <w:p w14:paraId="579DB2F3" w14:textId="408EF4D8" w:rsidR="00463DC2" w:rsidRPr="00B81BB6" w:rsidRDefault="00463DC2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2.4%</w:t>
            </w:r>
          </w:p>
        </w:tc>
        <w:tc>
          <w:tcPr>
            <w:tcW w:w="2265" w:type="dxa"/>
            <w:vAlign w:val="center"/>
          </w:tcPr>
          <w:p w14:paraId="57E6E80C" w14:textId="50C16289" w:rsidR="00463DC2" w:rsidRPr="00B81BB6" w:rsidRDefault="00463DC2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81BB6">
              <w:rPr>
                <w:rFonts w:ascii="Aptos" w:hAnsi="Aptos"/>
                <w:b/>
                <w:bCs/>
                <w:sz w:val="20"/>
                <w:szCs w:val="20"/>
              </w:rPr>
              <w:t>-4.8%</w:t>
            </w:r>
          </w:p>
        </w:tc>
        <w:tc>
          <w:tcPr>
            <w:tcW w:w="2265" w:type="dxa"/>
            <w:vAlign w:val="center"/>
          </w:tcPr>
          <w:p w14:paraId="5060F10C" w14:textId="3C81862F" w:rsidR="00463DC2" w:rsidRPr="00B81BB6" w:rsidRDefault="00CF24E7" w:rsidP="00E03C7A">
            <w:pPr>
              <w:spacing w:after="160" w:line="259" w:lineRule="auto"/>
              <w:contextualSpacing/>
              <w:jc w:val="center"/>
              <w:rPr>
                <w:rFonts w:ascii="Aptos" w:hAnsi="Aptos"/>
                <w:sz w:val="20"/>
                <w:szCs w:val="20"/>
              </w:rPr>
            </w:pPr>
            <w:r w:rsidRPr="00B81BB6">
              <w:rPr>
                <w:rFonts w:ascii="Aptos" w:hAnsi="Aptos"/>
                <w:sz w:val="20"/>
                <w:szCs w:val="20"/>
              </w:rPr>
              <w:t>-2.0%</w:t>
            </w:r>
          </w:p>
        </w:tc>
      </w:tr>
    </w:tbl>
    <w:p w14:paraId="6A2D31B2" w14:textId="77777777" w:rsidR="004F00B3" w:rsidRDefault="004F00B3" w:rsidP="00254F11">
      <w:pPr>
        <w:spacing w:after="160" w:line="259" w:lineRule="auto"/>
        <w:contextualSpacing/>
        <w:rPr>
          <w:rFonts w:ascii="Aptos" w:hAnsi="Aptos"/>
        </w:rPr>
      </w:pPr>
    </w:p>
    <w:p w14:paraId="30BCF050" w14:textId="764EDBB2" w:rsidR="00CF24E7" w:rsidRPr="00F01D94" w:rsidRDefault="00F01D94" w:rsidP="00F01D94">
      <w:pPr>
        <w:pStyle w:val="Source"/>
        <w:rPr>
          <w:rFonts w:eastAsia="Aptos Display" w:cs="Aptos Display"/>
          <w:i/>
          <w:iCs/>
          <w14:textOutline w14:w="0" w14:cap="flat" w14:cmpd="sng" w14:algn="ctr">
            <w14:noFill/>
            <w14:prstDash w14:val="solid"/>
            <w14:round/>
          </w14:textOutline>
        </w:rPr>
      </w:pPr>
      <w:r w:rsidRPr="00F01D94">
        <w:rPr>
          <w:rFonts w:eastAsia="Aptos Display" w:cs="Aptos Display"/>
          <w:i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Note: </w:t>
      </w:r>
      <w:r w:rsidRPr="00F01D94">
        <w:rPr>
          <w:i/>
          <w:iCs/>
        </w:rPr>
        <w:t>A positive percentage indicates that men are paid more than women. A negative percentage indicates that women are paid more than men.</w:t>
      </w:r>
    </w:p>
    <w:p w14:paraId="45019926" w14:textId="6057E4F6" w:rsidR="00FA3719" w:rsidRPr="00753588" w:rsidRDefault="00FA3719" w:rsidP="00FA3719">
      <w:pPr>
        <w:rPr>
          <w:rFonts w:ascii="Aptos" w:eastAsia="Aptos Display" w:hAnsi="Aptos" w:cs="Aptos Display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753588">
        <w:rPr>
          <w:rFonts w:ascii="Aptos" w:eastAsia="Aptos Display" w:hAnsi="Aptos" w:cs="Aptos Display"/>
          <w:b/>
          <w:bCs/>
          <w14:textOutline w14:w="0" w14:cap="flat" w14:cmpd="sng" w14:algn="ctr">
            <w14:noFill/>
            <w14:prstDash w14:val="solid"/>
            <w14:round/>
          </w14:textOutline>
        </w:rPr>
        <w:lastRenderedPageBreak/>
        <w:t>Workforce Composition</w:t>
      </w:r>
    </w:p>
    <w:p w14:paraId="2C89A043" w14:textId="42EA3EFE" w:rsidR="008F7E67" w:rsidRPr="00753588" w:rsidRDefault="00C5733E" w:rsidP="00753588">
      <w:pPr>
        <w:spacing w:after="160" w:line="259" w:lineRule="auto"/>
        <w:contextualSpacing/>
        <w:rPr>
          <w:rFonts w:ascii="Aptos" w:hAnsi="Aptos"/>
        </w:rPr>
      </w:pPr>
      <w:r w:rsidRPr="00753588">
        <w:rPr>
          <w:rFonts w:ascii="Aptos" w:hAnsi="Aptos"/>
        </w:rPr>
        <w:t>As of</w:t>
      </w:r>
      <w:r w:rsidR="008F7E67" w:rsidRPr="00753588">
        <w:rPr>
          <w:rFonts w:ascii="Aptos" w:hAnsi="Aptos"/>
        </w:rPr>
        <w:t xml:space="preserve"> 31 December </w:t>
      </w:r>
      <w:r w:rsidR="00030E47" w:rsidRPr="00753588">
        <w:rPr>
          <w:rFonts w:ascii="Aptos" w:hAnsi="Aptos"/>
        </w:rPr>
        <w:t xml:space="preserve">2023, </w:t>
      </w:r>
      <w:r w:rsidRPr="00753588">
        <w:rPr>
          <w:rFonts w:ascii="Aptos" w:hAnsi="Aptos"/>
        </w:rPr>
        <w:t>we</w:t>
      </w:r>
      <w:r w:rsidR="00030E47" w:rsidRPr="00753588">
        <w:rPr>
          <w:rFonts w:ascii="Aptos" w:hAnsi="Aptos"/>
        </w:rPr>
        <w:t xml:space="preserve"> employ</w:t>
      </w:r>
      <w:r w:rsidRPr="00753588">
        <w:rPr>
          <w:rFonts w:ascii="Aptos" w:hAnsi="Aptos"/>
        </w:rPr>
        <w:t>ed</w:t>
      </w:r>
      <w:r w:rsidR="00030E47" w:rsidRPr="00753588">
        <w:rPr>
          <w:rFonts w:ascii="Aptos" w:hAnsi="Aptos"/>
        </w:rPr>
        <w:t xml:space="preserve"> </w:t>
      </w:r>
      <w:r w:rsidR="00D40A7B" w:rsidRPr="00753588">
        <w:rPr>
          <w:rFonts w:ascii="Aptos" w:hAnsi="Aptos"/>
        </w:rPr>
        <w:t>3,916</w:t>
      </w:r>
      <w:r w:rsidR="00E8715A" w:rsidRPr="00753588">
        <w:rPr>
          <w:rFonts w:ascii="Aptos" w:hAnsi="Aptos"/>
        </w:rPr>
        <w:t xml:space="preserve"> APS </w:t>
      </w:r>
      <w:r w:rsidR="00A247D9" w:rsidRPr="00753588">
        <w:rPr>
          <w:rFonts w:ascii="Aptos" w:hAnsi="Aptos"/>
        </w:rPr>
        <w:t xml:space="preserve">employees, with women </w:t>
      </w:r>
      <w:r w:rsidR="00F01D94">
        <w:rPr>
          <w:rFonts w:ascii="Aptos" w:hAnsi="Aptos"/>
        </w:rPr>
        <w:t>comprising</w:t>
      </w:r>
      <w:r w:rsidR="00A247D9" w:rsidRPr="00753588">
        <w:rPr>
          <w:rFonts w:ascii="Aptos" w:hAnsi="Aptos"/>
        </w:rPr>
        <w:t xml:space="preserve"> </w:t>
      </w:r>
      <w:r w:rsidRPr="00753588">
        <w:rPr>
          <w:rFonts w:ascii="Aptos" w:hAnsi="Aptos"/>
        </w:rPr>
        <w:t xml:space="preserve">approximately </w:t>
      </w:r>
      <w:r w:rsidR="00A247D9" w:rsidRPr="00753588">
        <w:rPr>
          <w:rFonts w:ascii="Aptos" w:hAnsi="Aptos"/>
        </w:rPr>
        <w:t>60% of the total workforce</w:t>
      </w:r>
      <w:r w:rsidRPr="00753588">
        <w:rPr>
          <w:rFonts w:ascii="Aptos" w:hAnsi="Aptos"/>
        </w:rPr>
        <w:t xml:space="preserve"> and men contributing to 40%</w:t>
      </w:r>
      <w:r w:rsidR="00A247D9" w:rsidRPr="00753588">
        <w:rPr>
          <w:rFonts w:ascii="Aptos" w:hAnsi="Aptos"/>
        </w:rPr>
        <w:t>.</w:t>
      </w:r>
      <w:r w:rsidRPr="00753588">
        <w:rPr>
          <w:rFonts w:ascii="Aptos" w:hAnsi="Aptos"/>
        </w:rPr>
        <w:t xml:space="preserve"> A small number of our employees identify as non-binary.</w:t>
      </w:r>
    </w:p>
    <w:p w14:paraId="0B52388B" w14:textId="77777777" w:rsidR="00753588" w:rsidRDefault="00753588" w:rsidP="00753588">
      <w:pPr>
        <w:spacing w:after="160" w:line="259" w:lineRule="auto"/>
        <w:contextualSpacing/>
        <w:rPr>
          <w:rFonts w:ascii="Montserrat" w:eastAsia="Aptos Display" w:hAnsi="Montserrat" w:cs="Aptos Display"/>
          <w14:textOutline w14:w="0" w14:cap="flat" w14:cmpd="sng" w14:algn="ctr">
            <w14:noFill/>
            <w14:prstDash w14:val="solid"/>
            <w14:round/>
          </w14:textOutline>
        </w:rPr>
      </w:pPr>
    </w:p>
    <w:p w14:paraId="39743C28" w14:textId="7EA026AC" w:rsidR="0005771F" w:rsidRPr="00753588" w:rsidRDefault="00753588" w:rsidP="00753588">
      <w:pPr>
        <w:spacing w:after="160" w:line="259" w:lineRule="auto"/>
        <w:contextualSpacing/>
        <w:rPr>
          <w:rFonts w:ascii="Aptos" w:hAnsi="Aptos"/>
        </w:rPr>
      </w:pPr>
      <w:r w:rsidRPr="00753588">
        <w:rPr>
          <w:rFonts w:ascii="Aptos" w:hAnsi="Aptos"/>
        </w:rPr>
        <w:t>Although</w:t>
      </w:r>
      <w:r w:rsidR="00A716DB" w:rsidRPr="00753588">
        <w:rPr>
          <w:rFonts w:ascii="Aptos" w:hAnsi="Aptos"/>
        </w:rPr>
        <w:t xml:space="preserve"> women make up the majority of our workforce across all levels</w:t>
      </w:r>
      <w:r w:rsidR="007D1FA0">
        <w:rPr>
          <w:rFonts w:ascii="Aptos" w:hAnsi="Aptos"/>
        </w:rPr>
        <w:t>,</w:t>
      </w:r>
      <w:r>
        <w:rPr>
          <w:rFonts w:ascii="Aptos" w:hAnsi="Aptos"/>
        </w:rPr>
        <w:t xml:space="preserve"> </w:t>
      </w:r>
      <w:r w:rsidR="007D1FA0">
        <w:rPr>
          <w:rFonts w:ascii="Aptos" w:hAnsi="Aptos"/>
        </w:rPr>
        <w:t>t</w:t>
      </w:r>
      <w:r>
        <w:rPr>
          <w:rFonts w:ascii="Aptos" w:hAnsi="Aptos"/>
        </w:rPr>
        <w:t>he data in the table below</w:t>
      </w:r>
      <w:r w:rsidR="00A716DB" w:rsidRPr="00753588">
        <w:rPr>
          <w:rFonts w:ascii="Aptos" w:hAnsi="Aptos"/>
        </w:rPr>
        <w:t xml:space="preserve"> shows the distribution of women is </w:t>
      </w:r>
      <w:r w:rsidR="00941FD9" w:rsidRPr="00753588">
        <w:rPr>
          <w:rFonts w:ascii="Aptos" w:hAnsi="Aptos"/>
        </w:rPr>
        <w:t xml:space="preserve">slightly </w:t>
      </w:r>
      <w:r w:rsidR="00A716DB" w:rsidRPr="00753588">
        <w:rPr>
          <w:rFonts w:ascii="Aptos" w:hAnsi="Aptos"/>
        </w:rPr>
        <w:t xml:space="preserve">skewed towards the lower pay quartiles, while the distribution of men is </w:t>
      </w:r>
      <w:r w:rsidR="00941FD9" w:rsidRPr="00753588">
        <w:rPr>
          <w:rFonts w:ascii="Aptos" w:hAnsi="Aptos"/>
        </w:rPr>
        <w:t xml:space="preserve">slightly </w:t>
      </w:r>
      <w:r w:rsidR="00A716DB" w:rsidRPr="00753588">
        <w:rPr>
          <w:rFonts w:ascii="Aptos" w:hAnsi="Aptos"/>
        </w:rPr>
        <w:t xml:space="preserve">skewed towards the higher pay quartiles. </w:t>
      </w:r>
    </w:p>
    <w:p w14:paraId="32154A41" w14:textId="0B81E8F8" w:rsidR="00941FD9" w:rsidRDefault="00941FD9" w:rsidP="00B541BC">
      <w:pPr>
        <w:rPr>
          <w:rFonts w:ascii="Montserrat" w:eastAsia="Aptos Display" w:hAnsi="Montserrat" w:cs="Aptos Display"/>
          <w:noProof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04939858" wp14:editId="3DB35F7B">
            <wp:simplePos x="0" y="0"/>
            <wp:positionH relativeFrom="margin">
              <wp:posOffset>22225</wp:posOffset>
            </wp:positionH>
            <wp:positionV relativeFrom="paragraph">
              <wp:posOffset>11430</wp:posOffset>
            </wp:positionV>
            <wp:extent cx="5391150" cy="2371725"/>
            <wp:effectExtent l="0" t="0" r="0" b="0"/>
            <wp:wrapTight wrapText="bothSides">
              <wp:wrapPolygon edited="0">
                <wp:start x="0" y="0"/>
                <wp:lineTo x="0" y="21340"/>
                <wp:lineTo x="21524" y="21340"/>
                <wp:lineTo x="21524" y="0"/>
                <wp:lineTo x="0" y="0"/>
              </wp:wrapPolygon>
            </wp:wrapTight>
            <wp:docPr id="40055953" name="Chart 1" descr="Table shows the distribution of women is slightly skewed towards the lower pay quartiles, while the distribution of men is slightly skewed towards the higher pay quartiles. ">
              <a:extLst xmlns:a="http://schemas.openxmlformats.org/drawingml/2006/main">
                <a:ext uri="{FF2B5EF4-FFF2-40B4-BE49-F238E27FC236}">
                  <a16:creationId xmlns:a16="http://schemas.microsoft.com/office/drawing/2014/main" id="{45C735D7-B884-4D8A-BA62-92E70A887B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D7466" w14:textId="60718F6F" w:rsidR="00941FD9" w:rsidRDefault="00941FD9" w:rsidP="00B541BC">
      <w:pPr>
        <w:rPr>
          <w:rFonts w:ascii="Montserrat" w:eastAsia="Aptos Display" w:hAnsi="Montserrat" w:cs="Aptos Display"/>
          <w:noProof/>
        </w:rPr>
      </w:pPr>
    </w:p>
    <w:p w14:paraId="44012486" w14:textId="77777777" w:rsidR="00941FD9" w:rsidRDefault="00941FD9" w:rsidP="00B541BC">
      <w:pPr>
        <w:rPr>
          <w:rFonts w:ascii="Montserrat" w:eastAsia="Aptos Display" w:hAnsi="Montserrat" w:cs="Aptos Display"/>
          <w:noProof/>
        </w:rPr>
      </w:pPr>
    </w:p>
    <w:p w14:paraId="72491576" w14:textId="77777777" w:rsidR="00941FD9" w:rsidRDefault="00941FD9" w:rsidP="00B541BC">
      <w:pPr>
        <w:rPr>
          <w:rFonts w:ascii="Montserrat" w:eastAsia="Aptos Display" w:hAnsi="Montserrat" w:cs="Aptos Display"/>
          <w:noProof/>
        </w:rPr>
      </w:pPr>
    </w:p>
    <w:p w14:paraId="59A5073D" w14:textId="77777777" w:rsidR="00941FD9" w:rsidRDefault="00941FD9" w:rsidP="00B541BC">
      <w:pPr>
        <w:rPr>
          <w:rFonts w:ascii="Montserrat" w:eastAsia="Aptos Display" w:hAnsi="Montserrat" w:cs="Aptos Display"/>
          <w:noProof/>
        </w:rPr>
      </w:pPr>
    </w:p>
    <w:p w14:paraId="2A55B5D3" w14:textId="77777777" w:rsidR="00941FD9" w:rsidRDefault="00941FD9" w:rsidP="00B541BC">
      <w:pPr>
        <w:rPr>
          <w:rFonts w:ascii="Montserrat" w:eastAsia="Aptos Display" w:hAnsi="Montserrat" w:cs="Aptos Display"/>
          <w:noProof/>
        </w:rPr>
      </w:pPr>
    </w:p>
    <w:p w14:paraId="214E7C1B" w14:textId="77777777" w:rsidR="00941FD9" w:rsidRDefault="00941FD9" w:rsidP="00B541BC">
      <w:pPr>
        <w:rPr>
          <w:rFonts w:ascii="Montserrat" w:eastAsia="Aptos Display" w:hAnsi="Montserrat" w:cs="Aptos Display"/>
          <w:noProof/>
        </w:rPr>
      </w:pPr>
    </w:p>
    <w:p w14:paraId="744203D7" w14:textId="013B17E8" w:rsidR="00461BA7" w:rsidRDefault="00FA33D7" w:rsidP="00B541BC">
      <w:pPr>
        <w:rPr>
          <w:rFonts w:ascii="Aptos" w:hAnsi="Aptos"/>
        </w:rPr>
      </w:pPr>
      <w:r w:rsidRPr="00753588">
        <w:rPr>
          <w:rFonts w:ascii="Aptos" w:hAnsi="Aptos"/>
          <w:noProof/>
        </w:rPr>
        <w:drawing>
          <wp:anchor distT="0" distB="0" distL="114300" distR="114300" simplePos="0" relativeHeight="251660291" behindDoc="1" locked="0" layoutInCell="1" allowOverlap="1" wp14:anchorId="5739CC8B" wp14:editId="52CD8337">
            <wp:simplePos x="0" y="0"/>
            <wp:positionH relativeFrom="margin">
              <wp:align>left</wp:align>
            </wp:positionH>
            <wp:positionV relativeFrom="paragraph">
              <wp:posOffset>1103630</wp:posOffset>
            </wp:positionV>
            <wp:extent cx="5374005" cy="1276350"/>
            <wp:effectExtent l="0" t="0" r="0" b="0"/>
            <wp:wrapTight wrapText="bothSides">
              <wp:wrapPolygon edited="0">
                <wp:start x="0" y="0"/>
                <wp:lineTo x="0" y="21278"/>
                <wp:lineTo x="21516" y="21278"/>
                <wp:lineTo x="21516" y="0"/>
                <wp:lineTo x="0" y="0"/>
              </wp:wrapPolygon>
            </wp:wrapTight>
            <wp:docPr id="1972798144" name="Chart 1" descr="In 2023, there was a notably higher rate of women employed in the department on a part-time basis compared to men (17% of women in manager roles compared to 5% men, and 17% of women in non-manager roles compared to 8% men). Part-time roles are often lower paid so an imbalance in the composition of employees in these roles can be a driver of the gender pay gap.">
              <a:extLst xmlns:a="http://schemas.openxmlformats.org/drawingml/2006/main">
                <a:ext uri="{FF2B5EF4-FFF2-40B4-BE49-F238E27FC236}">
                  <a16:creationId xmlns:a16="http://schemas.microsoft.com/office/drawing/2014/main" id="{D29D37EB-E553-568C-5176-AAC6392971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4E7">
        <w:rPr>
          <w:rFonts w:ascii="Montserrat" w:eastAsia="Aptos Display" w:hAnsi="Montserrat" w:cs="Aptos Display"/>
          <w:noProof/>
        </w:rPr>
        <w:br/>
      </w:r>
      <w:r w:rsidR="00461BA7" w:rsidRPr="00753588">
        <w:rPr>
          <w:rFonts w:ascii="Aptos" w:hAnsi="Aptos"/>
        </w:rPr>
        <w:t xml:space="preserve">In 2023, there </w:t>
      </w:r>
      <w:r w:rsidR="00941FD9" w:rsidRPr="00753588">
        <w:rPr>
          <w:rFonts w:ascii="Aptos" w:hAnsi="Aptos"/>
        </w:rPr>
        <w:t>was</w:t>
      </w:r>
      <w:r w:rsidR="00461BA7" w:rsidRPr="00753588">
        <w:rPr>
          <w:rFonts w:ascii="Aptos" w:hAnsi="Aptos"/>
        </w:rPr>
        <w:t xml:space="preserve"> a notably higher rate of women employed in the department on a part</w:t>
      </w:r>
      <w:r w:rsidR="0091333A" w:rsidRPr="00753588">
        <w:rPr>
          <w:rFonts w:ascii="Aptos" w:hAnsi="Aptos"/>
        </w:rPr>
        <w:t xml:space="preserve">-time basis compared to men (17% of women in manager roles compared to 5% men, and 17% of women </w:t>
      </w:r>
      <w:r w:rsidR="00D40ECC" w:rsidRPr="00753588">
        <w:rPr>
          <w:rFonts w:ascii="Aptos" w:hAnsi="Aptos"/>
        </w:rPr>
        <w:t xml:space="preserve">in non-manager roles compared to 8% men). </w:t>
      </w:r>
      <w:r w:rsidR="007D1FA0">
        <w:rPr>
          <w:rFonts w:ascii="Aptos" w:hAnsi="Aptos"/>
        </w:rPr>
        <w:t>Part-time roles are often lower paid so an imbalance in the composition of employees in these roles can be a driver of the gender pay gap.</w:t>
      </w:r>
    </w:p>
    <w:p w14:paraId="5815025D" w14:textId="2FB9AD53" w:rsidR="00D21DB6" w:rsidRPr="00753588" w:rsidRDefault="006560D8" w:rsidP="00D21DB6">
      <w:pPr>
        <w:rPr>
          <w:rFonts w:ascii="Aptos" w:eastAsia="Aptos Display" w:hAnsi="Aptos" w:cs="Aptos Display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753588">
        <w:rPr>
          <w:rFonts w:ascii="Aptos" w:eastAsia="Aptos Display" w:hAnsi="Aptos" w:cs="Aptos Display"/>
          <w:b/>
          <w:bCs/>
          <w14:textOutline w14:w="0" w14:cap="flat" w14:cmpd="sng" w14:algn="ctr">
            <w14:noFill/>
            <w14:prstDash w14:val="solid"/>
            <w14:round/>
          </w14:textOutline>
        </w:rPr>
        <w:t>Future Steps</w:t>
      </w:r>
    </w:p>
    <w:p w14:paraId="05AB735F" w14:textId="14E5178A" w:rsidR="006138C3" w:rsidRDefault="00753588" w:rsidP="00753588">
      <w:pPr>
        <w:spacing w:after="160" w:line="259" w:lineRule="auto"/>
        <w:contextualSpacing/>
        <w:rPr>
          <w:rFonts w:ascii="Aptos" w:hAnsi="Aptos"/>
        </w:rPr>
      </w:pPr>
      <w:r w:rsidRPr="00753588">
        <w:rPr>
          <w:rFonts w:ascii="Aptos" w:hAnsi="Aptos"/>
        </w:rPr>
        <w:t>Our gender pay gap results demonstrate significant progress</w:t>
      </w:r>
      <w:r w:rsidR="007D1FA0">
        <w:rPr>
          <w:rFonts w:ascii="Aptos" w:hAnsi="Aptos"/>
        </w:rPr>
        <w:t>,</w:t>
      </w:r>
      <w:r w:rsidRPr="00753588">
        <w:rPr>
          <w:rFonts w:ascii="Aptos" w:hAnsi="Aptos"/>
        </w:rPr>
        <w:t xml:space="preserve"> </w:t>
      </w:r>
      <w:r w:rsidR="00B0535E">
        <w:rPr>
          <w:rFonts w:ascii="Aptos" w:hAnsi="Aptos"/>
        </w:rPr>
        <w:t>but</w:t>
      </w:r>
      <w:r w:rsidRPr="00753588">
        <w:rPr>
          <w:rFonts w:ascii="Aptos" w:hAnsi="Aptos"/>
        </w:rPr>
        <w:t xml:space="preserve"> we </w:t>
      </w:r>
      <w:r w:rsidR="006138C3">
        <w:rPr>
          <w:rFonts w:ascii="Aptos" w:hAnsi="Aptos"/>
        </w:rPr>
        <w:t xml:space="preserve">have </w:t>
      </w:r>
      <w:r w:rsidR="00681E27" w:rsidRPr="00753588">
        <w:rPr>
          <w:rFonts w:ascii="Aptos" w:hAnsi="Aptos"/>
        </w:rPr>
        <w:t>more work to do</w:t>
      </w:r>
      <w:r>
        <w:rPr>
          <w:rFonts w:ascii="Aptos" w:hAnsi="Aptos"/>
        </w:rPr>
        <w:t>.</w:t>
      </w:r>
      <w:r w:rsidR="006138C3">
        <w:rPr>
          <w:rFonts w:ascii="Aptos" w:hAnsi="Aptos"/>
        </w:rPr>
        <w:t xml:space="preserve"> Here are some of the actions we are taking to address our gender pay gap disparities:</w:t>
      </w:r>
    </w:p>
    <w:p w14:paraId="47338281" w14:textId="6221E1C4" w:rsidR="006138C3" w:rsidRDefault="006138C3" w:rsidP="006138C3">
      <w:pPr>
        <w:pStyle w:val="ListParagraph"/>
        <w:numPr>
          <w:ilvl w:val="0"/>
          <w:numId w:val="28"/>
        </w:numPr>
        <w:spacing w:after="160" w:line="259" w:lineRule="auto"/>
        <w:rPr>
          <w:rFonts w:ascii="Aptos" w:hAnsi="Aptos"/>
        </w:rPr>
      </w:pPr>
      <w:r w:rsidRPr="006138C3">
        <w:rPr>
          <w:rFonts w:ascii="Aptos" w:hAnsi="Aptos"/>
        </w:rPr>
        <w:t>Increasing representation of men in the lower and lower middle pay quartiles</w:t>
      </w:r>
      <w:r>
        <w:rPr>
          <w:rFonts w:ascii="Aptos" w:hAnsi="Aptos"/>
        </w:rPr>
        <w:t>.</w:t>
      </w:r>
    </w:p>
    <w:p w14:paraId="7D9037E4" w14:textId="48DF0674" w:rsidR="006138C3" w:rsidRDefault="006138C3" w:rsidP="006138C3">
      <w:pPr>
        <w:pStyle w:val="ListParagraph"/>
        <w:numPr>
          <w:ilvl w:val="0"/>
          <w:numId w:val="28"/>
        </w:num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Increasing representation of women in Information, Communications and Technology (ICT).</w:t>
      </w:r>
    </w:p>
    <w:p w14:paraId="1DF107D5" w14:textId="2F075959" w:rsidR="006138C3" w:rsidRDefault="006138C3" w:rsidP="006138C3">
      <w:pPr>
        <w:pStyle w:val="ListParagraph"/>
        <w:numPr>
          <w:ilvl w:val="0"/>
          <w:numId w:val="28"/>
        </w:num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Increasing representation of men in administrative roles.</w:t>
      </w:r>
    </w:p>
    <w:p w14:paraId="13C9FC4D" w14:textId="45771058" w:rsidR="006138C3" w:rsidRDefault="006138C3" w:rsidP="006138C3">
      <w:pPr>
        <w:pStyle w:val="ListParagraph"/>
        <w:numPr>
          <w:ilvl w:val="0"/>
          <w:numId w:val="28"/>
        </w:num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Introducing gender representation targets for governing Boards and Committees (at least 40% m</w:t>
      </w:r>
      <w:r w:rsidR="007D1FA0">
        <w:rPr>
          <w:rFonts w:ascii="Aptos" w:hAnsi="Aptos"/>
        </w:rPr>
        <w:t>e</w:t>
      </w:r>
      <w:r>
        <w:rPr>
          <w:rFonts w:ascii="Aptos" w:hAnsi="Aptos"/>
        </w:rPr>
        <w:t>n and 40% women).</w:t>
      </w:r>
    </w:p>
    <w:p w14:paraId="4DD1D87D" w14:textId="567AA52E" w:rsidR="006138C3" w:rsidRDefault="006138C3" w:rsidP="006138C3">
      <w:pPr>
        <w:pStyle w:val="ListParagraph"/>
        <w:numPr>
          <w:ilvl w:val="0"/>
          <w:numId w:val="28"/>
        </w:num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Promoting flexible working arrangements and employer-funded parental leave for staff of all genders.</w:t>
      </w:r>
    </w:p>
    <w:p w14:paraId="321DE28C" w14:textId="22F2E7CC" w:rsidR="006138C3" w:rsidRDefault="006138C3" w:rsidP="006138C3">
      <w:pPr>
        <w:pStyle w:val="ListParagraph"/>
        <w:numPr>
          <w:ilvl w:val="0"/>
          <w:numId w:val="28"/>
        </w:num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Introducing policies to address</w:t>
      </w:r>
      <w:r w:rsidR="0063197F">
        <w:rPr>
          <w:rFonts w:ascii="Aptos" w:hAnsi="Aptos"/>
        </w:rPr>
        <w:t xml:space="preserve"> each of the six gender equality indicators under the </w:t>
      </w:r>
      <w:r w:rsidR="0063197F" w:rsidRPr="0063197F">
        <w:rPr>
          <w:rFonts w:ascii="Aptos" w:hAnsi="Aptos"/>
          <w:i/>
          <w:iCs/>
        </w:rPr>
        <w:t>Workplace Gender Equality Act 2012</w:t>
      </w:r>
      <w:r w:rsidR="0063197F">
        <w:rPr>
          <w:rFonts w:ascii="Aptos" w:hAnsi="Aptos"/>
        </w:rPr>
        <w:t>.</w:t>
      </w:r>
    </w:p>
    <w:p w14:paraId="3D188144" w14:textId="1F3D359B" w:rsidR="002B0E52" w:rsidRPr="0063197F" w:rsidRDefault="0063197F" w:rsidP="002B0E52">
      <w:pPr>
        <w:pStyle w:val="ListParagraph"/>
        <w:numPr>
          <w:ilvl w:val="0"/>
          <w:numId w:val="28"/>
        </w:num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Developing an equal remuneration policy supporting gender equality in the workplace.</w:t>
      </w:r>
      <w:r w:rsidR="002B0E52" w:rsidRPr="0063197F">
        <w:rPr>
          <w:rFonts w:ascii="Montserrat" w:eastAsia="Aptos Display" w:hAnsi="Montserrat" w:cs="Aptos Display"/>
        </w:rPr>
        <w:t xml:space="preserve"> </w:t>
      </w:r>
    </w:p>
    <w:sectPr w:rsidR="002B0E52" w:rsidRPr="0063197F" w:rsidSect="00B81BB6">
      <w:type w:val="continuous"/>
      <w:pgSz w:w="11906" w:h="16838"/>
      <w:pgMar w:top="851" w:right="1418" w:bottom="28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A801" w14:textId="77777777" w:rsidR="00AB4BD0" w:rsidRDefault="00AB4BD0" w:rsidP="0051352E">
      <w:pPr>
        <w:spacing w:after="0" w:line="240" w:lineRule="auto"/>
      </w:pPr>
      <w:r>
        <w:separator/>
      </w:r>
    </w:p>
  </w:endnote>
  <w:endnote w:type="continuationSeparator" w:id="0">
    <w:p w14:paraId="32992C82" w14:textId="77777777" w:rsidR="00AB4BD0" w:rsidRDefault="00AB4BD0" w:rsidP="0051352E">
      <w:pPr>
        <w:spacing w:after="0" w:line="240" w:lineRule="auto"/>
      </w:pPr>
      <w:r>
        <w:continuationSeparator/>
      </w:r>
    </w:p>
  </w:endnote>
  <w:endnote w:type="continuationNotice" w:id="1">
    <w:p w14:paraId="66374A54" w14:textId="77777777" w:rsidR="00AB4BD0" w:rsidRDefault="00AB4B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C09E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926907" wp14:editId="6CD409CE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7737E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47F9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922FE" wp14:editId="31102731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C7754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E8F5" w14:textId="77777777" w:rsidR="00AB4BD0" w:rsidRDefault="00AB4BD0" w:rsidP="0051352E">
      <w:pPr>
        <w:spacing w:after="0" w:line="240" w:lineRule="auto"/>
      </w:pPr>
      <w:r>
        <w:separator/>
      </w:r>
    </w:p>
  </w:footnote>
  <w:footnote w:type="continuationSeparator" w:id="0">
    <w:p w14:paraId="7E682EDD" w14:textId="77777777" w:rsidR="00AB4BD0" w:rsidRDefault="00AB4BD0" w:rsidP="0051352E">
      <w:pPr>
        <w:spacing w:after="0" w:line="240" w:lineRule="auto"/>
      </w:pPr>
      <w:r>
        <w:continuationSeparator/>
      </w:r>
    </w:p>
  </w:footnote>
  <w:footnote w:type="continuationNotice" w:id="1">
    <w:p w14:paraId="4CA9AD17" w14:textId="77777777" w:rsidR="00AB4BD0" w:rsidRDefault="00AB4B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68754"/>
    <w:multiLevelType w:val="hybridMultilevel"/>
    <w:tmpl w:val="BAC46170"/>
    <w:lvl w:ilvl="0" w:tplc="898AE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67D2C">
      <w:start w:val="1"/>
      <w:numFmt w:val="bullet"/>
      <w:lvlText w:val="○"/>
      <w:lvlJc w:val="left"/>
      <w:pPr>
        <w:ind w:left="851" w:hanging="494"/>
      </w:pPr>
      <w:rPr>
        <w:rFonts w:ascii="Courier New" w:hAnsi="Courier New" w:hint="default"/>
      </w:rPr>
    </w:lvl>
    <w:lvl w:ilvl="2" w:tplc="620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21944">
      <w:start w:val="1"/>
      <w:numFmt w:val="bullet"/>
      <w:lvlText w:val=""/>
      <w:lvlJc w:val="left"/>
      <w:pPr>
        <w:ind w:left="2126" w:hanging="567"/>
      </w:pPr>
      <w:rPr>
        <w:rFonts w:ascii="Wingdings" w:hAnsi="Wingdings" w:hint="default"/>
      </w:rPr>
    </w:lvl>
    <w:lvl w:ilvl="4" w:tplc="BF4C3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E4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03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80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65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7A479D"/>
    <w:multiLevelType w:val="multilevel"/>
    <w:tmpl w:val="A0D6CCBE"/>
    <w:lvl w:ilvl="0">
      <w:start w:val="1"/>
      <w:numFmt w:val="decimal"/>
      <w:lvlText w:val="%1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B175"/>
    <w:multiLevelType w:val="multilevel"/>
    <w:tmpl w:val="047C8AEA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E77F1"/>
    <w:multiLevelType w:val="hybridMultilevel"/>
    <w:tmpl w:val="79DC77D2"/>
    <w:lvl w:ilvl="0" w:tplc="56009EC6">
      <w:start w:val="1"/>
      <w:numFmt w:val="decimal"/>
      <w:lvlText w:val="%1."/>
      <w:lvlJc w:val="left"/>
      <w:pPr>
        <w:ind w:left="720" w:hanging="360"/>
      </w:pPr>
    </w:lvl>
    <w:lvl w:ilvl="1" w:tplc="B0D2EAA6">
      <w:start w:val="1"/>
      <w:numFmt w:val="lowerLetter"/>
      <w:lvlText w:val="%2"/>
      <w:lvlJc w:val="left"/>
      <w:pPr>
        <w:ind w:left="851" w:hanging="494"/>
      </w:pPr>
    </w:lvl>
    <w:lvl w:ilvl="2" w:tplc="81AC0DB8">
      <w:start w:val="1"/>
      <w:numFmt w:val="lowerRoman"/>
      <w:lvlText w:val="%3"/>
      <w:lvlJc w:val="left"/>
      <w:pPr>
        <w:ind w:left="1418" w:hanging="567"/>
      </w:pPr>
    </w:lvl>
    <w:lvl w:ilvl="3" w:tplc="9F0E568E">
      <w:start w:val="1"/>
      <w:numFmt w:val="bullet"/>
      <w:lvlText w:val="–"/>
      <w:lvlJc w:val="left"/>
      <w:pPr>
        <w:ind w:left="2126" w:hanging="567"/>
      </w:pPr>
      <w:rPr>
        <w:rFonts w:ascii="Calibri" w:hAnsi="Calibri" w:hint="default"/>
      </w:rPr>
    </w:lvl>
    <w:lvl w:ilvl="4" w:tplc="133E9DF4">
      <w:start w:val="1"/>
      <w:numFmt w:val="lowerLetter"/>
      <w:lvlText w:val="%5."/>
      <w:lvlJc w:val="left"/>
      <w:pPr>
        <w:ind w:left="3600" w:hanging="360"/>
      </w:pPr>
    </w:lvl>
    <w:lvl w:ilvl="5" w:tplc="1F3C8A52">
      <w:start w:val="1"/>
      <w:numFmt w:val="lowerRoman"/>
      <w:lvlText w:val="%6."/>
      <w:lvlJc w:val="right"/>
      <w:pPr>
        <w:ind w:left="4320" w:hanging="180"/>
      </w:pPr>
    </w:lvl>
    <w:lvl w:ilvl="6" w:tplc="DF2643EE">
      <w:start w:val="1"/>
      <w:numFmt w:val="decimal"/>
      <w:lvlText w:val="%7."/>
      <w:lvlJc w:val="left"/>
      <w:pPr>
        <w:ind w:left="5040" w:hanging="360"/>
      </w:pPr>
    </w:lvl>
    <w:lvl w:ilvl="7" w:tplc="5A8AC500">
      <w:start w:val="1"/>
      <w:numFmt w:val="lowerLetter"/>
      <w:lvlText w:val="%8."/>
      <w:lvlJc w:val="left"/>
      <w:pPr>
        <w:ind w:left="5760" w:hanging="360"/>
      </w:pPr>
    </w:lvl>
    <w:lvl w:ilvl="8" w:tplc="2948F6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24C5B56"/>
    <w:multiLevelType w:val="hybridMultilevel"/>
    <w:tmpl w:val="7E585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1CDD63"/>
    <w:multiLevelType w:val="hybridMultilevel"/>
    <w:tmpl w:val="4D54DF62"/>
    <w:lvl w:ilvl="0" w:tplc="6A00D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8A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A4BCC">
      <w:start w:val="1"/>
      <w:numFmt w:val="bullet"/>
      <w:lvlText w:val="–"/>
      <w:lvlJc w:val="left"/>
      <w:pPr>
        <w:ind w:left="1418" w:hanging="567"/>
      </w:pPr>
      <w:rPr>
        <w:rFonts w:ascii="Calibri" w:hAnsi="Calibri" w:hint="default"/>
      </w:rPr>
    </w:lvl>
    <w:lvl w:ilvl="3" w:tplc="65E69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48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C7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0B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C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86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34F16"/>
    <w:multiLevelType w:val="hybridMultilevel"/>
    <w:tmpl w:val="993C250E"/>
    <w:lvl w:ilvl="0" w:tplc="FFBA3C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7BE90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236A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6454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1C8E2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D42A7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B8B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47C4E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8FAFF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66D96AAD"/>
    <w:multiLevelType w:val="hybridMultilevel"/>
    <w:tmpl w:val="CED0BDCE"/>
    <w:lvl w:ilvl="0" w:tplc="850A5A70">
      <w:numFmt w:val="bullet"/>
      <w:lvlText w:val=""/>
      <w:lvlJc w:val="left"/>
      <w:pPr>
        <w:ind w:left="720" w:hanging="360"/>
      </w:pPr>
      <w:rPr>
        <w:rFonts w:ascii="Symbol" w:eastAsia="Aptos Display" w:hAnsi="Symbol" w:cs="Aptos Display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A3D06"/>
    <w:multiLevelType w:val="multilevel"/>
    <w:tmpl w:val="A2DE8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%1"/>
      <w:lvlJc w:val="left"/>
      <w:pPr>
        <w:ind w:left="851" w:hanging="494"/>
      </w:pPr>
    </w:lvl>
    <w:lvl w:ilvl="2">
      <w:start w:val="1"/>
      <w:numFmt w:val="decimal"/>
      <w:lvlText w:val="%1.%2.%3"/>
      <w:lvlJc w:val="left"/>
      <w:pPr>
        <w:ind w:left="1559" w:hanging="708"/>
      </w:pPr>
    </w:lvl>
    <w:lvl w:ilvl="3">
      <w:start w:val="1"/>
      <w:numFmt w:val="decimal"/>
      <w:lvlText w:val="%1.%2.%3.%4"/>
      <w:lvlJc w:val="left"/>
      <w:pPr>
        <w:ind w:left="2381" w:hanging="822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B5271"/>
    <w:multiLevelType w:val="multilevel"/>
    <w:tmpl w:val="0DA2620C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55468">
    <w:abstractNumId w:val="19"/>
  </w:num>
  <w:num w:numId="2" w16cid:durableId="1178425388">
    <w:abstractNumId w:val="10"/>
  </w:num>
  <w:num w:numId="3" w16cid:durableId="370306885">
    <w:abstractNumId w:val="23"/>
  </w:num>
  <w:num w:numId="4" w16cid:durableId="1481579354">
    <w:abstractNumId w:val="22"/>
  </w:num>
  <w:num w:numId="5" w16cid:durableId="1064723597">
    <w:abstractNumId w:val="14"/>
  </w:num>
  <w:num w:numId="6" w16cid:durableId="291181796">
    <w:abstractNumId w:val="15"/>
  </w:num>
  <w:num w:numId="7" w16cid:durableId="1275016870">
    <w:abstractNumId w:val="13"/>
  </w:num>
  <w:num w:numId="8" w16cid:durableId="1057360396">
    <w:abstractNumId w:val="9"/>
  </w:num>
  <w:num w:numId="9" w16cid:durableId="342510552">
    <w:abstractNumId w:val="7"/>
  </w:num>
  <w:num w:numId="10" w16cid:durableId="1594895232">
    <w:abstractNumId w:val="6"/>
  </w:num>
  <w:num w:numId="11" w16cid:durableId="1820461966">
    <w:abstractNumId w:val="5"/>
  </w:num>
  <w:num w:numId="12" w16cid:durableId="1501845443">
    <w:abstractNumId w:val="4"/>
  </w:num>
  <w:num w:numId="13" w16cid:durableId="729040880">
    <w:abstractNumId w:val="8"/>
  </w:num>
  <w:num w:numId="14" w16cid:durableId="278419321">
    <w:abstractNumId w:val="3"/>
  </w:num>
  <w:num w:numId="15" w16cid:durableId="574701396">
    <w:abstractNumId w:val="2"/>
  </w:num>
  <w:num w:numId="16" w16cid:durableId="2082634113">
    <w:abstractNumId w:val="1"/>
  </w:num>
  <w:num w:numId="17" w16cid:durableId="806321090">
    <w:abstractNumId w:val="0"/>
  </w:num>
  <w:num w:numId="18" w16cid:durableId="63377158">
    <w:abstractNumId w:val="11"/>
  </w:num>
  <w:num w:numId="19" w16cid:durableId="1523323380">
    <w:abstractNumId w:val="16"/>
  </w:num>
  <w:num w:numId="20" w16cid:durableId="933829800">
    <w:abstractNumId w:val="18"/>
  </w:num>
  <w:num w:numId="21" w16cid:durableId="118181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5928808">
    <w:abstractNumId w:val="16"/>
  </w:num>
  <w:num w:numId="23" w16cid:durableId="1166021225">
    <w:abstractNumId w:val="18"/>
  </w:num>
  <w:num w:numId="24" w16cid:durableId="1814981661">
    <w:abstractNumId w:val="11"/>
  </w:num>
  <w:num w:numId="25" w16cid:durableId="1807163285">
    <w:abstractNumId w:val="21"/>
  </w:num>
  <w:num w:numId="26" w16cid:durableId="36587082">
    <w:abstractNumId w:val="20"/>
  </w:num>
  <w:num w:numId="27" w16cid:durableId="1416366853">
    <w:abstractNumId w:val="12"/>
  </w:num>
  <w:num w:numId="28" w16cid:durableId="3695729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7CEC"/>
    <w:rsid w:val="00012C6B"/>
    <w:rsid w:val="000254ED"/>
    <w:rsid w:val="00026B92"/>
    <w:rsid w:val="00030E47"/>
    <w:rsid w:val="00031479"/>
    <w:rsid w:val="0003287C"/>
    <w:rsid w:val="00036F44"/>
    <w:rsid w:val="00042EB1"/>
    <w:rsid w:val="00044216"/>
    <w:rsid w:val="000463D0"/>
    <w:rsid w:val="0004773A"/>
    <w:rsid w:val="00052BBC"/>
    <w:rsid w:val="0005771F"/>
    <w:rsid w:val="00061613"/>
    <w:rsid w:val="00067075"/>
    <w:rsid w:val="0007084C"/>
    <w:rsid w:val="000734DD"/>
    <w:rsid w:val="0008070E"/>
    <w:rsid w:val="00085EBA"/>
    <w:rsid w:val="000931FE"/>
    <w:rsid w:val="00095E8C"/>
    <w:rsid w:val="000A453D"/>
    <w:rsid w:val="000A49C5"/>
    <w:rsid w:val="000B46CD"/>
    <w:rsid w:val="000F3C46"/>
    <w:rsid w:val="000F7EA3"/>
    <w:rsid w:val="00101A89"/>
    <w:rsid w:val="00111085"/>
    <w:rsid w:val="001203D9"/>
    <w:rsid w:val="00122E94"/>
    <w:rsid w:val="00136068"/>
    <w:rsid w:val="00140A92"/>
    <w:rsid w:val="00142C5D"/>
    <w:rsid w:val="00144FC7"/>
    <w:rsid w:val="00153F7E"/>
    <w:rsid w:val="00157F35"/>
    <w:rsid w:val="00166476"/>
    <w:rsid w:val="00167D22"/>
    <w:rsid w:val="0017100D"/>
    <w:rsid w:val="00171A00"/>
    <w:rsid w:val="00177DF6"/>
    <w:rsid w:val="00180B28"/>
    <w:rsid w:val="0018171C"/>
    <w:rsid w:val="00192689"/>
    <w:rsid w:val="001A2BBF"/>
    <w:rsid w:val="001A3C49"/>
    <w:rsid w:val="001C2874"/>
    <w:rsid w:val="001C60A2"/>
    <w:rsid w:val="001E0250"/>
    <w:rsid w:val="001E0917"/>
    <w:rsid w:val="001F4A2B"/>
    <w:rsid w:val="00202FAC"/>
    <w:rsid w:val="00217EAB"/>
    <w:rsid w:val="00222CF7"/>
    <w:rsid w:val="0022498C"/>
    <w:rsid w:val="0022626C"/>
    <w:rsid w:val="002307C2"/>
    <w:rsid w:val="0024469A"/>
    <w:rsid w:val="002534AB"/>
    <w:rsid w:val="00254F11"/>
    <w:rsid w:val="002578AA"/>
    <w:rsid w:val="0026055D"/>
    <w:rsid w:val="0026570C"/>
    <w:rsid w:val="002724D0"/>
    <w:rsid w:val="00286C44"/>
    <w:rsid w:val="00286FDC"/>
    <w:rsid w:val="00290448"/>
    <w:rsid w:val="002A7840"/>
    <w:rsid w:val="002A7977"/>
    <w:rsid w:val="002B0E52"/>
    <w:rsid w:val="002B1CE5"/>
    <w:rsid w:val="002B7D85"/>
    <w:rsid w:val="002C396B"/>
    <w:rsid w:val="002D3B98"/>
    <w:rsid w:val="002E0A67"/>
    <w:rsid w:val="002E6DC3"/>
    <w:rsid w:val="002F17B6"/>
    <w:rsid w:val="002F1B6B"/>
    <w:rsid w:val="002F35D5"/>
    <w:rsid w:val="002F4DB3"/>
    <w:rsid w:val="002F7988"/>
    <w:rsid w:val="00304FC3"/>
    <w:rsid w:val="003137F5"/>
    <w:rsid w:val="00315DCA"/>
    <w:rsid w:val="00320958"/>
    <w:rsid w:val="0032326A"/>
    <w:rsid w:val="00326B41"/>
    <w:rsid w:val="00327532"/>
    <w:rsid w:val="003304A0"/>
    <w:rsid w:val="00333A8F"/>
    <w:rsid w:val="00350FFA"/>
    <w:rsid w:val="003610C0"/>
    <w:rsid w:val="00371E21"/>
    <w:rsid w:val="00382F07"/>
    <w:rsid w:val="0039190C"/>
    <w:rsid w:val="003A2EFF"/>
    <w:rsid w:val="003B4B2E"/>
    <w:rsid w:val="003C2CBE"/>
    <w:rsid w:val="003C33AB"/>
    <w:rsid w:val="003C4812"/>
    <w:rsid w:val="003C6D67"/>
    <w:rsid w:val="003D0018"/>
    <w:rsid w:val="003E6FDD"/>
    <w:rsid w:val="003F20FB"/>
    <w:rsid w:val="00413141"/>
    <w:rsid w:val="00414677"/>
    <w:rsid w:val="00415A6B"/>
    <w:rsid w:val="004173C8"/>
    <w:rsid w:val="00424405"/>
    <w:rsid w:val="0043472B"/>
    <w:rsid w:val="00435108"/>
    <w:rsid w:val="004373D7"/>
    <w:rsid w:val="00440A33"/>
    <w:rsid w:val="00441447"/>
    <w:rsid w:val="004436B7"/>
    <w:rsid w:val="00443F5C"/>
    <w:rsid w:val="0044492C"/>
    <w:rsid w:val="00446ACA"/>
    <w:rsid w:val="00453C04"/>
    <w:rsid w:val="00461BA7"/>
    <w:rsid w:val="0046369A"/>
    <w:rsid w:val="00463DC2"/>
    <w:rsid w:val="00484886"/>
    <w:rsid w:val="004848B4"/>
    <w:rsid w:val="00484B8A"/>
    <w:rsid w:val="00484CA6"/>
    <w:rsid w:val="0048618C"/>
    <w:rsid w:val="00495658"/>
    <w:rsid w:val="00496577"/>
    <w:rsid w:val="00497764"/>
    <w:rsid w:val="004A4848"/>
    <w:rsid w:val="004A4B5D"/>
    <w:rsid w:val="004B5562"/>
    <w:rsid w:val="004B6FA9"/>
    <w:rsid w:val="004B74F7"/>
    <w:rsid w:val="004C0DF3"/>
    <w:rsid w:val="004C7344"/>
    <w:rsid w:val="004D17ED"/>
    <w:rsid w:val="004D264E"/>
    <w:rsid w:val="004D4773"/>
    <w:rsid w:val="004D6F38"/>
    <w:rsid w:val="004E622C"/>
    <w:rsid w:val="004F00B3"/>
    <w:rsid w:val="00500874"/>
    <w:rsid w:val="00507E9E"/>
    <w:rsid w:val="00512AD6"/>
    <w:rsid w:val="0051352E"/>
    <w:rsid w:val="0051414D"/>
    <w:rsid w:val="00517DA7"/>
    <w:rsid w:val="00520A33"/>
    <w:rsid w:val="00520A5C"/>
    <w:rsid w:val="00523374"/>
    <w:rsid w:val="005269AD"/>
    <w:rsid w:val="00527AE4"/>
    <w:rsid w:val="00545632"/>
    <w:rsid w:val="00553EEC"/>
    <w:rsid w:val="005554B6"/>
    <w:rsid w:val="0055569D"/>
    <w:rsid w:val="00574A31"/>
    <w:rsid w:val="00574FEB"/>
    <w:rsid w:val="005751A8"/>
    <w:rsid w:val="00580C44"/>
    <w:rsid w:val="005960CF"/>
    <w:rsid w:val="00596A88"/>
    <w:rsid w:val="005B1945"/>
    <w:rsid w:val="005B2609"/>
    <w:rsid w:val="005C1653"/>
    <w:rsid w:val="005D5E41"/>
    <w:rsid w:val="005D6BBB"/>
    <w:rsid w:val="005D788D"/>
    <w:rsid w:val="005D7CE7"/>
    <w:rsid w:val="005F1487"/>
    <w:rsid w:val="0060122F"/>
    <w:rsid w:val="00610A38"/>
    <w:rsid w:val="006116F5"/>
    <w:rsid w:val="00612A1F"/>
    <w:rsid w:val="006138C3"/>
    <w:rsid w:val="0061601E"/>
    <w:rsid w:val="00621437"/>
    <w:rsid w:val="00625762"/>
    <w:rsid w:val="00630DDF"/>
    <w:rsid w:val="0063197F"/>
    <w:rsid w:val="006321F6"/>
    <w:rsid w:val="0063237C"/>
    <w:rsid w:val="006331B0"/>
    <w:rsid w:val="00634CBF"/>
    <w:rsid w:val="00640850"/>
    <w:rsid w:val="00641303"/>
    <w:rsid w:val="00642583"/>
    <w:rsid w:val="006431FF"/>
    <w:rsid w:val="006560D8"/>
    <w:rsid w:val="00662A42"/>
    <w:rsid w:val="00665C3A"/>
    <w:rsid w:val="00665D50"/>
    <w:rsid w:val="00681E27"/>
    <w:rsid w:val="006B0B39"/>
    <w:rsid w:val="006B2DF1"/>
    <w:rsid w:val="006B5577"/>
    <w:rsid w:val="006C1289"/>
    <w:rsid w:val="006C1503"/>
    <w:rsid w:val="006C7221"/>
    <w:rsid w:val="006D154E"/>
    <w:rsid w:val="006D59E0"/>
    <w:rsid w:val="006E5D6E"/>
    <w:rsid w:val="006E6B2B"/>
    <w:rsid w:val="006F05A3"/>
    <w:rsid w:val="006F2898"/>
    <w:rsid w:val="00704585"/>
    <w:rsid w:val="00711560"/>
    <w:rsid w:val="00721B03"/>
    <w:rsid w:val="00721B85"/>
    <w:rsid w:val="00721DC1"/>
    <w:rsid w:val="00725E9D"/>
    <w:rsid w:val="00731B3C"/>
    <w:rsid w:val="00737507"/>
    <w:rsid w:val="00744BB2"/>
    <w:rsid w:val="00745DCE"/>
    <w:rsid w:val="00753588"/>
    <w:rsid w:val="007570DC"/>
    <w:rsid w:val="00761EEB"/>
    <w:rsid w:val="00784C2B"/>
    <w:rsid w:val="0079759C"/>
    <w:rsid w:val="007A50F6"/>
    <w:rsid w:val="007B1ABA"/>
    <w:rsid w:val="007B74C5"/>
    <w:rsid w:val="007B7866"/>
    <w:rsid w:val="007C09AF"/>
    <w:rsid w:val="007C10D2"/>
    <w:rsid w:val="007C56C6"/>
    <w:rsid w:val="007D1FA0"/>
    <w:rsid w:val="007D5924"/>
    <w:rsid w:val="007E1A66"/>
    <w:rsid w:val="007E7C6A"/>
    <w:rsid w:val="007F2AA0"/>
    <w:rsid w:val="00805DDC"/>
    <w:rsid w:val="00813F62"/>
    <w:rsid w:val="00814A47"/>
    <w:rsid w:val="008323D0"/>
    <w:rsid w:val="00842C50"/>
    <w:rsid w:val="00845081"/>
    <w:rsid w:val="008507C1"/>
    <w:rsid w:val="00854AB5"/>
    <w:rsid w:val="00861934"/>
    <w:rsid w:val="008652BF"/>
    <w:rsid w:val="0087104E"/>
    <w:rsid w:val="00881A07"/>
    <w:rsid w:val="00883DA7"/>
    <w:rsid w:val="008916AB"/>
    <w:rsid w:val="0089327A"/>
    <w:rsid w:val="008A6CCE"/>
    <w:rsid w:val="008B00B6"/>
    <w:rsid w:val="008B796D"/>
    <w:rsid w:val="008C2954"/>
    <w:rsid w:val="008C5BB2"/>
    <w:rsid w:val="008C6DFD"/>
    <w:rsid w:val="008C71B4"/>
    <w:rsid w:val="008E22BA"/>
    <w:rsid w:val="008F04EA"/>
    <w:rsid w:val="008F0AC9"/>
    <w:rsid w:val="008F2065"/>
    <w:rsid w:val="008F4179"/>
    <w:rsid w:val="008F7E67"/>
    <w:rsid w:val="00900F7F"/>
    <w:rsid w:val="00901FBE"/>
    <w:rsid w:val="0091333A"/>
    <w:rsid w:val="0092150E"/>
    <w:rsid w:val="00933B10"/>
    <w:rsid w:val="00934446"/>
    <w:rsid w:val="0093473D"/>
    <w:rsid w:val="009374A8"/>
    <w:rsid w:val="00941FD9"/>
    <w:rsid w:val="00944ECC"/>
    <w:rsid w:val="00947106"/>
    <w:rsid w:val="0095157F"/>
    <w:rsid w:val="00962D2E"/>
    <w:rsid w:val="00972F57"/>
    <w:rsid w:val="00975479"/>
    <w:rsid w:val="00975A30"/>
    <w:rsid w:val="00983553"/>
    <w:rsid w:val="00983D78"/>
    <w:rsid w:val="009859DC"/>
    <w:rsid w:val="00987DE5"/>
    <w:rsid w:val="009915BE"/>
    <w:rsid w:val="00995280"/>
    <w:rsid w:val="009A0509"/>
    <w:rsid w:val="009C0924"/>
    <w:rsid w:val="009C2572"/>
    <w:rsid w:val="009D3FAA"/>
    <w:rsid w:val="009D5183"/>
    <w:rsid w:val="009F00DE"/>
    <w:rsid w:val="00A03A2E"/>
    <w:rsid w:val="00A11145"/>
    <w:rsid w:val="00A14B02"/>
    <w:rsid w:val="00A21FA9"/>
    <w:rsid w:val="00A24359"/>
    <w:rsid w:val="00A247D9"/>
    <w:rsid w:val="00A24E6E"/>
    <w:rsid w:val="00A31684"/>
    <w:rsid w:val="00A32C0F"/>
    <w:rsid w:val="00A331FA"/>
    <w:rsid w:val="00A43694"/>
    <w:rsid w:val="00A501E9"/>
    <w:rsid w:val="00A566C3"/>
    <w:rsid w:val="00A56FC7"/>
    <w:rsid w:val="00A57693"/>
    <w:rsid w:val="00A668BF"/>
    <w:rsid w:val="00A716DB"/>
    <w:rsid w:val="00A72575"/>
    <w:rsid w:val="00A74071"/>
    <w:rsid w:val="00A754E4"/>
    <w:rsid w:val="00A85F20"/>
    <w:rsid w:val="00AA124A"/>
    <w:rsid w:val="00AA2A96"/>
    <w:rsid w:val="00AB1387"/>
    <w:rsid w:val="00AB234B"/>
    <w:rsid w:val="00AB4A5C"/>
    <w:rsid w:val="00AB4BD0"/>
    <w:rsid w:val="00AB5DC2"/>
    <w:rsid w:val="00AC553A"/>
    <w:rsid w:val="00AD454C"/>
    <w:rsid w:val="00AD55F0"/>
    <w:rsid w:val="00AD795F"/>
    <w:rsid w:val="00AE78B3"/>
    <w:rsid w:val="00AF71E6"/>
    <w:rsid w:val="00B03006"/>
    <w:rsid w:val="00B0535E"/>
    <w:rsid w:val="00B06FEB"/>
    <w:rsid w:val="00B100CC"/>
    <w:rsid w:val="00B124E5"/>
    <w:rsid w:val="00B135A8"/>
    <w:rsid w:val="00B21394"/>
    <w:rsid w:val="00B261FA"/>
    <w:rsid w:val="00B326DE"/>
    <w:rsid w:val="00B36D03"/>
    <w:rsid w:val="00B3769F"/>
    <w:rsid w:val="00B40C6A"/>
    <w:rsid w:val="00B456C5"/>
    <w:rsid w:val="00B541BC"/>
    <w:rsid w:val="00B637E2"/>
    <w:rsid w:val="00B6689D"/>
    <w:rsid w:val="00B7064B"/>
    <w:rsid w:val="00B72368"/>
    <w:rsid w:val="00B73FBD"/>
    <w:rsid w:val="00B74BAC"/>
    <w:rsid w:val="00B804EA"/>
    <w:rsid w:val="00B81BB6"/>
    <w:rsid w:val="00B8343A"/>
    <w:rsid w:val="00B83888"/>
    <w:rsid w:val="00B926A5"/>
    <w:rsid w:val="00B9552B"/>
    <w:rsid w:val="00B96872"/>
    <w:rsid w:val="00BA04E1"/>
    <w:rsid w:val="00BA08C4"/>
    <w:rsid w:val="00BA5ED3"/>
    <w:rsid w:val="00BB5DC6"/>
    <w:rsid w:val="00BC4171"/>
    <w:rsid w:val="00BD352E"/>
    <w:rsid w:val="00BD7968"/>
    <w:rsid w:val="00BE481B"/>
    <w:rsid w:val="00BE5356"/>
    <w:rsid w:val="00BF6286"/>
    <w:rsid w:val="00C04C11"/>
    <w:rsid w:val="00C07F8F"/>
    <w:rsid w:val="00C13EA6"/>
    <w:rsid w:val="00C15BD6"/>
    <w:rsid w:val="00C27E1A"/>
    <w:rsid w:val="00C30140"/>
    <w:rsid w:val="00C31566"/>
    <w:rsid w:val="00C3340B"/>
    <w:rsid w:val="00C43AED"/>
    <w:rsid w:val="00C43D23"/>
    <w:rsid w:val="00C442C1"/>
    <w:rsid w:val="00C54D58"/>
    <w:rsid w:val="00C5733E"/>
    <w:rsid w:val="00C573E1"/>
    <w:rsid w:val="00C60222"/>
    <w:rsid w:val="00C62A73"/>
    <w:rsid w:val="00C64653"/>
    <w:rsid w:val="00C736D3"/>
    <w:rsid w:val="00C745E4"/>
    <w:rsid w:val="00C7468A"/>
    <w:rsid w:val="00C75A3F"/>
    <w:rsid w:val="00C82D05"/>
    <w:rsid w:val="00C93CC8"/>
    <w:rsid w:val="00C94A2C"/>
    <w:rsid w:val="00C955F6"/>
    <w:rsid w:val="00C95DF6"/>
    <w:rsid w:val="00C9684B"/>
    <w:rsid w:val="00CA0E34"/>
    <w:rsid w:val="00CB6A5A"/>
    <w:rsid w:val="00CB6CF3"/>
    <w:rsid w:val="00CC3BA4"/>
    <w:rsid w:val="00CC421B"/>
    <w:rsid w:val="00CC4F7E"/>
    <w:rsid w:val="00CC572F"/>
    <w:rsid w:val="00CD6E96"/>
    <w:rsid w:val="00CD7841"/>
    <w:rsid w:val="00CF1174"/>
    <w:rsid w:val="00CF24E7"/>
    <w:rsid w:val="00D144E5"/>
    <w:rsid w:val="00D17095"/>
    <w:rsid w:val="00D21DB6"/>
    <w:rsid w:val="00D274A6"/>
    <w:rsid w:val="00D2792D"/>
    <w:rsid w:val="00D30E66"/>
    <w:rsid w:val="00D33306"/>
    <w:rsid w:val="00D37331"/>
    <w:rsid w:val="00D40A7B"/>
    <w:rsid w:val="00D40ECC"/>
    <w:rsid w:val="00D46D13"/>
    <w:rsid w:val="00D47E9D"/>
    <w:rsid w:val="00D542D7"/>
    <w:rsid w:val="00D60FBA"/>
    <w:rsid w:val="00D703E2"/>
    <w:rsid w:val="00D707CF"/>
    <w:rsid w:val="00D7425D"/>
    <w:rsid w:val="00D8212D"/>
    <w:rsid w:val="00D86F50"/>
    <w:rsid w:val="00D92C73"/>
    <w:rsid w:val="00D94B36"/>
    <w:rsid w:val="00DA1B7B"/>
    <w:rsid w:val="00DA29D5"/>
    <w:rsid w:val="00DB0FE8"/>
    <w:rsid w:val="00DB79DF"/>
    <w:rsid w:val="00DC2212"/>
    <w:rsid w:val="00DE0402"/>
    <w:rsid w:val="00DE1D12"/>
    <w:rsid w:val="00DE5648"/>
    <w:rsid w:val="00DE7793"/>
    <w:rsid w:val="00DF49C1"/>
    <w:rsid w:val="00E02099"/>
    <w:rsid w:val="00E03C7A"/>
    <w:rsid w:val="00E118C4"/>
    <w:rsid w:val="00E14881"/>
    <w:rsid w:val="00E243FD"/>
    <w:rsid w:val="00E24C65"/>
    <w:rsid w:val="00E36EF8"/>
    <w:rsid w:val="00E44E17"/>
    <w:rsid w:val="00E602A7"/>
    <w:rsid w:val="00E63D94"/>
    <w:rsid w:val="00E665CB"/>
    <w:rsid w:val="00E6702D"/>
    <w:rsid w:val="00E67289"/>
    <w:rsid w:val="00E7304E"/>
    <w:rsid w:val="00E741DD"/>
    <w:rsid w:val="00E8263E"/>
    <w:rsid w:val="00E833F7"/>
    <w:rsid w:val="00E86521"/>
    <w:rsid w:val="00E8715A"/>
    <w:rsid w:val="00E90E5F"/>
    <w:rsid w:val="00E9263F"/>
    <w:rsid w:val="00E9326A"/>
    <w:rsid w:val="00E9345D"/>
    <w:rsid w:val="00E93617"/>
    <w:rsid w:val="00E958C5"/>
    <w:rsid w:val="00EA32F7"/>
    <w:rsid w:val="00EA3F18"/>
    <w:rsid w:val="00EB1FD6"/>
    <w:rsid w:val="00EB2F9E"/>
    <w:rsid w:val="00EB4488"/>
    <w:rsid w:val="00EC3EC6"/>
    <w:rsid w:val="00EC6A53"/>
    <w:rsid w:val="00EC7588"/>
    <w:rsid w:val="00EC768F"/>
    <w:rsid w:val="00ED1168"/>
    <w:rsid w:val="00ED3C62"/>
    <w:rsid w:val="00ED6220"/>
    <w:rsid w:val="00EE5EEB"/>
    <w:rsid w:val="00EE776B"/>
    <w:rsid w:val="00EF2F73"/>
    <w:rsid w:val="00EF4ED5"/>
    <w:rsid w:val="00EF6A3E"/>
    <w:rsid w:val="00F0126D"/>
    <w:rsid w:val="00F01D94"/>
    <w:rsid w:val="00F11FB5"/>
    <w:rsid w:val="00F12112"/>
    <w:rsid w:val="00F14293"/>
    <w:rsid w:val="00F230CD"/>
    <w:rsid w:val="00F23D8B"/>
    <w:rsid w:val="00F35161"/>
    <w:rsid w:val="00F42FE0"/>
    <w:rsid w:val="00F45AF7"/>
    <w:rsid w:val="00F51C18"/>
    <w:rsid w:val="00F5519C"/>
    <w:rsid w:val="00F57678"/>
    <w:rsid w:val="00F614F1"/>
    <w:rsid w:val="00F61BAC"/>
    <w:rsid w:val="00F66507"/>
    <w:rsid w:val="00F67D4A"/>
    <w:rsid w:val="00F747A6"/>
    <w:rsid w:val="00F76484"/>
    <w:rsid w:val="00F808DA"/>
    <w:rsid w:val="00F905E5"/>
    <w:rsid w:val="00FA31E2"/>
    <w:rsid w:val="00FA33D7"/>
    <w:rsid w:val="00FA3719"/>
    <w:rsid w:val="00FB6477"/>
    <w:rsid w:val="00FC7D5B"/>
    <w:rsid w:val="00FD73B2"/>
    <w:rsid w:val="00FE506D"/>
    <w:rsid w:val="00FE7585"/>
    <w:rsid w:val="00FF5B70"/>
    <w:rsid w:val="00FF5BB9"/>
    <w:rsid w:val="08BE509E"/>
    <w:rsid w:val="0DA27284"/>
    <w:rsid w:val="0ECE7023"/>
    <w:rsid w:val="146CF022"/>
    <w:rsid w:val="250468B8"/>
    <w:rsid w:val="2A3FA17E"/>
    <w:rsid w:val="2CF372AE"/>
    <w:rsid w:val="300F1F2E"/>
    <w:rsid w:val="30D4C636"/>
    <w:rsid w:val="44FF26C9"/>
    <w:rsid w:val="4A4AF894"/>
    <w:rsid w:val="4C967401"/>
    <w:rsid w:val="53D4B857"/>
    <w:rsid w:val="672B9BCD"/>
    <w:rsid w:val="6A4EE0CB"/>
    <w:rsid w:val="745BADAE"/>
    <w:rsid w:val="760017A7"/>
    <w:rsid w:val="785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5AC6D8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5D7A38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24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22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23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21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paragraph" w:styleId="Revision">
    <w:name w:val="Revision"/>
    <w:hidden/>
    <w:uiPriority w:val="99"/>
    <w:semiHidden/>
    <w:rsid w:val="00975479"/>
    <w:pPr>
      <w:spacing w:after="0" w:line="240" w:lineRule="auto"/>
    </w:pPr>
    <w:rPr>
      <w:rFonts w:ascii="Aptos Display" w:hAnsi="Aptos Display"/>
    </w:rPr>
  </w:style>
  <w:style w:type="character" w:styleId="CommentReference">
    <w:name w:val="annotation reference"/>
    <w:basedOn w:val="DefaultParagraphFont"/>
    <w:uiPriority w:val="99"/>
    <w:semiHidden/>
    <w:unhideWhenUsed/>
    <w:rsid w:val="00D60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FBA"/>
    <w:rPr>
      <w:rFonts w:ascii="Aptos Display" w:hAnsi="Aptos Displ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BA"/>
    <w:rPr>
      <w:rFonts w:ascii="Aptos Display" w:hAnsi="Aptos Displa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sharedservicescentre-my.sharepoint.com/personal/blake_worsfold_dewr_gov_au/Documents/Blake's%20Work/WGEA%20Gender%20Pay%20Gap%20Employer%20Report/DEWR%20Gender%20Composition%20by%20Pay%20Quartile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429212691169783E-2"/>
          <c:y val="2.6567481402763018E-2"/>
          <c:w val="0.69671802878088518"/>
          <c:h val="0.93623804463336857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'Sheet2 (2)'!$K$10</c:f>
              <c:strCache>
                <c:ptCount val="1"/>
                <c:pt idx="0">
                  <c:v>Women </c:v>
                </c:pt>
              </c:strCache>
            </c:strRef>
          </c:tx>
          <c:spPr>
            <a:solidFill>
              <a:srgbClr val="A4A7A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261-4FFA-B358-DE391DA4BDFC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261-4FFA-B358-DE391DA4BDFC}"/>
              </c:ext>
            </c:extLst>
          </c:dPt>
          <c:dLbls>
            <c:dLbl>
              <c:idx val="1"/>
              <c:layout>
                <c:manualLayout>
                  <c:x val="0.49316917540784427"/>
                  <c:y val="-1.1535725940739873E-2"/>
                </c:manualLayout>
              </c:layout>
              <c:tx>
                <c:rich>
                  <a:bodyPr rot="0" spcFirstLastPara="1" vertOverflow="overflow" horzOverflow="overflow" vert="horz" wrap="square" lIns="38100" tIns="19050" rIns="38100" bIns="19050" anchor="ctr" anchorCtr="0">
                    <a:noAutofit/>
                  </a:bodyPr>
                  <a:lstStyle/>
                  <a:p>
                    <a:pPr algn="ctr"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Aptos" panose="020B0004020202020204" pitchFamily="34" charset="0"/>
                        <a:ea typeface="+mn-ea"/>
                        <a:cs typeface="+mn-cs"/>
                      </a:defRPr>
                    </a:pPr>
                    <a:fld id="{D6CB5914-078A-4107-B242-C447DD3E9FF7}" type="CATEGORYNAME">
                      <a:rPr lang="en-US" sz="900">
                        <a:solidFill>
                          <a:sysClr val="windowText" lastClr="000000"/>
                        </a:solidFill>
                        <a:latin typeface="Aptos" panose="020B0004020202020204" pitchFamily="34" charset="0"/>
                      </a:rPr>
                      <a:pPr algn="ctr">
                        <a:defRPr>
                          <a:solidFill>
                            <a:sysClr val="windowText" lastClr="000000"/>
                          </a:solidFill>
                          <a:latin typeface="Aptos" panose="020B0004020202020204" pitchFamily="34" charset="0"/>
                        </a:defRPr>
                      </a:pPr>
                      <a:t>[CATEGORY NAME]</a:t>
                    </a:fld>
                    <a:endParaRPr lang="en-A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ptos" panose="020B0004020202020204" pitchFamily="34" charset="0"/>
                      <a:ea typeface="+mn-ea"/>
                      <a:cs typeface="+mn-cs"/>
                    </a:defRPr>
                  </a:pPr>
                  <a:endParaRPr lang="en-AU"/>
                </a:p>
              </c:tx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632247870890449"/>
                      <c:h val="4.218585944282478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261-4FFA-B358-DE391DA4BDFC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61-4FFA-B358-DE391DA4BDFC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61-4FFA-B358-DE391DA4BDFC}"/>
                </c:ext>
              </c:extLst>
            </c:dLbl>
            <c:dLbl>
              <c:idx val="1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261-4FFA-B358-DE391DA4BDFC}"/>
                </c:ext>
              </c:extLst>
            </c:dLbl>
            <c:dLbl>
              <c:idx val="1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261-4FFA-B358-DE391DA4BDFC}"/>
                </c:ext>
              </c:extLst>
            </c:dLbl>
            <c:dLbl>
              <c:idx val="1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261-4FFA-B358-DE391DA4BD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'Sheet2 (2)'!$J$11:$J$28</c:f>
              <c:strCache>
                <c:ptCount val="17"/>
                <c:pt idx="1">
                  <c:v>Average Total Remuneration</c:v>
                </c:pt>
                <c:pt idx="4">
                  <c:v>Total Workforce</c:v>
                </c:pt>
                <c:pt idx="7">
                  <c:v>Upper Quartile</c:v>
                </c:pt>
                <c:pt idx="10">
                  <c:v>Upper Middle Quartile</c:v>
                </c:pt>
                <c:pt idx="13">
                  <c:v>Lower Middle Quartile</c:v>
                </c:pt>
                <c:pt idx="16">
                  <c:v>Lower Quartile</c:v>
                </c:pt>
              </c:strCache>
            </c:strRef>
          </c:cat>
          <c:val>
            <c:numRef>
              <c:f>'Sheet2 (2)'!$K$11:$K$28</c:f>
              <c:numCache>
                <c:formatCode>General</c:formatCode>
                <c:ptCount val="18"/>
                <c:pt idx="0">
                  <c:v>100</c:v>
                </c:pt>
                <c:pt idx="1">
                  <c:v>100</c:v>
                </c:pt>
                <c:pt idx="4" formatCode="0%">
                  <c:v>0.6</c:v>
                </c:pt>
                <c:pt idx="7" formatCode="0%">
                  <c:v>0.59</c:v>
                </c:pt>
                <c:pt idx="10" formatCode="0%">
                  <c:v>0.59</c:v>
                </c:pt>
                <c:pt idx="13" formatCode="0%">
                  <c:v>0.63</c:v>
                </c:pt>
                <c:pt idx="16" formatCode="0%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261-4FFA-B358-DE391DA4BDFC}"/>
            </c:ext>
          </c:extLst>
        </c:ser>
        <c:ser>
          <c:idx val="1"/>
          <c:order val="1"/>
          <c:tx>
            <c:strRef>
              <c:f>'Sheet2 (2)'!$L$10</c:f>
              <c:strCache>
                <c:ptCount val="1"/>
                <c:pt idx="0">
                  <c:v>Men</c:v>
                </c:pt>
              </c:strCache>
            </c:strRef>
          </c:tx>
          <c:spPr>
            <a:solidFill>
              <a:srgbClr val="7A9F4C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7A9F4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F261-4FFA-B358-DE391DA4BDF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'Sheet2 (2)'!$J$11:$J$28</c:f>
              <c:strCache>
                <c:ptCount val="17"/>
                <c:pt idx="1">
                  <c:v>Average Total Remuneration</c:v>
                </c:pt>
                <c:pt idx="4">
                  <c:v>Total Workforce</c:v>
                </c:pt>
                <c:pt idx="7">
                  <c:v>Upper Quartile</c:v>
                </c:pt>
                <c:pt idx="10">
                  <c:v>Upper Middle Quartile</c:v>
                </c:pt>
                <c:pt idx="13">
                  <c:v>Lower Middle Quartile</c:v>
                </c:pt>
                <c:pt idx="16">
                  <c:v>Lower Quartile</c:v>
                </c:pt>
              </c:strCache>
            </c:strRef>
          </c:cat>
          <c:val>
            <c:numRef>
              <c:f>'Sheet2 (2)'!$L$11:$L$28</c:f>
              <c:numCache>
                <c:formatCode>General</c:formatCode>
                <c:ptCount val="18"/>
                <c:pt idx="4" formatCode="0%">
                  <c:v>0.4</c:v>
                </c:pt>
                <c:pt idx="7" formatCode="0%">
                  <c:v>0.41</c:v>
                </c:pt>
                <c:pt idx="10" formatCode="0%">
                  <c:v>0.41</c:v>
                </c:pt>
                <c:pt idx="13" formatCode="0%">
                  <c:v>0.37</c:v>
                </c:pt>
                <c:pt idx="16" formatCode="0%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261-4FFA-B358-DE391DA4BDFC}"/>
            </c:ext>
          </c:extLst>
        </c:ser>
        <c:ser>
          <c:idx val="2"/>
          <c:order val="2"/>
          <c:tx>
            <c:strRef>
              <c:f>'Sheet2 (2)'!$M$10</c:f>
              <c:strCache>
                <c:ptCount val="1"/>
                <c:pt idx="0">
                  <c:v>Women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bg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F261-4FFA-B358-DE391DA4BDFC}"/>
              </c:ext>
            </c:extLst>
          </c:dPt>
          <c:dLbls>
            <c:dLbl>
              <c:idx val="0"/>
              <c:dLblPos val="inBase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261-4FFA-B358-DE391DA4BDFC}"/>
                </c:ext>
              </c:extLst>
            </c:dLbl>
            <c:dLbl>
              <c:idx val="3"/>
              <c:layout>
                <c:manualLayout>
                  <c:x val="-0.12736164043441647"/>
                  <c:y val="0"/>
                </c:manualLayout>
              </c:layout>
              <c:tx>
                <c:rich>
                  <a:bodyPr/>
                  <a:lstStyle/>
                  <a:p>
                    <a:fld id="{C8B8D831-4961-4BC8-AF28-148B5B7320AE}" type="CELLREF">
                      <a:rPr lang="en-US"/>
                      <a:pPr/>
                      <a:t>[CELLREF]</a:t>
                    </a:fld>
                    <a:endParaRPr lang="en-A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{C8B8D831-4961-4BC8-AF28-148B5B7320AE}</c15:txfldGUID>
                      <c15:f>'Sheet2 (2)'!$J$15</c15:f>
                      <c15:dlblFieldTableCache>
                        <c:ptCount val="1"/>
                        <c:pt idx="0">
                          <c:v>Total Workforce</c:v>
                        </c:pt>
                      </c15:dlblFieldTableCache>
                    </c15:dlblFTEntry>
                  </c15:dlblFieldTable>
                  <c15:showDataLabelsRange val="1"/>
                </c:ext>
                <c:ext xmlns:c16="http://schemas.microsoft.com/office/drawing/2014/chart" uri="{C3380CC4-5D6E-409C-BE32-E72D297353CC}">
                  <c16:uniqueId val="{00000010-F261-4FFA-B358-DE391DA4BDFC}"/>
                </c:ext>
              </c:extLst>
            </c:dLbl>
            <c:dLbl>
              <c:idx val="6"/>
              <c:layout>
                <c:manualLayout>
                  <c:x val="-0.12716353123996216"/>
                  <c:y val="6.1345563150573168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Upper Quartile</a:t>
                    </a:r>
                    <a:r>
                      <a:rPr lang="en-US" baseline="0"/>
                      <a:t> </a:t>
                    </a:r>
                    <a:fld id="{532404ED-F40C-4B1F-B2EE-3F6864F1A69D}" type="CATEGORYNAME">
                      <a:rPr lang="en-US" baseline="0"/>
                      <a:pPr/>
                      <a:t>[CATEGORY NAME]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1-F261-4FFA-B358-DE391DA4BDFC}"/>
                </c:ext>
              </c:extLst>
            </c:dLbl>
            <c:dLbl>
              <c:idx val="9"/>
              <c:layout>
                <c:manualLayout>
                  <c:x val="-4.3305468031895666E-2"/>
                  <c:y val="1.3159829752590526E-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Upper Middle Quartile</a:t>
                    </a:r>
                    <a:fld id="{E43E6AA2-81A6-42C6-BA2E-B50FABAC541E}" type="CATEGORYNAME">
                      <a:rPr lang="en-US"/>
                      <a:pPr/>
                      <a:t>[CATEGORY NAME]</a:t>
                    </a:fld>
                    <a:endParaRPr lang="en-US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004247702252764"/>
                      <c:h val="9.171827962399266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2-F261-4FFA-B358-DE391DA4BDFC}"/>
                </c:ext>
              </c:extLst>
            </c:dLbl>
            <c:dLbl>
              <c:idx val="12"/>
              <c:layout>
                <c:manualLayout>
                  <c:x val="-6.242716919142087E-2"/>
                  <c:y val="1.3159829691244962E-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Lower Middle Quartile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966788162080444"/>
                      <c:h val="9.1718279623992663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3-F261-4FFA-B358-DE391DA4BDFC}"/>
                </c:ext>
              </c:extLst>
            </c:dLbl>
            <c:dLbl>
              <c:idx val="15"/>
              <c:layout>
                <c:manualLayout>
                  <c:x val="-0.13346413285990849"/>
                  <c:y val="1.2269112630114634E-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Lower Quartile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F261-4FFA-B358-DE391DA4BD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'Sheet2 (2)'!$J$11:$J$28</c:f>
              <c:strCache>
                <c:ptCount val="17"/>
                <c:pt idx="1">
                  <c:v>Average Total Remuneration</c:v>
                </c:pt>
                <c:pt idx="4">
                  <c:v>Total Workforce</c:v>
                </c:pt>
                <c:pt idx="7">
                  <c:v>Upper Quartile</c:v>
                </c:pt>
                <c:pt idx="10">
                  <c:v>Upper Middle Quartile</c:v>
                </c:pt>
                <c:pt idx="13">
                  <c:v>Lower Middle Quartile</c:v>
                </c:pt>
                <c:pt idx="16">
                  <c:v>Lower Quartile</c:v>
                </c:pt>
              </c:strCache>
            </c:strRef>
          </c:cat>
          <c:val>
            <c:numRef>
              <c:f>'Sheet2 (2)'!$M$11:$M$28</c:f>
              <c:numCache>
                <c:formatCode>General</c:formatCode>
                <c:ptCount val="18"/>
                <c:pt idx="2">
                  <c:v>50</c:v>
                </c:pt>
                <c:pt idx="3" formatCode="0%">
                  <c:v>0.6</c:v>
                </c:pt>
                <c:pt idx="6" formatCode="0%">
                  <c:v>0.59</c:v>
                </c:pt>
                <c:pt idx="9">
                  <c:v>59</c:v>
                </c:pt>
                <c:pt idx="12">
                  <c:v>63</c:v>
                </c:pt>
                <c:pt idx="15">
                  <c:v>60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'Sheet2 (2)'!$J$21</c15:f>
                <c15:dlblRangeCache>
                  <c:ptCount val="1"/>
                  <c:pt idx="0">
                    <c:v>Upper Middle Quartile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5-F261-4FFA-B358-DE391DA4BDFC}"/>
            </c:ext>
          </c:extLst>
        </c:ser>
        <c:ser>
          <c:idx val="3"/>
          <c:order val="3"/>
          <c:tx>
            <c:strRef>
              <c:f>'Sheet2 (2)'!$N$10</c:f>
              <c:strCache>
                <c:ptCount val="1"/>
                <c:pt idx="0">
                  <c:v>Men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bg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F261-4FFA-B358-DE391DA4BDFC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F261-4FFA-B358-DE391DA4BDF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F261-4FFA-B358-DE391DA4BDF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12060405008992318"/>
                      <c:h val="6.165432098765431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F261-4FFA-B358-DE391DA4BDFC}"/>
                </c:ext>
              </c:extLst>
            </c:dLbl>
            <c:dLbl>
              <c:idx val="3"/>
              <c:layout>
                <c:manualLayout>
                  <c:x val="0.277822569712878"/>
                  <c:y val="-5.466366906474820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ctr">
                      <a:defRPr sz="1000" b="0" i="0" u="none" strike="noStrike" kern="1200" baseline="0">
                        <a:solidFill>
                          <a:schemeClr val="tx1"/>
                        </a:solidFill>
                        <a:latin typeface="Aptos" panose="020B0004020202020204" pitchFamily="34" charset="0"/>
                        <a:ea typeface="+mn-ea"/>
                        <a:cs typeface="+mn-cs"/>
                      </a:defRPr>
                    </a:pPr>
                    <a:r>
                      <a:rPr lang="en-US" sz="1000">
                        <a:latin typeface="Aptos" panose="020B0004020202020204" pitchFamily="34" charset="0"/>
                      </a:rPr>
                      <a:t>$133,000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1000" b="0" i="0" u="none" strike="noStrike" kern="1200" baseline="0">
                      <a:solidFill>
                        <a:schemeClr val="tx1"/>
                      </a:solidFill>
                      <a:latin typeface="Aptos" panose="020B0004020202020204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421811312152761"/>
                      <c:h val="5.4834732214228618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A-F261-4FFA-B358-DE391DA4BDF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F261-4FFA-B358-DE391DA4BDFC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C-F261-4FFA-B358-DE391DA4BDF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fdssdfsdf</a:t>
                    </a:r>
                  </a:p>
                </c:rich>
              </c:tx>
              <c:dLblPos val="inEnd"/>
              <c:showLegendKey val="1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D-F261-4FFA-B358-DE391DA4BDF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E-F261-4FFA-B358-DE391DA4BDFC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F-F261-4FFA-B358-DE391DA4BDFC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0-F261-4FFA-B358-DE391DA4BDFC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1-F261-4FFA-B358-DE391DA4BDFC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2-F261-4FFA-B358-DE391DA4BDFC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3-F261-4FFA-B358-DE391DA4BDFC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4-F261-4FFA-B358-DE391DA4BDFC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5-F261-4FFA-B358-DE391DA4BDFC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6-F261-4FFA-B358-DE391DA4BDFC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7-F261-4FFA-B358-DE391DA4BDFC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"/>
                      <c:h val="0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8-F261-4FFA-B358-DE391DA4BD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'Sheet2 (2)'!$J$11:$J$28</c:f>
              <c:strCache>
                <c:ptCount val="17"/>
                <c:pt idx="1">
                  <c:v>Average Total Remuneration</c:v>
                </c:pt>
                <c:pt idx="4">
                  <c:v>Total Workforce</c:v>
                </c:pt>
                <c:pt idx="7">
                  <c:v>Upper Quartile</c:v>
                </c:pt>
                <c:pt idx="10">
                  <c:v>Upper Middle Quartile</c:v>
                </c:pt>
                <c:pt idx="13">
                  <c:v>Lower Middle Quartile</c:v>
                </c:pt>
                <c:pt idx="16">
                  <c:v>Lower Quartile</c:v>
                </c:pt>
              </c:strCache>
            </c:strRef>
          </c:cat>
          <c:val>
            <c:numRef>
              <c:f>'Sheet2 (2)'!$N$11:$N$28</c:f>
              <c:numCache>
                <c:formatCode>General</c:formatCode>
                <c:ptCount val="18"/>
                <c:pt idx="2">
                  <c:v>50</c:v>
                </c:pt>
                <c:pt idx="3" formatCode="0%">
                  <c:v>0.4</c:v>
                </c:pt>
                <c:pt idx="6" formatCode="0%">
                  <c:v>0.41</c:v>
                </c:pt>
                <c:pt idx="9">
                  <c:v>41</c:v>
                </c:pt>
                <c:pt idx="12">
                  <c:v>37</c:v>
                </c:pt>
                <c:pt idx="15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9-F261-4FFA-B358-DE391DA4BD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574247056"/>
        <c:axId val="574250416"/>
      </c:barChart>
      <c:catAx>
        <c:axId val="574247056"/>
        <c:scaling>
          <c:orientation val="maxMin"/>
        </c:scaling>
        <c:delete val="1"/>
        <c:axPos val="l"/>
        <c:numFmt formatCode="General" sourceLinked="1"/>
        <c:majorTickMark val="out"/>
        <c:minorTickMark val="none"/>
        <c:tickLblPos val="nextTo"/>
        <c:crossAx val="574250416"/>
        <c:crosses val="autoZero"/>
        <c:auto val="1"/>
        <c:lblAlgn val="ctr"/>
        <c:lblOffset val="100"/>
        <c:noMultiLvlLbl val="0"/>
      </c:catAx>
      <c:valAx>
        <c:axId val="57425041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74247056"/>
        <c:crosses val="max"/>
        <c:crossBetween val="between"/>
        <c:majorUnit val="0.25"/>
      </c:valAx>
      <c:spPr>
        <a:noFill/>
        <a:ln>
          <a:solidFill>
            <a:schemeClr val="bg1"/>
          </a:solidFill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49087603851062167"/>
          <c:y val="0.10639628297362111"/>
          <c:w val="0.23238868294715642"/>
          <c:h val="4.31312922945334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ptos" panose="020B0004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6868260791760923"/>
          <c:y val="9.5571179690185887E-2"/>
          <c:w val="0.68627814433205514"/>
          <c:h val="0.88535486014158382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Sheet4!$E$4</c:f>
              <c:strCache>
                <c:ptCount val="1"/>
                <c:pt idx="0">
                  <c:v>Full-Time</c:v>
                </c:pt>
              </c:strCache>
            </c:strRef>
          </c:tx>
          <c:spPr>
            <a:solidFill>
              <a:srgbClr val="A4A7A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Sheet4!$D$5:$D$8</c:f>
              <c:strCache>
                <c:ptCount val="4"/>
                <c:pt idx="0">
                  <c:v>Women Managers</c:v>
                </c:pt>
                <c:pt idx="1">
                  <c:v>Men Managers</c:v>
                </c:pt>
                <c:pt idx="2">
                  <c:v>Women Non-Managers</c:v>
                </c:pt>
                <c:pt idx="3">
                  <c:v>Men Non-Managers</c:v>
                </c:pt>
              </c:strCache>
            </c:strRef>
          </c:cat>
          <c:val>
            <c:numRef>
              <c:f>Sheet4!$E$5:$E$8</c:f>
              <c:numCache>
                <c:formatCode>0%</c:formatCode>
                <c:ptCount val="4"/>
                <c:pt idx="0">
                  <c:v>0.83</c:v>
                </c:pt>
                <c:pt idx="1">
                  <c:v>0.95</c:v>
                </c:pt>
                <c:pt idx="2">
                  <c:v>0.83</c:v>
                </c:pt>
                <c:pt idx="3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A3-4319-AF06-21357CC24CCC}"/>
            </c:ext>
          </c:extLst>
        </c:ser>
        <c:ser>
          <c:idx val="1"/>
          <c:order val="1"/>
          <c:tx>
            <c:strRef>
              <c:f>Sheet4!$F$4</c:f>
              <c:strCache>
                <c:ptCount val="1"/>
                <c:pt idx="0">
                  <c:v>Part-Time</c:v>
                </c:pt>
              </c:strCache>
            </c:strRef>
          </c:tx>
          <c:spPr>
            <a:solidFill>
              <a:srgbClr val="7A9F4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Sheet4!$D$5:$D$8</c:f>
              <c:strCache>
                <c:ptCount val="4"/>
                <c:pt idx="0">
                  <c:v>Women Managers</c:v>
                </c:pt>
                <c:pt idx="1">
                  <c:v>Men Managers</c:v>
                </c:pt>
                <c:pt idx="2">
                  <c:v>Women Non-Managers</c:v>
                </c:pt>
                <c:pt idx="3">
                  <c:v>Men Non-Managers</c:v>
                </c:pt>
              </c:strCache>
            </c:strRef>
          </c:cat>
          <c:val>
            <c:numRef>
              <c:f>Sheet4!$F$5:$F$8</c:f>
              <c:numCache>
                <c:formatCode>0%</c:formatCode>
                <c:ptCount val="4"/>
                <c:pt idx="0">
                  <c:v>0.17</c:v>
                </c:pt>
                <c:pt idx="1">
                  <c:v>0.05</c:v>
                </c:pt>
                <c:pt idx="2">
                  <c:v>0.17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A3-4319-AF06-21357CC24C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5"/>
        <c:overlap val="100"/>
        <c:axId val="777045040"/>
        <c:axId val="777047440"/>
      </c:barChart>
      <c:catAx>
        <c:axId val="77704504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en-US"/>
          </a:p>
        </c:txPr>
        <c:crossAx val="777047440"/>
        <c:crosses val="autoZero"/>
        <c:auto val="1"/>
        <c:lblAlgn val="ctr"/>
        <c:lblOffset val="100"/>
        <c:noMultiLvlLbl val="0"/>
      </c:catAx>
      <c:valAx>
        <c:axId val="777047440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high"/>
        <c:crossAx val="777045040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70568103062213849"/>
          <c:y val="8.1840364247618008E-3"/>
          <c:w val="0.29302086548954986"/>
          <c:h val="0.100556354848083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ptos" panose="020B0004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0.72428</cdr:x>
      <cdr:y>0.3812</cdr:y>
    </cdr:from>
    <cdr:to>
      <cdr:x>1</cdr:x>
      <cdr:y>0.4292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B3D83A9F-FC35-1AFD-E5B1-3D452A16A5AF}"/>
            </a:ext>
          </a:extLst>
        </cdr:cNvPr>
        <cdr:cNvSpPr txBox="1"/>
      </cdr:nvSpPr>
      <cdr:spPr>
        <a:xfrm xmlns:a="http://schemas.openxmlformats.org/drawingml/2006/main">
          <a:off x="3904702" y="911127"/>
          <a:ext cx="1486448" cy="1147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en-AU" sz="900" kern="1200"/>
            <a:t>$</a:t>
          </a:r>
          <a:r>
            <a:rPr lang="en-AU" sz="1000" kern="1200">
              <a:latin typeface="Aptos" panose="020B0004020202020204" pitchFamily="34" charset="0"/>
            </a:rPr>
            <a:t>185,000</a:t>
          </a:r>
          <a:endParaRPr lang="en-AU" sz="900" kern="1200">
            <a:latin typeface="Aptos" panose="020B0004020202020204" pitchFamily="34" charset="0"/>
          </a:endParaRPr>
        </a:p>
      </cdr:txBody>
    </cdr:sp>
  </cdr:relSizeAnchor>
  <cdr:relSizeAnchor xmlns:cdr="http://schemas.openxmlformats.org/drawingml/2006/chartDrawing">
    <cdr:from>
      <cdr:x>0.72465</cdr:x>
      <cdr:y>0.5398</cdr:y>
    </cdr:from>
    <cdr:to>
      <cdr:x>1</cdr:x>
      <cdr:y>0.59214</cdr:y>
    </cdr:to>
    <cdr:sp macro="" textlink="">
      <cdr:nvSpPr>
        <cdr:cNvPr id="4" name="TextBox 3">
          <a:extLst xmlns:a="http://schemas.openxmlformats.org/drawingml/2006/main">
            <a:ext uri="{FF2B5EF4-FFF2-40B4-BE49-F238E27FC236}">
              <a16:creationId xmlns:a16="http://schemas.microsoft.com/office/drawing/2014/main" id="{F81C9395-340C-86A9-E887-B7D9F1D9E52D}"/>
            </a:ext>
          </a:extLst>
        </cdr:cNvPr>
        <cdr:cNvSpPr txBox="1"/>
      </cdr:nvSpPr>
      <cdr:spPr>
        <a:xfrm xmlns:a="http://schemas.openxmlformats.org/drawingml/2006/main">
          <a:off x="3906696" y="1290208"/>
          <a:ext cx="1484454" cy="125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en-AU" sz="900" kern="1200">
              <a:solidFill>
                <a:schemeClr val="tx1"/>
              </a:solidFill>
            </a:rPr>
            <a:t>$</a:t>
          </a:r>
          <a:r>
            <a:rPr lang="en-AU" sz="1000" kern="1200">
              <a:solidFill>
                <a:schemeClr val="tx1"/>
              </a:solidFill>
              <a:latin typeface="Aptos" panose="020B0004020202020204" pitchFamily="34" charset="0"/>
            </a:rPr>
            <a:t>140,000</a:t>
          </a:r>
          <a:endParaRPr lang="en-AU" sz="900" kern="1200">
            <a:solidFill>
              <a:schemeClr val="tx1"/>
            </a:solidFill>
            <a:latin typeface="Aptos" panose="020B0004020202020204" pitchFamily="34" charset="0"/>
          </a:endParaRPr>
        </a:p>
      </cdr:txBody>
    </cdr:sp>
  </cdr:relSizeAnchor>
  <cdr:relSizeAnchor xmlns:cdr="http://schemas.openxmlformats.org/drawingml/2006/chartDrawing">
    <cdr:from>
      <cdr:x>0.72438</cdr:x>
      <cdr:y>0.70567</cdr:y>
    </cdr:from>
    <cdr:to>
      <cdr:x>1</cdr:x>
      <cdr:y>0.75938</cdr:y>
    </cdr:to>
    <cdr:sp macro="" textlink="">
      <cdr:nvSpPr>
        <cdr:cNvPr id="5" name="TextBox 4">
          <a:extLst xmlns:a="http://schemas.openxmlformats.org/drawingml/2006/main">
            <a:ext uri="{FF2B5EF4-FFF2-40B4-BE49-F238E27FC236}">
              <a16:creationId xmlns:a16="http://schemas.microsoft.com/office/drawing/2014/main" id="{B5EED8CC-557C-609A-0227-10BC32638C10}"/>
            </a:ext>
          </a:extLst>
        </cdr:cNvPr>
        <cdr:cNvSpPr txBox="1"/>
      </cdr:nvSpPr>
      <cdr:spPr>
        <a:xfrm xmlns:a="http://schemas.openxmlformats.org/drawingml/2006/main">
          <a:off x="3905241" y="1686660"/>
          <a:ext cx="1485909" cy="128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en-AU" sz="900" kern="1200">
              <a:solidFill>
                <a:schemeClr val="tx1"/>
              </a:solidFill>
            </a:rPr>
            <a:t>$</a:t>
          </a:r>
          <a:r>
            <a:rPr lang="en-AU" sz="1000" kern="1200">
              <a:solidFill>
                <a:sysClr val="windowText" lastClr="000000"/>
              </a:solidFill>
              <a:latin typeface="Aptos" panose="020B0004020202020204" pitchFamily="34" charset="0"/>
            </a:rPr>
            <a:t>114,000</a:t>
          </a:r>
          <a:endParaRPr lang="en-AU" sz="900" kern="1200">
            <a:solidFill>
              <a:sysClr val="windowText" lastClr="000000"/>
            </a:solidFill>
            <a:latin typeface="Aptos" panose="020B0004020202020204" pitchFamily="34" charset="0"/>
          </a:endParaRPr>
        </a:p>
      </cdr:txBody>
    </cdr:sp>
  </cdr:relSizeAnchor>
  <cdr:relSizeAnchor xmlns:cdr="http://schemas.openxmlformats.org/drawingml/2006/chartDrawing">
    <cdr:from>
      <cdr:x>0.72448</cdr:x>
      <cdr:y>0.87945</cdr:y>
    </cdr:from>
    <cdr:to>
      <cdr:x>1</cdr:x>
      <cdr:y>0.93315</cdr:y>
    </cdr:to>
    <cdr:sp macro="" textlink="">
      <cdr:nvSpPr>
        <cdr:cNvPr id="6" name="TextBox 5">
          <a:extLst xmlns:a="http://schemas.openxmlformats.org/drawingml/2006/main">
            <a:ext uri="{FF2B5EF4-FFF2-40B4-BE49-F238E27FC236}">
              <a16:creationId xmlns:a16="http://schemas.microsoft.com/office/drawing/2014/main" id="{54DB4B3F-6C3C-357D-A473-9854D4EF092A}"/>
            </a:ext>
          </a:extLst>
        </cdr:cNvPr>
        <cdr:cNvSpPr txBox="1"/>
      </cdr:nvSpPr>
      <cdr:spPr>
        <a:xfrm xmlns:a="http://schemas.openxmlformats.org/drawingml/2006/main">
          <a:off x="3905780" y="2102014"/>
          <a:ext cx="1485370" cy="128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en-AU" sz="900" kern="1200">
              <a:solidFill>
                <a:schemeClr val="tx1"/>
              </a:solidFill>
            </a:rPr>
            <a:t>$</a:t>
          </a:r>
          <a:r>
            <a:rPr lang="en-AU" sz="1000" kern="1200">
              <a:solidFill>
                <a:schemeClr val="tx1"/>
              </a:solidFill>
              <a:latin typeface="Aptos" panose="020B0004020202020204" pitchFamily="34" charset="0"/>
            </a:rPr>
            <a:t>93,000</a:t>
          </a:r>
          <a:endParaRPr lang="en-AU" sz="900" kern="1200">
            <a:solidFill>
              <a:schemeClr val="tx1"/>
            </a:solidFill>
            <a:latin typeface="Aptos" panose="020B00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Gender Pay Gap Employer Statement 2023-24</dc:title>
  <dc:subject/>
  <dc:creator/>
  <cp:keywords/>
  <dc:description/>
  <cp:lastModifiedBy/>
  <cp:revision>1</cp:revision>
  <dcterms:created xsi:type="dcterms:W3CDTF">2025-05-08T23:30:00Z</dcterms:created>
  <dcterms:modified xsi:type="dcterms:W3CDTF">2025-05-08T23:31:00Z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2025-05-08T23:29:18Z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094edf38-88ff-4290-af6d-53343a0d61f0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