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ACDF" w14:textId="01F78E4D" w:rsidR="000B7011" w:rsidRDefault="00C818AE" w:rsidP="000B701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18E6BC0" wp14:editId="0FE95559">
                <wp:simplePos x="0" y="0"/>
                <wp:positionH relativeFrom="column">
                  <wp:posOffset>1035248</wp:posOffset>
                </wp:positionH>
                <wp:positionV relativeFrom="paragraph">
                  <wp:posOffset>-924181</wp:posOffset>
                </wp:positionV>
                <wp:extent cx="5632582" cy="87719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582" cy="8771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8B62C" w14:textId="421F0D23" w:rsidR="00BF196B" w:rsidRPr="00D73FDB" w:rsidRDefault="00BF196B" w:rsidP="00B50150">
                            <w:pPr>
                              <w:jc w:val="right"/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E6B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.5pt;margin-top:-72.75pt;width:443.5pt;height:69.0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" filled="f" stroked="f">
                <v:textbox>
                  <w:txbxContent>
                    <w:p w14:paraId="0FC8B62C" w14:textId="421F0D23" w:rsidR="00BF196B" w:rsidRPr="00D73FDB" w:rsidRDefault="00BF196B" w:rsidP="00B50150">
                      <w:pPr>
                        <w:jc w:val="right"/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7011">
        <w:rPr>
          <w:noProof/>
        </w:rPr>
        <w:drawing>
          <wp:anchor distT="0" distB="0" distL="114300" distR="114300" simplePos="0" relativeHeight="251658242" behindDoc="0" locked="0" layoutInCell="1" allowOverlap="1" wp14:anchorId="240E74B1" wp14:editId="05A4B696">
            <wp:simplePos x="0" y="0"/>
            <wp:positionH relativeFrom="column">
              <wp:posOffset>-700405</wp:posOffset>
            </wp:positionH>
            <wp:positionV relativeFrom="paragraph">
              <wp:posOffset>-805180</wp:posOffset>
            </wp:positionV>
            <wp:extent cx="2181225" cy="663093"/>
            <wp:effectExtent l="0" t="0" r="0" b="3810"/>
            <wp:wrapNone/>
            <wp:docPr id="201894556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94556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63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011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9403E5" wp14:editId="09F3CD64">
                <wp:simplePos x="0" y="0"/>
                <wp:positionH relativeFrom="column">
                  <wp:posOffset>-955675</wp:posOffset>
                </wp:positionH>
                <wp:positionV relativeFrom="paragraph">
                  <wp:posOffset>46990</wp:posOffset>
                </wp:positionV>
                <wp:extent cx="7772400" cy="156117"/>
                <wp:effectExtent l="0" t="0" r="0" b="0"/>
                <wp:wrapNone/>
                <wp:docPr id="652359013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5611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AA648" id="Rectangle 1" o:spid="_x0000_s1026" alt="&quot;&quot;" style="position:absolute;margin-left:-75.25pt;margin-top:3.7pt;width:612pt;height:12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" fillcolor="#7a9f4c [3214]" stroked="f" strokeweight="1pt"/>
            </w:pict>
          </mc:Fallback>
        </mc:AlternateContent>
      </w:r>
      <w:r w:rsidR="000B701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C6CAE4" wp14:editId="06BEEAAB">
                <wp:simplePos x="0" y="0"/>
                <wp:positionH relativeFrom="column">
                  <wp:posOffset>-900430</wp:posOffset>
                </wp:positionH>
                <wp:positionV relativeFrom="paragraph">
                  <wp:posOffset>-929005</wp:posOffset>
                </wp:positionV>
                <wp:extent cx="7559675" cy="1085850"/>
                <wp:effectExtent l="0" t="0" r="3175" b="0"/>
                <wp:wrapNone/>
                <wp:docPr id="497802304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858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0000">
                              <a:schemeClr val="tx2">
                                <a:lumMod val="86000"/>
                                <a:lumOff val="14000"/>
                              </a:schemeClr>
                            </a:gs>
                            <a:gs pos="40000">
                              <a:schemeClr val="tx2"/>
                            </a:gs>
                          </a:gsLst>
                          <a:lin ang="2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85EEB" id="Rectangle 1" o:spid="_x0000_s1026" alt="&quot;&quot;" style="position:absolute;margin-left:-70.9pt;margin-top:-73.15pt;width:595.2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" fillcolor="#595c61 [2783]" stroked="f" strokeweight="1pt">
                <v:fill color2="#404246 [3215]" rotate="t" angle="50" colors="0 #595c62;26214f #595c62" focus="100%" type="gradient">
                  <o:fill v:ext="view" type="gradientUnscaled"/>
                </v:fill>
              </v:rect>
            </w:pict>
          </mc:Fallback>
        </mc:AlternateContent>
      </w:r>
      <w:r w:rsidR="0018064C">
        <w:t xml:space="preserve">I </w:t>
      </w:r>
    </w:p>
    <w:p w14:paraId="48B54FA4" w14:textId="45F616D8" w:rsidR="00B66EDB" w:rsidRPr="008839C1" w:rsidRDefault="00B66EDB" w:rsidP="008839C1">
      <w:pPr>
        <w:pStyle w:val="Title"/>
      </w:pPr>
      <w:r w:rsidRPr="008839C1">
        <w:t xml:space="preserve"> </w:t>
      </w:r>
      <w:r w:rsidR="00C818AE" w:rsidRPr="008839C1">
        <w:t xml:space="preserve">DEWR </w:t>
      </w:r>
      <w:r w:rsidRPr="008839C1">
        <w:t>2024-25 Gender Pay Gap Employer Statement</w:t>
      </w:r>
    </w:p>
    <w:p w14:paraId="7051F92F" w14:textId="2CDA475F" w:rsidR="006D1959" w:rsidRPr="00095444" w:rsidRDefault="00083B7A" w:rsidP="00556F69">
      <w:pPr>
        <w:ind w:left="-284" w:right="-286"/>
        <w:rPr>
          <w:rFonts w:ascii="Aptos" w:hAnsi="Aptos"/>
          <w:sz w:val="24"/>
          <w:szCs w:val="24"/>
        </w:rPr>
      </w:pPr>
      <w:r w:rsidRPr="00095444">
        <w:rPr>
          <w:rFonts w:ascii="Aptos" w:hAnsi="Aptos"/>
          <w:sz w:val="24"/>
          <w:szCs w:val="24"/>
        </w:rPr>
        <w:t>The Department of Employment and Workplace Relations (DEWR)</w:t>
      </w:r>
      <w:r w:rsidR="00985B6F" w:rsidRPr="00095444">
        <w:rPr>
          <w:rFonts w:ascii="Aptos" w:hAnsi="Aptos"/>
          <w:sz w:val="24"/>
          <w:szCs w:val="24"/>
        </w:rPr>
        <w:t xml:space="preserve"> is committed </w:t>
      </w:r>
      <w:r w:rsidR="00CB22DB" w:rsidRPr="00095444">
        <w:rPr>
          <w:rFonts w:ascii="Aptos" w:hAnsi="Aptos"/>
          <w:sz w:val="24"/>
          <w:szCs w:val="24"/>
        </w:rPr>
        <w:t>to creating a</w:t>
      </w:r>
      <w:r w:rsidR="00C818AE">
        <w:rPr>
          <w:rFonts w:ascii="Aptos" w:hAnsi="Aptos"/>
          <w:sz w:val="24"/>
          <w:szCs w:val="24"/>
        </w:rPr>
        <w:t xml:space="preserve"> workplace that is</w:t>
      </w:r>
      <w:r w:rsidR="00BE232F" w:rsidRPr="00095444">
        <w:rPr>
          <w:rFonts w:ascii="Aptos" w:hAnsi="Aptos"/>
          <w:sz w:val="24"/>
          <w:szCs w:val="24"/>
        </w:rPr>
        <w:t xml:space="preserve"> inclusive</w:t>
      </w:r>
      <w:r w:rsidR="00C818AE">
        <w:rPr>
          <w:rFonts w:ascii="Aptos" w:hAnsi="Aptos"/>
          <w:sz w:val="24"/>
          <w:szCs w:val="24"/>
        </w:rPr>
        <w:t>, diverse and respectful. We aim to reflect</w:t>
      </w:r>
      <w:r w:rsidR="006B59CC" w:rsidRPr="00095444">
        <w:rPr>
          <w:rFonts w:ascii="Aptos" w:hAnsi="Aptos"/>
          <w:sz w:val="24"/>
          <w:szCs w:val="24"/>
        </w:rPr>
        <w:t xml:space="preserve"> the </w:t>
      </w:r>
      <w:r w:rsidR="007D7CDE" w:rsidRPr="00095444">
        <w:rPr>
          <w:rFonts w:ascii="Aptos" w:hAnsi="Aptos"/>
          <w:sz w:val="24"/>
          <w:szCs w:val="24"/>
        </w:rPr>
        <w:t xml:space="preserve">Australian community we serve and </w:t>
      </w:r>
      <w:r w:rsidR="006D1959" w:rsidRPr="00095444">
        <w:rPr>
          <w:rFonts w:ascii="Aptos" w:hAnsi="Aptos"/>
          <w:sz w:val="24"/>
          <w:szCs w:val="24"/>
        </w:rPr>
        <w:t>set the standard</w:t>
      </w:r>
      <w:r w:rsidR="00946754" w:rsidRPr="00095444">
        <w:rPr>
          <w:rFonts w:ascii="Aptos" w:hAnsi="Aptos"/>
          <w:sz w:val="24"/>
          <w:szCs w:val="24"/>
        </w:rPr>
        <w:t xml:space="preserve"> as a model employer</w:t>
      </w:r>
      <w:r w:rsidR="006D1959" w:rsidRPr="00095444">
        <w:rPr>
          <w:rFonts w:ascii="Aptos" w:hAnsi="Aptos"/>
          <w:sz w:val="24"/>
          <w:szCs w:val="24"/>
        </w:rPr>
        <w:t xml:space="preserve"> for workplace equality. </w:t>
      </w:r>
    </w:p>
    <w:p w14:paraId="150D3074" w14:textId="4510E7EA" w:rsidR="00556F69" w:rsidRPr="00095444" w:rsidRDefault="00F707FE" w:rsidP="00A16A94">
      <w:pPr>
        <w:ind w:left="-284" w:right="-284"/>
        <w:rPr>
          <w:rFonts w:ascii="Aptos" w:hAnsi="Aptos"/>
          <w:sz w:val="24"/>
          <w:szCs w:val="24"/>
        </w:rPr>
      </w:pPr>
      <w:r w:rsidRPr="00095444">
        <w:rPr>
          <w:rFonts w:ascii="Aptos" w:hAnsi="Aptos"/>
          <w:sz w:val="24"/>
          <w:szCs w:val="24"/>
        </w:rPr>
        <w:t>At the foundation of this commitment is our Diversity and Inclusion Action Plan</w:t>
      </w:r>
      <w:r w:rsidR="004E7EA8" w:rsidRPr="00095444">
        <w:rPr>
          <w:rFonts w:ascii="Aptos" w:hAnsi="Aptos"/>
          <w:sz w:val="24"/>
          <w:szCs w:val="24"/>
        </w:rPr>
        <w:t xml:space="preserve">. This plan </w:t>
      </w:r>
      <w:r w:rsidR="00047F2F" w:rsidRPr="00095444">
        <w:rPr>
          <w:rFonts w:ascii="Aptos" w:hAnsi="Aptos"/>
          <w:sz w:val="24"/>
          <w:szCs w:val="24"/>
        </w:rPr>
        <w:t xml:space="preserve">outlines </w:t>
      </w:r>
      <w:r w:rsidR="004D159D" w:rsidRPr="00095444">
        <w:rPr>
          <w:rFonts w:ascii="Aptos" w:hAnsi="Aptos"/>
          <w:sz w:val="24"/>
          <w:szCs w:val="24"/>
        </w:rPr>
        <w:t xml:space="preserve">priority actions we are taking to attract, grow, retain and harness the proud diversity of our people. </w:t>
      </w:r>
      <w:r w:rsidR="00D03C36" w:rsidRPr="00095444">
        <w:rPr>
          <w:rFonts w:ascii="Aptos" w:hAnsi="Aptos"/>
          <w:sz w:val="24"/>
          <w:szCs w:val="24"/>
        </w:rPr>
        <w:t xml:space="preserve">The plan is shaped by APS-wide initiatives </w:t>
      </w:r>
      <w:r w:rsidR="005A568A" w:rsidRPr="00095444">
        <w:rPr>
          <w:rFonts w:ascii="Aptos" w:hAnsi="Aptos"/>
          <w:sz w:val="24"/>
          <w:szCs w:val="24"/>
        </w:rPr>
        <w:t xml:space="preserve">and </w:t>
      </w:r>
      <w:r w:rsidR="002F29A6" w:rsidRPr="00095444">
        <w:rPr>
          <w:rFonts w:ascii="Aptos" w:hAnsi="Aptos"/>
          <w:sz w:val="24"/>
          <w:szCs w:val="24"/>
        </w:rPr>
        <w:t>strategies</w:t>
      </w:r>
      <w:r w:rsidR="002F29A6">
        <w:rPr>
          <w:rFonts w:ascii="Aptos" w:hAnsi="Aptos"/>
          <w:sz w:val="24"/>
          <w:szCs w:val="24"/>
        </w:rPr>
        <w:t xml:space="preserve"> and</w:t>
      </w:r>
      <w:r w:rsidR="005A568A" w:rsidRPr="00095444">
        <w:rPr>
          <w:rFonts w:ascii="Aptos" w:hAnsi="Aptos"/>
          <w:sz w:val="24"/>
          <w:szCs w:val="24"/>
        </w:rPr>
        <w:t xml:space="preserve"> supported by </w:t>
      </w:r>
      <w:r w:rsidR="00DB08C0" w:rsidRPr="00095444">
        <w:rPr>
          <w:rFonts w:ascii="Aptos" w:hAnsi="Aptos"/>
          <w:sz w:val="24"/>
          <w:szCs w:val="24"/>
        </w:rPr>
        <w:t>employee-led networks including DEWR’s Gender Equity Network</w:t>
      </w:r>
      <w:r w:rsidR="002F29A6">
        <w:rPr>
          <w:rFonts w:ascii="Aptos" w:hAnsi="Aptos"/>
          <w:sz w:val="24"/>
          <w:szCs w:val="24"/>
        </w:rPr>
        <w:t xml:space="preserve">. </w:t>
      </w:r>
      <w:r w:rsidR="002F29A6" w:rsidRPr="002F29A6">
        <w:rPr>
          <w:rFonts w:ascii="Aptos" w:hAnsi="Aptos"/>
          <w:sz w:val="24"/>
          <w:szCs w:val="24"/>
        </w:rPr>
        <w:t>These networks help ensure the voices of our people are reflected in our actions.</w:t>
      </w:r>
    </w:p>
    <w:p w14:paraId="5E195156" w14:textId="5D1E29C0" w:rsidR="00DC37BF" w:rsidRPr="008839C1" w:rsidRDefault="00F83F84" w:rsidP="008839C1">
      <w:pPr>
        <w:pStyle w:val="Heading2"/>
      </w:pPr>
      <w:r w:rsidRPr="008839C1">
        <w:t>Our Gender Profile</w:t>
      </w:r>
      <w:r w:rsidR="00637C92" w:rsidRPr="008839C1">
        <w:t xml:space="preserve"> and Pay Gap</w:t>
      </w:r>
    </w:p>
    <w:p w14:paraId="1559B2D8" w14:textId="788148F5" w:rsidR="003D724C" w:rsidRPr="008839C1" w:rsidRDefault="003D724C" w:rsidP="008839C1">
      <w:pPr>
        <w:pStyle w:val="Heading3"/>
      </w:pPr>
      <w:r w:rsidRPr="008839C1">
        <w:t>Gender Pay Gap</w:t>
      </w:r>
      <w:r w:rsidR="007369F9" w:rsidRPr="008839C1">
        <w:t xml:space="preserve"> Results</w:t>
      </w:r>
    </w:p>
    <w:p w14:paraId="65A6D5E6" w14:textId="77777777" w:rsidR="007369F9" w:rsidRDefault="002B46C5" w:rsidP="002A355C">
      <w:pPr>
        <w:ind w:left="-284" w:right="-286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As </w:t>
      </w:r>
      <w:proofErr w:type="gramStart"/>
      <w:r>
        <w:rPr>
          <w:rFonts w:ascii="Aptos" w:hAnsi="Aptos"/>
          <w:sz w:val="24"/>
          <w:szCs w:val="24"/>
        </w:rPr>
        <w:t>at</w:t>
      </w:r>
      <w:proofErr w:type="gramEnd"/>
      <w:r>
        <w:rPr>
          <w:rFonts w:ascii="Aptos" w:hAnsi="Aptos"/>
          <w:sz w:val="24"/>
          <w:szCs w:val="24"/>
        </w:rPr>
        <w:t xml:space="preserve"> </w:t>
      </w:r>
      <w:r w:rsidR="00411FB8">
        <w:rPr>
          <w:rFonts w:ascii="Aptos" w:hAnsi="Aptos"/>
          <w:sz w:val="24"/>
          <w:szCs w:val="24"/>
        </w:rPr>
        <w:t>31 December 2024</w:t>
      </w:r>
      <w:r w:rsidR="007369F9">
        <w:rPr>
          <w:rFonts w:ascii="Aptos" w:hAnsi="Aptos"/>
          <w:sz w:val="24"/>
          <w:szCs w:val="24"/>
        </w:rPr>
        <w:t>:</w:t>
      </w:r>
    </w:p>
    <w:p w14:paraId="5C3BE002" w14:textId="77777777" w:rsidR="00A6356D" w:rsidRDefault="007369F9" w:rsidP="00A16A94">
      <w:pPr>
        <w:pStyle w:val="ListParagraph"/>
        <w:numPr>
          <w:ilvl w:val="0"/>
          <w:numId w:val="23"/>
        </w:numPr>
        <w:spacing w:line="276" w:lineRule="auto"/>
        <w:ind w:left="431" w:right="-284" w:hanging="357"/>
        <w:contextualSpacing w:val="0"/>
        <w:rPr>
          <w:rFonts w:ascii="Aptos" w:hAnsi="Aptos"/>
          <w:sz w:val="24"/>
          <w:szCs w:val="24"/>
        </w:rPr>
      </w:pPr>
      <w:r w:rsidRPr="00153648">
        <w:rPr>
          <w:rFonts w:ascii="Aptos" w:hAnsi="Aptos"/>
          <w:sz w:val="24"/>
          <w:szCs w:val="24"/>
        </w:rPr>
        <w:t>T</w:t>
      </w:r>
      <w:r w:rsidR="004A4B70" w:rsidRPr="00153648">
        <w:rPr>
          <w:rFonts w:ascii="Aptos" w:hAnsi="Aptos"/>
          <w:sz w:val="24"/>
          <w:szCs w:val="24"/>
        </w:rPr>
        <w:t>he department’s</w:t>
      </w:r>
      <w:r w:rsidR="00753B18" w:rsidRPr="00153648">
        <w:rPr>
          <w:rFonts w:ascii="Aptos" w:hAnsi="Aptos"/>
          <w:sz w:val="24"/>
          <w:szCs w:val="24"/>
        </w:rPr>
        <w:t xml:space="preserve"> </w:t>
      </w:r>
      <w:r w:rsidR="00CC2A4A" w:rsidRPr="00153648">
        <w:rPr>
          <w:rFonts w:ascii="Aptos" w:hAnsi="Aptos"/>
          <w:sz w:val="24"/>
          <w:szCs w:val="24"/>
        </w:rPr>
        <w:t xml:space="preserve">average </w:t>
      </w:r>
      <w:r w:rsidR="00753B18" w:rsidRPr="00153648">
        <w:rPr>
          <w:rFonts w:ascii="Aptos" w:hAnsi="Aptos"/>
          <w:sz w:val="24"/>
          <w:szCs w:val="24"/>
        </w:rPr>
        <w:t>gender pay gap was -0.9</w:t>
      </w:r>
      <w:r w:rsidR="00153648">
        <w:rPr>
          <w:rFonts w:ascii="Aptos" w:hAnsi="Aptos"/>
          <w:sz w:val="24"/>
          <w:szCs w:val="24"/>
        </w:rPr>
        <w:t xml:space="preserve"> percent</w:t>
      </w:r>
      <w:r>
        <w:rPr>
          <w:rFonts w:ascii="Aptos" w:hAnsi="Aptos"/>
          <w:sz w:val="24"/>
          <w:szCs w:val="24"/>
        </w:rPr>
        <w:t xml:space="preserve">, representing </w:t>
      </w:r>
      <w:r w:rsidR="006377EC" w:rsidRPr="00153648">
        <w:rPr>
          <w:rFonts w:ascii="Aptos" w:hAnsi="Aptos"/>
          <w:sz w:val="24"/>
          <w:szCs w:val="24"/>
        </w:rPr>
        <w:t xml:space="preserve">a </w:t>
      </w:r>
      <w:r w:rsidR="00CB250C" w:rsidRPr="00153648">
        <w:rPr>
          <w:rFonts w:ascii="Aptos" w:hAnsi="Aptos"/>
          <w:sz w:val="24"/>
          <w:szCs w:val="24"/>
        </w:rPr>
        <w:t>1.1</w:t>
      </w:r>
      <w:r w:rsidR="006377EC" w:rsidRPr="00153648">
        <w:rPr>
          <w:rFonts w:ascii="Aptos" w:hAnsi="Aptos"/>
          <w:sz w:val="24"/>
          <w:szCs w:val="24"/>
        </w:rPr>
        <w:t xml:space="preserve"> percentage point reduction from the previous year</w:t>
      </w:r>
      <w:r w:rsidR="00A6356D">
        <w:rPr>
          <w:rFonts w:ascii="Aptos" w:hAnsi="Aptos"/>
          <w:sz w:val="24"/>
          <w:szCs w:val="24"/>
        </w:rPr>
        <w:t>.</w:t>
      </w:r>
    </w:p>
    <w:p w14:paraId="189B4FB1" w14:textId="05F9C9B3" w:rsidR="002E1F5D" w:rsidRPr="00153648" w:rsidRDefault="00A6356D" w:rsidP="00A16A94">
      <w:pPr>
        <w:pStyle w:val="ListParagraph"/>
        <w:numPr>
          <w:ilvl w:val="0"/>
          <w:numId w:val="23"/>
        </w:numPr>
        <w:spacing w:line="276" w:lineRule="auto"/>
        <w:ind w:left="431" w:right="-284" w:hanging="35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Our result is</w:t>
      </w:r>
      <w:r w:rsidR="006377EC" w:rsidRPr="00153648">
        <w:rPr>
          <w:rFonts w:ascii="Aptos" w:hAnsi="Aptos"/>
          <w:sz w:val="24"/>
          <w:szCs w:val="24"/>
        </w:rPr>
        <w:t xml:space="preserve"> </w:t>
      </w:r>
      <w:r w:rsidR="00E91CE8" w:rsidRPr="00153648">
        <w:rPr>
          <w:rFonts w:ascii="Aptos" w:hAnsi="Aptos"/>
          <w:sz w:val="24"/>
          <w:szCs w:val="24"/>
        </w:rPr>
        <w:t>5.6</w:t>
      </w:r>
      <w:r w:rsidR="004A4B70" w:rsidRPr="00153648">
        <w:rPr>
          <w:rFonts w:ascii="Aptos" w:hAnsi="Aptos"/>
          <w:sz w:val="24"/>
          <w:szCs w:val="24"/>
        </w:rPr>
        <w:t xml:space="preserve"> percentage points</w:t>
      </w:r>
      <w:r w:rsidR="0073329F" w:rsidRPr="00153648">
        <w:rPr>
          <w:rFonts w:ascii="Aptos" w:hAnsi="Aptos"/>
          <w:sz w:val="24"/>
          <w:szCs w:val="24"/>
        </w:rPr>
        <w:t xml:space="preserve"> </w:t>
      </w:r>
      <w:r w:rsidR="00E91CE8" w:rsidRPr="00153648">
        <w:rPr>
          <w:rFonts w:ascii="Aptos" w:hAnsi="Aptos"/>
          <w:sz w:val="24"/>
          <w:szCs w:val="24"/>
        </w:rPr>
        <w:t xml:space="preserve">lower </w:t>
      </w:r>
      <w:r w:rsidR="00084FCB" w:rsidRPr="00153648">
        <w:rPr>
          <w:rFonts w:ascii="Aptos" w:hAnsi="Aptos"/>
          <w:sz w:val="24"/>
          <w:szCs w:val="24"/>
        </w:rPr>
        <w:t>than</w:t>
      </w:r>
      <w:r>
        <w:rPr>
          <w:rFonts w:ascii="Aptos" w:hAnsi="Aptos"/>
          <w:sz w:val="24"/>
          <w:szCs w:val="24"/>
        </w:rPr>
        <w:t xml:space="preserve"> that of</w:t>
      </w:r>
      <w:r w:rsidR="00AC6F8C" w:rsidRPr="00153648">
        <w:rPr>
          <w:rFonts w:ascii="Aptos" w:hAnsi="Aptos"/>
          <w:sz w:val="24"/>
          <w:szCs w:val="24"/>
        </w:rPr>
        <w:t xml:space="preserve"> other similar-sized Commonwealth public sector employers</w:t>
      </w:r>
      <w:r w:rsidR="00084FCB" w:rsidRPr="00153648">
        <w:rPr>
          <w:rFonts w:ascii="Aptos" w:hAnsi="Aptos"/>
          <w:sz w:val="24"/>
          <w:szCs w:val="24"/>
        </w:rPr>
        <w:t xml:space="preserve"> </w:t>
      </w:r>
      <w:r w:rsidR="00AC6F8C" w:rsidRPr="00153648">
        <w:rPr>
          <w:rFonts w:ascii="Aptos" w:hAnsi="Aptos"/>
          <w:sz w:val="24"/>
          <w:szCs w:val="24"/>
        </w:rPr>
        <w:t>(</w:t>
      </w:r>
      <w:r w:rsidR="00084FCB" w:rsidRPr="00153648">
        <w:rPr>
          <w:rFonts w:ascii="Aptos" w:hAnsi="Aptos"/>
          <w:sz w:val="24"/>
          <w:szCs w:val="24"/>
        </w:rPr>
        <w:t>the comparison group</w:t>
      </w:r>
      <w:r w:rsidR="00AC6F8C" w:rsidRPr="00153648">
        <w:rPr>
          <w:rFonts w:ascii="Aptos" w:hAnsi="Aptos"/>
          <w:sz w:val="24"/>
          <w:szCs w:val="24"/>
        </w:rPr>
        <w:t>)</w:t>
      </w:r>
      <w:r w:rsidR="00084FCB" w:rsidRPr="00153648">
        <w:rPr>
          <w:rFonts w:ascii="Aptos" w:hAnsi="Aptos"/>
          <w:sz w:val="24"/>
          <w:szCs w:val="24"/>
        </w:rPr>
        <w:t>.</w:t>
      </w:r>
      <w:r w:rsidR="002A355C" w:rsidRPr="00153648">
        <w:rPr>
          <w:rFonts w:ascii="Aptos" w:hAnsi="Aptos"/>
          <w:sz w:val="24"/>
          <w:szCs w:val="24"/>
        </w:rPr>
        <w:t xml:space="preserve"> </w:t>
      </w:r>
    </w:p>
    <w:p w14:paraId="4616A15D" w14:textId="1EE683AC" w:rsidR="007369F9" w:rsidRPr="00153648" w:rsidRDefault="007369F9" w:rsidP="008839C1">
      <w:pPr>
        <w:spacing w:after="240" w:line="300" w:lineRule="atLeast"/>
        <w:ind w:left="-284"/>
        <w:rPr>
          <w:rFonts w:ascii="Aptos" w:hAnsi="Aptos"/>
          <w:sz w:val="24"/>
          <w:szCs w:val="24"/>
        </w:rPr>
      </w:pPr>
      <w:r w:rsidRPr="00153648">
        <w:rPr>
          <w:rFonts w:ascii="Aptos" w:hAnsi="Aptos"/>
          <w:sz w:val="24"/>
          <w:szCs w:val="24"/>
        </w:rPr>
        <w:t xml:space="preserve">These </w:t>
      </w:r>
      <w:r w:rsidR="00B85DBD">
        <w:rPr>
          <w:rFonts w:ascii="Aptos" w:hAnsi="Aptos"/>
          <w:sz w:val="24"/>
          <w:szCs w:val="24"/>
        </w:rPr>
        <w:t>result</w:t>
      </w:r>
      <w:r w:rsidRPr="00153648">
        <w:rPr>
          <w:rFonts w:ascii="Aptos" w:hAnsi="Aptos"/>
          <w:sz w:val="24"/>
          <w:szCs w:val="24"/>
        </w:rPr>
        <w:t xml:space="preserve">s reflect the positive impact of our continued focus on gender equality. </w:t>
      </w:r>
      <w:r w:rsidR="00B85DBD">
        <w:rPr>
          <w:rFonts w:ascii="Aptos" w:hAnsi="Aptos"/>
          <w:sz w:val="24"/>
          <w:szCs w:val="24"/>
        </w:rPr>
        <w:t xml:space="preserve">They also </w:t>
      </w:r>
      <w:r w:rsidR="00B85DBD" w:rsidRPr="001F0E0A">
        <w:rPr>
          <w:rFonts w:ascii="Aptos" w:hAnsi="Aptos"/>
          <w:sz w:val="24"/>
          <w:szCs w:val="24"/>
        </w:rPr>
        <w:t>demonstrate DEWR</w:t>
      </w:r>
      <w:r w:rsidR="00B85DBD">
        <w:rPr>
          <w:rFonts w:ascii="Aptos" w:hAnsi="Aptos"/>
          <w:sz w:val="24"/>
          <w:szCs w:val="24"/>
        </w:rPr>
        <w:t xml:space="preserve"> is performing strongly compared with</w:t>
      </w:r>
      <w:r w:rsidRPr="00153648">
        <w:rPr>
          <w:rFonts w:ascii="Aptos" w:hAnsi="Aptos"/>
          <w:sz w:val="24"/>
          <w:szCs w:val="24"/>
        </w:rPr>
        <w:t xml:space="preserve"> </w:t>
      </w:r>
      <w:r w:rsidR="00B85DBD">
        <w:rPr>
          <w:rFonts w:ascii="Aptos" w:hAnsi="Aptos"/>
          <w:sz w:val="24"/>
          <w:szCs w:val="24"/>
        </w:rPr>
        <w:t>similar</w:t>
      </w:r>
      <w:r w:rsidRPr="00153648">
        <w:rPr>
          <w:rFonts w:ascii="Aptos" w:hAnsi="Aptos"/>
          <w:sz w:val="24"/>
          <w:szCs w:val="24"/>
        </w:rPr>
        <w:t xml:space="preserve"> agencies</w:t>
      </w:r>
      <w:r w:rsidR="00B85DBD">
        <w:rPr>
          <w:rFonts w:ascii="Aptos" w:hAnsi="Aptos"/>
          <w:sz w:val="24"/>
          <w:szCs w:val="24"/>
        </w:rPr>
        <w:t xml:space="preserve">, reinforcing </w:t>
      </w:r>
      <w:r w:rsidRPr="00153648">
        <w:rPr>
          <w:rFonts w:ascii="Aptos" w:hAnsi="Aptos"/>
          <w:sz w:val="24"/>
          <w:szCs w:val="24"/>
        </w:rPr>
        <w:t xml:space="preserve">our commitment to being a model </w:t>
      </w:r>
      <w:r w:rsidR="00B85DBD">
        <w:rPr>
          <w:rFonts w:ascii="Aptos" w:hAnsi="Aptos"/>
          <w:sz w:val="24"/>
          <w:szCs w:val="24"/>
        </w:rPr>
        <w:t xml:space="preserve">employer in the </w:t>
      </w:r>
      <w:r w:rsidRPr="00153648">
        <w:rPr>
          <w:rFonts w:ascii="Aptos" w:hAnsi="Aptos"/>
          <w:sz w:val="24"/>
          <w:szCs w:val="24"/>
        </w:rPr>
        <w:t>APS.</w:t>
      </w:r>
    </w:p>
    <w:p w14:paraId="52A0F02A" w14:textId="619BA2DE" w:rsidR="001E5B42" w:rsidRPr="000156F2" w:rsidRDefault="007369F9" w:rsidP="008839C1">
      <w:pPr>
        <w:pStyle w:val="Heading3"/>
      </w:pPr>
      <w:r w:rsidRPr="00F2538E">
        <w:t>Gender Pay Gap</w:t>
      </w:r>
      <w:r>
        <w:t xml:space="preserve"> Trends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1899"/>
        <w:gridCol w:w="1900"/>
        <w:gridCol w:w="1899"/>
        <w:gridCol w:w="1900"/>
        <w:gridCol w:w="1900"/>
      </w:tblGrid>
      <w:tr w:rsidR="00095444" w14:paraId="46037D30" w14:textId="77777777" w:rsidTr="006D1369">
        <w:trPr>
          <w:trHeight w:val="680"/>
        </w:trPr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B0715" w14:textId="77777777" w:rsidR="00AE0B5E" w:rsidRPr="00095444" w:rsidRDefault="00AE0B5E" w:rsidP="002E1F5D">
            <w:pPr>
              <w:ind w:right="-286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  <w:vAlign w:val="center"/>
          </w:tcPr>
          <w:p w14:paraId="433B763D" w14:textId="6259E93C" w:rsidR="00AE0B5E" w:rsidRPr="006D1369" w:rsidRDefault="00AE0B5E" w:rsidP="009F6DEC">
            <w:pPr>
              <w:spacing w:after="100" w:afterAutospacing="1"/>
              <w:ind w:left="-11" w:right="3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D1369">
              <w:rPr>
                <w:rFonts w:ascii="Aptos" w:hAnsi="Aptos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899" w:type="dxa"/>
            <w:vAlign w:val="center"/>
          </w:tcPr>
          <w:p w14:paraId="5B33D22F" w14:textId="003D4AFE" w:rsidR="00AE0B5E" w:rsidRPr="006D1369" w:rsidRDefault="00AE0B5E" w:rsidP="001D3C8A">
            <w:pPr>
              <w:spacing w:after="100" w:afterAutospacing="1"/>
              <w:ind w:left="639" w:right="-283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D1369">
              <w:rPr>
                <w:rFonts w:ascii="Aptos" w:hAnsi="Aptos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900" w:type="dxa"/>
            <w:vAlign w:val="center"/>
          </w:tcPr>
          <w:p w14:paraId="6E132E9C" w14:textId="17D971E0" w:rsidR="00AE0B5E" w:rsidRPr="006D1369" w:rsidRDefault="00AE0B5E" w:rsidP="001D3C8A">
            <w:pPr>
              <w:spacing w:after="100" w:afterAutospacing="1"/>
              <w:ind w:left="-129" w:right="-3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D1369">
              <w:rPr>
                <w:rFonts w:ascii="Aptos" w:hAnsi="Aptos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900" w:type="dxa"/>
            <w:vAlign w:val="center"/>
          </w:tcPr>
          <w:p w14:paraId="70F01932" w14:textId="319BE644" w:rsidR="00AE0B5E" w:rsidRPr="006D1369" w:rsidRDefault="00AE0B5E" w:rsidP="0036188E">
            <w:pPr>
              <w:spacing w:after="100" w:afterAutospacing="1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D1369">
              <w:rPr>
                <w:rFonts w:ascii="Aptos" w:hAnsi="Aptos"/>
                <w:b/>
                <w:bCs/>
                <w:sz w:val="20"/>
                <w:szCs w:val="20"/>
              </w:rPr>
              <w:t>2024 Comparison Group</w:t>
            </w:r>
          </w:p>
        </w:tc>
      </w:tr>
      <w:tr w:rsidR="00095444" w14:paraId="5A26E1B0" w14:textId="77777777" w:rsidTr="001D3C8A">
        <w:trPr>
          <w:trHeight w:val="87"/>
        </w:trPr>
        <w:tc>
          <w:tcPr>
            <w:tcW w:w="1899" w:type="dxa"/>
            <w:tcBorders>
              <w:top w:val="single" w:sz="4" w:space="0" w:color="auto"/>
            </w:tcBorders>
            <w:vAlign w:val="center"/>
          </w:tcPr>
          <w:p w14:paraId="0EE6752E" w14:textId="20FB9BAD" w:rsidR="00AE0B5E" w:rsidRPr="00095444" w:rsidRDefault="00AE0B5E" w:rsidP="001D3C8A">
            <w:pPr>
              <w:spacing w:after="0"/>
              <w:ind w:right="-286"/>
              <w:rPr>
                <w:rFonts w:ascii="Aptos" w:hAnsi="Aptos"/>
                <w:sz w:val="20"/>
                <w:szCs w:val="20"/>
              </w:rPr>
            </w:pPr>
            <w:r w:rsidRPr="00095444">
              <w:rPr>
                <w:rFonts w:ascii="Aptos" w:hAnsi="Aptos"/>
                <w:sz w:val="20"/>
                <w:szCs w:val="20"/>
              </w:rPr>
              <w:t>Average total remuneration</w:t>
            </w:r>
          </w:p>
        </w:tc>
        <w:tc>
          <w:tcPr>
            <w:tcW w:w="1900" w:type="dxa"/>
            <w:vAlign w:val="center"/>
          </w:tcPr>
          <w:p w14:paraId="3A2A17EA" w14:textId="1641D9EC" w:rsidR="00AE0B5E" w:rsidRPr="009A6179" w:rsidRDefault="00095444" w:rsidP="009F6DEC">
            <w:pPr>
              <w:spacing w:after="100" w:afterAutospacing="1"/>
              <w:ind w:left="-11" w:right="3"/>
              <w:jc w:val="center"/>
              <w:rPr>
                <w:rFonts w:ascii="Aptos" w:hAnsi="Aptos"/>
              </w:rPr>
            </w:pPr>
            <w:r w:rsidRPr="009A6179">
              <w:rPr>
                <w:rFonts w:ascii="Aptos" w:hAnsi="Aptos"/>
              </w:rPr>
              <w:t>1.5%</w:t>
            </w:r>
          </w:p>
        </w:tc>
        <w:tc>
          <w:tcPr>
            <w:tcW w:w="1899" w:type="dxa"/>
            <w:vAlign w:val="center"/>
          </w:tcPr>
          <w:p w14:paraId="7BE43A4E" w14:textId="7B2B27EA" w:rsidR="00AE0B5E" w:rsidRPr="009A6179" w:rsidRDefault="0079053D" w:rsidP="001D3C8A">
            <w:pPr>
              <w:spacing w:after="100" w:afterAutospacing="1"/>
              <w:ind w:left="-212" w:right="-286"/>
              <w:jc w:val="center"/>
              <w:rPr>
                <w:rFonts w:ascii="Aptos" w:hAnsi="Aptos"/>
              </w:rPr>
            </w:pPr>
            <w:r w:rsidRPr="009A6179">
              <w:rPr>
                <w:rFonts w:ascii="Aptos" w:hAnsi="Aptos"/>
              </w:rPr>
              <w:t>0.2%</w:t>
            </w:r>
          </w:p>
        </w:tc>
        <w:tc>
          <w:tcPr>
            <w:tcW w:w="1900" w:type="dxa"/>
            <w:vAlign w:val="center"/>
          </w:tcPr>
          <w:p w14:paraId="7D9DBB6B" w14:textId="0387B4C7" w:rsidR="00AE0B5E" w:rsidRPr="009A6179" w:rsidRDefault="00206C74" w:rsidP="001D3C8A">
            <w:pPr>
              <w:spacing w:after="100" w:afterAutospacing="1"/>
              <w:ind w:left="-129" w:right="-30"/>
              <w:jc w:val="center"/>
              <w:rPr>
                <w:rFonts w:ascii="Aptos" w:hAnsi="Aptos"/>
                <w:b/>
                <w:bCs/>
              </w:rPr>
            </w:pPr>
            <w:r w:rsidRPr="009A6179">
              <w:rPr>
                <w:rFonts w:ascii="Aptos" w:hAnsi="Aptos"/>
                <w:b/>
                <w:bCs/>
              </w:rPr>
              <w:t>-0.9%</w:t>
            </w:r>
          </w:p>
        </w:tc>
        <w:tc>
          <w:tcPr>
            <w:tcW w:w="1900" w:type="dxa"/>
            <w:vAlign w:val="center"/>
          </w:tcPr>
          <w:p w14:paraId="272BE618" w14:textId="44EE3B87" w:rsidR="00AE0B5E" w:rsidRPr="009A6179" w:rsidRDefault="001B3B39" w:rsidP="001D3C8A">
            <w:pPr>
              <w:spacing w:after="100" w:afterAutospacing="1"/>
              <w:jc w:val="center"/>
              <w:rPr>
                <w:rFonts w:ascii="Aptos" w:hAnsi="Aptos"/>
              </w:rPr>
            </w:pPr>
            <w:r w:rsidRPr="009A6179">
              <w:rPr>
                <w:rFonts w:ascii="Aptos" w:hAnsi="Aptos"/>
              </w:rPr>
              <w:t>4.7%</w:t>
            </w:r>
          </w:p>
        </w:tc>
      </w:tr>
      <w:tr w:rsidR="00095444" w14:paraId="52FEE672" w14:textId="77777777" w:rsidTr="001D3C8A">
        <w:trPr>
          <w:trHeight w:val="662"/>
        </w:trPr>
        <w:tc>
          <w:tcPr>
            <w:tcW w:w="1899" w:type="dxa"/>
            <w:vAlign w:val="center"/>
          </w:tcPr>
          <w:p w14:paraId="20ACF4E8" w14:textId="78A400CC" w:rsidR="00AE0B5E" w:rsidRPr="00095444" w:rsidRDefault="0036188E" w:rsidP="001D3C8A">
            <w:pPr>
              <w:spacing w:after="0"/>
              <w:ind w:right="-286"/>
              <w:rPr>
                <w:rFonts w:ascii="Aptos" w:hAnsi="Aptos"/>
                <w:sz w:val="20"/>
                <w:szCs w:val="20"/>
              </w:rPr>
            </w:pPr>
            <w:r w:rsidRPr="00095444">
              <w:rPr>
                <w:rFonts w:ascii="Aptos" w:hAnsi="Aptos"/>
                <w:sz w:val="20"/>
                <w:szCs w:val="20"/>
              </w:rPr>
              <w:t>Median total remuneration</w:t>
            </w:r>
          </w:p>
        </w:tc>
        <w:tc>
          <w:tcPr>
            <w:tcW w:w="1900" w:type="dxa"/>
            <w:vAlign w:val="center"/>
          </w:tcPr>
          <w:p w14:paraId="263C2533" w14:textId="435B0C06" w:rsidR="00AE0B5E" w:rsidRPr="009A6179" w:rsidRDefault="00095444" w:rsidP="009F6DEC">
            <w:pPr>
              <w:spacing w:after="100" w:afterAutospacing="1"/>
              <w:ind w:left="-11" w:right="3"/>
              <w:jc w:val="center"/>
              <w:rPr>
                <w:rFonts w:ascii="Aptos" w:hAnsi="Aptos"/>
              </w:rPr>
            </w:pPr>
            <w:r w:rsidRPr="009A6179">
              <w:rPr>
                <w:rFonts w:ascii="Aptos" w:hAnsi="Aptos"/>
              </w:rPr>
              <w:t>8.2%</w:t>
            </w:r>
          </w:p>
        </w:tc>
        <w:tc>
          <w:tcPr>
            <w:tcW w:w="1899" w:type="dxa"/>
            <w:vAlign w:val="center"/>
          </w:tcPr>
          <w:p w14:paraId="6C6BE2DA" w14:textId="50FB2A87" w:rsidR="00AE0B5E" w:rsidRPr="009A6179" w:rsidRDefault="00D90D34" w:rsidP="001D3C8A">
            <w:pPr>
              <w:spacing w:after="100" w:afterAutospacing="1"/>
              <w:ind w:left="-212" w:right="-286"/>
              <w:jc w:val="center"/>
              <w:rPr>
                <w:rFonts w:ascii="Aptos" w:hAnsi="Aptos"/>
              </w:rPr>
            </w:pPr>
            <w:r w:rsidRPr="009A6179">
              <w:rPr>
                <w:rFonts w:ascii="Aptos" w:hAnsi="Aptos"/>
              </w:rPr>
              <w:t>3.1%</w:t>
            </w:r>
          </w:p>
        </w:tc>
        <w:tc>
          <w:tcPr>
            <w:tcW w:w="1900" w:type="dxa"/>
            <w:vAlign w:val="center"/>
          </w:tcPr>
          <w:p w14:paraId="01EAB06C" w14:textId="1ADE4CC8" w:rsidR="00AE0B5E" w:rsidRPr="009A6179" w:rsidRDefault="00206C74" w:rsidP="001D3C8A">
            <w:pPr>
              <w:spacing w:after="100" w:afterAutospacing="1"/>
              <w:ind w:left="-129" w:right="-30"/>
              <w:jc w:val="center"/>
              <w:rPr>
                <w:rFonts w:ascii="Aptos" w:hAnsi="Aptos"/>
                <w:b/>
                <w:bCs/>
              </w:rPr>
            </w:pPr>
            <w:r w:rsidRPr="009A6179">
              <w:rPr>
                <w:rFonts w:ascii="Aptos" w:hAnsi="Aptos"/>
                <w:b/>
                <w:bCs/>
              </w:rPr>
              <w:t>0.6%</w:t>
            </w:r>
          </w:p>
        </w:tc>
        <w:tc>
          <w:tcPr>
            <w:tcW w:w="1900" w:type="dxa"/>
            <w:vAlign w:val="center"/>
          </w:tcPr>
          <w:p w14:paraId="237ED004" w14:textId="75DE5409" w:rsidR="00AE0B5E" w:rsidRPr="009A6179" w:rsidRDefault="001B3B39" w:rsidP="001D3C8A">
            <w:pPr>
              <w:spacing w:after="100" w:afterAutospacing="1"/>
              <w:jc w:val="center"/>
              <w:rPr>
                <w:rFonts w:ascii="Aptos" w:hAnsi="Aptos"/>
              </w:rPr>
            </w:pPr>
            <w:r w:rsidRPr="009A6179">
              <w:rPr>
                <w:rFonts w:ascii="Aptos" w:hAnsi="Aptos"/>
              </w:rPr>
              <w:t>3.0%</w:t>
            </w:r>
          </w:p>
        </w:tc>
      </w:tr>
      <w:tr w:rsidR="00095444" w14:paraId="2BCB8B62" w14:textId="77777777" w:rsidTr="001D3C8A">
        <w:trPr>
          <w:trHeight w:val="602"/>
        </w:trPr>
        <w:tc>
          <w:tcPr>
            <w:tcW w:w="1899" w:type="dxa"/>
            <w:vAlign w:val="center"/>
          </w:tcPr>
          <w:p w14:paraId="17DB8EB7" w14:textId="5FD73B74" w:rsidR="00AE0B5E" w:rsidRPr="00095444" w:rsidRDefault="0036188E" w:rsidP="001D3C8A">
            <w:pPr>
              <w:spacing w:after="0"/>
              <w:ind w:right="-286"/>
              <w:rPr>
                <w:rFonts w:ascii="Aptos" w:hAnsi="Aptos"/>
                <w:sz w:val="20"/>
                <w:szCs w:val="20"/>
              </w:rPr>
            </w:pPr>
            <w:r w:rsidRPr="00095444">
              <w:rPr>
                <w:rFonts w:ascii="Aptos" w:hAnsi="Aptos"/>
                <w:sz w:val="20"/>
                <w:szCs w:val="20"/>
              </w:rPr>
              <w:t>Average base salary</w:t>
            </w:r>
          </w:p>
        </w:tc>
        <w:tc>
          <w:tcPr>
            <w:tcW w:w="1900" w:type="dxa"/>
            <w:vAlign w:val="center"/>
          </w:tcPr>
          <w:p w14:paraId="5CFEBA27" w14:textId="26349253" w:rsidR="00AE0B5E" w:rsidRPr="009A6179" w:rsidRDefault="00D90D34" w:rsidP="009F6DEC">
            <w:pPr>
              <w:spacing w:after="100" w:afterAutospacing="1"/>
              <w:ind w:left="-11" w:right="3"/>
              <w:jc w:val="center"/>
              <w:rPr>
                <w:rFonts w:ascii="Aptos" w:hAnsi="Aptos"/>
              </w:rPr>
            </w:pPr>
            <w:r w:rsidRPr="009A6179">
              <w:rPr>
                <w:rFonts w:ascii="Aptos" w:hAnsi="Aptos"/>
              </w:rPr>
              <w:t>0.9%</w:t>
            </w:r>
          </w:p>
        </w:tc>
        <w:tc>
          <w:tcPr>
            <w:tcW w:w="1899" w:type="dxa"/>
            <w:vAlign w:val="center"/>
          </w:tcPr>
          <w:p w14:paraId="3338426F" w14:textId="0A26DD28" w:rsidR="00AE0B5E" w:rsidRPr="009A6179" w:rsidRDefault="00D90D34" w:rsidP="001D3C8A">
            <w:pPr>
              <w:spacing w:after="100" w:afterAutospacing="1"/>
              <w:ind w:left="-212" w:right="-286"/>
              <w:jc w:val="center"/>
              <w:rPr>
                <w:rFonts w:ascii="Aptos" w:hAnsi="Aptos"/>
              </w:rPr>
            </w:pPr>
            <w:r w:rsidRPr="009A6179">
              <w:rPr>
                <w:rFonts w:ascii="Aptos" w:hAnsi="Aptos"/>
              </w:rPr>
              <w:t>-0.3%</w:t>
            </w:r>
          </w:p>
        </w:tc>
        <w:tc>
          <w:tcPr>
            <w:tcW w:w="1900" w:type="dxa"/>
            <w:vAlign w:val="center"/>
          </w:tcPr>
          <w:p w14:paraId="1059751E" w14:textId="34D2B90F" w:rsidR="00AE0B5E" w:rsidRPr="009A6179" w:rsidRDefault="00206C74" w:rsidP="001D3C8A">
            <w:pPr>
              <w:spacing w:after="100" w:afterAutospacing="1"/>
              <w:ind w:left="-129" w:right="-30"/>
              <w:jc w:val="center"/>
              <w:rPr>
                <w:rFonts w:ascii="Aptos" w:hAnsi="Aptos"/>
                <w:b/>
                <w:bCs/>
              </w:rPr>
            </w:pPr>
            <w:r w:rsidRPr="009A6179">
              <w:rPr>
                <w:rFonts w:ascii="Aptos" w:hAnsi="Aptos"/>
                <w:b/>
                <w:bCs/>
              </w:rPr>
              <w:t>-1.2%</w:t>
            </w:r>
          </w:p>
        </w:tc>
        <w:tc>
          <w:tcPr>
            <w:tcW w:w="1900" w:type="dxa"/>
            <w:vAlign w:val="center"/>
          </w:tcPr>
          <w:p w14:paraId="52EEBCBD" w14:textId="697092B4" w:rsidR="00AE0B5E" w:rsidRPr="009A6179" w:rsidRDefault="001B3B39" w:rsidP="001D3C8A">
            <w:pPr>
              <w:spacing w:after="100" w:afterAutospacing="1"/>
              <w:jc w:val="center"/>
              <w:rPr>
                <w:rFonts w:ascii="Aptos" w:hAnsi="Aptos"/>
              </w:rPr>
            </w:pPr>
            <w:r w:rsidRPr="009A6179">
              <w:rPr>
                <w:rFonts w:ascii="Aptos" w:hAnsi="Aptos"/>
              </w:rPr>
              <w:t>3.5%</w:t>
            </w:r>
          </w:p>
        </w:tc>
      </w:tr>
      <w:tr w:rsidR="00095444" w14:paraId="0786F3AC" w14:textId="77777777" w:rsidTr="001D3C8A">
        <w:trPr>
          <w:trHeight w:val="543"/>
        </w:trPr>
        <w:tc>
          <w:tcPr>
            <w:tcW w:w="1899" w:type="dxa"/>
            <w:vAlign w:val="center"/>
          </w:tcPr>
          <w:p w14:paraId="3AAEF795" w14:textId="376BBDAA" w:rsidR="00AE0B5E" w:rsidRPr="00095444" w:rsidRDefault="0036188E" w:rsidP="001D3C8A">
            <w:pPr>
              <w:spacing w:after="0"/>
              <w:ind w:right="-286"/>
              <w:rPr>
                <w:rFonts w:ascii="Aptos" w:hAnsi="Aptos"/>
                <w:sz w:val="20"/>
                <w:szCs w:val="20"/>
              </w:rPr>
            </w:pPr>
            <w:r w:rsidRPr="00095444">
              <w:rPr>
                <w:rFonts w:ascii="Aptos" w:hAnsi="Aptos"/>
                <w:sz w:val="20"/>
                <w:szCs w:val="20"/>
              </w:rPr>
              <w:t>Median base salary</w:t>
            </w:r>
          </w:p>
        </w:tc>
        <w:tc>
          <w:tcPr>
            <w:tcW w:w="1900" w:type="dxa"/>
            <w:vAlign w:val="center"/>
          </w:tcPr>
          <w:p w14:paraId="655CE5D2" w14:textId="2B10F1F3" w:rsidR="00AE0B5E" w:rsidRPr="009A6179" w:rsidRDefault="00D90D34" w:rsidP="009F6DEC">
            <w:pPr>
              <w:spacing w:after="100" w:afterAutospacing="1"/>
              <w:ind w:left="-11" w:right="3"/>
              <w:jc w:val="center"/>
              <w:rPr>
                <w:rFonts w:ascii="Aptos" w:hAnsi="Aptos"/>
              </w:rPr>
            </w:pPr>
            <w:r w:rsidRPr="009A6179">
              <w:rPr>
                <w:rFonts w:ascii="Aptos" w:hAnsi="Aptos"/>
              </w:rPr>
              <w:t>10.6%</w:t>
            </w:r>
          </w:p>
        </w:tc>
        <w:tc>
          <w:tcPr>
            <w:tcW w:w="1899" w:type="dxa"/>
            <w:vAlign w:val="center"/>
          </w:tcPr>
          <w:p w14:paraId="37E98933" w14:textId="14B3CB81" w:rsidR="00AE0B5E" w:rsidRPr="009A6179" w:rsidRDefault="00D90D34" w:rsidP="001D3C8A">
            <w:pPr>
              <w:spacing w:after="100" w:afterAutospacing="1"/>
              <w:ind w:left="-212" w:right="-286"/>
              <w:jc w:val="center"/>
              <w:rPr>
                <w:rFonts w:ascii="Aptos" w:hAnsi="Aptos"/>
              </w:rPr>
            </w:pPr>
            <w:r w:rsidRPr="009A6179">
              <w:rPr>
                <w:rFonts w:ascii="Aptos" w:hAnsi="Aptos"/>
              </w:rPr>
              <w:t>0.0%</w:t>
            </w:r>
          </w:p>
        </w:tc>
        <w:tc>
          <w:tcPr>
            <w:tcW w:w="1900" w:type="dxa"/>
            <w:vAlign w:val="center"/>
          </w:tcPr>
          <w:p w14:paraId="15413030" w14:textId="6D4679EB" w:rsidR="00AE0B5E" w:rsidRPr="009A6179" w:rsidRDefault="00206C74" w:rsidP="001D3C8A">
            <w:pPr>
              <w:spacing w:after="100" w:afterAutospacing="1"/>
              <w:ind w:left="-129" w:right="-30"/>
              <w:jc w:val="center"/>
              <w:rPr>
                <w:rFonts w:ascii="Aptos" w:hAnsi="Aptos"/>
                <w:b/>
                <w:bCs/>
              </w:rPr>
            </w:pPr>
            <w:r w:rsidRPr="009A6179">
              <w:rPr>
                <w:rFonts w:ascii="Aptos" w:hAnsi="Aptos"/>
                <w:b/>
                <w:bCs/>
              </w:rPr>
              <w:t>0.0%</w:t>
            </w:r>
          </w:p>
        </w:tc>
        <w:tc>
          <w:tcPr>
            <w:tcW w:w="1900" w:type="dxa"/>
            <w:vAlign w:val="center"/>
          </w:tcPr>
          <w:p w14:paraId="00E25FEF" w14:textId="45B2B4A6" w:rsidR="00AE0B5E" w:rsidRPr="009A6179" w:rsidRDefault="00206C74" w:rsidP="001D3C8A">
            <w:pPr>
              <w:spacing w:after="100" w:afterAutospacing="1"/>
              <w:jc w:val="center"/>
              <w:rPr>
                <w:rFonts w:ascii="Aptos" w:hAnsi="Aptos"/>
              </w:rPr>
            </w:pPr>
            <w:r w:rsidRPr="009A6179">
              <w:rPr>
                <w:rFonts w:ascii="Aptos" w:hAnsi="Aptos"/>
              </w:rPr>
              <w:t>0.0%</w:t>
            </w:r>
          </w:p>
        </w:tc>
      </w:tr>
      <w:tr w:rsidR="00095444" w14:paraId="08CCF18B" w14:textId="77777777" w:rsidTr="001D3C8A">
        <w:trPr>
          <w:trHeight w:val="576"/>
        </w:trPr>
        <w:tc>
          <w:tcPr>
            <w:tcW w:w="1899" w:type="dxa"/>
            <w:vAlign w:val="center"/>
          </w:tcPr>
          <w:p w14:paraId="5F3EC887" w14:textId="4EE1D346" w:rsidR="00AE0B5E" w:rsidRPr="00095444" w:rsidRDefault="0036188E" w:rsidP="001D3C8A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095444">
              <w:rPr>
                <w:rFonts w:ascii="Aptos" w:hAnsi="Aptos"/>
                <w:sz w:val="20"/>
                <w:szCs w:val="20"/>
              </w:rPr>
              <w:t xml:space="preserve">Key </w:t>
            </w:r>
            <w:r w:rsidR="002F670D">
              <w:rPr>
                <w:rFonts w:ascii="Aptos" w:hAnsi="Aptos"/>
                <w:sz w:val="20"/>
                <w:szCs w:val="20"/>
              </w:rPr>
              <w:t>M</w:t>
            </w:r>
            <w:r w:rsidRPr="00095444">
              <w:rPr>
                <w:rFonts w:ascii="Aptos" w:hAnsi="Aptos"/>
                <w:sz w:val="20"/>
                <w:szCs w:val="20"/>
              </w:rPr>
              <w:t xml:space="preserve">anagement </w:t>
            </w:r>
            <w:r w:rsidR="002F670D">
              <w:rPr>
                <w:rFonts w:ascii="Aptos" w:hAnsi="Aptos"/>
                <w:sz w:val="20"/>
                <w:szCs w:val="20"/>
              </w:rPr>
              <w:t>P</w:t>
            </w:r>
            <w:r w:rsidRPr="00095444">
              <w:rPr>
                <w:rFonts w:ascii="Aptos" w:hAnsi="Aptos"/>
                <w:sz w:val="20"/>
                <w:szCs w:val="20"/>
              </w:rPr>
              <w:t>ersonnel</w:t>
            </w:r>
            <w:r w:rsidR="000A0F25">
              <w:rPr>
                <w:rFonts w:ascii="Aptos" w:hAnsi="Aptos"/>
                <w:sz w:val="20"/>
                <w:szCs w:val="20"/>
              </w:rPr>
              <w:t>*</w:t>
            </w:r>
            <w:r w:rsidR="002F670D">
              <w:rPr>
                <w:rFonts w:ascii="Aptos" w:hAnsi="Aptos"/>
                <w:sz w:val="20"/>
                <w:szCs w:val="20"/>
              </w:rPr>
              <w:t>^</w:t>
            </w:r>
          </w:p>
        </w:tc>
        <w:tc>
          <w:tcPr>
            <w:tcW w:w="1900" w:type="dxa"/>
            <w:vAlign w:val="center"/>
          </w:tcPr>
          <w:p w14:paraId="069FCD7C" w14:textId="46285148" w:rsidR="00AE0B5E" w:rsidRPr="009A6179" w:rsidRDefault="00D90D34" w:rsidP="009F6DEC">
            <w:pPr>
              <w:spacing w:after="100" w:afterAutospacing="1"/>
              <w:ind w:left="-11" w:right="3"/>
              <w:jc w:val="center"/>
              <w:rPr>
                <w:rFonts w:ascii="Aptos" w:hAnsi="Aptos"/>
              </w:rPr>
            </w:pPr>
            <w:r w:rsidRPr="009A6179">
              <w:rPr>
                <w:rFonts w:ascii="Aptos" w:hAnsi="Aptos"/>
              </w:rPr>
              <w:t>2.4%</w:t>
            </w:r>
          </w:p>
        </w:tc>
        <w:tc>
          <w:tcPr>
            <w:tcW w:w="1899" w:type="dxa"/>
            <w:vAlign w:val="center"/>
          </w:tcPr>
          <w:p w14:paraId="3B9AAF2A" w14:textId="449D5AB2" w:rsidR="00AE0B5E" w:rsidRPr="009A6179" w:rsidRDefault="00D90D34" w:rsidP="001D3C8A">
            <w:pPr>
              <w:spacing w:after="100" w:afterAutospacing="1"/>
              <w:ind w:left="-212" w:right="-286"/>
              <w:jc w:val="center"/>
              <w:rPr>
                <w:rFonts w:ascii="Aptos" w:hAnsi="Aptos"/>
              </w:rPr>
            </w:pPr>
            <w:r w:rsidRPr="009A6179">
              <w:rPr>
                <w:rFonts w:ascii="Aptos" w:hAnsi="Aptos"/>
              </w:rPr>
              <w:t>-4.8%</w:t>
            </w:r>
          </w:p>
        </w:tc>
        <w:tc>
          <w:tcPr>
            <w:tcW w:w="1900" w:type="dxa"/>
            <w:vAlign w:val="center"/>
          </w:tcPr>
          <w:p w14:paraId="383EC30A" w14:textId="2AD73C28" w:rsidR="00AE0B5E" w:rsidRPr="009A6179" w:rsidRDefault="00206C74" w:rsidP="001D3C8A">
            <w:pPr>
              <w:spacing w:after="100" w:afterAutospacing="1"/>
              <w:ind w:left="-129" w:right="-30"/>
              <w:jc w:val="center"/>
              <w:rPr>
                <w:rFonts w:ascii="Aptos" w:hAnsi="Aptos"/>
                <w:b/>
                <w:bCs/>
              </w:rPr>
            </w:pPr>
            <w:r w:rsidRPr="009A6179">
              <w:rPr>
                <w:rFonts w:ascii="Aptos" w:hAnsi="Aptos"/>
                <w:b/>
                <w:bCs/>
              </w:rPr>
              <w:t>-15.9%</w:t>
            </w:r>
          </w:p>
        </w:tc>
        <w:tc>
          <w:tcPr>
            <w:tcW w:w="1900" w:type="dxa"/>
            <w:vAlign w:val="center"/>
          </w:tcPr>
          <w:p w14:paraId="5ACD15DF" w14:textId="2ED28687" w:rsidR="00AE0B5E" w:rsidRPr="009A6179" w:rsidRDefault="00206C74" w:rsidP="001D3C8A">
            <w:pPr>
              <w:spacing w:after="100" w:afterAutospacing="1"/>
              <w:jc w:val="center"/>
              <w:rPr>
                <w:rFonts w:ascii="Aptos" w:hAnsi="Aptos"/>
              </w:rPr>
            </w:pPr>
            <w:r w:rsidRPr="009A6179">
              <w:rPr>
                <w:rFonts w:ascii="Aptos" w:hAnsi="Aptos"/>
              </w:rPr>
              <w:t>3.2%</w:t>
            </w:r>
          </w:p>
        </w:tc>
      </w:tr>
    </w:tbl>
    <w:p w14:paraId="4CA50352" w14:textId="7CDFDB4D" w:rsidR="006D1369" w:rsidRPr="006D1369" w:rsidRDefault="001D3C8A" w:rsidP="006D1369">
      <w:pPr>
        <w:ind w:right="-286"/>
        <w:rPr>
          <w:rFonts w:ascii="Aptos" w:hAnsi="Aptos"/>
          <w:sz w:val="20"/>
          <w:szCs w:val="20"/>
        </w:rPr>
      </w:pPr>
      <w:r w:rsidRPr="002A355C">
        <w:rPr>
          <w:rFonts w:ascii="Aptos" w:hAnsi="Apto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8EF98EA" wp14:editId="4AB27EB3">
                <wp:simplePos x="0" y="0"/>
                <wp:positionH relativeFrom="column">
                  <wp:posOffset>-176861</wp:posOffset>
                </wp:positionH>
                <wp:positionV relativeFrom="paragraph">
                  <wp:posOffset>48563</wp:posOffset>
                </wp:positionV>
                <wp:extent cx="6019800" cy="985961"/>
                <wp:effectExtent l="0" t="0" r="0" b="5080"/>
                <wp:wrapNone/>
                <wp:docPr id="349021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9859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A2C17" w14:textId="0308CC79" w:rsidR="002A355C" w:rsidRDefault="002A355C" w:rsidP="007F56DC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F56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Note: A positive percentage indicates that men are paid more than women. A negative percentage indicates that women are paid more than men. </w:t>
                            </w:r>
                          </w:p>
                          <w:p w14:paraId="04308768" w14:textId="360059C4" w:rsidR="000A0F25" w:rsidRDefault="000A0F25" w:rsidP="007F56DC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*</w:t>
                            </w:r>
                            <w:r w:rsidRPr="000A0F25">
                              <w:t xml:space="preserve"> </w:t>
                            </w:r>
                            <w:r w:rsidRPr="000A0F2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WGEA define Key Management Personnel (KMP) for Commonwealth public sector employers as employees working at the </w:t>
                            </w:r>
                            <w:r w:rsidRPr="001F0E0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</w:t>
                            </w:r>
                            <w:r w:rsidR="001F0E0A" w:rsidRPr="001F0E0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enior Executive Service Band </w:t>
                            </w:r>
                            <w:r w:rsidRPr="001F0E0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2, </w:t>
                            </w:r>
                            <w:r w:rsidR="001F0E0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Senior Executive Service Band 3, </w:t>
                            </w:r>
                            <w:r w:rsidRPr="000A0F2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and CEO/Agency Head level.</w:t>
                            </w:r>
                          </w:p>
                          <w:p w14:paraId="4C06B64C" w14:textId="2ED27365" w:rsidR="007F56DC" w:rsidRPr="002F670D" w:rsidRDefault="002F670D" w:rsidP="002F670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^ </w:t>
                            </w:r>
                            <w:r w:rsidR="00912936" w:rsidRPr="002F670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From 2024, CEO/Secretary salary </w:t>
                            </w:r>
                            <w:r w:rsidR="002014D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has been</w:t>
                            </w:r>
                            <w:r w:rsidR="00912936" w:rsidRPr="002F670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included in the </w:t>
                            </w:r>
                            <w:r w:rsidR="002014D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KMP</w:t>
                            </w:r>
                            <w:r w:rsidRPr="002F670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category.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F98EA" id="_x0000_s1027" type="#_x0000_t202" style="position:absolute;margin-left:-13.95pt;margin-top:3.8pt;width:474pt;height:77.6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" filled="f" stroked="f">
                <v:textbox>
                  <w:txbxContent>
                    <w:p w14:paraId="5FFA2C17" w14:textId="0308CC79" w:rsidR="002A355C" w:rsidRDefault="002A355C" w:rsidP="007F56DC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F56DC">
                        <w:rPr>
                          <w:i/>
                          <w:iCs/>
                          <w:sz w:val="20"/>
                          <w:szCs w:val="20"/>
                        </w:rPr>
                        <w:t xml:space="preserve">Note: A positive percentage indicates that men are paid more than women. A negative percentage indicates that women are paid more than men. </w:t>
                      </w:r>
                    </w:p>
                    <w:p w14:paraId="04308768" w14:textId="360059C4" w:rsidR="000A0F25" w:rsidRDefault="000A0F25" w:rsidP="007F56DC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*</w:t>
                      </w:r>
                      <w:r w:rsidRPr="000A0F25">
                        <w:t xml:space="preserve"> </w:t>
                      </w:r>
                      <w:r w:rsidRPr="000A0F25">
                        <w:rPr>
                          <w:i/>
                          <w:iCs/>
                          <w:sz w:val="20"/>
                          <w:szCs w:val="20"/>
                        </w:rPr>
                        <w:t xml:space="preserve">WGEA define Key Management Personnel (KMP) for Commonwealth public sector employers as employees working at the </w:t>
                      </w:r>
                      <w:r w:rsidRPr="001F0E0A">
                        <w:rPr>
                          <w:i/>
                          <w:iCs/>
                          <w:sz w:val="20"/>
                          <w:szCs w:val="20"/>
                        </w:rPr>
                        <w:t>S</w:t>
                      </w:r>
                      <w:r w:rsidR="001F0E0A" w:rsidRPr="001F0E0A">
                        <w:rPr>
                          <w:i/>
                          <w:iCs/>
                          <w:sz w:val="20"/>
                          <w:szCs w:val="20"/>
                        </w:rPr>
                        <w:t xml:space="preserve">enior Executive Service Band </w:t>
                      </w:r>
                      <w:r w:rsidRPr="001F0E0A">
                        <w:rPr>
                          <w:i/>
                          <w:iCs/>
                          <w:sz w:val="20"/>
                          <w:szCs w:val="20"/>
                        </w:rPr>
                        <w:t xml:space="preserve">2, </w:t>
                      </w:r>
                      <w:r w:rsidR="001F0E0A">
                        <w:rPr>
                          <w:i/>
                          <w:iCs/>
                          <w:sz w:val="20"/>
                          <w:szCs w:val="20"/>
                        </w:rPr>
                        <w:t xml:space="preserve">Senior Executive Service Band 3, </w:t>
                      </w:r>
                      <w:r w:rsidRPr="000A0F25">
                        <w:rPr>
                          <w:i/>
                          <w:iCs/>
                          <w:sz w:val="20"/>
                          <w:szCs w:val="20"/>
                        </w:rPr>
                        <w:t>and CEO/Agency Head level.</w:t>
                      </w:r>
                    </w:p>
                    <w:p w14:paraId="4C06B64C" w14:textId="2ED27365" w:rsidR="007F56DC" w:rsidRPr="002F670D" w:rsidRDefault="002F670D" w:rsidP="002F670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^ </w:t>
                      </w:r>
                      <w:r w:rsidR="00912936" w:rsidRPr="002F670D">
                        <w:rPr>
                          <w:i/>
                          <w:iCs/>
                          <w:sz w:val="20"/>
                          <w:szCs w:val="20"/>
                        </w:rPr>
                        <w:t xml:space="preserve">From 2024, CEO/Secretary salary </w:t>
                      </w:r>
                      <w:r w:rsidR="002014D9">
                        <w:rPr>
                          <w:i/>
                          <w:iCs/>
                          <w:sz w:val="20"/>
                          <w:szCs w:val="20"/>
                        </w:rPr>
                        <w:t>has been</w:t>
                      </w:r>
                      <w:r w:rsidR="00912936" w:rsidRPr="002F670D">
                        <w:rPr>
                          <w:i/>
                          <w:iCs/>
                          <w:sz w:val="20"/>
                          <w:szCs w:val="20"/>
                        </w:rPr>
                        <w:t xml:space="preserve"> included in the </w:t>
                      </w:r>
                      <w:r w:rsidR="002014D9">
                        <w:rPr>
                          <w:i/>
                          <w:iCs/>
                          <w:sz w:val="20"/>
                          <w:szCs w:val="20"/>
                        </w:rPr>
                        <w:t>KMP</w:t>
                      </w:r>
                      <w:r w:rsidRPr="002F670D">
                        <w:rPr>
                          <w:i/>
                          <w:iCs/>
                          <w:sz w:val="20"/>
                          <w:szCs w:val="20"/>
                        </w:rPr>
                        <w:t xml:space="preserve"> category. </w:t>
                      </w:r>
                    </w:p>
                  </w:txbxContent>
                </v:textbox>
              </v:shape>
            </w:pict>
          </mc:Fallback>
        </mc:AlternateContent>
      </w:r>
    </w:p>
    <w:p w14:paraId="66AD819C" w14:textId="40EA7038" w:rsidR="002F504E" w:rsidRPr="006D1369" w:rsidRDefault="002F504E" w:rsidP="006D1369">
      <w:pPr>
        <w:pStyle w:val="ListParagraph"/>
        <w:ind w:left="76" w:right="-286"/>
        <w:rPr>
          <w:rFonts w:ascii="Montserrat" w:hAnsi="Montserrat"/>
          <w:sz w:val="24"/>
          <w:szCs w:val="24"/>
        </w:rPr>
      </w:pPr>
    </w:p>
    <w:p w14:paraId="4C2C113E" w14:textId="4D8B6F4B" w:rsidR="00650829" w:rsidRPr="00D06381" w:rsidRDefault="00910737" w:rsidP="008839C1">
      <w:pPr>
        <w:pStyle w:val="Heading3"/>
      </w:pPr>
      <w:r w:rsidRPr="00D06381">
        <w:lastRenderedPageBreak/>
        <w:t>Workforce</w:t>
      </w:r>
      <w:r w:rsidR="00650829" w:rsidRPr="00D06381">
        <w:t xml:space="preserve"> Composition</w:t>
      </w:r>
    </w:p>
    <w:p w14:paraId="1A36D67E" w14:textId="02714891" w:rsidR="00D34D5D" w:rsidRDefault="00632774" w:rsidP="00650829">
      <w:pPr>
        <w:ind w:left="-284" w:right="-286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As </w:t>
      </w:r>
      <w:proofErr w:type="gramStart"/>
      <w:r>
        <w:rPr>
          <w:rFonts w:ascii="Aptos" w:hAnsi="Aptos"/>
          <w:sz w:val="24"/>
          <w:szCs w:val="24"/>
        </w:rPr>
        <w:t>at</w:t>
      </w:r>
      <w:proofErr w:type="gramEnd"/>
      <w:r>
        <w:rPr>
          <w:rFonts w:ascii="Aptos" w:hAnsi="Aptos"/>
          <w:i/>
          <w:iCs/>
          <w:sz w:val="24"/>
          <w:szCs w:val="24"/>
        </w:rPr>
        <w:t xml:space="preserve"> </w:t>
      </w:r>
      <w:r w:rsidR="00986C1E" w:rsidRPr="00986C1E">
        <w:rPr>
          <w:rFonts w:ascii="Aptos" w:hAnsi="Aptos"/>
          <w:sz w:val="24"/>
          <w:szCs w:val="24"/>
        </w:rPr>
        <w:t>31 December 2024</w:t>
      </w:r>
      <w:r w:rsidR="00D34D5D">
        <w:rPr>
          <w:rFonts w:ascii="Aptos" w:hAnsi="Aptos"/>
          <w:sz w:val="24"/>
          <w:szCs w:val="24"/>
        </w:rPr>
        <w:t>:</w:t>
      </w:r>
    </w:p>
    <w:p w14:paraId="36E3B170" w14:textId="5CBAEA13" w:rsidR="00D34D5D" w:rsidRDefault="00D34D5D" w:rsidP="00D34D5D">
      <w:pPr>
        <w:pStyle w:val="ListParagraph"/>
        <w:numPr>
          <w:ilvl w:val="0"/>
          <w:numId w:val="23"/>
        </w:numPr>
        <w:ind w:right="-286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</w:t>
      </w:r>
      <w:r w:rsidR="00550E05" w:rsidRPr="00153648">
        <w:rPr>
          <w:rFonts w:ascii="Aptos" w:hAnsi="Aptos"/>
          <w:sz w:val="24"/>
          <w:szCs w:val="24"/>
        </w:rPr>
        <w:t>he department</w:t>
      </w:r>
      <w:r>
        <w:rPr>
          <w:rFonts w:ascii="Aptos" w:hAnsi="Aptos"/>
          <w:sz w:val="24"/>
          <w:szCs w:val="24"/>
        </w:rPr>
        <w:t xml:space="preserve"> employed </w:t>
      </w:r>
      <w:r w:rsidR="00986C1E" w:rsidRPr="00153648">
        <w:rPr>
          <w:rFonts w:ascii="Aptos" w:hAnsi="Aptos"/>
          <w:sz w:val="24"/>
          <w:szCs w:val="24"/>
        </w:rPr>
        <w:t>4,37</w:t>
      </w:r>
      <w:r w:rsidR="00664C3D" w:rsidRPr="00153648">
        <w:rPr>
          <w:rFonts w:ascii="Aptos" w:hAnsi="Aptos"/>
          <w:sz w:val="24"/>
          <w:szCs w:val="24"/>
        </w:rPr>
        <w:t>5</w:t>
      </w:r>
      <w:r w:rsidR="00986C1E" w:rsidRPr="00153648">
        <w:rPr>
          <w:rFonts w:ascii="Aptos" w:hAnsi="Aptos"/>
          <w:sz w:val="24"/>
          <w:szCs w:val="24"/>
        </w:rPr>
        <w:t xml:space="preserve"> APS employees</w:t>
      </w:r>
      <w:r w:rsidR="00153648">
        <w:rPr>
          <w:rFonts w:ascii="Aptos" w:hAnsi="Aptos"/>
          <w:sz w:val="24"/>
          <w:szCs w:val="24"/>
        </w:rPr>
        <w:t>.</w:t>
      </w:r>
    </w:p>
    <w:p w14:paraId="2B970408" w14:textId="623AA6E2" w:rsidR="00D34D5D" w:rsidRDefault="00D34D5D" w:rsidP="00D34D5D">
      <w:pPr>
        <w:pStyle w:val="ListParagraph"/>
        <w:numPr>
          <w:ilvl w:val="0"/>
          <w:numId w:val="23"/>
        </w:numPr>
        <w:ind w:right="-286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</w:t>
      </w:r>
      <w:r w:rsidR="006C0346" w:rsidRPr="00153648">
        <w:rPr>
          <w:rFonts w:ascii="Aptos" w:hAnsi="Aptos"/>
          <w:sz w:val="24"/>
          <w:szCs w:val="24"/>
        </w:rPr>
        <w:t xml:space="preserve">omen </w:t>
      </w:r>
      <w:r>
        <w:rPr>
          <w:rFonts w:ascii="Aptos" w:hAnsi="Aptos"/>
          <w:sz w:val="24"/>
          <w:szCs w:val="24"/>
        </w:rPr>
        <w:t>accounted for a</w:t>
      </w:r>
      <w:r w:rsidR="00595AD1" w:rsidRPr="00153648">
        <w:rPr>
          <w:rFonts w:ascii="Aptos" w:hAnsi="Aptos"/>
          <w:sz w:val="24"/>
          <w:szCs w:val="24"/>
        </w:rPr>
        <w:t>pproximately</w:t>
      </w:r>
      <w:r w:rsidR="000F6E67" w:rsidRPr="00153648">
        <w:rPr>
          <w:rFonts w:ascii="Aptos" w:hAnsi="Aptos"/>
          <w:sz w:val="24"/>
          <w:szCs w:val="24"/>
        </w:rPr>
        <w:t xml:space="preserve"> 60% of the workforce</w:t>
      </w:r>
      <w:r>
        <w:rPr>
          <w:rFonts w:ascii="Aptos" w:hAnsi="Aptos"/>
          <w:sz w:val="24"/>
          <w:szCs w:val="24"/>
        </w:rPr>
        <w:t>,</w:t>
      </w:r>
      <w:r w:rsidR="000F6E67" w:rsidRPr="00153648">
        <w:rPr>
          <w:rFonts w:ascii="Aptos" w:hAnsi="Aptos"/>
          <w:sz w:val="24"/>
          <w:szCs w:val="24"/>
        </w:rPr>
        <w:t xml:space="preserve"> and men </w:t>
      </w:r>
      <w:r w:rsidR="00595AD1" w:rsidRPr="00153648">
        <w:rPr>
          <w:rFonts w:ascii="Aptos" w:hAnsi="Aptos"/>
          <w:sz w:val="24"/>
          <w:szCs w:val="24"/>
        </w:rPr>
        <w:t xml:space="preserve">40%. </w:t>
      </w:r>
    </w:p>
    <w:p w14:paraId="6BB2882C" w14:textId="0BAA9EB4" w:rsidR="00910737" w:rsidRPr="00153648" w:rsidRDefault="00595AD1" w:rsidP="00153648">
      <w:pPr>
        <w:pStyle w:val="ListParagraph"/>
        <w:numPr>
          <w:ilvl w:val="0"/>
          <w:numId w:val="23"/>
        </w:numPr>
        <w:ind w:right="-286"/>
        <w:rPr>
          <w:rFonts w:ascii="Aptos" w:hAnsi="Aptos"/>
          <w:sz w:val="24"/>
          <w:szCs w:val="24"/>
        </w:rPr>
      </w:pPr>
      <w:r w:rsidRPr="00153648">
        <w:rPr>
          <w:rFonts w:ascii="Aptos" w:hAnsi="Aptos"/>
          <w:sz w:val="24"/>
          <w:szCs w:val="24"/>
        </w:rPr>
        <w:t>Less than 1% of our workforce identify as non</w:t>
      </w:r>
      <w:r w:rsidR="00554E84" w:rsidRPr="00153648">
        <w:rPr>
          <w:rFonts w:ascii="Aptos" w:hAnsi="Aptos"/>
          <w:sz w:val="24"/>
          <w:szCs w:val="24"/>
        </w:rPr>
        <w:t>-</w:t>
      </w:r>
      <w:r w:rsidRPr="00153648">
        <w:rPr>
          <w:rFonts w:ascii="Aptos" w:hAnsi="Aptos"/>
          <w:sz w:val="24"/>
          <w:szCs w:val="24"/>
        </w:rPr>
        <w:t>binary</w:t>
      </w:r>
      <w:r w:rsidR="00182A0D" w:rsidRPr="00153648">
        <w:rPr>
          <w:rFonts w:ascii="Aptos" w:hAnsi="Aptos"/>
          <w:sz w:val="24"/>
          <w:szCs w:val="24"/>
        </w:rPr>
        <w:t xml:space="preserve"> or use a different term</w:t>
      </w:r>
      <w:r w:rsidRPr="00153648">
        <w:rPr>
          <w:rFonts w:ascii="Aptos" w:hAnsi="Aptos"/>
          <w:sz w:val="24"/>
          <w:szCs w:val="24"/>
        </w:rPr>
        <w:t>.</w:t>
      </w:r>
      <w:r w:rsidR="000F6E67" w:rsidRPr="00153648">
        <w:rPr>
          <w:rFonts w:ascii="Aptos" w:hAnsi="Aptos"/>
          <w:sz w:val="24"/>
          <w:szCs w:val="24"/>
        </w:rPr>
        <w:t xml:space="preserve"> </w:t>
      </w:r>
    </w:p>
    <w:p w14:paraId="6E4C97F5" w14:textId="0EF67602" w:rsidR="00F43C70" w:rsidRDefault="00F440C7" w:rsidP="00FF34D6">
      <w:pPr>
        <w:ind w:left="-284" w:right="-286"/>
        <w:rPr>
          <w:noProof/>
        </w:rPr>
      </w:pPr>
      <w:r>
        <w:rPr>
          <w:rFonts w:ascii="Aptos" w:hAnsi="Aptos"/>
          <w:sz w:val="24"/>
          <w:szCs w:val="24"/>
        </w:rPr>
        <w:t xml:space="preserve">Women represented </w:t>
      </w:r>
      <w:r w:rsidR="00E22033">
        <w:rPr>
          <w:rFonts w:ascii="Aptos" w:hAnsi="Aptos"/>
          <w:sz w:val="24"/>
          <w:szCs w:val="24"/>
        </w:rPr>
        <w:t>the</w:t>
      </w:r>
      <w:r>
        <w:rPr>
          <w:rFonts w:ascii="Aptos" w:hAnsi="Aptos"/>
          <w:sz w:val="24"/>
          <w:szCs w:val="24"/>
        </w:rPr>
        <w:t xml:space="preserve"> majority across all pay quartiles</w:t>
      </w:r>
      <w:r w:rsidR="004B156E">
        <w:rPr>
          <w:rFonts w:ascii="Aptos" w:hAnsi="Aptos"/>
          <w:sz w:val="24"/>
          <w:szCs w:val="24"/>
        </w:rPr>
        <w:t xml:space="preserve"> and role categories</w:t>
      </w:r>
      <w:r w:rsidR="00562069">
        <w:rPr>
          <w:rFonts w:ascii="Aptos" w:hAnsi="Aptos"/>
          <w:sz w:val="24"/>
          <w:szCs w:val="24"/>
        </w:rPr>
        <w:t xml:space="preserve">. </w:t>
      </w:r>
      <w:r w:rsidR="002F4790" w:rsidRPr="00153648">
        <w:rPr>
          <w:rFonts w:ascii="Aptos" w:hAnsi="Aptos"/>
          <w:b/>
          <w:bCs/>
          <w:sz w:val="24"/>
          <w:szCs w:val="24"/>
        </w:rPr>
        <w:t>Chart 1</w:t>
      </w:r>
      <w:r w:rsidR="00D86BFE">
        <w:rPr>
          <w:rFonts w:ascii="Aptos" w:hAnsi="Aptos"/>
          <w:sz w:val="24"/>
          <w:szCs w:val="24"/>
        </w:rPr>
        <w:t xml:space="preserve"> </w:t>
      </w:r>
      <w:r w:rsidR="00562069">
        <w:rPr>
          <w:rFonts w:ascii="Aptos" w:hAnsi="Aptos"/>
          <w:sz w:val="24"/>
          <w:szCs w:val="24"/>
        </w:rPr>
        <w:t xml:space="preserve">shows </w:t>
      </w:r>
      <w:r w:rsidR="001009CE">
        <w:rPr>
          <w:rFonts w:ascii="Aptos" w:hAnsi="Aptos"/>
          <w:sz w:val="24"/>
          <w:szCs w:val="24"/>
        </w:rPr>
        <w:t xml:space="preserve">the gender distribution across each pay quartile and the average total remuneration for </w:t>
      </w:r>
      <w:r w:rsidR="00FF34D6">
        <w:rPr>
          <w:rFonts w:ascii="Aptos" w:hAnsi="Aptos"/>
          <w:sz w:val="24"/>
          <w:szCs w:val="24"/>
        </w:rPr>
        <w:t>each group</w:t>
      </w:r>
      <w:r w:rsidR="00E22033">
        <w:rPr>
          <w:rFonts w:ascii="Aptos" w:hAnsi="Aptos"/>
          <w:sz w:val="24"/>
          <w:szCs w:val="24"/>
        </w:rPr>
        <w:t>.</w:t>
      </w:r>
      <w:r w:rsidR="002F4790">
        <w:rPr>
          <w:rFonts w:ascii="Aptos" w:hAnsi="Aptos"/>
          <w:sz w:val="24"/>
          <w:szCs w:val="24"/>
        </w:rPr>
        <w:t xml:space="preserve"> </w:t>
      </w:r>
      <w:r w:rsidR="00E22033" w:rsidRPr="00153648">
        <w:rPr>
          <w:rFonts w:ascii="Aptos" w:hAnsi="Aptos"/>
          <w:b/>
          <w:bCs/>
          <w:sz w:val="24"/>
          <w:szCs w:val="24"/>
        </w:rPr>
        <w:t>C</w:t>
      </w:r>
      <w:r w:rsidR="002F4790" w:rsidRPr="00153648">
        <w:rPr>
          <w:rFonts w:ascii="Aptos" w:hAnsi="Aptos"/>
          <w:b/>
          <w:bCs/>
          <w:sz w:val="24"/>
          <w:szCs w:val="24"/>
        </w:rPr>
        <w:t>ha</w:t>
      </w:r>
      <w:r w:rsidR="00D86BFE" w:rsidRPr="00153648">
        <w:rPr>
          <w:rFonts w:ascii="Aptos" w:hAnsi="Aptos"/>
          <w:b/>
          <w:bCs/>
          <w:sz w:val="24"/>
          <w:szCs w:val="24"/>
        </w:rPr>
        <w:t>rt 2</w:t>
      </w:r>
      <w:r w:rsidR="00D86BFE">
        <w:rPr>
          <w:rFonts w:ascii="Aptos" w:hAnsi="Aptos"/>
          <w:sz w:val="24"/>
          <w:szCs w:val="24"/>
        </w:rPr>
        <w:t xml:space="preserve"> highlights </w:t>
      </w:r>
      <w:r w:rsidR="00CD5695">
        <w:rPr>
          <w:rFonts w:ascii="Aptos" w:hAnsi="Aptos"/>
          <w:sz w:val="24"/>
          <w:szCs w:val="24"/>
        </w:rPr>
        <w:t xml:space="preserve">the department’s </w:t>
      </w:r>
      <w:r w:rsidR="00D72D7E">
        <w:rPr>
          <w:rFonts w:ascii="Aptos" w:hAnsi="Aptos"/>
          <w:sz w:val="24"/>
          <w:szCs w:val="24"/>
        </w:rPr>
        <w:t xml:space="preserve">workforce composition by </w:t>
      </w:r>
      <w:r w:rsidR="009D7CDD">
        <w:rPr>
          <w:rFonts w:ascii="Aptos" w:hAnsi="Aptos"/>
          <w:sz w:val="24"/>
          <w:szCs w:val="24"/>
        </w:rPr>
        <w:t>role</w:t>
      </w:r>
      <w:r w:rsidR="00FF34D6">
        <w:rPr>
          <w:rFonts w:ascii="Aptos" w:hAnsi="Aptos"/>
          <w:sz w:val="24"/>
          <w:szCs w:val="24"/>
        </w:rPr>
        <w:t xml:space="preserve">, </w:t>
      </w:r>
      <w:r w:rsidR="00FF34D6" w:rsidRPr="00FF34D6">
        <w:rPr>
          <w:rFonts w:ascii="Aptos" w:hAnsi="Aptos"/>
          <w:sz w:val="24"/>
          <w:szCs w:val="24"/>
        </w:rPr>
        <w:t>which highlights that women hold a broad range of positions across the organisation.</w:t>
      </w:r>
      <w:r w:rsidR="00B11F91" w:rsidRPr="00B11F91">
        <w:rPr>
          <w:noProof/>
        </w:rPr>
        <w:t xml:space="preserve"> </w:t>
      </w:r>
    </w:p>
    <w:p w14:paraId="0653D257" w14:textId="4286D781" w:rsidR="00B11F91" w:rsidRDefault="00B11F91" w:rsidP="00FF34D6">
      <w:pPr>
        <w:ind w:left="-284" w:right="-286"/>
        <w:rPr>
          <w:noProof/>
        </w:rPr>
      </w:pPr>
      <w:r>
        <w:rPr>
          <w:noProof/>
        </w:rPr>
        <w:drawing>
          <wp:anchor distT="0" distB="0" distL="114300" distR="114300" simplePos="0" relativeHeight="251659272" behindDoc="0" locked="0" layoutInCell="1" allowOverlap="1" wp14:anchorId="4604E90F" wp14:editId="5261470F">
            <wp:simplePos x="0" y="0"/>
            <wp:positionH relativeFrom="column">
              <wp:posOffset>-186055</wp:posOffset>
            </wp:positionH>
            <wp:positionV relativeFrom="paragraph">
              <wp:posOffset>12065</wp:posOffset>
            </wp:positionV>
            <wp:extent cx="5759450" cy="2309495"/>
            <wp:effectExtent l="0" t="0" r="0" b="0"/>
            <wp:wrapNone/>
            <wp:docPr id="647699353" name="Picture 1" descr="Horizontal bar chart showing gender composition by pay quartile with women represented in green and men in grey. Chart reveals women constitute 56% to 65% across quartiles, with average total remuneration increasing from $96,000 in lower quartile to $191,000 in upper quart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699353" name="Picture 1" descr="Horizontal bar chart showing gender composition by pay quartile with women represented in green and men in grey. Chart reveals women constitute 56% to 65% across quartiles, with average total remuneration increasing from $96,000 in lower quartile to $191,000 in upper quartile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0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A87F98" w14:textId="0FF83D12" w:rsidR="00B11F91" w:rsidRDefault="00B11F91" w:rsidP="00FF34D6">
      <w:pPr>
        <w:ind w:left="-284" w:right="-286"/>
        <w:rPr>
          <w:noProof/>
        </w:rPr>
      </w:pPr>
    </w:p>
    <w:p w14:paraId="633329FF" w14:textId="77777777" w:rsidR="00B11F91" w:rsidRDefault="00B11F91" w:rsidP="00FF34D6">
      <w:pPr>
        <w:ind w:left="-284" w:right="-286"/>
        <w:rPr>
          <w:noProof/>
        </w:rPr>
      </w:pPr>
    </w:p>
    <w:p w14:paraId="50EC35F3" w14:textId="77777777" w:rsidR="00B11F91" w:rsidRDefault="00B11F91" w:rsidP="00FF34D6">
      <w:pPr>
        <w:ind w:left="-284" w:right="-286"/>
        <w:rPr>
          <w:noProof/>
        </w:rPr>
      </w:pPr>
    </w:p>
    <w:p w14:paraId="427D8EE4" w14:textId="77777777" w:rsidR="00B11F91" w:rsidRDefault="00B11F91" w:rsidP="00FF34D6">
      <w:pPr>
        <w:ind w:left="-284" w:right="-286"/>
        <w:rPr>
          <w:noProof/>
        </w:rPr>
      </w:pPr>
    </w:p>
    <w:p w14:paraId="4E8B004D" w14:textId="77777777" w:rsidR="00B11F91" w:rsidRDefault="00B11F91" w:rsidP="00FF34D6">
      <w:pPr>
        <w:ind w:left="-284" w:right="-286"/>
        <w:rPr>
          <w:noProof/>
        </w:rPr>
      </w:pPr>
    </w:p>
    <w:p w14:paraId="5C5E4E6A" w14:textId="3A1080A6" w:rsidR="00B11F91" w:rsidRDefault="00B11F91" w:rsidP="00FF34D6">
      <w:pPr>
        <w:ind w:left="-284" w:right="-286"/>
        <w:rPr>
          <w:noProof/>
        </w:rPr>
      </w:pPr>
    </w:p>
    <w:p w14:paraId="10F6C7CA" w14:textId="6335F41F" w:rsidR="00B11F91" w:rsidRDefault="00B11F91" w:rsidP="00FF34D6">
      <w:pPr>
        <w:ind w:left="-284" w:right="-286"/>
        <w:rPr>
          <w:noProof/>
        </w:rPr>
      </w:pPr>
      <w:r w:rsidRPr="00B11F91"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60296" behindDoc="0" locked="0" layoutInCell="1" allowOverlap="1" wp14:anchorId="61F88C2A" wp14:editId="36D539F0">
            <wp:simplePos x="0" y="0"/>
            <wp:positionH relativeFrom="column">
              <wp:posOffset>-147955</wp:posOffset>
            </wp:positionH>
            <wp:positionV relativeFrom="paragraph">
              <wp:posOffset>131445</wp:posOffset>
            </wp:positionV>
            <wp:extent cx="5759450" cy="1347470"/>
            <wp:effectExtent l="0" t="0" r="0" b="5080"/>
            <wp:wrapNone/>
            <wp:docPr id="191903003" name="Picture 1" descr="Bar chart showing workforce composition by role with horizontal bars representing CEO/HOB/KMPs, Managers, and Non-Managers. Each bar is divided into green for women and grey for men, highlighting women’s majority in all roles, especially 60% in Managers and Non-Managers, and 56% in CEO/HOB/KMP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03003" name="Picture 1" descr="Bar chart showing workforce composition by role with horizontal bars representing CEO/HOB/KMPs, Managers, and Non-Managers. Each bar is divided into green for women and grey for men, highlighting women’s majority in all roles, especially 60% in Managers and Non-Managers, and 56% in CEO/HOB/KMPs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29DF5B" w14:textId="498089DE" w:rsidR="00B11F91" w:rsidRDefault="00B11F91" w:rsidP="00FF34D6">
      <w:pPr>
        <w:ind w:left="-284" w:right="-286"/>
        <w:rPr>
          <w:rFonts w:ascii="Aptos" w:hAnsi="Aptos"/>
          <w:sz w:val="24"/>
          <w:szCs w:val="24"/>
        </w:rPr>
      </w:pPr>
    </w:p>
    <w:p w14:paraId="19207ACD" w14:textId="438DD476" w:rsidR="00B11F91" w:rsidRDefault="00B11F91" w:rsidP="00153648">
      <w:pPr>
        <w:ind w:left="-426" w:right="-286"/>
        <w:rPr>
          <w:rFonts w:ascii="Aptos" w:hAnsi="Aptos"/>
          <w:b/>
          <w:bCs/>
          <w:sz w:val="24"/>
          <w:szCs w:val="24"/>
        </w:rPr>
      </w:pPr>
    </w:p>
    <w:p w14:paraId="276D9950" w14:textId="5BD76ED7" w:rsidR="00B11F91" w:rsidRDefault="00B11F91" w:rsidP="00153648">
      <w:pPr>
        <w:ind w:left="-426" w:right="-286"/>
        <w:rPr>
          <w:rFonts w:ascii="Aptos" w:hAnsi="Aptos"/>
          <w:b/>
          <w:bCs/>
          <w:sz w:val="24"/>
          <w:szCs w:val="24"/>
        </w:rPr>
      </w:pPr>
      <w:r w:rsidRPr="005B7E6B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52C4973" wp14:editId="6651D67F">
                <wp:simplePos x="0" y="0"/>
                <wp:positionH relativeFrom="margin">
                  <wp:align>center</wp:align>
                </wp:positionH>
                <wp:positionV relativeFrom="paragraph">
                  <wp:posOffset>546100</wp:posOffset>
                </wp:positionV>
                <wp:extent cx="5908675" cy="310515"/>
                <wp:effectExtent l="0" t="0" r="0" b="0"/>
                <wp:wrapSquare wrapText="bothSides"/>
                <wp:docPr id="11030744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67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96806" w14:textId="598AF900" w:rsidR="005B7E6B" w:rsidRPr="007F1D06" w:rsidRDefault="005B7E6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F1D0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Note: CEO = Chief Executive Officer, HOB = Head of Business, </w:t>
                            </w:r>
                            <w:r w:rsidR="007F1D06" w:rsidRPr="007F1D0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KMP = Key Management Personnel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C4973" id="_x0000_s1028" type="#_x0000_t202" style="position:absolute;left:0;text-align:left;margin-left:0;margin-top:43pt;width:465.25pt;height:24.45pt;z-index:25165824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" stroked="f">
                <v:textbox>
                  <w:txbxContent>
                    <w:p w14:paraId="47A96806" w14:textId="598AF900" w:rsidR="005B7E6B" w:rsidRPr="007F1D06" w:rsidRDefault="005B7E6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F1D06">
                        <w:rPr>
                          <w:i/>
                          <w:iCs/>
                          <w:sz w:val="20"/>
                          <w:szCs w:val="20"/>
                        </w:rPr>
                        <w:t xml:space="preserve">Note: CEO = Chief Executive Officer, HOB = Head of Business, </w:t>
                      </w:r>
                      <w:r w:rsidR="007F1D06" w:rsidRPr="007F1D06">
                        <w:rPr>
                          <w:i/>
                          <w:iCs/>
                          <w:sz w:val="20"/>
                          <w:szCs w:val="20"/>
                        </w:rPr>
                        <w:t>KMP = Key Management Personnel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D2B3FD" w14:textId="16F28BB9" w:rsidR="00B11F91" w:rsidRDefault="00154A7A" w:rsidP="00153648">
      <w:pPr>
        <w:ind w:left="-426" w:right="-286"/>
        <w:rPr>
          <w:rFonts w:ascii="Aptos" w:hAnsi="Aptos"/>
          <w:sz w:val="24"/>
          <w:szCs w:val="24"/>
        </w:rPr>
      </w:pPr>
      <w:r w:rsidRPr="00153648">
        <w:rPr>
          <w:rFonts w:ascii="Aptos" w:hAnsi="Aptos"/>
          <w:b/>
          <w:bCs/>
          <w:sz w:val="24"/>
          <w:szCs w:val="24"/>
        </w:rPr>
        <w:t>Chart 3</w:t>
      </w:r>
      <w:r>
        <w:rPr>
          <w:rFonts w:ascii="Aptos" w:hAnsi="Aptos"/>
          <w:sz w:val="24"/>
          <w:szCs w:val="24"/>
        </w:rPr>
        <w:t xml:space="preserve"> shows </w:t>
      </w:r>
      <w:r w:rsidR="0040547F">
        <w:rPr>
          <w:rFonts w:ascii="Aptos" w:hAnsi="Aptos"/>
          <w:sz w:val="24"/>
          <w:szCs w:val="24"/>
        </w:rPr>
        <w:t xml:space="preserve">there was a </w:t>
      </w:r>
      <w:r w:rsidR="00897C7E">
        <w:rPr>
          <w:rFonts w:ascii="Aptos" w:hAnsi="Aptos"/>
          <w:sz w:val="24"/>
          <w:szCs w:val="24"/>
        </w:rPr>
        <w:t xml:space="preserve">notably </w:t>
      </w:r>
      <w:r w:rsidR="0040547F">
        <w:rPr>
          <w:rFonts w:ascii="Aptos" w:hAnsi="Aptos"/>
          <w:sz w:val="24"/>
          <w:szCs w:val="24"/>
        </w:rPr>
        <w:t xml:space="preserve">higher number of women </w:t>
      </w:r>
      <w:r w:rsidR="00290C79">
        <w:rPr>
          <w:rFonts w:ascii="Aptos" w:hAnsi="Aptos"/>
          <w:sz w:val="24"/>
          <w:szCs w:val="24"/>
        </w:rPr>
        <w:t>employed on a part-time</w:t>
      </w:r>
      <w:r w:rsidR="00232AFD">
        <w:rPr>
          <w:rFonts w:ascii="Aptos" w:hAnsi="Aptos"/>
          <w:sz w:val="24"/>
          <w:szCs w:val="24"/>
        </w:rPr>
        <w:t xml:space="preserve"> </w:t>
      </w:r>
      <w:r w:rsidR="00290C79">
        <w:rPr>
          <w:rFonts w:ascii="Aptos" w:hAnsi="Aptos"/>
          <w:sz w:val="24"/>
          <w:szCs w:val="24"/>
        </w:rPr>
        <w:t>basis</w:t>
      </w:r>
      <w:r w:rsidR="00C56FAB">
        <w:rPr>
          <w:rFonts w:ascii="Aptos" w:hAnsi="Aptos"/>
          <w:sz w:val="24"/>
          <w:szCs w:val="24"/>
        </w:rPr>
        <w:t xml:space="preserve"> than men</w:t>
      </w:r>
      <w:r w:rsidR="00290C79">
        <w:rPr>
          <w:rFonts w:ascii="Aptos" w:hAnsi="Aptos"/>
          <w:sz w:val="24"/>
          <w:szCs w:val="24"/>
        </w:rPr>
        <w:t xml:space="preserve">. </w:t>
      </w:r>
      <w:r w:rsidR="00FF34D6">
        <w:rPr>
          <w:rFonts w:ascii="Aptos" w:hAnsi="Aptos"/>
          <w:sz w:val="24"/>
          <w:szCs w:val="24"/>
        </w:rPr>
        <w:t>P</w:t>
      </w:r>
      <w:r w:rsidR="00690F37">
        <w:rPr>
          <w:rFonts w:ascii="Aptos" w:hAnsi="Aptos"/>
          <w:sz w:val="24"/>
          <w:szCs w:val="24"/>
        </w:rPr>
        <w:t>art-time roles are often lower paid</w:t>
      </w:r>
      <w:r w:rsidR="00C56FAB">
        <w:rPr>
          <w:rFonts w:ascii="Aptos" w:hAnsi="Aptos"/>
          <w:sz w:val="24"/>
          <w:szCs w:val="24"/>
        </w:rPr>
        <w:t>,</w:t>
      </w:r>
      <w:r w:rsidR="00690F37">
        <w:rPr>
          <w:rFonts w:ascii="Aptos" w:hAnsi="Aptos"/>
          <w:sz w:val="24"/>
          <w:szCs w:val="24"/>
        </w:rPr>
        <w:t xml:space="preserve"> </w:t>
      </w:r>
      <w:r w:rsidR="00C56FAB">
        <w:rPr>
          <w:rFonts w:ascii="Aptos" w:hAnsi="Aptos"/>
          <w:sz w:val="24"/>
          <w:szCs w:val="24"/>
        </w:rPr>
        <w:t>and</w:t>
      </w:r>
      <w:r w:rsidR="003E453A">
        <w:rPr>
          <w:rFonts w:ascii="Aptos" w:hAnsi="Aptos"/>
          <w:sz w:val="24"/>
          <w:szCs w:val="24"/>
        </w:rPr>
        <w:t xml:space="preserve"> </w:t>
      </w:r>
      <w:r w:rsidR="00D67526">
        <w:rPr>
          <w:rFonts w:ascii="Aptos" w:hAnsi="Aptos"/>
          <w:sz w:val="24"/>
          <w:szCs w:val="24"/>
        </w:rPr>
        <w:t xml:space="preserve">imbalance in the </w:t>
      </w:r>
      <w:r w:rsidR="00DD5957">
        <w:rPr>
          <w:rFonts w:ascii="Aptos" w:hAnsi="Aptos"/>
          <w:sz w:val="24"/>
          <w:szCs w:val="24"/>
        </w:rPr>
        <w:t xml:space="preserve">gender </w:t>
      </w:r>
      <w:r w:rsidR="00D67526">
        <w:rPr>
          <w:rFonts w:ascii="Aptos" w:hAnsi="Aptos"/>
          <w:sz w:val="24"/>
          <w:szCs w:val="24"/>
        </w:rPr>
        <w:t xml:space="preserve">composition of </w:t>
      </w:r>
      <w:r w:rsidR="00D20476">
        <w:rPr>
          <w:rFonts w:ascii="Aptos" w:hAnsi="Aptos"/>
          <w:sz w:val="24"/>
          <w:szCs w:val="24"/>
        </w:rPr>
        <w:t xml:space="preserve">these roles can be </w:t>
      </w:r>
      <w:r w:rsidR="00A46229">
        <w:rPr>
          <w:rFonts w:ascii="Aptos" w:hAnsi="Aptos"/>
          <w:sz w:val="24"/>
          <w:szCs w:val="24"/>
        </w:rPr>
        <w:t xml:space="preserve">a significant driver of the </w:t>
      </w:r>
      <w:r w:rsidR="00113280">
        <w:rPr>
          <w:rFonts w:ascii="Aptos" w:hAnsi="Aptos"/>
          <w:sz w:val="24"/>
          <w:szCs w:val="24"/>
        </w:rPr>
        <w:t>gender pay gap.</w:t>
      </w:r>
    </w:p>
    <w:p w14:paraId="190607BA" w14:textId="37F9AA0C" w:rsidR="00B11F91" w:rsidRDefault="00B11F91" w:rsidP="00153648">
      <w:pPr>
        <w:ind w:left="-426" w:right="-286"/>
        <w:rPr>
          <w:rFonts w:ascii="Aptos" w:hAnsi="Aptos"/>
          <w:sz w:val="24"/>
          <w:szCs w:val="24"/>
        </w:rPr>
      </w:pPr>
    </w:p>
    <w:p w14:paraId="5464376A" w14:textId="7BC4D970" w:rsidR="00B11F91" w:rsidRDefault="00B11F91" w:rsidP="00153648">
      <w:pPr>
        <w:ind w:left="-426" w:right="-286"/>
        <w:rPr>
          <w:rFonts w:ascii="Aptos" w:hAnsi="Aptos"/>
          <w:sz w:val="24"/>
          <w:szCs w:val="24"/>
        </w:rPr>
      </w:pPr>
    </w:p>
    <w:p w14:paraId="005247CB" w14:textId="6E1EE941" w:rsidR="00B11F91" w:rsidRDefault="00B11F91" w:rsidP="00153648">
      <w:pPr>
        <w:ind w:left="-426" w:right="-286"/>
        <w:rPr>
          <w:rFonts w:ascii="Aptos" w:hAnsi="Aptos"/>
          <w:sz w:val="24"/>
          <w:szCs w:val="24"/>
        </w:rPr>
      </w:pPr>
    </w:p>
    <w:p w14:paraId="5827C0D6" w14:textId="77777777" w:rsidR="00B11F91" w:rsidRDefault="00B11F91" w:rsidP="00153648">
      <w:pPr>
        <w:ind w:left="-426" w:right="-286"/>
        <w:rPr>
          <w:rFonts w:ascii="Aptos" w:hAnsi="Aptos"/>
          <w:sz w:val="24"/>
          <w:szCs w:val="24"/>
        </w:rPr>
      </w:pPr>
    </w:p>
    <w:p w14:paraId="4F3F0DD3" w14:textId="32E75987" w:rsidR="00B11F91" w:rsidRDefault="00B11F91" w:rsidP="00153648">
      <w:pPr>
        <w:ind w:left="-426" w:right="-286"/>
        <w:rPr>
          <w:rFonts w:ascii="Aptos" w:hAnsi="Aptos"/>
          <w:sz w:val="24"/>
          <w:szCs w:val="24"/>
        </w:rPr>
      </w:pPr>
      <w:r w:rsidRPr="00B11F91">
        <w:rPr>
          <w:rFonts w:ascii="Aptos" w:hAnsi="Aptos"/>
          <w:noProof/>
          <w:sz w:val="24"/>
          <w:szCs w:val="24"/>
        </w:rPr>
        <w:lastRenderedPageBreak/>
        <w:drawing>
          <wp:anchor distT="0" distB="0" distL="114300" distR="114300" simplePos="0" relativeHeight="251661320" behindDoc="0" locked="0" layoutInCell="1" allowOverlap="1" wp14:anchorId="1EE2410D" wp14:editId="283C6BDF">
            <wp:simplePos x="0" y="0"/>
            <wp:positionH relativeFrom="column">
              <wp:posOffset>-62230</wp:posOffset>
            </wp:positionH>
            <wp:positionV relativeFrom="paragraph">
              <wp:posOffset>-258445</wp:posOffset>
            </wp:positionV>
            <wp:extent cx="5759450" cy="1532890"/>
            <wp:effectExtent l="0" t="0" r="0" b="0"/>
            <wp:wrapNone/>
            <wp:docPr id="1208236185" name="Picture 1" descr="Horizontal bar chart showing workforce composition by employment status for women and men managers and non-managers. Full-time employment is highest among men managers at 96%, while women non-managers have the lowest full-time rate at 82%, with part-time percentages indicated in grey ba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236185" name="Picture 1" descr="Horizontal bar chart showing workforce composition by employment status for women and men managers and non-managers. Full-time employment is highest among men managers at 96%, while women non-managers have the lowest full-time rate at 82%, with part-time percentages indicated in grey bars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2D1BE" w14:textId="77777777" w:rsidR="00B11F91" w:rsidRDefault="00B11F91" w:rsidP="00153648">
      <w:pPr>
        <w:ind w:left="-426" w:right="-286"/>
        <w:rPr>
          <w:rFonts w:ascii="Aptos" w:hAnsi="Aptos"/>
          <w:sz w:val="24"/>
          <w:szCs w:val="24"/>
        </w:rPr>
      </w:pPr>
    </w:p>
    <w:p w14:paraId="7BE09E5B" w14:textId="1800AB5E" w:rsidR="00B11F91" w:rsidRPr="00311337" w:rsidRDefault="00B11F91" w:rsidP="00153648">
      <w:pPr>
        <w:ind w:left="-426" w:right="-286"/>
        <w:rPr>
          <w:rFonts w:ascii="Aptos" w:hAnsi="Aptos"/>
          <w:sz w:val="24"/>
          <w:szCs w:val="24"/>
        </w:rPr>
      </w:pPr>
    </w:p>
    <w:p w14:paraId="671B7DD4" w14:textId="01CA5497" w:rsidR="0067164A" w:rsidRDefault="0067164A" w:rsidP="00B0643A">
      <w:pPr>
        <w:rPr>
          <w:rFonts w:ascii="Aptos" w:hAnsi="Aptos"/>
          <w:b/>
          <w:bCs/>
          <w:sz w:val="24"/>
          <w:szCs w:val="24"/>
        </w:rPr>
      </w:pPr>
    </w:p>
    <w:p w14:paraId="59261BF2" w14:textId="127764EE" w:rsidR="00232AFD" w:rsidRPr="00153648" w:rsidRDefault="008C14DC" w:rsidP="00B11F91">
      <w:pPr>
        <w:pStyle w:val="Heading2"/>
        <w:ind w:left="-426"/>
      </w:pPr>
      <w:r w:rsidRPr="00153648">
        <w:t>Future Steps</w:t>
      </w:r>
    </w:p>
    <w:p w14:paraId="5CB30079" w14:textId="421FDC20" w:rsidR="008C14DC" w:rsidRDefault="006B7F9E" w:rsidP="00153648">
      <w:pPr>
        <w:ind w:left="-426"/>
        <w:rPr>
          <w:rFonts w:ascii="Aptos" w:hAnsi="Aptos"/>
          <w:sz w:val="24"/>
          <w:szCs w:val="24"/>
        </w:rPr>
      </w:pPr>
      <w:r w:rsidRPr="00E7412C">
        <w:rPr>
          <w:rFonts w:ascii="Aptos" w:hAnsi="Aptos"/>
          <w:sz w:val="24"/>
          <w:szCs w:val="24"/>
        </w:rPr>
        <w:t xml:space="preserve">While our gender pay gap results demonstrate significant progress over recent years, we acknowledge </w:t>
      </w:r>
      <w:r w:rsidR="000D636B">
        <w:rPr>
          <w:rFonts w:ascii="Aptos" w:hAnsi="Aptos"/>
          <w:sz w:val="24"/>
          <w:szCs w:val="24"/>
        </w:rPr>
        <w:t xml:space="preserve">that </w:t>
      </w:r>
      <w:r w:rsidR="002E3EE7" w:rsidRPr="00E7412C">
        <w:rPr>
          <w:rFonts w:ascii="Aptos" w:hAnsi="Aptos"/>
          <w:sz w:val="24"/>
          <w:szCs w:val="24"/>
        </w:rPr>
        <w:t xml:space="preserve">closing the gender pay gap requires </w:t>
      </w:r>
      <w:r w:rsidR="00E7412C" w:rsidRPr="00E7412C">
        <w:rPr>
          <w:rFonts w:ascii="Aptos" w:hAnsi="Aptos"/>
          <w:sz w:val="24"/>
          <w:szCs w:val="24"/>
        </w:rPr>
        <w:t xml:space="preserve">sustained effort and dedication. </w:t>
      </w:r>
    </w:p>
    <w:p w14:paraId="5476D959" w14:textId="4072C956" w:rsidR="00AB6D45" w:rsidRDefault="00D34D5D" w:rsidP="00153648">
      <w:pPr>
        <w:spacing w:after="120"/>
        <w:ind w:left="-426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Key actions include</w:t>
      </w:r>
      <w:r w:rsidR="00AB6D45">
        <w:rPr>
          <w:rFonts w:ascii="Aptos" w:hAnsi="Aptos"/>
          <w:sz w:val="24"/>
          <w:szCs w:val="24"/>
        </w:rPr>
        <w:t>:</w:t>
      </w:r>
    </w:p>
    <w:p w14:paraId="64091D28" w14:textId="2C1A7525" w:rsidR="00AB6D45" w:rsidRPr="00AB6D45" w:rsidRDefault="00193C75" w:rsidP="00153648">
      <w:pPr>
        <w:pStyle w:val="ListParagraph"/>
        <w:numPr>
          <w:ilvl w:val="0"/>
          <w:numId w:val="21"/>
        </w:numPr>
        <w:spacing w:after="120" w:line="276" w:lineRule="auto"/>
        <w:ind w:left="0" w:hanging="35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Increasing representation of women in Information, Communications and Technology (ICT)</w:t>
      </w:r>
      <w:r w:rsidR="000A11B8">
        <w:rPr>
          <w:rFonts w:ascii="Aptos" w:hAnsi="Aptos"/>
          <w:sz w:val="24"/>
          <w:szCs w:val="24"/>
        </w:rPr>
        <w:t xml:space="preserve"> roles</w:t>
      </w:r>
      <w:r w:rsidR="009E5F2A">
        <w:rPr>
          <w:rFonts w:ascii="Aptos" w:hAnsi="Aptos"/>
          <w:sz w:val="24"/>
          <w:szCs w:val="24"/>
        </w:rPr>
        <w:t>.</w:t>
      </w:r>
    </w:p>
    <w:p w14:paraId="683CB5F5" w14:textId="796E8368" w:rsidR="00397B9E" w:rsidRDefault="00397B9E" w:rsidP="00153648">
      <w:pPr>
        <w:pStyle w:val="ListParagraph"/>
        <w:numPr>
          <w:ilvl w:val="0"/>
          <w:numId w:val="21"/>
        </w:numPr>
        <w:spacing w:after="0" w:line="276" w:lineRule="auto"/>
        <w:ind w:left="0" w:hanging="35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Promoting flexible working arrangements and employer-funded parental leave for staff of all genders. </w:t>
      </w:r>
    </w:p>
    <w:p w14:paraId="1151B295" w14:textId="323EEE10" w:rsidR="00542177" w:rsidRPr="009E5F2A" w:rsidRDefault="00542177" w:rsidP="00153648">
      <w:pPr>
        <w:pStyle w:val="ListParagraph"/>
        <w:numPr>
          <w:ilvl w:val="0"/>
          <w:numId w:val="21"/>
        </w:numPr>
        <w:spacing w:line="276" w:lineRule="auto"/>
        <w:ind w:left="0" w:hanging="35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Completing gender pay gap data analysis on a regular basis</w:t>
      </w:r>
      <w:r w:rsidR="009E5F2A">
        <w:rPr>
          <w:rFonts w:ascii="Aptos" w:hAnsi="Aptos"/>
          <w:sz w:val="24"/>
          <w:szCs w:val="24"/>
        </w:rPr>
        <w:t xml:space="preserve"> </w:t>
      </w:r>
      <w:r w:rsidR="009E5F2A" w:rsidRPr="009E5F2A">
        <w:rPr>
          <w:rFonts w:ascii="Aptos" w:hAnsi="Aptos"/>
          <w:sz w:val="24"/>
          <w:szCs w:val="24"/>
        </w:rPr>
        <w:t>to identify trends and potential disparities.</w:t>
      </w:r>
    </w:p>
    <w:p w14:paraId="73BBAB48" w14:textId="3D112603" w:rsidR="009E5F2A" w:rsidRPr="009E5F2A" w:rsidRDefault="009E5F2A" w:rsidP="009E5F2A">
      <w:pPr>
        <w:pStyle w:val="ListParagraph"/>
        <w:numPr>
          <w:ilvl w:val="0"/>
          <w:numId w:val="21"/>
        </w:numPr>
        <w:spacing w:line="276" w:lineRule="auto"/>
        <w:ind w:left="0" w:hanging="357"/>
        <w:rPr>
          <w:rFonts w:ascii="Aptos" w:hAnsi="Aptos"/>
          <w:sz w:val="24"/>
          <w:szCs w:val="24"/>
        </w:rPr>
      </w:pPr>
      <w:r w:rsidRPr="009E5F2A">
        <w:rPr>
          <w:rFonts w:ascii="Aptos" w:hAnsi="Aptos"/>
          <w:sz w:val="24"/>
          <w:szCs w:val="24"/>
        </w:rPr>
        <w:t>Communicating</w:t>
      </w:r>
      <w:r w:rsidR="00EA3C96" w:rsidRPr="009E5F2A">
        <w:rPr>
          <w:rFonts w:ascii="Aptos" w:hAnsi="Aptos"/>
          <w:sz w:val="24"/>
          <w:szCs w:val="24"/>
        </w:rPr>
        <w:t xml:space="preserve"> </w:t>
      </w:r>
      <w:r w:rsidRPr="009E5F2A">
        <w:rPr>
          <w:rFonts w:ascii="Aptos" w:hAnsi="Aptos"/>
          <w:sz w:val="24"/>
          <w:szCs w:val="24"/>
        </w:rPr>
        <w:t>DEWR’s</w:t>
      </w:r>
      <w:r w:rsidR="00EA3C96" w:rsidRPr="009E5F2A">
        <w:rPr>
          <w:rFonts w:ascii="Aptos" w:hAnsi="Aptos"/>
          <w:sz w:val="24"/>
          <w:szCs w:val="24"/>
        </w:rPr>
        <w:t xml:space="preserve"> family and domestic violence framework </w:t>
      </w:r>
      <w:r w:rsidRPr="009E5F2A">
        <w:rPr>
          <w:rFonts w:ascii="Aptos" w:hAnsi="Aptos"/>
          <w:sz w:val="24"/>
          <w:szCs w:val="24"/>
        </w:rPr>
        <w:t>to ensure employees can access assistance safely and confidently.</w:t>
      </w:r>
    </w:p>
    <w:p w14:paraId="1456CBAD" w14:textId="69A345D8" w:rsidR="009E5F2A" w:rsidRPr="00527051" w:rsidRDefault="00CF30D7" w:rsidP="009E5F2A">
      <w:pPr>
        <w:pStyle w:val="ListParagraph"/>
        <w:numPr>
          <w:ilvl w:val="0"/>
          <w:numId w:val="21"/>
        </w:numPr>
        <w:spacing w:line="276" w:lineRule="auto"/>
        <w:ind w:left="0" w:hanging="357"/>
        <w:rPr>
          <w:rFonts w:ascii="Aptos" w:hAnsi="Aptos"/>
          <w:sz w:val="24"/>
          <w:szCs w:val="24"/>
        </w:rPr>
      </w:pPr>
      <w:r w:rsidRPr="00527051">
        <w:rPr>
          <w:rFonts w:ascii="Aptos" w:hAnsi="Aptos"/>
          <w:sz w:val="24"/>
          <w:szCs w:val="24"/>
        </w:rPr>
        <w:t>Maintain memberships with peak diversity organisations</w:t>
      </w:r>
      <w:r w:rsidR="0018531A">
        <w:rPr>
          <w:rFonts w:ascii="Aptos" w:hAnsi="Aptos"/>
          <w:sz w:val="24"/>
          <w:szCs w:val="24"/>
        </w:rPr>
        <w:t>, including the Diversity Council of Australia,</w:t>
      </w:r>
      <w:r w:rsidRPr="00527051">
        <w:rPr>
          <w:rFonts w:ascii="Aptos" w:hAnsi="Aptos"/>
          <w:sz w:val="24"/>
          <w:szCs w:val="24"/>
        </w:rPr>
        <w:t xml:space="preserve"> </w:t>
      </w:r>
      <w:r w:rsidR="009E5F2A" w:rsidRPr="00527051">
        <w:rPr>
          <w:rFonts w:ascii="Aptos" w:hAnsi="Aptos"/>
          <w:sz w:val="24"/>
          <w:szCs w:val="24"/>
        </w:rPr>
        <w:t>to inform best practice and strengthen DEWR’s inclusion activities.</w:t>
      </w:r>
    </w:p>
    <w:p w14:paraId="2FFC85BF" w14:textId="18A6C97C" w:rsidR="00451128" w:rsidRPr="00B11F91" w:rsidRDefault="004846E6" w:rsidP="00B11F91">
      <w:pPr>
        <w:pStyle w:val="ListParagraph"/>
        <w:numPr>
          <w:ilvl w:val="0"/>
          <w:numId w:val="21"/>
        </w:numPr>
        <w:spacing w:after="0" w:line="276" w:lineRule="auto"/>
        <w:ind w:left="0" w:hanging="357"/>
        <w:rPr>
          <w:rFonts w:ascii="Aptos" w:hAnsi="Aptos"/>
          <w:sz w:val="24"/>
          <w:szCs w:val="24"/>
        </w:rPr>
      </w:pPr>
      <w:r w:rsidRPr="009E5F2A">
        <w:rPr>
          <w:rFonts w:ascii="Aptos" w:hAnsi="Aptos"/>
          <w:sz w:val="24"/>
          <w:szCs w:val="24"/>
        </w:rPr>
        <w:t>Enhanc</w:t>
      </w:r>
      <w:r w:rsidR="009E5F2A" w:rsidRPr="009E5F2A">
        <w:rPr>
          <w:rFonts w:ascii="Aptos" w:hAnsi="Aptos"/>
          <w:sz w:val="24"/>
          <w:szCs w:val="24"/>
        </w:rPr>
        <w:t>ing</w:t>
      </w:r>
      <w:r w:rsidRPr="009E5F2A">
        <w:rPr>
          <w:rFonts w:ascii="Aptos" w:hAnsi="Aptos"/>
          <w:sz w:val="24"/>
          <w:szCs w:val="24"/>
        </w:rPr>
        <w:t xml:space="preserve"> mentoring </w:t>
      </w:r>
      <w:r w:rsidR="009E5F2A" w:rsidRPr="009E5F2A">
        <w:rPr>
          <w:rFonts w:ascii="Aptos" w:hAnsi="Aptos"/>
          <w:sz w:val="24"/>
          <w:szCs w:val="24"/>
        </w:rPr>
        <w:t xml:space="preserve">opportunities </w:t>
      </w:r>
      <w:r w:rsidRPr="009E5F2A">
        <w:rPr>
          <w:rFonts w:ascii="Aptos" w:hAnsi="Aptos"/>
          <w:sz w:val="24"/>
          <w:szCs w:val="24"/>
        </w:rPr>
        <w:t>to improve participation, empowering employees to develop their leadership skills, seek career support and facilitate two-way learning.</w:t>
      </w:r>
    </w:p>
    <w:sectPr w:rsidR="00451128" w:rsidRPr="00B11F91" w:rsidSect="00BE737E">
      <w:footerReference w:type="default" r:id="rId13"/>
      <w:type w:val="continuous"/>
      <w:pgSz w:w="11906" w:h="16838"/>
      <w:pgMar w:top="1418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7EB0" w14:textId="77777777" w:rsidR="00282C17" w:rsidRDefault="00282C17" w:rsidP="0051352E">
      <w:pPr>
        <w:spacing w:after="0" w:line="240" w:lineRule="auto"/>
      </w:pPr>
      <w:r>
        <w:separator/>
      </w:r>
    </w:p>
  </w:endnote>
  <w:endnote w:type="continuationSeparator" w:id="0">
    <w:p w14:paraId="07D61C61" w14:textId="77777777" w:rsidR="00282C17" w:rsidRDefault="00282C17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0550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21D6C5" w14:textId="6B076945" w:rsidR="00032CF8" w:rsidRDefault="00032C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1CC642" w14:textId="08F75919" w:rsidR="00EA67FC" w:rsidRDefault="00EA6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C245" w14:textId="77777777" w:rsidR="00282C17" w:rsidRDefault="00282C17" w:rsidP="0051352E">
      <w:pPr>
        <w:spacing w:after="0" w:line="240" w:lineRule="auto"/>
      </w:pPr>
      <w:r>
        <w:separator/>
      </w:r>
    </w:p>
  </w:footnote>
  <w:footnote w:type="continuationSeparator" w:id="0">
    <w:p w14:paraId="17AC7A28" w14:textId="77777777" w:rsidR="00282C17" w:rsidRDefault="00282C17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8357F"/>
    <w:multiLevelType w:val="hybridMultilevel"/>
    <w:tmpl w:val="81B47F80"/>
    <w:lvl w:ilvl="0" w:tplc="467A483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57457"/>
    <w:multiLevelType w:val="multilevel"/>
    <w:tmpl w:val="FCAE33DC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6641DF2"/>
    <w:multiLevelType w:val="hybridMultilevel"/>
    <w:tmpl w:val="234A3D54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3353DF"/>
    <w:multiLevelType w:val="hybridMultilevel"/>
    <w:tmpl w:val="F0FC7316"/>
    <w:lvl w:ilvl="0" w:tplc="DB8AB9C2">
      <w:start w:val="3"/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2EA53E4C"/>
    <w:multiLevelType w:val="multilevel"/>
    <w:tmpl w:val="D3645D1C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4A96A34"/>
    <w:multiLevelType w:val="multilevel"/>
    <w:tmpl w:val="6486BEEA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BA739EC"/>
    <w:multiLevelType w:val="hybridMultilevel"/>
    <w:tmpl w:val="A29CCE78"/>
    <w:lvl w:ilvl="0" w:tplc="CBDE91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61F6B"/>
    <w:multiLevelType w:val="hybridMultilevel"/>
    <w:tmpl w:val="8F149B30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580096470">
    <w:abstractNumId w:val="9"/>
  </w:num>
  <w:num w:numId="2" w16cid:durableId="1647465914">
    <w:abstractNumId w:val="7"/>
  </w:num>
  <w:num w:numId="3" w16cid:durableId="1515999598">
    <w:abstractNumId w:val="6"/>
  </w:num>
  <w:num w:numId="4" w16cid:durableId="1710911546">
    <w:abstractNumId w:val="5"/>
  </w:num>
  <w:num w:numId="5" w16cid:durableId="1105229916">
    <w:abstractNumId w:val="4"/>
  </w:num>
  <w:num w:numId="6" w16cid:durableId="217056741">
    <w:abstractNumId w:val="8"/>
  </w:num>
  <w:num w:numId="7" w16cid:durableId="12417967">
    <w:abstractNumId w:val="3"/>
  </w:num>
  <w:num w:numId="8" w16cid:durableId="1390764340">
    <w:abstractNumId w:val="2"/>
  </w:num>
  <w:num w:numId="9" w16cid:durableId="231473955">
    <w:abstractNumId w:val="1"/>
  </w:num>
  <w:num w:numId="10" w16cid:durableId="1738477065">
    <w:abstractNumId w:val="0"/>
  </w:num>
  <w:num w:numId="11" w16cid:durableId="1618096227">
    <w:abstractNumId w:val="11"/>
  </w:num>
  <w:num w:numId="12" w16cid:durableId="1593397953">
    <w:abstractNumId w:val="14"/>
  </w:num>
  <w:num w:numId="13" w16cid:durableId="1732926391">
    <w:abstractNumId w:val="15"/>
  </w:num>
  <w:num w:numId="14" w16cid:durableId="7378208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6342039">
    <w:abstractNumId w:val="14"/>
  </w:num>
  <w:num w:numId="16" w16cid:durableId="772162969">
    <w:abstractNumId w:val="15"/>
  </w:num>
  <w:num w:numId="17" w16cid:durableId="1766225347">
    <w:abstractNumId w:val="11"/>
  </w:num>
  <w:num w:numId="18" w16cid:durableId="19689305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3399691">
    <w:abstractNumId w:val="13"/>
  </w:num>
  <w:num w:numId="20" w16cid:durableId="1964771292">
    <w:abstractNumId w:val="10"/>
  </w:num>
  <w:num w:numId="21" w16cid:durableId="981541025">
    <w:abstractNumId w:val="16"/>
  </w:num>
  <w:num w:numId="22" w16cid:durableId="704452370">
    <w:abstractNumId w:val="12"/>
  </w:num>
  <w:num w:numId="23" w16cid:durableId="1709470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23"/>
    <w:rsid w:val="00007CBE"/>
    <w:rsid w:val="00011106"/>
    <w:rsid w:val="000156F2"/>
    <w:rsid w:val="000209EE"/>
    <w:rsid w:val="000232F8"/>
    <w:rsid w:val="00025827"/>
    <w:rsid w:val="0002585F"/>
    <w:rsid w:val="00032CF8"/>
    <w:rsid w:val="0003372A"/>
    <w:rsid w:val="00043562"/>
    <w:rsid w:val="00047F2F"/>
    <w:rsid w:val="00052BBC"/>
    <w:rsid w:val="00053554"/>
    <w:rsid w:val="0005436D"/>
    <w:rsid w:val="00062C84"/>
    <w:rsid w:val="0006601B"/>
    <w:rsid w:val="00067A6F"/>
    <w:rsid w:val="0007767F"/>
    <w:rsid w:val="00083B7A"/>
    <w:rsid w:val="0008449E"/>
    <w:rsid w:val="00084FCB"/>
    <w:rsid w:val="00093F87"/>
    <w:rsid w:val="00095444"/>
    <w:rsid w:val="00095A3A"/>
    <w:rsid w:val="000A0F25"/>
    <w:rsid w:val="000A11B8"/>
    <w:rsid w:val="000A2A3A"/>
    <w:rsid w:val="000A2E7E"/>
    <w:rsid w:val="000A35B0"/>
    <w:rsid w:val="000A453D"/>
    <w:rsid w:val="000B7011"/>
    <w:rsid w:val="000C654A"/>
    <w:rsid w:val="000D636B"/>
    <w:rsid w:val="000E1158"/>
    <w:rsid w:val="000E3D80"/>
    <w:rsid w:val="000E44AF"/>
    <w:rsid w:val="000E5EA5"/>
    <w:rsid w:val="000F6E67"/>
    <w:rsid w:val="000F792E"/>
    <w:rsid w:val="001009CE"/>
    <w:rsid w:val="00105125"/>
    <w:rsid w:val="00112BA8"/>
    <w:rsid w:val="00113280"/>
    <w:rsid w:val="001136BB"/>
    <w:rsid w:val="00122A71"/>
    <w:rsid w:val="001313AC"/>
    <w:rsid w:val="001334A7"/>
    <w:rsid w:val="00140D1B"/>
    <w:rsid w:val="001444F5"/>
    <w:rsid w:val="00145FF9"/>
    <w:rsid w:val="00153648"/>
    <w:rsid w:val="00154A7A"/>
    <w:rsid w:val="00157F06"/>
    <w:rsid w:val="00157F35"/>
    <w:rsid w:val="001610AC"/>
    <w:rsid w:val="00162FCE"/>
    <w:rsid w:val="001747D3"/>
    <w:rsid w:val="00176719"/>
    <w:rsid w:val="001801EA"/>
    <w:rsid w:val="0018064C"/>
    <w:rsid w:val="00182A0D"/>
    <w:rsid w:val="00183138"/>
    <w:rsid w:val="0018531A"/>
    <w:rsid w:val="0018681B"/>
    <w:rsid w:val="00186C25"/>
    <w:rsid w:val="001873BF"/>
    <w:rsid w:val="00193C75"/>
    <w:rsid w:val="001A1003"/>
    <w:rsid w:val="001A2923"/>
    <w:rsid w:val="001A33EE"/>
    <w:rsid w:val="001A5E37"/>
    <w:rsid w:val="001B1409"/>
    <w:rsid w:val="001B3B39"/>
    <w:rsid w:val="001C0157"/>
    <w:rsid w:val="001C0BA4"/>
    <w:rsid w:val="001D3C8A"/>
    <w:rsid w:val="001D677E"/>
    <w:rsid w:val="001E4983"/>
    <w:rsid w:val="001E5B42"/>
    <w:rsid w:val="001F0E0A"/>
    <w:rsid w:val="001F1758"/>
    <w:rsid w:val="001F2CD8"/>
    <w:rsid w:val="001F5AF5"/>
    <w:rsid w:val="002014D9"/>
    <w:rsid w:val="00203083"/>
    <w:rsid w:val="00206C74"/>
    <w:rsid w:val="00214554"/>
    <w:rsid w:val="00214FDC"/>
    <w:rsid w:val="002176F3"/>
    <w:rsid w:val="00217EAB"/>
    <w:rsid w:val="00222758"/>
    <w:rsid w:val="0022498C"/>
    <w:rsid w:val="002251FD"/>
    <w:rsid w:val="0022594F"/>
    <w:rsid w:val="002309DE"/>
    <w:rsid w:val="00232AFD"/>
    <w:rsid w:val="00237BCB"/>
    <w:rsid w:val="00240708"/>
    <w:rsid w:val="00240980"/>
    <w:rsid w:val="00241874"/>
    <w:rsid w:val="0025065B"/>
    <w:rsid w:val="00251DA8"/>
    <w:rsid w:val="0025257E"/>
    <w:rsid w:val="00253D53"/>
    <w:rsid w:val="00255FE7"/>
    <w:rsid w:val="0026037E"/>
    <w:rsid w:val="002724D0"/>
    <w:rsid w:val="00272EC0"/>
    <w:rsid w:val="00282C17"/>
    <w:rsid w:val="00285BFE"/>
    <w:rsid w:val="00290C79"/>
    <w:rsid w:val="002947E7"/>
    <w:rsid w:val="002A16BD"/>
    <w:rsid w:val="002A21A6"/>
    <w:rsid w:val="002A355C"/>
    <w:rsid w:val="002A51CF"/>
    <w:rsid w:val="002B1CE5"/>
    <w:rsid w:val="002B46C5"/>
    <w:rsid w:val="002C2C1B"/>
    <w:rsid w:val="002C3C9B"/>
    <w:rsid w:val="002C496E"/>
    <w:rsid w:val="002C584B"/>
    <w:rsid w:val="002D1531"/>
    <w:rsid w:val="002D1D28"/>
    <w:rsid w:val="002D2D39"/>
    <w:rsid w:val="002D56D8"/>
    <w:rsid w:val="002D655E"/>
    <w:rsid w:val="002E0F62"/>
    <w:rsid w:val="002E1F5D"/>
    <w:rsid w:val="002E2AA5"/>
    <w:rsid w:val="002E3EE7"/>
    <w:rsid w:val="002E4EB0"/>
    <w:rsid w:val="002E5EB4"/>
    <w:rsid w:val="002F29A6"/>
    <w:rsid w:val="002F4790"/>
    <w:rsid w:val="002F4DB3"/>
    <w:rsid w:val="002F504E"/>
    <w:rsid w:val="002F670D"/>
    <w:rsid w:val="003007E6"/>
    <w:rsid w:val="003010E0"/>
    <w:rsid w:val="00305BA4"/>
    <w:rsid w:val="00305E0C"/>
    <w:rsid w:val="003064FF"/>
    <w:rsid w:val="0031095D"/>
    <w:rsid w:val="00311337"/>
    <w:rsid w:val="00311EC2"/>
    <w:rsid w:val="0031635E"/>
    <w:rsid w:val="00316C74"/>
    <w:rsid w:val="0032567F"/>
    <w:rsid w:val="00331005"/>
    <w:rsid w:val="00333004"/>
    <w:rsid w:val="00334EBD"/>
    <w:rsid w:val="00337D19"/>
    <w:rsid w:val="00343E20"/>
    <w:rsid w:val="00347648"/>
    <w:rsid w:val="00347FA0"/>
    <w:rsid w:val="00350FFA"/>
    <w:rsid w:val="0036049C"/>
    <w:rsid w:val="003604F7"/>
    <w:rsid w:val="0036188E"/>
    <w:rsid w:val="00362D7B"/>
    <w:rsid w:val="003657ED"/>
    <w:rsid w:val="00377399"/>
    <w:rsid w:val="00381E6F"/>
    <w:rsid w:val="00382F07"/>
    <w:rsid w:val="00384BED"/>
    <w:rsid w:val="0038797D"/>
    <w:rsid w:val="00394338"/>
    <w:rsid w:val="00397B9E"/>
    <w:rsid w:val="003B14C7"/>
    <w:rsid w:val="003B286B"/>
    <w:rsid w:val="003B34D9"/>
    <w:rsid w:val="003C63C0"/>
    <w:rsid w:val="003D09F7"/>
    <w:rsid w:val="003D2E8A"/>
    <w:rsid w:val="003D724C"/>
    <w:rsid w:val="003D79E4"/>
    <w:rsid w:val="003D7B12"/>
    <w:rsid w:val="003D7DB3"/>
    <w:rsid w:val="003E018E"/>
    <w:rsid w:val="003E0B82"/>
    <w:rsid w:val="003E2F2F"/>
    <w:rsid w:val="003E3949"/>
    <w:rsid w:val="003E433B"/>
    <w:rsid w:val="003E453A"/>
    <w:rsid w:val="003F000C"/>
    <w:rsid w:val="0040547F"/>
    <w:rsid w:val="004105DF"/>
    <w:rsid w:val="00411FB8"/>
    <w:rsid w:val="00413286"/>
    <w:rsid w:val="004155E2"/>
    <w:rsid w:val="0041636A"/>
    <w:rsid w:val="004220BB"/>
    <w:rsid w:val="004420FB"/>
    <w:rsid w:val="00442982"/>
    <w:rsid w:val="00445D58"/>
    <w:rsid w:val="00451128"/>
    <w:rsid w:val="004534E1"/>
    <w:rsid w:val="00453C04"/>
    <w:rsid w:val="00455903"/>
    <w:rsid w:val="004617DC"/>
    <w:rsid w:val="00470065"/>
    <w:rsid w:val="0047432B"/>
    <w:rsid w:val="00474C4B"/>
    <w:rsid w:val="00480938"/>
    <w:rsid w:val="004846E6"/>
    <w:rsid w:val="00486270"/>
    <w:rsid w:val="0049385C"/>
    <w:rsid w:val="004973D8"/>
    <w:rsid w:val="00497764"/>
    <w:rsid w:val="004A0648"/>
    <w:rsid w:val="004A463C"/>
    <w:rsid w:val="004A4B70"/>
    <w:rsid w:val="004B00C5"/>
    <w:rsid w:val="004B156E"/>
    <w:rsid w:val="004B5F84"/>
    <w:rsid w:val="004C53DC"/>
    <w:rsid w:val="004D159D"/>
    <w:rsid w:val="004E3F3E"/>
    <w:rsid w:val="004E7EA8"/>
    <w:rsid w:val="004F0858"/>
    <w:rsid w:val="004F0C20"/>
    <w:rsid w:val="00503323"/>
    <w:rsid w:val="0051352E"/>
    <w:rsid w:val="00513DC1"/>
    <w:rsid w:val="00517CF1"/>
    <w:rsid w:val="00517DA7"/>
    <w:rsid w:val="00520A33"/>
    <w:rsid w:val="00520CAE"/>
    <w:rsid w:val="00523334"/>
    <w:rsid w:val="005242E0"/>
    <w:rsid w:val="00527051"/>
    <w:rsid w:val="00527749"/>
    <w:rsid w:val="00527AE4"/>
    <w:rsid w:val="00527FA6"/>
    <w:rsid w:val="00535D01"/>
    <w:rsid w:val="00535D2B"/>
    <w:rsid w:val="00542177"/>
    <w:rsid w:val="00545EDE"/>
    <w:rsid w:val="00550E05"/>
    <w:rsid w:val="005540A2"/>
    <w:rsid w:val="00554E84"/>
    <w:rsid w:val="00556F69"/>
    <w:rsid w:val="00557B11"/>
    <w:rsid w:val="00562069"/>
    <w:rsid w:val="0057452F"/>
    <w:rsid w:val="00576377"/>
    <w:rsid w:val="005843DB"/>
    <w:rsid w:val="0058535E"/>
    <w:rsid w:val="00586108"/>
    <w:rsid w:val="0058720A"/>
    <w:rsid w:val="0059025B"/>
    <w:rsid w:val="00595AD1"/>
    <w:rsid w:val="00596423"/>
    <w:rsid w:val="00596CEE"/>
    <w:rsid w:val="005A1BA8"/>
    <w:rsid w:val="005A568A"/>
    <w:rsid w:val="005A7021"/>
    <w:rsid w:val="005B18CA"/>
    <w:rsid w:val="005B7E6B"/>
    <w:rsid w:val="005C3C8F"/>
    <w:rsid w:val="005D1A39"/>
    <w:rsid w:val="005D3ACB"/>
    <w:rsid w:val="005D4A10"/>
    <w:rsid w:val="005F0E81"/>
    <w:rsid w:val="00612050"/>
    <w:rsid w:val="0061347F"/>
    <w:rsid w:val="006137F1"/>
    <w:rsid w:val="00615915"/>
    <w:rsid w:val="00617029"/>
    <w:rsid w:val="00626FB4"/>
    <w:rsid w:val="00630DDF"/>
    <w:rsid w:val="00631100"/>
    <w:rsid w:val="00632774"/>
    <w:rsid w:val="006377EC"/>
    <w:rsid w:val="00637C92"/>
    <w:rsid w:val="00640899"/>
    <w:rsid w:val="0064170F"/>
    <w:rsid w:val="00647DBB"/>
    <w:rsid w:val="00650829"/>
    <w:rsid w:val="006524FC"/>
    <w:rsid w:val="00654D91"/>
    <w:rsid w:val="00654E71"/>
    <w:rsid w:val="00660797"/>
    <w:rsid w:val="00664C3D"/>
    <w:rsid w:val="00664DE4"/>
    <w:rsid w:val="00665296"/>
    <w:rsid w:val="006664FD"/>
    <w:rsid w:val="0066721B"/>
    <w:rsid w:val="0067164A"/>
    <w:rsid w:val="00674FF8"/>
    <w:rsid w:val="00690643"/>
    <w:rsid w:val="00690F37"/>
    <w:rsid w:val="00692A3B"/>
    <w:rsid w:val="00694774"/>
    <w:rsid w:val="00695D5F"/>
    <w:rsid w:val="00697102"/>
    <w:rsid w:val="006A1CDA"/>
    <w:rsid w:val="006A33DC"/>
    <w:rsid w:val="006B1AF9"/>
    <w:rsid w:val="006B59CC"/>
    <w:rsid w:val="006B674C"/>
    <w:rsid w:val="006B7F9E"/>
    <w:rsid w:val="006C0346"/>
    <w:rsid w:val="006C124A"/>
    <w:rsid w:val="006C272E"/>
    <w:rsid w:val="006C44B0"/>
    <w:rsid w:val="006C627B"/>
    <w:rsid w:val="006D1369"/>
    <w:rsid w:val="006D1959"/>
    <w:rsid w:val="006E5D6E"/>
    <w:rsid w:val="006F73DC"/>
    <w:rsid w:val="00707B76"/>
    <w:rsid w:val="00716E7D"/>
    <w:rsid w:val="00721B03"/>
    <w:rsid w:val="007235C6"/>
    <w:rsid w:val="00730E84"/>
    <w:rsid w:val="0073225A"/>
    <w:rsid w:val="0073329F"/>
    <w:rsid w:val="007360F1"/>
    <w:rsid w:val="007369F9"/>
    <w:rsid w:val="0073747C"/>
    <w:rsid w:val="00753B18"/>
    <w:rsid w:val="00755C7A"/>
    <w:rsid w:val="00757957"/>
    <w:rsid w:val="007736D7"/>
    <w:rsid w:val="0077599F"/>
    <w:rsid w:val="007800A1"/>
    <w:rsid w:val="00784FEE"/>
    <w:rsid w:val="007855CC"/>
    <w:rsid w:val="0079053D"/>
    <w:rsid w:val="00797F35"/>
    <w:rsid w:val="007A0DAC"/>
    <w:rsid w:val="007A2B17"/>
    <w:rsid w:val="007A67CF"/>
    <w:rsid w:val="007B1ABA"/>
    <w:rsid w:val="007B5D48"/>
    <w:rsid w:val="007B74C5"/>
    <w:rsid w:val="007C41E4"/>
    <w:rsid w:val="007C613E"/>
    <w:rsid w:val="007C7E04"/>
    <w:rsid w:val="007D0BC3"/>
    <w:rsid w:val="007D40F6"/>
    <w:rsid w:val="007D6C84"/>
    <w:rsid w:val="007D7CDE"/>
    <w:rsid w:val="007D7EE7"/>
    <w:rsid w:val="007E3545"/>
    <w:rsid w:val="007E3CC6"/>
    <w:rsid w:val="007E5E00"/>
    <w:rsid w:val="007E7835"/>
    <w:rsid w:val="007F1D06"/>
    <w:rsid w:val="007F398D"/>
    <w:rsid w:val="007F56DC"/>
    <w:rsid w:val="007F6886"/>
    <w:rsid w:val="00800200"/>
    <w:rsid w:val="00804448"/>
    <w:rsid w:val="00814246"/>
    <w:rsid w:val="0081429A"/>
    <w:rsid w:val="00814812"/>
    <w:rsid w:val="008224D1"/>
    <w:rsid w:val="008273AE"/>
    <w:rsid w:val="00843506"/>
    <w:rsid w:val="008507C1"/>
    <w:rsid w:val="00850B4E"/>
    <w:rsid w:val="00855FD9"/>
    <w:rsid w:val="0085795B"/>
    <w:rsid w:val="00861934"/>
    <w:rsid w:val="00872C4F"/>
    <w:rsid w:val="0087646E"/>
    <w:rsid w:val="008811BA"/>
    <w:rsid w:val="008839C1"/>
    <w:rsid w:val="00887237"/>
    <w:rsid w:val="00891779"/>
    <w:rsid w:val="008919E8"/>
    <w:rsid w:val="00892F68"/>
    <w:rsid w:val="00893220"/>
    <w:rsid w:val="00893B9B"/>
    <w:rsid w:val="008969BA"/>
    <w:rsid w:val="00897A2D"/>
    <w:rsid w:val="00897C7E"/>
    <w:rsid w:val="008A1B9A"/>
    <w:rsid w:val="008A46FE"/>
    <w:rsid w:val="008A7910"/>
    <w:rsid w:val="008B057E"/>
    <w:rsid w:val="008B2A1B"/>
    <w:rsid w:val="008B7608"/>
    <w:rsid w:val="008B7A1C"/>
    <w:rsid w:val="008C14DC"/>
    <w:rsid w:val="008C29DD"/>
    <w:rsid w:val="008C5296"/>
    <w:rsid w:val="008C712E"/>
    <w:rsid w:val="008D7177"/>
    <w:rsid w:val="008D71A4"/>
    <w:rsid w:val="008E2854"/>
    <w:rsid w:val="008E36BC"/>
    <w:rsid w:val="008E7833"/>
    <w:rsid w:val="008F0AC9"/>
    <w:rsid w:val="008F4328"/>
    <w:rsid w:val="00910737"/>
    <w:rsid w:val="00912936"/>
    <w:rsid w:val="009133B2"/>
    <w:rsid w:val="009203C7"/>
    <w:rsid w:val="00923AE7"/>
    <w:rsid w:val="009255B9"/>
    <w:rsid w:val="009272A0"/>
    <w:rsid w:val="00930CDA"/>
    <w:rsid w:val="0093296A"/>
    <w:rsid w:val="0093473D"/>
    <w:rsid w:val="00937060"/>
    <w:rsid w:val="009418E0"/>
    <w:rsid w:val="0094403F"/>
    <w:rsid w:val="00946754"/>
    <w:rsid w:val="00950E3E"/>
    <w:rsid w:val="00953552"/>
    <w:rsid w:val="0095636C"/>
    <w:rsid w:val="00961BFB"/>
    <w:rsid w:val="00963FB9"/>
    <w:rsid w:val="00967830"/>
    <w:rsid w:val="0097173D"/>
    <w:rsid w:val="0097188A"/>
    <w:rsid w:val="00972F57"/>
    <w:rsid w:val="00980BEB"/>
    <w:rsid w:val="00984FB8"/>
    <w:rsid w:val="00985674"/>
    <w:rsid w:val="00985B6F"/>
    <w:rsid w:val="00986C1E"/>
    <w:rsid w:val="0099096C"/>
    <w:rsid w:val="00992A06"/>
    <w:rsid w:val="00995280"/>
    <w:rsid w:val="009A32D6"/>
    <w:rsid w:val="009A6179"/>
    <w:rsid w:val="009A7361"/>
    <w:rsid w:val="009B197C"/>
    <w:rsid w:val="009B69F2"/>
    <w:rsid w:val="009C65E8"/>
    <w:rsid w:val="009C6EC5"/>
    <w:rsid w:val="009D05A5"/>
    <w:rsid w:val="009D175E"/>
    <w:rsid w:val="009D7CDD"/>
    <w:rsid w:val="009E05B6"/>
    <w:rsid w:val="009E5F2A"/>
    <w:rsid w:val="009E7CBF"/>
    <w:rsid w:val="009F6DEC"/>
    <w:rsid w:val="009F7993"/>
    <w:rsid w:val="00A00F81"/>
    <w:rsid w:val="00A16A94"/>
    <w:rsid w:val="00A22849"/>
    <w:rsid w:val="00A24E6E"/>
    <w:rsid w:val="00A35310"/>
    <w:rsid w:val="00A418BC"/>
    <w:rsid w:val="00A43694"/>
    <w:rsid w:val="00A46229"/>
    <w:rsid w:val="00A529B9"/>
    <w:rsid w:val="00A5558E"/>
    <w:rsid w:val="00A56FC7"/>
    <w:rsid w:val="00A61346"/>
    <w:rsid w:val="00A627AD"/>
    <w:rsid w:val="00A6356D"/>
    <w:rsid w:val="00A64FAA"/>
    <w:rsid w:val="00A72575"/>
    <w:rsid w:val="00A72BA7"/>
    <w:rsid w:val="00A74071"/>
    <w:rsid w:val="00A76C24"/>
    <w:rsid w:val="00A80D57"/>
    <w:rsid w:val="00A84B32"/>
    <w:rsid w:val="00A8513A"/>
    <w:rsid w:val="00A86156"/>
    <w:rsid w:val="00A87D8B"/>
    <w:rsid w:val="00A92772"/>
    <w:rsid w:val="00AA124A"/>
    <w:rsid w:val="00AA2A96"/>
    <w:rsid w:val="00AB152F"/>
    <w:rsid w:val="00AB584F"/>
    <w:rsid w:val="00AB6D45"/>
    <w:rsid w:val="00AB7A04"/>
    <w:rsid w:val="00AC0C27"/>
    <w:rsid w:val="00AC5F6F"/>
    <w:rsid w:val="00AC6F8C"/>
    <w:rsid w:val="00AD1791"/>
    <w:rsid w:val="00AD2AAF"/>
    <w:rsid w:val="00AD7E1A"/>
    <w:rsid w:val="00AE0B5E"/>
    <w:rsid w:val="00AE2C55"/>
    <w:rsid w:val="00AE496C"/>
    <w:rsid w:val="00AE5207"/>
    <w:rsid w:val="00AE68C1"/>
    <w:rsid w:val="00AF1C52"/>
    <w:rsid w:val="00AF6190"/>
    <w:rsid w:val="00B00450"/>
    <w:rsid w:val="00B0160D"/>
    <w:rsid w:val="00B0269E"/>
    <w:rsid w:val="00B03EB7"/>
    <w:rsid w:val="00B04286"/>
    <w:rsid w:val="00B0643A"/>
    <w:rsid w:val="00B100CC"/>
    <w:rsid w:val="00B1138A"/>
    <w:rsid w:val="00B11F91"/>
    <w:rsid w:val="00B14B2B"/>
    <w:rsid w:val="00B172EC"/>
    <w:rsid w:val="00B20DA2"/>
    <w:rsid w:val="00B228D2"/>
    <w:rsid w:val="00B23381"/>
    <w:rsid w:val="00B328E9"/>
    <w:rsid w:val="00B4081F"/>
    <w:rsid w:val="00B50150"/>
    <w:rsid w:val="00B52C55"/>
    <w:rsid w:val="00B5513A"/>
    <w:rsid w:val="00B66898"/>
    <w:rsid w:val="00B6689D"/>
    <w:rsid w:val="00B66EDB"/>
    <w:rsid w:val="00B703DC"/>
    <w:rsid w:val="00B714BD"/>
    <w:rsid w:val="00B72368"/>
    <w:rsid w:val="00B767B9"/>
    <w:rsid w:val="00B77D2F"/>
    <w:rsid w:val="00B85DBD"/>
    <w:rsid w:val="00B94C94"/>
    <w:rsid w:val="00BB2303"/>
    <w:rsid w:val="00BB263A"/>
    <w:rsid w:val="00BB7894"/>
    <w:rsid w:val="00BD212D"/>
    <w:rsid w:val="00BD28D6"/>
    <w:rsid w:val="00BD6AB4"/>
    <w:rsid w:val="00BE232F"/>
    <w:rsid w:val="00BE4CEA"/>
    <w:rsid w:val="00BE5BCA"/>
    <w:rsid w:val="00BE737E"/>
    <w:rsid w:val="00BF002B"/>
    <w:rsid w:val="00BF196B"/>
    <w:rsid w:val="00BF3DEF"/>
    <w:rsid w:val="00BF7B19"/>
    <w:rsid w:val="00C04926"/>
    <w:rsid w:val="00C0503C"/>
    <w:rsid w:val="00C061A7"/>
    <w:rsid w:val="00C132AB"/>
    <w:rsid w:val="00C16982"/>
    <w:rsid w:val="00C43C62"/>
    <w:rsid w:val="00C44873"/>
    <w:rsid w:val="00C45AA2"/>
    <w:rsid w:val="00C47C86"/>
    <w:rsid w:val="00C504AD"/>
    <w:rsid w:val="00C54D58"/>
    <w:rsid w:val="00C56CB1"/>
    <w:rsid w:val="00C56FAB"/>
    <w:rsid w:val="00C573E1"/>
    <w:rsid w:val="00C63546"/>
    <w:rsid w:val="00C70AC9"/>
    <w:rsid w:val="00C71AE9"/>
    <w:rsid w:val="00C818AE"/>
    <w:rsid w:val="00C83EB4"/>
    <w:rsid w:val="00C865E0"/>
    <w:rsid w:val="00C874A9"/>
    <w:rsid w:val="00C90260"/>
    <w:rsid w:val="00C9293D"/>
    <w:rsid w:val="00C937DB"/>
    <w:rsid w:val="00C93F63"/>
    <w:rsid w:val="00C952D9"/>
    <w:rsid w:val="00C95DF6"/>
    <w:rsid w:val="00C967CB"/>
    <w:rsid w:val="00CA28A7"/>
    <w:rsid w:val="00CA314D"/>
    <w:rsid w:val="00CB22DB"/>
    <w:rsid w:val="00CB250C"/>
    <w:rsid w:val="00CB27FD"/>
    <w:rsid w:val="00CB3D0A"/>
    <w:rsid w:val="00CC175D"/>
    <w:rsid w:val="00CC2A4A"/>
    <w:rsid w:val="00CC5961"/>
    <w:rsid w:val="00CD3379"/>
    <w:rsid w:val="00CD5695"/>
    <w:rsid w:val="00CE2BAA"/>
    <w:rsid w:val="00CE5080"/>
    <w:rsid w:val="00CF30D7"/>
    <w:rsid w:val="00CF5093"/>
    <w:rsid w:val="00CF7B09"/>
    <w:rsid w:val="00CF7C3F"/>
    <w:rsid w:val="00D01819"/>
    <w:rsid w:val="00D03C36"/>
    <w:rsid w:val="00D03D1E"/>
    <w:rsid w:val="00D06381"/>
    <w:rsid w:val="00D06F38"/>
    <w:rsid w:val="00D12C8E"/>
    <w:rsid w:val="00D13875"/>
    <w:rsid w:val="00D16BFD"/>
    <w:rsid w:val="00D20476"/>
    <w:rsid w:val="00D32046"/>
    <w:rsid w:val="00D34D5D"/>
    <w:rsid w:val="00D370AE"/>
    <w:rsid w:val="00D44566"/>
    <w:rsid w:val="00D44E99"/>
    <w:rsid w:val="00D507F3"/>
    <w:rsid w:val="00D51D6A"/>
    <w:rsid w:val="00D57BE1"/>
    <w:rsid w:val="00D60904"/>
    <w:rsid w:val="00D64C8E"/>
    <w:rsid w:val="00D653D4"/>
    <w:rsid w:val="00D67526"/>
    <w:rsid w:val="00D72D7E"/>
    <w:rsid w:val="00D73FDB"/>
    <w:rsid w:val="00D809D2"/>
    <w:rsid w:val="00D83271"/>
    <w:rsid w:val="00D86BFE"/>
    <w:rsid w:val="00D90D34"/>
    <w:rsid w:val="00DA0ABC"/>
    <w:rsid w:val="00DA1B7B"/>
    <w:rsid w:val="00DB08C0"/>
    <w:rsid w:val="00DB6937"/>
    <w:rsid w:val="00DB79DF"/>
    <w:rsid w:val="00DC37BF"/>
    <w:rsid w:val="00DC38F3"/>
    <w:rsid w:val="00DC3E8F"/>
    <w:rsid w:val="00DD5957"/>
    <w:rsid w:val="00DE0920"/>
    <w:rsid w:val="00DE3C01"/>
    <w:rsid w:val="00DE4697"/>
    <w:rsid w:val="00DE5E63"/>
    <w:rsid w:val="00DF1382"/>
    <w:rsid w:val="00DF153F"/>
    <w:rsid w:val="00DF30F5"/>
    <w:rsid w:val="00DF6360"/>
    <w:rsid w:val="00E0318B"/>
    <w:rsid w:val="00E03C7C"/>
    <w:rsid w:val="00E12087"/>
    <w:rsid w:val="00E17948"/>
    <w:rsid w:val="00E2120D"/>
    <w:rsid w:val="00E22033"/>
    <w:rsid w:val="00E27FD3"/>
    <w:rsid w:val="00E35130"/>
    <w:rsid w:val="00E5042B"/>
    <w:rsid w:val="00E5280C"/>
    <w:rsid w:val="00E5445E"/>
    <w:rsid w:val="00E565E2"/>
    <w:rsid w:val="00E7412C"/>
    <w:rsid w:val="00E7616D"/>
    <w:rsid w:val="00E866AC"/>
    <w:rsid w:val="00E87EC4"/>
    <w:rsid w:val="00E91CE8"/>
    <w:rsid w:val="00E946BC"/>
    <w:rsid w:val="00E97D39"/>
    <w:rsid w:val="00EA32F7"/>
    <w:rsid w:val="00EA3C96"/>
    <w:rsid w:val="00EA67FC"/>
    <w:rsid w:val="00EB4554"/>
    <w:rsid w:val="00EB6DD5"/>
    <w:rsid w:val="00EC3468"/>
    <w:rsid w:val="00ED3309"/>
    <w:rsid w:val="00EE1CAC"/>
    <w:rsid w:val="00EF063A"/>
    <w:rsid w:val="00EF3CDC"/>
    <w:rsid w:val="00F03952"/>
    <w:rsid w:val="00F04265"/>
    <w:rsid w:val="00F114B8"/>
    <w:rsid w:val="00F17AA0"/>
    <w:rsid w:val="00F20143"/>
    <w:rsid w:val="00F2240E"/>
    <w:rsid w:val="00F230CD"/>
    <w:rsid w:val="00F2538E"/>
    <w:rsid w:val="00F26007"/>
    <w:rsid w:val="00F26F77"/>
    <w:rsid w:val="00F43C70"/>
    <w:rsid w:val="00F440C7"/>
    <w:rsid w:val="00F47547"/>
    <w:rsid w:val="00F51C18"/>
    <w:rsid w:val="00F53898"/>
    <w:rsid w:val="00F57072"/>
    <w:rsid w:val="00F66F4B"/>
    <w:rsid w:val="00F707FE"/>
    <w:rsid w:val="00F71295"/>
    <w:rsid w:val="00F73AD9"/>
    <w:rsid w:val="00F80ABC"/>
    <w:rsid w:val="00F83F84"/>
    <w:rsid w:val="00F920F1"/>
    <w:rsid w:val="00F9313A"/>
    <w:rsid w:val="00F96805"/>
    <w:rsid w:val="00FA05A2"/>
    <w:rsid w:val="00FA1711"/>
    <w:rsid w:val="00FA31E2"/>
    <w:rsid w:val="00FB3C3B"/>
    <w:rsid w:val="00FB6D52"/>
    <w:rsid w:val="00FB7DC9"/>
    <w:rsid w:val="00FC4DDD"/>
    <w:rsid w:val="00FC531E"/>
    <w:rsid w:val="00FC610B"/>
    <w:rsid w:val="00FC6AC8"/>
    <w:rsid w:val="00FD25BF"/>
    <w:rsid w:val="00FD34F7"/>
    <w:rsid w:val="00FE31E6"/>
    <w:rsid w:val="00FE6840"/>
    <w:rsid w:val="00FF31F2"/>
    <w:rsid w:val="00FF34D6"/>
    <w:rsid w:val="00FF5B70"/>
    <w:rsid w:val="00FF5BB9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57A473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AC9"/>
    <w:pPr>
      <w:spacing w:after="200" w:line="276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AC9"/>
    <w:pPr>
      <w:keepNext/>
      <w:keepLines/>
      <w:spacing w:before="600" w:after="0"/>
      <w:outlineLvl w:val="0"/>
    </w:pPr>
    <w:rPr>
      <w:rFonts w:eastAsiaTheme="majorEastAsia" w:cstheme="majorBidi"/>
      <w:b/>
      <w:color w:val="5D7A38" w:themeColor="accent1"/>
      <w:sz w:val="5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9C1"/>
    <w:pPr>
      <w:ind w:left="-284" w:right="-284"/>
      <w:outlineLvl w:val="1"/>
    </w:pPr>
    <w:rPr>
      <w:rFonts w:ascii="Aptos" w:hAnsi="Aptos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9C1"/>
    <w:pPr>
      <w:ind w:left="-284" w:right="-286"/>
      <w:outlineLvl w:val="2"/>
    </w:pPr>
    <w:rPr>
      <w:rFonts w:ascii="Aptos" w:hAnsi="Aptos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0AC9"/>
    <w:pPr>
      <w:keepNext/>
      <w:keepLines/>
      <w:spacing w:before="240" w:after="0"/>
      <w:outlineLvl w:val="3"/>
    </w:pPr>
    <w:rPr>
      <w:rFonts w:ascii="Aptos SemiBold" w:eastAsiaTheme="majorEastAsia" w:hAnsi="Aptos SemiBold" w:cstheme="majorBidi"/>
      <w:iCs/>
      <w:color w:val="0D2C6C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0AC9"/>
    <w:pPr>
      <w:keepNext/>
      <w:keepLines/>
      <w:spacing w:before="240" w:after="0"/>
      <w:outlineLvl w:val="4"/>
    </w:pPr>
    <w:rPr>
      <w:rFonts w:eastAsiaTheme="majorEastAsia" w:cstheme="majorBidi"/>
      <w:b/>
      <w:color w:val="404246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0AC9"/>
    <w:pPr>
      <w:keepNext/>
      <w:keepLines/>
      <w:spacing w:before="240" w:after="0"/>
      <w:outlineLvl w:val="5"/>
    </w:pPr>
    <w:rPr>
      <w:rFonts w:ascii="Aptos SemiBold" w:eastAsiaTheme="majorEastAsia" w:hAnsi="Aptos SemiBold" w:cstheme="majorBidi"/>
      <w:color w:val="5D7A38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70AC9"/>
    <w:pPr>
      <w:keepNext/>
      <w:keepLines/>
      <w:spacing w:before="40" w:after="60"/>
      <w:outlineLvl w:val="6"/>
    </w:pPr>
    <w:rPr>
      <w:rFonts w:ascii="Aptos SemiBold" w:eastAsiaTheme="majorEastAsia" w:hAnsi="Aptos SemiBold" w:cstheme="majorBidi"/>
      <w:i/>
      <w:iCs/>
      <w:color w:val="0D2C6C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8839C1"/>
    <w:pPr>
      <w:jc w:val="center"/>
    </w:pPr>
    <w:rPr>
      <w:rFonts w:ascii="Aptos" w:hAnsi="Aptos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7"/>
    <w:rsid w:val="008839C1"/>
    <w:rPr>
      <w:rFonts w:ascii="Aptos" w:hAnsi="Aptos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8"/>
    <w:qFormat/>
    <w:rsid w:val="00C70AC9"/>
    <w:pPr>
      <w:numPr>
        <w:ilvl w:val="1"/>
      </w:numPr>
      <w:spacing w:after="0"/>
    </w:pPr>
    <w:rPr>
      <w:rFonts w:eastAsiaTheme="minorEastAsia"/>
      <w:color w:val="98AB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C70AC9"/>
    <w:rPr>
      <w:rFonts w:ascii="Aptos Display" w:eastAsiaTheme="minorEastAsia" w:hAnsi="Aptos Display"/>
      <w:color w:val="98AB64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C70AC9"/>
    <w:rPr>
      <w:rFonts w:ascii="Aptos Display" w:eastAsiaTheme="majorEastAsia" w:hAnsi="Aptos Display" w:cstheme="majorBidi"/>
      <w:b/>
      <w:color w:val="5D7A38" w:themeColor="accent1"/>
      <w:sz w:val="5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39C1"/>
    <w:rPr>
      <w:rFonts w:ascii="Aptos" w:hAnsi="Aptos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39C1"/>
    <w:rPr>
      <w:rFonts w:ascii="Aptos" w:hAnsi="Aptos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0AC9"/>
    <w:rPr>
      <w:rFonts w:ascii="Aptos SemiBold" w:eastAsiaTheme="majorEastAsia" w:hAnsi="Aptos SemiBold" w:cstheme="majorBidi"/>
      <w:iCs/>
      <w:color w:val="0D2C6C" w:themeColor="accent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70AC9"/>
    <w:rPr>
      <w:rFonts w:ascii="Aptos Display" w:eastAsiaTheme="majorEastAsia" w:hAnsi="Aptos Display" w:cstheme="majorBidi"/>
      <w:b/>
      <w:color w:val="404246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70AC9"/>
    <w:rPr>
      <w:rFonts w:ascii="Aptos SemiBold" w:eastAsiaTheme="majorEastAsia" w:hAnsi="Aptos SemiBold" w:cstheme="majorBidi"/>
      <w:color w:val="5D7A38" w:themeColor="accent1"/>
    </w:rPr>
  </w:style>
  <w:style w:type="character" w:styleId="Hyperlink">
    <w:name w:val="Hyperlink"/>
    <w:basedOn w:val="DefaultParagraphFont"/>
    <w:uiPriority w:val="99"/>
    <w:unhideWhenUsed/>
    <w:qFormat/>
    <w:rsid w:val="00C70AC9"/>
    <w:rPr>
      <w:color w:val="287DB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0AC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C70AC9"/>
    <w:rPr>
      <w:b/>
      <w:bCs/>
    </w:rPr>
  </w:style>
  <w:style w:type="table" w:styleId="TableGrid">
    <w:name w:val="Table Grid"/>
    <w:basedOn w:val="TableNormal"/>
    <w:uiPriority w:val="39"/>
    <w:rsid w:val="00C70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C70AC9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C70AC9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C70AC9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C70AC9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C70AC9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@Yu Gothic UI Semilight" w:hAnsi="@Yu Gothic UI Semilight"/>
        <w:b/>
        <w:color w:val="FFFFFF" w:themeColor="background1"/>
      </w:rPr>
      <w:tblPr/>
      <w:tcPr>
        <w:shd w:val="clear" w:color="auto" w:fill="5D7A38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C70AC9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C70AC9"/>
    <w:pPr>
      <w:numPr>
        <w:numId w:val="17"/>
      </w:numPr>
    </w:pPr>
  </w:style>
  <w:style w:type="paragraph" w:styleId="ListBullet">
    <w:name w:val="List Bullet"/>
    <w:basedOn w:val="ListParagraph"/>
    <w:uiPriority w:val="99"/>
    <w:unhideWhenUsed/>
    <w:qFormat/>
    <w:rsid w:val="00C70AC9"/>
    <w:pPr>
      <w:numPr>
        <w:numId w:val="15"/>
      </w:numPr>
    </w:pPr>
  </w:style>
  <w:style w:type="paragraph" w:styleId="List">
    <w:name w:val="List"/>
    <w:basedOn w:val="ListBullet"/>
    <w:uiPriority w:val="99"/>
    <w:unhideWhenUsed/>
    <w:qFormat/>
    <w:rsid w:val="00C70AC9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C70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AC9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C70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AC9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C70AC9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C70AC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70AC9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C70AC9"/>
    <w:pPr>
      <w:spacing w:before="0"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AC9"/>
    <w:rPr>
      <w:rFonts w:ascii="Segoe UI" w:hAnsi="Segoe UI" w:cs="Segoe UI"/>
      <w:sz w:val="18"/>
      <w:szCs w:val="18"/>
    </w:rPr>
  </w:style>
  <w:style w:type="paragraph" w:customStyle="1" w:styleId="numberedpara">
    <w:name w:val="numbered para"/>
    <w:basedOn w:val="Normal"/>
    <w:rsid w:val="00C70AC9"/>
    <w:pPr>
      <w:numPr>
        <w:numId w:val="18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0AC9"/>
    <w:rPr>
      <w:color w:val="7055A3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C70AC9"/>
    <w:rPr>
      <w:rFonts w:ascii="Aptos SemiBold" w:eastAsiaTheme="majorEastAsia" w:hAnsi="Aptos SemiBold" w:cstheme="majorBidi"/>
      <w:i/>
      <w:iCs/>
      <w:color w:val="0D2C6C" w:themeColor="accent5"/>
    </w:rPr>
  </w:style>
  <w:style w:type="paragraph" w:styleId="Revision">
    <w:name w:val="Revision"/>
    <w:hidden/>
    <w:uiPriority w:val="99"/>
    <w:semiHidden/>
    <w:rsid w:val="003E018E"/>
    <w:pPr>
      <w:spacing w:after="0" w:line="240" w:lineRule="auto"/>
    </w:pPr>
    <w:rPr>
      <w:rFonts w:ascii="Aptos Display" w:hAnsi="Aptos Display"/>
    </w:rPr>
  </w:style>
  <w:style w:type="character" w:styleId="CommentReference">
    <w:name w:val="annotation reference"/>
    <w:basedOn w:val="DefaultParagraphFont"/>
    <w:uiPriority w:val="99"/>
    <w:semiHidden/>
    <w:unhideWhenUsed/>
    <w:rsid w:val="00C92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93D"/>
    <w:rPr>
      <w:rFonts w:ascii="Aptos Display" w:hAnsi="Aptos Displa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93D"/>
    <w:rPr>
      <w:rFonts w:ascii="Aptos Display" w:hAnsi="Aptos Display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WR">
      <a:dk1>
        <a:sysClr val="windowText" lastClr="000000"/>
      </a:dk1>
      <a:lt1>
        <a:sysClr val="window" lastClr="FFFFFF"/>
      </a:lt1>
      <a:dk2>
        <a:srgbClr val="404246"/>
      </a:dk2>
      <a:lt2>
        <a:srgbClr val="7A9F4C"/>
      </a:lt2>
      <a:accent1>
        <a:srgbClr val="5D7A38"/>
      </a:accent1>
      <a:accent2>
        <a:srgbClr val="62165C"/>
      </a:accent2>
      <a:accent3>
        <a:srgbClr val="B5C427"/>
      </a:accent3>
      <a:accent4>
        <a:srgbClr val="009B9F"/>
      </a:accent4>
      <a:accent5>
        <a:srgbClr val="0D2C6C"/>
      </a:accent5>
      <a:accent6>
        <a:srgbClr val="91040D"/>
      </a:accent6>
      <a:hlink>
        <a:srgbClr val="287DB2"/>
      </a:hlink>
      <a:folHlink>
        <a:srgbClr val="7055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FBAE4-E725-4DF2-B706-BFF2534F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2918</Characters>
  <Application>Microsoft Office Word</Application>
  <DocSecurity>0</DocSecurity>
  <Lines>108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2024-25 Gender Pay Gap Employer Statement</dc:title>
  <dc:subject/>
  <dc:creator/>
  <cp:keywords/>
  <dc:description/>
  <cp:lastModifiedBy/>
  <cp:revision>1</cp:revision>
  <dcterms:created xsi:type="dcterms:W3CDTF">2026-02-23T03:53:00Z</dcterms:created>
  <dcterms:modified xsi:type="dcterms:W3CDTF">2026-02-23T03:54:00Z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2026-02-23T03:54:16Z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72bbeb1e-03e7-450f-917c-51e7faed5053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