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DB73C7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3EF32435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ro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rom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591D6054" w14:textId="26186CAE" w:rsidR="00EC6A53" w:rsidRDefault="00C7081F" w:rsidP="00122E94">
          <w:pPr>
            <w:spacing w:before="100" w:beforeAutospacing="1" w:after="0"/>
            <w:sectPr w:rsidR="00EC6A53" w:rsidSect="00DE0402">
              <w:footerReference w:type="default" r:id="rId9"/>
              <w:footerReference w:type="first" r:id="rId10"/>
              <w:type w:val="continuous"/>
              <w:pgSz w:w="11906" w:h="16838"/>
              <w:pgMar w:top="851" w:right="1418" w:bottom="1418" w:left="1418" w:header="0" w:footer="709" w:gutter="0"/>
              <w:cols w:space="708"/>
              <w:titlePg/>
              <w:docGrid w:linePitch="360"/>
            </w:sect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1EF8D12C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7054EDB" w14:textId="51F2A2EE" w:rsidR="006D154E" w:rsidRPr="00812472" w:rsidRDefault="00812472" w:rsidP="00432753">
      <w:pPr>
        <w:pStyle w:val="Title"/>
        <w:tabs>
          <w:tab w:val="left" w:pos="6915"/>
        </w:tabs>
        <w:rPr>
          <w:bCs/>
          <w:iCs/>
        </w:rPr>
      </w:pPr>
      <w:r w:rsidRPr="00812472">
        <w:rPr>
          <w:bCs/>
          <w:iCs/>
        </w:rPr>
        <w:t>A new approach to supporting people</w:t>
      </w:r>
      <w:r w:rsidR="00FE0A61">
        <w:rPr>
          <w:bCs/>
          <w:iCs/>
        </w:rPr>
        <w:t> </w:t>
      </w:r>
      <w:r w:rsidRPr="00812472">
        <w:rPr>
          <w:bCs/>
          <w:iCs/>
        </w:rPr>
        <w:t>to find work</w:t>
      </w:r>
    </w:p>
    <w:p w14:paraId="59EE0F05" w14:textId="73D450C8" w:rsidR="00285E8E" w:rsidRPr="00FE0A61" w:rsidRDefault="00285E8E" w:rsidP="00FE0A61">
      <w:r w:rsidRPr="00FE0A61">
        <w:t>The government is replacing the one-size-fits-all employment service model with an</w:t>
      </w:r>
      <w:r w:rsidR="004C7548" w:rsidRPr="00FE0A61">
        <w:t> </w:t>
      </w:r>
      <w:r w:rsidRPr="00FE0A61">
        <w:t>approach</w:t>
      </w:r>
      <w:r w:rsidR="00FE0A61">
        <w:t xml:space="preserve"> </w:t>
      </w:r>
      <w:r w:rsidRPr="00FE0A61">
        <w:t xml:space="preserve">that matches the level and type of support to a person’s need. </w:t>
      </w:r>
    </w:p>
    <w:p w14:paraId="1CC32217" w14:textId="77777777" w:rsidR="00285E8E" w:rsidRPr="00FE0A61" w:rsidRDefault="00285E8E" w:rsidP="00FE0A61">
      <w:r w:rsidRPr="00FE0A61">
        <w:t>Three new service streams will be introduced to replace Workforce Australia.</w:t>
      </w:r>
    </w:p>
    <w:p w14:paraId="04FF812F" w14:textId="77777777" w:rsidR="00285E8E" w:rsidRPr="00FE0A61" w:rsidRDefault="00285E8E" w:rsidP="00FE0A61">
      <w:r w:rsidRPr="00FE0A61">
        <w:t>The new service streams will be calibrated to a person’s needs and support will be provided which reflects their circumstances and distance from the labour market.</w:t>
      </w:r>
    </w:p>
    <w:p w14:paraId="608676EC" w14:textId="3C5CBB1D" w:rsidR="00285E8E" w:rsidRPr="00285E8E" w:rsidRDefault="00285E8E" w:rsidP="00285E8E">
      <w:pPr>
        <w:pStyle w:val="Heading2"/>
      </w:pPr>
      <w:r w:rsidRPr="00285E8E">
        <w:t>Online and brief intervention services</w:t>
      </w:r>
      <w:r w:rsidR="00854F66">
        <w:t xml:space="preserve"> </w:t>
      </w:r>
      <w:r w:rsidRPr="00285E8E">
        <w:t>– Stream 1</w:t>
      </w:r>
    </w:p>
    <w:p w14:paraId="4F5405C5" w14:textId="057CEC62" w:rsidR="00285E8E" w:rsidRPr="00285E8E" w:rsidRDefault="00285E8E" w:rsidP="00285E8E">
      <w:r w:rsidRPr="00285E8E">
        <w:t>Services will be available online and over the phone for people who are most work ready and</w:t>
      </w:r>
      <w:r w:rsidR="00FE0A61">
        <w:t> </w:t>
      </w:r>
      <w:r w:rsidRPr="00285E8E">
        <w:t xml:space="preserve">digitally literate. </w:t>
      </w:r>
    </w:p>
    <w:p w14:paraId="656E3F77" w14:textId="58A79EAC" w:rsidR="00285E8E" w:rsidRPr="00285E8E" w:rsidRDefault="00285E8E" w:rsidP="00285E8E">
      <w:r w:rsidRPr="00285E8E">
        <w:t>Services will be delivered through a redesigned, participant-led online platform, supported by</w:t>
      </w:r>
      <w:r w:rsidR="00FE0A61">
        <w:t> </w:t>
      </w:r>
      <w:r w:rsidRPr="00285E8E">
        <w:t>targeted assistance where needed. Participants will be able to access supports to help them</w:t>
      </w:r>
      <w:r w:rsidR="00FE0A61">
        <w:t> </w:t>
      </w:r>
      <w:r w:rsidRPr="00285E8E">
        <w:t xml:space="preserve">move into work quickly. </w:t>
      </w:r>
    </w:p>
    <w:p w14:paraId="51859D75" w14:textId="21793A47" w:rsidR="00285E8E" w:rsidRPr="00285E8E" w:rsidRDefault="00285E8E" w:rsidP="00285E8E">
      <w:r w:rsidRPr="00285E8E">
        <w:t>New features will include personalised career mapping and guidance tools, and more proactive</w:t>
      </w:r>
      <w:r w:rsidR="00FE0A61">
        <w:t> </w:t>
      </w:r>
      <w:r w:rsidRPr="00285E8E">
        <w:t xml:space="preserve">supports. </w:t>
      </w:r>
    </w:p>
    <w:p w14:paraId="66D67BA3" w14:textId="29FFA099" w:rsidR="00812472" w:rsidRPr="00812472" w:rsidRDefault="00285E8E" w:rsidP="00285E8E">
      <w:r w:rsidRPr="00285E8E">
        <w:t>This will make it easier for people to move quickly into employment without the need for</w:t>
      </w:r>
      <w:r w:rsidR="00FE0A61">
        <w:t> </w:t>
      </w:r>
      <w:r w:rsidRPr="00285E8E">
        <w:t>a</w:t>
      </w:r>
      <w:r w:rsidR="004C7548">
        <w:t> </w:t>
      </w:r>
      <w:r w:rsidRPr="00285E8E">
        <w:t xml:space="preserve">provider. </w:t>
      </w:r>
    </w:p>
    <w:p w14:paraId="3D66CC13" w14:textId="77777777" w:rsidR="00285E8E" w:rsidRDefault="00285E8E" w:rsidP="00285E8E">
      <w:pPr>
        <w:pStyle w:val="Heading2"/>
      </w:pPr>
      <w:r w:rsidRPr="00285E8E">
        <w:t>Targeted provider services – Stream 2</w:t>
      </w:r>
    </w:p>
    <w:p w14:paraId="7B5963A4" w14:textId="77777777" w:rsidR="00285E8E" w:rsidRPr="004C7548" w:rsidRDefault="00285E8E" w:rsidP="00285E8E">
      <w:pPr>
        <w:rPr>
          <w:spacing w:val="-2"/>
        </w:rPr>
      </w:pPr>
      <w:r w:rsidRPr="004C7548">
        <w:rPr>
          <w:spacing w:val="-2"/>
        </w:rPr>
        <w:t xml:space="preserve">Targeted provider-led services will be available for people who have some barriers to finding work. </w:t>
      </w:r>
    </w:p>
    <w:p w14:paraId="2F507727" w14:textId="56A0CCC1" w:rsidR="00285E8E" w:rsidRPr="00285E8E" w:rsidRDefault="00285E8E" w:rsidP="00285E8E">
      <w:r w:rsidRPr="00285E8E">
        <w:t>This service will provide personalised and targeted supports, stronger links to training and work</w:t>
      </w:r>
      <w:r w:rsidR="00FE0A61">
        <w:noBreakHyphen/>
      </w:r>
      <w:r w:rsidRPr="00285E8E">
        <w:t>ready supports, and personalised coaching.</w:t>
      </w:r>
    </w:p>
    <w:p w14:paraId="3CF7CE49" w14:textId="1D0A8D36" w:rsidR="00285E8E" w:rsidRPr="00285E8E" w:rsidRDefault="00285E8E" w:rsidP="00285E8E">
      <w:r w:rsidRPr="00285E8E">
        <w:t>Providers will deliver quality services, support sustainable employment, and engage effectively</w:t>
      </w:r>
      <w:r w:rsidR="00FE0A61">
        <w:t> </w:t>
      </w:r>
      <w:r w:rsidRPr="00285E8E">
        <w:t>with employers.</w:t>
      </w:r>
    </w:p>
    <w:p w14:paraId="09B1AC6D" w14:textId="77777777" w:rsidR="00285E8E" w:rsidRPr="00285E8E" w:rsidRDefault="00285E8E" w:rsidP="00285E8E">
      <w:pPr>
        <w:pStyle w:val="Heading2"/>
      </w:pPr>
      <w:r w:rsidRPr="00285E8E">
        <w:lastRenderedPageBreak/>
        <w:t>Intensive services – Stream 3</w:t>
      </w:r>
    </w:p>
    <w:p w14:paraId="00308647" w14:textId="77777777" w:rsidR="00285E8E" w:rsidRPr="00285E8E" w:rsidRDefault="00285E8E" w:rsidP="00285E8E">
      <w:r w:rsidRPr="00285E8E">
        <w:t>Intensive services will be available for people who have complex barriers to finding work.</w:t>
      </w:r>
    </w:p>
    <w:p w14:paraId="609BF981" w14:textId="77777777" w:rsidR="00285E8E" w:rsidRPr="00285E8E" w:rsidRDefault="00285E8E" w:rsidP="00285E8E">
      <w:r w:rsidRPr="00285E8E">
        <w:t xml:space="preserve">This service will provide coordinated support delivered by skilled case managers. </w:t>
      </w:r>
    </w:p>
    <w:p w14:paraId="5ABFAE0B" w14:textId="77777777" w:rsidR="00285E8E" w:rsidRPr="00285E8E" w:rsidRDefault="00285E8E" w:rsidP="00285E8E">
      <w:r w:rsidRPr="00285E8E">
        <w:t>Supports will include mentoring, work-like experience, volunteering, and support to navigate other local services to address barriers to employment.</w:t>
      </w:r>
    </w:p>
    <w:p w14:paraId="0684BE9B" w14:textId="77777777" w:rsidR="00285E8E" w:rsidRPr="00285E8E" w:rsidRDefault="00285E8E" w:rsidP="00285E8E">
      <w:r w:rsidRPr="00285E8E">
        <w:t>The focus will be on building confidence, capability and stability to support progression towards suitable employment.</w:t>
      </w:r>
    </w:p>
    <w:p w14:paraId="2D90F549" w14:textId="77777777" w:rsidR="00285E8E" w:rsidRPr="00285E8E" w:rsidRDefault="00285E8E" w:rsidP="00285E8E">
      <w:r w:rsidRPr="00285E8E">
        <w:t xml:space="preserve">Services will be delivered by community organisations with strong connections to local services, employers and communities. </w:t>
      </w:r>
    </w:p>
    <w:p w14:paraId="0929182B" w14:textId="77777777" w:rsidR="00285E8E" w:rsidRPr="00285E8E" w:rsidRDefault="00285E8E" w:rsidP="00285E8E"/>
    <w:p w14:paraId="794525C8" w14:textId="33577C08" w:rsidR="00705BAD" w:rsidRPr="00705BAD" w:rsidRDefault="00705BAD" w:rsidP="00285E8E"/>
    <w:sectPr w:rsidR="00705BAD" w:rsidRPr="00705BAD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2A59" w14:textId="77777777" w:rsidR="00DB73C7" w:rsidRDefault="00DB73C7" w:rsidP="0051352E">
      <w:pPr>
        <w:spacing w:after="0" w:line="240" w:lineRule="auto"/>
      </w:pPr>
      <w:r>
        <w:separator/>
      </w:r>
    </w:p>
  </w:endnote>
  <w:endnote w:type="continuationSeparator" w:id="0">
    <w:p w14:paraId="6394417E" w14:textId="77777777" w:rsidR="00DB73C7" w:rsidRDefault="00DB73C7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2134" w14:textId="77777777" w:rsidR="00DB73C7" w:rsidRDefault="00DB73C7" w:rsidP="0051352E">
      <w:pPr>
        <w:spacing w:after="0" w:line="240" w:lineRule="auto"/>
      </w:pPr>
      <w:r>
        <w:separator/>
      </w:r>
    </w:p>
  </w:footnote>
  <w:footnote w:type="continuationSeparator" w:id="0">
    <w:p w14:paraId="574B805C" w14:textId="77777777" w:rsidR="00DB73C7" w:rsidRDefault="00DB73C7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17"/>
  </w:num>
  <w:num w:numId="19" w16cid:durableId="1717700735">
    <w:abstractNumId w:val="18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3210B"/>
    <w:rsid w:val="00042F07"/>
    <w:rsid w:val="00052BBC"/>
    <w:rsid w:val="00067075"/>
    <w:rsid w:val="00085EBA"/>
    <w:rsid w:val="00087C31"/>
    <w:rsid w:val="000A3ECA"/>
    <w:rsid w:val="000A453D"/>
    <w:rsid w:val="00100EB8"/>
    <w:rsid w:val="00111085"/>
    <w:rsid w:val="00117110"/>
    <w:rsid w:val="00122E94"/>
    <w:rsid w:val="00133EBA"/>
    <w:rsid w:val="00140A92"/>
    <w:rsid w:val="00155FF0"/>
    <w:rsid w:val="00157F35"/>
    <w:rsid w:val="00192E60"/>
    <w:rsid w:val="00197B31"/>
    <w:rsid w:val="001B0B9A"/>
    <w:rsid w:val="00217EAB"/>
    <w:rsid w:val="0022498C"/>
    <w:rsid w:val="0022626C"/>
    <w:rsid w:val="00265916"/>
    <w:rsid w:val="002724D0"/>
    <w:rsid w:val="00285E8E"/>
    <w:rsid w:val="002A7840"/>
    <w:rsid w:val="002B1CE5"/>
    <w:rsid w:val="002F4DB3"/>
    <w:rsid w:val="00305384"/>
    <w:rsid w:val="00327830"/>
    <w:rsid w:val="00350FFA"/>
    <w:rsid w:val="00382F07"/>
    <w:rsid w:val="003A2EFF"/>
    <w:rsid w:val="003D7E58"/>
    <w:rsid w:val="003F0286"/>
    <w:rsid w:val="00414677"/>
    <w:rsid w:val="00423053"/>
    <w:rsid w:val="00432753"/>
    <w:rsid w:val="00453C04"/>
    <w:rsid w:val="00474888"/>
    <w:rsid w:val="004774AD"/>
    <w:rsid w:val="004935D6"/>
    <w:rsid w:val="00495658"/>
    <w:rsid w:val="00497764"/>
    <w:rsid w:val="004B43AE"/>
    <w:rsid w:val="004C27D5"/>
    <w:rsid w:val="004C7548"/>
    <w:rsid w:val="00511396"/>
    <w:rsid w:val="0051352E"/>
    <w:rsid w:val="00517DA7"/>
    <w:rsid w:val="00520A33"/>
    <w:rsid w:val="00527AE4"/>
    <w:rsid w:val="00537E9E"/>
    <w:rsid w:val="005441D5"/>
    <w:rsid w:val="005455E1"/>
    <w:rsid w:val="0055569D"/>
    <w:rsid w:val="00596A88"/>
    <w:rsid w:val="005D15A9"/>
    <w:rsid w:val="005D7CE7"/>
    <w:rsid w:val="00610A38"/>
    <w:rsid w:val="00630DDF"/>
    <w:rsid w:val="00653A50"/>
    <w:rsid w:val="00662A42"/>
    <w:rsid w:val="006835AE"/>
    <w:rsid w:val="006B0B39"/>
    <w:rsid w:val="006B1262"/>
    <w:rsid w:val="006D154E"/>
    <w:rsid w:val="006D72D1"/>
    <w:rsid w:val="006E5D6E"/>
    <w:rsid w:val="00704585"/>
    <w:rsid w:val="00705BAD"/>
    <w:rsid w:val="00721B03"/>
    <w:rsid w:val="00742937"/>
    <w:rsid w:val="00745FFC"/>
    <w:rsid w:val="007570DC"/>
    <w:rsid w:val="00770872"/>
    <w:rsid w:val="007B1ABA"/>
    <w:rsid w:val="007B74C5"/>
    <w:rsid w:val="007C5DFD"/>
    <w:rsid w:val="00812472"/>
    <w:rsid w:val="0083778B"/>
    <w:rsid w:val="00842C50"/>
    <w:rsid w:val="008479A8"/>
    <w:rsid w:val="008507C1"/>
    <w:rsid w:val="00854F66"/>
    <w:rsid w:val="00861934"/>
    <w:rsid w:val="008B00B6"/>
    <w:rsid w:val="008B796D"/>
    <w:rsid w:val="008C4E63"/>
    <w:rsid w:val="008C6C1B"/>
    <w:rsid w:val="008C7397"/>
    <w:rsid w:val="008E22BA"/>
    <w:rsid w:val="008E6B5C"/>
    <w:rsid w:val="008F0AC9"/>
    <w:rsid w:val="00900F7F"/>
    <w:rsid w:val="00927939"/>
    <w:rsid w:val="0093473D"/>
    <w:rsid w:val="00936BF0"/>
    <w:rsid w:val="00944ECC"/>
    <w:rsid w:val="009647BB"/>
    <w:rsid w:val="00966B9B"/>
    <w:rsid w:val="009718A7"/>
    <w:rsid w:val="009726CC"/>
    <w:rsid w:val="00972F57"/>
    <w:rsid w:val="00995280"/>
    <w:rsid w:val="009C2572"/>
    <w:rsid w:val="00A14B02"/>
    <w:rsid w:val="00A23E84"/>
    <w:rsid w:val="00A24E6E"/>
    <w:rsid w:val="00A43694"/>
    <w:rsid w:val="00A52ED5"/>
    <w:rsid w:val="00A56FC7"/>
    <w:rsid w:val="00A668BF"/>
    <w:rsid w:val="00A72575"/>
    <w:rsid w:val="00A74071"/>
    <w:rsid w:val="00A754E4"/>
    <w:rsid w:val="00A75FC1"/>
    <w:rsid w:val="00AA124A"/>
    <w:rsid w:val="00AA2A96"/>
    <w:rsid w:val="00AB5EF4"/>
    <w:rsid w:val="00B100CC"/>
    <w:rsid w:val="00B456C5"/>
    <w:rsid w:val="00B54110"/>
    <w:rsid w:val="00B6689D"/>
    <w:rsid w:val="00B72368"/>
    <w:rsid w:val="00B937E2"/>
    <w:rsid w:val="00BA04E1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3BA4"/>
    <w:rsid w:val="00D06400"/>
    <w:rsid w:val="00D748A3"/>
    <w:rsid w:val="00D827EA"/>
    <w:rsid w:val="00DA1B7B"/>
    <w:rsid w:val="00DB1ACB"/>
    <w:rsid w:val="00DB73C7"/>
    <w:rsid w:val="00DB79DF"/>
    <w:rsid w:val="00DE0402"/>
    <w:rsid w:val="00DE1D12"/>
    <w:rsid w:val="00DE77FE"/>
    <w:rsid w:val="00E02099"/>
    <w:rsid w:val="00E0540B"/>
    <w:rsid w:val="00E118C4"/>
    <w:rsid w:val="00E14881"/>
    <w:rsid w:val="00E36EF8"/>
    <w:rsid w:val="00E408BD"/>
    <w:rsid w:val="00E67289"/>
    <w:rsid w:val="00E9345D"/>
    <w:rsid w:val="00E93617"/>
    <w:rsid w:val="00EA32F7"/>
    <w:rsid w:val="00EB63C4"/>
    <w:rsid w:val="00EC6A53"/>
    <w:rsid w:val="00EE5EEB"/>
    <w:rsid w:val="00EF102A"/>
    <w:rsid w:val="00F230CD"/>
    <w:rsid w:val="00F330D8"/>
    <w:rsid w:val="00F51C18"/>
    <w:rsid w:val="00FA31E2"/>
    <w:rsid w:val="00FB6477"/>
    <w:rsid w:val="00FE0A61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AE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4C7548"/>
    <w:pPr>
      <w:spacing w:before="1680" w:after="240" w:line="640" w:lineRule="exact"/>
      <w:outlineLvl w:val="0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4C7548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305384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4C7548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approach to supporting people to find work</dc:title>
  <dc:subject/>
  <dc:creator/>
  <cp:keywords/>
  <dc:description/>
  <cp:lastModifiedBy/>
  <cp:revision>1</cp:revision>
  <dcterms:created xsi:type="dcterms:W3CDTF">2026-05-27T00:18:00Z</dcterms:created>
  <dcterms:modified xsi:type="dcterms:W3CDTF">2026-05-27T00:18:00Z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2026-05-27T00:18:35Z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7a27b9cb-e9c6-49ba-9f8d-81a3f62f6fea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