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146B87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3685EB76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3B0D21BE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5FCC50D1" w14:textId="0BD77E12" w:rsidR="005A7902" w:rsidRDefault="00835824" w:rsidP="00B220A5">
      <w:pPr>
        <w:pStyle w:val="Title"/>
      </w:pPr>
      <w:r w:rsidRPr="00835824">
        <w:t>Delivery of high-quality services</w:t>
      </w:r>
    </w:p>
    <w:p w14:paraId="5B49B640" w14:textId="77777777" w:rsidR="002C2D43" w:rsidRPr="002C2D43" w:rsidRDefault="002C2D43" w:rsidP="002C2D43">
      <w:pPr>
        <w:spacing w:after="160"/>
        <w:rPr>
          <w:rStyle w:val="Strong"/>
        </w:rPr>
      </w:pPr>
      <w:r w:rsidRPr="002C2D43">
        <w:rPr>
          <w:rStyle w:val="Strong"/>
        </w:rPr>
        <w:t>The new service model will deliver high-quality support across all streams, tailored to participants’ needs and recognising their distance from the labour market. This includes services delivered by the Australian Public Service.</w:t>
      </w:r>
    </w:p>
    <w:p w14:paraId="73E7A580" w14:textId="77777777" w:rsidR="002C2D43" w:rsidRPr="002C2D43" w:rsidRDefault="002C2D43" w:rsidP="002C2D43">
      <w:pPr>
        <w:pStyle w:val="Heading2"/>
        <w:rPr>
          <w:rFonts w:eastAsia="Aptos"/>
        </w:rPr>
      </w:pPr>
      <w:r w:rsidRPr="002C2D43">
        <w:rPr>
          <w:rFonts w:eastAsia="Aptos"/>
        </w:rPr>
        <w:t>What is changing</w:t>
      </w:r>
    </w:p>
    <w:p w14:paraId="18C52540" w14:textId="2C8C83DF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Fonts w:eastAsia="Aptos" w:cs="Aptos"/>
        </w:rPr>
        <w:t>Building on the introduction of the three service streams, the new model will also focus on high</w:t>
      </w:r>
      <w:r w:rsidR="00E1216A">
        <w:rPr>
          <w:rFonts w:eastAsia="Aptos" w:cs="Aptos"/>
        </w:rPr>
        <w:noBreakHyphen/>
      </w:r>
      <w:r w:rsidRPr="002C2D43">
        <w:rPr>
          <w:rFonts w:eastAsia="Aptos" w:cs="Aptos"/>
        </w:rPr>
        <w:t>quality servicing.</w:t>
      </w:r>
    </w:p>
    <w:p w14:paraId="5E32C491" w14:textId="77777777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Style w:val="Strong"/>
        </w:rPr>
        <w:t>Frontline staff capability -</w:t>
      </w:r>
      <w:r w:rsidRPr="002C2D43">
        <w:rPr>
          <w:rFonts w:eastAsia="Aptos" w:cs="Aptos"/>
          <w:b/>
          <w:bCs/>
        </w:rPr>
        <w:t xml:space="preserve"> </w:t>
      </w:r>
      <w:r w:rsidRPr="002C2D43">
        <w:rPr>
          <w:rFonts w:eastAsia="Aptos" w:cs="Aptos"/>
        </w:rPr>
        <w:t>Frontline staff will play a more active role in guiding people through services and connecting them with relevant supports and employment opportunities.</w:t>
      </w:r>
    </w:p>
    <w:p w14:paraId="5CABD0FB" w14:textId="26AB84FA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Style w:val="Strong"/>
        </w:rPr>
        <w:t>Greater focus on what people need –</w:t>
      </w:r>
      <w:r w:rsidRPr="002C2D43">
        <w:rPr>
          <w:rFonts w:eastAsia="Aptos" w:cs="Aptos"/>
          <w:b/>
          <w:bCs/>
        </w:rPr>
        <w:t xml:space="preserve"> </w:t>
      </w:r>
      <w:r w:rsidR="00EC5D0B">
        <w:rPr>
          <w:rFonts w:eastAsia="Aptos" w:cs="Aptos"/>
        </w:rPr>
        <w:t>T</w:t>
      </w:r>
      <w:r w:rsidRPr="002C2D43">
        <w:rPr>
          <w:rFonts w:eastAsia="Aptos" w:cs="Aptos"/>
        </w:rPr>
        <w:t>he new Employment Goal Plan will bring together a</w:t>
      </w:r>
      <w:r w:rsidR="00E1216A">
        <w:rPr>
          <w:rFonts w:eastAsia="Aptos" w:cs="Aptos"/>
        </w:rPr>
        <w:t> </w:t>
      </w:r>
      <w:r w:rsidRPr="002C2D43">
        <w:rPr>
          <w:rFonts w:eastAsia="Aptos" w:cs="Aptos"/>
        </w:rPr>
        <w:t xml:space="preserve">person’s employment goals, activities and mutual obligation requirements. The Plan will provide a clear servicing strategy to support participants into work.  </w:t>
      </w:r>
    </w:p>
    <w:p w14:paraId="467D1303" w14:textId="77777777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Style w:val="Strong"/>
        </w:rPr>
        <w:t>Better connections to other services –</w:t>
      </w:r>
      <w:r w:rsidRPr="002C2D43">
        <w:rPr>
          <w:rFonts w:eastAsia="Aptos" w:cs="Aptos"/>
          <w:b/>
          <w:bCs/>
        </w:rPr>
        <w:t xml:space="preserve"> </w:t>
      </w:r>
      <w:r w:rsidRPr="002C2D43">
        <w:rPr>
          <w:rFonts w:eastAsia="Aptos" w:cs="Aptos"/>
        </w:rPr>
        <w:t xml:space="preserve">Stronger connections between employment services and other local services will be established to ensure the participants have access to most relevant supports to help them overcome barriers to employment. </w:t>
      </w:r>
    </w:p>
    <w:p w14:paraId="474F2E29" w14:textId="76BDC968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Style w:val="Strong"/>
        </w:rPr>
        <w:t>Provider incentives</w:t>
      </w:r>
      <w:r w:rsidR="00EC5D0B" w:rsidRPr="002C2D43">
        <w:rPr>
          <w:rStyle w:val="Strong"/>
        </w:rPr>
        <w:t xml:space="preserve"> –</w:t>
      </w:r>
      <w:r w:rsidR="00EC5D0B" w:rsidRPr="002C2D43">
        <w:rPr>
          <w:rFonts w:eastAsia="Aptos" w:cs="Aptos"/>
          <w:b/>
          <w:bCs/>
        </w:rPr>
        <w:t xml:space="preserve"> </w:t>
      </w:r>
      <w:r w:rsidRPr="002C2D43">
        <w:rPr>
          <w:rFonts w:eastAsia="Aptos" w:cs="Aptos"/>
        </w:rPr>
        <w:t>Provider</w:t>
      </w:r>
      <w:r w:rsidRPr="002C2D43">
        <w:rPr>
          <w:rFonts w:eastAsia="Aptos" w:cs="Aptos"/>
        </w:rPr>
        <w:noBreakHyphen/>
        <w:t>delivered services will have incentive settings focused on high</w:t>
      </w:r>
      <w:r w:rsidRPr="002C2D43">
        <w:rPr>
          <w:rFonts w:eastAsia="Aptos" w:cs="Aptos"/>
        </w:rPr>
        <w:noBreakHyphen/>
        <w:t>quality servicing. This will differ across streams to reflect participants’ support needs.</w:t>
      </w:r>
    </w:p>
    <w:p w14:paraId="43AAAD17" w14:textId="77777777" w:rsidR="002C2D43" w:rsidRPr="002C2D43" w:rsidRDefault="002C2D43" w:rsidP="002C2D43">
      <w:pPr>
        <w:pStyle w:val="Heading2"/>
        <w:rPr>
          <w:rFonts w:eastAsia="Aptos"/>
        </w:rPr>
      </w:pPr>
      <w:r w:rsidRPr="002C2D43">
        <w:rPr>
          <w:rFonts w:eastAsia="Aptos"/>
        </w:rPr>
        <w:t>Why this change is needed</w:t>
      </w:r>
    </w:p>
    <w:p w14:paraId="05BF2F2A" w14:textId="77777777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Fonts w:eastAsia="Aptos" w:cs="Aptos"/>
        </w:rPr>
        <w:t xml:space="preserve">People in employment services are highly diverse and often have a range of interconnected needs, including education and skills, health, disability, housing, caring responsibilities, language, transport or social support. </w:t>
      </w:r>
    </w:p>
    <w:p w14:paraId="12810FA3" w14:textId="77777777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Fonts w:eastAsia="Aptos" w:cs="Aptos"/>
        </w:rPr>
        <w:t>For some participants, progress towards employment depends on having multiple needs addressed at the same time, rather than through employment services in isolation.</w:t>
      </w:r>
    </w:p>
    <w:p w14:paraId="7C41AE96" w14:textId="77777777" w:rsidR="002C2D43" w:rsidRPr="002C2D43" w:rsidRDefault="002C2D43" w:rsidP="002C2D43">
      <w:pPr>
        <w:spacing w:after="160"/>
        <w:rPr>
          <w:rFonts w:eastAsia="Aptos" w:cs="Aptos"/>
        </w:rPr>
      </w:pPr>
      <w:r w:rsidRPr="002C2D43">
        <w:rPr>
          <w:rFonts w:eastAsia="Aptos" w:cs="Aptos"/>
        </w:rPr>
        <w:t>Ensuring all frontline staff and provider organisations have the incentives, capability and connections to respond to the diverse needs of participants will give us a high-quality employment service into the future.</w:t>
      </w:r>
    </w:p>
    <w:p w14:paraId="5ECFD84E" w14:textId="2C9BE687" w:rsidR="00835824" w:rsidRDefault="00835824" w:rsidP="002C2D43">
      <w:pPr>
        <w:spacing w:after="160"/>
        <w:rPr>
          <w:rFonts w:eastAsia="Aptos" w:cs="Aptos"/>
          <w:b/>
          <w:bCs/>
        </w:rPr>
      </w:pPr>
    </w:p>
    <w:sectPr w:rsidR="00835824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FADD" w14:textId="77777777" w:rsidR="00146B87" w:rsidRDefault="00146B87" w:rsidP="0051352E">
      <w:pPr>
        <w:spacing w:after="0" w:line="240" w:lineRule="auto"/>
      </w:pPr>
      <w:r>
        <w:separator/>
      </w:r>
    </w:p>
  </w:endnote>
  <w:endnote w:type="continuationSeparator" w:id="0">
    <w:p w14:paraId="2E895EB5" w14:textId="77777777" w:rsidR="00146B87" w:rsidRDefault="00146B87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8F84" w14:textId="77777777" w:rsidR="00146B87" w:rsidRDefault="00146B87" w:rsidP="0051352E">
      <w:pPr>
        <w:spacing w:after="0" w:line="240" w:lineRule="auto"/>
      </w:pPr>
      <w:r>
        <w:separator/>
      </w:r>
    </w:p>
  </w:footnote>
  <w:footnote w:type="continuationSeparator" w:id="0">
    <w:p w14:paraId="1F4004A3" w14:textId="77777777" w:rsidR="00146B87" w:rsidRDefault="00146B87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19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100EB8"/>
    <w:rsid w:val="00111085"/>
    <w:rsid w:val="00112C14"/>
    <w:rsid w:val="00117110"/>
    <w:rsid w:val="00122E94"/>
    <w:rsid w:val="00133EBA"/>
    <w:rsid w:val="00140A92"/>
    <w:rsid w:val="00146B87"/>
    <w:rsid w:val="00155FF0"/>
    <w:rsid w:val="00157F35"/>
    <w:rsid w:val="00197B31"/>
    <w:rsid w:val="001B0B9A"/>
    <w:rsid w:val="00217EAB"/>
    <w:rsid w:val="0022498C"/>
    <w:rsid w:val="0022626C"/>
    <w:rsid w:val="00265916"/>
    <w:rsid w:val="002724D0"/>
    <w:rsid w:val="002A7840"/>
    <w:rsid w:val="002B1CE5"/>
    <w:rsid w:val="002C2D43"/>
    <w:rsid w:val="002F4DB3"/>
    <w:rsid w:val="00350FFA"/>
    <w:rsid w:val="003622C7"/>
    <w:rsid w:val="00382F07"/>
    <w:rsid w:val="003A2EFF"/>
    <w:rsid w:val="003D6224"/>
    <w:rsid w:val="003D7E58"/>
    <w:rsid w:val="003F0286"/>
    <w:rsid w:val="004064D7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444DB"/>
    <w:rsid w:val="0055569D"/>
    <w:rsid w:val="00583FF6"/>
    <w:rsid w:val="00596A88"/>
    <w:rsid w:val="005A7902"/>
    <w:rsid w:val="005D15A9"/>
    <w:rsid w:val="005D7CE7"/>
    <w:rsid w:val="00610A38"/>
    <w:rsid w:val="006265CD"/>
    <w:rsid w:val="00630DD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5824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C2572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220A5"/>
    <w:rsid w:val="00B456C5"/>
    <w:rsid w:val="00B46919"/>
    <w:rsid w:val="00B54110"/>
    <w:rsid w:val="00B6689D"/>
    <w:rsid w:val="00B72368"/>
    <w:rsid w:val="00B937E2"/>
    <w:rsid w:val="00BA04E1"/>
    <w:rsid w:val="00C13367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216A"/>
    <w:rsid w:val="00E14881"/>
    <w:rsid w:val="00E36EF8"/>
    <w:rsid w:val="00E67289"/>
    <w:rsid w:val="00E9345D"/>
    <w:rsid w:val="00E93617"/>
    <w:rsid w:val="00EA32F7"/>
    <w:rsid w:val="00EB63C4"/>
    <w:rsid w:val="00EC5D0B"/>
    <w:rsid w:val="00EC6A53"/>
    <w:rsid w:val="00EE5EEB"/>
    <w:rsid w:val="00EF102A"/>
    <w:rsid w:val="00F230CD"/>
    <w:rsid w:val="00F51C18"/>
    <w:rsid w:val="00F75496"/>
    <w:rsid w:val="00FA31E2"/>
    <w:rsid w:val="00FB6477"/>
    <w:rsid w:val="00FF2204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1216A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1216A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E1216A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E1216A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of high-quality services</dc:title>
  <dc:subject/>
  <dc:creator/>
  <cp:keywords/>
  <dc:description/>
  <cp:lastModifiedBy/>
  <cp:revision>1</cp:revision>
  <dcterms:created xsi:type="dcterms:W3CDTF">2026-05-27T00:19:00Z</dcterms:created>
  <dcterms:modified xsi:type="dcterms:W3CDTF">2026-05-27T00:19:00Z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2026-05-27T00:19:53Z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bae62287-b436-4ed7-a7c3-11f2e505bcdc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