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687408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278CB10A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or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orm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10F2366D" w14:textId="77777777" w:rsidR="00EC6A53" w:rsidRDefault="00C7081F" w:rsidP="00122E94">
          <w:pPr>
            <w:spacing w:before="100" w:beforeAutospacing="1" w:after="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34B24559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91D6054" w14:textId="26186CAE" w:rsidR="00432D33" w:rsidRDefault="00432D33" w:rsidP="00122E94">
      <w:pPr>
        <w:spacing w:before="100" w:beforeAutospacing="1" w:after="0"/>
        <w:sectPr w:rsidR="00432D33" w:rsidSect="00DE0402">
          <w:footerReference w:type="default" r:id="rId10"/>
          <w:footerReference w:type="first" r:id="rId11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7CA42E87" w14:textId="40E6984F" w:rsidR="00432D33" w:rsidRDefault="00F92FC6" w:rsidP="00DF6238">
      <w:pPr>
        <w:pStyle w:val="Title"/>
      </w:pPr>
      <w:r>
        <w:t xml:space="preserve">Service </w:t>
      </w:r>
      <w:r w:rsidR="001E47E2">
        <w:t>e</w:t>
      </w:r>
      <w:r>
        <w:t>lements</w:t>
      </w:r>
    </w:p>
    <w:p w14:paraId="3080A08A" w14:textId="35CF278B" w:rsidR="00F92FC6" w:rsidRPr="00F92FC6" w:rsidRDefault="00F92FC6" w:rsidP="00F92FC6">
      <w:pPr>
        <w:spacing w:after="200"/>
      </w:pPr>
      <w:r w:rsidRPr="00F92FC6">
        <w:t>Several service elements in employment services will be reformed to support the delivery of</w:t>
      </w:r>
      <w:r w:rsidR="003540A4">
        <w:t> </w:t>
      </w:r>
      <w:r w:rsidRPr="00F92FC6">
        <w:t xml:space="preserve">high-quality, tailored services. </w:t>
      </w:r>
    </w:p>
    <w:p w14:paraId="519BA234" w14:textId="77777777" w:rsidR="00F92FC6" w:rsidRPr="00F92FC6" w:rsidRDefault="00F92FC6" w:rsidP="00F92FC6">
      <w:pPr>
        <w:pStyle w:val="Heading2"/>
      </w:pPr>
      <w:r w:rsidRPr="00F92FC6">
        <w:t>What is changing</w:t>
      </w:r>
    </w:p>
    <w:p w14:paraId="5AAA7716" w14:textId="77777777" w:rsidR="00F92FC6" w:rsidRPr="00F92FC6" w:rsidRDefault="00F92FC6" w:rsidP="00F92FC6">
      <w:pPr>
        <w:spacing w:after="200"/>
        <w:rPr>
          <w:u w:val="single"/>
        </w:rPr>
      </w:pPr>
      <w:r w:rsidRPr="00F92FC6">
        <w:t>Reformed service elements include:</w:t>
      </w:r>
    </w:p>
    <w:p w14:paraId="58A76ACC" w14:textId="6BC13A7B" w:rsidR="00F92FC6" w:rsidRPr="00F92FC6" w:rsidRDefault="00F92FC6" w:rsidP="00F92FC6">
      <w:pPr>
        <w:spacing w:after="200"/>
        <w:rPr>
          <w:spacing w:val="-4"/>
        </w:rPr>
      </w:pPr>
      <w:r w:rsidRPr="00F92FC6">
        <w:rPr>
          <w:rStyle w:val="Strong"/>
          <w:spacing w:val="-4"/>
        </w:rPr>
        <w:t>New assessment and triaging process</w:t>
      </w:r>
      <w:r w:rsidRPr="00F92FC6">
        <w:rPr>
          <w:b/>
          <w:bCs/>
          <w:spacing w:val="-4"/>
        </w:rPr>
        <w:t xml:space="preserve"> </w:t>
      </w:r>
      <w:r w:rsidRPr="00F92FC6">
        <w:rPr>
          <w:spacing w:val="-4"/>
        </w:rPr>
        <w:t>will be designed to improve people’s experience of entering the system. The pathway from entry to services will be simplified. Information gathered will also inform the activities a person will undertake and how they are serviced.</w:t>
      </w:r>
    </w:p>
    <w:p w14:paraId="29B8EBDA" w14:textId="289034F9" w:rsidR="00F92FC6" w:rsidRPr="00F92FC6" w:rsidRDefault="00F92FC6" w:rsidP="00F92FC6">
      <w:pPr>
        <w:spacing w:after="200"/>
        <w:rPr>
          <w:spacing w:val="-4"/>
        </w:rPr>
      </w:pPr>
      <w:r w:rsidRPr="00F92FC6">
        <w:rPr>
          <w:rStyle w:val="Strong"/>
          <w:spacing w:val="-4"/>
        </w:rPr>
        <w:t>A new Employment Goal Plan</w:t>
      </w:r>
      <w:r w:rsidRPr="00F92FC6">
        <w:rPr>
          <w:b/>
          <w:bCs/>
          <w:spacing w:val="-4"/>
        </w:rPr>
        <w:t xml:space="preserve"> </w:t>
      </w:r>
      <w:r w:rsidRPr="00F92FC6">
        <w:rPr>
          <w:spacing w:val="-4"/>
        </w:rPr>
        <w:t>will be introduced to replace the Job</w:t>
      </w:r>
      <w:r w:rsidR="003540A4">
        <w:rPr>
          <w:spacing w:val="-4"/>
        </w:rPr>
        <w:t> </w:t>
      </w:r>
      <w:r w:rsidRPr="00F92FC6">
        <w:rPr>
          <w:spacing w:val="-4"/>
        </w:rPr>
        <w:t>Plan. The Employment Goal Plan will bring together a person’s employment goals, activities and</w:t>
      </w:r>
      <w:r w:rsidR="003540A4">
        <w:rPr>
          <w:spacing w:val="-4"/>
        </w:rPr>
        <w:t> </w:t>
      </w:r>
      <w:r w:rsidRPr="00F92FC6">
        <w:rPr>
          <w:spacing w:val="-4"/>
        </w:rPr>
        <w:t xml:space="preserve">mutual obligation requirements into a clear servicing strategy to support them move into work. </w:t>
      </w:r>
    </w:p>
    <w:p w14:paraId="1A344F4D" w14:textId="47CA3BBE" w:rsidR="00106A84" w:rsidRDefault="00F92FC6" w:rsidP="00F92FC6">
      <w:pPr>
        <w:spacing w:after="200"/>
      </w:pPr>
      <w:r w:rsidRPr="00F92FC6">
        <w:rPr>
          <w:rStyle w:val="Strong"/>
        </w:rPr>
        <w:t>A new approach to mutual obligations</w:t>
      </w:r>
      <w:r w:rsidRPr="00F92FC6">
        <w:rPr>
          <w:b/>
          <w:bCs/>
        </w:rPr>
        <w:t xml:space="preserve"> </w:t>
      </w:r>
      <w:r w:rsidRPr="00F92FC6">
        <w:t>will support people into work. Mutual obligation</w:t>
      </w:r>
      <w:r w:rsidR="0078021C">
        <w:t>s</w:t>
      </w:r>
      <w:r w:rsidRPr="00F92FC6">
        <w:t xml:space="preserve"> settings will encourage meaningful engagement and be calibrated to a person’s distance from the labour market and designed to be more effective in getting participants into suitable work</w:t>
      </w:r>
      <w:r w:rsidR="00106A84">
        <w:t>.</w:t>
      </w:r>
      <w:r w:rsidRPr="00F92FC6">
        <w:t xml:space="preserve"> </w:t>
      </w:r>
    </w:p>
    <w:p w14:paraId="2AB02342" w14:textId="77777777" w:rsidR="00106A84" w:rsidRDefault="00F92FC6" w:rsidP="00F92FC6">
      <w:pPr>
        <w:spacing w:after="200"/>
        <w:rPr>
          <w:spacing w:val="-4"/>
        </w:rPr>
      </w:pPr>
      <w:r w:rsidRPr="00F92FC6">
        <w:rPr>
          <w:rStyle w:val="Strong"/>
          <w:spacing w:val="-4"/>
        </w:rPr>
        <w:t>Engagement with employers</w:t>
      </w:r>
      <w:r w:rsidRPr="00F92FC6">
        <w:rPr>
          <w:spacing w:val="-4"/>
        </w:rPr>
        <w:t> will be simplified so employment services can meet workforce demands of employers. Employers will be supported to lift recruitment and retention capabilities.</w:t>
      </w:r>
    </w:p>
    <w:p w14:paraId="479FF3AB" w14:textId="029F0C86" w:rsidR="00F92FC6" w:rsidRPr="00F92FC6" w:rsidRDefault="00F92FC6" w:rsidP="00F92FC6">
      <w:pPr>
        <w:spacing w:after="200"/>
        <w:rPr>
          <w:spacing w:val="-4"/>
        </w:rPr>
      </w:pPr>
      <w:r w:rsidRPr="00F92FC6">
        <w:rPr>
          <w:rStyle w:val="Strong"/>
        </w:rPr>
        <w:t>Clearer expectations on providers</w:t>
      </w:r>
      <w:r w:rsidRPr="00F92FC6">
        <w:t> to deliver high-quality personalised services for participants, including empowering user choice and agency in the supports they receive. </w:t>
      </w:r>
    </w:p>
    <w:p w14:paraId="5E53C8C0" w14:textId="3F4D0F32" w:rsidR="00F92FC6" w:rsidRPr="00F92FC6" w:rsidRDefault="00F92FC6" w:rsidP="00F92FC6">
      <w:pPr>
        <w:spacing w:after="200"/>
      </w:pPr>
      <w:r w:rsidRPr="00F92FC6">
        <w:rPr>
          <w:rStyle w:val="Strong"/>
        </w:rPr>
        <w:t>Redesigned provider incentive settings</w:t>
      </w:r>
      <w:r w:rsidRPr="00F92FC6">
        <w:t xml:space="preserve"> including consideration of blended funding models to</w:t>
      </w:r>
      <w:r w:rsidR="003540A4">
        <w:t> </w:t>
      </w:r>
      <w:r w:rsidRPr="00F92FC6">
        <w:t>reflect caseload, risk and achievement of longer-term employment outcomes. </w:t>
      </w:r>
    </w:p>
    <w:p w14:paraId="4F496197" w14:textId="77777777" w:rsidR="00F92FC6" w:rsidRPr="00F92FC6" w:rsidRDefault="00F92FC6" w:rsidP="00F92FC6">
      <w:pPr>
        <w:spacing w:after="200"/>
      </w:pPr>
      <w:r w:rsidRPr="00F92FC6">
        <w:rPr>
          <w:rStyle w:val="Strong"/>
        </w:rPr>
        <w:t>Improved commissioning</w:t>
      </w:r>
      <w:r w:rsidRPr="00F92FC6">
        <w:t> to lift provider diversity, capability, experience, and local labour market connections. There will continue to be a role for traditional employment services providers however there is a need to diversify the service delivery landscape. </w:t>
      </w:r>
    </w:p>
    <w:p w14:paraId="4D31B0A7" w14:textId="77777777" w:rsidR="00F92FC6" w:rsidRPr="00F92FC6" w:rsidRDefault="00F92FC6" w:rsidP="00F92FC6">
      <w:pPr>
        <w:pStyle w:val="Heading2"/>
      </w:pPr>
      <w:r w:rsidRPr="00F92FC6">
        <w:t>Why these changes are needed</w:t>
      </w:r>
    </w:p>
    <w:p w14:paraId="2E398ED1" w14:textId="43864FEC" w:rsidR="00812472" w:rsidRPr="00432D33" w:rsidRDefault="00F92FC6" w:rsidP="00DF6238">
      <w:pPr>
        <w:spacing w:after="200"/>
      </w:pPr>
      <w:r w:rsidRPr="00F92FC6">
        <w:t>Reforms to these service elements will address gaps in the current service. The current system</w:t>
      </w:r>
      <w:r w:rsidR="003540A4">
        <w:t> </w:t>
      </w:r>
      <w:r w:rsidRPr="00F92FC6">
        <w:t>is not agile enough to respond to diverse participant needs and instead delivers a</w:t>
      </w:r>
      <w:r w:rsidR="003540A4">
        <w:t> </w:t>
      </w:r>
      <w:r w:rsidRPr="00F92FC6">
        <w:t>one</w:t>
      </w:r>
      <w:r w:rsidR="003540A4">
        <w:noBreakHyphen/>
      </w:r>
      <w:r w:rsidRPr="00F92FC6">
        <w:t>size</w:t>
      </w:r>
      <w:r w:rsidR="003540A4">
        <w:noBreakHyphen/>
      </w:r>
      <w:r w:rsidRPr="00F92FC6">
        <w:t>fits</w:t>
      </w:r>
      <w:r w:rsidR="003540A4">
        <w:noBreakHyphen/>
      </w:r>
      <w:r w:rsidRPr="00F92FC6">
        <w:t>all approach with inconsistent service quality.</w:t>
      </w:r>
    </w:p>
    <w:sectPr w:rsidR="00812472" w:rsidRPr="00432D33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9478" w14:textId="77777777" w:rsidR="00687408" w:rsidRDefault="00687408" w:rsidP="0051352E">
      <w:pPr>
        <w:spacing w:after="0" w:line="240" w:lineRule="auto"/>
      </w:pPr>
      <w:r>
        <w:separator/>
      </w:r>
    </w:p>
  </w:endnote>
  <w:endnote w:type="continuationSeparator" w:id="0">
    <w:p w14:paraId="29309E65" w14:textId="77777777" w:rsidR="00687408" w:rsidRDefault="00687408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6AF3" w14:textId="77777777" w:rsidR="00687408" w:rsidRDefault="00687408" w:rsidP="0051352E">
      <w:pPr>
        <w:spacing w:after="0" w:line="240" w:lineRule="auto"/>
      </w:pPr>
      <w:r>
        <w:separator/>
      </w:r>
    </w:p>
  </w:footnote>
  <w:footnote w:type="continuationSeparator" w:id="0">
    <w:p w14:paraId="579FB7D8" w14:textId="77777777" w:rsidR="00687408" w:rsidRDefault="00687408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7C4790"/>
    <w:multiLevelType w:val="hybridMultilevel"/>
    <w:tmpl w:val="2A54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18"/>
  </w:num>
  <w:num w:numId="19" w16cid:durableId="1717700735">
    <w:abstractNumId w:val="19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  <w:num w:numId="23" w16cid:durableId="14826937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3210B"/>
    <w:rsid w:val="000339A2"/>
    <w:rsid w:val="00042F07"/>
    <w:rsid w:val="00052BBC"/>
    <w:rsid w:val="00067075"/>
    <w:rsid w:val="00085EBA"/>
    <w:rsid w:val="00087C31"/>
    <w:rsid w:val="000A3ECA"/>
    <w:rsid w:val="000A453D"/>
    <w:rsid w:val="00100EB8"/>
    <w:rsid w:val="00106A84"/>
    <w:rsid w:val="00111085"/>
    <w:rsid w:val="00117110"/>
    <w:rsid w:val="00122E94"/>
    <w:rsid w:val="00133EBA"/>
    <w:rsid w:val="00140A92"/>
    <w:rsid w:val="00155FF0"/>
    <w:rsid w:val="00157F35"/>
    <w:rsid w:val="00197B31"/>
    <w:rsid w:val="001B0B9A"/>
    <w:rsid w:val="001E47E2"/>
    <w:rsid w:val="00217EAB"/>
    <w:rsid w:val="0022498C"/>
    <w:rsid w:val="0022626C"/>
    <w:rsid w:val="00265916"/>
    <w:rsid w:val="002724D0"/>
    <w:rsid w:val="00290CE0"/>
    <w:rsid w:val="002A7840"/>
    <w:rsid w:val="002B1CE5"/>
    <w:rsid w:val="002F4DB3"/>
    <w:rsid w:val="00327830"/>
    <w:rsid w:val="00350FFA"/>
    <w:rsid w:val="003540A4"/>
    <w:rsid w:val="00382F07"/>
    <w:rsid w:val="003A2EFF"/>
    <w:rsid w:val="003D7E58"/>
    <w:rsid w:val="003F0286"/>
    <w:rsid w:val="00414677"/>
    <w:rsid w:val="00432753"/>
    <w:rsid w:val="00432D33"/>
    <w:rsid w:val="00453C04"/>
    <w:rsid w:val="00474888"/>
    <w:rsid w:val="004774AD"/>
    <w:rsid w:val="00495658"/>
    <w:rsid w:val="00497764"/>
    <w:rsid w:val="004B43AE"/>
    <w:rsid w:val="00511396"/>
    <w:rsid w:val="0051352E"/>
    <w:rsid w:val="00517DA7"/>
    <w:rsid w:val="00520A33"/>
    <w:rsid w:val="00527AE4"/>
    <w:rsid w:val="00537E9E"/>
    <w:rsid w:val="0055569D"/>
    <w:rsid w:val="005874A4"/>
    <w:rsid w:val="00596A88"/>
    <w:rsid w:val="005D15A9"/>
    <w:rsid w:val="005D7CE7"/>
    <w:rsid w:val="00610A38"/>
    <w:rsid w:val="00630DDF"/>
    <w:rsid w:val="00653A50"/>
    <w:rsid w:val="00662A42"/>
    <w:rsid w:val="006835AE"/>
    <w:rsid w:val="00687408"/>
    <w:rsid w:val="006B0B39"/>
    <w:rsid w:val="006B1262"/>
    <w:rsid w:val="006D154E"/>
    <w:rsid w:val="006D72D1"/>
    <w:rsid w:val="006E5D6E"/>
    <w:rsid w:val="00704585"/>
    <w:rsid w:val="00705BAD"/>
    <w:rsid w:val="00721B03"/>
    <w:rsid w:val="00742937"/>
    <w:rsid w:val="00745FFC"/>
    <w:rsid w:val="007570DC"/>
    <w:rsid w:val="00770872"/>
    <w:rsid w:val="0078021C"/>
    <w:rsid w:val="007B1ABA"/>
    <w:rsid w:val="007B74C5"/>
    <w:rsid w:val="007C5DFD"/>
    <w:rsid w:val="00812472"/>
    <w:rsid w:val="00816E40"/>
    <w:rsid w:val="0083778B"/>
    <w:rsid w:val="00842C50"/>
    <w:rsid w:val="008479A8"/>
    <w:rsid w:val="008507C1"/>
    <w:rsid w:val="00861934"/>
    <w:rsid w:val="008B00B6"/>
    <w:rsid w:val="008B796D"/>
    <w:rsid w:val="008C4E63"/>
    <w:rsid w:val="008C6C1B"/>
    <w:rsid w:val="008C7397"/>
    <w:rsid w:val="008E22BA"/>
    <w:rsid w:val="008F0AC9"/>
    <w:rsid w:val="00900F7F"/>
    <w:rsid w:val="00912382"/>
    <w:rsid w:val="00927939"/>
    <w:rsid w:val="0093473D"/>
    <w:rsid w:val="00936BF0"/>
    <w:rsid w:val="00944ECC"/>
    <w:rsid w:val="00966B9B"/>
    <w:rsid w:val="009726CC"/>
    <w:rsid w:val="00972F57"/>
    <w:rsid w:val="00995280"/>
    <w:rsid w:val="009C2572"/>
    <w:rsid w:val="00A14B02"/>
    <w:rsid w:val="00A2143C"/>
    <w:rsid w:val="00A23E84"/>
    <w:rsid w:val="00A24E6E"/>
    <w:rsid w:val="00A43694"/>
    <w:rsid w:val="00A52ED5"/>
    <w:rsid w:val="00A56FC7"/>
    <w:rsid w:val="00A668BF"/>
    <w:rsid w:val="00A72575"/>
    <w:rsid w:val="00A74071"/>
    <w:rsid w:val="00A754E4"/>
    <w:rsid w:val="00A75FC1"/>
    <w:rsid w:val="00AA124A"/>
    <w:rsid w:val="00AA2A96"/>
    <w:rsid w:val="00AB5EF4"/>
    <w:rsid w:val="00B100CC"/>
    <w:rsid w:val="00B44BFF"/>
    <w:rsid w:val="00B456C5"/>
    <w:rsid w:val="00B46919"/>
    <w:rsid w:val="00B54110"/>
    <w:rsid w:val="00B6689D"/>
    <w:rsid w:val="00B72368"/>
    <w:rsid w:val="00B937E2"/>
    <w:rsid w:val="00BA04E1"/>
    <w:rsid w:val="00BF0D71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3BA4"/>
    <w:rsid w:val="00D06400"/>
    <w:rsid w:val="00D748A3"/>
    <w:rsid w:val="00DA1B7B"/>
    <w:rsid w:val="00DB1ACB"/>
    <w:rsid w:val="00DB79DF"/>
    <w:rsid w:val="00DE0402"/>
    <w:rsid w:val="00DE1D12"/>
    <w:rsid w:val="00DE77FE"/>
    <w:rsid w:val="00DF6238"/>
    <w:rsid w:val="00E02099"/>
    <w:rsid w:val="00E118C4"/>
    <w:rsid w:val="00E14881"/>
    <w:rsid w:val="00E36EF8"/>
    <w:rsid w:val="00E67289"/>
    <w:rsid w:val="00E9345D"/>
    <w:rsid w:val="00E93617"/>
    <w:rsid w:val="00EA32F7"/>
    <w:rsid w:val="00EB63C4"/>
    <w:rsid w:val="00EC6A53"/>
    <w:rsid w:val="00EE5EEB"/>
    <w:rsid w:val="00EF102A"/>
    <w:rsid w:val="00EF7BF7"/>
    <w:rsid w:val="00F230CD"/>
    <w:rsid w:val="00F51C18"/>
    <w:rsid w:val="00F92FC6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A84"/>
    <w:pPr>
      <w:spacing w:after="8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3540A4"/>
    <w:pPr>
      <w:spacing w:before="1680" w:after="240" w:line="600" w:lineRule="exact"/>
      <w:outlineLvl w:val="0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3540A4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Bullet Cab,Bulit List -  Paragraph,CV text,Dot pt,F5 List Paragraph,FooterText,L,List Paragraph1,List Paragraph11,List Paragraph111,List Paragraph2,Main numbered paragraph,Medium Grid 1 - Accent 21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3540A4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3540A4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  <w:style w:type="character" w:customStyle="1" w:styleId="ListParagraphChar">
    <w:name w:val="List Paragraph Char"/>
    <w:aliases w:val="CAB - List Bullet Char,List Bullet Cab Char,Bulit List -  Paragraph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432D33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elements</dc:title>
  <dc:subject/>
  <dc:creator/>
  <cp:keywords/>
  <dc:description/>
  <cp:lastModifiedBy/>
  <cp:revision>1</cp:revision>
  <dcterms:created xsi:type="dcterms:W3CDTF">2026-05-27T00:25:00Z</dcterms:created>
  <dcterms:modified xsi:type="dcterms:W3CDTF">2026-05-27T00:25:00Z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2026-05-27T00:25:19Z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dc32bcaa-edf2-4c45-92c6-3158c5938c3f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