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61B7" w14:textId="3558ABFC" w:rsidR="00067075" w:rsidRDefault="007B5E4E" w:rsidP="00E14881">
      <w:sdt>
        <w:sdtPr>
          <w:id w:val="48349803"/>
          <w:lock w:val="sdtContentLocked"/>
          <w:showingPlcHdr/>
          <w15:appearance w15:val="hidden"/>
          <w:picture/>
        </w:sdtPr>
        <w:sdtEndPr/>
        <w:sdtContent/>
      </w:sdt>
      <w:sdt>
        <w:sdtPr>
          <w:id w:val="1978328425"/>
          <w:lock w:val="sdtContentLocked"/>
          <w:showingPlcHdr/>
          <w15:appearance w15:val="hidden"/>
          <w:picture/>
        </w:sdtPr>
        <w:sdtEndPr/>
        <w:sdtContent>
          <w:r w:rsidR="00936BF0">
            <w:rPr>
              <w:noProof/>
            </w:rPr>
            <w:drawing>
              <wp:inline distT="0" distB="0" distL="0" distR="0" wp14:anchorId="3BDAF814" wp14:editId="1321B6BA">
                <wp:extent cx="2372559" cy="727075"/>
                <wp:effectExtent l="0" t="0" r="8890" b="0"/>
                <wp:docPr id="1" name="Picture 3" descr="Australian Government Department of Employment and Workplace Relations.&#10;&#10;Employment Services Refor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Australian Government Department of Employment and Workplace Relations.&#10;&#10;Employment Services Reform.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559" cy="727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-1175726244"/>
        <w:lock w:val="sdtContentLocked"/>
        <w:showingPlcHdr/>
        <w15:appearance w15:val="hidden"/>
        <w:picture/>
      </w:sdtPr>
      <w:sdtEndPr/>
      <w:sdtContent>
        <w:p w14:paraId="591D6054" w14:textId="5FD12341" w:rsidR="00432D33" w:rsidRDefault="00C7081F" w:rsidP="00122E94">
          <w:pPr>
            <w:spacing w:before="100" w:beforeAutospacing="1" w:after="0"/>
            <w:sectPr w:rsidR="00432D33" w:rsidSect="00DE0402">
              <w:footerReference w:type="default" r:id="rId9"/>
              <w:footerReference w:type="first" r:id="rId10"/>
              <w:type w:val="continuous"/>
              <w:pgSz w:w="11906" w:h="16838"/>
              <w:pgMar w:top="851" w:right="1418" w:bottom="1418" w:left="1418" w:header="0" w:footer="709" w:gutter="0"/>
              <w:cols w:space="708"/>
              <w:titlePg/>
              <w:docGrid w:linePitch="360"/>
            </w:sect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20E0BE8" wp14:editId="34B24559">
                <wp:simplePos x="0" y="0"/>
                <wp:positionH relativeFrom="page">
                  <wp:posOffset>-7619</wp:posOffset>
                </wp:positionH>
                <wp:positionV relativeFrom="page">
                  <wp:posOffset>0</wp:posOffset>
                </wp:positionV>
                <wp:extent cx="7577995" cy="2545351"/>
                <wp:effectExtent l="0" t="0" r="4445" b="7620"/>
                <wp:wrapNone/>
                <wp:docPr id="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7995" cy="2545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7CA42E87" w14:textId="3D7B82D0" w:rsidR="00432D33" w:rsidRDefault="003507C5" w:rsidP="001D790A">
      <w:pPr>
        <w:pStyle w:val="Title"/>
      </w:pPr>
      <w:r>
        <w:t>Questions and Answers</w:t>
      </w:r>
    </w:p>
    <w:p w14:paraId="576FA4AF" w14:textId="7CE64EA8" w:rsidR="0098542E" w:rsidRPr="003507C5" w:rsidRDefault="003507C5" w:rsidP="003507C5">
      <w:pPr>
        <w:pStyle w:val="Heading1"/>
        <w:rPr>
          <w:color w:val="0060A1" w:themeColor="accent1"/>
          <w:sz w:val="32"/>
        </w:rPr>
      </w:pPr>
      <w:r>
        <w:t>Why reform is needed</w:t>
      </w:r>
    </w:p>
    <w:p w14:paraId="6163FA9C" w14:textId="77777777" w:rsidR="003507C5" w:rsidRPr="003507C5" w:rsidRDefault="003507C5" w:rsidP="003507C5">
      <w:pPr>
        <w:pStyle w:val="Heading2"/>
      </w:pPr>
      <w:r w:rsidRPr="003507C5">
        <w:t xml:space="preserve">Why </w:t>
      </w:r>
      <w:proofErr w:type="gramStart"/>
      <w:r w:rsidRPr="003507C5">
        <w:t>is</w:t>
      </w:r>
      <w:proofErr w:type="gramEnd"/>
      <w:r w:rsidRPr="003507C5">
        <w:t xml:space="preserve"> the government reforming employment services?</w:t>
      </w:r>
    </w:p>
    <w:p w14:paraId="53922144" w14:textId="77777777" w:rsidR="003507C5" w:rsidRPr="003507C5" w:rsidRDefault="003507C5" w:rsidP="003507C5">
      <w:r w:rsidRPr="003507C5">
        <w:t xml:space="preserve">The Australian Government is reforming employment services to better meet the needs of individuals, employers, communities and the economy. </w:t>
      </w:r>
    </w:p>
    <w:p w14:paraId="28130B71" w14:textId="77777777" w:rsidR="003507C5" w:rsidRPr="003507C5" w:rsidRDefault="003507C5" w:rsidP="003507C5">
      <w:r w:rsidRPr="003507C5">
        <w:t xml:space="preserve">The current service relies on a one-size-fits-all approach to servicing that does not reflect the diverse needs of people or barriers to </w:t>
      </w:r>
      <w:proofErr w:type="gramStart"/>
      <w:r w:rsidRPr="003507C5">
        <w:t>work, and</w:t>
      </w:r>
      <w:proofErr w:type="gramEnd"/>
      <w:r w:rsidRPr="003507C5">
        <w:t xml:space="preserve"> does not effectively support employers to meet their workforce needs.</w:t>
      </w:r>
    </w:p>
    <w:p w14:paraId="7DAAAA71" w14:textId="77777777" w:rsidR="003507C5" w:rsidRDefault="003507C5" w:rsidP="003507C5">
      <w:r w:rsidRPr="003507C5">
        <w:t xml:space="preserve">Through reform, the government will create a system that is simpler, fairer and high quality, with employment as the primary goal. </w:t>
      </w:r>
    </w:p>
    <w:p w14:paraId="73CFF379" w14:textId="77777777" w:rsidR="003507C5" w:rsidRPr="003507C5" w:rsidRDefault="003507C5" w:rsidP="003507C5"/>
    <w:p w14:paraId="17599A54" w14:textId="77777777" w:rsidR="003507C5" w:rsidRPr="003507C5" w:rsidRDefault="003507C5" w:rsidP="003507C5">
      <w:pPr>
        <w:pStyle w:val="Heading2"/>
      </w:pPr>
      <w:r w:rsidRPr="003507C5">
        <w:t>How can stakeholders contribute to reforms?</w:t>
      </w:r>
    </w:p>
    <w:p w14:paraId="638243EF" w14:textId="77777777" w:rsidR="003507C5" w:rsidRPr="003507C5" w:rsidRDefault="003507C5" w:rsidP="003507C5">
      <w:r w:rsidRPr="003507C5">
        <w:t>The government has released a public discussion paper outlining the proposed framework for future employment services and is inviting stakeholders to provide feedback on its design.</w:t>
      </w:r>
    </w:p>
    <w:p w14:paraId="1775033D" w14:textId="77777777" w:rsidR="003507C5" w:rsidRPr="003507C5" w:rsidRDefault="003507C5" w:rsidP="003507C5">
      <w:r w:rsidRPr="003507C5">
        <w:t>Stakeholders are encouraged to respond to the questions in the paper and share their views on how to create a more responsive and effective system.</w:t>
      </w:r>
    </w:p>
    <w:p w14:paraId="7F0A05B6" w14:textId="508CFF2C" w:rsidR="003507C5" w:rsidRPr="003507C5" w:rsidRDefault="003507C5" w:rsidP="003507C5">
      <w:r w:rsidRPr="003507C5">
        <w:t xml:space="preserve">Stakeholders can provide submissions through the </w:t>
      </w:r>
      <w:hyperlink r:id="rId12" w:history="1">
        <w:r w:rsidRPr="006B23A7">
          <w:rPr>
            <w:rStyle w:val="Hyperlink"/>
          </w:rPr>
          <w:t>Consultation Hub</w:t>
        </w:r>
      </w:hyperlink>
      <w:r w:rsidRPr="003507C5">
        <w:t xml:space="preserve"> on the Department of Employment and Workplace Relations website. Submissions will help shape the final design of the new employment service. </w:t>
      </w:r>
    </w:p>
    <w:p w14:paraId="5442151F" w14:textId="7A52E131" w:rsidR="003507C5" w:rsidRDefault="0098542E" w:rsidP="0098542E">
      <w:r w:rsidRPr="0098542E">
        <w:t xml:space="preserve"> </w:t>
      </w:r>
    </w:p>
    <w:p w14:paraId="58961D8B" w14:textId="77777777" w:rsidR="003507C5" w:rsidRDefault="003507C5">
      <w:pPr>
        <w:spacing w:after="160" w:line="259" w:lineRule="auto"/>
      </w:pPr>
      <w:r>
        <w:br w:type="page"/>
      </w:r>
    </w:p>
    <w:p w14:paraId="47C985FF" w14:textId="71F315CA" w:rsidR="003507C5" w:rsidRPr="003507C5" w:rsidRDefault="003507C5" w:rsidP="003507C5">
      <w:pPr>
        <w:pStyle w:val="Heading1"/>
      </w:pPr>
      <w:r>
        <w:lastRenderedPageBreak/>
        <w:t>Engagement and implementation</w:t>
      </w:r>
    </w:p>
    <w:p w14:paraId="19266034" w14:textId="77777777" w:rsidR="003507C5" w:rsidRPr="003507C5" w:rsidRDefault="003507C5" w:rsidP="003507C5">
      <w:pPr>
        <w:pStyle w:val="Heading2"/>
      </w:pPr>
      <w:r w:rsidRPr="003507C5">
        <w:t>Who are you consulting as you design the system?</w:t>
      </w:r>
    </w:p>
    <w:p w14:paraId="70457930" w14:textId="77777777" w:rsidR="003507C5" w:rsidRPr="003507C5" w:rsidRDefault="003507C5" w:rsidP="003507C5">
      <w:r w:rsidRPr="003507C5">
        <w:rPr>
          <w:lang w:val="en-GB"/>
        </w:rPr>
        <w:t xml:space="preserve">Complementing community feedback on the discussion paper, the government is also undertaking targeted stakeholder engagement to inform the final design of the future employment service. </w:t>
      </w:r>
    </w:p>
    <w:p w14:paraId="34471F86" w14:textId="77777777" w:rsidR="003507C5" w:rsidRPr="003507C5" w:rsidRDefault="003507C5" w:rsidP="003507C5">
      <w:r w:rsidRPr="003507C5">
        <w:t>This includes:</w:t>
      </w:r>
    </w:p>
    <w:p w14:paraId="27911F8A" w14:textId="08F1DDFC" w:rsidR="003507C5" w:rsidRPr="003507C5" w:rsidRDefault="003507C5" w:rsidP="003507C5">
      <w:pPr>
        <w:pStyle w:val="ListBullet"/>
      </w:pPr>
      <w:r w:rsidRPr="003507C5">
        <w:t xml:space="preserve">A User Lived Experience Panel to ensure services reflect the experiences of people </w:t>
      </w:r>
      <w:r>
        <w:br/>
      </w:r>
      <w:r w:rsidRPr="003507C5">
        <w:t>who use them</w:t>
      </w:r>
    </w:p>
    <w:p w14:paraId="0573AC08" w14:textId="77777777" w:rsidR="003507C5" w:rsidRPr="003507C5" w:rsidRDefault="003507C5" w:rsidP="003507C5">
      <w:pPr>
        <w:pStyle w:val="ListBullet"/>
      </w:pPr>
      <w:r w:rsidRPr="003507C5">
        <w:rPr>
          <w:lang w:val="en-GB"/>
        </w:rPr>
        <w:t xml:space="preserve">Engagement with First Nations people and organisations to inform culturally appropriate design and delivery </w:t>
      </w:r>
    </w:p>
    <w:p w14:paraId="419B598A" w14:textId="77777777" w:rsidR="003507C5" w:rsidRPr="003507C5" w:rsidRDefault="003507C5" w:rsidP="003507C5">
      <w:pPr>
        <w:pStyle w:val="ListBullet"/>
      </w:pPr>
      <w:r w:rsidRPr="003507C5">
        <w:t xml:space="preserve">An Employment Services Advisory Group to provide expert advice </w:t>
      </w:r>
    </w:p>
    <w:p w14:paraId="7FC6EA88" w14:textId="41DDD23B" w:rsidR="003507C5" w:rsidRPr="003507C5" w:rsidRDefault="003507C5" w:rsidP="003507C5">
      <w:pPr>
        <w:pStyle w:val="ListBullet"/>
      </w:pPr>
      <w:r w:rsidRPr="003507C5">
        <w:t xml:space="preserve">Targeted engagement with communities and stakeholders on specific policy settings </w:t>
      </w:r>
      <w:r>
        <w:br/>
      </w:r>
      <w:r w:rsidRPr="003507C5">
        <w:t>and cohorts.</w:t>
      </w:r>
    </w:p>
    <w:p w14:paraId="0D2056B9" w14:textId="30CDF4EE" w:rsidR="003507C5" w:rsidRPr="003507C5" w:rsidRDefault="003507C5" w:rsidP="003507C5">
      <w:pPr>
        <w:pStyle w:val="Heading1"/>
      </w:pPr>
      <w:r>
        <w:t>Initial investments in the 2026-27 Budget</w:t>
      </w:r>
    </w:p>
    <w:p w14:paraId="2CABBFAA" w14:textId="77777777" w:rsidR="003507C5" w:rsidRPr="003507C5" w:rsidRDefault="003507C5" w:rsidP="003507C5">
      <w:pPr>
        <w:pStyle w:val="Heading2"/>
      </w:pPr>
      <w:r w:rsidRPr="003507C5">
        <w:t>What has the government announced in the 2026–27 Budget?</w:t>
      </w:r>
    </w:p>
    <w:p w14:paraId="53E4A909" w14:textId="77777777" w:rsidR="003507C5" w:rsidRPr="003507C5" w:rsidRDefault="003507C5" w:rsidP="003507C5">
      <w:pPr>
        <w:rPr>
          <w:lang w:val="en-GB"/>
        </w:rPr>
      </w:pPr>
      <w:r w:rsidRPr="003507C5">
        <w:rPr>
          <w:lang w:val="en-GB"/>
        </w:rPr>
        <w:t xml:space="preserve">The government has announced a $312.1 million package of measures to deliver early, significant changes to employment services and undertake detailed design work to develop the future employment service. </w:t>
      </w:r>
    </w:p>
    <w:p w14:paraId="063594AA" w14:textId="77777777" w:rsidR="003507C5" w:rsidRPr="003507C5" w:rsidRDefault="003507C5" w:rsidP="003507C5">
      <w:pPr>
        <w:rPr>
          <w:lang w:val="en-GB"/>
        </w:rPr>
      </w:pPr>
      <w:r w:rsidRPr="003507C5">
        <w:rPr>
          <w:lang w:val="en-GB"/>
        </w:rPr>
        <w:t>This includes:</w:t>
      </w:r>
    </w:p>
    <w:p w14:paraId="509501CB" w14:textId="77777777" w:rsidR="003507C5" w:rsidRPr="003507C5" w:rsidRDefault="003507C5" w:rsidP="003507C5">
      <w:pPr>
        <w:numPr>
          <w:ilvl w:val="0"/>
          <w:numId w:val="26"/>
        </w:numPr>
      </w:pPr>
      <w:r w:rsidRPr="003507C5">
        <w:t xml:space="preserve">$205.5 million over 5 years to take first steps towards a redesigned, participant-led online service. </w:t>
      </w:r>
    </w:p>
    <w:p w14:paraId="7F729FE2" w14:textId="77777777" w:rsidR="003507C5" w:rsidRPr="003507C5" w:rsidRDefault="003507C5" w:rsidP="003507C5">
      <w:pPr>
        <w:numPr>
          <w:ilvl w:val="0"/>
          <w:numId w:val="26"/>
        </w:numPr>
      </w:pPr>
      <w:r w:rsidRPr="003507C5">
        <w:t>$27.5 million over 4 years to develop and trial a new initial assessment and triaging process.</w:t>
      </w:r>
    </w:p>
    <w:p w14:paraId="6B6CAAD1" w14:textId="77777777" w:rsidR="003507C5" w:rsidRPr="003507C5" w:rsidRDefault="003507C5" w:rsidP="003507C5">
      <w:pPr>
        <w:numPr>
          <w:ilvl w:val="0"/>
          <w:numId w:val="26"/>
        </w:numPr>
      </w:pPr>
      <w:r w:rsidRPr="003507C5">
        <w:t>$52.6 million over 5 years to fund the early targeted rollout of a new intensive service, targeting those with complex barriers to work.</w:t>
      </w:r>
    </w:p>
    <w:p w14:paraId="42E20EBC" w14:textId="77777777" w:rsidR="003507C5" w:rsidRPr="003507C5" w:rsidRDefault="003507C5" w:rsidP="003507C5">
      <w:pPr>
        <w:numPr>
          <w:ilvl w:val="0"/>
          <w:numId w:val="26"/>
        </w:numPr>
      </w:pPr>
      <w:r w:rsidRPr="003507C5">
        <w:t>$26.5 million over 3 years to increase resourcing for the National Customer Service Line to support job seekers and employers.</w:t>
      </w:r>
    </w:p>
    <w:p w14:paraId="755C110B" w14:textId="4A4663F2" w:rsidR="003507C5" w:rsidRDefault="003507C5" w:rsidP="003507C5">
      <w:pPr>
        <w:rPr>
          <w:lang w:val="en-GB"/>
        </w:rPr>
      </w:pPr>
      <w:r w:rsidRPr="003507C5">
        <w:rPr>
          <w:lang w:val="en-GB"/>
        </w:rPr>
        <w:t xml:space="preserve">These investments are early, significant steps to change employment services delivery and build the foundations of the future system. </w:t>
      </w:r>
    </w:p>
    <w:p w14:paraId="09750B17" w14:textId="77777777" w:rsidR="003507C5" w:rsidRDefault="003507C5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806CF86" w14:textId="0E252BA1" w:rsidR="003507C5" w:rsidRPr="003507C5" w:rsidRDefault="003507C5" w:rsidP="003507C5">
      <w:pPr>
        <w:pStyle w:val="Heading1"/>
      </w:pPr>
      <w:r>
        <w:rPr>
          <w:lang w:val="en-GB"/>
        </w:rPr>
        <w:lastRenderedPageBreak/>
        <w:t>What will change for job seekers</w:t>
      </w:r>
    </w:p>
    <w:p w14:paraId="685443AF" w14:textId="77777777" w:rsidR="003507C5" w:rsidRPr="003507C5" w:rsidRDefault="003507C5" w:rsidP="003507C5">
      <w:pPr>
        <w:pStyle w:val="Heading2"/>
      </w:pPr>
      <w:r w:rsidRPr="003507C5">
        <w:t>How will the new service streams support participants to gain employment?</w:t>
      </w:r>
    </w:p>
    <w:p w14:paraId="03B58205" w14:textId="77777777" w:rsidR="003507C5" w:rsidRPr="003507C5" w:rsidRDefault="003507C5" w:rsidP="003507C5">
      <w:r w:rsidRPr="003507C5">
        <w:rPr>
          <w:lang w:val="en-GB"/>
        </w:rPr>
        <w:t xml:space="preserve">The new employment service will introduce three dedicated services streams to respond to the intensity of support a person needs. This means that people who use employment services will receive support that is better tailored to their needs. </w:t>
      </w:r>
    </w:p>
    <w:p w14:paraId="6549AD71" w14:textId="77777777" w:rsidR="003507C5" w:rsidRPr="003507C5" w:rsidRDefault="003507C5" w:rsidP="003507C5">
      <w:pPr>
        <w:numPr>
          <w:ilvl w:val="0"/>
          <w:numId w:val="25"/>
        </w:numPr>
        <w:rPr>
          <w:b/>
        </w:rPr>
      </w:pPr>
      <w:r w:rsidRPr="003507C5">
        <w:rPr>
          <w:b/>
          <w:bCs/>
        </w:rPr>
        <w:t>Online and brief intervention services</w:t>
      </w:r>
      <w:r w:rsidRPr="003507C5">
        <w:t xml:space="preserve"> for people closest to the labour market, who will receive targeted support and brief interventions, focused on rapid reconnection to employment.</w:t>
      </w:r>
    </w:p>
    <w:p w14:paraId="568FA7A9" w14:textId="77777777" w:rsidR="003507C5" w:rsidRPr="003507C5" w:rsidRDefault="003507C5" w:rsidP="003507C5">
      <w:pPr>
        <w:numPr>
          <w:ilvl w:val="0"/>
          <w:numId w:val="25"/>
        </w:numPr>
      </w:pPr>
      <w:r w:rsidRPr="003507C5">
        <w:rPr>
          <w:b/>
          <w:bCs/>
        </w:rPr>
        <w:t>Targeted provider services</w:t>
      </w:r>
      <w:r w:rsidRPr="003507C5">
        <w:t xml:space="preserve"> for people moderately close to the labour market. People will receive personalised servicing that is focused on active job coaching, employability support, skills development and short-term training opportunities. </w:t>
      </w:r>
    </w:p>
    <w:p w14:paraId="601FCF8A" w14:textId="77777777" w:rsidR="003507C5" w:rsidRPr="003507C5" w:rsidRDefault="003507C5" w:rsidP="003507C5">
      <w:pPr>
        <w:numPr>
          <w:ilvl w:val="0"/>
          <w:numId w:val="25"/>
        </w:numPr>
        <w:rPr>
          <w:b/>
        </w:rPr>
      </w:pPr>
      <w:r w:rsidRPr="003507C5">
        <w:rPr>
          <w:b/>
          <w:bCs/>
        </w:rPr>
        <w:t>Intensive services</w:t>
      </w:r>
      <w:r w:rsidRPr="003507C5">
        <w:t xml:space="preserve"> for people furthest the labour market. People will receive more intensive servicing to support participants to build their confidence, capability and work-readiness over time. </w:t>
      </w:r>
    </w:p>
    <w:p w14:paraId="4767DD6C" w14:textId="77777777" w:rsidR="003507C5" w:rsidRPr="003507C5" w:rsidRDefault="003507C5" w:rsidP="003507C5">
      <w:pPr>
        <w:rPr>
          <w:b/>
        </w:rPr>
      </w:pPr>
    </w:p>
    <w:p w14:paraId="3F69D679" w14:textId="77777777" w:rsidR="003507C5" w:rsidRPr="003507C5" w:rsidRDefault="003507C5" w:rsidP="003507C5">
      <w:pPr>
        <w:pStyle w:val="Heading2"/>
      </w:pPr>
      <w:r w:rsidRPr="003507C5">
        <w:t>How will people move between different levels of support?</w:t>
      </w:r>
    </w:p>
    <w:p w14:paraId="5A55A4AA" w14:textId="77777777" w:rsidR="003507C5" w:rsidRPr="003507C5" w:rsidRDefault="003507C5" w:rsidP="003507C5">
      <w:r w:rsidRPr="003507C5">
        <w:t>The new system will include reassessments to ensure people can move between service streams where appropriate, helping them stay connected to the level of support that best meets their needs.</w:t>
      </w:r>
    </w:p>
    <w:p w14:paraId="229AFD41" w14:textId="77777777" w:rsidR="003507C5" w:rsidRPr="003507C5" w:rsidRDefault="003507C5" w:rsidP="003507C5"/>
    <w:p w14:paraId="2EF264E1" w14:textId="77777777" w:rsidR="003507C5" w:rsidRPr="003507C5" w:rsidRDefault="003507C5" w:rsidP="003507C5">
      <w:pPr>
        <w:pStyle w:val="Heading2"/>
      </w:pPr>
      <w:r w:rsidRPr="003507C5">
        <w:t>How will the Employment Goal Plan work?</w:t>
      </w:r>
    </w:p>
    <w:p w14:paraId="2414E368" w14:textId="77777777" w:rsidR="003507C5" w:rsidRPr="003507C5" w:rsidRDefault="003507C5" w:rsidP="003507C5">
      <w:r w:rsidRPr="003507C5">
        <w:t>Employment service reforms will introduce the Employment Goal Plan to set out a clear, personalised pathway to work for each participant, aligned with jobs in their local area.</w:t>
      </w:r>
    </w:p>
    <w:p w14:paraId="5064D430" w14:textId="77777777" w:rsidR="003507C5" w:rsidRDefault="003507C5" w:rsidP="003507C5">
      <w:r w:rsidRPr="003507C5">
        <w:t xml:space="preserve">The plan will bring together a person’s employment goals, agreed activities and mutual obligation requirements. </w:t>
      </w:r>
      <w:r w:rsidRPr="003507C5">
        <w:rPr>
          <w:lang w:val="en-GB"/>
        </w:rPr>
        <w:t xml:space="preserve">For those in targeted provider services or intensive services, providers will work with participants to develop and maintain the Employment Goal Plan, </w:t>
      </w:r>
      <w:r w:rsidRPr="003507C5">
        <w:t>ensuring it is tailored to a participant’s individual circumstances and is updated regularly to remain relevant.</w:t>
      </w:r>
    </w:p>
    <w:p w14:paraId="1C91DC92" w14:textId="22C7980B" w:rsidR="003507C5" w:rsidRDefault="003507C5">
      <w:pPr>
        <w:spacing w:after="160" w:line="259" w:lineRule="auto"/>
      </w:pPr>
      <w:r>
        <w:br w:type="page"/>
      </w:r>
    </w:p>
    <w:p w14:paraId="472D133F" w14:textId="77777777" w:rsidR="003507C5" w:rsidRPr="003507C5" w:rsidRDefault="003507C5" w:rsidP="003507C5">
      <w:pPr>
        <w:pStyle w:val="Heading2"/>
      </w:pPr>
      <w:r w:rsidRPr="003507C5">
        <w:lastRenderedPageBreak/>
        <w:t>How will mutual obligations change?</w:t>
      </w:r>
    </w:p>
    <w:p w14:paraId="2748419D" w14:textId="77777777" w:rsidR="003507C5" w:rsidRPr="003507C5" w:rsidRDefault="003507C5" w:rsidP="003507C5">
      <w:r w:rsidRPr="003507C5">
        <w:rPr>
          <w:lang w:val="en-GB"/>
        </w:rPr>
        <w:t xml:space="preserve">The new employment service will introduce a different approach to mutual obligations, where requirements directly support movement towards or into employment. </w:t>
      </w:r>
    </w:p>
    <w:p w14:paraId="1A09E2D4" w14:textId="77777777" w:rsidR="003507C5" w:rsidRPr="003507C5" w:rsidRDefault="003507C5" w:rsidP="003507C5">
      <w:r w:rsidRPr="003507C5">
        <w:t xml:space="preserve"> Requirements will be:</w:t>
      </w:r>
    </w:p>
    <w:p w14:paraId="084F9ABD" w14:textId="77777777" w:rsidR="003507C5" w:rsidRPr="003507C5" w:rsidRDefault="003507C5" w:rsidP="003507C5">
      <w:pPr>
        <w:numPr>
          <w:ilvl w:val="0"/>
          <w:numId w:val="25"/>
        </w:numPr>
      </w:pPr>
      <w:r w:rsidRPr="003507C5">
        <w:t>tailored to individual circumstances and capacity</w:t>
      </w:r>
    </w:p>
    <w:p w14:paraId="70EFEF37" w14:textId="77777777" w:rsidR="003507C5" w:rsidRPr="003507C5" w:rsidRDefault="003507C5" w:rsidP="003507C5">
      <w:pPr>
        <w:numPr>
          <w:ilvl w:val="0"/>
          <w:numId w:val="25"/>
        </w:numPr>
      </w:pPr>
      <w:r w:rsidRPr="003507C5">
        <w:t>aligned to a person’s Employment Goal Plan</w:t>
      </w:r>
    </w:p>
    <w:p w14:paraId="3FB917C7" w14:textId="77777777" w:rsidR="003507C5" w:rsidRDefault="003507C5" w:rsidP="003507C5">
      <w:pPr>
        <w:numPr>
          <w:ilvl w:val="0"/>
          <w:numId w:val="25"/>
        </w:numPr>
      </w:pPr>
      <w:r w:rsidRPr="003507C5">
        <w:t>different across service streams, reflecting how ready a person is for a job.</w:t>
      </w:r>
    </w:p>
    <w:p w14:paraId="220CE6FE" w14:textId="77777777" w:rsidR="003507C5" w:rsidRPr="003507C5" w:rsidRDefault="003507C5" w:rsidP="003507C5"/>
    <w:p w14:paraId="3AD1FE71" w14:textId="77777777" w:rsidR="003507C5" w:rsidRPr="003507C5" w:rsidRDefault="003507C5" w:rsidP="003507C5">
      <w:pPr>
        <w:pStyle w:val="Heading2"/>
      </w:pPr>
      <w:r w:rsidRPr="003507C5">
        <w:t>Will services become mostly online?</w:t>
      </w:r>
    </w:p>
    <w:p w14:paraId="251B0407" w14:textId="77777777" w:rsidR="003507C5" w:rsidRPr="003507C5" w:rsidRDefault="003507C5" w:rsidP="003507C5">
      <w:r w:rsidRPr="003507C5">
        <w:t>No. The new online and brief interventions service will be for people who are ready and able to use it, while face-to-face provider delivered support will remain through the targeted provider services and intensive services streams for those who need more help.</w:t>
      </w:r>
    </w:p>
    <w:p w14:paraId="18764541" w14:textId="12106CF8" w:rsidR="003507C5" w:rsidRPr="003507C5" w:rsidRDefault="003507C5" w:rsidP="00FE3DB6">
      <w:pPr>
        <w:pStyle w:val="Heading1"/>
      </w:pPr>
      <w:r>
        <w:t>What will change for providers and service delivery partners?</w:t>
      </w:r>
    </w:p>
    <w:p w14:paraId="0C4B97BF" w14:textId="77777777" w:rsidR="003507C5" w:rsidRPr="003507C5" w:rsidRDefault="003507C5" w:rsidP="00FE3DB6">
      <w:pPr>
        <w:pStyle w:val="Heading2"/>
      </w:pPr>
      <w:r w:rsidRPr="003507C5">
        <w:t>How will provider roles and expectations change?</w:t>
      </w:r>
    </w:p>
    <w:p w14:paraId="4B0938A7" w14:textId="77777777" w:rsidR="003507C5" w:rsidRPr="003507C5" w:rsidRDefault="003507C5" w:rsidP="003507C5">
      <w:r w:rsidRPr="003507C5">
        <w:t xml:space="preserve">The new service will have clearer expectations on providers to deliver high-quality, personalised services and to actively support participants to progress towards and into employment. </w:t>
      </w:r>
    </w:p>
    <w:p w14:paraId="3BCF3656" w14:textId="77777777" w:rsidR="003507C5" w:rsidRDefault="003507C5" w:rsidP="003507C5">
      <w:r w:rsidRPr="003507C5">
        <w:t xml:space="preserve">The new service will require provider frontline staff to have the skills and capabilities to tailor their services to participants’ needs across all streams. </w:t>
      </w:r>
    </w:p>
    <w:p w14:paraId="65A2F5A0" w14:textId="77777777" w:rsidR="00FE3DB6" w:rsidRPr="003507C5" w:rsidRDefault="00FE3DB6" w:rsidP="003507C5"/>
    <w:p w14:paraId="176448A7" w14:textId="77777777" w:rsidR="003507C5" w:rsidRPr="003507C5" w:rsidRDefault="003507C5" w:rsidP="00FE3DB6">
      <w:pPr>
        <w:pStyle w:val="Heading2"/>
      </w:pPr>
      <w:r w:rsidRPr="003507C5">
        <w:t xml:space="preserve">How will this change the current provider landscape? </w:t>
      </w:r>
    </w:p>
    <w:p w14:paraId="7D43E61D" w14:textId="77777777" w:rsidR="003507C5" w:rsidRPr="003507C5" w:rsidRDefault="003507C5" w:rsidP="003507C5">
      <w:pPr>
        <w:rPr>
          <w:lang w:val="en-GB"/>
        </w:rPr>
      </w:pPr>
      <w:r w:rsidRPr="003507C5">
        <w:rPr>
          <w:lang w:val="en-GB"/>
        </w:rPr>
        <w:t>We need services that are better aligned to participant needs and local labour market conditions. One way to do this is to diversify the current provider landscape.</w:t>
      </w:r>
    </w:p>
    <w:p w14:paraId="30DFD043" w14:textId="77777777" w:rsidR="003507C5" w:rsidRPr="003507C5" w:rsidRDefault="003507C5" w:rsidP="003507C5">
      <w:pPr>
        <w:rPr>
          <w:lang w:val="en-GB"/>
        </w:rPr>
      </w:pPr>
      <w:r w:rsidRPr="003507C5">
        <w:rPr>
          <w:lang w:val="en-GB"/>
        </w:rPr>
        <w:t>Traditional</w:t>
      </w:r>
      <w:r w:rsidRPr="003507C5">
        <w:t xml:space="preserve"> employment services</w:t>
      </w:r>
      <w:r w:rsidRPr="003507C5">
        <w:rPr>
          <w:lang w:val="en-GB"/>
        </w:rPr>
        <w:t xml:space="preserve"> providers will continue to play an important role, particularly for targeted provider services. However, there will be a stronger emphasis on ensuring providers reflect the local communities they service and have appropriately skilled workforces.  </w:t>
      </w:r>
    </w:p>
    <w:p w14:paraId="15455935" w14:textId="43B11BDD" w:rsidR="00FE3DB6" w:rsidRDefault="003507C5" w:rsidP="003507C5">
      <w:pPr>
        <w:rPr>
          <w:lang w:val="en-GB"/>
        </w:rPr>
      </w:pPr>
      <w:r w:rsidRPr="003507C5">
        <w:rPr>
          <w:lang w:val="en-GB"/>
        </w:rPr>
        <w:t xml:space="preserve">For intensive services, there will be a stronger focus on engaging community-based organisations with deep local connections. </w:t>
      </w:r>
    </w:p>
    <w:p w14:paraId="7C86B86F" w14:textId="77777777" w:rsidR="00FE3DB6" w:rsidRDefault="00FE3DB6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207C08F1" w14:textId="77777777" w:rsidR="003507C5" w:rsidRPr="003507C5" w:rsidRDefault="003507C5" w:rsidP="00FE3DB6">
      <w:pPr>
        <w:pStyle w:val="Heading2"/>
      </w:pPr>
      <w:r w:rsidRPr="003507C5">
        <w:lastRenderedPageBreak/>
        <w:t>How will providers connect with broader services?</w:t>
      </w:r>
    </w:p>
    <w:p w14:paraId="516FD25A" w14:textId="77777777" w:rsidR="003507C5" w:rsidRPr="003507C5" w:rsidRDefault="003507C5" w:rsidP="003507C5">
      <w:r w:rsidRPr="003507C5">
        <w:t>Providers will be expected to play a stronger role in connecting participants to other services, including skills and training, health, housing and social supports.</w:t>
      </w:r>
    </w:p>
    <w:p w14:paraId="49E5A781" w14:textId="77777777" w:rsidR="003507C5" w:rsidRPr="003507C5" w:rsidRDefault="003507C5" w:rsidP="003507C5">
      <w:r w:rsidRPr="003507C5">
        <w:t>This includes actively coordinating access to local services, rather than simply referring participants, to ensure barriers to employment are addressed holistically.</w:t>
      </w:r>
    </w:p>
    <w:p w14:paraId="0A57CD6B" w14:textId="3BB55845" w:rsidR="003507C5" w:rsidRPr="003507C5" w:rsidRDefault="00FE3DB6" w:rsidP="00FE3DB6">
      <w:pPr>
        <w:pStyle w:val="Heading1"/>
      </w:pPr>
      <w:r>
        <w:t xml:space="preserve">What will change for First Nations participants </w:t>
      </w:r>
    </w:p>
    <w:p w14:paraId="65703545" w14:textId="77777777" w:rsidR="003507C5" w:rsidRPr="003507C5" w:rsidRDefault="003507C5" w:rsidP="00FE3DB6">
      <w:pPr>
        <w:pStyle w:val="Heading2"/>
      </w:pPr>
      <w:r w:rsidRPr="003507C5">
        <w:t>How will services be tailored for First Nations participants?</w:t>
      </w:r>
    </w:p>
    <w:p w14:paraId="1CB88923" w14:textId="77777777" w:rsidR="003507C5" w:rsidRPr="003507C5" w:rsidRDefault="003507C5" w:rsidP="003507C5">
      <w:r w:rsidRPr="003507C5">
        <w:t xml:space="preserve">The new employment service will increase the role of community-based and First Nations organisations, particularly in delivering intensive services, reflecting the importance of culturally appropriate and place-based delivery. </w:t>
      </w:r>
    </w:p>
    <w:p w14:paraId="6E71BADC" w14:textId="77777777" w:rsidR="003507C5" w:rsidRPr="003507C5" w:rsidRDefault="003507C5" w:rsidP="003507C5">
      <w:r w:rsidRPr="003507C5">
        <w:rPr>
          <w:lang w:val="en-GB"/>
        </w:rPr>
        <w:t>The government will engage with First Nations people through the reform process to ensure services are designed and delivered to be culturally appropriate.</w:t>
      </w:r>
    </w:p>
    <w:p w14:paraId="1C1A7E23" w14:textId="78E6EBF2" w:rsidR="003507C5" w:rsidRPr="003507C5" w:rsidRDefault="00FE3DB6" w:rsidP="00FE3DB6">
      <w:pPr>
        <w:pStyle w:val="Heading1"/>
      </w:pPr>
      <w:r>
        <w:t>What will change for employers and local communities</w:t>
      </w:r>
    </w:p>
    <w:p w14:paraId="3F65D410" w14:textId="77777777" w:rsidR="003507C5" w:rsidRPr="003507C5" w:rsidRDefault="003507C5" w:rsidP="00FE3DB6">
      <w:pPr>
        <w:pStyle w:val="Heading2"/>
      </w:pPr>
      <w:r w:rsidRPr="003507C5">
        <w:t>How will the reforms support employers and local communities?</w:t>
      </w:r>
    </w:p>
    <w:p w14:paraId="4085515D" w14:textId="77777777" w:rsidR="003507C5" w:rsidRPr="003507C5" w:rsidRDefault="003507C5" w:rsidP="003507C5">
      <w:r w:rsidRPr="003507C5">
        <w:t>Reforms will place a greater emphasis on employer engagement and local labour markets. This includes</w:t>
      </w:r>
      <w:r w:rsidRPr="003507C5">
        <w:rPr>
          <w:lang w:val="en-GB"/>
        </w:rPr>
        <w:t xml:space="preserve"> stronger partnerships with, local, industry and large employers and improved job matching and recruitment support.</w:t>
      </w:r>
      <w:r w:rsidRPr="003507C5">
        <w:t xml:space="preserve"> These changes will make it easier for employers to find suitable candidates and support participants into sustainable jobs.</w:t>
      </w:r>
    </w:p>
    <w:p w14:paraId="1B724351" w14:textId="77777777" w:rsidR="00FE3DB6" w:rsidRDefault="00FE3DB6">
      <w:pPr>
        <w:spacing w:after="160" w:line="259" w:lineRule="auto"/>
        <w:rPr>
          <w:rFonts w:ascii="Aptos Display" w:eastAsiaTheme="majorEastAsia" w:hAnsi="Aptos Display" w:cstheme="majorBidi"/>
          <w:b/>
          <w:color w:val="525E1C" w:themeColor="accent3" w:themeShade="80"/>
          <w:sz w:val="50"/>
          <w:szCs w:val="32"/>
        </w:rPr>
      </w:pPr>
      <w:r>
        <w:br w:type="page"/>
      </w:r>
    </w:p>
    <w:p w14:paraId="558F37AC" w14:textId="06C05464" w:rsidR="003507C5" w:rsidRPr="003507C5" w:rsidRDefault="00FE3DB6" w:rsidP="00FE3DB6">
      <w:pPr>
        <w:pStyle w:val="Heading1"/>
      </w:pPr>
      <w:r>
        <w:lastRenderedPageBreak/>
        <w:t xml:space="preserve">When will the reforms come into effect? </w:t>
      </w:r>
    </w:p>
    <w:p w14:paraId="7257A7FC" w14:textId="77777777" w:rsidR="003507C5" w:rsidRPr="003507C5" w:rsidRDefault="003507C5" w:rsidP="00FE3DB6">
      <w:pPr>
        <w:pStyle w:val="Heading2"/>
      </w:pPr>
      <w:r w:rsidRPr="003507C5">
        <w:t>What is the timeframe for change?</w:t>
      </w:r>
    </w:p>
    <w:p w14:paraId="27D45AF8" w14:textId="77777777" w:rsidR="003507C5" w:rsidRPr="003507C5" w:rsidRDefault="003507C5" w:rsidP="003507C5">
      <w:r w:rsidRPr="003507C5">
        <w:t xml:space="preserve">Reforms have already been announced, with the first steps announced in the 2026–27 Budget. Implementation of these reforms is now underway. </w:t>
      </w:r>
    </w:p>
    <w:p w14:paraId="18B2AFA4" w14:textId="77777777" w:rsidR="003507C5" w:rsidRPr="003507C5" w:rsidRDefault="003507C5" w:rsidP="003507C5">
      <w:r w:rsidRPr="003507C5">
        <w:t>Throughout 2026, the government will continue to engage with stakeholders to inform the final design of the new service.</w:t>
      </w:r>
    </w:p>
    <w:p w14:paraId="1A08EE5D" w14:textId="77777777" w:rsidR="003507C5" w:rsidRPr="003507C5" w:rsidRDefault="003507C5" w:rsidP="003507C5">
      <w:r w:rsidRPr="003507C5">
        <w:t xml:space="preserve">To ensure continuity of service, all current Workforce Australia contracts are being extended by 16 months. </w:t>
      </w:r>
    </w:p>
    <w:p w14:paraId="63AD19B5" w14:textId="77777777" w:rsidR="003507C5" w:rsidRPr="003507C5" w:rsidRDefault="003507C5" w:rsidP="003507C5"/>
    <w:p w14:paraId="02C0303D" w14:textId="77777777" w:rsidR="003507C5" w:rsidRPr="003507C5" w:rsidRDefault="003507C5" w:rsidP="00FE3DB6">
      <w:pPr>
        <w:pStyle w:val="Heading2"/>
      </w:pPr>
      <w:r w:rsidRPr="003507C5">
        <w:t>Are there any changes for participants right now?</w:t>
      </w:r>
    </w:p>
    <w:p w14:paraId="220754D3" w14:textId="77777777" w:rsidR="003507C5" w:rsidRPr="003507C5" w:rsidRDefault="003507C5" w:rsidP="003507C5">
      <w:r w:rsidRPr="003507C5">
        <w:t xml:space="preserve">If you are in Workforce Australia, you will be notified of any upcoming changes before they come into effect. If you have any </w:t>
      </w:r>
      <w:proofErr w:type="gramStart"/>
      <w:r w:rsidRPr="003507C5">
        <w:t>questions</w:t>
      </w:r>
      <w:proofErr w:type="gramEnd"/>
      <w:r w:rsidRPr="003507C5">
        <w:t xml:space="preserve"> you can reach out to your provider or, if you are in online services, the Digital Services Contact Centre.  </w:t>
      </w:r>
    </w:p>
    <w:p w14:paraId="3BE27943" w14:textId="77777777" w:rsidR="0098542E" w:rsidRPr="0098542E" w:rsidRDefault="0098542E" w:rsidP="0098542E"/>
    <w:p w14:paraId="2E398ED1" w14:textId="0B8288BC" w:rsidR="00812472" w:rsidRPr="00432D33" w:rsidRDefault="00812472" w:rsidP="00912382"/>
    <w:sectPr w:rsidR="00812472" w:rsidRPr="00432D33" w:rsidSect="00705BAD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E2AD" w14:textId="77777777" w:rsidR="007B5E4E" w:rsidRDefault="007B5E4E" w:rsidP="0051352E">
      <w:pPr>
        <w:spacing w:after="0" w:line="240" w:lineRule="auto"/>
      </w:pPr>
      <w:r>
        <w:separator/>
      </w:r>
    </w:p>
  </w:endnote>
  <w:endnote w:type="continuationSeparator" w:id="0">
    <w:p w14:paraId="040EBF4E" w14:textId="77777777" w:rsidR="007B5E4E" w:rsidRDefault="007B5E4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D7A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EC6F" wp14:editId="75B4B5D8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3EC27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BJqtZb3gAAAAcBAAAPAAAAZHJzL2Rvd25y&#10;ZXYueG1sTI9RS8MwFIXfBf9DuIJvLq3TbqtNhwiKIBM6h+Bb1lybsuSmJOlW/73Zkz4ezuGc71Tr&#10;yRp2RB96RwLyWQYMqXWqp07A7uP5ZgksRElKGkco4AcDrOvLi0qWyp2oweM2diyVUCilAB3jUHIe&#10;Wo1WhpkbkJL37byVMUnfceXlKZVbw2+zrOBW9pQWtBzwSWN72I5WwN3mvmlwXLzNzevX58G9Ty+e&#10;ayGur6bHB2ARp/gXhjN+Qoc6Me3dSCowIyAdiQKKIgd2dvNVVgDbC1gt5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SarWW9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8B1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0FDB9" wp14:editId="286DA21A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4CD29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" fillcolor="#262165 [3208]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24E0" w14:textId="77777777" w:rsidR="007B5E4E" w:rsidRDefault="007B5E4E" w:rsidP="0051352E">
      <w:pPr>
        <w:spacing w:after="0" w:line="240" w:lineRule="auto"/>
      </w:pPr>
      <w:r>
        <w:separator/>
      </w:r>
    </w:p>
  </w:footnote>
  <w:footnote w:type="continuationSeparator" w:id="0">
    <w:p w14:paraId="10B02526" w14:textId="77777777" w:rsidR="007B5E4E" w:rsidRDefault="007B5E4E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E69DC"/>
    <w:multiLevelType w:val="hybridMultilevel"/>
    <w:tmpl w:val="4912B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5E2245B"/>
    <w:multiLevelType w:val="multilevel"/>
    <w:tmpl w:val="D47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8C214A"/>
    <w:multiLevelType w:val="hybridMultilevel"/>
    <w:tmpl w:val="4912B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7C4790"/>
    <w:multiLevelType w:val="hybridMultilevel"/>
    <w:tmpl w:val="2A542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06E43"/>
    <w:multiLevelType w:val="hybridMultilevel"/>
    <w:tmpl w:val="8F60F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5602B"/>
    <w:multiLevelType w:val="hybridMultilevel"/>
    <w:tmpl w:val="C546B604"/>
    <w:lvl w:ilvl="0" w:tplc="70225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76EE8"/>
    <w:multiLevelType w:val="multilevel"/>
    <w:tmpl w:val="389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6247AB"/>
    <w:multiLevelType w:val="hybridMultilevel"/>
    <w:tmpl w:val="6E10E4DA"/>
    <w:lvl w:ilvl="0" w:tplc="0C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2" w15:restartNumberingAfterBreak="0">
    <w:nsid w:val="793F2564"/>
    <w:multiLevelType w:val="multilevel"/>
    <w:tmpl w:val="7130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1"/>
  </w:num>
  <w:num w:numId="12" w16cid:durableId="1523323380">
    <w:abstractNumId w:val="14"/>
  </w:num>
  <w:num w:numId="13" w16cid:durableId="933829800">
    <w:abstractNumId w:val="16"/>
  </w:num>
  <w:num w:numId="14" w16cid:durableId="118181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4"/>
  </w:num>
  <w:num w:numId="16" w16cid:durableId="1166021225">
    <w:abstractNumId w:val="16"/>
  </w:num>
  <w:num w:numId="17" w16cid:durableId="1814981661">
    <w:abstractNumId w:val="11"/>
  </w:num>
  <w:num w:numId="18" w16cid:durableId="357780417">
    <w:abstractNumId w:val="20"/>
  </w:num>
  <w:num w:numId="19" w16cid:durableId="1717700735">
    <w:abstractNumId w:val="22"/>
  </w:num>
  <w:num w:numId="20" w16cid:durableId="1203520671">
    <w:abstractNumId w:val="12"/>
  </w:num>
  <w:num w:numId="21" w16cid:durableId="1481918532">
    <w:abstractNumId w:val="10"/>
  </w:num>
  <w:num w:numId="22" w16cid:durableId="1372262970">
    <w:abstractNumId w:val="15"/>
  </w:num>
  <w:num w:numId="23" w16cid:durableId="1482693785">
    <w:abstractNumId w:val="17"/>
  </w:num>
  <w:num w:numId="24" w16cid:durableId="1172138634">
    <w:abstractNumId w:val="21"/>
  </w:num>
  <w:num w:numId="25" w16cid:durableId="864637419">
    <w:abstractNumId w:val="19"/>
  </w:num>
  <w:num w:numId="26" w16cid:durableId="2043633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7"/>
    <w:rsid w:val="0003210B"/>
    <w:rsid w:val="00042F07"/>
    <w:rsid w:val="00052BBC"/>
    <w:rsid w:val="00067075"/>
    <w:rsid w:val="00085EBA"/>
    <w:rsid w:val="00087C31"/>
    <w:rsid w:val="000936DA"/>
    <w:rsid w:val="000A3ECA"/>
    <w:rsid w:val="000A453D"/>
    <w:rsid w:val="00100EB8"/>
    <w:rsid w:val="00111085"/>
    <w:rsid w:val="00117110"/>
    <w:rsid w:val="00122E94"/>
    <w:rsid w:val="00133EBA"/>
    <w:rsid w:val="00140A92"/>
    <w:rsid w:val="00141CA0"/>
    <w:rsid w:val="00155FF0"/>
    <w:rsid w:val="00157F35"/>
    <w:rsid w:val="00197B31"/>
    <w:rsid w:val="001B0B9A"/>
    <w:rsid w:val="001D790A"/>
    <w:rsid w:val="00217EAB"/>
    <w:rsid w:val="0022498C"/>
    <w:rsid w:val="0022626C"/>
    <w:rsid w:val="00265916"/>
    <w:rsid w:val="002724D0"/>
    <w:rsid w:val="002A7840"/>
    <w:rsid w:val="002B1CE5"/>
    <w:rsid w:val="002F4DB3"/>
    <w:rsid w:val="003507C5"/>
    <w:rsid w:val="00350FFA"/>
    <w:rsid w:val="00362F91"/>
    <w:rsid w:val="00382F07"/>
    <w:rsid w:val="003A2EFF"/>
    <w:rsid w:val="003D7E58"/>
    <w:rsid w:val="003F0286"/>
    <w:rsid w:val="00414677"/>
    <w:rsid w:val="00432753"/>
    <w:rsid w:val="00432D33"/>
    <w:rsid w:val="00453C04"/>
    <w:rsid w:val="00474888"/>
    <w:rsid w:val="004774AD"/>
    <w:rsid w:val="0048582C"/>
    <w:rsid w:val="00495658"/>
    <w:rsid w:val="00497764"/>
    <w:rsid w:val="004B43AE"/>
    <w:rsid w:val="004B7F88"/>
    <w:rsid w:val="00511396"/>
    <w:rsid w:val="0051352E"/>
    <w:rsid w:val="00517DA7"/>
    <w:rsid w:val="00520A33"/>
    <w:rsid w:val="00527AE4"/>
    <w:rsid w:val="00537E9E"/>
    <w:rsid w:val="00542B02"/>
    <w:rsid w:val="0055569D"/>
    <w:rsid w:val="00596A88"/>
    <w:rsid w:val="005A61CC"/>
    <w:rsid w:val="005D15A9"/>
    <w:rsid w:val="005D7CE7"/>
    <w:rsid w:val="00610A38"/>
    <w:rsid w:val="00630DDF"/>
    <w:rsid w:val="00653A50"/>
    <w:rsid w:val="00662A42"/>
    <w:rsid w:val="006835AE"/>
    <w:rsid w:val="006B0B39"/>
    <w:rsid w:val="006B1262"/>
    <w:rsid w:val="006B23A7"/>
    <w:rsid w:val="006D154E"/>
    <w:rsid w:val="006D72D1"/>
    <w:rsid w:val="006E5D6E"/>
    <w:rsid w:val="00704585"/>
    <w:rsid w:val="00705BAD"/>
    <w:rsid w:val="00721B03"/>
    <w:rsid w:val="00742937"/>
    <w:rsid w:val="00745FFC"/>
    <w:rsid w:val="007570DC"/>
    <w:rsid w:val="00770872"/>
    <w:rsid w:val="007B1ABA"/>
    <w:rsid w:val="007B5E4E"/>
    <w:rsid w:val="007B74C5"/>
    <w:rsid w:val="007C5DFD"/>
    <w:rsid w:val="00812472"/>
    <w:rsid w:val="0083778B"/>
    <w:rsid w:val="00842C50"/>
    <w:rsid w:val="008479A8"/>
    <w:rsid w:val="008507C1"/>
    <w:rsid w:val="00861934"/>
    <w:rsid w:val="008B00B6"/>
    <w:rsid w:val="008B796D"/>
    <w:rsid w:val="008C4E63"/>
    <w:rsid w:val="008C6C1B"/>
    <w:rsid w:val="008C7397"/>
    <w:rsid w:val="008E22BA"/>
    <w:rsid w:val="008E6B5C"/>
    <w:rsid w:val="008F0AC9"/>
    <w:rsid w:val="00900F7F"/>
    <w:rsid w:val="00912382"/>
    <w:rsid w:val="00927939"/>
    <w:rsid w:val="0093473D"/>
    <w:rsid w:val="00936BF0"/>
    <w:rsid w:val="00944ECC"/>
    <w:rsid w:val="00966B9B"/>
    <w:rsid w:val="009726CC"/>
    <w:rsid w:val="00972F57"/>
    <w:rsid w:val="0098542E"/>
    <w:rsid w:val="00995280"/>
    <w:rsid w:val="009C2572"/>
    <w:rsid w:val="00A14B02"/>
    <w:rsid w:val="00A23E84"/>
    <w:rsid w:val="00A24E6E"/>
    <w:rsid w:val="00A43694"/>
    <w:rsid w:val="00A52ED5"/>
    <w:rsid w:val="00A56FC7"/>
    <w:rsid w:val="00A668BF"/>
    <w:rsid w:val="00A72575"/>
    <w:rsid w:val="00A74071"/>
    <w:rsid w:val="00A754E4"/>
    <w:rsid w:val="00A75FC1"/>
    <w:rsid w:val="00AA124A"/>
    <w:rsid w:val="00AA2A96"/>
    <w:rsid w:val="00AB5EF4"/>
    <w:rsid w:val="00B100CC"/>
    <w:rsid w:val="00B456C5"/>
    <w:rsid w:val="00B46919"/>
    <w:rsid w:val="00B54110"/>
    <w:rsid w:val="00B6689D"/>
    <w:rsid w:val="00B72368"/>
    <w:rsid w:val="00B937E2"/>
    <w:rsid w:val="00BA04E1"/>
    <w:rsid w:val="00C06B88"/>
    <w:rsid w:val="00C13367"/>
    <w:rsid w:val="00C54D58"/>
    <w:rsid w:val="00C573E1"/>
    <w:rsid w:val="00C60222"/>
    <w:rsid w:val="00C7081F"/>
    <w:rsid w:val="00C7233F"/>
    <w:rsid w:val="00C736D3"/>
    <w:rsid w:val="00C92D2E"/>
    <w:rsid w:val="00C93CC8"/>
    <w:rsid w:val="00C95DF6"/>
    <w:rsid w:val="00CC3BA4"/>
    <w:rsid w:val="00D06400"/>
    <w:rsid w:val="00D748A3"/>
    <w:rsid w:val="00DA1B7B"/>
    <w:rsid w:val="00DB1ACB"/>
    <w:rsid w:val="00DB79DF"/>
    <w:rsid w:val="00DE0402"/>
    <w:rsid w:val="00DE1D12"/>
    <w:rsid w:val="00DE77FE"/>
    <w:rsid w:val="00E02099"/>
    <w:rsid w:val="00E118C4"/>
    <w:rsid w:val="00E14881"/>
    <w:rsid w:val="00E36EF8"/>
    <w:rsid w:val="00E40B46"/>
    <w:rsid w:val="00E67289"/>
    <w:rsid w:val="00E9345D"/>
    <w:rsid w:val="00E93617"/>
    <w:rsid w:val="00EA32F7"/>
    <w:rsid w:val="00EB63C4"/>
    <w:rsid w:val="00EC6A53"/>
    <w:rsid w:val="00EE5EEB"/>
    <w:rsid w:val="00EF102A"/>
    <w:rsid w:val="00EF7BF7"/>
    <w:rsid w:val="00F230CD"/>
    <w:rsid w:val="00F51C18"/>
    <w:rsid w:val="00FA31E2"/>
    <w:rsid w:val="00FB6477"/>
    <w:rsid w:val="00FE3DB6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6FADAD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AE"/>
    <w:pPr>
      <w:spacing w:after="200" w:line="276" w:lineRule="auto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7C5"/>
    <w:pPr>
      <w:keepNext/>
      <w:keepLines/>
      <w:spacing w:before="600" w:after="0"/>
      <w:outlineLvl w:val="0"/>
    </w:pPr>
    <w:rPr>
      <w:rFonts w:ascii="Aptos Display" w:eastAsiaTheme="majorEastAsia" w:hAnsi="Aptos Display" w:cstheme="majorBidi"/>
      <w:b/>
      <w:color w:val="525E1C" w:themeColor="accent3" w:themeShade="80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BAD"/>
    <w:pPr>
      <w:keepNext/>
      <w:keepLines/>
      <w:spacing w:before="240" w:after="0"/>
      <w:outlineLvl w:val="1"/>
    </w:pPr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12472"/>
    <w:pPr>
      <w:outlineLvl w:val="2"/>
    </w:pPr>
    <w:rPr>
      <w:color w:val="262165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2472"/>
    <w:pPr>
      <w:keepNext/>
      <w:keepLines/>
      <w:spacing w:before="240" w:after="0"/>
      <w:outlineLvl w:val="3"/>
    </w:pPr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B31"/>
    <w:pPr>
      <w:keepNext/>
      <w:keepLines/>
      <w:spacing w:before="240" w:after="0"/>
      <w:outlineLvl w:val="4"/>
    </w:pPr>
    <w:rPr>
      <w:rFonts w:ascii="Aptos Display" w:eastAsiaTheme="majorEastAsia" w:hAnsi="Aptos Display" w:cstheme="majorBidi"/>
      <w:b/>
      <w:color w:val="0060A1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43AE"/>
    <w:pPr>
      <w:keepNext/>
      <w:keepLines/>
      <w:spacing w:before="240" w:after="0"/>
      <w:outlineLvl w:val="5"/>
    </w:pPr>
    <w:rPr>
      <w:rFonts w:ascii="Aptos Display" w:eastAsiaTheme="majorEastAsia" w:hAnsi="Aptos Display" w:cstheme="majorBidi"/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43AE"/>
    <w:pPr>
      <w:keepNext/>
      <w:keepLines/>
      <w:spacing w:before="40" w:after="60"/>
      <w:outlineLvl w:val="6"/>
    </w:pPr>
    <w:rPr>
      <w:rFonts w:ascii="Aptos Display" w:eastAsiaTheme="majorEastAsia" w:hAnsi="Aptos Display" w:cstheme="majorBidi"/>
      <w:b/>
      <w:iCs/>
      <w:color w:val="262165" w:themeColor="accent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AE"/>
    <w:pPr>
      <w:keepNext/>
      <w:keepLines/>
      <w:spacing w:before="40" w:after="0"/>
      <w:outlineLvl w:val="7"/>
    </w:pPr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42B02"/>
    <w:pPr>
      <w:spacing w:before="1680" w:after="240" w:line="640" w:lineRule="exact"/>
      <w:outlineLvl w:val="0"/>
    </w:pPr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42B02"/>
    <w:rPr>
      <w:rFonts w:ascii="Aptos Display" w:eastAsiaTheme="majorEastAsia" w:hAnsi="Aptos Display" w:cstheme="majorBidi"/>
      <w:b/>
      <w:color w:val="262165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197B31"/>
    <w:pPr>
      <w:numPr>
        <w:ilvl w:val="1"/>
      </w:numPr>
      <w:spacing w:after="0"/>
    </w:pPr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97B31"/>
    <w:rPr>
      <w:rFonts w:ascii="Aptos Display" w:eastAsiaTheme="minorEastAsia" w:hAnsi="Aptos Display"/>
      <w:color w:val="0060A1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507C5"/>
    <w:rPr>
      <w:rFonts w:ascii="Aptos Display" w:eastAsiaTheme="majorEastAsia" w:hAnsi="Aptos Display" w:cstheme="majorBidi"/>
      <w:b/>
      <w:color w:val="525E1C" w:themeColor="accent3" w:themeShade="80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BAD"/>
    <w:rPr>
      <w:rFonts w:ascii="Aptos Display" w:eastAsiaTheme="majorEastAsia" w:hAnsi="Aptos Display" w:cstheme="majorBidi"/>
      <w:b/>
      <w:color w:val="0060A1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472"/>
    <w:rPr>
      <w:rFonts w:ascii="Aptos Display" w:eastAsiaTheme="majorEastAsia" w:hAnsi="Aptos Display" w:cstheme="majorBidi"/>
      <w:b/>
      <w:iCs/>
      <w:color w:val="262165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2472"/>
    <w:rPr>
      <w:rFonts w:ascii="Aptos Display" w:eastAsiaTheme="majorEastAsia" w:hAnsi="Aptos Display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7B31"/>
    <w:rPr>
      <w:rFonts w:ascii="Aptos Display" w:eastAsiaTheme="majorEastAsia" w:hAnsi="Aptos Display" w:cstheme="majorBidi"/>
      <w:b/>
      <w:color w:val="0060A1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B43AE"/>
    <w:rPr>
      <w:rFonts w:ascii="Aptos Display" w:eastAsiaTheme="majorEastAsia" w:hAnsi="Aptos Display" w:cstheme="majorBidi"/>
      <w:b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197B31"/>
    <w:rPr>
      <w:color w:val="0060A1" w:themeColor="accen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Display" w:hAnsi="Aptos Display"/>
        <w:b/>
        <w:color w:val="FFFFFF" w:themeColor="background1"/>
      </w:rPr>
      <w:tblPr/>
      <w:tcPr>
        <w:shd w:val="clear" w:color="auto" w:fill="0060A1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CAB - List Bullet,List Bullet Cab,Bulit List -  Paragraph,CV text,Dot pt,F5 List Paragraph,FooterText,L,List Paragraph1,List Paragraph11,List Paragraph111,List Paragraph2,Main numbered paragraph,Medium Grid 1 - Accent 21"/>
    <w:basedOn w:val="Normal"/>
    <w:link w:val="ListParagraphChar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362F91"/>
    <w:pPr>
      <w:numPr>
        <w:numId w:val="15"/>
      </w:numPr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4B43AE"/>
    <w:rPr>
      <w:rFonts w:ascii="Aptos Display" w:eastAsiaTheme="majorEastAsia" w:hAnsi="Aptos Display" w:cstheme="majorBidi"/>
      <w:b/>
      <w:iCs/>
      <w:color w:val="262165" w:themeColor="accent5"/>
    </w:rPr>
  </w:style>
  <w:style w:type="paragraph" w:customStyle="1" w:styleId="numberedpara">
    <w:name w:val="numbered para"/>
    <w:basedOn w:val="Normal"/>
    <w:rsid w:val="004B43AE"/>
    <w:pPr>
      <w:numPr>
        <w:numId w:val="14"/>
      </w:numPr>
      <w:spacing w:before="120" w:after="0" w:line="240" w:lineRule="auto"/>
    </w:pPr>
    <w:rPr>
      <w:rFonts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611D57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AE"/>
    <w:rPr>
      <w:rFonts w:ascii="Aptos Display" w:eastAsiaTheme="majorEastAsia" w:hAnsi="Aptos Display" w:cstheme="majorBidi"/>
      <w:b/>
      <w:color w:val="272727" w:themeColor="text1" w:themeTint="D8"/>
      <w:sz w:val="21"/>
      <w:szCs w:val="21"/>
    </w:rPr>
  </w:style>
  <w:style w:type="paragraph" w:customStyle="1" w:styleId="Chapter-Heading5">
    <w:name w:val="Chapter - Heading 5"/>
    <w:basedOn w:val="Heading4"/>
    <w:qFormat/>
    <w:rsid w:val="00812472"/>
    <w:pPr>
      <w:spacing w:before="360" w:after="60" w:line="259" w:lineRule="auto"/>
      <w:outlineLvl w:val="4"/>
    </w:pPr>
    <w:rPr>
      <w:color w:val="A6BD38" w:themeColor="accent3"/>
      <w:sz w:val="34"/>
    </w:rPr>
  </w:style>
  <w:style w:type="character" w:customStyle="1" w:styleId="ListParagraphChar">
    <w:name w:val="List Paragraph Char"/>
    <w:aliases w:val="CAB - List Bullet Char,List Bullet Cab Char,Bulit List -  Paragraph Char,CV text Char,Dot pt Char,F5 List Paragraph Char,FooterText Char,L Char,List Paragraph1 Char,List Paragraph11 Char,List Paragraph111 Char,List Paragraph2 Char"/>
    <w:basedOn w:val="DefaultParagraphFont"/>
    <w:link w:val="ListParagraph"/>
    <w:uiPriority w:val="34"/>
    <w:qFormat/>
    <w:locked/>
    <w:rsid w:val="00432D33"/>
    <w:rPr>
      <w:rFonts w:ascii="Aptos" w:hAnsi="Apto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7C5"/>
    <w:rPr>
      <w:rFonts w:ascii="Aptos" w:hAnsi="Apto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507C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B2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sultations.dewr.gov.au/employment-services-reform-discussion-pap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WR Employment Services Reform">
      <a:dk1>
        <a:srgbClr val="000000"/>
      </a:dk1>
      <a:lt1>
        <a:srgbClr val="FFFFFF"/>
      </a:lt1>
      <a:dk2>
        <a:srgbClr val="262165"/>
      </a:dk2>
      <a:lt2>
        <a:srgbClr val="4CBFAD"/>
      </a:lt2>
      <a:accent1>
        <a:srgbClr val="0060A1"/>
      </a:accent1>
      <a:accent2>
        <a:srgbClr val="90D6EC"/>
      </a:accent2>
      <a:accent3>
        <a:srgbClr val="A6BD38"/>
      </a:accent3>
      <a:accent4>
        <a:srgbClr val="4CBFAD"/>
      </a:accent4>
      <a:accent5>
        <a:srgbClr val="262165"/>
      </a:accent5>
      <a:accent6>
        <a:srgbClr val="78A34F"/>
      </a:accent6>
      <a:hlink>
        <a:srgbClr val="0060A1"/>
      </a:hlink>
      <a:folHlink>
        <a:srgbClr val="611D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services reform question and answers</dc:title>
  <dc:subject/>
  <dc:creator/>
  <cp:keywords/>
  <dc:description/>
  <cp:lastModifiedBy/>
  <cp:revision>1</cp:revision>
  <dcterms:created xsi:type="dcterms:W3CDTF">2026-05-27T00:23:00Z</dcterms:created>
  <dcterms:modified xsi:type="dcterms:W3CDTF">2026-05-27T00:24:00Z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2026-05-27T00:24:17Z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403633a2-2a7a-4e1a-aee9-a836072bdaea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