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D4B88" w14:textId="77777777" w:rsidR="00DC361F" w:rsidRDefault="00481745">
      <w:pPr>
        <w:pStyle w:val="Title"/>
        <w:jc w:val="center"/>
      </w:pPr>
      <w:r>
        <w:t xml:space="preserve">                                                                                                                                                                                                                                                                                                                                                                                                                                                                                                                                                                                                                                                                                                                                                                                                                                                                                                                                                                                                                                                                                                                                                                                                                                                                                                                                                                                                                                                                                                                                                                                                                                                                                                                                                                                                                                                                                                                                                                                                                                                                                                                                                                                                                                                                                                                                                                                                                                                                                                                                                                                                                                                                                                                                                                                                                                                                                                                                                                                                                                                                                                                                                                                                                                                                                                                                                                                                                                                                                                                                                                                                                                                                                                                                                                                                                                                                                                                                                                                                                                                                                                                                                                                   </w:t>
      </w:r>
    </w:p>
    <w:p w14:paraId="5BD1ABEE" w14:textId="79427346" w:rsidR="00236194" w:rsidRPr="00C15FCF" w:rsidRDefault="003F7272" w:rsidP="00DC361F">
      <w:pPr>
        <w:pStyle w:val="Title"/>
        <w:jc w:val="center"/>
        <w:sectPr w:rsidR="00236194" w:rsidRPr="00C15FCF" w:rsidSect="009A0D3F">
          <w:headerReference w:type="default" r:id="rId8"/>
          <w:type w:val="continuous"/>
          <w:pgSz w:w="11906" w:h="16838"/>
          <w:pgMar w:top="1985" w:right="1418" w:bottom="993" w:left="1440" w:header="709" w:footer="567" w:gutter="0"/>
          <w:cols w:space="708"/>
          <w:docGrid w:linePitch="360"/>
        </w:sectPr>
      </w:pPr>
      <w:r w:rsidRPr="007D1210">
        <w:rPr>
          <w:noProof/>
          <w:lang w:eastAsia="en-AU"/>
        </w:rPr>
        <w:drawing>
          <wp:inline distT="0" distB="0" distL="0" distR="0" wp14:anchorId="5E639EC0" wp14:editId="794DEB05">
            <wp:extent cx="4144645" cy="960120"/>
            <wp:effectExtent l="0" t="0" r="8255" b="0"/>
            <wp:docPr id="5" name="Picture 5" descr="Australian Government Local Job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Local Jobs Program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44645" cy="960120"/>
                    </a:xfrm>
                    <a:prstGeom prst="rect">
                      <a:avLst/>
                    </a:prstGeom>
                  </pic:spPr>
                </pic:pic>
              </a:graphicData>
            </a:graphic>
          </wp:inline>
        </w:drawing>
      </w:r>
      <w:bookmarkStart w:id="0" w:name="_Toc364946114"/>
    </w:p>
    <w:p w14:paraId="53BF95A1" w14:textId="42E9E279" w:rsidR="006D4042" w:rsidRPr="007D1210" w:rsidRDefault="006D4042" w:rsidP="00C15FCF">
      <w:bookmarkStart w:id="1" w:name="_Toc24447248"/>
      <w:bookmarkEnd w:id="0"/>
    </w:p>
    <w:p w14:paraId="429CCDFC" w14:textId="77777777" w:rsidR="006D4042" w:rsidRPr="007D1210" w:rsidRDefault="006D4042" w:rsidP="006D4042">
      <w:pPr>
        <w:jc w:val="center"/>
      </w:pPr>
    </w:p>
    <w:p w14:paraId="2B11F111" w14:textId="6193AC86" w:rsidR="006D4042" w:rsidRPr="00EF13FC" w:rsidRDefault="006D4042" w:rsidP="003418C0">
      <w:pPr>
        <w:spacing w:before="120" w:after="480" w:line="240" w:lineRule="auto"/>
        <w:jc w:val="center"/>
        <w:rPr>
          <w:b/>
          <w:bCs/>
          <w:color w:val="002060"/>
          <w:sz w:val="72"/>
          <w:szCs w:val="72"/>
        </w:rPr>
      </w:pPr>
      <w:r w:rsidRPr="00EF13FC">
        <w:rPr>
          <w:b/>
          <w:bCs/>
          <w:color w:val="002060"/>
          <w:sz w:val="72"/>
          <w:szCs w:val="72"/>
        </w:rPr>
        <w:t>Local Jobs Plan</w:t>
      </w:r>
    </w:p>
    <w:p w14:paraId="30D4D6F9" w14:textId="707741BD" w:rsidR="006D4042" w:rsidRPr="00EF13FC" w:rsidRDefault="0072515F" w:rsidP="003418C0">
      <w:pPr>
        <w:spacing w:before="120" w:after="480" w:line="240" w:lineRule="auto"/>
        <w:jc w:val="center"/>
        <w:rPr>
          <w:b/>
          <w:bCs/>
          <w:color w:val="002060"/>
          <w:sz w:val="72"/>
          <w:szCs w:val="72"/>
        </w:rPr>
      </w:pPr>
      <w:r w:rsidRPr="00EF13FC">
        <w:rPr>
          <w:b/>
          <w:bCs/>
          <w:color w:val="002060"/>
          <w:sz w:val="72"/>
          <w:szCs w:val="72"/>
        </w:rPr>
        <w:t xml:space="preserve">Hobart and Southern </w:t>
      </w:r>
    </w:p>
    <w:p w14:paraId="3956B2AE" w14:textId="237A7EFB" w:rsidR="0072515F" w:rsidRDefault="0072515F" w:rsidP="003418C0">
      <w:pPr>
        <w:spacing w:before="120" w:after="480"/>
        <w:jc w:val="center"/>
        <w:rPr>
          <w:color w:val="002060"/>
          <w:sz w:val="72"/>
          <w:szCs w:val="72"/>
          <w:highlight w:val="yellow"/>
        </w:rPr>
      </w:pPr>
      <w:r w:rsidRPr="00EF13FC">
        <w:rPr>
          <w:b/>
          <w:bCs/>
          <w:color w:val="002060"/>
          <w:sz w:val="72"/>
          <w:szCs w:val="72"/>
        </w:rPr>
        <w:t>Tasmania</w:t>
      </w:r>
      <w:r w:rsidRPr="00EF13FC">
        <w:rPr>
          <w:color w:val="002060"/>
          <w:sz w:val="72"/>
          <w:szCs w:val="72"/>
          <w:highlight w:val="yellow"/>
        </w:rPr>
        <w:t xml:space="preserve"> </w:t>
      </w:r>
    </w:p>
    <w:p w14:paraId="2D661DDB" w14:textId="77777777" w:rsidR="00EF13FC" w:rsidRPr="00EF13FC" w:rsidRDefault="00EF13FC" w:rsidP="003418C0">
      <w:pPr>
        <w:spacing w:before="120" w:after="480"/>
        <w:jc w:val="center"/>
        <w:rPr>
          <w:color w:val="002060"/>
          <w:sz w:val="72"/>
          <w:szCs w:val="72"/>
          <w:highlight w:val="yellow"/>
        </w:rPr>
      </w:pPr>
    </w:p>
    <w:p w14:paraId="7A5FD959" w14:textId="497FA35E" w:rsidR="006D4042" w:rsidRPr="007D1210" w:rsidRDefault="00EF13FC" w:rsidP="003418C0">
      <w:pPr>
        <w:spacing w:before="120" w:after="480"/>
        <w:jc w:val="center"/>
        <w:rPr>
          <w:color w:val="002060"/>
          <w:sz w:val="60"/>
          <w:szCs w:val="60"/>
        </w:rPr>
      </w:pPr>
      <w:r>
        <w:rPr>
          <w:color w:val="002060"/>
          <w:sz w:val="60"/>
          <w:szCs w:val="60"/>
        </w:rPr>
        <w:t>August</w:t>
      </w:r>
      <w:r w:rsidR="0072515F">
        <w:rPr>
          <w:color w:val="002060"/>
          <w:sz w:val="60"/>
          <w:szCs w:val="60"/>
        </w:rPr>
        <w:t xml:space="preserve"> </w:t>
      </w:r>
      <w:r w:rsidR="006D4042" w:rsidRPr="007D1210">
        <w:rPr>
          <w:color w:val="002060"/>
          <w:sz w:val="60"/>
          <w:szCs w:val="60"/>
        </w:rPr>
        <w:t>2021</w:t>
      </w:r>
    </w:p>
    <w:p w14:paraId="4D4BE0AB" w14:textId="77777777" w:rsidR="00BC25FD" w:rsidRDefault="00BC25FD">
      <w:r>
        <w:br w:type="page"/>
      </w:r>
    </w:p>
    <w:sdt>
      <w:sdtPr>
        <w:rPr>
          <w:rFonts w:asciiTheme="minorHAnsi" w:eastAsiaTheme="minorEastAsia" w:hAnsiTheme="minorHAnsi" w:cstheme="minorBidi"/>
          <w:noProof w:val="0"/>
          <w:color w:val="auto"/>
          <w:sz w:val="22"/>
          <w:szCs w:val="22"/>
          <w:lang w:val="en" w:bidi="ar-SA"/>
        </w:rPr>
        <w:id w:val="-476842593"/>
        <w:docPartObj>
          <w:docPartGallery w:val="Table of Contents"/>
          <w:docPartUnique/>
        </w:docPartObj>
      </w:sdtPr>
      <w:sdtEndPr>
        <w:rPr>
          <w:b/>
          <w:bCs/>
          <w:lang w:val="en-AU"/>
        </w:rPr>
      </w:sdtEndPr>
      <w:sdtContent>
        <w:p w14:paraId="4E2487A0" w14:textId="57C2B4D1" w:rsidR="006D4042" w:rsidRDefault="006D4042">
          <w:pPr>
            <w:pStyle w:val="TOCHeading"/>
            <w:rPr>
              <w:noProof w:val="0"/>
            </w:rPr>
          </w:pPr>
          <w:r w:rsidRPr="007D1210">
            <w:rPr>
              <w:noProof w:val="0"/>
            </w:rPr>
            <w:t>Contents</w:t>
          </w:r>
        </w:p>
        <w:p w14:paraId="639FAB09" w14:textId="77777777" w:rsidR="00520C2D" w:rsidRPr="00520C2D" w:rsidRDefault="00520C2D" w:rsidP="00520C2D">
          <w:pPr>
            <w:rPr>
              <w:lang w:bidi="en-US"/>
            </w:rPr>
          </w:pPr>
        </w:p>
        <w:p w14:paraId="29B59358" w14:textId="487A1EF4" w:rsidR="00302089" w:rsidRDefault="006D4042">
          <w:pPr>
            <w:pStyle w:val="TOC1"/>
            <w:tabs>
              <w:tab w:val="right" w:leader="dot" w:pos="9038"/>
            </w:tabs>
            <w:rPr>
              <w:noProof/>
              <w:lang w:eastAsia="en-AU"/>
            </w:rPr>
          </w:pPr>
          <w:r w:rsidRPr="007D1210">
            <w:fldChar w:fldCharType="begin"/>
          </w:r>
          <w:r w:rsidRPr="007D1210">
            <w:instrText xml:space="preserve"> TOC \o "1-3" \h \z \u </w:instrText>
          </w:r>
          <w:r w:rsidRPr="007D1210">
            <w:fldChar w:fldCharType="separate"/>
          </w:r>
          <w:hyperlink w:anchor="_Toc77833832" w:history="1">
            <w:r w:rsidR="00302089" w:rsidRPr="000B280D">
              <w:rPr>
                <w:rStyle w:val="Hyperlink"/>
                <w:noProof/>
              </w:rPr>
              <w:t>The Local Jobs Program</w:t>
            </w:r>
            <w:r w:rsidR="00302089">
              <w:rPr>
                <w:noProof/>
                <w:webHidden/>
              </w:rPr>
              <w:tab/>
            </w:r>
            <w:r w:rsidR="00302089">
              <w:rPr>
                <w:noProof/>
                <w:webHidden/>
              </w:rPr>
              <w:fldChar w:fldCharType="begin"/>
            </w:r>
            <w:r w:rsidR="00302089">
              <w:rPr>
                <w:noProof/>
                <w:webHidden/>
              </w:rPr>
              <w:instrText xml:space="preserve"> PAGEREF _Toc77833832 \h </w:instrText>
            </w:r>
            <w:r w:rsidR="00302089">
              <w:rPr>
                <w:noProof/>
                <w:webHidden/>
              </w:rPr>
            </w:r>
            <w:r w:rsidR="00302089">
              <w:rPr>
                <w:noProof/>
                <w:webHidden/>
              </w:rPr>
              <w:fldChar w:fldCharType="separate"/>
            </w:r>
            <w:r w:rsidR="00092FE5">
              <w:rPr>
                <w:noProof/>
                <w:webHidden/>
              </w:rPr>
              <w:t>3</w:t>
            </w:r>
            <w:r w:rsidR="00302089">
              <w:rPr>
                <w:noProof/>
                <w:webHidden/>
              </w:rPr>
              <w:fldChar w:fldCharType="end"/>
            </w:r>
          </w:hyperlink>
        </w:p>
        <w:p w14:paraId="35E25F6D" w14:textId="079E8520" w:rsidR="00302089" w:rsidRDefault="00092FE5">
          <w:pPr>
            <w:pStyle w:val="TOC1"/>
            <w:tabs>
              <w:tab w:val="right" w:leader="dot" w:pos="9038"/>
            </w:tabs>
            <w:rPr>
              <w:noProof/>
              <w:lang w:eastAsia="en-AU"/>
            </w:rPr>
          </w:pPr>
          <w:hyperlink w:anchor="_Toc77833833" w:history="1">
            <w:r w:rsidR="00302089" w:rsidRPr="000B280D">
              <w:rPr>
                <w:rStyle w:val="Hyperlink"/>
                <w:noProof/>
              </w:rPr>
              <w:t>Key employment and training priorities</w:t>
            </w:r>
            <w:r w:rsidR="00302089">
              <w:rPr>
                <w:noProof/>
                <w:webHidden/>
              </w:rPr>
              <w:tab/>
            </w:r>
            <w:r w:rsidR="00302089">
              <w:rPr>
                <w:noProof/>
                <w:webHidden/>
              </w:rPr>
              <w:fldChar w:fldCharType="begin"/>
            </w:r>
            <w:r w:rsidR="00302089">
              <w:rPr>
                <w:noProof/>
                <w:webHidden/>
              </w:rPr>
              <w:instrText xml:space="preserve"> PAGEREF _Toc77833833 \h </w:instrText>
            </w:r>
            <w:r w:rsidR="00302089">
              <w:rPr>
                <w:noProof/>
                <w:webHidden/>
              </w:rPr>
            </w:r>
            <w:r w:rsidR="00302089">
              <w:rPr>
                <w:noProof/>
                <w:webHidden/>
              </w:rPr>
              <w:fldChar w:fldCharType="separate"/>
            </w:r>
            <w:r>
              <w:rPr>
                <w:noProof/>
                <w:webHidden/>
              </w:rPr>
              <w:t>4</w:t>
            </w:r>
            <w:r w:rsidR="00302089">
              <w:rPr>
                <w:noProof/>
                <w:webHidden/>
              </w:rPr>
              <w:fldChar w:fldCharType="end"/>
            </w:r>
          </w:hyperlink>
        </w:p>
        <w:p w14:paraId="1788FBC5" w14:textId="47FE8657" w:rsidR="00302089" w:rsidRDefault="00092FE5" w:rsidP="00EF2E17">
          <w:pPr>
            <w:pStyle w:val="TOC1"/>
            <w:tabs>
              <w:tab w:val="right" w:leader="dot" w:pos="9038"/>
            </w:tabs>
            <w:rPr>
              <w:noProof/>
              <w:lang w:eastAsia="en-AU"/>
            </w:rPr>
          </w:pPr>
          <w:hyperlink w:anchor="_Toc77833834" w:history="1">
            <w:r w:rsidR="00302089" w:rsidRPr="000B280D">
              <w:rPr>
                <w:rStyle w:val="Hyperlink"/>
                <w:noProof/>
              </w:rPr>
              <w:t>Employment Region overview</w:t>
            </w:r>
            <w:r w:rsidR="00302089">
              <w:rPr>
                <w:noProof/>
                <w:webHidden/>
              </w:rPr>
              <w:tab/>
            </w:r>
            <w:r w:rsidR="00302089">
              <w:rPr>
                <w:noProof/>
                <w:webHidden/>
              </w:rPr>
              <w:fldChar w:fldCharType="begin"/>
            </w:r>
            <w:r w:rsidR="00302089">
              <w:rPr>
                <w:noProof/>
                <w:webHidden/>
              </w:rPr>
              <w:instrText xml:space="preserve"> PAGEREF _Toc77833834 \h </w:instrText>
            </w:r>
            <w:r w:rsidR="00302089">
              <w:rPr>
                <w:noProof/>
                <w:webHidden/>
              </w:rPr>
            </w:r>
            <w:r w:rsidR="00302089">
              <w:rPr>
                <w:noProof/>
                <w:webHidden/>
              </w:rPr>
              <w:fldChar w:fldCharType="separate"/>
            </w:r>
            <w:r>
              <w:rPr>
                <w:noProof/>
                <w:webHidden/>
              </w:rPr>
              <w:t>5</w:t>
            </w:r>
            <w:r w:rsidR="00302089">
              <w:rPr>
                <w:noProof/>
                <w:webHidden/>
              </w:rPr>
              <w:fldChar w:fldCharType="end"/>
            </w:r>
          </w:hyperlink>
        </w:p>
        <w:p w14:paraId="7D2F7899" w14:textId="36F67D53" w:rsidR="00302089" w:rsidRDefault="00092FE5">
          <w:pPr>
            <w:pStyle w:val="TOC1"/>
            <w:tabs>
              <w:tab w:val="right" w:leader="dot" w:pos="9038"/>
            </w:tabs>
            <w:rPr>
              <w:noProof/>
              <w:lang w:eastAsia="en-AU"/>
            </w:rPr>
          </w:pPr>
          <w:hyperlink w:anchor="_Toc77833836" w:history="1">
            <w:r w:rsidR="00302089" w:rsidRPr="000B280D">
              <w:rPr>
                <w:rStyle w:val="Hyperlink"/>
                <w:noProof/>
              </w:rPr>
              <w:t>Key challenges in Hobart and Southern Tasmania Employment Region</w:t>
            </w:r>
            <w:r w:rsidR="00302089">
              <w:rPr>
                <w:noProof/>
                <w:webHidden/>
              </w:rPr>
              <w:tab/>
            </w:r>
            <w:r w:rsidR="00302089">
              <w:rPr>
                <w:noProof/>
                <w:webHidden/>
              </w:rPr>
              <w:fldChar w:fldCharType="begin"/>
            </w:r>
            <w:r w:rsidR="00302089">
              <w:rPr>
                <w:noProof/>
                <w:webHidden/>
              </w:rPr>
              <w:instrText xml:space="preserve"> PAGEREF _Toc77833836 \h </w:instrText>
            </w:r>
            <w:r w:rsidR="00302089">
              <w:rPr>
                <w:noProof/>
                <w:webHidden/>
              </w:rPr>
            </w:r>
            <w:r w:rsidR="00302089">
              <w:rPr>
                <w:noProof/>
                <w:webHidden/>
              </w:rPr>
              <w:fldChar w:fldCharType="separate"/>
            </w:r>
            <w:r>
              <w:rPr>
                <w:noProof/>
                <w:webHidden/>
              </w:rPr>
              <w:t>6</w:t>
            </w:r>
            <w:r w:rsidR="00302089">
              <w:rPr>
                <w:noProof/>
                <w:webHidden/>
              </w:rPr>
              <w:fldChar w:fldCharType="end"/>
            </w:r>
          </w:hyperlink>
        </w:p>
        <w:p w14:paraId="21328317" w14:textId="19824684" w:rsidR="00302089" w:rsidRDefault="00092FE5">
          <w:pPr>
            <w:pStyle w:val="TOC1"/>
            <w:tabs>
              <w:tab w:val="right" w:leader="dot" w:pos="9038"/>
            </w:tabs>
            <w:rPr>
              <w:noProof/>
              <w:lang w:eastAsia="en-AU"/>
            </w:rPr>
          </w:pPr>
          <w:hyperlink w:anchor="_Toc77833837" w:history="1">
            <w:r w:rsidR="00302089" w:rsidRPr="000B280D">
              <w:rPr>
                <w:rStyle w:val="Hyperlink"/>
                <w:noProof/>
              </w:rPr>
              <w:t>Local stakeholders and opportunities</w:t>
            </w:r>
            <w:r w:rsidR="00302089">
              <w:rPr>
                <w:noProof/>
                <w:webHidden/>
              </w:rPr>
              <w:tab/>
            </w:r>
            <w:r w:rsidR="00302089">
              <w:rPr>
                <w:noProof/>
                <w:webHidden/>
              </w:rPr>
              <w:fldChar w:fldCharType="begin"/>
            </w:r>
            <w:r w:rsidR="00302089">
              <w:rPr>
                <w:noProof/>
                <w:webHidden/>
              </w:rPr>
              <w:instrText xml:space="preserve"> PAGEREF _Toc77833837 \h </w:instrText>
            </w:r>
            <w:r w:rsidR="00302089">
              <w:rPr>
                <w:noProof/>
                <w:webHidden/>
              </w:rPr>
            </w:r>
            <w:r w:rsidR="00302089">
              <w:rPr>
                <w:noProof/>
                <w:webHidden/>
              </w:rPr>
              <w:fldChar w:fldCharType="separate"/>
            </w:r>
            <w:r>
              <w:rPr>
                <w:noProof/>
                <w:webHidden/>
              </w:rPr>
              <w:t>8</w:t>
            </w:r>
            <w:r w:rsidR="00302089">
              <w:rPr>
                <w:noProof/>
                <w:webHidden/>
              </w:rPr>
              <w:fldChar w:fldCharType="end"/>
            </w:r>
          </w:hyperlink>
        </w:p>
        <w:p w14:paraId="29DBC66C" w14:textId="39E05314" w:rsidR="00302089" w:rsidRDefault="00092FE5" w:rsidP="00370F37">
          <w:pPr>
            <w:pStyle w:val="TOC2"/>
            <w:tabs>
              <w:tab w:val="right" w:leader="dot" w:pos="9038"/>
            </w:tabs>
            <w:ind w:left="0"/>
            <w:rPr>
              <w:noProof/>
              <w:lang w:eastAsia="en-AU"/>
            </w:rPr>
          </w:pPr>
          <w:hyperlink w:anchor="_Toc77833838" w:history="1">
            <w:r w:rsidR="00302089" w:rsidRPr="000B280D">
              <w:rPr>
                <w:rStyle w:val="Hyperlink"/>
                <w:rFonts w:eastAsia="Times New Roman"/>
                <w:noProof/>
              </w:rPr>
              <w:t>Attachment A – Key employment and training priorities: strategies and stakeholders</w:t>
            </w:r>
            <w:r w:rsidR="00302089">
              <w:rPr>
                <w:noProof/>
                <w:webHidden/>
              </w:rPr>
              <w:tab/>
            </w:r>
            <w:r w:rsidR="00302089">
              <w:rPr>
                <w:noProof/>
                <w:webHidden/>
              </w:rPr>
              <w:fldChar w:fldCharType="begin"/>
            </w:r>
            <w:r w:rsidR="00302089">
              <w:rPr>
                <w:noProof/>
                <w:webHidden/>
              </w:rPr>
              <w:instrText xml:space="preserve"> PAGEREF _Toc77833838 \h </w:instrText>
            </w:r>
            <w:r w:rsidR="00302089">
              <w:rPr>
                <w:noProof/>
                <w:webHidden/>
              </w:rPr>
            </w:r>
            <w:r w:rsidR="00302089">
              <w:rPr>
                <w:noProof/>
                <w:webHidden/>
              </w:rPr>
              <w:fldChar w:fldCharType="separate"/>
            </w:r>
            <w:r>
              <w:rPr>
                <w:noProof/>
                <w:webHidden/>
              </w:rPr>
              <w:t>10</w:t>
            </w:r>
            <w:r w:rsidR="00302089">
              <w:rPr>
                <w:noProof/>
                <w:webHidden/>
              </w:rPr>
              <w:fldChar w:fldCharType="end"/>
            </w:r>
          </w:hyperlink>
        </w:p>
        <w:p w14:paraId="6F57F87F" w14:textId="44292C39" w:rsidR="00302089" w:rsidRDefault="00092FE5" w:rsidP="00370F37">
          <w:pPr>
            <w:pStyle w:val="TOC2"/>
            <w:tabs>
              <w:tab w:val="right" w:leader="dot" w:pos="9038"/>
            </w:tabs>
            <w:ind w:left="0"/>
            <w:rPr>
              <w:noProof/>
              <w:lang w:eastAsia="en-AU"/>
            </w:rPr>
          </w:pPr>
          <w:hyperlink w:anchor="_Toc77833839" w:history="1">
            <w:r w:rsidR="00302089" w:rsidRPr="000B280D">
              <w:rPr>
                <w:rStyle w:val="Hyperlink"/>
                <w:rFonts w:eastAsia="Times New Roman"/>
                <w:noProof/>
              </w:rPr>
              <w:t>Attachment B – Labour Market Data Dashboard (Month 2021)</w:t>
            </w:r>
            <w:r w:rsidR="00302089">
              <w:rPr>
                <w:noProof/>
                <w:webHidden/>
              </w:rPr>
              <w:tab/>
            </w:r>
            <w:r w:rsidR="00302089">
              <w:rPr>
                <w:noProof/>
                <w:webHidden/>
              </w:rPr>
              <w:fldChar w:fldCharType="begin"/>
            </w:r>
            <w:r w:rsidR="00302089">
              <w:rPr>
                <w:noProof/>
                <w:webHidden/>
              </w:rPr>
              <w:instrText xml:space="preserve"> PAGEREF _Toc77833839 \h </w:instrText>
            </w:r>
            <w:r w:rsidR="00302089">
              <w:rPr>
                <w:noProof/>
                <w:webHidden/>
              </w:rPr>
            </w:r>
            <w:r w:rsidR="00302089">
              <w:rPr>
                <w:noProof/>
                <w:webHidden/>
              </w:rPr>
              <w:fldChar w:fldCharType="separate"/>
            </w:r>
            <w:r>
              <w:rPr>
                <w:noProof/>
                <w:webHidden/>
              </w:rPr>
              <w:t>13</w:t>
            </w:r>
            <w:r w:rsidR="00302089">
              <w:rPr>
                <w:noProof/>
                <w:webHidden/>
              </w:rPr>
              <w:fldChar w:fldCharType="end"/>
            </w:r>
          </w:hyperlink>
        </w:p>
        <w:p w14:paraId="6A73EED9" w14:textId="1CE5031F" w:rsidR="006D4042" w:rsidRPr="007D1210" w:rsidRDefault="006D4042">
          <w:r w:rsidRPr="007D1210">
            <w:rPr>
              <w:b/>
              <w:bCs/>
            </w:rPr>
            <w:fldChar w:fldCharType="end"/>
          </w:r>
        </w:p>
      </w:sdtContent>
    </w:sdt>
    <w:p w14:paraId="7C6E4EA6" w14:textId="1822481B" w:rsidR="00BC25FD" w:rsidRDefault="00BC25FD"/>
    <w:p w14:paraId="6A0F055B" w14:textId="77777777" w:rsidR="00BB2899" w:rsidRDefault="00BB2899">
      <w:pPr>
        <w:rPr>
          <w:rFonts w:ascii="Calibri" w:eastAsia="Times New Roman" w:hAnsi="Calibri" w:cstheme="majorBidi"/>
          <w:color w:val="1D4289"/>
          <w:sz w:val="48"/>
          <w:szCs w:val="48"/>
        </w:rPr>
      </w:pPr>
      <w:bookmarkStart w:id="2" w:name="_Toc77833832"/>
      <w:r>
        <w:br w:type="page"/>
      </w:r>
    </w:p>
    <w:p w14:paraId="3E809D4D" w14:textId="1FCA9BE7" w:rsidR="00DA5F2A" w:rsidRPr="00646D7B" w:rsidRDefault="00DA5F2A" w:rsidP="00646D7B">
      <w:pPr>
        <w:spacing w:after="360" w:line="240" w:lineRule="auto"/>
        <w:jc w:val="center"/>
      </w:pPr>
      <w:r w:rsidRPr="00646D7B">
        <w:rPr>
          <w:color w:val="002060"/>
        </w:rPr>
        <w:lastRenderedPageBreak/>
        <w:t>The Department of Education, Skills and Employment acknowledges the traditional owners and custodians of country throughout Australia and acknowledges their continuing connection to land, water, and community. We pay our respects to the people, the cultures and the elders past, present and emerging.</w:t>
      </w:r>
    </w:p>
    <w:p w14:paraId="00439CAD" w14:textId="1664F47F" w:rsidR="00E1102E" w:rsidRDefault="00646D7B" w:rsidP="00370F37">
      <w:pPr>
        <w:pStyle w:val="Heading1"/>
        <w:rPr>
          <w:noProof w:val="0"/>
        </w:rPr>
      </w:pPr>
      <w:r>
        <w:rPr>
          <w:noProof w:val="0"/>
        </w:rPr>
        <w:t>The Local Jobs Program</w:t>
      </w:r>
    </w:p>
    <w:p w14:paraId="4652D7C8" w14:textId="6F09AA85" w:rsidR="00DC47F7" w:rsidRPr="008A1F43" w:rsidRDefault="00DC47F7" w:rsidP="00DC47F7">
      <w:pPr>
        <w:spacing w:before="120" w:after="120" w:line="257" w:lineRule="auto"/>
        <w:rPr>
          <w:rFonts w:eastAsia="Calibri" w:cstheme="minorHAnsi"/>
          <w:lang w:val="en-US"/>
        </w:rPr>
      </w:pPr>
      <w:r w:rsidRPr="008A1F43">
        <w:rPr>
          <w:rFonts w:eastAsia="Calibri" w:cstheme="minorHAnsi"/>
          <w:lang w:val="en-US"/>
        </w:rPr>
        <w:t xml:space="preserve">The Local Jobs Program (LJP) is an Australian Government initiative that brings together expertise, resources and access to funding at the local level as part of supporting Australia’s economic recovery from the COVID-19 pandemic. The </w:t>
      </w:r>
      <w:r w:rsidR="00D7126C">
        <w:rPr>
          <w:rFonts w:eastAsia="Calibri" w:cstheme="minorHAnsi"/>
          <w:lang w:val="en-US"/>
        </w:rPr>
        <w:t xml:space="preserve">Hobart and Southern Tasmania </w:t>
      </w:r>
      <w:r>
        <w:rPr>
          <w:rFonts w:eastAsia="Calibri" w:cstheme="minorHAnsi"/>
          <w:lang w:val="en-US"/>
        </w:rPr>
        <w:t xml:space="preserve">Region </w:t>
      </w:r>
      <w:r w:rsidRPr="008A1F43">
        <w:rPr>
          <w:rFonts w:eastAsia="Calibri" w:cstheme="minorHAnsi"/>
          <w:lang w:val="en-US"/>
        </w:rPr>
        <w:t xml:space="preserve">is one of </w:t>
      </w:r>
      <w:r>
        <w:rPr>
          <w:rFonts w:eastAsia="Calibri" w:cstheme="minorHAnsi"/>
          <w:lang w:val="en-US"/>
        </w:rPr>
        <w:t>51</w:t>
      </w:r>
      <w:r w:rsidRPr="008A1F43">
        <w:rPr>
          <w:rFonts w:eastAsia="Calibri" w:cstheme="minorHAnsi"/>
          <w:lang w:val="en-US"/>
        </w:rPr>
        <w:t xml:space="preserve"> </w:t>
      </w:r>
      <w:r>
        <w:rPr>
          <w:rFonts w:eastAsia="Calibri" w:cstheme="minorHAnsi"/>
          <w:lang w:val="en-US"/>
        </w:rPr>
        <w:t xml:space="preserve">Employment </w:t>
      </w:r>
      <w:r w:rsidRPr="008A1F43">
        <w:rPr>
          <w:rFonts w:eastAsia="Calibri" w:cstheme="minorHAnsi"/>
          <w:lang w:val="en-US"/>
        </w:rPr>
        <w:t>Regions which will see a focus on the reskilling, upskilling and generation of employment pathways for job seekers.</w:t>
      </w:r>
    </w:p>
    <w:p w14:paraId="732CDB5C" w14:textId="3CE61D4F" w:rsidR="00DC47F7" w:rsidRPr="008A1F43" w:rsidRDefault="00DC47F7" w:rsidP="00DC47F7">
      <w:pPr>
        <w:spacing w:before="120" w:after="120" w:line="257" w:lineRule="auto"/>
        <w:rPr>
          <w:rFonts w:eastAsia="Calibri" w:cstheme="minorHAnsi"/>
          <w:lang w:val="en-US"/>
        </w:rPr>
      </w:pPr>
      <w:r w:rsidRPr="008A1F43">
        <w:rPr>
          <w:rFonts w:eastAsia="Calibri" w:cstheme="minorHAnsi"/>
          <w:lang w:val="en-US"/>
        </w:rPr>
        <w:t xml:space="preserve">The LJP is </w:t>
      </w:r>
      <w:r w:rsidR="00D7126C" w:rsidRPr="008A1F43">
        <w:rPr>
          <w:rFonts w:eastAsia="Calibri" w:cstheme="minorHAnsi"/>
          <w:lang w:val="en-US"/>
        </w:rPr>
        <w:t>centered</w:t>
      </w:r>
      <w:r w:rsidRPr="008A1F43">
        <w:rPr>
          <w:rFonts w:eastAsia="Calibri" w:cstheme="minorHAnsi"/>
          <w:lang w:val="en-US"/>
        </w:rPr>
        <w:t xml:space="preserve"> on the development of a Local Jobs Plan (‘Plan’) that sets out the training and employment challenges and priorities of the region, and associated strategies that will drive the design and implementation of projects to be implemented to address these challenges. The Plan will be subject to revision and adjustment as priorities shift during the course of the LJP, with strategic input provided by </w:t>
      </w:r>
      <w:r w:rsidR="00D7126C">
        <w:rPr>
          <w:rFonts w:eastAsia="Calibri" w:cstheme="minorHAnsi"/>
          <w:lang w:val="en-US"/>
        </w:rPr>
        <w:t>the Hobart and Southern Tasmania</w:t>
      </w:r>
      <w:r>
        <w:rPr>
          <w:rFonts w:eastAsia="Calibri" w:cstheme="minorHAnsi"/>
          <w:lang w:val="en-US"/>
        </w:rPr>
        <w:t xml:space="preserve"> Region</w:t>
      </w:r>
      <w:r w:rsidRPr="008A1F43">
        <w:rPr>
          <w:rFonts w:eastAsia="Calibri" w:cstheme="minorHAnsi"/>
          <w:lang w:val="en-US"/>
        </w:rPr>
        <w:t xml:space="preserve"> Local Jobs and Skills Taskforce. Overall coordination of the Plan and its implementation is the responsibility of the </w:t>
      </w:r>
      <w:r w:rsidR="00D7126C">
        <w:rPr>
          <w:rFonts w:eastAsia="Calibri" w:cstheme="minorHAnsi"/>
          <w:lang w:val="en-US"/>
        </w:rPr>
        <w:t>Hobart and Southern Tasmania</w:t>
      </w:r>
      <w:r>
        <w:rPr>
          <w:rFonts w:eastAsia="Calibri" w:cstheme="minorHAnsi"/>
          <w:lang w:val="en-US"/>
        </w:rPr>
        <w:t xml:space="preserve"> Region </w:t>
      </w:r>
      <w:r w:rsidRPr="008A1F43">
        <w:rPr>
          <w:rFonts w:eastAsia="Calibri" w:cstheme="minorHAnsi"/>
          <w:lang w:val="en-US"/>
        </w:rPr>
        <w:t>Employment Facilitator.</w:t>
      </w:r>
    </w:p>
    <w:p w14:paraId="1AE8521C" w14:textId="77777777" w:rsidR="00DC47F7" w:rsidRPr="008A1F43" w:rsidRDefault="00DC47F7" w:rsidP="00DC47F7">
      <w:pPr>
        <w:spacing w:before="120" w:after="120" w:line="257" w:lineRule="auto"/>
        <w:rPr>
          <w:rFonts w:eastAsia="Calibri" w:cstheme="minorHAnsi"/>
          <w:lang w:val="en-US"/>
        </w:rPr>
      </w:pPr>
      <w:r w:rsidRPr="008A1F43">
        <w:rPr>
          <w:rFonts w:eastAsia="Calibri" w:cstheme="minorHAnsi"/>
          <w:lang w:val="en-US"/>
        </w:rPr>
        <w:t xml:space="preserve">Full details of the LJP can be found at </w:t>
      </w:r>
      <w:hyperlink r:id="rId10" w:history="1">
        <w:r w:rsidRPr="008A1F43">
          <w:rPr>
            <w:rStyle w:val="Hyperlink"/>
            <w:rFonts w:eastAsia="Calibri" w:cstheme="minorHAnsi"/>
            <w:lang w:val="en-US"/>
          </w:rPr>
          <w:t>www.dese.gov.au/local-jobs-program</w:t>
        </w:r>
      </w:hyperlink>
    </w:p>
    <w:p w14:paraId="5F50F384" w14:textId="6A16A6F0" w:rsidR="001173C3" w:rsidRPr="00DC47F7" w:rsidRDefault="001173C3" w:rsidP="001173C3">
      <w:r>
        <w:t xml:space="preserve">This is the second version of the Hobart and Southern Tasmania Local Jobs Plan. The first Local Jobs Plan was published in October 2020.  </w:t>
      </w:r>
    </w:p>
    <w:p w14:paraId="2C303DBE" w14:textId="57478D6E" w:rsidR="00986FAF" w:rsidRPr="00DC47F7" w:rsidRDefault="00986FAF" w:rsidP="00646D7B">
      <w:pPr>
        <w:pStyle w:val="Heading1"/>
      </w:pPr>
    </w:p>
    <w:p w14:paraId="56E4FB64" w14:textId="298D071E" w:rsidR="00B33404" w:rsidRDefault="00B33404" w:rsidP="00370F37">
      <w:pPr>
        <w:spacing w:after="240"/>
        <w:rPr>
          <w:rFonts w:eastAsiaTheme="minorHAnsi"/>
        </w:rPr>
      </w:pPr>
      <w:bookmarkStart w:id="3" w:name="_Toc24447236"/>
      <w:bookmarkEnd w:id="2"/>
    </w:p>
    <w:p w14:paraId="2256D0EF" w14:textId="38BFB38C" w:rsidR="00B33404" w:rsidRDefault="00B33404" w:rsidP="00370F37">
      <w:pPr>
        <w:spacing w:after="240"/>
        <w:rPr>
          <w:rFonts w:eastAsiaTheme="minorHAnsi"/>
        </w:rPr>
      </w:pPr>
    </w:p>
    <w:p w14:paraId="2D57DD33" w14:textId="3703D839" w:rsidR="00B33404" w:rsidRDefault="00B33404" w:rsidP="00370F37">
      <w:pPr>
        <w:spacing w:after="240"/>
        <w:rPr>
          <w:rFonts w:eastAsiaTheme="minorHAnsi"/>
        </w:rPr>
      </w:pPr>
    </w:p>
    <w:p w14:paraId="1AE48438" w14:textId="298AC445" w:rsidR="00B33404" w:rsidRDefault="00B33404" w:rsidP="00370F37">
      <w:pPr>
        <w:spacing w:after="240"/>
        <w:rPr>
          <w:rFonts w:eastAsiaTheme="minorHAnsi"/>
        </w:rPr>
      </w:pPr>
    </w:p>
    <w:p w14:paraId="0927EBF5" w14:textId="4B98626F" w:rsidR="00B33404" w:rsidRDefault="00B33404" w:rsidP="00370F37">
      <w:pPr>
        <w:spacing w:after="240"/>
        <w:rPr>
          <w:rFonts w:eastAsiaTheme="minorHAnsi"/>
        </w:rPr>
      </w:pPr>
    </w:p>
    <w:p w14:paraId="32DD26B6" w14:textId="77885ADC" w:rsidR="00B33404" w:rsidRDefault="00B33404" w:rsidP="00370F37">
      <w:pPr>
        <w:spacing w:after="240"/>
        <w:rPr>
          <w:rFonts w:eastAsiaTheme="minorHAnsi"/>
        </w:rPr>
      </w:pPr>
    </w:p>
    <w:p w14:paraId="2D59E8E3" w14:textId="3CF4C1E5" w:rsidR="00B33404" w:rsidRDefault="00B33404" w:rsidP="00370F37">
      <w:pPr>
        <w:spacing w:after="240"/>
        <w:rPr>
          <w:rFonts w:eastAsiaTheme="minorHAnsi"/>
        </w:rPr>
      </w:pPr>
    </w:p>
    <w:p w14:paraId="14BF32FB" w14:textId="4E03DAC7" w:rsidR="00B33404" w:rsidRDefault="00B33404" w:rsidP="00370F37">
      <w:pPr>
        <w:spacing w:after="240"/>
        <w:rPr>
          <w:rFonts w:eastAsiaTheme="minorHAnsi"/>
        </w:rPr>
      </w:pPr>
    </w:p>
    <w:p w14:paraId="04ECEE8C" w14:textId="7CA6BEAB" w:rsidR="00B33404" w:rsidRDefault="00B33404" w:rsidP="00370F37">
      <w:pPr>
        <w:spacing w:after="240"/>
        <w:rPr>
          <w:rFonts w:eastAsiaTheme="minorHAnsi"/>
        </w:rPr>
      </w:pPr>
    </w:p>
    <w:p w14:paraId="16DF1214" w14:textId="4CFF68A3" w:rsidR="00BB2899" w:rsidRDefault="00BB2899" w:rsidP="00370F37">
      <w:pPr>
        <w:rPr>
          <w:rFonts w:ascii="Calibri" w:eastAsia="Times New Roman" w:hAnsi="Calibri" w:cstheme="majorBidi"/>
          <w:color w:val="1D4289"/>
          <w:sz w:val="48"/>
          <w:szCs w:val="48"/>
        </w:rPr>
      </w:pPr>
      <w:bookmarkStart w:id="4" w:name="_Toc77833833"/>
      <w:r>
        <w:br w:type="page"/>
      </w:r>
    </w:p>
    <w:p w14:paraId="59EF42B5" w14:textId="30938040" w:rsidR="00E8481D" w:rsidRDefault="00E8481D" w:rsidP="00370F37">
      <w:pPr>
        <w:pStyle w:val="Heading1"/>
        <w:rPr>
          <w:noProof w:val="0"/>
        </w:rPr>
      </w:pPr>
      <w:r w:rsidRPr="007D1210">
        <w:rPr>
          <w:noProof w:val="0"/>
        </w:rPr>
        <w:lastRenderedPageBreak/>
        <w:t xml:space="preserve">Key </w:t>
      </w:r>
      <w:r w:rsidR="007D1210">
        <w:rPr>
          <w:noProof w:val="0"/>
        </w:rPr>
        <w:t>e</w:t>
      </w:r>
      <w:r w:rsidRPr="00C15FCF">
        <w:rPr>
          <w:noProof w:val="0"/>
        </w:rPr>
        <w:t xml:space="preserve">mployment and </w:t>
      </w:r>
      <w:r w:rsidR="007D1210">
        <w:rPr>
          <w:noProof w:val="0"/>
        </w:rPr>
        <w:t>t</w:t>
      </w:r>
      <w:r w:rsidRPr="00C15FCF">
        <w:rPr>
          <w:noProof w:val="0"/>
        </w:rPr>
        <w:t xml:space="preserve">raining </w:t>
      </w:r>
      <w:r w:rsidR="007D1210">
        <w:rPr>
          <w:noProof w:val="0"/>
        </w:rPr>
        <w:t>p</w:t>
      </w:r>
      <w:r w:rsidRPr="00C15FCF">
        <w:rPr>
          <w:noProof w:val="0"/>
        </w:rPr>
        <w:t>riorities</w:t>
      </w:r>
      <w:bookmarkEnd w:id="4"/>
    </w:p>
    <w:p w14:paraId="70DC25AE" w14:textId="1EB6E3C4" w:rsidR="00B33404" w:rsidRPr="00032F46" w:rsidRDefault="00B33404" w:rsidP="00370F37">
      <w:pPr>
        <w:pStyle w:val="ListParagraph"/>
        <w:numPr>
          <w:ilvl w:val="0"/>
          <w:numId w:val="7"/>
        </w:numPr>
        <w:spacing w:before="240" w:after="160"/>
        <w:rPr>
          <w:rFonts w:cstheme="minorHAnsi"/>
        </w:rPr>
      </w:pPr>
      <w:r w:rsidRPr="00032F46">
        <w:rPr>
          <w:rFonts w:cstheme="minorHAnsi"/>
          <w:b/>
          <w:bCs/>
        </w:rPr>
        <w:t>Facilitating the creation of pathways into growth industries facing labour supply shortages and issues including</w:t>
      </w:r>
      <w:r w:rsidRPr="00032F46">
        <w:rPr>
          <w:rFonts w:cstheme="minorHAnsi"/>
        </w:rPr>
        <w:t>:</w:t>
      </w:r>
    </w:p>
    <w:p w14:paraId="694CAB8B" w14:textId="77777777" w:rsidR="00972E97" w:rsidRPr="00032F46" w:rsidRDefault="00972E97" w:rsidP="00370F37">
      <w:pPr>
        <w:pStyle w:val="ListParagraph"/>
        <w:spacing w:before="240" w:after="160"/>
        <w:ind w:left="360"/>
        <w:rPr>
          <w:rFonts w:cstheme="minorHAnsi"/>
        </w:rPr>
      </w:pPr>
    </w:p>
    <w:p w14:paraId="489E67CA" w14:textId="77777777" w:rsidR="00B33404" w:rsidRPr="00032F46" w:rsidRDefault="00B33404" w:rsidP="00D777C9">
      <w:pPr>
        <w:pStyle w:val="ListParagraph"/>
        <w:numPr>
          <w:ilvl w:val="1"/>
          <w:numId w:val="37"/>
        </w:numPr>
        <w:spacing w:after="120"/>
        <w:rPr>
          <w:rFonts w:eastAsiaTheme="minorHAnsi"/>
        </w:rPr>
      </w:pPr>
      <w:r w:rsidRPr="00032F46">
        <w:rPr>
          <w:rFonts w:eastAsiaTheme="minorHAnsi"/>
        </w:rPr>
        <w:t>Tourism and hospitality</w:t>
      </w:r>
    </w:p>
    <w:p w14:paraId="000099A9" w14:textId="77777777" w:rsidR="00B33404" w:rsidRPr="00032F46" w:rsidRDefault="00B33404" w:rsidP="00D777C9">
      <w:pPr>
        <w:pStyle w:val="ListParagraph"/>
        <w:numPr>
          <w:ilvl w:val="1"/>
          <w:numId w:val="37"/>
        </w:numPr>
        <w:spacing w:after="120"/>
        <w:rPr>
          <w:rFonts w:eastAsiaTheme="minorHAnsi"/>
        </w:rPr>
      </w:pPr>
      <w:r w:rsidRPr="00032F46">
        <w:rPr>
          <w:rFonts w:eastAsiaTheme="minorHAnsi"/>
        </w:rPr>
        <w:t>Health care and social assistance</w:t>
      </w:r>
    </w:p>
    <w:p w14:paraId="3213A3BD" w14:textId="16EDA9EE" w:rsidR="00B33404" w:rsidRPr="00032F46" w:rsidRDefault="00B33404" w:rsidP="00D777C9">
      <w:pPr>
        <w:pStyle w:val="ListParagraph"/>
        <w:numPr>
          <w:ilvl w:val="1"/>
          <w:numId w:val="37"/>
        </w:numPr>
        <w:spacing w:after="120"/>
        <w:rPr>
          <w:rFonts w:eastAsiaTheme="minorHAnsi"/>
        </w:rPr>
      </w:pPr>
      <w:r w:rsidRPr="00032F46">
        <w:rPr>
          <w:rFonts w:eastAsiaTheme="minorHAnsi"/>
        </w:rPr>
        <w:t>Building and construction, including residential, commercial, and civil construction</w:t>
      </w:r>
    </w:p>
    <w:p w14:paraId="367D5E1B" w14:textId="77777777" w:rsidR="00B33404" w:rsidRPr="00032F46" w:rsidRDefault="00B33404" w:rsidP="00D777C9">
      <w:pPr>
        <w:pStyle w:val="ListParagraph"/>
        <w:numPr>
          <w:ilvl w:val="1"/>
          <w:numId w:val="37"/>
        </w:numPr>
        <w:spacing w:after="120"/>
        <w:rPr>
          <w:rFonts w:eastAsiaTheme="minorHAnsi"/>
        </w:rPr>
      </w:pPr>
      <w:r w:rsidRPr="00032F46">
        <w:rPr>
          <w:rFonts w:eastAsiaTheme="minorHAnsi"/>
        </w:rPr>
        <w:t>Transport and logistics</w:t>
      </w:r>
    </w:p>
    <w:p w14:paraId="02900E46" w14:textId="77777777" w:rsidR="00B33404" w:rsidRPr="00032F46" w:rsidRDefault="00B33404" w:rsidP="00D777C9">
      <w:pPr>
        <w:pStyle w:val="ListParagraph"/>
        <w:numPr>
          <w:ilvl w:val="1"/>
          <w:numId w:val="37"/>
        </w:numPr>
        <w:spacing w:after="120"/>
        <w:rPr>
          <w:rFonts w:eastAsiaTheme="minorHAnsi"/>
        </w:rPr>
      </w:pPr>
      <w:r w:rsidRPr="00032F46">
        <w:rPr>
          <w:rFonts w:eastAsiaTheme="minorHAnsi"/>
        </w:rPr>
        <w:t>Primary industries including fruit growers, vegetable growers, wine industry, dairy and wool growers and</w:t>
      </w:r>
    </w:p>
    <w:p w14:paraId="6B804C73" w14:textId="77777777" w:rsidR="00B33404" w:rsidRPr="00032F46" w:rsidRDefault="00B33404" w:rsidP="00D777C9">
      <w:pPr>
        <w:pStyle w:val="ListParagraph"/>
        <w:numPr>
          <w:ilvl w:val="1"/>
          <w:numId w:val="37"/>
        </w:numPr>
        <w:spacing w:after="120"/>
        <w:rPr>
          <w:rFonts w:eastAsiaTheme="minorHAnsi"/>
        </w:rPr>
      </w:pPr>
      <w:r w:rsidRPr="00032F46">
        <w:rPr>
          <w:rFonts w:eastAsiaTheme="minorHAnsi"/>
        </w:rPr>
        <w:t>Energy infrastructure including advanced manufacturing</w:t>
      </w:r>
    </w:p>
    <w:p w14:paraId="3401BA63" w14:textId="77777777" w:rsidR="00B33404" w:rsidRPr="00032F46" w:rsidRDefault="00B33404" w:rsidP="00370F37">
      <w:pPr>
        <w:pStyle w:val="ListParagraph"/>
        <w:spacing w:before="240" w:after="160"/>
        <w:ind w:left="1080"/>
        <w:rPr>
          <w:rFonts w:ascii="Calibri" w:hAnsi="Calibri" w:cstheme="minorHAnsi"/>
        </w:rPr>
      </w:pPr>
    </w:p>
    <w:p w14:paraId="7962153D" w14:textId="1ECB332F" w:rsidR="00972E97" w:rsidRPr="00032F46" w:rsidRDefault="00B33404" w:rsidP="00370F37">
      <w:pPr>
        <w:pStyle w:val="ListParagraph"/>
        <w:numPr>
          <w:ilvl w:val="0"/>
          <w:numId w:val="7"/>
        </w:numPr>
        <w:spacing w:before="240" w:after="160"/>
        <w:rPr>
          <w:rFonts w:cstheme="minorHAnsi"/>
        </w:rPr>
      </w:pPr>
      <w:r w:rsidRPr="00032F46">
        <w:rPr>
          <w:rFonts w:cstheme="minorHAnsi"/>
          <w:b/>
          <w:bCs/>
        </w:rPr>
        <w:t>Finding ways to address aspects of labour market disadvantage including:</w:t>
      </w:r>
    </w:p>
    <w:p w14:paraId="7477459F" w14:textId="77777777" w:rsidR="00972E97" w:rsidRPr="00032F46" w:rsidRDefault="00972E97" w:rsidP="00370F37">
      <w:pPr>
        <w:pStyle w:val="ListParagraph"/>
        <w:spacing w:before="240" w:after="160"/>
        <w:ind w:left="360"/>
        <w:rPr>
          <w:rFonts w:cstheme="minorHAnsi"/>
        </w:rPr>
      </w:pPr>
    </w:p>
    <w:p w14:paraId="6FD0654D" w14:textId="77777777" w:rsidR="00B33404" w:rsidRPr="00032F46" w:rsidRDefault="00B33404" w:rsidP="00D777C9">
      <w:pPr>
        <w:pStyle w:val="ListParagraph"/>
        <w:numPr>
          <w:ilvl w:val="0"/>
          <w:numId w:val="38"/>
        </w:numPr>
        <w:spacing w:after="120"/>
        <w:rPr>
          <w:rFonts w:eastAsiaTheme="minorHAnsi"/>
        </w:rPr>
      </w:pPr>
      <w:r w:rsidRPr="00032F46">
        <w:rPr>
          <w:rFonts w:eastAsiaTheme="minorHAnsi"/>
        </w:rPr>
        <w:t>Low educational attainment</w:t>
      </w:r>
    </w:p>
    <w:p w14:paraId="28CB31BC" w14:textId="77777777" w:rsidR="00B33404" w:rsidRPr="00032F46" w:rsidRDefault="00B33404" w:rsidP="00D777C9">
      <w:pPr>
        <w:pStyle w:val="ListParagraph"/>
        <w:numPr>
          <w:ilvl w:val="0"/>
          <w:numId w:val="38"/>
        </w:numPr>
        <w:spacing w:after="120"/>
        <w:rPr>
          <w:rFonts w:eastAsiaTheme="minorHAnsi"/>
        </w:rPr>
      </w:pPr>
      <w:r w:rsidRPr="00032F46">
        <w:rPr>
          <w:rFonts w:eastAsiaTheme="minorHAnsi"/>
        </w:rPr>
        <w:t>Low literacy and numeracy including digital literacy</w:t>
      </w:r>
    </w:p>
    <w:p w14:paraId="163FCF64" w14:textId="77777777" w:rsidR="00B33404" w:rsidRPr="00032F46" w:rsidRDefault="00B33404" w:rsidP="00D777C9">
      <w:pPr>
        <w:pStyle w:val="ListParagraph"/>
        <w:numPr>
          <w:ilvl w:val="0"/>
          <w:numId w:val="38"/>
        </w:numPr>
        <w:spacing w:after="120"/>
        <w:rPr>
          <w:rFonts w:eastAsiaTheme="minorHAnsi"/>
        </w:rPr>
      </w:pPr>
      <w:r w:rsidRPr="00032F46">
        <w:rPr>
          <w:rFonts w:eastAsiaTheme="minorHAnsi"/>
        </w:rPr>
        <w:t>Lack of work experience and employability skills</w:t>
      </w:r>
    </w:p>
    <w:p w14:paraId="2903FDDB" w14:textId="77777777" w:rsidR="00B33404" w:rsidRPr="00032F46" w:rsidRDefault="00B33404" w:rsidP="00D777C9">
      <w:pPr>
        <w:pStyle w:val="ListParagraph"/>
        <w:numPr>
          <w:ilvl w:val="0"/>
          <w:numId w:val="38"/>
        </w:numPr>
        <w:spacing w:after="120"/>
        <w:rPr>
          <w:rFonts w:eastAsiaTheme="minorHAnsi"/>
        </w:rPr>
      </w:pPr>
      <w:r w:rsidRPr="00032F46">
        <w:rPr>
          <w:rFonts w:eastAsiaTheme="minorHAnsi"/>
        </w:rPr>
        <w:t>Lack of technical skills required for entry level roles in growth industries</w:t>
      </w:r>
    </w:p>
    <w:p w14:paraId="192E7BD3" w14:textId="486B434A" w:rsidR="00B33404" w:rsidRPr="00032F46" w:rsidRDefault="00B33404" w:rsidP="00D777C9">
      <w:pPr>
        <w:pStyle w:val="ListParagraph"/>
        <w:numPr>
          <w:ilvl w:val="0"/>
          <w:numId w:val="38"/>
        </w:numPr>
        <w:spacing w:after="120"/>
        <w:rPr>
          <w:rFonts w:eastAsiaTheme="minorHAnsi"/>
        </w:rPr>
      </w:pPr>
      <w:r w:rsidRPr="00032F46">
        <w:rPr>
          <w:rFonts w:eastAsiaTheme="minorHAnsi"/>
        </w:rPr>
        <w:t>Access to transport for education and employment opportunities</w:t>
      </w:r>
    </w:p>
    <w:p w14:paraId="27510926" w14:textId="77777777" w:rsidR="00B33404" w:rsidRPr="00032F46" w:rsidRDefault="00B33404" w:rsidP="00370F37">
      <w:pPr>
        <w:pStyle w:val="ListParagraph"/>
        <w:spacing w:before="240" w:after="160"/>
        <w:ind w:left="1080"/>
        <w:rPr>
          <w:rFonts w:ascii="Calibri" w:hAnsi="Calibri" w:cstheme="minorHAnsi"/>
        </w:rPr>
      </w:pPr>
    </w:p>
    <w:p w14:paraId="19D53FA4" w14:textId="77777777" w:rsidR="00972E97" w:rsidRPr="00032F46" w:rsidRDefault="00B33404" w:rsidP="00370F37">
      <w:pPr>
        <w:pStyle w:val="ListParagraph"/>
        <w:numPr>
          <w:ilvl w:val="0"/>
          <w:numId w:val="7"/>
        </w:numPr>
        <w:spacing w:before="240" w:after="160"/>
        <w:rPr>
          <w:rFonts w:cstheme="minorHAnsi"/>
        </w:rPr>
      </w:pPr>
      <w:r w:rsidRPr="00032F46">
        <w:rPr>
          <w:rFonts w:cstheme="minorHAnsi"/>
          <w:b/>
          <w:bCs/>
        </w:rPr>
        <w:t>Identifying and promoting industry recognised micro-credentials* or skill sets, as well as opportunities for apprenticeships and traineeships</w:t>
      </w:r>
      <w:r w:rsidRPr="00032F46">
        <w:rPr>
          <w:rFonts w:cstheme="minorHAnsi"/>
        </w:rPr>
        <w:t xml:space="preserve">. </w:t>
      </w:r>
    </w:p>
    <w:p w14:paraId="3D22E993" w14:textId="77777777" w:rsidR="00972E97" w:rsidRPr="00032F46" w:rsidRDefault="00972E97" w:rsidP="00370F37">
      <w:pPr>
        <w:pStyle w:val="ListParagraph"/>
        <w:spacing w:before="240" w:after="160"/>
        <w:ind w:left="360"/>
        <w:rPr>
          <w:rFonts w:cstheme="minorHAnsi"/>
          <w:b/>
          <w:bCs/>
        </w:rPr>
      </w:pPr>
    </w:p>
    <w:p w14:paraId="6AD8B2D2" w14:textId="624B6F3D" w:rsidR="00B33404" w:rsidRPr="00032F46" w:rsidRDefault="00B33404" w:rsidP="00370F37">
      <w:pPr>
        <w:pStyle w:val="ListParagraph"/>
        <w:spacing w:before="240" w:after="160"/>
        <w:ind w:left="360"/>
        <w:rPr>
          <w:rFonts w:cstheme="minorHAnsi"/>
        </w:rPr>
      </w:pPr>
      <w:r w:rsidRPr="00032F46">
        <w:rPr>
          <w:rFonts w:cstheme="minorHAnsi"/>
        </w:rPr>
        <w:t>This includes facilitating and supporting unemployed and underemployed individuals to transition to new employment opportunities including through reskilling and upskilling aligned to local skill needs.</w:t>
      </w:r>
    </w:p>
    <w:p w14:paraId="02F76D1A" w14:textId="77777777" w:rsidR="008A6358" w:rsidRPr="00032F46" w:rsidRDefault="008A6358" w:rsidP="00370F37">
      <w:pPr>
        <w:pStyle w:val="ListParagraph"/>
        <w:spacing w:after="0"/>
        <w:ind w:left="360"/>
        <w:rPr>
          <w:rFonts w:cstheme="minorHAnsi"/>
        </w:rPr>
      </w:pPr>
    </w:p>
    <w:p w14:paraId="6D1BA6D5" w14:textId="77777777" w:rsidR="008A6358" w:rsidRPr="00032F46" w:rsidRDefault="00B33404" w:rsidP="00370F37">
      <w:pPr>
        <w:spacing w:after="0"/>
        <w:ind w:firstLine="426"/>
        <w:rPr>
          <w:rFonts w:ascii="Calibri" w:hAnsi="Calibri" w:cstheme="minorHAnsi"/>
        </w:rPr>
      </w:pPr>
      <w:r w:rsidRPr="00032F46">
        <w:rPr>
          <w:rFonts w:ascii="Calibri" w:hAnsi="Calibri" w:cstheme="minorHAnsi"/>
        </w:rPr>
        <w:t xml:space="preserve">* Micro-credentials are mini qualifications that provide skills, knowledge and/or experience for </w:t>
      </w:r>
      <w:r w:rsidR="008A6358" w:rsidRPr="00032F46">
        <w:rPr>
          <w:rFonts w:ascii="Calibri" w:hAnsi="Calibri" w:cstheme="minorHAnsi"/>
        </w:rPr>
        <w:t xml:space="preserve">           </w:t>
      </w:r>
    </w:p>
    <w:p w14:paraId="16510F16" w14:textId="11E7CE55" w:rsidR="00B33404" w:rsidRPr="00032F46" w:rsidRDefault="008A6358" w:rsidP="00370F37">
      <w:pPr>
        <w:spacing w:after="0"/>
        <w:ind w:firstLine="426"/>
        <w:rPr>
          <w:rFonts w:ascii="Calibri" w:hAnsi="Calibri" w:cstheme="minorHAnsi"/>
        </w:rPr>
      </w:pPr>
      <w:r w:rsidRPr="00032F46">
        <w:rPr>
          <w:rFonts w:ascii="Calibri" w:hAnsi="Calibri" w:cstheme="minorHAnsi"/>
        </w:rPr>
        <w:t xml:space="preserve">  </w:t>
      </w:r>
      <w:r w:rsidR="00B33404" w:rsidRPr="00032F46">
        <w:rPr>
          <w:rFonts w:ascii="Calibri" w:hAnsi="Calibri" w:cstheme="minorHAnsi"/>
        </w:rPr>
        <w:t>individuals in a particular industry or area.</w:t>
      </w:r>
    </w:p>
    <w:p w14:paraId="3EBC8EF1" w14:textId="77777777" w:rsidR="00B33404" w:rsidRPr="00032F46" w:rsidRDefault="00B33404" w:rsidP="00370F37">
      <w:pPr>
        <w:pStyle w:val="ListParagraph"/>
        <w:spacing w:before="240" w:after="160"/>
        <w:ind w:left="360"/>
        <w:rPr>
          <w:rFonts w:ascii="Calibri" w:hAnsi="Calibri" w:cstheme="minorHAnsi"/>
        </w:rPr>
      </w:pPr>
    </w:p>
    <w:p w14:paraId="3F3B9541" w14:textId="56015A27" w:rsidR="00972E97" w:rsidRPr="00032F46" w:rsidRDefault="00B33404" w:rsidP="00370F37">
      <w:pPr>
        <w:pStyle w:val="ListParagraph"/>
        <w:numPr>
          <w:ilvl w:val="0"/>
          <w:numId w:val="7"/>
        </w:numPr>
        <w:spacing w:before="240" w:after="160"/>
        <w:rPr>
          <w:rFonts w:cstheme="minorHAnsi"/>
        </w:rPr>
      </w:pPr>
      <w:r w:rsidRPr="00032F46">
        <w:rPr>
          <w:rFonts w:cstheme="minorHAnsi"/>
          <w:b/>
          <w:bCs/>
        </w:rPr>
        <w:t>Brokering opportunities for collaboration between key stakeholders</w:t>
      </w:r>
      <w:r w:rsidRPr="00032F46">
        <w:rPr>
          <w:rFonts w:cstheme="minorHAnsi"/>
        </w:rPr>
        <w:t xml:space="preserve"> </w:t>
      </w:r>
      <w:r w:rsidRPr="00032F46">
        <w:rPr>
          <w:rFonts w:cstheme="minorHAnsi"/>
          <w:b/>
          <w:bCs/>
        </w:rPr>
        <w:t>in the Region</w:t>
      </w:r>
      <w:r w:rsidR="008A6358" w:rsidRPr="00032F46">
        <w:rPr>
          <w:rFonts w:cstheme="minorHAnsi"/>
          <w:b/>
          <w:bCs/>
        </w:rPr>
        <w:t>.</w:t>
      </w:r>
      <w:r w:rsidRPr="00032F46">
        <w:rPr>
          <w:rFonts w:cstheme="minorHAnsi"/>
        </w:rPr>
        <w:t xml:space="preserve"> </w:t>
      </w:r>
    </w:p>
    <w:p w14:paraId="171C3321" w14:textId="77777777" w:rsidR="00972E97" w:rsidRPr="00032F46" w:rsidRDefault="00972E97" w:rsidP="00370F37">
      <w:pPr>
        <w:pStyle w:val="ListParagraph"/>
        <w:spacing w:before="240" w:after="160"/>
        <w:ind w:left="360"/>
        <w:rPr>
          <w:rFonts w:cstheme="minorHAnsi"/>
        </w:rPr>
      </w:pPr>
    </w:p>
    <w:p w14:paraId="62C4861F" w14:textId="168AF7F8" w:rsidR="00B33404" w:rsidRPr="00032F46" w:rsidRDefault="00972E97" w:rsidP="00370F37">
      <w:pPr>
        <w:pStyle w:val="ListParagraph"/>
        <w:spacing w:before="240" w:after="160"/>
        <w:ind w:left="360"/>
        <w:rPr>
          <w:rFonts w:cstheme="minorHAnsi"/>
        </w:rPr>
      </w:pPr>
      <w:r w:rsidRPr="00032F46">
        <w:rPr>
          <w:rFonts w:cstheme="minorHAnsi"/>
        </w:rPr>
        <w:t>T</w:t>
      </w:r>
      <w:r w:rsidR="00B33404" w:rsidRPr="00032F46">
        <w:rPr>
          <w:rFonts w:cstheme="minorHAnsi"/>
        </w:rPr>
        <w:t>o ensure opportunities are maximised for local job seekers to fill local positions and to create a sustainable pipeline of skilled workers to meet the needs of industry.</w:t>
      </w:r>
    </w:p>
    <w:p w14:paraId="60777E1A" w14:textId="4D3BB088" w:rsidR="00C15FCF" w:rsidRDefault="00C15FCF" w:rsidP="00370F37">
      <w:pPr>
        <w:spacing w:after="120"/>
      </w:pPr>
    </w:p>
    <w:p w14:paraId="05F03B49" w14:textId="369CD7C5" w:rsidR="00C15FCF" w:rsidRDefault="00C15FCF" w:rsidP="00370F37">
      <w:pPr>
        <w:spacing w:after="120"/>
      </w:pPr>
    </w:p>
    <w:p w14:paraId="3A0E5EE8" w14:textId="545BC8EA" w:rsidR="00B33404" w:rsidRDefault="00B33404" w:rsidP="00370F37">
      <w:pPr>
        <w:spacing w:after="120"/>
      </w:pPr>
    </w:p>
    <w:p w14:paraId="20CE3E3C" w14:textId="7C5B0F21" w:rsidR="002B7D2A" w:rsidRDefault="002B7D2A" w:rsidP="00370F37">
      <w:pPr>
        <w:pStyle w:val="Heading1"/>
        <w:rPr>
          <w:noProof w:val="0"/>
        </w:rPr>
      </w:pPr>
      <w:bookmarkStart w:id="5" w:name="_Toc77833834"/>
    </w:p>
    <w:p w14:paraId="4C605B73" w14:textId="27A12B5D" w:rsidR="00032F46" w:rsidRDefault="00032F46" w:rsidP="00032F46"/>
    <w:p w14:paraId="6D09476E" w14:textId="77777777" w:rsidR="00032F46" w:rsidRPr="00032F46" w:rsidRDefault="00032F46" w:rsidP="00032F46"/>
    <w:p w14:paraId="250EBCED" w14:textId="29962501" w:rsidR="00E7363F" w:rsidRDefault="00E7363F" w:rsidP="00370F37">
      <w:pPr>
        <w:pStyle w:val="Heading1"/>
        <w:rPr>
          <w:rStyle w:val="Heading1Char"/>
          <w:rFonts w:eastAsiaTheme="minorEastAsia"/>
          <w:lang w:val="en"/>
        </w:rPr>
      </w:pPr>
      <w:r w:rsidRPr="00646D7B">
        <w:rPr>
          <w:noProof w:val="0"/>
        </w:rPr>
        <w:lastRenderedPageBreak/>
        <w:t xml:space="preserve">Employment Region </w:t>
      </w:r>
      <w:r w:rsidR="007D1210" w:rsidRPr="00646D7B">
        <w:rPr>
          <w:noProof w:val="0"/>
        </w:rPr>
        <w:t>o</w:t>
      </w:r>
      <w:r w:rsidRPr="00646D7B">
        <w:rPr>
          <w:noProof w:val="0"/>
        </w:rPr>
        <w:t>verview</w:t>
      </w:r>
      <w:bookmarkEnd w:id="5"/>
    </w:p>
    <w:p w14:paraId="269B79A0" w14:textId="782C323A" w:rsidR="00DC47F7" w:rsidRDefault="00DC47F7" w:rsidP="00DC47F7">
      <w:pPr>
        <w:spacing w:before="120" w:after="120" w:line="256" w:lineRule="auto"/>
        <w:rPr>
          <w:rFonts w:ascii="Calibri" w:hAnsi="Calibri" w:cstheme="minorHAnsi"/>
        </w:rPr>
      </w:pPr>
      <w:r>
        <w:rPr>
          <w:rFonts w:ascii="Calibri" w:hAnsi="Calibri" w:cstheme="minorHAnsi"/>
        </w:rPr>
        <w:t xml:space="preserve">The Hobart and Southern Tasmania Employment Region comprises </w:t>
      </w:r>
      <w:r w:rsidR="00406138">
        <w:rPr>
          <w:rFonts w:ascii="Calibri" w:hAnsi="Calibri" w:cstheme="minorHAnsi"/>
        </w:rPr>
        <w:t>eight</w:t>
      </w:r>
      <w:r>
        <w:rPr>
          <w:rFonts w:ascii="Calibri" w:hAnsi="Calibri" w:cstheme="minorHAnsi"/>
        </w:rPr>
        <w:t xml:space="preserve"> of the State’s Local Government Areas (LGAs), with its northern borders of Glamorgan-Spring Bay and the Central Highlands. The western border aligns with the eastern side of the West Coast LGA boundary.</w:t>
      </w:r>
    </w:p>
    <w:p w14:paraId="5035F4C2" w14:textId="045766C9" w:rsidR="00DC47F7" w:rsidRDefault="00DC47F7" w:rsidP="00DC47F7">
      <w:pPr>
        <w:rPr>
          <w:rFonts w:ascii="Calibri" w:hAnsi="Calibri" w:cstheme="minorHAnsi"/>
        </w:rPr>
      </w:pPr>
      <w:r>
        <w:rPr>
          <w:rFonts w:ascii="Calibri" w:hAnsi="Calibri" w:cstheme="minorHAnsi"/>
        </w:rPr>
        <w:t xml:space="preserve">Greater Hobart Area (consisting </w:t>
      </w:r>
      <w:r w:rsidR="00646D7B">
        <w:rPr>
          <w:rFonts w:ascii="Calibri" w:hAnsi="Calibri" w:cstheme="minorHAnsi"/>
        </w:rPr>
        <w:t>of Brighton</w:t>
      </w:r>
      <w:r>
        <w:rPr>
          <w:rFonts w:ascii="Calibri" w:hAnsi="Calibri" w:cstheme="minorHAnsi"/>
        </w:rPr>
        <w:t>, Clarence, Hobart, Glenorchy and Kingborough LGAs) includes the State’s capital city and largest population centre, and accounts for 81 per cent (213,293) of the region’s population of 263,642</w:t>
      </w:r>
      <w:r>
        <w:rPr>
          <w:rStyle w:val="FootnoteReference"/>
          <w:rFonts w:ascii="Calibri" w:hAnsi="Calibri" w:cstheme="minorHAnsi"/>
        </w:rPr>
        <w:footnoteReference w:id="1"/>
      </w:r>
      <w:r>
        <w:rPr>
          <w:rFonts w:ascii="Calibri" w:hAnsi="Calibri" w:cstheme="minorHAnsi"/>
        </w:rPr>
        <w:t>.</w:t>
      </w:r>
    </w:p>
    <w:p w14:paraId="654C74E9" w14:textId="78F7363D" w:rsidR="00646D7B" w:rsidRPr="00646D7B" w:rsidRDefault="00162816" w:rsidP="00032F46">
      <w:pPr>
        <w:pStyle w:val="Caption"/>
        <w:keepNext/>
      </w:pPr>
      <w:r>
        <w:t xml:space="preserve">Figure </w:t>
      </w:r>
      <w:r w:rsidR="00092FE5">
        <w:fldChar w:fldCharType="begin"/>
      </w:r>
      <w:r w:rsidR="00092FE5">
        <w:instrText xml:space="preserve"> SEQ Figure \* ARABIC </w:instrText>
      </w:r>
      <w:r w:rsidR="00092FE5">
        <w:fldChar w:fldCharType="separate"/>
      </w:r>
      <w:r w:rsidR="00092FE5">
        <w:rPr>
          <w:noProof/>
        </w:rPr>
        <w:t>1</w:t>
      </w:r>
      <w:r w:rsidR="00092FE5">
        <w:rPr>
          <w:noProof/>
        </w:rPr>
        <w:fldChar w:fldCharType="end"/>
      </w:r>
      <w:r>
        <w:t xml:space="preserve"> Hobart and Southern Tasmania</w:t>
      </w:r>
      <w:r w:rsidR="00602320">
        <w:t xml:space="preserve"> Employment Region</w:t>
      </w:r>
    </w:p>
    <w:p w14:paraId="1F30835F" w14:textId="51A182E7" w:rsidR="00162816" w:rsidRDefault="00162816" w:rsidP="003E00B5">
      <w:pPr>
        <w:rPr>
          <w:lang w:val="en"/>
        </w:rPr>
      </w:pPr>
      <w:r>
        <w:rPr>
          <w:rFonts w:ascii="Open Sans Light" w:hAnsi="Open Sans Light" w:cs="Open Sans Light"/>
          <w:noProof/>
          <w:sz w:val="21"/>
          <w:szCs w:val="21"/>
        </w:rPr>
        <w:drawing>
          <wp:inline distT="0" distB="0" distL="0" distR="0" wp14:anchorId="3C27B0B5" wp14:editId="59B2F2F5">
            <wp:extent cx="2924175" cy="3086100"/>
            <wp:effectExtent l="0" t="0" r="9525" b="0"/>
            <wp:docPr id="3" name="Picture 3" descr="Map of the Hobart and Southern Tasmania Employment Reg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of the Hobart and Southern Tasmania Employment Regi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3086100"/>
                    </a:xfrm>
                    <a:prstGeom prst="rect">
                      <a:avLst/>
                    </a:prstGeom>
                    <a:noFill/>
                    <a:ln>
                      <a:noFill/>
                    </a:ln>
                  </pic:spPr>
                </pic:pic>
              </a:graphicData>
            </a:graphic>
          </wp:inline>
        </w:drawing>
      </w:r>
    </w:p>
    <w:p w14:paraId="4906AF82" w14:textId="134FEAA0" w:rsidR="00B33404" w:rsidRDefault="00B33404" w:rsidP="00370F37">
      <w:pPr>
        <w:spacing w:after="0"/>
        <w:rPr>
          <w:rFonts w:cstheme="minorHAnsi"/>
          <w:lang w:val="en"/>
        </w:rPr>
      </w:pPr>
      <w:r>
        <w:rPr>
          <w:rFonts w:ascii="Calibri" w:hAnsi="Calibri" w:cstheme="minorHAnsi"/>
        </w:rPr>
        <w:t xml:space="preserve">The </w:t>
      </w:r>
      <w:r>
        <w:rPr>
          <w:rFonts w:cstheme="minorHAnsi"/>
        </w:rPr>
        <w:t xml:space="preserve">Hobart and Southern Tasmania Employment Region </w:t>
      </w:r>
      <w:r w:rsidRPr="00055510">
        <w:rPr>
          <w:rFonts w:cstheme="minorHAnsi"/>
        </w:rPr>
        <w:t xml:space="preserve">covers </w:t>
      </w:r>
      <w:r w:rsidR="00C85A29" w:rsidRPr="00055510">
        <w:rPr>
          <w:rFonts w:cstheme="minorHAnsi"/>
        </w:rPr>
        <w:t>12</w:t>
      </w:r>
      <w:r w:rsidRPr="00055510">
        <w:rPr>
          <w:rFonts w:cstheme="minorHAnsi"/>
        </w:rPr>
        <w:t xml:space="preserve"> Local</w:t>
      </w:r>
      <w:r>
        <w:rPr>
          <w:rFonts w:cstheme="minorHAnsi"/>
        </w:rPr>
        <w:t xml:space="preserve"> Government Areas including:</w:t>
      </w:r>
    </w:p>
    <w:tbl>
      <w:tblPr>
        <w:tblW w:w="9172" w:type="dxa"/>
        <w:tblLook w:val="04A0" w:firstRow="1" w:lastRow="0" w:firstColumn="1" w:lastColumn="0" w:noHBand="0" w:noVBand="1"/>
      </w:tblPr>
      <w:tblGrid>
        <w:gridCol w:w="4586"/>
        <w:gridCol w:w="4586"/>
      </w:tblGrid>
      <w:tr w:rsidR="00B33404" w:rsidRPr="00055510" w14:paraId="0EE1E9F7" w14:textId="77777777" w:rsidTr="00B6460D">
        <w:trPr>
          <w:trHeight w:val="355"/>
        </w:trPr>
        <w:tc>
          <w:tcPr>
            <w:tcW w:w="4586" w:type="dxa"/>
            <w:hideMark/>
          </w:tcPr>
          <w:p w14:paraId="2087EFC9" w14:textId="6A2A214F" w:rsidR="00C85A29" w:rsidRPr="00055510" w:rsidRDefault="00B33404" w:rsidP="00B6460D">
            <w:pPr>
              <w:pStyle w:val="ListParagraph"/>
              <w:numPr>
                <w:ilvl w:val="0"/>
                <w:numId w:val="8"/>
              </w:numPr>
              <w:spacing w:after="0"/>
              <w:rPr>
                <w:rFonts w:cstheme="minorHAnsi"/>
              </w:rPr>
            </w:pPr>
            <w:r w:rsidRPr="00055510">
              <w:rPr>
                <w:rFonts w:cstheme="minorHAnsi"/>
              </w:rPr>
              <w:t>Brighton</w:t>
            </w:r>
          </w:p>
        </w:tc>
        <w:tc>
          <w:tcPr>
            <w:tcW w:w="4586" w:type="dxa"/>
            <w:hideMark/>
          </w:tcPr>
          <w:p w14:paraId="1A06B888" w14:textId="4B1AC84A" w:rsidR="00B33404" w:rsidRPr="00055510" w:rsidRDefault="00B6460D" w:rsidP="00B6460D">
            <w:pPr>
              <w:pStyle w:val="ListParagraph"/>
              <w:numPr>
                <w:ilvl w:val="0"/>
                <w:numId w:val="9"/>
              </w:numPr>
              <w:spacing w:after="0"/>
              <w:rPr>
                <w:rFonts w:cstheme="minorHAnsi"/>
              </w:rPr>
            </w:pPr>
            <w:r w:rsidRPr="00055510">
              <w:rPr>
                <w:rFonts w:cstheme="minorHAnsi"/>
              </w:rPr>
              <w:t>Hobart</w:t>
            </w:r>
          </w:p>
        </w:tc>
      </w:tr>
      <w:tr w:rsidR="00B33404" w:rsidRPr="00055510" w14:paraId="774D341A" w14:textId="77777777" w:rsidTr="00B6460D">
        <w:trPr>
          <w:trHeight w:val="355"/>
        </w:trPr>
        <w:tc>
          <w:tcPr>
            <w:tcW w:w="4586" w:type="dxa"/>
            <w:hideMark/>
          </w:tcPr>
          <w:p w14:paraId="0BD950D2" w14:textId="77777777" w:rsidR="00B33404" w:rsidRPr="00055510" w:rsidRDefault="00B33404" w:rsidP="00B6460D">
            <w:pPr>
              <w:pStyle w:val="ListParagraph"/>
              <w:numPr>
                <w:ilvl w:val="0"/>
                <w:numId w:val="9"/>
              </w:numPr>
              <w:spacing w:after="0"/>
              <w:rPr>
                <w:rFonts w:cstheme="minorHAnsi"/>
              </w:rPr>
            </w:pPr>
            <w:r w:rsidRPr="00055510">
              <w:rPr>
                <w:rFonts w:cstheme="minorHAnsi"/>
              </w:rPr>
              <w:t>Central Highlands</w:t>
            </w:r>
          </w:p>
        </w:tc>
        <w:tc>
          <w:tcPr>
            <w:tcW w:w="4586" w:type="dxa"/>
            <w:hideMark/>
          </w:tcPr>
          <w:p w14:paraId="2AFE4296" w14:textId="24B37406" w:rsidR="00B33404" w:rsidRPr="00055510" w:rsidRDefault="00B6460D" w:rsidP="00B6460D">
            <w:pPr>
              <w:pStyle w:val="ListParagraph"/>
              <w:numPr>
                <w:ilvl w:val="0"/>
                <w:numId w:val="9"/>
              </w:numPr>
              <w:spacing w:after="0"/>
              <w:rPr>
                <w:rFonts w:cstheme="minorHAnsi"/>
              </w:rPr>
            </w:pPr>
            <w:r w:rsidRPr="00055510">
              <w:rPr>
                <w:rFonts w:cstheme="minorHAnsi"/>
              </w:rPr>
              <w:t>Huon Valley</w:t>
            </w:r>
          </w:p>
        </w:tc>
      </w:tr>
      <w:tr w:rsidR="00B6460D" w:rsidRPr="00055510" w14:paraId="03B91773" w14:textId="77777777" w:rsidTr="00B6460D">
        <w:trPr>
          <w:trHeight w:val="355"/>
        </w:trPr>
        <w:tc>
          <w:tcPr>
            <w:tcW w:w="4586" w:type="dxa"/>
          </w:tcPr>
          <w:p w14:paraId="43A541F8" w14:textId="3E83C178" w:rsidR="00B6460D" w:rsidRPr="00055510" w:rsidRDefault="00B6460D" w:rsidP="00B6460D">
            <w:pPr>
              <w:pStyle w:val="ListParagraph"/>
              <w:numPr>
                <w:ilvl w:val="0"/>
                <w:numId w:val="9"/>
              </w:numPr>
              <w:spacing w:after="0"/>
              <w:rPr>
                <w:rFonts w:cstheme="minorHAnsi"/>
              </w:rPr>
            </w:pPr>
            <w:r w:rsidRPr="00055510">
              <w:rPr>
                <w:rFonts w:cstheme="minorHAnsi"/>
              </w:rPr>
              <w:t>Clarence</w:t>
            </w:r>
          </w:p>
        </w:tc>
        <w:tc>
          <w:tcPr>
            <w:tcW w:w="4586" w:type="dxa"/>
          </w:tcPr>
          <w:p w14:paraId="35E094CC" w14:textId="29E716BD" w:rsidR="00B6460D" w:rsidRPr="00055510" w:rsidRDefault="00B6460D" w:rsidP="00B6460D">
            <w:pPr>
              <w:pStyle w:val="ListParagraph"/>
              <w:numPr>
                <w:ilvl w:val="0"/>
                <w:numId w:val="9"/>
              </w:numPr>
              <w:spacing w:after="0"/>
              <w:rPr>
                <w:rFonts w:cstheme="minorHAnsi"/>
              </w:rPr>
            </w:pPr>
            <w:r w:rsidRPr="00055510">
              <w:rPr>
                <w:rFonts w:cstheme="minorHAnsi"/>
              </w:rPr>
              <w:t>Kingborough</w:t>
            </w:r>
          </w:p>
        </w:tc>
      </w:tr>
      <w:tr w:rsidR="00B6460D" w:rsidRPr="00055510" w14:paraId="199B844B" w14:textId="77777777" w:rsidTr="00B6460D">
        <w:trPr>
          <w:trHeight w:val="355"/>
        </w:trPr>
        <w:tc>
          <w:tcPr>
            <w:tcW w:w="4586" w:type="dxa"/>
            <w:hideMark/>
          </w:tcPr>
          <w:p w14:paraId="67D4D1D0" w14:textId="77777777" w:rsidR="00B6460D" w:rsidRPr="00055510" w:rsidRDefault="00B6460D" w:rsidP="00B6460D">
            <w:pPr>
              <w:pStyle w:val="ListParagraph"/>
              <w:numPr>
                <w:ilvl w:val="0"/>
                <w:numId w:val="9"/>
              </w:numPr>
              <w:spacing w:after="0"/>
              <w:rPr>
                <w:rFonts w:cstheme="minorHAnsi"/>
              </w:rPr>
            </w:pPr>
            <w:r w:rsidRPr="00055510">
              <w:rPr>
                <w:rFonts w:cstheme="minorHAnsi"/>
              </w:rPr>
              <w:t>Derwent Valley</w:t>
            </w:r>
          </w:p>
        </w:tc>
        <w:tc>
          <w:tcPr>
            <w:tcW w:w="4586" w:type="dxa"/>
          </w:tcPr>
          <w:p w14:paraId="6A8208E1" w14:textId="3CEFC794" w:rsidR="00B6460D" w:rsidRPr="00055510" w:rsidRDefault="00B6460D" w:rsidP="00B6460D">
            <w:pPr>
              <w:pStyle w:val="ListParagraph"/>
              <w:numPr>
                <w:ilvl w:val="0"/>
                <w:numId w:val="9"/>
              </w:numPr>
              <w:spacing w:after="0"/>
              <w:rPr>
                <w:rFonts w:cstheme="minorHAnsi"/>
              </w:rPr>
            </w:pPr>
            <w:r w:rsidRPr="00055510">
              <w:rPr>
                <w:rFonts w:cstheme="minorHAnsi"/>
              </w:rPr>
              <w:t>Sorell</w:t>
            </w:r>
          </w:p>
        </w:tc>
      </w:tr>
      <w:tr w:rsidR="00B6460D" w:rsidRPr="00055510" w14:paraId="49CF087C" w14:textId="77777777" w:rsidTr="00B6460D">
        <w:trPr>
          <w:trHeight w:val="355"/>
        </w:trPr>
        <w:tc>
          <w:tcPr>
            <w:tcW w:w="4586" w:type="dxa"/>
            <w:hideMark/>
          </w:tcPr>
          <w:p w14:paraId="7E2F01F1" w14:textId="77777777" w:rsidR="00B6460D" w:rsidRPr="00055510" w:rsidRDefault="00B6460D" w:rsidP="00B6460D">
            <w:pPr>
              <w:pStyle w:val="ListParagraph"/>
              <w:numPr>
                <w:ilvl w:val="0"/>
                <w:numId w:val="9"/>
              </w:numPr>
              <w:spacing w:after="0"/>
              <w:rPr>
                <w:rFonts w:cstheme="minorHAnsi"/>
              </w:rPr>
            </w:pPr>
            <w:r w:rsidRPr="00055510">
              <w:rPr>
                <w:rFonts w:cstheme="minorHAnsi"/>
              </w:rPr>
              <w:t>Glamorgan Spring Bay</w:t>
            </w:r>
          </w:p>
        </w:tc>
        <w:tc>
          <w:tcPr>
            <w:tcW w:w="4586" w:type="dxa"/>
          </w:tcPr>
          <w:p w14:paraId="6C6A6C70" w14:textId="3938385F" w:rsidR="00B6460D" w:rsidRPr="00055510" w:rsidRDefault="00B6460D" w:rsidP="00B6460D">
            <w:pPr>
              <w:pStyle w:val="ListParagraph"/>
              <w:numPr>
                <w:ilvl w:val="0"/>
                <w:numId w:val="9"/>
              </w:numPr>
              <w:spacing w:after="0"/>
              <w:rPr>
                <w:rFonts w:cstheme="minorHAnsi"/>
              </w:rPr>
            </w:pPr>
            <w:r w:rsidRPr="00055510">
              <w:rPr>
                <w:rFonts w:cstheme="minorHAnsi"/>
              </w:rPr>
              <w:t>Southern Midlands</w:t>
            </w:r>
          </w:p>
        </w:tc>
      </w:tr>
      <w:tr w:rsidR="00B6460D" w:rsidRPr="00055510" w14:paraId="751ED1A4" w14:textId="77777777" w:rsidTr="00B6460D">
        <w:trPr>
          <w:trHeight w:val="355"/>
        </w:trPr>
        <w:tc>
          <w:tcPr>
            <w:tcW w:w="4586" w:type="dxa"/>
          </w:tcPr>
          <w:p w14:paraId="16AD09EF" w14:textId="4EEBAB5E" w:rsidR="00B6460D" w:rsidRPr="00055510" w:rsidRDefault="00B6460D" w:rsidP="00B6460D">
            <w:pPr>
              <w:pStyle w:val="ListParagraph"/>
              <w:numPr>
                <w:ilvl w:val="0"/>
                <w:numId w:val="9"/>
              </w:numPr>
              <w:spacing w:after="0"/>
              <w:rPr>
                <w:rFonts w:cstheme="minorHAnsi"/>
              </w:rPr>
            </w:pPr>
            <w:r w:rsidRPr="00055510">
              <w:rPr>
                <w:rFonts w:cstheme="minorHAnsi"/>
              </w:rPr>
              <w:t>Glenorchy</w:t>
            </w:r>
          </w:p>
        </w:tc>
        <w:tc>
          <w:tcPr>
            <w:tcW w:w="4586" w:type="dxa"/>
          </w:tcPr>
          <w:p w14:paraId="0762D1FF" w14:textId="6423C444" w:rsidR="00B6460D" w:rsidRPr="00055510" w:rsidRDefault="00B6460D" w:rsidP="00B6460D">
            <w:pPr>
              <w:pStyle w:val="ListParagraph"/>
              <w:numPr>
                <w:ilvl w:val="0"/>
                <w:numId w:val="9"/>
              </w:numPr>
              <w:spacing w:after="0"/>
              <w:rPr>
                <w:rFonts w:cstheme="minorHAnsi"/>
              </w:rPr>
            </w:pPr>
            <w:r w:rsidRPr="00055510">
              <w:rPr>
                <w:rFonts w:cstheme="minorHAnsi"/>
              </w:rPr>
              <w:t>Tasman</w:t>
            </w:r>
          </w:p>
        </w:tc>
      </w:tr>
    </w:tbl>
    <w:p w14:paraId="674E7283" w14:textId="49B08DDA" w:rsidR="00B33404" w:rsidRDefault="00B33404" w:rsidP="00055510">
      <w:pPr>
        <w:spacing w:before="120" w:after="0"/>
        <w:rPr>
          <w:rFonts w:ascii="Calibri" w:hAnsi="Calibri" w:cstheme="minorHAnsi"/>
        </w:rPr>
      </w:pPr>
      <w:r w:rsidRPr="00055510">
        <w:rPr>
          <w:rFonts w:ascii="Calibri" w:hAnsi="Calibri" w:cstheme="minorHAnsi"/>
        </w:rPr>
        <w:t>The Derwent</w:t>
      </w:r>
      <w:r w:rsidR="00324E58" w:rsidRPr="00055510">
        <w:rPr>
          <w:rFonts w:ascii="Calibri" w:hAnsi="Calibri" w:cstheme="minorHAnsi"/>
        </w:rPr>
        <w:t xml:space="preserve">, </w:t>
      </w:r>
      <w:r w:rsidRPr="00055510">
        <w:rPr>
          <w:rFonts w:ascii="Calibri" w:hAnsi="Calibri" w:cstheme="minorHAnsi"/>
        </w:rPr>
        <w:t>Central Highlands and Huon LGAs are centres for agriculture, with the main crops including cherries and apples. Aquaculture and timber are prominent industries in the Huon LGA.</w:t>
      </w:r>
    </w:p>
    <w:p w14:paraId="2017EE1A" w14:textId="77777777" w:rsidR="006E3FD7" w:rsidRPr="002B7D2A" w:rsidRDefault="006E3FD7" w:rsidP="00370F37">
      <w:pPr>
        <w:spacing w:after="0"/>
        <w:rPr>
          <w:rFonts w:ascii="Calibri" w:hAnsi="Calibri" w:cstheme="minorHAnsi"/>
          <w:sz w:val="10"/>
          <w:szCs w:val="10"/>
        </w:rPr>
      </w:pPr>
    </w:p>
    <w:p w14:paraId="6236D85B" w14:textId="5C3F1A3D" w:rsidR="00BE154D" w:rsidRDefault="00B33404" w:rsidP="00370F37">
      <w:pPr>
        <w:spacing w:after="0"/>
        <w:rPr>
          <w:rFonts w:ascii="Calibri" w:hAnsi="Calibri" w:cstheme="minorHAnsi"/>
        </w:rPr>
      </w:pPr>
      <w:r>
        <w:rPr>
          <w:rFonts w:ascii="Calibri" w:hAnsi="Calibri" w:cstheme="minorHAnsi"/>
        </w:rPr>
        <w:t xml:space="preserve">The Tasman and Glamorgan-Spring Bay LGAs are the main tourism </w:t>
      </w:r>
      <w:r w:rsidR="00643EF9">
        <w:rPr>
          <w:rFonts w:ascii="Calibri" w:hAnsi="Calibri" w:cstheme="minorHAnsi"/>
        </w:rPr>
        <w:t>areas and</w:t>
      </w:r>
      <w:r>
        <w:rPr>
          <w:rFonts w:ascii="Calibri" w:hAnsi="Calibri" w:cstheme="minorHAnsi"/>
        </w:rPr>
        <w:t xml:space="preserve"> are easily accessible for visitors across the State.</w:t>
      </w:r>
      <w:r w:rsidR="000B6569">
        <w:rPr>
          <w:rFonts w:ascii="Calibri" w:hAnsi="Calibri" w:cstheme="minorHAnsi"/>
        </w:rPr>
        <w:t xml:space="preserve"> </w:t>
      </w:r>
      <w:r>
        <w:rPr>
          <w:rFonts w:ascii="Calibri" w:hAnsi="Calibri" w:cstheme="minorHAnsi"/>
        </w:rPr>
        <w:t>The Greater Hobart Area is also a prominent tourism destination with attractions including the Museum of Old and New Art (MONA) and Salamanca Market. Brighton and Kingborough LGAs are high residential growth areas.</w:t>
      </w:r>
      <w:r w:rsidR="000B6569">
        <w:rPr>
          <w:rFonts w:ascii="Calibri" w:hAnsi="Calibri" w:cstheme="minorHAnsi"/>
        </w:rPr>
        <w:t xml:space="preserve"> </w:t>
      </w:r>
      <w:r>
        <w:rPr>
          <w:rFonts w:ascii="Calibri" w:hAnsi="Calibri" w:cstheme="minorHAnsi"/>
        </w:rPr>
        <w:t>Tertiary education and health facilities are primarily located in Hobart.</w:t>
      </w:r>
      <w:r w:rsidR="006E3FD7">
        <w:rPr>
          <w:rFonts w:ascii="Calibri" w:hAnsi="Calibri" w:cstheme="minorHAnsi"/>
        </w:rPr>
        <w:t xml:space="preserve"> </w:t>
      </w:r>
      <w:r>
        <w:rPr>
          <w:rFonts w:ascii="Calibri" w:hAnsi="Calibri" w:cstheme="minorHAnsi"/>
        </w:rPr>
        <w:t xml:space="preserve">The Southern Midlands and Central Highlands have a significant focus on farming and agriculture.  </w:t>
      </w:r>
      <w:bookmarkStart w:id="6" w:name="_Toc54953672"/>
      <w:bookmarkStart w:id="7" w:name="_Toc77576805"/>
    </w:p>
    <w:p w14:paraId="388CE974" w14:textId="77777777" w:rsidR="006E3FD7" w:rsidRPr="006E3FD7" w:rsidRDefault="006E3FD7" w:rsidP="00370F37">
      <w:pPr>
        <w:spacing w:after="0"/>
        <w:rPr>
          <w:rStyle w:val="Heading2Char"/>
          <w:rFonts w:eastAsiaTheme="minorEastAsia" w:cstheme="minorHAnsi"/>
          <w:b w:val="0"/>
          <w:bCs w:val="0"/>
          <w:color w:val="auto"/>
          <w:sz w:val="22"/>
          <w:szCs w:val="22"/>
          <w:lang w:val="en-AU"/>
        </w:rPr>
      </w:pPr>
    </w:p>
    <w:p w14:paraId="2BC20CD5" w14:textId="78764AF0" w:rsidR="00B33404" w:rsidRDefault="00B33404" w:rsidP="00370F37">
      <w:pPr>
        <w:spacing w:after="0"/>
        <w:rPr>
          <w:rFonts w:cstheme="minorHAnsi"/>
        </w:rPr>
      </w:pPr>
      <w:bookmarkStart w:id="8" w:name="_Toc77833835"/>
      <w:r w:rsidRPr="00032F46">
        <w:rPr>
          <w:rStyle w:val="Heading2Char"/>
          <w:rFonts w:cstheme="minorHAnsi"/>
          <w:b w:val="0"/>
          <w:bCs w:val="0"/>
          <w:color w:val="1D4289"/>
          <w:sz w:val="48"/>
          <w:szCs w:val="48"/>
        </w:rPr>
        <w:t>Socio-economic profile</w:t>
      </w:r>
      <w:bookmarkEnd w:id="6"/>
      <w:bookmarkEnd w:id="7"/>
      <w:bookmarkEnd w:id="8"/>
      <w:r>
        <w:rPr>
          <w:rFonts w:cstheme="minorHAnsi"/>
        </w:rPr>
        <w:br/>
        <w:t xml:space="preserve">The Hobart and Southern Tasmania region has some very disadvantaged areas, with </w:t>
      </w:r>
      <w:r w:rsidR="0049038D">
        <w:rPr>
          <w:rFonts w:cstheme="minorHAnsi"/>
        </w:rPr>
        <w:t>four</w:t>
      </w:r>
      <w:r>
        <w:rPr>
          <w:rFonts w:cstheme="minorHAnsi"/>
        </w:rPr>
        <w:t xml:space="preserve"> of its LGAs (Brighton, Derwent Valley, Glenorchy and Tasman) ranked in the lowest quintile in the 2016 Socio-Economic Indexes for Areas (SEIFA) in Australia.</w:t>
      </w:r>
      <w:r>
        <w:rPr>
          <w:rFonts w:cstheme="minorHAnsi"/>
          <w:vertAlign w:val="superscript"/>
        </w:rPr>
        <w:footnoteReference w:id="2"/>
      </w:r>
      <w:r w:rsidR="000B6569">
        <w:rPr>
          <w:rFonts w:cstheme="minorHAnsi"/>
        </w:rPr>
        <w:t xml:space="preserve"> </w:t>
      </w:r>
      <w:r>
        <w:rPr>
          <w:rFonts w:cstheme="minorHAnsi"/>
        </w:rPr>
        <w:t xml:space="preserve"> Gagebrook, a Statistical Area 2 (SA2) within the Brighton LGA is the most disadvantaged SA2 in the region and is the 23</w:t>
      </w:r>
      <w:r>
        <w:rPr>
          <w:rFonts w:cstheme="minorHAnsi"/>
          <w:vertAlign w:val="superscript"/>
        </w:rPr>
        <w:t>rd</w:t>
      </w:r>
      <w:r>
        <w:rPr>
          <w:rFonts w:cstheme="minorHAnsi"/>
        </w:rPr>
        <w:t xml:space="preserve"> most disadvantaged SA2 in Australia (2,184 SA2s).</w:t>
      </w:r>
    </w:p>
    <w:p w14:paraId="561CD2A7" w14:textId="77777777" w:rsidR="00032F46" w:rsidRDefault="00032F46" w:rsidP="00370F37">
      <w:pPr>
        <w:spacing w:after="0"/>
        <w:rPr>
          <w:rFonts w:cstheme="minorHAnsi"/>
        </w:rPr>
      </w:pPr>
    </w:p>
    <w:p w14:paraId="6E9B75E8" w14:textId="11A6ECEE" w:rsidR="00417DF0" w:rsidRPr="00032F46" w:rsidRDefault="00417DF0" w:rsidP="00370F37">
      <w:pPr>
        <w:pStyle w:val="Heading1"/>
        <w:spacing w:after="240"/>
        <w:rPr>
          <w:rFonts w:asciiTheme="minorHAnsi" w:hAnsiTheme="minorHAnsi" w:cstheme="minorHAnsi"/>
          <w:noProof w:val="0"/>
        </w:rPr>
      </w:pPr>
      <w:bookmarkStart w:id="10" w:name="_Toc77833836"/>
      <w:r w:rsidRPr="00032F46">
        <w:rPr>
          <w:rFonts w:asciiTheme="minorHAnsi" w:hAnsiTheme="minorHAnsi" w:cstheme="minorHAnsi"/>
          <w:noProof w:val="0"/>
        </w:rPr>
        <w:t xml:space="preserve">Key </w:t>
      </w:r>
      <w:r w:rsidR="004D5E43" w:rsidRPr="00032F46">
        <w:rPr>
          <w:rFonts w:asciiTheme="minorHAnsi" w:hAnsiTheme="minorHAnsi" w:cstheme="minorHAnsi"/>
          <w:noProof w:val="0"/>
        </w:rPr>
        <w:t xml:space="preserve">challenges </w:t>
      </w:r>
      <w:bookmarkEnd w:id="10"/>
      <w:r w:rsidR="00032F46">
        <w:rPr>
          <w:rFonts w:asciiTheme="minorHAnsi" w:hAnsiTheme="minorHAnsi" w:cstheme="minorHAnsi"/>
          <w:noProof w:val="0"/>
        </w:rPr>
        <w:t xml:space="preserve">in the Hobart and Southern Tasmania Employment Region  </w:t>
      </w:r>
    </w:p>
    <w:p w14:paraId="349EDB76" w14:textId="26F22F9F" w:rsidR="00032F46" w:rsidRDefault="008F3462" w:rsidP="00370F37">
      <w:pPr>
        <w:rPr>
          <w:rFonts w:cstheme="minorHAnsi"/>
        </w:rPr>
      </w:pPr>
      <w:bookmarkStart w:id="11" w:name="_Toc50543318"/>
      <w:r>
        <w:rPr>
          <w:rFonts w:ascii="Calibri" w:hAnsi="Calibri" w:cstheme="minorHAnsi"/>
        </w:rPr>
        <w:t>Tasmania and the Hobart and Southern Tasmania region</w:t>
      </w:r>
      <w:bookmarkEnd w:id="11"/>
      <w:r>
        <w:rPr>
          <w:rFonts w:cstheme="minorHAnsi"/>
        </w:rPr>
        <w:t xml:space="preserve"> face </w:t>
      </w:r>
      <w:r w:rsidR="00032F46">
        <w:rPr>
          <w:rFonts w:cstheme="minorHAnsi"/>
        </w:rPr>
        <w:t>several</w:t>
      </w:r>
      <w:r>
        <w:rPr>
          <w:rFonts w:cstheme="minorHAnsi"/>
        </w:rPr>
        <w:t xml:space="preserve"> challenges, including: </w:t>
      </w:r>
      <w:bookmarkStart w:id="12" w:name="_Toc50543319"/>
    </w:p>
    <w:p w14:paraId="5A71CBF4" w14:textId="5AAA3325" w:rsidR="00032F46" w:rsidRDefault="008F3462" w:rsidP="00370F37">
      <w:pPr>
        <w:rPr>
          <w:rFonts w:cstheme="minorHAnsi"/>
        </w:rPr>
      </w:pPr>
      <w:r>
        <w:rPr>
          <w:rFonts w:ascii="Calibri" w:hAnsi="Calibri" w:cstheme="minorHAnsi"/>
          <w:b/>
          <w:bCs/>
        </w:rPr>
        <w:t>Uneven population growth, high youth unemployment and an ageing population</w:t>
      </w:r>
      <w:r w:rsidR="00E51530">
        <w:rPr>
          <w:rFonts w:ascii="Calibri" w:hAnsi="Calibri" w:cstheme="minorHAnsi"/>
          <w:b/>
          <w:bCs/>
        </w:rPr>
        <w:t>.</w:t>
      </w:r>
      <w:r>
        <w:rPr>
          <w:rFonts w:cstheme="minorHAnsi"/>
        </w:rPr>
        <w:t xml:space="preserve"> </w:t>
      </w:r>
    </w:p>
    <w:p w14:paraId="75E25DD8" w14:textId="60E5FC5B" w:rsidR="008F3462" w:rsidRPr="008F3462" w:rsidRDefault="008F3462" w:rsidP="00370F37">
      <w:pPr>
        <w:pStyle w:val="ListParagraph"/>
        <w:numPr>
          <w:ilvl w:val="0"/>
          <w:numId w:val="15"/>
        </w:numPr>
        <w:rPr>
          <w:rFonts w:cstheme="minorHAnsi"/>
        </w:rPr>
      </w:pPr>
      <w:r w:rsidRPr="008F3462">
        <w:rPr>
          <w:rFonts w:cstheme="minorHAnsi"/>
        </w:rPr>
        <w:t>From 2018-2019, growth in the estimated resident population included 0.42 per cent in the Tasman LGA and 1.97 per cent in the Huon Valley LGA, in comparison with Tasmania at 1.17</w:t>
      </w:r>
      <w:r w:rsidR="0049038D">
        <w:rPr>
          <w:rFonts w:cstheme="minorHAnsi"/>
        </w:rPr>
        <w:t> </w:t>
      </w:r>
      <w:r w:rsidRPr="008F3462">
        <w:rPr>
          <w:rFonts w:cstheme="minorHAnsi"/>
        </w:rPr>
        <w:t>per</w:t>
      </w:r>
      <w:r w:rsidR="0049038D">
        <w:rPr>
          <w:rFonts w:cstheme="minorHAnsi"/>
        </w:rPr>
        <w:t> </w:t>
      </w:r>
      <w:r w:rsidRPr="008F3462">
        <w:rPr>
          <w:rFonts w:cstheme="minorHAnsi"/>
        </w:rPr>
        <w:t>cent and total Australian growth of 1.51 per cent.</w:t>
      </w:r>
      <w:r>
        <w:rPr>
          <w:rStyle w:val="FootnoteReference"/>
          <w:rFonts w:cstheme="minorHAnsi"/>
        </w:rPr>
        <w:footnoteReference w:id="3"/>
      </w:r>
      <w:r w:rsidRPr="008F3462">
        <w:rPr>
          <w:rFonts w:cstheme="minorHAnsi"/>
        </w:rPr>
        <w:t xml:space="preserve"> </w:t>
      </w:r>
    </w:p>
    <w:p w14:paraId="29592DB0" w14:textId="5B815A53" w:rsidR="008F3462" w:rsidRDefault="008F3462" w:rsidP="00370F37">
      <w:pPr>
        <w:pStyle w:val="ListParagraph"/>
        <w:numPr>
          <w:ilvl w:val="0"/>
          <w:numId w:val="15"/>
        </w:numPr>
        <w:rPr>
          <w:rFonts w:cstheme="minorHAnsi"/>
        </w:rPr>
      </w:pPr>
      <w:r w:rsidRPr="008F3462">
        <w:rPr>
          <w:rFonts w:cstheme="minorHAnsi"/>
        </w:rPr>
        <w:t xml:space="preserve">Tasmanian youth unemployment has historically been higher than in other parts of Australia.  Greater Hobart </w:t>
      </w:r>
      <w:r w:rsidR="009A1908">
        <w:rPr>
          <w:rFonts w:cstheme="minorHAnsi"/>
        </w:rPr>
        <w:t>a</w:t>
      </w:r>
      <w:r w:rsidRPr="008F3462">
        <w:rPr>
          <w:rFonts w:cstheme="minorHAnsi"/>
        </w:rPr>
        <w:t>rea youth unemployment levels have declined in the region since 2019 to 13.2</w:t>
      </w:r>
      <w:r w:rsidR="00646D7B">
        <w:rPr>
          <w:rFonts w:cstheme="minorHAnsi"/>
        </w:rPr>
        <w:t xml:space="preserve"> </w:t>
      </w:r>
      <w:r w:rsidRPr="008F3462">
        <w:rPr>
          <w:rFonts w:cstheme="minorHAnsi"/>
        </w:rPr>
        <w:t xml:space="preserve">per cent but remain above the Australian average of 10.6 per cent. </w:t>
      </w:r>
    </w:p>
    <w:p w14:paraId="7318A300" w14:textId="2ACA3E37" w:rsidR="00032F46" w:rsidRDefault="008F3462" w:rsidP="00032F46">
      <w:pPr>
        <w:pStyle w:val="ListParagraph"/>
        <w:numPr>
          <w:ilvl w:val="0"/>
          <w:numId w:val="15"/>
        </w:numPr>
        <w:spacing w:before="120" w:after="120"/>
        <w:rPr>
          <w:rFonts w:cstheme="minorHAnsi"/>
        </w:rPr>
      </w:pPr>
      <w:r w:rsidRPr="008F3462">
        <w:rPr>
          <w:rFonts w:cstheme="minorHAnsi"/>
        </w:rPr>
        <w:t xml:space="preserve">The population in Tasmania is ageing more rapidly compared to other States and Territories. The Southern Tasmanian Regional </w:t>
      </w:r>
      <w:r w:rsidR="009A1908">
        <w:rPr>
          <w:rFonts w:cstheme="minorHAnsi"/>
        </w:rPr>
        <w:t>s</w:t>
      </w:r>
      <w:r w:rsidRPr="008F3462">
        <w:rPr>
          <w:rFonts w:cstheme="minorHAnsi"/>
        </w:rPr>
        <w:t xml:space="preserve">napshot identifies an ageing population, workforce decline and associated need for health, aged, community care and support services as a </w:t>
      </w:r>
      <w:r w:rsidR="002B3281">
        <w:rPr>
          <w:rFonts w:cstheme="minorHAnsi"/>
        </w:rPr>
        <w:t>significant</w:t>
      </w:r>
      <w:r w:rsidR="002B3281" w:rsidRPr="008F3462">
        <w:rPr>
          <w:rFonts w:cstheme="minorHAnsi"/>
        </w:rPr>
        <w:t xml:space="preserve"> </w:t>
      </w:r>
      <w:r w:rsidRPr="008F3462">
        <w:rPr>
          <w:rFonts w:cstheme="minorHAnsi"/>
        </w:rPr>
        <w:t xml:space="preserve">challenge for much of Tasmania including the Southern Region. </w:t>
      </w:r>
    </w:p>
    <w:p w14:paraId="2BC18CE3" w14:textId="77777777" w:rsidR="00032F46" w:rsidRPr="00032F46" w:rsidRDefault="00032F46" w:rsidP="00032F46">
      <w:pPr>
        <w:pStyle w:val="ListParagraph"/>
        <w:spacing w:before="120" w:after="120"/>
        <w:ind w:left="360"/>
        <w:rPr>
          <w:rFonts w:cstheme="minorHAnsi"/>
        </w:rPr>
      </w:pPr>
    </w:p>
    <w:p w14:paraId="7BCFA25B" w14:textId="04F02FA8" w:rsidR="008F3462" w:rsidRPr="008F3462" w:rsidRDefault="008F3462" w:rsidP="000F456E">
      <w:pPr>
        <w:keepNext/>
        <w:keepLines/>
        <w:spacing w:before="120" w:after="120"/>
        <w:rPr>
          <w:rFonts w:cstheme="minorHAnsi"/>
        </w:rPr>
      </w:pPr>
      <w:r w:rsidRPr="008F3462">
        <w:rPr>
          <w:rFonts w:ascii="Calibri" w:hAnsi="Calibri" w:cstheme="minorHAnsi"/>
          <w:b/>
          <w:bCs/>
        </w:rPr>
        <w:t>Reduced migration</w:t>
      </w:r>
      <w:r w:rsidR="00E51530">
        <w:rPr>
          <w:rFonts w:ascii="Calibri" w:hAnsi="Calibri" w:cstheme="minorHAnsi"/>
          <w:b/>
          <w:bCs/>
        </w:rPr>
        <w:t>.</w:t>
      </w:r>
    </w:p>
    <w:p w14:paraId="67948760" w14:textId="77777777" w:rsidR="008F3462" w:rsidRDefault="008F3462" w:rsidP="00E70BD9">
      <w:pPr>
        <w:pStyle w:val="ListParagraph"/>
        <w:keepNext/>
        <w:keepLines/>
        <w:numPr>
          <w:ilvl w:val="0"/>
          <w:numId w:val="10"/>
        </w:numPr>
        <w:spacing w:before="120" w:after="120"/>
        <w:rPr>
          <w:rFonts w:cstheme="minorHAnsi"/>
        </w:rPr>
      </w:pPr>
      <w:r>
        <w:rPr>
          <w:rFonts w:cstheme="minorHAnsi"/>
        </w:rPr>
        <w:t xml:space="preserve">As a result of COVID-19, international borders have been and will remain closed until at least mid-2022. </w:t>
      </w:r>
    </w:p>
    <w:p w14:paraId="481A53B4" w14:textId="77777777" w:rsidR="008F3462" w:rsidRDefault="008F3462" w:rsidP="006865DE">
      <w:pPr>
        <w:pStyle w:val="ListParagraph"/>
        <w:keepNext/>
        <w:keepLines/>
        <w:numPr>
          <w:ilvl w:val="0"/>
          <w:numId w:val="10"/>
        </w:numPr>
        <w:spacing w:before="120" w:after="120"/>
        <w:rPr>
          <w:rFonts w:cstheme="minorHAnsi"/>
        </w:rPr>
      </w:pPr>
      <w:r>
        <w:rPr>
          <w:rFonts w:cstheme="minorHAnsi"/>
        </w:rPr>
        <w:t>This has resulted in a drastic reduction of skilled migrants to Australia, including Tasmania. Border closures have also halted the arrival of short stay international visitors who play a significant role in bolstering the workforce, particularly in tourism, hospitality and agriculture</w:t>
      </w:r>
      <w:r>
        <w:rPr>
          <w:rStyle w:val="FootnoteReference"/>
          <w:rFonts w:cstheme="minorHAnsi"/>
        </w:rPr>
        <w:footnoteReference w:id="4"/>
      </w:r>
      <w:r>
        <w:rPr>
          <w:rFonts w:cstheme="minorHAnsi"/>
        </w:rPr>
        <w:t xml:space="preserve">. </w:t>
      </w:r>
    </w:p>
    <w:p w14:paraId="1CF2C79A" w14:textId="0D029B87" w:rsidR="008F3462" w:rsidRDefault="008F3462" w:rsidP="00646D7B">
      <w:pPr>
        <w:pStyle w:val="ListParagraph"/>
        <w:numPr>
          <w:ilvl w:val="0"/>
          <w:numId w:val="10"/>
        </w:numPr>
        <w:spacing w:before="120" w:after="120"/>
        <w:ind w:left="357"/>
        <w:rPr>
          <w:rFonts w:cstheme="minorHAnsi"/>
        </w:rPr>
      </w:pPr>
      <w:r>
        <w:rPr>
          <w:rFonts w:cstheme="minorHAnsi"/>
        </w:rPr>
        <w:t xml:space="preserve">More commonly referred to as backpackers, the absence of these workers has placed strain on seasonal industries who rely on the backpacker workforce to meet demand for their services including harvest work. </w:t>
      </w:r>
    </w:p>
    <w:p w14:paraId="12D1FA9F" w14:textId="567CC6B8" w:rsidR="008F3462" w:rsidRDefault="008F3462" w:rsidP="00406138">
      <w:pPr>
        <w:keepNext/>
        <w:keepLines/>
        <w:spacing w:before="120" w:after="120"/>
        <w:rPr>
          <w:rFonts w:ascii="Calibri" w:hAnsi="Calibri" w:cstheme="minorHAnsi"/>
          <w:b/>
          <w:bCs/>
        </w:rPr>
      </w:pPr>
      <w:r>
        <w:rPr>
          <w:rFonts w:ascii="Calibri" w:hAnsi="Calibri" w:cstheme="minorHAnsi"/>
          <w:b/>
          <w:bCs/>
        </w:rPr>
        <w:lastRenderedPageBreak/>
        <w:t xml:space="preserve">Low levels of literacy and numeracy including digital literacy and access. </w:t>
      </w:r>
    </w:p>
    <w:p w14:paraId="4CEF54DA" w14:textId="78A166F8" w:rsidR="000B6569" w:rsidRPr="000B6569" w:rsidRDefault="008F3462" w:rsidP="00406138">
      <w:pPr>
        <w:pStyle w:val="ListParagraph"/>
        <w:keepNext/>
        <w:keepLines/>
        <w:numPr>
          <w:ilvl w:val="0"/>
          <w:numId w:val="11"/>
        </w:numPr>
        <w:spacing w:before="120" w:after="120"/>
        <w:rPr>
          <w:rFonts w:eastAsiaTheme="majorEastAsia" w:cstheme="minorHAnsi"/>
        </w:rPr>
      </w:pPr>
      <w:r>
        <w:rPr>
          <w:rFonts w:cstheme="minorHAnsi"/>
        </w:rPr>
        <w:t>Tasmania was the first State to be connected to the NBN, however in 20</w:t>
      </w:r>
      <w:r w:rsidR="00904FE3">
        <w:rPr>
          <w:rFonts w:cstheme="minorHAnsi"/>
        </w:rPr>
        <w:t>20</w:t>
      </w:r>
      <w:r>
        <w:rPr>
          <w:rFonts w:cstheme="minorHAnsi"/>
        </w:rPr>
        <w:t xml:space="preserve"> was ranked as the second most digitally disadvantaged state in Australia.</w:t>
      </w:r>
      <w:r>
        <w:rPr>
          <w:rStyle w:val="FootnoteReference"/>
          <w:rFonts w:cstheme="minorHAnsi"/>
        </w:rPr>
        <w:footnoteReference w:id="5"/>
      </w:r>
      <w:r>
        <w:rPr>
          <w:rFonts w:cstheme="minorHAnsi"/>
        </w:rPr>
        <w:t xml:space="preserve"> </w:t>
      </w:r>
    </w:p>
    <w:p w14:paraId="3777F7F4" w14:textId="77777777" w:rsidR="008F3462" w:rsidRPr="000B6569" w:rsidRDefault="008F3462" w:rsidP="00370F37">
      <w:pPr>
        <w:pStyle w:val="ListParagraph"/>
        <w:numPr>
          <w:ilvl w:val="0"/>
          <w:numId w:val="11"/>
        </w:numPr>
        <w:spacing w:before="120" w:after="120"/>
        <w:rPr>
          <w:rFonts w:eastAsiaTheme="majorEastAsia" w:cstheme="minorHAnsi"/>
        </w:rPr>
      </w:pPr>
      <w:r w:rsidRPr="000B6569">
        <w:rPr>
          <w:rFonts w:cstheme="minorHAnsi"/>
        </w:rPr>
        <w:t xml:space="preserve">While Hobart has increased its ranking for digital inclusion, lower socio-economic areas of the Region are still well below the national average for digital access. </w:t>
      </w:r>
    </w:p>
    <w:p w14:paraId="1524AEE2" w14:textId="4F6FB49A" w:rsidR="00904FE3" w:rsidRDefault="008F3462" w:rsidP="00370F37">
      <w:pPr>
        <w:pStyle w:val="ListParagraph"/>
        <w:numPr>
          <w:ilvl w:val="0"/>
          <w:numId w:val="11"/>
        </w:numPr>
        <w:spacing w:before="120" w:after="120"/>
        <w:rPr>
          <w:rFonts w:cstheme="minorHAnsi"/>
        </w:rPr>
      </w:pPr>
      <w:r w:rsidRPr="000B6569">
        <w:rPr>
          <w:rFonts w:cstheme="minorHAnsi"/>
        </w:rPr>
        <w:t>Bridgewater-Gagebrook (Brighton LGA) in the outer suburbs of Hobart has 32 per cent of households without internet access.</w:t>
      </w:r>
    </w:p>
    <w:p w14:paraId="0B70674B" w14:textId="77777777" w:rsidR="00032F46" w:rsidRPr="00032F46" w:rsidRDefault="00032F46" w:rsidP="00032F46">
      <w:pPr>
        <w:pStyle w:val="ListParagraph"/>
        <w:spacing w:before="120" w:after="120"/>
        <w:ind w:left="360"/>
        <w:rPr>
          <w:rFonts w:cstheme="minorHAnsi"/>
          <w:sz w:val="16"/>
          <w:szCs w:val="16"/>
        </w:rPr>
      </w:pPr>
    </w:p>
    <w:p w14:paraId="355B5F65" w14:textId="7F8FFC78" w:rsidR="008F3462" w:rsidRPr="00904FE3" w:rsidRDefault="008F3462" w:rsidP="00370F37">
      <w:pPr>
        <w:spacing w:before="120" w:after="120"/>
        <w:rPr>
          <w:sz w:val="16"/>
          <w:szCs w:val="16"/>
        </w:rPr>
      </w:pPr>
      <w:r w:rsidRPr="00904FE3">
        <w:rPr>
          <w:rFonts w:ascii="Calibri" w:hAnsi="Calibri" w:cstheme="minorHAnsi"/>
          <w:b/>
          <w:bCs/>
        </w:rPr>
        <w:t>Limited public transport outside of metropolitan centres, which inhibits opportunities for some job seekers to take on work and limits the uptake of training</w:t>
      </w:r>
      <w:r w:rsidR="00E51530">
        <w:rPr>
          <w:rFonts w:ascii="Calibri" w:hAnsi="Calibri" w:cstheme="minorHAnsi"/>
          <w:b/>
          <w:bCs/>
        </w:rPr>
        <w:t>.</w:t>
      </w:r>
    </w:p>
    <w:p w14:paraId="0D678860" w14:textId="71CB3900" w:rsidR="008F3462" w:rsidRDefault="008F3462" w:rsidP="00370F37">
      <w:pPr>
        <w:pStyle w:val="ListParagraph"/>
        <w:numPr>
          <w:ilvl w:val="0"/>
          <w:numId w:val="12"/>
        </w:numPr>
        <w:spacing w:before="120" w:after="120"/>
        <w:rPr>
          <w:rFonts w:ascii="Open Sans Light" w:hAnsi="Open Sans Light" w:cs="Open Sans Light"/>
          <w:sz w:val="21"/>
          <w:szCs w:val="21"/>
        </w:rPr>
      </w:pPr>
      <w:r>
        <w:rPr>
          <w:rFonts w:cstheme="minorHAnsi"/>
        </w:rPr>
        <w:t xml:space="preserve">Public transport is largely limited to metropolitan town centres within the region, and timetables do not always align with employer needs for shift times.  </w:t>
      </w:r>
    </w:p>
    <w:p w14:paraId="57E786D1" w14:textId="77777777" w:rsidR="008F3462" w:rsidRDefault="008F3462" w:rsidP="00370F37">
      <w:pPr>
        <w:pStyle w:val="ListParagraph"/>
        <w:numPr>
          <w:ilvl w:val="0"/>
          <w:numId w:val="12"/>
        </w:numPr>
        <w:spacing w:before="120" w:after="120"/>
        <w:rPr>
          <w:rFonts w:cstheme="minorHAnsi"/>
        </w:rPr>
      </w:pPr>
      <w:r>
        <w:rPr>
          <w:rFonts w:cstheme="minorHAnsi"/>
        </w:rPr>
        <w:t>The cost of public transport is a further barrier to employment for those on low income, as is access to private vehicles.</w:t>
      </w:r>
    </w:p>
    <w:p w14:paraId="682BE5C0" w14:textId="77777777" w:rsidR="008F3462" w:rsidRDefault="008F3462" w:rsidP="00370F37">
      <w:pPr>
        <w:pStyle w:val="ListParagraph"/>
        <w:numPr>
          <w:ilvl w:val="0"/>
          <w:numId w:val="12"/>
        </w:numPr>
        <w:spacing w:before="120" w:after="120"/>
        <w:rPr>
          <w:rFonts w:cstheme="minorHAnsi"/>
        </w:rPr>
      </w:pPr>
      <w:r>
        <w:rPr>
          <w:rFonts w:cstheme="minorHAnsi"/>
        </w:rPr>
        <w:t>In some parts of the region, lower levels of car ownership and the cost of operating and maintaining a vehicle are barriers to economic participation.</w:t>
      </w:r>
      <w:r>
        <w:rPr>
          <w:rStyle w:val="FootnoteReference"/>
          <w:rFonts w:cstheme="minorHAnsi"/>
        </w:rPr>
        <w:footnoteReference w:id="6"/>
      </w:r>
      <w:r>
        <w:rPr>
          <w:rFonts w:cstheme="minorHAnsi"/>
        </w:rPr>
        <w:t xml:space="preserve"> </w:t>
      </w:r>
    </w:p>
    <w:p w14:paraId="7719F12E" w14:textId="77777777" w:rsidR="008F3462" w:rsidRDefault="008F3462" w:rsidP="00370F37">
      <w:pPr>
        <w:pStyle w:val="ListParagraph"/>
        <w:numPr>
          <w:ilvl w:val="0"/>
          <w:numId w:val="12"/>
        </w:numPr>
        <w:spacing w:before="120" w:after="120"/>
        <w:rPr>
          <w:rFonts w:cstheme="minorHAnsi"/>
        </w:rPr>
      </w:pPr>
      <w:r>
        <w:rPr>
          <w:rFonts w:cstheme="minorHAnsi"/>
        </w:rPr>
        <w:t xml:space="preserve">A large proportion of employed residents within Southern Tasmania travel outside their LGA to Clarence, Hobart, Glenorchy or Kingborough LGAs for employment.  </w:t>
      </w:r>
    </w:p>
    <w:p w14:paraId="39466A45" w14:textId="72375892" w:rsidR="008F3462" w:rsidRPr="00032F46" w:rsidRDefault="008F3462" w:rsidP="00370F37">
      <w:pPr>
        <w:pStyle w:val="ListParagraph"/>
        <w:numPr>
          <w:ilvl w:val="0"/>
          <w:numId w:val="12"/>
        </w:numPr>
        <w:spacing w:before="120" w:after="120"/>
        <w:rPr>
          <w:rFonts w:cstheme="minorHAnsi"/>
        </w:rPr>
      </w:pPr>
      <w:r>
        <w:rPr>
          <w:rFonts w:cstheme="minorHAnsi"/>
        </w:rPr>
        <w:t>Those living outside the Greater Hobart Area are significantly less likely to have access to employment within their LGA, and are more likely to require some form of transport to attend work, with 43.5 per cent employment compared with 91.8 per cent for those living in the Greater Hobart Area.</w:t>
      </w:r>
      <w:r>
        <w:rPr>
          <w:rStyle w:val="FootnoteReference"/>
          <w:rFonts w:cstheme="minorHAnsi"/>
        </w:rPr>
        <w:footnoteReference w:id="7"/>
      </w:r>
      <w:r>
        <w:rPr>
          <w:rFonts w:cstheme="minorHAnsi"/>
          <w:vertAlign w:val="superscript"/>
        </w:rPr>
        <w:t>,</w:t>
      </w:r>
      <w:r>
        <w:rPr>
          <w:rStyle w:val="FootnoteReference"/>
          <w:rFonts w:cstheme="minorHAnsi"/>
        </w:rPr>
        <w:footnoteReference w:id="8"/>
      </w:r>
    </w:p>
    <w:p w14:paraId="504DDF4F" w14:textId="77777777" w:rsidR="00032F46" w:rsidRPr="00032F46" w:rsidRDefault="00032F46" w:rsidP="00032F46">
      <w:pPr>
        <w:pStyle w:val="ListParagraph"/>
        <w:spacing w:before="120" w:after="120"/>
        <w:ind w:left="360"/>
        <w:rPr>
          <w:rFonts w:cstheme="minorHAnsi"/>
          <w:sz w:val="16"/>
          <w:szCs w:val="16"/>
        </w:rPr>
      </w:pPr>
    </w:p>
    <w:p w14:paraId="5D67BCF2" w14:textId="089E0C47" w:rsidR="008F3462" w:rsidRDefault="008F3462" w:rsidP="00370F37">
      <w:pPr>
        <w:spacing w:before="120" w:after="120"/>
        <w:rPr>
          <w:rFonts w:ascii="Calibri" w:hAnsi="Calibri" w:cstheme="minorHAnsi"/>
          <w:b/>
          <w:bCs/>
        </w:rPr>
      </w:pPr>
      <w:r>
        <w:rPr>
          <w:rFonts w:ascii="Calibri" w:hAnsi="Calibri" w:cstheme="minorHAnsi"/>
          <w:b/>
          <w:bCs/>
        </w:rPr>
        <w:t>Historic and generational low educational attainment, particularly outside of metropolitan areas of the region has limited economic/labour market participation</w:t>
      </w:r>
      <w:r w:rsidR="00E51530">
        <w:rPr>
          <w:rFonts w:ascii="Calibri" w:hAnsi="Calibri" w:cstheme="minorHAnsi"/>
          <w:b/>
          <w:bCs/>
        </w:rPr>
        <w:t>.</w:t>
      </w:r>
    </w:p>
    <w:p w14:paraId="6FC86E9F" w14:textId="593E9690" w:rsidR="008F3462" w:rsidRDefault="008F3462" w:rsidP="00370F37">
      <w:pPr>
        <w:pStyle w:val="ListParagraph"/>
        <w:numPr>
          <w:ilvl w:val="0"/>
          <w:numId w:val="13"/>
        </w:numPr>
        <w:spacing w:before="120" w:after="120"/>
        <w:rPr>
          <w:rFonts w:cstheme="minorHAnsi"/>
        </w:rPr>
      </w:pPr>
      <w:r>
        <w:rPr>
          <w:rFonts w:cstheme="minorHAnsi"/>
        </w:rPr>
        <w:t>While educational attainment across Tasmania has increased in recent years, the State is still below the national average for some indicators. Several comparisons drawn from 2016 ABS Census data highlight these disparities.</w:t>
      </w:r>
    </w:p>
    <w:p w14:paraId="7748BA60" w14:textId="77777777" w:rsidR="008F3462" w:rsidRDefault="008F3462" w:rsidP="00370F37">
      <w:pPr>
        <w:pStyle w:val="ListParagraph"/>
        <w:numPr>
          <w:ilvl w:val="0"/>
          <w:numId w:val="14"/>
        </w:numPr>
        <w:spacing w:before="120" w:after="120"/>
        <w:rPr>
          <w:rFonts w:cstheme="minorHAnsi"/>
        </w:rPr>
      </w:pPr>
      <w:r>
        <w:rPr>
          <w:rFonts w:cstheme="minorHAnsi"/>
        </w:rPr>
        <w:t>In the Southern Region, 34.9 per cent of residents had completed Year 12 equivalent, compared to 51.9 per cent nationally and the Tasmanian average of 42.1 per cent.</w:t>
      </w:r>
    </w:p>
    <w:p w14:paraId="3C22F561" w14:textId="77777777" w:rsidR="008F3462" w:rsidRDefault="008F3462" w:rsidP="00370F37">
      <w:pPr>
        <w:pStyle w:val="ListParagraph"/>
        <w:numPr>
          <w:ilvl w:val="0"/>
          <w:numId w:val="14"/>
        </w:numPr>
        <w:spacing w:before="120" w:after="120"/>
        <w:rPr>
          <w:rFonts w:cstheme="minorHAnsi"/>
        </w:rPr>
      </w:pPr>
      <w:r>
        <w:rPr>
          <w:rFonts w:cstheme="minorHAnsi"/>
        </w:rPr>
        <w:t>In the Greater Hobart Area, 53.8 per cent of the population completed Year 12, exceeding the State average of 42.1 per cent.</w:t>
      </w:r>
    </w:p>
    <w:p w14:paraId="63DD17CA" w14:textId="61AF92B5" w:rsidR="008F3462" w:rsidRPr="00904FE3" w:rsidRDefault="008F3462" w:rsidP="00370F37">
      <w:pPr>
        <w:pStyle w:val="ListParagraph"/>
        <w:numPr>
          <w:ilvl w:val="0"/>
          <w:numId w:val="14"/>
        </w:numPr>
        <w:spacing w:before="120" w:after="120"/>
        <w:rPr>
          <w:rFonts w:cstheme="minorHAnsi"/>
        </w:rPr>
      </w:pPr>
      <w:r>
        <w:rPr>
          <w:rFonts w:cstheme="minorHAnsi"/>
        </w:rPr>
        <w:t>26.5 per cent of Greater Hobart Area residents had a university qualification, which is below 30.9</w:t>
      </w:r>
      <w:r w:rsidR="00F3128C">
        <w:rPr>
          <w:rFonts w:cstheme="minorHAnsi"/>
        </w:rPr>
        <w:t xml:space="preserve"> </w:t>
      </w:r>
      <w:r>
        <w:rPr>
          <w:rFonts w:cstheme="minorHAnsi"/>
        </w:rPr>
        <w:t>per cent nationally, but higher than the 23.8 per cent in Tasmania. This is compared with 11.1 per cent of Southern regional residents.</w:t>
      </w:r>
      <w:bookmarkEnd w:id="12"/>
    </w:p>
    <w:p w14:paraId="392783C0" w14:textId="77777777" w:rsidR="00032F46" w:rsidRDefault="008F3462" w:rsidP="00370F37">
      <w:pPr>
        <w:spacing w:after="0"/>
        <w:rPr>
          <w:rFonts w:ascii="Calibri" w:hAnsi="Calibri" w:cstheme="minorHAnsi"/>
        </w:rPr>
      </w:pPr>
      <w:r w:rsidRPr="008F3462">
        <w:rPr>
          <w:rFonts w:ascii="Calibri" w:hAnsi="Calibri" w:cstheme="minorHAnsi"/>
        </w:rPr>
        <w:t xml:space="preserve">Significant disparity exists between regional and metropolitan Tasmania in relation to educational achievement. The Southern Region Snapshot identifies </w:t>
      </w:r>
      <w:r w:rsidR="00F3128C">
        <w:rPr>
          <w:rFonts w:ascii="Calibri" w:hAnsi="Calibri" w:cstheme="minorHAnsi"/>
        </w:rPr>
        <w:t xml:space="preserve">a </w:t>
      </w:r>
      <w:r w:rsidRPr="008F3462">
        <w:rPr>
          <w:rFonts w:ascii="Calibri" w:hAnsi="Calibri" w:cstheme="minorHAnsi"/>
        </w:rPr>
        <w:t>skills</w:t>
      </w:r>
      <w:r w:rsidR="000C4686">
        <w:rPr>
          <w:rFonts w:ascii="Calibri" w:hAnsi="Calibri" w:cstheme="minorHAnsi"/>
        </w:rPr>
        <w:t xml:space="preserve"> shortage</w:t>
      </w:r>
      <w:r w:rsidRPr="008F3462">
        <w:rPr>
          <w:rFonts w:ascii="Calibri" w:hAnsi="Calibri" w:cstheme="minorHAnsi"/>
        </w:rPr>
        <w:t xml:space="preserve"> at the Advanced Diploma or Diploma level to match current and emerging skill needs, and this is a </w:t>
      </w:r>
      <w:r w:rsidR="002B3281">
        <w:rPr>
          <w:rFonts w:ascii="Calibri" w:hAnsi="Calibri" w:cstheme="minorHAnsi"/>
        </w:rPr>
        <w:t>significant</w:t>
      </w:r>
      <w:r w:rsidR="002B3281" w:rsidRPr="008F3462">
        <w:rPr>
          <w:rFonts w:ascii="Calibri" w:hAnsi="Calibri" w:cstheme="minorHAnsi"/>
        </w:rPr>
        <w:t xml:space="preserve"> </w:t>
      </w:r>
      <w:r w:rsidRPr="008F3462">
        <w:rPr>
          <w:rFonts w:ascii="Calibri" w:hAnsi="Calibri" w:cstheme="minorHAnsi"/>
        </w:rPr>
        <w:t>challenge for the region.</w:t>
      </w:r>
    </w:p>
    <w:p w14:paraId="020F6E28" w14:textId="3BF637A3" w:rsidR="00040811" w:rsidRDefault="008F3462" w:rsidP="00370F37">
      <w:pPr>
        <w:spacing w:after="0"/>
        <w:rPr>
          <w:rFonts w:ascii="Calibri" w:hAnsi="Calibri" w:cstheme="minorHAnsi"/>
        </w:rPr>
      </w:pPr>
      <w:r>
        <w:rPr>
          <w:rFonts w:ascii="Calibri" w:hAnsi="Calibri" w:cstheme="minorHAnsi"/>
        </w:rPr>
        <w:lastRenderedPageBreak/>
        <w:t>The consequence of historic low educational attainment and limited labour market participation is resulting in high levels of long term unemployed.  This is evidenced by caseload information as at April 2021, where the number of job</w:t>
      </w:r>
      <w:r w:rsidR="00EF2E17">
        <w:rPr>
          <w:rFonts w:ascii="Calibri" w:hAnsi="Calibri" w:cstheme="minorHAnsi"/>
        </w:rPr>
        <w:t xml:space="preserve"> </w:t>
      </w:r>
      <w:r>
        <w:rPr>
          <w:rFonts w:ascii="Calibri" w:hAnsi="Calibri" w:cstheme="minorHAnsi"/>
        </w:rPr>
        <w:t xml:space="preserve">seekers on the jobactive caseload for more than twelve months is twice the number for twelve months or </w:t>
      </w:r>
      <w:r w:rsidR="005A2690">
        <w:rPr>
          <w:rFonts w:ascii="Calibri" w:hAnsi="Calibri" w:cstheme="minorHAnsi"/>
        </w:rPr>
        <w:t>less and</w:t>
      </w:r>
      <w:r>
        <w:rPr>
          <w:rFonts w:ascii="Calibri" w:hAnsi="Calibri" w:cstheme="minorHAnsi"/>
        </w:rPr>
        <w:t xml:space="preserve"> has increased significantly over the past year. National Skills Commission data shows that there are fewer entry level jobs with many jobs advertised requiring some level of education, </w:t>
      </w:r>
      <w:r w:rsidR="005A2690">
        <w:rPr>
          <w:rFonts w:ascii="Calibri" w:hAnsi="Calibri" w:cstheme="minorHAnsi"/>
        </w:rPr>
        <w:t>training,</w:t>
      </w:r>
      <w:r>
        <w:rPr>
          <w:rFonts w:ascii="Calibri" w:hAnsi="Calibri" w:cstheme="minorHAnsi"/>
        </w:rPr>
        <w:t xml:space="preserve"> or experience.</w:t>
      </w:r>
    </w:p>
    <w:p w14:paraId="6FC14EB7" w14:textId="77777777" w:rsidR="00032F46" w:rsidRDefault="00032F46" w:rsidP="00370F37">
      <w:pPr>
        <w:spacing w:after="0"/>
        <w:rPr>
          <w:rFonts w:ascii="Calibri" w:hAnsi="Calibri" w:cstheme="minorHAnsi"/>
        </w:rPr>
      </w:pPr>
    </w:p>
    <w:p w14:paraId="40BE1FD6" w14:textId="77777777" w:rsidR="00BD7F42" w:rsidRPr="00BD7F42" w:rsidRDefault="00BD7F42" w:rsidP="00370F37">
      <w:pPr>
        <w:spacing w:after="0"/>
        <w:rPr>
          <w:rFonts w:ascii="Calibri" w:hAnsi="Calibri" w:cstheme="minorHAnsi"/>
          <w:sz w:val="4"/>
          <w:szCs w:val="4"/>
        </w:rPr>
      </w:pPr>
    </w:p>
    <w:p w14:paraId="70CF9535" w14:textId="65F5AEE6" w:rsidR="008F3462" w:rsidRDefault="008F3462" w:rsidP="00032F46">
      <w:pPr>
        <w:spacing w:after="0"/>
        <w:rPr>
          <w:rFonts w:ascii="Calibri" w:hAnsi="Calibri" w:cs="Calibri"/>
        </w:rPr>
      </w:pPr>
      <w:r>
        <w:rPr>
          <w:rFonts w:ascii="Calibri" w:hAnsi="Calibri" w:cs="Calibri"/>
        </w:rPr>
        <w:t>Labour market participation rates across Tasmania are lower than the national average of 66 per cent as at April 2021. The participation rate for southern Tasmania is 64.9 per cent, however there is</w:t>
      </w:r>
      <w:r w:rsidR="00904FE3">
        <w:rPr>
          <w:rFonts w:ascii="Calibri" w:hAnsi="Calibri" w:cs="Calibri"/>
        </w:rPr>
        <w:t xml:space="preserve"> </w:t>
      </w:r>
      <w:r>
        <w:rPr>
          <w:rFonts w:ascii="Calibri" w:hAnsi="Calibri" w:cs="Calibri"/>
        </w:rPr>
        <w:t>a disparity between participation rates with participation rates historically higher in the greater Hobart sub-region than the southern region, 63 per cent and 58.6 per cent from 2019 data.</w:t>
      </w:r>
    </w:p>
    <w:p w14:paraId="1D43A777" w14:textId="77777777" w:rsidR="00032F46" w:rsidRPr="00032F46" w:rsidRDefault="00032F46" w:rsidP="00032F46">
      <w:pPr>
        <w:spacing w:after="0"/>
        <w:rPr>
          <w:rFonts w:ascii="Calibri" w:hAnsi="Calibri" w:cs="Calibri"/>
        </w:rPr>
      </w:pPr>
    </w:p>
    <w:p w14:paraId="7B9862C2" w14:textId="64E2D30B" w:rsidR="00417DF0" w:rsidRPr="004E1E0C" w:rsidRDefault="00417DF0" w:rsidP="00370F37">
      <w:pPr>
        <w:pStyle w:val="Heading1"/>
        <w:spacing w:after="240"/>
        <w:rPr>
          <w:noProof w:val="0"/>
        </w:rPr>
      </w:pPr>
      <w:bookmarkStart w:id="14" w:name="_Toc77833837"/>
      <w:r w:rsidRPr="007D1210">
        <w:rPr>
          <w:noProof w:val="0"/>
        </w:rPr>
        <w:t xml:space="preserve">Local </w:t>
      </w:r>
      <w:r w:rsidR="007D1210">
        <w:rPr>
          <w:noProof w:val="0"/>
        </w:rPr>
        <w:t>s</w:t>
      </w:r>
      <w:r w:rsidRPr="004E1E0C">
        <w:rPr>
          <w:noProof w:val="0"/>
        </w:rPr>
        <w:t xml:space="preserve">takeholders and </w:t>
      </w:r>
      <w:r w:rsidR="007D1210">
        <w:rPr>
          <w:noProof w:val="0"/>
        </w:rPr>
        <w:t>o</w:t>
      </w:r>
      <w:r w:rsidRPr="004E1E0C">
        <w:rPr>
          <w:noProof w:val="0"/>
        </w:rPr>
        <w:t>pportunities</w:t>
      </w:r>
      <w:bookmarkEnd w:id="14"/>
    </w:p>
    <w:p w14:paraId="22EBACC4" w14:textId="206DA80D" w:rsidR="00050E94" w:rsidRDefault="00050E94" w:rsidP="00370F37">
      <w:pPr>
        <w:pStyle w:val="ListParagraph"/>
        <w:spacing w:before="240"/>
        <w:ind w:left="0"/>
        <w:rPr>
          <w:rFonts w:ascii="Calibri" w:hAnsi="Calibri" w:cstheme="minorHAnsi"/>
        </w:rPr>
      </w:pPr>
      <w:bookmarkStart w:id="15" w:name="_Hlk78549523"/>
      <w:r>
        <w:rPr>
          <w:rFonts w:ascii="Calibri" w:hAnsi="Calibri" w:cstheme="minorHAnsi"/>
        </w:rPr>
        <w:t>Local stakeholders</w:t>
      </w:r>
      <w:r w:rsidR="00A2396E">
        <w:rPr>
          <w:rFonts w:ascii="Calibri" w:hAnsi="Calibri" w:cstheme="minorHAnsi"/>
        </w:rPr>
        <w:t xml:space="preserve"> for the purposes of this plan </w:t>
      </w:r>
      <w:r>
        <w:rPr>
          <w:rFonts w:ascii="Calibri" w:hAnsi="Calibri" w:cstheme="minorHAnsi"/>
        </w:rPr>
        <w:t>include: Regional Jobs Hubs, peak industry bodies, training providers such as TasTAFE, employment services providers and the Tasmanian Government, in particular the newly formed Jobs Tasmania Unit. Additionally, large employers including Federal Group, RACT, NRMA, Nyrstar and Group Training Organisations such as Work and Training</w:t>
      </w:r>
      <w:r w:rsidR="00A2396E">
        <w:rPr>
          <w:rFonts w:ascii="Calibri" w:hAnsi="Calibri" w:cstheme="minorHAnsi"/>
        </w:rPr>
        <w:t>.</w:t>
      </w:r>
    </w:p>
    <w:p w14:paraId="5AF72205" w14:textId="77777777" w:rsidR="00050E94" w:rsidRDefault="00050E94" w:rsidP="00370F37">
      <w:pPr>
        <w:pStyle w:val="ListParagraph"/>
        <w:spacing w:before="240"/>
        <w:ind w:left="0"/>
        <w:rPr>
          <w:rFonts w:ascii="Calibri" w:hAnsi="Calibri" w:cstheme="minorHAnsi"/>
        </w:rPr>
      </w:pPr>
    </w:p>
    <w:p w14:paraId="0C224232" w14:textId="7E6D51FA" w:rsidR="00050E94" w:rsidRDefault="00050E94" w:rsidP="00370F37">
      <w:pPr>
        <w:pStyle w:val="ListParagraph"/>
        <w:spacing w:before="240"/>
        <w:ind w:left="0"/>
        <w:rPr>
          <w:rFonts w:ascii="Calibri" w:hAnsi="Calibri" w:cstheme="minorHAnsi"/>
        </w:rPr>
      </w:pPr>
      <w:r>
        <w:rPr>
          <w:rFonts w:ascii="Calibri" w:hAnsi="Calibri" w:cstheme="minorHAnsi"/>
        </w:rPr>
        <w:t xml:space="preserve">Jobs Tasmania, a unit formed in 2021 within the </w:t>
      </w:r>
      <w:r w:rsidR="00643EF9">
        <w:rPr>
          <w:rFonts w:ascii="Calibri" w:hAnsi="Calibri" w:cstheme="minorHAnsi"/>
        </w:rPr>
        <w:t xml:space="preserve">Tasmanian </w:t>
      </w:r>
      <w:r>
        <w:rPr>
          <w:rFonts w:ascii="Calibri" w:hAnsi="Calibri" w:cstheme="minorHAnsi"/>
        </w:rPr>
        <w:t xml:space="preserve">Department of State Growth is a </w:t>
      </w:r>
      <w:r w:rsidR="002B3281">
        <w:rPr>
          <w:rFonts w:ascii="Calibri" w:hAnsi="Calibri" w:cstheme="minorHAnsi"/>
        </w:rPr>
        <w:t xml:space="preserve">crucial </w:t>
      </w:r>
      <w:r>
        <w:rPr>
          <w:rFonts w:ascii="Calibri" w:hAnsi="Calibri" w:cstheme="minorHAnsi"/>
        </w:rPr>
        <w:t>stakeholder managing Regional Jobs Hubs across the state. Jobs Tasmania will be responsible for the design and implementation of employment related initiatives over the next three years aimed at complementing existing activities and services.</w:t>
      </w:r>
    </w:p>
    <w:p w14:paraId="31384DFB" w14:textId="77777777" w:rsidR="00050E94" w:rsidRDefault="00050E94" w:rsidP="00370F37">
      <w:pPr>
        <w:pStyle w:val="ListParagraph"/>
        <w:spacing w:before="240"/>
        <w:ind w:left="0"/>
        <w:rPr>
          <w:rFonts w:ascii="Calibri" w:hAnsi="Calibri" w:cstheme="minorHAnsi"/>
        </w:rPr>
      </w:pPr>
    </w:p>
    <w:p w14:paraId="4D745B2C" w14:textId="51B4DF69" w:rsidR="00F5332B" w:rsidRDefault="00A747D7" w:rsidP="00370F37">
      <w:pPr>
        <w:pStyle w:val="ListParagraph"/>
        <w:spacing w:before="240"/>
        <w:ind w:left="0"/>
        <w:rPr>
          <w:rFonts w:ascii="Calibri" w:hAnsi="Calibri" w:cstheme="minorHAnsi"/>
        </w:rPr>
      </w:pPr>
      <w:r>
        <w:rPr>
          <w:rFonts w:ascii="Calibri" w:hAnsi="Calibri" w:cstheme="minorHAnsi"/>
        </w:rPr>
        <w:t>Many industries are indicating strong demand for workforce in the coming months and years, including through recent consultation with peak employer and industry bodies such as Master Builders Association (MBA), Housing Industry Association (HIA), Keystone, National Disability Services (NDS), Tasmanian Council of Social Service (</w:t>
      </w:r>
      <w:proofErr w:type="spellStart"/>
      <w:r>
        <w:rPr>
          <w:rFonts w:ascii="Calibri" w:hAnsi="Calibri" w:cstheme="minorHAnsi"/>
        </w:rPr>
        <w:t>TasCOSS</w:t>
      </w:r>
      <w:proofErr w:type="spellEnd"/>
      <w:r>
        <w:rPr>
          <w:rFonts w:ascii="Calibri" w:hAnsi="Calibri" w:cstheme="minorHAnsi"/>
        </w:rPr>
        <w:t xml:space="preserve">) and Destination Southern Tasmania (DST). </w:t>
      </w:r>
    </w:p>
    <w:p w14:paraId="54B90B80" w14:textId="77777777" w:rsidR="00F5332B" w:rsidRDefault="00F5332B" w:rsidP="00370F37">
      <w:pPr>
        <w:pStyle w:val="ListParagraph"/>
        <w:spacing w:before="240" w:after="160"/>
        <w:ind w:left="0"/>
        <w:rPr>
          <w:rFonts w:ascii="Calibri" w:hAnsi="Calibri" w:cstheme="minorHAnsi"/>
        </w:rPr>
      </w:pPr>
    </w:p>
    <w:p w14:paraId="39E9A563" w14:textId="66A1D630" w:rsidR="00A747D7" w:rsidRDefault="00A747D7" w:rsidP="00370F37">
      <w:pPr>
        <w:pStyle w:val="ListParagraph"/>
        <w:spacing w:before="240" w:after="160"/>
        <w:ind w:left="0"/>
        <w:rPr>
          <w:rFonts w:ascii="Calibri" w:hAnsi="Calibri" w:cstheme="minorHAnsi"/>
        </w:rPr>
      </w:pPr>
      <w:r>
        <w:rPr>
          <w:rFonts w:ascii="Calibri" w:hAnsi="Calibri" w:cstheme="minorHAnsi"/>
        </w:rPr>
        <w:t>Much of the demand has been validated and quantified through industry led workforce development and strategic plans across various industries such as:</w:t>
      </w:r>
    </w:p>
    <w:p w14:paraId="537A8A53" w14:textId="656C4E48" w:rsidR="00A747D7" w:rsidRPr="0047348C" w:rsidRDefault="00092FE5" w:rsidP="003B4EBE">
      <w:pPr>
        <w:pStyle w:val="ListParagraph"/>
        <w:numPr>
          <w:ilvl w:val="0"/>
          <w:numId w:val="12"/>
        </w:numPr>
        <w:spacing w:before="120" w:after="120"/>
        <w:rPr>
          <w:rFonts w:cstheme="minorHAnsi"/>
        </w:rPr>
      </w:pPr>
      <w:hyperlink r:id="rId12" w:history="1">
        <w:r w:rsidR="00A747D7" w:rsidRPr="003B4EBE">
          <w:t>Building and construction</w:t>
        </w:r>
      </w:hyperlink>
      <w:r w:rsidR="00A747D7" w:rsidRPr="0047348C">
        <w:rPr>
          <w:rFonts w:cstheme="minorHAnsi"/>
        </w:rPr>
        <w:t xml:space="preserve"> including residential, commercial and </w:t>
      </w:r>
      <w:hyperlink r:id="rId13" w:history="1">
        <w:r w:rsidR="00A747D7" w:rsidRPr="003B4EBE">
          <w:t>civil construction</w:t>
        </w:r>
      </w:hyperlink>
    </w:p>
    <w:p w14:paraId="1F19774F" w14:textId="77777777" w:rsidR="00A747D7" w:rsidRPr="0047348C" w:rsidRDefault="00A747D7" w:rsidP="003B4EBE">
      <w:pPr>
        <w:pStyle w:val="ListParagraph"/>
        <w:numPr>
          <w:ilvl w:val="0"/>
          <w:numId w:val="12"/>
        </w:numPr>
        <w:spacing w:before="120" w:after="120"/>
        <w:rPr>
          <w:rFonts w:cstheme="minorHAnsi"/>
        </w:rPr>
      </w:pPr>
      <w:r w:rsidRPr="0047348C">
        <w:rPr>
          <w:rFonts w:cstheme="minorHAnsi"/>
        </w:rPr>
        <w:t xml:space="preserve">Community services including aged care, </w:t>
      </w:r>
      <w:hyperlink r:id="rId14" w:history="1">
        <w:r w:rsidRPr="003B4EBE">
          <w:t>disability</w:t>
        </w:r>
      </w:hyperlink>
      <w:r w:rsidRPr="0047348C">
        <w:rPr>
          <w:rFonts w:cstheme="minorHAnsi"/>
        </w:rPr>
        <w:t>, health care and community-based roles</w:t>
      </w:r>
    </w:p>
    <w:p w14:paraId="2F02CD6B" w14:textId="77777777" w:rsidR="00A747D7" w:rsidRPr="0047348C" w:rsidRDefault="00A747D7" w:rsidP="003B4EBE">
      <w:pPr>
        <w:pStyle w:val="ListParagraph"/>
        <w:numPr>
          <w:ilvl w:val="0"/>
          <w:numId w:val="12"/>
        </w:numPr>
        <w:spacing w:before="120" w:after="120"/>
        <w:rPr>
          <w:rFonts w:cstheme="minorHAnsi"/>
        </w:rPr>
      </w:pPr>
      <w:r w:rsidRPr="0047348C">
        <w:rPr>
          <w:rFonts w:cstheme="minorHAnsi"/>
        </w:rPr>
        <w:t>Energy infrastructure including advanced manufacturing</w:t>
      </w:r>
    </w:p>
    <w:p w14:paraId="198F52CC" w14:textId="77777777" w:rsidR="00A747D7" w:rsidRPr="0047348C" w:rsidRDefault="00A747D7" w:rsidP="003B4EBE">
      <w:pPr>
        <w:pStyle w:val="ListParagraph"/>
        <w:numPr>
          <w:ilvl w:val="0"/>
          <w:numId w:val="12"/>
        </w:numPr>
        <w:spacing w:before="120" w:after="120"/>
        <w:rPr>
          <w:rFonts w:cstheme="minorHAnsi"/>
        </w:rPr>
      </w:pPr>
      <w:r w:rsidRPr="0047348C">
        <w:rPr>
          <w:rFonts w:cstheme="minorHAnsi"/>
        </w:rPr>
        <w:t>Primary industries including fruit growers, vegetable growers, wine industry, dairy and wool growers</w:t>
      </w:r>
    </w:p>
    <w:p w14:paraId="2A68162E" w14:textId="3E8699F4" w:rsidR="00A747D7" w:rsidRPr="0047348C" w:rsidRDefault="00092FE5" w:rsidP="003B4EBE">
      <w:pPr>
        <w:pStyle w:val="ListParagraph"/>
        <w:numPr>
          <w:ilvl w:val="0"/>
          <w:numId w:val="12"/>
        </w:numPr>
        <w:spacing w:before="120" w:after="120"/>
        <w:rPr>
          <w:rFonts w:cstheme="minorHAnsi"/>
        </w:rPr>
      </w:pPr>
      <w:hyperlink r:id="rId15" w:history="1">
        <w:r w:rsidR="00A747D7" w:rsidRPr="003B4EBE">
          <w:t>Transport industr</w:t>
        </w:r>
      </w:hyperlink>
      <w:r w:rsidR="00A747D7" w:rsidRPr="003B4EBE">
        <w:t>y</w:t>
      </w:r>
      <w:r w:rsidR="007D1029">
        <w:t>,</w:t>
      </w:r>
      <w:r w:rsidR="00A747D7" w:rsidRPr="003B4EBE">
        <w:t xml:space="preserve"> and</w:t>
      </w:r>
    </w:p>
    <w:p w14:paraId="7627B3C8" w14:textId="4CCD0746" w:rsidR="00A747D7" w:rsidRPr="003B4EBE" w:rsidRDefault="00092FE5" w:rsidP="003B4EBE">
      <w:pPr>
        <w:pStyle w:val="ListParagraph"/>
        <w:numPr>
          <w:ilvl w:val="0"/>
          <w:numId w:val="12"/>
        </w:numPr>
        <w:spacing w:before="120" w:after="120"/>
      </w:pPr>
      <w:hyperlink r:id="rId16" w:history="1">
        <w:r w:rsidR="00A747D7" w:rsidRPr="003B4EBE">
          <w:t>Tourism and hospitality</w:t>
        </w:r>
      </w:hyperlink>
      <w:r w:rsidR="007D1029">
        <w:t>.</w:t>
      </w:r>
    </w:p>
    <w:p w14:paraId="11E8E651" w14:textId="77777777" w:rsidR="00BD7F42" w:rsidRDefault="00BD7F42" w:rsidP="00370F37">
      <w:pPr>
        <w:pStyle w:val="ListParagraph"/>
        <w:spacing w:before="240" w:after="160"/>
        <w:ind w:left="1080"/>
        <w:rPr>
          <w:rFonts w:cstheme="minorHAnsi"/>
        </w:rPr>
      </w:pPr>
    </w:p>
    <w:p w14:paraId="07908816" w14:textId="77777777" w:rsidR="00BD7F42" w:rsidRPr="00BD7F42" w:rsidRDefault="00A747D7" w:rsidP="00370F37">
      <w:pPr>
        <w:pStyle w:val="ListParagraph"/>
        <w:spacing w:before="240"/>
        <w:ind w:left="0"/>
        <w:rPr>
          <w:rFonts w:ascii="Calibri" w:hAnsi="Calibri" w:cstheme="minorHAnsi"/>
        </w:rPr>
      </w:pPr>
      <w:r>
        <w:rPr>
          <w:rFonts w:ascii="Calibri" w:hAnsi="Calibri" w:cstheme="minorHAnsi"/>
        </w:rPr>
        <w:t xml:space="preserve">The Hobart City Deal (a shared vision between the Australian and Tasmanian governments and the Clarence, Glenorchy, Hobart and Kingborough councils) includes replacement of the Bridgewater Bridge, redevelopment of the Hobart Waterfront, </w:t>
      </w:r>
      <w:r w:rsidRPr="00BD7F42">
        <w:rPr>
          <w:rFonts w:ascii="Calibri" w:hAnsi="Calibri" w:cstheme="minorHAnsi"/>
        </w:rPr>
        <w:t>Hobart Airport, the Antarctic Precinct and University of Tasmania (UTAS) campus renewal.</w:t>
      </w:r>
    </w:p>
    <w:p w14:paraId="6B3868F2" w14:textId="477C4803" w:rsidR="00BD7F42" w:rsidRDefault="00BD7F42" w:rsidP="00370F37">
      <w:pPr>
        <w:pStyle w:val="ListParagraph"/>
        <w:spacing w:before="240"/>
        <w:ind w:left="0"/>
        <w:rPr>
          <w:rFonts w:ascii="Calibri" w:hAnsi="Calibri" w:cstheme="minorHAnsi"/>
        </w:rPr>
      </w:pPr>
    </w:p>
    <w:p w14:paraId="05E37562" w14:textId="77777777" w:rsidR="00032F46" w:rsidRPr="00BD7F42" w:rsidRDefault="00032F46" w:rsidP="00370F37">
      <w:pPr>
        <w:pStyle w:val="ListParagraph"/>
        <w:spacing w:before="240"/>
        <w:ind w:left="0"/>
        <w:rPr>
          <w:rFonts w:ascii="Calibri" w:hAnsi="Calibri" w:cstheme="minorHAnsi"/>
        </w:rPr>
      </w:pPr>
    </w:p>
    <w:p w14:paraId="31AE7743" w14:textId="77777777" w:rsidR="004C5B75" w:rsidRDefault="00F5332B" w:rsidP="00370F37">
      <w:pPr>
        <w:pStyle w:val="ListParagraph"/>
        <w:spacing w:before="240"/>
        <w:ind w:left="0"/>
        <w:rPr>
          <w:rFonts w:ascii="Calibri" w:hAnsi="Calibri" w:cstheme="minorHAnsi"/>
        </w:rPr>
      </w:pPr>
      <w:r w:rsidRPr="00BD7F42">
        <w:rPr>
          <w:rFonts w:ascii="Calibri" w:hAnsi="Calibri" w:cstheme="minorHAnsi"/>
        </w:rPr>
        <w:lastRenderedPageBreak/>
        <w:t>Whilst employers experience recruitment and retention challenges, there are employers within some industries that have improved their employment practices to attract and retain employees</w:t>
      </w:r>
    </w:p>
    <w:p w14:paraId="38C23B89" w14:textId="42B08D72" w:rsidR="00F5332B" w:rsidRPr="00BD7F42" w:rsidRDefault="00F5332B" w:rsidP="00370F37">
      <w:pPr>
        <w:pStyle w:val="ListParagraph"/>
        <w:spacing w:before="240"/>
        <w:ind w:left="0"/>
        <w:rPr>
          <w:rFonts w:ascii="Calibri" w:hAnsi="Calibri" w:cstheme="minorHAnsi"/>
        </w:rPr>
      </w:pPr>
      <w:r w:rsidRPr="00BD7F42">
        <w:rPr>
          <w:rFonts w:ascii="Calibri" w:hAnsi="Calibri" w:cstheme="minorHAnsi"/>
        </w:rPr>
        <w:t>in a competitive labour market. This is particularly so in industries that are highly casualised, employ low skilled workers and are seasonal. These industries are less appealing to job seekers and as a result are more affected by shortages of skilled and/or experienced labour.</w:t>
      </w:r>
    </w:p>
    <w:bookmarkEnd w:id="15"/>
    <w:p w14:paraId="2ABA9A7C" w14:textId="7E71035C" w:rsidR="00BC25FD" w:rsidRDefault="00BC25FD" w:rsidP="00370F37">
      <w:pPr>
        <w:rPr>
          <w:rFonts w:ascii="Calibri" w:eastAsiaTheme="majorEastAsia" w:hAnsi="Calibri" w:cstheme="majorBidi"/>
          <w:b/>
          <w:bCs/>
        </w:rPr>
      </w:pPr>
    </w:p>
    <w:p w14:paraId="4FFDC6D9" w14:textId="77777777" w:rsidR="00F5332B" w:rsidRDefault="00F5332B" w:rsidP="00370F37">
      <w:pPr>
        <w:rPr>
          <w:rFonts w:ascii="Calibri" w:eastAsia="Times New Roman" w:hAnsi="Calibri" w:cstheme="majorBidi"/>
          <w:b/>
          <w:bCs/>
          <w:color w:val="646363"/>
          <w:sz w:val="28"/>
          <w:szCs w:val="26"/>
        </w:rPr>
      </w:pPr>
      <w:bookmarkStart w:id="16" w:name="_Toc25859225"/>
      <w:bookmarkStart w:id="17" w:name="_Toc25859302"/>
      <w:bookmarkStart w:id="18" w:name="_Toc25860024"/>
      <w:bookmarkStart w:id="19" w:name="_Toc25859229"/>
      <w:bookmarkStart w:id="20" w:name="_Toc25859306"/>
      <w:bookmarkStart w:id="21" w:name="_Toc25860028"/>
      <w:bookmarkStart w:id="22" w:name="_Toc25859230"/>
      <w:bookmarkStart w:id="23" w:name="_Toc25859307"/>
      <w:bookmarkStart w:id="24" w:name="_Toc25860029"/>
      <w:bookmarkStart w:id="25" w:name="_Toc25859233"/>
      <w:bookmarkStart w:id="26" w:name="_Toc25859310"/>
      <w:bookmarkStart w:id="27" w:name="_Toc25860032"/>
      <w:bookmarkStart w:id="28" w:name="_Toc77833838"/>
      <w:bookmarkEnd w:id="1"/>
      <w:bookmarkEnd w:id="3"/>
      <w:bookmarkEnd w:id="16"/>
      <w:bookmarkEnd w:id="17"/>
      <w:bookmarkEnd w:id="18"/>
      <w:bookmarkEnd w:id="19"/>
      <w:bookmarkEnd w:id="20"/>
      <w:bookmarkEnd w:id="21"/>
      <w:bookmarkEnd w:id="22"/>
      <w:bookmarkEnd w:id="23"/>
      <w:bookmarkEnd w:id="24"/>
      <w:bookmarkEnd w:id="25"/>
      <w:bookmarkEnd w:id="26"/>
      <w:bookmarkEnd w:id="27"/>
      <w:r>
        <w:rPr>
          <w:rFonts w:eastAsia="Times New Roman"/>
        </w:rPr>
        <w:br w:type="page"/>
      </w:r>
    </w:p>
    <w:p w14:paraId="1D2A3D4D" w14:textId="755FBEFD" w:rsidR="006B1EFD" w:rsidRDefault="00690A1C" w:rsidP="00F3128C">
      <w:pPr>
        <w:pStyle w:val="Heading2"/>
      </w:pPr>
      <w:r w:rsidRPr="007D1210">
        <w:lastRenderedPageBreak/>
        <w:t xml:space="preserve">Attachment A – Key </w:t>
      </w:r>
      <w:r w:rsidR="007D1210">
        <w:t>e</w:t>
      </w:r>
      <w:r w:rsidRPr="007D1210">
        <w:t xml:space="preserve">mployment and </w:t>
      </w:r>
      <w:r w:rsidR="007D1210">
        <w:t>t</w:t>
      </w:r>
      <w:r w:rsidRPr="004E1E0C">
        <w:t xml:space="preserve">raining </w:t>
      </w:r>
      <w:r w:rsidR="007D1210">
        <w:t>pr</w:t>
      </w:r>
      <w:r w:rsidRPr="004E1E0C">
        <w:t>iorities</w:t>
      </w:r>
      <w:r w:rsidR="00762607" w:rsidRPr="004E1E0C">
        <w:t xml:space="preserve">: </w:t>
      </w:r>
      <w:r w:rsidR="007D1210">
        <w:t>s</w:t>
      </w:r>
      <w:r w:rsidR="00762607" w:rsidRPr="004E1E0C">
        <w:t xml:space="preserve">trategies and </w:t>
      </w:r>
      <w:r w:rsidR="007D1210">
        <w:t>s</w:t>
      </w:r>
      <w:r w:rsidR="00762607" w:rsidRPr="004E1E0C">
        <w:t>takeholders</w:t>
      </w:r>
      <w:bookmarkEnd w:id="28"/>
    </w:p>
    <w:p w14:paraId="752EEC70" w14:textId="77777777" w:rsidR="006B1EFD" w:rsidRPr="006B1EFD" w:rsidRDefault="006B1EFD" w:rsidP="00370F37">
      <w:pPr>
        <w:rPr>
          <w:sz w:val="10"/>
          <w:szCs w:val="10"/>
        </w:rPr>
      </w:pPr>
    </w:p>
    <w:p w14:paraId="06B2B5BD" w14:textId="77777777" w:rsidR="00BD7F42" w:rsidRPr="00BD7F42" w:rsidRDefault="00F166CB" w:rsidP="00370F37">
      <w:pPr>
        <w:pStyle w:val="ListParagraph"/>
        <w:numPr>
          <w:ilvl w:val="0"/>
          <w:numId w:val="16"/>
        </w:numPr>
      </w:pPr>
      <w:r w:rsidRPr="00A53740">
        <w:rPr>
          <w:rFonts w:ascii="Calibri" w:hAnsi="Calibri" w:cstheme="minorHAnsi"/>
          <w:b/>
          <w:bCs/>
        </w:rPr>
        <w:t xml:space="preserve"> </w:t>
      </w:r>
      <w:r w:rsidRPr="00A53740">
        <w:rPr>
          <w:b/>
          <w:bCs/>
        </w:rPr>
        <w:t>Facilitating the creation of pathways into growth industries facing labour supply issues,</w:t>
      </w:r>
    </w:p>
    <w:p w14:paraId="3F3B55C8" w14:textId="10542240" w:rsidR="00F166CB" w:rsidRDefault="00F166CB" w:rsidP="00370F37">
      <w:pPr>
        <w:pStyle w:val="ListParagraph"/>
        <w:spacing w:line="240" w:lineRule="auto"/>
        <w:ind w:left="360"/>
      </w:pPr>
      <w:r w:rsidRPr="00A53740">
        <w:rPr>
          <w:b/>
          <w:bCs/>
        </w:rPr>
        <w:t xml:space="preserve"> </w:t>
      </w:r>
      <w:r>
        <w:t>for example:</w:t>
      </w:r>
    </w:p>
    <w:p w14:paraId="6256AE79" w14:textId="77777777" w:rsidR="00F166CB" w:rsidRPr="003139A3" w:rsidRDefault="00F166CB" w:rsidP="003139A3">
      <w:pPr>
        <w:pStyle w:val="ListParagraph"/>
        <w:numPr>
          <w:ilvl w:val="0"/>
          <w:numId w:val="32"/>
        </w:numPr>
        <w:spacing w:after="0" w:line="240" w:lineRule="auto"/>
        <w:jc w:val="both"/>
        <w:rPr>
          <w:rFonts w:ascii="Calibri" w:hAnsi="Calibri" w:cstheme="minorHAnsi"/>
        </w:rPr>
      </w:pPr>
      <w:r w:rsidRPr="003139A3">
        <w:rPr>
          <w:rFonts w:ascii="Calibri" w:hAnsi="Calibri" w:cstheme="minorHAnsi"/>
        </w:rPr>
        <w:t>Tourism and hospitality</w:t>
      </w:r>
    </w:p>
    <w:p w14:paraId="32704979" w14:textId="77777777" w:rsidR="00F166CB" w:rsidRPr="003139A3" w:rsidRDefault="00F166CB" w:rsidP="003139A3">
      <w:pPr>
        <w:pStyle w:val="ListParagraph"/>
        <w:numPr>
          <w:ilvl w:val="0"/>
          <w:numId w:val="32"/>
        </w:numPr>
        <w:spacing w:after="0" w:line="240" w:lineRule="auto"/>
        <w:jc w:val="both"/>
        <w:rPr>
          <w:rFonts w:ascii="Calibri" w:hAnsi="Calibri" w:cstheme="minorHAnsi"/>
        </w:rPr>
      </w:pPr>
      <w:r w:rsidRPr="003139A3">
        <w:rPr>
          <w:rFonts w:ascii="Calibri" w:hAnsi="Calibri" w:cstheme="minorHAnsi"/>
        </w:rPr>
        <w:t>Health care and social assistance</w:t>
      </w:r>
    </w:p>
    <w:p w14:paraId="18BF87EB" w14:textId="77777777" w:rsidR="00F166CB" w:rsidRPr="003139A3" w:rsidRDefault="00F166CB" w:rsidP="003139A3">
      <w:pPr>
        <w:pStyle w:val="ListParagraph"/>
        <w:numPr>
          <w:ilvl w:val="0"/>
          <w:numId w:val="32"/>
        </w:numPr>
        <w:spacing w:after="0" w:line="240" w:lineRule="auto"/>
        <w:jc w:val="both"/>
        <w:rPr>
          <w:rFonts w:ascii="Calibri" w:hAnsi="Calibri" w:cstheme="minorHAnsi"/>
        </w:rPr>
      </w:pPr>
      <w:r w:rsidRPr="003139A3">
        <w:rPr>
          <w:rFonts w:ascii="Calibri" w:hAnsi="Calibri" w:cstheme="minorHAnsi"/>
        </w:rPr>
        <w:t xml:space="preserve">Construction (including allied trades) </w:t>
      </w:r>
    </w:p>
    <w:p w14:paraId="06CDF780" w14:textId="77777777" w:rsidR="00F166CB" w:rsidRPr="003139A3" w:rsidRDefault="00F166CB" w:rsidP="003139A3">
      <w:pPr>
        <w:pStyle w:val="ListParagraph"/>
        <w:numPr>
          <w:ilvl w:val="0"/>
          <w:numId w:val="32"/>
        </w:numPr>
        <w:spacing w:after="0" w:line="240" w:lineRule="auto"/>
        <w:jc w:val="both"/>
        <w:rPr>
          <w:rFonts w:ascii="Calibri" w:hAnsi="Calibri" w:cstheme="minorHAnsi"/>
        </w:rPr>
      </w:pPr>
      <w:r w:rsidRPr="003139A3">
        <w:rPr>
          <w:rFonts w:ascii="Calibri" w:hAnsi="Calibri" w:cstheme="minorHAnsi"/>
        </w:rPr>
        <w:t>Transport and logistics</w:t>
      </w:r>
    </w:p>
    <w:p w14:paraId="269C94A9" w14:textId="7CE289E4" w:rsidR="00F166CB" w:rsidRPr="003139A3" w:rsidRDefault="00F166CB" w:rsidP="003139A3">
      <w:pPr>
        <w:pStyle w:val="ListParagraph"/>
        <w:numPr>
          <w:ilvl w:val="0"/>
          <w:numId w:val="32"/>
        </w:numPr>
        <w:spacing w:after="0" w:line="240" w:lineRule="auto"/>
        <w:jc w:val="both"/>
        <w:rPr>
          <w:rFonts w:ascii="Calibri" w:hAnsi="Calibri" w:cstheme="minorHAnsi"/>
        </w:rPr>
      </w:pPr>
      <w:r w:rsidRPr="003139A3">
        <w:rPr>
          <w:rFonts w:ascii="Calibri" w:hAnsi="Calibri" w:cstheme="minorHAnsi"/>
        </w:rPr>
        <w:t>Agriculture</w:t>
      </w:r>
    </w:p>
    <w:p w14:paraId="19D0DE46" w14:textId="77777777" w:rsidR="003139A3" w:rsidRDefault="003139A3" w:rsidP="003139A3">
      <w:pPr>
        <w:pStyle w:val="ListParagraph"/>
        <w:spacing w:before="240" w:after="160" w:line="240" w:lineRule="auto"/>
        <w:ind w:left="1080"/>
        <w:jc w:val="both"/>
        <w:rPr>
          <w:rFonts w:cstheme="minorHAnsi"/>
        </w:rPr>
      </w:pPr>
    </w:p>
    <w:p w14:paraId="46C2AE62" w14:textId="77E343A2" w:rsidR="003139A3" w:rsidRPr="003139A3" w:rsidRDefault="00F166CB" w:rsidP="003139A3">
      <w:pPr>
        <w:pStyle w:val="ListParagraph"/>
        <w:numPr>
          <w:ilvl w:val="0"/>
          <w:numId w:val="29"/>
        </w:numPr>
        <w:spacing w:before="240" w:after="160" w:line="240" w:lineRule="auto"/>
        <w:ind w:left="284" w:hanging="284"/>
        <w:rPr>
          <w:rFonts w:ascii="Calibri" w:hAnsi="Calibri" w:cstheme="minorHAnsi"/>
        </w:rPr>
      </w:pPr>
      <w:r w:rsidRPr="003139A3">
        <w:rPr>
          <w:rFonts w:ascii="Calibri" w:hAnsi="Calibri" w:cstheme="minorHAnsi"/>
        </w:rPr>
        <w:t xml:space="preserve">The shortage of skilled labour in these industries is the result of several factors including: an ageing workforce, increase in demand for products and services, reduced migration and a lack of awareness and understanding of career opportunities available. </w:t>
      </w:r>
    </w:p>
    <w:p w14:paraId="6A71DEC5" w14:textId="41FCA788" w:rsidR="006B1EFD" w:rsidRPr="003139A3" w:rsidRDefault="00F166CB" w:rsidP="003139A3">
      <w:pPr>
        <w:pStyle w:val="ListParagraph"/>
        <w:numPr>
          <w:ilvl w:val="0"/>
          <w:numId w:val="29"/>
        </w:numPr>
        <w:spacing w:before="240" w:after="160" w:line="240" w:lineRule="auto"/>
        <w:ind w:left="284" w:hanging="284"/>
        <w:rPr>
          <w:rFonts w:ascii="Calibri" w:hAnsi="Calibri" w:cstheme="minorHAnsi"/>
        </w:rPr>
      </w:pPr>
      <w:r w:rsidRPr="003139A3">
        <w:rPr>
          <w:rFonts w:ascii="Calibri" w:hAnsi="Calibri" w:cstheme="minorHAnsi"/>
        </w:rPr>
        <w:t>This includes insufficient pre-employment and/or entry level training and work experience opportunities. Demand is being driven by shortages of housing, increased use of private housing stock in the short-term rental market and government incentives to stimulate construction activity.</w:t>
      </w:r>
    </w:p>
    <w:p w14:paraId="7CD8835B" w14:textId="44EC6C19" w:rsidR="00BD7F42" w:rsidRPr="00BD7F42" w:rsidRDefault="00F166CB" w:rsidP="003139A3">
      <w:pPr>
        <w:spacing w:after="0" w:line="240" w:lineRule="auto"/>
        <w:rPr>
          <w:rFonts w:ascii="Calibri" w:hAnsi="Calibri" w:cstheme="minorHAnsi"/>
          <w:b/>
          <w:bCs/>
          <w:i/>
          <w:iCs/>
        </w:rPr>
      </w:pPr>
      <w:r w:rsidRPr="00BD7F42">
        <w:rPr>
          <w:rFonts w:ascii="Calibri" w:hAnsi="Calibri" w:cstheme="minorHAnsi"/>
          <w:b/>
          <w:bCs/>
          <w:i/>
          <w:iCs/>
        </w:rPr>
        <w:t>Strategies</w:t>
      </w:r>
    </w:p>
    <w:p w14:paraId="72471CD0" w14:textId="4AE8690A" w:rsidR="00A747D7" w:rsidRPr="003139A3" w:rsidRDefault="00F166CB" w:rsidP="003139A3">
      <w:pPr>
        <w:pStyle w:val="ListParagraph"/>
        <w:numPr>
          <w:ilvl w:val="0"/>
          <w:numId w:val="29"/>
        </w:numPr>
        <w:spacing w:after="0" w:line="240" w:lineRule="auto"/>
        <w:ind w:left="284" w:hanging="284"/>
        <w:rPr>
          <w:rFonts w:ascii="Calibri" w:hAnsi="Calibri" w:cstheme="minorHAnsi"/>
        </w:rPr>
      </w:pPr>
      <w:r w:rsidRPr="003139A3">
        <w:rPr>
          <w:rFonts w:ascii="Calibri" w:hAnsi="Calibri" w:cstheme="minorHAnsi"/>
        </w:rPr>
        <w:t xml:space="preserve">To ensure </w:t>
      </w:r>
      <w:r w:rsidR="00393C38" w:rsidRPr="003139A3">
        <w:rPr>
          <w:rFonts w:ascii="Calibri" w:hAnsi="Calibri" w:cstheme="minorHAnsi"/>
        </w:rPr>
        <w:t>growth i</w:t>
      </w:r>
      <w:r w:rsidRPr="003139A3">
        <w:rPr>
          <w:rFonts w:ascii="Calibri" w:hAnsi="Calibri" w:cstheme="minorHAnsi"/>
        </w:rPr>
        <w:t>ndustries have access to the skilled workers required to meet demand</w:t>
      </w:r>
      <w:r w:rsidR="007B38C0">
        <w:rPr>
          <w:rFonts w:ascii="Calibri" w:hAnsi="Calibri" w:cstheme="minorHAnsi"/>
        </w:rPr>
        <w:t xml:space="preserve">, the regions Local Jobs </w:t>
      </w:r>
      <w:r w:rsidR="000F456E">
        <w:rPr>
          <w:rFonts w:ascii="Calibri" w:hAnsi="Calibri" w:cstheme="minorHAnsi"/>
        </w:rPr>
        <w:t>and Skills T</w:t>
      </w:r>
      <w:r w:rsidR="007B38C0">
        <w:rPr>
          <w:rFonts w:ascii="Calibri" w:hAnsi="Calibri" w:cstheme="minorHAnsi"/>
        </w:rPr>
        <w:t>askforce in collaboration with key stakehol</w:t>
      </w:r>
      <w:r w:rsidR="000F456E">
        <w:rPr>
          <w:rFonts w:ascii="Calibri" w:hAnsi="Calibri" w:cstheme="minorHAnsi"/>
        </w:rPr>
        <w:t>d</w:t>
      </w:r>
      <w:r w:rsidR="007B38C0">
        <w:rPr>
          <w:rFonts w:ascii="Calibri" w:hAnsi="Calibri" w:cstheme="minorHAnsi"/>
        </w:rPr>
        <w:t>ers will</w:t>
      </w:r>
    </w:p>
    <w:p w14:paraId="5FC12346" w14:textId="5112787A" w:rsidR="00A747D7" w:rsidRDefault="00393C38" w:rsidP="003139A3">
      <w:pPr>
        <w:pStyle w:val="ListParagraph"/>
        <w:numPr>
          <w:ilvl w:val="0"/>
          <w:numId w:val="33"/>
        </w:numPr>
        <w:spacing w:after="0" w:line="240" w:lineRule="auto"/>
        <w:jc w:val="both"/>
        <w:rPr>
          <w:rFonts w:ascii="Calibri" w:hAnsi="Calibri" w:cstheme="minorHAnsi"/>
        </w:rPr>
      </w:pPr>
      <w:r>
        <w:rPr>
          <w:rFonts w:ascii="Calibri" w:hAnsi="Calibri" w:cstheme="minorHAnsi"/>
        </w:rPr>
        <w:t xml:space="preserve">Develop and implement </w:t>
      </w:r>
      <w:r w:rsidR="00F166CB" w:rsidRPr="006E3FD7">
        <w:rPr>
          <w:rFonts w:ascii="Calibri" w:hAnsi="Calibri" w:cstheme="minorHAnsi"/>
        </w:rPr>
        <w:t>more employer validated preparation programs which are inclusive of industry exposure and experienc</w:t>
      </w:r>
      <w:r>
        <w:rPr>
          <w:rFonts w:ascii="Calibri" w:hAnsi="Calibri" w:cstheme="minorHAnsi"/>
        </w:rPr>
        <w:t>e</w:t>
      </w:r>
      <w:r w:rsidR="00F166CB" w:rsidRPr="006E3FD7">
        <w:rPr>
          <w:rFonts w:ascii="Calibri" w:hAnsi="Calibri" w:cstheme="minorHAnsi"/>
        </w:rPr>
        <w:t xml:space="preserve"> </w:t>
      </w:r>
    </w:p>
    <w:p w14:paraId="5AF9FEA5" w14:textId="7406F740" w:rsidR="00A747D7" w:rsidRPr="00BD7F42" w:rsidRDefault="00393C38" w:rsidP="003139A3">
      <w:pPr>
        <w:pStyle w:val="ListParagraph"/>
        <w:numPr>
          <w:ilvl w:val="0"/>
          <w:numId w:val="33"/>
        </w:numPr>
        <w:spacing w:after="0" w:line="240" w:lineRule="auto"/>
        <w:jc w:val="both"/>
        <w:rPr>
          <w:rFonts w:ascii="Calibri" w:hAnsi="Calibri" w:cstheme="minorHAnsi"/>
          <w:i/>
          <w:iCs/>
        </w:rPr>
      </w:pPr>
      <w:r>
        <w:rPr>
          <w:rFonts w:ascii="Calibri" w:hAnsi="Calibri" w:cstheme="minorHAnsi"/>
        </w:rPr>
        <w:t xml:space="preserve">Develop projects and </w:t>
      </w:r>
      <w:r w:rsidR="00A747D7">
        <w:rPr>
          <w:rFonts w:ascii="Calibri" w:hAnsi="Calibri" w:cstheme="minorHAnsi"/>
        </w:rPr>
        <w:t>p</w:t>
      </w:r>
      <w:r w:rsidR="00F166CB" w:rsidRPr="006E3FD7">
        <w:rPr>
          <w:rFonts w:ascii="Calibri" w:hAnsi="Calibri" w:cstheme="minorHAnsi"/>
        </w:rPr>
        <w:t xml:space="preserve">rograms where industry </w:t>
      </w:r>
      <w:r w:rsidR="005A2690" w:rsidRPr="006E3FD7">
        <w:rPr>
          <w:rFonts w:ascii="Calibri" w:hAnsi="Calibri" w:cstheme="minorHAnsi"/>
        </w:rPr>
        <w:t>is</w:t>
      </w:r>
      <w:r w:rsidR="00F166CB" w:rsidRPr="006E3FD7">
        <w:rPr>
          <w:rFonts w:ascii="Calibri" w:hAnsi="Calibri" w:cstheme="minorHAnsi"/>
        </w:rPr>
        <w:t xml:space="preserve"> at the centre of development</w:t>
      </w:r>
      <w:r>
        <w:rPr>
          <w:rFonts w:ascii="Calibri" w:hAnsi="Calibri" w:cstheme="minorHAnsi"/>
        </w:rPr>
        <w:t xml:space="preserve"> to maximise likelihood for success.</w:t>
      </w:r>
      <w:r w:rsidR="00F166CB" w:rsidRPr="006E3FD7">
        <w:rPr>
          <w:rFonts w:ascii="Calibri" w:hAnsi="Calibri" w:cstheme="minorHAnsi"/>
        </w:rPr>
        <w:t xml:space="preserve"> </w:t>
      </w:r>
      <w:r w:rsidR="00A747D7" w:rsidRPr="00A747D7">
        <w:rPr>
          <w:rFonts w:ascii="Calibri" w:hAnsi="Calibri" w:cstheme="minorHAnsi"/>
        </w:rPr>
        <w:t xml:space="preserve"> </w:t>
      </w:r>
    </w:p>
    <w:p w14:paraId="18ADA4EF" w14:textId="57848BEB" w:rsidR="006B1EFD" w:rsidRPr="006B1EFD" w:rsidRDefault="006B1EFD" w:rsidP="00370F37">
      <w:pPr>
        <w:spacing w:after="0" w:line="240" w:lineRule="auto"/>
        <w:rPr>
          <w:rFonts w:ascii="Calibri" w:hAnsi="Calibri" w:cstheme="minorHAnsi"/>
          <w:i/>
          <w:iCs/>
          <w:sz w:val="10"/>
          <w:szCs w:val="10"/>
        </w:rPr>
      </w:pPr>
    </w:p>
    <w:p w14:paraId="71396221" w14:textId="1C780F37" w:rsidR="00F166CB" w:rsidRPr="00BD7F42" w:rsidRDefault="00F166CB" w:rsidP="00370F37">
      <w:pPr>
        <w:spacing w:after="0" w:line="240" w:lineRule="auto"/>
        <w:rPr>
          <w:rFonts w:ascii="Calibri" w:hAnsi="Calibri" w:cstheme="minorHAnsi"/>
          <w:b/>
          <w:bCs/>
          <w:i/>
          <w:iCs/>
        </w:rPr>
      </w:pPr>
      <w:r w:rsidRPr="00BD7F42">
        <w:rPr>
          <w:rFonts w:ascii="Calibri" w:hAnsi="Calibri" w:cstheme="minorHAnsi"/>
          <w:b/>
          <w:bCs/>
          <w:i/>
          <w:iCs/>
        </w:rPr>
        <w:t>Stakeholders</w:t>
      </w:r>
    </w:p>
    <w:p w14:paraId="75D45DA8" w14:textId="7CEBF360" w:rsidR="006B1EFD" w:rsidRPr="006E3FD7" w:rsidRDefault="00B773F4" w:rsidP="00370F37">
      <w:pPr>
        <w:spacing w:after="0" w:line="240" w:lineRule="auto"/>
        <w:rPr>
          <w:rFonts w:cstheme="minorHAnsi"/>
        </w:rPr>
      </w:pPr>
      <w:r w:rsidRPr="00050E94">
        <w:rPr>
          <w:rFonts w:cstheme="minorHAnsi"/>
          <w:shd w:val="clear" w:color="auto" w:fill="FFFFFF"/>
        </w:rPr>
        <w:t>Premier’s Economic and Social Recovery Advisory Council, A</w:t>
      </w:r>
      <w:r w:rsidRPr="00050E94">
        <w:rPr>
          <w:rFonts w:cstheme="minorHAnsi"/>
        </w:rPr>
        <w:t>ged and Community Services Australia (Tasmania), Tourism Industry Council Tasmania, Volunteering Tasmania, TOLL Group, Master Builder’s Tasmania, National Disability Services Tasmania</w:t>
      </w:r>
      <w:r w:rsidR="00050E94">
        <w:rPr>
          <w:rFonts w:cstheme="minorHAnsi"/>
        </w:rPr>
        <w:t>, Tasmanian Hospitality Association</w:t>
      </w:r>
      <w:r w:rsidR="005A2690">
        <w:rPr>
          <w:rFonts w:cstheme="minorHAnsi"/>
        </w:rPr>
        <w:t>.</w:t>
      </w:r>
    </w:p>
    <w:p w14:paraId="3CD4823A" w14:textId="77777777" w:rsidR="00A53740" w:rsidRDefault="00B773F4" w:rsidP="00370F37">
      <w:pPr>
        <w:pStyle w:val="ListParagraph"/>
        <w:numPr>
          <w:ilvl w:val="0"/>
          <w:numId w:val="16"/>
        </w:numPr>
        <w:spacing w:before="240" w:after="160"/>
        <w:rPr>
          <w:rFonts w:cstheme="minorHAnsi"/>
          <w:b/>
          <w:bCs/>
        </w:rPr>
      </w:pPr>
      <w:r w:rsidRPr="00A53740">
        <w:rPr>
          <w:rFonts w:cstheme="minorHAnsi"/>
          <w:b/>
          <w:bCs/>
        </w:rPr>
        <w:t>Finding</w:t>
      </w:r>
      <w:r w:rsidR="00F166CB" w:rsidRPr="00A53740">
        <w:rPr>
          <w:rFonts w:cstheme="minorHAnsi"/>
          <w:b/>
          <w:bCs/>
        </w:rPr>
        <w:t xml:space="preserve"> ways to address aspects of labour market disadvantage to create better and fairer access for priority groups</w:t>
      </w:r>
      <w:r w:rsidR="00F166CB" w:rsidRPr="00A53740">
        <w:rPr>
          <w:rFonts w:cstheme="minorHAnsi"/>
        </w:rPr>
        <w:t xml:space="preserve"> </w:t>
      </w:r>
      <w:r w:rsidR="00F166CB" w:rsidRPr="00A53740">
        <w:rPr>
          <w:rFonts w:cstheme="minorHAnsi"/>
          <w:b/>
          <w:bCs/>
        </w:rPr>
        <w:t>to industry validated pathways for employment and training</w:t>
      </w:r>
      <w:r w:rsidRPr="00A53740">
        <w:rPr>
          <w:rFonts w:cstheme="minorHAnsi"/>
          <w:b/>
          <w:bCs/>
        </w:rPr>
        <w:t>.</w:t>
      </w:r>
    </w:p>
    <w:p w14:paraId="180D5F95" w14:textId="1747E979" w:rsidR="00B773F4" w:rsidRPr="006B1EFD" w:rsidRDefault="00B773F4" w:rsidP="00370F37">
      <w:pPr>
        <w:pStyle w:val="ListParagraph"/>
        <w:spacing w:before="240" w:after="160"/>
        <w:ind w:left="360"/>
        <w:rPr>
          <w:rFonts w:cstheme="minorHAnsi"/>
          <w:b/>
          <w:bCs/>
          <w:sz w:val="10"/>
          <w:szCs w:val="10"/>
        </w:rPr>
      </w:pPr>
      <w:r w:rsidRPr="00A53740">
        <w:rPr>
          <w:rFonts w:cstheme="minorHAnsi"/>
          <w:b/>
          <w:bCs/>
        </w:rPr>
        <w:t xml:space="preserve">  </w:t>
      </w:r>
    </w:p>
    <w:p w14:paraId="27830EB1" w14:textId="77777777" w:rsidR="00F5332B" w:rsidRDefault="00F5332B" w:rsidP="00370F37">
      <w:pPr>
        <w:pStyle w:val="ListParagraph"/>
        <w:numPr>
          <w:ilvl w:val="0"/>
          <w:numId w:val="28"/>
        </w:numPr>
        <w:spacing w:before="240" w:after="160" w:line="240" w:lineRule="auto"/>
        <w:rPr>
          <w:rFonts w:ascii="Calibri" w:hAnsi="Calibri" w:cstheme="minorHAnsi"/>
        </w:rPr>
      </w:pPr>
      <w:r>
        <w:rPr>
          <w:rFonts w:ascii="Calibri" w:hAnsi="Calibri" w:cstheme="minorHAnsi"/>
        </w:rPr>
        <w:t>Tasmania continues to experience low levels of educational attainment, with less than 50 per cent of young people completing year twelve or equivalent in some regions. This is compounded by high levels of intergenerational unemployment and transport barriers to access education and training opportunities. Tasmania’s population is geographically dispersed and with low levels of access to transport being one of the significant barriers to accessing employment as well as education or training opportunities to increase their employability.</w:t>
      </w:r>
    </w:p>
    <w:p w14:paraId="69D776D0" w14:textId="16993557" w:rsidR="00F5332B" w:rsidRDefault="00F5332B" w:rsidP="00370F37">
      <w:pPr>
        <w:pStyle w:val="ListParagraph"/>
        <w:numPr>
          <w:ilvl w:val="0"/>
          <w:numId w:val="28"/>
        </w:numPr>
        <w:spacing w:before="240" w:after="160" w:line="240" w:lineRule="auto"/>
        <w:rPr>
          <w:rFonts w:ascii="Calibri" w:hAnsi="Calibri" w:cstheme="minorHAnsi"/>
        </w:rPr>
      </w:pPr>
      <w:r>
        <w:rPr>
          <w:rFonts w:ascii="Calibri" w:hAnsi="Calibri" w:cstheme="minorHAnsi"/>
        </w:rPr>
        <w:t>To increase the pool of suitable workers to meet demand for skilled labour, fundamental barriers must be addressed to ensure all participants in the labour market gain meaningful employment. Many industry sectors across Tasmania are facing lack of skilled workers to fill vacancies</w:t>
      </w:r>
      <w:r w:rsidR="005A2690">
        <w:rPr>
          <w:rFonts w:ascii="Calibri" w:hAnsi="Calibri" w:cstheme="minorHAnsi"/>
        </w:rPr>
        <w:t>.</w:t>
      </w:r>
    </w:p>
    <w:p w14:paraId="28CDF33B" w14:textId="5C064DD5" w:rsidR="00F5332B" w:rsidRDefault="00F5332B" w:rsidP="00370F37">
      <w:pPr>
        <w:pStyle w:val="ListParagraph"/>
        <w:numPr>
          <w:ilvl w:val="0"/>
          <w:numId w:val="28"/>
        </w:numPr>
        <w:spacing w:before="240" w:after="160" w:line="240" w:lineRule="auto"/>
        <w:rPr>
          <w:rFonts w:ascii="Calibri" w:hAnsi="Calibri" w:cstheme="minorHAnsi"/>
        </w:rPr>
      </w:pPr>
      <w:r>
        <w:rPr>
          <w:rFonts w:ascii="Calibri" w:hAnsi="Calibri" w:cstheme="minorHAnsi"/>
        </w:rPr>
        <w:t>Consultation with employers and media coverage has been further validated through consultation with peak industry bodies and participation in advisory groups.  The Regional Recruitment Snapshot identifies the primary reasons businesses had difficulty recruiting include:</w:t>
      </w:r>
    </w:p>
    <w:p w14:paraId="7FF8EFA7" w14:textId="0FA4FE83" w:rsidR="00F5332B" w:rsidRPr="003139A3" w:rsidRDefault="00F5332B" w:rsidP="003139A3">
      <w:pPr>
        <w:pStyle w:val="ListParagraph"/>
        <w:numPr>
          <w:ilvl w:val="0"/>
          <w:numId w:val="33"/>
        </w:numPr>
        <w:spacing w:after="0" w:line="240" w:lineRule="auto"/>
        <w:jc w:val="both"/>
        <w:rPr>
          <w:rFonts w:ascii="Calibri" w:hAnsi="Calibri" w:cstheme="minorHAnsi"/>
        </w:rPr>
      </w:pPr>
      <w:r w:rsidRPr="003139A3">
        <w:rPr>
          <w:rFonts w:ascii="Calibri" w:hAnsi="Calibri" w:cstheme="minorHAnsi"/>
        </w:rPr>
        <w:t xml:space="preserve"> lack of suitable applicants</w:t>
      </w:r>
    </w:p>
    <w:p w14:paraId="0C0ED5FA" w14:textId="47C4A5B5" w:rsidR="00F5332B" w:rsidRPr="003139A3" w:rsidRDefault="00F5332B" w:rsidP="003139A3">
      <w:pPr>
        <w:pStyle w:val="ListParagraph"/>
        <w:numPr>
          <w:ilvl w:val="0"/>
          <w:numId w:val="33"/>
        </w:numPr>
        <w:spacing w:after="0" w:line="240" w:lineRule="auto"/>
        <w:jc w:val="both"/>
        <w:rPr>
          <w:rFonts w:ascii="Calibri" w:hAnsi="Calibri" w:cstheme="minorHAnsi"/>
        </w:rPr>
      </w:pPr>
      <w:r w:rsidRPr="003139A3">
        <w:rPr>
          <w:rFonts w:ascii="Calibri" w:hAnsi="Calibri" w:cstheme="minorHAnsi"/>
        </w:rPr>
        <w:t xml:space="preserve"> lack of applicants</w:t>
      </w:r>
    </w:p>
    <w:p w14:paraId="3033987C" w14:textId="4D1D26E2" w:rsidR="00F5332B" w:rsidRPr="003139A3" w:rsidRDefault="0024032E" w:rsidP="003139A3">
      <w:pPr>
        <w:pStyle w:val="ListParagraph"/>
        <w:numPr>
          <w:ilvl w:val="0"/>
          <w:numId w:val="33"/>
        </w:numPr>
        <w:spacing w:after="0" w:line="240" w:lineRule="auto"/>
        <w:jc w:val="both"/>
        <w:rPr>
          <w:rFonts w:ascii="Calibri" w:hAnsi="Calibri" w:cstheme="minorHAnsi"/>
        </w:rPr>
      </w:pPr>
      <w:r>
        <w:rPr>
          <w:rFonts w:ascii="Calibri" w:hAnsi="Calibri" w:cstheme="minorHAnsi"/>
        </w:rPr>
        <w:t>a</w:t>
      </w:r>
      <w:r w:rsidR="00F5332B" w:rsidRPr="003139A3">
        <w:rPr>
          <w:rFonts w:ascii="Calibri" w:hAnsi="Calibri" w:cstheme="minorHAnsi"/>
        </w:rPr>
        <w:t>pplicants lack technical skills</w:t>
      </w:r>
    </w:p>
    <w:p w14:paraId="66F334DA" w14:textId="39849C66" w:rsidR="006B1EFD" w:rsidRPr="003139A3" w:rsidRDefault="0024032E" w:rsidP="003139A3">
      <w:pPr>
        <w:pStyle w:val="ListParagraph"/>
        <w:numPr>
          <w:ilvl w:val="0"/>
          <w:numId w:val="33"/>
        </w:numPr>
        <w:spacing w:after="0" w:line="240" w:lineRule="auto"/>
        <w:jc w:val="both"/>
        <w:rPr>
          <w:rFonts w:ascii="Calibri" w:hAnsi="Calibri" w:cstheme="minorHAnsi"/>
        </w:rPr>
      </w:pPr>
      <w:r>
        <w:rPr>
          <w:rFonts w:ascii="Calibri" w:hAnsi="Calibri" w:cstheme="minorHAnsi"/>
        </w:rPr>
        <w:t>a</w:t>
      </w:r>
      <w:r w:rsidR="00F5332B" w:rsidRPr="003139A3">
        <w:rPr>
          <w:rFonts w:ascii="Calibri" w:hAnsi="Calibri" w:cstheme="minorHAnsi"/>
        </w:rPr>
        <w:t>pplicants lack experience</w:t>
      </w:r>
    </w:p>
    <w:p w14:paraId="5F375EC8" w14:textId="19EAF551" w:rsidR="003139A3" w:rsidRDefault="003139A3" w:rsidP="003139A3">
      <w:pPr>
        <w:pStyle w:val="ListParagraph"/>
        <w:spacing w:after="0" w:line="240" w:lineRule="auto"/>
        <w:jc w:val="both"/>
        <w:rPr>
          <w:rFonts w:ascii="Calibri" w:hAnsi="Calibri" w:cstheme="minorHAnsi"/>
        </w:rPr>
      </w:pPr>
    </w:p>
    <w:p w14:paraId="65D1DE0B" w14:textId="412D606B" w:rsidR="003139A3" w:rsidRDefault="003139A3" w:rsidP="003139A3">
      <w:pPr>
        <w:pStyle w:val="ListParagraph"/>
        <w:spacing w:after="0" w:line="240" w:lineRule="auto"/>
        <w:jc w:val="both"/>
        <w:rPr>
          <w:rFonts w:ascii="Calibri" w:hAnsi="Calibri" w:cstheme="minorHAnsi"/>
        </w:rPr>
      </w:pPr>
    </w:p>
    <w:p w14:paraId="04D8BAEC" w14:textId="77777777" w:rsidR="002C6745" w:rsidRPr="003139A3" w:rsidRDefault="002C6745" w:rsidP="003139A3">
      <w:pPr>
        <w:pStyle w:val="ListParagraph"/>
        <w:spacing w:after="0" w:line="240" w:lineRule="auto"/>
        <w:jc w:val="both"/>
        <w:rPr>
          <w:rFonts w:ascii="Calibri" w:hAnsi="Calibri" w:cstheme="minorHAnsi"/>
        </w:rPr>
      </w:pPr>
    </w:p>
    <w:p w14:paraId="04B8FB70" w14:textId="761D8E91" w:rsidR="00B773F4" w:rsidRPr="006B1EFD" w:rsidRDefault="00B773F4" w:rsidP="00370F37">
      <w:pPr>
        <w:spacing w:after="0" w:line="240" w:lineRule="auto"/>
        <w:rPr>
          <w:rFonts w:ascii="Calibri" w:hAnsi="Calibri" w:cstheme="minorHAnsi"/>
          <w:b/>
          <w:bCs/>
          <w:i/>
          <w:iCs/>
        </w:rPr>
      </w:pPr>
      <w:r w:rsidRPr="006B1EFD">
        <w:rPr>
          <w:rFonts w:ascii="Calibri" w:hAnsi="Calibri" w:cstheme="minorHAnsi"/>
          <w:b/>
          <w:bCs/>
          <w:i/>
          <w:iCs/>
        </w:rPr>
        <w:lastRenderedPageBreak/>
        <w:t>Strategies</w:t>
      </w:r>
    </w:p>
    <w:p w14:paraId="6A5D2BE2" w14:textId="74A442A0" w:rsidR="003139A3" w:rsidRDefault="00A747D7" w:rsidP="00370F37">
      <w:pPr>
        <w:pStyle w:val="ListParagraph"/>
        <w:numPr>
          <w:ilvl w:val="0"/>
          <w:numId w:val="25"/>
        </w:numPr>
        <w:spacing w:after="0" w:line="240" w:lineRule="auto"/>
        <w:rPr>
          <w:rFonts w:ascii="Calibri" w:hAnsi="Calibri" w:cstheme="minorHAnsi"/>
        </w:rPr>
      </w:pPr>
      <w:r w:rsidRPr="00A747D7">
        <w:rPr>
          <w:rFonts w:cstheme="minorHAnsi"/>
        </w:rPr>
        <w:t>Leverag</w:t>
      </w:r>
      <w:r w:rsidR="00393C38">
        <w:rPr>
          <w:rFonts w:cstheme="minorHAnsi"/>
        </w:rPr>
        <w:t xml:space="preserve">e </w:t>
      </w:r>
      <w:r w:rsidRPr="00A747D7">
        <w:rPr>
          <w:rFonts w:cstheme="minorHAnsi"/>
        </w:rPr>
        <w:t xml:space="preserve">the benefits of existing Australian and Tasmanian Government programs </w:t>
      </w:r>
      <w:r w:rsidRPr="006E3FD7">
        <w:rPr>
          <w:rFonts w:ascii="Calibri" w:hAnsi="Calibri" w:cstheme="minorHAnsi"/>
        </w:rPr>
        <w:t xml:space="preserve">including Skills for Education and Employment, Employability Skills Training, National Work Experience and Youth </w:t>
      </w:r>
      <w:proofErr w:type="spellStart"/>
      <w:r w:rsidRPr="006E3FD7">
        <w:rPr>
          <w:rFonts w:ascii="Calibri" w:hAnsi="Calibri" w:cstheme="minorHAnsi"/>
        </w:rPr>
        <w:t>PaTH</w:t>
      </w:r>
      <w:proofErr w:type="spellEnd"/>
      <w:r w:rsidRPr="006E3FD7">
        <w:rPr>
          <w:rFonts w:ascii="Calibri" w:hAnsi="Calibri" w:cstheme="minorHAnsi"/>
        </w:rPr>
        <w:t xml:space="preserve"> Internships, </w:t>
      </w:r>
      <w:proofErr w:type="spellStart"/>
      <w:r w:rsidRPr="006E3FD7">
        <w:rPr>
          <w:rFonts w:ascii="Calibri" w:hAnsi="Calibri" w:cstheme="minorHAnsi"/>
        </w:rPr>
        <w:t>JobMaker</w:t>
      </w:r>
      <w:proofErr w:type="spellEnd"/>
      <w:r w:rsidRPr="006E3FD7">
        <w:rPr>
          <w:rFonts w:ascii="Calibri" w:hAnsi="Calibri" w:cstheme="minorHAnsi"/>
        </w:rPr>
        <w:t xml:space="preserve">, </w:t>
      </w:r>
      <w:proofErr w:type="spellStart"/>
      <w:r w:rsidRPr="006E3FD7">
        <w:rPr>
          <w:rFonts w:ascii="Calibri" w:hAnsi="Calibri" w:cstheme="minorHAnsi"/>
        </w:rPr>
        <w:t>JobTrainer</w:t>
      </w:r>
      <w:proofErr w:type="spellEnd"/>
      <w:r w:rsidRPr="006E3FD7">
        <w:rPr>
          <w:rFonts w:ascii="Calibri" w:hAnsi="Calibri" w:cstheme="minorHAnsi"/>
        </w:rPr>
        <w:t>, Job Ready fund and the Employment Fund).</w:t>
      </w:r>
    </w:p>
    <w:p w14:paraId="5BAB46C5" w14:textId="7E9D0F34" w:rsidR="00A747D7" w:rsidRPr="006E3FD7" w:rsidRDefault="00A747D7" w:rsidP="003139A3">
      <w:pPr>
        <w:pStyle w:val="ListParagraph"/>
        <w:spacing w:after="0" w:line="240" w:lineRule="auto"/>
        <w:ind w:left="360"/>
        <w:rPr>
          <w:rFonts w:ascii="Calibri" w:hAnsi="Calibri" w:cstheme="minorHAnsi"/>
        </w:rPr>
      </w:pPr>
      <w:r w:rsidRPr="006E3FD7">
        <w:rPr>
          <w:rFonts w:ascii="Calibri" w:hAnsi="Calibri" w:cstheme="minorHAnsi"/>
        </w:rPr>
        <w:t xml:space="preserve"> </w:t>
      </w:r>
    </w:p>
    <w:p w14:paraId="1A8A6311" w14:textId="026568E8" w:rsidR="00A747D7" w:rsidRPr="00A747D7" w:rsidRDefault="00393C38" w:rsidP="00370F37">
      <w:pPr>
        <w:pStyle w:val="ListParagraph"/>
        <w:numPr>
          <w:ilvl w:val="0"/>
          <w:numId w:val="24"/>
        </w:numPr>
        <w:spacing w:before="240" w:after="160" w:line="240" w:lineRule="auto"/>
        <w:rPr>
          <w:rFonts w:cstheme="minorHAnsi"/>
          <w:b/>
          <w:bCs/>
        </w:rPr>
      </w:pPr>
      <w:r>
        <w:rPr>
          <w:rFonts w:cstheme="minorHAnsi"/>
        </w:rPr>
        <w:t xml:space="preserve">Develop, </w:t>
      </w:r>
      <w:r w:rsidR="005A2690">
        <w:rPr>
          <w:rFonts w:cstheme="minorHAnsi"/>
        </w:rPr>
        <w:t>p</w:t>
      </w:r>
      <w:r w:rsidR="005A2690" w:rsidRPr="00A747D7">
        <w:rPr>
          <w:rFonts w:cstheme="minorHAnsi"/>
        </w:rPr>
        <w:t>romot</w:t>
      </w:r>
      <w:r w:rsidR="005A2690">
        <w:rPr>
          <w:rFonts w:cstheme="minorHAnsi"/>
        </w:rPr>
        <w:t>e,</w:t>
      </w:r>
      <w:r w:rsidR="00A747D7" w:rsidRPr="00A747D7">
        <w:rPr>
          <w:rFonts w:cstheme="minorHAnsi"/>
        </w:rPr>
        <w:t xml:space="preserve"> and enhance programs designed to address barriers including:</w:t>
      </w:r>
    </w:p>
    <w:p w14:paraId="4A074C01" w14:textId="51F0619D" w:rsidR="00A747D7" w:rsidRPr="003139A3" w:rsidRDefault="0024032E" w:rsidP="00BF5E43">
      <w:pPr>
        <w:pStyle w:val="ListParagraph"/>
        <w:numPr>
          <w:ilvl w:val="0"/>
          <w:numId w:val="36"/>
        </w:numPr>
        <w:spacing w:after="0" w:line="240" w:lineRule="auto"/>
        <w:jc w:val="both"/>
        <w:rPr>
          <w:rFonts w:ascii="Calibri" w:hAnsi="Calibri" w:cstheme="minorHAnsi"/>
        </w:rPr>
      </w:pPr>
      <w:r>
        <w:rPr>
          <w:rFonts w:ascii="Calibri" w:hAnsi="Calibri" w:cstheme="minorHAnsi"/>
        </w:rPr>
        <w:t>l</w:t>
      </w:r>
      <w:r w:rsidR="00A747D7" w:rsidRPr="003139A3">
        <w:rPr>
          <w:rFonts w:ascii="Calibri" w:hAnsi="Calibri" w:cstheme="minorHAnsi"/>
        </w:rPr>
        <w:t>ow educational attainment and low levels of literacy</w:t>
      </w:r>
    </w:p>
    <w:p w14:paraId="14FBB17C" w14:textId="37A0BFC4" w:rsidR="00A747D7" w:rsidRPr="003139A3" w:rsidRDefault="0024032E" w:rsidP="00BF5E43">
      <w:pPr>
        <w:pStyle w:val="ListParagraph"/>
        <w:numPr>
          <w:ilvl w:val="0"/>
          <w:numId w:val="36"/>
        </w:numPr>
        <w:spacing w:after="0" w:line="240" w:lineRule="auto"/>
        <w:jc w:val="both"/>
        <w:rPr>
          <w:rFonts w:ascii="Calibri" w:hAnsi="Calibri" w:cstheme="minorHAnsi"/>
        </w:rPr>
      </w:pPr>
      <w:r>
        <w:rPr>
          <w:rFonts w:ascii="Calibri" w:hAnsi="Calibri" w:cstheme="minorHAnsi"/>
        </w:rPr>
        <w:t>i</w:t>
      </w:r>
      <w:r w:rsidR="00A747D7" w:rsidRPr="003139A3">
        <w:rPr>
          <w:rFonts w:ascii="Calibri" w:hAnsi="Calibri" w:cstheme="minorHAnsi"/>
        </w:rPr>
        <w:t>ndustry relevant work experience</w:t>
      </w:r>
    </w:p>
    <w:p w14:paraId="16D4A3D6" w14:textId="238555A8" w:rsidR="00A747D7" w:rsidRPr="003139A3" w:rsidRDefault="0024032E" w:rsidP="00BF5E43">
      <w:pPr>
        <w:pStyle w:val="ListParagraph"/>
        <w:numPr>
          <w:ilvl w:val="0"/>
          <w:numId w:val="36"/>
        </w:numPr>
        <w:spacing w:after="0" w:line="240" w:lineRule="auto"/>
        <w:jc w:val="both"/>
        <w:rPr>
          <w:rFonts w:ascii="Calibri" w:hAnsi="Calibri" w:cstheme="minorHAnsi"/>
        </w:rPr>
      </w:pPr>
      <w:r>
        <w:rPr>
          <w:rFonts w:ascii="Calibri" w:hAnsi="Calibri" w:cstheme="minorHAnsi"/>
        </w:rPr>
        <w:t>d</w:t>
      </w:r>
      <w:r w:rsidR="00A747D7" w:rsidRPr="003139A3">
        <w:rPr>
          <w:rFonts w:ascii="Calibri" w:hAnsi="Calibri" w:cstheme="minorHAnsi"/>
        </w:rPr>
        <w:t>igital literacy</w:t>
      </w:r>
    </w:p>
    <w:p w14:paraId="4EF38249" w14:textId="0332D952" w:rsidR="003139A3" w:rsidRPr="003139A3" w:rsidRDefault="0024032E" w:rsidP="00BF5E43">
      <w:pPr>
        <w:pStyle w:val="ListParagraph"/>
        <w:numPr>
          <w:ilvl w:val="0"/>
          <w:numId w:val="36"/>
        </w:numPr>
        <w:spacing w:after="0" w:line="240" w:lineRule="auto"/>
        <w:jc w:val="both"/>
        <w:rPr>
          <w:rFonts w:ascii="Calibri" w:hAnsi="Calibri" w:cstheme="minorHAnsi"/>
        </w:rPr>
      </w:pPr>
      <w:r>
        <w:rPr>
          <w:rFonts w:ascii="Calibri" w:hAnsi="Calibri" w:cstheme="minorHAnsi"/>
        </w:rPr>
        <w:t>t</w:t>
      </w:r>
      <w:r w:rsidR="00A747D7" w:rsidRPr="003139A3">
        <w:rPr>
          <w:rFonts w:ascii="Calibri" w:hAnsi="Calibri" w:cstheme="minorHAnsi"/>
        </w:rPr>
        <w:t>ransport</w:t>
      </w:r>
    </w:p>
    <w:p w14:paraId="1D8A9D82" w14:textId="77777777" w:rsidR="003139A3" w:rsidRPr="003139A3" w:rsidRDefault="003139A3" w:rsidP="003139A3">
      <w:pPr>
        <w:pStyle w:val="ListParagraph"/>
        <w:spacing w:before="240" w:after="160" w:line="240" w:lineRule="auto"/>
        <w:ind w:left="1440"/>
        <w:rPr>
          <w:rFonts w:cstheme="minorHAnsi"/>
        </w:rPr>
      </w:pPr>
    </w:p>
    <w:p w14:paraId="6BC8F939" w14:textId="6187F1A9" w:rsidR="00F166CB" w:rsidRPr="006E3FD7" w:rsidRDefault="00393C38" w:rsidP="00370F37">
      <w:pPr>
        <w:pStyle w:val="ListParagraph"/>
        <w:numPr>
          <w:ilvl w:val="0"/>
          <w:numId w:val="24"/>
        </w:numPr>
        <w:spacing w:before="240" w:after="160" w:line="240" w:lineRule="auto"/>
        <w:rPr>
          <w:rFonts w:ascii="Calibri" w:hAnsi="Calibri" w:cstheme="minorHAnsi"/>
        </w:rPr>
      </w:pPr>
      <w:r>
        <w:rPr>
          <w:rFonts w:ascii="Calibri" w:hAnsi="Calibri" w:cstheme="minorHAnsi"/>
        </w:rPr>
        <w:t>Identify o</w:t>
      </w:r>
      <w:r w:rsidR="00F166CB" w:rsidRPr="006E3FD7">
        <w:rPr>
          <w:rFonts w:ascii="Calibri" w:hAnsi="Calibri" w:cstheme="minorHAnsi"/>
        </w:rPr>
        <w:t xml:space="preserve">pportunities to combine Employability Skills Training with work experience or industry exposure </w:t>
      </w:r>
      <w:r>
        <w:rPr>
          <w:rFonts w:ascii="Calibri" w:hAnsi="Calibri" w:cstheme="minorHAnsi"/>
        </w:rPr>
        <w:t xml:space="preserve">to </w:t>
      </w:r>
      <w:r w:rsidR="00F166CB" w:rsidRPr="006E3FD7">
        <w:rPr>
          <w:rFonts w:ascii="Calibri" w:hAnsi="Calibri" w:cstheme="minorHAnsi"/>
        </w:rPr>
        <w:t>increase access to work experience.</w:t>
      </w:r>
    </w:p>
    <w:p w14:paraId="54257DCB" w14:textId="77777777" w:rsidR="00393C38" w:rsidRDefault="00393C38" w:rsidP="00370F37">
      <w:pPr>
        <w:pStyle w:val="ListParagraph"/>
        <w:spacing w:before="240" w:after="160" w:line="240" w:lineRule="auto"/>
        <w:ind w:left="0"/>
        <w:rPr>
          <w:rFonts w:ascii="Calibri" w:hAnsi="Calibri" w:cstheme="minorHAnsi"/>
          <w:i/>
          <w:iCs/>
        </w:rPr>
      </w:pPr>
    </w:p>
    <w:p w14:paraId="6D9DA8DE" w14:textId="19B958E3" w:rsidR="00B773F4" w:rsidRPr="006B1EFD" w:rsidRDefault="00B773F4" w:rsidP="00370F37">
      <w:pPr>
        <w:pStyle w:val="ListParagraph"/>
        <w:spacing w:before="240" w:after="160" w:line="240" w:lineRule="auto"/>
        <w:ind w:left="0"/>
        <w:rPr>
          <w:rFonts w:ascii="Calibri" w:hAnsi="Calibri" w:cstheme="minorHAnsi"/>
          <w:b/>
          <w:bCs/>
          <w:i/>
          <w:iCs/>
        </w:rPr>
      </w:pPr>
      <w:r w:rsidRPr="006B1EFD">
        <w:rPr>
          <w:rFonts w:ascii="Calibri" w:hAnsi="Calibri" w:cstheme="minorHAnsi"/>
          <w:b/>
          <w:bCs/>
          <w:i/>
          <w:iCs/>
        </w:rPr>
        <w:t>Stakeholders</w:t>
      </w:r>
    </w:p>
    <w:p w14:paraId="3B606B43" w14:textId="03FE171C" w:rsidR="00B773F4" w:rsidRDefault="00050E94" w:rsidP="00370F37">
      <w:pPr>
        <w:pStyle w:val="ListParagraph"/>
        <w:spacing w:before="240" w:after="160" w:line="240" w:lineRule="auto"/>
        <w:ind w:left="0"/>
        <w:rPr>
          <w:rFonts w:ascii="Calibri" w:hAnsi="Calibri" w:cstheme="minorHAnsi"/>
        </w:rPr>
      </w:pPr>
      <w:r>
        <w:rPr>
          <w:rFonts w:ascii="Calibri" w:hAnsi="Calibri" w:cstheme="minorHAnsi"/>
        </w:rPr>
        <w:t xml:space="preserve">Employability </w:t>
      </w:r>
      <w:r w:rsidR="000F456E">
        <w:rPr>
          <w:rFonts w:ascii="Calibri" w:hAnsi="Calibri" w:cstheme="minorHAnsi"/>
        </w:rPr>
        <w:t>S</w:t>
      </w:r>
      <w:r>
        <w:rPr>
          <w:rFonts w:ascii="Calibri" w:hAnsi="Calibri" w:cstheme="minorHAnsi"/>
        </w:rPr>
        <w:t xml:space="preserve">kills </w:t>
      </w:r>
      <w:r w:rsidR="000F456E">
        <w:rPr>
          <w:rFonts w:ascii="Calibri" w:hAnsi="Calibri" w:cstheme="minorHAnsi"/>
        </w:rPr>
        <w:t>T</w:t>
      </w:r>
      <w:r>
        <w:rPr>
          <w:rFonts w:ascii="Calibri" w:hAnsi="Calibri" w:cstheme="minorHAnsi"/>
        </w:rPr>
        <w:t>raining providers, Registered Training Organisations including TasTAFE, Group Training Organisations such as Work and Training and Tasmanian Employers with entry level employment opportunities identified in partnership with business groups and bodies such as the Tasmanian Chamber of Commerce and Industry as well as Regional Chambers of Commerce and Regional Jobs Hubs.</w:t>
      </w:r>
    </w:p>
    <w:p w14:paraId="00075465" w14:textId="77777777" w:rsidR="00A53740" w:rsidRPr="00904FE3" w:rsidRDefault="00A53740" w:rsidP="00370F37">
      <w:pPr>
        <w:pStyle w:val="ListParagraph"/>
        <w:spacing w:before="240" w:after="160" w:line="240" w:lineRule="auto"/>
        <w:ind w:left="360"/>
        <w:rPr>
          <w:rFonts w:ascii="Calibri" w:hAnsi="Calibri" w:cstheme="minorHAnsi"/>
        </w:rPr>
      </w:pPr>
    </w:p>
    <w:p w14:paraId="4042971D" w14:textId="3CFBE0FC" w:rsidR="00393C38" w:rsidRDefault="00F166CB" w:rsidP="00370F37">
      <w:pPr>
        <w:pStyle w:val="ListParagraph"/>
        <w:numPr>
          <w:ilvl w:val="0"/>
          <w:numId w:val="16"/>
        </w:numPr>
        <w:spacing w:before="240" w:after="160" w:line="240" w:lineRule="auto"/>
        <w:rPr>
          <w:rFonts w:cstheme="minorHAnsi"/>
        </w:rPr>
      </w:pPr>
      <w:r w:rsidRPr="00A53740">
        <w:rPr>
          <w:rFonts w:cstheme="minorHAnsi"/>
          <w:b/>
          <w:bCs/>
        </w:rPr>
        <w:t>Identify and promot</w:t>
      </w:r>
      <w:r w:rsidR="00B773F4" w:rsidRPr="00A53740">
        <w:rPr>
          <w:rFonts w:cstheme="minorHAnsi"/>
          <w:b/>
          <w:bCs/>
        </w:rPr>
        <w:t>e</w:t>
      </w:r>
      <w:r w:rsidRPr="00A53740">
        <w:rPr>
          <w:rFonts w:cstheme="minorHAnsi"/>
          <w:b/>
          <w:bCs/>
        </w:rPr>
        <w:t xml:space="preserve"> industry recognised micro-credentialing or skill sets as well as opportunities for apprenticeships and traineeships</w:t>
      </w:r>
      <w:r w:rsidRPr="00A53740">
        <w:rPr>
          <w:rFonts w:cstheme="minorHAnsi"/>
        </w:rPr>
        <w:t xml:space="preserve">. </w:t>
      </w:r>
    </w:p>
    <w:p w14:paraId="25F2FE96" w14:textId="77777777" w:rsidR="006B1EFD" w:rsidRPr="00A53740" w:rsidRDefault="006B1EFD" w:rsidP="00370F37">
      <w:pPr>
        <w:pStyle w:val="ListParagraph"/>
        <w:spacing w:before="240" w:after="160" w:line="240" w:lineRule="auto"/>
        <w:ind w:left="360"/>
        <w:rPr>
          <w:rFonts w:cstheme="minorHAnsi"/>
        </w:rPr>
      </w:pPr>
    </w:p>
    <w:p w14:paraId="6A399552" w14:textId="38E6A301" w:rsidR="00F166CB" w:rsidRPr="00393C38" w:rsidRDefault="00F166CB" w:rsidP="00370F37">
      <w:pPr>
        <w:pStyle w:val="ListParagraph"/>
        <w:numPr>
          <w:ilvl w:val="0"/>
          <w:numId w:val="24"/>
        </w:numPr>
        <w:spacing w:before="240" w:after="160" w:line="240" w:lineRule="auto"/>
        <w:rPr>
          <w:rFonts w:cstheme="minorHAnsi"/>
        </w:rPr>
      </w:pPr>
      <w:r w:rsidRPr="00393C38">
        <w:rPr>
          <w:rFonts w:cstheme="minorHAnsi"/>
        </w:rPr>
        <w:t xml:space="preserve">This </w:t>
      </w:r>
      <w:r w:rsidR="00393C38">
        <w:rPr>
          <w:rFonts w:cstheme="minorHAnsi"/>
        </w:rPr>
        <w:t xml:space="preserve">priority </w:t>
      </w:r>
      <w:r w:rsidRPr="00393C38">
        <w:rPr>
          <w:rFonts w:cstheme="minorHAnsi"/>
        </w:rPr>
        <w:t>includes facilitating and supporting unemployed and underemployed individuals in the transition to new employment opportunities via reskilling and upskilling aligned to local skill needs.</w:t>
      </w:r>
    </w:p>
    <w:p w14:paraId="3E225809" w14:textId="0C2AC68D" w:rsidR="00F166CB" w:rsidRDefault="00F166CB" w:rsidP="00370F37">
      <w:pPr>
        <w:pStyle w:val="ListParagraph"/>
        <w:numPr>
          <w:ilvl w:val="0"/>
          <w:numId w:val="19"/>
        </w:numPr>
        <w:spacing w:before="240" w:after="160" w:line="240" w:lineRule="auto"/>
        <w:rPr>
          <w:rFonts w:ascii="Open Sans Light" w:hAnsi="Open Sans Light" w:cs="Open Sans Light"/>
          <w:sz w:val="21"/>
          <w:szCs w:val="21"/>
        </w:rPr>
      </w:pPr>
      <w:r>
        <w:rPr>
          <w:rFonts w:cstheme="minorHAnsi"/>
        </w:rPr>
        <w:t xml:space="preserve">Many training opportunities for job seekers are not </w:t>
      </w:r>
      <w:r w:rsidR="00F5332B">
        <w:rPr>
          <w:rFonts w:cstheme="minorHAnsi"/>
        </w:rPr>
        <w:t xml:space="preserve">currently </w:t>
      </w:r>
      <w:r>
        <w:rPr>
          <w:rFonts w:cstheme="minorHAnsi"/>
        </w:rPr>
        <w:t xml:space="preserve">linked to work experience or employment opportunities. </w:t>
      </w:r>
    </w:p>
    <w:p w14:paraId="469824AA" w14:textId="77777777" w:rsidR="00F166CB" w:rsidRDefault="00F166CB" w:rsidP="00370F37">
      <w:pPr>
        <w:pStyle w:val="ListParagraph"/>
        <w:numPr>
          <w:ilvl w:val="0"/>
          <w:numId w:val="19"/>
        </w:numPr>
        <w:spacing w:before="240" w:after="160" w:line="240" w:lineRule="auto"/>
        <w:rPr>
          <w:rFonts w:ascii="Open Sans Light" w:hAnsi="Open Sans Light" w:cs="Open Sans Light"/>
          <w:sz w:val="21"/>
          <w:szCs w:val="21"/>
        </w:rPr>
      </w:pPr>
      <w:r>
        <w:rPr>
          <w:rFonts w:cstheme="minorHAnsi"/>
        </w:rPr>
        <w:t xml:space="preserve">Consultation with various industry stakeholders including construction, hospitality and advanced manufacturing indicates that relevant skills are more important than full qualifications. </w:t>
      </w:r>
    </w:p>
    <w:p w14:paraId="55C36DF7" w14:textId="77777777" w:rsidR="00F166CB" w:rsidRDefault="00F166CB" w:rsidP="00370F37">
      <w:pPr>
        <w:pStyle w:val="ListParagraph"/>
        <w:numPr>
          <w:ilvl w:val="0"/>
          <w:numId w:val="19"/>
        </w:numPr>
        <w:spacing w:before="240" w:after="160" w:line="240" w:lineRule="auto"/>
        <w:rPr>
          <w:rFonts w:ascii="Open Sans Light" w:hAnsi="Open Sans Light" w:cs="Open Sans Light"/>
          <w:sz w:val="21"/>
          <w:szCs w:val="21"/>
        </w:rPr>
      </w:pPr>
      <w:r>
        <w:rPr>
          <w:rFonts w:cstheme="minorHAnsi"/>
        </w:rPr>
        <w:t xml:space="preserve">Employers require workers to have some fundamental technical skills prior to employment to enable a basic level of productivity and to ensure safe work practices. The shortage of skilled workers in the labour market is further exacerbated by border closures resulting in little to no migration of skilled workers. </w:t>
      </w:r>
    </w:p>
    <w:p w14:paraId="554501B5" w14:textId="77777777" w:rsidR="00F166CB" w:rsidRDefault="00F166CB" w:rsidP="00370F37">
      <w:pPr>
        <w:pStyle w:val="ListParagraph"/>
        <w:numPr>
          <w:ilvl w:val="0"/>
          <w:numId w:val="19"/>
        </w:numPr>
        <w:spacing w:before="240" w:after="160" w:line="240" w:lineRule="auto"/>
        <w:rPr>
          <w:rFonts w:cstheme="minorHAnsi"/>
        </w:rPr>
      </w:pPr>
      <w:r>
        <w:rPr>
          <w:rFonts w:cstheme="minorHAnsi"/>
        </w:rPr>
        <w:t xml:space="preserve">In addition to creating pathways into growth industries, support for identification and delivery of training and education initiatives that support upskilling and cross skilling, as well as apprenticeship and traineeship opportunities that are valued by business are a priority. </w:t>
      </w:r>
    </w:p>
    <w:p w14:paraId="0B18BCB8" w14:textId="5BD6DBEC" w:rsidR="00F5332B" w:rsidRPr="00F5332B" w:rsidRDefault="00F5332B" w:rsidP="00370F37">
      <w:pPr>
        <w:pStyle w:val="ListParagraph"/>
        <w:numPr>
          <w:ilvl w:val="0"/>
          <w:numId w:val="19"/>
        </w:numPr>
        <w:spacing w:before="240" w:after="160" w:line="240" w:lineRule="auto"/>
        <w:rPr>
          <w:rFonts w:cstheme="minorHAnsi"/>
        </w:rPr>
      </w:pPr>
      <w:r w:rsidRPr="00F5332B">
        <w:rPr>
          <w:rFonts w:cstheme="minorHAnsi"/>
        </w:rPr>
        <w:t>Technological advancements are creating challenges in ensuring job</w:t>
      </w:r>
      <w:r w:rsidR="00EF2E17">
        <w:rPr>
          <w:rFonts w:cstheme="minorHAnsi"/>
        </w:rPr>
        <w:t xml:space="preserve"> </w:t>
      </w:r>
      <w:r w:rsidRPr="00F5332B">
        <w:rPr>
          <w:rFonts w:cstheme="minorHAnsi"/>
        </w:rPr>
        <w:t>seekers have currency of technical skills and knowledge. This challenge has impacted the vocational education and training sector’s ability to maintain industry currency with the skills required to operate and derive maximum benefit from</w:t>
      </w:r>
      <w:r w:rsidRPr="00F5332B">
        <w:rPr>
          <w:rFonts w:ascii="Open Sans Light" w:hAnsi="Open Sans Light" w:cs="Open Sans Light"/>
          <w:sz w:val="21"/>
          <w:szCs w:val="21"/>
        </w:rPr>
        <w:t xml:space="preserve"> </w:t>
      </w:r>
      <w:r w:rsidRPr="00050E94">
        <w:rPr>
          <w:rFonts w:cstheme="minorHAnsi"/>
        </w:rPr>
        <w:t xml:space="preserve">technology. An example of this is </w:t>
      </w:r>
      <w:r w:rsidRPr="00F5332B">
        <w:rPr>
          <w:rFonts w:cstheme="minorHAnsi"/>
        </w:rPr>
        <w:t xml:space="preserve">in the advanced manufacturing sector requiring training in plastics welding and computer numerical control (CNC) machine operation, as reported by the Tasmanian Minerals, Manufacturing and Energy Council (TMEC). </w:t>
      </w:r>
    </w:p>
    <w:p w14:paraId="57FD0EAD" w14:textId="0CBB33A5" w:rsidR="00393C38" w:rsidRPr="00393C38" w:rsidRDefault="00F166CB" w:rsidP="00370F37">
      <w:pPr>
        <w:pStyle w:val="ListParagraph"/>
        <w:numPr>
          <w:ilvl w:val="0"/>
          <w:numId w:val="19"/>
        </w:numPr>
        <w:spacing w:before="240" w:after="160" w:line="240" w:lineRule="auto"/>
        <w:rPr>
          <w:rFonts w:cstheme="minorHAnsi"/>
        </w:rPr>
      </w:pPr>
      <w:r>
        <w:rPr>
          <w:rFonts w:cstheme="minorHAnsi"/>
        </w:rPr>
        <w:t>The speed of technology means that skills and knowledge developed today could be obsolete within two to five years, so supporting the existing workforce to upskill or transition across industries will be critical to a vibrant and responsive economy.</w:t>
      </w:r>
      <w:r w:rsidR="00393C38" w:rsidRPr="00393C38">
        <w:t xml:space="preserve"> </w:t>
      </w:r>
    </w:p>
    <w:p w14:paraId="535F6AD3" w14:textId="36A44BCF" w:rsidR="00F166CB" w:rsidRDefault="00393C38" w:rsidP="00370F37">
      <w:pPr>
        <w:pStyle w:val="ListParagraph"/>
        <w:numPr>
          <w:ilvl w:val="0"/>
          <w:numId w:val="19"/>
        </w:numPr>
        <w:spacing w:before="240" w:after="160" w:line="240" w:lineRule="auto"/>
        <w:rPr>
          <w:rFonts w:cstheme="minorHAnsi"/>
        </w:rPr>
      </w:pPr>
      <w:r>
        <w:t>Many employers are reluctant to commit to apprenticeships and traineeships as they may not have a consistent amount of work to provide employment for the duration of the Training Contract.</w:t>
      </w:r>
    </w:p>
    <w:p w14:paraId="6F98574B" w14:textId="74BEE5E3" w:rsidR="006B1EFD" w:rsidRDefault="006B1EFD" w:rsidP="00370F37">
      <w:pPr>
        <w:spacing w:line="240" w:lineRule="auto"/>
        <w:rPr>
          <w:rFonts w:cstheme="minorHAnsi"/>
          <w:i/>
          <w:iCs/>
        </w:rPr>
      </w:pPr>
    </w:p>
    <w:p w14:paraId="5A862DCC" w14:textId="77777777" w:rsidR="00F3128C" w:rsidRDefault="00F3128C" w:rsidP="00370F37">
      <w:pPr>
        <w:spacing w:line="240" w:lineRule="auto"/>
        <w:rPr>
          <w:rFonts w:cstheme="minorHAnsi"/>
          <w:i/>
          <w:iCs/>
        </w:rPr>
      </w:pPr>
    </w:p>
    <w:p w14:paraId="228DB140" w14:textId="77777777" w:rsidR="006B1EFD" w:rsidRDefault="006B1EFD" w:rsidP="00370F37">
      <w:pPr>
        <w:spacing w:line="240" w:lineRule="auto"/>
        <w:rPr>
          <w:rFonts w:cstheme="minorHAnsi"/>
          <w:i/>
          <w:iCs/>
        </w:rPr>
      </w:pPr>
    </w:p>
    <w:p w14:paraId="20AAC8B9" w14:textId="372F098A" w:rsidR="00393C38" w:rsidRPr="0068497E" w:rsidRDefault="00393C38" w:rsidP="00370F37">
      <w:pPr>
        <w:spacing w:after="0" w:line="240" w:lineRule="auto"/>
        <w:rPr>
          <w:rFonts w:cstheme="minorHAnsi"/>
          <w:b/>
          <w:bCs/>
          <w:i/>
          <w:iCs/>
        </w:rPr>
      </w:pPr>
      <w:r w:rsidRPr="0068497E">
        <w:rPr>
          <w:rFonts w:cstheme="minorHAnsi"/>
          <w:b/>
          <w:bCs/>
          <w:i/>
          <w:iCs/>
        </w:rPr>
        <w:t>Strategies</w:t>
      </w:r>
    </w:p>
    <w:p w14:paraId="104970B3" w14:textId="1B737EF7" w:rsidR="00F166CB" w:rsidRPr="00393C38" w:rsidRDefault="00F166CB" w:rsidP="00370F37">
      <w:pPr>
        <w:pStyle w:val="ListParagraph"/>
        <w:numPr>
          <w:ilvl w:val="0"/>
          <w:numId w:val="25"/>
        </w:numPr>
        <w:spacing w:after="0" w:line="240" w:lineRule="auto"/>
        <w:rPr>
          <w:rFonts w:cstheme="minorHAnsi"/>
        </w:rPr>
      </w:pPr>
      <w:r w:rsidRPr="00393C38">
        <w:rPr>
          <w:rFonts w:cstheme="minorHAnsi"/>
        </w:rPr>
        <w:t>Communicat</w:t>
      </w:r>
      <w:r w:rsidR="00393C38">
        <w:rPr>
          <w:rFonts w:cstheme="minorHAnsi"/>
        </w:rPr>
        <w:t>e</w:t>
      </w:r>
      <w:r w:rsidRPr="00393C38">
        <w:rPr>
          <w:rFonts w:cstheme="minorHAnsi"/>
        </w:rPr>
        <w:t xml:space="preserve"> the benefits and return on investment of quality training to employers</w:t>
      </w:r>
      <w:r w:rsidR="00393C38">
        <w:rPr>
          <w:rFonts w:cstheme="minorHAnsi"/>
        </w:rPr>
        <w:t xml:space="preserve">, to </w:t>
      </w:r>
      <w:r w:rsidRPr="00393C38">
        <w:rPr>
          <w:rFonts w:cstheme="minorHAnsi"/>
        </w:rPr>
        <w:t>contribute to their increased engagement with training and investment in skilling the workforce to the benefit of their business and the industry more generally.</w:t>
      </w:r>
    </w:p>
    <w:p w14:paraId="6C754350" w14:textId="17517380" w:rsidR="00F166CB" w:rsidRDefault="00393C38" w:rsidP="00370F37">
      <w:pPr>
        <w:pStyle w:val="ListParagraph"/>
        <w:numPr>
          <w:ilvl w:val="0"/>
          <w:numId w:val="25"/>
        </w:numPr>
        <w:spacing w:after="0" w:line="240" w:lineRule="auto"/>
        <w:rPr>
          <w:rFonts w:cstheme="minorHAnsi"/>
        </w:rPr>
      </w:pPr>
      <w:r w:rsidRPr="0068497E">
        <w:rPr>
          <w:rFonts w:cstheme="minorHAnsi"/>
        </w:rPr>
        <w:t xml:space="preserve">Provide support to employers to provide training opportunities including apprenticeships and traineeships, including identifying and accessing training that increases the capability of their workforce. </w:t>
      </w:r>
    </w:p>
    <w:p w14:paraId="2AC8B3C4" w14:textId="77777777" w:rsidR="0068497E" w:rsidRPr="0068497E" w:rsidRDefault="0068497E" w:rsidP="00370F37">
      <w:pPr>
        <w:pStyle w:val="ListParagraph"/>
        <w:spacing w:after="0" w:line="240" w:lineRule="auto"/>
        <w:ind w:left="360"/>
        <w:rPr>
          <w:rFonts w:cstheme="minorHAnsi"/>
          <w:i/>
          <w:iCs/>
        </w:rPr>
      </w:pPr>
    </w:p>
    <w:p w14:paraId="20D243C8" w14:textId="5DA80A70" w:rsidR="00393C38" w:rsidRPr="0068497E" w:rsidRDefault="00393C38" w:rsidP="00370F37">
      <w:pPr>
        <w:spacing w:after="0" w:line="240" w:lineRule="auto"/>
        <w:rPr>
          <w:rFonts w:cstheme="minorHAnsi"/>
          <w:b/>
          <w:bCs/>
          <w:i/>
          <w:iCs/>
        </w:rPr>
      </w:pPr>
      <w:r w:rsidRPr="0068497E">
        <w:rPr>
          <w:rFonts w:cstheme="minorHAnsi"/>
          <w:b/>
          <w:bCs/>
          <w:i/>
          <w:iCs/>
        </w:rPr>
        <w:t>Stakeholders</w:t>
      </w:r>
    </w:p>
    <w:p w14:paraId="729E70CC" w14:textId="435A46A8" w:rsidR="00BF5E43" w:rsidRPr="00BF5E43" w:rsidRDefault="00050E94" w:rsidP="00BF5E43">
      <w:pPr>
        <w:spacing w:after="0" w:line="240" w:lineRule="auto"/>
        <w:rPr>
          <w:rFonts w:cstheme="minorHAnsi"/>
        </w:rPr>
      </w:pPr>
      <w:r w:rsidRPr="00BF5E43">
        <w:rPr>
          <w:rFonts w:cstheme="minorHAnsi"/>
        </w:rPr>
        <w:t xml:space="preserve">Jobs Tasmania, Regional Jobs Hubs, TMEC, </w:t>
      </w:r>
      <w:proofErr w:type="spellStart"/>
      <w:r w:rsidRPr="00BF5E43">
        <w:rPr>
          <w:rFonts w:cstheme="minorHAnsi"/>
        </w:rPr>
        <w:t>TasICT</w:t>
      </w:r>
      <w:proofErr w:type="spellEnd"/>
      <w:r w:rsidRPr="00BF5E43">
        <w:rPr>
          <w:rFonts w:cstheme="minorHAnsi"/>
        </w:rPr>
        <w:t>, Registered Training Organisations e.g. TasTAFE, Tasmanian Chamber of Commerce and Industry, Skills Tasmanian, Apprenticeship Network Providers, Master Builders Association of Tasmania, Housing Industry Association of Tasmania, Labour Hire Companies, Group Training Organisations.</w:t>
      </w:r>
    </w:p>
    <w:p w14:paraId="69A44E6B" w14:textId="1DE6CD99" w:rsidR="00F166CB" w:rsidRDefault="00F166CB" w:rsidP="00370F37">
      <w:pPr>
        <w:pStyle w:val="ListParagraph"/>
        <w:numPr>
          <w:ilvl w:val="0"/>
          <w:numId w:val="16"/>
        </w:numPr>
        <w:spacing w:before="240" w:after="160" w:line="240" w:lineRule="auto"/>
        <w:rPr>
          <w:rFonts w:cstheme="minorHAnsi"/>
          <w:b/>
          <w:bCs/>
        </w:rPr>
      </w:pPr>
      <w:r w:rsidRPr="00A53740">
        <w:rPr>
          <w:rFonts w:cstheme="minorHAnsi"/>
          <w:b/>
          <w:bCs/>
        </w:rPr>
        <w:t>Identify opportunities and brokering collaboration between key stakeholders</w:t>
      </w:r>
      <w:r w:rsidRPr="00A53740">
        <w:rPr>
          <w:rFonts w:cstheme="minorHAnsi"/>
        </w:rPr>
        <w:t xml:space="preserve"> </w:t>
      </w:r>
      <w:r w:rsidRPr="00A53740">
        <w:rPr>
          <w:rFonts w:cstheme="minorHAnsi"/>
          <w:b/>
          <w:bCs/>
        </w:rPr>
        <w:t>to maximise</w:t>
      </w:r>
      <w:r w:rsidR="0024032E">
        <w:rPr>
          <w:rFonts w:cstheme="minorHAnsi"/>
          <w:b/>
          <w:bCs/>
        </w:rPr>
        <w:t xml:space="preserve"> opportunities</w:t>
      </w:r>
      <w:r w:rsidRPr="00A53740">
        <w:rPr>
          <w:rFonts w:cstheme="minorHAnsi"/>
          <w:b/>
          <w:bCs/>
        </w:rPr>
        <w:t xml:space="preserve"> for local job seekers to fill local positions, creating a sustainable pipeline of skilled workers to meet the industry needs.</w:t>
      </w:r>
    </w:p>
    <w:p w14:paraId="4B900B47" w14:textId="77777777" w:rsidR="00A53740" w:rsidRPr="00A53740" w:rsidRDefault="00A53740" w:rsidP="00370F37">
      <w:pPr>
        <w:pStyle w:val="ListParagraph"/>
        <w:spacing w:before="240" w:after="160" w:line="240" w:lineRule="auto"/>
        <w:ind w:left="360"/>
        <w:rPr>
          <w:rFonts w:cstheme="minorHAnsi"/>
          <w:b/>
          <w:bCs/>
        </w:rPr>
      </w:pPr>
    </w:p>
    <w:p w14:paraId="5F615089" w14:textId="77777777" w:rsidR="00F166CB" w:rsidRDefault="00F166CB" w:rsidP="00370F37">
      <w:pPr>
        <w:pStyle w:val="ListParagraph"/>
        <w:numPr>
          <w:ilvl w:val="0"/>
          <w:numId w:val="27"/>
        </w:numPr>
        <w:spacing w:line="240" w:lineRule="auto"/>
        <w:rPr>
          <w:rFonts w:ascii="Calibri" w:hAnsi="Calibri" w:cstheme="minorHAnsi"/>
        </w:rPr>
      </w:pPr>
      <w:r>
        <w:rPr>
          <w:rFonts w:ascii="Calibri" w:hAnsi="Calibri" w:cstheme="minorHAnsi"/>
        </w:rPr>
        <w:t>While there are numerous activities, organisations and programs available to support training and employment, many stakeholders are not aware of them and the benefits they can provide. This has been evidenced through industry consultation and sharing of information between the employment services system and employers. Providing connections to employers and industry groups with training providers and employment services providers has proved to be mutually beneficial.</w:t>
      </w:r>
    </w:p>
    <w:p w14:paraId="51834BE5" w14:textId="3A6A1ABC" w:rsidR="00F5332B" w:rsidRDefault="00F166CB" w:rsidP="00370F37">
      <w:pPr>
        <w:pStyle w:val="ListParagraph"/>
        <w:numPr>
          <w:ilvl w:val="0"/>
          <w:numId w:val="27"/>
        </w:numPr>
        <w:spacing w:line="240" w:lineRule="auto"/>
        <w:rPr>
          <w:rFonts w:ascii="Calibri" w:hAnsi="Calibri" w:cstheme="minorHAnsi"/>
        </w:rPr>
      </w:pPr>
      <w:r w:rsidRPr="009E6CA6">
        <w:rPr>
          <w:rFonts w:ascii="Calibri" w:hAnsi="Calibri" w:cstheme="minorHAnsi"/>
        </w:rPr>
        <w:t xml:space="preserve">Industry organisations may lack the time and resources to engage with training providers and other </w:t>
      </w:r>
      <w:r w:rsidR="002B3281" w:rsidRPr="009E6CA6">
        <w:rPr>
          <w:rFonts w:ascii="Calibri" w:hAnsi="Calibri" w:cstheme="minorHAnsi"/>
        </w:rPr>
        <w:t xml:space="preserve">vital </w:t>
      </w:r>
      <w:r w:rsidRPr="009E6CA6">
        <w:rPr>
          <w:rFonts w:ascii="Calibri" w:hAnsi="Calibri" w:cstheme="minorHAnsi"/>
        </w:rPr>
        <w:t xml:space="preserve">stakeholders, which is a challenge in improving collaboration. Many training providers and </w:t>
      </w:r>
      <w:r w:rsidR="002B3281" w:rsidRPr="009E6CA6">
        <w:rPr>
          <w:rFonts w:ascii="Calibri" w:hAnsi="Calibri" w:cstheme="minorHAnsi"/>
        </w:rPr>
        <w:t xml:space="preserve">key </w:t>
      </w:r>
      <w:r w:rsidRPr="009E6CA6">
        <w:rPr>
          <w:rFonts w:ascii="Calibri" w:hAnsi="Calibri" w:cstheme="minorHAnsi"/>
        </w:rPr>
        <w:t xml:space="preserve">stakeholders </w:t>
      </w:r>
      <w:r w:rsidRPr="00E70BD9">
        <w:t>have a li</w:t>
      </w:r>
      <w:r w:rsidRPr="009E6CA6">
        <w:rPr>
          <w:rFonts w:ascii="Calibri" w:hAnsi="Calibri" w:cstheme="minorHAnsi"/>
        </w:rPr>
        <w:t xml:space="preserve">mited understanding of </w:t>
      </w:r>
      <w:r w:rsidR="00E70BD9">
        <w:rPr>
          <w:rFonts w:ascii="Calibri" w:hAnsi="Calibri" w:cstheme="minorHAnsi"/>
        </w:rPr>
        <w:t>the</w:t>
      </w:r>
      <w:r w:rsidR="00E70BD9" w:rsidRPr="009E6CA6">
        <w:rPr>
          <w:rFonts w:ascii="Calibri" w:hAnsi="Calibri" w:cstheme="minorHAnsi"/>
        </w:rPr>
        <w:t xml:space="preserve"> </w:t>
      </w:r>
      <w:r w:rsidRPr="009E6CA6">
        <w:rPr>
          <w:rFonts w:ascii="Calibri" w:hAnsi="Calibri" w:cstheme="minorHAnsi"/>
        </w:rPr>
        <w:t xml:space="preserve">skills and </w:t>
      </w:r>
      <w:r w:rsidRPr="00E70BD9">
        <w:t>knowledge</w:t>
      </w:r>
      <w:r w:rsidR="00E70BD9">
        <w:t xml:space="preserve"> that</w:t>
      </w:r>
      <w:r w:rsidRPr="00E70BD9">
        <w:t xml:space="preserve"> industry values</w:t>
      </w:r>
      <w:r w:rsidR="00E70BD9">
        <w:t>,</w:t>
      </w:r>
      <w:r w:rsidRPr="00E70BD9">
        <w:t xml:space="preserve"> and </w:t>
      </w:r>
      <w:r w:rsidRPr="009E6CA6">
        <w:rPr>
          <w:rFonts w:ascii="Calibri" w:hAnsi="Calibri" w:cstheme="minorHAnsi"/>
        </w:rPr>
        <w:t xml:space="preserve">how to </w:t>
      </w:r>
      <w:r w:rsidR="006E1035">
        <w:rPr>
          <w:rFonts w:ascii="Calibri" w:hAnsi="Calibri" w:cstheme="minorHAnsi"/>
        </w:rPr>
        <w:t>instil</w:t>
      </w:r>
      <w:r>
        <w:rPr>
          <w:rFonts w:ascii="Calibri" w:hAnsi="Calibri" w:cstheme="minorHAnsi"/>
        </w:rPr>
        <w:t xml:space="preserve"> this in students and job seekers.</w:t>
      </w:r>
    </w:p>
    <w:p w14:paraId="30CE214D" w14:textId="581ADF20" w:rsidR="00904FE3" w:rsidRPr="00F5332B" w:rsidRDefault="00F166CB" w:rsidP="00370F37">
      <w:pPr>
        <w:pStyle w:val="ListParagraph"/>
        <w:numPr>
          <w:ilvl w:val="0"/>
          <w:numId w:val="27"/>
        </w:numPr>
        <w:spacing w:line="240" w:lineRule="auto"/>
      </w:pPr>
      <w:r w:rsidRPr="00F5332B">
        <w:t xml:space="preserve">Connecting State and Federal Government initiatives such Jobs Tasmania, regional Jobs Hubs and employment services providers* with employers and industry bodies will achieve better outcomes for all parties. </w:t>
      </w:r>
      <w:r w:rsidR="00F5332B">
        <w:t xml:space="preserve"> </w:t>
      </w:r>
      <w:r w:rsidRPr="00F5332B">
        <w:t xml:space="preserve">This is particularly true where employment related training programs and initiatives have employer needs at the centre. </w:t>
      </w:r>
      <w:r w:rsidR="002C6745">
        <w:t>T</w:t>
      </w:r>
      <w:r w:rsidRPr="00F5332B">
        <w:t>he current labour market challenges present an opportunity to foster collaboration with stakeholders to meet their respective needs.</w:t>
      </w:r>
    </w:p>
    <w:p w14:paraId="164C43D1" w14:textId="23BCCFC0" w:rsidR="00904FE3" w:rsidRPr="0068497E" w:rsidRDefault="00904FE3" w:rsidP="00370F37">
      <w:pPr>
        <w:spacing w:after="0" w:line="240" w:lineRule="auto"/>
        <w:rPr>
          <w:rFonts w:ascii="Calibri" w:hAnsi="Calibri" w:cstheme="minorHAnsi"/>
          <w:b/>
          <w:bCs/>
        </w:rPr>
      </w:pPr>
      <w:r w:rsidRPr="0068497E">
        <w:rPr>
          <w:rFonts w:cstheme="minorHAnsi"/>
          <w:b/>
          <w:bCs/>
          <w:i/>
          <w:iCs/>
        </w:rPr>
        <w:t>Strategies</w:t>
      </w:r>
      <w:r w:rsidRPr="0068497E">
        <w:rPr>
          <w:rFonts w:ascii="Calibri" w:hAnsi="Calibri" w:cstheme="minorHAnsi"/>
          <w:b/>
          <w:bCs/>
        </w:rPr>
        <w:t xml:space="preserve"> </w:t>
      </w:r>
    </w:p>
    <w:p w14:paraId="41052615" w14:textId="589CE6BA" w:rsidR="00F5332B" w:rsidRPr="0068497E" w:rsidRDefault="00F5332B" w:rsidP="00370F37">
      <w:pPr>
        <w:pStyle w:val="ListParagraph"/>
        <w:numPr>
          <w:ilvl w:val="0"/>
          <w:numId w:val="25"/>
        </w:numPr>
        <w:spacing w:after="0" w:line="240" w:lineRule="auto"/>
        <w:rPr>
          <w:rFonts w:cstheme="minorHAnsi"/>
        </w:rPr>
      </w:pPr>
      <w:r w:rsidRPr="0068497E">
        <w:rPr>
          <w:rFonts w:cstheme="minorHAnsi"/>
        </w:rPr>
        <w:t>Identify and support o</w:t>
      </w:r>
      <w:r w:rsidR="00F166CB" w:rsidRPr="0068497E">
        <w:rPr>
          <w:rFonts w:cstheme="minorHAnsi"/>
        </w:rPr>
        <w:t>pportunities to facilitate brokerage or collaboration between business and education and training providers</w:t>
      </w:r>
      <w:r w:rsidRPr="0068497E">
        <w:rPr>
          <w:rFonts w:cstheme="minorHAnsi"/>
        </w:rPr>
        <w:t>,</w:t>
      </w:r>
      <w:r w:rsidR="00F166CB" w:rsidRPr="0068497E">
        <w:rPr>
          <w:rFonts w:cstheme="minorHAnsi"/>
        </w:rPr>
        <w:t xml:space="preserve"> to ensure the various parties can communicate and deliver on their respective expectations and requirements. </w:t>
      </w:r>
    </w:p>
    <w:p w14:paraId="5A76B0BA" w14:textId="3B7E5478" w:rsidR="00F5332B" w:rsidRPr="0068497E" w:rsidRDefault="00F166CB" w:rsidP="00370F37">
      <w:pPr>
        <w:pStyle w:val="ListParagraph"/>
        <w:numPr>
          <w:ilvl w:val="0"/>
          <w:numId w:val="25"/>
        </w:numPr>
        <w:spacing w:after="0" w:line="240" w:lineRule="auto"/>
        <w:rPr>
          <w:rFonts w:cstheme="minorHAnsi"/>
        </w:rPr>
      </w:pPr>
      <w:r w:rsidRPr="0068497E">
        <w:rPr>
          <w:rFonts w:cstheme="minorHAnsi"/>
        </w:rPr>
        <w:t xml:space="preserve">Support </w:t>
      </w:r>
      <w:r w:rsidR="00F5332B" w:rsidRPr="0068497E">
        <w:rPr>
          <w:rFonts w:cstheme="minorHAnsi"/>
        </w:rPr>
        <w:t xml:space="preserve">and develop </w:t>
      </w:r>
      <w:r w:rsidRPr="0068497E">
        <w:rPr>
          <w:rFonts w:cstheme="minorHAnsi"/>
        </w:rPr>
        <w:t xml:space="preserve">opportunities for the </w:t>
      </w:r>
      <w:r w:rsidR="00F5332B" w:rsidRPr="0068497E">
        <w:rPr>
          <w:rFonts w:cstheme="minorHAnsi"/>
        </w:rPr>
        <w:t>enhanced</w:t>
      </w:r>
      <w:r w:rsidRPr="0068497E">
        <w:rPr>
          <w:rFonts w:cstheme="minorHAnsi"/>
        </w:rPr>
        <w:t xml:space="preserve"> employer capability to provide attractive employment conditions through collaboration and information sharing, including promotion of best practice initiatives. </w:t>
      </w:r>
    </w:p>
    <w:p w14:paraId="039D14CD" w14:textId="77777777" w:rsidR="00F166CB" w:rsidRPr="0068497E" w:rsidRDefault="00F166CB" w:rsidP="00370F37">
      <w:pPr>
        <w:pStyle w:val="ListParagraph"/>
        <w:spacing w:after="0" w:line="240" w:lineRule="auto"/>
        <w:ind w:left="360"/>
        <w:rPr>
          <w:rFonts w:ascii="Calibri" w:hAnsi="Calibri" w:cstheme="minorHAnsi"/>
          <w:sz w:val="10"/>
          <w:szCs w:val="10"/>
        </w:rPr>
      </w:pPr>
    </w:p>
    <w:p w14:paraId="4A3005B5" w14:textId="77777777" w:rsidR="0068497E" w:rsidRDefault="0068497E" w:rsidP="00370F37">
      <w:pPr>
        <w:pStyle w:val="ListParagraph"/>
        <w:spacing w:after="0" w:line="240" w:lineRule="auto"/>
        <w:ind w:left="1080"/>
        <w:rPr>
          <w:rFonts w:cstheme="minorHAnsi"/>
        </w:rPr>
      </w:pPr>
    </w:p>
    <w:p w14:paraId="13CDD048" w14:textId="77777777" w:rsidR="00F5332B" w:rsidRPr="0068497E" w:rsidRDefault="00F5332B" w:rsidP="00370F37">
      <w:pPr>
        <w:spacing w:after="0" w:line="240" w:lineRule="auto"/>
        <w:rPr>
          <w:rFonts w:ascii="Calibri" w:hAnsi="Calibri" w:cstheme="minorHAnsi"/>
          <w:b/>
          <w:bCs/>
          <w:i/>
          <w:iCs/>
        </w:rPr>
      </w:pPr>
      <w:r w:rsidRPr="0068497E">
        <w:rPr>
          <w:rFonts w:ascii="Calibri" w:hAnsi="Calibri" w:cstheme="minorHAnsi"/>
          <w:b/>
          <w:bCs/>
          <w:i/>
          <w:iCs/>
        </w:rPr>
        <w:t>Stakeholders</w:t>
      </w:r>
    </w:p>
    <w:p w14:paraId="230DEA11" w14:textId="77777777" w:rsidR="007D1210" w:rsidRDefault="00050E94" w:rsidP="00370F37">
      <w:pPr>
        <w:pStyle w:val="ListParagraph"/>
        <w:spacing w:after="0" w:line="240" w:lineRule="auto"/>
        <w:ind w:left="0"/>
        <w:rPr>
          <w:rFonts w:ascii="Calibri" w:hAnsi="Calibri" w:cstheme="minorHAnsi"/>
        </w:rPr>
      </w:pPr>
      <w:r>
        <w:rPr>
          <w:rFonts w:ascii="Calibri" w:hAnsi="Calibri" w:cstheme="minorHAnsi"/>
        </w:rPr>
        <w:t>Jobs Tasmania, Regional Jobs Hubs, Registered Training Organisations e.g. TasTAFE, Tasmanian Chamber of Commerce and Industry, Skills Tasmanian, Apprenticeship Network Providers, Master Builders Association of Tasmania, Housing Industry Association of Tasmania, Labour Hire Companies, Group Training Organisation</w:t>
      </w:r>
      <w:r w:rsidR="003139A3">
        <w:rPr>
          <w:rFonts w:ascii="Calibri" w:hAnsi="Calibri" w:cstheme="minorHAnsi"/>
        </w:rPr>
        <w:t>.</w:t>
      </w:r>
    </w:p>
    <w:p w14:paraId="0B8030F3" w14:textId="77777777" w:rsidR="003139A3" w:rsidRDefault="003139A3" w:rsidP="00370F37">
      <w:pPr>
        <w:pStyle w:val="ListParagraph"/>
        <w:spacing w:after="0" w:line="240" w:lineRule="auto"/>
        <w:ind w:left="0"/>
        <w:rPr>
          <w:rFonts w:ascii="Calibri" w:hAnsi="Calibri" w:cstheme="minorHAnsi"/>
        </w:rPr>
      </w:pPr>
    </w:p>
    <w:p w14:paraId="4FE2916D" w14:textId="77777777" w:rsidR="003139A3" w:rsidRPr="003139A3" w:rsidRDefault="003139A3" w:rsidP="003139A3">
      <w:pPr>
        <w:spacing w:after="0" w:line="240" w:lineRule="auto"/>
        <w:rPr>
          <w:rFonts w:ascii="Calibri" w:hAnsi="Calibri" w:cstheme="minorHAnsi"/>
        </w:rPr>
      </w:pPr>
      <w:r w:rsidRPr="003139A3">
        <w:rPr>
          <w:rFonts w:ascii="Calibri" w:hAnsi="Calibri" w:cstheme="minorHAnsi"/>
        </w:rPr>
        <w:t xml:space="preserve">*Contracted employment services providers in Hobart and Southern Tasmania are: </w:t>
      </w:r>
    </w:p>
    <w:p w14:paraId="41F1D073" w14:textId="4471B8AA" w:rsidR="003139A3" w:rsidRDefault="002C6745" w:rsidP="003139A3">
      <w:pPr>
        <w:pStyle w:val="ListParagraph"/>
        <w:numPr>
          <w:ilvl w:val="0"/>
          <w:numId w:val="20"/>
        </w:numPr>
        <w:spacing w:after="0" w:line="240" w:lineRule="auto"/>
        <w:ind w:left="284" w:hanging="284"/>
        <w:rPr>
          <w:rFonts w:cstheme="minorHAnsi"/>
        </w:rPr>
      </w:pPr>
      <w:r>
        <w:rPr>
          <w:rFonts w:cstheme="minorHAnsi"/>
        </w:rPr>
        <w:t>j</w:t>
      </w:r>
      <w:r w:rsidR="003139A3">
        <w:rPr>
          <w:rFonts w:cstheme="minorHAnsi"/>
        </w:rPr>
        <w:t>obactive Program: Workskills, MAX Employment, APM Employment</w:t>
      </w:r>
    </w:p>
    <w:p w14:paraId="74D69B0C" w14:textId="77777777" w:rsidR="003139A3" w:rsidRDefault="003139A3" w:rsidP="003139A3">
      <w:pPr>
        <w:pStyle w:val="ListParagraph"/>
        <w:numPr>
          <w:ilvl w:val="0"/>
          <w:numId w:val="20"/>
        </w:numPr>
        <w:spacing w:after="0" w:line="240" w:lineRule="auto"/>
        <w:ind w:left="284" w:hanging="284"/>
        <w:rPr>
          <w:rFonts w:cstheme="minorHAnsi"/>
        </w:rPr>
      </w:pPr>
      <w:r>
        <w:rPr>
          <w:rFonts w:cstheme="minorHAnsi"/>
        </w:rPr>
        <w:t>Transition to Work Program: Colony 47</w:t>
      </w:r>
    </w:p>
    <w:p w14:paraId="6807224E" w14:textId="7955814E" w:rsidR="003139A3" w:rsidRDefault="003139A3" w:rsidP="003139A3">
      <w:pPr>
        <w:pStyle w:val="ListParagraph"/>
        <w:numPr>
          <w:ilvl w:val="0"/>
          <w:numId w:val="20"/>
        </w:numPr>
        <w:spacing w:after="0" w:line="240" w:lineRule="auto"/>
        <w:ind w:left="284" w:hanging="284"/>
        <w:rPr>
          <w:rFonts w:cstheme="minorHAnsi"/>
        </w:rPr>
      </w:pPr>
      <w:r>
        <w:rPr>
          <w:rFonts w:cstheme="minorHAnsi"/>
        </w:rPr>
        <w:t>ParentsNext Program: Workskills, National Job Link (NJL)</w:t>
      </w:r>
      <w:r w:rsidR="00BF5E43">
        <w:rPr>
          <w:rFonts w:cstheme="minorHAnsi"/>
        </w:rPr>
        <w:t>.</w:t>
      </w:r>
    </w:p>
    <w:p w14:paraId="3AB4E2A3" w14:textId="02F39243" w:rsidR="003116D1" w:rsidRPr="00520C2D" w:rsidRDefault="003116D1" w:rsidP="00370F37">
      <w:pPr>
        <w:pStyle w:val="ListParagraph"/>
        <w:spacing w:after="0" w:line="240" w:lineRule="auto"/>
        <w:ind w:left="0"/>
        <w:rPr>
          <w:rFonts w:ascii="Calibri" w:hAnsi="Calibri" w:cstheme="minorHAnsi"/>
        </w:rPr>
        <w:sectPr w:rsidR="003116D1" w:rsidRPr="00520C2D" w:rsidSect="00904FE3">
          <w:headerReference w:type="default" r:id="rId17"/>
          <w:footerReference w:type="default" r:id="rId18"/>
          <w:type w:val="continuous"/>
          <w:pgSz w:w="11906" w:h="16838"/>
          <w:pgMar w:top="567" w:right="1418" w:bottom="426" w:left="1440" w:header="709" w:footer="567" w:gutter="0"/>
          <w:cols w:space="708"/>
          <w:docGrid w:linePitch="360"/>
        </w:sectPr>
      </w:pPr>
    </w:p>
    <w:p w14:paraId="72270057" w14:textId="73CD5D61" w:rsidR="00EB508B" w:rsidRPr="00BE7CB0" w:rsidRDefault="00D61449" w:rsidP="00370F37">
      <w:pPr>
        <w:pStyle w:val="Heading2"/>
        <w:rPr>
          <w:rFonts w:eastAsia="Times New Roman"/>
          <w:sz w:val="22"/>
          <w:szCs w:val="22"/>
        </w:rPr>
      </w:pPr>
      <w:bookmarkStart w:id="29" w:name="_Toc77833839"/>
      <w:r w:rsidRPr="00BE7CB0">
        <w:rPr>
          <w:rFonts w:eastAsia="Times New Roman"/>
          <w:sz w:val="22"/>
          <w:szCs w:val="22"/>
        </w:rPr>
        <w:lastRenderedPageBreak/>
        <w:t>Attachment B – Labour Market Data Dashboard (</w:t>
      </w:r>
      <w:r w:rsidR="00BE7CB0">
        <w:rPr>
          <w:rFonts w:eastAsia="Times New Roman"/>
          <w:sz w:val="22"/>
          <w:szCs w:val="22"/>
        </w:rPr>
        <w:t>JULY</w:t>
      </w:r>
      <w:r w:rsidRPr="00BE7CB0">
        <w:rPr>
          <w:rFonts w:eastAsia="Times New Roman"/>
          <w:sz w:val="22"/>
          <w:szCs w:val="22"/>
        </w:rPr>
        <w:t xml:space="preserve"> 2021)</w:t>
      </w:r>
      <w:bookmarkEnd w:id="29"/>
    </w:p>
    <w:p w14:paraId="4D92207C" w14:textId="677E3CF1" w:rsidR="004E1E0C" w:rsidRPr="004E1E0C" w:rsidRDefault="00047656" w:rsidP="00370F37">
      <w:r>
        <w:rPr>
          <w:noProof/>
        </w:rPr>
        <w:drawing>
          <wp:inline distT="0" distB="0" distL="0" distR="0" wp14:anchorId="288CB7D1" wp14:editId="22013AC2">
            <wp:extent cx="8469808" cy="5847907"/>
            <wp:effectExtent l="0" t="0" r="7620" b="635"/>
            <wp:docPr id="6" name="Picture 6" descr="This Labour Market Data Dashboard was published on 14 July 2021 and provides a summary of the key indicators for the Hobart and Southern Tasmania labour market. &#10;The dashboards combine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Labour Market Data Dashboard was published on 14 July 2021 and provides a summary of the key indicators for the Hobart and Southern Tasmania labour market. &#10;The dashboards combine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10;"/>
                    <pic:cNvPicPr/>
                  </pic:nvPicPr>
                  <pic:blipFill>
                    <a:blip r:embed="rId19">
                      <a:extLst>
                        <a:ext uri="{28A0092B-C50C-407E-A947-70E740481C1C}">
                          <a14:useLocalDpi xmlns:a14="http://schemas.microsoft.com/office/drawing/2010/main" val="0"/>
                        </a:ext>
                      </a:extLst>
                    </a:blip>
                    <a:stretch>
                      <a:fillRect/>
                    </a:stretch>
                  </pic:blipFill>
                  <pic:spPr>
                    <a:xfrm>
                      <a:off x="0" y="0"/>
                      <a:ext cx="8488085" cy="5860526"/>
                    </a:xfrm>
                    <a:prstGeom prst="rect">
                      <a:avLst/>
                    </a:prstGeom>
                  </pic:spPr>
                </pic:pic>
              </a:graphicData>
            </a:graphic>
          </wp:inline>
        </w:drawing>
      </w:r>
    </w:p>
    <w:sectPr w:rsidR="004E1E0C" w:rsidRPr="004E1E0C" w:rsidSect="00520C2D">
      <w:pgSz w:w="16838" w:h="11906" w:orient="landscape"/>
      <w:pgMar w:top="284" w:right="1276" w:bottom="284" w:left="113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F9DF5" w14:textId="77777777" w:rsidR="00CD6B1D" w:rsidRDefault="00CD6B1D" w:rsidP="009B031C">
      <w:r>
        <w:separator/>
      </w:r>
    </w:p>
  </w:endnote>
  <w:endnote w:type="continuationSeparator" w:id="0">
    <w:p w14:paraId="28B31B72" w14:textId="77777777" w:rsidR="00CD6B1D" w:rsidRDefault="00CD6B1D" w:rsidP="009B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510346"/>
      <w:docPartObj>
        <w:docPartGallery w:val="Page Numbers (Bottom of Page)"/>
        <w:docPartUnique/>
      </w:docPartObj>
    </w:sdtPr>
    <w:sdtEndPr>
      <w:rPr>
        <w:noProof/>
        <w:color w:val="E7E6E6"/>
      </w:rPr>
    </w:sdtEndPr>
    <w:sdtContent>
      <w:p w14:paraId="5CE092B1" w14:textId="4CCD3442" w:rsidR="009B7CDA" w:rsidRPr="003273FB" w:rsidRDefault="009B7CDA">
        <w:pPr>
          <w:pStyle w:val="Footer"/>
          <w:jc w:val="right"/>
          <w:rPr>
            <w:color w:val="E7E6E6"/>
          </w:rPr>
        </w:pPr>
        <w:r>
          <w:rPr>
            <w:noProof/>
          </w:rPr>
          <w:drawing>
            <wp:anchor distT="0" distB="0" distL="114300" distR="114300" simplePos="0" relativeHeight="251660288" behindDoc="1" locked="0" layoutInCell="1" allowOverlap="1" wp14:anchorId="209E1D63" wp14:editId="6CDA11C4">
              <wp:simplePos x="0" y="0"/>
              <wp:positionH relativeFrom="page">
                <wp:align>right</wp:align>
              </wp:positionH>
              <wp:positionV relativeFrom="paragraph">
                <wp:posOffset>-1098550</wp:posOffset>
              </wp:positionV>
              <wp:extent cx="2517866" cy="1792379"/>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tom graphic.png"/>
                      <pic:cNvPicPr/>
                    </pic:nvPicPr>
                    <pic:blipFill>
                      <a:blip r:embed="rId1">
                        <a:extLst>
                          <a:ext uri="{28A0092B-C50C-407E-A947-70E740481C1C}">
                            <a14:useLocalDpi xmlns:a14="http://schemas.microsoft.com/office/drawing/2010/main" val="0"/>
                          </a:ext>
                        </a:extLst>
                      </a:blip>
                      <a:stretch>
                        <a:fillRect/>
                      </a:stretch>
                    </pic:blipFill>
                    <pic:spPr>
                      <a:xfrm>
                        <a:off x="0" y="0"/>
                        <a:ext cx="2517866" cy="1792379"/>
                      </a:xfrm>
                      <a:prstGeom prst="rect">
                        <a:avLst/>
                      </a:prstGeom>
                    </pic:spPr>
                  </pic:pic>
                </a:graphicData>
              </a:graphic>
            </wp:anchor>
          </w:drawing>
        </w:r>
        <w:r w:rsidR="00904FE3">
          <w:t xml:space="preserve"> </w:t>
        </w:r>
        <w:r w:rsidRPr="003273FB">
          <w:rPr>
            <w:color w:val="E7E6E6"/>
          </w:rPr>
          <w:fldChar w:fldCharType="begin"/>
        </w:r>
        <w:r w:rsidRPr="003273FB">
          <w:rPr>
            <w:color w:val="E7E6E6"/>
          </w:rPr>
          <w:instrText xml:space="preserve"> PAGE   \* MERGEFORMAT </w:instrText>
        </w:r>
        <w:r w:rsidRPr="003273FB">
          <w:rPr>
            <w:color w:val="E7E6E6"/>
          </w:rPr>
          <w:fldChar w:fldCharType="separate"/>
        </w:r>
        <w:r w:rsidRPr="003273FB">
          <w:rPr>
            <w:noProof/>
            <w:color w:val="E7E6E6"/>
          </w:rPr>
          <w:t>2</w:t>
        </w:r>
        <w:r w:rsidRPr="003273FB">
          <w:rPr>
            <w:noProof/>
            <w:color w:val="E7E6E6"/>
          </w:rPr>
          <w:fldChar w:fldCharType="end"/>
        </w:r>
      </w:p>
    </w:sdtContent>
  </w:sdt>
  <w:p w14:paraId="2E6877A1" w14:textId="77777777" w:rsidR="006266AF" w:rsidRDefault="006266AF" w:rsidP="009B0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DB7B6" w14:textId="77777777" w:rsidR="00CD6B1D" w:rsidRDefault="00CD6B1D" w:rsidP="009B031C">
      <w:r>
        <w:separator/>
      </w:r>
    </w:p>
  </w:footnote>
  <w:footnote w:type="continuationSeparator" w:id="0">
    <w:p w14:paraId="7F85AB4C" w14:textId="77777777" w:rsidR="00CD6B1D" w:rsidRDefault="00CD6B1D" w:rsidP="009B031C">
      <w:r>
        <w:continuationSeparator/>
      </w:r>
    </w:p>
  </w:footnote>
  <w:footnote w:id="1">
    <w:p w14:paraId="4D852653" w14:textId="77777777" w:rsidR="00DC47F7" w:rsidRDefault="00DC47F7" w:rsidP="00DC47F7">
      <w:pPr>
        <w:spacing w:before="120" w:after="120" w:line="240" w:lineRule="auto"/>
        <w:rPr>
          <w:rFonts w:ascii="Calibri" w:eastAsia="Calibri" w:hAnsi="Calibri" w:cs="Calibri"/>
          <w:sz w:val="18"/>
          <w:szCs w:val="18"/>
        </w:rPr>
      </w:pPr>
      <w:r>
        <w:rPr>
          <w:rStyle w:val="FootnoteReference"/>
          <w:rFonts w:ascii="Calibri" w:eastAsia="Calibri" w:hAnsi="Calibri" w:cs="Calibri"/>
          <w:sz w:val="18"/>
          <w:szCs w:val="18"/>
        </w:rPr>
        <w:footnoteRef/>
      </w:r>
      <w:r>
        <w:rPr>
          <w:rFonts w:ascii="Calibri" w:eastAsia="Calibri" w:hAnsi="Calibri" w:cs="Calibri"/>
          <w:sz w:val="18"/>
          <w:szCs w:val="18"/>
        </w:rPr>
        <w:t xml:space="preserve"> ABS Census of Population and Housing 2016 accessed via </w:t>
      </w:r>
      <w:hyperlink r:id="rId1" w:history="1">
        <w:r>
          <w:rPr>
            <w:rStyle w:val="Hyperlink"/>
            <w:rFonts w:eastAsia="Calibri" w:cs="Calibri"/>
            <w:sz w:val="18"/>
            <w:szCs w:val="18"/>
          </w:rPr>
          <w:t>https://profile.id.com.au/tasmania/population</w:t>
        </w:r>
      </w:hyperlink>
    </w:p>
  </w:footnote>
  <w:footnote w:id="2">
    <w:p w14:paraId="0097B236" w14:textId="77777777" w:rsidR="00B33404" w:rsidRDefault="00B33404" w:rsidP="002B7D2A">
      <w:pPr>
        <w:pStyle w:val="FootnoteText"/>
        <w:rPr>
          <w:szCs w:val="18"/>
        </w:rPr>
      </w:pPr>
      <w:r>
        <w:rPr>
          <w:rFonts w:eastAsia="Calibri" w:cs="Calibri"/>
          <w:szCs w:val="18"/>
          <w:vertAlign w:val="superscript"/>
        </w:rPr>
        <w:footnoteRef/>
      </w:r>
      <w:bookmarkStart w:id="9" w:name="_Hlk54770504"/>
      <w:r>
        <w:rPr>
          <w:rFonts w:eastAsia="Calibri" w:cs="Calibri"/>
          <w:szCs w:val="18"/>
        </w:rPr>
        <w:t xml:space="preserve"> ABS</w:t>
      </w:r>
      <w:r>
        <w:rPr>
          <w:rFonts w:cstheme="minorHAnsi"/>
          <w:szCs w:val="18"/>
        </w:rPr>
        <w:t xml:space="preserve"> (Cat. 2033.0.55.001) SEIFA, 2016 accessed via </w:t>
      </w:r>
      <w:hyperlink r:id="rId2" w:history="1">
        <w:r>
          <w:rPr>
            <w:rStyle w:val="Hyperlink"/>
            <w:rFonts w:cstheme="minorHAnsi"/>
            <w:szCs w:val="18"/>
          </w:rPr>
          <w:t>https://www.abs.gov.au/AUSSTATS/abs@.nsf/DetailsPage/2033.0.55.0012016?OpenDocument</w:t>
        </w:r>
      </w:hyperlink>
      <w:bookmarkEnd w:id="9"/>
    </w:p>
  </w:footnote>
  <w:footnote w:id="3">
    <w:p w14:paraId="137FA733" w14:textId="77777777" w:rsidR="008F3462" w:rsidRDefault="008F3462" w:rsidP="008F3462">
      <w:pPr>
        <w:pStyle w:val="FootnoteText"/>
        <w:rPr>
          <w:szCs w:val="18"/>
        </w:rPr>
      </w:pPr>
      <w:r>
        <w:rPr>
          <w:rFonts w:eastAsia="Calibri" w:cs="Calibri"/>
          <w:szCs w:val="18"/>
          <w:vertAlign w:val="superscript"/>
        </w:rPr>
        <w:footnoteRef/>
      </w:r>
      <w:r>
        <w:rPr>
          <w:rFonts w:eastAsia="Calibri" w:cs="Calibri"/>
          <w:szCs w:val="18"/>
        </w:rPr>
        <w:t xml:space="preserve"> Australian Bureau of Statistics, </w:t>
      </w:r>
      <w:r>
        <w:rPr>
          <w:rFonts w:eastAsia="Calibri" w:cs="Calibri"/>
          <w:i/>
          <w:iCs/>
          <w:szCs w:val="18"/>
        </w:rPr>
        <w:t>Regional Population Growth, Australia</w:t>
      </w:r>
      <w:r>
        <w:rPr>
          <w:rFonts w:eastAsia="Calibri" w:cs="Calibri"/>
          <w:szCs w:val="18"/>
        </w:rPr>
        <w:t xml:space="preserve"> (3218.0) accessed via </w:t>
      </w:r>
      <w:hyperlink r:id="rId3" w:history="1">
        <w:r>
          <w:rPr>
            <w:rStyle w:val="Hyperlink"/>
            <w:rFonts w:eastAsia="Calibri" w:cs="Calibri"/>
            <w:szCs w:val="18"/>
          </w:rPr>
          <w:t>https://profile.id.com.au/tasmania/population-estimate</w:t>
        </w:r>
      </w:hyperlink>
    </w:p>
  </w:footnote>
  <w:footnote w:id="4">
    <w:p w14:paraId="59F42510" w14:textId="77777777" w:rsidR="008F3462" w:rsidRDefault="008F3462" w:rsidP="008F3462">
      <w:pPr>
        <w:pStyle w:val="FootnoteText"/>
      </w:pPr>
      <w:r>
        <w:rPr>
          <w:rStyle w:val="FootnoteReference"/>
          <w:rFonts w:cs="Calibri"/>
          <w:szCs w:val="18"/>
        </w:rPr>
        <w:footnoteRef/>
      </w:r>
      <w:r>
        <w:t xml:space="preserve"> Reserve Bank of Australia (RBA), </w:t>
      </w:r>
      <w:r>
        <w:rPr>
          <w:i/>
          <w:iCs/>
        </w:rPr>
        <w:t>Statement on Monetary Policy</w:t>
      </w:r>
      <w:r>
        <w:t xml:space="preserve">, May 2021, accessed via </w:t>
      </w:r>
      <w:hyperlink r:id="rId4" w:history="1">
        <w:r>
          <w:rPr>
            <w:rStyle w:val="Hyperlink"/>
          </w:rPr>
          <w:t>https://www.rba.gov.au/publications/smp/2021/may/pdf/box-c-international-border-closures-slower-population-growth-and-the-australian-economy.pdf</w:t>
        </w:r>
      </w:hyperlink>
    </w:p>
  </w:footnote>
  <w:footnote w:id="5">
    <w:p w14:paraId="798D7401" w14:textId="77777777" w:rsidR="008F3462" w:rsidRDefault="008F3462" w:rsidP="008F3462">
      <w:pPr>
        <w:pStyle w:val="FootnoteText"/>
        <w:rPr>
          <w:szCs w:val="18"/>
        </w:rPr>
      </w:pPr>
      <w:r>
        <w:rPr>
          <w:rFonts w:eastAsia="Calibri" w:cs="Calibri"/>
          <w:szCs w:val="18"/>
          <w:vertAlign w:val="superscript"/>
        </w:rPr>
        <w:footnoteRef/>
      </w:r>
      <w:r>
        <w:rPr>
          <w:rFonts w:eastAsia="Calibri" w:cs="Calibri"/>
          <w:szCs w:val="18"/>
        </w:rPr>
        <w:t xml:space="preserve"> </w:t>
      </w:r>
      <w:bookmarkStart w:id="13" w:name="_Hlk54708156"/>
      <w:r>
        <w:rPr>
          <w:rFonts w:eastAsia="Calibri" w:cs="Calibri"/>
          <w:i/>
          <w:iCs/>
          <w:szCs w:val="18"/>
        </w:rPr>
        <w:t>Australian Digital Inclusion Index</w:t>
      </w:r>
      <w:r>
        <w:rPr>
          <w:rFonts w:eastAsia="Calibri" w:cs="Calibri"/>
          <w:szCs w:val="18"/>
        </w:rPr>
        <w:t xml:space="preserve"> (ADII) </w:t>
      </w:r>
      <w:hyperlink r:id="rId5" w:history="1">
        <w:r>
          <w:rPr>
            <w:rStyle w:val="Hyperlink"/>
            <w:rFonts w:eastAsia="Calibri" w:cs="Calibri"/>
            <w:szCs w:val="18"/>
          </w:rPr>
          <w:t>https://digitalinclusionindex.org.au/</w:t>
        </w:r>
      </w:hyperlink>
      <w:bookmarkEnd w:id="13"/>
    </w:p>
  </w:footnote>
  <w:footnote w:id="6">
    <w:p w14:paraId="4CC8B3DB" w14:textId="77777777" w:rsidR="008F3462" w:rsidRDefault="008F3462" w:rsidP="008F3462">
      <w:pPr>
        <w:spacing w:after="0" w:line="240" w:lineRule="auto"/>
        <w:rPr>
          <w:sz w:val="18"/>
          <w:szCs w:val="18"/>
        </w:rPr>
      </w:pPr>
      <w:r>
        <w:rPr>
          <w:rStyle w:val="FootnoteReference"/>
          <w:rFonts w:ascii="Calibri" w:hAnsi="Calibri" w:cs="Calibri"/>
          <w:sz w:val="20"/>
          <w:szCs w:val="20"/>
        </w:rPr>
        <w:footnoteRef/>
      </w:r>
      <w:r>
        <w:rPr>
          <w:sz w:val="18"/>
          <w:szCs w:val="18"/>
        </w:rPr>
        <w:t xml:space="preserve"> </w:t>
      </w:r>
      <w:hyperlink r:id="rId6" w:history="1">
        <w:r w:rsidRPr="00370F37">
          <w:rPr>
            <w:rStyle w:val="Hyperlink"/>
            <w:rFonts w:eastAsia="Calibri" w:cs="Calibri"/>
            <w:sz w:val="18"/>
            <w:szCs w:val="18"/>
          </w:rPr>
          <w:t>https://www.stategrowth.tas.gov.au/data/assets/pdf_file/0007/174076/TransportAccessStrategy.PDF</w:t>
        </w:r>
      </w:hyperlink>
    </w:p>
  </w:footnote>
  <w:footnote w:id="7">
    <w:p w14:paraId="4AA8A62F" w14:textId="77777777" w:rsidR="008F3462" w:rsidRDefault="008F3462" w:rsidP="008F3462">
      <w:pPr>
        <w:pStyle w:val="FootnoteText"/>
      </w:pPr>
      <w:r>
        <w:rPr>
          <w:rStyle w:val="FootnoteReference"/>
          <w:rFonts w:cs="Calibri"/>
          <w:szCs w:val="18"/>
        </w:rPr>
        <w:footnoteRef/>
      </w:r>
      <w:r>
        <w:t xml:space="preserve"> </w:t>
      </w:r>
      <w:r>
        <w:rPr>
          <w:i/>
          <w:iCs/>
        </w:rPr>
        <w:t>Southern Tasmania Regional Profile</w:t>
      </w:r>
      <w:r>
        <w:t>, Department of State Growth, March 2021</w:t>
      </w:r>
    </w:p>
  </w:footnote>
  <w:footnote w:id="8">
    <w:p w14:paraId="42FC39CF" w14:textId="77777777" w:rsidR="008F3462" w:rsidRDefault="008F3462" w:rsidP="008F3462">
      <w:pPr>
        <w:pStyle w:val="FootnoteText"/>
      </w:pPr>
      <w:r>
        <w:rPr>
          <w:rStyle w:val="FootnoteReference"/>
          <w:rFonts w:cs="Calibri"/>
          <w:szCs w:val="18"/>
        </w:rPr>
        <w:footnoteRef/>
      </w:r>
      <w:r>
        <w:t xml:space="preserve"> </w:t>
      </w:r>
      <w:r>
        <w:rPr>
          <w:i/>
          <w:iCs/>
        </w:rPr>
        <w:t>Greater Hobart Area Profile,</w:t>
      </w:r>
      <w:r>
        <w:t xml:space="preserve"> Department of State Growth, March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EBD58" w14:textId="77777777" w:rsidR="006266AF" w:rsidRDefault="006266AF" w:rsidP="009B031C">
    <w:pPr>
      <w:pStyle w:val="Header"/>
    </w:pPr>
    <w:r>
      <w:rPr>
        <w:noProof/>
        <w:lang w:eastAsia="en-AU"/>
      </w:rPr>
      <w:drawing>
        <wp:anchor distT="0" distB="0" distL="114300" distR="114300" simplePos="0" relativeHeight="251659264" behindDoc="1" locked="0" layoutInCell="1" allowOverlap="1" wp14:anchorId="4E77D2E0" wp14:editId="65E1C060">
          <wp:simplePos x="0" y="0"/>
          <wp:positionH relativeFrom="page">
            <wp:posOffset>118110</wp:posOffset>
          </wp:positionH>
          <wp:positionV relativeFrom="paragraph">
            <wp:posOffset>-442595</wp:posOffset>
          </wp:positionV>
          <wp:extent cx="7437528" cy="3610800"/>
          <wp:effectExtent l="0" t="0" r="0" b="0"/>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B18-0086 Career Transition Assistance_Factsheet Header_01.jpg"/>
                  <pic:cNvPicPr/>
                </pic:nvPicPr>
                <pic:blipFill>
                  <a:blip r:embed="rId1">
                    <a:extLst>
                      <a:ext uri="{28A0092B-C50C-407E-A947-70E740481C1C}">
                        <a14:useLocalDpi xmlns:a14="http://schemas.microsoft.com/office/drawing/2010/main" val="0"/>
                      </a:ext>
                    </a:extLst>
                  </a:blip>
                  <a:stretch>
                    <a:fillRect/>
                  </a:stretch>
                </pic:blipFill>
                <pic:spPr>
                  <a:xfrm>
                    <a:off x="0" y="0"/>
                    <a:ext cx="7437528" cy="361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7FC0C" w14:textId="77777777" w:rsidR="006266AF" w:rsidRDefault="006266AF" w:rsidP="009B0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37F1"/>
    <w:multiLevelType w:val="hybridMultilevel"/>
    <w:tmpl w:val="6848F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DB4452"/>
    <w:multiLevelType w:val="hybridMultilevel"/>
    <w:tmpl w:val="689CB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E41846"/>
    <w:multiLevelType w:val="hybridMultilevel"/>
    <w:tmpl w:val="DA628944"/>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9D7705"/>
    <w:multiLevelType w:val="hybridMultilevel"/>
    <w:tmpl w:val="B9E4FD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1970824"/>
    <w:multiLevelType w:val="hybridMultilevel"/>
    <w:tmpl w:val="EF8EDE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47F7793"/>
    <w:multiLevelType w:val="hybridMultilevel"/>
    <w:tmpl w:val="275A04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B352EA"/>
    <w:multiLevelType w:val="hybridMultilevel"/>
    <w:tmpl w:val="56B836C0"/>
    <w:lvl w:ilvl="0" w:tplc="9D72C74A">
      <w:start w:val="1"/>
      <w:numFmt w:val="decimal"/>
      <w:lvlText w:val="%1."/>
      <w:lvlJc w:val="left"/>
      <w:pPr>
        <w:ind w:left="360" w:hanging="360"/>
      </w:pPr>
      <w:rPr>
        <w:b/>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1A196316"/>
    <w:multiLevelType w:val="hybridMultilevel"/>
    <w:tmpl w:val="208E4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6F44C0"/>
    <w:multiLevelType w:val="hybridMultilevel"/>
    <w:tmpl w:val="93661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F70492F"/>
    <w:multiLevelType w:val="hybridMultilevel"/>
    <w:tmpl w:val="828CA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9280ED0"/>
    <w:multiLevelType w:val="hybridMultilevel"/>
    <w:tmpl w:val="DC368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BD5447D"/>
    <w:multiLevelType w:val="hybridMultilevel"/>
    <w:tmpl w:val="4C863B0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C2363CB"/>
    <w:multiLevelType w:val="hybridMultilevel"/>
    <w:tmpl w:val="5022A4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EA3640"/>
    <w:multiLevelType w:val="hybridMultilevel"/>
    <w:tmpl w:val="EE20D0B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30515034"/>
    <w:multiLevelType w:val="hybridMultilevel"/>
    <w:tmpl w:val="6F2E9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2E36B0"/>
    <w:multiLevelType w:val="hybridMultilevel"/>
    <w:tmpl w:val="50183CA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D2D27A1"/>
    <w:multiLevelType w:val="hybridMultilevel"/>
    <w:tmpl w:val="03A2D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64E5579"/>
    <w:multiLevelType w:val="hybridMultilevel"/>
    <w:tmpl w:val="74789D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46E578AD"/>
    <w:multiLevelType w:val="hybridMultilevel"/>
    <w:tmpl w:val="A35EF7B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2154551"/>
    <w:multiLevelType w:val="hybridMultilevel"/>
    <w:tmpl w:val="CBD43B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2961653"/>
    <w:multiLevelType w:val="hybridMultilevel"/>
    <w:tmpl w:val="43AEDB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5386109B"/>
    <w:multiLevelType w:val="multilevel"/>
    <w:tmpl w:val="39C0C77C"/>
    <w:lvl w:ilvl="0">
      <w:start w:val="1"/>
      <w:numFmt w:val="decimal"/>
      <w:pStyle w:val="BoxHeading-Recommendation"/>
      <w:suff w:val="nothing"/>
      <w:lvlText w:val="Recommendation %1."/>
      <w:lvlJc w:val="left"/>
      <w:pPr>
        <w:ind w:left="357"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4FA3A29"/>
    <w:multiLevelType w:val="hybridMultilevel"/>
    <w:tmpl w:val="D682D7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5EF7206"/>
    <w:multiLevelType w:val="hybridMultilevel"/>
    <w:tmpl w:val="7200E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D45E0A"/>
    <w:multiLevelType w:val="hybridMultilevel"/>
    <w:tmpl w:val="DD2EB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725EDB"/>
    <w:multiLevelType w:val="hybridMultilevel"/>
    <w:tmpl w:val="A3B4C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A153CC"/>
    <w:multiLevelType w:val="hybridMultilevel"/>
    <w:tmpl w:val="F252B556"/>
    <w:lvl w:ilvl="0" w:tplc="9D72C74A">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63EB7B32"/>
    <w:multiLevelType w:val="hybridMultilevel"/>
    <w:tmpl w:val="034002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6F9D3366"/>
    <w:multiLevelType w:val="hybridMultilevel"/>
    <w:tmpl w:val="68A2655E"/>
    <w:lvl w:ilvl="0" w:tplc="5A98E794">
      <w:start w:val="1"/>
      <w:numFmt w:val="decimal"/>
      <w:lvlText w:val="%1."/>
      <w:lvlJc w:val="left"/>
      <w:pPr>
        <w:ind w:left="360" w:hanging="360"/>
      </w:pPr>
      <w:rPr>
        <w:b/>
        <w:bCs/>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2" w15:restartNumberingAfterBreak="0">
    <w:nsid w:val="743C6359"/>
    <w:multiLevelType w:val="hybridMultilevel"/>
    <w:tmpl w:val="32AA13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E82265"/>
    <w:multiLevelType w:val="hybridMultilevel"/>
    <w:tmpl w:val="78DCFA2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4" w15:restartNumberingAfterBreak="0">
    <w:nsid w:val="78DC6582"/>
    <w:multiLevelType w:val="hybridMultilevel"/>
    <w:tmpl w:val="EF94A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0" w:hanging="360"/>
      </w:pPr>
      <w:rPr>
        <w:rFonts w:ascii="Courier New" w:hAnsi="Courier New" w:cs="Courier New" w:hint="default"/>
      </w:rPr>
    </w:lvl>
    <w:lvl w:ilvl="2" w:tplc="0C090005">
      <w:start w:val="1"/>
      <w:numFmt w:val="bullet"/>
      <w:lvlText w:val=""/>
      <w:lvlJc w:val="left"/>
      <w:pPr>
        <w:ind w:left="720" w:hanging="360"/>
      </w:pPr>
      <w:rPr>
        <w:rFonts w:ascii="Wingdings" w:hAnsi="Wingdings" w:hint="default"/>
      </w:rPr>
    </w:lvl>
    <w:lvl w:ilvl="3" w:tplc="0C090001">
      <w:start w:val="1"/>
      <w:numFmt w:val="bullet"/>
      <w:lvlText w:val=""/>
      <w:lvlJc w:val="left"/>
      <w:pPr>
        <w:ind w:left="1440" w:hanging="360"/>
      </w:pPr>
      <w:rPr>
        <w:rFonts w:ascii="Symbol" w:hAnsi="Symbol" w:hint="default"/>
      </w:rPr>
    </w:lvl>
    <w:lvl w:ilvl="4" w:tplc="0C090003">
      <w:start w:val="1"/>
      <w:numFmt w:val="bullet"/>
      <w:lvlText w:val="o"/>
      <w:lvlJc w:val="left"/>
      <w:pPr>
        <w:ind w:left="2160" w:hanging="360"/>
      </w:pPr>
      <w:rPr>
        <w:rFonts w:ascii="Courier New" w:hAnsi="Courier New" w:cs="Courier New" w:hint="default"/>
      </w:rPr>
    </w:lvl>
    <w:lvl w:ilvl="5" w:tplc="0C090005">
      <w:start w:val="1"/>
      <w:numFmt w:val="bullet"/>
      <w:lvlText w:val=""/>
      <w:lvlJc w:val="left"/>
      <w:pPr>
        <w:ind w:left="2880" w:hanging="360"/>
      </w:pPr>
      <w:rPr>
        <w:rFonts w:ascii="Wingdings" w:hAnsi="Wingdings" w:hint="default"/>
      </w:rPr>
    </w:lvl>
    <w:lvl w:ilvl="6" w:tplc="0C090001">
      <w:start w:val="1"/>
      <w:numFmt w:val="bullet"/>
      <w:lvlText w:val=""/>
      <w:lvlJc w:val="left"/>
      <w:pPr>
        <w:ind w:left="3600" w:hanging="360"/>
      </w:pPr>
      <w:rPr>
        <w:rFonts w:ascii="Symbol" w:hAnsi="Symbol" w:hint="default"/>
      </w:rPr>
    </w:lvl>
    <w:lvl w:ilvl="7" w:tplc="0C090003">
      <w:start w:val="1"/>
      <w:numFmt w:val="bullet"/>
      <w:lvlText w:val="o"/>
      <w:lvlJc w:val="left"/>
      <w:pPr>
        <w:ind w:left="4320" w:hanging="360"/>
      </w:pPr>
      <w:rPr>
        <w:rFonts w:ascii="Courier New" w:hAnsi="Courier New" w:cs="Courier New" w:hint="default"/>
      </w:rPr>
    </w:lvl>
    <w:lvl w:ilvl="8" w:tplc="0C090005">
      <w:start w:val="1"/>
      <w:numFmt w:val="bullet"/>
      <w:lvlText w:val=""/>
      <w:lvlJc w:val="left"/>
      <w:pPr>
        <w:ind w:left="5040" w:hanging="360"/>
      </w:pPr>
      <w:rPr>
        <w:rFonts w:ascii="Wingdings" w:hAnsi="Wingdings" w:hint="default"/>
      </w:rPr>
    </w:lvl>
  </w:abstractNum>
  <w:abstractNum w:abstractNumId="35" w15:restartNumberingAfterBreak="0">
    <w:nsid w:val="7A377396"/>
    <w:multiLevelType w:val="hybridMultilevel"/>
    <w:tmpl w:val="A7CE07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B0B2ADC"/>
    <w:multiLevelType w:val="hybridMultilevel"/>
    <w:tmpl w:val="FD16F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3"/>
  </w:num>
  <w:num w:numId="6">
    <w:abstractNumId w:val="26"/>
  </w:num>
  <w:num w:numId="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
  </w:num>
  <w:num w:numId="10">
    <w:abstractNumId w:val="30"/>
  </w:num>
  <w:num w:numId="11">
    <w:abstractNumId w:val="35"/>
  </w:num>
  <w:num w:numId="12">
    <w:abstractNumId w:val="25"/>
  </w:num>
  <w:num w:numId="13">
    <w:abstractNumId w:val="9"/>
  </w:num>
  <w:num w:numId="14">
    <w:abstractNumId w:val="12"/>
  </w:num>
  <w:num w:numId="15">
    <w:abstractNumId w:val="27"/>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5"/>
  </w:num>
  <w:num w:numId="19">
    <w:abstractNumId w:val="3"/>
  </w:num>
  <w:num w:numId="20">
    <w:abstractNumId w:val="33"/>
  </w:num>
  <w:num w:numId="21">
    <w:abstractNumId w:val="7"/>
  </w:num>
  <w:num w:numId="22">
    <w:abstractNumId w:val="17"/>
  </w:num>
  <w:num w:numId="23">
    <w:abstractNumId w:val="8"/>
  </w:num>
  <w:num w:numId="24">
    <w:abstractNumId w:val="0"/>
  </w:num>
  <w:num w:numId="25">
    <w:abstractNumId w:val="10"/>
  </w:num>
  <w:num w:numId="26">
    <w:abstractNumId w:val="1"/>
  </w:num>
  <w:num w:numId="27">
    <w:abstractNumId w:val="18"/>
  </w:num>
  <w:num w:numId="28">
    <w:abstractNumId w:val="28"/>
  </w:num>
  <w:num w:numId="29">
    <w:abstractNumId w:val="16"/>
  </w:num>
  <w:num w:numId="30">
    <w:abstractNumId w:val="6"/>
  </w:num>
  <w:num w:numId="31">
    <w:abstractNumId w:val="2"/>
  </w:num>
  <w:num w:numId="32">
    <w:abstractNumId w:val="5"/>
  </w:num>
  <w:num w:numId="33">
    <w:abstractNumId w:val="14"/>
  </w:num>
  <w:num w:numId="34">
    <w:abstractNumId w:val="13"/>
  </w:num>
  <w:num w:numId="35">
    <w:abstractNumId w:val="36"/>
  </w:num>
  <w:num w:numId="36">
    <w:abstractNumId w:val="32"/>
  </w:num>
  <w:num w:numId="37">
    <w:abstractNumId w:val="20"/>
  </w:num>
  <w:num w:numId="3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5625D"/>
    <w:rsid w:val="00000B20"/>
    <w:rsid w:val="00001EEF"/>
    <w:rsid w:val="00002721"/>
    <w:rsid w:val="00006138"/>
    <w:rsid w:val="000121DC"/>
    <w:rsid w:val="00024E24"/>
    <w:rsid w:val="0002700E"/>
    <w:rsid w:val="00032F46"/>
    <w:rsid w:val="00034EAA"/>
    <w:rsid w:val="00040811"/>
    <w:rsid w:val="00047656"/>
    <w:rsid w:val="00050E94"/>
    <w:rsid w:val="00053A09"/>
    <w:rsid w:val="00055510"/>
    <w:rsid w:val="00056CF0"/>
    <w:rsid w:val="00057878"/>
    <w:rsid w:val="000653F7"/>
    <w:rsid w:val="00081C31"/>
    <w:rsid w:val="00085410"/>
    <w:rsid w:val="000861A6"/>
    <w:rsid w:val="00092420"/>
    <w:rsid w:val="00092FE5"/>
    <w:rsid w:val="000A6FBB"/>
    <w:rsid w:val="000A767B"/>
    <w:rsid w:val="000B02C7"/>
    <w:rsid w:val="000B0EEF"/>
    <w:rsid w:val="000B6569"/>
    <w:rsid w:val="000B682E"/>
    <w:rsid w:val="000C4686"/>
    <w:rsid w:val="000C74ED"/>
    <w:rsid w:val="000D028E"/>
    <w:rsid w:val="000E6FBB"/>
    <w:rsid w:val="000F03DC"/>
    <w:rsid w:val="000F3111"/>
    <w:rsid w:val="000F3BA2"/>
    <w:rsid w:val="000F456E"/>
    <w:rsid w:val="00100680"/>
    <w:rsid w:val="00105968"/>
    <w:rsid w:val="001173C3"/>
    <w:rsid w:val="001175BF"/>
    <w:rsid w:val="00126C4D"/>
    <w:rsid w:val="00130923"/>
    <w:rsid w:val="001414F3"/>
    <w:rsid w:val="00143FCD"/>
    <w:rsid w:val="00162816"/>
    <w:rsid w:val="001637DF"/>
    <w:rsid w:val="001764AB"/>
    <w:rsid w:val="00183990"/>
    <w:rsid w:val="00190523"/>
    <w:rsid w:val="001A08EE"/>
    <w:rsid w:val="001A21F9"/>
    <w:rsid w:val="001B6467"/>
    <w:rsid w:val="001E6B89"/>
    <w:rsid w:val="00200441"/>
    <w:rsid w:val="002016B2"/>
    <w:rsid w:val="002035B1"/>
    <w:rsid w:val="00223219"/>
    <w:rsid w:val="00223EB1"/>
    <w:rsid w:val="00236194"/>
    <w:rsid w:val="00236917"/>
    <w:rsid w:val="0024032E"/>
    <w:rsid w:val="002439F1"/>
    <w:rsid w:val="002508C9"/>
    <w:rsid w:val="00251790"/>
    <w:rsid w:val="00253A0E"/>
    <w:rsid w:val="00261C66"/>
    <w:rsid w:val="00265557"/>
    <w:rsid w:val="00276230"/>
    <w:rsid w:val="0029144C"/>
    <w:rsid w:val="00293094"/>
    <w:rsid w:val="002963AB"/>
    <w:rsid w:val="002A3F96"/>
    <w:rsid w:val="002B06E6"/>
    <w:rsid w:val="002B2447"/>
    <w:rsid w:val="002B3281"/>
    <w:rsid w:val="002B3304"/>
    <w:rsid w:val="002B4E2A"/>
    <w:rsid w:val="002B7D2A"/>
    <w:rsid w:val="002C6745"/>
    <w:rsid w:val="002D01B4"/>
    <w:rsid w:val="002D271F"/>
    <w:rsid w:val="002D3BB0"/>
    <w:rsid w:val="002D40C8"/>
    <w:rsid w:val="002D5705"/>
    <w:rsid w:val="002D6386"/>
    <w:rsid w:val="002E0666"/>
    <w:rsid w:val="002F1C10"/>
    <w:rsid w:val="002F2A39"/>
    <w:rsid w:val="002F2BAE"/>
    <w:rsid w:val="00301B4C"/>
    <w:rsid w:val="00302089"/>
    <w:rsid w:val="00305794"/>
    <w:rsid w:val="00305B35"/>
    <w:rsid w:val="003116D1"/>
    <w:rsid w:val="00313873"/>
    <w:rsid w:val="003139A3"/>
    <w:rsid w:val="00322154"/>
    <w:rsid w:val="003242B9"/>
    <w:rsid w:val="00324E58"/>
    <w:rsid w:val="003253A0"/>
    <w:rsid w:val="003273FB"/>
    <w:rsid w:val="003418C0"/>
    <w:rsid w:val="00341AC9"/>
    <w:rsid w:val="00346F3C"/>
    <w:rsid w:val="003555F5"/>
    <w:rsid w:val="003616B4"/>
    <w:rsid w:val="00366DE5"/>
    <w:rsid w:val="00370F37"/>
    <w:rsid w:val="003837A1"/>
    <w:rsid w:val="00392106"/>
    <w:rsid w:val="003926DB"/>
    <w:rsid w:val="00393C38"/>
    <w:rsid w:val="00395C58"/>
    <w:rsid w:val="003B4EBE"/>
    <w:rsid w:val="003B664E"/>
    <w:rsid w:val="003D67FC"/>
    <w:rsid w:val="003E00B5"/>
    <w:rsid w:val="003F5BBA"/>
    <w:rsid w:val="003F7272"/>
    <w:rsid w:val="00405581"/>
    <w:rsid w:val="00406138"/>
    <w:rsid w:val="00406E5A"/>
    <w:rsid w:val="00417DF0"/>
    <w:rsid w:val="004264F2"/>
    <w:rsid w:val="00431AE1"/>
    <w:rsid w:val="00441119"/>
    <w:rsid w:val="00444B29"/>
    <w:rsid w:val="00444D9A"/>
    <w:rsid w:val="00455760"/>
    <w:rsid w:val="00455B34"/>
    <w:rsid w:val="00461B56"/>
    <w:rsid w:val="00470592"/>
    <w:rsid w:val="0047348C"/>
    <w:rsid w:val="00474EB9"/>
    <w:rsid w:val="0047604B"/>
    <w:rsid w:val="00480942"/>
    <w:rsid w:val="00481745"/>
    <w:rsid w:val="004819C0"/>
    <w:rsid w:val="0048762C"/>
    <w:rsid w:val="0049038D"/>
    <w:rsid w:val="00497DE3"/>
    <w:rsid w:val="004A06B4"/>
    <w:rsid w:val="004A719A"/>
    <w:rsid w:val="004B256F"/>
    <w:rsid w:val="004C5B75"/>
    <w:rsid w:val="004D09D7"/>
    <w:rsid w:val="004D3C3C"/>
    <w:rsid w:val="004D5E43"/>
    <w:rsid w:val="004E1541"/>
    <w:rsid w:val="004E1E0C"/>
    <w:rsid w:val="004E2B1A"/>
    <w:rsid w:val="004E53AA"/>
    <w:rsid w:val="004F30F8"/>
    <w:rsid w:val="004F5669"/>
    <w:rsid w:val="005007D8"/>
    <w:rsid w:val="005113B6"/>
    <w:rsid w:val="00512512"/>
    <w:rsid w:val="005146EF"/>
    <w:rsid w:val="00520C2D"/>
    <w:rsid w:val="0052513D"/>
    <w:rsid w:val="00525C00"/>
    <w:rsid w:val="00531817"/>
    <w:rsid w:val="00540BD9"/>
    <w:rsid w:val="0054253B"/>
    <w:rsid w:val="00543D82"/>
    <w:rsid w:val="00554050"/>
    <w:rsid w:val="00556F06"/>
    <w:rsid w:val="00560CA0"/>
    <w:rsid w:val="005624F3"/>
    <w:rsid w:val="005632AD"/>
    <w:rsid w:val="00570E4A"/>
    <w:rsid w:val="0057453A"/>
    <w:rsid w:val="00575845"/>
    <w:rsid w:val="005811EF"/>
    <w:rsid w:val="00581BC4"/>
    <w:rsid w:val="00595A71"/>
    <w:rsid w:val="00597283"/>
    <w:rsid w:val="005A2690"/>
    <w:rsid w:val="005A6AA3"/>
    <w:rsid w:val="005A74CB"/>
    <w:rsid w:val="005B0878"/>
    <w:rsid w:val="005B6043"/>
    <w:rsid w:val="005C15C0"/>
    <w:rsid w:val="005C7C59"/>
    <w:rsid w:val="005D6406"/>
    <w:rsid w:val="00602320"/>
    <w:rsid w:val="0061028E"/>
    <w:rsid w:val="00610654"/>
    <w:rsid w:val="006208FC"/>
    <w:rsid w:val="006266AF"/>
    <w:rsid w:val="00631ECB"/>
    <w:rsid w:val="00636A85"/>
    <w:rsid w:val="00640614"/>
    <w:rsid w:val="00643BF4"/>
    <w:rsid w:val="00643EF9"/>
    <w:rsid w:val="00646D7B"/>
    <w:rsid w:val="006512B4"/>
    <w:rsid w:val="0067026C"/>
    <w:rsid w:val="0068497E"/>
    <w:rsid w:val="006865DE"/>
    <w:rsid w:val="00690A1C"/>
    <w:rsid w:val="006963A1"/>
    <w:rsid w:val="006A5DA5"/>
    <w:rsid w:val="006A6ABD"/>
    <w:rsid w:val="006A76C2"/>
    <w:rsid w:val="006B1EFD"/>
    <w:rsid w:val="006C499E"/>
    <w:rsid w:val="006D4042"/>
    <w:rsid w:val="006E1035"/>
    <w:rsid w:val="006E16F9"/>
    <w:rsid w:val="006E2D49"/>
    <w:rsid w:val="006E3FD7"/>
    <w:rsid w:val="006E6C38"/>
    <w:rsid w:val="006E730D"/>
    <w:rsid w:val="006F227C"/>
    <w:rsid w:val="006F346A"/>
    <w:rsid w:val="006F3CCC"/>
    <w:rsid w:val="006F4AB2"/>
    <w:rsid w:val="007016E3"/>
    <w:rsid w:val="00702CA5"/>
    <w:rsid w:val="00704E28"/>
    <w:rsid w:val="00711398"/>
    <w:rsid w:val="00715B5D"/>
    <w:rsid w:val="00716CDB"/>
    <w:rsid w:val="0072515F"/>
    <w:rsid w:val="00730C40"/>
    <w:rsid w:val="00733095"/>
    <w:rsid w:val="00740C8B"/>
    <w:rsid w:val="00741767"/>
    <w:rsid w:val="007468C2"/>
    <w:rsid w:val="007468FC"/>
    <w:rsid w:val="00761560"/>
    <w:rsid w:val="0076241D"/>
    <w:rsid w:val="00762607"/>
    <w:rsid w:val="00764625"/>
    <w:rsid w:val="007650F8"/>
    <w:rsid w:val="00773AA3"/>
    <w:rsid w:val="00775992"/>
    <w:rsid w:val="00777DE9"/>
    <w:rsid w:val="00780F00"/>
    <w:rsid w:val="00792CA3"/>
    <w:rsid w:val="007A5DB4"/>
    <w:rsid w:val="007B0390"/>
    <w:rsid w:val="007B2FDD"/>
    <w:rsid w:val="007B310E"/>
    <w:rsid w:val="007B38C0"/>
    <w:rsid w:val="007C11EE"/>
    <w:rsid w:val="007C67B0"/>
    <w:rsid w:val="007D1029"/>
    <w:rsid w:val="007D1210"/>
    <w:rsid w:val="007F22F2"/>
    <w:rsid w:val="007F712A"/>
    <w:rsid w:val="00805BCE"/>
    <w:rsid w:val="008069BA"/>
    <w:rsid w:val="00811BB5"/>
    <w:rsid w:val="008141D6"/>
    <w:rsid w:val="0081715D"/>
    <w:rsid w:val="0082434E"/>
    <w:rsid w:val="00826449"/>
    <w:rsid w:val="008315C9"/>
    <w:rsid w:val="0083468A"/>
    <w:rsid w:val="00842D43"/>
    <w:rsid w:val="00852C26"/>
    <w:rsid w:val="00852D5C"/>
    <w:rsid w:val="00855CB9"/>
    <w:rsid w:val="00856D1C"/>
    <w:rsid w:val="0086423F"/>
    <w:rsid w:val="008664FA"/>
    <w:rsid w:val="00876AC0"/>
    <w:rsid w:val="00877EA6"/>
    <w:rsid w:val="00882398"/>
    <w:rsid w:val="00882662"/>
    <w:rsid w:val="00894F19"/>
    <w:rsid w:val="008A02FE"/>
    <w:rsid w:val="008A07FA"/>
    <w:rsid w:val="008A2376"/>
    <w:rsid w:val="008A382D"/>
    <w:rsid w:val="008A6358"/>
    <w:rsid w:val="008C3832"/>
    <w:rsid w:val="008C3BCF"/>
    <w:rsid w:val="008D0BB9"/>
    <w:rsid w:val="008D2703"/>
    <w:rsid w:val="008F3462"/>
    <w:rsid w:val="008F3483"/>
    <w:rsid w:val="00904FE3"/>
    <w:rsid w:val="00905665"/>
    <w:rsid w:val="009116EA"/>
    <w:rsid w:val="00914D91"/>
    <w:rsid w:val="009164B1"/>
    <w:rsid w:val="00921ADC"/>
    <w:rsid w:val="00927E56"/>
    <w:rsid w:val="00933671"/>
    <w:rsid w:val="00934692"/>
    <w:rsid w:val="00935DA6"/>
    <w:rsid w:val="00942A55"/>
    <w:rsid w:val="0094720E"/>
    <w:rsid w:val="00947E2F"/>
    <w:rsid w:val="009507D5"/>
    <w:rsid w:val="00961F8F"/>
    <w:rsid w:val="00963FC1"/>
    <w:rsid w:val="00966166"/>
    <w:rsid w:val="0097057C"/>
    <w:rsid w:val="00972DD5"/>
    <w:rsid w:val="00972E97"/>
    <w:rsid w:val="00976443"/>
    <w:rsid w:val="00980839"/>
    <w:rsid w:val="00984879"/>
    <w:rsid w:val="00985632"/>
    <w:rsid w:val="00986FAF"/>
    <w:rsid w:val="00991B63"/>
    <w:rsid w:val="009A0643"/>
    <w:rsid w:val="009A0D3F"/>
    <w:rsid w:val="009A1908"/>
    <w:rsid w:val="009A73C0"/>
    <w:rsid w:val="009B031C"/>
    <w:rsid w:val="009B2428"/>
    <w:rsid w:val="009B376A"/>
    <w:rsid w:val="009B5CB7"/>
    <w:rsid w:val="009B7CDA"/>
    <w:rsid w:val="009C20C0"/>
    <w:rsid w:val="009D1605"/>
    <w:rsid w:val="009D454F"/>
    <w:rsid w:val="009D57F5"/>
    <w:rsid w:val="009E6C1D"/>
    <w:rsid w:val="009E6CA6"/>
    <w:rsid w:val="009F00E0"/>
    <w:rsid w:val="009F7437"/>
    <w:rsid w:val="00A02487"/>
    <w:rsid w:val="00A140E1"/>
    <w:rsid w:val="00A16DC9"/>
    <w:rsid w:val="00A2396E"/>
    <w:rsid w:val="00A31242"/>
    <w:rsid w:val="00A34DFF"/>
    <w:rsid w:val="00A35EA3"/>
    <w:rsid w:val="00A52530"/>
    <w:rsid w:val="00A53740"/>
    <w:rsid w:val="00A54AB2"/>
    <w:rsid w:val="00A551BF"/>
    <w:rsid w:val="00A61653"/>
    <w:rsid w:val="00A70524"/>
    <w:rsid w:val="00A73406"/>
    <w:rsid w:val="00A747D7"/>
    <w:rsid w:val="00A8086F"/>
    <w:rsid w:val="00AA423A"/>
    <w:rsid w:val="00AB0AF4"/>
    <w:rsid w:val="00AB51B5"/>
    <w:rsid w:val="00AC282F"/>
    <w:rsid w:val="00AC35BB"/>
    <w:rsid w:val="00AC4B34"/>
    <w:rsid w:val="00AC65DA"/>
    <w:rsid w:val="00AC6CEE"/>
    <w:rsid w:val="00AD43FC"/>
    <w:rsid w:val="00AE7E2C"/>
    <w:rsid w:val="00AF374D"/>
    <w:rsid w:val="00B004DD"/>
    <w:rsid w:val="00B15CA5"/>
    <w:rsid w:val="00B23EFF"/>
    <w:rsid w:val="00B2722A"/>
    <w:rsid w:val="00B325E0"/>
    <w:rsid w:val="00B33404"/>
    <w:rsid w:val="00B34E5F"/>
    <w:rsid w:val="00B35FF7"/>
    <w:rsid w:val="00B410AF"/>
    <w:rsid w:val="00B55B01"/>
    <w:rsid w:val="00B55D81"/>
    <w:rsid w:val="00B618BA"/>
    <w:rsid w:val="00B6402F"/>
    <w:rsid w:val="00B6460D"/>
    <w:rsid w:val="00B66C3E"/>
    <w:rsid w:val="00B6733E"/>
    <w:rsid w:val="00B74F7E"/>
    <w:rsid w:val="00B7683D"/>
    <w:rsid w:val="00B76FA3"/>
    <w:rsid w:val="00B773F4"/>
    <w:rsid w:val="00B808BF"/>
    <w:rsid w:val="00B83EC0"/>
    <w:rsid w:val="00B86CDE"/>
    <w:rsid w:val="00B97D1B"/>
    <w:rsid w:val="00BB2899"/>
    <w:rsid w:val="00BB5E91"/>
    <w:rsid w:val="00BC030D"/>
    <w:rsid w:val="00BC16CC"/>
    <w:rsid w:val="00BC25FD"/>
    <w:rsid w:val="00BC29DD"/>
    <w:rsid w:val="00BD277E"/>
    <w:rsid w:val="00BD609C"/>
    <w:rsid w:val="00BD7F42"/>
    <w:rsid w:val="00BE154D"/>
    <w:rsid w:val="00BE1B51"/>
    <w:rsid w:val="00BE2B14"/>
    <w:rsid w:val="00BE7CB0"/>
    <w:rsid w:val="00BF5E43"/>
    <w:rsid w:val="00C00A8B"/>
    <w:rsid w:val="00C05E74"/>
    <w:rsid w:val="00C10C19"/>
    <w:rsid w:val="00C14E5F"/>
    <w:rsid w:val="00C15FCF"/>
    <w:rsid w:val="00C2068B"/>
    <w:rsid w:val="00C20BD1"/>
    <w:rsid w:val="00C30968"/>
    <w:rsid w:val="00C33586"/>
    <w:rsid w:val="00C44E00"/>
    <w:rsid w:val="00C47E48"/>
    <w:rsid w:val="00C54E11"/>
    <w:rsid w:val="00C5649C"/>
    <w:rsid w:val="00C601ED"/>
    <w:rsid w:val="00C6192A"/>
    <w:rsid w:val="00C62265"/>
    <w:rsid w:val="00C646FC"/>
    <w:rsid w:val="00C7011C"/>
    <w:rsid w:val="00C75486"/>
    <w:rsid w:val="00C75A3D"/>
    <w:rsid w:val="00C7703A"/>
    <w:rsid w:val="00C81EAF"/>
    <w:rsid w:val="00C8202C"/>
    <w:rsid w:val="00C85A29"/>
    <w:rsid w:val="00C92A5B"/>
    <w:rsid w:val="00CA46EC"/>
    <w:rsid w:val="00CA6C70"/>
    <w:rsid w:val="00CB6894"/>
    <w:rsid w:val="00CC1C42"/>
    <w:rsid w:val="00CD6B1D"/>
    <w:rsid w:val="00CE1786"/>
    <w:rsid w:val="00CE77BB"/>
    <w:rsid w:val="00CF4911"/>
    <w:rsid w:val="00D030A7"/>
    <w:rsid w:val="00D1394D"/>
    <w:rsid w:val="00D153AA"/>
    <w:rsid w:val="00D1683D"/>
    <w:rsid w:val="00D25492"/>
    <w:rsid w:val="00D3108D"/>
    <w:rsid w:val="00D34C11"/>
    <w:rsid w:val="00D41B78"/>
    <w:rsid w:val="00D42293"/>
    <w:rsid w:val="00D42AE8"/>
    <w:rsid w:val="00D442AE"/>
    <w:rsid w:val="00D5625D"/>
    <w:rsid w:val="00D564EE"/>
    <w:rsid w:val="00D61449"/>
    <w:rsid w:val="00D633CD"/>
    <w:rsid w:val="00D7126C"/>
    <w:rsid w:val="00D777C9"/>
    <w:rsid w:val="00D83326"/>
    <w:rsid w:val="00D85A53"/>
    <w:rsid w:val="00D865C0"/>
    <w:rsid w:val="00D903FD"/>
    <w:rsid w:val="00D919D9"/>
    <w:rsid w:val="00D94BC5"/>
    <w:rsid w:val="00D96C08"/>
    <w:rsid w:val="00DA5F2A"/>
    <w:rsid w:val="00DB5605"/>
    <w:rsid w:val="00DC361F"/>
    <w:rsid w:val="00DC47F7"/>
    <w:rsid w:val="00DD2FB1"/>
    <w:rsid w:val="00DD6169"/>
    <w:rsid w:val="00DE5F50"/>
    <w:rsid w:val="00DE6DAF"/>
    <w:rsid w:val="00DF2FA8"/>
    <w:rsid w:val="00E06016"/>
    <w:rsid w:val="00E06617"/>
    <w:rsid w:val="00E077F9"/>
    <w:rsid w:val="00E1102E"/>
    <w:rsid w:val="00E11FBF"/>
    <w:rsid w:val="00E24DBD"/>
    <w:rsid w:val="00E32B6D"/>
    <w:rsid w:val="00E366B3"/>
    <w:rsid w:val="00E44672"/>
    <w:rsid w:val="00E51530"/>
    <w:rsid w:val="00E5753D"/>
    <w:rsid w:val="00E57856"/>
    <w:rsid w:val="00E62B11"/>
    <w:rsid w:val="00E65AE3"/>
    <w:rsid w:val="00E70BD9"/>
    <w:rsid w:val="00E70D17"/>
    <w:rsid w:val="00E71DC3"/>
    <w:rsid w:val="00E7363F"/>
    <w:rsid w:val="00E76289"/>
    <w:rsid w:val="00E8481D"/>
    <w:rsid w:val="00E962B3"/>
    <w:rsid w:val="00EB33DD"/>
    <w:rsid w:val="00EB508B"/>
    <w:rsid w:val="00EB682E"/>
    <w:rsid w:val="00EC20BD"/>
    <w:rsid w:val="00EC6258"/>
    <w:rsid w:val="00ED43D2"/>
    <w:rsid w:val="00ED605F"/>
    <w:rsid w:val="00EE01DC"/>
    <w:rsid w:val="00EE3B8C"/>
    <w:rsid w:val="00EE54E7"/>
    <w:rsid w:val="00EF13FC"/>
    <w:rsid w:val="00EF2E17"/>
    <w:rsid w:val="00EF4A38"/>
    <w:rsid w:val="00EF4DE9"/>
    <w:rsid w:val="00EF5E90"/>
    <w:rsid w:val="00F05869"/>
    <w:rsid w:val="00F16519"/>
    <w:rsid w:val="00F166CB"/>
    <w:rsid w:val="00F3128C"/>
    <w:rsid w:val="00F36796"/>
    <w:rsid w:val="00F4045B"/>
    <w:rsid w:val="00F5332B"/>
    <w:rsid w:val="00F5719C"/>
    <w:rsid w:val="00F61352"/>
    <w:rsid w:val="00F651CB"/>
    <w:rsid w:val="00F74080"/>
    <w:rsid w:val="00F82BBC"/>
    <w:rsid w:val="00F83721"/>
    <w:rsid w:val="00F90867"/>
    <w:rsid w:val="00F94417"/>
    <w:rsid w:val="00FA1D74"/>
    <w:rsid w:val="00FA2667"/>
    <w:rsid w:val="00FA2C85"/>
    <w:rsid w:val="00FA690D"/>
    <w:rsid w:val="00FB10CB"/>
    <w:rsid w:val="00FB36D4"/>
    <w:rsid w:val="00FC182F"/>
    <w:rsid w:val="00FC1B3F"/>
    <w:rsid w:val="00FC55DB"/>
    <w:rsid w:val="00FD2030"/>
    <w:rsid w:val="00FD2171"/>
    <w:rsid w:val="00FD2715"/>
    <w:rsid w:val="00FD3A10"/>
    <w:rsid w:val="00FD50E4"/>
    <w:rsid w:val="00FE09B3"/>
    <w:rsid w:val="00FE47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07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3FB"/>
  </w:style>
  <w:style w:type="paragraph" w:styleId="Heading1">
    <w:name w:val="heading 1"/>
    <w:basedOn w:val="Normal"/>
    <w:next w:val="Normal"/>
    <w:link w:val="Heading1Char"/>
    <w:uiPriority w:val="9"/>
    <w:qFormat/>
    <w:rsid w:val="00597283"/>
    <w:pPr>
      <w:spacing w:before="120" w:after="120" w:line="240" w:lineRule="auto"/>
      <w:contextualSpacing/>
      <w:outlineLvl w:val="0"/>
    </w:pPr>
    <w:rPr>
      <w:rFonts w:ascii="Calibri" w:eastAsia="Times New Roman" w:hAnsi="Calibri" w:cstheme="majorBidi"/>
      <w:noProof/>
      <w:color w:val="1D4289"/>
      <w:sz w:val="48"/>
      <w:szCs w:val="48"/>
    </w:rPr>
  </w:style>
  <w:style w:type="paragraph" w:styleId="Heading2">
    <w:name w:val="heading 2"/>
    <w:basedOn w:val="Normal"/>
    <w:next w:val="Normal"/>
    <w:link w:val="Heading2Char"/>
    <w:uiPriority w:val="9"/>
    <w:unhideWhenUsed/>
    <w:qFormat/>
    <w:rsid w:val="007B0390"/>
    <w:pPr>
      <w:spacing w:before="200" w:after="0"/>
      <w:outlineLvl w:val="1"/>
    </w:pPr>
    <w:rPr>
      <w:rFonts w:ascii="Calibri" w:eastAsiaTheme="majorEastAsia" w:hAnsi="Calibri" w:cstheme="majorBidi"/>
      <w:b/>
      <w:bCs/>
      <w:color w:val="646363"/>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597283"/>
    <w:rPr>
      <w:rFonts w:ascii="Calibri" w:eastAsia="Times New Roman" w:hAnsi="Calibri" w:cstheme="majorBidi"/>
      <w:noProof/>
      <w:color w:val="1D4289"/>
      <w:sz w:val="48"/>
      <w:szCs w:val="48"/>
    </w:rPr>
  </w:style>
  <w:style w:type="character" w:customStyle="1" w:styleId="Heading2Char">
    <w:name w:val="Heading 2 Char"/>
    <w:basedOn w:val="DefaultParagraphFont"/>
    <w:link w:val="Heading2"/>
    <w:uiPriority w:val="9"/>
    <w:rsid w:val="007B0390"/>
    <w:rPr>
      <w:rFonts w:ascii="Calibri" w:eastAsiaTheme="majorEastAsia" w:hAnsi="Calibri" w:cstheme="majorBidi"/>
      <w:b/>
      <w:bCs/>
      <w:color w:val="646363"/>
      <w:sz w:val="28"/>
      <w:szCs w:val="26"/>
      <w:lang w:val="en"/>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qFormat/>
    <w:rsid w:val="00CA46EC"/>
    <w:pPr>
      <w:numPr>
        <w:numId w:val="2"/>
      </w:numPr>
      <w:spacing w:after="120"/>
      <w:ind w:left="369" w:hanging="369"/>
      <w:contextualSpacing/>
    </w:pPr>
  </w:style>
  <w:style w:type="paragraph" w:styleId="ListBullet2">
    <w:name w:val="List Bullet 2"/>
    <w:basedOn w:val="Normal"/>
    <w:uiPriority w:val="99"/>
    <w:unhideWhenUsed/>
    <w:qFormat/>
    <w:rsid w:val="00CA46EC"/>
    <w:pPr>
      <w:numPr>
        <w:ilvl w:val="1"/>
        <w:numId w:val="2"/>
      </w:numPr>
      <w:spacing w:after="120"/>
      <w:ind w:left="766" w:hanging="369"/>
      <w:contextualSpacing/>
    </w:pPr>
  </w:style>
  <w:style w:type="paragraph" w:styleId="ListBullet3">
    <w:name w:val="List Bullet 3"/>
    <w:basedOn w:val="Normal"/>
    <w:uiPriority w:val="99"/>
    <w:unhideWhenUsed/>
    <w:qFormat/>
    <w:rsid w:val="00CA46EC"/>
    <w:pPr>
      <w:numPr>
        <w:ilvl w:val="2"/>
        <w:numId w:val="2"/>
      </w:numPr>
      <w:spacing w:after="120"/>
      <w:ind w:left="1163" w:hanging="369"/>
      <w:contextualSpacing/>
    </w:pPr>
  </w:style>
  <w:style w:type="paragraph" w:styleId="ListBullet4">
    <w:name w:val="List Bullet 4"/>
    <w:basedOn w:val="Normal"/>
    <w:uiPriority w:val="99"/>
    <w:unhideWhenUsed/>
    <w:qFormat/>
    <w:rsid w:val="00CA46EC"/>
    <w:pPr>
      <w:numPr>
        <w:ilvl w:val="3"/>
        <w:numId w:val="2"/>
      </w:numPr>
      <w:spacing w:after="120"/>
      <w:ind w:left="1503" w:hanging="369"/>
      <w:contextualSpacing/>
    </w:pPr>
  </w:style>
  <w:style w:type="table" w:styleId="TableGrid">
    <w:name w:val="Table Grid"/>
    <w:aliases w:val="NRSB Table"/>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852D5C"/>
    <w:pPr>
      <w:tabs>
        <w:tab w:val="right" w:leader="dot" w:pos="9038"/>
      </w:tabs>
      <w:spacing w:after="100"/>
    </w:pPr>
  </w:style>
  <w:style w:type="paragraph" w:styleId="Caption">
    <w:name w:val="caption"/>
    <w:basedOn w:val="Heading4"/>
    <w:next w:val="Normal"/>
    <w:uiPriority w:val="16"/>
    <w:unhideWhenUsed/>
    <w:qFormat/>
    <w:rsid w:val="00B2722A"/>
    <w:rPr>
      <w:i w:val="0"/>
    </w:rPr>
  </w:style>
  <w:style w:type="paragraph" w:customStyle="1" w:styleId="Source">
    <w:name w:val="Source"/>
    <w:basedOn w:val="Normal"/>
    <w:qFormat/>
    <w:rsid w:val="007B0390"/>
    <w:rPr>
      <w:rFonts w:cstheme="minorHAnsi"/>
      <w:bCs/>
      <w:sz w:val="16"/>
      <w:szCs w:val="16"/>
    </w:rPr>
  </w:style>
  <w:style w:type="paragraph" w:customStyle="1" w:styleId="IntroText">
    <w:name w:val="Intro Text"/>
    <w:basedOn w:val="Normal"/>
    <w:qFormat/>
    <w:rsid w:val="00E62B11"/>
    <w:rPr>
      <w:sz w:val="28"/>
    </w:rPr>
  </w:style>
  <w:style w:type="character" w:styleId="CommentReference">
    <w:name w:val="annotation reference"/>
    <w:basedOn w:val="DefaultParagraphFont"/>
    <w:uiPriority w:val="99"/>
    <w:semiHidden/>
    <w:unhideWhenUsed/>
    <w:rsid w:val="00F94417"/>
    <w:rPr>
      <w:sz w:val="16"/>
      <w:szCs w:val="16"/>
    </w:rPr>
  </w:style>
  <w:style w:type="paragraph" w:styleId="CommentText">
    <w:name w:val="annotation text"/>
    <w:basedOn w:val="Normal"/>
    <w:link w:val="CommentTextChar"/>
    <w:uiPriority w:val="99"/>
    <w:semiHidden/>
    <w:unhideWhenUsed/>
    <w:rsid w:val="00F94417"/>
    <w:pPr>
      <w:spacing w:line="240" w:lineRule="auto"/>
    </w:pPr>
    <w:rPr>
      <w:sz w:val="20"/>
      <w:szCs w:val="20"/>
    </w:rPr>
  </w:style>
  <w:style w:type="character" w:customStyle="1" w:styleId="CommentTextChar">
    <w:name w:val="Comment Text Char"/>
    <w:basedOn w:val="DefaultParagraphFont"/>
    <w:link w:val="CommentText"/>
    <w:uiPriority w:val="99"/>
    <w:semiHidden/>
    <w:rsid w:val="00F94417"/>
    <w:rPr>
      <w:sz w:val="20"/>
      <w:szCs w:val="20"/>
    </w:rPr>
  </w:style>
  <w:style w:type="paragraph" w:styleId="CommentSubject">
    <w:name w:val="annotation subject"/>
    <w:basedOn w:val="CommentText"/>
    <w:next w:val="CommentText"/>
    <w:link w:val="CommentSubjectChar"/>
    <w:uiPriority w:val="99"/>
    <w:semiHidden/>
    <w:unhideWhenUsed/>
    <w:rsid w:val="00F94417"/>
    <w:rPr>
      <w:b/>
      <w:bCs/>
    </w:rPr>
  </w:style>
  <w:style w:type="character" w:customStyle="1" w:styleId="CommentSubjectChar">
    <w:name w:val="Comment Subject Char"/>
    <w:basedOn w:val="CommentTextChar"/>
    <w:link w:val="CommentSubject"/>
    <w:uiPriority w:val="99"/>
    <w:semiHidden/>
    <w:rsid w:val="00F94417"/>
    <w:rPr>
      <w:b/>
      <w:bCs/>
      <w:sz w:val="20"/>
      <w:szCs w:val="20"/>
    </w:rPr>
  </w:style>
  <w:style w:type="character" w:styleId="FollowedHyperlink">
    <w:name w:val="FollowedHyperlink"/>
    <w:basedOn w:val="DefaultParagraphFont"/>
    <w:uiPriority w:val="99"/>
    <w:semiHidden/>
    <w:unhideWhenUsed/>
    <w:rsid w:val="00942A55"/>
    <w:rPr>
      <w:color w:val="000000" w:themeColor="followedHyperlink"/>
      <w:u w:val="single"/>
    </w:rPr>
  </w:style>
  <w:style w:type="character" w:styleId="UnresolvedMention">
    <w:name w:val="Unresolved Mention"/>
    <w:basedOn w:val="DefaultParagraphFont"/>
    <w:uiPriority w:val="99"/>
    <w:semiHidden/>
    <w:unhideWhenUsed/>
    <w:rsid w:val="00811BB5"/>
    <w:rPr>
      <w:color w:val="605E5C"/>
      <w:shd w:val="clear" w:color="auto" w:fill="E1DFDD"/>
    </w:rPr>
  </w:style>
  <w:style w:type="paragraph" w:styleId="Index1">
    <w:name w:val="index 1"/>
    <w:basedOn w:val="Normal"/>
    <w:next w:val="Normal"/>
    <w:autoRedefine/>
    <w:uiPriority w:val="99"/>
    <w:unhideWhenUsed/>
    <w:rsid w:val="00715B5D"/>
    <w:pPr>
      <w:spacing w:after="0" w:line="240" w:lineRule="auto"/>
      <w:ind w:left="220" w:hanging="220"/>
    </w:pPr>
  </w:style>
  <w:style w:type="paragraph" w:styleId="PlainText">
    <w:name w:val="Plain Text"/>
    <w:basedOn w:val="Normal"/>
    <w:link w:val="PlainTextChar"/>
    <w:uiPriority w:val="99"/>
    <w:unhideWhenUsed/>
    <w:rsid w:val="00715B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5B5D"/>
    <w:rPr>
      <w:rFonts w:ascii="Consolas" w:hAnsi="Consolas"/>
      <w:sz w:val="21"/>
      <w:szCs w:val="21"/>
    </w:rPr>
  </w:style>
  <w:style w:type="paragraph" w:styleId="FootnoteText">
    <w:name w:val="footnote text"/>
    <w:basedOn w:val="Normal"/>
    <w:link w:val="FootnoteTextChar"/>
    <w:uiPriority w:val="99"/>
    <w:qFormat/>
    <w:rsid w:val="009B7CDA"/>
    <w:pPr>
      <w:spacing w:before="120" w:after="120" w:line="240" w:lineRule="auto"/>
    </w:pPr>
    <w:rPr>
      <w:rFonts w:ascii="Calibri" w:eastAsiaTheme="minorHAnsi" w:hAnsi="Calibri"/>
      <w:sz w:val="18"/>
      <w:szCs w:val="20"/>
    </w:rPr>
  </w:style>
  <w:style w:type="character" w:customStyle="1" w:styleId="FootnoteTextChar">
    <w:name w:val="Footnote Text Char"/>
    <w:basedOn w:val="DefaultParagraphFont"/>
    <w:link w:val="FootnoteText"/>
    <w:uiPriority w:val="99"/>
    <w:rsid w:val="009B7CDA"/>
    <w:rPr>
      <w:rFonts w:ascii="Calibri" w:eastAsiaTheme="minorHAnsi" w:hAnsi="Calibri"/>
      <w:sz w:val="18"/>
      <w:szCs w:val="20"/>
    </w:rPr>
  </w:style>
  <w:style w:type="character" w:styleId="FootnoteReference">
    <w:name w:val="footnote reference"/>
    <w:basedOn w:val="DefaultParagraphFont"/>
    <w:uiPriority w:val="99"/>
    <w:unhideWhenUsed/>
    <w:rsid w:val="009B7CDA"/>
    <w:rPr>
      <w:vertAlign w:val="superscript"/>
    </w:rPr>
  </w:style>
  <w:style w:type="paragraph" w:customStyle="1" w:styleId="Normal-Centred">
    <w:name w:val="Normal - Centred"/>
    <w:basedOn w:val="Normal"/>
    <w:qFormat/>
    <w:rsid w:val="009B7CDA"/>
    <w:pPr>
      <w:spacing w:before="120" w:after="120" w:line="240" w:lineRule="auto"/>
      <w:jc w:val="center"/>
    </w:pPr>
    <w:rPr>
      <w:rFonts w:ascii="Calibri" w:eastAsiaTheme="minorHAnsi" w:hAnsi="Calibri"/>
    </w:rPr>
  </w:style>
  <w:style w:type="paragraph" w:customStyle="1" w:styleId="Normal-AfterTableFigure">
    <w:name w:val="Normal - After Table/Figure"/>
    <w:basedOn w:val="Normal"/>
    <w:qFormat/>
    <w:rsid w:val="009B7CDA"/>
    <w:pPr>
      <w:spacing w:before="240" w:after="120" w:line="259" w:lineRule="auto"/>
    </w:pPr>
    <w:rPr>
      <w:rFonts w:ascii="Calibri" w:eastAsiaTheme="minorHAnsi" w:hAnsi="Calibri"/>
    </w:rPr>
  </w:style>
  <w:style w:type="table" w:customStyle="1" w:styleId="NRSBTable1">
    <w:name w:val="NRSB Table1"/>
    <w:basedOn w:val="TableNormal"/>
    <w:next w:val="TableGrid"/>
    <w:rsid w:val="003273FB"/>
    <w:pPr>
      <w:spacing w:after="40" w:line="240" w:lineRule="auto"/>
    </w:pPr>
    <w:rPr>
      <w:rFonts w:ascii="Calibri" w:eastAsia="Calibri" w:hAnsi="Calibri" w:cs="Times New Roman"/>
    </w:rPr>
    <w:tblPr>
      <w:tblStyleRowBandSize w:val="1"/>
      <w:tblInd w:w="0" w:type="nil"/>
      <w:tblCellMar>
        <w:top w:w="45" w:type="dxa"/>
      </w:tblCellMar>
    </w:tblPr>
    <w:tcPr>
      <w:vAlign w:val="center"/>
    </w:tcPr>
    <w:tblStylePr w:type="firstRow">
      <w:pPr>
        <w:jc w:val="left"/>
      </w:pPr>
      <w:rPr>
        <w:rFonts w:ascii="Calibri" w:hAnsi="Calibri" w:cs="Calibri" w:hint="default"/>
        <w:b/>
        <w:color w:val="FFFFFF"/>
        <w:sz w:val="24"/>
        <w:szCs w:val="24"/>
      </w:rPr>
      <w:tblPr/>
      <w:tcPr>
        <w:shd w:val="clear" w:color="auto" w:fill="0F294C"/>
      </w:tcPr>
    </w:tblStylePr>
    <w:tblStylePr w:type="lastRow">
      <w:tblPr/>
      <w:tcPr>
        <w:tcBorders>
          <w:bottom w:val="single" w:sz="4" w:space="0" w:color="0F294C"/>
        </w:tcBorders>
      </w:tcPr>
    </w:tblStylePr>
    <w:tblStylePr w:type="band1Horz">
      <w:tblPr/>
      <w:tcPr>
        <w:shd w:val="clear" w:color="auto" w:fill="D7E0F1"/>
      </w:tcPr>
    </w:tblStylePr>
  </w:style>
  <w:style w:type="table" w:customStyle="1" w:styleId="PullOutBox11">
    <w:name w:val="Pull Out Box 11"/>
    <w:basedOn w:val="TableNormal"/>
    <w:uiPriority w:val="99"/>
    <w:rsid w:val="003273FB"/>
    <w:pPr>
      <w:spacing w:before="120" w:after="0" w:line="240" w:lineRule="auto"/>
    </w:pPr>
    <w:rPr>
      <w:rFonts w:ascii="Calibri" w:eastAsia="Calibri" w:hAnsi="Calibri" w:cs="Times New Roman"/>
    </w:rPr>
    <w:tblPr>
      <w:tblInd w:w="0" w:type="nil"/>
    </w:tblPr>
    <w:tcPr>
      <w:shd w:val="clear" w:color="auto" w:fill="E3E8F4"/>
    </w:tcPr>
  </w:style>
  <w:style w:type="table" w:customStyle="1" w:styleId="PullOutBox1">
    <w:name w:val="Pull Out Box 1"/>
    <w:basedOn w:val="TableNormal"/>
    <w:uiPriority w:val="99"/>
    <w:rsid w:val="009B7CDA"/>
    <w:pPr>
      <w:spacing w:before="120" w:after="0" w:line="240" w:lineRule="auto"/>
    </w:pPr>
    <w:rPr>
      <w:rFonts w:eastAsiaTheme="minorHAnsi"/>
    </w:rPr>
    <w:tblPr/>
    <w:tcPr>
      <w:shd w:val="clear" w:color="auto" w:fill="E3E8F4"/>
    </w:tcPr>
  </w:style>
  <w:style w:type="paragraph" w:customStyle="1" w:styleId="BoxHeading-Finding">
    <w:name w:val="Box Heading - Finding"/>
    <w:basedOn w:val="Normal"/>
    <w:autoRedefine/>
    <w:rsid w:val="009B7CDA"/>
    <w:pPr>
      <w:keepNext/>
      <w:keepLines/>
      <w:spacing w:before="120" w:after="40" w:line="240" w:lineRule="auto"/>
    </w:pPr>
    <w:rPr>
      <w:rFonts w:ascii="Calibri" w:eastAsiaTheme="majorEastAsia" w:hAnsi="Calibri" w:cstheme="majorBidi"/>
      <w:b/>
      <w:color w:val="000000" w:themeColor="text1"/>
      <w:sz w:val="26"/>
      <w:szCs w:val="26"/>
    </w:rPr>
  </w:style>
  <w:style w:type="paragraph" w:customStyle="1" w:styleId="BoxHeading-Recommendation">
    <w:name w:val="Box Heading - Recommendation"/>
    <w:qFormat/>
    <w:rsid w:val="009B7CDA"/>
    <w:pPr>
      <w:numPr>
        <w:numId w:val="4"/>
      </w:numPr>
      <w:spacing w:before="120" w:after="0" w:line="240" w:lineRule="auto"/>
    </w:pPr>
    <w:rPr>
      <w:rFonts w:ascii="Calibri" w:eastAsiaTheme="majorEastAsia" w:hAnsi="Calibri" w:cstheme="majorBidi"/>
      <w:b/>
      <w:color w:val="000000" w:themeColor="text1"/>
      <w:sz w:val="26"/>
      <w:szCs w:val="26"/>
    </w:rPr>
  </w:style>
  <w:style w:type="paragraph" w:customStyle="1" w:styleId="Notes">
    <w:name w:val="Notes"/>
    <w:basedOn w:val="Source"/>
    <w:qFormat/>
    <w:rsid w:val="009B7CDA"/>
    <w:pPr>
      <w:pBdr>
        <w:bottom w:val="single" w:sz="4" w:space="6" w:color="auto"/>
      </w:pBdr>
      <w:tabs>
        <w:tab w:val="left" w:pos="590"/>
      </w:tabs>
      <w:spacing w:before="120" w:after="120" w:line="259" w:lineRule="auto"/>
      <w:ind w:left="590" w:hanging="590"/>
    </w:pPr>
    <w:rPr>
      <w:rFonts w:ascii="Calibri" w:eastAsiaTheme="minorHAnsi" w:hAnsi="Calibri" w:cstheme="minorBidi"/>
      <w:b/>
      <w:sz w:val="18"/>
      <w:szCs w:val="22"/>
    </w:rPr>
  </w:style>
  <w:style w:type="table" w:customStyle="1" w:styleId="PullOutBox32">
    <w:name w:val="Pull Out Box 32"/>
    <w:basedOn w:val="TableNormal"/>
    <w:uiPriority w:val="99"/>
    <w:rsid w:val="009B7CDA"/>
    <w:pPr>
      <w:spacing w:after="0" w:line="240" w:lineRule="auto"/>
    </w:pPr>
    <w:rPr>
      <w:rFonts w:eastAsiaTheme="minorHAnsi"/>
    </w:rPr>
    <w:tblPr/>
    <w:tcPr>
      <w:shd w:val="clear" w:color="auto" w:fill="ECECEC"/>
    </w:tcPr>
  </w:style>
  <w:style w:type="table" w:customStyle="1" w:styleId="PullOutBox22">
    <w:name w:val="Pull Out Box 22"/>
    <w:basedOn w:val="TableNormal"/>
    <w:uiPriority w:val="99"/>
    <w:rsid w:val="009B7CDA"/>
    <w:pPr>
      <w:spacing w:after="0" w:line="240" w:lineRule="auto"/>
    </w:pPr>
    <w:rPr>
      <w:rFonts w:eastAsiaTheme="minorHAnsi"/>
    </w:rPr>
    <w:tblPr/>
    <w:tcPr>
      <w:shd w:val="clear" w:color="auto" w:fill="F8E7DC"/>
    </w:tcPr>
  </w:style>
  <w:style w:type="paragraph" w:customStyle="1" w:styleId="ListBullet2-Pulloutbox">
    <w:name w:val="List Bullet 2 - Pullout box"/>
    <w:basedOn w:val="ListBullet2"/>
    <w:qFormat/>
    <w:rsid w:val="009B7CDA"/>
    <w:pPr>
      <w:numPr>
        <w:ilvl w:val="0"/>
        <w:numId w:val="0"/>
      </w:numPr>
      <w:tabs>
        <w:tab w:val="left" w:pos="567"/>
      </w:tabs>
      <w:spacing w:after="160" w:line="240" w:lineRule="auto"/>
      <w:ind w:left="568" w:hanging="284"/>
    </w:pPr>
    <w:rPr>
      <w:rFonts w:ascii="Calibri" w:eastAsiaTheme="minorHAnsi" w:hAnsi="Calibri"/>
    </w:rPr>
  </w:style>
  <w:style w:type="paragraph" w:customStyle="1" w:styleId="BoxHeading-Box">
    <w:name w:val="Box Heading - Box"/>
    <w:basedOn w:val="BoxHeading-Finding"/>
    <w:qFormat/>
    <w:rsid w:val="009B7CDA"/>
  </w:style>
  <w:style w:type="paragraph" w:customStyle="1" w:styleId="Normal-Pulloutboxlast">
    <w:name w:val="Normal - Pullout box last"/>
    <w:basedOn w:val="Normal"/>
    <w:qFormat/>
    <w:rsid w:val="009B7CDA"/>
    <w:pPr>
      <w:spacing w:before="120" w:after="160" w:line="240" w:lineRule="auto"/>
    </w:pPr>
    <w:rPr>
      <w:rFonts w:ascii="Calibri" w:eastAsiaTheme="minorHAnsi" w:hAnsi="Calibri"/>
    </w:rPr>
  </w:style>
  <w:style w:type="paragraph" w:customStyle="1" w:styleId="ListBullet-Pulloutbox">
    <w:name w:val="List Bullet - Pullout box"/>
    <w:basedOn w:val="ListBullet"/>
    <w:qFormat/>
    <w:rsid w:val="009B7CDA"/>
    <w:pPr>
      <w:tabs>
        <w:tab w:val="num" w:pos="284"/>
      </w:tabs>
      <w:spacing w:before="120" w:after="160" w:line="240" w:lineRule="auto"/>
      <w:ind w:left="284" w:hanging="284"/>
    </w:pPr>
    <w:rPr>
      <w:rFonts w:ascii="Calibri" w:eastAsiaTheme="minorHAnsi" w:hAnsi="Calibri"/>
      <w:noProof/>
    </w:rPr>
  </w:style>
  <w:style w:type="table" w:customStyle="1" w:styleId="PullOutBox321">
    <w:name w:val="Pull Out Box 321"/>
    <w:basedOn w:val="TableNormal"/>
    <w:uiPriority w:val="99"/>
    <w:rsid w:val="003273FB"/>
    <w:pPr>
      <w:spacing w:after="0" w:line="240" w:lineRule="auto"/>
    </w:pPr>
    <w:rPr>
      <w:rFonts w:ascii="Calibri" w:eastAsia="Calibri" w:hAnsi="Calibri" w:cs="Times New Roman"/>
    </w:rPr>
    <w:tblPr>
      <w:tblInd w:w="0" w:type="nil"/>
    </w:tblPr>
    <w:tcPr>
      <w:shd w:val="clear" w:color="auto" w:fill="ECECEC"/>
    </w:tcPr>
  </w:style>
  <w:style w:type="table" w:customStyle="1" w:styleId="PullOutBox221">
    <w:name w:val="Pull Out Box 221"/>
    <w:basedOn w:val="TableNormal"/>
    <w:uiPriority w:val="99"/>
    <w:rsid w:val="003273FB"/>
    <w:pPr>
      <w:spacing w:after="0" w:line="240" w:lineRule="auto"/>
    </w:pPr>
    <w:rPr>
      <w:rFonts w:ascii="Calibri" w:eastAsia="Calibri" w:hAnsi="Calibri" w:cs="Times New Roman"/>
    </w:rPr>
    <w:tblPr>
      <w:tblInd w:w="0" w:type="nil"/>
    </w:tblPr>
    <w:tcPr>
      <w:shd w:val="clear" w:color="auto" w:fill="F8E7DC"/>
    </w:tcPr>
  </w:style>
  <w:style w:type="paragraph" w:customStyle="1" w:styleId="Tableheader">
    <w:name w:val="Table header"/>
    <w:basedOn w:val="Normal"/>
    <w:qFormat/>
    <w:rsid w:val="003273FB"/>
    <w:pPr>
      <w:spacing w:before="120" w:after="40" w:line="240" w:lineRule="auto"/>
    </w:pPr>
    <w:rPr>
      <w:rFonts w:ascii="Calibri" w:eastAsia="Calibri" w:hAnsi="Calibri" w:cs="Times New Roman"/>
      <w:b/>
      <w:color w:val="FFFFFF"/>
      <w:sz w:val="24"/>
      <w:szCs w:val="24"/>
    </w:rPr>
  </w:style>
  <w:style w:type="paragraph" w:customStyle="1" w:styleId="TableBody">
    <w:name w:val="Table Body"/>
    <w:basedOn w:val="Normal"/>
    <w:qFormat/>
    <w:rsid w:val="003273FB"/>
    <w:pPr>
      <w:spacing w:before="120" w:after="40" w:line="240" w:lineRule="auto"/>
    </w:pPr>
    <w:rPr>
      <w:rFonts w:ascii="Calibri" w:eastAsia="Calibri" w:hAnsi="Calibri" w:cs="Times New Roman"/>
    </w:rPr>
  </w:style>
  <w:style w:type="table" w:customStyle="1" w:styleId="TableGrid1">
    <w:name w:val="Table Grid1"/>
    <w:basedOn w:val="TableNormal"/>
    <w:uiPriority w:val="59"/>
    <w:rsid w:val="00D61449"/>
    <w:pPr>
      <w:spacing w:after="0" w:line="240" w:lineRule="auto"/>
    </w:pPr>
    <w:rPr>
      <w:rFonts w:eastAsiaTheme="minorHAnsi"/>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locked/>
    <w:rsid w:val="00B33404"/>
  </w:style>
  <w:style w:type="paragraph" w:styleId="Revision">
    <w:name w:val="Revision"/>
    <w:hidden/>
    <w:uiPriority w:val="99"/>
    <w:semiHidden/>
    <w:rsid w:val="00BB28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57762607">
      <w:bodyDiv w:val="1"/>
      <w:marLeft w:val="0"/>
      <w:marRight w:val="0"/>
      <w:marTop w:val="0"/>
      <w:marBottom w:val="0"/>
      <w:divBdr>
        <w:top w:val="none" w:sz="0" w:space="0" w:color="auto"/>
        <w:left w:val="none" w:sz="0" w:space="0" w:color="auto"/>
        <w:bottom w:val="none" w:sz="0" w:space="0" w:color="auto"/>
        <w:right w:val="none" w:sz="0" w:space="0" w:color="auto"/>
      </w:divBdr>
    </w:div>
    <w:div w:id="416292422">
      <w:bodyDiv w:val="1"/>
      <w:marLeft w:val="0"/>
      <w:marRight w:val="0"/>
      <w:marTop w:val="0"/>
      <w:marBottom w:val="0"/>
      <w:divBdr>
        <w:top w:val="none" w:sz="0" w:space="0" w:color="auto"/>
        <w:left w:val="none" w:sz="0" w:space="0" w:color="auto"/>
        <w:bottom w:val="none" w:sz="0" w:space="0" w:color="auto"/>
        <w:right w:val="none" w:sz="0" w:space="0" w:color="auto"/>
      </w:divBdr>
    </w:div>
    <w:div w:id="533228127">
      <w:bodyDiv w:val="1"/>
      <w:marLeft w:val="0"/>
      <w:marRight w:val="0"/>
      <w:marTop w:val="0"/>
      <w:marBottom w:val="0"/>
      <w:divBdr>
        <w:top w:val="none" w:sz="0" w:space="0" w:color="auto"/>
        <w:left w:val="none" w:sz="0" w:space="0" w:color="auto"/>
        <w:bottom w:val="none" w:sz="0" w:space="0" w:color="auto"/>
        <w:right w:val="none" w:sz="0" w:space="0" w:color="auto"/>
      </w:divBdr>
    </w:div>
    <w:div w:id="537740695">
      <w:bodyDiv w:val="1"/>
      <w:marLeft w:val="0"/>
      <w:marRight w:val="0"/>
      <w:marTop w:val="0"/>
      <w:marBottom w:val="0"/>
      <w:divBdr>
        <w:top w:val="none" w:sz="0" w:space="0" w:color="auto"/>
        <w:left w:val="none" w:sz="0" w:space="0" w:color="auto"/>
        <w:bottom w:val="none" w:sz="0" w:space="0" w:color="auto"/>
        <w:right w:val="none" w:sz="0" w:space="0" w:color="auto"/>
      </w:divBdr>
      <w:divsChild>
        <w:div w:id="1823622720">
          <w:marLeft w:val="0"/>
          <w:marRight w:val="0"/>
          <w:marTop w:val="0"/>
          <w:marBottom w:val="0"/>
          <w:divBdr>
            <w:top w:val="none" w:sz="0" w:space="0" w:color="auto"/>
            <w:left w:val="none" w:sz="0" w:space="0" w:color="auto"/>
            <w:bottom w:val="none" w:sz="0" w:space="0" w:color="auto"/>
            <w:right w:val="none" w:sz="0" w:space="0" w:color="auto"/>
          </w:divBdr>
          <w:divsChild>
            <w:div w:id="1199856769">
              <w:marLeft w:val="0"/>
              <w:marRight w:val="0"/>
              <w:marTop w:val="0"/>
              <w:marBottom w:val="0"/>
              <w:divBdr>
                <w:top w:val="none" w:sz="0" w:space="0" w:color="auto"/>
                <w:left w:val="none" w:sz="0" w:space="0" w:color="auto"/>
                <w:bottom w:val="none" w:sz="0" w:space="0" w:color="auto"/>
                <w:right w:val="none" w:sz="0" w:space="0" w:color="auto"/>
              </w:divBdr>
              <w:divsChild>
                <w:div w:id="402024756">
                  <w:marLeft w:val="0"/>
                  <w:marRight w:val="0"/>
                  <w:marTop w:val="0"/>
                  <w:marBottom w:val="0"/>
                  <w:divBdr>
                    <w:top w:val="none" w:sz="0" w:space="0" w:color="auto"/>
                    <w:left w:val="none" w:sz="0" w:space="0" w:color="auto"/>
                    <w:bottom w:val="none" w:sz="0" w:space="0" w:color="auto"/>
                    <w:right w:val="none" w:sz="0" w:space="0" w:color="auto"/>
                  </w:divBdr>
                  <w:divsChild>
                    <w:div w:id="1062220661">
                      <w:marLeft w:val="0"/>
                      <w:marRight w:val="0"/>
                      <w:marTop w:val="0"/>
                      <w:marBottom w:val="0"/>
                      <w:divBdr>
                        <w:top w:val="none" w:sz="0" w:space="0" w:color="auto"/>
                        <w:left w:val="none" w:sz="0" w:space="0" w:color="auto"/>
                        <w:bottom w:val="none" w:sz="0" w:space="0" w:color="auto"/>
                        <w:right w:val="none" w:sz="0" w:space="0" w:color="auto"/>
                      </w:divBdr>
                      <w:divsChild>
                        <w:div w:id="2623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5972">
                  <w:marLeft w:val="0"/>
                  <w:marRight w:val="0"/>
                  <w:marTop w:val="0"/>
                  <w:marBottom w:val="0"/>
                  <w:divBdr>
                    <w:top w:val="none" w:sz="0" w:space="0" w:color="auto"/>
                    <w:left w:val="none" w:sz="0" w:space="0" w:color="auto"/>
                    <w:bottom w:val="none" w:sz="0" w:space="0" w:color="auto"/>
                    <w:right w:val="none" w:sz="0" w:space="0" w:color="auto"/>
                  </w:divBdr>
                  <w:divsChild>
                    <w:div w:id="699937031">
                      <w:marLeft w:val="0"/>
                      <w:marRight w:val="0"/>
                      <w:marTop w:val="0"/>
                      <w:marBottom w:val="0"/>
                      <w:divBdr>
                        <w:top w:val="none" w:sz="0" w:space="0" w:color="auto"/>
                        <w:left w:val="none" w:sz="0" w:space="0" w:color="auto"/>
                        <w:bottom w:val="none" w:sz="0" w:space="0" w:color="auto"/>
                        <w:right w:val="none" w:sz="0" w:space="0" w:color="auto"/>
                      </w:divBdr>
                      <w:divsChild>
                        <w:div w:id="1993413714">
                          <w:marLeft w:val="0"/>
                          <w:marRight w:val="0"/>
                          <w:marTop w:val="0"/>
                          <w:marBottom w:val="0"/>
                          <w:divBdr>
                            <w:top w:val="none" w:sz="0" w:space="0" w:color="auto"/>
                            <w:left w:val="none" w:sz="0" w:space="0" w:color="auto"/>
                            <w:bottom w:val="none" w:sz="0" w:space="0" w:color="auto"/>
                            <w:right w:val="none" w:sz="0" w:space="0" w:color="auto"/>
                          </w:divBdr>
                          <w:divsChild>
                            <w:div w:id="10032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01641">
      <w:bodyDiv w:val="1"/>
      <w:marLeft w:val="0"/>
      <w:marRight w:val="0"/>
      <w:marTop w:val="0"/>
      <w:marBottom w:val="0"/>
      <w:divBdr>
        <w:top w:val="none" w:sz="0" w:space="0" w:color="auto"/>
        <w:left w:val="none" w:sz="0" w:space="0" w:color="auto"/>
        <w:bottom w:val="none" w:sz="0" w:space="0" w:color="auto"/>
        <w:right w:val="none" w:sz="0" w:space="0" w:color="auto"/>
      </w:divBdr>
    </w:div>
    <w:div w:id="717752313">
      <w:bodyDiv w:val="1"/>
      <w:marLeft w:val="0"/>
      <w:marRight w:val="0"/>
      <w:marTop w:val="0"/>
      <w:marBottom w:val="0"/>
      <w:divBdr>
        <w:top w:val="none" w:sz="0" w:space="0" w:color="auto"/>
        <w:left w:val="none" w:sz="0" w:space="0" w:color="auto"/>
        <w:bottom w:val="none" w:sz="0" w:space="0" w:color="auto"/>
        <w:right w:val="none" w:sz="0" w:space="0" w:color="auto"/>
      </w:divBdr>
    </w:div>
    <w:div w:id="798764917">
      <w:bodyDiv w:val="1"/>
      <w:marLeft w:val="0"/>
      <w:marRight w:val="0"/>
      <w:marTop w:val="0"/>
      <w:marBottom w:val="0"/>
      <w:divBdr>
        <w:top w:val="none" w:sz="0" w:space="0" w:color="auto"/>
        <w:left w:val="none" w:sz="0" w:space="0" w:color="auto"/>
        <w:bottom w:val="none" w:sz="0" w:space="0" w:color="auto"/>
        <w:right w:val="none" w:sz="0" w:space="0" w:color="auto"/>
      </w:divBdr>
    </w:div>
    <w:div w:id="845873621">
      <w:bodyDiv w:val="1"/>
      <w:marLeft w:val="0"/>
      <w:marRight w:val="0"/>
      <w:marTop w:val="0"/>
      <w:marBottom w:val="0"/>
      <w:divBdr>
        <w:top w:val="none" w:sz="0" w:space="0" w:color="auto"/>
        <w:left w:val="none" w:sz="0" w:space="0" w:color="auto"/>
        <w:bottom w:val="none" w:sz="0" w:space="0" w:color="auto"/>
        <w:right w:val="none" w:sz="0" w:space="0" w:color="auto"/>
      </w:divBdr>
      <w:divsChild>
        <w:div w:id="870410816">
          <w:marLeft w:val="0"/>
          <w:marRight w:val="0"/>
          <w:marTop w:val="0"/>
          <w:marBottom w:val="0"/>
          <w:divBdr>
            <w:top w:val="none" w:sz="0" w:space="0" w:color="auto"/>
            <w:left w:val="none" w:sz="0" w:space="0" w:color="auto"/>
            <w:bottom w:val="none" w:sz="0" w:space="0" w:color="auto"/>
            <w:right w:val="none" w:sz="0" w:space="0" w:color="auto"/>
          </w:divBdr>
          <w:divsChild>
            <w:div w:id="709184168">
              <w:marLeft w:val="0"/>
              <w:marRight w:val="0"/>
              <w:marTop w:val="0"/>
              <w:marBottom w:val="0"/>
              <w:divBdr>
                <w:top w:val="none" w:sz="0" w:space="0" w:color="auto"/>
                <w:left w:val="none" w:sz="0" w:space="0" w:color="auto"/>
                <w:bottom w:val="none" w:sz="0" w:space="0" w:color="auto"/>
                <w:right w:val="none" w:sz="0" w:space="0" w:color="auto"/>
              </w:divBdr>
              <w:divsChild>
                <w:div w:id="817965515">
                  <w:marLeft w:val="0"/>
                  <w:marRight w:val="0"/>
                  <w:marTop w:val="0"/>
                  <w:marBottom w:val="0"/>
                  <w:divBdr>
                    <w:top w:val="none" w:sz="0" w:space="0" w:color="auto"/>
                    <w:left w:val="none" w:sz="0" w:space="0" w:color="auto"/>
                    <w:bottom w:val="none" w:sz="0" w:space="0" w:color="auto"/>
                    <w:right w:val="none" w:sz="0" w:space="0" w:color="auto"/>
                  </w:divBdr>
                  <w:divsChild>
                    <w:div w:id="825517081">
                      <w:marLeft w:val="0"/>
                      <w:marRight w:val="0"/>
                      <w:marTop w:val="0"/>
                      <w:marBottom w:val="0"/>
                      <w:divBdr>
                        <w:top w:val="none" w:sz="0" w:space="0" w:color="auto"/>
                        <w:left w:val="none" w:sz="0" w:space="0" w:color="auto"/>
                        <w:bottom w:val="none" w:sz="0" w:space="0" w:color="auto"/>
                        <w:right w:val="none" w:sz="0" w:space="0" w:color="auto"/>
                      </w:divBdr>
                      <w:divsChild>
                        <w:div w:id="16648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539">
                  <w:marLeft w:val="0"/>
                  <w:marRight w:val="0"/>
                  <w:marTop w:val="0"/>
                  <w:marBottom w:val="0"/>
                  <w:divBdr>
                    <w:top w:val="none" w:sz="0" w:space="0" w:color="auto"/>
                    <w:left w:val="none" w:sz="0" w:space="0" w:color="auto"/>
                    <w:bottom w:val="none" w:sz="0" w:space="0" w:color="auto"/>
                    <w:right w:val="none" w:sz="0" w:space="0" w:color="auto"/>
                  </w:divBdr>
                  <w:divsChild>
                    <w:div w:id="1844396247">
                      <w:marLeft w:val="0"/>
                      <w:marRight w:val="0"/>
                      <w:marTop w:val="0"/>
                      <w:marBottom w:val="0"/>
                      <w:divBdr>
                        <w:top w:val="none" w:sz="0" w:space="0" w:color="auto"/>
                        <w:left w:val="none" w:sz="0" w:space="0" w:color="auto"/>
                        <w:bottom w:val="none" w:sz="0" w:space="0" w:color="auto"/>
                        <w:right w:val="none" w:sz="0" w:space="0" w:color="auto"/>
                      </w:divBdr>
                      <w:divsChild>
                        <w:div w:id="2028944768">
                          <w:marLeft w:val="0"/>
                          <w:marRight w:val="0"/>
                          <w:marTop w:val="0"/>
                          <w:marBottom w:val="0"/>
                          <w:divBdr>
                            <w:top w:val="none" w:sz="0" w:space="0" w:color="auto"/>
                            <w:left w:val="none" w:sz="0" w:space="0" w:color="auto"/>
                            <w:bottom w:val="none" w:sz="0" w:space="0" w:color="auto"/>
                            <w:right w:val="none" w:sz="0" w:space="0" w:color="auto"/>
                          </w:divBdr>
                          <w:divsChild>
                            <w:div w:id="2130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56370">
      <w:bodyDiv w:val="1"/>
      <w:marLeft w:val="0"/>
      <w:marRight w:val="0"/>
      <w:marTop w:val="0"/>
      <w:marBottom w:val="0"/>
      <w:divBdr>
        <w:top w:val="none" w:sz="0" w:space="0" w:color="auto"/>
        <w:left w:val="none" w:sz="0" w:space="0" w:color="auto"/>
        <w:bottom w:val="none" w:sz="0" w:space="0" w:color="auto"/>
        <w:right w:val="none" w:sz="0" w:space="0" w:color="auto"/>
      </w:divBdr>
    </w:div>
    <w:div w:id="941184663">
      <w:bodyDiv w:val="1"/>
      <w:marLeft w:val="0"/>
      <w:marRight w:val="0"/>
      <w:marTop w:val="0"/>
      <w:marBottom w:val="0"/>
      <w:divBdr>
        <w:top w:val="none" w:sz="0" w:space="0" w:color="auto"/>
        <w:left w:val="none" w:sz="0" w:space="0" w:color="auto"/>
        <w:bottom w:val="none" w:sz="0" w:space="0" w:color="auto"/>
        <w:right w:val="none" w:sz="0" w:space="0" w:color="auto"/>
      </w:divBdr>
      <w:divsChild>
        <w:div w:id="1638073329">
          <w:marLeft w:val="0"/>
          <w:marRight w:val="0"/>
          <w:marTop w:val="0"/>
          <w:marBottom w:val="0"/>
          <w:divBdr>
            <w:top w:val="none" w:sz="0" w:space="0" w:color="auto"/>
            <w:left w:val="none" w:sz="0" w:space="0" w:color="auto"/>
            <w:bottom w:val="none" w:sz="0" w:space="0" w:color="auto"/>
            <w:right w:val="none" w:sz="0" w:space="0" w:color="auto"/>
          </w:divBdr>
          <w:divsChild>
            <w:div w:id="2052530010">
              <w:marLeft w:val="0"/>
              <w:marRight w:val="0"/>
              <w:marTop w:val="0"/>
              <w:marBottom w:val="0"/>
              <w:divBdr>
                <w:top w:val="none" w:sz="0" w:space="0" w:color="auto"/>
                <w:left w:val="none" w:sz="0" w:space="0" w:color="auto"/>
                <w:bottom w:val="none" w:sz="0" w:space="0" w:color="auto"/>
                <w:right w:val="none" w:sz="0" w:space="0" w:color="auto"/>
              </w:divBdr>
              <w:divsChild>
                <w:div w:id="682896001">
                  <w:marLeft w:val="0"/>
                  <w:marRight w:val="0"/>
                  <w:marTop w:val="0"/>
                  <w:marBottom w:val="0"/>
                  <w:divBdr>
                    <w:top w:val="none" w:sz="0" w:space="0" w:color="auto"/>
                    <w:left w:val="none" w:sz="0" w:space="0" w:color="auto"/>
                    <w:bottom w:val="none" w:sz="0" w:space="0" w:color="auto"/>
                    <w:right w:val="none" w:sz="0" w:space="0" w:color="auto"/>
                  </w:divBdr>
                  <w:divsChild>
                    <w:div w:id="474761255">
                      <w:marLeft w:val="0"/>
                      <w:marRight w:val="0"/>
                      <w:marTop w:val="0"/>
                      <w:marBottom w:val="0"/>
                      <w:divBdr>
                        <w:top w:val="none" w:sz="0" w:space="0" w:color="auto"/>
                        <w:left w:val="none" w:sz="0" w:space="0" w:color="auto"/>
                        <w:bottom w:val="none" w:sz="0" w:space="0" w:color="auto"/>
                        <w:right w:val="none" w:sz="0" w:space="0" w:color="auto"/>
                      </w:divBdr>
                      <w:divsChild>
                        <w:div w:id="1929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6919">
                  <w:marLeft w:val="0"/>
                  <w:marRight w:val="0"/>
                  <w:marTop w:val="0"/>
                  <w:marBottom w:val="0"/>
                  <w:divBdr>
                    <w:top w:val="none" w:sz="0" w:space="0" w:color="auto"/>
                    <w:left w:val="none" w:sz="0" w:space="0" w:color="auto"/>
                    <w:bottom w:val="none" w:sz="0" w:space="0" w:color="auto"/>
                    <w:right w:val="none" w:sz="0" w:space="0" w:color="auto"/>
                  </w:divBdr>
                  <w:divsChild>
                    <w:div w:id="585967946">
                      <w:marLeft w:val="0"/>
                      <w:marRight w:val="0"/>
                      <w:marTop w:val="0"/>
                      <w:marBottom w:val="0"/>
                      <w:divBdr>
                        <w:top w:val="none" w:sz="0" w:space="0" w:color="auto"/>
                        <w:left w:val="none" w:sz="0" w:space="0" w:color="auto"/>
                        <w:bottom w:val="none" w:sz="0" w:space="0" w:color="auto"/>
                        <w:right w:val="none" w:sz="0" w:space="0" w:color="auto"/>
                      </w:divBdr>
                      <w:divsChild>
                        <w:div w:id="360907423">
                          <w:marLeft w:val="0"/>
                          <w:marRight w:val="0"/>
                          <w:marTop w:val="0"/>
                          <w:marBottom w:val="0"/>
                          <w:divBdr>
                            <w:top w:val="none" w:sz="0" w:space="0" w:color="auto"/>
                            <w:left w:val="none" w:sz="0" w:space="0" w:color="auto"/>
                            <w:bottom w:val="none" w:sz="0" w:space="0" w:color="auto"/>
                            <w:right w:val="none" w:sz="0" w:space="0" w:color="auto"/>
                          </w:divBdr>
                          <w:divsChild>
                            <w:div w:id="5033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85795">
      <w:bodyDiv w:val="1"/>
      <w:marLeft w:val="0"/>
      <w:marRight w:val="0"/>
      <w:marTop w:val="0"/>
      <w:marBottom w:val="0"/>
      <w:divBdr>
        <w:top w:val="none" w:sz="0" w:space="0" w:color="auto"/>
        <w:left w:val="none" w:sz="0" w:space="0" w:color="auto"/>
        <w:bottom w:val="none" w:sz="0" w:space="0" w:color="auto"/>
        <w:right w:val="none" w:sz="0" w:space="0" w:color="auto"/>
      </w:divBdr>
    </w:div>
    <w:div w:id="1049185951">
      <w:bodyDiv w:val="1"/>
      <w:marLeft w:val="0"/>
      <w:marRight w:val="0"/>
      <w:marTop w:val="0"/>
      <w:marBottom w:val="0"/>
      <w:divBdr>
        <w:top w:val="none" w:sz="0" w:space="0" w:color="auto"/>
        <w:left w:val="none" w:sz="0" w:space="0" w:color="auto"/>
        <w:bottom w:val="none" w:sz="0" w:space="0" w:color="auto"/>
        <w:right w:val="none" w:sz="0" w:space="0" w:color="auto"/>
      </w:divBdr>
    </w:div>
    <w:div w:id="1160777868">
      <w:bodyDiv w:val="1"/>
      <w:marLeft w:val="0"/>
      <w:marRight w:val="0"/>
      <w:marTop w:val="0"/>
      <w:marBottom w:val="0"/>
      <w:divBdr>
        <w:top w:val="none" w:sz="0" w:space="0" w:color="auto"/>
        <w:left w:val="none" w:sz="0" w:space="0" w:color="auto"/>
        <w:bottom w:val="none" w:sz="0" w:space="0" w:color="auto"/>
        <w:right w:val="none" w:sz="0" w:space="0" w:color="auto"/>
      </w:divBdr>
    </w:div>
    <w:div w:id="1473906102">
      <w:bodyDiv w:val="1"/>
      <w:marLeft w:val="0"/>
      <w:marRight w:val="0"/>
      <w:marTop w:val="0"/>
      <w:marBottom w:val="0"/>
      <w:divBdr>
        <w:top w:val="none" w:sz="0" w:space="0" w:color="auto"/>
        <w:left w:val="none" w:sz="0" w:space="0" w:color="auto"/>
        <w:bottom w:val="none" w:sz="0" w:space="0" w:color="auto"/>
        <w:right w:val="none" w:sz="0" w:space="0" w:color="auto"/>
      </w:divBdr>
    </w:div>
    <w:div w:id="1913850943">
      <w:bodyDiv w:val="1"/>
      <w:marLeft w:val="0"/>
      <w:marRight w:val="0"/>
      <w:marTop w:val="0"/>
      <w:marBottom w:val="0"/>
      <w:divBdr>
        <w:top w:val="none" w:sz="0" w:space="0" w:color="auto"/>
        <w:left w:val="none" w:sz="0" w:space="0" w:color="auto"/>
        <w:bottom w:val="none" w:sz="0" w:space="0" w:color="auto"/>
        <w:right w:val="none" w:sz="0" w:space="0" w:color="auto"/>
      </w:divBdr>
    </w:div>
    <w:div w:id="1987127031">
      <w:bodyDiv w:val="1"/>
      <w:marLeft w:val="0"/>
      <w:marRight w:val="0"/>
      <w:marTop w:val="0"/>
      <w:marBottom w:val="0"/>
      <w:divBdr>
        <w:top w:val="none" w:sz="0" w:space="0" w:color="auto"/>
        <w:left w:val="none" w:sz="0" w:space="0" w:color="auto"/>
        <w:bottom w:val="none" w:sz="0" w:space="0" w:color="auto"/>
        <w:right w:val="none" w:sz="0" w:space="0" w:color="auto"/>
      </w:divBdr>
    </w:div>
    <w:div w:id="200562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kills.tas.gov.au/__data/assets/pdf_file/0009/211041/Civil_Construction_Industry_Workforce_Plan_2019-2025.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kills.tas.gov.au/__data/assets/pdf_file/0004/283207/Tasmanian_Building_and_Construction_Industry_Workforce_Action_Plan_-_March_202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kills.tas.gov.au/__data/assets/pdf_file/0004/217984/Tasmanian_Tourism_and_Hospitality_workforce_development_plan_Nov_201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skills.tas.gov.au/__data/assets/pdf_file/0009/174969/Tasmanian_Transport_and_Logistics_Industry_Workforce_Plan_2015-2018.pdf" TargetMode="External"/><Relationship Id="rId10" Type="http://schemas.openxmlformats.org/officeDocument/2006/relationships/hyperlink" Target="http://www.dese.gov.au/local-jobs-progra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ss.gov.au/ndisworkforcepl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profile.id.com.au/tasmania/population-estimate" TargetMode="External"/><Relationship Id="rId2" Type="http://schemas.openxmlformats.org/officeDocument/2006/relationships/hyperlink" Target="https://www.abs.gov.au/AUSSTATS/abs@.nsf/DetailsPage/2033.0.55.0012016?OpenDocument" TargetMode="External"/><Relationship Id="rId1" Type="http://schemas.openxmlformats.org/officeDocument/2006/relationships/hyperlink" Target="https://profile.id.com.au/tasmania/population" TargetMode="External"/><Relationship Id="rId6" Type="http://schemas.openxmlformats.org/officeDocument/2006/relationships/hyperlink" Target="https://www.stategrowth.tas.gov.au/data/assets/pdf_file/0007/174076/TransportAccessStrategy.PDF" TargetMode="External"/><Relationship Id="rId5" Type="http://schemas.openxmlformats.org/officeDocument/2006/relationships/hyperlink" Target="https://digitalinclusionindex.org.au/" TargetMode="External"/><Relationship Id="rId4" Type="http://schemas.openxmlformats.org/officeDocument/2006/relationships/hyperlink" Target="https://www.rba.gov.au/publications/smp/2021/may/pdf/box-c-international-border-closures-slower-population-growth-and-the-australian-econom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B7963-E33C-4698-B00A-60798658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4234</Words>
  <Characters>24139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2021-12-01T03:40:00Z</dcterms:created>
  <dcterms:modified xsi:type="dcterms:W3CDTF">2021-12-01T03:43:00Z</dcterms:modified>
</cp:coreProperties>
</file>