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4BC7" w14:textId="77777777" w:rsidR="00E307C4" w:rsidRDefault="00E307C4" w:rsidP="009B031C">
      <w:pPr>
        <w:pStyle w:val="Title"/>
      </w:pPr>
    </w:p>
    <w:p w14:paraId="63B5E8C6" w14:textId="58532F66" w:rsidR="004D09D7" w:rsidRPr="009A0D3F" w:rsidRDefault="003F7272" w:rsidP="009B031C">
      <w:pPr>
        <w:pStyle w:val="Title"/>
        <w:sectPr w:rsidR="004D09D7" w:rsidRPr="009A0D3F" w:rsidSect="009A0D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8" w:bottom="993" w:left="1440" w:header="709" w:footer="567" w:gutter="0"/>
          <w:cols w:space="708"/>
          <w:docGrid w:linePitch="360"/>
        </w:sectPr>
      </w:pPr>
      <w:r>
        <w:rPr>
          <w:noProof/>
          <w:lang w:eastAsia="en-AU"/>
        </w:rPr>
        <w:drawing>
          <wp:anchor distT="0" distB="900430" distL="114300" distR="114300" simplePos="0" relativeHeight="251657216" behindDoc="0" locked="0" layoutInCell="1" allowOverlap="1" wp14:anchorId="7CC873B6" wp14:editId="2B057F93">
            <wp:simplePos x="0" y="0"/>
            <wp:positionH relativeFrom="margin">
              <wp:align>left</wp:align>
            </wp:positionH>
            <wp:positionV relativeFrom="paragraph">
              <wp:posOffset>560705</wp:posOffset>
            </wp:positionV>
            <wp:extent cx="4144645" cy="960120"/>
            <wp:effectExtent l="0" t="0" r="8255" b="0"/>
            <wp:wrapTopAndBottom/>
            <wp:docPr id="5" name="Picture 5" descr="Australian Government Local Job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A_GOV_Lockup_CMY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7744" cy="960710"/>
                    </a:xfrm>
                    <a:prstGeom prst="rect">
                      <a:avLst/>
                    </a:prstGeom>
                  </pic:spPr>
                </pic:pic>
              </a:graphicData>
            </a:graphic>
            <wp14:sizeRelH relativeFrom="margin">
              <wp14:pctWidth>0</wp14:pctWidth>
            </wp14:sizeRelH>
            <wp14:sizeRelV relativeFrom="margin">
              <wp14:pctHeight>0</wp14:pctHeight>
            </wp14:sizeRelV>
          </wp:anchor>
        </w:drawing>
      </w:r>
      <w:bookmarkStart w:id="0" w:name="_Toc364946114"/>
    </w:p>
    <w:p w14:paraId="61DADF13" w14:textId="074C3E2A" w:rsidR="00E307C4" w:rsidRDefault="00E307C4" w:rsidP="00EC22CD">
      <w:pPr>
        <w:pStyle w:val="Heading1"/>
        <w:spacing w:after="480"/>
        <w:contextualSpacing w:val="0"/>
        <w:jc w:val="center"/>
        <w:rPr>
          <w:b/>
          <w:bCs/>
          <w:sz w:val="72"/>
          <w:szCs w:val="72"/>
        </w:rPr>
      </w:pPr>
      <w:bookmarkStart w:id="1" w:name="_Toc54878833"/>
      <w:bookmarkStart w:id="2" w:name="_Toc55228006"/>
      <w:bookmarkStart w:id="3" w:name="_Toc55228038"/>
      <w:bookmarkStart w:id="4" w:name="_Toc55230434"/>
      <w:bookmarkStart w:id="5" w:name="_Toc55286054"/>
      <w:bookmarkStart w:id="6" w:name="_Toc55831104"/>
      <w:bookmarkStart w:id="7" w:name="_Toc55831533"/>
      <w:bookmarkStart w:id="8" w:name="_Toc56093870"/>
      <w:bookmarkStart w:id="9" w:name="_Toc79424622"/>
      <w:bookmarkStart w:id="10" w:name="_Toc81405352"/>
      <w:bookmarkStart w:id="11" w:name="_Toc37078198"/>
      <w:bookmarkStart w:id="12" w:name="_Toc24447234"/>
      <w:bookmarkStart w:id="13" w:name="_Toc24447248"/>
      <w:bookmarkEnd w:id="0"/>
      <w:r w:rsidRPr="009D3023">
        <w:rPr>
          <w:b/>
          <w:bCs/>
          <w:sz w:val="72"/>
          <w:szCs w:val="72"/>
        </w:rPr>
        <w:t>Local Jobs Plan</w:t>
      </w:r>
      <w:bookmarkEnd w:id="1"/>
      <w:bookmarkEnd w:id="2"/>
      <w:bookmarkEnd w:id="3"/>
      <w:bookmarkEnd w:id="4"/>
      <w:bookmarkEnd w:id="5"/>
      <w:bookmarkEnd w:id="6"/>
      <w:bookmarkEnd w:id="7"/>
      <w:bookmarkEnd w:id="8"/>
      <w:bookmarkEnd w:id="9"/>
      <w:bookmarkEnd w:id="10"/>
    </w:p>
    <w:p w14:paraId="17A6CAEA" w14:textId="14D83C73" w:rsidR="009D3023" w:rsidRDefault="006530CD" w:rsidP="00EC22CD">
      <w:pPr>
        <w:pStyle w:val="Heading1"/>
        <w:spacing w:after="480"/>
        <w:contextualSpacing w:val="0"/>
        <w:jc w:val="center"/>
        <w:rPr>
          <w:b/>
          <w:bCs/>
          <w:sz w:val="72"/>
          <w:szCs w:val="72"/>
        </w:rPr>
      </w:pPr>
      <w:bookmarkStart w:id="14" w:name="_Toc55228007"/>
      <w:bookmarkStart w:id="15" w:name="_Toc55228039"/>
      <w:bookmarkStart w:id="16" w:name="_Toc55230435"/>
      <w:bookmarkStart w:id="17" w:name="_Toc55286055"/>
      <w:bookmarkStart w:id="18" w:name="_Toc55831105"/>
      <w:bookmarkStart w:id="19" w:name="_Toc55831534"/>
      <w:bookmarkStart w:id="20" w:name="_Toc56093871"/>
      <w:bookmarkStart w:id="21" w:name="_Toc75863053"/>
      <w:bookmarkStart w:id="22" w:name="_Toc79424623"/>
      <w:bookmarkStart w:id="23" w:name="_Toc81405353"/>
      <w:r>
        <w:rPr>
          <w:b/>
          <w:bCs/>
          <w:sz w:val="72"/>
          <w:szCs w:val="72"/>
        </w:rPr>
        <w:t>Hunter</w:t>
      </w:r>
      <w:bookmarkEnd w:id="14"/>
      <w:bookmarkEnd w:id="15"/>
      <w:bookmarkEnd w:id="16"/>
      <w:bookmarkEnd w:id="17"/>
      <w:bookmarkEnd w:id="18"/>
      <w:bookmarkEnd w:id="19"/>
      <w:bookmarkEnd w:id="20"/>
      <w:bookmarkEnd w:id="21"/>
      <w:bookmarkEnd w:id="22"/>
      <w:bookmarkEnd w:id="23"/>
    </w:p>
    <w:p w14:paraId="24ACD5E3" w14:textId="5FC1598E" w:rsidR="00E307C4" w:rsidRDefault="009D3023" w:rsidP="00EC22CD">
      <w:pPr>
        <w:pStyle w:val="Heading1"/>
        <w:spacing w:after="480"/>
        <w:contextualSpacing w:val="0"/>
        <w:jc w:val="center"/>
        <w:rPr>
          <w:b/>
          <w:bCs/>
          <w:sz w:val="72"/>
          <w:szCs w:val="72"/>
        </w:rPr>
      </w:pPr>
      <w:bookmarkStart w:id="24" w:name="_Toc54878835"/>
      <w:bookmarkStart w:id="25" w:name="_Toc55228008"/>
      <w:bookmarkStart w:id="26" w:name="_Toc55228040"/>
      <w:bookmarkStart w:id="27" w:name="_Toc55230436"/>
      <w:bookmarkStart w:id="28" w:name="_Toc55286056"/>
      <w:bookmarkStart w:id="29" w:name="_Toc55831106"/>
      <w:bookmarkStart w:id="30" w:name="_Toc55831535"/>
      <w:bookmarkStart w:id="31" w:name="_Toc56093872"/>
      <w:bookmarkStart w:id="32" w:name="_Toc72392516"/>
      <w:bookmarkStart w:id="33" w:name="_Toc75863054"/>
      <w:bookmarkStart w:id="34" w:name="_Toc79424624"/>
      <w:bookmarkStart w:id="35" w:name="_Toc81405354"/>
      <w:r>
        <w:rPr>
          <w:b/>
          <w:bCs/>
          <w:sz w:val="72"/>
          <w:szCs w:val="72"/>
        </w:rPr>
        <w:t xml:space="preserve">New </w:t>
      </w:r>
      <w:r w:rsidR="00E307C4" w:rsidRPr="009D3023">
        <w:rPr>
          <w:b/>
          <w:bCs/>
          <w:sz w:val="72"/>
          <w:szCs w:val="72"/>
        </w:rPr>
        <w:t>S</w:t>
      </w:r>
      <w:r>
        <w:rPr>
          <w:b/>
          <w:bCs/>
          <w:sz w:val="72"/>
          <w:szCs w:val="72"/>
        </w:rPr>
        <w:t xml:space="preserve">outh </w:t>
      </w:r>
      <w:r w:rsidR="00E307C4" w:rsidRPr="009D3023">
        <w:rPr>
          <w:b/>
          <w:bCs/>
          <w:sz w:val="72"/>
          <w:szCs w:val="72"/>
        </w:rPr>
        <w:t>W</w:t>
      </w:r>
      <w:r>
        <w:rPr>
          <w:b/>
          <w:bCs/>
          <w:sz w:val="72"/>
          <w:szCs w:val="72"/>
        </w:rPr>
        <w:t>ales</w:t>
      </w:r>
      <w:bookmarkEnd w:id="24"/>
      <w:bookmarkEnd w:id="25"/>
      <w:bookmarkEnd w:id="26"/>
      <w:bookmarkEnd w:id="27"/>
      <w:bookmarkEnd w:id="28"/>
      <w:bookmarkEnd w:id="29"/>
      <w:bookmarkEnd w:id="30"/>
      <w:bookmarkEnd w:id="31"/>
      <w:bookmarkEnd w:id="32"/>
      <w:bookmarkEnd w:id="33"/>
      <w:bookmarkEnd w:id="34"/>
      <w:bookmarkEnd w:id="35"/>
    </w:p>
    <w:p w14:paraId="15963438" w14:textId="0EF5909D" w:rsidR="00E307C4" w:rsidRPr="009D3023" w:rsidRDefault="00931DB5" w:rsidP="00EC22CD">
      <w:pPr>
        <w:pStyle w:val="Heading1"/>
        <w:spacing w:after="480"/>
        <w:contextualSpacing w:val="0"/>
        <w:jc w:val="center"/>
        <w:rPr>
          <w:sz w:val="56"/>
          <w:szCs w:val="56"/>
        </w:rPr>
      </w:pPr>
      <w:bookmarkStart w:id="36" w:name="_Toc54878836"/>
      <w:bookmarkStart w:id="37" w:name="_Toc55228009"/>
      <w:bookmarkStart w:id="38" w:name="_Toc55228041"/>
      <w:bookmarkStart w:id="39" w:name="_Toc55230437"/>
      <w:bookmarkStart w:id="40" w:name="_Toc55286057"/>
      <w:bookmarkStart w:id="41" w:name="_Toc55831107"/>
      <w:bookmarkStart w:id="42" w:name="_Toc55831536"/>
      <w:bookmarkStart w:id="43" w:name="_Toc56093873"/>
      <w:bookmarkStart w:id="44" w:name="_Toc72392517"/>
      <w:bookmarkStart w:id="45" w:name="_Toc75863055"/>
      <w:bookmarkStart w:id="46" w:name="_Toc79424625"/>
      <w:bookmarkStart w:id="47" w:name="_Toc81405355"/>
      <w:r>
        <w:rPr>
          <w:sz w:val="56"/>
          <w:szCs w:val="56"/>
        </w:rPr>
        <w:t>September</w:t>
      </w:r>
      <w:r w:rsidR="00037B05" w:rsidRPr="009D3023">
        <w:rPr>
          <w:sz w:val="56"/>
          <w:szCs w:val="56"/>
        </w:rPr>
        <w:t xml:space="preserve"> </w:t>
      </w:r>
      <w:r w:rsidR="00E307C4" w:rsidRPr="009D3023">
        <w:rPr>
          <w:sz w:val="56"/>
          <w:szCs w:val="56"/>
        </w:rPr>
        <w:t>202</w:t>
      </w:r>
      <w:bookmarkEnd w:id="36"/>
      <w:bookmarkEnd w:id="37"/>
      <w:bookmarkEnd w:id="38"/>
      <w:bookmarkEnd w:id="39"/>
      <w:bookmarkEnd w:id="40"/>
      <w:bookmarkEnd w:id="41"/>
      <w:bookmarkEnd w:id="42"/>
      <w:bookmarkEnd w:id="43"/>
      <w:r w:rsidR="00B52098">
        <w:rPr>
          <w:sz w:val="56"/>
          <w:szCs w:val="56"/>
        </w:rPr>
        <w:t>1</w:t>
      </w:r>
      <w:bookmarkEnd w:id="44"/>
      <w:bookmarkEnd w:id="45"/>
      <w:bookmarkEnd w:id="46"/>
      <w:bookmarkEnd w:id="47"/>
    </w:p>
    <w:p w14:paraId="119024A7" w14:textId="77777777" w:rsidR="00E307C4" w:rsidRDefault="00E307C4" w:rsidP="00597283">
      <w:pPr>
        <w:pStyle w:val="Heading1"/>
      </w:pPr>
    </w:p>
    <w:p w14:paraId="3F39DCC4" w14:textId="77777777" w:rsidR="00E307C4" w:rsidRDefault="00E307C4" w:rsidP="00597283">
      <w:pPr>
        <w:pStyle w:val="Heading1"/>
        <w:sectPr w:rsidR="00E307C4" w:rsidSect="009A0D3F">
          <w:headerReference w:type="default" r:id="rId18"/>
          <w:footerReference w:type="default" r:id="rId19"/>
          <w:type w:val="continuous"/>
          <w:pgSz w:w="11906" w:h="16838"/>
          <w:pgMar w:top="1276" w:right="1418" w:bottom="1135" w:left="1440" w:header="709" w:footer="567" w:gutter="0"/>
          <w:cols w:space="708"/>
          <w:docGrid w:linePitch="360"/>
        </w:sectPr>
      </w:pPr>
    </w:p>
    <w:sdt>
      <w:sdtPr>
        <w:rPr>
          <w:rFonts w:asciiTheme="minorHAnsi" w:eastAsiaTheme="minorHAnsi" w:hAnsiTheme="minorHAnsi" w:cstheme="minorHAnsi"/>
          <w:noProof w:val="0"/>
          <w:color w:val="auto"/>
          <w:sz w:val="22"/>
          <w:szCs w:val="22"/>
          <w:lang w:val="en" w:bidi="ar-SA"/>
        </w:rPr>
        <w:id w:val="-507822736"/>
        <w:docPartObj>
          <w:docPartGallery w:val="Table of Contents"/>
          <w:docPartUnique/>
        </w:docPartObj>
      </w:sdtPr>
      <w:sdtEndPr>
        <w:rPr>
          <w:rFonts w:eastAsia="Times New Roman"/>
          <w:b/>
          <w:bCs/>
          <w:sz w:val="24"/>
          <w:szCs w:val="24"/>
          <w:lang w:val="en-AU"/>
        </w:rPr>
      </w:sdtEndPr>
      <w:sdtContent>
        <w:p w14:paraId="3B52544A" w14:textId="77777777" w:rsidR="00584EF0" w:rsidRDefault="00584EF0" w:rsidP="00FB59FF">
          <w:pPr>
            <w:pStyle w:val="TOCHeading"/>
            <w:rPr>
              <w:rFonts w:asciiTheme="minorHAnsi" w:eastAsiaTheme="minorHAnsi" w:hAnsiTheme="minorHAnsi" w:cstheme="minorHAnsi"/>
              <w:noProof w:val="0"/>
              <w:color w:val="auto"/>
              <w:sz w:val="22"/>
              <w:szCs w:val="22"/>
              <w:lang w:val="en" w:bidi="ar-SA"/>
            </w:rPr>
          </w:pPr>
        </w:p>
        <w:p w14:paraId="655264AB" w14:textId="77777777" w:rsidR="00817BDA" w:rsidRPr="009A4711" w:rsidRDefault="00E307C4" w:rsidP="00FB59FF">
          <w:pPr>
            <w:pStyle w:val="TOCHeading"/>
            <w:rPr>
              <w:rFonts w:asciiTheme="minorHAnsi" w:hAnsiTheme="minorHAnsi" w:cstheme="minorHAnsi"/>
            </w:rPr>
          </w:pPr>
          <w:r w:rsidRPr="00E04D29">
            <w:rPr>
              <w:rFonts w:asciiTheme="minorHAnsi" w:hAnsiTheme="minorHAnsi" w:cstheme="minorHAnsi"/>
              <w:lang w:bidi="ar-SA"/>
            </w:rPr>
            <w:t>Contents</w:t>
          </w:r>
          <w:r w:rsidRPr="009A4711">
            <w:rPr>
              <w:rFonts w:asciiTheme="minorHAnsi" w:hAnsiTheme="minorHAnsi" w:cstheme="minorHAnsi"/>
              <w:noProof w:val="0"/>
            </w:rPr>
            <w:fldChar w:fldCharType="begin"/>
          </w:r>
          <w:r w:rsidRPr="009A4711">
            <w:rPr>
              <w:rFonts w:asciiTheme="minorHAnsi" w:hAnsiTheme="minorHAnsi" w:cstheme="minorHAnsi"/>
            </w:rPr>
            <w:instrText xml:space="preserve"> TOC \o "1-3" \h \z \u </w:instrText>
          </w:r>
          <w:r w:rsidRPr="009A4711">
            <w:rPr>
              <w:rFonts w:asciiTheme="minorHAnsi" w:hAnsiTheme="minorHAnsi" w:cstheme="minorHAnsi"/>
              <w:noProof w:val="0"/>
            </w:rPr>
            <w:fldChar w:fldCharType="separate"/>
          </w:r>
        </w:p>
        <w:p w14:paraId="2873BD9C" w14:textId="71B72DCE" w:rsidR="00817BDA" w:rsidRPr="009A4711" w:rsidRDefault="00E20D41" w:rsidP="00817BDA">
          <w:pPr>
            <w:pStyle w:val="TOC1"/>
            <w:tabs>
              <w:tab w:val="right" w:leader="dot" w:pos="10934"/>
            </w:tabs>
            <w:rPr>
              <w:rFonts w:asciiTheme="minorHAnsi" w:eastAsiaTheme="minorEastAsia" w:hAnsiTheme="minorHAnsi" w:cstheme="minorHAnsi"/>
              <w:noProof/>
            </w:rPr>
          </w:pPr>
          <w:hyperlink w:anchor="_Toc81405352" w:history="1">
            <w:r w:rsidR="00817BDA" w:rsidRPr="009A4711">
              <w:rPr>
                <w:rStyle w:val="Hyperlink"/>
                <w:rFonts w:asciiTheme="minorHAnsi" w:eastAsiaTheme="majorEastAsia" w:hAnsiTheme="minorHAnsi" w:cstheme="minorHAnsi"/>
                <w:b/>
                <w:bCs/>
                <w:noProof/>
              </w:rPr>
              <w:t>Local Jobs Plan</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_Toc81405352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w:t>
            </w:r>
            <w:r w:rsidR="00817BDA" w:rsidRPr="009A4711">
              <w:rPr>
                <w:rFonts w:asciiTheme="minorHAnsi" w:hAnsiTheme="minorHAnsi" w:cstheme="minorHAnsi"/>
                <w:noProof/>
                <w:webHidden/>
              </w:rPr>
              <w:fldChar w:fldCharType="end"/>
            </w:r>
          </w:hyperlink>
        </w:p>
        <w:p w14:paraId="7B3DD4F9" w14:textId="09B048B8" w:rsidR="00817BDA" w:rsidRPr="009A4711" w:rsidRDefault="00E20D41">
          <w:pPr>
            <w:pStyle w:val="TOC1"/>
            <w:tabs>
              <w:tab w:val="right" w:leader="dot" w:pos="10934"/>
            </w:tabs>
            <w:rPr>
              <w:rFonts w:asciiTheme="minorHAnsi" w:eastAsiaTheme="minorEastAsia" w:hAnsiTheme="minorHAnsi" w:cstheme="minorHAnsi"/>
              <w:noProof/>
            </w:rPr>
          </w:pPr>
          <w:hyperlink w:anchor="_Toc81405356" w:history="1">
            <w:r w:rsidR="00817BDA" w:rsidRPr="009A4711">
              <w:rPr>
                <w:rStyle w:val="Hyperlink"/>
                <w:rFonts w:asciiTheme="minorHAnsi" w:eastAsiaTheme="majorEastAsia" w:hAnsiTheme="minorHAnsi" w:cstheme="minorHAnsi"/>
                <w:noProof/>
              </w:rPr>
              <w:t>Introduction</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_Toc81405356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3</w:t>
            </w:r>
            <w:r w:rsidR="00817BDA" w:rsidRPr="009A4711">
              <w:rPr>
                <w:rFonts w:asciiTheme="minorHAnsi" w:hAnsiTheme="minorHAnsi" w:cstheme="minorHAnsi"/>
                <w:noProof/>
                <w:webHidden/>
              </w:rPr>
              <w:fldChar w:fldCharType="end"/>
            </w:r>
          </w:hyperlink>
        </w:p>
        <w:p w14:paraId="0E20435B" w14:textId="75DE9391" w:rsidR="00817BDA" w:rsidRPr="009A4711" w:rsidRDefault="00E20D41">
          <w:pPr>
            <w:pStyle w:val="TOC1"/>
            <w:tabs>
              <w:tab w:val="right" w:leader="dot" w:pos="10934"/>
            </w:tabs>
            <w:rPr>
              <w:rFonts w:asciiTheme="minorHAnsi" w:eastAsiaTheme="minorEastAsia" w:hAnsiTheme="minorHAnsi" w:cstheme="minorHAnsi"/>
              <w:noProof/>
            </w:rPr>
          </w:pPr>
          <w:hyperlink w:anchor="_Toc81405357" w:history="1">
            <w:r w:rsidR="00817BDA" w:rsidRPr="009A4711">
              <w:rPr>
                <w:rStyle w:val="Hyperlink"/>
                <w:rFonts w:asciiTheme="minorHAnsi" w:eastAsiaTheme="majorEastAsia" w:hAnsiTheme="minorHAnsi" w:cstheme="minorHAnsi"/>
                <w:b/>
                <w:bCs/>
                <w:noProof/>
              </w:rPr>
              <w:t>Regional Profile</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_Toc81405357 \h </w:instrText>
            </w:r>
            <w:r w:rsidR="00817BDA" w:rsidRPr="009A4711">
              <w:rPr>
                <w:rFonts w:asciiTheme="minorHAnsi" w:hAnsiTheme="minorHAnsi" w:cstheme="minorHAnsi"/>
                <w:noProof/>
                <w:webHidden/>
              </w:rPr>
              <w:fldChar w:fldCharType="separate"/>
            </w:r>
            <w:r>
              <w:rPr>
                <w:rFonts w:asciiTheme="minorHAnsi" w:hAnsiTheme="minorHAnsi" w:cstheme="minorHAnsi"/>
                <w:b/>
                <w:bCs/>
                <w:noProof/>
                <w:webHidden/>
                <w:lang w:val="en-US"/>
              </w:rPr>
              <w:t>Error! Bookmark not defined.</w:t>
            </w:r>
            <w:r w:rsidR="00817BDA" w:rsidRPr="009A4711">
              <w:rPr>
                <w:rFonts w:asciiTheme="minorHAnsi" w:hAnsiTheme="minorHAnsi" w:cstheme="minorHAnsi"/>
                <w:noProof/>
                <w:webHidden/>
              </w:rPr>
              <w:fldChar w:fldCharType="end"/>
            </w:r>
          </w:hyperlink>
        </w:p>
        <w:p w14:paraId="06C4A6F2" w14:textId="296BA085" w:rsidR="00817BDA" w:rsidRPr="009A4711" w:rsidRDefault="00E20D41">
          <w:pPr>
            <w:pStyle w:val="TOC1"/>
            <w:tabs>
              <w:tab w:val="right" w:leader="dot" w:pos="10934"/>
            </w:tabs>
            <w:rPr>
              <w:rFonts w:asciiTheme="minorHAnsi" w:eastAsiaTheme="minorEastAsia" w:hAnsiTheme="minorHAnsi" w:cstheme="minorHAnsi"/>
              <w:noProof/>
            </w:rPr>
          </w:pPr>
          <w:hyperlink w:anchor="_Toc81405359" w:history="1">
            <w:r w:rsidR="00817BDA" w:rsidRPr="009A4711">
              <w:rPr>
                <w:rStyle w:val="Hyperlink"/>
                <w:rFonts w:asciiTheme="minorHAnsi" w:eastAsiaTheme="majorEastAsia" w:hAnsiTheme="minorHAnsi" w:cstheme="minorHAnsi"/>
                <w:b/>
                <w:bCs/>
                <w:noProof/>
              </w:rPr>
              <w:t>Key Challenges</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_Toc81405359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6</w:t>
            </w:r>
            <w:r w:rsidR="00817BDA" w:rsidRPr="009A4711">
              <w:rPr>
                <w:rFonts w:asciiTheme="minorHAnsi" w:hAnsiTheme="minorHAnsi" w:cstheme="minorHAnsi"/>
                <w:noProof/>
                <w:webHidden/>
              </w:rPr>
              <w:fldChar w:fldCharType="end"/>
            </w:r>
          </w:hyperlink>
        </w:p>
        <w:p w14:paraId="18618C11" w14:textId="0972DF0A" w:rsidR="00817BDA" w:rsidRPr="009A4711" w:rsidRDefault="00E20D41" w:rsidP="00817BDA">
          <w:pPr>
            <w:pStyle w:val="TOC1"/>
            <w:tabs>
              <w:tab w:val="right" w:leader="dot" w:pos="10934"/>
            </w:tabs>
            <w:rPr>
              <w:rFonts w:asciiTheme="minorHAnsi" w:eastAsiaTheme="minorEastAsia" w:hAnsiTheme="minorHAnsi" w:cstheme="minorHAnsi"/>
              <w:noProof/>
            </w:rPr>
          </w:pPr>
          <w:hyperlink w:anchor="_Toc81405360" w:history="1">
            <w:r w:rsidR="00817BDA" w:rsidRPr="009A4711">
              <w:rPr>
                <w:rStyle w:val="Hyperlink"/>
                <w:rFonts w:asciiTheme="minorHAnsi" w:eastAsiaTheme="majorEastAsia" w:hAnsiTheme="minorHAnsi" w:cstheme="minorHAnsi"/>
                <w:b/>
                <w:bCs/>
                <w:noProof/>
              </w:rPr>
              <w:t>Local Jobs Program Key Priorities:</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_Toc81405360 \h </w:instrText>
            </w:r>
            <w:r w:rsidR="00817BDA" w:rsidRPr="009A4711">
              <w:rPr>
                <w:rFonts w:asciiTheme="minorHAnsi" w:hAnsiTheme="minorHAnsi" w:cstheme="minorHAnsi"/>
                <w:noProof/>
                <w:webHidden/>
              </w:rPr>
              <w:fldChar w:fldCharType="separate"/>
            </w:r>
            <w:r>
              <w:rPr>
                <w:rFonts w:asciiTheme="minorHAnsi" w:hAnsiTheme="minorHAnsi" w:cstheme="minorHAnsi"/>
                <w:b/>
                <w:bCs/>
                <w:noProof/>
                <w:webHidden/>
                <w:lang w:val="en-US"/>
              </w:rPr>
              <w:t>Error! Bookmark not defined.</w:t>
            </w:r>
            <w:r w:rsidR="00817BDA" w:rsidRPr="009A4711">
              <w:rPr>
                <w:rFonts w:asciiTheme="minorHAnsi" w:hAnsiTheme="minorHAnsi" w:cstheme="minorHAnsi"/>
                <w:noProof/>
                <w:webHidden/>
              </w:rPr>
              <w:fldChar w:fldCharType="end"/>
            </w:r>
          </w:hyperlink>
        </w:p>
        <w:p w14:paraId="7147156E" w14:textId="25C7E009" w:rsidR="00817BDA" w:rsidRPr="009A4711" w:rsidRDefault="00E20D41">
          <w:pPr>
            <w:pStyle w:val="TOC2"/>
            <w:tabs>
              <w:tab w:val="right" w:leader="dot" w:pos="10934"/>
            </w:tabs>
            <w:rPr>
              <w:rFonts w:asciiTheme="minorHAnsi" w:eastAsiaTheme="minorEastAsia" w:hAnsiTheme="minorHAnsi" w:cstheme="minorHAnsi"/>
              <w:noProof/>
            </w:rPr>
          </w:pPr>
          <w:hyperlink w:anchor="_Toc81405362" w:history="1">
            <w:r w:rsidR="00817BDA" w:rsidRPr="009A4711">
              <w:rPr>
                <w:rStyle w:val="Hyperlink"/>
                <w:rFonts w:asciiTheme="minorHAnsi" w:eastAsiaTheme="majorEastAsia" w:hAnsiTheme="minorHAnsi" w:cstheme="minorHAnsi"/>
                <w:noProof/>
              </w:rPr>
              <w:t xml:space="preserve">Priority </w:t>
            </w:r>
            <w:r w:rsidR="00517394">
              <w:rPr>
                <w:rStyle w:val="Hyperlink"/>
                <w:rFonts w:asciiTheme="minorHAnsi" w:eastAsiaTheme="majorEastAsia" w:hAnsiTheme="minorHAnsi" w:cstheme="minorHAnsi"/>
                <w:noProof/>
              </w:rPr>
              <w:t>One</w:t>
            </w:r>
            <w:r w:rsidR="00817BDA" w:rsidRPr="009A4711">
              <w:rPr>
                <w:rStyle w:val="Hyperlink"/>
                <w:rFonts w:asciiTheme="minorHAnsi" w:eastAsiaTheme="majorEastAsia" w:hAnsiTheme="minorHAnsi" w:cstheme="minorHAnsi"/>
                <w:noProof/>
              </w:rPr>
              <w:t>: Healthcare</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_Toc81405362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8</w:t>
            </w:r>
            <w:r w:rsidR="00817BDA" w:rsidRPr="009A4711">
              <w:rPr>
                <w:rFonts w:asciiTheme="minorHAnsi" w:hAnsiTheme="minorHAnsi" w:cstheme="minorHAnsi"/>
                <w:noProof/>
                <w:webHidden/>
              </w:rPr>
              <w:fldChar w:fldCharType="end"/>
            </w:r>
          </w:hyperlink>
        </w:p>
        <w:p w14:paraId="4F0E1213" w14:textId="62238CFC" w:rsidR="00817BDA" w:rsidRPr="009A4711" w:rsidRDefault="00E20D41">
          <w:pPr>
            <w:pStyle w:val="TOC2"/>
            <w:tabs>
              <w:tab w:val="right" w:leader="dot" w:pos="10934"/>
            </w:tabs>
            <w:rPr>
              <w:rFonts w:asciiTheme="minorHAnsi" w:eastAsiaTheme="minorEastAsia" w:hAnsiTheme="minorHAnsi" w:cstheme="minorHAnsi"/>
              <w:noProof/>
            </w:rPr>
          </w:pPr>
          <w:hyperlink w:anchor="_Toc81405363" w:history="1">
            <w:r w:rsidR="00817BDA" w:rsidRPr="009A4711">
              <w:rPr>
                <w:rStyle w:val="Hyperlink"/>
                <w:rFonts w:asciiTheme="minorHAnsi" w:eastAsiaTheme="majorEastAsia" w:hAnsiTheme="minorHAnsi" w:cstheme="minorHAnsi"/>
                <w:noProof/>
              </w:rPr>
              <w:t xml:space="preserve">Priority </w:t>
            </w:r>
            <w:r w:rsidR="00517394">
              <w:rPr>
                <w:rStyle w:val="Hyperlink"/>
                <w:rFonts w:asciiTheme="minorHAnsi" w:eastAsiaTheme="majorEastAsia" w:hAnsiTheme="minorHAnsi" w:cstheme="minorHAnsi"/>
                <w:noProof/>
              </w:rPr>
              <w:t>Two</w:t>
            </w:r>
            <w:r w:rsidR="00817BDA" w:rsidRPr="009A4711">
              <w:rPr>
                <w:rStyle w:val="Hyperlink"/>
                <w:rFonts w:asciiTheme="minorHAnsi" w:eastAsiaTheme="majorEastAsia" w:hAnsiTheme="minorHAnsi" w:cstheme="minorHAnsi"/>
                <w:noProof/>
              </w:rPr>
              <w:t>: Hospitality and Tourism</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_Toc81405363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9</w:t>
            </w:r>
            <w:r w:rsidR="00817BDA" w:rsidRPr="009A4711">
              <w:rPr>
                <w:rFonts w:asciiTheme="minorHAnsi" w:hAnsiTheme="minorHAnsi" w:cstheme="minorHAnsi"/>
                <w:noProof/>
                <w:webHidden/>
              </w:rPr>
              <w:fldChar w:fldCharType="end"/>
            </w:r>
          </w:hyperlink>
        </w:p>
        <w:p w14:paraId="69D83925" w14:textId="4217055C" w:rsidR="00817BDA" w:rsidRPr="009A4711" w:rsidRDefault="00E20D41">
          <w:pPr>
            <w:pStyle w:val="TOC2"/>
            <w:tabs>
              <w:tab w:val="right" w:leader="dot" w:pos="10934"/>
            </w:tabs>
            <w:rPr>
              <w:rFonts w:asciiTheme="minorHAnsi" w:eastAsiaTheme="minorEastAsia" w:hAnsiTheme="minorHAnsi" w:cstheme="minorHAnsi"/>
              <w:noProof/>
            </w:rPr>
          </w:pPr>
          <w:hyperlink w:anchor="_Toc81405364" w:history="1">
            <w:r w:rsidR="00817BDA" w:rsidRPr="009A4711">
              <w:rPr>
                <w:rStyle w:val="Hyperlink"/>
                <w:rFonts w:asciiTheme="minorHAnsi" w:eastAsiaTheme="majorEastAsia" w:hAnsiTheme="minorHAnsi" w:cstheme="minorHAnsi"/>
                <w:noProof/>
              </w:rPr>
              <w:t xml:space="preserve">Priority </w:t>
            </w:r>
            <w:r w:rsidR="00517394">
              <w:rPr>
                <w:rStyle w:val="Hyperlink"/>
                <w:rFonts w:asciiTheme="minorHAnsi" w:eastAsiaTheme="majorEastAsia" w:hAnsiTheme="minorHAnsi" w:cstheme="minorHAnsi"/>
                <w:noProof/>
              </w:rPr>
              <w:t>Three</w:t>
            </w:r>
            <w:r w:rsidR="00817BDA" w:rsidRPr="009A4711">
              <w:rPr>
                <w:rStyle w:val="Hyperlink"/>
                <w:rFonts w:asciiTheme="minorHAnsi" w:eastAsiaTheme="majorEastAsia" w:hAnsiTheme="minorHAnsi" w:cstheme="minorHAnsi"/>
                <w:noProof/>
              </w:rPr>
              <w:t>: Manufacturing and Construction</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_Toc81405364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9</w:t>
            </w:r>
            <w:r w:rsidR="00817BDA" w:rsidRPr="009A4711">
              <w:rPr>
                <w:rFonts w:asciiTheme="minorHAnsi" w:hAnsiTheme="minorHAnsi" w:cstheme="minorHAnsi"/>
                <w:noProof/>
                <w:webHidden/>
              </w:rPr>
              <w:fldChar w:fldCharType="end"/>
            </w:r>
          </w:hyperlink>
        </w:p>
        <w:p w14:paraId="27151CE8" w14:textId="03BA5709" w:rsidR="00817BDA" w:rsidRPr="009A4711" w:rsidRDefault="00E20D41">
          <w:pPr>
            <w:pStyle w:val="TOC2"/>
            <w:tabs>
              <w:tab w:val="right" w:leader="dot" w:pos="10934"/>
            </w:tabs>
            <w:rPr>
              <w:rFonts w:asciiTheme="minorHAnsi" w:eastAsiaTheme="minorEastAsia" w:hAnsiTheme="minorHAnsi" w:cstheme="minorHAnsi"/>
              <w:noProof/>
            </w:rPr>
          </w:pPr>
          <w:hyperlink w:anchor="_Toc81405365" w:history="1">
            <w:r w:rsidR="00817BDA" w:rsidRPr="009A4711">
              <w:rPr>
                <w:rStyle w:val="Hyperlink"/>
                <w:rFonts w:asciiTheme="minorHAnsi" w:eastAsiaTheme="majorEastAsia" w:hAnsiTheme="minorHAnsi" w:cstheme="minorHAnsi"/>
                <w:noProof/>
              </w:rPr>
              <w:t xml:space="preserve">Priority </w:t>
            </w:r>
            <w:r w:rsidR="00517394">
              <w:rPr>
                <w:rStyle w:val="Hyperlink"/>
                <w:rFonts w:asciiTheme="minorHAnsi" w:eastAsiaTheme="majorEastAsia" w:hAnsiTheme="minorHAnsi" w:cstheme="minorHAnsi"/>
                <w:noProof/>
              </w:rPr>
              <w:t>Four</w:t>
            </w:r>
            <w:r w:rsidR="00817BDA" w:rsidRPr="009A4711">
              <w:rPr>
                <w:rStyle w:val="Hyperlink"/>
                <w:rFonts w:asciiTheme="minorHAnsi" w:eastAsiaTheme="majorEastAsia" w:hAnsiTheme="minorHAnsi" w:cstheme="minorHAnsi"/>
                <w:noProof/>
              </w:rPr>
              <w:t xml:space="preserve">: STEM </w:t>
            </w:r>
            <w:r w:rsidR="00517394">
              <w:rPr>
                <w:rStyle w:val="Hyperlink"/>
                <w:rFonts w:asciiTheme="minorHAnsi" w:eastAsiaTheme="majorEastAsia" w:hAnsiTheme="minorHAnsi" w:cstheme="minorHAnsi"/>
                <w:noProof/>
              </w:rPr>
              <w:t>and</w:t>
            </w:r>
            <w:r w:rsidR="00817BDA" w:rsidRPr="009A4711">
              <w:rPr>
                <w:rStyle w:val="Hyperlink"/>
                <w:rFonts w:asciiTheme="minorHAnsi" w:eastAsiaTheme="majorEastAsia" w:hAnsiTheme="minorHAnsi" w:cstheme="minorHAnsi"/>
                <w:noProof/>
              </w:rPr>
              <w:t xml:space="preserve"> Innovation</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_Toc81405365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10</w:t>
            </w:r>
            <w:r w:rsidR="00817BDA" w:rsidRPr="009A4711">
              <w:rPr>
                <w:rFonts w:asciiTheme="minorHAnsi" w:hAnsiTheme="minorHAnsi" w:cstheme="minorHAnsi"/>
                <w:noProof/>
                <w:webHidden/>
              </w:rPr>
              <w:fldChar w:fldCharType="end"/>
            </w:r>
          </w:hyperlink>
        </w:p>
        <w:p w14:paraId="7002A94D" w14:textId="6E3614D0" w:rsidR="00817BDA" w:rsidRPr="009A4711" w:rsidRDefault="00E20D41">
          <w:pPr>
            <w:pStyle w:val="TOC2"/>
            <w:tabs>
              <w:tab w:val="right" w:leader="dot" w:pos="10934"/>
            </w:tabs>
            <w:rPr>
              <w:rFonts w:asciiTheme="minorHAnsi" w:eastAsiaTheme="minorEastAsia" w:hAnsiTheme="minorHAnsi" w:cstheme="minorHAnsi"/>
              <w:noProof/>
            </w:rPr>
          </w:pPr>
          <w:hyperlink w:anchor="_Toc81405366" w:history="1">
            <w:r w:rsidR="00817BDA" w:rsidRPr="009A4711">
              <w:rPr>
                <w:rStyle w:val="Hyperlink"/>
                <w:rFonts w:asciiTheme="minorHAnsi" w:eastAsiaTheme="majorEastAsia" w:hAnsiTheme="minorHAnsi" w:cstheme="minorHAnsi"/>
                <w:noProof/>
              </w:rPr>
              <w:t xml:space="preserve">Priority </w:t>
            </w:r>
            <w:r w:rsidR="00517394">
              <w:rPr>
                <w:rStyle w:val="Hyperlink"/>
                <w:rFonts w:asciiTheme="minorHAnsi" w:eastAsiaTheme="majorEastAsia" w:hAnsiTheme="minorHAnsi" w:cstheme="minorHAnsi"/>
                <w:noProof/>
              </w:rPr>
              <w:t>Five</w:t>
            </w:r>
            <w:r w:rsidR="00817BDA" w:rsidRPr="009A4711">
              <w:rPr>
                <w:rStyle w:val="Hyperlink"/>
                <w:rFonts w:asciiTheme="minorHAnsi" w:eastAsiaTheme="majorEastAsia" w:hAnsiTheme="minorHAnsi" w:cstheme="minorHAnsi"/>
                <w:noProof/>
              </w:rPr>
              <w:t>: Upper Hunter</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_Toc81405366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11</w:t>
            </w:r>
            <w:r w:rsidR="00817BDA" w:rsidRPr="009A4711">
              <w:rPr>
                <w:rFonts w:asciiTheme="minorHAnsi" w:hAnsiTheme="minorHAnsi" w:cstheme="minorHAnsi"/>
                <w:noProof/>
                <w:webHidden/>
              </w:rPr>
              <w:fldChar w:fldCharType="end"/>
            </w:r>
          </w:hyperlink>
        </w:p>
        <w:p w14:paraId="3125D194" w14:textId="69A945C2" w:rsidR="00817BDA" w:rsidRPr="009A4711" w:rsidRDefault="00E20D41">
          <w:pPr>
            <w:pStyle w:val="TOC1"/>
            <w:tabs>
              <w:tab w:val="right" w:leader="dot" w:pos="10934"/>
            </w:tabs>
            <w:rPr>
              <w:rFonts w:asciiTheme="minorHAnsi" w:eastAsiaTheme="minorEastAsia" w:hAnsiTheme="minorHAnsi" w:cstheme="minorHAnsi"/>
              <w:noProof/>
            </w:rPr>
          </w:pPr>
          <w:hyperlink w:anchor="_Toc81405367" w:history="1">
            <w:r w:rsidR="00817BDA" w:rsidRPr="009A4711">
              <w:rPr>
                <w:rStyle w:val="Hyperlink"/>
                <w:rFonts w:asciiTheme="minorHAnsi" w:eastAsiaTheme="majorEastAsia" w:hAnsiTheme="minorHAnsi" w:cstheme="minorHAnsi"/>
                <w:b/>
                <w:bCs/>
                <w:noProof/>
              </w:rPr>
              <w:t>Delivery Strategies</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_Toc81405367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11</w:t>
            </w:r>
            <w:r w:rsidR="00817BDA" w:rsidRPr="009A4711">
              <w:rPr>
                <w:rFonts w:asciiTheme="minorHAnsi" w:hAnsiTheme="minorHAnsi" w:cstheme="minorHAnsi"/>
                <w:noProof/>
                <w:webHidden/>
              </w:rPr>
              <w:fldChar w:fldCharType="end"/>
            </w:r>
          </w:hyperlink>
        </w:p>
        <w:p w14:paraId="12E5F61B" w14:textId="1F13917C" w:rsidR="00817BDA" w:rsidRPr="009A4711" w:rsidRDefault="00E20D41">
          <w:pPr>
            <w:pStyle w:val="TOC1"/>
            <w:tabs>
              <w:tab w:val="right" w:leader="dot" w:pos="10934"/>
            </w:tabs>
            <w:rPr>
              <w:rFonts w:asciiTheme="minorHAnsi" w:eastAsiaTheme="minorEastAsia" w:hAnsiTheme="minorHAnsi" w:cstheme="minorHAnsi"/>
              <w:noProof/>
            </w:rPr>
          </w:pPr>
          <w:hyperlink w:anchor="_Toc81405368" w:history="1">
            <w:r w:rsidR="00817BDA" w:rsidRPr="009A4711">
              <w:rPr>
                <w:rStyle w:val="Hyperlink"/>
                <w:rFonts w:asciiTheme="minorHAnsi" w:eastAsiaTheme="majorEastAsia" w:hAnsiTheme="minorHAnsi" w:cstheme="minorHAnsi"/>
                <w:b/>
                <w:bCs/>
                <w:noProof/>
              </w:rPr>
              <w:t>Alignment with Other Plans</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_Toc81405368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12</w:t>
            </w:r>
            <w:r w:rsidR="00817BDA" w:rsidRPr="009A4711">
              <w:rPr>
                <w:rFonts w:asciiTheme="minorHAnsi" w:hAnsiTheme="minorHAnsi" w:cstheme="minorHAnsi"/>
                <w:noProof/>
                <w:webHidden/>
              </w:rPr>
              <w:fldChar w:fldCharType="end"/>
            </w:r>
          </w:hyperlink>
        </w:p>
        <w:p w14:paraId="1B1F2D66" w14:textId="212D8C24" w:rsidR="00817BDA" w:rsidRPr="009A4711" w:rsidRDefault="00E20D41">
          <w:pPr>
            <w:pStyle w:val="TOC1"/>
            <w:tabs>
              <w:tab w:val="right" w:leader="dot" w:pos="10934"/>
            </w:tabs>
            <w:rPr>
              <w:rFonts w:asciiTheme="minorHAnsi" w:eastAsiaTheme="minorEastAsia" w:hAnsiTheme="minorHAnsi" w:cstheme="minorHAnsi"/>
              <w:noProof/>
            </w:rPr>
          </w:pPr>
          <w:hyperlink w:anchor="_Toc81405369" w:history="1">
            <w:r w:rsidR="00817BDA" w:rsidRPr="009A4711">
              <w:rPr>
                <w:rStyle w:val="Hyperlink"/>
                <w:rFonts w:asciiTheme="minorHAnsi" w:eastAsiaTheme="majorEastAsia" w:hAnsiTheme="minorHAnsi" w:cstheme="minorHAnsi"/>
                <w:b/>
                <w:bCs/>
                <w:noProof/>
              </w:rPr>
              <w:t xml:space="preserve">Appendix A: Labour market update </w:t>
            </w:r>
            <w:r w:rsidR="000B27DF">
              <w:rPr>
                <w:rStyle w:val="Hyperlink"/>
                <w:rFonts w:asciiTheme="minorHAnsi" w:eastAsiaTheme="majorEastAsia" w:hAnsiTheme="minorHAnsi" w:cstheme="minorHAnsi"/>
                <w:b/>
                <w:bCs/>
                <w:noProof/>
              </w:rPr>
              <w:t>April</w:t>
            </w:r>
            <w:r w:rsidR="0039176C" w:rsidRPr="009A4711">
              <w:rPr>
                <w:rStyle w:val="Hyperlink"/>
                <w:rFonts w:asciiTheme="minorHAnsi" w:eastAsiaTheme="majorEastAsia" w:hAnsiTheme="minorHAnsi" w:cstheme="minorHAnsi"/>
                <w:b/>
                <w:bCs/>
                <w:noProof/>
              </w:rPr>
              <w:t xml:space="preserve"> </w:t>
            </w:r>
            <w:r w:rsidR="00817BDA" w:rsidRPr="009A4711">
              <w:rPr>
                <w:rStyle w:val="Hyperlink"/>
                <w:rFonts w:asciiTheme="minorHAnsi" w:eastAsiaTheme="majorEastAsia" w:hAnsiTheme="minorHAnsi" w:cstheme="minorHAnsi"/>
                <w:b/>
                <w:bCs/>
                <w:noProof/>
              </w:rPr>
              <w:t>202</w:t>
            </w:r>
            <w:r w:rsidR="000B27DF">
              <w:rPr>
                <w:rStyle w:val="Hyperlink"/>
                <w:rFonts w:asciiTheme="minorHAnsi" w:eastAsiaTheme="majorEastAsia" w:hAnsiTheme="minorHAnsi" w:cstheme="minorHAnsi"/>
                <w:b/>
                <w:bCs/>
                <w:noProof/>
              </w:rPr>
              <w:t>2</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_Toc81405369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13</w:t>
            </w:r>
            <w:r w:rsidR="00817BDA" w:rsidRPr="009A4711">
              <w:rPr>
                <w:rFonts w:asciiTheme="minorHAnsi" w:hAnsiTheme="minorHAnsi" w:cstheme="minorHAnsi"/>
                <w:noProof/>
                <w:webHidden/>
              </w:rPr>
              <w:fldChar w:fldCharType="end"/>
            </w:r>
          </w:hyperlink>
        </w:p>
        <w:p w14:paraId="161D4F64" w14:textId="412D1FB7" w:rsidR="00817BDA" w:rsidRPr="009A4711" w:rsidRDefault="00E20D41">
          <w:pPr>
            <w:pStyle w:val="TOC1"/>
            <w:tabs>
              <w:tab w:val="right" w:leader="dot" w:pos="10934"/>
            </w:tabs>
            <w:rPr>
              <w:rFonts w:asciiTheme="minorHAnsi" w:eastAsiaTheme="minorEastAsia" w:hAnsiTheme="minorHAnsi" w:cstheme="minorHAnsi"/>
              <w:noProof/>
            </w:rPr>
          </w:pPr>
          <w:hyperlink w:anchor="_Toc81405370" w:history="1">
            <w:r w:rsidR="00817BDA" w:rsidRPr="009A4711">
              <w:rPr>
                <w:rStyle w:val="Hyperlink"/>
                <w:rFonts w:asciiTheme="minorHAnsi" w:eastAsiaTheme="majorEastAsia" w:hAnsiTheme="minorHAnsi" w:cstheme="minorHAnsi"/>
                <w:b/>
                <w:bCs/>
                <w:noProof/>
              </w:rPr>
              <w:t>Appendix B: Other Regional Information and Data</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_Toc81405370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14</w:t>
            </w:r>
            <w:r w:rsidR="00817BDA" w:rsidRPr="009A4711">
              <w:rPr>
                <w:rFonts w:asciiTheme="minorHAnsi" w:hAnsiTheme="minorHAnsi" w:cstheme="minorHAnsi"/>
                <w:noProof/>
                <w:webHidden/>
              </w:rPr>
              <w:fldChar w:fldCharType="end"/>
            </w:r>
          </w:hyperlink>
        </w:p>
        <w:p w14:paraId="7D7B5EAE" w14:textId="109CDE65" w:rsidR="00817BDA" w:rsidRPr="009A4711" w:rsidRDefault="00E20D41">
          <w:pPr>
            <w:pStyle w:val="TOC2"/>
            <w:tabs>
              <w:tab w:val="right" w:leader="dot" w:pos="10934"/>
            </w:tabs>
            <w:rPr>
              <w:rFonts w:asciiTheme="minorHAnsi" w:eastAsiaTheme="minorEastAsia" w:hAnsiTheme="minorHAnsi" w:cstheme="minorHAnsi"/>
              <w:noProof/>
            </w:rPr>
          </w:pPr>
          <w:hyperlink w:anchor="_Toc81405371" w:history="1">
            <w:r w:rsidR="00817BDA" w:rsidRPr="009A4711">
              <w:rPr>
                <w:rStyle w:val="Hyperlink"/>
                <w:rFonts w:asciiTheme="minorHAnsi" w:eastAsiaTheme="majorEastAsia" w:hAnsiTheme="minorHAnsi" w:cstheme="minorHAnsi"/>
                <w:noProof/>
              </w:rPr>
              <w:t>Large Employers</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_Toc81405371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15</w:t>
            </w:r>
            <w:r w:rsidR="00817BDA" w:rsidRPr="009A4711">
              <w:rPr>
                <w:rFonts w:asciiTheme="minorHAnsi" w:hAnsiTheme="minorHAnsi" w:cstheme="minorHAnsi"/>
                <w:noProof/>
                <w:webHidden/>
              </w:rPr>
              <w:fldChar w:fldCharType="end"/>
            </w:r>
          </w:hyperlink>
        </w:p>
        <w:p w14:paraId="00EC31A0" w14:textId="1496BD31" w:rsidR="00817BDA" w:rsidRPr="009A4711" w:rsidRDefault="00E20D41">
          <w:pPr>
            <w:pStyle w:val="TOC2"/>
            <w:tabs>
              <w:tab w:val="right" w:leader="dot" w:pos="10934"/>
            </w:tabs>
            <w:rPr>
              <w:rFonts w:asciiTheme="minorHAnsi" w:eastAsiaTheme="minorEastAsia" w:hAnsiTheme="minorHAnsi" w:cstheme="minorHAnsi"/>
              <w:noProof/>
            </w:rPr>
          </w:pPr>
          <w:hyperlink w:anchor="_Toc81405372" w:history="1">
            <w:r w:rsidR="00817BDA" w:rsidRPr="009A4711">
              <w:rPr>
                <w:rStyle w:val="Hyperlink"/>
                <w:rFonts w:asciiTheme="minorHAnsi" w:eastAsiaTheme="majorEastAsia" w:hAnsiTheme="minorHAnsi" w:cstheme="minorHAnsi"/>
                <w:noProof/>
              </w:rPr>
              <w:t>Selected Major Projects</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_Toc81405372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15</w:t>
            </w:r>
            <w:r w:rsidR="00817BDA" w:rsidRPr="009A4711">
              <w:rPr>
                <w:rFonts w:asciiTheme="minorHAnsi" w:hAnsiTheme="minorHAnsi" w:cstheme="minorHAnsi"/>
                <w:noProof/>
                <w:webHidden/>
              </w:rPr>
              <w:fldChar w:fldCharType="end"/>
            </w:r>
          </w:hyperlink>
        </w:p>
        <w:p w14:paraId="003876B5" w14:textId="6BDF73DC" w:rsidR="00817BDA" w:rsidRPr="009A4711" w:rsidRDefault="00E20D41">
          <w:pPr>
            <w:pStyle w:val="TOC2"/>
            <w:tabs>
              <w:tab w:val="right" w:leader="dot" w:pos="10934"/>
            </w:tabs>
            <w:rPr>
              <w:rFonts w:asciiTheme="minorHAnsi" w:eastAsiaTheme="minorEastAsia" w:hAnsiTheme="minorHAnsi" w:cstheme="minorHAnsi"/>
              <w:noProof/>
            </w:rPr>
          </w:pPr>
          <w:hyperlink w:anchor="_Toc81405373" w:history="1">
            <w:r w:rsidR="00817BDA" w:rsidRPr="009A4711">
              <w:rPr>
                <w:rStyle w:val="Hyperlink"/>
                <w:rFonts w:asciiTheme="minorHAnsi" w:eastAsiaTheme="majorEastAsia" w:hAnsiTheme="minorHAnsi" w:cstheme="minorHAnsi"/>
                <w:noProof/>
              </w:rPr>
              <w:t>Local Stakeholders and Opportunities</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_Toc81405373 \h </w:instrText>
            </w:r>
            <w:r w:rsidR="00817BDA" w:rsidRPr="009A4711">
              <w:rPr>
                <w:rFonts w:asciiTheme="minorHAnsi" w:hAnsiTheme="minorHAnsi" w:cstheme="minorHAnsi"/>
                <w:noProof/>
                <w:webHidden/>
              </w:rPr>
              <w:fldChar w:fldCharType="separate"/>
            </w:r>
            <w:r>
              <w:rPr>
                <w:rFonts w:asciiTheme="minorHAnsi" w:hAnsiTheme="minorHAnsi" w:cstheme="minorHAnsi"/>
                <w:b/>
                <w:bCs/>
                <w:noProof/>
                <w:webHidden/>
                <w:lang w:val="en-US"/>
              </w:rPr>
              <w:t>Error! Bookmark not defined.</w:t>
            </w:r>
            <w:r w:rsidR="00817BDA" w:rsidRPr="009A4711">
              <w:rPr>
                <w:rFonts w:asciiTheme="minorHAnsi" w:hAnsiTheme="minorHAnsi" w:cstheme="minorHAnsi"/>
                <w:noProof/>
                <w:webHidden/>
              </w:rPr>
              <w:fldChar w:fldCharType="end"/>
            </w:r>
          </w:hyperlink>
        </w:p>
        <w:p w14:paraId="112EBE59" w14:textId="117279A7" w:rsidR="00817BDA" w:rsidRPr="009A4711" w:rsidRDefault="00E20D41">
          <w:pPr>
            <w:pStyle w:val="TOC2"/>
            <w:tabs>
              <w:tab w:val="right" w:leader="dot" w:pos="10934"/>
            </w:tabs>
            <w:rPr>
              <w:rFonts w:asciiTheme="minorHAnsi" w:eastAsiaTheme="minorEastAsia" w:hAnsiTheme="minorHAnsi" w:cstheme="minorHAnsi"/>
              <w:noProof/>
            </w:rPr>
          </w:pPr>
          <w:hyperlink w:anchor="_Toc81405374" w:history="1">
            <w:r w:rsidR="00817BDA" w:rsidRPr="009A4711">
              <w:rPr>
                <w:rStyle w:val="Hyperlink"/>
                <w:rFonts w:asciiTheme="minorHAnsi" w:eastAsiaTheme="majorEastAsia" w:hAnsiTheme="minorHAnsi" w:cstheme="minorHAnsi"/>
                <w:noProof/>
              </w:rPr>
              <w:t>Bushfires and Drought</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_Toc81405374 \h </w:instrText>
            </w:r>
            <w:r w:rsidR="00817BDA" w:rsidRPr="009A4711">
              <w:rPr>
                <w:rFonts w:asciiTheme="minorHAnsi" w:hAnsiTheme="minorHAnsi" w:cstheme="minorHAnsi"/>
                <w:noProof/>
                <w:webHidden/>
              </w:rPr>
              <w:fldChar w:fldCharType="separate"/>
            </w:r>
            <w:r>
              <w:rPr>
                <w:rFonts w:asciiTheme="minorHAnsi" w:hAnsiTheme="minorHAnsi" w:cstheme="minorHAnsi"/>
                <w:b/>
                <w:bCs/>
                <w:noProof/>
                <w:webHidden/>
                <w:lang w:val="en-US"/>
              </w:rPr>
              <w:t>Error! Bookmark not defined.</w:t>
            </w:r>
            <w:r w:rsidR="00817BDA" w:rsidRPr="009A4711">
              <w:rPr>
                <w:rFonts w:asciiTheme="minorHAnsi" w:hAnsiTheme="minorHAnsi" w:cstheme="minorHAnsi"/>
                <w:noProof/>
                <w:webHidden/>
              </w:rPr>
              <w:fldChar w:fldCharType="end"/>
            </w:r>
          </w:hyperlink>
        </w:p>
        <w:p w14:paraId="49490AF9" w14:textId="1092D95B" w:rsidR="00817BDA" w:rsidRPr="009A4711" w:rsidRDefault="00E20D41">
          <w:pPr>
            <w:pStyle w:val="TOC3"/>
            <w:tabs>
              <w:tab w:val="right" w:leader="dot" w:pos="10934"/>
            </w:tabs>
            <w:rPr>
              <w:rFonts w:asciiTheme="minorHAnsi" w:eastAsiaTheme="minorEastAsia" w:hAnsiTheme="minorHAnsi" w:cstheme="minorHAnsi"/>
              <w:noProof/>
            </w:rPr>
          </w:pPr>
          <w:hyperlink w:anchor="_Toc81405375" w:history="1">
            <w:r w:rsidR="00817BDA" w:rsidRPr="009A4711">
              <w:rPr>
                <w:rStyle w:val="Hyperlink"/>
                <w:rFonts w:asciiTheme="minorHAnsi" w:eastAsiaTheme="majorEastAsia" w:hAnsiTheme="minorHAnsi" w:cstheme="minorHAnsi"/>
                <w:noProof/>
              </w:rPr>
              <w:t>A Note on Comparing Data</w:t>
            </w:r>
            <w:r w:rsidR="00817BDA" w:rsidRPr="009A4711">
              <w:rPr>
                <w:rFonts w:asciiTheme="minorHAnsi" w:hAnsiTheme="minorHAnsi" w:cstheme="minorHAnsi"/>
                <w:noProof/>
                <w:webHidden/>
              </w:rPr>
              <w:tab/>
            </w:r>
            <w:r w:rsidR="00817BDA" w:rsidRPr="009A4711">
              <w:rPr>
                <w:rFonts w:asciiTheme="minorHAnsi" w:hAnsiTheme="minorHAnsi" w:cstheme="minorHAnsi"/>
                <w:noProof/>
                <w:webHidden/>
              </w:rPr>
              <w:fldChar w:fldCharType="begin"/>
            </w:r>
            <w:r w:rsidR="00817BDA" w:rsidRPr="009A4711">
              <w:rPr>
                <w:rFonts w:asciiTheme="minorHAnsi" w:hAnsiTheme="minorHAnsi" w:cstheme="minorHAnsi"/>
                <w:noProof/>
                <w:webHidden/>
              </w:rPr>
              <w:instrText xml:space="preserve"> PAGEREF _Toc81405375 \h </w:instrText>
            </w:r>
            <w:r w:rsidR="00817BDA" w:rsidRPr="009A4711">
              <w:rPr>
                <w:rFonts w:asciiTheme="minorHAnsi" w:hAnsiTheme="minorHAnsi" w:cstheme="minorHAnsi"/>
                <w:noProof/>
                <w:webHidden/>
              </w:rPr>
            </w:r>
            <w:r w:rsidR="00817BDA" w:rsidRPr="009A4711">
              <w:rPr>
                <w:rFonts w:asciiTheme="minorHAnsi" w:hAnsiTheme="minorHAnsi" w:cstheme="minorHAnsi"/>
                <w:noProof/>
                <w:webHidden/>
              </w:rPr>
              <w:fldChar w:fldCharType="separate"/>
            </w:r>
            <w:r>
              <w:rPr>
                <w:rFonts w:asciiTheme="minorHAnsi" w:hAnsiTheme="minorHAnsi" w:cstheme="minorHAnsi"/>
                <w:noProof/>
                <w:webHidden/>
              </w:rPr>
              <w:t>18</w:t>
            </w:r>
            <w:r w:rsidR="00817BDA" w:rsidRPr="009A4711">
              <w:rPr>
                <w:rFonts w:asciiTheme="minorHAnsi" w:hAnsiTheme="minorHAnsi" w:cstheme="minorHAnsi"/>
                <w:noProof/>
                <w:webHidden/>
              </w:rPr>
              <w:fldChar w:fldCharType="end"/>
            </w:r>
          </w:hyperlink>
        </w:p>
        <w:p w14:paraId="5E319A1C" w14:textId="4303F26F" w:rsidR="00E307C4" w:rsidRPr="009A4711" w:rsidRDefault="00E307C4" w:rsidP="00E307C4">
          <w:pPr>
            <w:pStyle w:val="TOC1"/>
            <w:tabs>
              <w:tab w:val="right" w:leader="dot" w:pos="9016"/>
            </w:tabs>
            <w:rPr>
              <w:rFonts w:asciiTheme="minorHAnsi" w:hAnsiTheme="minorHAnsi" w:cstheme="minorHAnsi"/>
              <w:b/>
              <w:bCs/>
              <w:noProof/>
            </w:rPr>
          </w:pPr>
          <w:r w:rsidRPr="009A4711">
            <w:rPr>
              <w:rFonts w:asciiTheme="minorHAnsi" w:hAnsiTheme="minorHAnsi" w:cstheme="minorHAnsi"/>
              <w:b/>
              <w:bCs/>
              <w:noProof/>
            </w:rPr>
            <w:fldChar w:fldCharType="end"/>
          </w:r>
        </w:p>
      </w:sdtContent>
    </w:sdt>
    <w:p w14:paraId="219505E8" w14:textId="1743DCF6" w:rsidR="00931DB5" w:rsidRDefault="00077125" w:rsidP="00956071">
      <w:pPr>
        <w:autoSpaceDE w:val="0"/>
        <w:autoSpaceDN w:val="0"/>
        <w:adjustRightInd w:val="0"/>
        <w:jc w:val="center"/>
        <w:rPr>
          <w:rFonts w:asciiTheme="minorHAnsi" w:eastAsia="Calibri" w:hAnsiTheme="minorHAnsi" w:cstheme="minorHAnsi"/>
          <w:i/>
          <w:iCs/>
          <w:color w:val="002060"/>
        </w:rPr>
      </w:pPr>
      <w:r w:rsidRPr="00E04D29">
        <w:rPr>
          <w:rFonts w:asciiTheme="minorHAnsi" w:eastAsia="Calibri" w:hAnsiTheme="minorHAnsi" w:cstheme="minorHAnsi"/>
          <w:i/>
          <w:iCs/>
          <w:color w:val="002060"/>
        </w:rPr>
        <w:br w:type="page"/>
      </w:r>
    </w:p>
    <w:p w14:paraId="29479829" w14:textId="21809473" w:rsidR="00931DB5" w:rsidRDefault="00931DB5" w:rsidP="00956071">
      <w:pPr>
        <w:autoSpaceDE w:val="0"/>
        <w:autoSpaceDN w:val="0"/>
        <w:adjustRightInd w:val="0"/>
        <w:jc w:val="center"/>
        <w:rPr>
          <w:rFonts w:asciiTheme="minorHAnsi" w:eastAsia="Calibri" w:hAnsiTheme="minorHAnsi" w:cstheme="minorHAnsi"/>
          <w:i/>
          <w:iCs/>
          <w:color w:val="002060"/>
        </w:rPr>
      </w:pPr>
      <w:r>
        <w:rPr>
          <w:rFonts w:asciiTheme="minorHAnsi" w:eastAsia="Calibri" w:hAnsiTheme="minorHAnsi" w:cstheme="minorHAnsi"/>
          <w:i/>
          <w:iCs/>
          <w:noProof/>
          <w:color w:val="002060"/>
        </w:rPr>
        <w:lastRenderedPageBreak/>
        <mc:AlternateContent>
          <mc:Choice Requires="wps">
            <w:drawing>
              <wp:anchor distT="0" distB="0" distL="114300" distR="114300" simplePos="0" relativeHeight="251665408" behindDoc="0" locked="0" layoutInCell="1" allowOverlap="1" wp14:anchorId="49B7F56B" wp14:editId="79A5D68D">
                <wp:simplePos x="0" y="0"/>
                <wp:positionH relativeFrom="column">
                  <wp:posOffset>-10432</wp:posOffset>
                </wp:positionH>
                <wp:positionV relativeFrom="paragraph">
                  <wp:posOffset>-385445</wp:posOffset>
                </wp:positionV>
                <wp:extent cx="6781800" cy="936171"/>
                <wp:effectExtent l="0" t="0" r="12700" b="16510"/>
                <wp:wrapNone/>
                <wp:docPr id="2" name="Rectangle 2"/>
                <wp:cNvGraphicFramePr/>
                <a:graphic xmlns:a="http://schemas.openxmlformats.org/drawingml/2006/main">
                  <a:graphicData uri="http://schemas.microsoft.com/office/word/2010/wordprocessingShape">
                    <wps:wsp>
                      <wps:cNvSpPr/>
                      <wps:spPr>
                        <a:xfrm>
                          <a:off x="0" y="0"/>
                          <a:ext cx="6781800" cy="936171"/>
                        </a:xfrm>
                        <a:prstGeom prst="rect">
                          <a:avLst/>
                        </a:prstGeom>
                        <a:solidFill>
                          <a:schemeClr val="bg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86308" w14:textId="77777777" w:rsidR="00931DB5" w:rsidRPr="00931DB5" w:rsidRDefault="00931DB5" w:rsidP="00931DB5">
                            <w:pPr>
                              <w:autoSpaceDE w:val="0"/>
                              <w:autoSpaceDN w:val="0"/>
                              <w:adjustRightInd w:val="0"/>
                              <w:jc w:val="center"/>
                              <w:rPr>
                                <w:rFonts w:asciiTheme="minorHAnsi" w:hAnsiTheme="minorHAnsi" w:cstheme="minorHAnsi"/>
                                <w:color w:val="000000" w:themeColor="text1"/>
                                <w:sz w:val="22"/>
                                <w:szCs w:val="22"/>
                              </w:rPr>
                            </w:pPr>
                            <w:r w:rsidRPr="00931DB5">
                              <w:rPr>
                                <w:rFonts w:asciiTheme="minorHAnsi" w:eastAsia="Calibri" w:hAnsiTheme="minorHAnsi" w:cstheme="minorHAnsi"/>
                                <w:color w:val="000000" w:themeColor="text1"/>
                                <w:sz w:val="22"/>
                                <w:szCs w:val="22"/>
                              </w:rPr>
                              <w:t>The Department of Education, Skills and Employment acknowledges the traditional ownership, custodianship and ongoing connection to country of the Traditional Owners of the lands known as the ‘Hunter Region’– The Awabakal, Darkinjung, Geawaegal, Gomeroi/Kamilaroi, Gringai, Wonnarua/Wanaruah, and Worimi. We pay our respects to their people, cultures and their Elders past, present and emerging, and to all Aboriginal and Torres Strait Islander people in the Hunter Region.</w:t>
                            </w:r>
                            <w:r w:rsidRPr="00931DB5">
                              <w:rPr>
                                <w:rFonts w:asciiTheme="minorHAnsi" w:hAnsiTheme="minorHAnsi" w:cstheme="minorHAnsi"/>
                                <w:color w:val="000000" w:themeColor="text1"/>
                                <w:sz w:val="22"/>
                                <w:szCs w:val="22"/>
                              </w:rPr>
                              <w:t xml:space="preserve"> </w:t>
                            </w:r>
                          </w:p>
                          <w:p w14:paraId="6DCE743F" w14:textId="77777777" w:rsidR="00931DB5" w:rsidRPr="00931DB5" w:rsidRDefault="00931DB5" w:rsidP="00931DB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7F56B" id="Rectangle 2" o:spid="_x0000_s1026" style="position:absolute;left:0;text-align:left;margin-left:-.8pt;margin-top:-30.35pt;width:534pt;height:73.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" fillcolor="#cbcbcb [1308]" strokecolor="black [3213]" strokeweight=".25pt">
                <v:textbox>
                  <w:txbxContent>
                    <w:p w14:paraId="75E86308" w14:textId="77777777" w:rsidR="00931DB5" w:rsidRPr="00931DB5" w:rsidRDefault="00931DB5" w:rsidP="00931DB5">
                      <w:pPr>
                        <w:autoSpaceDE w:val="0"/>
                        <w:autoSpaceDN w:val="0"/>
                        <w:adjustRightInd w:val="0"/>
                        <w:jc w:val="center"/>
                        <w:rPr>
                          <w:rFonts w:asciiTheme="minorHAnsi" w:hAnsiTheme="minorHAnsi" w:cstheme="minorHAnsi"/>
                          <w:color w:val="000000" w:themeColor="text1"/>
                          <w:sz w:val="22"/>
                          <w:szCs w:val="22"/>
                        </w:rPr>
                      </w:pPr>
                      <w:r w:rsidRPr="00931DB5">
                        <w:rPr>
                          <w:rFonts w:asciiTheme="minorHAnsi" w:eastAsia="Calibri" w:hAnsiTheme="minorHAnsi" w:cstheme="minorHAnsi"/>
                          <w:color w:val="000000" w:themeColor="text1"/>
                          <w:sz w:val="22"/>
                          <w:szCs w:val="22"/>
                        </w:rPr>
                        <w:t xml:space="preserve">The Department of Education, Skills and Employment acknowledges the traditional ownership, </w:t>
                      </w:r>
                      <w:proofErr w:type="gramStart"/>
                      <w:r w:rsidRPr="00931DB5">
                        <w:rPr>
                          <w:rFonts w:asciiTheme="minorHAnsi" w:eastAsia="Calibri" w:hAnsiTheme="minorHAnsi" w:cstheme="minorHAnsi"/>
                          <w:color w:val="000000" w:themeColor="text1"/>
                          <w:sz w:val="22"/>
                          <w:szCs w:val="22"/>
                        </w:rPr>
                        <w:t>custodianship</w:t>
                      </w:r>
                      <w:proofErr w:type="gramEnd"/>
                      <w:r w:rsidRPr="00931DB5">
                        <w:rPr>
                          <w:rFonts w:asciiTheme="minorHAnsi" w:eastAsia="Calibri" w:hAnsiTheme="minorHAnsi" w:cstheme="minorHAnsi"/>
                          <w:color w:val="000000" w:themeColor="text1"/>
                          <w:sz w:val="22"/>
                          <w:szCs w:val="22"/>
                        </w:rPr>
                        <w:t xml:space="preserve"> and ongoing connection to country of the Traditional Owners of the lands known as the ‘Hunter Region’– The Awabakal, Darkinjung, Geawaegal, Gomeroi/Kamilaroi, Gringai, Wonnarua/Wanaruah, and Worimi. We pay our respects to their people, </w:t>
                      </w:r>
                      <w:proofErr w:type="gramStart"/>
                      <w:r w:rsidRPr="00931DB5">
                        <w:rPr>
                          <w:rFonts w:asciiTheme="minorHAnsi" w:eastAsia="Calibri" w:hAnsiTheme="minorHAnsi" w:cstheme="minorHAnsi"/>
                          <w:color w:val="000000" w:themeColor="text1"/>
                          <w:sz w:val="22"/>
                          <w:szCs w:val="22"/>
                        </w:rPr>
                        <w:t>cultures</w:t>
                      </w:r>
                      <w:proofErr w:type="gramEnd"/>
                      <w:r w:rsidRPr="00931DB5">
                        <w:rPr>
                          <w:rFonts w:asciiTheme="minorHAnsi" w:eastAsia="Calibri" w:hAnsiTheme="minorHAnsi" w:cstheme="minorHAnsi"/>
                          <w:color w:val="000000" w:themeColor="text1"/>
                          <w:sz w:val="22"/>
                          <w:szCs w:val="22"/>
                        </w:rPr>
                        <w:t xml:space="preserve"> and their Elders past, present and emerging, and to all Aboriginal and Torres Strait Islander people in the Hunter Region.</w:t>
                      </w:r>
                      <w:r w:rsidRPr="00931DB5">
                        <w:rPr>
                          <w:rFonts w:asciiTheme="minorHAnsi" w:hAnsiTheme="minorHAnsi" w:cstheme="minorHAnsi"/>
                          <w:color w:val="000000" w:themeColor="text1"/>
                          <w:sz w:val="22"/>
                          <w:szCs w:val="22"/>
                        </w:rPr>
                        <w:t xml:space="preserve"> </w:t>
                      </w:r>
                    </w:p>
                    <w:p w14:paraId="6DCE743F" w14:textId="77777777" w:rsidR="00931DB5" w:rsidRPr="00931DB5" w:rsidRDefault="00931DB5" w:rsidP="00931DB5">
                      <w:pPr>
                        <w:jc w:val="center"/>
                        <w:rPr>
                          <w:sz w:val="22"/>
                          <w:szCs w:val="22"/>
                        </w:rPr>
                      </w:pPr>
                    </w:p>
                  </w:txbxContent>
                </v:textbox>
              </v:rect>
            </w:pict>
          </mc:Fallback>
        </mc:AlternateContent>
      </w:r>
    </w:p>
    <w:p w14:paraId="57AD96AE" w14:textId="0A0E97E8" w:rsidR="00E04D29" w:rsidRDefault="00E04D29" w:rsidP="00BD3AD5">
      <w:pPr>
        <w:pStyle w:val="Heading1"/>
        <w:rPr>
          <w:rStyle w:val="Heading1Char"/>
          <w:rFonts w:asciiTheme="minorHAnsi" w:hAnsiTheme="minorHAnsi" w:cstheme="minorHAnsi"/>
          <w:sz w:val="23"/>
          <w:szCs w:val="23"/>
        </w:rPr>
      </w:pPr>
      <w:bookmarkStart w:id="48" w:name="_Toc54275701"/>
    </w:p>
    <w:bookmarkEnd w:id="48"/>
    <w:p w14:paraId="09308A56" w14:textId="77777777" w:rsidR="00931DB5" w:rsidRDefault="00931DB5" w:rsidP="00BD3AD5">
      <w:pPr>
        <w:pStyle w:val="Heading1"/>
        <w:rPr>
          <w:rStyle w:val="Heading1Char"/>
          <w:rFonts w:asciiTheme="minorHAnsi" w:hAnsiTheme="minorHAnsi" w:cstheme="minorHAnsi"/>
          <w:sz w:val="23"/>
          <w:szCs w:val="23"/>
        </w:rPr>
      </w:pPr>
    </w:p>
    <w:p w14:paraId="45CF98D2" w14:textId="77777777" w:rsidR="00931DB5" w:rsidRDefault="00931DB5" w:rsidP="00BD3AD5">
      <w:pPr>
        <w:pStyle w:val="Heading1"/>
        <w:rPr>
          <w:rStyle w:val="Heading1Char"/>
          <w:rFonts w:asciiTheme="minorHAnsi" w:hAnsiTheme="minorHAnsi" w:cstheme="minorHAnsi"/>
          <w:sz w:val="23"/>
          <w:szCs w:val="23"/>
        </w:rPr>
      </w:pPr>
    </w:p>
    <w:p w14:paraId="29EBD4FE" w14:textId="1B191D52" w:rsidR="00B75046" w:rsidRPr="007D1210" w:rsidRDefault="00B75046" w:rsidP="00B75046">
      <w:pPr>
        <w:pStyle w:val="Heading1"/>
        <w:rPr>
          <w:noProof w:val="0"/>
        </w:rPr>
      </w:pPr>
      <w:bookmarkStart w:id="49" w:name="_Toc77241018"/>
      <w:bookmarkStart w:id="50" w:name="_Toc81405356"/>
      <w:r w:rsidRPr="007D1210">
        <w:rPr>
          <w:noProof w:val="0"/>
        </w:rPr>
        <w:t>The Local Jobs Program</w:t>
      </w:r>
      <w:bookmarkEnd w:id="49"/>
      <w:r w:rsidRPr="007D1210">
        <w:rPr>
          <w:noProof w:val="0"/>
        </w:rPr>
        <w:t xml:space="preserve"> </w:t>
      </w:r>
    </w:p>
    <w:bookmarkEnd w:id="50"/>
    <w:p w14:paraId="682DF09F" w14:textId="77777777" w:rsidR="006A16C5" w:rsidRPr="00264E74" w:rsidRDefault="006A16C5" w:rsidP="006A16C5">
      <w:pPr>
        <w:spacing w:before="120" w:after="120" w:line="256" w:lineRule="auto"/>
        <w:rPr>
          <w:rFonts w:asciiTheme="minorHAnsi" w:eastAsia="Calibri" w:hAnsiTheme="minorHAnsi" w:cstheme="minorHAnsi"/>
          <w:sz w:val="22"/>
          <w:szCs w:val="22"/>
          <w:lang w:val="en-US"/>
        </w:rPr>
      </w:pPr>
      <w:r w:rsidRPr="00264E74">
        <w:rPr>
          <w:rFonts w:asciiTheme="minorHAnsi" w:eastAsia="Calibri" w:hAnsiTheme="minorHAnsi" w:cstheme="minorHAnsi"/>
          <w:sz w:val="22"/>
          <w:szCs w:val="22"/>
        </w:rPr>
        <w:t xml:space="preserve">As part of supporting Australia’s economic recovery from the COVID-19 pandemic, the Australian </w:t>
      </w:r>
      <w:r w:rsidRPr="00264E74">
        <w:rPr>
          <w:rFonts w:asciiTheme="minorHAnsi" w:eastAsia="Calibri" w:hAnsiTheme="minorHAnsi" w:cstheme="minorHAnsi"/>
          <w:sz w:val="22"/>
          <w:szCs w:val="22"/>
          <w:lang w:val="en-US"/>
        </w:rPr>
        <w:t xml:space="preserve">Government’s Local Jobs Program (LJP) brings together expertise, </w:t>
      </w:r>
      <w:proofErr w:type="gramStart"/>
      <w:r w:rsidRPr="00264E74">
        <w:rPr>
          <w:rFonts w:asciiTheme="minorHAnsi" w:eastAsia="Calibri" w:hAnsiTheme="minorHAnsi" w:cstheme="minorHAnsi"/>
          <w:sz w:val="22"/>
          <w:szCs w:val="22"/>
          <w:lang w:val="en-US"/>
        </w:rPr>
        <w:t>resources</w:t>
      </w:r>
      <w:proofErr w:type="gramEnd"/>
      <w:r w:rsidRPr="00264E74">
        <w:rPr>
          <w:rFonts w:asciiTheme="minorHAnsi" w:eastAsia="Calibri" w:hAnsiTheme="minorHAnsi" w:cstheme="minorHAnsi"/>
          <w:sz w:val="22"/>
          <w:szCs w:val="22"/>
          <w:lang w:val="en-US"/>
        </w:rPr>
        <w:t xml:space="preserve"> and access to funding at the local level to accelerate reskilling, upskilling and employment pathways in 51 Employment Regions.</w:t>
      </w:r>
    </w:p>
    <w:p w14:paraId="4574E338" w14:textId="77777777" w:rsidR="006A16C5" w:rsidRPr="00264E74" w:rsidRDefault="006A16C5" w:rsidP="006A16C5">
      <w:pPr>
        <w:spacing w:after="120"/>
        <w:rPr>
          <w:rFonts w:asciiTheme="minorHAnsi" w:hAnsiTheme="minorHAnsi" w:cstheme="minorHAnsi"/>
          <w:sz w:val="22"/>
          <w:szCs w:val="22"/>
        </w:rPr>
      </w:pPr>
      <w:r w:rsidRPr="00264E74">
        <w:rPr>
          <w:rFonts w:asciiTheme="minorHAnsi" w:hAnsiTheme="minorHAnsi" w:cstheme="minorHAnsi"/>
          <w:sz w:val="22"/>
          <w:szCs w:val="22"/>
        </w:rPr>
        <w:t>Recognising the importance of local knowledge in getting people back into jobs quickly, the LJP includes the following key elements in each region:</w:t>
      </w:r>
    </w:p>
    <w:p w14:paraId="303DC4EB" w14:textId="77777777" w:rsidR="006A16C5" w:rsidRPr="00264E74" w:rsidRDefault="006A16C5" w:rsidP="006A16C5">
      <w:pPr>
        <w:pStyle w:val="ListParagraph"/>
        <w:numPr>
          <w:ilvl w:val="0"/>
          <w:numId w:val="39"/>
        </w:numPr>
        <w:spacing w:line="276" w:lineRule="auto"/>
        <w:rPr>
          <w:rFonts w:asciiTheme="minorHAnsi" w:eastAsiaTheme="minorHAnsi" w:hAnsiTheme="minorHAnsi" w:cstheme="minorHAnsi"/>
          <w:sz w:val="22"/>
          <w:szCs w:val="22"/>
        </w:rPr>
      </w:pPr>
      <w:r w:rsidRPr="00264E74">
        <w:rPr>
          <w:rFonts w:asciiTheme="minorHAnsi" w:hAnsiTheme="minorHAnsi" w:cstheme="minorHAnsi"/>
          <w:sz w:val="22"/>
          <w:szCs w:val="22"/>
        </w:rPr>
        <w:t xml:space="preserve">a local </w:t>
      </w:r>
      <w:r w:rsidRPr="00264E74">
        <w:rPr>
          <w:rFonts w:asciiTheme="minorHAnsi" w:eastAsiaTheme="minorHAnsi" w:hAnsiTheme="minorHAnsi" w:cstheme="minorHAnsi"/>
          <w:sz w:val="22"/>
          <w:szCs w:val="22"/>
        </w:rPr>
        <w:t>Employment Facilitator</w:t>
      </w:r>
    </w:p>
    <w:p w14:paraId="4CB84296" w14:textId="77777777" w:rsidR="006A16C5" w:rsidRPr="00264E74" w:rsidRDefault="006A16C5" w:rsidP="006A16C5">
      <w:pPr>
        <w:pStyle w:val="ListParagraph"/>
        <w:numPr>
          <w:ilvl w:val="0"/>
          <w:numId w:val="39"/>
        </w:numPr>
        <w:spacing w:line="276" w:lineRule="auto"/>
        <w:rPr>
          <w:rFonts w:asciiTheme="minorHAnsi" w:eastAsiaTheme="minorHAnsi" w:hAnsiTheme="minorHAnsi" w:cstheme="minorHAnsi"/>
          <w:sz w:val="22"/>
          <w:szCs w:val="22"/>
        </w:rPr>
      </w:pPr>
      <w:r w:rsidRPr="00264E74">
        <w:rPr>
          <w:rFonts w:asciiTheme="minorHAnsi" w:hAnsiTheme="minorHAnsi" w:cstheme="minorHAnsi"/>
          <w:sz w:val="22"/>
          <w:szCs w:val="22"/>
        </w:rPr>
        <w:t xml:space="preserve">a </w:t>
      </w:r>
      <w:r w:rsidRPr="00264E74">
        <w:rPr>
          <w:rFonts w:asciiTheme="minorHAnsi" w:eastAsiaTheme="minorHAnsi" w:hAnsiTheme="minorHAnsi" w:cstheme="minorHAnsi"/>
          <w:sz w:val="22"/>
          <w:szCs w:val="22"/>
        </w:rPr>
        <w:t xml:space="preserve">Local Jobs and Skills Taskforce </w:t>
      </w:r>
    </w:p>
    <w:p w14:paraId="53DF5ED1" w14:textId="77777777" w:rsidR="006A16C5" w:rsidRPr="00264E74" w:rsidRDefault="006A16C5" w:rsidP="006A16C5">
      <w:pPr>
        <w:pStyle w:val="ListParagraph"/>
        <w:numPr>
          <w:ilvl w:val="0"/>
          <w:numId w:val="39"/>
        </w:numPr>
        <w:spacing w:line="276" w:lineRule="auto"/>
        <w:rPr>
          <w:rFonts w:asciiTheme="minorHAnsi" w:eastAsiaTheme="minorHAnsi" w:hAnsiTheme="minorHAnsi" w:cstheme="minorHAnsi"/>
          <w:sz w:val="22"/>
          <w:szCs w:val="22"/>
        </w:rPr>
      </w:pPr>
      <w:r w:rsidRPr="00264E74">
        <w:rPr>
          <w:rFonts w:asciiTheme="minorHAnsi" w:hAnsiTheme="minorHAnsi" w:cstheme="minorHAnsi"/>
          <w:sz w:val="22"/>
          <w:szCs w:val="22"/>
        </w:rPr>
        <w:t xml:space="preserve">a </w:t>
      </w:r>
      <w:r w:rsidRPr="00264E74">
        <w:rPr>
          <w:rFonts w:asciiTheme="minorHAnsi" w:eastAsiaTheme="minorHAnsi" w:hAnsiTheme="minorHAnsi" w:cstheme="minorHAnsi"/>
          <w:sz w:val="22"/>
          <w:szCs w:val="22"/>
        </w:rPr>
        <w:t>Local Jobs Plan</w:t>
      </w:r>
    </w:p>
    <w:p w14:paraId="3B45481A" w14:textId="77777777" w:rsidR="006A16C5" w:rsidRPr="00264E74" w:rsidRDefault="006A16C5" w:rsidP="006A16C5">
      <w:pPr>
        <w:pStyle w:val="ListParagraph"/>
        <w:numPr>
          <w:ilvl w:val="0"/>
          <w:numId w:val="39"/>
        </w:numPr>
        <w:spacing w:line="276" w:lineRule="auto"/>
        <w:rPr>
          <w:rFonts w:asciiTheme="minorHAnsi" w:eastAsiaTheme="minorHAnsi" w:hAnsiTheme="minorHAnsi" w:cstheme="minorHAnsi"/>
          <w:sz w:val="22"/>
          <w:szCs w:val="22"/>
        </w:rPr>
      </w:pPr>
      <w:r w:rsidRPr="00264E74">
        <w:rPr>
          <w:rFonts w:asciiTheme="minorHAnsi" w:eastAsiaTheme="minorHAnsi" w:hAnsiTheme="minorHAnsi" w:cstheme="minorHAnsi"/>
          <w:sz w:val="22"/>
          <w:szCs w:val="22"/>
        </w:rPr>
        <w:t xml:space="preserve">a Local Recovery Fund to support small scale activities </w:t>
      </w:r>
    </w:p>
    <w:p w14:paraId="6BEBCE8E" w14:textId="77777777" w:rsidR="006A16C5" w:rsidRPr="00264E74" w:rsidRDefault="006A16C5" w:rsidP="006A16C5">
      <w:pPr>
        <w:pStyle w:val="ListParagraph"/>
        <w:numPr>
          <w:ilvl w:val="0"/>
          <w:numId w:val="39"/>
        </w:numPr>
        <w:spacing w:after="120" w:line="276" w:lineRule="auto"/>
        <w:rPr>
          <w:rFonts w:asciiTheme="minorHAnsi" w:eastAsiaTheme="minorHAnsi" w:hAnsiTheme="minorHAnsi" w:cstheme="minorHAnsi"/>
          <w:sz w:val="22"/>
          <w:szCs w:val="22"/>
        </w:rPr>
      </w:pPr>
      <w:r w:rsidRPr="00264E74">
        <w:rPr>
          <w:rFonts w:asciiTheme="minorHAnsi" w:eastAsiaTheme="minorHAnsi" w:hAnsiTheme="minorHAnsi" w:cstheme="minorHAnsi"/>
          <w:sz w:val="22"/>
          <w:szCs w:val="22"/>
        </w:rPr>
        <w:t>access to the National Priority Funding Pool.</w:t>
      </w:r>
    </w:p>
    <w:p w14:paraId="506017DE" w14:textId="77777777" w:rsidR="006A16C5" w:rsidRPr="00264E74" w:rsidRDefault="006A16C5" w:rsidP="006A16C5">
      <w:pPr>
        <w:spacing w:after="120"/>
        <w:rPr>
          <w:rFonts w:asciiTheme="minorHAnsi" w:hAnsiTheme="minorHAnsi" w:cstheme="minorHAnsi"/>
          <w:sz w:val="22"/>
          <w:szCs w:val="22"/>
        </w:rPr>
      </w:pPr>
      <w:r w:rsidRPr="00264E74">
        <w:rPr>
          <w:rFonts w:asciiTheme="minorHAnsi" w:hAnsiTheme="minorHAnsi" w:cstheme="minorHAnsi"/>
          <w:sz w:val="22"/>
          <w:szCs w:val="22"/>
        </w:rPr>
        <w:t xml:space="preserve">The Taskforces, each chaired by the respective region’s Employment Facilitator, </w:t>
      </w:r>
      <w:proofErr w:type="gramStart"/>
      <w:r w:rsidRPr="00264E74">
        <w:rPr>
          <w:rFonts w:asciiTheme="minorHAnsi" w:hAnsiTheme="minorHAnsi" w:cstheme="minorHAnsi"/>
          <w:sz w:val="22"/>
          <w:szCs w:val="22"/>
        </w:rPr>
        <w:t>develop</w:t>
      </w:r>
      <w:proofErr w:type="gramEnd"/>
      <w:r w:rsidRPr="00264E74">
        <w:rPr>
          <w:rFonts w:asciiTheme="minorHAnsi" w:hAnsiTheme="minorHAnsi" w:cstheme="minorHAnsi"/>
          <w:sz w:val="22"/>
          <w:szCs w:val="22"/>
        </w:rPr>
        <w:t xml:space="preserve"> and update a Local Jobs Plan for their region that identifies key employment and training priorities and provides a framework for driving employment outcomes in the context of the local labour market.</w:t>
      </w:r>
    </w:p>
    <w:p w14:paraId="11808A46" w14:textId="72501514" w:rsidR="006A16C5" w:rsidRPr="00264E74" w:rsidRDefault="006A16C5" w:rsidP="006A16C5">
      <w:pPr>
        <w:spacing w:after="240"/>
        <w:rPr>
          <w:rFonts w:asciiTheme="minorHAnsi" w:eastAsiaTheme="minorHAnsi" w:hAnsiTheme="minorHAnsi" w:cstheme="minorHAnsi"/>
          <w:sz w:val="22"/>
          <w:szCs w:val="22"/>
        </w:rPr>
      </w:pPr>
      <w:r w:rsidRPr="00264E74">
        <w:rPr>
          <w:rFonts w:asciiTheme="minorHAnsi" w:eastAsiaTheme="minorHAnsi" w:hAnsiTheme="minorHAnsi" w:cstheme="minorHAnsi"/>
          <w:sz w:val="22"/>
          <w:szCs w:val="22"/>
        </w:rPr>
        <w:t xml:space="preserve">This updated Local Jobs Plan for the </w:t>
      </w:r>
      <w:r w:rsidR="00F853C5">
        <w:rPr>
          <w:rFonts w:asciiTheme="minorHAnsi" w:eastAsiaTheme="minorHAnsi" w:hAnsiTheme="minorHAnsi" w:cstheme="minorHAnsi"/>
          <w:sz w:val="22"/>
          <w:szCs w:val="22"/>
        </w:rPr>
        <w:t>Hunter</w:t>
      </w:r>
      <w:r w:rsidRPr="00264E74">
        <w:rPr>
          <w:rFonts w:asciiTheme="minorHAnsi" w:eastAsiaTheme="minorHAnsi" w:hAnsiTheme="minorHAnsi" w:cstheme="minorHAnsi"/>
          <w:sz w:val="22"/>
          <w:szCs w:val="22"/>
        </w:rPr>
        <w:t xml:space="preserve"> Employment Region identifies the key LJP priorities with a focus on creating employment opportunities, actively </w:t>
      </w:r>
      <w:proofErr w:type="gramStart"/>
      <w:r w:rsidRPr="00264E74">
        <w:rPr>
          <w:rFonts w:asciiTheme="minorHAnsi" w:eastAsiaTheme="minorHAnsi" w:hAnsiTheme="minorHAnsi" w:cstheme="minorHAnsi"/>
          <w:sz w:val="22"/>
          <w:szCs w:val="22"/>
        </w:rPr>
        <w:t>upskilling</w:t>
      </w:r>
      <w:proofErr w:type="gramEnd"/>
      <w:r w:rsidRPr="00264E74">
        <w:rPr>
          <w:rFonts w:asciiTheme="minorHAnsi" w:eastAsiaTheme="minorHAnsi" w:hAnsiTheme="minorHAnsi" w:cstheme="minorHAnsi"/>
          <w:sz w:val="22"/>
          <w:szCs w:val="22"/>
        </w:rPr>
        <w:t xml:space="preserve"> or reskilling local job seekers and meeting local employer demands.  </w:t>
      </w:r>
    </w:p>
    <w:p w14:paraId="18F1F175" w14:textId="58C90AF1" w:rsidR="00113023" w:rsidRDefault="00113023" w:rsidP="00830C80">
      <w:pPr>
        <w:pStyle w:val="Heading1"/>
        <w:rPr>
          <w:sz w:val="22"/>
          <w:szCs w:val="22"/>
        </w:rPr>
      </w:pPr>
    </w:p>
    <w:p w14:paraId="38C6438A" w14:textId="4FF22E95" w:rsidR="00830C80" w:rsidRDefault="00830C80" w:rsidP="00830C80">
      <w:pPr>
        <w:pStyle w:val="Heading1"/>
        <w:rPr>
          <w:noProof w:val="0"/>
        </w:rPr>
      </w:pPr>
      <w:r w:rsidRPr="007D1210">
        <w:rPr>
          <w:noProof w:val="0"/>
        </w:rPr>
        <w:t xml:space="preserve">Key </w:t>
      </w:r>
      <w:r>
        <w:rPr>
          <w:noProof w:val="0"/>
        </w:rPr>
        <w:t>e</w:t>
      </w:r>
      <w:r w:rsidRPr="00C15FCF">
        <w:rPr>
          <w:noProof w:val="0"/>
        </w:rPr>
        <w:t xml:space="preserve">mployment and </w:t>
      </w:r>
      <w:r>
        <w:rPr>
          <w:noProof w:val="0"/>
        </w:rPr>
        <w:t>t</w:t>
      </w:r>
      <w:r w:rsidRPr="00C15FCF">
        <w:rPr>
          <w:noProof w:val="0"/>
        </w:rPr>
        <w:t xml:space="preserve">raining </w:t>
      </w:r>
      <w:r>
        <w:rPr>
          <w:noProof w:val="0"/>
        </w:rPr>
        <w:t>p</w:t>
      </w:r>
      <w:r w:rsidRPr="00C15FCF">
        <w:rPr>
          <w:noProof w:val="0"/>
        </w:rPr>
        <w:t>riorities</w:t>
      </w:r>
    </w:p>
    <w:p w14:paraId="64DBED7F" w14:textId="63572387" w:rsidR="006530CD" w:rsidRPr="00264E74" w:rsidRDefault="006530CD" w:rsidP="00BD3AD5">
      <w:p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t xml:space="preserve">This </w:t>
      </w:r>
      <w:r w:rsidRPr="00264E74">
        <w:rPr>
          <w:rFonts w:asciiTheme="minorHAnsi" w:eastAsia="Calibri" w:hAnsiTheme="minorHAnsi" w:cstheme="minorHAnsi"/>
          <w:b/>
          <w:bCs/>
          <w:sz w:val="22"/>
          <w:szCs w:val="22"/>
        </w:rPr>
        <w:t>Local Jobs Plan</w:t>
      </w:r>
      <w:r w:rsidRPr="00264E74">
        <w:rPr>
          <w:rFonts w:asciiTheme="minorHAnsi" w:eastAsia="Calibri" w:hAnsiTheme="minorHAnsi" w:cstheme="minorHAnsi"/>
          <w:sz w:val="22"/>
          <w:szCs w:val="22"/>
        </w:rPr>
        <w:t xml:space="preserve"> </w:t>
      </w:r>
      <w:r w:rsidR="00D86C0A" w:rsidRPr="00264E74">
        <w:rPr>
          <w:rFonts w:asciiTheme="minorHAnsi" w:eastAsia="Calibri" w:hAnsiTheme="minorHAnsi" w:cstheme="minorHAnsi"/>
          <w:sz w:val="22"/>
          <w:szCs w:val="22"/>
        </w:rPr>
        <w:t>details</w:t>
      </w:r>
      <w:r w:rsidRPr="00264E74">
        <w:rPr>
          <w:rFonts w:asciiTheme="minorHAnsi" w:eastAsia="Calibri" w:hAnsiTheme="minorHAnsi" w:cstheme="minorHAnsi"/>
          <w:sz w:val="22"/>
          <w:szCs w:val="22"/>
        </w:rPr>
        <w:t xml:space="preserve"> the key priorities for the Hunter Region</w:t>
      </w:r>
      <w:r w:rsidR="005D2A30" w:rsidRPr="00264E74">
        <w:rPr>
          <w:rFonts w:asciiTheme="minorHAnsi" w:eastAsia="Calibri" w:hAnsiTheme="minorHAnsi" w:cstheme="minorHAnsi"/>
          <w:sz w:val="22"/>
          <w:szCs w:val="22"/>
        </w:rPr>
        <w:t>:</w:t>
      </w:r>
      <w:r w:rsidR="00D86C0A" w:rsidRPr="00264E74">
        <w:rPr>
          <w:rFonts w:asciiTheme="minorHAnsi" w:eastAsia="Calibri" w:hAnsiTheme="minorHAnsi" w:cstheme="minorHAnsi"/>
          <w:sz w:val="22"/>
          <w:szCs w:val="22"/>
        </w:rPr>
        <w:t xml:space="preserve"> </w:t>
      </w:r>
    </w:p>
    <w:p w14:paraId="3DAAD66D" w14:textId="1A585941" w:rsidR="004A5FC8" w:rsidRPr="00264E74" w:rsidRDefault="00A82CB7" w:rsidP="004A5FC8">
      <w:pPr>
        <w:pStyle w:val="ListParagraph"/>
        <w:numPr>
          <w:ilvl w:val="0"/>
          <w:numId w:val="11"/>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b/>
          <w:bCs/>
          <w:sz w:val="22"/>
          <w:szCs w:val="22"/>
        </w:rPr>
        <w:t>HEALTHCARE</w:t>
      </w:r>
      <w:r w:rsidR="00517394" w:rsidRPr="00264E74">
        <w:rPr>
          <w:rFonts w:asciiTheme="minorHAnsi" w:eastAsia="Calibri" w:hAnsiTheme="minorHAnsi" w:cstheme="minorHAnsi"/>
          <w:b/>
          <w:bCs/>
          <w:sz w:val="22"/>
          <w:szCs w:val="22"/>
        </w:rPr>
        <w:t xml:space="preserve"> </w:t>
      </w:r>
      <w:r w:rsidR="004A5FC8" w:rsidRPr="00264E74">
        <w:rPr>
          <w:rFonts w:asciiTheme="minorHAnsi" w:eastAsia="Calibri" w:hAnsiTheme="minorHAnsi" w:cstheme="minorHAnsi"/>
          <w:b/>
          <w:bCs/>
          <w:sz w:val="22"/>
          <w:szCs w:val="22"/>
        </w:rPr>
        <w:t>-</w:t>
      </w:r>
      <w:r w:rsidR="004A5FC8" w:rsidRPr="00264E74">
        <w:rPr>
          <w:rFonts w:asciiTheme="minorHAnsi" w:eastAsia="Calibri" w:hAnsiTheme="minorHAnsi" w:cstheme="minorHAnsi"/>
          <w:sz w:val="22"/>
          <w:szCs w:val="22"/>
        </w:rPr>
        <w:t xml:space="preserve"> </w:t>
      </w:r>
      <w:r w:rsidR="002C4328" w:rsidRPr="00264E74">
        <w:rPr>
          <w:rFonts w:asciiTheme="minorHAnsi" w:hAnsiTheme="minorHAnsi" w:cstheme="minorHAnsi"/>
          <w:sz w:val="22"/>
          <w:szCs w:val="22"/>
        </w:rPr>
        <w:t xml:space="preserve">Meet growing workforce demand by creating sector-specific solutions and pathways to employment within the Healthcare sector, specifically across Aged and Disability Care also considering other care industries, supporting industries and supply chain. </w:t>
      </w:r>
    </w:p>
    <w:p w14:paraId="3EF40B97" w14:textId="77777777" w:rsidR="004A5FC8" w:rsidRPr="00264E74" w:rsidRDefault="004A5FC8" w:rsidP="004A5FC8">
      <w:pPr>
        <w:pStyle w:val="ListParagraph"/>
        <w:spacing w:before="120" w:after="120" w:line="257" w:lineRule="auto"/>
        <w:rPr>
          <w:rFonts w:asciiTheme="minorHAnsi" w:eastAsia="Calibri" w:hAnsiTheme="minorHAnsi" w:cstheme="minorHAnsi"/>
          <w:sz w:val="22"/>
          <w:szCs w:val="22"/>
        </w:rPr>
      </w:pPr>
    </w:p>
    <w:p w14:paraId="32112AAD" w14:textId="12BA90F9" w:rsidR="00A82CB7" w:rsidRPr="00264E74" w:rsidRDefault="00A82CB7" w:rsidP="004A5FC8">
      <w:pPr>
        <w:pStyle w:val="ListParagraph"/>
        <w:numPr>
          <w:ilvl w:val="0"/>
          <w:numId w:val="11"/>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b/>
          <w:bCs/>
          <w:sz w:val="22"/>
          <w:szCs w:val="22"/>
        </w:rPr>
        <w:t xml:space="preserve">HOSPITALITY </w:t>
      </w:r>
      <w:r w:rsidR="00517394" w:rsidRPr="00264E74">
        <w:rPr>
          <w:rFonts w:asciiTheme="minorHAnsi" w:eastAsia="Calibri" w:hAnsiTheme="minorHAnsi" w:cstheme="minorHAnsi"/>
          <w:b/>
          <w:bCs/>
          <w:sz w:val="22"/>
          <w:szCs w:val="22"/>
        </w:rPr>
        <w:t>AND</w:t>
      </w:r>
      <w:r w:rsidRPr="00264E74">
        <w:rPr>
          <w:rFonts w:asciiTheme="minorHAnsi" w:eastAsia="Calibri" w:hAnsiTheme="minorHAnsi" w:cstheme="minorHAnsi"/>
          <w:b/>
          <w:bCs/>
          <w:sz w:val="22"/>
          <w:szCs w:val="22"/>
        </w:rPr>
        <w:t xml:space="preserve"> TOURISM</w:t>
      </w:r>
      <w:r w:rsidR="00517394" w:rsidRPr="00264E74">
        <w:rPr>
          <w:rFonts w:asciiTheme="minorHAnsi" w:eastAsia="Calibri" w:hAnsiTheme="minorHAnsi" w:cstheme="minorHAnsi"/>
          <w:sz w:val="22"/>
          <w:szCs w:val="22"/>
        </w:rPr>
        <w:t xml:space="preserve"> </w:t>
      </w:r>
      <w:r w:rsidR="004A5FC8" w:rsidRPr="00264E74">
        <w:rPr>
          <w:rFonts w:asciiTheme="minorHAnsi" w:eastAsia="Calibri" w:hAnsiTheme="minorHAnsi" w:cstheme="minorHAnsi"/>
          <w:sz w:val="22"/>
          <w:szCs w:val="22"/>
        </w:rPr>
        <w:t xml:space="preserve">- </w:t>
      </w:r>
      <w:r w:rsidR="0052470C" w:rsidRPr="00264E74">
        <w:rPr>
          <w:rFonts w:asciiTheme="minorHAnsi" w:hAnsiTheme="minorHAnsi" w:cstheme="minorHAnsi"/>
          <w:sz w:val="22"/>
          <w:szCs w:val="22"/>
        </w:rPr>
        <w:t xml:space="preserve">Meet growing workforce demand by creating sector-specific solutions and pathways to employment within the Hospitality and Tourism sector, specifically across key hubs which face additional barriers like high youth unemployment and lack of transport </w:t>
      </w:r>
      <w:proofErr w:type="gramStart"/>
      <w:r w:rsidR="0052470C" w:rsidRPr="00264E74">
        <w:rPr>
          <w:rFonts w:asciiTheme="minorHAnsi" w:hAnsiTheme="minorHAnsi" w:cstheme="minorHAnsi"/>
          <w:sz w:val="22"/>
          <w:szCs w:val="22"/>
        </w:rPr>
        <w:t>e.g.</w:t>
      </w:r>
      <w:proofErr w:type="gramEnd"/>
      <w:r w:rsidR="0052470C" w:rsidRPr="00264E74">
        <w:rPr>
          <w:rFonts w:asciiTheme="minorHAnsi" w:hAnsiTheme="minorHAnsi" w:cstheme="minorHAnsi"/>
          <w:sz w:val="22"/>
          <w:szCs w:val="22"/>
        </w:rPr>
        <w:t xml:space="preserve"> Cessnock and Port Stephens, Newcastle.</w:t>
      </w:r>
    </w:p>
    <w:p w14:paraId="1E014718" w14:textId="77777777" w:rsidR="00A82CB7" w:rsidRPr="00264E74" w:rsidRDefault="00A82CB7" w:rsidP="00A82CB7">
      <w:pPr>
        <w:pStyle w:val="ListParagraph"/>
        <w:spacing w:before="120" w:after="120" w:line="257" w:lineRule="auto"/>
        <w:rPr>
          <w:rFonts w:asciiTheme="minorHAnsi" w:eastAsia="Calibri" w:hAnsiTheme="minorHAnsi" w:cstheme="minorHAnsi"/>
          <w:sz w:val="22"/>
          <w:szCs w:val="22"/>
        </w:rPr>
      </w:pPr>
    </w:p>
    <w:p w14:paraId="7777563D" w14:textId="60D6279D" w:rsidR="0052470C" w:rsidRPr="00264E74" w:rsidRDefault="00A82CB7" w:rsidP="004A5FC8">
      <w:pPr>
        <w:pStyle w:val="ListParagraph"/>
        <w:numPr>
          <w:ilvl w:val="0"/>
          <w:numId w:val="11"/>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b/>
          <w:bCs/>
          <w:sz w:val="22"/>
          <w:szCs w:val="22"/>
        </w:rPr>
        <w:t>MANUFACTURING AND CONSTRUCTION</w:t>
      </w:r>
      <w:r w:rsidR="00517394" w:rsidRPr="00264E74">
        <w:rPr>
          <w:rFonts w:asciiTheme="minorHAnsi" w:eastAsia="Calibri" w:hAnsiTheme="minorHAnsi" w:cstheme="minorHAnsi"/>
          <w:sz w:val="22"/>
          <w:szCs w:val="22"/>
        </w:rPr>
        <w:t xml:space="preserve"> </w:t>
      </w:r>
      <w:r w:rsidR="004A5FC8" w:rsidRPr="00264E74">
        <w:rPr>
          <w:rFonts w:asciiTheme="minorHAnsi" w:eastAsia="Calibri" w:hAnsiTheme="minorHAnsi" w:cstheme="minorHAnsi"/>
          <w:sz w:val="22"/>
          <w:szCs w:val="22"/>
        </w:rPr>
        <w:t xml:space="preserve">- </w:t>
      </w:r>
      <w:r w:rsidR="0052470C" w:rsidRPr="00264E74">
        <w:rPr>
          <w:rFonts w:asciiTheme="minorHAnsi" w:hAnsiTheme="minorHAnsi" w:cstheme="minorHAnsi"/>
          <w:sz w:val="22"/>
          <w:szCs w:val="22"/>
        </w:rPr>
        <w:t xml:space="preserve">Address growing workforce demand and current skills-gap across manufacturing and construction with consideration to emerging skill sets and roles within advanced manufacturing environments across the Hunter. Specific focus required on key areas where additional barriers around transport, and accessibility </w:t>
      </w:r>
      <w:proofErr w:type="gramStart"/>
      <w:r w:rsidR="0052470C" w:rsidRPr="00264E74">
        <w:rPr>
          <w:rFonts w:asciiTheme="minorHAnsi" w:hAnsiTheme="minorHAnsi" w:cstheme="minorHAnsi"/>
          <w:sz w:val="22"/>
          <w:szCs w:val="22"/>
        </w:rPr>
        <w:t>e.g.</w:t>
      </w:r>
      <w:proofErr w:type="gramEnd"/>
      <w:r w:rsidR="0052470C" w:rsidRPr="00264E74">
        <w:rPr>
          <w:rFonts w:asciiTheme="minorHAnsi" w:hAnsiTheme="minorHAnsi" w:cstheme="minorHAnsi"/>
          <w:sz w:val="22"/>
          <w:szCs w:val="22"/>
        </w:rPr>
        <w:t xml:space="preserve"> High-level clearance requirements. </w:t>
      </w:r>
    </w:p>
    <w:p w14:paraId="560BB9DF" w14:textId="77777777" w:rsidR="00A82CB7" w:rsidRPr="00264E74" w:rsidRDefault="00A82CB7" w:rsidP="00A82CB7">
      <w:pPr>
        <w:pStyle w:val="ListParagraph"/>
        <w:spacing w:before="120" w:after="120" w:line="257" w:lineRule="auto"/>
        <w:rPr>
          <w:rFonts w:asciiTheme="minorHAnsi" w:eastAsia="Calibri" w:hAnsiTheme="minorHAnsi" w:cstheme="minorHAnsi"/>
          <w:sz w:val="22"/>
          <w:szCs w:val="22"/>
        </w:rPr>
      </w:pPr>
    </w:p>
    <w:p w14:paraId="431367EF" w14:textId="6B3A362E" w:rsidR="00811A8C" w:rsidRPr="00264E74" w:rsidRDefault="00AC3E6F" w:rsidP="004A5FC8">
      <w:pPr>
        <w:pStyle w:val="ListParagraph"/>
        <w:numPr>
          <w:ilvl w:val="0"/>
          <w:numId w:val="11"/>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b/>
          <w:bCs/>
          <w:sz w:val="22"/>
          <w:szCs w:val="22"/>
        </w:rPr>
        <w:t xml:space="preserve">STEM </w:t>
      </w:r>
      <w:r w:rsidR="00517394" w:rsidRPr="00264E74">
        <w:rPr>
          <w:rFonts w:asciiTheme="minorHAnsi" w:eastAsia="Calibri" w:hAnsiTheme="minorHAnsi" w:cstheme="minorHAnsi"/>
          <w:b/>
          <w:bCs/>
          <w:sz w:val="22"/>
          <w:szCs w:val="22"/>
        </w:rPr>
        <w:t>AND</w:t>
      </w:r>
      <w:r w:rsidRPr="00264E74">
        <w:rPr>
          <w:rFonts w:asciiTheme="minorHAnsi" w:eastAsia="Calibri" w:hAnsiTheme="minorHAnsi" w:cstheme="minorHAnsi"/>
          <w:b/>
          <w:bCs/>
          <w:sz w:val="22"/>
          <w:szCs w:val="22"/>
        </w:rPr>
        <w:t xml:space="preserve"> I</w:t>
      </w:r>
      <w:r w:rsidR="00A82CB7" w:rsidRPr="00264E74">
        <w:rPr>
          <w:rFonts w:asciiTheme="minorHAnsi" w:eastAsia="Calibri" w:hAnsiTheme="minorHAnsi" w:cstheme="minorHAnsi"/>
          <w:b/>
          <w:bCs/>
          <w:sz w:val="22"/>
          <w:szCs w:val="22"/>
        </w:rPr>
        <w:t>NNOVATION</w:t>
      </w:r>
      <w:r w:rsidR="00517394" w:rsidRPr="00264E74">
        <w:rPr>
          <w:rFonts w:asciiTheme="minorHAnsi" w:eastAsia="Calibri" w:hAnsiTheme="minorHAnsi" w:cstheme="minorHAnsi"/>
          <w:sz w:val="22"/>
          <w:szCs w:val="22"/>
        </w:rPr>
        <w:t xml:space="preserve"> </w:t>
      </w:r>
      <w:r w:rsidR="004A5FC8" w:rsidRPr="00264E74">
        <w:rPr>
          <w:rFonts w:asciiTheme="minorHAnsi" w:eastAsia="Calibri" w:hAnsiTheme="minorHAnsi" w:cstheme="minorHAnsi"/>
          <w:sz w:val="22"/>
          <w:szCs w:val="22"/>
        </w:rPr>
        <w:t xml:space="preserve">- </w:t>
      </w:r>
      <w:r w:rsidR="00811A8C" w:rsidRPr="00264E74">
        <w:rPr>
          <w:rFonts w:asciiTheme="minorHAnsi" w:hAnsiTheme="minorHAnsi" w:cstheme="minorHAnsi"/>
          <w:sz w:val="22"/>
          <w:szCs w:val="22"/>
        </w:rPr>
        <w:t xml:space="preserve">Address emerging industries in the Hunter by preparing </w:t>
      </w:r>
      <w:r w:rsidR="00517394" w:rsidRPr="00264E74">
        <w:rPr>
          <w:rFonts w:asciiTheme="minorHAnsi" w:hAnsiTheme="minorHAnsi" w:cstheme="minorHAnsi"/>
          <w:sz w:val="22"/>
          <w:szCs w:val="22"/>
        </w:rPr>
        <w:t>job seeker</w:t>
      </w:r>
      <w:r w:rsidR="00811A8C" w:rsidRPr="00264E74">
        <w:rPr>
          <w:rFonts w:asciiTheme="minorHAnsi" w:hAnsiTheme="minorHAnsi" w:cstheme="minorHAnsi"/>
          <w:sz w:val="22"/>
          <w:szCs w:val="22"/>
        </w:rPr>
        <w:t>s for both immediate and longer-term employment opportunities through collaborative projects.</w:t>
      </w:r>
    </w:p>
    <w:p w14:paraId="572CE601" w14:textId="77777777" w:rsidR="00A82CB7" w:rsidRPr="00264E74" w:rsidRDefault="00A82CB7" w:rsidP="00A82CB7">
      <w:pPr>
        <w:pStyle w:val="ListParagraph"/>
        <w:spacing w:before="120" w:after="120" w:line="257" w:lineRule="auto"/>
        <w:rPr>
          <w:rFonts w:asciiTheme="minorHAnsi" w:eastAsia="Calibri" w:hAnsiTheme="minorHAnsi" w:cstheme="minorHAnsi"/>
          <w:sz w:val="22"/>
          <w:szCs w:val="22"/>
        </w:rPr>
      </w:pPr>
    </w:p>
    <w:p w14:paraId="1E5B649F" w14:textId="4A64E050" w:rsidR="00EF2165" w:rsidRPr="00264E74" w:rsidRDefault="00A82CB7" w:rsidP="004A5FC8">
      <w:pPr>
        <w:pStyle w:val="ListParagraph"/>
        <w:numPr>
          <w:ilvl w:val="0"/>
          <w:numId w:val="11"/>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b/>
          <w:bCs/>
          <w:sz w:val="22"/>
          <w:szCs w:val="22"/>
        </w:rPr>
        <w:t>THE UPPER HUNTER</w:t>
      </w:r>
      <w:r w:rsidR="00517394" w:rsidRPr="00264E74">
        <w:rPr>
          <w:rFonts w:asciiTheme="minorHAnsi" w:eastAsia="Calibri" w:hAnsiTheme="minorHAnsi" w:cstheme="minorHAnsi"/>
          <w:b/>
          <w:bCs/>
          <w:sz w:val="22"/>
          <w:szCs w:val="22"/>
        </w:rPr>
        <w:t xml:space="preserve"> </w:t>
      </w:r>
      <w:r w:rsidR="004A5FC8" w:rsidRPr="00264E74">
        <w:rPr>
          <w:rFonts w:asciiTheme="minorHAnsi" w:eastAsia="Calibri" w:hAnsiTheme="minorHAnsi" w:cstheme="minorHAnsi"/>
          <w:sz w:val="22"/>
          <w:szCs w:val="22"/>
        </w:rPr>
        <w:t xml:space="preserve">- </w:t>
      </w:r>
      <w:r w:rsidR="00EF2165" w:rsidRPr="00264E74">
        <w:rPr>
          <w:rFonts w:asciiTheme="minorHAnsi" w:hAnsiTheme="minorHAnsi" w:cstheme="minorHAnsi"/>
          <w:sz w:val="22"/>
          <w:szCs w:val="22"/>
        </w:rPr>
        <w:t>Support a key area of the region experiencing structural change, and work closely with key stakeholders, groups, and industries to facilitate a collaborative approach to skills and workforce.</w:t>
      </w:r>
    </w:p>
    <w:p w14:paraId="67D5C334" w14:textId="77777777" w:rsidR="002F626D" w:rsidRDefault="002F626D" w:rsidP="00D86C0A">
      <w:pPr>
        <w:spacing w:before="120" w:after="120" w:line="257" w:lineRule="auto"/>
        <w:rPr>
          <w:rFonts w:asciiTheme="minorHAnsi" w:eastAsia="Calibri" w:hAnsiTheme="minorHAnsi" w:cstheme="minorHAnsi"/>
          <w:sz w:val="22"/>
          <w:szCs w:val="22"/>
        </w:rPr>
      </w:pPr>
    </w:p>
    <w:p w14:paraId="5A053813" w14:textId="48831552" w:rsidR="00D86C0A" w:rsidRPr="00264E74" w:rsidRDefault="00D86C0A" w:rsidP="00D86C0A">
      <w:p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lastRenderedPageBreak/>
        <w:t xml:space="preserve">Each of the key priorities are underpinned by </w:t>
      </w:r>
      <w:r w:rsidR="007B349C" w:rsidRPr="00264E74">
        <w:rPr>
          <w:rFonts w:asciiTheme="minorHAnsi" w:eastAsia="Calibri" w:hAnsiTheme="minorHAnsi" w:cstheme="minorHAnsi"/>
          <w:sz w:val="22"/>
          <w:szCs w:val="22"/>
        </w:rPr>
        <w:t>four</w:t>
      </w:r>
      <w:r w:rsidRPr="00264E74">
        <w:rPr>
          <w:rFonts w:asciiTheme="minorHAnsi" w:eastAsia="Calibri" w:hAnsiTheme="minorHAnsi" w:cstheme="minorHAnsi"/>
          <w:sz w:val="22"/>
          <w:szCs w:val="22"/>
        </w:rPr>
        <w:t xml:space="preserve"> main cohorts as the focus when considering local </w:t>
      </w:r>
      <w:r w:rsidR="00517394" w:rsidRPr="00264E74">
        <w:rPr>
          <w:rFonts w:asciiTheme="minorHAnsi" w:eastAsia="Calibri" w:hAnsiTheme="minorHAnsi" w:cstheme="minorHAnsi"/>
          <w:sz w:val="22"/>
          <w:szCs w:val="22"/>
        </w:rPr>
        <w:t>job seeker</w:t>
      </w:r>
      <w:r w:rsidRPr="00264E74">
        <w:rPr>
          <w:rFonts w:asciiTheme="minorHAnsi" w:eastAsia="Calibri" w:hAnsiTheme="minorHAnsi" w:cstheme="minorHAnsi"/>
          <w:sz w:val="22"/>
          <w:szCs w:val="22"/>
        </w:rPr>
        <w:t>s</w:t>
      </w:r>
      <w:r w:rsidR="007B349C" w:rsidRPr="00264E74">
        <w:rPr>
          <w:rFonts w:asciiTheme="minorHAnsi" w:eastAsia="Calibri" w:hAnsiTheme="minorHAnsi" w:cstheme="minorHAnsi"/>
          <w:sz w:val="22"/>
          <w:szCs w:val="22"/>
        </w:rPr>
        <w:t>/employers</w:t>
      </w:r>
      <w:r w:rsidRPr="00264E74">
        <w:rPr>
          <w:rFonts w:asciiTheme="minorHAnsi" w:eastAsia="Calibri" w:hAnsiTheme="minorHAnsi" w:cstheme="minorHAnsi"/>
          <w:sz w:val="22"/>
          <w:szCs w:val="22"/>
        </w:rPr>
        <w:t xml:space="preserve">. The </w:t>
      </w:r>
      <w:r w:rsidR="001617CA" w:rsidRPr="00264E74">
        <w:rPr>
          <w:rFonts w:asciiTheme="minorHAnsi" w:eastAsia="Calibri" w:hAnsiTheme="minorHAnsi" w:cstheme="minorHAnsi"/>
          <w:sz w:val="22"/>
          <w:szCs w:val="22"/>
        </w:rPr>
        <w:t>four</w:t>
      </w:r>
      <w:r w:rsidRPr="00264E74">
        <w:rPr>
          <w:rFonts w:asciiTheme="minorHAnsi" w:eastAsia="Calibri" w:hAnsiTheme="minorHAnsi" w:cstheme="minorHAnsi"/>
          <w:sz w:val="22"/>
          <w:szCs w:val="22"/>
        </w:rPr>
        <w:t xml:space="preserve"> key cohorts are</w:t>
      </w:r>
      <w:r w:rsidR="005D2A30" w:rsidRPr="00264E74">
        <w:rPr>
          <w:rFonts w:asciiTheme="minorHAnsi" w:eastAsia="Calibri" w:hAnsiTheme="minorHAnsi" w:cstheme="minorHAnsi"/>
          <w:sz w:val="22"/>
          <w:szCs w:val="22"/>
        </w:rPr>
        <w:t>:</w:t>
      </w:r>
    </w:p>
    <w:p w14:paraId="66B6E0B4" w14:textId="45EB5A0C" w:rsidR="00D86C0A" w:rsidRPr="00264E74" w:rsidRDefault="00D86C0A" w:rsidP="00322579">
      <w:pPr>
        <w:pStyle w:val="ListParagraph"/>
        <w:numPr>
          <w:ilvl w:val="0"/>
          <w:numId w:val="22"/>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t>Youth</w:t>
      </w:r>
    </w:p>
    <w:p w14:paraId="70EA6515" w14:textId="64E6410A" w:rsidR="00D86C0A" w:rsidRPr="00264E74" w:rsidRDefault="00D86C0A" w:rsidP="00322579">
      <w:pPr>
        <w:pStyle w:val="ListParagraph"/>
        <w:numPr>
          <w:ilvl w:val="0"/>
          <w:numId w:val="22"/>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t xml:space="preserve">Indigenous </w:t>
      </w:r>
    </w:p>
    <w:p w14:paraId="705A0FF2" w14:textId="2C4D3179" w:rsidR="00D86C0A" w:rsidRPr="00264E74" w:rsidRDefault="00D86C0A" w:rsidP="00322579">
      <w:pPr>
        <w:pStyle w:val="ListParagraph"/>
        <w:numPr>
          <w:ilvl w:val="0"/>
          <w:numId w:val="22"/>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t xml:space="preserve">Displaced workers </w:t>
      </w:r>
    </w:p>
    <w:p w14:paraId="286FC0A1" w14:textId="188FCD88" w:rsidR="0030199C" w:rsidRPr="00264E74" w:rsidRDefault="0030199C" w:rsidP="00322579">
      <w:pPr>
        <w:pStyle w:val="ListParagraph"/>
        <w:numPr>
          <w:ilvl w:val="0"/>
          <w:numId w:val="22"/>
        </w:num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t xml:space="preserve">Small and micro business </w:t>
      </w:r>
    </w:p>
    <w:p w14:paraId="063646CD" w14:textId="11F566D5" w:rsidR="006530CD" w:rsidRPr="00264E74" w:rsidRDefault="006530CD" w:rsidP="00BD3AD5">
      <w:p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t>The plan identifies the strategies and actions to be undertaken to address these priorities. The Employment Facilitator will have responsibility for enabling and ensuring agreed strategies are implemented.</w:t>
      </w:r>
    </w:p>
    <w:p w14:paraId="6B46D7FF" w14:textId="5BD2A42D" w:rsidR="006530CD" w:rsidRPr="00264E74" w:rsidRDefault="006530CD" w:rsidP="00BD3AD5">
      <w:pPr>
        <w:spacing w:before="120" w:after="120" w:line="257"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t>The plan is intended to provide a</w:t>
      </w:r>
      <w:r w:rsidR="00383E02" w:rsidRPr="00264E74">
        <w:rPr>
          <w:rFonts w:asciiTheme="minorHAnsi" w:eastAsia="Calibri" w:hAnsiTheme="minorHAnsi" w:cstheme="minorHAnsi"/>
          <w:sz w:val="22"/>
          <w:szCs w:val="22"/>
        </w:rPr>
        <w:t xml:space="preserve"> </w:t>
      </w:r>
      <w:r w:rsidRPr="00264E74">
        <w:rPr>
          <w:rFonts w:asciiTheme="minorHAnsi" w:eastAsia="Calibri" w:hAnsiTheme="minorHAnsi" w:cstheme="minorHAnsi"/>
          <w:sz w:val="22"/>
          <w:szCs w:val="22"/>
        </w:rPr>
        <w:t xml:space="preserve">set of priorities for the Local Jobs Program. The plan will be reviewed </w:t>
      </w:r>
      <w:r w:rsidR="00383E02" w:rsidRPr="00264E74">
        <w:rPr>
          <w:rFonts w:asciiTheme="minorHAnsi" w:eastAsia="Calibri" w:hAnsiTheme="minorHAnsi" w:cstheme="minorHAnsi"/>
          <w:sz w:val="22"/>
          <w:szCs w:val="22"/>
        </w:rPr>
        <w:t>by the</w:t>
      </w:r>
      <w:r w:rsidRPr="00264E74">
        <w:rPr>
          <w:rFonts w:asciiTheme="minorHAnsi" w:eastAsia="Calibri" w:hAnsiTheme="minorHAnsi" w:cstheme="minorHAnsi"/>
          <w:sz w:val="22"/>
          <w:szCs w:val="22"/>
        </w:rPr>
        <w:t xml:space="preserve"> </w:t>
      </w:r>
      <w:r w:rsidRPr="00264E74">
        <w:rPr>
          <w:rFonts w:asciiTheme="minorHAnsi" w:eastAsia="Calibri" w:hAnsiTheme="minorHAnsi" w:cstheme="minorHAnsi"/>
          <w:b/>
          <w:bCs/>
          <w:sz w:val="22"/>
          <w:szCs w:val="22"/>
        </w:rPr>
        <w:t>Hunter Local Jobs and Skills Taskforce</w:t>
      </w:r>
      <w:r w:rsidRPr="00264E74">
        <w:rPr>
          <w:rFonts w:asciiTheme="minorHAnsi" w:eastAsia="Calibri" w:hAnsiTheme="minorHAnsi" w:cstheme="minorHAnsi"/>
          <w:sz w:val="22"/>
          <w:szCs w:val="22"/>
        </w:rPr>
        <w:t xml:space="preserve"> </w:t>
      </w:r>
      <w:r w:rsidR="00383E02" w:rsidRPr="00264E74">
        <w:rPr>
          <w:rFonts w:asciiTheme="minorHAnsi" w:eastAsia="Calibri" w:hAnsiTheme="minorHAnsi" w:cstheme="minorHAnsi"/>
          <w:sz w:val="22"/>
          <w:szCs w:val="22"/>
        </w:rPr>
        <w:t xml:space="preserve">on a quarterly basis, </w:t>
      </w:r>
      <w:r w:rsidRPr="00264E74">
        <w:rPr>
          <w:rFonts w:asciiTheme="minorHAnsi" w:eastAsia="Calibri" w:hAnsiTheme="minorHAnsi" w:cstheme="minorHAnsi"/>
          <w:sz w:val="22"/>
          <w:szCs w:val="22"/>
        </w:rPr>
        <w:t>to ensure local leadership and expertise is fully leveraged to deliver outcomes</w:t>
      </w:r>
      <w:r w:rsidR="00383E02" w:rsidRPr="00264E74">
        <w:rPr>
          <w:rFonts w:asciiTheme="minorHAnsi" w:eastAsia="Calibri" w:hAnsiTheme="minorHAnsi" w:cstheme="minorHAnsi"/>
          <w:sz w:val="22"/>
          <w:szCs w:val="22"/>
        </w:rPr>
        <w:t>, and to assess progress against each priority.</w:t>
      </w:r>
      <w:r w:rsidRPr="00264E74">
        <w:rPr>
          <w:rFonts w:asciiTheme="minorHAnsi" w:eastAsia="Calibri" w:hAnsiTheme="minorHAnsi" w:cstheme="minorHAnsi"/>
          <w:sz w:val="22"/>
          <w:szCs w:val="22"/>
        </w:rPr>
        <w:t xml:space="preserve"> The plan is flexible</w:t>
      </w:r>
      <w:r w:rsidR="00A35727" w:rsidRPr="00264E74">
        <w:rPr>
          <w:rFonts w:asciiTheme="minorHAnsi" w:eastAsia="Calibri" w:hAnsiTheme="minorHAnsi" w:cstheme="minorHAnsi"/>
          <w:sz w:val="22"/>
          <w:szCs w:val="22"/>
        </w:rPr>
        <w:t xml:space="preserve"> </w:t>
      </w:r>
      <w:r w:rsidRPr="00264E74">
        <w:rPr>
          <w:rFonts w:asciiTheme="minorHAnsi" w:eastAsia="Calibri" w:hAnsiTheme="minorHAnsi" w:cstheme="minorHAnsi"/>
          <w:sz w:val="22"/>
          <w:szCs w:val="22"/>
        </w:rPr>
        <w:t>and can be amended to respond to changes in local opportunities and circumstances (or every six months).</w:t>
      </w:r>
    </w:p>
    <w:p w14:paraId="3AF141D7" w14:textId="26AB71B3" w:rsidR="00B21C30" w:rsidRPr="00264E74" w:rsidRDefault="00B21C30">
      <w:pPr>
        <w:spacing w:after="200" w:line="276" w:lineRule="auto"/>
        <w:rPr>
          <w:rFonts w:asciiTheme="minorHAnsi" w:eastAsia="Calibri" w:hAnsiTheme="minorHAnsi" w:cstheme="minorHAnsi"/>
          <w:sz w:val="22"/>
          <w:szCs w:val="22"/>
        </w:rPr>
      </w:pPr>
      <w:r w:rsidRPr="00264E74">
        <w:rPr>
          <w:rFonts w:asciiTheme="minorHAnsi" w:eastAsia="Calibri" w:hAnsiTheme="minorHAnsi" w:cstheme="minorHAnsi"/>
          <w:sz w:val="22"/>
          <w:szCs w:val="22"/>
        </w:rPr>
        <w:br w:type="page"/>
      </w:r>
    </w:p>
    <w:p w14:paraId="19609C4B" w14:textId="41AF2D50" w:rsidR="0034462D" w:rsidRDefault="00811589" w:rsidP="00A10AEF">
      <w:pPr>
        <w:pStyle w:val="Heading1"/>
        <w:rPr>
          <w:noProof w:val="0"/>
          <w:lang w:eastAsia="en-US"/>
        </w:rPr>
      </w:pPr>
      <w:bookmarkStart w:id="51" w:name="_Toc54275702"/>
      <w:bookmarkStart w:id="52" w:name="_Toc55230439"/>
      <w:r>
        <w:rPr>
          <w:noProof w:val="0"/>
          <w:lang w:eastAsia="en-US"/>
        </w:rPr>
        <w:lastRenderedPageBreak/>
        <w:t>Employment Region overview</w:t>
      </w:r>
    </w:p>
    <w:p w14:paraId="17D396C7" w14:textId="77777777" w:rsidR="0028373D" w:rsidRPr="005B11E1" w:rsidRDefault="0028373D" w:rsidP="0028373D">
      <w:pPr>
        <w:spacing w:before="120" w:after="120" w:line="257" w:lineRule="auto"/>
        <w:rPr>
          <w:rFonts w:asciiTheme="minorHAnsi" w:hAnsiTheme="minorHAnsi" w:cstheme="minorHAnsi"/>
          <w:sz w:val="22"/>
          <w:szCs w:val="22"/>
        </w:rPr>
      </w:pPr>
      <w:r w:rsidRPr="005B11E1">
        <w:rPr>
          <w:rFonts w:asciiTheme="minorHAnsi" w:hAnsiTheme="minorHAnsi" w:cstheme="minorHAnsi"/>
          <w:sz w:val="22"/>
          <w:szCs w:val="22"/>
        </w:rPr>
        <w:t xml:space="preserve">The Hunter Employment Region corresponds to the combination of the ABS ‘Hunter Valley excluding Newcastle’ and ‘Newcastle and Lake Macquarie’ areas. In the coastal section it stretches from Catherine Hill Bay to Hawks Nest. The central areas include major coal mining centres such of Muswellbrook and Singleton. In the north the region borders the Mid North Coast and New England </w:t>
      </w:r>
      <w:proofErr w:type="gramStart"/>
      <w:r w:rsidRPr="005B11E1">
        <w:rPr>
          <w:rFonts w:asciiTheme="minorHAnsi" w:hAnsiTheme="minorHAnsi" w:cstheme="minorHAnsi"/>
          <w:sz w:val="22"/>
          <w:szCs w:val="22"/>
        </w:rPr>
        <w:t>North West</w:t>
      </w:r>
      <w:proofErr w:type="gramEnd"/>
      <w:r w:rsidRPr="005B11E1">
        <w:rPr>
          <w:rFonts w:asciiTheme="minorHAnsi" w:hAnsiTheme="minorHAnsi" w:cstheme="minorHAnsi"/>
          <w:sz w:val="22"/>
          <w:szCs w:val="22"/>
        </w:rPr>
        <w:t xml:space="preserve"> employment regions. To the south the region adjoins the Central Coast part of Sydney North and West Employment Region. The western boundary is with Central West Employment Region.  </w:t>
      </w:r>
    </w:p>
    <w:p w14:paraId="35470FCF" w14:textId="7F0894E7" w:rsidR="0028373D" w:rsidRDefault="0028373D" w:rsidP="00264E74">
      <w:pPr>
        <w:pStyle w:val="Caption"/>
        <w:keepNext/>
      </w:pPr>
      <w:r>
        <w:t xml:space="preserve">Figure </w:t>
      </w:r>
      <w:r w:rsidR="00E20D41">
        <w:fldChar w:fldCharType="begin"/>
      </w:r>
      <w:r w:rsidR="00E20D41">
        <w:instrText xml:space="preserve"> SEQ Figure \* ARABIC </w:instrText>
      </w:r>
      <w:r w:rsidR="00E20D41">
        <w:fldChar w:fldCharType="separate"/>
      </w:r>
      <w:r w:rsidR="00E20D41">
        <w:rPr>
          <w:noProof/>
        </w:rPr>
        <w:t>1</w:t>
      </w:r>
      <w:r w:rsidR="00E20D41">
        <w:rPr>
          <w:noProof/>
        </w:rPr>
        <w:fldChar w:fldCharType="end"/>
      </w:r>
      <w:r>
        <w:t xml:space="preserve"> Hunter Employment Region</w:t>
      </w:r>
    </w:p>
    <w:p w14:paraId="5E529BF4" w14:textId="6DAA77DE" w:rsidR="00F30AD4" w:rsidRDefault="00F30AD4" w:rsidP="00264E74">
      <w:r w:rsidRPr="00E04D29">
        <w:rPr>
          <w:rFonts w:asciiTheme="minorHAnsi" w:hAnsiTheme="minorHAnsi" w:cstheme="minorHAnsi"/>
          <w:b/>
          <w:noProof/>
          <w:sz w:val="23"/>
          <w:szCs w:val="23"/>
          <w:lang w:eastAsia="en-AU"/>
        </w:rPr>
        <w:drawing>
          <wp:inline distT="0" distB="0" distL="0" distR="0" wp14:anchorId="025E7241" wp14:editId="6B854782">
            <wp:extent cx="4476750" cy="2800350"/>
            <wp:effectExtent l="19050" t="19050" r="19050" b="19050"/>
            <wp:docPr id="8" name="Picture 8" descr="Map of the Hunter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3177" r="3941"/>
                    <a:stretch/>
                  </pic:blipFill>
                  <pic:spPr bwMode="auto">
                    <a:xfrm>
                      <a:off x="0" y="0"/>
                      <a:ext cx="4476750" cy="2800350"/>
                    </a:xfrm>
                    <a:prstGeom prst="rect">
                      <a:avLst/>
                    </a:prstGeom>
                    <a:noFill/>
                    <a:ln w="12700" cap="flat" cmpd="sng" algn="ctr">
                      <a:solidFill>
                        <a:srgbClr val="C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FC5810D" w14:textId="77777777" w:rsidR="00F30AD4" w:rsidRPr="00F30AD4" w:rsidRDefault="00F30AD4" w:rsidP="00F30AD4">
      <w:pPr>
        <w:jc w:val="center"/>
      </w:pPr>
    </w:p>
    <w:p w14:paraId="650473FF" w14:textId="6C1B3320" w:rsidR="00F30AD4" w:rsidRPr="00264E74" w:rsidRDefault="00F30AD4" w:rsidP="00F30AD4">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The city of Newcastle is the Hunter’s economic hub and is home to Australia’s largest coal export port by volume. It is also home to the University of Newcastle, a large regional employer with recognised research and industry collaboration particularly in in Health and Energy Resources </w:t>
      </w:r>
      <w:proofErr w:type="gramStart"/>
      <w:r w:rsidR="003346AD" w:rsidRPr="00264E74">
        <w:rPr>
          <w:rFonts w:asciiTheme="minorHAnsi" w:hAnsiTheme="minorHAnsi" w:cstheme="minorHAnsi"/>
          <w:sz w:val="22"/>
          <w:szCs w:val="22"/>
        </w:rPr>
        <w:t>i.e.</w:t>
      </w:r>
      <w:proofErr w:type="gramEnd"/>
      <w:r w:rsidRPr="00264E74">
        <w:rPr>
          <w:rFonts w:asciiTheme="minorHAnsi" w:hAnsiTheme="minorHAnsi" w:cstheme="minorHAnsi"/>
          <w:sz w:val="22"/>
          <w:szCs w:val="22"/>
        </w:rPr>
        <w:t xml:space="preserve"> mining.</w:t>
      </w:r>
    </w:p>
    <w:p w14:paraId="76E2DD78" w14:textId="77777777" w:rsidR="00F30AD4" w:rsidRPr="00264E74" w:rsidRDefault="00F30AD4" w:rsidP="00F30AD4">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Health is the strong industry sector within the region with major public hospitals in Newcastle and Maitland being leading employers and serving areas outside the Hunter. The region also has substantial employment in Care sectors with Health and Care, consistent leaders in occupational vacancy categories.</w:t>
      </w:r>
    </w:p>
    <w:p w14:paraId="78572AA5" w14:textId="77777777" w:rsidR="00F30AD4" w:rsidRPr="00264E74" w:rsidRDefault="00F30AD4" w:rsidP="00F30AD4">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Key value-added sectors include Coal mining; Electricity generation; advanced manufacturing; Defence; Agriculture including Viticulture; Thoroughbred breeding; Meat processing; and Tourism particularly in the Hunter Valley wine region and Port Stephens. </w:t>
      </w:r>
    </w:p>
    <w:p w14:paraId="430BE511" w14:textId="675CDAD5" w:rsidR="00F30AD4" w:rsidRPr="00264E74" w:rsidRDefault="00F30AD4" w:rsidP="00F30AD4">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The Hunter region functions as relative discrete functional economic region with substantial commuter flows. However, there are some notable (and overlapping) intra-region variations that reflect labour, economic, social, </w:t>
      </w:r>
      <w:r w:rsidR="003346AD" w:rsidRPr="00264E74">
        <w:rPr>
          <w:rFonts w:asciiTheme="minorHAnsi" w:hAnsiTheme="minorHAnsi" w:cstheme="minorHAnsi"/>
          <w:sz w:val="22"/>
          <w:szCs w:val="22"/>
        </w:rPr>
        <w:t>political,</w:t>
      </w:r>
      <w:r w:rsidRPr="00264E74">
        <w:rPr>
          <w:rFonts w:asciiTheme="minorHAnsi" w:hAnsiTheme="minorHAnsi" w:cstheme="minorHAnsi"/>
          <w:sz w:val="22"/>
          <w:szCs w:val="22"/>
        </w:rPr>
        <w:t xml:space="preserve"> and planning </w:t>
      </w:r>
      <w:r w:rsidR="003346AD" w:rsidRPr="00264E74">
        <w:rPr>
          <w:rFonts w:asciiTheme="minorHAnsi" w:hAnsiTheme="minorHAnsi" w:cstheme="minorHAnsi"/>
          <w:sz w:val="22"/>
          <w:szCs w:val="22"/>
        </w:rPr>
        <w:t>realities,</w:t>
      </w:r>
      <w:r w:rsidRPr="00264E74">
        <w:rPr>
          <w:rFonts w:asciiTheme="minorHAnsi" w:hAnsiTheme="minorHAnsi" w:cstheme="minorHAnsi"/>
          <w:sz w:val="22"/>
          <w:szCs w:val="22"/>
        </w:rPr>
        <w:t xml:space="preserve"> and boundaries. For example, there is substantial commuter traffic within the ‘Greater Newcastle Metropolitan Area’ – also generally referred to as the ‘Lower Hunter’ – comprising of the following LGAs: Newcastle, Lake Macquarie, Port Stephens, </w:t>
      </w:r>
      <w:proofErr w:type="gramStart"/>
      <w:r w:rsidRPr="00264E74">
        <w:rPr>
          <w:rFonts w:asciiTheme="minorHAnsi" w:hAnsiTheme="minorHAnsi" w:cstheme="minorHAnsi"/>
          <w:sz w:val="22"/>
          <w:szCs w:val="22"/>
        </w:rPr>
        <w:t>Maitland</w:t>
      </w:r>
      <w:proofErr w:type="gramEnd"/>
      <w:r w:rsidRPr="00264E74">
        <w:rPr>
          <w:rFonts w:asciiTheme="minorHAnsi" w:hAnsiTheme="minorHAnsi" w:cstheme="minorHAnsi"/>
          <w:sz w:val="22"/>
          <w:szCs w:val="22"/>
        </w:rPr>
        <w:t xml:space="preserve"> and Cessnock. There is particularly high two-way commuter flow between the large population centres of Newcastle and Lake Macquarie. In broad terms, this Lower Hunter economy is more diverse and has characteristics more </w:t>
      </w:r>
      <w:proofErr w:type="gramStart"/>
      <w:r w:rsidRPr="00264E74">
        <w:rPr>
          <w:rFonts w:asciiTheme="minorHAnsi" w:hAnsiTheme="minorHAnsi" w:cstheme="minorHAnsi"/>
          <w:sz w:val="22"/>
          <w:szCs w:val="22"/>
        </w:rPr>
        <w:t>similar to</w:t>
      </w:r>
      <w:proofErr w:type="gramEnd"/>
      <w:r w:rsidRPr="00264E74">
        <w:rPr>
          <w:rFonts w:asciiTheme="minorHAnsi" w:hAnsiTheme="minorHAnsi" w:cstheme="minorHAnsi"/>
          <w:sz w:val="22"/>
          <w:szCs w:val="22"/>
        </w:rPr>
        <w:t xml:space="preserve"> urban economies.</w:t>
      </w:r>
    </w:p>
    <w:p w14:paraId="3A5F9105" w14:textId="709821E4" w:rsidR="00F30AD4" w:rsidRPr="00264E74" w:rsidRDefault="00F30AD4" w:rsidP="00F30AD4">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The ‘Upper Hunter’ – Singleton, Muswellbrook, </w:t>
      </w:r>
      <w:proofErr w:type="gramStart"/>
      <w:r w:rsidRPr="00264E74">
        <w:rPr>
          <w:rFonts w:asciiTheme="minorHAnsi" w:hAnsiTheme="minorHAnsi" w:cstheme="minorHAnsi"/>
          <w:sz w:val="22"/>
          <w:szCs w:val="22"/>
        </w:rPr>
        <w:t>Scone</w:t>
      </w:r>
      <w:proofErr w:type="gramEnd"/>
      <w:r w:rsidRPr="00264E74">
        <w:rPr>
          <w:rFonts w:asciiTheme="minorHAnsi" w:hAnsiTheme="minorHAnsi" w:cstheme="minorHAnsi"/>
          <w:sz w:val="22"/>
          <w:szCs w:val="22"/>
        </w:rPr>
        <w:t xml:space="preserve"> and Dungog – has a more concentrated resource based and rural economy. For example, Coal mining is responsible for 30-40% of employment in Singleton and Muswellbrook LGAs. There is also substantial commuter overlap between these two sub-regions, with thousands of workers commuting from areas such as Maitland and Cessnock to the Upper Hunter </w:t>
      </w:r>
      <w:proofErr w:type="gramStart"/>
      <w:r w:rsidRPr="00264E74">
        <w:rPr>
          <w:rFonts w:asciiTheme="minorHAnsi" w:hAnsiTheme="minorHAnsi" w:cstheme="minorHAnsi"/>
          <w:sz w:val="22"/>
          <w:szCs w:val="22"/>
        </w:rPr>
        <w:t>on a daily basis</w:t>
      </w:r>
      <w:proofErr w:type="gramEnd"/>
      <w:r w:rsidRPr="00264E74">
        <w:rPr>
          <w:rFonts w:asciiTheme="minorHAnsi" w:hAnsiTheme="minorHAnsi" w:cstheme="minorHAnsi"/>
          <w:sz w:val="22"/>
          <w:szCs w:val="22"/>
        </w:rPr>
        <w:t>.</w:t>
      </w:r>
    </w:p>
    <w:p w14:paraId="0B181DE8" w14:textId="33B5B57D" w:rsidR="00817BDA" w:rsidRPr="00264E74" w:rsidRDefault="00817BDA" w:rsidP="00817BDA">
      <w:pPr>
        <w:spacing w:before="120" w:after="120" w:line="257" w:lineRule="auto"/>
        <w:rPr>
          <w:rFonts w:asciiTheme="minorHAnsi" w:hAnsiTheme="minorHAnsi" w:cstheme="minorHAnsi"/>
          <w:sz w:val="22"/>
          <w:szCs w:val="22"/>
        </w:rPr>
      </w:pPr>
      <w:r w:rsidRPr="00264E74">
        <w:rPr>
          <w:rFonts w:asciiTheme="minorHAnsi" w:hAnsiTheme="minorHAnsi" w:cstheme="minorHAnsi"/>
          <w:b/>
          <w:bCs/>
          <w:sz w:val="22"/>
          <w:szCs w:val="22"/>
        </w:rPr>
        <w:t xml:space="preserve">See Appendix A </w:t>
      </w:r>
      <w:r w:rsidR="00D8741E">
        <w:rPr>
          <w:rFonts w:asciiTheme="minorHAnsi" w:hAnsiTheme="minorHAnsi" w:cstheme="minorHAnsi"/>
          <w:b/>
          <w:bCs/>
          <w:sz w:val="22"/>
          <w:szCs w:val="22"/>
        </w:rPr>
        <w:t>and</w:t>
      </w:r>
      <w:r w:rsidRPr="00264E74">
        <w:rPr>
          <w:rFonts w:asciiTheme="minorHAnsi" w:hAnsiTheme="minorHAnsi" w:cstheme="minorHAnsi"/>
          <w:b/>
          <w:bCs/>
          <w:sz w:val="22"/>
          <w:szCs w:val="22"/>
        </w:rPr>
        <w:t xml:space="preserve"> B</w:t>
      </w:r>
      <w:r w:rsidRPr="00264E74">
        <w:rPr>
          <w:rFonts w:asciiTheme="minorHAnsi" w:hAnsiTheme="minorHAnsi" w:cstheme="minorHAnsi"/>
          <w:sz w:val="22"/>
          <w:szCs w:val="22"/>
        </w:rPr>
        <w:t xml:space="preserve"> for detailed labour market data</w:t>
      </w:r>
      <w:bookmarkEnd w:id="51"/>
      <w:bookmarkEnd w:id="52"/>
      <w:r w:rsidR="004F32C8">
        <w:rPr>
          <w:rFonts w:asciiTheme="minorHAnsi" w:hAnsiTheme="minorHAnsi" w:cstheme="minorHAnsi"/>
          <w:sz w:val="22"/>
          <w:szCs w:val="22"/>
        </w:rPr>
        <w:t>.</w:t>
      </w:r>
    </w:p>
    <w:p w14:paraId="1378AE01" w14:textId="3E90B8BE" w:rsidR="006530CD" w:rsidRPr="00264E74" w:rsidRDefault="00A34D4A" w:rsidP="00264E74">
      <w:pPr>
        <w:pStyle w:val="Heading1"/>
        <w:spacing w:after="240"/>
        <w:rPr>
          <w:noProof w:val="0"/>
          <w:lang w:eastAsia="en-US"/>
        </w:rPr>
      </w:pPr>
      <w:bookmarkStart w:id="53" w:name="_Toc54275703"/>
      <w:bookmarkStart w:id="54" w:name="_Toc81405359"/>
      <w:r w:rsidRPr="00264E74">
        <w:rPr>
          <w:noProof w:val="0"/>
          <w:lang w:eastAsia="en-US"/>
        </w:rPr>
        <w:lastRenderedPageBreak/>
        <w:t>K</w:t>
      </w:r>
      <w:r w:rsidR="006530CD" w:rsidRPr="00264E74">
        <w:rPr>
          <w:noProof w:val="0"/>
          <w:lang w:eastAsia="en-US"/>
        </w:rPr>
        <w:t>ey Challenges</w:t>
      </w:r>
      <w:bookmarkEnd w:id="53"/>
      <w:bookmarkEnd w:id="54"/>
      <w:r w:rsidR="006530CD" w:rsidRPr="00264E74">
        <w:rPr>
          <w:noProof w:val="0"/>
          <w:lang w:eastAsia="en-US"/>
        </w:rPr>
        <w:t xml:space="preserve"> </w:t>
      </w:r>
      <w:r w:rsidR="009013CD">
        <w:rPr>
          <w:noProof w:val="0"/>
          <w:lang w:eastAsia="en-US"/>
        </w:rPr>
        <w:t>in the Hunter Employment Region</w:t>
      </w:r>
    </w:p>
    <w:p w14:paraId="17B8177C" w14:textId="632BB21B" w:rsidR="006530CD" w:rsidRPr="00264E74" w:rsidRDefault="006530CD" w:rsidP="00721773">
      <w:pPr>
        <w:keepNext/>
        <w:keepLines/>
        <w:spacing w:before="120" w:after="120" w:line="257" w:lineRule="auto"/>
        <w:ind w:right="96"/>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 xml:space="preserve">Key challenges in the Hunter </w:t>
      </w:r>
      <w:r w:rsidR="00037B05" w:rsidRPr="00264E74">
        <w:rPr>
          <w:rFonts w:asciiTheme="minorHAnsi" w:hAnsiTheme="minorHAnsi" w:cstheme="minorHAnsi"/>
          <w:color w:val="000000" w:themeColor="text1"/>
          <w:sz w:val="22"/>
          <w:szCs w:val="22"/>
        </w:rPr>
        <w:t xml:space="preserve">as of 2021, </w:t>
      </w:r>
      <w:r w:rsidRPr="00264E74">
        <w:rPr>
          <w:rFonts w:asciiTheme="minorHAnsi" w:hAnsiTheme="minorHAnsi" w:cstheme="minorHAnsi"/>
          <w:color w:val="000000" w:themeColor="text1"/>
          <w:sz w:val="22"/>
          <w:szCs w:val="22"/>
        </w:rPr>
        <w:t>include:</w:t>
      </w:r>
    </w:p>
    <w:p w14:paraId="0C69AF97" w14:textId="58B2A641" w:rsidR="006530CD" w:rsidRPr="00264E74" w:rsidRDefault="006530CD" w:rsidP="00322579">
      <w:pPr>
        <w:pStyle w:val="ListParagraph"/>
        <w:keepNext/>
        <w:keepLines/>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Known friction in securing adequately skilled workers in growth and demand sectors with accessible entry level work</w:t>
      </w:r>
      <w:r w:rsidR="00037B05" w:rsidRPr="00264E74">
        <w:rPr>
          <w:rFonts w:asciiTheme="minorHAnsi" w:hAnsiTheme="minorHAnsi" w:cstheme="minorHAnsi"/>
          <w:color w:val="000000" w:themeColor="text1"/>
          <w:sz w:val="22"/>
          <w:szCs w:val="22"/>
        </w:rPr>
        <w:t>. F</w:t>
      </w:r>
      <w:r w:rsidRPr="00264E74">
        <w:rPr>
          <w:rFonts w:asciiTheme="minorHAnsi" w:hAnsiTheme="minorHAnsi" w:cstheme="minorHAnsi"/>
          <w:color w:val="000000" w:themeColor="text1"/>
          <w:sz w:val="22"/>
          <w:szCs w:val="22"/>
        </w:rPr>
        <w:t>or example</w:t>
      </w:r>
      <w:r w:rsidR="00037B05" w:rsidRPr="00264E74">
        <w:rPr>
          <w:rFonts w:asciiTheme="minorHAnsi" w:hAnsiTheme="minorHAnsi" w:cstheme="minorHAnsi"/>
          <w:color w:val="000000" w:themeColor="text1"/>
          <w:sz w:val="22"/>
          <w:szCs w:val="22"/>
        </w:rPr>
        <w:t>:</w:t>
      </w:r>
      <w:r w:rsidRPr="00264E74">
        <w:rPr>
          <w:rFonts w:asciiTheme="minorHAnsi" w:hAnsiTheme="minorHAnsi" w:cstheme="minorHAnsi"/>
          <w:color w:val="000000" w:themeColor="text1"/>
          <w:sz w:val="22"/>
          <w:szCs w:val="22"/>
        </w:rPr>
        <w:t xml:space="preserve"> </w:t>
      </w:r>
      <w:proofErr w:type="gramStart"/>
      <w:r w:rsidR="00037B05" w:rsidRPr="00264E74">
        <w:rPr>
          <w:rFonts w:asciiTheme="minorHAnsi" w:hAnsiTheme="minorHAnsi" w:cstheme="minorHAnsi"/>
          <w:color w:val="000000" w:themeColor="text1"/>
          <w:sz w:val="22"/>
          <w:szCs w:val="22"/>
        </w:rPr>
        <w:t>A</w:t>
      </w:r>
      <w:r w:rsidRPr="00264E74">
        <w:rPr>
          <w:rFonts w:asciiTheme="minorHAnsi" w:hAnsiTheme="minorHAnsi" w:cstheme="minorHAnsi"/>
          <w:color w:val="000000" w:themeColor="text1"/>
          <w:sz w:val="22"/>
          <w:szCs w:val="22"/>
        </w:rPr>
        <w:t>ged</w:t>
      </w:r>
      <w:proofErr w:type="gramEnd"/>
      <w:r w:rsidRPr="00264E74">
        <w:rPr>
          <w:rFonts w:asciiTheme="minorHAnsi" w:hAnsiTheme="minorHAnsi" w:cstheme="minorHAnsi"/>
          <w:color w:val="000000" w:themeColor="text1"/>
          <w:sz w:val="22"/>
          <w:szCs w:val="22"/>
        </w:rPr>
        <w:t xml:space="preserve"> care, </w:t>
      </w:r>
      <w:r w:rsidR="00D47B4A" w:rsidRPr="00264E74">
        <w:rPr>
          <w:rFonts w:asciiTheme="minorHAnsi" w:hAnsiTheme="minorHAnsi" w:cstheme="minorHAnsi"/>
          <w:color w:val="000000" w:themeColor="text1"/>
          <w:sz w:val="22"/>
          <w:szCs w:val="22"/>
        </w:rPr>
        <w:t>Disability</w:t>
      </w:r>
      <w:r w:rsidRPr="00264E74">
        <w:rPr>
          <w:rFonts w:asciiTheme="minorHAnsi" w:hAnsiTheme="minorHAnsi" w:cstheme="minorHAnsi"/>
          <w:color w:val="000000" w:themeColor="text1"/>
          <w:sz w:val="22"/>
          <w:szCs w:val="22"/>
        </w:rPr>
        <w:t xml:space="preserve">, </w:t>
      </w:r>
      <w:r w:rsidR="00D47B4A" w:rsidRPr="00264E74">
        <w:rPr>
          <w:rFonts w:asciiTheme="minorHAnsi" w:hAnsiTheme="minorHAnsi" w:cstheme="minorHAnsi"/>
          <w:color w:val="000000" w:themeColor="text1"/>
          <w:sz w:val="22"/>
          <w:szCs w:val="22"/>
        </w:rPr>
        <w:t>Tourism</w:t>
      </w:r>
      <w:r w:rsidRPr="00264E74">
        <w:rPr>
          <w:rFonts w:asciiTheme="minorHAnsi" w:hAnsiTheme="minorHAnsi" w:cstheme="minorHAnsi"/>
          <w:color w:val="000000" w:themeColor="text1"/>
          <w:sz w:val="22"/>
          <w:szCs w:val="22"/>
        </w:rPr>
        <w:t xml:space="preserve">, </w:t>
      </w:r>
      <w:r w:rsidR="00D47B4A" w:rsidRPr="00264E74">
        <w:rPr>
          <w:rFonts w:asciiTheme="minorHAnsi" w:hAnsiTheme="minorHAnsi" w:cstheme="minorHAnsi"/>
          <w:color w:val="000000" w:themeColor="text1"/>
          <w:sz w:val="22"/>
          <w:szCs w:val="22"/>
        </w:rPr>
        <w:t xml:space="preserve">Grape </w:t>
      </w:r>
      <w:r w:rsidRPr="00264E74">
        <w:rPr>
          <w:rFonts w:asciiTheme="minorHAnsi" w:hAnsiTheme="minorHAnsi" w:cstheme="minorHAnsi"/>
          <w:color w:val="000000" w:themeColor="text1"/>
          <w:sz w:val="22"/>
          <w:szCs w:val="22"/>
        </w:rPr>
        <w:t xml:space="preserve">and </w:t>
      </w:r>
      <w:r w:rsidR="00D47B4A" w:rsidRPr="00264E74">
        <w:rPr>
          <w:rFonts w:asciiTheme="minorHAnsi" w:hAnsiTheme="minorHAnsi" w:cstheme="minorHAnsi"/>
          <w:color w:val="000000" w:themeColor="text1"/>
          <w:sz w:val="22"/>
          <w:szCs w:val="22"/>
        </w:rPr>
        <w:t xml:space="preserve">Wine </w:t>
      </w:r>
      <w:r w:rsidRPr="00264E74">
        <w:rPr>
          <w:rFonts w:asciiTheme="minorHAnsi" w:hAnsiTheme="minorHAnsi" w:cstheme="minorHAnsi"/>
          <w:color w:val="000000" w:themeColor="text1"/>
          <w:sz w:val="22"/>
          <w:szCs w:val="22"/>
        </w:rPr>
        <w:t>production,</w:t>
      </w:r>
      <w:r w:rsidR="00037B05" w:rsidRPr="00264E74">
        <w:rPr>
          <w:rFonts w:asciiTheme="minorHAnsi" w:hAnsiTheme="minorHAnsi" w:cstheme="minorHAnsi"/>
          <w:color w:val="000000" w:themeColor="text1"/>
          <w:sz w:val="22"/>
          <w:szCs w:val="22"/>
        </w:rPr>
        <w:t xml:space="preserve"> and</w:t>
      </w:r>
      <w:r w:rsidRPr="00264E74">
        <w:rPr>
          <w:rFonts w:asciiTheme="minorHAnsi" w:hAnsiTheme="minorHAnsi" w:cstheme="minorHAnsi"/>
          <w:color w:val="000000" w:themeColor="text1"/>
          <w:sz w:val="22"/>
          <w:szCs w:val="22"/>
        </w:rPr>
        <w:t xml:space="preserve"> </w:t>
      </w:r>
      <w:r w:rsidR="00D47B4A" w:rsidRPr="00264E74">
        <w:rPr>
          <w:rFonts w:asciiTheme="minorHAnsi" w:hAnsiTheme="minorHAnsi" w:cstheme="minorHAnsi"/>
          <w:color w:val="000000" w:themeColor="text1"/>
          <w:sz w:val="22"/>
          <w:szCs w:val="22"/>
        </w:rPr>
        <w:t xml:space="preserve">Meat </w:t>
      </w:r>
      <w:r w:rsidRPr="00264E74">
        <w:rPr>
          <w:rFonts w:asciiTheme="minorHAnsi" w:hAnsiTheme="minorHAnsi" w:cstheme="minorHAnsi"/>
          <w:color w:val="000000" w:themeColor="text1"/>
          <w:sz w:val="22"/>
          <w:szCs w:val="22"/>
        </w:rPr>
        <w:t>processing.</w:t>
      </w:r>
    </w:p>
    <w:p w14:paraId="4D81E888" w14:textId="2592B0F6" w:rsidR="006530CD" w:rsidRPr="00264E74" w:rsidRDefault="006530CD" w:rsidP="00322579">
      <w:pPr>
        <w:pStyle w:val="ListParagraph"/>
        <w:keepNext/>
        <w:keepLines/>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Pandemic-specific economic risks in key value-added sectors across the region</w:t>
      </w:r>
      <w:r w:rsidR="006A34BF" w:rsidRPr="00264E74">
        <w:rPr>
          <w:rFonts w:asciiTheme="minorHAnsi" w:hAnsiTheme="minorHAnsi" w:cstheme="minorHAnsi"/>
          <w:color w:val="000000" w:themeColor="text1"/>
          <w:sz w:val="22"/>
          <w:szCs w:val="22"/>
        </w:rPr>
        <w:t xml:space="preserve">, </w:t>
      </w:r>
      <w:proofErr w:type="gramStart"/>
      <w:r w:rsidR="006A34BF" w:rsidRPr="00264E74">
        <w:rPr>
          <w:rFonts w:asciiTheme="minorHAnsi" w:hAnsiTheme="minorHAnsi" w:cstheme="minorHAnsi"/>
          <w:color w:val="000000" w:themeColor="text1"/>
          <w:sz w:val="22"/>
          <w:szCs w:val="22"/>
        </w:rPr>
        <w:t>including:</w:t>
      </w:r>
      <w:proofErr w:type="gramEnd"/>
      <w:r w:rsidR="006A34BF" w:rsidRPr="00264E74">
        <w:rPr>
          <w:rFonts w:asciiTheme="minorHAnsi" w:hAnsiTheme="minorHAnsi" w:cstheme="minorHAnsi"/>
          <w:color w:val="000000" w:themeColor="text1"/>
          <w:sz w:val="22"/>
          <w:szCs w:val="22"/>
        </w:rPr>
        <w:t xml:space="preserve"> M</w:t>
      </w:r>
      <w:r w:rsidRPr="00264E74">
        <w:rPr>
          <w:rFonts w:asciiTheme="minorHAnsi" w:hAnsiTheme="minorHAnsi" w:cstheme="minorHAnsi"/>
          <w:color w:val="000000" w:themeColor="text1"/>
          <w:sz w:val="22"/>
          <w:szCs w:val="22"/>
        </w:rPr>
        <w:t xml:space="preserve">ining, </w:t>
      </w:r>
      <w:r w:rsidR="00D47B4A" w:rsidRPr="00264E74">
        <w:rPr>
          <w:rFonts w:asciiTheme="minorHAnsi" w:hAnsiTheme="minorHAnsi" w:cstheme="minorHAnsi"/>
          <w:color w:val="000000" w:themeColor="text1"/>
          <w:sz w:val="22"/>
          <w:szCs w:val="22"/>
        </w:rPr>
        <w:t>C</w:t>
      </w:r>
      <w:r w:rsidRPr="00264E74">
        <w:rPr>
          <w:rFonts w:asciiTheme="minorHAnsi" w:hAnsiTheme="minorHAnsi" w:cstheme="minorHAnsi"/>
          <w:color w:val="000000" w:themeColor="text1"/>
          <w:sz w:val="22"/>
          <w:szCs w:val="22"/>
        </w:rPr>
        <w:t xml:space="preserve">onstruction, </w:t>
      </w:r>
      <w:r w:rsidR="00D47B4A" w:rsidRPr="00264E74">
        <w:rPr>
          <w:rFonts w:asciiTheme="minorHAnsi" w:hAnsiTheme="minorHAnsi" w:cstheme="minorHAnsi"/>
          <w:color w:val="000000" w:themeColor="text1"/>
          <w:sz w:val="22"/>
          <w:szCs w:val="22"/>
        </w:rPr>
        <w:t>M</w:t>
      </w:r>
      <w:r w:rsidRPr="00264E74">
        <w:rPr>
          <w:rFonts w:asciiTheme="minorHAnsi" w:hAnsiTheme="minorHAnsi" w:cstheme="minorHAnsi"/>
          <w:color w:val="000000" w:themeColor="text1"/>
          <w:sz w:val="22"/>
          <w:szCs w:val="22"/>
        </w:rPr>
        <w:t xml:space="preserve">anufacturing, </w:t>
      </w:r>
      <w:r w:rsidR="00D47B4A" w:rsidRPr="00264E74">
        <w:rPr>
          <w:rFonts w:asciiTheme="minorHAnsi" w:hAnsiTheme="minorHAnsi" w:cstheme="minorHAnsi"/>
          <w:color w:val="000000" w:themeColor="text1"/>
          <w:sz w:val="22"/>
          <w:szCs w:val="22"/>
        </w:rPr>
        <w:t>G</w:t>
      </w:r>
      <w:r w:rsidRPr="00264E74">
        <w:rPr>
          <w:rFonts w:asciiTheme="minorHAnsi" w:hAnsiTheme="minorHAnsi" w:cstheme="minorHAnsi"/>
          <w:color w:val="000000" w:themeColor="text1"/>
          <w:sz w:val="22"/>
          <w:szCs w:val="22"/>
        </w:rPr>
        <w:t xml:space="preserve">rape production, and </w:t>
      </w:r>
      <w:r w:rsidR="00D47B4A" w:rsidRPr="00264E74">
        <w:rPr>
          <w:rFonts w:asciiTheme="minorHAnsi" w:hAnsiTheme="minorHAnsi" w:cstheme="minorHAnsi"/>
          <w:color w:val="000000" w:themeColor="text1"/>
          <w:sz w:val="22"/>
          <w:szCs w:val="22"/>
        </w:rPr>
        <w:t>T</w:t>
      </w:r>
      <w:r w:rsidRPr="00264E74">
        <w:rPr>
          <w:rFonts w:asciiTheme="minorHAnsi" w:hAnsiTheme="minorHAnsi" w:cstheme="minorHAnsi"/>
          <w:color w:val="000000" w:themeColor="text1"/>
          <w:sz w:val="22"/>
          <w:szCs w:val="22"/>
        </w:rPr>
        <w:t>ertiary education.</w:t>
      </w:r>
    </w:p>
    <w:p w14:paraId="0BC2777C" w14:textId="079B8A10" w:rsidR="006530CD" w:rsidRPr="00264E74" w:rsidRDefault="006530CD"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Acute information deficits for job seekers and students on growth sectors and career pathways. Long-term occupational change trends and widely</w:t>
      </w:r>
      <w:r w:rsidR="006A34BF" w:rsidRPr="00264E74">
        <w:rPr>
          <w:rFonts w:asciiTheme="minorHAnsi" w:hAnsiTheme="minorHAnsi" w:cstheme="minorHAnsi"/>
          <w:color w:val="000000" w:themeColor="text1"/>
          <w:sz w:val="22"/>
          <w:szCs w:val="22"/>
        </w:rPr>
        <w:t xml:space="preserve"> </w:t>
      </w:r>
      <w:r w:rsidRPr="00264E74">
        <w:rPr>
          <w:rFonts w:asciiTheme="minorHAnsi" w:hAnsiTheme="minorHAnsi" w:cstheme="minorHAnsi"/>
          <w:color w:val="000000" w:themeColor="text1"/>
          <w:sz w:val="22"/>
          <w:szCs w:val="22"/>
        </w:rPr>
        <w:t>recognised challenges in information access are compounded by the uncertain impacts of the pandemic and structural change risks.</w:t>
      </w:r>
    </w:p>
    <w:p w14:paraId="3E6E8DDD" w14:textId="6B3BC064" w:rsidR="006530CD" w:rsidRPr="00264E74" w:rsidRDefault="006530CD"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Substantial pandemic employment impacts on young people in the Newcastle</w:t>
      </w:r>
      <w:r w:rsidR="00614B3D" w:rsidRPr="00264E74">
        <w:rPr>
          <w:rFonts w:asciiTheme="minorHAnsi" w:hAnsiTheme="minorHAnsi" w:cstheme="minorHAnsi"/>
          <w:color w:val="000000" w:themeColor="text1"/>
          <w:sz w:val="22"/>
          <w:szCs w:val="22"/>
        </w:rPr>
        <w:t> </w:t>
      </w:r>
      <w:r w:rsidRPr="00264E74">
        <w:rPr>
          <w:rFonts w:asciiTheme="minorHAnsi" w:hAnsiTheme="minorHAnsi" w:cstheme="minorHAnsi"/>
          <w:color w:val="000000" w:themeColor="text1"/>
          <w:sz w:val="22"/>
          <w:szCs w:val="22"/>
        </w:rPr>
        <w:t>/</w:t>
      </w:r>
      <w:r w:rsidR="00614B3D" w:rsidRPr="00264E74">
        <w:rPr>
          <w:rFonts w:asciiTheme="minorHAnsi" w:hAnsiTheme="minorHAnsi" w:cstheme="minorHAnsi"/>
          <w:color w:val="000000" w:themeColor="text1"/>
          <w:sz w:val="22"/>
          <w:szCs w:val="22"/>
        </w:rPr>
        <w:t> </w:t>
      </w:r>
      <w:r w:rsidRPr="00264E74">
        <w:rPr>
          <w:rFonts w:asciiTheme="minorHAnsi" w:hAnsiTheme="minorHAnsi" w:cstheme="minorHAnsi"/>
          <w:color w:val="000000" w:themeColor="text1"/>
          <w:sz w:val="22"/>
          <w:szCs w:val="22"/>
        </w:rPr>
        <w:t>Lake Macquarie region and associated scarring concerns.</w:t>
      </w:r>
    </w:p>
    <w:p w14:paraId="32452B81" w14:textId="77777777" w:rsidR="006530CD" w:rsidRPr="00264E74" w:rsidRDefault="006530CD"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Enduring employer concerns regarding soft and employability skills amongst young people.</w:t>
      </w:r>
    </w:p>
    <w:p w14:paraId="22A2D400" w14:textId="77777777" w:rsidR="006530CD" w:rsidRPr="00264E74" w:rsidRDefault="006530CD"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Structurally high unemployment amongst specific groups, such as Aboriginal and Torres Strait Islanders. For example, pre-COVID (February 2020) analysis suggests an Indigenous person of working age in the Hunter is more than twice as likely to be a registered job seeker compared to the general population.</w:t>
      </w:r>
      <w:r w:rsidRPr="00264E74">
        <w:rPr>
          <w:rStyle w:val="FootnoteReference"/>
          <w:rFonts w:asciiTheme="minorHAnsi" w:hAnsiTheme="minorHAnsi" w:cstheme="minorHAnsi"/>
          <w:color w:val="000000" w:themeColor="text1"/>
          <w:sz w:val="22"/>
          <w:szCs w:val="22"/>
        </w:rPr>
        <w:footnoteReference w:id="2"/>
      </w:r>
    </w:p>
    <w:p w14:paraId="5BABB933" w14:textId="72090F04" w:rsidR="006530CD" w:rsidRPr="00264E74" w:rsidRDefault="006530CD"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Structurally high unemployment in specific locations</w:t>
      </w:r>
      <w:r w:rsidR="006A34BF" w:rsidRPr="00264E74">
        <w:rPr>
          <w:rFonts w:asciiTheme="minorHAnsi" w:hAnsiTheme="minorHAnsi" w:cstheme="minorHAnsi"/>
          <w:color w:val="000000" w:themeColor="text1"/>
          <w:sz w:val="22"/>
          <w:szCs w:val="22"/>
        </w:rPr>
        <w:t xml:space="preserve"> such as</w:t>
      </w:r>
      <w:r w:rsidRPr="00264E74">
        <w:rPr>
          <w:rFonts w:asciiTheme="minorHAnsi" w:hAnsiTheme="minorHAnsi" w:cstheme="minorHAnsi"/>
          <w:color w:val="000000" w:themeColor="text1"/>
          <w:sz w:val="22"/>
          <w:szCs w:val="22"/>
        </w:rPr>
        <w:t xml:space="preserve"> Cessnock, Muswellbrook, and areas of Lake Macquarie, Newcastle</w:t>
      </w:r>
      <w:r w:rsidR="006A34BF" w:rsidRPr="00264E74">
        <w:rPr>
          <w:rFonts w:asciiTheme="minorHAnsi" w:hAnsiTheme="minorHAnsi" w:cstheme="minorHAnsi"/>
          <w:color w:val="000000" w:themeColor="text1"/>
          <w:sz w:val="22"/>
          <w:szCs w:val="22"/>
        </w:rPr>
        <w:t>,</w:t>
      </w:r>
      <w:r w:rsidRPr="00264E74">
        <w:rPr>
          <w:rFonts w:asciiTheme="minorHAnsi" w:hAnsiTheme="minorHAnsi" w:cstheme="minorHAnsi"/>
          <w:color w:val="000000" w:themeColor="text1"/>
          <w:sz w:val="22"/>
          <w:szCs w:val="22"/>
        </w:rPr>
        <w:t xml:space="preserve"> and Port Stephens. </w:t>
      </w:r>
    </w:p>
    <w:p w14:paraId="65ECB204" w14:textId="3FE873CB" w:rsidR="006530CD" w:rsidRPr="00264E74" w:rsidRDefault="006530CD" w:rsidP="00322579">
      <w:pPr>
        <w:pStyle w:val="ListParagraph"/>
        <w:numPr>
          <w:ilvl w:val="0"/>
          <w:numId w:val="20"/>
        </w:numPr>
        <w:spacing w:before="120" w:after="120" w:line="257" w:lineRule="auto"/>
        <w:ind w:right="96"/>
        <w:contextualSpacing w:val="0"/>
        <w:rPr>
          <w:rFonts w:asciiTheme="minorHAnsi" w:eastAsiaTheme="minorHAnsi" w:hAnsiTheme="minorHAnsi" w:cstheme="minorHAnsi"/>
          <w:noProof/>
          <w:color w:val="000000" w:themeColor="text1"/>
          <w:sz w:val="22"/>
          <w:szCs w:val="22"/>
        </w:rPr>
      </w:pPr>
      <w:r w:rsidRPr="00264E74">
        <w:rPr>
          <w:rFonts w:asciiTheme="minorHAnsi" w:hAnsiTheme="minorHAnsi" w:cstheme="minorHAnsi"/>
          <w:color w:val="000000" w:themeColor="text1"/>
          <w:sz w:val="22"/>
          <w:szCs w:val="22"/>
        </w:rPr>
        <w:t>Lack of access to transport, particularly in rural and larger regional towns.</w:t>
      </w:r>
    </w:p>
    <w:p w14:paraId="206CE81C" w14:textId="0CBF8464" w:rsidR="006A4999" w:rsidRPr="00264E74" w:rsidRDefault="00AE4C22" w:rsidP="006A499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Ongoing shifts and uncertainty in sectors with available work, leading to labour market information deficits and the need to transfer and/or build skills</w:t>
      </w:r>
      <w:r w:rsidR="006A34BF" w:rsidRPr="00264E74">
        <w:rPr>
          <w:rFonts w:asciiTheme="minorHAnsi" w:hAnsiTheme="minorHAnsi" w:cstheme="minorHAnsi"/>
          <w:color w:val="000000" w:themeColor="text1"/>
          <w:sz w:val="22"/>
          <w:szCs w:val="22"/>
        </w:rPr>
        <w:t>.</w:t>
      </w:r>
    </w:p>
    <w:p w14:paraId="3470E5B8" w14:textId="2A4699C4" w:rsidR="00AE4C22" w:rsidRPr="00264E74" w:rsidRDefault="00AE4C22"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A high likelihood of a persistent lack of available work over extended periods</w:t>
      </w:r>
      <w:r w:rsidR="006A34BF" w:rsidRPr="00264E74">
        <w:rPr>
          <w:rFonts w:asciiTheme="minorHAnsi" w:hAnsiTheme="minorHAnsi" w:cstheme="minorHAnsi"/>
          <w:color w:val="000000" w:themeColor="text1"/>
          <w:sz w:val="22"/>
          <w:szCs w:val="22"/>
        </w:rPr>
        <w:t>.</w:t>
      </w:r>
    </w:p>
    <w:p w14:paraId="53AEFCC6" w14:textId="609208C2" w:rsidR="00AE4C22" w:rsidRPr="00264E74" w:rsidRDefault="00AE4C22"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More acute impacts for already disadvantaged groups, such as those under 30 years of age and Indigenous workers.</w:t>
      </w:r>
    </w:p>
    <w:p w14:paraId="01B55735" w14:textId="3210D245" w:rsidR="006A4999" w:rsidRPr="00264E74" w:rsidRDefault="006A4999"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 xml:space="preserve">Increased employer expectations due to high levels of </w:t>
      </w:r>
      <w:r w:rsidR="007473A6" w:rsidRPr="00264E74">
        <w:rPr>
          <w:rFonts w:asciiTheme="minorHAnsi" w:hAnsiTheme="minorHAnsi" w:cstheme="minorHAnsi"/>
          <w:color w:val="000000" w:themeColor="text1"/>
          <w:sz w:val="22"/>
          <w:szCs w:val="22"/>
        </w:rPr>
        <w:t>unemployment</w:t>
      </w:r>
      <w:r w:rsidRPr="00264E74">
        <w:rPr>
          <w:rFonts w:asciiTheme="minorHAnsi" w:hAnsiTheme="minorHAnsi" w:cstheme="minorHAnsi"/>
          <w:color w:val="000000" w:themeColor="text1"/>
          <w:sz w:val="22"/>
          <w:szCs w:val="22"/>
        </w:rPr>
        <w:t xml:space="preserve"> during the pandemic leading to assumption that higher skilled candidates are in the market</w:t>
      </w:r>
      <w:r w:rsidR="007473A6" w:rsidRPr="00264E74">
        <w:rPr>
          <w:rFonts w:asciiTheme="minorHAnsi" w:hAnsiTheme="minorHAnsi" w:cstheme="minorHAnsi"/>
          <w:color w:val="000000" w:themeColor="text1"/>
          <w:sz w:val="22"/>
          <w:szCs w:val="22"/>
        </w:rPr>
        <w:t xml:space="preserve"> and resulted hikes in entry level role requirements</w:t>
      </w:r>
      <w:r w:rsidR="006A34BF" w:rsidRPr="00264E74">
        <w:rPr>
          <w:rFonts w:asciiTheme="minorHAnsi" w:hAnsiTheme="minorHAnsi" w:cstheme="minorHAnsi"/>
          <w:color w:val="000000" w:themeColor="text1"/>
          <w:sz w:val="22"/>
          <w:szCs w:val="22"/>
        </w:rPr>
        <w:t>.</w:t>
      </w:r>
    </w:p>
    <w:p w14:paraId="63495DD5" w14:textId="19E84CC6" w:rsidR="007473A6" w:rsidRPr="00264E74" w:rsidRDefault="007473A6" w:rsidP="00322579">
      <w:pPr>
        <w:pStyle w:val="ListParagraph"/>
        <w:numPr>
          <w:ilvl w:val="0"/>
          <w:numId w:val="20"/>
        </w:numPr>
        <w:spacing w:before="120" w:after="120" w:line="257" w:lineRule="auto"/>
        <w:ind w:right="96"/>
        <w:contextualSpacing w:val="0"/>
        <w:rPr>
          <w:rFonts w:asciiTheme="minorHAnsi" w:hAnsiTheme="minorHAnsi" w:cstheme="minorHAnsi"/>
          <w:color w:val="000000" w:themeColor="text1"/>
          <w:sz w:val="22"/>
          <w:szCs w:val="22"/>
        </w:rPr>
      </w:pPr>
      <w:r w:rsidRPr="00264E74">
        <w:rPr>
          <w:rFonts w:asciiTheme="minorHAnsi" w:hAnsiTheme="minorHAnsi" w:cstheme="minorHAnsi"/>
          <w:color w:val="000000" w:themeColor="text1"/>
          <w:sz w:val="22"/>
          <w:szCs w:val="22"/>
        </w:rPr>
        <w:t>Lack of available ‘full-time’ work</w:t>
      </w:r>
      <w:r w:rsidR="00D91D01" w:rsidRPr="00264E74">
        <w:rPr>
          <w:rFonts w:asciiTheme="minorHAnsi" w:hAnsiTheme="minorHAnsi" w:cstheme="minorHAnsi"/>
          <w:color w:val="000000" w:themeColor="text1"/>
          <w:sz w:val="22"/>
          <w:szCs w:val="22"/>
        </w:rPr>
        <w:t xml:space="preserve">, many needing to take on casualised work </w:t>
      </w:r>
      <w:r w:rsidR="006A34BF" w:rsidRPr="00264E74">
        <w:rPr>
          <w:rFonts w:asciiTheme="minorHAnsi" w:hAnsiTheme="minorHAnsi" w:cstheme="minorHAnsi"/>
          <w:color w:val="000000" w:themeColor="text1"/>
          <w:sz w:val="22"/>
          <w:szCs w:val="22"/>
        </w:rPr>
        <w:t xml:space="preserve">which have </w:t>
      </w:r>
      <w:r w:rsidR="003B3D51" w:rsidRPr="00264E74">
        <w:rPr>
          <w:rFonts w:asciiTheme="minorHAnsi" w:hAnsiTheme="minorHAnsi" w:cstheme="minorHAnsi"/>
          <w:color w:val="000000" w:themeColor="text1"/>
          <w:sz w:val="22"/>
          <w:szCs w:val="22"/>
        </w:rPr>
        <w:t xml:space="preserve">no benefits </w:t>
      </w:r>
      <w:r w:rsidR="006A34BF" w:rsidRPr="00264E74">
        <w:rPr>
          <w:rFonts w:asciiTheme="minorHAnsi" w:hAnsiTheme="minorHAnsi" w:cstheme="minorHAnsi"/>
          <w:color w:val="000000" w:themeColor="text1"/>
          <w:sz w:val="22"/>
          <w:szCs w:val="22"/>
        </w:rPr>
        <w:t xml:space="preserve">around </w:t>
      </w:r>
      <w:r w:rsidR="003B3D51" w:rsidRPr="00264E74">
        <w:rPr>
          <w:rFonts w:asciiTheme="minorHAnsi" w:hAnsiTheme="minorHAnsi" w:cstheme="minorHAnsi"/>
          <w:color w:val="000000" w:themeColor="text1"/>
          <w:sz w:val="22"/>
          <w:szCs w:val="22"/>
        </w:rPr>
        <w:t xml:space="preserve">sick leave impacting </w:t>
      </w:r>
      <w:r w:rsidR="003C5F3E" w:rsidRPr="00264E74">
        <w:rPr>
          <w:rFonts w:asciiTheme="minorHAnsi" w:hAnsiTheme="minorHAnsi" w:cstheme="minorHAnsi"/>
          <w:color w:val="000000" w:themeColor="text1"/>
          <w:sz w:val="22"/>
          <w:szCs w:val="22"/>
        </w:rPr>
        <w:t>sustain income (</w:t>
      </w:r>
      <w:proofErr w:type="gramStart"/>
      <w:r w:rsidR="006A34BF" w:rsidRPr="00264E74">
        <w:rPr>
          <w:rFonts w:asciiTheme="minorHAnsi" w:hAnsiTheme="minorHAnsi" w:cstheme="minorHAnsi"/>
          <w:color w:val="000000" w:themeColor="text1"/>
          <w:sz w:val="22"/>
          <w:szCs w:val="22"/>
        </w:rPr>
        <w:t>e.g.</w:t>
      </w:r>
      <w:proofErr w:type="gramEnd"/>
      <w:r w:rsidR="003C5F3E" w:rsidRPr="00264E74">
        <w:rPr>
          <w:rFonts w:asciiTheme="minorHAnsi" w:hAnsiTheme="minorHAnsi" w:cstheme="minorHAnsi"/>
          <w:color w:val="000000" w:themeColor="text1"/>
          <w:sz w:val="22"/>
          <w:szCs w:val="22"/>
        </w:rPr>
        <w:t xml:space="preserve"> child with a cold unable to go to day-care </w:t>
      </w:r>
      <w:r w:rsidR="006A34BF" w:rsidRPr="00264E74">
        <w:rPr>
          <w:rFonts w:asciiTheme="minorHAnsi" w:hAnsiTheme="minorHAnsi" w:cstheme="minorHAnsi"/>
          <w:color w:val="000000" w:themeColor="text1"/>
          <w:sz w:val="22"/>
          <w:szCs w:val="22"/>
        </w:rPr>
        <w:t>and the</w:t>
      </w:r>
      <w:r w:rsidR="003C5F3E" w:rsidRPr="00264E74">
        <w:rPr>
          <w:rFonts w:asciiTheme="minorHAnsi" w:hAnsiTheme="minorHAnsi" w:cstheme="minorHAnsi"/>
          <w:color w:val="000000" w:themeColor="text1"/>
          <w:sz w:val="22"/>
          <w:szCs w:val="22"/>
        </w:rPr>
        <w:t xml:space="preserve"> parent needing to stay home</w:t>
      </w:r>
      <w:r w:rsidR="006A34BF" w:rsidRPr="00264E74">
        <w:rPr>
          <w:rFonts w:asciiTheme="minorHAnsi" w:hAnsiTheme="minorHAnsi" w:cstheme="minorHAnsi"/>
          <w:color w:val="000000" w:themeColor="text1"/>
          <w:sz w:val="22"/>
          <w:szCs w:val="22"/>
        </w:rPr>
        <w:t xml:space="preserve"> for caring responsibilities</w:t>
      </w:r>
      <w:r w:rsidR="003C5F3E" w:rsidRPr="00264E74">
        <w:rPr>
          <w:rFonts w:asciiTheme="minorHAnsi" w:hAnsiTheme="minorHAnsi" w:cstheme="minorHAnsi"/>
          <w:color w:val="000000" w:themeColor="text1"/>
          <w:sz w:val="22"/>
          <w:szCs w:val="22"/>
        </w:rPr>
        <w:t xml:space="preserve">). </w:t>
      </w:r>
    </w:p>
    <w:p w14:paraId="0C075848" w14:textId="5801BC1C" w:rsidR="00817BDA" w:rsidRPr="00F8451D" w:rsidRDefault="00817BDA" w:rsidP="003C12CE">
      <w:pPr>
        <w:spacing w:before="120" w:after="120" w:line="257" w:lineRule="auto"/>
        <w:ind w:left="360" w:right="96"/>
        <w:rPr>
          <w:rFonts w:asciiTheme="minorHAnsi" w:hAnsiTheme="minorHAnsi" w:cstheme="minorHAnsi"/>
          <w:color w:val="000000" w:themeColor="text1"/>
          <w:sz w:val="22"/>
          <w:szCs w:val="22"/>
        </w:rPr>
      </w:pPr>
    </w:p>
    <w:p w14:paraId="198C73B8" w14:textId="332317E2" w:rsidR="00664345" w:rsidRDefault="00664345" w:rsidP="00664345">
      <w:pPr>
        <w:pStyle w:val="Heading1"/>
        <w:spacing w:after="240"/>
        <w:rPr>
          <w:noProof w:val="0"/>
        </w:rPr>
      </w:pPr>
      <w:bookmarkStart w:id="55" w:name="_Toc82523171"/>
      <w:r w:rsidRPr="007D1210">
        <w:rPr>
          <w:noProof w:val="0"/>
        </w:rPr>
        <w:t xml:space="preserve">Local </w:t>
      </w:r>
      <w:r>
        <w:rPr>
          <w:noProof w:val="0"/>
        </w:rPr>
        <w:t>s</w:t>
      </w:r>
      <w:r w:rsidRPr="004E1E0C">
        <w:rPr>
          <w:noProof w:val="0"/>
        </w:rPr>
        <w:t xml:space="preserve">takeholders and </w:t>
      </w:r>
      <w:r>
        <w:rPr>
          <w:noProof w:val="0"/>
        </w:rPr>
        <w:t>o</w:t>
      </w:r>
      <w:r w:rsidRPr="004E1E0C">
        <w:rPr>
          <w:noProof w:val="0"/>
        </w:rPr>
        <w:t>pportunities</w:t>
      </w:r>
      <w:bookmarkEnd w:id="55"/>
    </w:p>
    <w:p w14:paraId="0F7E07BF" w14:textId="77777777" w:rsidR="00F8451D" w:rsidRPr="00264E74" w:rsidRDefault="00F8451D" w:rsidP="00F8451D">
      <w:pPr>
        <w:spacing w:before="120" w:after="120" w:line="257" w:lineRule="auto"/>
        <w:rPr>
          <w:rFonts w:asciiTheme="minorHAnsi" w:hAnsiTheme="minorHAnsi" w:cstheme="minorHAnsi"/>
          <w:sz w:val="22"/>
          <w:szCs w:val="22"/>
          <w:highlight w:val="yellow"/>
        </w:rPr>
      </w:pPr>
      <w:r w:rsidRPr="00264E74">
        <w:rPr>
          <w:rFonts w:asciiTheme="minorHAnsi" w:hAnsiTheme="minorHAnsi" w:cstheme="minorHAnsi"/>
          <w:sz w:val="22"/>
          <w:szCs w:val="22"/>
        </w:rPr>
        <w:t xml:space="preserve">Local stakeholders include the nine Councils within the Employment Region (Cessnock, Dungog, Lake Macquarie, Maitland, Muswellbrook, Newcastle, Port Stephens, Singleton and Upper Hunter). The Hunter Joint Organisation is made up of ten councils, including nine across the Hunter employment region, and the Mid-Coast Council. Their board includes the Regional Manager of the NSW Department of Planning, Industry, and Environment. The Hunter Joint Organisation </w:t>
      </w:r>
      <w:r w:rsidRPr="00264E74">
        <w:rPr>
          <w:rFonts w:asciiTheme="minorHAnsi" w:hAnsiTheme="minorHAnsi" w:cstheme="minorHAnsi"/>
          <w:sz w:val="22"/>
          <w:szCs w:val="22"/>
        </w:rPr>
        <w:lastRenderedPageBreak/>
        <w:t xml:space="preserve">provides a collaborative approach for the Local Councils across the region on large scale projects and opportunity for cross- LGA initiatives. </w:t>
      </w:r>
    </w:p>
    <w:p w14:paraId="70FBF1A4" w14:textId="77777777" w:rsidR="00F8451D" w:rsidRPr="00264E74" w:rsidRDefault="00F8451D" w:rsidP="00F8451D">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Other local stakeholders include the Hunter and Central Coast Development Corporation and the Regional Directors of Training Services NSW; Regional NSW; </w:t>
      </w:r>
      <w:proofErr w:type="spellStart"/>
      <w:r w:rsidRPr="00264E74">
        <w:rPr>
          <w:rFonts w:asciiTheme="minorHAnsi" w:hAnsiTheme="minorHAnsi" w:cstheme="minorHAnsi"/>
          <w:sz w:val="22"/>
          <w:szCs w:val="22"/>
        </w:rPr>
        <w:t>AiGroup</w:t>
      </w:r>
      <w:proofErr w:type="spellEnd"/>
      <w:r w:rsidRPr="00264E74">
        <w:rPr>
          <w:rFonts w:asciiTheme="minorHAnsi" w:hAnsiTheme="minorHAnsi" w:cstheme="minorHAnsi"/>
          <w:sz w:val="22"/>
          <w:szCs w:val="22"/>
        </w:rPr>
        <w:t xml:space="preserve">; Services Australia; the Department of Infrastructure, Transport, Regional Development and Communications and </w:t>
      </w:r>
      <w:proofErr w:type="spellStart"/>
      <w:r w:rsidRPr="00264E74">
        <w:rPr>
          <w:rFonts w:asciiTheme="minorHAnsi" w:hAnsiTheme="minorHAnsi" w:cstheme="minorHAnsi"/>
          <w:sz w:val="22"/>
          <w:szCs w:val="22"/>
        </w:rPr>
        <w:t>AusIndustry</w:t>
      </w:r>
      <w:proofErr w:type="spellEnd"/>
      <w:r w:rsidRPr="00264E74">
        <w:rPr>
          <w:rFonts w:asciiTheme="minorHAnsi" w:hAnsiTheme="minorHAnsi" w:cstheme="minorHAnsi"/>
          <w:sz w:val="22"/>
          <w:szCs w:val="22"/>
        </w:rPr>
        <w:t xml:space="preserve">. Also, the CEO and Managers of Business NSW Hunter, RDA Hunter, Committee for The Hunter, The Master Builders Association (Newcastle); Hunter Valley Wine and Tourism Association, </w:t>
      </w:r>
      <w:proofErr w:type="spellStart"/>
      <w:r w:rsidRPr="00264E74">
        <w:rPr>
          <w:rFonts w:asciiTheme="minorHAnsi" w:hAnsiTheme="minorHAnsi" w:cstheme="minorHAnsi"/>
          <w:sz w:val="22"/>
          <w:szCs w:val="22"/>
        </w:rPr>
        <w:t>HunterNet</w:t>
      </w:r>
      <w:proofErr w:type="spellEnd"/>
      <w:r w:rsidRPr="00264E74">
        <w:rPr>
          <w:rFonts w:asciiTheme="minorHAnsi" w:hAnsiTheme="minorHAnsi" w:cstheme="minorHAnsi"/>
          <w:sz w:val="22"/>
          <w:szCs w:val="22"/>
        </w:rPr>
        <w:t xml:space="preserve">, National Disability Services, Newcastle Tourism Industry Group, NIAA (National Indigenous Australians Agency), land councils and DESE funded Employment Service Providers including jobactive, Transition to Work, NEIS, Career Transition Assistance and the Entrepreneurship Facilitators. </w:t>
      </w:r>
    </w:p>
    <w:p w14:paraId="0C7216D2" w14:textId="77777777" w:rsidR="00F8451D" w:rsidRPr="00264E74" w:rsidRDefault="00F8451D" w:rsidP="00F8451D">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TAFE and other RTOs are important stakeholders as is the Hunter Skills Broker appointed by Training Services NSW. The division within Destination NSW that covers the Hunter is Sydney Surrounds North which is based in Gosford and in addition to the Hunter covers the Blue Mountains, Penrith, </w:t>
      </w:r>
      <w:proofErr w:type="gramStart"/>
      <w:r w:rsidRPr="00264E74">
        <w:rPr>
          <w:rFonts w:asciiTheme="minorHAnsi" w:hAnsiTheme="minorHAnsi" w:cstheme="minorHAnsi"/>
          <w:sz w:val="22"/>
          <w:szCs w:val="22"/>
        </w:rPr>
        <w:t>Hawkesbury</w:t>
      </w:r>
      <w:proofErr w:type="gramEnd"/>
      <w:r w:rsidRPr="00264E74">
        <w:rPr>
          <w:rFonts w:asciiTheme="minorHAnsi" w:hAnsiTheme="minorHAnsi" w:cstheme="minorHAnsi"/>
          <w:sz w:val="22"/>
          <w:szCs w:val="22"/>
        </w:rPr>
        <w:t xml:space="preserve"> and the Central Coast. The NSW Government’s NCAP (New Careers for Aboriginal People) is delivered in the Hunter and Central Coast by </w:t>
      </w:r>
      <w:proofErr w:type="spellStart"/>
      <w:r w:rsidRPr="00264E74">
        <w:rPr>
          <w:rFonts w:asciiTheme="minorHAnsi" w:hAnsiTheme="minorHAnsi" w:cstheme="minorHAnsi"/>
          <w:sz w:val="22"/>
          <w:szCs w:val="22"/>
        </w:rPr>
        <w:t>Ungooroo</w:t>
      </w:r>
      <w:proofErr w:type="spellEnd"/>
      <w:r w:rsidRPr="00264E74">
        <w:rPr>
          <w:rFonts w:asciiTheme="minorHAnsi" w:hAnsiTheme="minorHAnsi" w:cstheme="minorHAnsi"/>
          <w:sz w:val="22"/>
          <w:szCs w:val="22"/>
        </w:rPr>
        <w:t xml:space="preserve"> Aboriginal Corporation based in Singleton.</w:t>
      </w:r>
    </w:p>
    <w:p w14:paraId="0FE21BAE" w14:textId="77777777" w:rsidR="00F8451D" w:rsidRPr="00264E74" w:rsidRDefault="00F8451D" w:rsidP="00F8451D">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There are eight Australian Government employment programs delivered by sixteen employment service providers in the region. Five Providers deliver jobactive services in the Hunter: </w:t>
      </w:r>
      <w:proofErr w:type="spellStart"/>
      <w:r w:rsidRPr="00264E74">
        <w:rPr>
          <w:rFonts w:asciiTheme="minorHAnsi" w:hAnsiTheme="minorHAnsi" w:cstheme="minorHAnsi"/>
          <w:sz w:val="22"/>
          <w:szCs w:val="22"/>
        </w:rPr>
        <w:t>Workskil</w:t>
      </w:r>
      <w:proofErr w:type="spellEnd"/>
      <w:r w:rsidRPr="00264E74">
        <w:rPr>
          <w:rFonts w:asciiTheme="minorHAnsi" w:hAnsiTheme="minorHAnsi" w:cstheme="minorHAnsi"/>
          <w:sz w:val="22"/>
          <w:szCs w:val="22"/>
        </w:rPr>
        <w:t xml:space="preserve"> Australia, The Salvation Army Plus, APM Employment Services, MAX Employment and Joblink Plus. Job ready job seekers are being assisted by the Department of Education, Skills and Employment through the Digital Services Contact Centre. Other employment services in the region include ParentsNext (PNX), Transition to Work (TtW), New Enterprise Incentive Scheme (NEIS), Career Transition Assistance (CTA), Employment Preparation Activity (EPA), Employability Skills Training (EST), and Harvest Trail Services.</w:t>
      </w:r>
    </w:p>
    <w:p w14:paraId="704CAE30" w14:textId="77777777" w:rsidR="00F8451D" w:rsidRPr="00264E74" w:rsidRDefault="00F8451D" w:rsidP="00F8451D">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Other Australian Government programs include Vocational Training and Employment Centre (VTEC), Disability Employment Services (DES), National Disability Insurance Scheme (NDIS), Australian Apprenticeship Support Network and more. </w:t>
      </w:r>
    </w:p>
    <w:p w14:paraId="48C34852" w14:textId="77777777" w:rsidR="00F8451D" w:rsidRPr="00264E74" w:rsidRDefault="00F8451D" w:rsidP="00F8451D">
      <w:pPr>
        <w:spacing w:before="120" w:after="120" w:line="257" w:lineRule="auto"/>
        <w:rPr>
          <w:rFonts w:asciiTheme="minorHAnsi" w:hAnsiTheme="minorHAnsi" w:cstheme="minorHAnsi"/>
          <w:sz w:val="22"/>
          <w:szCs w:val="22"/>
        </w:rPr>
      </w:pPr>
    </w:p>
    <w:p w14:paraId="06BA4663" w14:textId="77777777" w:rsidR="00F8451D" w:rsidRPr="00264E74" w:rsidRDefault="00F8451D" w:rsidP="00F8451D">
      <w:pPr>
        <w:pStyle w:val="Heading2"/>
        <w:rPr>
          <w:rFonts w:asciiTheme="minorHAnsi" w:hAnsiTheme="minorHAnsi" w:cstheme="minorHAnsi"/>
          <w:sz w:val="22"/>
          <w:szCs w:val="22"/>
        </w:rPr>
      </w:pPr>
      <w:r w:rsidRPr="00264E74">
        <w:rPr>
          <w:rFonts w:asciiTheme="minorHAnsi" w:hAnsiTheme="minorHAnsi" w:cstheme="minorHAnsi"/>
          <w:sz w:val="22"/>
          <w:szCs w:val="22"/>
        </w:rPr>
        <w:t>Bushfires and Drought</w:t>
      </w:r>
    </w:p>
    <w:p w14:paraId="332AFA37" w14:textId="77777777" w:rsidR="00F8451D" w:rsidRPr="00264E74" w:rsidRDefault="00F8451D" w:rsidP="00F8451D">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Severe fires in in the 2019-20 season caused considerable property damage in the Cessnock and Singleton areas including the loss of 21 houses and 63 outbuildings in Cessnock with other areas such as Wollombi also badly impacted. While only one house and five outbuildings were destroyed in Singleton it was estimated by the Bush Fire Royal Commission that possibly up to 348 landholders had been impacted by fire with the estimate for </w:t>
      </w:r>
      <w:r w:rsidRPr="00264E74">
        <w:rPr>
          <w:rFonts w:asciiTheme="minorHAnsi" w:hAnsiTheme="minorHAnsi" w:cstheme="minorHAnsi"/>
          <w:color w:val="000000" w:themeColor="text1"/>
          <w:sz w:val="22"/>
          <w:szCs w:val="22"/>
        </w:rPr>
        <w:t xml:space="preserve">Cessnock being 342 landholders. </w:t>
      </w:r>
    </w:p>
    <w:p w14:paraId="12CDD6F1" w14:textId="77777777" w:rsidR="00F8451D" w:rsidRPr="00264E74" w:rsidRDefault="00F8451D" w:rsidP="00F8451D">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Bushfire smoke taint meant that much of the 2020 Hunter Valley wine vintage was unusable. This consequently reduced harvest which has had flow on effects including less expenditure by backpackers who provide a large portion of the </w:t>
      </w:r>
      <w:r w:rsidRPr="00264E74">
        <w:rPr>
          <w:rFonts w:asciiTheme="minorHAnsi" w:hAnsiTheme="minorHAnsi" w:cstheme="minorHAnsi"/>
          <w:color w:val="000000" w:themeColor="text1"/>
          <w:sz w:val="22"/>
          <w:szCs w:val="22"/>
        </w:rPr>
        <w:t>harvest labour workforce.</w:t>
      </w:r>
      <w:r w:rsidRPr="00264E74">
        <w:rPr>
          <w:rFonts w:asciiTheme="minorHAnsi" w:hAnsiTheme="minorHAnsi" w:cstheme="minorHAnsi"/>
          <w:sz w:val="22"/>
          <w:szCs w:val="22"/>
        </w:rPr>
        <w:t xml:space="preserve"> </w:t>
      </w:r>
    </w:p>
    <w:p w14:paraId="7DBB8F8C" w14:textId="77777777" w:rsidR="00F8451D" w:rsidRPr="00264E74" w:rsidRDefault="00F8451D" w:rsidP="00F8451D">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In November 2020 the $250 million Bushfire Local Recovery Fund (BLERF) was announced to give local communities and Industries access to significant grants </w:t>
      </w:r>
      <w:proofErr w:type="gramStart"/>
      <w:r w:rsidRPr="00264E74">
        <w:rPr>
          <w:rFonts w:asciiTheme="minorHAnsi" w:hAnsiTheme="minorHAnsi" w:cstheme="minorHAnsi"/>
          <w:sz w:val="22"/>
          <w:szCs w:val="22"/>
        </w:rPr>
        <w:t>in order to</w:t>
      </w:r>
      <w:proofErr w:type="gramEnd"/>
      <w:r w:rsidRPr="00264E74">
        <w:rPr>
          <w:rFonts w:asciiTheme="minorHAnsi" w:hAnsiTheme="minorHAnsi" w:cstheme="minorHAnsi"/>
          <w:sz w:val="22"/>
          <w:szCs w:val="22"/>
        </w:rPr>
        <w:t xml:space="preserve"> drive economic recovery. Grants were available across 47 </w:t>
      </w:r>
      <w:proofErr w:type="gramStart"/>
      <w:r w:rsidRPr="00264E74">
        <w:rPr>
          <w:rFonts w:asciiTheme="minorHAnsi" w:hAnsiTheme="minorHAnsi" w:cstheme="minorHAnsi"/>
          <w:sz w:val="22"/>
          <w:szCs w:val="22"/>
        </w:rPr>
        <w:t>bushfire-affected</w:t>
      </w:r>
      <w:proofErr w:type="gramEnd"/>
      <w:r w:rsidRPr="00264E74">
        <w:rPr>
          <w:rFonts w:asciiTheme="minorHAnsi" w:hAnsiTheme="minorHAnsi" w:cstheme="minorHAnsi"/>
          <w:sz w:val="22"/>
          <w:szCs w:val="22"/>
        </w:rPr>
        <w:t xml:space="preserve"> LGA’s, resulting in 10 projects funded across the Hunter Region including; Merriwa Cycle and Walkway Upgrade, Camping to Common Trail Connections, Hunter Valley Wine and Tourism Association Recovery and Resilience Project, and RFS Sheds Upgrades. This brings the joint investment for the BLERF for the Australian and New South Wales governments to more than $550 million which is being administered by Regional NSW.</w:t>
      </w:r>
    </w:p>
    <w:p w14:paraId="1F7EF050" w14:textId="77777777" w:rsidR="00F8451D" w:rsidRPr="00264E74" w:rsidRDefault="00F8451D" w:rsidP="00F8451D">
      <w:pPr>
        <w:pStyle w:val="ListParagraph"/>
        <w:spacing w:before="120" w:after="120" w:line="257" w:lineRule="auto"/>
        <w:ind w:left="11" w:right="-164"/>
        <w:rPr>
          <w:rFonts w:asciiTheme="minorHAnsi" w:hAnsiTheme="minorHAnsi" w:cstheme="minorHAnsi"/>
          <w:color w:val="000000" w:themeColor="text1"/>
          <w:sz w:val="22"/>
          <w:szCs w:val="22"/>
        </w:rPr>
      </w:pPr>
      <w:r w:rsidRPr="00264E74">
        <w:rPr>
          <w:rFonts w:asciiTheme="minorHAnsi" w:hAnsiTheme="minorHAnsi" w:cstheme="minorHAnsi"/>
          <w:sz w:val="22"/>
          <w:szCs w:val="22"/>
        </w:rPr>
        <w:t xml:space="preserve">As </w:t>
      </w:r>
      <w:proofErr w:type="gramStart"/>
      <w:r w:rsidRPr="00264E74">
        <w:rPr>
          <w:rFonts w:asciiTheme="minorHAnsi" w:hAnsiTheme="minorHAnsi" w:cstheme="minorHAnsi"/>
          <w:sz w:val="22"/>
          <w:szCs w:val="22"/>
        </w:rPr>
        <w:t>at</w:t>
      </w:r>
      <w:proofErr w:type="gramEnd"/>
      <w:r w:rsidRPr="00264E74">
        <w:rPr>
          <w:rFonts w:asciiTheme="minorHAnsi" w:hAnsiTheme="minorHAnsi" w:cstheme="minorHAnsi"/>
          <w:sz w:val="22"/>
          <w:szCs w:val="22"/>
        </w:rPr>
        <w:t xml:space="preserve"> 21 June 2021, none of the Hunter regions were classified by the NSW Department of Primary </w:t>
      </w:r>
      <w:r w:rsidRPr="00264E74">
        <w:rPr>
          <w:rFonts w:asciiTheme="minorHAnsi" w:hAnsiTheme="minorHAnsi" w:cstheme="minorHAnsi"/>
          <w:color w:val="000000" w:themeColor="text1"/>
          <w:sz w:val="22"/>
          <w:szCs w:val="22"/>
        </w:rPr>
        <w:t>Industries as being in ‘drought’.</w:t>
      </w:r>
    </w:p>
    <w:p w14:paraId="559A7349" w14:textId="28E14E4A" w:rsidR="00817BDA" w:rsidRDefault="00817BDA" w:rsidP="003C12CE">
      <w:pPr>
        <w:spacing w:before="120" w:after="120" w:line="257" w:lineRule="auto"/>
        <w:ind w:left="360" w:right="96"/>
        <w:rPr>
          <w:rFonts w:asciiTheme="minorHAnsi" w:hAnsiTheme="minorHAnsi" w:cstheme="minorHAnsi"/>
          <w:color w:val="000000" w:themeColor="text1"/>
          <w:sz w:val="22"/>
          <w:szCs w:val="22"/>
        </w:rPr>
      </w:pPr>
    </w:p>
    <w:p w14:paraId="66853C88" w14:textId="77777777" w:rsidR="00186E56" w:rsidRPr="00264E74" w:rsidRDefault="00186E56" w:rsidP="003C12CE">
      <w:pPr>
        <w:spacing w:before="120" w:after="120" w:line="257" w:lineRule="auto"/>
        <w:ind w:left="360" w:right="96"/>
        <w:rPr>
          <w:rFonts w:asciiTheme="minorHAnsi" w:hAnsiTheme="minorHAnsi" w:cstheme="minorHAnsi"/>
          <w:color w:val="000000" w:themeColor="text1"/>
          <w:sz w:val="22"/>
          <w:szCs w:val="22"/>
        </w:rPr>
      </w:pPr>
    </w:p>
    <w:p w14:paraId="53519876" w14:textId="77777777" w:rsidR="00817BDA" w:rsidRPr="00112351" w:rsidRDefault="00817BDA" w:rsidP="003C12CE">
      <w:pPr>
        <w:spacing w:before="120" w:after="120" w:line="257" w:lineRule="auto"/>
        <w:ind w:left="360" w:right="96"/>
        <w:rPr>
          <w:rFonts w:asciiTheme="minorHAnsi" w:hAnsiTheme="minorHAnsi" w:cstheme="minorHAnsi"/>
          <w:color w:val="000000" w:themeColor="text1"/>
          <w:sz w:val="22"/>
          <w:szCs w:val="22"/>
        </w:rPr>
      </w:pPr>
    </w:p>
    <w:p w14:paraId="1FED7B13" w14:textId="77777777" w:rsidR="00344D45" w:rsidRDefault="00344D45" w:rsidP="0058258E">
      <w:pPr>
        <w:pStyle w:val="Heading1"/>
        <w:rPr>
          <w:rFonts w:asciiTheme="minorHAnsi" w:hAnsiTheme="minorHAnsi" w:cstheme="minorHAnsi"/>
          <w:sz w:val="23"/>
          <w:szCs w:val="23"/>
        </w:rPr>
      </w:pPr>
      <w:bookmarkStart w:id="56" w:name="_Toc54275704"/>
    </w:p>
    <w:bookmarkEnd w:id="56"/>
    <w:p w14:paraId="5BF0F700" w14:textId="4AC8C7CB" w:rsidR="009E4E9E" w:rsidRPr="00BF1BF8" w:rsidRDefault="00EF1BC6" w:rsidP="00264E74">
      <w:pPr>
        <w:pStyle w:val="Heading2"/>
        <w:spacing w:line="276" w:lineRule="auto"/>
        <w:rPr>
          <w:lang w:eastAsia="en-US"/>
        </w:rPr>
      </w:pPr>
      <w:r>
        <w:rPr>
          <w:lang w:eastAsia="en-US"/>
        </w:rPr>
        <w:lastRenderedPageBreak/>
        <w:t>Key employment and training priorities: stra</w:t>
      </w:r>
      <w:r w:rsidR="00D04449">
        <w:rPr>
          <w:lang w:eastAsia="en-US"/>
        </w:rPr>
        <w:t>tegies and stakeholders</w:t>
      </w:r>
    </w:p>
    <w:p w14:paraId="33FA263C" w14:textId="780DE332" w:rsidR="00076C92" w:rsidRPr="00264E74" w:rsidRDefault="00076C92" w:rsidP="00076C92">
      <w:pPr>
        <w:pStyle w:val="Heading2"/>
        <w:rPr>
          <w:rFonts w:asciiTheme="minorHAnsi" w:eastAsia="Times New Roman" w:hAnsiTheme="minorHAnsi" w:cstheme="minorHAnsi"/>
          <w:b w:val="0"/>
          <w:bCs w:val="0"/>
          <w:color w:val="auto"/>
          <w:sz w:val="22"/>
          <w:szCs w:val="22"/>
        </w:rPr>
      </w:pPr>
      <w:bookmarkStart w:id="57" w:name="_Toc75863060"/>
      <w:bookmarkStart w:id="58" w:name="_Toc79424630"/>
      <w:bookmarkStart w:id="59" w:name="_Toc81405361"/>
      <w:bookmarkStart w:id="60" w:name="_Toc54275708"/>
      <w:bookmarkStart w:id="61" w:name="_Toc50126697"/>
      <w:bookmarkStart w:id="62" w:name="_Hlk50991152"/>
      <w:r w:rsidRPr="00264E74">
        <w:rPr>
          <w:rFonts w:asciiTheme="minorHAnsi" w:eastAsia="Times New Roman" w:hAnsiTheme="minorHAnsi" w:cstheme="minorHAnsi"/>
          <w:b w:val="0"/>
          <w:bCs w:val="0"/>
          <w:color w:val="auto"/>
          <w:sz w:val="22"/>
          <w:szCs w:val="22"/>
        </w:rPr>
        <w:t xml:space="preserve">The Hunter Local Jobs Program is focused on addressing the specific challenges for </w:t>
      </w:r>
      <w:r w:rsidR="00517394" w:rsidRPr="00264E74">
        <w:rPr>
          <w:rFonts w:asciiTheme="minorHAnsi" w:eastAsia="Times New Roman" w:hAnsiTheme="minorHAnsi" w:cstheme="minorHAnsi"/>
          <w:b w:val="0"/>
          <w:bCs w:val="0"/>
          <w:color w:val="auto"/>
          <w:sz w:val="22"/>
          <w:szCs w:val="22"/>
        </w:rPr>
        <w:t>job seeker</w:t>
      </w:r>
      <w:r w:rsidRPr="00264E74">
        <w:rPr>
          <w:rFonts w:asciiTheme="minorHAnsi" w:eastAsia="Times New Roman" w:hAnsiTheme="minorHAnsi" w:cstheme="minorHAnsi"/>
          <w:b w:val="0"/>
          <w:bCs w:val="0"/>
          <w:color w:val="auto"/>
          <w:sz w:val="22"/>
          <w:szCs w:val="22"/>
        </w:rPr>
        <w:t xml:space="preserve">s, </w:t>
      </w:r>
      <w:proofErr w:type="gramStart"/>
      <w:r w:rsidR="009779E4">
        <w:rPr>
          <w:rFonts w:asciiTheme="minorHAnsi" w:eastAsia="Times New Roman" w:hAnsiTheme="minorHAnsi" w:cstheme="minorHAnsi"/>
          <w:b w:val="0"/>
          <w:bCs w:val="0"/>
          <w:color w:val="auto"/>
          <w:sz w:val="22"/>
          <w:szCs w:val="22"/>
        </w:rPr>
        <w:t>workers</w:t>
      </w:r>
      <w:proofErr w:type="gramEnd"/>
      <w:r w:rsidR="009779E4">
        <w:rPr>
          <w:rFonts w:asciiTheme="minorHAnsi" w:eastAsia="Times New Roman" w:hAnsiTheme="minorHAnsi" w:cstheme="minorHAnsi"/>
          <w:b w:val="0"/>
          <w:bCs w:val="0"/>
          <w:color w:val="auto"/>
          <w:sz w:val="22"/>
          <w:szCs w:val="22"/>
        </w:rPr>
        <w:t xml:space="preserve"> </w:t>
      </w:r>
      <w:r w:rsidRPr="00264E74">
        <w:rPr>
          <w:rFonts w:asciiTheme="minorHAnsi" w:eastAsia="Times New Roman" w:hAnsiTheme="minorHAnsi" w:cstheme="minorHAnsi"/>
          <w:b w:val="0"/>
          <w:bCs w:val="0"/>
          <w:color w:val="auto"/>
          <w:sz w:val="22"/>
          <w:szCs w:val="22"/>
        </w:rPr>
        <w:t>and employers within the Hunter Region specifically in relation to developing and sustaining a skilled workforce.</w:t>
      </w:r>
      <w:bookmarkEnd w:id="57"/>
      <w:bookmarkEnd w:id="58"/>
      <w:bookmarkEnd w:id="59"/>
      <w:r w:rsidRPr="00264E74">
        <w:rPr>
          <w:rFonts w:asciiTheme="minorHAnsi" w:eastAsia="Times New Roman" w:hAnsiTheme="minorHAnsi" w:cstheme="minorHAnsi"/>
          <w:b w:val="0"/>
          <w:bCs w:val="0"/>
          <w:color w:val="auto"/>
          <w:sz w:val="22"/>
          <w:szCs w:val="22"/>
        </w:rPr>
        <w:t xml:space="preserve">  </w:t>
      </w:r>
    </w:p>
    <w:p w14:paraId="1E99A27E" w14:textId="77777777" w:rsidR="00076C92" w:rsidRPr="00264E74" w:rsidRDefault="00076C92" w:rsidP="00076C92">
      <w:pPr>
        <w:rPr>
          <w:rFonts w:asciiTheme="minorHAnsi" w:hAnsiTheme="minorHAnsi" w:cstheme="minorHAnsi"/>
          <w:sz w:val="22"/>
          <w:szCs w:val="22"/>
        </w:rPr>
      </w:pPr>
    </w:p>
    <w:p w14:paraId="06FB7552" w14:textId="1F71CAB1" w:rsidR="00076C92" w:rsidRPr="00264E74" w:rsidRDefault="00076C92" w:rsidP="00076C92">
      <w:pPr>
        <w:rPr>
          <w:rFonts w:asciiTheme="minorHAnsi" w:hAnsiTheme="minorHAnsi" w:cstheme="minorHAnsi"/>
          <w:sz w:val="22"/>
          <w:szCs w:val="22"/>
        </w:rPr>
      </w:pPr>
      <w:r w:rsidRPr="00264E74">
        <w:rPr>
          <w:rFonts w:asciiTheme="minorHAnsi" w:hAnsiTheme="minorHAnsi" w:cstheme="minorHAnsi"/>
          <w:sz w:val="22"/>
          <w:szCs w:val="22"/>
        </w:rPr>
        <w:t xml:space="preserve">To this end, and incorporating local information on broader structural change and local growth priorities, the overall </w:t>
      </w:r>
      <w:r w:rsidRPr="00264E74">
        <w:rPr>
          <w:rFonts w:asciiTheme="minorHAnsi" w:hAnsiTheme="minorHAnsi" w:cstheme="minorHAnsi"/>
          <w:b/>
          <w:bCs/>
          <w:sz w:val="22"/>
          <w:szCs w:val="22"/>
        </w:rPr>
        <w:t>Objective</w:t>
      </w:r>
      <w:r w:rsidRPr="00264E74">
        <w:rPr>
          <w:rFonts w:asciiTheme="minorHAnsi" w:hAnsiTheme="minorHAnsi" w:cstheme="minorHAnsi"/>
          <w:sz w:val="22"/>
          <w:szCs w:val="22"/>
        </w:rPr>
        <w:t xml:space="preserve"> of the Hunter Local Jobs Program is to: </w:t>
      </w:r>
    </w:p>
    <w:p w14:paraId="6B79A60A" w14:textId="77777777" w:rsidR="003346AD" w:rsidRPr="00264E74" w:rsidRDefault="003346AD" w:rsidP="00076C92">
      <w:pPr>
        <w:rPr>
          <w:rFonts w:asciiTheme="minorHAnsi" w:hAnsiTheme="minorHAnsi" w:cstheme="minorHAnsi"/>
          <w:sz w:val="22"/>
          <w:szCs w:val="22"/>
        </w:rPr>
      </w:pPr>
    </w:p>
    <w:p w14:paraId="77D09172" w14:textId="77777777" w:rsidR="00076C92" w:rsidRPr="00264E74" w:rsidRDefault="00076C92" w:rsidP="00322579">
      <w:pPr>
        <w:pStyle w:val="ListParagraph"/>
        <w:numPr>
          <w:ilvl w:val="0"/>
          <w:numId w:val="25"/>
        </w:numPr>
        <w:rPr>
          <w:rFonts w:asciiTheme="minorHAnsi" w:hAnsiTheme="minorHAnsi" w:cstheme="minorHAnsi"/>
          <w:sz w:val="22"/>
          <w:szCs w:val="22"/>
        </w:rPr>
      </w:pPr>
      <w:r w:rsidRPr="00264E74">
        <w:rPr>
          <w:rFonts w:asciiTheme="minorHAnsi" w:hAnsiTheme="minorHAnsi" w:cstheme="minorHAnsi"/>
          <w:sz w:val="22"/>
          <w:szCs w:val="22"/>
        </w:rPr>
        <w:t>Transition people of the Hunter from unemployment or under-employment to available jobs</w:t>
      </w:r>
    </w:p>
    <w:p w14:paraId="1768A745" w14:textId="77777777" w:rsidR="00076C92" w:rsidRPr="00264E74" w:rsidRDefault="00076C92" w:rsidP="00322579">
      <w:pPr>
        <w:pStyle w:val="ListParagraph"/>
        <w:numPr>
          <w:ilvl w:val="0"/>
          <w:numId w:val="25"/>
        </w:numPr>
        <w:rPr>
          <w:rFonts w:asciiTheme="minorHAnsi" w:hAnsiTheme="minorHAnsi" w:cstheme="minorHAnsi"/>
          <w:sz w:val="22"/>
          <w:szCs w:val="22"/>
        </w:rPr>
      </w:pPr>
      <w:r w:rsidRPr="00264E74">
        <w:rPr>
          <w:rFonts w:asciiTheme="minorHAnsi" w:hAnsiTheme="minorHAnsi" w:cstheme="minorHAnsi"/>
          <w:sz w:val="22"/>
          <w:szCs w:val="22"/>
        </w:rPr>
        <w:t>Build skills required by the region’s economy and community</w:t>
      </w:r>
    </w:p>
    <w:p w14:paraId="24E5C86D" w14:textId="77777777" w:rsidR="00076C92" w:rsidRPr="00264E74" w:rsidRDefault="00076C92" w:rsidP="00076C92">
      <w:pPr>
        <w:rPr>
          <w:rFonts w:asciiTheme="minorHAnsi" w:hAnsiTheme="minorHAnsi" w:cstheme="minorHAnsi"/>
          <w:i/>
          <w:iCs/>
          <w:sz w:val="22"/>
          <w:szCs w:val="22"/>
        </w:rPr>
      </w:pPr>
    </w:p>
    <w:p w14:paraId="1E46C695" w14:textId="34E3C140" w:rsidR="00076C92" w:rsidRPr="00264E74" w:rsidRDefault="00076C92" w:rsidP="00076C92">
      <w:pPr>
        <w:rPr>
          <w:rFonts w:asciiTheme="minorHAnsi" w:hAnsiTheme="minorHAnsi" w:cstheme="minorHAnsi"/>
          <w:sz w:val="22"/>
          <w:szCs w:val="22"/>
        </w:rPr>
      </w:pPr>
      <w:r w:rsidRPr="00264E74">
        <w:rPr>
          <w:rFonts w:asciiTheme="minorHAnsi" w:hAnsiTheme="minorHAnsi" w:cstheme="minorHAnsi"/>
          <w:sz w:val="22"/>
          <w:szCs w:val="22"/>
        </w:rPr>
        <w:t xml:space="preserve">This objective will be addressed through three primary actions for each priority: </w:t>
      </w:r>
    </w:p>
    <w:p w14:paraId="20797238" w14:textId="77777777" w:rsidR="003346AD" w:rsidRPr="00264E74" w:rsidRDefault="003346AD" w:rsidP="00076C92">
      <w:pPr>
        <w:rPr>
          <w:rFonts w:asciiTheme="minorHAnsi" w:hAnsiTheme="minorHAnsi" w:cstheme="minorHAnsi"/>
          <w:sz w:val="22"/>
          <w:szCs w:val="22"/>
        </w:rPr>
      </w:pPr>
    </w:p>
    <w:p w14:paraId="1C3CF276" w14:textId="77777777" w:rsidR="00076C92" w:rsidRPr="00264E74" w:rsidRDefault="00076C92" w:rsidP="00322579">
      <w:pPr>
        <w:pStyle w:val="ListParagraph"/>
        <w:numPr>
          <w:ilvl w:val="0"/>
          <w:numId w:val="26"/>
        </w:numPr>
        <w:spacing w:after="120"/>
        <w:ind w:left="714" w:hanging="357"/>
        <w:contextualSpacing w:val="0"/>
        <w:rPr>
          <w:rFonts w:asciiTheme="minorHAnsi" w:hAnsiTheme="minorHAnsi" w:cstheme="minorHAnsi"/>
          <w:sz w:val="22"/>
          <w:szCs w:val="22"/>
        </w:rPr>
      </w:pPr>
      <w:r w:rsidRPr="00264E74">
        <w:rPr>
          <w:rFonts w:asciiTheme="minorHAnsi" w:hAnsiTheme="minorHAnsi" w:cstheme="minorHAnsi"/>
          <w:sz w:val="22"/>
          <w:szCs w:val="22"/>
        </w:rPr>
        <w:t xml:space="preserve">Develop projects to address labour market friction, leveraging Australian, State and Local Government programs, plus the Local Recovery Fund. </w:t>
      </w:r>
    </w:p>
    <w:p w14:paraId="692E5269" w14:textId="5E00DA69" w:rsidR="00076C92" w:rsidRPr="00264E74" w:rsidRDefault="00076C92" w:rsidP="00322579">
      <w:pPr>
        <w:pStyle w:val="ListParagraph"/>
        <w:numPr>
          <w:ilvl w:val="0"/>
          <w:numId w:val="26"/>
        </w:numPr>
        <w:spacing w:after="120"/>
        <w:contextualSpacing w:val="0"/>
        <w:rPr>
          <w:rFonts w:asciiTheme="minorHAnsi" w:hAnsiTheme="minorHAnsi" w:cstheme="minorHAnsi"/>
          <w:sz w:val="22"/>
          <w:szCs w:val="22"/>
        </w:rPr>
      </w:pPr>
      <w:r w:rsidRPr="00264E74">
        <w:rPr>
          <w:rFonts w:asciiTheme="minorHAnsi" w:hAnsiTheme="minorHAnsi" w:cstheme="minorHAnsi"/>
          <w:sz w:val="22"/>
          <w:szCs w:val="22"/>
        </w:rPr>
        <w:t>Collaboratively develop projects that build skills for job seekers to access entry level careers and pathways, in line with regional growth priorities (</w:t>
      </w:r>
      <w:proofErr w:type="gramStart"/>
      <w:r w:rsidR="003346AD" w:rsidRPr="00264E74">
        <w:rPr>
          <w:rFonts w:asciiTheme="minorHAnsi" w:hAnsiTheme="minorHAnsi" w:cstheme="minorHAnsi"/>
          <w:sz w:val="22"/>
          <w:szCs w:val="22"/>
        </w:rPr>
        <w:t>e.g.</w:t>
      </w:r>
      <w:proofErr w:type="gramEnd"/>
      <w:r w:rsidRPr="00264E74">
        <w:rPr>
          <w:rFonts w:asciiTheme="minorHAnsi" w:hAnsiTheme="minorHAnsi" w:cstheme="minorHAnsi"/>
          <w:sz w:val="22"/>
          <w:szCs w:val="22"/>
        </w:rPr>
        <w:t xml:space="preserve"> </w:t>
      </w:r>
      <w:r w:rsidR="00183C6A">
        <w:rPr>
          <w:rFonts w:asciiTheme="minorHAnsi" w:hAnsiTheme="minorHAnsi" w:cstheme="minorHAnsi"/>
          <w:sz w:val="22"/>
          <w:szCs w:val="22"/>
        </w:rPr>
        <w:t>a</w:t>
      </w:r>
      <w:r w:rsidRPr="00264E74">
        <w:rPr>
          <w:rFonts w:asciiTheme="minorHAnsi" w:hAnsiTheme="minorHAnsi" w:cstheme="minorHAnsi"/>
          <w:sz w:val="22"/>
          <w:szCs w:val="22"/>
        </w:rPr>
        <w:t>pprenticeship opportunities and skilling</w:t>
      </w:r>
      <w:r w:rsidR="002C4328" w:rsidRPr="00264E74">
        <w:rPr>
          <w:rFonts w:asciiTheme="minorHAnsi" w:hAnsiTheme="minorHAnsi" w:cstheme="minorHAnsi"/>
          <w:sz w:val="22"/>
          <w:szCs w:val="22"/>
        </w:rPr>
        <w:t xml:space="preserve"> through both accredited and </w:t>
      </w:r>
      <w:r w:rsidR="003346AD" w:rsidRPr="00264E74">
        <w:rPr>
          <w:rFonts w:asciiTheme="minorHAnsi" w:hAnsiTheme="minorHAnsi" w:cstheme="minorHAnsi"/>
          <w:sz w:val="22"/>
          <w:szCs w:val="22"/>
        </w:rPr>
        <w:t>non-accredited</w:t>
      </w:r>
      <w:r w:rsidR="002C4328" w:rsidRPr="00264E74">
        <w:rPr>
          <w:rFonts w:asciiTheme="minorHAnsi" w:hAnsiTheme="minorHAnsi" w:cstheme="minorHAnsi"/>
          <w:sz w:val="22"/>
          <w:szCs w:val="22"/>
        </w:rPr>
        <w:t xml:space="preserve"> training, skill</w:t>
      </w:r>
      <w:r w:rsidR="00F30AD4" w:rsidRPr="00264E74">
        <w:rPr>
          <w:rFonts w:asciiTheme="minorHAnsi" w:hAnsiTheme="minorHAnsi" w:cstheme="minorHAnsi"/>
          <w:sz w:val="22"/>
          <w:szCs w:val="22"/>
        </w:rPr>
        <w:t>-</w:t>
      </w:r>
      <w:r w:rsidR="002C4328" w:rsidRPr="00264E74">
        <w:rPr>
          <w:rFonts w:asciiTheme="minorHAnsi" w:hAnsiTheme="minorHAnsi" w:cstheme="minorHAnsi"/>
          <w:sz w:val="22"/>
          <w:szCs w:val="22"/>
        </w:rPr>
        <w:t>sets, and tickets)</w:t>
      </w:r>
      <w:r w:rsidR="006A34BF" w:rsidRPr="00264E74">
        <w:rPr>
          <w:rFonts w:asciiTheme="minorHAnsi" w:hAnsiTheme="minorHAnsi" w:cstheme="minorHAnsi"/>
          <w:sz w:val="22"/>
          <w:szCs w:val="22"/>
        </w:rPr>
        <w:t>.</w:t>
      </w:r>
      <w:r w:rsidRPr="00264E74">
        <w:rPr>
          <w:rFonts w:asciiTheme="minorHAnsi" w:hAnsiTheme="minorHAnsi" w:cstheme="minorHAnsi"/>
          <w:sz w:val="22"/>
          <w:szCs w:val="22"/>
        </w:rPr>
        <w:t xml:space="preserve"> </w:t>
      </w:r>
    </w:p>
    <w:p w14:paraId="311C732B" w14:textId="6E1F8A22" w:rsidR="00076C92" w:rsidRPr="00264E74" w:rsidRDefault="00076C92" w:rsidP="00322579">
      <w:pPr>
        <w:pStyle w:val="ListParagraph"/>
        <w:numPr>
          <w:ilvl w:val="0"/>
          <w:numId w:val="26"/>
        </w:numPr>
        <w:spacing w:after="120"/>
        <w:contextualSpacing w:val="0"/>
        <w:rPr>
          <w:rFonts w:asciiTheme="minorHAnsi" w:hAnsiTheme="minorHAnsi" w:cstheme="minorHAnsi"/>
          <w:sz w:val="22"/>
          <w:szCs w:val="22"/>
        </w:rPr>
      </w:pPr>
      <w:r w:rsidRPr="00264E74">
        <w:rPr>
          <w:rFonts w:asciiTheme="minorHAnsi" w:hAnsiTheme="minorHAnsi" w:cstheme="minorHAnsi"/>
          <w:sz w:val="22"/>
          <w:szCs w:val="22"/>
        </w:rPr>
        <w:t xml:space="preserve">Prioritise participation for groups suffering labour market disadvantage including Youth, </w:t>
      </w:r>
      <w:r w:rsidR="006A34BF" w:rsidRPr="00264E74">
        <w:rPr>
          <w:rFonts w:asciiTheme="minorHAnsi" w:hAnsiTheme="minorHAnsi" w:cstheme="minorHAnsi"/>
          <w:sz w:val="22"/>
          <w:szCs w:val="22"/>
        </w:rPr>
        <w:t>Indigenous</w:t>
      </w:r>
      <w:r w:rsidRPr="00264E74">
        <w:rPr>
          <w:rFonts w:asciiTheme="minorHAnsi" w:hAnsiTheme="minorHAnsi" w:cstheme="minorHAnsi"/>
          <w:sz w:val="22"/>
          <w:szCs w:val="22"/>
        </w:rPr>
        <w:t xml:space="preserve">, and Retrenched Workers due to structural change. </w:t>
      </w:r>
    </w:p>
    <w:p w14:paraId="2B7AF71D" w14:textId="0B3025A2" w:rsidR="00076C92" w:rsidRPr="00264E74" w:rsidRDefault="00076C92" w:rsidP="00076C92">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An area of focus for the taskforce will be to encourage the uptake of new programs - such as the NSW Government Reskilling for Recovery program</w:t>
      </w:r>
      <w:r w:rsidR="006A34BF" w:rsidRPr="00264E74">
        <w:rPr>
          <w:rFonts w:asciiTheme="minorHAnsi" w:hAnsiTheme="minorHAnsi" w:cstheme="minorHAnsi"/>
          <w:sz w:val="22"/>
          <w:szCs w:val="22"/>
        </w:rPr>
        <w:t>, utilising the NSW</w:t>
      </w:r>
      <w:r w:rsidRPr="00264E74">
        <w:rPr>
          <w:rFonts w:asciiTheme="minorHAnsi" w:hAnsiTheme="minorHAnsi" w:cstheme="minorHAnsi"/>
          <w:sz w:val="22"/>
          <w:szCs w:val="22"/>
        </w:rPr>
        <w:t xml:space="preserve"> Skills Broker role, the Australian Government’s </w:t>
      </w:r>
      <w:proofErr w:type="spellStart"/>
      <w:r w:rsidRPr="00264E74">
        <w:rPr>
          <w:rFonts w:asciiTheme="minorHAnsi" w:hAnsiTheme="minorHAnsi" w:cstheme="minorHAnsi"/>
          <w:sz w:val="22"/>
          <w:szCs w:val="22"/>
        </w:rPr>
        <w:t>JobMaker</w:t>
      </w:r>
      <w:proofErr w:type="spellEnd"/>
      <w:r w:rsidRPr="00264E74">
        <w:rPr>
          <w:rFonts w:asciiTheme="minorHAnsi" w:hAnsiTheme="minorHAnsi" w:cstheme="minorHAnsi"/>
          <w:sz w:val="22"/>
          <w:szCs w:val="22"/>
        </w:rPr>
        <w:t xml:space="preserve"> </w:t>
      </w:r>
      <w:r w:rsidR="006A34BF" w:rsidRPr="00264E74">
        <w:rPr>
          <w:rFonts w:asciiTheme="minorHAnsi" w:hAnsiTheme="minorHAnsi" w:cstheme="minorHAnsi"/>
          <w:sz w:val="22"/>
          <w:szCs w:val="22"/>
        </w:rPr>
        <w:t>A</w:t>
      </w:r>
      <w:r w:rsidRPr="00264E74">
        <w:rPr>
          <w:rFonts w:asciiTheme="minorHAnsi" w:hAnsiTheme="minorHAnsi" w:cstheme="minorHAnsi"/>
          <w:sz w:val="22"/>
          <w:szCs w:val="22"/>
        </w:rPr>
        <w:t>pprentice</w:t>
      </w:r>
      <w:r w:rsidR="006A34BF" w:rsidRPr="00264E74">
        <w:rPr>
          <w:rFonts w:asciiTheme="minorHAnsi" w:hAnsiTheme="minorHAnsi" w:cstheme="minorHAnsi"/>
          <w:sz w:val="22"/>
          <w:szCs w:val="22"/>
        </w:rPr>
        <w:t>ships,</w:t>
      </w:r>
      <w:r w:rsidRPr="00264E74">
        <w:rPr>
          <w:rFonts w:asciiTheme="minorHAnsi" w:hAnsiTheme="minorHAnsi" w:cstheme="minorHAnsi"/>
          <w:sz w:val="22"/>
          <w:szCs w:val="22"/>
        </w:rPr>
        <w:t xml:space="preserve"> </w:t>
      </w:r>
      <w:r w:rsidR="006A34BF" w:rsidRPr="00264E74">
        <w:rPr>
          <w:rFonts w:asciiTheme="minorHAnsi" w:hAnsiTheme="minorHAnsi" w:cstheme="minorHAnsi"/>
          <w:sz w:val="22"/>
          <w:szCs w:val="22"/>
        </w:rPr>
        <w:t>W</w:t>
      </w:r>
      <w:r w:rsidRPr="00264E74">
        <w:rPr>
          <w:rFonts w:asciiTheme="minorHAnsi" w:hAnsiTheme="minorHAnsi" w:cstheme="minorHAnsi"/>
          <w:sz w:val="22"/>
          <w:szCs w:val="22"/>
        </w:rPr>
        <w:t xml:space="preserve">age </w:t>
      </w:r>
      <w:r w:rsidR="006A34BF" w:rsidRPr="00264E74">
        <w:rPr>
          <w:rFonts w:asciiTheme="minorHAnsi" w:hAnsiTheme="minorHAnsi" w:cstheme="minorHAnsi"/>
          <w:sz w:val="22"/>
          <w:szCs w:val="22"/>
        </w:rPr>
        <w:t>S</w:t>
      </w:r>
      <w:r w:rsidRPr="00264E74">
        <w:rPr>
          <w:rFonts w:asciiTheme="minorHAnsi" w:hAnsiTheme="minorHAnsi" w:cstheme="minorHAnsi"/>
          <w:sz w:val="22"/>
          <w:szCs w:val="22"/>
        </w:rPr>
        <w:t xml:space="preserve">ubsidies, and the Local Jobs Recovery Fund. </w:t>
      </w:r>
    </w:p>
    <w:p w14:paraId="1A4B064D" w14:textId="1B061231" w:rsidR="00572D92" w:rsidRPr="00264E74" w:rsidRDefault="00076C92" w:rsidP="00817BDA">
      <w:pPr>
        <w:spacing w:before="120" w:after="120" w:line="257" w:lineRule="auto"/>
        <w:rPr>
          <w:rFonts w:asciiTheme="minorHAnsi" w:hAnsiTheme="minorHAnsi" w:cstheme="minorHAnsi"/>
          <w:sz w:val="22"/>
          <w:szCs w:val="22"/>
        </w:rPr>
      </w:pPr>
      <w:r w:rsidRPr="00183C6A">
        <w:rPr>
          <w:rFonts w:asciiTheme="minorHAnsi" w:hAnsiTheme="minorHAnsi" w:cstheme="minorHAnsi"/>
          <w:sz w:val="23"/>
          <w:szCs w:val="23"/>
        </w:rPr>
        <w:t xml:space="preserve">It should be noted that there is </w:t>
      </w:r>
      <w:r w:rsidRPr="00264E74">
        <w:rPr>
          <w:rFonts w:asciiTheme="minorHAnsi" w:hAnsiTheme="minorHAnsi" w:cstheme="minorHAnsi"/>
          <w:sz w:val="22"/>
          <w:szCs w:val="22"/>
        </w:rPr>
        <w:t xml:space="preserve">extensive experience in and across these sectors from organisations such as RDA Hunter, local Registered Training Organisations (RTOs) and Group Training Organisations, Training Services NSW, </w:t>
      </w:r>
      <w:r w:rsidR="006A34BF" w:rsidRPr="00264E74">
        <w:rPr>
          <w:rFonts w:asciiTheme="minorHAnsi" w:hAnsiTheme="minorHAnsi" w:cstheme="minorHAnsi"/>
          <w:sz w:val="22"/>
          <w:szCs w:val="22"/>
        </w:rPr>
        <w:t>I</w:t>
      </w:r>
      <w:r w:rsidRPr="00264E74">
        <w:rPr>
          <w:rFonts w:asciiTheme="minorHAnsi" w:hAnsiTheme="minorHAnsi" w:cstheme="minorHAnsi"/>
          <w:sz w:val="22"/>
          <w:szCs w:val="22"/>
        </w:rPr>
        <w:t xml:space="preserve">ndustry bodies, work placement and student support organisations, collaborative forums, and employers themselves in constructing pathway opportunities. Care should be taken to </w:t>
      </w:r>
      <w:r w:rsidR="00264E74" w:rsidRPr="00264E74">
        <w:rPr>
          <w:rFonts w:asciiTheme="minorHAnsi" w:hAnsiTheme="minorHAnsi" w:cstheme="minorHAnsi"/>
          <w:sz w:val="22"/>
          <w:szCs w:val="22"/>
        </w:rPr>
        <w:t>expand</w:t>
      </w:r>
      <w:r w:rsidRPr="00264E74">
        <w:rPr>
          <w:rFonts w:asciiTheme="minorHAnsi" w:hAnsiTheme="minorHAnsi" w:cstheme="minorHAnsi"/>
          <w:sz w:val="22"/>
          <w:szCs w:val="22"/>
        </w:rPr>
        <w:t xml:space="preserve"> rather than overlap with these initiatives.</w:t>
      </w:r>
    </w:p>
    <w:p w14:paraId="2D58EBB7" w14:textId="5124F804" w:rsidR="00076C92" w:rsidRPr="00264E74" w:rsidRDefault="00076C92" w:rsidP="00076C92">
      <w:pPr>
        <w:pStyle w:val="Heading2"/>
        <w:rPr>
          <w:rFonts w:asciiTheme="minorHAnsi" w:hAnsiTheme="minorHAnsi" w:cstheme="minorHAnsi"/>
          <w:sz w:val="22"/>
          <w:szCs w:val="22"/>
        </w:rPr>
      </w:pPr>
      <w:bookmarkStart w:id="63" w:name="_Toc81405362"/>
      <w:r w:rsidRPr="00264E74">
        <w:rPr>
          <w:rFonts w:asciiTheme="minorHAnsi" w:hAnsiTheme="minorHAnsi" w:cstheme="minorHAnsi"/>
          <w:sz w:val="22"/>
          <w:szCs w:val="22"/>
        </w:rPr>
        <w:t>Priority One: Healthcare</w:t>
      </w:r>
      <w:bookmarkEnd w:id="63"/>
      <w:r w:rsidRPr="00264E74">
        <w:rPr>
          <w:rFonts w:asciiTheme="minorHAnsi" w:hAnsiTheme="minorHAnsi" w:cstheme="minorHAnsi"/>
          <w:sz w:val="22"/>
          <w:szCs w:val="22"/>
        </w:rPr>
        <w:t xml:space="preserve"> </w:t>
      </w:r>
    </w:p>
    <w:p w14:paraId="124BA0CD" w14:textId="77777777" w:rsidR="00954A62" w:rsidRPr="00954A62" w:rsidRDefault="00954A62" w:rsidP="00954A62"/>
    <w:p w14:paraId="57362604" w14:textId="77777777" w:rsidR="002C4328" w:rsidRPr="00264E74" w:rsidRDefault="002C4328" w:rsidP="002C4328">
      <w:pPr>
        <w:rPr>
          <w:rFonts w:asciiTheme="minorHAnsi" w:hAnsiTheme="minorHAnsi" w:cstheme="minorHAnsi"/>
          <w:b/>
          <w:bCs/>
          <w:sz w:val="22"/>
          <w:szCs w:val="22"/>
        </w:rPr>
      </w:pPr>
      <w:r w:rsidRPr="00264E74">
        <w:rPr>
          <w:rFonts w:asciiTheme="minorHAnsi" w:hAnsiTheme="minorHAnsi" w:cstheme="minorHAnsi"/>
          <w:b/>
          <w:bCs/>
          <w:sz w:val="22"/>
          <w:szCs w:val="22"/>
        </w:rPr>
        <w:t xml:space="preserve">Meet growing workforce demand by creating sector-specific solutions and pathways to employment within the Healthcare sector, specifically across Aged and Disability Care also considering other care industries, supporting industries and supply chain. </w:t>
      </w:r>
    </w:p>
    <w:p w14:paraId="065D2443" w14:textId="77777777" w:rsidR="00076C92" w:rsidRPr="00264E74" w:rsidRDefault="00076C92" w:rsidP="00076C92">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The Hunter has a set of industries with clear employment growth trajectories, consistent challenges in attracting appropriately skilled labour, and/or pandemic specific needs. Many of these career and job opportunities within the Healthcare sector can broadly be classed as ‘entry level’, providing opportunity for identifiable friction points to be addressed in relatively short timeframes.  </w:t>
      </w:r>
    </w:p>
    <w:p w14:paraId="3E44C860" w14:textId="52C41F27" w:rsidR="00076C92" w:rsidRPr="00264E74" w:rsidRDefault="00076C92" w:rsidP="00076C92">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Healthcare highlights the need to direct job seekers to consider careers that they may not have previously considered. Providing </w:t>
      </w:r>
      <w:r w:rsidR="006A34BF" w:rsidRPr="00264E74">
        <w:rPr>
          <w:rFonts w:asciiTheme="minorHAnsi" w:hAnsiTheme="minorHAnsi" w:cstheme="minorHAnsi"/>
          <w:sz w:val="22"/>
          <w:szCs w:val="22"/>
        </w:rPr>
        <w:t xml:space="preserve">targeted </w:t>
      </w:r>
      <w:r w:rsidRPr="00264E74">
        <w:rPr>
          <w:rFonts w:asciiTheme="minorHAnsi" w:hAnsiTheme="minorHAnsi" w:cstheme="minorHAnsi"/>
          <w:sz w:val="22"/>
          <w:szCs w:val="22"/>
        </w:rPr>
        <w:t xml:space="preserve">information on pathway opportunities, and direct assistance to address friction points can deliver efficient outcomes for workers, employers, and the regional economy. </w:t>
      </w:r>
    </w:p>
    <w:p w14:paraId="6FC7E0E4" w14:textId="77777777" w:rsidR="00076C92" w:rsidRPr="00264E74" w:rsidRDefault="00076C92" w:rsidP="00076C92">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The region is also fortunate is to have a substantial ecosystem of existing models, employers with active participation in pathway creation, and training and service providers that can be leveraged.</w:t>
      </w:r>
    </w:p>
    <w:p w14:paraId="620B78BF" w14:textId="0321A5D6" w:rsidR="00076C92" w:rsidRPr="00264E74" w:rsidRDefault="002C4328" w:rsidP="00076C92">
      <w:pPr>
        <w:rPr>
          <w:rFonts w:asciiTheme="minorHAnsi" w:hAnsiTheme="minorHAnsi" w:cstheme="minorHAnsi"/>
          <w:sz w:val="22"/>
          <w:szCs w:val="22"/>
          <w:u w:val="single"/>
        </w:rPr>
      </w:pPr>
      <w:r w:rsidRPr="00264E74">
        <w:rPr>
          <w:rFonts w:asciiTheme="minorHAnsi" w:hAnsiTheme="minorHAnsi" w:cstheme="minorHAnsi"/>
          <w:b/>
          <w:bCs/>
          <w:sz w:val="22"/>
          <w:szCs w:val="22"/>
          <w:u w:val="single"/>
        </w:rPr>
        <w:t>Key Strategies</w:t>
      </w:r>
      <w:r w:rsidRPr="00264E74">
        <w:rPr>
          <w:rFonts w:asciiTheme="minorHAnsi" w:hAnsiTheme="minorHAnsi" w:cstheme="minorHAnsi"/>
          <w:sz w:val="22"/>
          <w:szCs w:val="22"/>
          <w:u w:val="single"/>
        </w:rPr>
        <w:t>:</w:t>
      </w:r>
    </w:p>
    <w:p w14:paraId="3CE3C13C" w14:textId="77777777" w:rsidR="00C55E2F" w:rsidRDefault="00C55E2F" w:rsidP="00076C92">
      <w:pPr>
        <w:rPr>
          <w:rFonts w:asciiTheme="minorHAnsi" w:hAnsiTheme="minorHAnsi" w:cstheme="minorHAnsi"/>
          <w:sz w:val="23"/>
          <w:szCs w:val="23"/>
        </w:rPr>
      </w:pPr>
    </w:p>
    <w:p w14:paraId="2CFBFB82" w14:textId="54EEC68D" w:rsidR="002C4328" w:rsidRPr="00264E74" w:rsidRDefault="002C4328" w:rsidP="002C4328">
      <w:pPr>
        <w:pStyle w:val="ListParagraph"/>
        <w:numPr>
          <w:ilvl w:val="0"/>
          <w:numId w:val="23"/>
        </w:numPr>
        <w:rPr>
          <w:rFonts w:asciiTheme="minorHAnsi" w:hAnsiTheme="minorHAnsi" w:cstheme="minorHAnsi"/>
          <w:sz w:val="22"/>
          <w:szCs w:val="22"/>
        </w:rPr>
      </w:pPr>
      <w:r w:rsidRPr="00264E74">
        <w:rPr>
          <w:rFonts w:asciiTheme="minorHAnsi" w:hAnsiTheme="minorHAnsi" w:cstheme="minorHAnsi"/>
          <w:sz w:val="22"/>
          <w:szCs w:val="22"/>
        </w:rPr>
        <w:t xml:space="preserve">Build profile of ‘Care Careers’ as a desirable career choice for </w:t>
      </w:r>
      <w:r w:rsidR="00517394" w:rsidRPr="00264E74">
        <w:rPr>
          <w:rFonts w:asciiTheme="minorHAnsi" w:hAnsiTheme="minorHAnsi" w:cstheme="minorHAnsi"/>
          <w:sz w:val="22"/>
          <w:szCs w:val="22"/>
        </w:rPr>
        <w:t>job seeker</w:t>
      </w:r>
      <w:r w:rsidRPr="00264E74">
        <w:rPr>
          <w:rFonts w:asciiTheme="minorHAnsi" w:hAnsiTheme="minorHAnsi" w:cstheme="minorHAnsi"/>
          <w:sz w:val="22"/>
          <w:szCs w:val="22"/>
        </w:rPr>
        <w:t>s including awareness of long-term career progression, and awareness of other roles within the industry (</w:t>
      </w:r>
      <w:r w:rsidR="003346AD" w:rsidRPr="00264E74">
        <w:rPr>
          <w:rFonts w:asciiTheme="minorHAnsi" w:hAnsiTheme="minorHAnsi" w:cstheme="minorHAnsi"/>
          <w:sz w:val="22"/>
          <w:szCs w:val="22"/>
        </w:rPr>
        <w:t>e.g.,</w:t>
      </w:r>
      <w:r w:rsidRPr="00264E74">
        <w:rPr>
          <w:rFonts w:asciiTheme="minorHAnsi" w:hAnsiTheme="minorHAnsi" w:cstheme="minorHAnsi"/>
          <w:sz w:val="22"/>
          <w:szCs w:val="22"/>
        </w:rPr>
        <w:t xml:space="preserve"> Support services, HR, maintenance, etc). </w:t>
      </w:r>
    </w:p>
    <w:p w14:paraId="59EC7621" w14:textId="491BF709" w:rsidR="002C4328" w:rsidRPr="00264E74" w:rsidRDefault="002C4328" w:rsidP="002C4328">
      <w:pPr>
        <w:pStyle w:val="ListParagraph"/>
        <w:numPr>
          <w:ilvl w:val="0"/>
          <w:numId w:val="23"/>
        </w:numPr>
        <w:rPr>
          <w:rFonts w:asciiTheme="minorHAnsi" w:hAnsiTheme="minorHAnsi" w:cstheme="minorHAnsi"/>
          <w:sz w:val="22"/>
          <w:szCs w:val="22"/>
        </w:rPr>
      </w:pPr>
      <w:r w:rsidRPr="00264E74">
        <w:rPr>
          <w:rFonts w:asciiTheme="minorHAnsi" w:hAnsiTheme="minorHAnsi" w:cstheme="minorHAnsi"/>
          <w:sz w:val="22"/>
          <w:szCs w:val="22"/>
        </w:rPr>
        <w:t xml:space="preserve">Industry consultation to refine and tailor pathways into entry level roles </w:t>
      </w:r>
      <w:proofErr w:type="spellStart"/>
      <w:r w:rsidR="003346AD" w:rsidRPr="00264E74">
        <w:rPr>
          <w:rFonts w:asciiTheme="minorHAnsi" w:hAnsiTheme="minorHAnsi" w:cstheme="minorHAnsi"/>
          <w:sz w:val="22"/>
          <w:szCs w:val="22"/>
        </w:rPr>
        <w:t>e.</w:t>
      </w:r>
      <w:proofErr w:type="gramStart"/>
      <w:r w:rsidR="003346AD" w:rsidRPr="00264E74">
        <w:rPr>
          <w:rFonts w:asciiTheme="minorHAnsi" w:hAnsiTheme="minorHAnsi" w:cstheme="minorHAnsi"/>
          <w:sz w:val="22"/>
          <w:szCs w:val="22"/>
        </w:rPr>
        <w:t>g.</w:t>
      </w:r>
      <w:r w:rsidR="00183C6A">
        <w:rPr>
          <w:rFonts w:asciiTheme="minorHAnsi" w:hAnsiTheme="minorHAnsi" w:cstheme="minorHAnsi"/>
          <w:sz w:val="22"/>
          <w:szCs w:val="22"/>
        </w:rPr>
        <w:t>i</w:t>
      </w:r>
      <w:r w:rsidRPr="00264E74">
        <w:rPr>
          <w:rFonts w:asciiTheme="minorHAnsi" w:hAnsiTheme="minorHAnsi" w:cstheme="minorHAnsi"/>
          <w:sz w:val="22"/>
          <w:szCs w:val="22"/>
        </w:rPr>
        <w:t>ncrease</w:t>
      </w:r>
      <w:proofErr w:type="spellEnd"/>
      <w:proofErr w:type="gramEnd"/>
      <w:r w:rsidRPr="00264E74">
        <w:rPr>
          <w:rFonts w:asciiTheme="minorHAnsi" w:hAnsiTheme="minorHAnsi" w:cstheme="minorHAnsi"/>
          <w:sz w:val="22"/>
          <w:szCs w:val="22"/>
        </w:rPr>
        <w:t xml:space="preserve"> availability of traineeship options, and industry endorsed training programs.</w:t>
      </w:r>
    </w:p>
    <w:p w14:paraId="5F7CA9E7" w14:textId="77777777" w:rsidR="002C4328" w:rsidRPr="00264E74" w:rsidRDefault="002C4328" w:rsidP="002C4328">
      <w:pPr>
        <w:pStyle w:val="ListParagraph"/>
        <w:numPr>
          <w:ilvl w:val="0"/>
          <w:numId w:val="23"/>
        </w:numPr>
        <w:rPr>
          <w:rFonts w:asciiTheme="minorHAnsi" w:hAnsiTheme="minorHAnsi" w:cstheme="minorHAnsi"/>
          <w:sz w:val="22"/>
          <w:szCs w:val="22"/>
        </w:rPr>
      </w:pPr>
      <w:r w:rsidRPr="00264E74">
        <w:rPr>
          <w:rFonts w:asciiTheme="minorHAnsi" w:hAnsiTheme="minorHAnsi" w:cstheme="minorHAnsi"/>
          <w:sz w:val="22"/>
          <w:szCs w:val="22"/>
        </w:rPr>
        <w:lastRenderedPageBreak/>
        <w:t>Support small and micro business in the sector to employ through collaborative programs, connection to funding and incentives, and tailored supports.</w:t>
      </w:r>
    </w:p>
    <w:p w14:paraId="4C8EDB8F" w14:textId="0C094834" w:rsidR="002C4328" w:rsidRPr="00264E74" w:rsidRDefault="002C4328" w:rsidP="002C4328">
      <w:pPr>
        <w:pStyle w:val="ListParagraph"/>
        <w:numPr>
          <w:ilvl w:val="0"/>
          <w:numId w:val="23"/>
        </w:numPr>
        <w:rPr>
          <w:rFonts w:asciiTheme="minorHAnsi" w:hAnsiTheme="minorHAnsi" w:cstheme="minorHAnsi"/>
          <w:sz w:val="22"/>
          <w:szCs w:val="22"/>
        </w:rPr>
      </w:pPr>
      <w:r w:rsidRPr="00264E74">
        <w:rPr>
          <w:rFonts w:asciiTheme="minorHAnsi" w:hAnsiTheme="minorHAnsi" w:cstheme="minorHAnsi"/>
          <w:sz w:val="22"/>
          <w:szCs w:val="22"/>
        </w:rPr>
        <w:t>Streamline access to opportunities for all cohorts</w:t>
      </w:r>
      <w:r w:rsidR="0052470C" w:rsidRPr="00264E74">
        <w:rPr>
          <w:rFonts w:asciiTheme="minorHAnsi" w:hAnsiTheme="minorHAnsi" w:cstheme="minorHAnsi"/>
          <w:sz w:val="22"/>
          <w:szCs w:val="22"/>
        </w:rPr>
        <w:t xml:space="preserve"> with specific focus to disproportionately disadvantaged cohorts</w:t>
      </w:r>
      <w:r w:rsidRPr="00264E74">
        <w:rPr>
          <w:rFonts w:asciiTheme="minorHAnsi" w:hAnsiTheme="minorHAnsi" w:cstheme="minorHAnsi"/>
          <w:sz w:val="22"/>
          <w:szCs w:val="22"/>
        </w:rPr>
        <w:t xml:space="preserve"> including youth, indigenous, and displaced workers.</w:t>
      </w:r>
    </w:p>
    <w:p w14:paraId="05527CF3" w14:textId="485DBCEF" w:rsidR="002C4328" w:rsidRDefault="002C4328" w:rsidP="002C4328">
      <w:pPr>
        <w:pStyle w:val="ListParagraph"/>
        <w:numPr>
          <w:ilvl w:val="0"/>
          <w:numId w:val="23"/>
        </w:numPr>
        <w:rPr>
          <w:rFonts w:asciiTheme="minorHAnsi" w:hAnsiTheme="minorHAnsi" w:cstheme="minorHAnsi"/>
          <w:sz w:val="22"/>
          <w:szCs w:val="22"/>
        </w:rPr>
      </w:pPr>
      <w:r w:rsidRPr="00264E74">
        <w:rPr>
          <w:rFonts w:asciiTheme="minorHAnsi" w:hAnsiTheme="minorHAnsi" w:cstheme="minorHAnsi"/>
          <w:sz w:val="22"/>
          <w:szCs w:val="22"/>
        </w:rPr>
        <w:t>Leverage existing funding opportunities</w:t>
      </w:r>
      <w:r w:rsidR="0052470C" w:rsidRPr="00264E74">
        <w:rPr>
          <w:rFonts w:asciiTheme="minorHAnsi" w:hAnsiTheme="minorHAnsi" w:cstheme="minorHAnsi"/>
          <w:sz w:val="22"/>
          <w:szCs w:val="22"/>
        </w:rPr>
        <w:t>, projects, and programs including (but not limited to); Skilling for Recovery, Aged Care Workforce Industry Council ‘Bring Your Thing’ initiative, Department of Social Services ‘A Life Changing Life’ campaign</w:t>
      </w:r>
      <w:r w:rsidR="00517394" w:rsidRPr="00264E74">
        <w:rPr>
          <w:rFonts w:asciiTheme="minorHAnsi" w:hAnsiTheme="minorHAnsi" w:cstheme="minorHAnsi"/>
          <w:sz w:val="22"/>
          <w:szCs w:val="22"/>
        </w:rPr>
        <w:t>.</w:t>
      </w:r>
    </w:p>
    <w:p w14:paraId="702886B5" w14:textId="77777777" w:rsidR="00083AD8" w:rsidRDefault="00083AD8" w:rsidP="00083AD8">
      <w:pPr>
        <w:rPr>
          <w:rFonts w:asciiTheme="minorHAnsi" w:hAnsiTheme="minorHAnsi" w:cstheme="minorHAnsi"/>
          <w:sz w:val="22"/>
          <w:szCs w:val="22"/>
        </w:rPr>
      </w:pPr>
    </w:p>
    <w:p w14:paraId="0301C225" w14:textId="7A6488CC" w:rsidR="00076C92" w:rsidRDefault="00076C92" w:rsidP="00076C92">
      <w:pPr>
        <w:pStyle w:val="Heading2"/>
        <w:rPr>
          <w:rFonts w:asciiTheme="minorHAnsi" w:hAnsiTheme="minorHAnsi" w:cstheme="minorHAnsi"/>
          <w:sz w:val="23"/>
          <w:szCs w:val="23"/>
        </w:rPr>
      </w:pPr>
      <w:bookmarkStart w:id="64" w:name="_Toc81405363"/>
      <w:r w:rsidRPr="00E04D29">
        <w:rPr>
          <w:rFonts w:asciiTheme="minorHAnsi" w:hAnsiTheme="minorHAnsi" w:cstheme="minorHAnsi"/>
          <w:sz w:val="23"/>
          <w:szCs w:val="23"/>
        </w:rPr>
        <w:t>Priority Two: Hospitality and Tourism</w:t>
      </w:r>
      <w:bookmarkEnd w:id="64"/>
      <w:r w:rsidRPr="00E04D29">
        <w:rPr>
          <w:rFonts w:asciiTheme="minorHAnsi" w:hAnsiTheme="minorHAnsi" w:cstheme="minorHAnsi"/>
          <w:sz w:val="23"/>
          <w:szCs w:val="23"/>
        </w:rPr>
        <w:t xml:space="preserve"> </w:t>
      </w:r>
    </w:p>
    <w:p w14:paraId="7DE10061" w14:textId="77777777" w:rsidR="00954A62" w:rsidRPr="00954A62" w:rsidRDefault="00954A62" w:rsidP="00954A62"/>
    <w:p w14:paraId="793045A0" w14:textId="3DD3A0F5" w:rsidR="0052470C" w:rsidRPr="00264E74" w:rsidRDefault="0052470C" w:rsidP="0052470C">
      <w:pPr>
        <w:rPr>
          <w:rFonts w:asciiTheme="minorHAnsi" w:hAnsiTheme="minorHAnsi" w:cstheme="minorHAnsi"/>
          <w:b/>
          <w:bCs/>
          <w:sz w:val="22"/>
          <w:szCs w:val="22"/>
        </w:rPr>
      </w:pPr>
      <w:r w:rsidRPr="00264E74">
        <w:rPr>
          <w:rFonts w:asciiTheme="minorHAnsi" w:hAnsiTheme="minorHAnsi" w:cstheme="minorHAnsi"/>
          <w:b/>
          <w:bCs/>
          <w:sz w:val="22"/>
          <w:szCs w:val="22"/>
        </w:rPr>
        <w:t xml:space="preserve">Meet growing workforce demand by creating sector-specific solutions and pathways to employment within the Hospitality and Tourism sector, specifically across key hubs which face additional barriers like high youth unemployment and lack of transport </w:t>
      </w:r>
      <w:proofErr w:type="gramStart"/>
      <w:r w:rsidR="003346AD" w:rsidRPr="00264E74">
        <w:rPr>
          <w:rFonts w:asciiTheme="minorHAnsi" w:hAnsiTheme="minorHAnsi" w:cstheme="minorHAnsi"/>
          <w:b/>
          <w:bCs/>
          <w:sz w:val="22"/>
          <w:szCs w:val="22"/>
        </w:rPr>
        <w:t>e.g.</w:t>
      </w:r>
      <w:proofErr w:type="gramEnd"/>
      <w:r w:rsidRPr="00264E74">
        <w:rPr>
          <w:rFonts w:asciiTheme="minorHAnsi" w:hAnsiTheme="minorHAnsi" w:cstheme="minorHAnsi"/>
          <w:b/>
          <w:bCs/>
          <w:sz w:val="22"/>
          <w:szCs w:val="22"/>
        </w:rPr>
        <w:t xml:space="preserve"> Cessnock</w:t>
      </w:r>
      <w:r w:rsidR="00183C6A">
        <w:rPr>
          <w:rFonts w:asciiTheme="minorHAnsi" w:hAnsiTheme="minorHAnsi" w:cstheme="minorHAnsi"/>
          <w:b/>
          <w:bCs/>
          <w:sz w:val="22"/>
          <w:szCs w:val="22"/>
        </w:rPr>
        <w:t>,</w:t>
      </w:r>
      <w:r w:rsidRPr="00264E74">
        <w:rPr>
          <w:rFonts w:asciiTheme="minorHAnsi" w:hAnsiTheme="minorHAnsi" w:cstheme="minorHAnsi"/>
          <w:b/>
          <w:bCs/>
          <w:sz w:val="22"/>
          <w:szCs w:val="22"/>
        </w:rPr>
        <w:t xml:space="preserve"> Port Stephens</w:t>
      </w:r>
      <w:r w:rsidR="00183C6A">
        <w:rPr>
          <w:rFonts w:asciiTheme="minorHAnsi" w:hAnsiTheme="minorHAnsi" w:cstheme="minorHAnsi"/>
          <w:b/>
          <w:bCs/>
          <w:sz w:val="22"/>
          <w:szCs w:val="22"/>
        </w:rPr>
        <w:t xml:space="preserve"> and</w:t>
      </w:r>
      <w:r w:rsidRPr="00264E74">
        <w:rPr>
          <w:rFonts w:asciiTheme="minorHAnsi" w:hAnsiTheme="minorHAnsi" w:cstheme="minorHAnsi"/>
          <w:b/>
          <w:bCs/>
          <w:sz w:val="22"/>
          <w:szCs w:val="22"/>
        </w:rPr>
        <w:t xml:space="preserve"> Newcastle.</w:t>
      </w:r>
    </w:p>
    <w:p w14:paraId="7581AAC1" w14:textId="77777777" w:rsidR="00076C92" w:rsidRPr="00264E74" w:rsidRDefault="00076C92" w:rsidP="00076C92">
      <w:pPr>
        <w:rPr>
          <w:rFonts w:asciiTheme="minorHAnsi" w:hAnsiTheme="minorHAnsi" w:cstheme="minorHAnsi"/>
          <w:sz w:val="22"/>
          <w:szCs w:val="22"/>
        </w:rPr>
      </w:pPr>
    </w:p>
    <w:p w14:paraId="0A80997E" w14:textId="298A943B" w:rsidR="00076C92" w:rsidRPr="00264E74" w:rsidRDefault="00076C92" w:rsidP="00076C92">
      <w:pPr>
        <w:rPr>
          <w:rFonts w:asciiTheme="minorHAnsi" w:hAnsiTheme="minorHAnsi" w:cstheme="minorHAnsi"/>
          <w:sz w:val="22"/>
          <w:szCs w:val="22"/>
        </w:rPr>
      </w:pPr>
      <w:r w:rsidRPr="00264E74">
        <w:rPr>
          <w:rFonts w:asciiTheme="minorHAnsi" w:hAnsiTheme="minorHAnsi" w:cstheme="minorHAnsi"/>
          <w:sz w:val="22"/>
          <w:szCs w:val="22"/>
        </w:rPr>
        <w:t xml:space="preserve">The Hunter is home to multiple Hospitality and Tourism hubs, all with unique offerings. The impact of the COVID-19 pandemic has seen increased trade with Australians holidaying regionally, coupled with a limited workforce </w:t>
      </w:r>
      <w:proofErr w:type="gramStart"/>
      <w:r w:rsidRPr="00264E74">
        <w:rPr>
          <w:rFonts w:asciiTheme="minorHAnsi" w:hAnsiTheme="minorHAnsi" w:cstheme="minorHAnsi"/>
          <w:sz w:val="22"/>
          <w:szCs w:val="22"/>
        </w:rPr>
        <w:t>as a result of</w:t>
      </w:r>
      <w:proofErr w:type="gramEnd"/>
      <w:r w:rsidRPr="00264E74">
        <w:rPr>
          <w:rFonts w:asciiTheme="minorHAnsi" w:hAnsiTheme="minorHAnsi" w:cstheme="minorHAnsi"/>
          <w:sz w:val="22"/>
          <w:szCs w:val="22"/>
        </w:rPr>
        <w:t xml:space="preserve"> travel restrictions </w:t>
      </w:r>
      <w:r w:rsidR="00B61935" w:rsidRPr="00264E74">
        <w:rPr>
          <w:rFonts w:asciiTheme="minorHAnsi" w:hAnsiTheme="minorHAnsi" w:cstheme="minorHAnsi"/>
          <w:sz w:val="22"/>
          <w:szCs w:val="22"/>
        </w:rPr>
        <w:t xml:space="preserve">to </w:t>
      </w:r>
      <w:r w:rsidR="003346AD" w:rsidRPr="00264E74">
        <w:rPr>
          <w:rFonts w:asciiTheme="minorHAnsi" w:hAnsiTheme="minorHAnsi" w:cstheme="minorHAnsi"/>
          <w:sz w:val="22"/>
          <w:szCs w:val="22"/>
        </w:rPr>
        <w:t>international workers</w:t>
      </w:r>
      <w:r w:rsidRPr="00264E74">
        <w:rPr>
          <w:rFonts w:asciiTheme="minorHAnsi" w:hAnsiTheme="minorHAnsi" w:cstheme="minorHAnsi"/>
          <w:sz w:val="22"/>
          <w:szCs w:val="22"/>
        </w:rPr>
        <w:t>.</w:t>
      </w:r>
      <w:r w:rsidR="00E84566" w:rsidRPr="00264E74">
        <w:rPr>
          <w:rFonts w:asciiTheme="minorHAnsi" w:hAnsiTheme="minorHAnsi" w:cstheme="minorHAnsi"/>
          <w:sz w:val="22"/>
          <w:szCs w:val="22"/>
        </w:rPr>
        <w:t xml:space="preserve"> This industry has had immediate impacts from the COVID-19 pandemic which has resulted in financial institutions becoming increasingly hesitant around lending creating an additional friction point to industry attraction and retention.</w:t>
      </w:r>
    </w:p>
    <w:p w14:paraId="028D260F" w14:textId="77777777" w:rsidR="00076C92" w:rsidRPr="00264E74" w:rsidRDefault="00076C92" w:rsidP="00076C92">
      <w:pPr>
        <w:rPr>
          <w:rFonts w:asciiTheme="minorHAnsi" w:hAnsiTheme="minorHAnsi" w:cstheme="minorHAnsi"/>
          <w:sz w:val="22"/>
          <w:szCs w:val="22"/>
        </w:rPr>
      </w:pPr>
    </w:p>
    <w:p w14:paraId="1CE015EA" w14:textId="759EB9F6" w:rsidR="00B75213" w:rsidRPr="00264E74" w:rsidRDefault="00076C92">
      <w:pPr>
        <w:rPr>
          <w:rFonts w:asciiTheme="minorHAnsi" w:hAnsiTheme="minorHAnsi" w:cstheme="minorHAnsi"/>
          <w:sz w:val="22"/>
          <w:szCs w:val="22"/>
        </w:rPr>
      </w:pPr>
      <w:r w:rsidRPr="00264E74">
        <w:rPr>
          <w:rFonts w:asciiTheme="minorHAnsi" w:hAnsiTheme="minorHAnsi" w:cstheme="minorHAnsi"/>
          <w:sz w:val="22"/>
          <w:szCs w:val="22"/>
        </w:rPr>
        <w:t xml:space="preserve">Anecdotal feedback from </w:t>
      </w:r>
      <w:r w:rsidR="00B61935" w:rsidRPr="00264E74">
        <w:rPr>
          <w:rFonts w:asciiTheme="minorHAnsi" w:hAnsiTheme="minorHAnsi" w:cstheme="minorHAnsi"/>
          <w:sz w:val="22"/>
          <w:szCs w:val="22"/>
        </w:rPr>
        <w:t>stakeholders</w:t>
      </w:r>
      <w:r w:rsidRPr="00264E74">
        <w:rPr>
          <w:rFonts w:asciiTheme="minorHAnsi" w:hAnsiTheme="minorHAnsi" w:cstheme="minorHAnsi"/>
          <w:sz w:val="22"/>
          <w:szCs w:val="22"/>
        </w:rPr>
        <w:t xml:space="preserve"> highlights the gap left from international workers is amplified across Hospitality and Tourism sectors, and even more-so in seasonal areas who have typically utilised working holiday or seasonal worker visa holders</w:t>
      </w:r>
      <w:r w:rsidR="00B61935" w:rsidRPr="00264E74">
        <w:rPr>
          <w:rFonts w:asciiTheme="minorHAnsi" w:hAnsiTheme="minorHAnsi" w:cstheme="minorHAnsi"/>
          <w:sz w:val="22"/>
          <w:szCs w:val="22"/>
        </w:rPr>
        <w:t xml:space="preserve"> as a main source of labour</w:t>
      </w:r>
      <w:r w:rsidRPr="00264E74">
        <w:rPr>
          <w:rFonts w:asciiTheme="minorHAnsi" w:hAnsiTheme="minorHAnsi" w:cstheme="minorHAnsi"/>
          <w:sz w:val="22"/>
          <w:szCs w:val="22"/>
        </w:rPr>
        <w:t xml:space="preserve">. </w:t>
      </w:r>
      <w:r w:rsidR="00B61935" w:rsidRPr="00264E74">
        <w:rPr>
          <w:rFonts w:asciiTheme="minorHAnsi" w:hAnsiTheme="minorHAnsi" w:cstheme="minorHAnsi"/>
          <w:sz w:val="22"/>
          <w:szCs w:val="22"/>
        </w:rPr>
        <w:t xml:space="preserve">Feedback highlights a supply issue of skilled workers in which </w:t>
      </w:r>
      <w:r w:rsidR="00E84566" w:rsidRPr="00264E74">
        <w:rPr>
          <w:rFonts w:asciiTheme="minorHAnsi" w:hAnsiTheme="minorHAnsi" w:cstheme="minorHAnsi"/>
          <w:sz w:val="22"/>
          <w:szCs w:val="22"/>
        </w:rPr>
        <w:t xml:space="preserve">workers are being drawn between organisations rather than reskilling new employees into these roles. </w:t>
      </w:r>
    </w:p>
    <w:p w14:paraId="360392CE" w14:textId="77777777" w:rsidR="004E0FA6" w:rsidRPr="00264E74" w:rsidRDefault="004E0FA6" w:rsidP="00076C92">
      <w:pPr>
        <w:rPr>
          <w:rFonts w:asciiTheme="minorHAnsi" w:hAnsiTheme="minorHAnsi" w:cstheme="minorHAnsi"/>
          <w:sz w:val="22"/>
          <w:szCs w:val="22"/>
        </w:rPr>
      </w:pPr>
    </w:p>
    <w:p w14:paraId="62264558" w14:textId="333C2237" w:rsidR="005455B1" w:rsidRPr="00264E74" w:rsidRDefault="00E84566" w:rsidP="00076C92">
      <w:pPr>
        <w:rPr>
          <w:rFonts w:asciiTheme="minorHAnsi" w:hAnsiTheme="minorHAnsi" w:cstheme="minorHAnsi"/>
          <w:sz w:val="22"/>
          <w:szCs w:val="22"/>
        </w:rPr>
      </w:pPr>
      <w:r w:rsidRPr="00264E74">
        <w:rPr>
          <w:rFonts w:asciiTheme="minorHAnsi" w:hAnsiTheme="minorHAnsi" w:cstheme="minorHAnsi"/>
          <w:sz w:val="22"/>
          <w:szCs w:val="22"/>
        </w:rPr>
        <w:t>K</w:t>
      </w:r>
      <w:r w:rsidR="005455B1" w:rsidRPr="00264E74">
        <w:rPr>
          <w:rFonts w:asciiTheme="minorHAnsi" w:hAnsiTheme="minorHAnsi" w:cstheme="minorHAnsi"/>
          <w:sz w:val="22"/>
          <w:szCs w:val="22"/>
        </w:rPr>
        <w:t xml:space="preserve">ey friction points </w:t>
      </w:r>
      <w:r w:rsidRPr="00264E74">
        <w:rPr>
          <w:rFonts w:asciiTheme="minorHAnsi" w:hAnsiTheme="minorHAnsi" w:cstheme="minorHAnsi"/>
          <w:sz w:val="22"/>
          <w:szCs w:val="22"/>
        </w:rPr>
        <w:t xml:space="preserve">due to </w:t>
      </w:r>
      <w:r w:rsidR="003346AD" w:rsidRPr="00264E74">
        <w:rPr>
          <w:rFonts w:asciiTheme="minorHAnsi" w:hAnsiTheme="minorHAnsi" w:cstheme="minorHAnsi"/>
          <w:sz w:val="22"/>
          <w:szCs w:val="22"/>
        </w:rPr>
        <w:t>layoffs</w:t>
      </w:r>
      <w:r w:rsidRPr="00264E74">
        <w:rPr>
          <w:rFonts w:asciiTheme="minorHAnsi" w:hAnsiTheme="minorHAnsi" w:cstheme="minorHAnsi"/>
          <w:sz w:val="22"/>
          <w:szCs w:val="22"/>
        </w:rPr>
        <w:t xml:space="preserve"> have impacted roles such as </w:t>
      </w:r>
      <w:r w:rsidR="00EF4F1A" w:rsidRPr="00264E74">
        <w:rPr>
          <w:rFonts w:asciiTheme="minorHAnsi" w:hAnsiTheme="minorHAnsi" w:cstheme="minorHAnsi"/>
          <w:sz w:val="22"/>
          <w:szCs w:val="22"/>
        </w:rPr>
        <w:t xml:space="preserve">administration as well as </w:t>
      </w:r>
      <w:r w:rsidRPr="00264E74">
        <w:rPr>
          <w:rFonts w:asciiTheme="minorHAnsi" w:hAnsiTheme="minorHAnsi" w:cstheme="minorHAnsi"/>
          <w:sz w:val="22"/>
          <w:szCs w:val="22"/>
        </w:rPr>
        <w:t>f</w:t>
      </w:r>
      <w:r w:rsidR="00EF4F1A" w:rsidRPr="00264E74">
        <w:rPr>
          <w:rFonts w:asciiTheme="minorHAnsi" w:hAnsiTheme="minorHAnsi" w:cstheme="minorHAnsi"/>
          <w:sz w:val="22"/>
          <w:szCs w:val="22"/>
        </w:rPr>
        <w:t xml:space="preserve">rontline roles. </w:t>
      </w:r>
      <w:r w:rsidRPr="00264E74">
        <w:rPr>
          <w:rFonts w:asciiTheme="minorHAnsi" w:hAnsiTheme="minorHAnsi" w:cstheme="minorHAnsi"/>
          <w:sz w:val="22"/>
          <w:szCs w:val="22"/>
        </w:rPr>
        <w:t xml:space="preserve">The ability to </w:t>
      </w:r>
      <w:r w:rsidR="00EF4F1A" w:rsidRPr="00264E74">
        <w:rPr>
          <w:rFonts w:asciiTheme="minorHAnsi" w:hAnsiTheme="minorHAnsi" w:cstheme="minorHAnsi"/>
          <w:sz w:val="22"/>
          <w:szCs w:val="22"/>
        </w:rPr>
        <w:t xml:space="preserve">attract and retain </w:t>
      </w:r>
      <w:r w:rsidRPr="00264E74">
        <w:rPr>
          <w:rFonts w:asciiTheme="minorHAnsi" w:hAnsiTheme="minorHAnsi" w:cstheme="minorHAnsi"/>
          <w:sz w:val="22"/>
          <w:szCs w:val="22"/>
        </w:rPr>
        <w:t>C</w:t>
      </w:r>
      <w:r w:rsidR="00EF4F1A" w:rsidRPr="00264E74">
        <w:rPr>
          <w:rFonts w:asciiTheme="minorHAnsi" w:hAnsiTheme="minorHAnsi" w:cstheme="minorHAnsi"/>
          <w:sz w:val="22"/>
          <w:szCs w:val="22"/>
        </w:rPr>
        <w:t xml:space="preserve">hefs </w:t>
      </w:r>
      <w:r w:rsidRPr="00264E74">
        <w:rPr>
          <w:rFonts w:asciiTheme="minorHAnsi" w:hAnsiTheme="minorHAnsi" w:cstheme="minorHAnsi"/>
          <w:sz w:val="22"/>
          <w:szCs w:val="22"/>
        </w:rPr>
        <w:t xml:space="preserve">is an issue cited </w:t>
      </w:r>
      <w:r w:rsidR="00EF4F1A" w:rsidRPr="00264E74">
        <w:rPr>
          <w:rFonts w:asciiTheme="minorHAnsi" w:hAnsiTheme="minorHAnsi" w:cstheme="minorHAnsi"/>
          <w:sz w:val="22"/>
          <w:szCs w:val="22"/>
        </w:rPr>
        <w:t>across the region</w:t>
      </w:r>
      <w:r w:rsidR="0006736B" w:rsidRPr="00264E74">
        <w:rPr>
          <w:rFonts w:asciiTheme="minorHAnsi" w:hAnsiTheme="minorHAnsi" w:cstheme="minorHAnsi"/>
          <w:sz w:val="22"/>
          <w:szCs w:val="22"/>
        </w:rPr>
        <w:t xml:space="preserve"> and is exacerbated by the increase in regional tourism driving demand. Further limitations worth consideration </w:t>
      </w:r>
      <w:proofErr w:type="gramStart"/>
      <w:r w:rsidR="0006736B" w:rsidRPr="00264E74">
        <w:rPr>
          <w:rFonts w:asciiTheme="minorHAnsi" w:hAnsiTheme="minorHAnsi" w:cstheme="minorHAnsi"/>
          <w:sz w:val="22"/>
          <w:szCs w:val="22"/>
        </w:rPr>
        <w:t>are</w:t>
      </w:r>
      <w:proofErr w:type="gramEnd"/>
      <w:r w:rsidR="0006736B" w:rsidRPr="00264E74">
        <w:rPr>
          <w:rFonts w:asciiTheme="minorHAnsi" w:hAnsiTheme="minorHAnsi" w:cstheme="minorHAnsi"/>
          <w:sz w:val="22"/>
          <w:szCs w:val="22"/>
        </w:rPr>
        <w:t xml:space="preserve"> the high level of casualisation</w:t>
      </w:r>
      <w:r w:rsidR="00645780" w:rsidRPr="00264E74">
        <w:rPr>
          <w:rFonts w:asciiTheme="minorHAnsi" w:hAnsiTheme="minorHAnsi" w:cstheme="minorHAnsi"/>
          <w:sz w:val="22"/>
          <w:szCs w:val="22"/>
        </w:rPr>
        <w:t xml:space="preserve"> and low entry level pay rate</w:t>
      </w:r>
      <w:r w:rsidRPr="00264E74">
        <w:rPr>
          <w:rFonts w:asciiTheme="minorHAnsi" w:hAnsiTheme="minorHAnsi" w:cstheme="minorHAnsi"/>
          <w:sz w:val="22"/>
          <w:szCs w:val="22"/>
        </w:rPr>
        <w:t>s</w:t>
      </w:r>
      <w:r w:rsidR="00645780" w:rsidRPr="00264E74">
        <w:rPr>
          <w:rFonts w:asciiTheme="minorHAnsi" w:hAnsiTheme="minorHAnsi" w:cstheme="minorHAnsi"/>
          <w:sz w:val="22"/>
          <w:szCs w:val="22"/>
        </w:rPr>
        <w:t xml:space="preserve">, the perception of ‘short term’ work and absence of </w:t>
      </w:r>
      <w:r w:rsidRPr="00264E74">
        <w:rPr>
          <w:rFonts w:asciiTheme="minorHAnsi" w:hAnsiTheme="minorHAnsi" w:cstheme="minorHAnsi"/>
          <w:sz w:val="22"/>
          <w:szCs w:val="22"/>
        </w:rPr>
        <w:t xml:space="preserve">career </w:t>
      </w:r>
      <w:r w:rsidR="00645780" w:rsidRPr="00264E74">
        <w:rPr>
          <w:rFonts w:asciiTheme="minorHAnsi" w:hAnsiTheme="minorHAnsi" w:cstheme="minorHAnsi"/>
          <w:sz w:val="22"/>
          <w:szCs w:val="22"/>
        </w:rPr>
        <w:t xml:space="preserve">pathways, and </w:t>
      </w:r>
      <w:r w:rsidR="004E0FA6" w:rsidRPr="00264E74">
        <w:rPr>
          <w:rFonts w:asciiTheme="minorHAnsi" w:hAnsiTheme="minorHAnsi" w:cstheme="minorHAnsi"/>
          <w:sz w:val="22"/>
          <w:szCs w:val="22"/>
        </w:rPr>
        <w:t>employer support</w:t>
      </w:r>
      <w:r w:rsidR="0052470C" w:rsidRPr="00264E74">
        <w:rPr>
          <w:rFonts w:asciiTheme="minorHAnsi" w:hAnsiTheme="minorHAnsi" w:cstheme="minorHAnsi"/>
          <w:sz w:val="22"/>
          <w:szCs w:val="22"/>
        </w:rPr>
        <w:t xml:space="preserve"> </w:t>
      </w:r>
      <w:r w:rsidR="00BE6CD2" w:rsidRPr="00264E74">
        <w:rPr>
          <w:rFonts w:asciiTheme="minorHAnsi" w:hAnsiTheme="minorHAnsi" w:cstheme="minorHAnsi"/>
          <w:sz w:val="22"/>
          <w:szCs w:val="22"/>
        </w:rPr>
        <w:t>through</w:t>
      </w:r>
      <w:r w:rsidR="0052470C" w:rsidRPr="00264E74">
        <w:rPr>
          <w:rFonts w:asciiTheme="minorHAnsi" w:hAnsiTheme="minorHAnsi" w:cstheme="minorHAnsi"/>
          <w:sz w:val="22"/>
          <w:szCs w:val="22"/>
        </w:rPr>
        <w:t xml:space="preserve"> training, onboarding, and ongoing mentoring</w:t>
      </w:r>
      <w:r w:rsidR="004E0FA6" w:rsidRPr="00264E74">
        <w:rPr>
          <w:rFonts w:asciiTheme="minorHAnsi" w:hAnsiTheme="minorHAnsi" w:cstheme="minorHAnsi"/>
          <w:sz w:val="22"/>
          <w:szCs w:val="22"/>
        </w:rPr>
        <w:t>.</w:t>
      </w:r>
    </w:p>
    <w:p w14:paraId="45FF9A80" w14:textId="2E579C86" w:rsidR="00076C92" w:rsidRPr="00264E74" w:rsidRDefault="00076C92" w:rsidP="00076C92">
      <w:pPr>
        <w:rPr>
          <w:rFonts w:asciiTheme="minorHAnsi" w:hAnsiTheme="minorHAnsi" w:cstheme="minorHAnsi"/>
          <w:sz w:val="22"/>
          <w:szCs w:val="22"/>
        </w:rPr>
      </w:pPr>
    </w:p>
    <w:p w14:paraId="4C91E6CF" w14:textId="0878E103" w:rsidR="0052470C" w:rsidRPr="00264E74" w:rsidRDefault="0052470C" w:rsidP="0052470C">
      <w:pPr>
        <w:rPr>
          <w:rFonts w:asciiTheme="minorHAnsi" w:hAnsiTheme="minorHAnsi" w:cstheme="minorHAnsi"/>
          <w:sz w:val="22"/>
          <w:szCs w:val="22"/>
          <w:u w:val="single"/>
        </w:rPr>
      </w:pPr>
      <w:r w:rsidRPr="00264E74">
        <w:rPr>
          <w:rFonts w:asciiTheme="minorHAnsi" w:hAnsiTheme="minorHAnsi" w:cstheme="minorHAnsi"/>
          <w:b/>
          <w:bCs/>
          <w:sz w:val="22"/>
          <w:szCs w:val="22"/>
          <w:u w:val="single"/>
        </w:rPr>
        <w:t>Key Strategies</w:t>
      </w:r>
      <w:r w:rsidRPr="00264E74">
        <w:rPr>
          <w:rFonts w:asciiTheme="minorHAnsi" w:hAnsiTheme="minorHAnsi" w:cstheme="minorHAnsi"/>
          <w:sz w:val="22"/>
          <w:szCs w:val="22"/>
          <w:u w:val="single"/>
        </w:rPr>
        <w:t>:</w:t>
      </w:r>
    </w:p>
    <w:p w14:paraId="6FDA0D9A" w14:textId="5F7D09B4" w:rsidR="0052470C" w:rsidRPr="00264E74" w:rsidRDefault="0052470C" w:rsidP="0052470C">
      <w:pPr>
        <w:pStyle w:val="ListParagraph"/>
        <w:numPr>
          <w:ilvl w:val="0"/>
          <w:numId w:val="29"/>
        </w:numPr>
        <w:rPr>
          <w:rFonts w:asciiTheme="minorHAnsi" w:hAnsiTheme="minorHAnsi" w:cstheme="minorHAnsi"/>
          <w:sz w:val="22"/>
          <w:szCs w:val="22"/>
        </w:rPr>
      </w:pPr>
      <w:r w:rsidRPr="006278B0">
        <w:rPr>
          <w:rFonts w:asciiTheme="minorHAnsi" w:hAnsiTheme="minorHAnsi" w:cstheme="minorHAnsi"/>
          <w:sz w:val="22"/>
          <w:szCs w:val="22"/>
        </w:rPr>
        <w:t>Stre</w:t>
      </w:r>
      <w:r w:rsidRPr="00264E74">
        <w:rPr>
          <w:rFonts w:asciiTheme="minorHAnsi" w:hAnsiTheme="minorHAnsi" w:cstheme="minorHAnsi"/>
          <w:sz w:val="22"/>
          <w:szCs w:val="22"/>
        </w:rPr>
        <w:t>amline access to opportunity for key groups including youth, indigenous, and retrenched workers</w:t>
      </w:r>
      <w:r w:rsidR="00517394" w:rsidRPr="00264E74">
        <w:rPr>
          <w:rFonts w:asciiTheme="minorHAnsi" w:hAnsiTheme="minorHAnsi" w:cstheme="minorHAnsi"/>
          <w:sz w:val="22"/>
          <w:szCs w:val="22"/>
        </w:rPr>
        <w:t>.</w:t>
      </w:r>
      <w:r w:rsidRPr="00264E74">
        <w:rPr>
          <w:rFonts w:asciiTheme="minorHAnsi" w:hAnsiTheme="minorHAnsi" w:cstheme="minorHAnsi"/>
          <w:sz w:val="22"/>
          <w:szCs w:val="22"/>
        </w:rPr>
        <w:t xml:space="preserve"> </w:t>
      </w:r>
    </w:p>
    <w:p w14:paraId="1B48D17F" w14:textId="3F1D3B69" w:rsidR="0052470C" w:rsidRPr="00264E74" w:rsidRDefault="0052470C" w:rsidP="0052470C">
      <w:pPr>
        <w:pStyle w:val="ListParagraph"/>
        <w:numPr>
          <w:ilvl w:val="0"/>
          <w:numId w:val="29"/>
        </w:numPr>
        <w:rPr>
          <w:rFonts w:asciiTheme="minorHAnsi" w:hAnsiTheme="minorHAnsi" w:cstheme="minorHAnsi"/>
          <w:sz w:val="22"/>
          <w:szCs w:val="22"/>
        </w:rPr>
      </w:pPr>
      <w:r w:rsidRPr="00264E74">
        <w:rPr>
          <w:rFonts w:asciiTheme="minorHAnsi" w:hAnsiTheme="minorHAnsi" w:cstheme="minorHAnsi"/>
          <w:sz w:val="22"/>
          <w:szCs w:val="22"/>
        </w:rPr>
        <w:t>Build collaborative employment and training solutions which fit Local Government’s Destination Management and Economic Development strategies</w:t>
      </w:r>
      <w:r w:rsidR="00517394" w:rsidRPr="00264E74">
        <w:rPr>
          <w:rFonts w:asciiTheme="minorHAnsi" w:hAnsiTheme="minorHAnsi" w:cstheme="minorHAnsi"/>
          <w:sz w:val="22"/>
          <w:szCs w:val="22"/>
        </w:rPr>
        <w:t>.</w:t>
      </w:r>
    </w:p>
    <w:p w14:paraId="5399B50D" w14:textId="5AEA2112" w:rsidR="0052470C" w:rsidRPr="00264E74" w:rsidRDefault="0052470C" w:rsidP="0052470C">
      <w:pPr>
        <w:pStyle w:val="ListParagraph"/>
        <w:numPr>
          <w:ilvl w:val="0"/>
          <w:numId w:val="29"/>
        </w:numPr>
        <w:rPr>
          <w:rFonts w:asciiTheme="minorHAnsi" w:hAnsiTheme="minorHAnsi" w:cstheme="minorHAnsi"/>
          <w:sz w:val="22"/>
          <w:szCs w:val="22"/>
        </w:rPr>
      </w:pPr>
      <w:r w:rsidRPr="00264E74">
        <w:rPr>
          <w:rFonts w:asciiTheme="minorHAnsi" w:hAnsiTheme="minorHAnsi" w:cstheme="minorHAnsi"/>
          <w:sz w:val="22"/>
          <w:szCs w:val="22"/>
        </w:rPr>
        <w:t>Develop projects which address attraction and retention issues with input from both industry, and employment service providers</w:t>
      </w:r>
      <w:r w:rsidR="00517394" w:rsidRPr="00264E74">
        <w:rPr>
          <w:rFonts w:asciiTheme="minorHAnsi" w:hAnsiTheme="minorHAnsi" w:cstheme="minorHAnsi"/>
          <w:sz w:val="22"/>
          <w:szCs w:val="22"/>
        </w:rPr>
        <w:t>.</w:t>
      </w:r>
    </w:p>
    <w:p w14:paraId="4AC38B3D" w14:textId="17D1B7A9" w:rsidR="0052470C" w:rsidRPr="00264E74" w:rsidRDefault="0052470C" w:rsidP="0052470C">
      <w:pPr>
        <w:pStyle w:val="ListParagraph"/>
        <w:numPr>
          <w:ilvl w:val="0"/>
          <w:numId w:val="29"/>
        </w:numPr>
        <w:rPr>
          <w:rFonts w:asciiTheme="minorHAnsi" w:hAnsiTheme="minorHAnsi" w:cstheme="minorHAnsi"/>
          <w:sz w:val="22"/>
          <w:szCs w:val="22"/>
        </w:rPr>
      </w:pPr>
      <w:r w:rsidRPr="00264E74">
        <w:rPr>
          <w:rFonts w:asciiTheme="minorHAnsi" w:hAnsiTheme="minorHAnsi" w:cstheme="minorHAnsi"/>
          <w:sz w:val="22"/>
          <w:szCs w:val="22"/>
        </w:rPr>
        <w:t xml:space="preserve">Build awareness </w:t>
      </w:r>
      <w:r w:rsidR="006278B0">
        <w:rPr>
          <w:rFonts w:asciiTheme="minorHAnsi" w:hAnsiTheme="minorHAnsi" w:cstheme="minorHAnsi"/>
          <w:sz w:val="22"/>
          <w:szCs w:val="22"/>
        </w:rPr>
        <w:t>and</w:t>
      </w:r>
      <w:r w:rsidRPr="00264E74">
        <w:rPr>
          <w:rFonts w:asciiTheme="minorHAnsi" w:hAnsiTheme="minorHAnsi" w:cstheme="minorHAnsi"/>
          <w:sz w:val="22"/>
          <w:szCs w:val="22"/>
        </w:rPr>
        <w:t xml:space="preserve"> attraction campaigns around long-term career pathways within the industry</w:t>
      </w:r>
      <w:r w:rsidR="00517394" w:rsidRPr="00264E74">
        <w:rPr>
          <w:rFonts w:asciiTheme="minorHAnsi" w:hAnsiTheme="minorHAnsi" w:cstheme="minorHAnsi"/>
          <w:sz w:val="22"/>
          <w:szCs w:val="22"/>
        </w:rPr>
        <w:t>.</w:t>
      </w:r>
    </w:p>
    <w:p w14:paraId="7CCB3053" w14:textId="637F9AD2" w:rsidR="0052470C" w:rsidRPr="00264E74" w:rsidRDefault="0052470C" w:rsidP="0052470C">
      <w:pPr>
        <w:pStyle w:val="ListParagraph"/>
        <w:numPr>
          <w:ilvl w:val="0"/>
          <w:numId w:val="29"/>
        </w:numPr>
        <w:rPr>
          <w:rFonts w:asciiTheme="minorHAnsi" w:hAnsiTheme="minorHAnsi" w:cstheme="minorHAnsi"/>
          <w:sz w:val="22"/>
          <w:szCs w:val="22"/>
        </w:rPr>
      </w:pPr>
      <w:r w:rsidRPr="00264E74">
        <w:rPr>
          <w:rFonts w:asciiTheme="minorHAnsi" w:hAnsiTheme="minorHAnsi" w:cstheme="minorHAnsi"/>
          <w:sz w:val="22"/>
          <w:szCs w:val="22"/>
        </w:rPr>
        <w:t xml:space="preserve">Leverage existing funding and initiatives across the Region including Skilling for Recovery, </w:t>
      </w:r>
      <w:r w:rsidR="006278B0">
        <w:rPr>
          <w:rFonts w:asciiTheme="minorHAnsi" w:hAnsiTheme="minorHAnsi" w:cstheme="minorHAnsi"/>
          <w:sz w:val="22"/>
          <w:szCs w:val="22"/>
        </w:rPr>
        <w:t>and</w:t>
      </w:r>
      <w:r w:rsidRPr="00264E74">
        <w:rPr>
          <w:rFonts w:asciiTheme="minorHAnsi" w:hAnsiTheme="minorHAnsi" w:cstheme="minorHAnsi"/>
          <w:sz w:val="22"/>
          <w:szCs w:val="22"/>
        </w:rPr>
        <w:t xml:space="preserve"> Destination Australia Program.</w:t>
      </w:r>
    </w:p>
    <w:p w14:paraId="5212BBD9" w14:textId="31634E9F" w:rsidR="0052470C" w:rsidRPr="00264E74" w:rsidRDefault="0052470C" w:rsidP="0052470C">
      <w:pPr>
        <w:pStyle w:val="ListParagraph"/>
        <w:numPr>
          <w:ilvl w:val="0"/>
          <w:numId w:val="29"/>
        </w:numPr>
        <w:rPr>
          <w:rFonts w:asciiTheme="minorHAnsi" w:hAnsiTheme="minorHAnsi" w:cstheme="minorHAnsi"/>
          <w:sz w:val="22"/>
          <w:szCs w:val="22"/>
        </w:rPr>
      </w:pPr>
      <w:r w:rsidRPr="00264E74">
        <w:rPr>
          <w:rFonts w:asciiTheme="minorHAnsi" w:hAnsiTheme="minorHAnsi" w:cstheme="minorHAnsi"/>
          <w:sz w:val="22"/>
          <w:szCs w:val="22"/>
        </w:rPr>
        <w:t xml:space="preserve">Utilise existing working groups and industry groups to minimise duplication but provide specific focus to workforce development industry activity through the Hospitality </w:t>
      </w:r>
      <w:r w:rsidR="006278B0">
        <w:rPr>
          <w:rFonts w:asciiTheme="minorHAnsi" w:hAnsiTheme="minorHAnsi" w:cstheme="minorHAnsi"/>
          <w:sz w:val="22"/>
          <w:szCs w:val="22"/>
        </w:rPr>
        <w:t>and</w:t>
      </w:r>
      <w:r w:rsidRPr="00264E74">
        <w:rPr>
          <w:rFonts w:asciiTheme="minorHAnsi" w:hAnsiTheme="minorHAnsi" w:cstheme="minorHAnsi"/>
          <w:sz w:val="22"/>
          <w:szCs w:val="22"/>
        </w:rPr>
        <w:t xml:space="preserve"> Tourism LJP Working Group. Inc; Newcastle Tourism Industry Group, Skills IQ NSW ITAB, Hunter Valley Wine and Tourism Association</w:t>
      </w:r>
      <w:r w:rsidR="00517394" w:rsidRPr="00264E74">
        <w:rPr>
          <w:rFonts w:asciiTheme="minorHAnsi" w:hAnsiTheme="minorHAnsi" w:cstheme="minorHAnsi"/>
          <w:sz w:val="22"/>
          <w:szCs w:val="22"/>
        </w:rPr>
        <w:t>.</w:t>
      </w:r>
    </w:p>
    <w:p w14:paraId="339F19A5" w14:textId="3100F314" w:rsidR="00817BDA" w:rsidRDefault="00817BDA" w:rsidP="00817BDA"/>
    <w:p w14:paraId="310DE83F" w14:textId="3BD87642" w:rsidR="00076C92" w:rsidRPr="00264E74" w:rsidRDefault="00076C92" w:rsidP="00076C92">
      <w:pPr>
        <w:pStyle w:val="Heading2"/>
        <w:rPr>
          <w:rFonts w:asciiTheme="minorHAnsi" w:hAnsiTheme="minorHAnsi" w:cstheme="minorHAnsi"/>
          <w:sz w:val="22"/>
          <w:szCs w:val="22"/>
        </w:rPr>
      </w:pPr>
      <w:bookmarkStart w:id="65" w:name="_Toc81405364"/>
      <w:r w:rsidRPr="00264E74">
        <w:rPr>
          <w:rFonts w:asciiTheme="minorHAnsi" w:hAnsiTheme="minorHAnsi" w:cstheme="minorHAnsi"/>
          <w:sz w:val="22"/>
          <w:szCs w:val="22"/>
        </w:rPr>
        <w:t>Priority Three: Manufacturing and Construction</w:t>
      </w:r>
      <w:bookmarkEnd w:id="65"/>
      <w:r w:rsidRPr="00264E74">
        <w:rPr>
          <w:rFonts w:asciiTheme="minorHAnsi" w:hAnsiTheme="minorHAnsi" w:cstheme="minorHAnsi"/>
          <w:sz w:val="22"/>
          <w:szCs w:val="22"/>
        </w:rPr>
        <w:t xml:space="preserve"> </w:t>
      </w:r>
    </w:p>
    <w:p w14:paraId="7A3DA6E7" w14:textId="77777777" w:rsidR="00954A62" w:rsidRPr="00264E74" w:rsidRDefault="00954A62" w:rsidP="00954A62">
      <w:pPr>
        <w:rPr>
          <w:rFonts w:asciiTheme="minorHAnsi" w:hAnsiTheme="minorHAnsi" w:cstheme="minorHAnsi"/>
          <w:sz w:val="22"/>
          <w:szCs w:val="22"/>
        </w:rPr>
      </w:pPr>
    </w:p>
    <w:p w14:paraId="64A36A01" w14:textId="77777777" w:rsidR="0052470C" w:rsidRPr="00264E74" w:rsidRDefault="0052470C" w:rsidP="0052470C">
      <w:pPr>
        <w:rPr>
          <w:rFonts w:asciiTheme="minorHAnsi" w:hAnsiTheme="minorHAnsi" w:cstheme="minorHAnsi"/>
          <w:b/>
          <w:bCs/>
          <w:sz w:val="22"/>
          <w:szCs w:val="22"/>
        </w:rPr>
      </w:pPr>
      <w:r w:rsidRPr="00264E74">
        <w:rPr>
          <w:rFonts w:asciiTheme="minorHAnsi" w:hAnsiTheme="minorHAnsi" w:cstheme="minorHAnsi"/>
          <w:b/>
          <w:bCs/>
          <w:sz w:val="22"/>
          <w:szCs w:val="22"/>
        </w:rPr>
        <w:t xml:space="preserve">Address growing workforce demand and current skills-gap across manufacturing and construction with consideration to emerging skill sets and roles within advanced manufacturing environments across the Hunter. Specific focus required on key areas where additional barriers around transport, and accessibility </w:t>
      </w:r>
      <w:proofErr w:type="gramStart"/>
      <w:r w:rsidRPr="00264E74">
        <w:rPr>
          <w:rFonts w:asciiTheme="minorHAnsi" w:hAnsiTheme="minorHAnsi" w:cstheme="minorHAnsi"/>
          <w:b/>
          <w:bCs/>
          <w:sz w:val="22"/>
          <w:szCs w:val="22"/>
        </w:rPr>
        <w:t>e.g.</w:t>
      </w:r>
      <w:proofErr w:type="gramEnd"/>
      <w:r w:rsidRPr="00264E74">
        <w:rPr>
          <w:rFonts w:asciiTheme="minorHAnsi" w:hAnsiTheme="minorHAnsi" w:cstheme="minorHAnsi"/>
          <w:b/>
          <w:bCs/>
          <w:sz w:val="22"/>
          <w:szCs w:val="22"/>
        </w:rPr>
        <w:t xml:space="preserve"> High-level clearance requirements. </w:t>
      </w:r>
    </w:p>
    <w:p w14:paraId="7D93878F" w14:textId="77777777" w:rsidR="00076C92" w:rsidRPr="00264E74" w:rsidRDefault="00076C92" w:rsidP="00076C92">
      <w:pPr>
        <w:rPr>
          <w:rFonts w:asciiTheme="minorHAnsi" w:hAnsiTheme="minorHAnsi" w:cstheme="minorHAnsi"/>
          <w:sz w:val="22"/>
          <w:szCs w:val="22"/>
        </w:rPr>
      </w:pPr>
    </w:p>
    <w:p w14:paraId="1FC46E84" w14:textId="46821BF2" w:rsidR="00076C92" w:rsidRPr="00264E74" w:rsidRDefault="00076C92" w:rsidP="00076C92">
      <w:pPr>
        <w:rPr>
          <w:rFonts w:asciiTheme="minorHAnsi" w:hAnsiTheme="minorHAnsi" w:cstheme="minorHAnsi"/>
          <w:sz w:val="22"/>
          <w:szCs w:val="22"/>
        </w:rPr>
      </w:pPr>
      <w:r w:rsidRPr="00264E74">
        <w:rPr>
          <w:rFonts w:asciiTheme="minorHAnsi" w:hAnsiTheme="minorHAnsi" w:cstheme="minorHAnsi"/>
          <w:sz w:val="22"/>
          <w:szCs w:val="22"/>
        </w:rPr>
        <w:lastRenderedPageBreak/>
        <w:t xml:space="preserve">As </w:t>
      </w:r>
      <w:r w:rsidR="003346AD" w:rsidRPr="00264E74">
        <w:rPr>
          <w:rFonts w:asciiTheme="minorHAnsi" w:hAnsiTheme="minorHAnsi" w:cstheme="minorHAnsi"/>
          <w:sz w:val="22"/>
          <w:szCs w:val="22"/>
        </w:rPr>
        <w:t>large-scale</w:t>
      </w:r>
      <w:r w:rsidRPr="00264E74">
        <w:rPr>
          <w:rFonts w:asciiTheme="minorHAnsi" w:hAnsiTheme="minorHAnsi" w:cstheme="minorHAnsi"/>
          <w:sz w:val="22"/>
          <w:szCs w:val="22"/>
        </w:rPr>
        <w:t xml:space="preserve"> infrastructure projects are taking place in </w:t>
      </w:r>
      <w:r w:rsidR="00E84566" w:rsidRPr="00264E74">
        <w:rPr>
          <w:rFonts w:asciiTheme="minorHAnsi" w:hAnsiTheme="minorHAnsi" w:cstheme="minorHAnsi"/>
          <w:sz w:val="22"/>
          <w:szCs w:val="22"/>
        </w:rPr>
        <w:t>the</w:t>
      </w:r>
      <w:r w:rsidRPr="00264E74">
        <w:rPr>
          <w:rFonts w:asciiTheme="minorHAnsi" w:hAnsiTheme="minorHAnsi" w:cstheme="minorHAnsi"/>
          <w:sz w:val="22"/>
          <w:szCs w:val="22"/>
        </w:rPr>
        <w:t xml:space="preserve"> region, the ability to sustain a local workforce within the construction industry</w:t>
      </w:r>
      <w:r w:rsidR="00E84566" w:rsidRPr="00264E74">
        <w:rPr>
          <w:rFonts w:asciiTheme="minorHAnsi" w:hAnsiTheme="minorHAnsi" w:cstheme="minorHAnsi"/>
          <w:sz w:val="22"/>
          <w:szCs w:val="22"/>
        </w:rPr>
        <w:t xml:space="preserve"> has been a friction point. This has </w:t>
      </w:r>
      <w:r w:rsidRPr="00264E74">
        <w:rPr>
          <w:rFonts w:asciiTheme="minorHAnsi" w:hAnsiTheme="minorHAnsi" w:cstheme="minorHAnsi"/>
          <w:sz w:val="22"/>
          <w:szCs w:val="22"/>
        </w:rPr>
        <w:t>result</w:t>
      </w:r>
      <w:r w:rsidR="00E84566" w:rsidRPr="00264E74">
        <w:rPr>
          <w:rFonts w:asciiTheme="minorHAnsi" w:hAnsiTheme="minorHAnsi" w:cstheme="minorHAnsi"/>
          <w:sz w:val="22"/>
          <w:szCs w:val="22"/>
        </w:rPr>
        <w:t>ed</w:t>
      </w:r>
      <w:r w:rsidRPr="00264E74">
        <w:rPr>
          <w:rFonts w:asciiTheme="minorHAnsi" w:hAnsiTheme="minorHAnsi" w:cstheme="minorHAnsi"/>
          <w:sz w:val="22"/>
          <w:szCs w:val="22"/>
        </w:rPr>
        <w:t xml:space="preserve"> in</w:t>
      </w:r>
      <w:r w:rsidR="00E84566" w:rsidRPr="00264E74">
        <w:rPr>
          <w:rFonts w:asciiTheme="minorHAnsi" w:hAnsiTheme="minorHAnsi" w:cstheme="minorHAnsi"/>
          <w:sz w:val="22"/>
          <w:szCs w:val="22"/>
        </w:rPr>
        <w:t xml:space="preserve"> the </w:t>
      </w:r>
      <w:proofErr w:type="gramStart"/>
      <w:r w:rsidR="00E84566" w:rsidRPr="00264E74">
        <w:rPr>
          <w:rFonts w:asciiTheme="minorHAnsi" w:hAnsiTheme="minorHAnsi" w:cstheme="minorHAnsi"/>
          <w:sz w:val="22"/>
          <w:szCs w:val="22"/>
        </w:rPr>
        <w:t>increase</w:t>
      </w:r>
      <w:proofErr w:type="gramEnd"/>
      <w:r w:rsidR="00E84566" w:rsidRPr="00264E74">
        <w:rPr>
          <w:rFonts w:asciiTheme="minorHAnsi" w:hAnsiTheme="minorHAnsi" w:cstheme="minorHAnsi"/>
          <w:sz w:val="22"/>
          <w:szCs w:val="22"/>
        </w:rPr>
        <w:t xml:space="preserve"> use of </w:t>
      </w:r>
      <w:r w:rsidRPr="00264E74">
        <w:rPr>
          <w:rFonts w:asciiTheme="minorHAnsi" w:hAnsiTheme="minorHAnsi" w:cstheme="minorHAnsi"/>
          <w:sz w:val="22"/>
          <w:szCs w:val="22"/>
        </w:rPr>
        <w:t>sub-contractors to ensure timelines are met.</w:t>
      </w:r>
    </w:p>
    <w:p w14:paraId="4DD07147" w14:textId="1B209B8D" w:rsidR="00076C92" w:rsidRPr="00264E74" w:rsidRDefault="00076C92" w:rsidP="00076C92">
      <w:pPr>
        <w:rPr>
          <w:rFonts w:asciiTheme="minorHAnsi" w:hAnsiTheme="minorHAnsi" w:cstheme="minorHAnsi"/>
          <w:sz w:val="22"/>
          <w:szCs w:val="22"/>
        </w:rPr>
      </w:pPr>
    </w:p>
    <w:p w14:paraId="4CFC37A1" w14:textId="256810CD" w:rsidR="0052470C" w:rsidRPr="00264E74" w:rsidRDefault="0052470C" w:rsidP="00076C92">
      <w:pPr>
        <w:rPr>
          <w:rFonts w:asciiTheme="minorHAnsi" w:hAnsiTheme="minorHAnsi" w:cstheme="minorHAnsi"/>
          <w:sz w:val="22"/>
          <w:szCs w:val="22"/>
          <w:u w:val="single"/>
        </w:rPr>
      </w:pPr>
      <w:r w:rsidRPr="00264E74">
        <w:rPr>
          <w:rFonts w:asciiTheme="minorHAnsi" w:hAnsiTheme="minorHAnsi" w:cstheme="minorHAnsi"/>
          <w:b/>
          <w:bCs/>
          <w:sz w:val="22"/>
          <w:szCs w:val="22"/>
          <w:u w:val="single"/>
        </w:rPr>
        <w:t>Key Strategies</w:t>
      </w:r>
      <w:r w:rsidRPr="00264E74">
        <w:rPr>
          <w:rFonts w:asciiTheme="minorHAnsi" w:hAnsiTheme="minorHAnsi" w:cstheme="minorHAnsi"/>
          <w:sz w:val="22"/>
          <w:szCs w:val="22"/>
          <w:u w:val="single"/>
        </w:rPr>
        <w:t xml:space="preserve">: </w:t>
      </w:r>
    </w:p>
    <w:p w14:paraId="6A246769" w14:textId="77777777" w:rsidR="0052470C" w:rsidRPr="00264E74" w:rsidRDefault="0052470C" w:rsidP="0052470C">
      <w:pPr>
        <w:pStyle w:val="ListParagraph"/>
        <w:numPr>
          <w:ilvl w:val="0"/>
          <w:numId w:val="24"/>
        </w:numPr>
        <w:rPr>
          <w:rFonts w:asciiTheme="minorHAnsi" w:hAnsiTheme="minorHAnsi" w:cstheme="minorHAnsi"/>
          <w:sz w:val="22"/>
          <w:szCs w:val="22"/>
        </w:rPr>
      </w:pPr>
      <w:r w:rsidRPr="00264E74">
        <w:rPr>
          <w:rFonts w:asciiTheme="minorHAnsi" w:hAnsiTheme="minorHAnsi" w:cstheme="minorHAnsi"/>
          <w:sz w:val="22"/>
          <w:szCs w:val="22"/>
        </w:rPr>
        <w:t>Collaborate with industry to build clear pathways into manufacturing and construction.</w:t>
      </w:r>
    </w:p>
    <w:p w14:paraId="11A026E7" w14:textId="49CBE58E" w:rsidR="0052470C" w:rsidRPr="00264E74" w:rsidRDefault="0052470C" w:rsidP="0052470C">
      <w:pPr>
        <w:pStyle w:val="ListParagraph"/>
        <w:numPr>
          <w:ilvl w:val="0"/>
          <w:numId w:val="24"/>
        </w:numPr>
        <w:rPr>
          <w:rFonts w:asciiTheme="minorHAnsi" w:hAnsiTheme="minorHAnsi" w:cstheme="minorHAnsi"/>
          <w:sz w:val="22"/>
          <w:szCs w:val="22"/>
        </w:rPr>
      </w:pPr>
      <w:r w:rsidRPr="00264E74">
        <w:rPr>
          <w:rFonts w:asciiTheme="minorHAnsi" w:hAnsiTheme="minorHAnsi" w:cstheme="minorHAnsi"/>
          <w:sz w:val="22"/>
          <w:szCs w:val="22"/>
        </w:rPr>
        <w:t xml:space="preserve">Build awareness campaign around long-term career opportunities within manufacturing and construction including </w:t>
      </w:r>
      <w:r w:rsidR="00183C6A">
        <w:rPr>
          <w:rFonts w:asciiTheme="minorHAnsi" w:hAnsiTheme="minorHAnsi" w:cstheme="minorHAnsi"/>
          <w:sz w:val="22"/>
          <w:szCs w:val="22"/>
        </w:rPr>
        <w:t>starting new businesses</w:t>
      </w:r>
      <w:r w:rsidR="00517394" w:rsidRPr="00264E74">
        <w:rPr>
          <w:rFonts w:asciiTheme="minorHAnsi" w:hAnsiTheme="minorHAnsi" w:cstheme="minorHAnsi"/>
          <w:sz w:val="22"/>
          <w:szCs w:val="22"/>
        </w:rPr>
        <w:t>.</w:t>
      </w:r>
    </w:p>
    <w:p w14:paraId="480113C8" w14:textId="44351968" w:rsidR="0052470C" w:rsidRPr="00264E74" w:rsidRDefault="0052470C" w:rsidP="0052470C">
      <w:pPr>
        <w:pStyle w:val="ListParagraph"/>
        <w:numPr>
          <w:ilvl w:val="0"/>
          <w:numId w:val="24"/>
        </w:numPr>
        <w:rPr>
          <w:rFonts w:asciiTheme="minorHAnsi" w:hAnsiTheme="minorHAnsi" w:cstheme="minorHAnsi"/>
          <w:sz w:val="22"/>
          <w:szCs w:val="22"/>
        </w:rPr>
      </w:pPr>
      <w:r w:rsidRPr="00264E74">
        <w:rPr>
          <w:rFonts w:asciiTheme="minorHAnsi" w:hAnsiTheme="minorHAnsi" w:cstheme="minorHAnsi"/>
          <w:sz w:val="22"/>
          <w:szCs w:val="22"/>
        </w:rPr>
        <w:t>Work with employers to create streamlined access to programs and projects that provide a direct filter to employment</w:t>
      </w:r>
      <w:r w:rsidR="00517394" w:rsidRPr="00264E74">
        <w:rPr>
          <w:rFonts w:asciiTheme="minorHAnsi" w:hAnsiTheme="minorHAnsi" w:cstheme="minorHAnsi"/>
          <w:sz w:val="22"/>
          <w:szCs w:val="22"/>
        </w:rPr>
        <w:t>.</w:t>
      </w:r>
    </w:p>
    <w:p w14:paraId="6C603820" w14:textId="5B4634A1" w:rsidR="0052470C" w:rsidRPr="00264E74" w:rsidRDefault="0052470C" w:rsidP="0052470C">
      <w:pPr>
        <w:pStyle w:val="ListParagraph"/>
        <w:numPr>
          <w:ilvl w:val="0"/>
          <w:numId w:val="24"/>
        </w:numPr>
        <w:rPr>
          <w:rFonts w:asciiTheme="minorHAnsi" w:hAnsiTheme="minorHAnsi" w:cstheme="minorHAnsi"/>
          <w:sz w:val="22"/>
          <w:szCs w:val="22"/>
        </w:rPr>
      </w:pPr>
      <w:r w:rsidRPr="00264E74">
        <w:rPr>
          <w:rFonts w:asciiTheme="minorHAnsi" w:hAnsiTheme="minorHAnsi" w:cstheme="minorHAnsi"/>
          <w:sz w:val="22"/>
          <w:szCs w:val="22"/>
        </w:rPr>
        <w:t xml:space="preserve">Work with industry to ensure training meets future workforce demand, specifically in a proactive way </w:t>
      </w:r>
      <w:r w:rsidR="001707E6">
        <w:rPr>
          <w:rFonts w:asciiTheme="minorHAnsi" w:hAnsiTheme="minorHAnsi" w:cstheme="minorHAnsi"/>
          <w:sz w:val="22"/>
          <w:szCs w:val="22"/>
        </w:rPr>
        <w:t>for</w:t>
      </w:r>
      <w:r w:rsidRPr="00264E74">
        <w:rPr>
          <w:rFonts w:asciiTheme="minorHAnsi" w:hAnsiTheme="minorHAnsi" w:cstheme="minorHAnsi"/>
          <w:sz w:val="22"/>
          <w:szCs w:val="22"/>
        </w:rPr>
        <w:t xml:space="preserve"> large scale projects to ensure workforce is available locally at each interval</w:t>
      </w:r>
      <w:r w:rsidR="00517394" w:rsidRPr="00264E74">
        <w:rPr>
          <w:rFonts w:asciiTheme="minorHAnsi" w:hAnsiTheme="minorHAnsi" w:cstheme="minorHAnsi"/>
          <w:sz w:val="22"/>
          <w:szCs w:val="22"/>
        </w:rPr>
        <w:t>.</w:t>
      </w:r>
    </w:p>
    <w:p w14:paraId="3C359E46" w14:textId="43A4DA75" w:rsidR="0052470C" w:rsidRPr="00264E74" w:rsidRDefault="0052470C" w:rsidP="0052470C">
      <w:pPr>
        <w:pStyle w:val="ListParagraph"/>
        <w:numPr>
          <w:ilvl w:val="0"/>
          <w:numId w:val="24"/>
        </w:numPr>
        <w:rPr>
          <w:rFonts w:asciiTheme="minorHAnsi" w:hAnsiTheme="minorHAnsi" w:cstheme="minorHAnsi"/>
          <w:sz w:val="22"/>
          <w:szCs w:val="22"/>
        </w:rPr>
      </w:pPr>
      <w:r w:rsidRPr="00264E74">
        <w:rPr>
          <w:rFonts w:asciiTheme="minorHAnsi" w:hAnsiTheme="minorHAnsi" w:cstheme="minorHAnsi"/>
          <w:sz w:val="22"/>
          <w:szCs w:val="22"/>
        </w:rPr>
        <w:t>Provide</w:t>
      </w:r>
      <w:r w:rsidR="001707E6">
        <w:rPr>
          <w:rFonts w:asciiTheme="minorHAnsi" w:hAnsiTheme="minorHAnsi" w:cstheme="minorHAnsi"/>
          <w:sz w:val="22"/>
          <w:szCs w:val="22"/>
        </w:rPr>
        <w:t xml:space="preserve"> a</w:t>
      </w:r>
      <w:r w:rsidRPr="00264E74">
        <w:rPr>
          <w:rFonts w:asciiTheme="minorHAnsi" w:hAnsiTheme="minorHAnsi" w:cstheme="minorHAnsi"/>
          <w:sz w:val="22"/>
          <w:szCs w:val="22"/>
        </w:rPr>
        <w:t xml:space="preserve"> </w:t>
      </w:r>
      <w:r w:rsidR="00107020" w:rsidRPr="00264E74">
        <w:rPr>
          <w:rFonts w:asciiTheme="minorHAnsi" w:hAnsiTheme="minorHAnsi" w:cstheme="minorHAnsi"/>
          <w:sz w:val="22"/>
          <w:szCs w:val="22"/>
        </w:rPr>
        <w:t xml:space="preserve">proactive approach to training and ticketing </w:t>
      </w:r>
      <w:r w:rsidR="00517394" w:rsidRPr="00264E74">
        <w:rPr>
          <w:rFonts w:asciiTheme="minorHAnsi" w:hAnsiTheme="minorHAnsi" w:cstheme="minorHAnsi"/>
          <w:sz w:val="22"/>
          <w:szCs w:val="22"/>
        </w:rPr>
        <w:t>job seeker</w:t>
      </w:r>
      <w:r w:rsidR="00107020" w:rsidRPr="00264E74">
        <w:rPr>
          <w:rFonts w:asciiTheme="minorHAnsi" w:hAnsiTheme="minorHAnsi" w:cstheme="minorHAnsi"/>
          <w:sz w:val="22"/>
          <w:szCs w:val="22"/>
        </w:rPr>
        <w:t xml:space="preserve">s in collaboration with Training Services NSW to ensure suitably skilled pools of candidates are available to meet workforce demand on infrastructure projects </w:t>
      </w:r>
      <w:r w:rsidR="003346AD" w:rsidRPr="00264E74">
        <w:rPr>
          <w:rFonts w:asciiTheme="minorHAnsi" w:hAnsiTheme="minorHAnsi" w:cstheme="minorHAnsi"/>
          <w:sz w:val="22"/>
          <w:szCs w:val="22"/>
        </w:rPr>
        <w:t>including</w:t>
      </w:r>
      <w:r w:rsidR="00107020" w:rsidRPr="00264E74">
        <w:rPr>
          <w:rFonts w:asciiTheme="minorHAnsi" w:hAnsiTheme="minorHAnsi" w:cstheme="minorHAnsi"/>
          <w:sz w:val="22"/>
          <w:szCs w:val="22"/>
        </w:rPr>
        <w:t xml:space="preserve"> Newcastle Airport Code E Upgrade, Kurri Kurri Gas Fired Power Station, John Hunter Health and Innovation Precinct, Maitland Council Administration Building, </w:t>
      </w:r>
      <w:r w:rsidR="00EA3D21">
        <w:rPr>
          <w:rFonts w:asciiTheme="minorHAnsi" w:hAnsiTheme="minorHAnsi" w:cstheme="minorHAnsi"/>
          <w:sz w:val="22"/>
          <w:szCs w:val="22"/>
        </w:rPr>
        <w:t>and</w:t>
      </w:r>
      <w:r w:rsidR="00107020" w:rsidRPr="00264E74">
        <w:rPr>
          <w:rFonts w:asciiTheme="minorHAnsi" w:hAnsiTheme="minorHAnsi" w:cstheme="minorHAnsi"/>
          <w:sz w:val="22"/>
          <w:szCs w:val="22"/>
        </w:rPr>
        <w:t xml:space="preserve"> Astra </w:t>
      </w:r>
      <w:proofErr w:type="spellStart"/>
      <w:r w:rsidR="00107020" w:rsidRPr="00264E74">
        <w:rPr>
          <w:rFonts w:asciiTheme="minorHAnsi" w:hAnsiTheme="minorHAnsi" w:cstheme="minorHAnsi"/>
          <w:sz w:val="22"/>
          <w:szCs w:val="22"/>
        </w:rPr>
        <w:t>Aerolab</w:t>
      </w:r>
      <w:proofErr w:type="spellEnd"/>
      <w:r w:rsidR="00107020" w:rsidRPr="00264E74">
        <w:rPr>
          <w:rFonts w:asciiTheme="minorHAnsi" w:hAnsiTheme="minorHAnsi" w:cstheme="minorHAnsi"/>
          <w:sz w:val="22"/>
          <w:szCs w:val="22"/>
        </w:rPr>
        <w:t xml:space="preserve"> </w:t>
      </w:r>
      <w:r w:rsidR="00EA3D21">
        <w:rPr>
          <w:rFonts w:asciiTheme="minorHAnsi" w:hAnsiTheme="minorHAnsi" w:cstheme="minorHAnsi"/>
          <w:sz w:val="22"/>
          <w:szCs w:val="22"/>
        </w:rPr>
        <w:t>and</w:t>
      </w:r>
      <w:r w:rsidR="00107020" w:rsidRPr="00264E74">
        <w:rPr>
          <w:rFonts w:asciiTheme="minorHAnsi" w:hAnsiTheme="minorHAnsi" w:cstheme="minorHAnsi"/>
          <w:sz w:val="22"/>
          <w:szCs w:val="22"/>
        </w:rPr>
        <w:t xml:space="preserve"> Defence Williamtown Special Activation Precinct</w:t>
      </w:r>
      <w:r w:rsidR="00517394" w:rsidRPr="00264E74">
        <w:rPr>
          <w:rFonts w:asciiTheme="minorHAnsi" w:hAnsiTheme="minorHAnsi" w:cstheme="minorHAnsi"/>
          <w:sz w:val="22"/>
          <w:szCs w:val="22"/>
        </w:rPr>
        <w:t>.</w:t>
      </w:r>
    </w:p>
    <w:p w14:paraId="62D01C8B" w14:textId="3064619E" w:rsidR="00107020" w:rsidRPr="00264E74" w:rsidRDefault="00107020" w:rsidP="0052470C">
      <w:pPr>
        <w:pStyle w:val="ListParagraph"/>
        <w:numPr>
          <w:ilvl w:val="0"/>
          <w:numId w:val="24"/>
        </w:numPr>
        <w:rPr>
          <w:rFonts w:asciiTheme="minorHAnsi" w:hAnsiTheme="minorHAnsi" w:cstheme="minorHAnsi"/>
          <w:sz w:val="22"/>
          <w:szCs w:val="22"/>
        </w:rPr>
      </w:pPr>
      <w:r w:rsidRPr="00264E74">
        <w:rPr>
          <w:rFonts w:asciiTheme="minorHAnsi" w:hAnsiTheme="minorHAnsi" w:cstheme="minorHAnsi"/>
          <w:sz w:val="22"/>
          <w:szCs w:val="22"/>
        </w:rPr>
        <w:t>Ensure collaboration with industry bodies</w:t>
      </w:r>
      <w:r w:rsidR="00817BDA" w:rsidRPr="00264E74">
        <w:rPr>
          <w:rFonts w:asciiTheme="minorHAnsi" w:hAnsiTheme="minorHAnsi" w:cstheme="minorHAnsi"/>
          <w:sz w:val="22"/>
          <w:szCs w:val="22"/>
        </w:rPr>
        <w:t xml:space="preserve"> </w:t>
      </w:r>
      <w:r w:rsidRPr="00264E74">
        <w:rPr>
          <w:rFonts w:asciiTheme="minorHAnsi" w:hAnsiTheme="minorHAnsi" w:cstheme="minorHAnsi"/>
          <w:sz w:val="22"/>
          <w:szCs w:val="22"/>
        </w:rPr>
        <w:t xml:space="preserve">(ie. Master Builders Association, </w:t>
      </w:r>
      <w:proofErr w:type="spellStart"/>
      <w:r w:rsidRPr="00264E74">
        <w:rPr>
          <w:rFonts w:asciiTheme="minorHAnsi" w:hAnsiTheme="minorHAnsi" w:cstheme="minorHAnsi"/>
          <w:sz w:val="22"/>
          <w:szCs w:val="22"/>
        </w:rPr>
        <w:t>Hunternet</w:t>
      </w:r>
      <w:proofErr w:type="spellEnd"/>
      <w:r w:rsidRPr="00264E74">
        <w:rPr>
          <w:rFonts w:asciiTheme="minorHAnsi" w:hAnsiTheme="minorHAnsi" w:cstheme="minorHAnsi"/>
          <w:sz w:val="22"/>
          <w:szCs w:val="22"/>
        </w:rPr>
        <w:t xml:space="preserve"> Cooperative, </w:t>
      </w:r>
      <w:proofErr w:type="spellStart"/>
      <w:r w:rsidRPr="00264E74">
        <w:rPr>
          <w:rFonts w:asciiTheme="minorHAnsi" w:hAnsiTheme="minorHAnsi" w:cstheme="minorHAnsi"/>
          <w:sz w:val="22"/>
          <w:szCs w:val="22"/>
        </w:rPr>
        <w:t>AiGroup</w:t>
      </w:r>
      <w:proofErr w:type="spellEnd"/>
      <w:r w:rsidRPr="00264E74">
        <w:rPr>
          <w:rFonts w:asciiTheme="minorHAnsi" w:hAnsiTheme="minorHAnsi" w:cstheme="minorHAnsi"/>
          <w:sz w:val="22"/>
          <w:szCs w:val="22"/>
        </w:rPr>
        <w:t>) to maximise opportunity and minimise duplication.</w:t>
      </w:r>
    </w:p>
    <w:p w14:paraId="11908012" w14:textId="5F684B4A" w:rsidR="00076C92" w:rsidRPr="00264E74" w:rsidRDefault="00076C92" w:rsidP="00076C92">
      <w:pPr>
        <w:pStyle w:val="Heading2"/>
        <w:rPr>
          <w:rFonts w:asciiTheme="minorHAnsi" w:hAnsiTheme="minorHAnsi" w:cstheme="minorHAnsi"/>
          <w:sz w:val="22"/>
          <w:szCs w:val="22"/>
        </w:rPr>
      </w:pPr>
      <w:bookmarkStart w:id="66" w:name="_Toc81405365"/>
      <w:r w:rsidRPr="00264E74">
        <w:rPr>
          <w:rFonts w:asciiTheme="minorHAnsi" w:hAnsiTheme="minorHAnsi" w:cstheme="minorHAnsi"/>
          <w:sz w:val="22"/>
          <w:szCs w:val="22"/>
        </w:rPr>
        <w:t xml:space="preserve">Priority Four: STEM </w:t>
      </w:r>
      <w:r w:rsidR="00517394" w:rsidRPr="00264E74">
        <w:rPr>
          <w:rFonts w:asciiTheme="minorHAnsi" w:hAnsiTheme="minorHAnsi" w:cstheme="minorHAnsi"/>
          <w:sz w:val="22"/>
          <w:szCs w:val="22"/>
        </w:rPr>
        <w:t>and</w:t>
      </w:r>
      <w:r w:rsidRPr="00264E74">
        <w:rPr>
          <w:rFonts w:asciiTheme="minorHAnsi" w:hAnsiTheme="minorHAnsi" w:cstheme="minorHAnsi"/>
          <w:sz w:val="22"/>
          <w:szCs w:val="22"/>
        </w:rPr>
        <w:t xml:space="preserve"> Innovation</w:t>
      </w:r>
      <w:bookmarkEnd w:id="66"/>
      <w:r w:rsidRPr="00264E74">
        <w:rPr>
          <w:rFonts w:asciiTheme="minorHAnsi" w:hAnsiTheme="minorHAnsi" w:cstheme="minorHAnsi"/>
          <w:sz w:val="22"/>
          <w:szCs w:val="22"/>
        </w:rPr>
        <w:t xml:space="preserve"> </w:t>
      </w:r>
    </w:p>
    <w:p w14:paraId="62E168F0" w14:textId="77777777" w:rsidR="00954A62" w:rsidRPr="00264E74" w:rsidRDefault="00954A62" w:rsidP="00954A62">
      <w:pPr>
        <w:rPr>
          <w:rFonts w:asciiTheme="minorHAnsi" w:hAnsiTheme="minorHAnsi" w:cstheme="minorHAnsi"/>
          <w:sz w:val="22"/>
          <w:szCs w:val="22"/>
        </w:rPr>
      </w:pPr>
    </w:p>
    <w:p w14:paraId="2EA0C9B7" w14:textId="2EDC0F6C" w:rsidR="00811A8C" w:rsidRPr="00264E74" w:rsidRDefault="00811A8C" w:rsidP="00811A8C">
      <w:pPr>
        <w:rPr>
          <w:rFonts w:asciiTheme="minorHAnsi" w:hAnsiTheme="minorHAnsi" w:cstheme="minorHAnsi"/>
          <w:b/>
          <w:bCs/>
          <w:sz w:val="22"/>
          <w:szCs w:val="22"/>
        </w:rPr>
      </w:pPr>
      <w:r w:rsidRPr="00264E74">
        <w:rPr>
          <w:rFonts w:asciiTheme="minorHAnsi" w:hAnsiTheme="minorHAnsi" w:cstheme="minorHAnsi"/>
          <w:b/>
          <w:bCs/>
          <w:sz w:val="22"/>
          <w:szCs w:val="22"/>
        </w:rPr>
        <w:t xml:space="preserve">Address emerging industries in the Hunter by preparing </w:t>
      </w:r>
      <w:r w:rsidR="00517394" w:rsidRPr="00264E74">
        <w:rPr>
          <w:rFonts w:asciiTheme="minorHAnsi" w:hAnsiTheme="minorHAnsi" w:cstheme="minorHAnsi"/>
          <w:b/>
          <w:bCs/>
          <w:sz w:val="22"/>
          <w:szCs w:val="22"/>
        </w:rPr>
        <w:t>job seeker</w:t>
      </w:r>
      <w:r w:rsidRPr="00264E74">
        <w:rPr>
          <w:rFonts w:asciiTheme="minorHAnsi" w:hAnsiTheme="minorHAnsi" w:cstheme="minorHAnsi"/>
          <w:b/>
          <w:bCs/>
          <w:sz w:val="22"/>
          <w:szCs w:val="22"/>
        </w:rPr>
        <w:t>s for both immediate and longer-term employment opportunities through collaborative projects.</w:t>
      </w:r>
    </w:p>
    <w:p w14:paraId="75977A44" w14:textId="77777777" w:rsidR="00811A8C" w:rsidRPr="00264E74" w:rsidRDefault="00811A8C" w:rsidP="00811A8C">
      <w:pPr>
        <w:rPr>
          <w:rFonts w:asciiTheme="minorHAnsi" w:hAnsiTheme="minorHAnsi" w:cstheme="minorHAnsi"/>
          <w:sz w:val="22"/>
          <w:szCs w:val="22"/>
        </w:rPr>
      </w:pPr>
    </w:p>
    <w:p w14:paraId="6F8DFD9D" w14:textId="6FC3CE23" w:rsidR="00076C92" w:rsidRPr="00264E74" w:rsidRDefault="005F3EA5" w:rsidP="00076C92">
      <w:pPr>
        <w:rPr>
          <w:rFonts w:asciiTheme="minorHAnsi" w:hAnsiTheme="minorHAnsi" w:cstheme="minorHAnsi"/>
          <w:sz w:val="22"/>
          <w:szCs w:val="22"/>
        </w:rPr>
      </w:pPr>
      <w:r w:rsidRPr="00264E74">
        <w:rPr>
          <w:rFonts w:asciiTheme="minorHAnsi" w:hAnsiTheme="minorHAnsi" w:cstheme="minorHAnsi"/>
          <w:sz w:val="22"/>
          <w:szCs w:val="22"/>
        </w:rPr>
        <w:t xml:space="preserve">The Hunter region is experiencing </w:t>
      </w:r>
      <w:proofErr w:type="gramStart"/>
      <w:r w:rsidRPr="00264E74">
        <w:rPr>
          <w:rFonts w:asciiTheme="minorHAnsi" w:hAnsiTheme="minorHAnsi" w:cstheme="minorHAnsi"/>
          <w:sz w:val="22"/>
          <w:szCs w:val="22"/>
        </w:rPr>
        <w:t>a number of</w:t>
      </w:r>
      <w:proofErr w:type="gramEnd"/>
      <w:r w:rsidRPr="00264E74">
        <w:rPr>
          <w:rFonts w:asciiTheme="minorHAnsi" w:hAnsiTheme="minorHAnsi" w:cstheme="minorHAnsi"/>
          <w:sz w:val="22"/>
          <w:szCs w:val="22"/>
        </w:rPr>
        <w:t xml:space="preserve"> </w:t>
      </w:r>
      <w:r w:rsidR="00076C92" w:rsidRPr="00264E74">
        <w:rPr>
          <w:rFonts w:asciiTheme="minorHAnsi" w:hAnsiTheme="minorHAnsi" w:cstheme="minorHAnsi"/>
          <w:sz w:val="22"/>
          <w:szCs w:val="22"/>
        </w:rPr>
        <w:t xml:space="preserve">emerging industries and precincts </w:t>
      </w:r>
      <w:r w:rsidRPr="00264E74">
        <w:rPr>
          <w:rFonts w:asciiTheme="minorHAnsi" w:hAnsiTheme="minorHAnsi" w:cstheme="minorHAnsi"/>
          <w:sz w:val="22"/>
          <w:szCs w:val="22"/>
        </w:rPr>
        <w:t>which require an</w:t>
      </w:r>
      <w:r w:rsidR="00076C92" w:rsidRPr="00264E74">
        <w:rPr>
          <w:rFonts w:asciiTheme="minorHAnsi" w:hAnsiTheme="minorHAnsi" w:cstheme="minorHAnsi"/>
          <w:sz w:val="22"/>
          <w:szCs w:val="22"/>
        </w:rPr>
        <w:t xml:space="preserve"> adequate skill</w:t>
      </w:r>
      <w:r w:rsidRPr="00264E74">
        <w:rPr>
          <w:rFonts w:asciiTheme="minorHAnsi" w:hAnsiTheme="minorHAnsi" w:cstheme="minorHAnsi"/>
          <w:sz w:val="22"/>
          <w:szCs w:val="22"/>
        </w:rPr>
        <w:t>s</w:t>
      </w:r>
      <w:r w:rsidR="00076C92" w:rsidRPr="00264E74">
        <w:rPr>
          <w:rFonts w:asciiTheme="minorHAnsi" w:hAnsiTheme="minorHAnsi" w:cstheme="minorHAnsi"/>
          <w:sz w:val="22"/>
          <w:szCs w:val="22"/>
        </w:rPr>
        <w:t xml:space="preserve">-base for these industries to sustain and grow their workforces. </w:t>
      </w:r>
    </w:p>
    <w:p w14:paraId="10AF65A7" w14:textId="0665BF53" w:rsidR="00076C92" w:rsidRPr="00264E74" w:rsidRDefault="00076C92" w:rsidP="00076C92">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Two key points should be emphasised in relation to this priority. Firstly, and notwithstanding the strong local ecosystem of service provision and pathway creation, interventions that seek to directly address the information deficit for young people, transitioning workers, and disadvantaged cohorts are important.</w:t>
      </w:r>
    </w:p>
    <w:p w14:paraId="33DB696C" w14:textId="509E78A9" w:rsidR="00076C92" w:rsidRPr="00264E74" w:rsidRDefault="00076C92" w:rsidP="00076C92">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Interventions that improve the application of labour market information to job and career decision making that clearly illustrate the opportunities and sequence for </w:t>
      </w:r>
      <w:proofErr w:type="gramStart"/>
      <w:r w:rsidRPr="00264E74">
        <w:rPr>
          <w:rFonts w:asciiTheme="minorHAnsi" w:hAnsiTheme="minorHAnsi" w:cstheme="minorHAnsi"/>
          <w:sz w:val="22"/>
          <w:szCs w:val="22"/>
        </w:rPr>
        <w:t>particular career</w:t>
      </w:r>
      <w:proofErr w:type="gramEnd"/>
      <w:r w:rsidRPr="00264E74">
        <w:rPr>
          <w:rFonts w:asciiTheme="minorHAnsi" w:hAnsiTheme="minorHAnsi" w:cstheme="minorHAnsi"/>
          <w:sz w:val="22"/>
          <w:szCs w:val="22"/>
        </w:rPr>
        <w:t xml:space="preserve"> paths </w:t>
      </w:r>
      <w:r w:rsidR="005F3EA5" w:rsidRPr="00264E74">
        <w:rPr>
          <w:rFonts w:asciiTheme="minorHAnsi" w:hAnsiTheme="minorHAnsi" w:cstheme="minorHAnsi"/>
          <w:sz w:val="22"/>
          <w:szCs w:val="22"/>
        </w:rPr>
        <w:t>are valuable (such as the National Skills Commission and the National Careers Institute)</w:t>
      </w:r>
      <w:r w:rsidRPr="00264E74">
        <w:rPr>
          <w:rFonts w:asciiTheme="minorHAnsi" w:hAnsiTheme="minorHAnsi" w:cstheme="minorHAnsi"/>
          <w:sz w:val="22"/>
          <w:szCs w:val="22"/>
        </w:rPr>
        <w:t xml:space="preserve">. </w:t>
      </w:r>
      <w:r w:rsidR="005F3EA5" w:rsidRPr="00264E74">
        <w:rPr>
          <w:rFonts w:asciiTheme="minorHAnsi" w:hAnsiTheme="minorHAnsi" w:cstheme="minorHAnsi"/>
          <w:sz w:val="22"/>
          <w:szCs w:val="22"/>
        </w:rPr>
        <w:t>P</w:t>
      </w:r>
      <w:r w:rsidRPr="00264E74">
        <w:rPr>
          <w:rFonts w:asciiTheme="minorHAnsi" w:hAnsiTheme="minorHAnsi" w:cstheme="minorHAnsi"/>
          <w:sz w:val="22"/>
          <w:szCs w:val="22"/>
        </w:rPr>
        <w:t xml:space="preserve">articularly for young people, those who have limited visibility or awareness of opportunities </w:t>
      </w:r>
      <w:proofErr w:type="gramStart"/>
      <w:r w:rsidRPr="00264E74">
        <w:rPr>
          <w:rFonts w:asciiTheme="minorHAnsi" w:hAnsiTheme="minorHAnsi" w:cstheme="minorHAnsi"/>
          <w:sz w:val="22"/>
          <w:szCs w:val="22"/>
        </w:rPr>
        <w:t>as a result of</w:t>
      </w:r>
      <w:proofErr w:type="gramEnd"/>
      <w:r w:rsidRPr="00264E74">
        <w:rPr>
          <w:rFonts w:asciiTheme="minorHAnsi" w:hAnsiTheme="minorHAnsi" w:cstheme="minorHAnsi"/>
          <w:sz w:val="22"/>
          <w:szCs w:val="22"/>
        </w:rPr>
        <w:t xml:space="preserve"> disadvantage, or those looking to or forced to move career paths as a result of the pandemic.</w:t>
      </w:r>
    </w:p>
    <w:p w14:paraId="03681F17" w14:textId="128F8D0B" w:rsidR="00076C92" w:rsidRDefault="00076C92" w:rsidP="00076C92">
      <w:p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Secondly, regardless of the speed of recovery there will be persistent challenges in accessing employment for some. Activities that avoid unemployment scarring through full time training, work placement and internships, skill-building volunteer opportunities, mentoring and other pathway projects may be required to assist those that cannot access durable employment opportunities.</w:t>
      </w:r>
    </w:p>
    <w:p w14:paraId="282291B9" w14:textId="77777777" w:rsidR="00EA3D21" w:rsidRPr="00264E74" w:rsidRDefault="00EA3D21" w:rsidP="00076C92">
      <w:pPr>
        <w:spacing w:before="120" w:after="120" w:line="257" w:lineRule="auto"/>
        <w:rPr>
          <w:rFonts w:asciiTheme="minorHAnsi" w:hAnsiTheme="minorHAnsi" w:cstheme="minorHAnsi"/>
          <w:sz w:val="22"/>
          <w:szCs w:val="22"/>
        </w:rPr>
      </w:pPr>
    </w:p>
    <w:p w14:paraId="4C7D7A70" w14:textId="77777777" w:rsidR="00076C92" w:rsidRPr="00264E74" w:rsidRDefault="00811A8C" w:rsidP="00811A8C">
      <w:pPr>
        <w:spacing w:before="120" w:after="120" w:line="257" w:lineRule="auto"/>
        <w:rPr>
          <w:rFonts w:asciiTheme="minorHAnsi" w:hAnsiTheme="minorHAnsi" w:cstheme="minorHAnsi"/>
          <w:sz w:val="22"/>
          <w:szCs w:val="22"/>
          <w:u w:val="single"/>
        </w:rPr>
      </w:pPr>
      <w:r w:rsidRPr="00264E74">
        <w:rPr>
          <w:rFonts w:asciiTheme="minorHAnsi" w:hAnsiTheme="minorHAnsi" w:cstheme="minorHAnsi"/>
          <w:b/>
          <w:bCs/>
          <w:sz w:val="22"/>
          <w:szCs w:val="22"/>
          <w:u w:val="single"/>
        </w:rPr>
        <w:t>Key Strategies</w:t>
      </w:r>
      <w:r w:rsidRPr="00264E74">
        <w:rPr>
          <w:rFonts w:asciiTheme="minorHAnsi" w:hAnsiTheme="minorHAnsi" w:cstheme="minorHAnsi"/>
          <w:sz w:val="22"/>
          <w:szCs w:val="22"/>
          <w:u w:val="single"/>
        </w:rPr>
        <w:t xml:space="preserve">: </w:t>
      </w:r>
    </w:p>
    <w:p w14:paraId="467CC8C0" w14:textId="3658142C" w:rsidR="00811A8C" w:rsidRPr="00264E74" w:rsidRDefault="00811A8C" w:rsidP="00811A8C">
      <w:pPr>
        <w:pStyle w:val="ListParagraph"/>
        <w:numPr>
          <w:ilvl w:val="0"/>
          <w:numId w:val="31"/>
        </w:num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Streamline access to opportunity for key groups including Youth, Indigenous, and Retrenched Workers</w:t>
      </w:r>
      <w:r w:rsidR="00517394" w:rsidRPr="00264E74">
        <w:rPr>
          <w:rFonts w:asciiTheme="minorHAnsi" w:hAnsiTheme="minorHAnsi" w:cstheme="minorHAnsi"/>
          <w:sz w:val="22"/>
          <w:szCs w:val="22"/>
        </w:rPr>
        <w:t>.</w:t>
      </w:r>
      <w:r w:rsidRPr="00264E74">
        <w:rPr>
          <w:rFonts w:asciiTheme="minorHAnsi" w:hAnsiTheme="minorHAnsi" w:cstheme="minorHAnsi"/>
          <w:sz w:val="22"/>
          <w:szCs w:val="22"/>
        </w:rPr>
        <w:t xml:space="preserve"> </w:t>
      </w:r>
    </w:p>
    <w:p w14:paraId="3C2E3A07" w14:textId="02DBD62C" w:rsidR="00811A8C" w:rsidRPr="00264E74" w:rsidRDefault="00811A8C" w:rsidP="00811A8C">
      <w:pPr>
        <w:pStyle w:val="ListParagraph"/>
        <w:numPr>
          <w:ilvl w:val="0"/>
          <w:numId w:val="31"/>
        </w:num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Build collaborative employment and training solutions which fit Local Government’s Destination</w:t>
      </w:r>
      <w:r w:rsidR="00517394" w:rsidRPr="00264E74">
        <w:rPr>
          <w:rFonts w:asciiTheme="minorHAnsi" w:hAnsiTheme="minorHAnsi" w:cstheme="minorHAnsi"/>
          <w:sz w:val="22"/>
          <w:szCs w:val="22"/>
        </w:rPr>
        <w:t xml:space="preserve"> </w:t>
      </w:r>
      <w:r w:rsidRPr="00264E74">
        <w:rPr>
          <w:rFonts w:asciiTheme="minorHAnsi" w:hAnsiTheme="minorHAnsi" w:cstheme="minorHAnsi"/>
          <w:sz w:val="22"/>
          <w:szCs w:val="22"/>
        </w:rPr>
        <w:t>Management and Economic Development strategies</w:t>
      </w:r>
      <w:r w:rsidR="00517394" w:rsidRPr="00264E74">
        <w:rPr>
          <w:rFonts w:asciiTheme="minorHAnsi" w:hAnsiTheme="minorHAnsi" w:cstheme="minorHAnsi"/>
          <w:sz w:val="22"/>
          <w:szCs w:val="22"/>
        </w:rPr>
        <w:t>.</w:t>
      </w:r>
    </w:p>
    <w:p w14:paraId="71CD1BDE" w14:textId="265D9518" w:rsidR="00811A8C" w:rsidRPr="00264E74" w:rsidRDefault="00811A8C" w:rsidP="00811A8C">
      <w:pPr>
        <w:pStyle w:val="ListParagraph"/>
        <w:numPr>
          <w:ilvl w:val="0"/>
          <w:numId w:val="30"/>
        </w:num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Leverage existing opportunit</w:t>
      </w:r>
      <w:r w:rsidR="001707E6">
        <w:rPr>
          <w:rFonts w:asciiTheme="minorHAnsi" w:hAnsiTheme="minorHAnsi" w:cstheme="minorHAnsi"/>
          <w:sz w:val="22"/>
          <w:szCs w:val="22"/>
        </w:rPr>
        <w:t>ies</w:t>
      </w:r>
      <w:r w:rsidRPr="00264E74">
        <w:rPr>
          <w:rFonts w:asciiTheme="minorHAnsi" w:hAnsiTheme="minorHAnsi" w:cstheme="minorHAnsi"/>
          <w:sz w:val="22"/>
          <w:szCs w:val="22"/>
        </w:rPr>
        <w:t xml:space="preserve"> to support businesses emerging within key precincts e.g., Williamtown Special Activation Precinct</w:t>
      </w:r>
      <w:r w:rsidR="00517394" w:rsidRPr="00264E74">
        <w:rPr>
          <w:rFonts w:asciiTheme="minorHAnsi" w:hAnsiTheme="minorHAnsi" w:cstheme="minorHAnsi"/>
          <w:sz w:val="22"/>
          <w:szCs w:val="22"/>
        </w:rPr>
        <w:t>.</w:t>
      </w:r>
    </w:p>
    <w:p w14:paraId="7D15BCB0" w14:textId="79E811CD" w:rsidR="00811A8C" w:rsidRPr="00264E74" w:rsidRDefault="00811A8C" w:rsidP="00811A8C">
      <w:pPr>
        <w:pStyle w:val="ListParagraph"/>
        <w:numPr>
          <w:ilvl w:val="0"/>
          <w:numId w:val="30"/>
        </w:num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Leverage existing funding models and programs </w:t>
      </w:r>
      <w:r w:rsidR="003346AD" w:rsidRPr="00264E74">
        <w:rPr>
          <w:rFonts w:asciiTheme="minorHAnsi" w:hAnsiTheme="minorHAnsi" w:cstheme="minorHAnsi"/>
          <w:sz w:val="22"/>
          <w:szCs w:val="22"/>
        </w:rPr>
        <w:t>including</w:t>
      </w:r>
      <w:r w:rsidRPr="00264E74">
        <w:rPr>
          <w:rFonts w:asciiTheme="minorHAnsi" w:hAnsiTheme="minorHAnsi" w:cstheme="minorHAnsi"/>
          <w:sz w:val="22"/>
          <w:szCs w:val="22"/>
        </w:rPr>
        <w:t xml:space="preserve"> Skilling for Recovery, New Enterprise Incentive Scheme (NEIS), and </w:t>
      </w:r>
      <w:r w:rsidR="001707E6">
        <w:rPr>
          <w:rFonts w:asciiTheme="minorHAnsi" w:hAnsiTheme="minorHAnsi" w:cstheme="minorHAnsi"/>
          <w:sz w:val="22"/>
          <w:szCs w:val="22"/>
        </w:rPr>
        <w:t xml:space="preserve">the local </w:t>
      </w:r>
      <w:r w:rsidRPr="00264E74">
        <w:rPr>
          <w:rFonts w:asciiTheme="minorHAnsi" w:hAnsiTheme="minorHAnsi" w:cstheme="minorHAnsi"/>
          <w:sz w:val="22"/>
          <w:szCs w:val="22"/>
        </w:rPr>
        <w:t>Entrepreneurship Facilitator</w:t>
      </w:r>
      <w:r w:rsidR="00517394" w:rsidRPr="00264E74">
        <w:rPr>
          <w:rFonts w:asciiTheme="minorHAnsi" w:hAnsiTheme="minorHAnsi" w:cstheme="minorHAnsi"/>
          <w:sz w:val="22"/>
          <w:szCs w:val="22"/>
        </w:rPr>
        <w:t>.</w:t>
      </w:r>
    </w:p>
    <w:p w14:paraId="3260AAFD" w14:textId="6F2D8458" w:rsidR="00811A8C" w:rsidRPr="00264E74" w:rsidRDefault="00811A8C" w:rsidP="00811A8C">
      <w:pPr>
        <w:pStyle w:val="ListParagraph"/>
        <w:numPr>
          <w:ilvl w:val="0"/>
          <w:numId w:val="30"/>
        </w:num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 xml:space="preserve">Utilise existing programs including the RDA Hunter </w:t>
      </w:r>
      <w:proofErr w:type="spellStart"/>
      <w:r w:rsidRPr="00264E74">
        <w:rPr>
          <w:rFonts w:asciiTheme="minorHAnsi" w:hAnsiTheme="minorHAnsi" w:cstheme="minorHAnsi"/>
          <w:sz w:val="22"/>
          <w:szCs w:val="22"/>
        </w:rPr>
        <w:t>STEMship</w:t>
      </w:r>
      <w:proofErr w:type="spellEnd"/>
      <w:r w:rsidRPr="00264E74">
        <w:rPr>
          <w:rFonts w:asciiTheme="minorHAnsi" w:hAnsiTheme="minorHAnsi" w:cstheme="minorHAnsi"/>
          <w:sz w:val="22"/>
          <w:szCs w:val="22"/>
        </w:rPr>
        <w:t xml:space="preserve"> </w:t>
      </w:r>
      <w:r w:rsidR="00EA3D21">
        <w:rPr>
          <w:rFonts w:asciiTheme="minorHAnsi" w:hAnsiTheme="minorHAnsi" w:cstheme="minorHAnsi"/>
          <w:sz w:val="22"/>
          <w:szCs w:val="22"/>
        </w:rPr>
        <w:t>and</w:t>
      </w:r>
      <w:r w:rsidRPr="00264E74">
        <w:rPr>
          <w:rFonts w:asciiTheme="minorHAnsi" w:hAnsiTheme="minorHAnsi" w:cstheme="minorHAnsi"/>
          <w:sz w:val="22"/>
          <w:szCs w:val="22"/>
        </w:rPr>
        <w:t xml:space="preserve"> ME Programs to coordinate streamlined and consistent work preparation activities</w:t>
      </w:r>
      <w:r w:rsidR="00517394" w:rsidRPr="00264E74">
        <w:rPr>
          <w:rFonts w:asciiTheme="minorHAnsi" w:hAnsiTheme="minorHAnsi" w:cstheme="minorHAnsi"/>
          <w:sz w:val="22"/>
          <w:szCs w:val="22"/>
        </w:rPr>
        <w:t>.</w:t>
      </w:r>
    </w:p>
    <w:p w14:paraId="2CA1F4BD" w14:textId="403B20E0" w:rsidR="00811A8C" w:rsidRPr="00264E74" w:rsidRDefault="00811A8C" w:rsidP="00811A8C">
      <w:pPr>
        <w:pStyle w:val="ListParagraph"/>
        <w:numPr>
          <w:ilvl w:val="0"/>
          <w:numId w:val="30"/>
        </w:num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lastRenderedPageBreak/>
        <w:t xml:space="preserve">Proactively approach training and awareness activities in collaboration with all levels of government to address emerging opportunities </w:t>
      </w:r>
      <w:proofErr w:type="gramStart"/>
      <w:r w:rsidR="003346AD" w:rsidRPr="00264E74">
        <w:rPr>
          <w:rFonts w:asciiTheme="minorHAnsi" w:hAnsiTheme="minorHAnsi" w:cstheme="minorHAnsi"/>
          <w:sz w:val="22"/>
          <w:szCs w:val="22"/>
        </w:rPr>
        <w:t>i.e.</w:t>
      </w:r>
      <w:proofErr w:type="gramEnd"/>
      <w:r w:rsidRPr="00264E74">
        <w:rPr>
          <w:rFonts w:asciiTheme="minorHAnsi" w:hAnsiTheme="minorHAnsi" w:cstheme="minorHAnsi"/>
          <w:sz w:val="22"/>
          <w:szCs w:val="22"/>
        </w:rPr>
        <w:t xml:space="preserve"> Wi</w:t>
      </w:r>
      <w:r w:rsidR="001707E6">
        <w:rPr>
          <w:rFonts w:asciiTheme="minorHAnsi" w:hAnsiTheme="minorHAnsi" w:cstheme="minorHAnsi"/>
          <w:sz w:val="22"/>
          <w:szCs w:val="22"/>
        </w:rPr>
        <w:t>l</w:t>
      </w:r>
      <w:r w:rsidRPr="00264E74">
        <w:rPr>
          <w:rFonts w:asciiTheme="minorHAnsi" w:hAnsiTheme="minorHAnsi" w:cstheme="minorHAnsi"/>
          <w:sz w:val="22"/>
          <w:szCs w:val="22"/>
        </w:rPr>
        <w:t>liamtown Special Activation Precinct, John Hunter Health and Innovation Precinct, Hunter STEMM Precinct/Regional Transformation Hub</w:t>
      </w:r>
      <w:r w:rsidR="00517394" w:rsidRPr="00264E74">
        <w:rPr>
          <w:rFonts w:asciiTheme="minorHAnsi" w:hAnsiTheme="minorHAnsi" w:cstheme="minorHAnsi"/>
          <w:sz w:val="22"/>
          <w:szCs w:val="22"/>
        </w:rPr>
        <w:t>.</w:t>
      </w:r>
    </w:p>
    <w:p w14:paraId="107B8784" w14:textId="2ED3E240" w:rsidR="00076C92" w:rsidRPr="00264E74" w:rsidRDefault="00811A8C" w:rsidP="00811A8C">
      <w:pPr>
        <w:pStyle w:val="ListParagraph"/>
        <w:numPr>
          <w:ilvl w:val="0"/>
          <w:numId w:val="30"/>
        </w:numPr>
        <w:spacing w:before="120" w:after="120" w:line="257" w:lineRule="auto"/>
        <w:rPr>
          <w:rFonts w:asciiTheme="minorHAnsi" w:hAnsiTheme="minorHAnsi" w:cstheme="minorHAnsi"/>
          <w:sz w:val="22"/>
          <w:szCs w:val="22"/>
        </w:rPr>
      </w:pPr>
      <w:r w:rsidRPr="00264E74">
        <w:rPr>
          <w:rFonts w:asciiTheme="minorHAnsi" w:hAnsiTheme="minorHAnsi" w:cstheme="minorHAnsi"/>
          <w:sz w:val="22"/>
          <w:szCs w:val="22"/>
        </w:rPr>
        <w:t>Draw upon to increase knowledge and awareness of regional activity through existing networks and groups inc. Hunter Defence Taskforce, Hunter Hydrogen Taskforce, Hunter Young Business Minds, University of Newcastle</w:t>
      </w:r>
      <w:r w:rsidR="00517394" w:rsidRPr="00264E74">
        <w:rPr>
          <w:rFonts w:asciiTheme="minorHAnsi" w:hAnsiTheme="minorHAnsi" w:cstheme="minorHAnsi"/>
          <w:sz w:val="22"/>
          <w:szCs w:val="22"/>
        </w:rPr>
        <w:t>.</w:t>
      </w:r>
    </w:p>
    <w:p w14:paraId="6E0A860D" w14:textId="12086A65" w:rsidR="00076C92" w:rsidRDefault="00076C92" w:rsidP="00076C92">
      <w:pPr>
        <w:rPr>
          <w:rFonts w:asciiTheme="minorHAnsi" w:hAnsiTheme="minorHAnsi" w:cstheme="minorHAnsi"/>
          <w:sz w:val="23"/>
          <w:szCs w:val="23"/>
        </w:rPr>
      </w:pPr>
    </w:p>
    <w:p w14:paraId="7C056795" w14:textId="77777777" w:rsidR="00817BDA" w:rsidRPr="00E04D29" w:rsidRDefault="00817BDA" w:rsidP="00076C92">
      <w:pPr>
        <w:rPr>
          <w:rFonts w:asciiTheme="minorHAnsi" w:hAnsiTheme="minorHAnsi" w:cstheme="minorHAnsi"/>
          <w:sz w:val="23"/>
          <w:szCs w:val="23"/>
        </w:rPr>
      </w:pPr>
    </w:p>
    <w:p w14:paraId="59227BFD" w14:textId="7C83AC6E" w:rsidR="00F85B0E" w:rsidRPr="00264E74" w:rsidRDefault="00F85B0E" w:rsidP="00F85B0E">
      <w:pPr>
        <w:pStyle w:val="Heading2"/>
        <w:rPr>
          <w:rFonts w:asciiTheme="minorHAnsi" w:hAnsiTheme="minorHAnsi" w:cstheme="minorHAnsi"/>
          <w:sz w:val="22"/>
          <w:szCs w:val="22"/>
        </w:rPr>
      </w:pPr>
      <w:bookmarkStart w:id="67" w:name="_Toc81405366"/>
      <w:r w:rsidRPr="00264E74">
        <w:rPr>
          <w:rFonts w:asciiTheme="minorHAnsi" w:hAnsiTheme="minorHAnsi" w:cstheme="minorHAnsi"/>
          <w:sz w:val="22"/>
          <w:szCs w:val="22"/>
        </w:rPr>
        <w:t>Priority Five: Upper Hunter</w:t>
      </w:r>
      <w:bookmarkEnd w:id="67"/>
      <w:r w:rsidRPr="00264E74">
        <w:rPr>
          <w:rFonts w:asciiTheme="minorHAnsi" w:hAnsiTheme="minorHAnsi" w:cstheme="minorHAnsi"/>
          <w:sz w:val="22"/>
          <w:szCs w:val="22"/>
        </w:rPr>
        <w:t xml:space="preserve"> </w:t>
      </w:r>
    </w:p>
    <w:p w14:paraId="627AF1B8" w14:textId="77777777" w:rsidR="00954A62" w:rsidRPr="00264E74" w:rsidRDefault="00954A62" w:rsidP="00954A62">
      <w:pPr>
        <w:rPr>
          <w:rFonts w:asciiTheme="minorHAnsi" w:hAnsiTheme="minorHAnsi" w:cstheme="minorHAnsi"/>
          <w:sz w:val="22"/>
          <w:szCs w:val="22"/>
        </w:rPr>
      </w:pPr>
    </w:p>
    <w:p w14:paraId="573B7020" w14:textId="1E495D7C" w:rsidR="00EF2165" w:rsidRPr="00264E74" w:rsidRDefault="00EF2165" w:rsidP="00EF2165">
      <w:pPr>
        <w:rPr>
          <w:rFonts w:asciiTheme="minorHAnsi" w:hAnsiTheme="minorHAnsi" w:cstheme="minorHAnsi"/>
          <w:b/>
          <w:bCs/>
          <w:sz w:val="22"/>
          <w:szCs w:val="22"/>
        </w:rPr>
      </w:pPr>
      <w:r w:rsidRPr="00264E74">
        <w:rPr>
          <w:rFonts w:asciiTheme="minorHAnsi" w:hAnsiTheme="minorHAnsi" w:cstheme="minorHAnsi"/>
          <w:b/>
          <w:bCs/>
          <w:sz w:val="22"/>
          <w:szCs w:val="22"/>
        </w:rPr>
        <w:t>Support a key area of the region experiencing structural change, and work closely with key stakeholders, groups, and industries to facilitate a collaborative approach to skills and workforce.</w:t>
      </w:r>
    </w:p>
    <w:p w14:paraId="15FD03B6" w14:textId="77777777" w:rsidR="00184217" w:rsidRPr="00264E74" w:rsidRDefault="00184217" w:rsidP="00076C92">
      <w:pPr>
        <w:rPr>
          <w:rFonts w:asciiTheme="minorHAnsi" w:hAnsiTheme="minorHAnsi" w:cstheme="minorHAnsi"/>
          <w:sz w:val="22"/>
          <w:szCs w:val="22"/>
        </w:rPr>
      </w:pPr>
    </w:p>
    <w:p w14:paraId="4C093DDD" w14:textId="2D9D7BBB" w:rsidR="00076C92" w:rsidRPr="00264E74" w:rsidRDefault="00076C92" w:rsidP="00076C92">
      <w:pPr>
        <w:rPr>
          <w:rFonts w:asciiTheme="minorHAnsi" w:hAnsiTheme="minorHAnsi" w:cstheme="minorHAnsi"/>
          <w:sz w:val="22"/>
          <w:szCs w:val="22"/>
        </w:rPr>
      </w:pPr>
      <w:r w:rsidRPr="00264E74">
        <w:rPr>
          <w:rFonts w:asciiTheme="minorHAnsi" w:hAnsiTheme="minorHAnsi" w:cstheme="minorHAnsi"/>
          <w:sz w:val="22"/>
          <w:szCs w:val="22"/>
        </w:rPr>
        <w:t xml:space="preserve">The Upper Hunter is a key area of the region facing structural change across the </w:t>
      </w:r>
      <w:r w:rsidR="005F3EA5" w:rsidRPr="00264E74">
        <w:rPr>
          <w:rFonts w:asciiTheme="minorHAnsi" w:hAnsiTheme="minorHAnsi" w:cstheme="minorHAnsi"/>
          <w:sz w:val="22"/>
          <w:szCs w:val="22"/>
        </w:rPr>
        <w:t>R</w:t>
      </w:r>
      <w:r w:rsidRPr="00264E74">
        <w:rPr>
          <w:rFonts w:asciiTheme="minorHAnsi" w:hAnsiTheme="minorHAnsi" w:cstheme="minorHAnsi"/>
          <w:sz w:val="22"/>
          <w:szCs w:val="22"/>
        </w:rPr>
        <w:t>esources sector. However</w:t>
      </w:r>
      <w:r w:rsidR="005F3EA5" w:rsidRPr="00264E74">
        <w:rPr>
          <w:rFonts w:asciiTheme="minorHAnsi" w:hAnsiTheme="minorHAnsi" w:cstheme="minorHAnsi"/>
          <w:sz w:val="22"/>
          <w:szCs w:val="22"/>
        </w:rPr>
        <w:t>,</w:t>
      </w:r>
      <w:r w:rsidRPr="00264E74">
        <w:rPr>
          <w:rFonts w:asciiTheme="minorHAnsi" w:hAnsiTheme="minorHAnsi" w:cstheme="minorHAnsi"/>
          <w:sz w:val="22"/>
          <w:szCs w:val="22"/>
        </w:rPr>
        <w:t xml:space="preserve"> providing opportunity to many emerging and expanding industries requires support to overcome labour market friction points unique to the area and structural barriers for building </w:t>
      </w:r>
      <w:r w:rsidR="005F3EA5" w:rsidRPr="00264E74">
        <w:rPr>
          <w:rFonts w:asciiTheme="minorHAnsi" w:hAnsiTheme="minorHAnsi" w:cstheme="minorHAnsi"/>
          <w:sz w:val="22"/>
          <w:szCs w:val="22"/>
        </w:rPr>
        <w:t xml:space="preserve">a sustainable </w:t>
      </w:r>
      <w:r w:rsidRPr="00264E74">
        <w:rPr>
          <w:rFonts w:asciiTheme="minorHAnsi" w:hAnsiTheme="minorHAnsi" w:cstheme="minorHAnsi"/>
          <w:sz w:val="22"/>
          <w:szCs w:val="22"/>
        </w:rPr>
        <w:t xml:space="preserve">workforce. </w:t>
      </w:r>
    </w:p>
    <w:p w14:paraId="19971A9C" w14:textId="77777777" w:rsidR="00076C92" w:rsidRPr="00264E74" w:rsidRDefault="00076C92" w:rsidP="00076C92">
      <w:pPr>
        <w:rPr>
          <w:rFonts w:asciiTheme="minorHAnsi" w:hAnsiTheme="minorHAnsi" w:cstheme="minorHAnsi"/>
          <w:sz w:val="22"/>
          <w:szCs w:val="22"/>
        </w:rPr>
      </w:pPr>
    </w:p>
    <w:p w14:paraId="54E4858C" w14:textId="1CEA979F" w:rsidR="00076C92" w:rsidRPr="00264E74" w:rsidRDefault="00076C92" w:rsidP="00076C92">
      <w:pPr>
        <w:rPr>
          <w:rFonts w:asciiTheme="minorHAnsi" w:hAnsiTheme="minorHAnsi" w:cstheme="minorHAnsi"/>
          <w:sz w:val="22"/>
          <w:szCs w:val="22"/>
        </w:rPr>
      </w:pPr>
      <w:r w:rsidRPr="00264E74">
        <w:rPr>
          <w:rFonts w:asciiTheme="minorHAnsi" w:hAnsiTheme="minorHAnsi" w:cstheme="minorHAnsi"/>
          <w:sz w:val="22"/>
          <w:szCs w:val="22"/>
        </w:rPr>
        <w:t xml:space="preserve">It should be acknowledged that there is a large body of work being undertaken through the Upper Hunter Economic Diversification Committee, led by Regional NSW. The Local Jobs Program has </w:t>
      </w:r>
      <w:r w:rsidR="005F3EA5" w:rsidRPr="00264E74">
        <w:rPr>
          <w:rFonts w:asciiTheme="minorHAnsi" w:hAnsiTheme="minorHAnsi" w:cstheme="minorHAnsi"/>
          <w:sz w:val="22"/>
          <w:szCs w:val="22"/>
        </w:rPr>
        <w:t xml:space="preserve">an </w:t>
      </w:r>
      <w:r w:rsidRPr="00264E74">
        <w:rPr>
          <w:rFonts w:asciiTheme="minorHAnsi" w:hAnsiTheme="minorHAnsi" w:cstheme="minorHAnsi"/>
          <w:sz w:val="22"/>
          <w:szCs w:val="22"/>
        </w:rPr>
        <w:t>opportunity to contribute and expand on the development of local workforce</w:t>
      </w:r>
      <w:r w:rsidR="005F3EA5" w:rsidRPr="00264E74">
        <w:rPr>
          <w:rFonts w:asciiTheme="minorHAnsi" w:hAnsiTheme="minorHAnsi" w:cstheme="minorHAnsi"/>
          <w:sz w:val="22"/>
          <w:szCs w:val="22"/>
        </w:rPr>
        <w:t xml:space="preserve">. This can be done through capitalising on the </w:t>
      </w:r>
      <w:r w:rsidRPr="00264E74">
        <w:rPr>
          <w:rFonts w:asciiTheme="minorHAnsi" w:hAnsiTheme="minorHAnsi" w:cstheme="minorHAnsi"/>
          <w:sz w:val="22"/>
          <w:szCs w:val="22"/>
        </w:rPr>
        <w:t xml:space="preserve">existing, expanding, and emerging industries to support the regional advantages noted within the </w:t>
      </w:r>
      <w:r w:rsidRPr="00264E74">
        <w:rPr>
          <w:rFonts w:asciiTheme="minorHAnsi" w:hAnsiTheme="minorHAnsi" w:cstheme="minorHAnsi"/>
          <w:i/>
          <w:iCs/>
          <w:sz w:val="22"/>
          <w:szCs w:val="22"/>
        </w:rPr>
        <w:t>Upper Hunter Economic Diversification Action Plan</w:t>
      </w:r>
      <w:r w:rsidRPr="00264E74">
        <w:rPr>
          <w:rFonts w:asciiTheme="minorHAnsi" w:hAnsiTheme="minorHAnsi" w:cstheme="minorHAnsi"/>
          <w:sz w:val="22"/>
          <w:szCs w:val="22"/>
        </w:rPr>
        <w:t>.</w:t>
      </w:r>
    </w:p>
    <w:p w14:paraId="6EC77BA3" w14:textId="75DF03FD" w:rsidR="00B81057" w:rsidRPr="00264E74" w:rsidRDefault="00B81057" w:rsidP="00076C92">
      <w:pPr>
        <w:rPr>
          <w:rFonts w:asciiTheme="minorHAnsi" w:hAnsiTheme="minorHAnsi" w:cstheme="minorHAnsi"/>
          <w:sz w:val="22"/>
          <w:szCs w:val="22"/>
        </w:rPr>
      </w:pPr>
    </w:p>
    <w:p w14:paraId="07A8F0C8" w14:textId="0F496059" w:rsidR="00B81057" w:rsidRPr="00264E74" w:rsidRDefault="00B81057" w:rsidP="00076C92">
      <w:pPr>
        <w:rPr>
          <w:rFonts w:asciiTheme="minorHAnsi" w:hAnsiTheme="minorHAnsi" w:cstheme="minorHAnsi"/>
          <w:b/>
          <w:bCs/>
          <w:sz w:val="22"/>
          <w:szCs w:val="22"/>
          <w:u w:val="single"/>
        </w:rPr>
      </w:pPr>
      <w:r w:rsidRPr="00264E74">
        <w:rPr>
          <w:rFonts w:asciiTheme="minorHAnsi" w:hAnsiTheme="minorHAnsi" w:cstheme="minorHAnsi"/>
          <w:b/>
          <w:bCs/>
          <w:sz w:val="22"/>
          <w:szCs w:val="22"/>
          <w:u w:val="single"/>
        </w:rPr>
        <w:t xml:space="preserve">Key Strategies: </w:t>
      </w:r>
    </w:p>
    <w:p w14:paraId="53220044" w14:textId="119B88FF"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 xml:space="preserve">Address industries with immediate workforce demand including Equine, Meat Product Manufacturing, and Agriculture through pre-employment and </w:t>
      </w:r>
      <w:r w:rsidR="003346AD" w:rsidRPr="00264E74">
        <w:rPr>
          <w:rFonts w:asciiTheme="minorHAnsi" w:hAnsiTheme="minorHAnsi" w:cstheme="minorHAnsi"/>
          <w:sz w:val="22"/>
          <w:szCs w:val="22"/>
        </w:rPr>
        <w:t>skill set</w:t>
      </w:r>
      <w:r w:rsidRPr="00264E74">
        <w:rPr>
          <w:rFonts w:asciiTheme="minorHAnsi" w:hAnsiTheme="minorHAnsi" w:cstheme="minorHAnsi"/>
          <w:sz w:val="22"/>
          <w:szCs w:val="22"/>
        </w:rPr>
        <w:t xml:space="preserve"> based training programs</w:t>
      </w:r>
      <w:r w:rsidR="00517394" w:rsidRPr="00264E74">
        <w:rPr>
          <w:rFonts w:asciiTheme="minorHAnsi" w:hAnsiTheme="minorHAnsi" w:cstheme="minorHAnsi"/>
          <w:sz w:val="22"/>
          <w:szCs w:val="22"/>
        </w:rPr>
        <w:t>.</w:t>
      </w:r>
    </w:p>
    <w:p w14:paraId="5A710D9D" w14:textId="281A27FF"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Support the diversification of the energy sector through skill transition programs</w:t>
      </w:r>
      <w:r w:rsidR="00517394" w:rsidRPr="00264E74">
        <w:rPr>
          <w:rFonts w:asciiTheme="minorHAnsi" w:hAnsiTheme="minorHAnsi" w:cstheme="minorHAnsi"/>
          <w:sz w:val="22"/>
          <w:szCs w:val="22"/>
        </w:rPr>
        <w:t>.</w:t>
      </w:r>
    </w:p>
    <w:p w14:paraId="3E2422DE" w14:textId="3769036C"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 xml:space="preserve">Utilise existing funding to facilitate </w:t>
      </w:r>
      <w:r w:rsidR="00517394" w:rsidRPr="00264E74">
        <w:rPr>
          <w:rFonts w:asciiTheme="minorHAnsi" w:hAnsiTheme="minorHAnsi" w:cstheme="minorHAnsi"/>
          <w:sz w:val="22"/>
          <w:szCs w:val="22"/>
        </w:rPr>
        <w:t>job seeker</w:t>
      </w:r>
      <w:r w:rsidRPr="00264E74">
        <w:rPr>
          <w:rFonts w:asciiTheme="minorHAnsi" w:hAnsiTheme="minorHAnsi" w:cstheme="minorHAnsi"/>
          <w:sz w:val="22"/>
          <w:szCs w:val="22"/>
        </w:rPr>
        <w:t xml:space="preserve">s relocating to the area for work </w:t>
      </w:r>
      <w:proofErr w:type="gramStart"/>
      <w:r w:rsidRPr="00264E74">
        <w:rPr>
          <w:rFonts w:asciiTheme="minorHAnsi" w:hAnsiTheme="minorHAnsi" w:cstheme="minorHAnsi"/>
          <w:sz w:val="22"/>
          <w:szCs w:val="22"/>
        </w:rPr>
        <w:t>e.g.</w:t>
      </w:r>
      <w:proofErr w:type="gramEnd"/>
      <w:r w:rsidRPr="00264E74">
        <w:rPr>
          <w:rFonts w:asciiTheme="minorHAnsi" w:hAnsiTheme="minorHAnsi" w:cstheme="minorHAnsi"/>
          <w:sz w:val="22"/>
          <w:szCs w:val="22"/>
        </w:rPr>
        <w:t xml:space="preserve"> </w:t>
      </w:r>
      <w:proofErr w:type="spellStart"/>
      <w:r w:rsidRPr="00264E74">
        <w:rPr>
          <w:rFonts w:asciiTheme="minorHAnsi" w:hAnsiTheme="minorHAnsi" w:cstheme="minorHAnsi"/>
          <w:sz w:val="22"/>
          <w:szCs w:val="22"/>
        </w:rPr>
        <w:t>AgMove</w:t>
      </w:r>
      <w:proofErr w:type="spellEnd"/>
      <w:r w:rsidRPr="00264E74">
        <w:rPr>
          <w:rFonts w:asciiTheme="minorHAnsi" w:hAnsiTheme="minorHAnsi" w:cstheme="minorHAnsi"/>
          <w:sz w:val="22"/>
          <w:szCs w:val="22"/>
        </w:rPr>
        <w:t xml:space="preserve"> </w:t>
      </w:r>
      <w:r w:rsidR="00EA3D21">
        <w:rPr>
          <w:rFonts w:asciiTheme="minorHAnsi" w:hAnsiTheme="minorHAnsi" w:cstheme="minorHAnsi"/>
          <w:sz w:val="22"/>
          <w:szCs w:val="22"/>
        </w:rPr>
        <w:t>and</w:t>
      </w:r>
      <w:r w:rsidRPr="00264E74">
        <w:rPr>
          <w:rFonts w:asciiTheme="minorHAnsi" w:hAnsiTheme="minorHAnsi" w:cstheme="minorHAnsi"/>
          <w:sz w:val="22"/>
          <w:szCs w:val="22"/>
        </w:rPr>
        <w:t xml:space="preserve"> </w:t>
      </w:r>
      <w:r w:rsidR="001707E6">
        <w:rPr>
          <w:rFonts w:asciiTheme="minorHAnsi" w:hAnsiTheme="minorHAnsi" w:cstheme="minorHAnsi"/>
          <w:sz w:val="22"/>
          <w:szCs w:val="22"/>
        </w:rPr>
        <w:t>Relocation Assistance to Take Up a Job (</w:t>
      </w:r>
      <w:r w:rsidRPr="00264E74">
        <w:rPr>
          <w:rFonts w:asciiTheme="minorHAnsi" w:hAnsiTheme="minorHAnsi" w:cstheme="minorHAnsi"/>
          <w:sz w:val="22"/>
          <w:szCs w:val="22"/>
        </w:rPr>
        <w:t>RATTUAJ</w:t>
      </w:r>
      <w:r w:rsidR="001707E6">
        <w:rPr>
          <w:rFonts w:asciiTheme="minorHAnsi" w:hAnsiTheme="minorHAnsi" w:cstheme="minorHAnsi"/>
          <w:sz w:val="22"/>
          <w:szCs w:val="22"/>
        </w:rPr>
        <w:t>)</w:t>
      </w:r>
      <w:r w:rsidR="00517394" w:rsidRPr="00264E74">
        <w:rPr>
          <w:rFonts w:asciiTheme="minorHAnsi" w:hAnsiTheme="minorHAnsi" w:cstheme="minorHAnsi"/>
          <w:sz w:val="22"/>
          <w:szCs w:val="22"/>
        </w:rPr>
        <w:t>.</w:t>
      </w:r>
    </w:p>
    <w:p w14:paraId="0B5A6888" w14:textId="720F8F24"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Build regional skills capability by mapping future workforce and skill requirement within the region</w:t>
      </w:r>
      <w:r w:rsidR="00517394" w:rsidRPr="00264E74">
        <w:rPr>
          <w:rFonts w:asciiTheme="minorHAnsi" w:hAnsiTheme="minorHAnsi" w:cstheme="minorHAnsi"/>
          <w:sz w:val="22"/>
          <w:szCs w:val="22"/>
        </w:rPr>
        <w:t>.</w:t>
      </w:r>
    </w:p>
    <w:p w14:paraId="2668E0A1" w14:textId="59F34BEB"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Build engagement with Local Government across the Upper Hunter to determine LGA industry priorities and economic development outlook and respond to employment opportunities as they emerge</w:t>
      </w:r>
      <w:r w:rsidR="00517394" w:rsidRPr="00264E74">
        <w:rPr>
          <w:rFonts w:asciiTheme="minorHAnsi" w:hAnsiTheme="minorHAnsi" w:cstheme="minorHAnsi"/>
          <w:sz w:val="22"/>
          <w:szCs w:val="22"/>
        </w:rPr>
        <w:t>.</w:t>
      </w:r>
      <w:r w:rsidRPr="00264E74">
        <w:rPr>
          <w:rFonts w:asciiTheme="minorHAnsi" w:hAnsiTheme="minorHAnsi" w:cstheme="minorHAnsi"/>
          <w:sz w:val="22"/>
          <w:szCs w:val="22"/>
        </w:rPr>
        <w:t xml:space="preserve"> </w:t>
      </w:r>
    </w:p>
    <w:p w14:paraId="69ED2CDE" w14:textId="65B44951"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Support self-employment and entrepreneurship within the Upper Hunter</w:t>
      </w:r>
      <w:r w:rsidR="00517394" w:rsidRPr="00264E74">
        <w:rPr>
          <w:rFonts w:asciiTheme="minorHAnsi" w:hAnsiTheme="minorHAnsi" w:cstheme="minorHAnsi"/>
          <w:sz w:val="22"/>
          <w:szCs w:val="22"/>
        </w:rPr>
        <w:t>.</w:t>
      </w:r>
      <w:r w:rsidRPr="00264E74">
        <w:rPr>
          <w:rFonts w:asciiTheme="minorHAnsi" w:hAnsiTheme="minorHAnsi" w:cstheme="minorHAnsi"/>
          <w:sz w:val="22"/>
          <w:szCs w:val="22"/>
        </w:rPr>
        <w:t xml:space="preserve"> </w:t>
      </w:r>
    </w:p>
    <w:p w14:paraId="45AB554E" w14:textId="506D8530"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 xml:space="preserve">Leverage existing funding </w:t>
      </w:r>
      <w:r w:rsidR="003346AD" w:rsidRPr="00264E74">
        <w:rPr>
          <w:rFonts w:asciiTheme="minorHAnsi" w:hAnsiTheme="minorHAnsi" w:cstheme="minorHAnsi"/>
          <w:sz w:val="22"/>
          <w:szCs w:val="22"/>
        </w:rPr>
        <w:t>including</w:t>
      </w:r>
      <w:r w:rsidRPr="00264E74">
        <w:rPr>
          <w:rFonts w:asciiTheme="minorHAnsi" w:hAnsiTheme="minorHAnsi" w:cstheme="minorHAnsi"/>
          <w:sz w:val="22"/>
          <w:szCs w:val="22"/>
        </w:rPr>
        <w:t xml:space="preserve"> Regional Jobs Creation Fund, Resources for Regions, Skilling for Recovery</w:t>
      </w:r>
      <w:r w:rsidR="00517394" w:rsidRPr="00264E74">
        <w:rPr>
          <w:rFonts w:asciiTheme="minorHAnsi" w:hAnsiTheme="minorHAnsi" w:cstheme="minorHAnsi"/>
          <w:sz w:val="22"/>
          <w:szCs w:val="22"/>
        </w:rPr>
        <w:t>.</w:t>
      </w:r>
    </w:p>
    <w:p w14:paraId="2AE8FDD3" w14:textId="52B51C1A" w:rsidR="00B81057" w:rsidRPr="00264E74" w:rsidRDefault="00B81057" w:rsidP="00B81057">
      <w:pPr>
        <w:pStyle w:val="ListParagraph"/>
        <w:numPr>
          <w:ilvl w:val="0"/>
          <w:numId w:val="32"/>
        </w:numPr>
        <w:rPr>
          <w:rFonts w:asciiTheme="minorHAnsi" w:hAnsiTheme="minorHAnsi" w:cstheme="minorHAnsi"/>
          <w:sz w:val="22"/>
          <w:szCs w:val="22"/>
        </w:rPr>
      </w:pPr>
      <w:r w:rsidRPr="00264E74">
        <w:rPr>
          <w:rFonts w:asciiTheme="minorHAnsi" w:hAnsiTheme="minorHAnsi" w:cstheme="minorHAnsi"/>
          <w:sz w:val="22"/>
          <w:szCs w:val="22"/>
        </w:rPr>
        <w:t xml:space="preserve">Leverage existing programs and groups </w:t>
      </w:r>
      <w:r w:rsidR="003346AD" w:rsidRPr="00264E74">
        <w:rPr>
          <w:rFonts w:asciiTheme="minorHAnsi" w:hAnsiTheme="minorHAnsi" w:cstheme="minorHAnsi"/>
          <w:sz w:val="22"/>
          <w:szCs w:val="22"/>
        </w:rPr>
        <w:t>including</w:t>
      </w:r>
      <w:r w:rsidRPr="00264E74">
        <w:rPr>
          <w:rFonts w:asciiTheme="minorHAnsi" w:hAnsiTheme="minorHAnsi" w:cstheme="minorHAnsi"/>
          <w:sz w:val="22"/>
          <w:szCs w:val="22"/>
        </w:rPr>
        <w:t xml:space="preserve"> Upper Hunter Economic Diversificatio</w:t>
      </w:r>
      <w:r w:rsidR="00BE3E9E" w:rsidRPr="00264E74">
        <w:rPr>
          <w:rFonts w:asciiTheme="minorHAnsi" w:hAnsiTheme="minorHAnsi" w:cstheme="minorHAnsi"/>
          <w:sz w:val="22"/>
          <w:szCs w:val="22"/>
        </w:rPr>
        <w:t>n</w:t>
      </w:r>
      <w:r w:rsidRPr="00264E74">
        <w:rPr>
          <w:rFonts w:asciiTheme="minorHAnsi" w:hAnsiTheme="minorHAnsi" w:cstheme="minorHAnsi"/>
          <w:sz w:val="22"/>
          <w:szCs w:val="22"/>
        </w:rPr>
        <w:t xml:space="preserve"> Committee, NEIS, Hunter </w:t>
      </w:r>
      <w:r w:rsidR="001707E6">
        <w:rPr>
          <w:rFonts w:asciiTheme="minorHAnsi" w:hAnsiTheme="minorHAnsi" w:cstheme="minorHAnsi"/>
          <w:sz w:val="22"/>
          <w:szCs w:val="22"/>
        </w:rPr>
        <w:t>Entrepreneurship Facilitator</w:t>
      </w:r>
      <w:r w:rsidRPr="00264E74">
        <w:rPr>
          <w:rFonts w:asciiTheme="minorHAnsi" w:hAnsiTheme="minorHAnsi" w:cstheme="minorHAnsi"/>
          <w:sz w:val="22"/>
          <w:szCs w:val="22"/>
        </w:rPr>
        <w:t>, Singleton City Council Worker Support Program, Ride Dungog, Hunter Thoroughbred Breeders Association</w:t>
      </w:r>
      <w:r w:rsidR="00517394" w:rsidRPr="00264E74">
        <w:rPr>
          <w:rFonts w:asciiTheme="minorHAnsi" w:hAnsiTheme="minorHAnsi" w:cstheme="minorHAnsi"/>
          <w:sz w:val="22"/>
          <w:szCs w:val="22"/>
        </w:rPr>
        <w:t>.</w:t>
      </w:r>
    </w:p>
    <w:p w14:paraId="5DE43282" w14:textId="77777777" w:rsidR="00076C92" w:rsidRPr="00EA3D21" w:rsidRDefault="00076C92" w:rsidP="00076C92">
      <w:pPr>
        <w:rPr>
          <w:rFonts w:asciiTheme="minorHAnsi" w:hAnsiTheme="minorHAnsi" w:cstheme="minorHAnsi"/>
          <w:sz w:val="22"/>
          <w:szCs w:val="22"/>
        </w:rPr>
      </w:pPr>
    </w:p>
    <w:p w14:paraId="3CB8FC22" w14:textId="282F9419" w:rsidR="002E28E7" w:rsidRPr="00CB3238" w:rsidRDefault="002E28E7" w:rsidP="002E28E7">
      <w:pPr>
        <w:pStyle w:val="Heading1"/>
        <w:rPr>
          <w:rFonts w:asciiTheme="minorHAnsi" w:hAnsiTheme="minorHAnsi" w:cstheme="minorHAnsi"/>
          <w:b/>
          <w:bCs/>
          <w:sz w:val="23"/>
          <w:szCs w:val="23"/>
        </w:rPr>
      </w:pPr>
      <w:bookmarkStart w:id="68" w:name="_Toc81405367"/>
      <w:r w:rsidRPr="00CB3238">
        <w:rPr>
          <w:rFonts w:asciiTheme="minorHAnsi" w:hAnsiTheme="minorHAnsi" w:cstheme="minorHAnsi"/>
          <w:b/>
          <w:bCs/>
          <w:sz w:val="23"/>
          <w:szCs w:val="23"/>
        </w:rPr>
        <w:t>Delivery Strategies</w:t>
      </w:r>
      <w:bookmarkEnd w:id="68"/>
      <w:r w:rsidRPr="00CB3238">
        <w:rPr>
          <w:rFonts w:asciiTheme="minorHAnsi" w:hAnsiTheme="minorHAnsi" w:cstheme="minorHAnsi"/>
          <w:b/>
          <w:bCs/>
          <w:sz w:val="23"/>
          <w:szCs w:val="23"/>
        </w:rPr>
        <w:t xml:space="preserve"> </w:t>
      </w:r>
    </w:p>
    <w:p w14:paraId="44515D25" w14:textId="0AD4B16E" w:rsidR="002E28E7" w:rsidRPr="00264E74" w:rsidRDefault="002E28E7" w:rsidP="002E28E7">
      <w:pPr>
        <w:rPr>
          <w:rFonts w:asciiTheme="minorHAnsi" w:hAnsiTheme="minorHAnsi" w:cstheme="minorHAnsi"/>
          <w:sz w:val="22"/>
          <w:szCs w:val="22"/>
        </w:rPr>
      </w:pPr>
      <w:r w:rsidRPr="00264E74">
        <w:rPr>
          <w:rFonts w:asciiTheme="minorHAnsi" w:hAnsiTheme="minorHAnsi" w:cstheme="minorHAnsi"/>
          <w:sz w:val="22"/>
          <w:szCs w:val="22"/>
        </w:rPr>
        <w:t xml:space="preserve">The key strategies detailed in the Plan will be implemented through a strategic </w:t>
      </w:r>
      <w:r w:rsidR="003346AD" w:rsidRPr="00264E74">
        <w:rPr>
          <w:rFonts w:asciiTheme="minorHAnsi" w:hAnsiTheme="minorHAnsi" w:cstheme="minorHAnsi"/>
          <w:sz w:val="22"/>
          <w:szCs w:val="22"/>
        </w:rPr>
        <w:t>collaborative</w:t>
      </w:r>
      <w:r w:rsidRPr="00264E74">
        <w:rPr>
          <w:rFonts w:asciiTheme="minorHAnsi" w:hAnsiTheme="minorHAnsi" w:cstheme="minorHAnsi"/>
          <w:sz w:val="22"/>
          <w:szCs w:val="22"/>
        </w:rPr>
        <w:t xml:space="preserve"> approach of regional stakeholders, supported by resourcing from all levels of government. All will work together to continue to identify existing programs and resources that can be deployed to the strategy implementation. Where none exist, the stakeholders will work to develop new programs and seek out new resources.</w:t>
      </w:r>
    </w:p>
    <w:p w14:paraId="08712425" w14:textId="0C751E73" w:rsidR="002E28E7" w:rsidRPr="00264E74" w:rsidRDefault="002E28E7" w:rsidP="002E28E7">
      <w:pPr>
        <w:rPr>
          <w:rFonts w:asciiTheme="minorHAnsi" w:hAnsiTheme="minorHAnsi" w:cstheme="minorHAnsi"/>
          <w:sz w:val="22"/>
          <w:szCs w:val="22"/>
        </w:rPr>
      </w:pPr>
      <w:r w:rsidRPr="00264E74">
        <w:rPr>
          <w:rFonts w:asciiTheme="minorHAnsi" w:hAnsiTheme="minorHAnsi" w:cstheme="minorHAnsi"/>
          <w:sz w:val="22"/>
          <w:szCs w:val="22"/>
        </w:rPr>
        <w:br/>
        <w:t xml:space="preserve">The key stakeholders involved in the Plan implementation are: </w:t>
      </w:r>
    </w:p>
    <w:p w14:paraId="4637FBD8" w14:textId="77777777" w:rsidR="002E28E7" w:rsidRPr="00264E74" w:rsidRDefault="002E28E7" w:rsidP="00EF2165">
      <w:pPr>
        <w:rPr>
          <w:rFonts w:asciiTheme="minorHAnsi" w:hAnsiTheme="minorHAnsi" w:cstheme="minorHAnsi"/>
          <w:sz w:val="22"/>
          <w:szCs w:val="22"/>
        </w:rPr>
      </w:pPr>
    </w:p>
    <w:p w14:paraId="279A4F01" w14:textId="429DCF38" w:rsidR="00CB3238" w:rsidRPr="00264E74" w:rsidRDefault="002E28E7" w:rsidP="00EF2165">
      <w:pPr>
        <w:rPr>
          <w:rFonts w:asciiTheme="minorHAnsi" w:hAnsiTheme="minorHAnsi" w:cstheme="minorHAnsi"/>
          <w:b/>
          <w:bCs/>
          <w:sz w:val="22"/>
          <w:szCs w:val="22"/>
          <w:u w:val="single"/>
        </w:rPr>
      </w:pPr>
      <w:r w:rsidRPr="00264E74">
        <w:rPr>
          <w:rFonts w:asciiTheme="minorHAnsi" w:hAnsiTheme="minorHAnsi" w:cstheme="minorHAnsi"/>
          <w:b/>
          <w:bCs/>
          <w:sz w:val="22"/>
          <w:szCs w:val="22"/>
          <w:u w:val="single"/>
        </w:rPr>
        <w:t>Employment Facilitator Team</w:t>
      </w:r>
    </w:p>
    <w:p w14:paraId="60E47B30" w14:textId="0903F16F" w:rsidR="002E28E7" w:rsidRPr="00264E74" w:rsidRDefault="002E28E7" w:rsidP="00EF2165">
      <w:pPr>
        <w:rPr>
          <w:rFonts w:asciiTheme="minorHAnsi" w:hAnsiTheme="minorHAnsi" w:cstheme="minorHAnsi"/>
          <w:sz w:val="22"/>
          <w:szCs w:val="22"/>
        </w:rPr>
      </w:pPr>
      <w:r w:rsidRPr="00264E74">
        <w:rPr>
          <w:rFonts w:asciiTheme="minorHAnsi" w:hAnsiTheme="minorHAnsi" w:cstheme="minorHAnsi"/>
          <w:sz w:val="22"/>
          <w:szCs w:val="22"/>
        </w:rPr>
        <w:t>Comprising of the Hunter Employment Facilitator and Local Jobs Program Support Officer</w:t>
      </w:r>
      <w:r w:rsidR="00517394" w:rsidRPr="00264E74">
        <w:rPr>
          <w:rFonts w:asciiTheme="minorHAnsi" w:hAnsiTheme="minorHAnsi" w:cstheme="minorHAnsi"/>
          <w:sz w:val="22"/>
          <w:szCs w:val="22"/>
        </w:rPr>
        <w:t>.</w:t>
      </w:r>
    </w:p>
    <w:p w14:paraId="41A01303" w14:textId="77777777" w:rsidR="002E28E7" w:rsidRPr="00264E74" w:rsidRDefault="002E28E7" w:rsidP="002E28E7">
      <w:pPr>
        <w:numPr>
          <w:ilvl w:val="0"/>
          <w:numId w:val="34"/>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 xml:space="preserve">Responsible for the overall coordination of the LJP and Plan implementation. </w:t>
      </w:r>
    </w:p>
    <w:p w14:paraId="35062DA3" w14:textId="2B9E0216" w:rsidR="002E28E7" w:rsidRPr="00264E74" w:rsidRDefault="002E28E7" w:rsidP="002E28E7">
      <w:pPr>
        <w:numPr>
          <w:ilvl w:val="0"/>
          <w:numId w:val="34"/>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 xml:space="preserve">Chair the </w:t>
      </w:r>
      <w:r w:rsidR="003346AD" w:rsidRPr="00264E74">
        <w:rPr>
          <w:rFonts w:asciiTheme="minorHAnsi" w:hAnsiTheme="minorHAnsi" w:cstheme="minorHAnsi"/>
          <w:sz w:val="22"/>
          <w:szCs w:val="22"/>
        </w:rPr>
        <w:t>Hunter</w:t>
      </w:r>
      <w:r w:rsidRPr="00264E74">
        <w:rPr>
          <w:rFonts w:asciiTheme="minorHAnsi" w:hAnsiTheme="minorHAnsi" w:cstheme="minorHAnsi"/>
          <w:sz w:val="22"/>
          <w:szCs w:val="22"/>
        </w:rPr>
        <w:t xml:space="preserve"> Local Jobs and Skills Taskforce. </w:t>
      </w:r>
    </w:p>
    <w:p w14:paraId="49118DFF" w14:textId="77777777" w:rsidR="002E28E7" w:rsidRPr="00264E74" w:rsidRDefault="002E28E7" w:rsidP="002E28E7">
      <w:pPr>
        <w:numPr>
          <w:ilvl w:val="0"/>
          <w:numId w:val="34"/>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 xml:space="preserve">Identify and manage projects related to each priority and strategy. </w:t>
      </w:r>
    </w:p>
    <w:p w14:paraId="418149ED" w14:textId="77777777" w:rsidR="002E28E7" w:rsidRPr="00264E74" w:rsidRDefault="002E28E7" w:rsidP="002E28E7">
      <w:pPr>
        <w:numPr>
          <w:ilvl w:val="0"/>
          <w:numId w:val="34"/>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lastRenderedPageBreak/>
        <w:t xml:space="preserve">Develop and maintain region-wide connections between stakeholders. </w:t>
      </w:r>
    </w:p>
    <w:p w14:paraId="510F51A9" w14:textId="2377290B" w:rsidR="00CB3238" w:rsidRPr="00264E74" w:rsidRDefault="00287888" w:rsidP="00F87E56">
      <w:pPr>
        <w:rPr>
          <w:rFonts w:asciiTheme="minorHAnsi" w:hAnsiTheme="minorHAnsi" w:cstheme="minorHAnsi"/>
          <w:b/>
          <w:bCs/>
          <w:sz w:val="22"/>
          <w:szCs w:val="22"/>
          <w:u w:val="single"/>
        </w:rPr>
      </w:pPr>
      <w:r w:rsidRPr="00264E74">
        <w:rPr>
          <w:rFonts w:asciiTheme="minorHAnsi" w:hAnsiTheme="minorHAnsi" w:cstheme="minorHAnsi"/>
          <w:b/>
          <w:bCs/>
          <w:sz w:val="22"/>
          <w:szCs w:val="22"/>
          <w:u w:val="single"/>
        </w:rPr>
        <w:t>Hunter</w:t>
      </w:r>
      <w:r w:rsidR="002E28E7" w:rsidRPr="00264E74">
        <w:rPr>
          <w:rFonts w:asciiTheme="minorHAnsi" w:hAnsiTheme="minorHAnsi" w:cstheme="minorHAnsi"/>
          <w:b/>
          <w:bCs/>
          <w:sz w:val="22"/>
          <w:szCs w:val="22"/>
          <w:u w:val="single"/>
        </w:rPr>
        <w:t xml:space="preserve"> Local Jobs and Skills Taskforce </w:t>
      </w:r>
    </w:p>
    <w:p w14:paraId="0142CB03" w14:textId="77777777" w:rsidR="002E28E7" w:rsidRPr="00264E74" w:rsidRDefault="002E28E7" w:rsidP="00F87E56">
      <w:pPr>
        <w:rPr>
          <w:rFonts w:asciiTheme="minorHAnsi" w:hAnsiTheme="minorHAnsi" w:cstheme="minorHAnsi"/>
          <w:sz w:val="22"/>
          <w:szCs w:val="22"/>
        </w:rPr>
      </w:pPr>
      <w:r w:rsidRPr="00264E74">
        <w:rPr>
          <w:rFonts w:asciiTheme="minorHAnsi" w:hAnsiTheme="minorHAnsi" w:cstheme="minorHAnsi"/>
          <w:sz w:val="22"/>
          <w:szCs w:val="22"/>
        </w:rPr>
        <w:t xml:space="preserve">A ten-member group comprising representation from sectors and organisations that align with the current LJP priorities, plus a representative from DESE and the Employment Facilitator. </w:t>
      </w:r>
    </w:p>
    <w:p w14:paraId="7A72DC32" w14:textId="77777777" w:rsidR="002E28E7" w:rsidRPr="00264E74" w:rsidRDefault="002E28E7" w:rsidP="00CB3238">
      <w:pPr>
        <w:numPr>
          <w:ilvl w:val="0"/>
          <w:numId w:val="34"/>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 xml:space="preserve">Provide input to and oversight of the LJP implementation and particularly the development and deployment of the Local Jobs Plan. </w:t>
      </w:r>
    </w:p>
    <w:p w14:paraId="23766D84" w14:textId="77777777" w:rsidR="002E28E7" w:rsidRPr="00264E74" w:rsidRDefault="002E28E7" w:rsidP="00CB3238">
      <w:pPr>
        <w:numPr>
          <w:ilvl w:val="0"/>
          <w:numId w:val="34"/>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 xml:space="preserve">Act as a communication pathway on LJP issues to and from their respective sector and network. </w:t>
      </w:r>
    </w:p>
    <w:p w14:paraId="11543001" w14:textId="23772181" w:rsidR="002E28E7" w:rsidRPr="00264E74" w:rsidRDefault="002E28E7" w:rsidP="00CB3238">
      <w:pPr>
        <w:spacing w:before="240" w:after="240"/>
        <w:rPr>
          <w:rFonts w:asciiTheme="minorHAnsi" w:hAnsiTheme="minorHAnsi" w:cstheme="minorHAnsi"/>
          <w:sz w:val="22"/>
          <w:szCs w:val="22"/>
          <w:u w:val="single"/>
        </w:rPr>
      </w:pPr>
      <w:r w:rsidRPr="00264E74">
        <w:rPr>
          <w:rFonts w:asciiTheme="minorHAnsi" w:hAnsiTheme="minorHAnsi" w:cstheme="minorHAnsi"/>
          <w:b/>
          <w:bCs/>
          <w:sz w:val="22"/>
          <w:szCs w:val="22"/>
          <w:u w:val="single"/>
        </w:rPr>
        <w:t>Working Groups</w:t>
      </w:r>
      <w:r w:rsidRPr="00264E74">
        <w:rPr>
          <w:rFonts w:asciiTheme="minorHAnsi" w:hAnsiTheme="minorHAnsi" w:cstheme="minorHAnsi"/>
          <w:sz w:val="22"/>
          <w:szCs w:val="22"/>
          <w:u w:val="single"/>
        </w:rPr>
        <w:br/>
      </w:r>
      <w:r w:rsidR="00CB3238" w:rsidRPr="00264E74">
        <w:rPr>
          <w:rFonts w:asciiTheme="minorHAnsi" w:hAnsiTheme="minorHAnsi" w:cstheme="minorHAnsi"/>
          <w:sz w:val="22"/>
          <w:szCs w:val="22"/>
        </w:rPr>
        <w:t>G</w:t>
      </w:r>
      <w:r w:rsidRPr="00264E74">
        <w:rPr>
          <w:rFonts w:asciiTheme="minorHAnsi" w:hAnsiTheme="minorHAnsi" w:cstheme="minorHAnsi"/>
          <w:sz w:val="22"/>
          <w:szCs w:val="22"/>
        </w:rPr>
        <w:t xml:space="preserve">roups aligned with different labour force issues and/or employment sectors. </w:t>
      </w:r>
    </w:p>
    <w:p w14:paraId="65C2620A" w14:textId="19027846" w:rsidR="002E28E7" w:rsidRPr="00264E74" w:rsidRDefault="002E28E7" w:rsidP="002E28E7">
      <w:pPr>
        <w:numPr>
          <w:ilvl w:val="0"/>
          <w:numId w:val="36"/>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Support the</w:t>
      </w:r>
      <w:r w:rsidR="003346AD" w:rsidRPr="00264E74">
        <w:rPr>
          <w:rFonts w:asciiTheme="minorHAnsi" w:hAnsiTheme="minorHAnsi" w:cstheme="minorHAnsi"/>
          <w:sz w:val="22"/>
          <w:szCs w:val="22"/>
        </w:rPr>
        <w:t xml:space="preserve"> Hunter</w:t>
      </w:r>
      <w:r w:rsidRPr="00264E74">
        <w:rPr>
          <w:rFonts w:asciiTheme="minorHAnsi" w:hAnsiTheme="minorHAnsi" w:cstheme="minorHAnsi"/>
          <w:sz w:val="22"/>
          <w:szCs w:val="22"/>
        </w:rPr>
        <w:t xml:space="preserve"> Local Jobs and Skills Taskforce by providing insights, advice, recommendations and feedback on strategies and outcomes. </w:t>
      </w:r>
    </w:p>
    <w:p w14:paraId="6737673D" w14:textId="1D57B2D4" w:rsidR="00CB3238" w:rsidRPr="00264E74" w:rsidRDefault="002E28E7" w:rsidP="00CB3238">
      <w:pPr>
        <w:numPr>
          <w:ilvl w:val="0"/>
          <w:numId w:val="36"/>
        </w:num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 xml:space="preserve">Act as a conduit for information flow to and from their respective sectors and organisations. </w:t>
      </w:r>
    </w:p>
    <w:p w14:paraId="1F77209E" w14:textId="382B10FC" w:rsidR="00CB3238" w:rsidRPr="00264E74" w:rsidRDefault="002E28E7" w:rsidP="00CB3238">
      <w:pPr>
        <w:spacing w:before="100" w:beforeAutospacing="1"/>
        <w:rPr>
          <w:rFonts w:asciiTheme="minorHAnsi" w:hAnsiTheme="minorHAnsi" w:cstheme="minorHAnsi"/>
          <w:b/>
          <w:bCs/>
          <w:sz w:val="22"/>
          <w:szCs w:val="22"/>
          <w:u w:val="single"/>
        </w:rPr>
      </w:pPr>
      <w:r w:rsidRPr="00264E74">
        <w:rPr>
          <w:rFonts w:asciiTheme="minorHAnsi" w:hAnsiTheme="minorHAnsi" w:cstheme="minorHAnsi"/>
          <w:b/>
          <w:bCs/>
          <w:sz w:val="22"/>
          <w:szCs w:val="22"/>
          <w:u w:val="single"/>
        </w:rPr>
        <w:t xml:space="preserve">Partner Organisations </w:t>
      </w:r>
    </w:p>
    <w:p w14:paraId="3626D64B" w14:textId="62B8F820" w:rsidR="002E28E7" w:rsidRPr="00264E74" w:rsidRDefault="002E28E7" w:rsidP="00CB3238">
      <w:pPr>
        <w:spacing w:after="100" w:afterAutospacing="1"/>
        <w:rPr>
          <w:rFonts w:asciiTheme="minorHAnsi" w:hAnsiTheme="minorHAnsi" w:cstheme="minorHAnsi"/>
          <w:sz w:val="22"/>
          <w:szCs w:val="22"/>
        </w:rPr>
      </w:pPr>
      <w:r w:rsidRPr="00264E74">
        <w:rPr>
          <w:rFonts w:asciiTheme="minorHAnsi" w:hAnsiTheme="minorHAnsi" w:cstheme="minorHAnsi"/>
          <w:sz w:val="22"/>
          <w:szCs w:val="22"/>
        </w:rPr>
        <w:t>Government, industry and community individuals and groups with interest in one or more Plan issues, priorities and/or strategies (</w:t>
      </w:r>
      <w:proofErr w:type="gramStart"/>
      <w:r w:rsidRPr="00264E74">
        <w:rPr>
          <w:rFonts w:asciiTheme="minorHAnsi" w:hAnsiTheme="minorHAnsi" w:cstheme="minorHAnsi"/>
          <w:sz w:val="22"/>
          <w:szCs w:val="22"/>
        </w:rPr>
        <w:t>e.g.</w:t>
      </w:r>
      <w:proofErr w:type="gramEnd"/>
      <w:r w:rsidRPr="00264E74">
        <w:rPr>
          <w:rFonts w:asciiTheme="minorHAnsi" w:hAnsiTheme="minorHAnsi" w:cstheme="minorHAnsi"/>
          <w:sz w:val="22"/>
          <w:szCs w:val="22"/>
        </w:rPr>
        <w:t xml:space="preserve"> NSW government agencies, Local Councils, Employment Service Providers, employers, schools). </w:t>
      </w:r>
    </w:p>
    <w:p w14:paraId="0CE62C93" w14:textId="4DEE8764" w:rsidR="002E28E7" w:rsidRPr="00264E74" w:rsidRDefault="003346AD" w:rsidP="00EF2165">
      <w:pPr>
        <w:pStyle w:val="ListParagraph"/>
        <w:numPr>
          <w:ilvl w:val="0"/>
          <w:numId w:val="37"/>
        </w:numPr>
        <w:spacing w:after="100" w:afterAutospacing="1"/>
        <w:rPr>
          <w:rFonts w:asciiTheme="minorHAnsi" w:hAnsiTheme="minorHAnsi" w:cstheme="minorHAnsi"/>
          <w:sz w:val="22"/>
          <w:szCs w:val="22"/>
          <w:u w:val="single"/>
        </w:rPr>
      </w:pPr>
      <w:r w:rsidRPr="00264E74">
        <w:rPr>
          <w:rFonts w:asciiTheme="minorHAnsi" w:hAnsiTheme="minorHAnsi" w:cstheme="minorHAnsi"/>
          <w:sz w:val="22"/>
          <w:szCs w:val="22"/>
        </w:rPr>
        <w:t>Work collaboratively with the Employment Facilitator and the Taskforce to ensure an integrated approach to employment and training programs across all sectors.</w:t>
      </w:r>
    </w:p>
    <w:p w14:paraId="19389AFC" w14:textId="4CEFFA4C" w:rsidR="002E28E7" w:rsidRPr="00264E74" w:rsidRDefault="002E28E7" w:rsidP="002E28E7">
      <w:pPr>
        <w:pStyle w:val="Heading1"/>
        <w:rPr>
          <w:rFonts w:asciiTheme="minorHAnsi" w:hAnsiTheme="minorHAnsi" w:cstheme="minorHAnsi"/>
          <w:b/>
          <w:bCs/>
          <w:sz w:val="22"/>
          <w:szCs w:val="22"/>
        </w:rPr>
      </w:pPr>
      <w:bookmarkStart w:id="69" w:name="_Toc81405368"/>
      <w:r w:rsidRPr="00264E74">
        <w:rPr>
          <w:rFonts w:asciiTheme="minorHAnsi" w:hAnsiTheme="minorHAnsi" w:cstheme="minorHAnsi"/>
          <w:b/>
          <w:bCs/>
          <w:sz w:val="22"/>
          <w:szCs w:val="22"/>
        </w:rPr>
        <w:t>Alignment with Other Plans</w:t>
      </w:r>
      <w:bookmarkEnd w:id="69"/>
    </w:p>
    <w:p w14:paraId="388C1007" w14:textId="763DC5AD" w:rsidR="002E28E7" w:rsidRPr="00264E74" w:rsidRDefault="002E28E7" w:rsidP="002E28E7">
      <w:pPr>
        <w:spacing w:before="100" w:beforeAutospacing="1" w:after="100" w:afterAutospacing="1"/>
        <w:rPr>
          <w:rFonts w:asciiTheme="minorHAnsi" w:hAnsiTheme="minorHAnsi" w:cstheme="minorHAnsi"/>
          <w:sz w:val="22"/>
          <w:szCs w:val="22"/>
        </w:rPr>
      </w:pPr>
      <w:r w:rsidRPr="00264E74">
        <w:rPr>
          <w:rFonts w:asciiTheme="minorHAnsi" w:hAnsiTheme="minorHAnsi" w:cstheme="minorHAnsi"/>
          <w:sz w:val="22"/>
          <w:szCs w:val="22"/>
        </w:rPr>
        <w:t>The LJP and Local Jobs Plan is designed to align with plans and programs developed by other government agencies and groups. These have been noted as they apply through each priority area and will continue to be developed in future iterations of the Plan.</w:t>
      </w:r>
    </w:p>
    <w:p w14:paraId="63526B0D" w14:textId="1A20F413" w:rsidR="002E28E7" w:rsidRPr="00264E74" w:rsidRDefault="002E28E7" w:rsidP="00EF2165">
      <w:pPr>
        <w:rPr>
          <w:rFonts w:asciiTheme="minorHAnsi" w:hAnsiTheme="minorHAnsi" w:cstheme="minorHAnsi"/>
          <w:sz w:val="22"/>
          <w:szCs w:val="22"/>
        </w:rPr>
      </w:pPr>
    </w:p>
    <w:p w14:paraId="7D404FC5" w14:textId="39C2ACDA" w:rsidR="00CB3238" w:rsidRPr="00264E74" w:rsidRDefault="00CB3238" w:rsidP="00EF2165">
      <w:pPr>
        <w:rPr>
          <w:rFonts w:asciiTheme="minorHAnsi" w:hAnsiTheme="minorHAnsi" w:cstheme="minorHAnsi"/>
          <w:sz w:val="22"/>
          <w:szCs w:val="22"/>
        </w:rPr>
      </w:pPr>
    </w:p>
    <w:p w14:paraId="7C6DEFB9" w14:textId="584B6379" w:rsidR="00CB3238" w:rsidRDefault="00CB3238" w:rsidP="00EF2165">
      <w:pPr>
        <w:rPr>
          <w:rFonts w:asciiTheme="minorHAnsi" w:hAnsiTheme="minorHAnsi" w:cstheme="minorHAnsi"/>
          <w:sz w:val="23"/>
          <w:szCs w:val="23"/>
        </w:rPr>
      </w:pPr>
    </w:p>
    <w:p w14:paraId="5601E9FA" w14:textId="77777777" w:rsidR="00CB3238" w:rsidRDefault="00CB3238" w:rsidP="00EF2165">
      <w:pPr>
        <w:rPr>
          <w:rFonts w:asciiTheme="minorHAnsi" w:hAnsiTheme="minorHAnsi" w:cstheme="minorHAnsi"/>
          <w:sz w:val="23"/>
          <w:szCs w:val="23"/>
        </w:rPr>
        <w:sectPr w:rsidR="00CB3238" w:rsidSect="00CB3238">
          <w:footerReference w:type="even" r:id="rId21"/>
          <w:footerReference w:type="default" r:id="rId22"/>
          <w:pgSz w:w="11906" w:h="16838"/>
          <w:pgMar w:top="1276" w:right="270" w:bottom="1135" w:left="692" w:header="709" w:footer="567" w:gutter="0"/>
          <w:cols w:space="708"/>
          <w:docGrid w:linePitch="360"/>
        </w:sectPr>
      </w:pPr>
    </w:p>
    <w:p w14:paraId="3E881BEF" w14:textId="4D81F125" w:rsidR="00CB3238" w:rsidRDefault="00CB3238" w:rsidP="00CB3238">
      <w:pPr>
        <w:pStyle w:val="Heading1"/>
        <w:rPr>
          <w:rFonts w:asciiTheme="minorHAnsi" w:hAnsiTheme="minorHAnsi" w:cstheme="minorHAnsi"/>
          <w:b/>
          <w:bCs/>
          <w:sz w:val="23"/>
          <w:szCs w:val="23"/>
        </w:rPr>
      </w:pPr>
      <w:bookmarkStart w:id="70" w:name="_Toc81405369"/>
      <w:r w:rsidRPr="00CB3238">
        <w:rPr>
          <w:rFonts w:asciiTheme="minorHAnsi" w:hAnsiTheme="minorHAnsi" w:cstheme="minorHAnsi"/>
          <w:b/>
          <w:bCs/>
          <w:sz w:val="23"/>
          <w:szCs w:val="23"/>
        </w:rPr>
        <w:lastRenderedPageBreak/>
        <w:t xml:space="preserve">Appendix A: Labour market update </w:t>
      </w:r>
      <w:bookmarkEnd w:id="70"/>
      <w:r w:rsidR="000B27DF">
        <w:rPr>
          <w:rFonts w:asciiTheme="minorHAnsi" w:hAnsiTheme="minorHAnsi" w:cstheme="minorHAnsi"/>
          <w:b/>
          <w:bCs/>
          <w:sz w:val="23"/>
          <w:szCs w:val="23"/>
        </w:rPr>
        <w:t xml:space="preserve">April </w:t>
      </w:r>
      <w:r w:rsidR="0039176C">
        <w:rPr>
          <w:rFonts w:asciiTheme="minorHAnsi" w:hAnsiTheme="minorHAnsi" w:cstheme="minorHAnsi"/>
          <w:b/>
          <w:bCs/>
          <w:sz w:val="23"/>
          <w:szCs w:val="23"/>
        </w:rPr>
        <w:t>2022</w:t>
      </w:r>
    </w:p>
    <w:p w14:paraId="48B5274D" w14:textId="1216EF95" w:rsidR="00DC3677" w:rsidRPr="00DC3677" w:rsidRDefault="00F048F5" w:rsidP="00DC3677">
      <w:r>
        <w:rPr>
          <w:noProof/>
        </w:rPr>
        <w:drawing>
          <wp:anchor distT="0" distB="0" distL="114300" distR="114300" simplePos="0" relativeHeight="251666432" behindDoc="1" locked="0" layoutInCell="1" allowOverlap="1" wp14:anchorId="37A64F92" wp14:editId="7E288471">
            <wp:simplePos x="0" y="0"/>
            <wp:positionH relativeFrom="column">
              <wp:posOffset>304165</wp:posOffset>
            </wp:positionH>
            <wp:positionV relativeFrom="paragraph">
              <wp:posOffset>31750</wp:posOffset>
            </wp:positionV>
            <wp:extent cx="11476990" cy="8286750"/>
            <wp:effectExtent l="0" t="0" r="0" b="0"/>
            <wp:wrapTight wrapText="bothSides">
              <wp:wrapPolygon edited="0">
                <wp:start x="0" y="0"/>
                <wp:lineTo x="0" y="21550"/>
                <wp:lineTo x="21547" y="21550"/>
                <wp:lineTo x="21547" y="0"/>
                <wp:lineTo x="0" y="0"/>
              </wp:wrapPolygon>
            </wp:wrapTight>
            <wp:docPr id="7" name="Picture 7" descr="This Labour Market Data Dashboard was published in April 2022 and provides a summary of the key indicators for the Hunter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Labour Market Data Dashboard was published in April 2022 and provides a summary of the key indicators for the Hunter labour market.&#10; &#10;The dashboard combines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
                    <pic:cNvPicPr/>
                  </pic:nvPicPr>
                  <pic:blipFill rotWithShape="1">
                    <a:blip r:embed="rId23">
                      <a:extLst>
                        <a:ext uri="{28A0092B-C50C-407E-A947-70E740481C1C}">
                          <a14:useLocalDpi xmlns:a14="http://schemas.microsoft.com/office/drawing/2010/main" val="0"/>
                        </a:ext>
                      </a:extLst>
                    </a:blip>
                    <a:srcRect l="630"/>
                    <a:stretch/>
                  </pic:blipFill>
                  <pic:spPr bwMode="auto">
                    <a:xfrm>
                      <a:off x="0" y="0"/>
                      <a:ext cx="11476990" cy="828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EF0F4B" w14:textId="4F9D1C31" w:rsidR="00584EF0" w:rsidRPr="00817BDA" w:rsidRDefault="00CB3238" w:rsidP="00517394">
      <w:pPr>
        <w:jc w:val="center"/>
        <w:rPr>
          <w:rFonts w:asciiTheme="minorHAnsi" w:hAnsiTheme="minorHAnsi" w:cstheme="minorHAnsi"/>
          <w:sz w:val="23"/>
          <w:szCs w:val="23"/>
        </w:rPr>
        <w:sectPr w:rsidR="00584EF0" w:rsidRPr="00817BDA" w:rsidSect="007873B3">
          <w:pgSz w:w="23811" w:h="16838" w:orient="landscape" w:code="8"/>
          <w:pgMar w:top="270" w:right="1135" w:bottom="692" w:left="1276" w:header="709" w:footer="567" w:gutter="0"/>
          <w:cols w:space="708"/>
          <w:docGrid w:linePitch="360"/>
        </w:sectPr>
      </w:pPr>
      <w:r>
        <w:rPr>
          <w:rFonts w:asciiTheme="minorHAnsi" w:hAnsiTheme="minorHAnsi" w:cstheme="minorHAnsi"/>
          <w:sz w:val="23"/>
          <w:szCs w:val="23"/>
        </w:rPr>
        <w:br w:type="page"/>
      </w:r>
      <w:bookmarkEnd w:id="60"/>
    </w:p>
    <w:p w14:paraId="0C35AE70" w14:textId="0271C3DA" w:rsidR="00F30AD4" w:rsidRPr="00CB3238" w:rsidRDefault="00200849" w:rsidP="00F30AD4">
      <w:pPr>
        <w:pStyle w:val="Heading1"/>
        <w:rPr>
          <w:rFonts w:asciiTheme="minorHAnsi" w:hAnsiTheme="minorHAnsi" w:cstheme="minorHAnsi"/>
          <w:b/>
          <w:bCs/>
          <w:sz w:val="23"/>
          <w:szCs w:val="23"/>
        </w:rPr>
      </w:pPr>
      <w:bookmarkStart w:id="71" w:name="_Toc81405370"/>
      <w:bookmarkStart w:id="72" w:name="_Toc54275719"/>
      <w:bookmarkStart w:id="73" w:name="_Toc54275724"/>
      <w:bookmarkStart w:id="74" w:name="_Toc55228033"/>
      <w:bookmarkStart w:id="75" w:name="_Toc55228065"/>
      <w:bookmarkStart w:id="76" w:name="_Toc55230461"/>
      <w:bookmarkStart w:id="77" w:name="_Toc55286081"/>
      <w:bookmarkStart w:id="78" w:name="_Toc55831131"/>
      <w:bookmarkStart w:id="79" w:name="_Toc55831560"/>
      <w:bookmarkStart w:id="80" w:name="_Toc56093900"/>
      <w:bookmarkEnd w:id="61"/>
      <w:bookmarkEnd w:id="62"/>
      <w:r w:rsidRPr="00CB3238">
        <w:rPr>
          <w:rFonts w:asciiTheme="minorHAnsi" w:hAnsiTheme="minorHAnsi" w:cstheme="minorHAnsi"/>
          <w:b/>
          <w:bCs/>
          <w:sz w:val="23"/>
          <w:szCs w:val="23"/>
        </w:rPr>
        <w:lastRenderedPageBreak/>
        <w:t>Appendix B: Other Regional Information and Data</w:t>
      </w:r>
      <w:bookmarkEnd w:id="71"/>
    </w:p>
    <w:p w14:paraId="499C5C23" w14:textId="3D8B7931" w:rsidR="00F30AD4" w:rsidRPr="00264E74" w:rsidRDefault="00F30AD4" w:rsidP="00F30AD4">
      <w:pPr>
        <w:rPr>
          <w:rFonts w:ascii="Calibri" w:hAnsi="Calibri" w:cs="Calibri"/>
          <w:sz w:val="22"/>
          <w:szCs w:val="22"/>
          <w:lang w:eastAsia="en-AU"/>
        </w:rPr>
      </w:pPr>
      <w:r w:rsidRPr="00264E74">
        <w:rPr>
          <w:rFonts w:ascii="Calibri" w:hAnsi="Calibri" w:cs="Calibri"/>
          <w:sz w:val="22"/>
          <w:szCs w:val="22"/>
          <w:lang w:eastAsia="en-AU"/>
        </w:rPr>
        <w:t xml:space="preserve">The Hunter </w:t>
      </w:r>
      <w:r w:rsidR="00517394" w:rsidRPr="00264E74">
        <w:rPr>
          <w:rFonts w:ascii="Calibri" w:hAnsi="Calibri" w:cs="Calibri"/>
          <w:sz w:val="22"/>
          <w:szCs w:val="22"/>
          <w:lang w:eastAsia="en-AU"/>
        </w:rPr>
        <w:t xml:space="preserve">Employment </w:t>
      </w:r>
      <w:r w:rsidRPr="00264E74">
        <w:rPr>
          <w:rFonts w:ascii="Calibri" w:hAnsi="Calibri" w:cs="Calibri"/>
          <w:sz w:val="22"/>
          <w:szCs w:val="22"/>
          <w:lang w:eastAsia="en-AU"/>
        </w:rPr>
        <w:t xml:space="preserve">Region is made up of </w:t>
      </w:r>
      <w:r w:rsidR="00517394" w:rsidRPr="00264E74">
        <w:rPr>
          <w:rFonts w:ascii="Calibri" w:hAnsi="Calibri" w:cs="Calibri"/>
          <w:sz w:val="22"/>
          <w:szCs w:val="22"/>
          <w:lang w:eastAsia="en-AU"/>
        </w:rPr>
        <w:t>nine</w:t>
      </w:r>
      <w:r w:rsidRPr="00264E74">
        <w:rPr>
          <w:rFonts w:ascii="Calibri" w:hAnsi="Calibri" w:cs="Calibri"/>
          <w:sz w:val="22"/>
          <w:szCs w:val="22"/>
          <w:lang w:eastAsia="en-AU"/>
        </w:rPr>
        <w:t xml:space="preserve"> Local Government Area</w:t>
      </w:r>
      <w:r w:rsidR="00DA0EF1" w:rsidRPr="00264E74">
        <w:rPr>
          <w:rFonts w:ascii="Calibri" w:hAnsi="Calibri" w:cs="Calibri"/>
          <w:sz w:val="22"/>
          <w:szCs w:val="22"/>
          <w:lang w:eastAsia="en-AU"/>
        </w:rPr>
        <w:t>s</w:t>
      </w:r>
      <w:r w:rsidR="00936481" w:rsidRPr="00264E74">
        <w:rPr>
          <w:rFonts w:ascii="Calibri" w:hAnsi="Calibri" w:cs="Calibri"/>
          <w:sz w:val="22"/>
          <w:szCs w:val="22"/>
          <w:lang w:eastAsia="en-AU"/>
        </w:rPr>
        <w:t xml:space="preserve"> (LGA)</w:t>
      </w:r>
      <w:r w:rsidRPr="00264E74">
        <w:rPr>
          <w:rFonts w:ascii="Calibri" w:hAnsi="Calibri" w:cs="Calibri"/>
          <w:sz w:val="22"/>
          <w:szCs w:val="22"/>
          <w:lang w:eastAsia="en-AU"/>
        </w:rPr>
        <w:t>.</w:t>
      </w:r>
      <w:r w:rsidRPr="00264E74">
        <w:rPr>
          <w:rStyle w:val="FootnoteReference"/>
          <w:rFonts w:ascii="Calibri" w:hAnsi="Calibri" w:cs="Calibri"/>
          <w:sz w:val="22"/>
          <w:szCs w:val="22"/>
          <w:lang w:eastAsia="en-AU"/>
        </w:rPr>
        <w:footnoteReference w:id="3"/>
      </w:r>
      <w:r w:rsidR="0090118E" w:rsidRPr="00264E74">
        <w:rPr>
          <w:rFonts w:ascii="Calibri" w:hAnsi="Calibri" w:cs="Calibri"/>
          <w:sz w:val="22"/>
          <w:szCs w:val="22"/>
          <w:lang w:eastAsia="en-AU"/>
        </w:rPr>
        <w:t xml:space="preserve"> </w:t>
      </w:r>
    </w:p>
    <w:p w14:paraId="0E879172" w14:textId="7FEDA2A4" w:rsidR="00F30AD4" w:rsidRPr="00264E74" w:rsidRDefault="00F30AD4" w:rsidP="00F30AD4">
      <w:pPr>
        <w:rPr>
          <w:rFonts w:ascii="Calibri" w:hAnsi="Calibri" w:cs="Calibri"/>
          <w:sz w:val="22"/>
          <w:szCs w:val="22"/>
          <w:lang w:eastAsia="en-AU"/>
        </w:rPr>
      </w:pPr>
    </w:p>
    <w:p w14:paraId="01E37705"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 xml:space="preserve">Newcastle City Council LGA </w:t>
      </w:r>
    </w:p>
    <w:p w14:paraId="3BF19DA5" w14:textId="5F4953D8" w:rsidR="00E14DC7" w:rsidRPr="00264E74" w:rsidRDefault="00F30AD4" w:rsidP="00F30AD4">
      <w:pPr>
        <w:rPr>
          <w:rFonts w:ascii="Calibri" w:hAnsi="Calibri" w:cs="Calibri"/>
          <w:sz w:val="22"/>
          <w:szCs w:val="22"/>
          <w:lang w:eastAsia="en-AU"/>
        </w:rPr>
      </w:pPr>
      <w:r w:rsidRPr="00264E74">
        <w:rPr>
          <w:rFonts w:ascii="Calibri" w:eastAsiaTheme="minorEastAsia" w:hAnsi="Calibri" w:cs="Calibri"/>
          <w:sz w:val="22"/>
          <w:szCs w:val="22"/>
          <w:lang w:val="en" w:eastAsia="en-AU"/>
        </w:rPr>
        <w:t>Home to 16</w:t>
      </w:r>
      <w:r w:rsidR="00292CCA" w:rsidRPr="00264E74">
        <w:rPr>
          <w:rFonts w:ascii="Calibri" w:eastAsiaTheme="minorEastAsia" w:hAnsi="Calibri" w:cs="Calibri"/>
          <w:sz w:val="22"/>
          <w:szCs w:val="22"/>
          <w:lang w:val="en" w:eastAsia="en-AU"/>
        </w:rPr>
        <w:t>7,363</w:t>
      </w:r>
      <w:r w:rsidRPr="00264E74">
        <w:rPr>
          <w:rFonts w:ascii="Calibri" w:eastAsiaTheme="minorEastAsia" w:hAnsi="Calibri" w:cs="Calibri"/>
          <w:sz w:val="22"/>
          <w:szCs w:val="22"/>
          <w:lang w:val="en" w:eastAsia="en-AU"/>
        </w:rPr>
        <w:t xml:space="preserve"> people, Newcastle supports </w:t>
      </w:r>
      <w:r w:rsidRPr="00264E74">
        <w:rPr>
          <w:rFonts w:ascii="Calibri" w:eastAsiaTheme="minorEastAsia" w:hAnsi="Calibri" w:cs="Calibri"/>
          <w:b/>
          <w:bCs/>
          <w:sz w:val="22"/>
          <w:szCs w:val="22"/>
          <w:lang w:val="en" w:eastAsia="en-AU"/>
        </w:rPr>
        <w:t>102,800 jobs</w:t>
      </w:r>
      <w:r w:rsidRPr="00264E74">
        <w:rPr>
          <w:rFonts w:ascii="Calibri" w:eastAsiaTheme="minorEastAsia" w:hAnsi="Calibri" w:cs="Calibri"/>
          <w:sz w:val="22"/>
          <w:szCs w:val="22"/>
          <w:lang w:val="en" w:eastAsia="en-AU"/>
        </w:rPr>
        <w:t> and has an annual economic output of </w:t>
      </w:r>
      <w:r w:rsidRPr="00264E74">
        <w:rPr>
          <w:rFonts w:ascii="Calibri" w:eastAsiaTheme="minorEastAsia" w:hAnsi="Calibri" w:cs="Calibri"/>
          <w:b/>
          <w:bCs/>
          <w:sz w:val="22"/>
          <w:szCs w:val="22"/>
          <w:lang w:val="en" w:eastAsia="en-AU"/>
        </w:rPr>
        <w:t>$36.</w:t>
      </w:r>
      <w:r w:rsidR="00695D58" w:rsidRPr="00264E74">
        <w:rPr>
          <w:rFonts w:ascii="Calibri" w:eastAsiaTheme="minorEastAsia" w:hAnsi="Calibri" w:cs="Calibri"/>
          <w:b/>
          <w:bCs/>
          <w:sz w:val="22"/>
          <w:szCs w:val="22"/>
          <w:lang w:val="en" w:eastAsia="en-AU"/>
        </w:rPr>
        <w:t>460</w:t>
      </w:r>
      <w:r w:rsidRPr="00264E74">
        <w:rPr>
          <w:rFonts w:ascii="Calibri" w:eastAsiaTheme="minorEastAsia" w:hAnsi="Calibri" w:cs="Calibri"/>
          <w:b/>
          <w:bCs/>
          <w:sz w:val="22"/>
          <w:szCs w:val="22"/>
          <w:lang w:val="en" w:eastAsia="en-AU"/>
        </w:rPr>
        <w:t> billion</w:t>
      </w:r>
      <w:r w:rsidRPr="00264E74">
        <w:rPr>
          <w:rFonts w:ascii="Calibri" w:eastAsiaTheme="minorEastAsia" w:hAnsi="Calibri" w:cs="Calibri"/>
          <w:sz w:val="22"/>
          <w:szCs w:val="22"/>
          <w:lang w:val="en" w:eastAsia="en-AU"/>
        </w:rPr>
        <w:t xml:space="preserve">. Newcastle’s largest employing sector is Healthcare and Social Assistance, </w:t>
      </w:r>
      <w:r w:rsidR="00E14DC7" w:rsidRPr="00264E74">
        <w:rPr>
          <w:rFonts w:ascii="Calibri" w:eastAsiaTheme="minorEastAsia" w:hAnsi="Calibri" w:cs="Calibri"/>
          <w:sz w:val="22"/>
          <w:szCs w:val="22"/>
          <w:lang w:val="en" w:eastAsia="en-AU"/>
        </w:rPr>
        <w:t>and</w:t>
      </w:r>
      <w:r w:rsidRPr="00264E74">
        <w:rPr>
          <w:rFonts w:ascii="Calibri" w:eastAsiaTheme="minorEastAsia" w:hAnsi="Calibri" w:cs="Calibri"/>
          <w:sz w:val="22"/>
          <w:szCs w:val="22"/>
          <w:lang w:val="en" w:eastAsia="en-AU"/>
        </w:rPr>
        <w:t xml:space="preserve"> </w:t>
      </w:r>
      <w:r w:rsidR="00292CCA" w:rsidRPr="00264E74">
        <w:rPr>
          <w:rFonts w:ascii="Calibri" w:eastAsiaTheme="minorEastAsia" w:hAnsi="Calibri" w:cs="Calibri"/>
          <w:sz w:val="22"/>
          <w:szCs w:val="22"/>
          <w:lang w:val="en" w:eastAsia="en-AU"/>
        </w:rPr>
        <w:t xml:space="preserve">over </w:t>
      </w:r>
      <w:r w:rsidRPr="00264E74">
        <w:rPr>
          <w:rFonts w:ascii="Calibri" w:eastAsiaTheme="minorEastAsia" w:hAnsi="Calibri" w:cs="Calibri"/>
          <w:sz w:val="22"/>
          <w:szCs w:val="22"/>
          <w:lang w:val="en" w:eastAsia="en-AU"/>
        </w:rPr>
        <w:t xml:space="preserve">40% of total workforce over the age of forty-five. </w:t>
      </w:r>
      <w:r w:rsidR="000A7F7F" w:rsidRPr="00264E74">
        <w:rPr>
          <w:rFonts w:ascii="Calibri" w:hAnsi="Calibri" w:cs="Calibri"/>
          <w:sz w:val="22"/>
          <w:szCs w:val="22"/>
          <w:lang w:eastAsia="en-AU"/>
        </w:rPr>
        <w:t xml:space="preserve">The most impacted sector in the </w:t>
      </w:r>
      <w:r w:rsidR="008C5E8F" w:rsidRPr="00264E74">
        <w:rPr>
          <w:rFonts w:ascii="Calibri" w:hAnsi="Calibri" w:cs="Calibri"/>
          <w:sz w:val="22"/>
          <w:szCs w:val="22"/>
          <w:lang w:eastAsia="en-AU"/>
        </w:rPr>
        <w:t>Newcastle</w:t>
      </w:r>
      <w:r w:rsidR="000A7F7F" w:rsidRPr="00264E74">
        <w:rPr>
          <w:rFonts w:ascii="Calibri" w:hAnsi="Calibri" w:cs="Calibri"/>
          <w:sz w:val="22"/>
          <w:szCs w:val="22"/>
          <w:lang w:eastAsia="en-AU"/>
        </w:rPr>
        <w:t xml:space="preserve"> City Council LGA </w:t>
      </w:r>
      <w:proofErr w:type="gramStart"/>
      <w:r w:rsidR="000A7F7F" w:rsidRPr="00264E74">
        <w:rPr>
          <w:rFonts w:ascii="Calibri" w:hAnsi="Calibri" w:cs="Calibri"/>
          <w:sz w:val="22"/>
          <w:szCs w:val="22"/>
          <w:lang w:eastAsia="en-AU"/>
        </w:rPr>
        <w:t>as a result of</w:t>
      </w:r>
      <w:proofErr w:type="gramEnd"/>
      <w:r w:rsidR="000A7F7F" w:rsidRPr="00264E74">
        <w:rPr>
          <w:rFonts w:ascii="Calibri" w:hAnsi="Calibri" w:cs="Calibri"/>
          <w:sz w:val="22"/>
          <w:szCs w:val="22"/>
          <w:lang w:eastAsia="en-AU"/>
        </w:rPr>
        <w:t xml:space="preserve"> the global pandemic by decrease in number of people employed is the Education and Training Sector</w:t>
      </w:r>
      <w:r w:rsidR="00E14DC7" w:rsidRPr="00264E74">
        <w:rPr>
          <w:rFonts w:ascii="Calibri" w:hAnsi="Calibri" w:cs="Calibri"/>
          <w:sz w:val="22"/>
          <w:szCs w:val="22"/>
          <w:lang w:eastAsia="en-AU"/>
        </w:rPr>
        <w:t>.</w:t>
      </w:r>
    </w:p>
    <w:p w14:paraId="1EB1A541" w14:textId="77777777" w:rsidR="00F30AD4" w:rsidRPr="00264E74" w:rsidRDefault="00F30AD4" w:rsidP="00F30AD4">
      <w:pPr>
        <w:rPr>
          <w:rFonts w:ascii="Calibri" w:hAnsi="Calibri" w:cs="Calibri"/>
          <w:sz w:val="22"/>
          <w:szCs w:val="22"/>
          <w:lang w:eastAsia="en-AU"/>
        </w:rPr>
      </w:pPr>
    </w:p>
    <w:p w14:paraId="201D731A"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Port Stephens City Council LGA</w:t>
      </w:r>
    </w:p>
    <w:p w14:paraId="5B2248AB" w14:textId="7751D695" w:rsidR="00D35719" w:rsidRPr="00264E74" w:rsidRDefault="00F30AD4" w:rsidP="00D35719">
      <w:pPr>
        <w:rPr>
          <w:rFonts w:ascii="Calibri" w:hAnsi="Calibri" w:cs="Calibri"/>
          <w:color w:val="333333"/>
          <w:sz w:val="22"/>
          <w:szCs w:val="22"/>
          <w:shd w:val="clear" w:color="auto" w:fill="FFFFFF"/>
        </w:rPr>
      </w:pPr>
      <w:r w:rsidRPr="00264E74">
        <w:rPr>
          <w:rFonts w:ascii="Calibri" w:eastAsiaTheme="minorEastAsia" w:hAnsi="Calibri" w:cs="Calibri"/>
          <w:sz w:val="22"/>
          <w:szCs w:val="22"/>
          <w:lang w:val="en" w:eastAsia="en-AU"/>
        </w:rPr>
        <w:t>Home to 7</w:t>
      </w:r>
      <w:r w:rsidR="00E65062" w:rsidRPr="00264E74">
        <w:rPr>
          <w:rFonts w:ascii="Calibri" w:eastAsiaTheme="minorEastAsia" w:hAnsi="Calibri" w:cs="Calibri"/>
          <w:sz w:val="22"/>
          <w:szCs w:val="22"/>
          <w:lang w:val="en" w:eastAsia="en-AU"/>
        </w:rPr>
        <w:t>4,506</w:t>
      </w:r>
      <w:r w:rsidRPr="00264E74">
        <w:rPr>
          <w:rFonts w:ascii="Calibri" w:eastAsiaTheme="minorEastAsia" w:hAnsi="Calibri" w:cs="Calibri"/>
          <w:sz w:val="22"/>
          <w:szCs w:val="22"/>
          <w:lang w:val="en" w:eastAsia="en-AU"/>
        </w:rPr>
        <w:t xml:space="preserve"> people, Port Stephens supports </w:t>
      </w:r>
      <w:r w:rsidRPr="00264E74">
        <w:rPr>
          <w:rFonts w:ascii="Calibri" w:eastAsiaTheme="minorEastAsia" w:hAnsi="Calibri" w:cs="Calibri"/>
          <w:b/>
          <w:bCs/>
          <w:sz w:val="22"/>
          <w:szCs w:val="22"/>
          <w:lang w:val="en" w:eastAsia="en-AU"/>
        </w:rPr>
        <w:t>27,346 jobs</w:t>
      </w:r>
      <w:r w:rsidRPr="00264E74">
        <w:rPr>
          <w:rFonts w:ascii="Calibri" w:eastAsiaTheme="minorEastAsia" w:hAnsi="Calibri" w:cs="Calibri"/>
          <w:sz w:val="22"/>
          <w:szCs w:val="22"/>
          <w:lang w:val="en" w:eastAsia="en-AU"/>
        </w:rPr>
        <w:t> and has an annual economic output of </w:t>
      </w:r>
      <w:r w:rsidRPr="00264E74">
        <w:rPr>
          <w:rFonts w:ascii="Calibri" w:eastAsiaTheme="minorEastAsia" w:hAnsi="Calibri" w:cs="Calibri"/>
          <w:b/>
          <w:bCs/>
          <w:sz w:val="22"/>
          <w:szCs w:val="22"/>
          <w:lang w:val="en" w:eastAsia="en-AU"/>
        </w:rPr>
        <w:t>$12.</w:t>
      </w:r>
      <w:r w:rsidR="00E65062" w:rsidRPr="00264E74">
        <w:rPr>
          <w:rFonts w:ascii="Calibri" w:eastAsiaTheme="minorEastAsia" w:hAnsi="Calibri" w:cs="Calibri"/>
          <w:b/>
          <w:bCs/>
          <w:sz w:val="22"/>
          <w:szCs w:val="22"/>
          <w:lang w:val="en" w:eastAsia="en-AU"/>
        </w:rPr>
        <w:t>772</w:t>
      </w:r>
      <w:r w:rsidRPr="00264E74">
        <w:rPr>
          <w:rFonts w:ascii="Calibri" w:eastAsiaTheme="minorEastAsia" w:hAnsi="Calibri" w:cs="Calibri"/>
          <w:b/>
          <w:bCs/>
          <w:sz w:val="22"/>
          <w:szCs w:val="22"/>
          <w:lang w:val="en" w:eastAsia="en-AU"/>
        </w:rPr>
        <w:t> billion</w:t>
      </w:r>
      <w:r w:rsidRPr="00264E74">
        <w:rPr>
          <w:rFonts w:ascii="Calibri" w:eastAsiaTheme="minorEastAsia" w:hAnsi="Calibri" w:cs="Calibri"/>
          <w:sz w:val="22"/>
          <w:szCs w:val="22"/>
          <w:lang w:val="en" w:eastAsia="en-AU"/>
        </w:rPr>
        <w:t>. Port</w:t>
      </w:r>
      <w:r w:rsidRPr="00264E74">
        <w:rPr>
          <w:rFonts w:ascii="Calibri" w:hAnsi="Calibri" w:cs="Calibri"/>
          <w:color w:val="333333"/>
          <w:sz w:val="22"/>
          <w:szCs w:val="22"/>
          <w:shd w:val="clear" w:color="auto" w:fill="FFFFFF"/>
        </w:rPr>
        <w:t xml:space="preserve"> </w:t>
      </w:r>
      <w:r w:rsidRPr="00264E74">
        <w:rPr>
          <w:rFonts w:ascii="Calibri" w:eastAsiaTheme="minorEastAsia" w:hAnsi="Calibri" w:cs="Calibri"/>
          <w:sz w:val="22"/>
          <w:szCs w:val="22"/>
          <w:lang w:val="en" w:eastAsia="en-AU"/>
        </w:rPr>
        <w:t xml:space="preserve">Stephen’s largest employing industries are Public Administration </w:t>
      </w:r>
      <w:r w:rsidR="00C77F21" w:rsidRPr="00264E74">
        <w:rPr>
          <w:rFonts w:ascii="Calibri" w:eastAsiaTheme="minorEastAsia" w:hAnsi="Calibri" w:cs="Calibri"/>
          <w:sz w:val="22"/>
          <w:szCs w:val="22"/>
          <w:lang w:val="en" w:eastAsia="en-AU"/>
        </w:rPr>
        <w:t xml:space="preserve">and </w:t>
      </w:r>
      <w:r w:rsidRPr="00264E74">
        <w:rPr>
          <w:rFonts w:ascii="Calibri" w:eastAsiaTheme="minorEastAsia" w:hAnsi="Calibri" w:cs="Calibri"/>
          <w:sz w:val="22"/>
          <w:szCs w:val="22"/>
          <w:lang w:val="en" w:eastAsia="en-AU"/>
        </w:rPr>
        <w:t>Safety, and Manufacturing</w:t>
      </w:r>
      <w:r w:rsidR="00825E2B" w:rsidRPr="00264E74">
        <w:rPr>
          <w:rFonts w:ascii="Calibri" w:eastAsiaTheme="minorEastAsia" w:hAnsi="Calibri" w:cs="Calibri"/>
          <w:sz w:val="22"/>
          <w:szCs w:val="22"/>
          <w:lang w:val="en" w:eastAsia="en-AU"/>
        </w:rPr>
        <w:t xml:space="preserve">. Over </w:t>
      </w:r>
      <w:r w:rsidRPr="00264E74">
        <w:rPr>
          <w:rFonts w:ascii="Calibri" w:eastAsiaTheme="minorEastAsia" w:hAnsi="Calibri" w:cs="Calibri"/>
          <w:sz w:val="22"/>
          <w:szCs w:val="22"/>
          <w:lang w:val="en" w:eastAsia="en-AU"/>
        </w:rPr>
        <w:t>42% of the total workforce over the age of forty-five.</w:t>
      </w:r>
      <w:r w:rsidRPr="00264E74">
        <w:rPr>
          <w:rFonts w:ascii="Calibri" w:hAnsi="Calibri" w:cs="Calibri"/>
          <w:color w:val="333333"/>
          <w:sz w:val="22"/>
          <w:szCs w:val="22"/>
          <w:shd w:val="clear" w:color="auto" w:fill="FFFFFF"/>
        </w:rPr>
        <w:t xml:space="preserve"> </w:t>
      </w:r>
      <w:r w:rsidR="00D35719" w:rsidRPr="00264E74">
        <w:rPr>
          <w:rFonts w:ascii="Calibri" w:hAnsi="Calibri" w:cs="Calibri"/>
          <w:sz w:val="22"/>
          <w:szCs w:val="22"/>
          <w:lang w:eastAsia="en-AU"/>
        </w:rPr>
        <w:t xml:space="preserve">The most impacted sector in the Port Stephens Council LGA </w:t>
      </w:r>
      <w:proofErr w:type="gramStart"/>
      <w:r w:rsidR="00D35719" w:rsidRPr="00264E74">
        <w:rPr>
          <w:rFonts w:ascii="Calibri" w:hAnsi="Calibri" w:cs="Calibri"/>
          <w:sz w:val="22"/>
          <w:szCs w:val="22"/>
          <w:lang w:eastAsia="en-AU"/>
        </w:rPr>
        <w:t>as a result of</w:t>
      </w:r>
      <w:proofErr w:type="gramEnd"/>
      <w:r w:rsidR="00D35719" w:rsidRPr="00264E74">
        <w:rPr>
          <w:rFonts w:ascii="Calibri" w:hAnsi="Calibri" w:cs="Calibri"/>
          <w:sz w:val="22"/>
          <w:szCs w:val="22"/>
          <w:lang w:eastAsia="en-AU"/>
        </w:rPr>
        <w:t xml:space="preserve"> the global pandemic by decrease in number of people employed is the </w:t>
      </w:r>
      <w:r w:rsidR="00825E2B" w:rsidRPr="00264E74">
        <w:rPr>
          <w:rFonts w:ascii="Calibri" w:hAnsi="Calibri" w:cs="Calibri"/>
          <w:sz w:val="22"/>
          <w:szCs w:val="22"/>
          <w:lang w:eastAsia="en-AU"/>
        </w:rPr>
        <w:t>Accommodation and Food Services sector.</w:t>
      </w:r>
    </w:p>
    <w:p w14:paraId="28EA711D" w14:textId="77777777" w:rsidR="00F30AD4" w:rsidRPr="00264E74" w:rsidRDefault="00F30AD4" w:rsidP="00F30AD4">
      <w:pPr>
        <w:rPr>
          <w:rFonts w:ascii="Calibri" w:hAnsi="Calibri" w:cs="Calibri"/>
          <w:sz w:val="22"/>
          <w:szCs w:val="22"/>
          <w:lang w:eastAsia="en-AU"/>
        </w:rPr>
      </w:pPr>
    </w:p>
    <w:p w14:paraId="45023C14"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Lake Macquarie City Council LGA</w:t>
      </w:r>
    </w:p>
    <w:p w14:paraId="01C79D3E" w14:textId="19A2193A" w:rsidR="00F30AD4" w:rsidRPr="00264E74" w:rsidRDefault="00F30AD4" w:rsidP="00F30AD4">
      <w:pPr>
        <w:rPr>
          <w:rFonts w:ascii="Calibri" w:eastAsiaTheme="minorEastAsia" w:hAnsi="Calibri" w:cs="Calibri"/>
          <w:sz w:val="22"/>
          <w:szCs w:val="22"/>
          <w:lang w:val="en" w:eastAsia="en-AU"/>
        </w:rPr>
      </w:pPr>
      <w:r w:rsidRPr="00264E74">
        <w:rPr>
          <w:rFonts w:ascii="Calibri" w:eastAsiaTheme="minorEastAsia" w:hAnsi="Calibri" w:cs="Calibri"/>
          <w:sz w:val="22"/>
          <w:szCs w:val="22"/>
          <w:lang w:val="en" w:eastAsia="en-AU"/>
        </w:rPr>
        <w:t xml:space="preserve">Home to </w:t>
      </w:r>
      <w:r w:rsidR="00F24186" w:rsidRPr="00264E74">
        <w:rPr>
          <w:rFonts w:ascii="Calibri" w:eastAsiaTheme="minorEastAsia" w:hAnsi="Calibri" w:cs="Calibri"/>
          <w:sz w:val="22"/>
          <w:szCs w:val="22"/>
          <w:lang w:val="en" w:eastAsia="en-AU"/>
        </w:rPr>
        <w:t>207,775</w:t>
      </w:r>
      <w:r w:rsidRPr="00264E74">
        <w:rPr>
          <w:rFonts w:ascii="Calibri" w:eastAsiaTheme="minorEastAsia" w:hAnsi="Calibri" w:cs="Calibri"/>
          <w:sz w:val="22"/>
          <w:szCs w:val="22"/>
          <w:lang w:val="en" w:eastAsia="en-AU"/>
        </w:rPr>
        <w:t xml:space="preserve"> people, Lake Macquarie supports </w:t>
      </w:r>
      <w:r w:rsidRPr="00264E74">
        <w:rPr>
          <w:rFonts w:ascii="Calibri" w:eastAsiaTheme="minorEastAsia" w:hAnsi="Calibri" w:cs="Calibri"/>
          <w:b/>
          <w:bCs/>
          <w:sz w:val="22"/>
          <w:szCs w:val="22"/>
          <w:lang w:val="en" w:eastAsia="en-AU"/>
        </w:rPr>
        <w:t>61,601 jobs</w:t>
      </w:r>
      <w:r w:rsidRPr="00264E74">
        <w:rPr>
          <w:rFonts w:ascii="Calibri" w:eastAsiaTheme="minorEastAsia" w:hAnsi="Calibri" w:cs="Calibri"/>
          <w:sz w:val="22"/>
          <w:szCs w:val="22"/>
          <w:lang w:val="en" w:eastAsia="en-AU"/>
        </w:rPr>
        <w:t> and has an annual economic output of </w:t>
      </w:r>
      <w:r w:rsidRPr="00264E74">
        <w:rPr>
          <w:rFonts w:ascii="Calibri" w:eastAsiaTheme="minorEastAsia" w:hAnsi="Calibri" w:cs="Calibri"/>
          <w:b/>
          <w:bCs/>
          <w:sz w:val="22"/>
          <w:szCs w:val="22"/>
          <w:lang w:val="en" w:eastAsia="en-AU"/>
        </w:rPr>
        <w:t>$2</w:t>
      </w:r>
      <w:r w:rsidR="0080535E" w:rsidRPr="00264E74">
        <w:rPr>
          <w:rFonts w:ascii="Calibri" w:eastAsiaTheme="minorEastAsia" w:hAnsi="Calibri" w:cs="Calibri"/>
          <w:b/>
          <w:bCs/>
          <w:sz w:val="22"/>
          <w:szCs w:val="22"/>
          <w:lang w:val="en" w:eastAsia="en-AU"/>
        </w:rPr>
        <w:t>1</w:t>
      </w:r>
      <w:r w:rsidRPr="00264E74">
        <w:rPr>
          <w:rFonts w:ascii="Calibri" w:eastAsiaTheme="minorEastAsia" w:hAnsi="Calibri" w:cs="Calibri"/>
          <w:b/>
          <w:bCs/>
          <w:sz w:val="22"/>
          <w:szCs w:val="22"/>
          <w:lang w:val="en" w:eastAsia="en-AU"/>
        </w:rPr>
        <w:t>.</w:t>
      </w:r>
      <w:r w:rsidR="0080535E" w:rsidRPr="00264E74">
        <w:rPr>
          <w:rFonts w:ascii="Calibri" w:eastAsiaTheme="minorEastAsia" w:hAnsi="Calibri" w:cs="Calibri"/>
          <w:b/>
          <w:bCs/>
          <w:sz w:val="22"/>
          <w:szCs w:val="22"/>
          <w:lang w:val="en" w:eastAsia="en-AU"/>
        </w:rPr>
        <w:t>093</w:t>
      </w:r>
      <w:r w:rsidRPr="00264E74">
        <w:rPr>
          <w:rFonts w:ascii="Calibri" w:eastAsiaTheme="minorEastAsia" w:hAnsi="Calibri" w:cs="Calibri"/>
          <w:b/>
          <w:bCs/>
          <w:sz w:val="22"/>
          <w:szCs w:val="22"/>
          <w:lang w:val="en" w:eastAsia="en-AU"/>
        </w:rPr>
        <w:t> billion</w:t>
      </w:r>
      <w:r w:rsidRPr="00264E74">
        <w:rPr>
          <w:rFonts w:ascii="Calibri" w:eastAsiaTheme="minorEastAsia" w:hAnsi="Calibri" w:cs="Calibri"/>
          <w:sz w:val="22"/>
          <w:szCs w:val="22"/>
          <w:lang w:val="en" w:eastAsia="en-AU"/>
        </w:rPr>
        <w:t xml:space="preserve">. Lake Macquarie’s largest employing industry is Health Care </w:t>
      </w:r>
      <w:r w:rsidR="00C77F21" w:rsidRPr="00264E74">
        <w:rPr>
          <w:rFonts w:ascii="Calibri" w:eastAsiaTheme="minorEastAsia" w:hAnsi="Calibri" w:cs="Calibri"/>
          <w:sz w:val="22"/>
          <w:szCs w:val="22"/>
          <w:lang w:val="en" w:eastAsia="en-AU"/>
        </w:rPr>
        <w:t>and</w:t>
      </w:r>
      <w:r w:rsidRPr="00264E74">
        <w:rPr>
          <w:rFonts w:ascii="Calibri" w:eastAsiaTheme="minorEastAsia" w:hAnsi="Calibri" w:cs="Calibri"/>
          <w:sz w:val="22"/>
          <w:szCs w:val="22"/>
          <w:lang w:val="en" w:eastAsia="en-AU"/>
        </w:rPr>
        <w:t xml:space="preserve"> Social Assistance, </w:t>
      </w:r>
      <w:r w:rsidR="00554AC5" w:rsidRPr="00264E74">
        <w:rPr>
          <w:rFonts w:ascii="Calibri" w:eastAsiaTheme="minorEastAsia" w:hAnsi="Calibri" w:cs="Calibri"/>
          <w:sz w:val="22"/>
          <w:szCs w:val="22"/>
          <w:lang w:val="en" w:eastAsia="en-AU"/>
        </w:rPr>
        <w:t>and</w:t>
      </w:r>
      <w:r w:rsidRPr="00264E74">
        <w:rPr>
          <w:rFonts w:ascii="Calibri" w:eastAsiaTheme="minorEastAsia" w:hAnsi="Calibri" w:cs="Calibri"/>
          <w:sz w:val="22"/>
          <w:szCs w:val="22"/>
          <w:lang w:val="en" w:eastAsia="en-AU"/>
        </w:rPr>
        <w:t xml:space="preserve"> 40% of the total workforce over the age of forty-five years. </w:t>
      </w:r>
      <w:r w:rsidRPr="00264E74">
        <w:rPr>
          <w:rFonts w:ascii="Calibri" w:hAnsi="Calibri" w:cs="Calibri"/>
          <w:sz w:val="22"/>
          <w:szCs w:val="22"/>
          <w:lang w:eastAsia="en-AU"/>
        </w:rPr>
        <w:t xml:space="preserve">The most impacted sector in the Lake Macquarie City Council LGA </w:t>
      </w:r>
      <w:proofErr w:type="gramStart"/>
      <w:r w:rsidRPr="00264E74">
        <w:rPr>
          <w:rFonts w:ascii="Calibri" w:hAnsi="Calibri" w:cs="Calibri"/>
          <w:sz w:val="22"/>
          <w:szCs w:val="22"/>
          <w:lang w:eastAsia="en-AU"/>
        </w:rPr>
        <w:t>as a result of</w:t>
      </w:r>
      <w:proofErr w:type="gramEnd"/>
      <w:r w:rsidRPr="00264E74">
        <w:rPr>
          <w:rFonts w:ascii="Calibri" w:hAnsi="Calibri" w:cs="Calibri"/>
          <w:sz w:val="22"/>
          <w:szCs w:val="22"/>
          <w:lang w:eastAsia="en-AU"/>
        </w:rPr>
        <w:t xml:space="preserve"> the global pandemic </w:t>
      </w:r>
      <w:r w:rsidR="00E65062" w:rsidRPr="00264E74">
        <w:rPr>
          <w:rFonts w:ascii="Calibri" w:hAnsi="Calibri" w:cs="Calibri"/>
          <w:sz w:val="22"/>
          <w:szCs w:val="22"/>
          <w:lang w:eastAsia="en-AU"/>
        </w:rPr>
        <w:t xml:space="preserve">by decrease in number of people employed </w:t>
      </w:r>
      <w:r w:rsidRPr="00264E74">
        <w:rPr>
          <w:rFonts w:ascii="Calibri" w:hAnsi="Calibri" w:cs="Calibri"/>
          <w:sz w:val="22"/>
          <w:szCs w:val="22"/>
          <w:lang w:eastAsia="en-AU"/>
        </w:rPr>
        <w:t xml:space="preserve">is the </w:t>
      </w:r>
      <w:r w:rsidR="00554AC5" w:rsidRPr="00264E74">
        <w:rPr>
          <w:rFonts w:ascii="Calibri" w:hAnsi="Calibri" w:cs="Calibri"/>
          <w:sz w:val="22"/>
          <w:szCs w:val="22"/>
          <w:lang w:eastAsia="en-AU"/>
        </w:rPr>
        <w:t>Education and Training Sector.</w:t>
      </w:r>
    </w:p>
    <w:p w14:paraId="61E7FC0F" w14:textId="77777777" w:rsidR="00F30AD4" w:rsidRPr="00264E74" w:rsidRDefault="00F30AD4" w:rsidP="00F30AD4">
      <w:pPr>
        <w:rPr>
          <w:rFonts w:ascii="Calibri" w:hAnsi="Calibri" w:cs="Calibri"/>
          <w:sz w:val="22"/>
          <w:szCs w:val="22"/>
          <w:lang w:eastAsia="en-AU"/>
        </w:rPr>
      </w:pPr>
    </w:p>
    <w:p w14:paraId="1BBDAF8F"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Maitland City Council LGA</w:t>
      </w:r>
    </w:p>
    <w:p w14:paraId="5492D25C" w14:textId="2A6C3BF5" w:rsidR="00D35719" w:rsidRPr="00264E74" w:rsidRDefault="00F30AD4" w:rsidP="00D35719">
      <w:pPr>
        <w:rPr>
          <w:rFonts w:ascii="Calibri" w:hAnsi="Calibri" w:cs="Calibri"/>
          <w:sz w:val="22"/>
          <w:szCs w:val="22"/>
          <w:lang w:eastAsia="en-AU"/>
        </w:rPr>
      </w:pPr>
      <w:r w:rsidRPr="00264E74">
        <w:rPr>
          <w:rFonts w:ascii="Calibri" w:eastAsiaTheme="minorEastAsia" w:hAnsi="Calibri" w:cs="Calibri"/>
          <w:sz w:val="22"/>
          <w:szCs w:val="22"/>
          <w:lang w:val="en" w:eastAsia="en-AU"/>
        </w:rPr>
        <w:t xml:space="preserve">Home to </w:t>
      </w:r>
      <w:r w:rsidR="003A1BBB" w:rsidRPr="00264E74">
        <w:rPr>
          <w:rFonts w:ascii="Calibri" w:eastAsiaTheme="minorEastAsia" w:hAnsi="Calibri" w:cs="Calibri"/>
          <w:sz w:val="22"/>
          <w:szCs w:val="22"/>
          <w:lang w:val="en" w:eastAsia="en-AU"/>
        </w:rPr>
        <w:t>87,395</w:t>
      </w:r>
      <w:r w:rsidRPr="00264E74">
        <w:rPr>
          <w:rFonts w:ascii="Calibri" w:eastAsiaTheme="minorEastAsia" w:hAnsi="Calibri" w:cs="Calibri"/>
          <w:sz w:val="22"/>
          <w:szCs w:val="22"/>
          <w:lang w:val="en" w:eastAsia="en-AU"/>
        </w:rPr>
        <w:t xml:space="preserve"> people, Maitland supports </w:t>
      </w:r>
      <w:r w:rsidRPr="00264E74">
        <w:rPr>
          <w:rFonts w:ascii="Calibri" w:eastAsiaTheme="minorEastAsia" w:hAnsi="Calibri" w:cs="Calibri"/>
          <w:b/>
          <w:bCs/>
          <w:sz w:val="22"/>
          <w:szCs w:val="22"/>
          <w:lang w:val="en" w:eastAsia="en-AU"/>
        </w:rPr>
        <w:t>28,318 jobs</w:t>
      </w:r>
      <w:r w:rsidRPr="00264E74">
        <w:rPr>
          <w:rFonts w:ascii="Calibri" w:eastAsiaTheme="minorEastAsia" w:hAnsi="Calibri" w:cs="Calibri"/>
          <w:sz w:val="22"/>
          <w:szCs w:val="22"/>
          <w:lang w:val="en" w:eastAsia="en-AU"/>
        </w:rPr>
        <w:t> and has an annual economic output of </w:t>
      </w:r>
      <w:r w:rsidRPr="00264E74">
        <w:rPr>
          <w:rFonts w:ascii="Calibri" w:eastAsiaTheme="minorEastAsia" w:hAnsi="Calibri" w:cs="Calibri"/>
          <w:b/>
          <w:bCs/>
          <w:sz w:val="22"/>
          <w:szCs w:val="22"/>
          <w:lang w:val="en" w:eastAsia="en-AU"/>
        </w:rPr>
        <w:t>$9.</w:t>
      </w:r>
      <w:r w:rsidR="003A1BBB" w:rsidRPr="00264E74">
        <w:rPr>
          <w:rFonts w:ascii="Calibri" w:eastAsiaTheme="minorEastAsia" w:hAnsi="Calibri" w:cs="Calibri"/>
          <w:b/>
          <w:bCs/>
          <w:sz w:val="22"/>
          <w:szCs w:val="22"/>
          <w:lang w:val="en" w:eastAsia="en-AU"/>
        </w:rPr>
        <w:t>930</w:t>
      </w:r>
      <w:r w:rsidRPr="00264E74">
        <w:rPr>
          <w:rFonts w:ascii="Calibri" w:eastAsiaTheme="minorEastAsia" w:hAnsi="Calibri" w:cs="Calibri"/>
          <w:b/>
          <w:bCs/>
          <w:sz w:val="22"/>
          <w:szCs w:val="22"/>
          <w:lang w:val="en" w:eastAsia="en-AU"/>
        </w:rPr>
        <w:t> billion</w:t>
      </w:r>
      <w:r w:rsidRPr="00264E74">
        <w:rPr>
          <w:rFonts w:ascii="Calibri" w:eastAsiaTheme="minorEastAsia" w:hAnsi="Calibri" w:cs="Calibri"/>
          <w:sz w:val="22"/>
          <w:szCs w:val="22"/>
          <w:lang w:val="en" w:eastAsia="en-AU"/>
        </w:rPr>
        <w:t>. The Maitland LGA is one of the fastest growing areas in Australia with an average annual growth rate above 2%. Maitland’s largest employing sectors are Health Care Social Assistance, Retail, and Construction</w:t>
      </w:r>
      <w:r w:rsidR="00F52D8E" w:rsidRPr="00264E74">
        <w:rPr>
          <w:rFonts w:ascii="Calibri" w:eastAsiaTheme="minorEastAsia" w:hAnsi="Calibri" w:cs="Calibri"/>
          <w:sz w:val="22"/>
          <w:szCs w:val="22"/>
          <w:lang w:val="en" w:eastAsia="en-AU"/>
        </w:rPr>
        <w:t xml:space="preserve">. Over </w:t>
      </w:r>
      <w:r w:rsidRPr="00264E74">
        <w:rPr>
          <w:rFonts w:ascii="Calibri" w:eastAsiaTheme="minorEastAsia" w:hAnsi="Calibri" w:cs="Calibri"/>
          <w:sz w:val="22"/>
          <w:szCs w:val="22"/>
          <w:lang w:val="en" w:eastAsia="en-AU"/>
        </w:rPr>
        <w:t xml:space="preserve">38% of the total workforce over the age of forty-five years. </w:t>
      </w:r>
      <w:r w:rsidR="00D35719" w:rsidRPr="00264E74">
        <w:rPr>
          <w:rFonts w:ascii="Calibri" w:hAnsi="Calibri" w:cs="Calibri"/>
          <w:sz w:val="22"/>
          <w:szCs w:val="22"/>
          <w:lang w:eastAsia="en-AU"/>
        </w:rPr>
        <w:t xml:space="preserve">The most impacted sector in the </w:t>
      </w:r>
      <w:r w:rsidR="001B3B90" w:rsidRPr="00264E74">
        <w:rPr>
          <w:rFonts w:ascii="Calibri" w:hAnsi="Calibri" w:cs="Calibri"/>
          <w:sz w:val="22"/>
          <w:szCs w:val="22"/>
          <w:lang w:eastAsia="en-AU"/>
        </w:rPr>
        <w:t>Maitland</w:t>
      </w:r>
      <w:r w:rsidR="00D35719" w:rsidRPr="00264E74">
        <w:rPr>
          <w:rFonts w:ascii="Calibri" w:hAnsi="Calibri" w:cs="Calibri"/>
          <w:sz w:val="22"/>
          <w:szCs w:val="22"/>
          <w:lang w:eastAsia="en-AU"/>
        </w:rPr>
        <w:t xml:space="preserve"> City Council LGA </w:t>
      </w:r>
      <w:proofErr w:type="gramStart"/>
      <w:r w:rsidR="00D35719" w:rsidRPr="00264E74">
        <w:rPr>
          <w:rFonts w:ascii="Calibri" w:hAnsi="Calibri" w:cs="Calibri"/>
          <w:sz w:val="22"/>
          <w:szCs w:val="22"/>
          <w:lang w:eastAsia="en-AU"/>
        </w:rPr>
        <w:t>as a result of</w:t>
      </w:r>
      <w:proofErr w:type="gramEnd"/>
      <w:r w:rsidR="00D35719" w:rsidRPr="00264E74">
        <w:rPr>
          <w:rFonts w:ascii="Calibri" w:hAnsi="Calibri" w:cs="Calibri"/>
          <w:sz w:val="22"/>
          <w:szCs w:val="22"/>
          <w:lang w:eastAsia="en-AU"/>
        </w:rPr>
        <w:t xml:space="preserve"> the global pandemic by decrease in number of people employed is the </w:t>
      </w:r>
      <w:r w:rsidR="001B3B90" w:rsidRPr="00264E74">
        <w:rPr>
          <w:rFonts w:ascii="Calibri" w:hAnsi="Calibri" w:cs="Calibri"/>
          <w:sz w:val="22"/>
          <w:szCs w:val="22"/>
          <w:lang w:eastAsia="en-AU"/>
        </w:rPr>
        <w:t xml:space="preserve">Transport, Postal </w:t>
      </w:r>
      <w:r w:rsidR="00D8741E" w:rsidRPr="00264E74">
        <w:rPr>
          <w:rFonts w:ascii="Calibri" w:hAnsi="Calibri" w:cs="Calibri"/>
          <w:sz w:val="22"/>
          <w:szCs w:val="22"/>
          <w:lang w:eastAsia="en-AU"/>
        </w:rPr>
        <w:t>and</w:t>
      </w:r>
      <w:r w:rsidR="001B3B90" w:rsidRPr="00264E74">
        <w:rPr>
          <w:rFonts w:ascii="Calibri" w:hAnsi="Calibri" w:cs="Calibri"/>
          <w:sz w:val="22"/>
          <w:szCs w:val="22"/>
          <w:lang w:eastAsia="en-AU"/>
        </w:rPr>
        <w:t xml:space="preserve"> Warehousing</w:t>
      </w:r>
      <w:r w:rsidR="00D35719" w:rsidRPr="00264E74">
        <w:rPr>
          <w:rFonts w:ascii="Calibri" w:hAnsi="Calibri" w:cs="Calibri"/>
          <w:sz w:val="22"/>
          <w:szCs w:val="22"/>
          <w:lang w:eastAsia="en-AU"/>
        </w:rPr>
        <w:t xml:space="preserve"> Sector.</w:t>
      </w:r>
    </w:p>
    <w:p w14:paraId="6C1A194A" w14:textId="77777777" w:rsidR="00F30AD4" w:rsidRPr="00264E74" w:rsidRDefault="00F30AD4" w:rsidP="00F30AD4">
      <w:pPr>
        <w:rPr>
          <w:rFonts w:ascii="Calibri" w:hAnsi="Calibri" w:cs="Calibri"/>
          <w:sz w:val="22"/>
          <w:szCs w:val="22"/>
          <w:lang w:eastAsia="en-AU"/>
        </w:rPr>
      </w:pPr>
    </w:p>
    <w:p w14:paraId="40492E42"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Dungog Shire Council LGA</w:t>
      </w:r>
    </w:p>
    <w:p w14:paraId="1F9CF08F" w14:textId="1091103E" w:rsidR="00D35719" w:rsidRPr="00264E74" w:rsidRDefault="00F30AD4" w:rsidP="00D35719">
      <w:pPr>
        <w:rPr>
          <w:rFonts w:ascii="Calibri" w:hAnsi="Calibri" w:cs="Calibri"/>
          <w:sz w:val="22"/>
          <w:szCs w:val="22"/>
        </w:rPr>
      </w:pPr>
      <w:r w:rsidRPr="00264E74">
        <w:rPr>
          <w:rFonts w:ascii="Calibri" w:eastAsiaTheme="minorEastAsia" w:hAnsi="Calibri" w:cs="Calibri"/>
          <w:sz w:val="22"/>
          <w:szCs w:val="22"/>
          <w:lang w:val="en" w:eastAsia="en-AU"/>
        </w:rPr>
        <w:t>Home to 9,</w:t>
      </w:r>
      <w:r w:rsidR="006C6E67" w:rsidRPr="00264E74">
        <w:rPr>
          <w:rFonts w:ascii="Calibri" w:eastAsiaTheme="minorEastAsia" w:hAnsi="Calibri" w:cs="Calibri"/>
          <w:sz w:val="22"/>
          <w:szCs w:val="22"/>
          <w:lang w:val="en" w:eastAsia="en-AU"/>
        </w:rPr>
        <w:t>664</w:t>
      </w:r>
      <w:r w:rsidRPr="00264E74">
        <w:rPr>
          <w:rFonts w:ascii="Calibri" w:eastAsiaTheme="minorEastAsia" w:hAnsi="Calibri" w:cs="Calibri"/>
          <w:sz w:val="22"/>
          <w:szCs w:val="22"/>
          <w:lang w:val="en" w:eastAsia="en-AU"/>
        </w:rPr>
        <w:t xml:space="preserve"> people, </w:t>
      </w:r>
      <w:proofErr w:type="spellStart"/>
      <w:r w:rsidRPr="00264E74">
        <w:rPr>
          <w:rFonts w:ascii="Calibri" w:eastAsiaTheme="minorEastAsia" w:hAnsi="Calibri" w:cs="Calibri"/>
          <w:sz w:val="22"/>
          <w:szCs w:val="22"/>
          <w:lang w:val="en" w:eastAsia="en-AU"/>
        </w:rPr>
        <w:t>Dungog</w:t>
      </w:r>
      <w:proofErr w:type="spellEnd"/>
      <w:r w:rsidRPr="00264E74">
        <w:rPr>
          <w:rFonts w:ascii="Calibri" w:eastAsiaTheme="minorEastAsia" w:hAnsi="Calibri" w:cs="Calibri"/>
          <w:sz w:val="22"/>
          <w:szCs w:val="22"/>
          <w:lang w:val="en" w:eastAsia="en-AU"/>
        </w:rPr>
        <w:t xml:space="preserve"> supports </w:t>
      </w:r>
      <w:r w:rsidRPr="00264E74">
        <w:rPr>
          <w:rFonts w:ascii="Calibri" w:eastAsiaTheme="minorEastAsia" w:hAnsi="Calibri" w:cs="Calibri"/>
          <w:b/>
          <w:bCs/>
          <w:sz w:val="22"/>
          <w:szCs w:val="22"/>
          <w:lang w:val="en" w:eastAsia="en-AU"/>
        </w:rPr>
        <w:t>2,202 jobs</w:t>
      </w:r>
      <w:r w:rsidRPr="00264E74">
        <w:rPr>
          <w:rFonts w:ascii="Calibri" w:eastAsiaTheme="minorEastAsia" w:hAnsi="Calibri" w:cs="Calibri"/>
          <w:sz w:val="22"/>
          <w:szCs w:val="22"/>
          <w:lang w:val="en" w:eastAsia="en-AU"/>
        </w:rPr>
        <w:t> and has an annual economic output of </w:t>
      </w:r>
      <w:r w:rsidRPr="00264E74">
        <w:rPr>
          <w:rFonts w:ascii="Calibri" w:eastAsiaTheme="minorEastAsia" w:hAnsi="Calibri" w:cs="Calibri"/>
          <w:b/>
          <w:bCs/>
          <w:sz w:val="22"/>
          <w:szCs w:val="22"/>
          <w:lang w:val="en" w:eastAsia="en-AU"/>
        </w:rPr>
        <w:t>$698.934 million</w:t>
      </w:r>
      <w:r w:rsidRPr="00264E74">
        <w:rPr>
          <w:rFonts w:ascii="Calibri" w:eastAsiaTheme="minorEastAsia" w:hAnsi="Calibri" w:cs="Calibri"/>
          <w:sz w:val="22"/>
          <w:szCs w:val="22"/>
          <w:lang w:val="en" w:eastAsia="en-AU"/>
        </w:rPr>
        <w:t xml:space="preserve">. </w:t>
      </w:r>
      <w:proofErr w:type="spellStart"/>
      <w:r w:rsidRPr="00264E74">
        <w:rPr>
          <w:rFonts w:ascii="Calibri" w:eastAsiaTheme="minorEastAsia" w:hAnsi="Calibri" w:cs="Calibri"/>
          <w:sz w:val="22"/>
          <w:szCs w:val="22"/>
          <w:lang w:val="en" w:eastAsia="en-AU"/>
        </w:rPr>
        <w:t>Dungog’s</w:t>
      </w:r>
      <w:proofErr w:type="spellEnd"/>
      <w:r w:rsidRPr="00264E74">
        <w:rPr>
          <w:rFonts w:ascii="Calibri" w:eastAsiaTheme="minorEastAsia" w:hAnsi="Calibri" w:cs="Calibri"/>
          <w:sz w:val="22"/>
          <w:szCs w:val="22"/>
          <w:lang w:val="en" w:eastAsia="en-AU"/>
        </w:rPr>
        <w:t xml:space="preserve"> </w:t>
      </w:r>
      <w:bookmarkStart w:id="81" w:name="_Hlk80289482"/>
      <w:r w:rsidRPr="00264E74">
        <w:rPr>
          <w:rFonts w:ascii="Calibri" w:eastAsiaTheme="minorEastAsia" w:hAnsi="Calibri" w:cs="Calibri"/>
          <w:sz w:val="22"/>
          <w:szCs w:val="22"/>
          <w:lang w:val="en" w:eastAsia="en-AU"/>
        </w:rPr>
        <w:t xml:space="preserve">largest employing sector is Agriculture, Forestry, </w:t>
      </w:r>
      <w:r w:rsidR="00C77F21" w:rsidRPr="00264E74">
        <w:rPr>
          <w:rFonts w:ascii="Calibri" w:eastAsiaTheme="minorEastAsia" w:hAnsi="Calibri" w:cs="Calibri"/>
          <w:sz w:val="22"/>
          <w:szCs w:val="22"/>
          <w:lang w:val="en" w:eastAsia="en-AU"/>
        </w:rPr>
        <w:t>and</w:t>
      </w:r>
      <w:r w:rsidRPr="00264E74">
        <w:rPr>
          <w:rFonts w:ascii="Calibri" w:eastAsiaTheme="minorEastAsia" w:hAnsi="Calibri" w:cs="Calibri"/>
          <w:sz w:val="22"/>
          <w:szCs w:val="22"/>
          <w:lang w:val="en" w:eastAsia="en-AU"/>
        </w:rPr>
        <w:t xml:space="preserve"> Fishing, </w:t>
      </w:r>
      <w:r w:rsidR="006C6E67" w:rsidRPr="00264E74">
        <w:rPr>
          <w:rFonts w:ascii="Calibri" w:eastAsiaTheme="minorEastAsia" w:hAnsi="Calibri" w:cs="Calibri"/>
          <w:sz w:val="22"/>
          <w:szCs w:val="22"/>
          <w:lang w:val="en" w:eastAsia="en-AU"/>
        </w:rPr>
        <w:t>and</w:t>
      </w:r>
      <w:r w:rsidRPr="00264E74">
        <w:rPr>
          <w:rFonts w:ascii="Calibri" w:eastAsiaTheme="minorEastAsia" w:hAnsi="Calibri" w:cs="Calibri"/>
          <w:sz w:val="22"/>
          <w:szCs w:val="22"/>
          <w:lang w:val="en" w:eastAsia="en-AU"/>
        </w:rPr>
        <w:t xml:space="preserve"> 62% of the total workforce over the age of forty-five.</w:t>
      </w:r>
      <w:bookmarkEnd w:id="81"/>
      <w:r w:rsidRPr="00264E74">
        <w:rPr>
          <w:rFonts w:ascii="Calibri" w:hAnsi="Calibri" w:cs="Calibri"/>
          <w:sz w:val="22"/>
          <w:szCs w:val="22"/>
          <w:lang w:eastAsia="en-AU"/>
        </w:rPr>
        <w:t xml:space="preserve"> </w:t>
      </w:r>
      <w:r w:rsidR="00D35719" w:rsidRPr="00264E74">
        <w:rPr>
          <w:rFonts w:ascii="Calibri" w:hAnsi="Calibri" w:cs="Calibri"/>
          <w:sz w:val="22"/>
          <w:szCs w:val="22"/>
          <w:lang w:eastAsia="en-AU"/>
        </w:rPr>
        <w:t xml:space="preserve">The most impacted sector in the </w:t>
      </w:r>
      <w:r w:rsidR="00780A4F" w:rsidRPr="00264E74">
        <w:rPr>
          <w:rFonts w:ascii="Calibri" w:hAnsi="Calibri" w:cs="Calibri"/>
          <w:sz w:val="22"/>
          <w:szCs w:val="22"/>
          <w:lang w:eastAsia="en-AU"/>
        </w:rPr>
        <w:t>Dungog Shire</w:t>
      </w:r>
      <w:r w:rsidR="00D35719" w:rsidRPr="00264E74">
        <w:rPr>
          <w:rFonts w:ascii="Calibri" w:hAnsi="Calibri" w:cs="Calibri"/>
          <w:sz w:val="22"/>
          <w:szCs w:val="22"/>
          <w:lang w:eastAsia="en-AU"/>
        </w:rPr>
        <w:t xml:space="preserve"> Council LGA </w:t>
      </w:r>
      <w:proofErr w:type="gramStart"/>
      <w:r w:rsidR="00D35719" w:rsidRPr="00264E74">
        <w:rPr>
          <w:rFonts w:ascii="Calibri" w:hAnsi="Calibri" w:cs="Calibri"/>
          <w:sz w:val="22"/>
          <w:szCs w:val="22"/>
          <w:lang w:eastAsia="en-AU"/>
        </w:rPr>
        <w:t>as a result of</w:t>
      </w:r>
      <w:proofErr w:type="gramEnd"/>
      <w:r w:rsidR="00D35719" w:rsidRPr="00264E74">
        <w:rPr>
          <w:rFonts w:ascii="Calibri" w:hAnsi="Calibri" w:cs="Calibri"/>
          <w:sz w:val="22"/>
          <w:szCs w:val="22"/>
          <w:lang w:eastAsia="en-AU"/>
        </w:rPr>
        <w:t xml:space="preserve"> the global pandemic by decrease in number of people employed is the </w:t>
      </w:r>
      <w:r w:rsidR="00780A4F" w:rsidRPr="00264E74">
        <w:rPr>
          <w:rFonts w:ascii="Calibri" w:hAnsi="Calibri" w:cs="Calibri"/>
          <w:sz w:val="22"/>
          <w:szCs w:val="22"/>
          <w:lang w:eastAsia="en-AU"/>
        </w:rPr>
        <w:t xml:space="preserve">Accommodation </w:t>
      </w:r>
      <w:r w:rsidR="00C77F21" w:rsidRPr="00264E74">
        <w:rPr>
          <w:rFonts w:ascii="Calibri" w:hAnsi="Calibri" w:cs="Calibri"/>
          <w:sz w:val="22"/>
          <w:szCs w:val="22"/>
          <w:lang w:eastAsia="en-AU"/>
        </w:rPr>
        <w:t>and</w:t>
      </w:r>
      <w:r w:rsidR="00780A4F" w:rsidRPr="00264E74">
        <w:rPr>
          <w:rFonts w:ascii="Calibri" w:hAnsi="Calibri" w:cs="Calibri"/>
          <w:sz w:val="22"/>
          <w:szCs w:val="22"/>
          <w:lang w:eastAsia="en-AU"/>
        </w:rPr>
        <w:t xml:space="preserve"> Food Services sector</w:t>
      </w:r>
      <w:r w:rsidR="00D35719" w:rsidRPr="00264E74">
        <w:rPr>
          <w:rFonts w:ascii="Calibri" w:hAnsi="Calibri" w:cs="Calibri"/>
          <w:sz w:val="22"/>
          <w:szCs w:val="22"/>
          <w:lang w:eastAsia="en-AU"/>
        </w:rPr>
        <w:t>.</w:t>
      </w:r>
    </w:p>
    <w:p w14:paraId="253866FA" w14:textId="77777777" w:rsidR="00F30AD4" w:rsidRPr="00264E74" w:rsidRDefault="00F30AD4" w:rsidP="00F30AD4">
      <w:pPr>
        <w:rPr>
          <w:rFonts w:ascii="Calibri" w:hAnsi="Calibri" w:cs="Calibri"/>
          <w:sz w:val="22"/>
          <w:szCs w:val="22"/>
          <w:lang w:eastAsia="en-AU"/>
        </w:rPr>
      </w:pPr>
    </w:p>
    <w:p w14:paraId="7FD35DE8"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Cessnock City Council LGA</w:t>
      </w:r>
    </w:p>
    <w:p w14:paraId="070C3A9F" w14:textId="1F07B26E" w:rsidR="006662E4" w:rsidRPr="00264E74" w:rsidRDefault="00F30AD4" w:rsidP="006662E4">
      <w:pPr>
        <w:rPr>
          <w:rFonts w:ascii="Calibri" w:hAnsi="Calibri" w:cs="Calibri"/>
          <w:sz w:val="22"/>
          <w:szCs w:val="22"/>
          <w:lang w:eastAsia="en-AU"/>
        </w:rPr>
      </w:pPr>
      <w:r w:rsidRPr="00264E74">
        <w:rPr>
          <w:rFonts w:ascii="Calibri" w:hAnsi="Calibri" w:cs="Calibri"/>
          <w:sz w:val="22"/>
          <w:szCs w:val="22"/>
          <w:lang w:eastAsia="en-AU"/>
        </w:rPr>
        <w:t xml:space="preserve">Home to </w:t>
      </w:r>
      <w:r w:rsidR="004710DD" w:rsidRPr="00264E74">
        <w:rPr>
          <w:rFonts w:ascii="Calibri" w:hAnsi="Calibri" w:cs="Calibri"/>
          <w:sz w:val="22"/>
          <w:szCs w:val="22"/>
          <w:lang w:eastAsia="en-AU"/>
        </w:rPr>
        <w:t>61,256</w:t>
      </w:r>
      <w:r w:rsidRPr="00264E74">
        <w:rPr>
          <w:rFonts w:ascii="Calibri" w:hAnsi="Calibri" w:cs="Calibri"/>
          <w:sz w:val="22"/>
          <w:szCs w:val="22"/>
          <w:lang w:eastAsia="en-AU"/>
        </w:rPr>
        <w:t xml:space="preserve"> people, Cessnock supports </w:t>
      </w:r>
      <w:r w:rsidRPr="00264E74">
        <w:rPr>
          <w:rFonts w:ascii="Calibri" w:hAnsi="Calibri" w:cs="Calibri"/>
          <w:b/>
          <w:bCs/>
          <w:sz w:val="22"/>
          <w:szCs w:val="22"/>
          <w:lang w:eastAsia="en-AU"/>
        </w:rPr>
        <w:t>15,494 jobs</w:t>
      </w:r>
      <w:r w:rsidRPr="00264E74">
        <w:rPr>
          <w:rFonts w:ascii="Calibri" w:hAnsi="Calibri" w:cs="Calibri"/>
          <w:sz w:val="22"/>
          <w:szCs w:val="22"/>
          <w:lang w:eastAsia="en-AU"/>
        </w:rPr>
        <w:t> and has an annual economic output of </w:t>
      </w:r>
      <w:r w:rsidRPr="00264E74">
        <w:rPr>
          <w:rFonts w:ascii="Calibri" w:hAnsi="Calibri" w:cs="Calibri"/>
          <w:b/>
          <w:bCs/>
          <w:sz w:val="22"/>
          <w:szCs w:val="22"/>
          <w:lang w:eastAsia="en-AU"/>
        </w:rPr>
        <w:t>$5.2</w:t>
      </w:r>
      <w:r w:rsidR="004710DD" w:rsidRPr="00264E74">
        <w:rPr>
          <w:rFonts w:ascii="Calibri" w:hAnsi="Calibri" w:cs="Calibri"/>
          <w:b/>
          <w:bCs/>
          <w:sz w:val="22"/>
          <w:szCs w:val="22"/>
          <w:lang w:eastAsia="en-AU"/>
        </w:rPr>
        <w:t>92</w:t>
      </w:r>
      <w:r w:rsidRPr="00264E74">
        <w:rPr>
          <w:rFonts w:ascii="Calibri" w:hAnsi="Calibri" w:cs="Calibri"/>
          <w:b/>
          <w:bCs/>
          <w:sz w:val="22"/>
          <w:szCs w:val="22"/>
          <w:lang w:eastAsia="en-AU"/>
        </w:rPr>
        <w:t> billion</w:t>
      </w:r>
      <w:r w:rsidRPr="00264E74">
        <w:rPr>
          <w:rFonts w:ascii="Calibri" w:hAnsi="Calibri" w:cs="Calibri"/>
          <w:sz w:val="22"/>
          <w:szCs w:val="22"/>
          <w:lang w:eastAsia="en-AU"/>
        </w:rPr>
        <w:t xml:space="preserve">. Cessnock’s largest employing sector is Accommodation and Food Services, </w:t>
      </w:r>
      <w:r w:rsidR="006662E4" w:rsidRPr="00264E74">
        <w:rPr>
          <w:rFonts w:ascii="Calibri" w:hAnsi="Calibri" w:cs="Calibri"/>
          <w:sz w:val="22"/>
          <w:szCs w:val="22"/>
          <w:lang w:eastAsia="en-AU"/>
        </w:rPr>
        <w:t>and</w:t>
      </w:r>
      <w:r w:rsidRPr="00264E74">
        <w:rPr>
          <w:rFonts w:ascii="Calibri" w:hAnsi="Calibri" w:cs="Calibri"/>
          <w:sz w:val="22"/>
          <w:szCs w:val="22"/>
          <w:lang w:eastAsia="en-AU"/>
        </w:rPr>
        <w:t xml:space="preserve"> 41% of total workforce over the age of forty-five years.</w:t>
      </w:r>
      <w:r w:rsidRPr="00264E74">
        <w:rPr>
          <w:rFonts w:ascii="Calibri" w:hAnsi="Calibri" w:cs="Calibri"/>
          <w:color w:val="333333"/>
          <w:sz w:val="22"/>
          <w:szCs w:val="22"/>
          <w:shd w:val="clear" w:color="auto" w:fill="FFFFFF"/>
        </w:rPr>
        <w:t xml:space="preserve"> </w:t>
      </w:r>
      <w:r w:rsidR="006662E4" w:rsidRPr="00264E74">
        <w:rPr>
          <w:rFonts w:ascii="Calibri" w:hAnsi="Calibri" w:cs="Calibri"/>
          <w:sz w:val="22"/>
          <w:szCs w:val="22"/>
          <w:lang w:eastAsia="en-AU"/>
        </w:rPr>
        <w:t xml:space="preserve">The most impacted sector in the Cessnock City Council LGA </w:t>
      </w:r>
      <w:proofErr w:type="gramStart"/>
      <w:r w:rsidR="006662E4" w:rsidRPr="00264E74">
        <w:rPr>
          <w:rFonts w:ascii="Calibri" w:hAnsi="Calibri" w:cs="Calibri"/>
          <w:sz w:val="22"/>
          <w:szCs w:val="22"/>
          <w:lang w:eastAsia="en-AU"/>
        </w:rPr>
        <w:t>as a result of</w:t>
      </w:r>
      <w:proofErr w:type="gramEnd"/>
      <w:r w:rsidR="006662E4" w:rsidRPr="00264E74">
        <w:rPr>
          <w:rFonts w:ascii="Calibri" w:hAnsi="Calibri" w:cs="Calibri"/>
          <w:sz w:val="22"/>
          <w:szCs w:val="22"/>
          <w:lang w:eastAsia="en-AU"/>
        </w:rPr>
        <w:t xml:space="preserve"> the global pandemic by decrease in number of people employed is the Accommodation and Food Services sector.</w:t>
      </w:r>
    </w:p>
    <w:p w14:paraId="5E0381A8" w14:textId="77777777" w:rsidR="00F30AD4" w:rsidRPr="00264E74" w:rsidRDefault="00F30AD4" w:rsidP="00F30AD4">
      <w:pPr>
        <w:rPr>
          <w:rFonts w:ascii="Calibri" w:hAnsi="Calibri" w:cs="Calibri"/>
          <w:sz w:val="22"/>
          <w:szCs w:val="22"/>
          <w:lang w:eastAsia="en-AU"/>
        </w:rPr>
      </w:pPr>
    </w:p>
    <w:p w14:paraId="4791FAF3"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Singleton City Council LGA</w:t>
      </w:r>
    </w:p>
    <w:p w14:paraId="46550BDA" w14:textId="2EE5D53E" w:rsidR="00F30AD4" w:rsidRPr="00264E74" w:rsidRDefault="00F30AD4" w:rsidP="00F30AD4">
      <w:pPr>
        <w:rPr>
          <w:rFonts w:ascii="Calibri" w:hAnsi="Calibri" w:cs="Calibri"/>
          <w:sz w:val="22"/>
          <w:szCs w:val="22"/>
        </w:rPr>
      </w:pPr>
      <w:r w:rsidRPr="00264E74">
        <w:rPr>
          <w:rFonts w:ascii="Calibri" w:eastAsiaTheme="minorEastAsia" w:hAnsi="Calibri" w:cs="Calibri"/>
          <w:sz w:val="22"/>
          <w:szCs w:val="22"/>
          <w:lang w:val="en" w:eastAsia="en-AU"/>
        </w:rPr>
        <w:t>Home to 23,</w:t>
      </w:r>
      <w:r w:rsidR="00476122" w:rsidRPr="00264E74">
        <w:rPr>
          <w:rFonts w:ascii="Calibri" w:eastAsiaTheme="minorEastAsia" w:hAnsi="Calibri" w:cs="Calibri"/>
          <w:sz w:val="22"/>
          <w:szCs w:val="22"/>
          <w:lang w:val="en" w:eastAsia="en-AU"/>
        </w:rPr>
        <w:t>380</w:t>
      </w:r>
      <w:r w:rsidRPr="00264E74">
        <w:rPr>
          <w:rFonts w:ascii="Calibri" w:eastAsiaTheme="minorEastAsia" w:hAnsi="Calibri" w:cs="Calibri"/>
          <w:sz w:val="22"/>
          <w:szCs w:val="22"/>
          <w:lang w:val="en" w:eastAsia="en-AU"/>
        </w:rPr>
        <w:t xml:space="preserve"> people, Singleton supports </w:t>
      </w:r>
      <w:r w:rsidRPr="00264E74">
        <w:rPr>
          <w:rFonts w:ascii="Calibri" w:eastAsiaTheme="minorEastAsia" w:hAnsi="Calibri" w:cs="Calibri"/>
          <w:b/>
          <w:bCs/>
          <w:sz w:val="22"/>
          <w:szCs w:val="22"/>
          <w:lang w:val="en" w:eastAsia="en-AU"/>
        </w:rPr>
        <w:t>16,325 jobs</w:t>
      </w:r>
      <w:r w:rsidRPr="00264E74">
        <w:rPr>
          <w:rFonts w:ascii="Calibri" w:eastAsiaTheme="minorEastAsia" w:hAnsi="Calibri" w:cs="Calibri"/>
          <w:sz w:val="22"/>
          <w:szCs w:val="22"/>
          <w:lang w:val="en" w:eastAsia="en-AU"/>
        </w:rPr>
        <w:t> and has an annual economic output of </w:t>
      </w:r>
      <w:r w:rsidRPr="00264E74">
        <w:rPr>
          <w:rFonts w:ascii="Calibri" w:eastAsiaTheme="minorEastAsia" w:hAnsi="Calibri" w:cs="Calibri"/>
          <w:b/>
          <w:bCs/>
          <w:sz w:val="22"/>
          <w:szCs w:val="22"/>
          <w:lang w:val="en" w:eastAsia="en-AU"/>
        </w:rPr>
        <w:t>$12.7</w:t>
      </w:r>
      <w:r w:rsidR="00476122" w:rsidRPr="00264E74">
        <w:rPr>
          <w:rFonts w:ascii="Calibri" w:eastAsiaTheme="minorEastAsia" w:hAnsi="Calibri" w:cs="Calibri"/>
          <w:b/>
          <w:bCs/>
          <w:sz w:val="22"/>
          <w:szCs w:val="22"/>
          <w:lang w:val="en" w:eastAsia="en-AU"/>
        </w:rPr>
        <w:t>69</w:t>
      </w:r>
      <w:r w:rsidRPr="00264E74">
        <w:rPr>
          <w:rFonts w:ascii="Calibri" w:eastAsiaTheme="minorEastAsia" w:hAnsi="Calibri" w:cs="Calibri"/>
          <w:b/>
          <w:bCs/>
          <w:sz w:val="22"/>
          <w:szCs w:val="22"/>
          <w:lang w:val="en" w:eastAsia="en-AU"/>
        </w:rPr>
        <w:t> billion</w:t>
      </w:r>
      <w:r w:rsidRPr="00264E74">
        <w:rPr>
          <w:rFonts w:ascii="Calibri" w:eastAsiaTheme="minorEastAsia" w:hAnsi="Calibri" w:cs="Calibri"/>
          <w:sz w:val="22"/>
          <w:szCs w:val="22"/>
          <w:lang w:val="en" w:eastAsia="en-AU"/>
        </w:rPr>
        <w:t xml:space="preserve">. Singleton’s largest employing sector is Mining, </w:t>
      </w:r>
      <w:r w:rsidR="00476122" w:rsidRPr="00264E74">
        <w:rPr>
          <w:rFonts w:ascii="Calibri" w:eastAsiaTheme="minorEastAsia" w:hAnsi="Calibri" w:cs="Calibri"/>
          <w:sz w:val="22"/>
          <w:szCs w:val="22"/>
          <w:lang w:val="en" w:eastAsia="en-AU"/>
        </w:rPr>
        <w:t>and</w:t>
      </w:r>
      <w:r w:rsidRPr="00264E74">
        <w:rPr>
          <w:rFonts w:ascii="Calibri" w:eastAsiaTheme="minorEastAsia" w:hAnsi="Calibri" w:cs="Calibri"/>
          <w:sz w:val="22"/>
          <w:szCs w:val="22"/>
          <w:lang w:val="en" w:eastAsia="en-AU"/>
        </w:rPr>
        <w:t xml:space="preserve"> 37% of the total workforce </w:t>
      </w:r>
      <w:r w:rsidRPr="00264E74">
        <w:rPr>
          <w:rFonts w:ascii="Calibri" w:eastAsiaTheme="minorEastAsia" w:hAnsi="Calibri" w:cs="Calibri"/>
          <w:sz w:val="22"/>
          <w:szCs w:val="22"/>
          <w:lang w:val="en" w:eastAsia="en-AU"/>
        </w:rPr>
        <w:lastRenderedPageBreak/>
        <w:t>over the age of forty-five.</w:t>
      </w:r>
      <w:r w:rsidRPr="00264E74">
        <w:rPr>
          <w:rFonts w:ascii="Calibri" w:hAnsi="Calibri" w:cs="Calibri"/>
          <w:sz w:val="22"/>
          <w:szCs w:val="22"/>
          <w:lang w:eastAsia="en-AU"/>
        </w:rPr>
        <w:t xml:space="preserve"> The most impacted sector in Singleton City LGA </w:t>
      </w:r>
      <w:proofErr w:type="gramStart"/>
      <w:r w:rsidRPr="00264E74">
        <w:rPr>
          <w:rFonts w:ascii="Calibri" w:hAnsi="Calibri" w:cs="Calibri"/>
          <w:sz w:val="22"/>
          <w:szCs w:val="22"/>
          <w:lang w:eastAsia="en-AU"/>
        </w:rPr>
        <w:t>as a result of</w:t>
      </w:r>
      <w:proofErr w:type="gramEnd"/>
      <w:r w:rsidRPr="00264E74">
        <w:rPr>
          <w:rFonts w:ascii="Calibri" w:hAnsi="Calibri" w:cs="Calibri"/>
          <w:sz w:val="22"/>
          <w:szCs w:val="22"/>
          <w:lang w:eastAsia="en-AU"/>
        </w:rPr>
        <w:t xml:space="preserve"> the global pandemic </w:t>
      </w:r>
      <w:r w:rsidR="004F1CE8" w:rsidRPr="00264E74">
        <w:rPr>
          <w:rFonts w:ascii="Calibri" w:hAnsi="Calibri" w:cs="Calibri"/>
          <w:sz w:val="22"/>
          <w:szCs w:val="22"/>
          <w:lang w:eastAsia="en-AU"/>
        </w:rPr>
        <w:t xml:space="preserve">by decrease in number of people employed </w:t>
      </w:r>
      <w:r w:rsidRPr="00264E74">
        <w:rPr>
          <w:rFonts w:ascii="Calibri" w:hAnsi="Calibri" w:cs="Calibri"/>
          <w:sz w:val="22"/>
          <w:szCs w:val="22"/>
          <w:lang w:eastAsia="en-AU"/>
        </w:rPr>
        <w:t xml:space="preserve">is </w:t>
      </w:r>
      <w:r w:rsidR="004F1CE8" w:rsidRPr="00264E74">
        <w:rPr>
          <w:rFonts w:ascii="Calibri" w:hAnsi="Calibri" w:cs="Calibri"/>
          <w:sz w:val="22"/>
          <w:szCs w:val="22"/>
          <w:lang w:eastAsia="en-AU"/>
        </w:rPr>
        <w:t xml:space="preserve">the </w:t>
      </w:r>
      <w:r w:rsidRPr="00264E74">
        <w:rPr>
          <w:rFonts w:ascii="Calibri" w:hAnsi="Calibri" w:cs="Calibri"/>
          <w:sz w:val="22"/>
          <w:szCs w:val="22"/>
          <w:lang w:eastAsia="en-AU"/>
        </w:rPr>
        <w:t>Accommodation and Food Services</w:t>
      </w:r>
      <w:r w:rsidR="004F1CE8" w:rsidRPr="00264E74">
        <w:rPr>
          <w:rFonts w:ascii="Calibri" w:hAnsi="Calibri" w:cs="Calibri"/>
          <w:sz w:val="22"/>
          <w:szCs w:val="22"/>
          <w:lang w:eastAsia="en-AU"/>
        </w:rPr>
        <w:t xml:space="preserve"> sector</w:t>
      </w:r>
      <w:r w:rsidRPr="00264E74">
        <w:rPr>
          <w:rFonts w:ascii="Calibri" w:hAnsi="Calibri" w:cs="Calibri"/>
          <w:sz w:val="22"/>
          <w:szCs w:val="22"/>
          <w:lang w:eastAsia="en-AU"/>
        </w:rPr>
        <w:t>.</w:t>
      </w:r>
    </w:p>
    <w:p w14:paraId="47B4804A" w14:textId="77777777" w:rsidR="00F30AD4" w:rsidRPr="00264E74" w:rsidRDefault="00F30AD4" w:rsidP="00F30AD4">
      <w:pPr>
        <w:rPr>
          <w:rFonts w:ascii="Calibri" w:hAnsi="Calibri" w:cs="Calibri"/>
          <w:sz w:val="22"/>
          <w:szCs w:val="22"/>
          <w:lang w:eastAsia="en-AU"/>
        </w:rPr>
      </w:pPr>
    </w:p>
    <w:p w14:paraId="72AA6568"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Muswellbrook Shire Council LGA</w:t>
      </w:r>
    </w:p>
    <w:p w14:paraId="0E012E69" w14:textId="53EAC0A8" w:rsidR="00F30AD4" w:rsidRPr="00264E74" w:rsidRDefault="00F30AD4" w:rsidP="00F30AD4">
      <w:pPr>
        <w:rPr>
          <w:rFonts w:ascii="Calibri" w:hAnsi="Calibri" w:cs="Calibri"/>
          <w:sz w:val="22"/>
          <w:szCs w:val="22"/>
        </w:rPr>
      </w:pPr>
      <w:r w:rsidRPr="00264E74">
        <w:rPr>
          <w:rFonts w:ascii="Calibri" w:eastAsiaTheme="minorEastAsia" w:hAnsi="Calibri" w:cs="Calibri"/>
          <w:sz w:val="22"/>
          <w:szCs w:val="22"/>
          <w:lang w:val="en" w:eastAsia="en-AU"/>
        </w:rPr>
        <w:t>Home to 16,3</w:t>
      </w:r>
      <w:r w:rsidR="0003794C" w:rsidRPr="00264E74">
        <w:rPr>
          <w:rFonts w:ascii="Calibri" w:eastAsiaTheme="minorEastAsia" w:hAnsi="Calibri" w:cs="Calibri"/>
          <w:sz w:val="22"/>
          <w:szCs w:val="22"/>
          <w:lang w:val="en" w:eastAsia="en-AU"/>
        </w:rPr>
        <w:t>55</w:t>
      </w:r>
      <w:r w:rsidRPr="00264E74">
        <w:rPr>
          <w:rFonts w:ascii="Calibri" w:eastAsiaTheme="minorEastAsia" w:hAnsi="Calibri" w:cs="Calibri"/>
          <w:sz w:val="22"/>
          <w:szCs w:val="22"/>
          <w:lang w:val="en" w:eastAsia="en-AU"/>
        </w:rPr>
        <w:t xml:space="preserve"> people, Muswellbrook supports </w:t>
      </w:r>
      <w:r w:rsidRPr="00264E74">
        <w:rPr>
          <w:rFonts w:ascii="Calibri" w:eastAsiaTheme="minorEastAsia" w:hAnsi="Calibri" w:cs="Calibri"/>
          <w:b/>
          <w:bCs/>
          <w:sz w:val="22"/>
          <w:szCs w:val="22"/>
          <w:lang w:val="en" w:eastAsia="en-AU"/>
        </w:rPr>
        <w:t>10,017 jobs</w:t>
      </w:r>
      <w:r w:rsidRPr="00264E74">
        <w:rPr>
          <w:rFonts w:ascii="Calibri" w:eastAsiaTheme="minorEastAsia" w:hAnsi="Calibri" w:cs="Calibri"/>
          <w:sz w:val="22"/>
          <w:szCs w:val="22"/>
          <w:lang w:val="en" w:eastAsia="en-AU"/>
        </w:rPr>
        <w:t> and has an annual economic output of </w:t>
      </w:r>
      <w:r w:rsidRPr="00264E74">
        <w:rPr>
          <w:rFonts w:ascii="Calibri" w:eastAsiaTheme="minorEastAsia" w:hAnsi="Calibri" w:cs="Calibri"/>
          <w:b/>
          <w:bCs/>
          <w:sz w:val="22"/>
          <w:szCs w:val="22"/>
          <w:lang w:val="en" w:eastAsia="en-AU"/>
        </w:rPr>
        <w:t>$7.</w:t>
      </w:r>
      <w:r w:rsidR="0003794C" w:rsidRPr="00264E74">
        <w:rPr>
          <w:rFonts w:ascii="Calibri" w:eastAsiaTheme="minorEastAsia" w:hAnsi="Calibri" w:cs="Calibri"/>
          <w:b/>
          <w:bCs/>
          <w:sz w:val="22"/>
          <w:szCs w:val="22"/>
          <w:lang w:val="en" w:eastAsia="en-AU"/>
        </w:rPr>
        <w:t>335</w:t>
      </w:r>
      <w:r w:rsidRPr="00264E74">
        <w:rPr>
          <w:rFonts w:ascii="Calibri" w:eastAsiaTheme="minorEastAsia" w:hAnsi="Calibri" w:cs="Calibri"/>
          <w:b/>
          <w:bCs/>
          <w:sz w:val="22"/>
          <w:szCs w:val="22"/>
          <w:lang w:val="en" w:eastAsia="en-AU"/>
        </w:rPr>
        <w:t> billion</w:t>
      </w:r>
      <w:r w:rsidRPr="00264E74">
        <w:rPr>
          <w:rFonts w:ascii="Calibri" w:eastAsiaTheme="minorEastAsia" w:hAnsi="Calibri" w:cs="Calibri"/>
          <w:sz w:val="22"/>
          <w:szCs w:val="22"/>
          <w:lang w:val="en" w:eastAsia="en-AU"/>
        </w:rPr>
        <w:t>. Muswellbrook Shire Council LGA’s largest employing sectors is Mining with 40% of the total workforce over the age of forty-five.</w:t>
      </w:r>
      <w:r w:rsidRPr="00264E74">
        <w:rPr>
          <w:rFonts w:ascii="Calibri" w:hAnsi="Calibri" w:cs="Calibri"/>
          <w:color w:val="333333"/>
          <w:sz w:val="22"/>
          <w:szCs w:val="22"/>
          <w:shd w:val="clear" w:color="auto" w:fill="FFFFFF"/>
        </w:rPr>
        <w:t xml:space="preserve"> </w:t>
      </w:r>
      <w:r w:rsidRPr="00264E74">
        <w:rPr>
          <w:rFonts w:ascii="Calibri" w:hAnsi="Calibri" w:cs="Calibri"/>
          <w:sz w:val="22"/>
          <w:szCs w:val="22"/>
          <w:lang w:eastAsia="en-AU"/>
        </w:rPr>
        <w:t xml:space="preserve">The most impacted sector in Muswellbrook Shire Council LGA </w:t>
      </w:r>
      <w:proofErr w:type="gramStart"/>
      <w:r w:rsidRPr="00264E74">
        <w:rPr>
          <w:rFonts w:ascii="Calibri" w:hAnsi="Calibri" w:cs="Calibri"/>
          <w:sz w:val="22"/>
          <w:szCs w:val="22"/>
          <w:lang w:eastAsia="en-AU"/>
        </w:rPr>
        <w:t>as a result of</w:t>
      </w:r>
      <w:proofErr w:type="gramEnd"/>
      <w:r w:rsidRPr="00264E74">
        <w:rPr>
          <w:rFonts w:ascii="Calibri" w:hAnsi="Calibri" w:cs="Calibri"/>
          <w:sz w:val="22"/>
          <w:szCs w:val="22"/>
          <w:lang w:eastAsia="en-AU"/>
        </w:rPr>
        <w:t xml:space="preserve"> the global pandemic </w:t>
      </w:r>
      <w:r w:rsidR="0003794C" w:rsidRPr="00264E74">
        <w:rPr>
          <w:rFonts w:ascii="Calibri" w:hAnsi="Calibri" w:cs="Calibri"/>
          <w:sz w:val="22"/>
          <w:szCs w:val="22"/>
          <w:lang w:eastAsia="en-AU"/>
        </w:rPr>
        <w:t xml:space="preserve">by decrease in number of people employed </w:t>
      </w:r>
      <w:r w:rsidRPr="00264E74">
        <w:rPr>
          <w:rFonts w:ascii="Calibri" w:hAnsi="Calibri" w:cs="Calibri"/>
          <w:sz w:val="22"/>
          <w:szCs w:val="22"/>
          <w:lang w:eastAsia="en-AU"/>
        </w:rPr>
        <w:t xml:space="preserve">is </w:t>
      </w:r>
      <w:r w:rsidR="0003794C" w:rsidRPr="00264E74">
        <w:rPr>
          <w:rFonts w:ascii="Calibri" w:hAnsi="Calibri" w:cs="Calibri"/>
          <w:sz w:val="22"/>
          <w:szCs w:val="22"/>
          <w:lang w:eastAsia="en-AU"/>
        </w:rPr>
        <w:t xml:space="preserve">the </w:t>
      </w:r>
      <w:r w:rsidRPr="00264E74">
        <w:rPr>
          <w:rFonts w:ascii="Calibri" w:hAnsi="Calibri" w:cs="Calibri"/>
          <w:sz w:val="22"/>
          <w:szCs w:val="22"/>
          <w:lang w:eastAsia="en-AU"/>
        </w:rPr>
        <w:t>Accommodation and Food Services</w:t>
      </w:r>
      <w:r w:rsidR="0003794C" w:rsidRPr="00264E74">
        <w:rPr>
          <w:rFonts w:ascii="Calibri" w:hAnsi="Calibri" w:cs="Calibri"/>
          <w:sz w:val="22"/>
          <w:szCs w:val="22"/>
          <w:lang w:eastAsia="en-AU"/>
        </w:rPr>
        <w:t xml:space="preserve"> sector</w:t>
      </w:r>
      <w:r w:rsidRPr="00264E74">
        <w:rPr>
          <w:rFonts w:ascii="Calibri" w:hAnsi="Calibri" w:cs="Calibri"/>
          <w:sz w:val="22"/>
          <w:szCs w:val="22"/>
          <w:lang w:eastAsia="en-AU"/>
        </w:rPr>
        <w:t>.</w:t>
      </w:r>
    </w:p>
    <w:p w14:paraId="5E5E2DB6" w14:textId="77777777" w:rsidR="00F30AD4" w:rsidRPr="00264E74" w:rsidRDefault="00F30AD4" w:rsidP="00F30AD4">
      <w:pPr>
        <w:rPr>
          <w:rFonts w:ascii="Calibri" w:hAnsi="Calibri" w:cs="Calibri"/>
          <w:sz w:val="22"/>
          <w:szCs w:val="22"/>
          <w:lang w:eastAsia="en-AU"/>
        </w:rPr>
      </w:pPr>
    </w:p>
    <w:p w14:paraId="5E0C8877" w14:textId="77777777" w:rsidR="00F30AD4" w:rsidRPr="00264E74" w:rsidRDefault="00F30AD4" w:rsidP="00F30AD4">
      <w:pPr>
        <w:rPr>
          <w:rFonts w:ascii="Calibri" w:hAnsi="Calibri" w:cs="Calibri"/>
          <w:sz w:val="22"/>
          <w:szCs w:val="22"/>
          <w:u w:val="single"/>
          <w:lang w:eastAsia="en-AU"/>
        </w:rPr>
      </w:pPr>
      <w:r w:rsidRPr="00264E74">
        <w:rPr>
          <w:rFonts w:ascii="Calibri" w:hAnsi="Calibri" w:cs="Calibri"/>
          <w:sz w:val="22"/>
          <w:szCs w:val="22"/>
          <w:u w:val="single"/>
          <w:lang w:eastAsia="en-AU"/>
        </w:rPr>
        <w:t xml:space="preserve">Upper Hunter Shire Council LGA </w:t>
      </w:r>
    </w:p>
    <w:p w14:paraId="21DC25E8" w14:textId="2828D412" w:rsidR="00F30AD4" w:rsidRPr="00264E74" w:rsidRDefault="00F30AD4" w:rsidP="00F30AD4">
      <w:pPr>
        <w:rPr>
          <w:rFonts w:ascii="Calibri" w:hAnsi="Calibri" w:cs="Calibri"/>
          <w:sz w:val="22"/>
          <w:szCs w:val="22"/>
          <w:lang w:eastAsia="en-AU"/>
        </w:rPr>
      </w:pPr>
      <w:r w:rsidRPr="00264E74">
        <w:rPr>
          <w:rFonts w:ascii="Calibri" w:hAnsi="Calibri" w:cs="Calibri"/>
          <w:sz w:val="22"/>
          <w:szCs w:val="22"/>
          <w:lang w:eastAsia="en-AU"/>
        </w:rPr>
        <w:t>Home to 14,1</w:t>
      </w:r>
      <w:r w:rsidR="003A69D7" w:rsidRPr="00264E74">
        <w:rPr>
          <w:rFonts w:ascii="Calibri" w:hAnsi="Calibri" w:cs="Calibri"/>
          <w:sz w:val="22"/>
          <w:szCs w:val="22"/>
          <w:lang w:eastAsia="en-AU"/>
        </w:rPr>
        <w:t>67</w:t>
      </w:r>
      <w:r w:rsidRPr="00264E74">
        <w:rPr>
          <w:rFonts w:ascii="Calibri" w:hAnsi="Calibri" w:cs="Calibri"/>
          <w:sz w:val="22"/>
          <w:szCs w:val="22"/>
          <w:lang w:eastAsia="en-AU"/>
        </w:rPr>
        <w:t xml:space="preserve"> people, </w:t>
      </w:r>
      <w:r w:rsidRPr="00264E74">
        <w:rPr>
          <w:rFonts w:ascii="Calibri" w:hAnsi="Calibri" w:cs="Calibri"/>
          <w:b/>
          <w:bCs/>
          <w:sz w:val="22"/>
          <w:szCs w:val="22"/>
          <w:lang w:eastAsia="en-AU"/>
        </w:rPr>
        <w:t>5,260 jobs</w:t>
      </w:r>
      <w:r w:rsidRPr="00264E74">
        <w:rPr>
          <w:rFonts w:ascii="Calibri" w:hAnsi="Calibri" w:cs="Calibri"/>
          <w:sz w:val="22"/>
          <w:szCs w:val="22"/>
          <w:lang w:eastAsia="en-AU"/>
        </w:rPr>
        <w:t xml:space="preserve"> and annual economic output of </w:t>
      </w:r>
      <w:r w:rsidRPr="00264E74">
        <w:rPr>
          <w:rFonts w:ascii="Calibri" w:hAnsi="Calibri" w:cs="Calibri"/>
          <w:b/>
          <w:bCs/>
          <w:sz w:val="22"/>
          <w:szCs w:val="22"/>
          <w:lang w:eastAsia="en-AU"/>
        </w:rPr>
        <w:t>$1.6</w:t>
      </w:r>
      <w:r w:rsidR="003A69D7" w:rsidRPr="00264E74">
        <w:rPr>
          <w:rFonts w:ascii="Calibri" w:hAnsi="Calibri" w:cs="Calibri"/>
          <w:b/>
          <w:bCs/>
          <w:sz w:val="22"/>
          <w:szCs w:val="22"/>
          <w:lang w:eastAsia="en-AU"/>
        </w:rPr>
        <w:t>7</w:t>
      </w:r>
      <w:r w:rsidRPr="00264E74">
        <w:rPr>
          <w:rFonts w:ascii="Calibri" w:hAnsi="Calibri" w:cs="Calibri"/>
          <w:b/>
          <w:bCs/>
          <w:sz w:val="22"/>
          <w:szCs w:val="22"/>
          <w:lang w:eastAsia="en-AU"/>
        </w:rPr>
        <w:t>8 billion</w:t>
      </w:r>
      <w:r w:rsidRPr="00264E74">
        <w:rPr>
          <w:rFonts w:ascii="Calibri" w:hAnsi="Calibri" w:cs="Calibri"/>
          <w:sz w:val="22"/>
          <w:szCs w:val="22"/>
          <w:lang w:eastAsia="en-AU"/>
        </w:rPr>
        <w:t xml:space="preserve">. Upper Hunter Shire LGA’s largest employing sectors are Agriculture, Forestry, </w:t>
      </w:r>
      <w:r w:rsidR="00C77F21" w:rsidRPr="00264E74">
        <w:rPr>
          <w:rFonts w:ascii="Calibri" w:hAnsi="Calibri" w:cs="Calibri"/>
          <w:sz w:val="22"/>
          <w:szCs w:val="22"/>
          <w:lang w:eastAsia="en-AU"/>
        </w:rPr>
        <w:t>and</w:t>
      </w:r>
      <w:r w:rsidRPr="00264E74">
        <w:rPr>
          <w:rFonts w:ascii="Calibri" w:hAnsi="Calibri" w:cs="Calibri"/>
          <w:sz w:val="22"/>
          <w:szCs w:val="22"/>
          <w:lang w:eastAsia="en-AU"/>
        </w:rPr>
        <w:t xml:space="preserve"> Fishing with 48% of the total workforce aged over forty-five. </w:t>
      </w:r>
      <w:r w:rsidR="00505500" w:rsidRPr="00264E74">
        <w:rPr>
          <w:rFonts w:ascii="Calibri" w:hAnsi="Calibri" w:cs="Calibri"/>
          <w:sz w:val="22"/>
          <w:szCs w:val="22"/>
          <w:lang w:eastAsia="en-AU"/>
        </w:rPr>
        <w:t xml:space="preserve">The most impacted sector in Upper Hunter Shire Council LGA </w:t>
      </w:r>
      <w:proofErr w:type="gramStart"/>
      <w:r w:rsidR="00505500" w:rsidRPr="00264E74">
        <w:rPr>
          <w:rFonts w:ascii="Calibri" w:hAnsi="Calibri" w:cs="Calibri"/>
          <w:sz w:val="22"/>
          <w:szCs w:val="22"/>
          <w:lang w:eastAsia="en-AU"/>
        </w:rPr>
        <w:t>as a result of</w:t>
      </w:r>
      <w:proofErr w:type="gramEnd"/>
      <w:r w:rsidR="00505500" w:rsidRPr="00264E74">
        <w:rPr>
          <w:rFonts w:ascii="Calibri" w:hAnsi="Calibri" w:cs="Calibri"/>
          <w:sz w:val="22"/>
          <w:szCs w:val="22"/>
          <w:lang w:eastAsia="en-AU"/>
        </w:rPr>
        <w:t xml:space="preserve"> the global pandemic by decrease in number of people employed is the Accommodation and Food Services sector.</w:t>
      </w:r>
    </w:p>
    <w:p w14:paraId="7B86FD60" w14:textId="77777777" w:rsidR="00F30AD4" w:rsidRPr="00264E74" w:rsidRDefault="00F30AD4" w:rsidP="00F30AD4">
      <w:pPr>
        <w:rPr>
          <w:rFonts w:ascii="Calibri" w:hAnsi="Calibri" w:cs="Calibri"/>
          <w:sz w:val="22"/>
          <w:szCs w:val="22"/>
        </w:rPr>
      </w:pPr>
    </w:p>
    <w:p w14:paraId="7E51B8C6" w14:textId="7F421B86" w:rsidR="003E725A" w:rsidRPr="00264E74" w:rsidRDefault="003E725A" w:rsidP="003E725A">
      <w:pPr>
        <w:pStyle w:val="Heading2"/>
        <w:rPr>
          <w:rFonts w:cs="Calibri"/>
          <w:sz w:val="22"/>
          <w:szCs w:val="22"/>
        </w:rPr>
      </w:pPr>
      <w:bookmarkStart w:id="82" w:name="_Toc81405371"/>
      <w:r w:rsidRPr="00264E74">
        <w:rPr>
          <w:rFonts w:cs="Calibri"/>
          <w:sz w:val="22"/>
          <w:szCs w:val="22"/>
        </w:rPr>
        <w:t>Large Employers</w:t>
      </w:r>
      <w:bookmarkEnd w:id="72"/>
      <w:bookmarkEnd w:id="82"/>
    </w:p>
    <w:p w14:paraId="202A7932" w14:textId="7E6F5EF1" w:rsidR="003E725A" w:rsidRPr="00264E74" w:rsidRDefault="003E725A" w:rsidP="003E725A">
      <w:pPr>
        <w:spacing w:before="120" w:after="120" w:line="257" w:lineRule="auto"/>
        <w:rPr>
          <w:rFonts w:ascii="Calibri" w:hAnsi="Calibri" w:cs="Calibri"/>
          <w:sz w:val="22"/>
          <w:szCs w:val="22"/>
        </w:rPr>
      </w:pPr>
      <w:r w:rsidRPr="00264E74">
        <w:rPr>
          <w:rFonts w:ascii="Calibri" w:hAnsi="Calibri" w:cs="Calibri"/>
          <w:sz w:val="22"/>
          <w:szCs w:val="22"/>
        </w:rPr>
        <w:t>Major employers in the Employment Region include: the Hunter New England Local Health District (NSW Health), TAFE</w:t>
      </w:r>
      <w:r w:rsidR="00DE693D" w:rsidRPr="00264E74">
        <w:rPr>
          <w:rFonts w:ascii="Calibri" w:hAnsi="Calibri" w:cs="Calibri"/>
          <w:sz w:val="22"/>
          <w:szCs w:val="22"/>
        </w:rPr>
        <w:t xml:space="preserve"> NSW</w:t>
      </w:r>
      <w:r w:rsidRPr="00264E74">
        <w:rPr>
          <w:rFonts w:ascii="Calibri" w:hAnsi="Calibri" w:cs="Calibri"/>
          <w:sz w:val="22"/>
          <w:szCs w:val="22"/>
        </w:rPr>
        <w:t xml:space="preserve">, University of Newcastle, Ramsay Health (Warners Bay Private Hospital and Lake Macquarie Private Hospital), Healthscope (Hunter Valley Private Hospital), Health Care Australia (Toronto Private Hospital), Varley Group (Advanced </w:t>
      </w:r>
      <w:r w:rsidR="00DE693D" w:rsidRPr="00264E74">
        <w:rPr>
          <w:rFonts w:ascii="Calibri" w:hAnsi="Calibri" w:cs="Calibri"/>
          <w:sz w:val="22"/>
          <w:szCs w:val="22"/>
        </w:rPr>
        <w:t>E</w:t>
      </w:r>
      <w:r w:rsidRPr="00264E74">
        <w:rPr>
          <w:rFonts w:ascii="Calibri" w:hAnsi="Calibri" w:cs="Calibri"/>
          <w:sz w:val="22"/>
          <w:szCs w:val="22"/>
        </w:rPr>
        <w:t xml:space="preserve">ngineering and </w:t>
      </w:r>
      <w:r w:rsidR="00DE693D" w:rsidRPr="00264E74">
        <w:rPr>
          <w:rFonts w:ascii="Calibri" w:hAnsi="Calibri" w:cs="Calibri"/>
          <w:sz w:val="22"/>
          <w:szCs w:val="22"/>
        </w:rPr>
        <w:t>M</w:t>
      </w:r>
      <w:r w:rsidRPr="00264E74">
        <w:rPr>
          <w:rFonts w:ascii="Calibri" w:hAnsi="Calibri" w:cs="Calibri"/>
          <w:sz w:val="22"/>
          <w:szCs w:val="22"/>
        </w:rPr>
        <w:t xml:space="preserve">anufacturing), Tomago Aluminium, </w:t>
      </w:r>
      <w:proofErr w:type="spellStart"/>
      <w:r w:rsidRPr="00264E74">
        <w:rPr>
          <w:rFonts w:ascii="Calibri" w:hAnsi="Calibri" w:cs="Calibri"/>
          <w:sz w:val="22"/>
          <w:szCs w:val="22"/>
        </w:rPr>
        <w:t>Molycop</w:t>
      </w:r>
      <w:proofErr w:type="spellEnd"/>
      <w:r w:rsidRPr="00264E74">
        <w:rPr>
          <w:rFonts w:ascii="Calibri" w:hAnsi="Calibri" w:cs="Calibri"/>
          <w:sz w:val="22"/>
          <w:szCs w:val="22"/>
        </w:rPr>
        <w:t xml:space="preserve"> (supplier of mining consumables and associated services), AGL, Origin, Glencore, </w:t>
      </w:r>
      <w:proofErr w:type="spellStart"/>
      <w:r w:rsidRPr="00264E74">
        <w:rPr>
          <w:rFonts w:ascii="Calibri" w:hAnsi="Calibri" w:cs="Calibri"/>
          <w:sz w:val="22"/>
          <w:szCs w:val="22"/>
        </w:rPr>
        <w:t>Yancoal</w:t>
      </w:r>
      <w:proofErr w:type="spellEnd"/>
      <w:r w:rsidRPr="00264E74">
        <w:rPr>
          <w:rFonts w:ascii="Calibri" w:hAnsi="Calibri" w:cs="Calibri"/>
          <w:sz w:val="22"/>
          <w:szCs w:val="22"/>
        </w:rPr>
        <w:t xml:space="preserve">, BHP, JBS, Multiplex, Wests Group, Newcastle Permanent Building Society and the NIB </w:t>
      </w:r>
      <w:r w:rsidR="00DE693D" w:rsidRPr="00264E74">
        <w:rPr>
          <w:rFonts w:ascii="Calibri" w:hAnsi="Calibri" w:cs="Calibri"/>
          <w:sz w:val="22"/>
          <w:szCs w:val="22"/>
        </w:rPr>
        <w:t>H</w:t>
      </w:r>
      <w:r w:rsidRPr="00264E74">
        <w:rPr>
          <w:rFonts w:ascii="Calibri" w:hAnsi="Calibri" w:cs="Calibri"/>
          <w:sz w:val="22"/>
          <w:szCs w:val="22"/>
        </w:rPr>
        <w:t xml:space="preserve">ealth </w:t>
      </w:r>
      <w:r w:rsidR="00DE693D" w:rsidRPr="00264E74">
        <w:rPr>
          <w:rFonts w:ascii="Calibri" w:hAnsi="Calibri" w:cs="Calibri"/>
          <w:sz w:val="22"/>
          <w:szCs w:val="22"/>
        </w:rPr>
        <w:t>F</w:t>
      </w:r>
      <w:r w:rsidRPr="00264E74">
        <w:rPr>
          <w:rFonts w:ascii="Calibri" w:hAnsi="Calibri" w:cs="Calibri"/>
          <w:sz w:val="22"/>
          <w:szCs w:val="22"/>
        </w:rPr>
        <w:t>und.</w:t>
      </w:r>
    </w:p>
    <w:p w14:paraId="187830FC" w14:textId="12F01525" w:rsidR="003E725A" w:rsidRPr="00264E74" w:rsidRDefault="003E725A" w:rsidP="003E725A">
      <w:pPr>
        <w:spacing w:before="120" w:after="120" w:line="257" w:lineRule="auto"/>
        <w:rPr>
          <w:rFonts w:ascii="Calibri" w:hAnsi="Calibri" w:cs="Calibri"/>
          <w:sz w:val="22"/>
          <w:szCs w:val="22"/>
        </w:rPr>
      </w:pPr>
      <w:r w:rsidRPr="00264E74">
        <w:rPr>
          <w:rFonts w:ascii="Calibri" w:hAnsi="Calibri" w:cs="Calibri"/>
          <w:sz w:val="22"/>
          <w:szCs w:val="22"/>
        </w:rPr>
        <w:t xml:space="preserve">There are 37 aged care providers in the region including Calvary, Uniting, Opal, Anglican Care, Royal Freemasons' Benevolent Institution and </w:t>
      </w:r>
      <w:proofErr w:type="spellStart"/>
      <w:r w:rsidRPr="00264E74">
        <w:rPr>
          <w:rFonts w:ascii="Calibri" w:hAnsi="Calibri" w:cs="Calibri"/>
          <w:sz w:val="22"/>
          <w:szCs w:val="22"/>
        </w:rPr>
        <w:t>HammondCare</w:t>
      </w:r>
      <w:proofErr w:type="spellEnd"/>
      <w:r w:rsidRPr="00264E74">
        <w:rPr>
          <w:rFonts w:ascii="Calibri" w:hAnsi="Calibri" w:cs="Calibri"/>
          <w:sz w:val="22"/>
          <w:szCs w:val="22"/>
        </w:rPr>
        <w:t>.  Major providers of disability services include Life Without Barriers and</w:t>
      </w:r>
      <w:r w:rsidR="00DE693D" w:rsidRPr="00264E74">
        <w:rPr>
          <w:rFonts w:ascii="Calibri" w:hAnsi="Calibri" w:cs="Calibri"/>
          <w:sz w:val="22"/>
          <w:szCs w:val="22"/>
        </w:rPr>
        <w:t xml:space="preserve"> the</w:t>
      </w:r>
      <w:r w:rsidRPr="00264E74">
        <w:rPr>
          <w:rFonts w:ascii="Calibri" w:hAnsi="Calibri" w:cs="Calibri"/>
          <w:sz w:val="22"/>
          <w:szCs w:val="22"/>
        </w:rPr>
        <w:t xml:space="preserve"> Samaritans.</w:t>
      </w:r>
    </w:p>
    <w:p w14:paraId="55FBE167" w14:textId="77777777" w:rsidR="003E725A" w:rsidRPr="00264E74" w:rsidRDefault="003E725A" w:rsidP="003E725A">
      <w:pPr>
        <w:pStyle w:val="Heading2"/>
        <w:rPr>
          <w:rFonts w:cs="Calibri"/>
          <w:sz w:val="22"/>
          <w:szCs w:val="22"/>
        </w:rPr>
      </w:pPr>
      <w:bookmarkStart w:id="83" w:name="_Toc54275720"/>
      <w:bookmarkStart w:id="84" w:name="_Toc81405372"/>
      <w:r w:rsidRPr="00264E74">
        <w:rPr>
          <w:rFonts w:cs="Calibri"/>
          <w:sz w:val="22"/>
          <w:szCs w:val="22"/>
        </w:rPr>
        <w:t>Selected Major Projects</w:t>
      </w:r>
      <w:bookmarkEnd w:id="83"/>
      <w:bookmarkEnd w:id="84"/>
    </w:p>
    <w:p w14:paraId="3B030C8D" w14:textId="3DB416C3" w:rsidR="003E725A" w:rsidRPr="00264E74" w:rsidRDefault="003E725A" w:rsidP="003E725A">
      <w:pPr>
        <w:spacing w:before="120" w:after="120" w:line="257" w:lineRule="auto"/>
        <w:rPr>
          <w:rFonts w:ascii="Calibri" w:hAnsi="Calibri" w:cs="Calibri"/>
          <w:sz w:val="22"/>
          <w:szCs w:val="22"/>
        </w:rPr>
      </w:pPr>
      <w:r w:rsidRPr="00264E74">
        <w:rPr>
          <w:rFonts w:ascii="Calibri" w:hAnsi="Calibri" w:cs="Calibri"/>
          <w:sz w:val="22"/>
          <w:szCs w:val="22"/>
        </w:rPr>
        <w:t>In response to the pandemic the N</w:t>
      </w:r>
      <w:r w:rsidR="00DE693D" w:rsidRPr="00264E74">
        <w:rPr>
          <w:rFonts w:ascii="Calibri" w:hAnsi="Calibri" w:cs="Calibri"/>
          <w:sz w:val="22"/>
          <w:szCs w:val="22"/>
        </w:rPr>
        <w:t xml:space="preserve">ew </w:t>
      </w:r>
      <w:r w:rsidRPr="00264E74">
        <w:rPr>
          <w:rFonts w:ascii="Calibri" w:hAnsi="Calibri" w:cs="Calibri"/>
          <w:sz w:val="22"/>
          <w:szCs w:val="22"/>
        </w:rPr>
        <w:t>S</w:t>
      </w:r>
      <w:r w:rsidR="00DE693D" w:rsidRPr="00264E74">
        <w:rPr>
          <w:rFonts w:ascii="Calibri" w:hAnsi="Calibri" w:cs="Calibri"/>
          <w:sz w:val="22"/>
          <w:szCs w:val="22"/>
        </w:rPr>
        <w:t xml:space="preserve">outh </w:t>
      </w:r>
      <w:r w:rsidRPr="00264E74">
        <w:rPr>
          <w:rFonts w:ascii="Calibri" w:hAnsi="Calibri" w:cs="Calibri"/>
          <w:sz w:val="22"/>
          <w:szCs w:val="22"/>
        </w:rPr>
        <w:t>W</w:t>
      </w:r>
      <w:r w:rsidR="00DE693D" w:rsidRPr="00264E74">
        <w:rPr>
          <w:rFonts w:ascii="Calibri" w:hAnsi="Calibri" w:cs="Calibri"/>
          <w:sz w:val="22"/>
          <w:szCs w:val="22"/>
        </w:rPr>
        <w:t>ales</w:t>
      </w:r>
      <w:r w:rsidRPr="00264E74">
        <w:rPr>
          <w:rFonts w:ascii="Calibri" w:hAnsi="Calibri" w:cs="Calibri"/>
          <w:sz w:val="22"/>
          <w:szCs w:val="22"/>
        </w:rPr>
        <w:t xml:space="preserve"> Government announced the fast tracking of assessments of some projects which has occurred in several tranches. The projects or modifications approved include:</w:t>
      </w:r>
    </w:p>
    <w:p w14:paraId="7F0558C8" w14:textId="77777777" w:rsidR="003E725A" w:rsidRPr="00264E74" w:rsidRDefault="003E725A" w:rsidP="003E725A">
      <w:pPr>
        <w:pStyle w:val="ListParagraph"/>
        <w:numPr>
          <w:ilvl w:val="0"/>
          <w:numId w:val="19"/>
        </w:numPr>
        <w:spacing w:before="120" w:after="120" w:line="257" w:lineRule="auto"/>
        <w:ind w:left="714" w:hanging="357"/>
        <w:rPr>
          <w:rFonts w:ascii="Calibri" w:hAnsi="Calibri" w:cs="Calibri"/>
          <w:sz w:val="22"/>
          <w:szCs w:val="22"/>
        </w:rPr>
      </w:pPr>
      <w:r w:rsidRPr="00264E74">
        <w:rPr>
          <w:rFonts w:ascii="Calibri" w:hAnsi="Calibri" w:cs="Calibri"/>
          <w:sz w:val="22"/>
          <w:szCs w:val="22"/>
        </w:rPr>
        <w:t>Stage 1A of the University of Newcastle Honeysuckle Campus (785 jobs)</w:t>
      </w:r>
    </w:p>
    <w:p w14:paraId="0B2BEF83" w14:textId="77777777" w:rsidR="003E725A" w:rsidRPr="00264E74" w:rsidRDefault="003E725A" w:rsidP="003E725A">
      <w:pPr>
        <w:pStyle w:val="ListParagraph"/>
        <w:spacing w:before="120" w:after="120" w:line="257" w:lineRule="auto"/>
        <w:rPr>
          <w:rFonts w:ascii="Calibri" w:hAnsi="Calibri" w:cs="Calibri"/>
          <w:sz w:val="22"/>
          <w:szCs w:val="22"/>
        </w:rPr>
      </w:pPr>
    </w:p>
    <w:p w14:paraId="2F903BFF" w14:textId="77777777" w:rsidR="003E725A" w:rsidRPr="00264E74" w:rsidRDefault="003E725A" w:rsidP="003E725A">
      <w:pPr>
        <w:pStyle w:val="ListParagraph"/>
        <w:numPr>
          <w:ilvl w:val="0"/>
          <w:numId w:val="19"/>
        </w:numPr>
        <w:spacing w:before="120" w:after="120" w:line="257" w:lineRule="auto"/>
        <w:rPr>
          <w:rFonts w:ascii="Calibri" w:hAnsi="Calibri" w:cs="Calibri"/>
          <w:sz w:val="22"/>
          <w:szCs w:val="22"/>
        </w:rPr>
      </w:pPr>
      <w:r w:rsidRPr="00264E74">
        <w:rPr>
          <w:rFonts w:ascii="Calibri" w:hAnsi="Calibri" w:cs="Calibri"/>
          <w:sz w:val="22"/>
          <w:szCs w:val="22"/>
        </w:rPr>
        <w:t>The Honeysuckle Horizon multi-storey commercial and residential (105 apartments) development (250 jobs)</w:t>
      </w:r>
    </w:p>
    <w:p w14:paraId="4B5A8372" w14:textId="77777777" w:rsidR="003E725A" w:rsidRPr="00264E74" w:rsidRDefault="003E725A" w:rsidP="003E725A">
      <w:pPr>
        <w:pStyle w:val="ListParagraph"/>
        <w:spacing w:before="120" w:after="120" w:line="257" w:lineRule="auto"/>
        <w:rPr>
          <w:rFonts w:ascii="Calibri" w:hAnsi="Calibri" w:cs="Calibri"/>
          <w:sz w:val="22"/>
          <w:szCs w:val="22"/>
        </w:rPr>
      </w:pPr>
    </w:p>
    <w:p w14:paraId="6A719623" w14:textId="77777777" w:rsidR="003E725A" w:rsidRPr="00264E74" w:rsidRDefault="003E725A" w:rsidP="003E725A">
      <w:pPr>
        <w:pStyle w:val="ListParagraph"/>
        <w:numPr>
          <w:ilvl w:val="0"/>
          <w:numId w:val="19"/>
        </w:numPr>
        <w:spacing w:before="120" w:after="120" w:line="257" w:lineRule="auto"/>
        <w:rPr>
          <w:rFonts w:ascii="Calibri" w:hAnsi="Calibri" w:cs="Calibri"/>
          <w:sz w:val="22"/>
          <w:szCs w:val="22"/>
        </w:rPr>
      </w:pPr>
      <w:r w:rsidRPr="00264E74">
        <w:rPr>
          <w:rFonts w:ascii="Calibri" w:hAnsi="Calibri" w:cs="Calibri"/>
          <w:sz w:val="22"/>
          <w:szCs w:val="22"/>
        </w:rPr>
        <w:t>A modification to the Bulga Open Cut Coal Mine to extend its life for approximately four years until 31 December 2039 (1000 jobs)</w:t>
      </w:r>
    </w:p>
    <w:p w14:paraId="2299A1DF" w14:textId="77777777" w:rsidR="003E725A" w:rsidRPr="00264E74" w:rsidRDefault="003E725A" w:rsidP="003E725A">
      <w:pPr>
        <w:pStyle w:val="ListParagraph"/>
        <w:spacing w:before="120" w:after="120" w:line="257" w:lineRule="auto"/>
        <w:rPr>
          <w:rFonts w:ascii="Calibri" w:hAnsi="Calibri" w:cs="Calibri"/>
          <w:sz w:val="22"/>
          <w:szCs w:val="22"/>
        </w:rPr>
      </w:pPr>
    </w:p>
    <w:p w14:paraId="7AE3A3BA" w14:textId="77777777" w:rsidR="003E725A" w:rsidRPr="00264E74" w:rsidRDefault="003E725A" w:rsidP="003E725A">
      <w:pPr>
        <w:pStyle w:val="ListParagraph"/>
        <w:numPr>
          <w:ilvl w:val="0"/>
          <w:numId w:val="19"/>
        </w:numPr>
        <w:spacing w:before="120" w:after="120" w:line="257" w:lineRule="auto"/>
        <w:rPr>
          <w:rFonts w:ascii="Calibri" w:hAnsi="Calibri" w:cs="Calibri"/>
          <w:sz w:val="22"/>
          <w:szCs w:val="22"/>
        </w:rPr>
      </w:pPr>
      <w:r w:rsidRPr="00264E74">
        <w:rPr>
          <w:rFonts w:ascii="Calibri" w:hAnsi="Calibri" w:cs="Calibri"/>
          <w:sz w:val="22"/>
          <w:szCs w:val="22"/>
        </w:rPr>
        <w:t>Expansion of Hanson Construction’s Brandy Hill quarry at Port Stephens to increase production and continue operations for a further 30 years (31 jobs)</w:t>
      </w:r>
    </w:p>
    <w:p w14:paraId="0A0D0DDC" w14:textId="77777777" w:rsidR="003E725A" w:rsidRPr="00264E74" w:rsidRDefault="003E725A" w:rsidP="003E725A">
      <w:pPr>
        <w:pStyle w:val="ListParagraph"/>
        <w:spacing w:before="120" w:after="120" w:line="257" w:lineRule="auto"/>
        <w:rPr>
          <w:rFonts w:ascii="Calibri" w:hAnsi="Calibri" w:cs="Calibri"/>
          <w:sz w:val="22"/>
          <w:szCs w:val="22"/>
        </w:rPr>
      </w:pPr>
    </w:p>
    <w:p w14:paraId="31D96AFE" w14:textId="32487BE4" w:rsidR="003E725A" w:rsidRPr="00264E74" w:rsidRDefault="003E725A" w:rsidP="003E725A">
      <w:pPr>
        <w:pStyle w:val="ListParagraph"/>
        <w:numPr>
          <w:ilvl w:val="0"/>
          <w:numId w:val="19"/>
        </w:numPr>
        <w:spacing w:before="120" w:after="120" w:line="257" w:lineRule="auto"/>
        <w:rPr>
          <w:rFonts w:ascii="Calibri" w:hAnsi="Calibri" w:cs="Calibri"/>
          <w:sz w:val="22"/>
          <w:szCs w:val="22"/>
        </w:rPr>
      </w:pPr>
      <w:r w:rsidRPr="00264E74">
        <w:rPr>
          <w:rFonts w:ascii="Calibri" w:hAnsi="Calibri" w:cs="Calibri"/>
          <w:sz w:val="22"/>
          <w:szCs w:val="22"/>
        </w:rPr>
        <w:t>The Hunter and Central Coast Development Corporation’s request for rezoning of land at Cockle Creek</w:t>
      </w:r>
      <w:r w:rsidR="009E5323" w:rsidRPr="00264E74">
        <w:rPr>
          <w:rFonts w:ascii="Calibri" w:hAnsi="Calibri" w:cs="Calibri"/>
          <w:sz w:val="22"/>
          <w:szCs w:val="22"/>
        </w:rPr>
        <w:t xml:space="preserve"> and</w:t>
      </w:r>
      <w:r w:rsidRPr="00264E74">
        <w:rPr>
          <w:rFonts w:ascii="Calibri" w:hAnsi="Calibri" w:cs="Calibri"/>
          <w:sz w:val="22"/>
          <w:szCs w:val="22"/>
        </w:rPr>
        <w:t xml:space="preserve"> Lake Macquarie to provide 15 hectares of extra employment land (270 jobs). The </w:t>
      </w:r>
      <w:r w:rsidR="009E5323" w:rsidRPr="00264E74">
        <w:rPr>
          <w:rFonts w:ascii="Calibri" w:hAnsi="Calibri" w:cs="Calibri"/>
          <w:sz w:val="22"/>
          <w:szCs w:val="22"/>
        </w:rPr>
        <w:t>B</w:t>
      </w:r>
      <w:r w:rsidRPr="00264E74">
        <w:rPr>
          <w:rFonts w:ascii="Calibri" w:hAnsi="Calibri" w:cs="Calibri"/>
          <w:sz w:val="22"/>
          <w:szCs w:val="22"/>
        </w:rPr>
        <w:t xml:space="preserve">usiness </w:t>
      </w:r>
      <w:r w:rsidR="009E5323" w:rsidRPr="00264E74">
        <w:rPr>
          <w:rFonts w:ascii="Calibri" w:hAnsi="Calibri" w:cs="Calibri"/>
          <w:sz w:val="22"/>
          <w:szCs w:val="22"/>
        </w:rPr>
        <w:t>P</w:t>
      </w:r>
      <w:r w:rsidRPr="00264E74">
        <w:rPr>
          <w:rFonts w:ascii="Calibri" w:hAnsi="Calibri" w:cs="Calibri"/>
          <w:sz w:val="22"/>
          <w:szCs w:val="22"/>
        </w:rPr>
        <w:t xml:space="preserve">ark will complement the nearby Bunnings Warehouse and support the nearby Cardiff Glendale </w:t>
      </w:r>
      <w:r w:rsidR="009E5323" w:rsidRPr="00264E74">
        <w:rPr>
          <w:rFonts w:ascii="Calibri" w:hAnsi="Calibri" w:cs="Calibri"/>
          <w:sz w:val="22"/>
          <w:szCs w:val="22"/>
        </w:rPr>
        <w:t>S</w:t>
      </w:r>
      <w:r w:rsidRPr="00264E74">
        <w:rPr>
          <w:rFonts w:ascii="Calibri" w:hAnsi="Calibri" w:cs="Calibri"/>
          <w:sz w:val="22"/>
          <w:szCs w:val="22"/>
        </w:rPr>
        <w:t xml:space="preserve">trategic </w:t>
      </w:r>
      <w:r w:rsidR="009E5323" w:rsidRPr="00264E74">
        <w:rPr>
          <w:rFonts w:ascii="Calibri" w:hAnsi="Calibri" w:cs="Calibri"/>
          <w:sz w:val="22"/>
          <w:szCs w:val="22"/>
        </w:rPr>
        <w:t>C</w:t>
      </w:r>
      <w:r w:rsidRPr="00264E74">
        <w:rPr>
          <w:rFonts w:ascii="Calibri" w:hAnsi="Calibri" w:cs="Calibri"/>
          <w:sz w:val="22"/>
          <w:szCs w:val="22"/>
        </w:rPr>
        <w:t>entre.</w:t>
      </w:r>
    </w:p>
    <w:p w14:paraId="7CEA6358" w14:textId="77777777" w:rsidR="003E725A" w:rsidRPr="00264E74" w:rsidRDefault="003E725A" w:rsidP="003E725A">
      <w:pPr>
        <w:spacing w:before="120" w:after="120" w:line="257" w:lineRule="auto"/>
        <w:rPr>
          <w:rFonts w:ascii="Calibri" w:hAnsi="Calibri" w:cs="Calibri"/>
          <w:color w:val="000000" w:themeColor="text1"/>
          <w:sz w:val="22"/>
          <w:szCs w:val="22"/>
        </w:rPr>
      </w:pPr>
      <w:r w:rsidRPr="00264E74">
        <w:rPr>
          <w:rFonts w:ascii="Calibri" w:hAnsi="Calibri" w:cs="Calibri"/>
          <w:color w:val="000000" w:themeColor="text1"/>
          <w:sz w:val="22"/>
          <w:szCs w:val="22"/>
        </w:rPr>
        <w:lastRenderedPageBreak/>
        <w:t>Other major projects underway or in prospect in the region include:</w:t>
      </w:r>
    </w:p>
    <w:p w14:paraId="46F21557" w14:textId="77777777"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sz w:val="22"/>
          <w:szCs w:val="22"/>
        </w:rPr>
      </w:pPr>
      <w:r w:rsidRPr="00264E74">
        <w:rPr>
          <w:rFonts w:ascii="Calibri" w:eastAsia="Calibri" w:hAnsi="Calibri" w:cs="Calibri"/>
          <w:noProof/>
          <w:sz w:val="22"/>
          <w:szCs w:val="22"/>
        </w:rPr>
        <w:t>The government has confirmed it is dedicating unallocated funding in the budget to the publicly owned Snowy Hydro Ltd plan to build a 660 megawatt gas plant at Kurri Kurri. The goverment will spend up to $600M building the new gas-fired power station. It is expected that the Hunter Power Project will create 600 jobs in the region at the peak of its construction phase.</w:t>
      </w:r>
    </w:p>
    <w:p w14:paraId="50297383" w14:textId="7AF83090"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sz w:val="22"/>
          <w:szCs w:val="22"/>
        </w:rPr>
      </w:pPr>
      <w:r w:rsidRPr="00264E74">
        <w:rPr>
          <w:rFonts w:ascii="Calibri" w:eastAsia="Calibri" w:hAnsi="Calibri" w:cs="Calibri"/>
          <w:noProof/>
          <w:sz w:val="22"/>
          <w:szCs w:val="22"/>
        </w:rPr>
        <w:t>The Federal Government has committed $66M towards Newcastle Airport’s runway upgrade. It is expected to create 4</w:t>
      </w:r>
      <w:r w:rsidR="009E5323" w:rsidRPr="00264E74">
        <w:rPr>
          <w:rFonts w:ascii="Calibri" w:eastAsia="Calibri" w:hAnsi="Calibri" w:cs="Calibri"/>
          <w:noProof/>
          <w:sz w:val="22"/>
          <w:szCs w:val="22"/>
        </w:rPr>
        <w:t>,</w:t>
      </w:r>
      <w:r w:rsidRPr="00264E74">
        <w:rPr>
          <w:rFonts w:ascii="Calibri" w:eastAsia="Calibri" w:hAnsi="Calibri" w:cs="Calibri"/>
          <w:noProof/>
          <w:sz w:val="22"/>
          <w:szCs w:val="22"/>
        </w:rPr>
        <w:t>500 jobs and generate an estimated $12.7B in economic benefits through international airfreight, industrial expansion and stimulation of the visitor economy. It has been added to the 2021 priority list.</w:t>
      </w:r>
    </w:p>
    <w:p w14:paraId="61413850" w14:textId="79DFBBE2"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sz w:val="22"/>
          <w:szCs w:val="22"/>
        </w:rPr>
      </w:pPr>
      <w:r w:rsidRPr="00264E74">
        <w:rPr>
          <w:rFonts w:ascii="Calibri" w:eastAsia="Calibri" w:hAnsi="Calibri" w:cs="Calibri"/>
          <w:noProof/>
          <w:sz w:val="22"/>
          <w:szCs w:val="22"/>
        </w:rPr>
        <w:t>Energy Renaissance battery manufacturing facility moving to Tomago</w:t>
      </w:r>
      <w:r w:rsidR="009E5323" w:rsidRPr="00264E74">
        <w:rPr>
          <w:rFonts w:ascii="Calibri" w:eastAsia="Calibri" w:hAnsi="Calibri" w:cs="Calibri"/>
          <w:noProof/>
          <w:sz w:val="22"/>
          <w:szCs w:val="22"/>
        </w:rPr>
        <w:t xml:space="preserve"> which will generate a</w:t>
      </w:r>
      <w:r w:rsidRPr="00264E74">
        <w:rPr>
          <w:rFonts w:ascii="Calibri" w:eastAsia="Calibri" w:hAnsi="Calibri" w:cs="Calibri"/>
          <w:noProof/>
          <w:sz w:val="22"/>
          <w:szCs w:val="22"/>
        </w:rPr>
        <w:t>pproximately 720 jobs.</w:t>
      </w:r>
    </w:p>
    <w:p w14:paraId="1E1A3918" w14:textId="7B01630E"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A 169ha site north of Glendale (owned by Eden Estates) will create up to 1,000 new homes and</w:t>
      </w:r>
      <w:r w:rsidR="00200849" w:rsidRPr="00264E74">
        <w:rPr>
          <w:rFonts w:ascii="Calibri" w:hAnsi="Calibri" w:cs="Calibri"/>
          <w:sz w:val="22"/>
          <w:szCs w:val="22"/>
        </w:rPr>
        <w:t xml:space="preserve"> housing for up to</w:t>
      </w:r>
      <w:r w:rsidRPr="00264E74">
        <w:rPr>
          <w:rFonts w:ascii="Calibri" w:hAnsi="Calibri" w:cs="Calibri"/>
          <w:sz w:val="22"/>
          <w:szCs w:val="22"/>
        </w:rPr>
        <w:t xml:space="preserve"> 2,000 more people. Following rezoning of the site, a development application will be submitted</w:t>
      </w:r>
      <w:r w:rsidR="009E5323" w:rsidRPr="00264E74">
        <w:rPr>
          <w:rFonts w:ascii="Calibri" w:hAnsi="Calibri" w:cs="Calibri"/>
          <w:sz w:val="22"/>
          <w:szCs w:val="22"/>
        </w:rPr>
        <w:t xml:space="preserve"> to c</w:t>
      </w:r>
      <w:r w:rsidRPr="00264E74">
        <w:rPr>
          <w:rFonts w:ascii="Calibri" w:hAnsi="Calibri" w:cs="Calibri"/>
          <w:sz w:val="22"/>
          <w:szCs w:val="22"/>
        </w:rPr>
        <w:t>reat</w:t>
      </w:r>
      <w:r w:rsidR="009E5323" w:rsidRPr="00264E74">
        <w:rPr>
          <w:rFonts w:ascii="Calibri" w:hAnsi="Calibri" w:cs="Calibri"/>
          <w:sz w:val="22"/>
          <w:szCs w:val="22"/>
        </w:rPr>
        <w:t>e</w:t>
      </w:r>
      <w:r w:rsidRPr="00264E74">
        <w:rPr>
          <w:rFonts w:ascii="Calibri" w:hAnsi="Calibri" w:cs="Calibri"/>
          <w:sz w:val="22"/>
          <w:szCs w:val="22"/>
        </w:rPr>
        <w:t xml:space="preserve"> up to 540 jobs.</w:t>
      </w:r>
    </w:p>
    <w:p w14:paraId="6F0D1400" w14:textId="77777777"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sz w:val="22"/>
          <w:szCs w:val="22"/>
        </w:rPr>
      </w:pPr>
      <w:r w:rsidRPr="00264E74">
        <w:rPr>
          <w:rFonts w:ascii="Calibri" w:eastAsia="Calibri" w:hAnsi="Calibri" w:cs="Calibri"/>
          <w:noProof/>
          <w:sz w:val="22"/>
          <w:szCs w:val="22"/>
        </w:rPr>
        <w:t>In March 2021, the RSPCA announced a $1 million upgrade to their Rutherford facility.</w:t>
      </w:r>
    </w:p>
    <w:p w14:paraId="63C52C60" w14:textId="3C331984"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The ongoing Honeysuckle urban waterfront transformation in Newcastle, with the master developer being the Hunter and Central Coast Development Corporation (HCCDC). Four private sector projects have generated $250 million in construction activity and providing more than 3</w:t>
      </w:r>
      <w:r w:rsidR="009E5323" w:rsidRPr="00264E74">
        <w:rPr>
          <w:rFonts w:ascii="Calibri" w:hAnsi="Calibri" w:cs="Calibri"/>
          <w:sz w:val="22"/>
          <w:szCs w:val="22"/>
        </w:rPr>
        <w:t>,</w:t>
      </w:r>
      <w:r w:rsidRPr="00264E74">
        <w:rPr>
          <w:rFonts w:ascii="Calibri" w:hAnsi="Calibri" w:cs="Calibri"/>
          <w:sz w:val="22"/>
          <w:szCs w:val="22"/>
        </w:rPr>
        <w:t>500 construction jobs and 250 ongoing jobs including the:</w:t>
      </w:r>
    </w:p>
    <w:p w14:paraId="1E4439C4" w14:textId="77777777" w:rsidR="003E725A" w:rsidRPr="00264E74" w:rsidRDefault="003E725A" w:rsidP="003E725A">
      <w:pPr>
        <w:pStyle w:val="ListParagraph"/>
        <w:numPr>
          <w:ilvl w:val="0"/>
          <w:numId w:val="13"/>
        </w:numPr>
        <w:spacing w:before="120" w:after="120" w:line="257" w:lineRule="auto"/>
        <w:ind w:left="1080" w:hanging="540"/>
        <w:contextualSpacing w:val="0"/>
        <w:rPr>
          <w:rFonts w:ascii="Calibri" w:hAnsi="Calibri" w:cs="Calibri"/>
          <w:sz w:val="22"/>
          <w:szCs w:val="22"/>
        </w:rPr>
      </w:pPr>
      <w:r w:rsidRPr="00264E74">
        <w:rPr>
          <w:rFonts w:ascii="Calibri" w:hAnsi="Calibri" w:cs="Calibri"/>
          <w:sz w:val="22"/>
          <w:szCs w:val="22"/>
        </w:rPr>
        <w:t xml:space="preserve">154-apartment </w:t>
      </w:r>
      <w:proofErr w:type="spellStart"/>
      <w:r w:rsidRPr="00264E74">
        <w:rPr>
          <w:rFonts w:ascii="Calibri" w:hAnsi="Calibri" w:cs="Calibri"/>
          <w:sz w:val="22"/>
          <w:szCs w:val="22"/>
        </w:rPr>
        <w:t>Lume</w:t>
      </w:r>
      <w:proofErr w:type="spellEnd"/>
      <w:r w:rsidRPr="00264E74">
        <w:rPr>
          <w:rFonts w:ascii="Calibri" w:hAnsi="Calibri" w:cs="Calibri"/>
          <w:sz w:val="22"/>
          <w:szCs w:val="22"/>
        </w:rPr>
        <w:t xml:space="preserve"> at 21 Honeysuckle Drive where HCCDC completed the waterfront public domain which is now selling.</w:t>
      </w:r>
    </w:p>
    <w:p w14:paraId="3A68D458" w14:textId="77777777" w:rsidR="003E725A" w:rsidRPr="00264E74" w:rsidRDefault="003E725A" w:rsidP="003E725A">
      <w:pPr>
        <w:pStyle w:val="ListParagraph"/>
        <w:numPr>
          <w:ilvl w:val="0"/>
          <w:numId w:val="13"/>
        </w:numPr>
        <w:spacing w:before="120" w:after="120" w:line="257" w:lineRule="auto"/>
        <w:ind w:left="1080" w:hanging="540"/>
        <w:contextualSpacing w:val="0"/>
        <w:rPr>
          <w:rFonts w:ascii="Calibri" w:hAnsi="Calibri" w:cs="Calibri"/>
          <w:sz w:val="22"/>
          <w:szCs w:val="22"/>
        </w:rPr>
      </w:pPr>
      <w:r w:rsidRPr="00264E74">
        <w:rPr>
          <w:rFonts w:ascii="Calibri" w:hAnsi="Calibri" w:cs="Calibri"/>
          <w:sz w:val="22"/>
          <w:szCs w:val="22"/>
        </w:rPr>
        <w:t xml:space="preserve">179-room Little National Hotel at 42 Honeysuckle Drive due for completion in 2022. </w:t>
      </w:r>
    </w:p>
    <w:p w14:paraId="62A6FA06" w14:textId="77777777" w:rsidR="003E725A" w:rsidRPr="00264E74" w:rsidRDefault="003E725A" w:rsidP="003E725A">
      <w:pPr>
        <w:pStyle w:val="ListParagraph"/>
        <w:numPr>
          <w:ilvl w:val="0"/>
          <w:numId w:val="13"/>
        </w:numPr>
        <w:spacing w:before="120" w:after="120" w:line="257" w:lineRule="auto"/>
        <w:ind w:left="1134" w:hanging="567"/>
        <w:contextualSpacing w:val="0"/>
        <w:rPr>
          <w:rFonts w:ascii="Calibri" w:hAnsi="Calibri" w:cs="Calibri"/>
          <w:sz w:val="22"/>
          <w:szCs w:val="22"/>
        </w:rPr>
      </w:pPr>
      <w:r w:rsidRPr="00264E74">
        <w:rPr>
          <w:rFonts w:ascii="Calibri" w:hAnsi="Calibri" w:cs="Calibri"/>
          <w:sz w:val="22"/>
          <w:szCs w:val="22"/>
        </w:rPr>
        <w:t>88-apartment Huntington plus retail space at 35 Honeysuckle Drive which is now selling.</w:t>
      </w:r>
    </w:p>
    <w:p w14:paraId="3AD2B204" w14:textId="77777777" w:rsidR="003E725A" w:rsidRPr="00264E74" w:rsidRDefault="003E725A" w:rsidP="003E725A">
      <w:pPr>
        <w:pStyle w:val="ListParagraph"/>
        <w:numPr>
          <w:ilvl w:val="0"/>
          <w:numId w:val="13"/>
        </w:numPr>
        <w:spacing w:before="120" w:after="120" w:line="257" w:lineRule="auto"/>
        <w:ind w:left="1134" w:hanging="567"/>
        <w:contextualSpacing w:val="0"/>
        <w:rPr>
          <w:rFonts w:ascii="Calibri" w:hAnsi="Calibri" w:cs="Calibri"/>
          <w:sz w:val="22"/>
          <w:szCs w:val="22"/>
        </w:rPr>
      </w:pPr>
      <w:r w:rsidRPr="00264E74">
        <w:rPr>
          <w:rFonts w:ascii="Calibri" w:hAnsi="Calibri" w:cs="Calibri"/>
          <w:sz w:val="22"/>
          <w:szCs w:val="22"/>
        </w:rPr>
        <w:t>105-apartment Horizon on the Harbour and public domain works at 45 Honeysuckle Drive which is now selling. HCCDC has completed seawall works.</w:t>
      </w:r>
    </w:p>
    <w:p w14:paraId="40040444" w14:textId="00E7922A" w:rsidR="003E725A" w:rsidRPr="00264E74" w:rsidRDefault="003E725A" w:rsidP="003E725A">
      <w:pPr>
        <w:pStyle w:val="ListParagraph"/>
        <w:numPr>
          <w:ilvl w:val="0"/>
          <w:numId w:val="15"/>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 xml:space="preserve">The NSW Government’s $780 million John Hunter Health and Innovation Precinct though this is at the design state, with it being envisaged that construction will begin in 2022. Works commenced in April 2020 on an interim expansion of the Emergency Department </w:t>
      </w:r>
      <w:r w:rsidRPr="00264E74">
        <w:rPr>
          <w:rFonts w:ascii="Calibri" w:hAnsi="Calibri" w:cs="Calibri"/>
          <w:i/>
          <w:sz w:val="22"/>
          <w:szCs w:val="22"/>
        </w:rPr>
        <w:t>(</w:t>
      </w:r>
      <w:hyperlink r:id="rId24" w:history="1">
        <w:r w:rsidRPr="00264E74">
          <w:rPr>
            <w:rFonts w:ascii="Calibri" w:hAnsi="Calibri" w:cs="Calibri"/>
            <w:i/>
            <w:sz w:val="22"/>
            <w:szCs w:val="22"/>
          </w:rPr>
          <w:t>www.hinfra.health.nsw.gov.au</w:t>
        </w:r>
      </w:hyperlink>
      <w:r w:rsidRPr="00264E74">
        <w:rPr>
          <w:rFonts w:ascii="Calibri" w:hAnsi="Calibri" w:cs="Calibri"/>
          <w:i/>
          <w:sz w:val="22"/>
          <w:szCs w:val="22"/>
        </w:rPr>
        <w:t>)</w:t>
      </w:r>
      <w:r w:rsidR="009E5323" w:rsidRPr="00264E74">
        <w:rPr>
          <w:rFonts w:ascii="Calibri" w:hAnsi="Calibri" w:cs="Calibri"/>
          <w:i/>
          <w:sz w:val="22"/>
          <w:szCs w:val="22"/>
        </w:rPr>
        <w:t>.</w:t>
      </w:r>
      <w:r w:rsidRPr="00264E74">
        <w:rPr>
          <w:rFonts w:ascii="Calibri" w:hAnsi="Calibri" w:cs="Calibri"/>
          <w:i/>
          <w:sz w:val="22"/>
          <w:szCs w:val="22"/>
        </w:rPr>
        <w:t xml:space="preserve"> </w:t>
      </w:r>
    </w:p>
    <w:p w14:paraId="7524831C" w14:textId="4EDF1313" w:rsidR="003E725A" w:rsidRPr="00264E74" w:rsidRDefault="003E725A" w:rsidP="003E725A">
      <w:pPr>
        <w:pStyle w:val="ListParagraph"/>
        <w:numPr>
          <w:ilvl w:val="0"/>
          <w:numId w:val="14"/>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 xml:space="preserve">Main works by Multiplex on the $470 million new Maitland Hospital began in late 2019 and as of January 2021 entered the final stages of construction with the hospital scheduled to open in early 2022. </w:t>
      </w:r>
    </w:p>
    <w:p w14:paraId="7DAD1252" w14:textId="77777777" w:rsidR="00FC77FC" w:rsidRPr="00264E74" w:rsidRDefault="00FC77FC" w:rsidP="00FC77FC">
      <w:pPr>
        <w:pStyle w:val="ListParagraph"/>
        <w:numPr>
          <w:ilvl w:val="0"/>
          <w:numId w:val="14"/>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Following the completion of the new Maitland Hospital by Hutchinson Builders in November 2020, the redevelopment project has been progressing with the second stage of works. The commencement of complete relocation from the old Maitland Hospital facility is set to take place prior to Christmas 2021 with plans for the new hospital to be fully operational in January 2022. (</w:t>
      </w:r>
      <w:hyperlink r:id="rId25" w:history="1">
        <w:r w:rsidRPr="00264E74">
          <w:rPr>
            <w:rStyle w:val="Hyperlink"/>
            <w:rFonts w:ascii="Calibri" w:hAnsi="Calibri" w:cs="Calibri"/>
            <w:i/>
            <w:iCs/>
            <w:sz w:val="22"/>
            <w:szCs w:val="22"/>
            <w:lang w:val="en-US"/>
          </w:rPr>
          <w:t>www.hinfra.health.nsw.gov.au</w:t>
        </w:r>
      </w:hyperlink>
      <w:r w:rsidRPr="00264E74">
        <w:rPr>
          <w:rFonts w:ascii="Calibri" w:hAnsi="Calibri" w:cs="Calibri"/>
          <w:sz w:val="22"/>
          <w:szCs w:val="22"/>
        </w:rPr>
        <w:t>).</w:t>
      </w:r>
    </w:p>
    <w:p w14:paraId="2864C26B" w14:textId="0E9E54DD" w:rsidR="003E725A" w:rsidRPr="00264E74" w:rsidRDefault="003E725A" w:rsidP="003E725A">
      <w:pPr>
        <w:pStyle w:val="ListParagraph"/>
        <w:numPr>
          <w:ilvl w:val="0"/>
          <w:numId w:val="14"/>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 xml:space="preserve">In February 2020, the construction contract for the $25 million Stage 1A of the University of Newcastle’s Honeysuckle City Campus was awarded to Hansen Yuncken. The Stage 1A building will house the region’s new Integrated Innovation Network (I2N) Hub and additional facilities for the School of Creative Industries and is scheduled for completion in mid-2021. The project </w:t>
      </w:r>
      <w:r w:rsidRPr="00264E74">
        <w:rPr>
          <w:rFonts w:ascii="Calibri" w:hAnsi="Calibri" w:cs="Calibri"/>
          <w:sz w:val="22"/>
          <w:szCs w:val="22"/>
        </w:rPr>
        <w:lastRenderedPageBreak/>
        <w:t xml:space="preserve">is expected to generate 785 jobs </w:t>
      </w:r>
      <w:r w:rsidRPr="00264E74">
        <w:rPr>
          <w:rFonts w:ascii="Calibri" w:hAnsi="Calibri" w:cs="Calibri"/>
          <w:i/>
          <w:sz w:val="22"/>
          <w:szCs w:val="22"/>
        </w:rPr>
        <w:t>(</w:t>
      </w:r>
      <w:hyperlink r:id="rId26" w:history="1">
        <w:r w:rsidRPr="00264E74">
          <w:rPr>
            <w:rFonts w:ascii="Calibri" w:hAnsi="Calibri" w:cs="Calibri"/>
            <w:i/>
            <w:sz w:val="22"/>
            <w:szCs w:val="22"/>
          </w:rPr>
          <w:t>www.newcastle.edu.au</w:t>
        </w:r>
      </w:hyperlink>
      <w:r w:rsidRPr="00264E74">
        <w:rPr>
          <w:rFonts w:ascii="Calibri" w:hAnsi="Calibri" w:cs="Calibri"/>
          <w:i/>
          <w:sz w:val="22"/>
          <w:szCs w:val="22"/>
        </w:rPr>
        <w:t xml:space="preserve">; </w:t>
      </w:r>
      <w:hyperlink r:id="rId27" w:history="1">
        <w:r w:rsidRPr="00264E74">
          <w:rPr>
            <w:rFonts w:ascii="Calibri" w:hAnsi="Calibri" w:cs="Calibri"/>
            <w:i/>
            <w:sz w:val="22"/>
            <w:szCs w:val="22"/>
          </w:rPr>
          <w:t>www.planningportal.nsw.gov.au</w:t>
        </w:r>
      </w:hyperlink>
      <w:r w:rsidRPr="00264E74">
        <w:rPr>
          <w:rFonts w:ascii="Calibri" w:hAnsi="Calibri" w:cs="Calibri"/>
          <w:i/>
          <w:sz w:val="22"/>
          <w:szCs w:val="22"/>
        </w:rPr>
        <w:t xml:space="preserve"> and </w:t>
      </w:r>
      <w:hyperlink r:id="rId28" w:history="1">
        <w:r w:rsidRPr="00264E74">
          <w:rPr>
            <w:rFonts w:ascii="Calibri" w:hAnsi="Calibri" w:cs="Calibri"/>
            <w:i/>
            <w:sz w:val="22"/>
            <w:szCs w:val="22"/>
          </w:rPr>
          <w:t>www.planning.nsw.gov.au</w:t>
        </w:r>
      </w:hyperlink>
      <w:r w:rsidRPr="00264E74">
        <w:rPr>
          <w:rFonts w:ascii="Calibri" w:hAnsi="Calibri" w:cs="Calibri"/>
          <w:i/>
          <w:sz w:val="22"/>
          <w:szCs w:val="22"/>
        </w:rPr>
        <w:t>)</w:t>
      </w:r>
      <w:r w:rsidR="009E5323" w:rsidRPr="00264E74">
        <w:rPr>
          <w:rFonts w:ascii="Calibri" w:hAnsi="Calibri" w:cs="Calibri"/>
          <w:i/>
          <w:sz w:val="22"/>
          <w:szCs w:val="22"/>
        </w:rPr>
        <w:t>.</w:t>
      </w:r>
      <w:r w:rsidRPr="00264E74">
        <w:rPr>
          <w:rFonts w:ascii="Calibri" w:hAnsi="Calibri" w:cs="Calibri"/>
          <w:i/>
          <w:sz w:val="22"/>
          <w:szCs w:val="22"/>
        </w:rPr>
        <w:t xml:space="preserve"> </w:t>
      </w:r>
    </w:p>
    <w:p w14:paraId="3C83488E" w14:textId="6B2A4F77"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In April 2020, the NSW Government announced that $6.6 million will be invested in the Cessnock Airport which will allow a wider array of aircraft to land as well as the establishment of an aviation museum. The project has the potential to create nearly 60 jobs.</w:t>
      </w:r>
    </w:p>
    <w:p w14:paraId="13834695" w14:textId="77777777" w:rsidR="003E725A" w:rsidRPr="00264E74" w:rsidRDefault="003E725A" w:rsidP="003E725A">
      <w:pPr>
        <w:pStyle w:val="ListParagraph"/>
        <w:numPr>
          <w:ilvl w:val="0"/>
          <w:numId w:val="16"/>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 xml:space="preserve">In June 2020, the Australian Government announced funding for 61 access and safety upgrade projects across Regional Australia as part of the Regional Airports Program. These include $3 million for Scone for runway reconstruction and resealing and taxiway and apron extensions and upgrades. </w:t>
      </w:r>
    </w:p>
    <w:p w14:paraId="2E37712F" w14:textId="25657A0E" w:rsidR="003E725A" w:rsidRPr="00264E74" w:rsidRDefault="003E725A" w:rsidP="003E725A">
      <w:pPr>
        <w:pStyle w:val="ListParagraph"/>
        <w:numPr>
          <w:ilvl w:val="0"/>
          <w:numId w:val="16"/>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On 22 May 2020, the Australian Government announced a new $500 million Local Roads and Community Infrastructure Program (LRCI Program). Each LGA in the Employment Region will receive funding with the amounts ranging from $575,000 for Scone to $1.8 million for Lake Macquarie</w:t>
      </w:r>
      <w:r w:rsidR="009E5323" w:rsidRPr="00264E74">
        <w:rPr>
          <w:rFonts w:ascii="Calibri" w:hAnsi="Calibri" w:cs="Calibri"/>
          <w:sz w:val="22"/>
          <w:szCs w:val="22"/>
        </w:rPr>
        <w:t xml:space="preserve">; the </w:t>
      </w:r>
      <w:r w:rsidRPr="00264E74">
        <w:rPr>
          <w:rFonts w:ascii="Calibri" w:hAnsi="Calibri" w:cs="Calibri"/>
          <w:sz w:val="22"/>
          <w:szCs w:val="22"/>
        </w:rPr>
        <w:t>Upper Hunter Shire, Cessnock and Maitland will each receive over $1 million.</w:t>
      </w:r>
    </w:p>
    <w:p w14:paraId="1FFDF49D" w14:textId="63573ECD" w:rsidR="003E725A" w:rsidRPr="00264E74" w:rsidRDefault="003E725A" w:rsidP="003E725A">
      <w:pPr>
        <w:pStyle w:val="ListParagraph"/>
        <w:numPr>
          <w:ilvl w:val="0"/>
          <w:numId w:val="14"/>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 xml:space="preserve">The Astra </w:t>
      </w:r>
      <w:proofErr w:type="spellStart"/>
      <w:r w:rsidRPr="00264E74">
        <w:rPr>
          <w:rFonts w:ascii="Calibri" w:hAnsi="Calibri" w:cs="Calibri"/>
          <w:sz w:val="22"/>
          <w:szCs w:val="22"/>
        </w:rPr>
        <w:t>Aerolab</w:t>
      </w:r>
      <w:proofErr w:type="spellEnd"/>
      <w:r w:rsidRPr="00264E74">
        <w:rPr>
          <w:rFonts w:ascii="Calibri" w:hAnsi="Calibri" w:cs="Calibri"/>
          <w:sz w:val="22"/>
          <w:szCs w:val="22"/>
        </w:rPr>
        <w:t xml:space="preserve"> Defence and Aerospace precinct being developed on 76 hectares of land in Port Stephens directly adjoins Newcastle Airport and the RAAF Base </w:t>
      </w:r>
      <w:proofErr w:type="gramStart"/>
      <w:r w:rsidRPr="00264E74">
        <w:rPr>
          <w:rFonts w:ascii="Calibri" w:hAnsi="Calibri" w:cs="Calibri"/>
          <w:sz w:val="22"/>
          <w:szCs w:val="22"/>
        </w:rPr>
        <w:t>Williamtown</w:t>
      </w:r>
      <w:r w:rsidR="009E5323" w:rsidRPr="00264E74">
        <w:rPr>
          <w:rFonts w:ascii="Calibri" w:hAnsi="Calibri" w:cs="Calibri"/>
          <w:sz w:val="22"/>
          <w:szCs w:val="22"/>
        </w:rPr>
        <w:t>;</w:t>
      </w:r>
      <w:proofErr w:type="gramEnd"/>
      <w:r w:rsidRPr="00264E74">
        <w:rPr>
          <w:rFonts w:ascii="Calibri" w:hAnsi="Calibri" w:cs="Calibri"/>
          <w:sz w:val="22"/>
          <w:szCs w:val="22"/>
        </w:rPr>
        <w:t xml:space="preserve"> which is home to the country’s new fleet of F-35 Joint Strike Fighters. Stage 1 civil infrastructure works now complete and future development stages underway. As one of NSW’s five Special Activation Precincts, Williamtown will benefit from significant infrastructure investment, bringing more than 5,000 jobs into the region (</w:t>
      </w:r>
      <w:r w:rsidRPr="00264E74">
        <w:rPr>
          <w:rFonts w:ascii="Calibri" w:hAnsi="Calibri" w:cs="Calibri"/>
          <w:i/>
          <w:sz w:val="22"/>
          <w:szCs w:val="22"/>
        </w:rPr>
        <w:t>www.astraaerolab.com.au/about/, accessed 24/06/2021</w:t>
      </w:r>
      <w:r w:rsidRPr="00264E74">
        <w:rPr>
          <w:rFonts w:ascii="Calibri" w:hAnsi="Calibri" w:cs="Calibri"/>
          <w:sz w:val="22"/>
          <w:szCs w:val="22"/>
        </w:rPr>
        <w:t>)</w:t>
      </w:r>
      <w:r w:rsidR="009E5323" w:rsidRPr="00264E74">
        <w:rPr>
          <w:rFonts w:ascii="Calibri" w:hAnsi="Calibri" w:cs="Calibri"/>
          <w:sz w:val="22"/>
          <w:szCs w:val="22"/>
        </w:rPr>
        <w:t>.</w:t>
      </w:r>
    </w:p>
    <w:p w14:paraId="6C9DEB06" w14:textId="5C19BCF1" w:rsidR="003E725A" w:rsidRPr="00264E74" w:rsidRDefault="003E725A" w:rsidP="003E725A">
      <w:pPr>
        <w:pStyle w:val="ListParagraph"/>
        <w:numPr>
          <w:ilvl w:val="0"/>
          <w:numId w:val="14"/>
        </w:numPr>
        <w:spacing w:before="120" w:after="120" w:line="257" w:lineRule="auto"/>
        <w:ind w:left="540" w:hanging="540"/>
        <w:contextualSpacing w:val="0"/>
        <w:rPr>
          <w:rFonts w:ascii="Calibri" w:hAnsi="Calibri" w:cs="Calibri"/>
          <w:color w:val="000000" w:themeColor="text1"/>
          <w:sz w:val="22"/>
          <w:szCs w:val="22"/>
        </w:rPr>
      </w:pPr>
      <w:r w:rsidRPr="00264E74">
        <w:rPr>
          <w:rFonts w:ascii="Calibri" w:hAnsi="Calibri" w:cs="Calibri"/>
          <w:sz w:val="22"/>
          <w:szCs w:val="22"/>
        </w:rPr>
        <w:t>The Liverpool Range Wind Farm in the Upper Hunter will consist of up to 267 turbines producing up to 1000 MW of electricity. While planning and environmental approvals have been received</w:t>
      </w:r>
      <w:r w:rsidR="009E5323" w:rsidRPr="00264E74">
        <w:rPr>
          <w:rFonts w:ascii="Calibri" w:hAnsi="Calibri" w:cs="Calibri"/>
          <w:sz w:val="22"/>
          <w:szCs w:val="22"/>
        </w:rPr>
        <w:t>;</w:t>
      </w:r>
      <w:r w:rsidRPr="00264E74">
        <w:rPr>
          <w:rFonts w:ascii="Calibri" w:hAnsi="Calibri" w:cs="Calibri"/>
          <w:sz w:val="22"/>
          <w:szCs w:val="22"/>
        </w:rPr>
        <w:t xml:space="preserve"> Tilt Renewables intends to prepare a Modification Application. </w:t>
      </w:r>
    </w:p>
    <w:p w14:paraId="014E23AB" w14:textId="2834BFF5" w:rsidR="003E725A" w:rsidRPr="00264E74" w:rsidRDefault="003E725A" w:rsidP="003E725A">
      <w:pPr>
        <w:pStyle w:val="ListParagraph"/>
        <w:numPr>
          <w:ilvl w:val="0"/>
          <w:numId w:val="14"/>
        </w:numPr>
        <w:spacing w:before="120" w:after="120" w:line="257" w:lineRule="auto"/>
        <w:ind w:left="540" w:hanging="540"/>
        <w:contextualSpacing w:val="0"/>
        <w:rPr>
          <w:rFonts w:ascii="Calibri" w:hAnsi="Calibri" w:cs="Calibri"/>
          <w:sz w:val="22"/>
          <w:szCs w:val="22"/>
        </w:rPr>
      </w:pPr>
      <w:r w:rsidRPr="00264E74">
        <w:rPr>
          <w:rFonts w:ascii="Calibri" w:hAnsi="Calibri" w:cs="Calibri"/>
          <w:sz w:val="22"/>
          <w:szCs w:val="22"/>
        </w:rPr>
        <w:t>A new 106-room QT Hotel will be established in Newcastle after Iris Capital’s $700 million redevelopment of the former David Jones building on Hunter Street was approved by the Joint Regional Planning Panel in April 2020. The hotel is to be part of the first stage of the four-city block development, which also features three separate residential buildings comprising 212 luxury apartments above a Woolworths-anchored retail precinct and forum, comprising another 20 specialty retailers</w:t>
      </w:r>
      <w:r w:rsidR="009E5323" w:rsidRPr="00264E74">
        <w:rPr>
          <w:rFonts w:ascii="Calibri" w:hAnsi="Calibri" w:cs="Calibri"/>
          <w:sz w:val="22"/>
          <w:szCs w:val="22"/>
        </w:rPr>
        <w:t>;</w:t>
      </w:r>
      <w:r w:rsidRPr="00264E74">
        <w:rPr>
          <w:rFonts w:ascii="Calibri" w:hAnsi="Calibri" w:cs="Calibri"/>
          <w:sz w:val="22"/>
          <w:szCs w:val="22"/>
        </w:rPr>
        <w:t xml:space="preserve"> being delivered by builder Richard Crookes Constructions. Stage One of the </w:t>
      </w:r>
      <w:proofErr w:type="gramStart"/>
      <w:r w:rsidRPr="00264E74">
        <w:rPr>
          <w:rFonts w:ascii="Calibri" w:hAnsi="Calibri" w:cs="Calibri"/>
          <w:sz w:val="22"/>
          <w:szCs w:val="22"/>
        </w:rPr>
        <w:t>project</w:t>
      </w:r>
      <w:proofErr w:type="gramEnd"/>
      <w:r w:rsidRPr="00264E74">
        <w:rPr>
          <w:rFonts w:ascii="Calibri" w:hAnsi="Calibri" w:cs="Calibri"/>
          <w:sz w:val="22"/>
          <w:szCs w:val="22"/>
        </w:rPr>
        <w:t xml:space="preserve"> was officially opened in April 2021</w:t>
      </w:r>
      <w:r w:rsidR="009E5323" w:rsidRPr="00264E74">
        <w:rPr>
          <w:rFonts w:ascii="Calibri" w:hAnsi="Calibri" w:cs="Calibri"/>
          <w:sz w:val="22"/>
          <w:szCs w:val="22"/>
        </w:rPr>
        <w:t xml:space="preserve"> </w:t>
      </w:r>
      <w:r w:rsidRPr="00264E74">
        <w:rPr>
          <w:rFonts w:ascii="Calibri" w:hAnsi="Calibri" w:cs="Calibri"/>
          <w:sz w:val="22"/>
          <w:szCs w:val="22"/>
        </w:rPr>
        <w:t>(</w:t>
      </w:r>
      <w:r w:rsidRPr="00264E74">
        <w:rPr>
          <w:rFonts w:ascii="Calibri" w:hAnsi="Calibri" w:cs="Calibri"/>
          <w:i/>
          <w:sz w:val="22"/>
          <w:szCs w:val="22"/>
        </w:rPr>
        <w:t>www.thehotelconversation.com.au/news/, 20-4-2021</w:t>
      </w:r>
      <w:r w:rsidRPr="00264E74">
        <w:rPr>
          <w:rFonts w:ascii="Calibri" w:hAnsi="Calibri" w:cs="Calibri"/>
          <w:sz w:val="22"/>
          <w:szCs w:val="22"/>
        </w:rPr>
        <w:t>)</w:t>
      </w:r>
      <w:r w:rsidR="009E5323" w:rsidRPr="00264E74">
        <w:rPr>
          <w:rFonts w:ascii="Calibri" w:hAnsi="Calibri" w:cs="Calibri"/>
          <w:sz w:val="22"/>
          <w:szCs w:val="22"/>
        </w:rPr>
        <w:t>.</w:t>
      </w:r>
    </w:p>
    <w:p w14:paraId="0AB4EBC1" w14:textId="77777777" w:rsidR="00A34D4A" w:rsidRPr="00264E74" w:rsidRDefault="00A34D4A" w:rsidP="00A34D4A">
      <w:pPr>
        <w:spacing w:before="120" w:after="120" w:line="257" w:lineRule="auto"/>
        <w:rPr>
          <w:rFonts w:ascii="Calibri" w:hAnsi="Calibri" w:cs="Calibri"/>
          <w:sz w:val="22"/>
          <w:szCs w:val="22"/>
        </w:rPr>
      </w:pPr>
    </w:p>
    <w:p w14:paraId="2DBB0C8C" w14:textId="13257826" w:rsidR="003E725A" w:rsidRPr="00264E74" w:rsidRDefault="003E725A" w:rsidP="003E725A">
      <w:pPr>
        <w:pStyle w:val="ListParagraph"/>
        <w:numPr>
          <w:ilvl w:val="0"/>
          <w:numId w:val="17"/>
        </w:numPr>
        <w:spacing w:before="120" w:after="120" w:line="257" w:lineRule="auto"/>
        <w:ind w:left="540" w:hanging="540"/>
        <w:contextualSpacing w:val="0"/>
        <w:rPr>
          <w:rFonts w:ascii="Calibri" w:hAnsi="Calibri" w:cs="Calibri"/>
          <w:color w:val="000000" w:themeColor="text1"/>
          <w:sz w:val="22"/>
          <w:szCs w:val="22"/>
        </w:rPr>
      </w:pPr>
      <w:r w:rsidRPr="00264E74">
        <w:rPr>
          <w:rFonts w:ascii="Calibri" w:hAnsi="Calibri" w:cs="Calibri"/>
          <w:bCs/>
          <w:sz w:val="22"/>
          <w:szCs w:val="22"/>
        </w:rPr>
        <w:t xml:space="preserve">The University of Newcastle has received SSDA approval through the NSW Department of Planning, </w:t>
      </w:r>
      <w:proofErr w:type="gramStart"/>
      <w:r w:rsidRPr="00264E74">
        <w:rPr>
          <w:rFonts w:ascii="Calibri" w:hAnsi="Calibri" w:cs="Calibri"/>
          <w:bCs/>
          <w:sz w:val="22"/>
          <w:szCs w:val="22"/>
        </w:rPr>
        <w:t>Industry</w:t>
      </w:r>
      <w:proofErr w:type="gramEnd"/>
      <w:r w:rsidRPr="00264E74">
        <w:rPr>
          <w:rFonts w:ascii="Calibri" w:hAnsi="Calibri" w:cs="Calibri"/>
          <w:bCs/>
          <w:sz w:val="22"/>
          <w:szCs w:val="22"/>
        </w:rPr>
        <w:t xml:space="preserve"> and the Environment for a $200 million facility at its Callaghan campus leading to demolition works in the second half of 2020</w:t>
      </w:r>
      <w:r w:rsidR="009E5323" w:rsidRPr="00264E74">
        <w:rPr>
          <w:rFonts w:ascii="Calibri" w:hAnsi="Calibri" w:cs="Calibri"/>
          <w:bCs/>
          <w:sz w:val="22"/>
          <w:szCs w:val="22"/>
        </w:rPr>
        <w:t xml:space="preserve">. Building will </w:t>
      </w:r>
      <w:r w:rsidRPr="00264E74">
        <w:rPr>
          <w:rFonts w:ascii="Calibri" w:hAnsi="Calibri" w:cs="Calibri"/>
          <w:bCs/>
          <w:sz w:val="22"/>
          <w:szCs w:val="22"/>
        </w:rPr>
        <w:t>commence in the first quarter of 2021</w:t>
      </w:r>
      <w:r w:rsidR="009E5323" w:rsidRPr="00264E74">
        <w:rPr>
          <w:rFonts w:ascii="Calibri" w:hAnsi="Calibri" w:cs="Calibri"/>
          <w:bCs/>
          <w:sz w:val="22"/>
          <w:szCs w:val="22"/>
        </w:rPr>
        <w:t xml:space="preserve"> with the </w:t>
      </w:r>
      <w:r w:rsidRPr="00264E74">
        <w:rPr>
          <w:rFonts w:ascii="Calibri" w:hAnsi="Calibri" w:cs="Calibri"/>
          <w:sz w:val="22"/>
          <w:szCs w:val="22"/>
        </w:rPr>
        <w:t xml:space="preserve">facility </w:t>
      </w:r>
      <w:r w:rsidR="00CF140D" w:rsidRPr="00264E74">
        <w:rPr>
          <w:rFonts w:ascii="Calibri" w:hAnsi="Calibri" w:cs="Calibri"/>
          <w:sz w:val="22"/>
          <w:szCs w:val="22"/>
        </w:rPr>
        <w:t>being used for the study of S</w:t>
      </w:r>
      <w:r w:rsidRPr="00264E74">
        <w:rPr>
          <w:rFonts w:ascii="Calibri" w:hAnsi="Calibri" w:cs="Calibri"/>
          <w:sz w:val="22"/>
          <w:szCs w:val="22"/>
        </w:rPr>
        <w:t xml:space="preserve">cience, </w:t>
      </w:r>
      <w:r w:rsidR="00CF140D" w:rsidRPr="00264E74">
        <w:rPr>
          <w:rFonts w:ascii="Calibri" w:hAnsi="Calibri" w:cs="Calibri"/>
          <w:sz w:val="22"/>
          <w:szCs w:val="22"/>
        </w:rPr>
        <w:t>T</w:t>
      </w:r>
      <w:r w:rsidRPr="00264E74">
        <w:rPr>
          <w:rFonts w:ascii="Calibri" w:hAnsi="Calibri" w:cs="Calibri"/>
          <w:sz w:val="22"/>
          <w:szCs w:val="22"/>
        </w:rPr>
        <w:t xml:space="preserve">echnology, </w:t>
      </w:r>
      <w:r w:rsidR="00CF140D" w:rsidRPr="00264E74">
        <w:rPr>
          <w:rFonts w:ascii="Calibri" w:hAnsi="Calibri" w:cs="Calibri"/>
          <w:sz w:val="22"/>
          <w:szCs w:val="22"/>
        </w:rPr>
        <w:t>E</w:t>
      </w:r>
      <w:r w:rsidRPr="00264E74">
        <w:rPr>
          <w:rFonts w:ascii="Calibri" w:hAnsi="Calibri" w:cs="Calibri"/>
          <w:sz w:val="22"/>
          <w:szCs w:val="22"/>
        </w:rPr>
        <w:t xml:space="preserve">ngineering, </w:t>
      </w:r>
      <w:r w:rsidR="00CF140D" w:rsidRPr="00264E74">
        <w:rPr>
          <w:rFonts w:ascii="Calibri" w:hAnsi="Calibri" w:cs="Calibri"/>
          <w:sz w:val="22"/>
          <w:szCs w:val="22"/>
        </w:rPr>
        <w:t>M</w:t>
      </w:r>
      <w:r w:rsidRPr="00264E74">
        <w:rPr>
          <w:rFonts w:ascii="Calibri" w:hAnsi="Calibri" w:cs="Calibri"/>
          <w:sz w:val="22"/>
          <w:szCs w:val="22"/>
        </w:rPr>
        <w:t xml:space="preserve">athematics and </w:t>
      </w:r>
      <w:r w:rsidR="00CF140D" w:rsidRPr="00264E74">
        <w:rPr>
          <w:rFonts w:ascii="Calibri" w:hAnsi="Calibri" w:cs="Calibri"/>
          <w:sz w:val="22"/>
          <w:szCs w:val="22"/>
        </w:rPr>
        <w:t>M</w:t>
      </w:r>
      <w:r w:rsidRPr="00264E74">
        <w:rPr>
          <w:rFonts w:ascii="Calibri" w:hAnsi="Calibri" w:cs="Calibri"/>
          <w:sz w:val="22"/>
          <w:szCs w:val="22"/>
        </w:rPr>
        <w:t>edicine (STEMM).</w:t>
      </w:r>
    </w:p>
    <w:p w14:paraId="7BDD1DE4" w14:textId="66545E7D" w:rsidR="003E725A" w:rsidRPr="00264E74" w:rsidRDefault="003E725A" w:rsidP="003E725A">
      <w:pPr>
        <w:numPr>
          <w:ilvl w:val="0"/>
          <w:numId w:val="18"/>
        </w:numPr>
        <w:spacing w:before="120" w:after="120" w:line="257" w:lineRule="auto"/>
        <w:ind w:left="540" w:hanging="540"/>
        <w:rPr>
          <w:rFonts w:ascii="Calibri" w:hAnsi="Calibri" w:cs="Calibri"/>
          <w:sz w:val="22"/>
          <w:szCs w:val="22"/>
        </w:rPr>
      </w:pPr>
      <w:r w:rsidRPr="00264E74">
        <w:rPr>
          <w:rFonts w:ascii="Calibri" w:hAnsi="Calibri" w:cs="Calibri"/>
          <w:color w:val="000000" w:themeColor="text1"/>
          <w:sz w:val="22"/>
          <w:szCs w:val="22"/>
        </w:rPr>
        <w:t>The NSW Government will fund a $266 million, 9-kilometre New England Highway Bypass at Muswellbrook</w:t>
      </w:r>
      <w:r w:rsidR="00CF140D" w:rsidRPr="00264E74">
        <w:rPr>
          <w:rFonts w:ascii="Calibri" w:hAnsi="Calibri" w:cs="Calibri"/>
          <w:color w:val="000000" w:themeColor="text1"/>
          <w:sz w:val="22"/>
          <w:szCs w:val="22"/>
        </w:rPr>
        <w:t xml:space="preserve">; </w:t>
      </w:r>
      <w:r w:rsidRPr="00264E74">
        <w:rPr>
          <w:rFonts w:ascii="Calibri" w:hAnsi="Calibri" w:cs="Calibri"/>
          <w:color w:val="000000" w:themeColor="text1"/>
          <w:sz w:val="22"/>
          <w:szCs w:val="22"/>
        </w:rPr>
        <w:t xml:space="preserve">Construction </w:t>
      </w:r>
      <w:r w:rsidR="00CF140D" w:rsidRPr="00264E74">
        <w:rPr>
          <w:rFonts w:ascii="Calibri" w:hAnsi="Calibri" w:cs="Calibri"/>
          <w:color w:val="000000" w:themeColor="text1"/>
          <w:sz w:val="22"/>
          <w:szCs w:val="22"/>
        </w:rPr>
        <w:t xml:space="preserve">may </w:t>
      </w:r>
      <w:r w:rsidRPr="00264E74">
        <w:rPr>
          <w:rFonts w:ascii="Calibri" w:hAnsi="Calibri" w:cs="Calibri"/>
          <w:color w:val="000000" w:themeColor="text1"/>
          <w:sz w:val="22"/>
          <w:szCs w:val="22"/>
        </w:rPr>
        <w:t>commence as soon as 2022.</w:t>
      </w:r>
    </w:p>
    <w:p w14:paraId="6CD0A0A9" w14:textId="201547A9" w:rsidR="003E725A" w:rsidRPr="00264E74" w:rsidRDefault="003E725A" w:rsidP="003E725A">
      <w:pPr>
        <w:pStyle w:val="ListParagraph"/>
        <w:numPr>
          <w:ilvl w:val="0"/>
          <w:numId w:val="12"/>
        </w:numPr>
        <w:spacing w:before="120" w:after="120" w:line="257" w:lineRule="auto"/>
        <w:ind w:left="540" w:hanging="540"/>
        <w:contextualSpacing w:val="0"/>
        <w:rPr>
          <w:rFonts w:ascii="Calibri" w:hAnsi="Calibri" w:cs="Calibri"/>
          <w:color w:val="000000" w:themeColor="text1"/>
          <w:sz w:val="22"/>
          <w:szCs w:val="22"/>
        </w:rPr>
      </w:pPr>
      <w:r w:rsidRPr="00264E74">
        <w:rPr>
          <w:rFonts w:ascii="Calibri" w:hAnsi="Calibri" w:cs="Calibri"/>
          <w:sz w:val="22"/>
          <w:szCs w:val="22"/>
        </w:rPr>
        <w:t xml:space="preserve">In June 2020 </w:t>
      </w:r>
      <w:r w:rsidR="00CF140D" w:rsidRPr="00264E74">
        <w:rPr>
          <w:rFonts w:ascii="Calibri" w:hAnsi="Calibri" w:cs="Calibri"/>
          <w:sz w:val="22"/>
          <w:szCs w:val="22"/>
        </w:rPr>
        <w:t xml:space="preserve">the </w:t>
      </w:r>
      <w:r w:rsidRPr="00264E74">
        <w:rPr>
          <w:rFonts w:ascii="Calibri" w:hAnsi="Calibri" w:cs="Calibri"/>
          <w:sz w:val="22"/>
          <w:szCs w:val="22"/>
        </w:rPr>
        <w:t xml:space="preserve">Port of Newcastle unveiled its vision for the $1.8 billion development of a </w:t>
      </w:r>
      <w:r w:rsidR="00CF140D" w:rsidRPr="00264E74">
        <w:rPr>
          <w:rFonts w:ascii="Calibri" w:hAnsi="Calibri" w:cs="Calibri"/>
          <w:sz w:val="22"/>
          <w:szCs w:val="22"/>
        </w:rPr>
        <w:t>m</w:t>
      </w:r>
      <w:r w:rsidRPr="00264E74">
        <w:rPr>
          <w:rFonts w:ascii="Calibri" w:hAnsi="Calibri" w:cs="Calibri"/>
          <w:sz w:val="22"/>
          <w:szCs w:val="22"/>
        </w:rPr>
        <w:t xml:space="preserve">ulti-purpose Deepwater Terminal at the former BHP Steelworks site. The terminal will create cost efficiencies for NSW importers and exporters and underpin the diversification of the Hunter economy. </w:t>
      </w:r>
    </w:p>
    <w:p w14:paraId="6B6AE26D" w14:textId="77777777" w:rsidR="00A34D4A" w:rsidRPr="00264E74" w:rsidRDefault="00A34D4A" w:rsidP="00A34D4A">
      <w:pPr>
        <w:pStyle w:val="ListParagraph"/>
        <w:spacing w:before="120" w:after="120" w:line="257" w:lineRule="auto"/>
        <w:ind w:left="540"/>
        <w:contextualSpacing w:val="0"/>
        <w:rPr>
          <w:rFonts w:ascii="Calibri" w:hAnsi="Calibri" w:cs="Calibri"/>
          <w:color w:val="000000" w:themeColor="text1"/>
          <w:sz w:val="22"/>
          <w:szCs w:val="22"/>
        </w:rPr>
      </w:pPr>
    </w:p>
    <w:p w14:paraId="7E14C836" w14:textId="77777777" w:rsidR="003E725A" w:rsidRPr="00264E74" w:rsidRDefault="003E725A" w:rsidP="00BD3AD5">
      <w:pPr>
        <w:pStyle w:val="Heading3"/>
        <w:rPr>
          <w:rFonts w:cs="Calibri"/>
          <w:sz w:val="22"/>
          <w:szCs w:val="22"/>
        </w:rPr>
      </w:pPr>
    </w:p>
    <w:p w14:paraId="56D62904" w14:textId="51351FE0" w:rsidR="006530CD" w:rsidRPr="00264E74" w:rsidRDefault="006530CD" w:rsidP="00BD3AD5">
      <w:pPr>
        <w:pStyle w:val="Heading3"/>
        <w:rPr>
          <w:rFonts w:cs="Calibri"/>
          <w:sz w:val="22"/>
          <w:szCs w:val="22"/>
        </w:rPr>
      </w:pPr>
      <w:bookmarkStart w:id="85" w:name="_Toc81405375"/>
      <w:r w:rsidRPr="00264E74">
        <w:rPr>
          <w:rFonts w:cs="Calibri"/>
          <w:sz w:val="22"/>
          <w:szCs w:val="22"/>
        </w:rPr>
        <w:t>A Note on Comparing Data</w:t>
      </w:r>
      <w:bookmarkEnd w:id="73"/>
      <w:bookmarkEnd w:id="74"/>
      <w:bookmarkEnd w:id="75"/>
      <w:bookmarkEnd w:id="76"/>
      <w:bookmarkEnd w:id="77"/>
      <w:bookmarkEnd w:id="78"/>
      <w:bookmarkEnd w:id="79"/>
      <w:bookmarkEnd w:id="80"/>
      <w:bookmarkEnd w:id="85"/>
    </w:p>
    <w:p w14:paraId="5049DD7A" w14:textId="77777777" w:rsidR="006530CD" w:rsidRPr="00264E74" w:rsidRDefault="006530CD" w:rsidP="00BD3AD5">
      <w:pPr>
        <w:spacing w:before="120" w:after="120" w:line="257" w:lineRule="auto"/>
        <w:rPr>
          <w:rFonts w:ascii="Calibri" w:hAnsi="Calibri" w:cs="Calibri"/>
          <w:sz w:val="22"/>
          <w:szCs w:val="22"/>
        </w:rPr>
      </w:pPr>
      <w:r w:rsidRPr="00264E74">
        <w:rPr>
          <w:rFonts w:ascii="Calibri" w:hAnsi="Calibri" w:cs="Calibri"/>
          <w:sz w:val="22"/>
          <w:szCs w:val="22"/>
        </w:rPr>
        <w:t xml:space="preserve">It is important to note that unemployment statistics collected as part of the Labour Force Survey can vary considerably from income support statistics and jobactive caseload numbers. </w:t>
      </w:r>
    </w:p>
    <w:p w14:paraId="3CC270DB" w14:textId="1D21D4DA" w:rsidR="006530CD" w:rsidRPr="00264E74" w:rsidRDefault="006530CD" w:rsidP="00BD3AD5">
      <w:pPr>
        <w:spacing w:before="120" w:after="120" w:line="257" w:lineRule="auto"/>
        <w:rPr>
          <w:rFonts w:ascii="Calibri" w:hAnsi="Calibri" w:cs="Calibri"/>
          <w:sz w:val="22"/>
          <w:szCs w:val="22"/>
        </w:rPr>
      </w:pPr>
      <w:r w:rsidRPr="00264E74">
        <w:rPr>
          <w:rFonts w:ascii="Calibri" w:hAnsi="Calibri" w:cs="Calibri"/>
          <w:sz w:val="22"/>
          <w:szCs w:val="22"/>
        </w:rPr>
        <w:t xml:space="preserve">A person is considered employed by the ABS if they are aged 15 years and over and work for an hour or more during the Labour Force Survey reference week. The ABS also classify someone as employed if they have taken any kind of leave or were paid for some or </w:t>
      </w:r>
      <w:proofErr w:type="gramStart"/>
      <w:r w:rsidRPr="00264E74">
        <w:rPr>
          <w:rFonts w:ascii="Calibri" w:hAnsi="Calibri" w:cs="Calibri"/>
          <w:sz w:val="22"/>
          <w:szCs w:val="22"/>
        </w:rPr>
        <w:t>all of</w:t>
      </w:r>
      <w:proofErr w:type="gramEnd"/>
      <w:r w:rsidRPr="00264E74">
        <w:rPr>
          <w:rFonts w:ascii="Calibri" w:hAnsi="Calibri" w:cs="Calibri"/>
          <w:sz w:val="22"/>
          <w:szCs w:val="22"/>
        </w:rPr>
        <w:t xml:space="preserve"> the previous four weeks (including via the </w:t>
      </w:r>
      <w:proofErr w:type="spellStart"/>
      <w:r w:rsidRPr="00264E74">
        <w:rPr>
          <w:rFonts w:ascii="Calibri" w:hAnsi="Calibri" w:cs="Calibri"/>
          <w:sz w:val="22"/>
          <w:szCs w:val="22"/>
        </w:rPr>
        <w:t>JobKeeper</w:t>
      </w:r>
      <w:proofErr w:type="spellEnd"/>
      <w:r w:rsidRPr="00264E74">
        <w:rPr>
          <w:rFonts w:ascii="Calibri" w:hAnsi="Calibri" w:cs="Calibri"/>
          <w:sz w:val="22"/>
          <w:szCs w:val="22"/>
        </w:rPr>
        <w:t xml:space="preserve"> Payment). </w:t>
      </w:r>
    </w:p>
    <w:p w14:paraId="62E5A491" w14:textId="35EF7BC6" w:rsidR="00077125" w:rsidRPr="00264E74" w:rsidRDefault="006530CD" w:rsidP="00EC4F5D">
      <w:pPr>
        <w:spacing w:before="120" w:after="120" w:line="257" w:lineRule="auto"/>
        <w:rPr>
          <w:rFonts w:ascii="Calibri" w:hAnsi="Calibri" w:cs="Calibri"/>
          <w:sz w:val="22"/>
          <w:szCs w:val="22"/>
        </w:rPr>
      </w:pPr>
      <w:r w:rsidRPr="00264E74">
        <w:rPr>
          <w:rFonts w:ascii="Calibri" w:hAnsi="Calibri" w:cs="Calibri"/>
          <w:sz w:val="22"/>
          <w:szCs w:val="22"/>
        </w:rPr>
        <w:t>In addition, employees who were away from their jobs for less than four weeks without pay but still believed they had a job (</w:t>
      </w:r>
      <w:proofErr w:type="gramStart"/>
      <w:r w:rsidR="000E47CB" w:rsidRPr="00264E74">
        <w:rPr>
          <w:rFonts w:ascii="Calibri" w:hAnsi="Calibri" w:cs="Calibri"/>
          <w:sz w:val="22"/>
          <w:szCs w:val="22"/>
        </w:rPr>
        <w:t>e.g</w:t>
      </w:r>
      <w:r w:rsidRPr="00264E74">
        <w:rPr>
          <w:rFonts w:ascii="Calibri" w:hAnsi="Calibri" w:cs="Calibri"/>
          <w:sz w:val="22"/>
          <w:szCs w:val="22"/>
        </w:rPr>
        <w:t>.</w:t>
      </w:r>
      <w:proofErr w:type="gramEnd"/>
      <w:r w:rsidRPr="00264E74">
        <w:rPr>
          <w:rFonts w:ascii="Calibri" w:hAnsi="Calibri" w:cs="Calibri"/>
          <w:sz w:val="22"/>
          <w:szCs w:val="22"/>
        </w:rPr>
        <w:t xml:space="preserve"> were temporarily stood down) would also be classified as employed. A person is considered unemployed by the ABS if they are not employed, have actively looked for work at some time in the last four weeks and are currently available for work. </w:t>
      </w:r>
      <w:bookmarkEnd w:id="11"/>
      <w:bookmarkEnd w:id="12"/>
      <w:bookmarkEnd w:id="13"/>
    </w:p>
    <w:sectPr w:rsidR="00077125" w:rsidRPr="00264E74" w:rsidSect="00E307C4">
      <w:pgSz w:w="11906" w:h="16838"/>
      <w:pgMar w:top="1276" w:right="1418" w:bottom="1135"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FF4D" w14:textId="77777777" w:rsidR="00532D08" w:rsidRDefault="00532D08" w:rsidP="009B031C">
      <w:r>
        <w:separator/>
      </w:r>
    </w:p>
  </w:endnote>
  <w:endnote w:type="continuationSeparator" w:id="0">
    <w:p w14:paraId="766E9C3B" w14:textId="77777777" w:rsidR="00532D08" w:rsidRDefault="00532D08" w:rsidP="009B031C">
      <w:r>
        <w:continuationSeparator/>
      </w:r>
    </w:p>
  </w:endnote>
  <w:endnote w:type="continuationNotice" w:id="1">
    <w:p w14:paraId="374B3542" w14:textId="77777777" w:rsidR="00532D08" w:rsidRDefault="00532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DAF2" w14:textId="77777777" w:rsidR="004507F5" w:rsidRDefault="00450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FA3" w14:textId="77777777" w:rsidR="004507F5" w:rsidRDefault="00450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8226" w14:textId="77777777" w:rsidR="004507F5" w:rsidRDefault="004507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10346"/>
      <w:docPartObj>
        <w:docPartGallery w:val="Page Numbers (Bottom of Page)"/>
        <w:docPartUnique/>
      </w:docPartObj>
    </w:sdtPr>
    <w:sdtEndPr>
      <w:rPr>
        <w:noProof/>
        <w:color w:val="E7E6E6"/>
      </w:rPr>
    </w:sdtEndPr>
    <w:sdtContent>
      <w:p w14:paraId="6B5FD6AA" w14:textId="77777777" w:rsidR="002308CB" w:rsidRPr="003273FB" w:rsidRDefault="002308CB">
        <w:pPr>
          <w:pStyle w:val="Footer"/>
          <w:jc w:val="right"/>
          <w:rPr>
            <w:color w:val="E7E6E6"/>
          </w:rPr>
        </w:pPr>
        <w:r>
          <w:rPr>
            <w:noProof/>
          </w:rPr>
          <w:drawing>
            <wp:anchor distT="0" distB="0" distL="114300" distR="114300" simplePos="0" relativeHeight="251665408" behindDoc="1" locked="0" layoutInCell="1" allowOverlap="1" wp14:anchorId="51ED209F" wp14:editId="11095911">
              <wp:simplePos x="0" y="0"/>
              <wp:positionH relativeFrom="page">
                <wp:align>right</wp:align>
              </wp:positionH>
              <wp:positionV relativeFrom="paragraph">
                <wp:posOffset>-1098550</wp:posOffset>
              </wp:positionV>
              <wp:extent cx="2517866" cy="179237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3273FB">
          <w:rPr>
            <w:color w:val="E7E6E6"/>
          </w:rPr>
          <w:fldChar w:fldCharType="begin"/>
        </w:r>
        <w:r w:rsidRPr="003273FB">
          <w:rPr>
            <w:color w:val="E7E6E6"/>
          </w:rPr>
          <w:instrText xml:space="preserve"> PAGE   \* MERGEFORMAT </w:instrText>
        </w:r>
        <w:r w:rsidRPr="003273FB">
          <w:rPr>
            <w:color w:val="E7E6E6"/>
          </w:rPr>
          <w:fldChar w:fldCharType="separate"/>
        </w:r>
        <w:r w:rsidRPr="003273FB">
          <w:rPr>
            <w:noProof/>
            <w:color w:val="E7E6E6"/>
          </w:rPr>
          <w:t>2</w:t>
        </w:r>
        <w:r w:rsidRPr="003273FB">
          <w:rPr>
            <w:noProof/>
            <w:color w:val="E7E6E6"/>
          </w:rPr>
          <w:fldChar w:fldCharType="end"/>
        </w:r>
      </w:p>
    </w:sdtContent>
  </w:sdt>
  <w:p w14:paraId="56BB2D65" w14:textId="77777777" w:rsidR="002308CB" w:rsidRDefault="002308CB" w:rsidP="009B03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6143083"/>
      <w:docPartObj>
        <w:docPartGallery w:val="Page Numbers (Bottom of Page)"/>
        <w:docPartUnique/>
      </w:docPartObj>
    </w:sdtPr>
    <w:sdtEndPr>
      <w:rPr>
        <w:rStyle w:val="PageNumber"/>
      </w:rPr>
    </w:sdtEndPr>
    <w:sdtContent>
      <w:p w14:paraId="05254948" w14:textId="77777777" w:rsidR="002308CB" w:rsidRDefault="002308CB"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902C9" w14:textId="77777777" w:rsidR="002308CB" w:rsidRDefault="002308CB" w:rsidP="007D54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5625664"/>
      <w:docPartObj>
        <w:docPartGallery w:val="Page Numbers (Bottom of Page)"/>
        <w:docPartUnique/>
      </w:docPartObj>
    </w:sdtPr>
    <w:sdtEndPr>
      <w:rPr>
        <w:rStyle w:val="PageNumber"/>
      </w:rPr>
    </w:sdtEndPr>
    <w:sdtContent>
      <w:p w14:paraId="1B340BDB" w14:textId="77777777" w:rsidR="002308CB" w:rsidRDefault="002308CB" w:rsidP="007D54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6B7902C" w14:textId="77777777" w:rsidR="002308CB" w:rsidRDefault="002308CB" w:rsidP="007D54A5">
    <w:pPr>
      <w:pStyle w:val="Footer"/>
      <w:ind w:right="360"/>
      <w:jc w:val="center"/>
      <w:rPr>
        <w:caps/>
        <w:noProof/>
        <w:color w:val="165788" w:themeColor="accent1"/>
      </w:rPr>
    </w:pPr>
  </w:p>
  <w:p w14:paraId="3B22C9FE" w14:textId="77777777" w:rsidR="002308CB" w:rsidRDefault="0023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C029" w14:textId="77777777" w:rsidR="00532D08" w:rsidRDefault="00532D08" w:rsidP="009B031C">
      <w:r>
        <w:separator/>
      </w:r>
    </w:p>
  </w:footnote>
  <w:footnote w:type="continuationSeparator" w:id="0">
    <w:p w14:paraId="5210790C" w14:textId="77777777" w:rsidR="00532D08" w:rsidRDefault="00532D08" w:rsidP="009B031C">
      <w:r>
        <w:continuationSeparator/>
      </w:r>
    </w:p>
  </w:footnote>
  <w:footnote w:type="continuationNotice" w:id="1">
    <w:p w14:paraId="7E2BC438" w14:textId="77777777" w:rsidR="00532D08" w:rsidRDefault="00532D08"/>
  </w:footnote>
  <w:footnote w:id="2">
    <w:p w14:paraId="63403F43" w14:textId="77777777" w:rsidR="002308CB" w:rsidRPr="00DB4532" w:rsidRDefault="002308CB" w:rsidP="006530CD">
      <w:pPr>
        <w:pStyle w:val="Default"/>
        <w:rPr>
          <w:rFonts w:asciiTheme="minorHAnsi" w:eastAsiaTheme="minorHAnsi" w:hAnsiTheme="minorHAnsi" w:cstheme="minorHAnsi"/>
          <w:sz w:val="16"/>
          <w:szCs w:val="16"/>
          <w:lang w:eastAsia="en-US"/>
        </w:rPr>
      </w:pPr>
      <w:r w:rsidRPr="00DB4532">
        <w:rPr>
          <w:rStyle w:val="FootnoteReference"/>
          <w:rFonts w:asciiTheme="minorHAnsi" w:hAnsiTheme="minorHAnsi" w:cstheme="minorHAnsi"/>
          <w:sz w:val="16"/>
          <w:szCs w:val="16"/>
        </w:rPr>
        <w:footnoteRef/>
      </w:r>
      <w:r w:rsidRPr="00DB4532">
        <w:rPr>
          <w:rFonts w:asciiTheme="minorHAnsi" w:hAnsiTheme="minorHAnsi" w:cstheme="minorHAnsi"/>
          <w:sz w:val="16"/>
          <w:szCs w:val="16"/>
        </w:rPr>
        <w:t xml:space="preserve"> Source: </w:t>
      </w:r>
      <w:r w:rsidRPr="00DB4532">
        <w:rPr>
          <w:rFonts w:asciiTheme="minorHAnsi" w:eastAsiaTheme="minorHAnsi" w:hAnsiTheme="minorHAnsi" w:cstheme="minorHAnsi"/>
          <w:sz w:val="16"/>
          <w:szCs w:val="16"/>
          <w:lang w:eastAsia="en-US"/>
        </w:rPr>
        <w:t>Indigenous Economic Pathways and Participation in the Hunter Region,</w:t>
      </w:r>
      <w:r w:rsidRPr="00DB4532">
        <w:rPr>
          <w:rFonts w:asciiTheme="minorHAnsi" w:eastAsiaTheme="minorHAnsi" w:hAnsiTheme="minorHAnsi" w:cstheme="minorHAnsi"/>
          <w:b/>
          <w:bCs/>
          <w:sz w:val="16"/>
          <w:szCs w:val="16"/>
          <w:lang w:eastAsia="en-US"/>
        </w:rPr>
        <w:t xml:space="preserve"> </w:t>
      </w:r>
      <w:r w:rsidRPr="00DB4532">
        <w:rPr>
          <w:rFonts w:asciiTheme="minorHAnsi" w:eastAsiaTheme="minorHAnsi" w:hAnsiTheme="minorHAnsi" w:cstheme="minorHAnsi"/>
          <w:sz w:val="16"/>
          <w:szCs w:val="16"/>
          <w:lang w:eastAsia="en-US"/>
        </w:rPr>
        <w:t xml:space="preserve">Submission to the Inquiry of the Standing Committee on Indigenous Affairs: </w:t>
      </w:r>
      <w:r>
        <w:rPr>
          <w:rFonts w:asciiTheme="minorHAnsi" w:eastAsiaTheme="minorHAnsi" w:hAnsiTheme="minorHAnsi" w:cstheme="minorHAnsi"/>
          <w:sz w:val="16"/>
          <w:szCs w:val="16"/>
          <w:lang w:eastAsia="en-US"/>
        </w:rPr>
        <w:t xml:space="preserve"> </w:t>
      </w:r>
      <w:r w:rsidRPr="00DB4532">
        <w:rPr>
          <w:rFonts w:asciiTheme="minorHAnsi" w:eastAsiaTheme="minorHAnsi" w:hAnsiTheme="minorHAnsi" w:cstheme="minorHAnsi"/>
          <w:sz w:val="16"/>
          <w:szCs w:val="16"/>
          <w:lang w:eastAsia="en-US"/>
        </w:rPr>
        <w:t>Pathways and Participation Opportunities for Indigenous Australians in Employment and Business. 9th April 2020, Hunter Region Employment Facilitator</w:t>
      </w:r>
    </w:p>
    <w:p w14:paraId="32C7CFF2" w14:textId="77777777" w:rsidR="002308CB" w:rsidRPr="00DB4532" w:rsidRDefault="002308CB" w:rsidP="006530CD">
      <w:pPr>
        <w:pStyle w:val="FootnoteText"/>
        <w:rPr>
          <w:lang w:val="en-GB"/>
        </w:rPr>
      </w:pPr>
    </w:p>
  </w:footnote>
  <w:footnote w:id="3">
    <w:p w14:paraId="0DF1F575" w14:textId="0F115EFF" w:rsidR="00F30AD4" w:rsidRDefault="00F30AD4" w:rsidP="00F30AD4">
      <w:pPr>
        <w:pStyle w:val="FootnoteText"/>
      </w:pPr>
      <w:r>
        <w:rPr>
          <w:rStyle w:val="FootnoteReference"/>
        </w:rPr>
        <w:footnoteRef/>
      </w:r>
      <w:r>
        <w:t xml:space="preserve"> </w:t>
      </w:r>
      <w:r w:rsidR="00262A53">
        <w:t xml:space="preserve">Economic </w:t>
      </w:r>
      <w:r w:rsidR="00DA0EF1">
        <w:t xml:space="preserve">data </w:t>
      </w:r>
      <w:r w:rsidR="00262A53">
        <w:t>for</w:t>
      </w:r>
      <w:r w:rsidR="00DA0EF1">
        <w:t xml:space="preserve"> each of the LGA’s listed </w:t>
      </w:r>
      <w:r w:rsidR="00262A53">
        <w:t xml:space="preserve">originates from </w:t>
      </w:r>
      <w:r>
        <w:t xml:space="preserve">REMPLAN, </w:t>
      </w:r>
      <w:hyperlink r:id="rId1" w:history="1">
        <w:r w:rsidRPr="002308CB">
          <w:rPr>
            <w:rStyle w:val="Hyperlink"/>
          </w:rPr>
          <w:t>https://app.remplan.com.au</w:t>
        </w:r>
      </w:hyperlink>
      <w:r>
        <w:t xml:space="preserve">, </w:t>
      </w:r>
      <w:r w:rsidR="00653C7B">
        <w:t xml:space="preserve">as at </w:t>
      </w:r>
      <w:r w:rsidR="004733A9">
        <w:t>06/09/2021</w:t>
      </w:r>
    </w:p>
    <w:p w14:paraId="16624826" w14:textId="77777777" w:rsidR="00F30AD4" w:rsidRDefault="00F30AD4" w:rsidP="00F30A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96A1" w14:textId="77777777" w:rsidR="004507F5" w:rsidRDefault="00450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85AD" w14:textId="77777777" w:rsidR="002308CB" w:rsidRDefault="002308CB" w:rsidP="009B031C">
    <w:pPr>
      <w:pStyle w:val="Header"/>
    </w:pPr>
    <w:r>
      <w:rPr>
        <w:noProof/>
        <w:lang w:eastAsia="en-AU"/>
      </w:rPr>
      <w:drawing>
        <wp:anchor distT="0" distB="0" distL="114300" distR="114300" simplePos="0" relativeHeight="251657216" behindDoc="1" locked="0" layoutInCell="1" allowOverlap="1" wp14:anchorId="7ED42A98" wp14:editId="2C72F9FD">
          <wp:simplePos x="0" y="0"/>
          <wp:positionH relativeFrom="page">
            <wp:posOffset>118110</wp:posOffset>
          </wp:positionH>
          <wp:positionV relativeFrom="paragraph">
            <wp:posOffset>-442595</wp:posOffset>
          </wp:positionV>
          <wp:extent cx="7437528" cy="3610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4FD3" w14:textId="77777777" w:rsidR="004507F5" w:rsidRDefault="004507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DF8B" w14:textId="77777777" w:rsidR="002308CB" w:rsidRDefault="002308CB"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013"/>
    <w:multiLevelType w:val="hybridMultilevel"/>
    <w:tmpl w:val="324E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526B"/>
    <w:multiLevelType w:val="hybridMultilevel"/>
    <w:tmpl w:val="213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76CB1"/>
    <w:multiLevelType w:val="hybridMultilevel"/>
    <w:tmpl w:val="0B20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6CA0285"/>
    <w:multiLevelType w:val="hybridMultilevel"/>
    <w:tmpl w:val="B4884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51B16"/>
    <w:multiLevelType w:val="hybridMultilevel"/>
    <w:tmpl w:val="AB0C5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531635"/>
    <w:multiLevelType w:val="hybridMultilevel"/>
    <w:tmpl w:val="53C0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1224E82"/>
    <w:multiLevelType w:val="hybridMultilevel"/>
    <w:tmpl w:val="EE34FA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9FF"/>
    <w:multiLevelType w:val="hybridMultilevel"/>
    <w:tmpl w:val="B3BC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640F6D"/>
    <w:multiLevelType w:val="hybridMultilevel"/>
    <w:tmpl w:val="493CD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26A68D4"/>
    <w:multiLevelType w:val="hybridMultilevel"/>
    <w:tmpl w:val="DA6A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56B82"/>
    <w:multiLevelType w:val="hybridMultilevel"/>
    <w:tmpl w:val="2F24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20899"/>
    <w:multiLevelType w:val="hybridMultilevel"/>
    <w:tmpl w:val="EF5E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E48B1"/>
    <w:multiLevelType w:val="hybridMultilevel"/>
    <w:tmpl w:val="BC546E64"/>
    <w:lvl w:ilvl="0" w:tplc="4BC8A68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80A8A"/>
    <w:multiLevelType w:val="hybridMultilevel"/>
    <w:tmpl w:val="1DC69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E038E"/>
    <w:multiLevelType w:val="hybridMultilevel"/>
    <w:tmpl w:val="B24CC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BB00FD"/>
    <w:multiLevelType w:val="hybridMultilevel"/>
    <w:tmpl w:val="2926F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122ED"/>
    <w:multiLevelType w:val="multilevel"/>
    <w:tmpl w:val="078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AA3D44"/>
    <w:multiLevelType w:val="multilevel"/>
    <w:tmpl w:val="363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42058C"/>
    <w:multiLevelType w:val="hybridMultilevel"/>
    <w:tmpl w:val="DCE034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BB4719"/>
    <w:multiLevelType w:val="hybridMultilevel"/>
    <w:tmpl w:val="B37E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7576DC"/>
    <w:multiLevelType w:val="multilevel"/>
    <w:tmpl w:val="72D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12EA4"/>
    <w:multiLevelType w:val="multilevel"/>
    <w:tmpl w:val="1688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F73579"/>
    <w:multiLevelType w:val="hybridMultilevel"/>
    <w:tmpl w:val="2C76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E22E29"/>
    <w:multiLevelType w:val="hybridMultilevel"/>
    <w:tmpl w:val="8A241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8F4F85"/>
    <w:multiLevelType w:val="hybridMultilevel"/>
    <w:tmpl w:val="6F301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D49FD"/>
    <w:multiLevelType w:val="hybridMultilevel"/>
    <w:tmpl w:val="778E0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EE41EB"/>
    <w:multiLevelType w:val="hybridMultilevel"/>
    <w:tmpl w:val="11D0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A4ADD"/>
    <w:multiLevelType w:val="hybridMultilevel"/>
    <w:tmpl w:val="7786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E0FA6"/>
    <w:multiLevelType w:val="hybridMultilevel"/>
    <w:tmpl w:val="6114B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E342BA"/>
    <w:multiLevelType w:val="hybridMultilevel"/>
    <w:tmpl w:val="21368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396E8E"/>
    <w:multiLevelType w:val="hybridMultilevel"/>
    <w:tmpl w:val="2B3A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FA106A0"/>
    <w:multiLevelType w:val="hybridMultilevel"/>
    <w:tmpl w:val="9BC2C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1"/>
  </w:num>
  <w:num w:numId="6">
    <w:abstractNumId w:val="15"/>
  </w:num>
  <w:num w:numId="7">
    <w:abstractNumId w:val="30"/>
  </w:num>
  <w:num w:numId="8">
    <w:abstractNumId w:val="9"/>
  </w:num>
  <w:num w:numId="9">
    <w:abstractNumId w:val="34"/>
  </w:num>
  <w:num w:numId="10">
    <w:abstractNumId w:val="21"/>
  </w:num>
  <w:num w:numId="11">
    <w:abstractNumId w:val="29"/>
  </w:num>
  <w:num w:numId="12">
    <w:abstractNumId w:val="11"/>
  </w:num>
  <w:num w:numId="13">
    <w:abstractNumId w:val="20"/>
  </w:num>
  <w:num w:numId="14">
    <w:abstractNumId w:val="5"/>
  </w:num>
  <w:num w:numId="15">
    <w:abstractNumId w:val="28"/>
  </w:num>
  <w:num w:numId="16">
    <w:abstractNumId w:val="35"/>
  </w:num>
  <w:num w:numId="17">
    <w:abstractNumId w:val="10"/>
  </w:num>
  <w:num w:numId="18">
    <w:abstractNumId w:val="16"/>
  </w:num>
  <w:num w:numId="19">
    <w:abstractNumId w:val="4"/>
  </w:num>
  <w:num w:numId="20">
    <w:abstractNumId w:val="14"/>
  </w:num>
  <w:num w:numId="21">
    <w:abstractNumId w:val="17"/>
  </w:num>
  <w:num w:numId="22">
    <w:abstractNumId w:val="36"/>
  </w:num>
  <w:num w:numId="23">
    <w:abstractNumId w:val="0"/>
  </w:num>
  <w:num w:numId="24">
    <w:abstractNumId w:val="32"/>
  </w:num>
  <w:num w:numId="25">
    <w:abstractNumId w:val="33"/>
  </w:num>
  <w:num w:numId="26">
    <w:abstractNumId w:val="8"/>
  </w:num>
  <w:num w:numId="27">
    <w:abstractNumId w:val="3"/>
  </w:num>
  <w:num w:numId="28">
    <w:abstractNumId w:val="2"/>
  </w:num>
  <w:num w:numId="29">
    <w:abstractNumId w:val="6"/>
  </w:num>
  <w:num w:numId="30">
    <w:abstractNumId w:val="1"/>
  </w:num>
  <w:num w:numId="31">
    <w:abstractNumId w:val="12"/>
  </w:num>
  <w:num w:numId="32">
    <w:abstractNumId w:val="24"/>
  </w:num>
  <w:num w:numId="33">
    <w:abstractNumId w:val="23"/>
  </w:num>
  <w:num w:numId="34">
    <w:abstractNumId w:val="18"/>
  </w:num>
  <w:num w:numId="35">
    <w:abstractNumId w:val="19"/>
  </w:num>
  <w:num w:numId="36">
    <w:abstractNumId w:val="22"/>
  </w:num>
  <w:num w:numId="37">
    <w:abstractNumId w:val="13"/>
  </w:num>
  <w:num w:numId="38">
    <w:abstractNumId w:val="28"/>
  </w:num>
  <w:num w:numId="39">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35FF7"/>
    <w:rsid w:val="00000B20"/>
    <w:rsid w:val="00000B69"/>
    <w:rsid w:val="0000186A"/>
    <w:rsid w:val="00001EEF"/>
    <w:rsid w:val="00002721"/>
    <w:rsid w:val="0000419E"/>
    <w:rsid w:val="00005B5F"/>
    <w:rsid w:val="00006138"/>
    <w:rsid w:val="00006877"/>
    <w:rsid w:val="000121DC"/>
    <w:rsid w:val="0001789C"/>
    <w:rsid w:val="00017FF8"/>
    <w:rsid w:val="00024E24"/>
    <w:rsid w:val="0002700E"/>
    <w:rsid w:val="00027E63"/>
    <w:rsid w:val="000320EB"/>
    <w:rsid w:val="00034EAA"/>
    <w:rsid w:val="0003794C"/>
    <w:rsid w:val="00037B05"/>
    <w:rsid w:val="00040F23"/>
    <w:rsid w:val="00042EDB"/>
    <w:rsid w:val="00051531"/>
    <w:rsid w:val="00051EC3"/>
    <w:rsid w:val="00053A09"/>
    <w:rsid w:val="00056CF0"/>
    <w:rsid w:val="00064245"/>
    <w:rsid w:val="000651E0"/>
    <w:rsid w:val="000653F7"/>
    <w:rsid w:val="00066FE1"/>
    <w:rsid w:val="0006736B"/>
    <w:rsid w:val="00067523"/>
    <w:rsid w:val="000709A9"/>
    <w:rsid w:val="00076C92"/>
    <w:rsid w:val="00076DEA"/>
    <w:rsid w:val="00077125"/>
    <w:rsid w:val="00081C31"/>
    <w:rsid w:val="0008399A"/>
    <w:rsid w:val="00083AD8"/>
    <w:rsid w:val="00085410"/>
    <w:rsid w:val="000861A6"/>
    <w:rsid w:val="00090649"/>
    <w:rsid w:val="00092420"/>
    <w:rsid w:val="00094FB6"/>
    <w:rsid w:val="000954E8"/>
    <w:rsid w:val="000A2315"/>
    <w:rsid w:val="000A2E63"/>
    <w:rsid w:val="000A665F"/>
    <w:rsid w:val="000A6FBB"/>
    <w:rsid w:val="000A794D"/>
    <w:rsid w:val="000A7F7F"/>
    <w:rsid w:val="000B02C7"/>
    <w:rsid w:val="000B16DF"/>
    <w:rsid w:val="000B27DF"/>
    <w:rsid w:val="000B4105"/>
    <w:rsid w:val="000B682E"/>
    <w:rsid w:val="000B6CAD"/>
    <w:rsid w:val="000C24A8"/>
    <w:rsid w:val="000C4418"/>
    <w:rsid w:val="000C7DCA"/>
    <w:rsid w:val="000D6453"/>
    <w:rsid w:val="000E02EF"/>
    <w:rsid w:val="000E47CB"/>
    <w:rsid w:val="000E5404"/>
    <w:rsid w:val="000E6B6A"/>
    <w:rsid w:val="000E6FBB"/>
    <w:rsid w:val="000E7419"/>
    <w:rsid w:val="000F03DC"/>
    <w:rsid w:val="000F3111"/>
    <w:rsid w:val="000F397F"/>
    <w:rsid w:val="000F3BA2"/>
    <w:rsid w:val="000F46D6"/>
    <w:rsid w:val="00100680"/>
    <w:rsid w:val="00105968"/>
    <w:rsid w:val="00105A7A"/>
    <w:rsid w:val="00107020"/>
    <w:rsid w:val="00112351"/>
    <w:rsid w:val="00113023"/>
    <w:rsid w:val="00113699"/>
    <w:rsid w:val="00113A18"/>
    <w:rsid w:val="00113FF8"/>
    <w:rsid w:val="00116E00"/>
    <w:rsid w:val="001175BF"/>
    <w:rsid w:val="00122A5E"/>
    <w:rsid w:val="00124D69"/>
    <w:rsid w:val="001250D2"/>
    <w:rsid w:val="00126C4D"/>
    <w:rsid w:val="0013082A"/>
    <w:rsid w:val="00130923"/>
    <w:rsid w:val="00130FFE"/>
    <w:rsid w:val="001329CE"/>
    <w:rsid w:val="00132E88"/>
    <w:rsid w:val="00132F9A"/>
    <w:rsid w:val="001341FB"/>
    <w:rsid w:val="001353E9"/>
    <w:rsid w:val="00136D42"/>
    <w:rsid w:val="001414F3"/>
    <w:rsid w:val="00143FCD"/>
    <w:rsid w:val="001453DB"/>
    <w:rsid w:val="00151455"/>
    <w:rsid w:val="00154BFD"/>
    <w:rsid w:val="00155064"/>
    <w:rsid w:val="00157AF7"/>
    <w:rsid w:val="001617CA"/>
    <w:rsid w:val="001636BD"/>
    <w:rsid w:val="00165028"/>
    <w:rsid w:val="001707E6"/>
    <w:rsid w:val="00174702"/>
    <w:rsid w:val="00175CCB"/>
    <w:rsid w:val="00177425"/>
    <w:rsid w:val="001830B3"/>
    <w:rsid w:val="00183990"/>
    <w:rsid w:val="00183C6A"/>
    <w:rsid w:val="00184217"/>
    <w:rsid w:val="00186E56"/>
    <w:rsid w:val="00186F1D"/>
    <w:rsid w:val="00187487"/>
    <w:rsid w:val="00190523"/>
    <w:rsid w:val="00197596"/>
    <w:rsid w:val="001A08EE"/>
    <w:rsid w:val="001A21F9"/>
    <w:rsid w:val="001B1F5D"/>
    <w:rsid w:val="001B3B90"/>
    <w:rsid w:val="001B6467"/>
    <w:rsid w:val="001B6DBB"/>
    <w:rsid w:val="001B79E5"/>
    <w:rsid w:val="001C59E5"/>
    <w:rsid w:val="001C7374"/>
    <w:rsid w:val="001C7EDB"/>
    <w:rsid w:val="001D2329"/>
    <w:rsid w:val="001D57FF"/>
    <w:rsid w:val="001E3A65"/>
    <w:rsid w:val="001E6B89"/>
    <w:rsid w:val="00200849"/>
    <w:rsid w:val="002012F9"/>
    <w:rsid w:val="002016B2"/>
    <w:rsid w:val="002035B1"/>
    <w:rsid w:val="002079CC"/>
    <w:rsid w:val="00211030"/>
    <w:rsid w:val="00212D62"/>
    <w:rsid w:val="002150AB"/>
    <w:rsid w:val="002176CB"/>
    <w:rsid w:val="0021782D"/>
    <w:rsid w:val="00217DE8"/>
    <w:rsid w:val="0022170B"/>
    <w:rsid w:val="002223E4"/>
    <w:rsid w:val="00223219"/>
    <w:rsid w:val="00223EB1"/>
    <w:rsid w:val="00224AAE"/>
    <w:rsid w:val="00226571"/>
    <w:rsid w:val="002308CB"/>
    <w:rsid w:val="002315ED"/>
    <w:rsid w:val="00234A89"/>
    <w:rsid w:val="00236917"/>
    <w:rsid w:val="00236C84"/>
    <w:rsid w:val="00237206"/>
    <w:rsid w:val="00237AA0"/>
    <w:rsid w:val="00241364"/>
    <w:rsid w:val="002432BB"/>
    <w:rsid w:val="002439F1"/>
    <w:rsid w:val="00245DF1"/>
    <w:rsid w:val="002466F1"/>
    <w:rsid w:val="00247F54"/>
    <w:rsid w:val="002508C9"/>
    <w:rsid w:val="00251790"/>
    <w:rsid w:val="00253A0E"/>
    <w:rsid w:val="00254B4E"/>
    <w:rsid w:val="0025684D"/>
    <w:rsid w:val="00261C66"/>
    <w:rsid w:val="00262A53"/>
    <w:rsid w:val="00264070"/>
    <w:rsid w:val="00264E74"/>
    <w:rsid w:val="00266101"/>
    <w:rsid w:val="00271E93"/>
    <w:rsid w:val="0027470A"/>
    <w:rsid w:val="00276230"/>
    <w:rsid w:val="00282142"/>
    <w:rsid w:val="0028373D"/>
    <w:rsid w:val="00286D74"/>
    <w:rsid w:val="00287888"/>
    <w:rsid w:val="0029144C"/>
    <w:rsid w:val="00292CCA"/>
    <w:rsid w:val="00293094"/>
    <w:rsid w:val="00294DCC"/>
    <w:rsid w:val="0029549E"/>
    <w:rsid w:val="00295B27"/>
    <w:rsid w:val="002963AB"/>
    <w:rsid w:val="002A3F96"/>
    <w:rsid w:val="002A4643"/>
    <w:rsid w:val="002A7D54"/>
    <w:rsid w:val="002B06E6"/>
    <w:rsid w:val="002B3304"/>
    <w:rsid w:val="002B46D1"/>
    <w:rsid w:val="002B4945"/>
    <w:rsid w:val="002B4D4C"/>
    <w:rsid w:val="002B4E2A"/>
    <w:rsid w:val="002C1761"/>
    <w:rsid w:val="002C1B6C"/>
    <w:rsid w:val="002C2E80"/>
    <w:rsid w:val="002C3D38"/>
    <w:rsid w:val="002C4328"/>
    <w:rsid w:val="002C47EA"/>
    <w:rsid w:val="002D01B4"/>
    <w:rsid w:val="002D271F"/>
    <w:rsid w:val="002D40C8"/>
    <w:rsid w:val="002D5705"/>
    <w:rsid w:val="002D6386"/>
    <w:rsid w:val="002D748F"/>
    <w:rsid w:val="002E0666"/>
    <w:rsid w:val="002E0D1A"/>
    <w:rsid w:val="002E28E7"/>
    <w:rsid w:val="002E5996"/>
    <w:rsid w:val="002E7D75"/>
    <w:rsid w:val="002F0FCA"/>
    <w:rsid w:val="002F1C10"/>
    <w:rsid w:val="002F2A39"/>
    <w:rsid w:val="002F2BAE"/>
    <w:rsid w:val="002F35B9"/>
    <w:rsid w:val="002F626D"/>
    <w:rsid w:val="002F7595"/>
    <w:rsid w:val="00300E9D"/>
    <w:rsid w:val="0030199C"/>
    <w:rsid w:val="00301B4C"/>
    <w:rsid w:val="00302ADB"/>
    <w:rsid w:val="00305B35"/>
    <w:rsid w:val="00307EC4"/>
    <w:rsid w:val="003125A9"/>
    <w:rsid w:val="00314D02"/>
    <w:rsid w:val="0031739F"/>
    <w:rsid w:val="00322579"/>
    <w:rsid w:val="003231C3"/>
    <w:rsid w:val="00323755"/>
    <w:rsid w:val="00323D66"/>
    <w:rsid w:val="003242B9"/>
    <w:rsid w:val="003253A0"/>
    <w:rsid w:val="00325B55"/>
    <w:rsid w:val="003273FB"/>
    <w:rsid w:val="0033026A"/>
    <w:rsid w:val="0033377D"/>
    <w:rsid w:val="003346AD"/>
    <w:rsid w:val="00337DAE"/>
    <w:rsid w:val="00343C42"/>
    <w:rsid w:val="0034462D"/>
    <w:rsid w:val="00344D45"/>
    <w:rsid w:val="0034635F"/>
    <w:rsid w:val="00346F3C"/>
    <w:rsid w:val="00347BA2"/>
    <w:rsid w:val="00351C03"/>
    <w:rsid w:val="0035427A"/>
    <w:rsid w:val="003555F5"/>
    <w:rsid w:val="003616B4"/>
    <w:rsid w:val="0036357E"/>
    <w:rsid w:val="00364E27"/>
    <w:rsid w:val="00366DE5"/>
    <w:rsid w:val="0037176F"/>
    <w:rsid w:val="00376751"/>
    <w:rsid w:val="00376FDE"/>
    <w:rsid w:val="00383E02"/>
    <w:rsid w:val="00387BF7"/>
    <w:rsid w:val="0039176C"/>
    <w:rsid w:val="00392106"/>
    <w:rsid w:val="003926DB"/>
    <w:rsid w:val="00393759"/>
    <w:rsid w:val="00395C58"/>
    <w:rsid w:val="003960EC"/>
    <w:rsid w:val="003A1BBB"/>
    <w:rsid w:val="003A3E3B"/>
    <w:rsid w:val="003A69D7"/>
    <w:rsid w:val="003B1BFD"/>
    <w:rsid w:val="003B30B7"/>
    <w:rsid w:val="003B3D51"/>
    <w:rsid w:val="003B664E"/>
    <w:rsid w:val="003C12CE"/>
    <w:rsid w:val="003C39B8"/>
    <w:rsid w:val="003C5F3E"/>
    <w:rsid w:val="003C60F5"/>
    <w:rsid w:val="003C7F56"/>
    <w:rsid w:val="003D2A9C"/>
    <w:rsid w:val="003D67FC"/>
    <w:rsid w:val="003E0445"/>
    <w:rsid w:val="003E0ABD"/>
    <w:rsid w:val="003E2BB2"/>
    <w:rsid w:val="003E725A"/>
    <w:rsid w:val="003F3D2A"/>
    <w:rsid w:val="003F4ED2"/>
    <w:rsid w:val="003F5BBA"/>
    <w:rsid w:val="003F637C"/>
    <w:rsid w:val="003F7272"/>
    <w:rsid w:val="00403D03"/>
    <w:rsid w:val="004044D6"/>
    <w:rsid w:val="00404919"/>
    <w:rsid w:val="00405581"/>
    <w:rsid w:val="00406D81"/>
    <w:rsid w:val="00406E0A"/>
    <w:rsid w:val="00406E5A"/>
    <w:rsid w:val="0041181B"/>
    <w:rsid w:val="0041455F"/>
    <w:rsid w:val="0042298E"/>
    <w:rsid w:val="00423CD2"/>
    <w:rsid w:val="00424F61"/>
    <w:rsid w:val="00425A09"/>
    <w:rsid w:val="00427359"/>
    <w:rsid w:val="00431AE1"/>
    <w:rsid w:val="00434476"/>
    <w:rsid w:val="00434DC1"/>
    <w:rsid w:val="00441119"/>
    <w:rsid w:val="00441C11"/>
    <w:rsid w:val="0044434D"/>
    <w:rsid w:val="00444B29"/>
    <w:rsid w:val="00444D9A"/>
    <w:rsid w:val="00444DD6"/>
    <w:rsid w:val="004507F5"/>
    <w:rsid w:val="00450DE0"/>
    <w:rsid w:val="004525A4"/>
    <w:rsid w:val="00455760"/>
    <w:rsid w:val="00455B34"/>
    <w:rsid w:val="00461B56"/>
    <w:rsid w:val="004626FA"/>
    <w:rsid w:val="004629C2"/>
    <w:rsid w:val="004665E9"/>
    <w:rsid w:val="00466B20"/>
    <w:rsid w:val="00470319"/>
    <w:rsid w:val="004710DD"/>
    <w:rsid w:val="004733A9"/>
    <w:rsid w:val="00474EB9"/>
    <w:rsid w:val="00476122"/>
    <w:rsid w:val="00476332"/>
    <w:rsid w:val="00480947"/>
    <w:rsid w:val="00482729"/>
    <w:rsid w:val="004842BB"/>
    <w:rsid w:val="0048762C"/>
    <w:rsid w:val="00492B47"/>
    <w:rsid w:val="00497802"/>
    <w:rsid w:val="004A06B4"/>
    <w:rsid w:val="004A092F"/>
    <w:rsid w:val="004A291E"/>
    <w:rsid w:val="004A5FC8"/>
    <w:rsid w:val="004A719A"/>
    <w:rsid w:val="004B256F"/>
    <w:rsid w:val="004C07DD"/>
    <w:rsid w:val="004C33AE"/>
    <w:rsid w:val="004C44BB"/>
    <w:rsid w:val="004C5D48"/>
    <w:rsid w:val="004D09D7"/>
    <w:rsid w:val="004D215D"/>
    <w:rsid w:val="004D3C3C"/>
    <w:rsid w:val="004D440A"/>
    <w:rsid w:val="004E0FA6"/>
    <w:rsid w:val="004E2055"/>
    <w:rsid w:val="004E2B1A"/>
    <w:rsid w:val="004E4131"/>
    <w:rsid w:val="004E53AA"/>
    <w:rsid w:val="004F1CE8"/>
    <w:rsid w:val="004F30F8"/>
    <w:rsid w:val="004F32C8"/>
    <w:rsid w:val="004F4594"/>
    <w:rsid w:val="004F7269"/>
    <w:rsid w:val="005007D8"/>
    <w:rsid w:val="0050232A"/>
    <w:rsid w:val="00505500"/>
    <w:rsid w:val="005113B6"/>
    <w:rsid w:val="005113F3"/>
    <w:rsid w:val="005146EF"/>
    <w:rsid w:val="00517394"/>
    <w:rsid w:val="005227A7"/>
    <w:rsid w:val="0052470C"/>
    <w:rsid w:val="00525C00"/>
    <w:rsid w:val="00525D80"/>
    <w:rsid w:val="00526037"/>
    <w:rsid w:val="00531817"/>
    <w:rsid w:val="00532D08"/>
    <w:rsid w:val="0054253B"/>
    <w:rsid w:val="005455B1"/>
    <w:rsid w:val="00551725"/>
    <w:rsid w:val="00554050"/>
    <w:rsid w:val="00554AC5"/>
    <w:rsid w:val="00556F06"/>
    <w:rsid w:val="00560CA0"/>
    <w:rsid w:val="00560E42"/>
    <w:rsid w:val="005624F3"/>
    <w:rsid w:val="00564488"/>
    <w:rsid w:val="00566C9D"/>
    <w:rsid w:val="0057030A"/>
    <w:rsid w:val="005708A5"/>
    <w:rsid w:val="00570E4A"/>
    <w:rsid w:val="00572D92"/>
    <w:rsid w:val="0057350A"/>
    <w:rsid w:val="00575845"/>
    <w:rsid w:val="005811EF"/>
    <w:rsid w:val="0058258E"/>
    <w:rsid w:val="00584EF0"/>
    <w:rsid w:val="00591D6A"/>
    <w:rsid w:val="00592EA8"/>
    <w:rsid w:val="00593A8D"/>
    <w:rsid w:val="00593F39"/>
    <w:rsid w:val="00595A71"/>
    <w:rsid w:val="005967B3"/>
    <w:rsid w:val="00597283"/>
    <w:rsid w:val="005A07DD"/>
    <w:rsid w:val="005A595B"/>
    <w:rsid w:val="005A73CC"/>
    <w:rsid w:val="005A74CB"/>
    <w:rsid w:val="005B0878"/>
    <w:rsid w:val="005B11F6"/>
    <w:rsid w:val="005B459A"/>
    <w:rsid w:val="005B6043"/>
    <w:rsid w:val="005C1549"/>
    <w:rsid w:val="005C15C0"/>
    <w:rsid w:val="005C3450"/>
    <w:rsid w:val="005C47FE"/>
    <w:rsid w:val="005C67AB"/>
    <w:rsid w:val="005C7C59"/>
    <w:rsid w:val="005D02FA"/>
    <w:rsid w:val="005D110E"/>
    <w:rsid w:val="005D13CB"/>
    <w:rsid w:val="005D1562"/>
    <w:rsid w:val="005D2A30"/>
    <w:rsid w:val="005D61BD"/>
    <w:rsid w:val="005D6406"/>
    <w:rsid w:val="005D7C3A"/>
    <w:rsid w:val="005E3772"/>
    <w:rsid w:val="005F3EA5"/>
    <w:rsid w:val="00601A84"/>
    <w:rsid w:val="0060343F"/>
    <w:rsid w:val="00606C96"/>
    <w:rsid w:val="006072D6"/>
    <w:rsid w:val="00610654"/>
    <w:rsid w:val="00614B3D"/>
    <w:rsid w:val="0061708B"/>
    <w:rsid w:val="00617222"/>
    <w:rsid w:val="00620A05"/>
    <w:rsid w:val="00621ED6"/>
    <w:rsid w:val="00626334"/>
    <w:rsid w:val="006266AF"/>
    <w:rsid w:val="006278B0"/>
    <w:rsid w:val="00627A26"/>
    <w:rsid w:val="00630D28"/>
    <w:rsid w:val="00631ECB"/>
    <w:rsid w:val="00634AC4"/>
    <w:rsid w:val="00634D4D"/>
    <w:rsid w:val="00636A85"/>
    <w:rsid w:val="00640614"/>
    <w:rsid w:val="00643BF4"/>
    <w:rsid w:val="00645780"/>
    <w:rsid w:val="0064614C"/>
    <w:rsid w:val="00646C6D"/>
    <w:rsid w:val="00650F6F"/>
    <w:rsid w:val="006512B4"/>
    <w:rsid w:val="006530CD"/>
    <w:rsid w:val="00653C7B"/>
    <w:rsid w:val="0065589A"/>
    <w:rsid w:val="006560AB"/>
    <w:rsid w:val="00664345"/>
    <w:rsid w:val="0066459D"/>
    <w:rsid w:val="006662E4"/>
    <w:rsid w:val="0066717D"/>
    <w:rsid w:val="0067026C"/>
    <w:rsid w:val="0067417B"/>
    <w:rsid w:val="00675824"/>
    <w:rsid w:val="00677012"/>
    <w:rsid w:val="0068014E"/>
    <w:rsid w:val="006813AD"/>
    <w:rsid w:val="00681599"/>
    <w:rsid w:val="0068238B"/>
    <w:rsid w:val="00682489"/>
    <w:rsid w:val="00687183"/>
    <w:rsid w:val="006943F6"/>
    <w:rsid w:val="006950F8"/>
    <w:rsid w:val="006954C1"/>
    <w:rsid w:val="00695D58"/>
    <w:rsid w:val="006963A1"/>
    <w:rsid w:val="006A0880"/>
    <w:rsid w:val="006A16C5"/>
    <w:rsid w:val="006A34BF"/>
    <w:rsid w:val="006A4999"/>
    <w:rsid w:val="006A53C1"/>
    <w:rsid w:val="006A6423"/>
    <w:rsid w:val="006A6ABD"/>
    <w:rsid w:val="006B0055"/>
    <w:rsid w:val="006B010D"/>
    <w:rsid w:val="006B39BB"/>
    <w:rsid w:val="006C0975"/>
    <w:rsid w:val="006C1B92"/>
    <w:rsid w:val="006C499E"/>
    <w:rsid w:val="006C59F4"/>
    <w:rsid w:val="006C6E67"/>
    <w:rsid w:val="006D2868"/>
    <w:rsid w:val="006D2A7C"/>
    <w:rsid w:val="006D51AA"/>
    <w:rsid w:val="006D7F1D"/>
    <w:rsid w:val="006E16F9"/>
    <w:rsid w:val="006E2D49"/>
    <w:rsid w:val="006E3A16"/>
    <w:rsid w:val="006E6C38"/>
    <w:rsid w:val="006E730D"/>
    <w:rsid w:val="006F05F9"/>
    <w:rsid w:val="006F1EF7"/>
    <w:rsid w:val="006F1FE3"/>
    <w:rsid w:val="006F227C"/>
    <w:rsid w:val="006F2C2A"/>
    <w:rsid w:val="006F332D"/>
    <w:rsid w:val="006F346A"/>
    <w:rsid w:val="006F3CCC"/>
    <w:rsid w:val="006F4B99"/>
    <w:rsid w:val="006F629E"/>
    <w:rsid w:val="00700AAD"/>
    <w:rsid w:val="007016E3"/>
    <w:rsid w:val="00702CA5"/>
    <w:rsid w:val="00703814"/>
    <w:rsid w:val="00704E28"/>
    <w:rsid w:val="00704E74"/>
    <w:rsid w:val="00705389"/>
    <w:rsid w:val="00710A2A"/>
    <w:rsid w:val="007115C9"/>
    <w:rsid w:val="00715B5D"/>
    <w:rsid w:val="0071621F"/>
    <w:rsid w:val="00716322"/>
    <w:rsid w:val="00716872"/>
    <w:rsid w:val="00716CDB"/>
    <w:rsid w:val="00720796"/>
    <w:rsid w:val="00721773"/>
    <w:rsid w:val="00724392"/>
    <w:rsid w:val="00724EE2"/>
    <w:rsid w:val="00726CFD"/>
    <w:rsid w:val="00726FD4"/>
    <w:rsid w:val="007309BB"/>
    <w:rsid w:val="00730C40"/>
    <w:rsid w:val="00731746"/>
    <w:rsid w:val="00733095"/>
    <w:rsid w:val="00735BF5"/>
    <w:rsid w:val="007404B6"/>
    <w:rsid w:val="00740C8B"/>
    <w:rsid w:val="007468C2"/>
    <w:rsid w:val="007468FC"/>
    <w:rsid w:val="007473A6"/>
    <w:rsid w:val="00747C54"/>
    <w:rsid w:val="00751303"/>
    <w:rsid w:val="00756F69"/>
    <w:rsid w:val="00763191"/>
    <w:rsid w:val="00764625"/>
    <w:rsid w:val="007650F8"/>
    <w:rsid w:val="00765D47"/>
    <w:rsid w:val="00770539"/>
    <w:rsid w:val="007721E0"/>
    <w:rsid w:val="00772422"/>
    <w:rsid w:val="00775992"/>
    <w:rsid w:val="00776A80"/>
    <w:rsid w:val="00777DE9"/>
    <w:rsid w:val="00780A4F"/>
    <w:rsid w:val="00780F00"/>
    <w:rsid w:val="00781E30"/>
    <w:rsid w:val="007873B3"/>
    <w:rsid w:val="007924A0"/>
    <w:rsid w:val="00792CA3"/>
    <w:rsid w:val="00795838"/>
    <w:rsid w:val="007A27DB"/>
    <w:rsid w:val="007A5A5F"/>
    <w:rsid w:val="007A5DB4"/>
    <w:rsid w:val="007B0390"/>
    <w:rsid w:val="007B2FDD"/>
    <w:rsid w:val="007B310E"/>
    <w:rsid w:val="007B349C"/>
    <w:rsid w:val="007B54B6"/>
    <w:rsid w:val="007C362B"/>
    <w:rsid w:val="007C6661"/>
    <w:rsid w:val="007D32D3"/>
    <w:rsid w:val="007D4465"/>
    <w:rsid w:val="007D54A5"/>
    <w:rsid w:val="007D6893"/>
    <w:rsid w:val="007E01B2"/>
    <w:rsid w:val="007E1DE1"/>
    <w:rsid w:val="007E1DF8"/>
    <w:rsid w:val="007F22F2"/>
    <w:rsid w:val="007F339B"/>
    <w:rsid w:val="007F4AD6"/>
    <w:rsid w:val="007F6FE2"/>
    <w:rsid w:val="007F712A"/>
    <w:rsid w:val="007F78A5"/>
    <w:rsid w:val="00800C24"/>
    <w:rsid w:val="00803551"/>
    <w:rsid w:val="00803B78"/>
    <w:rsid w:val="0080535E"/>
    <w:rsid w:val="008069BA"/>
    <w:rsid w:val="00811589"/>
    <w:rsid w:val="00811A8C"/>
    <w:rsid w:val="00811BB5"/>
    <w:rsid w:val="008141D6"/>
    <w:rsid w:val="00816357"/>
    <w:rsid w:val="0081715D"/>
    <w:rsid w:val="00817BDA"/>
    <w:rsid w:val="00822F79"/>
    <w:rsid w:val="0082434E"/>
    <w:rsid w:val="0082509E"/>
    <w:rsid w:val="008253AF"/>
    <w:rsid w:val="00825A9E"/>
    <w:rsid w:val="00825E2B"/>
    <w:rsid w:val="00826EEA"/>
    <w:rsid w:val="00830C80"/>
    <w:rsid w:val="0083244F"/>
    <w:rsid w:val="0083468A"/>
    <w:rsid w:val="00834BC7"/>
    <w:rsid w:val="008356AA"/>
    <w:rsid w:val="00840E6D"/>
    <w:rsid w:val="008419C2"/>
    <w:rsid w:val="00842D43"/>
    <w:rsid w:val="00846E07"/>
    <w:rsid w:val="00847988"/>
    <w:rsid w:val="00855CB9"/>
    <w:rsid w:val="00856D1C"/>
    <w:rsid w:val="0086021D"/>
    <w:rsid w:val="0086078A"/>
    <w:rsid w:val="008615F0"/>
    <w:rsid w:val="0086224C"/>
    <w:rsid w:val="00864559"/>
    <w:rsid w:val="008659F1"/>
    <w:rsid w:val="008664FA"/>
    <w:rsid w:val="00872911"/>
    <w:rsid w:val="008749CB"/>
    <w:rsid w:val="00876AC0"/>
    <w:rsid w:val="00877EA6"/>
    <w:rsid w:val="00881892"/>
    <w:rsid w:val="00882398"/>
    <w:rsid w:val="00884A4D"/>
    <w:rsid w:val="00887855"/>
    <w:rsid w:val="008904DF"/>
    <w:rsid w:val="008914D6"/>
    <w:rsid w:val="00895EBF"/>
    <w:rsid w:val="008A0163"/>
    <w:rsid w:val="008A0775"/>
    <w:rsid w:val="008A2376"/>
    <w:rsid w:val="008B1746"/>
    <w:rsid w:val="008B31A4"/>
    <w:rsid w:val="008B7C63"/>
    <w:rsid w:val="008C2DB2"/>
    <w:rsid w:val="008C3832"/>
    <w:rsid w:val="008C3BCF"/>
    <w:rsid w:val="008C526C"/>
    <w:rsid w:val="008C5E8F"/>
    <w:rsid w:val="008D0BB9"/>
    <w:rsid w:val="008D2703"/>
    <w:rsid w:val="008D4C9C"/>
    <w:rsid w:val="008D5289"/>
    <w:rsid w:val="008E1C0F"/>
    <w:rsid w:val="008E2A1B"/>
    <w:rsid w:val="008E51B9"/>
    <w:rsid w:val="008E72C8"/>
    <w:rsid w:val="008F02B9"/>
    <w:rsid w:val="008F1F02"/>
    <w:rsid w:val="008F304C"/>
    <w:rsid w:val="008F3483"/>
    <w:rsid w:val="008F4419"/>
    <w:rsid w:val="008F497B"/>
    <w:rsid w:val="008F4EB4"/>
    <w:rsid w:val="008F52E2"/>
    <w:rsid w:val="0090118E"/>
    <w:rsid w:val="009013CD"/>
    <w:rsid w:val="00911627"/>
    <w:rsid w:val="009116EA"/>
    <w:rsid w:val="009116F7"/>
    <w:rsid w:val="0091499B"/>
    <w:rsid w:val="00914D91"/>
    <w:rsid w:val="009164B1"/>
    <w:rsid w:val="00917136"/>
    <w:rsid w:val="009174C8"/>
    <w:rsid w:val="00921ADC"/>
    <w:rsid w:val="00922026"/>
    <w:rsid w:val="00923B7D"/>
    <w:rsid w:val="00924DE4"/>
    <w:rsid w:val="00931DB5"/>
    <w:rsid w:val="00933671"/>
    <w:rsid w:val="00935DA6"/>
    <w:rsid w:val="00936481"/>
    <w:rsid w:val="00941697"/>
    <w:rsid w:val="00942A55"/>
    <w:rsid w:val="0094720E"/>
    <w:rsid w:val="00947C8F"/>
    <w:rsid w:val="00947E2F"/>
    <w:rsid w:val="00953A2F"/>
    <w:rsid w:val="00954A62"/>
    <w:rsid w:val="00956071"/>
    <w:rsid w:val="009571F5"/>
    <w:rsid w:val="0096046A"/>
    <w:rsid w:val="00961F8F"/>
    <w:rsid w:val="00962A34"/>
    <w:rsid w:val="00963FC1"/>
    <w:rsid w:val="009641FB"/>
    <w:rsid w:val="00966166"/>
    <w:rsid w:val="0097057C"/>
    <w:rsid w:val="0097274D"/>
    <w:rsid w:val="00972DD5"/>
    <w:rsid w:val="00976443"/>
    <w:rsid w:val="009779E4"/>
    <w:rsid w:val="00980839"/>
    <w:rsid w:val="009811BC"/>
    <w:rsid w:val="009821D8"/>
    <w:rsid w:val="00984879"/>
    <w:rsid w:val="0098496D"/>
    <w:rsid w:val="00985632"/>
    <w:rsid w:val="00991B63"/>
    <w:rsid w:val="00991D0A"/>
    <w:rsid w:val="009A0D3F"/>
    <w:rsid w:val="009A42F7"/>
    <w:rsid w:val="009A4711"/>
    <w:rsid w:val="009A5179"/>
    <w:rsid w:val="009B031C"/>
    <w:rsid w:val="009B2428"/>
    <w:rsid w:val="009B3DF1"/>
    <w:rsid w:val="009B5CB7"/>
    <w:rsid w:val="009B7CDA"/>
    <w:rsid w:val="009C180F"/>
    <w:rsid w:val="009C30D2"/>
    <w:rsid w:val="009C4AEC"/>
    <w:rsid w:val="009C596A"/>
    <w:rsid w:val="009C6A8E"/>
    <w:rsid w:val="009D0E22"/>
    <w:rsid w:val="009D3023"/>
    <w:rsid w:val="009D3631"/>
    <w:rsid w:val="009D454F"/>
    <w:rsid w:val="009D57F5"/>
    <w:rsid w:val="009E010D"/>
    <w:rsid w:val="009E4E9E"/>
    <w:rsid w:val="009E5323"/>
    <w:rsid w:val="009E5886"/>
    <w:rsid w:val="009E5974"/>
    <w:rsid w:val="009E5B8C"/>
    <w:rsid w:val="009E6660"/>
    <w:rsid w:val="009F2181"/>
    <w:rsid w:val="009F4056"/>
    <w:rsid w:val="009F7437"/>
    <w:rsid w:val="00A02487"/>
    <w:rsid w:val="00A04CB7"/>
    <w:rsid w:val="00A078CD"/>
    <w:rsid w:val="00A10AEF"/>
    <w:rsid w:val="00A12417"/>
    <w:rsid w:val="00A132FB"/>
    <w:rsid w:val="00A140E1"/>
    <w:rsid w:val="00A16DC9"/>
    <w:rsid w:val="00A246B6"/>
    <w:rsid w:val="00A257EE"/>
    <w:rsid w:val="00A31242"/>
    <w:rsid w:val="00A318BA"/>
    <w:rsid w:val="00A34BFC"/>
    <w:rsid w:val="00A34D4A"/>
    <w:rsid w:val="00A35727"/>
    <w:rsid w:val="00A35EA3"/>
    <w:rsid w:val="00A40F00"/>
    <w:rsid w:val="00A4184C"/>
    <w:rsid w:val="00A44023"/>
    <w:rsid w:val="00A46CF5"/>
    <w:rsid w:val="00A4714A"/>
    <w:rsid w:val="00A476D4"/>
    <w:rsid w:val="00A52530"/>
    <w:rsid w:val="00A525CA"/>
    <w:rsid w:val="00A5352D"/>
    <w:rsid w:val="00A5457F"/>
    <w:rsid w:val="00A54AB2"/>
    <w:rsid w:val="00A551BF"/>
    <w:rsid w:val="00A57805"/>
    <w:rsid w:val="00A57A20"/>
    <w:rsid w:val="00A61653"/>
    <w:rsid w:val="00A64D0C"/>
    <w:rsid w:val="00A70524"/>
    <w:rsid w:val="00A70E33"/>
    <w:rsid w:val="00A73406"/>
    <w:rsid w:val="00A75283"/>
    <w:rsid w:val="00A7675D"/>
    <w:rsid w:val="00A8086F"/>
    <w:rsid w:val="00A81702"/>
    <w:rsid w:val="00A81E19"/>
    <w:rsid w:val="00A82CB7"/>
    <w:rsid w:val="00A85E41"/>
    <w:rsid w:val="00A96779"/>
    <w:rsid w:val="00AA2460"/>
    <w:rsid w:val="00AA33AE"/>
    <w:rsid w:val="00AA423A"/>
    <w:rsid w:val="00AA7130"/>
    <w:rsid w:val="00AA72AF"/>
    <w:rsid w:val="00AB2A79"/>
    <w:rsid w:val="00AB3A81"/>
    <w:rsid w:val="00AB51B5"/>
    <w:rsid w:val="00AB5B32"/>
    <w:rsid w:val="00AB7BE9"/>
    <w:rsid w:val="00AC37A2"/>
    <w:rsid w:val="00AC3E6F"/>
    <w:rsid w:val="00AC4B34"/>
    <w:rsid w:val="00AC62A8"/>
    <w:rsid w:val="00AC65DA"/>
    <w:rsid w:val="00AC6609"/>
    <w:rsid w:val="00AD5FFA"/>
    <w:rsid w:val="00AD71E4"/>
    <w:rsid w:val="00AE343B"/>
    <w:rsid w:val="00AE3B0F"/>
    <w:rsid w:val="00AE4C22"/>
    <w:rsid w:val="00AE7E2C"/>
    <w:rsid w:val="00AF29D1"/>
    <w:rsid w:val="00AF374D"/>
    <w:rsid w:val="00AF4D29"/>
    <w:rsid w:val="00AF4D9C"/>
    <w:rsid w:val="00B01424"/>
    <w:rsid w:val="00B01775"/>
    <w:rsid w:val="00B02B37"/>
    <w:rsid w:val="00B03C52"/>
    <w:rsid w:val="00B0415F"/>
    <w:rsid w:val="00B05744"/>
    <w:rsid w:val="00B07EFE"/>
    <w:rsid w:val="00B1260D"/>
    <w:rsid w:val="00B15877"/>
    <w:rsid w:val="00B15CA5"/>
    <w:rsid w:val="00B20A44"/>
    <w:rsid w:val="00B2185E"/>
    <w:rsid w:val="00B21C30"/>
    <w:rsid w:val="00B21DA4"/>
    <w:rsid w:val="00B23EFF"/>
    <w:rsid w:val="00B2722A"/>
    <w:rsid w:val="00B31C29"/>
    <w:rsid w:val="00B325E0"/>
    <w:rsid w:val="00B357CA"/>
    <w:rsid w:val="00B35FF7"/>
    <w:rsid w:val="00B3663D"/>
    <w:rsid w:val="00B367E7"/>
    <w:rsid w:val="00B40C0B"/>
    <w:rsid w:val="00B41F03"/>
    <w:rsid w:val="00B43E34"/>
    <w:rsid w:val="00B510BF"/>
    <w:rsid w:val="00B518AD"/>
    <w:rsid w:val="00B52098"/>
    <w:rsid w:val="00B563F2"/>
    <w:rsid w:val="00B573E3"/>
    <w:rsid w:val="00B57B1D"/>
    <w:rsid w:val="00B618BA"/>
    <w:rsid w:val="00B61935"/>
    <w:rsid w:val="00B66C3E"/>
    <w:rsid w:val="00B6733E"/>
    <w:rsid w:val="00B67EA0"/>
    <w:rsid w:val="00B705B4"/>
    <w:rsid w:val="00B729B8"/>
    <w:rsid w:val="00B743E4"/>
    <w:rsid w:val="00B75046"/>
    <w:rsid w:val="00B751A5"/>
    <w:rsid w:val="00B75213"/>
    <w:rsid w:val="00B75F4C"/>
    <w:rsid w:val="00B76FA3"/>
    <w:rsid w:val="00B808BF"/>
    <w:rsid w:val="00B80B97"/>
    <w:rsid w:val="00B81057"/>
    <w:rsid w:val="00B83EC0"/>
    <w:rsid w:val="00B843B2"/>
    <w:rsid w:val="00B865D8"/>
    <w:rsid w:val="00B86CDE"/>
    <w:rsid w:val="00B91395"/>
    <w:rsid w:val="00B924F3"/>
    <w:rsid w:val="00B935E1"/>
    <w:rsid w:val="00B95184"/>
    <w:rsid w:val="00BA445E"/>
    <w:rsid w:val="00BB18F0"/>
    <w:rsid w:val="00BB30D6"/>
    <w:rsid w:val="00BB37A4"/>
    <w:rsid w:val="00BB398C"/>
    <w:rsid w:val="00BB5E91"/>
    <w:rsid w:val="00BC030D"/>
    <w:rsid w:val="00BC16CC"/>
    <w:rsid w:val="00BC29DD"/>
    <w:rsid w:val="00BC50DE"/>
    <w:rsid w:val="00BD277E"/>
    <w:rsid w:val="00BD27C0"/>
    <w:rsid w:val="00BD3AD5"/>
    <w:rsid w:val="00BD4B11"/>
    <w:rsid w:val="00BE0791"/>
    <w:rsid w:val="00BE0C16"/>
    <w:rsid w:val="00BE1374"/>
    <w:rsid w:val="00BE1A8B"/>
    <w:rsid w:val="00BE1B51"/>
    <w:rsid w:val="00BE2B14"/>
    <w:rsid w:val="00BE3E9E"/>
    <w:rsid w:val="00BE5774"/>
    <w:rsid w:val="00BE6CD2"/>
    <w:rsid w:val="00BE6F8D"/>
    <w:rsid w:val="00BF1BF8"/>
    <w:rsid w:val="00BF364D"/>
    <w:rsid w:val="00BF4627"/>
    <w:rsid w:val="00BF4E2F"/>
    <w:rsid w:val="00BF71A0"/>
    <w:rsid w:val="00BF7563"/>
    <w:rsid w:val="00BF7770"/>
    <w:rsid w:val="00C00A8B"/>
    <w:rsid w:val="00C01D56"/>
    <w:rsid w:val="00C01E66"/>
    <w:rsid w:val="00C05E74"/>
    <w:rsid w:val="00C0683F"/>
    <w:rsid w:val="00C07F62"/>
    <w:rsid w:val="00C10C19"/>
    <w:rsid w:val="00C15DCE"/>
    <w:rsid w:val="00C163EB"/>
    <w:rsid w:val="00C30968"/>
    <w:rsid w:val="00C33586"/>
    <w:rsid w:val="00C36582"/>
    <w:rsid w:val="00C40DE9"/>
    <w:rsid w:val="00C4297C"/>
    <w:rsid w:val="00C44E00"/>
    <w:rsid w:val="00C45D64"/>
    <w:rsid w:val="00C47E48"/>
    <w:rsid w:val="00C54E11"/>
    <w:rsid w:val="00C55D35"/>
    <w:rsid w:val="00C55E2F"/>
    <w:rsid w:val="00C5649C"/>
    <w:rsid w:val="00C601ED"/>
    <w:rsid w:val="00C606BD"/>
    <w:rsid w:val="00C6192A"/>
    <w:rsid w:val="00C62265"/>
    <w:rsid w:val="00C62AEF"/>
    <w:rsid w:val="00C64B7B"/>
    <w:rsid w:val="00C64DEE"/>
    <w:rsid w:val="00C656F2"/>
    <w:rsid w:val="00C676E9"/>
    <w:rsid w:val="00C74BF4"/>
    <w:rsid w:val="00C75486"/>
    <w:rsid w:val="00C75A3D"/>
    <w:rsid w:val="00C7703A"/>
    <w:rsid w:val="00C77F21"/>
    <w:rsid w:val="00C8202C"/>
    <w:rsid w:val="00C862C4"/>
    <w:rsid w:val="00C91C18"/>
    <w:rsid w:val="00C92A5B"/>
    <w:rsid w:val="00C93DA5"/>
    <w:rsid w:val="00CA46EC"/>
    <w:rsid w:val="00CA528B"/>
    <w:rsid w:val="00CA6C70"/>
    <w:rsid w:val="00CB3238"/>
    <w:rsid w:val="00CB3A4A"/>
    <w:rsid w:val="00CB56C7"/>
    <w:rsid w:val="00CB6894"/>
    <w:rsid w:val="00CB7660"/>
    <w:rsid w:val="00CC0BF5"/>
    <w:rsid w:val="00CC1C42"/>
    <w:rsid w:val="00CC2C85"/>
    <w:rsid w:val="00CC4714"/>
    <w:rsid w:val="00CC6896"/>
    <w:rsid w:val="00CD3640"/>
    <w:rsid w:val="00CD558D"/>
    <w:rsid w:val="00CE1786"/>
    <w:rsid w:val="00CE195F"/>
    <w:rsid w:val="00CE1E9A"/>
    <w:rsid w:val="00CE4922"/>
    <w:rsid w:val="00CE5AFB"/>
    <w:rsid w:val="00CE6E34"/>
    <w:rsid w:val="00CE77BB"/>
    <w:rsid w:val="00CE7D6D"/>
    <w:rsid w:val="00CF140D"/>
    <w:rsid w:val="00CF30A4"/>
    <w:rsid w:val="00CF4911"/>
    <w:rsid w:val="00D00AA4"/>
    <w:rsid w:val="00D031D6"/>
    <w:rsid w:val="00D04449"/>
    <w:rsid w:val="00D04B9D"/>
    <w:rsid w:val="00D06A04"/>
    <w:rsid w:val="00D128B4"/>
    <w:rsid w:val="00D1394D"/>
    <w:rsid w:val="00D13CB7"/>
    <w:rsid w:val="00D14499"/>
    <w:rsid w:val="00D153AA"/>
    <w:rsid w:val="00D1683D"/>
    <w:rsid w:val="00D1773D"/>
    <w:rsid w:val="00D17A25"/>
    <w:rsid w:val="00D24979"/>
    <w:rsid w:val="00D24E37"/>
    <w:rsid w:val="00D25492"/>
    <w:rsid w:val="00D2741E"/>
    <w:rsid w:val="00D3108D"/>
    <w:rsid w:val="00D320AB"/>
    <w:rsid w:val="00D34481"/>
    <w:rsid w:val="00D34C11"/>
    <w:rsid w:val="00D35719"/>
    <w:rsid w:val="00D40D35"/>
    <w:rsid w:val="00D42293"/>
    <w:rsid w:val="00D42AE8"/>
    <w:rsid w:val="00D42BEF"/>
    <w:rsid w:val="00D43335"/>
    <w:rsid w:val="00D442AE"/>
    <w:rsid w:val="00D47B10"/>
    <w:rsid w:val="00D47B4A"/>
    <w:rsid w:val="00D50268"/>
    <w:rsid w:val="00D509DD"/>
    <w:rsid w:val="00D521F1"/>
    <w:rsid w:val="00D542FD"/>
    <w:rsid w:val="00D552AF"/>
    <w:rsid w:val="00D564EE"/>
    <w:rsid w:val="00D571D7"/>
    <w:rsid w:val="00D619E3"/>
    <w:rsid w:val="00D61D35"/>
    <w:rsid w:val="00D633CD"/>
    <w:rsid w:val="00D63A3C"/>
    <w:rsid w:val="00D63D0D"/>
    <w:rsid w:val="00D67F32"/>
    <w:rsid w:val="00D83326"/>
    <w:rsid w:val="00D85A53"/>
    <w:rsid w:val="00D86C0A"/>
    <w:rsid w:val="00D8741E"/>
    <w:rsid w:val="00D875E4"/>
    <w:rsid w:val="00D903FD"/>
    <w:rsid w:val="00D90ECE"/>
    <w:rsid w:val="00D919D9"/>
    <w:rsid w:val="00D91D01"/>
    <w:rsid w:val="00D94BC5"/>
    <w:rsid w:val="00D96C08"/>
    <w:rsid w:val="00D96C3A"/>
    <w:rsid w:val="00DA08BD"/>
    <w:rsid w:val="00DA0EF1"/>
    <w:rsid w:val="00DA3EE6"/>
    <w:rsid w:val="00DA5331"/>
    <w:rsid w:val="00DB17D5"/>
    <w:rsid w:val="00DB211D"/>
    <w:rsid w:val="00DB2BDD"/>
    <w:rsid w:val="00DB5605"/>
    <w:rsid w:val="00DB688E"/>
    <w:rsid w:val="00DC194A"/>
    <w:rsid w:val="00DC342C"/>
    <w:rsid w:val="00DC3677"/>
    <w:rsid w:val="00DC41B4"/>
    <w:rsid w:val="00DD2FB1"/>
    <w:rsid w:val="00DD6169"/>
    <w:rsid w:val="00DD641D"/>
    <w:rsid w:val="00DD6AED"/>
    <w:rsid w:val="00DE693D"/>
    <w:rsid w:val="00DE69B6"/>
    <w:rsid w:val="00DE7E94"/>
    <w:rsid w:val="00DF2FA8"/>
    <w:rsid w:val="00DF63C6"/>
    <w:rsid w:val="00DF659F"/>
    <w:rsid w:val="00DF6660"/>
    <w:rsid w:val="00DF793B"/>
    <w:rsid w:val="00E03A3E"/>
    <w:rsid w:val="00E04D29"/>
    <w:rsid w:val="00E0537C"/>
    <w:rsid w:val="00E06016"/>
    <w:rsid w:val="00E06617"/>
    <w:rsid w:val="00E077F9"/>
    <w:rsid w:val="00E11EDA"/>
    <w:rsid w:val="00E11FBF"/>
    <w:rsid w:val="00E12042"/>
    <w:rsid w:val="00E14DC7"/>
    <w:rsid w:val="00E1601D"/>
    <w:rsid w:val="00E1656D"/>
    <w:rsid w:val="00E20D41"/>
    <w:rsid w:val="00E22CFE"/>
    <w:rsid w:val="00E23459"/>
    <w:rsid w:val="00E23D46"/>
    <w:rsid w:val="00E23E57"/>
    <w:rsid w:val="00E24D01"/>
    <w:rsid w:val="00E24DBD"/>
    <w:rsid w:val="00E307C4"/>
    <w:rsid w:val="00E31348"/>
    <w:rsid w:val="00E328AD"/>
    <w:rsid w:val="00E32B6D"/>
    <w:rsid w:val="00E37237"/>
    <w:rsid w:val="00E44672"/>
    <w:rsid w:val="00E47889"/>
    <w:rsid w:val="00E5753D"/>
    <w:rsid w:val="00E57856"/>
    <w:rsid w:val="00E62B11"/>
    <w:rsid w:val="00E63051"/>
    <w:rsid w:val="00E641F8"/>
    <w:rsid w:val="00E65062"/>
    <w:rsid w:val="00E65AE3"/>
    <w:rsid w:val="00E66CAA"/>
    <w:rsid w:val="00E70728"/>
    <w:rsid w:val="00E71DC3"/>
    <w:rsid w:val="00E73063"/>
    <w:rsid w:val="00E74717"/>
    <w:rsid w:val="00E74FF5"/>
    <w:rsid w:val="00E800D5"/>
    <w:rsid w:val="00E84566"/>
    <w:rsid w:val="00E85639"/>
    <w:rsid w:val="00E861E1"/>
    <w:rsid w:val="00E86E4D"/>
    <w:rsid w:val="00E8760C"/>
    <w:rsid w:val="00E87619"/>
    <w:rsid w:val="00E90522"/>
    <w:rsid w:val="00E961D7"/>
    <w:rsid w:val="00E962B3"/>
    <w:rsid w:val="00E9694B"/>
    <w:rsid w:val="00EA20DC"/>
    <w:rsid w:val="00EA341F"/>
    <w:rsid w:val="00EA3D21"/>
    <w:rsid w:val="00EB1C26"/>
    <w:rsid w:val="00EB2A9A"/>
    <w:rsid w:val="00EB33DD"/>
    <w:rsid w:val="00EB405D"/>
    <w:rsid w:val="00EB682E"/>
    <w:rsid w:val="00EC22CD"/>
    <w:rsid w:val="00EC2CCD"/>
    <w:rsid w:val="00EC4F5D"/>
    <w:rsid w:val="00EC64B9"/>
    <w:rsid w:val="00EC71B0"/>
    <w:rsid w:val="00ED08ED"/>
    <w:rsid w:val="00ED43D2"/>
    <w:rsid w:val="00EE14FB"/>
    <w:rsid w:val="00EE1948"/>
    <w:rsid w:val="00EE2C5B"/>
    <w:rsid w:val="00EE3B8C"/>
    <w:rsid w:val="00EE49DA"/>
    <w:rsid w:val="00EE5DEB"/>
    <w:rsid w:val="00EE7F2C"/>
    <w:rsid w:val="00EF1BC6"/>
    <w:rsid w:val="00EF2165"/>
    <w:rsid w:val="00EF4A38"/>
    <w:rsid w:val="00EF4DE9"/>
    <w:rsid w:val="00EF4F1A"/>
    <w:rsid w:val="00EF5E90"/>
    <w:rsid w:val="00EF60B9"/>
    <w:rsid w:val="00F048F5"/>
    <w:rsid w:val="00F05869"/>
    <w:rsid w:val="00F05CBC"/>
    <w:rsid w:val="00F06ADC"/>
    <w:rsid w:val="00F11F8B"/>
    <w:rsid w:val="00F14C91"/>
    <w:rsid w:val="00F15A3D"/>
    <w:rsid w:val="00F16519"/>
    <w:rsid w:val="00F2025B"/>
    <w:rsid w:val="00F2332C"/>
    <w:rsid w:val="00F24186"/>
    <w:rsid w:val="00F263BA"/>
    <w:rsid w:val="00F30AD4"/>
    <w:rsid w:val="00F328FD"/>
    <w:rsid w:val="00F34EE0"/>
    <w:rsid w:val="00F36796"/>
    <w:rsid w:val="00F36A02"/>
    <w:rsid w:val="00F4045B"/>
    <w:rsid w:val="00F4090E"/>
    <w:rsid w:val="00F4151B"/>
    <w:rsid w:val="00F42238"/>
    <w:rsid w:val="00F50414"/>
    <w:rsid w:val="00F52D8E"/>
    <w:rsid w:val="00F546B5"/>
    <w:rsid w:val="00F56064"/>
    <w:rsid w:val="00F5719C"/>
    <w:rsid w:val="00F612F6"/>
    <w:rsid w:val="00F61352"/>
    <w:rsid w:val="00F651CB"/>
    <w:rsid w:val="00F66A20"/>
    <w:rsid w:val="00F67204"/>
    <w:rsid w:val="00F74BD0"/>
    <w:rsid w:val="00F75600"/>
    <w:rsid w:val="00F81298"/>
    <w:rsid w:val="00F83721"/>
    <w:rsid w:val="00F8451D"/>
    <w:rsid w:val="00F853C5"/>
    <w:rsid w:val="00F85B0E"/>
    <w:rsid w:val="00F85C15"/>
    <w:rsid w:val="00F87E56"/>
    <w:rsid w:val="00F94417"/>
    <w:rsid w:val="00F95C62"/>
    <w:rsid w:val="00FA1D74"/>
    <w:rsid w:val="00FA2667"/>
    <w:rsid w:val="00FA2C85"/>
    <w:rsid w:val="00FA59BC"/>
    <w:rsid w:val="00FA6D05"/>
    <w:rsid w:val="00FA7264"/>
    <w:rsid w:val="00FB10CB"/>
    <w:rsid w:val="00FB36D4"/>
    <w:rsid w:val="00FB4D0D"/>
    <w:rsid w:val="00FB59FF"/>
    <w:rsid w:val="00FC182F"/>
    <w:rsid w:val="00FC55DB"/>
    <w:rsid w:val="00FC77FC"/>
    <w:rsid w:val="00FD2030"/>
    <w:rsid w:val="00FD2715"/>
    <w:rsid w:val="00FD50E4"/>
    <w:rsid w:val="00FD5A86"/>
    <w:rsid w:val="00FD6DF1"/>
    <w:rsid w:val="00FD76A1"/>
    <w:rsid w:val="00FD7CB7"/>
    <w:rsid w:val="00FE09B3"/>
    <w:rsid w:val="00FE1E67"/>
    <w:rsid w:val="00FE3054"/>
    <w:rsid w:val="00FE4798"/>
    <w:rsid w:val="00FE4C23"/>
    <w:rsid w:val="00FE5B39"/>
    <w:rsid w:val="00FE5D6D"/>
    <w:rsid w:val="00FF0FD3"/>
    <w:rsid w:val="00FF1EC3"/>
    <w:rsid w:val="00FF6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8656E2"/>
  <w15:docId w15:val="{9F13F49C-F63F-4513-A6CC-55F966D2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C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97283"/>
    <w:pPr>
      <w:spacing w:before="120" w:after="120"/>
      <w:contextualSpacing/>
      <w:outlineLvl w:val="0"/>
    </w:pPr>
    <w:rPr>
      <w:rFonts w:ascii="Calibri"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qFormat/>
    <w:rsid w:val="00CA46EC"/>
    <w:pPr>
      <w:numPr>
        <w:numId w:val="2"/>
      </w:numPr>
      <w:spacing w:after="120"/>
      <w:ind w:left="369" w:hanging="369"/>
      <w:contextualSpacing/>
    </w:pPr>
  </w:style>
  <w:style w:type="paragraph" w:styleId="ListBullet2">
    <w:name w:val="List Bullet 2"/>
    <w:basedOn w:val="Normal"/>
    <w:uiPriority w:val="99"/>
    <w:unhideWhenUsed/>
    <w:qFormat/>
    <w:rsid w:val="00CA46EC"/>
    <w:pPr>
      <w:numPr>
        <w:ilvl w:val="1"/>
        <w:numId w:val="2"/>
      </w:numPr>
      <w:spacing w:after="120"/>
      <w:ind w:left="766" w:hanging="369"/>
      <w:contextualSpacing/>
    </w:pPr>
  </w:style>
  <w:style w:type="paragraph" w:styleId="ListBullet3">
    <w:name w:val="List Bullet 3"/>
    <w:basedOn w:val="Normal"/>
    <w:uiPriority w:val="99"/>
    <w:unhideWhenUsed/>
    <w:qFormat/>
    <w:rsid w:val="00CA46EC"/>
    <w:pPr>
      <w:numPr>
        <w:ilvl w:val="2"/>
        <w:numId w:val="2"/>
      </w:numPr>
      <w:spacing w:after="120"/>
      <w:ind w:left="1163" w:hanging="369"/>
      <w:contextualSpacing/>
    </w:pPr>
  </w:style>
  <w:style w:type="paragraph" w:styleId="ListBullet4">
    <w:name w:val="List Bullet 4"/>
    <w:basedOn w:val="Normal"/>
    <w:uiPriority w:val="99"/>
    <w:unhideWhenUsed/>
    <w:qFormat/>
    <w:rsid w:val="00CA46EC"/>
    <w:pPr>
      <w:numPr>
        <w:ilvl w:val="3"/>
        <w:numId w:val="2"/>
      </w:numPr>
      <w:spacing w:after="120"/>
      <w:ind w:left="1503" w:hanging="369"/>
      <w:contextualSpacing/>
    </w:pPr>
  </w:style>
  <w:style w:type="table" w:styleId="TableGrid">
    <w:name w:val="Table Grid"/>
    <w:aliases w:val="NRSB Table"/>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semiHidden/>
    <w:unhideWhenUsed/>
    <w:rsid w:val="00F94417"/>
    <w:rPr>
      <w:sz w:val="20"/>
      <w:szCs w:val="20"/>
    </w:rPr>
  </w:style>
  <w:style w:type="character" w:customStyle="1" w:styleId="CommentTextChar">
    <w:name w:val="Comment Text Char"/>
    <w:basedOn w:val="DefaultParagraphFont"/>
    <w:link w:val="CommentText"/>
    <w:uiPriority w:val="99"/>
    <w:semiHidden/>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styleId="UnresolvedMention">
    <w:name w:val="Unresolved Mention"/>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ind w:left="220" w:hanging="220"/>
    </w:pPr>
  </w:style>
  <w:style w:type="paragraph" w:styleId="PlainText">
    <w:name w:val="Plain Text"/>
    <w:basedOn w:val="Normal"/>
    <w:link w:val="PlainTextChar"/>
    <w:uiPriority w:val="99"/>
    <w:unhideWhenUsed/>
    <w:rsid w:val="00715B5D"/>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pPr>
    <w:rPr>
      <w:rFonts w:ascii="Calibri" w:eastAsiaTheme="minorHAnsi" w:hAnsi="Calibri"/>
      <w:sz w:val="18"/>
      <w:szCs w:val="20"/>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4"/>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pPr>
    <w:rPr>
      <w:rFonts w:ascii="Calibri" w:eastAsia="Calibri" w:hAnsi="Calibri"/>
      <w:b/>
      <w:color w:val="FFFFFF"/>
    </w:rPr>
  </w:style>
  <w:style w:type="paragraph" w:customStyle="1" w:styleId="TableBody">
    <w:name w:val="Table Body"/>
    <w:basedOn w:val="Normal"/>
    <w:qFormat/>
    <w:rsid w:val="003273FB"/>
    <w:pPr>
      <w:spacing w:before="120" w:after="40"/>
    </w:pPr>
    <w:rPr>
      <w:rFonts w:ascii="Calibri" w:eastAsia="Calibri" w:hAnsi="Calibri"/>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E307C4"/>
    <w:rPr>
      <w:lang w:val="en"/>
    </w:rPr>
  </w:style>
  <w:style w:type="table" w:customStyle="1" w:styleId="DESE">
    <w:name w:val="DESE"/>
    <w:basedOn w:val="TableNormal"/>
    <w:uiPriority w:val="99"/>
    <w:rsid w:val="00E307C4"/>
    <w:pPr>
      <w:spacing w:before="100" w:beforeAutospacing="1" w:after="100" w:afterAutospacing="1"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7F7F7F" w:themeColor="background1"/>
      </w:rPr>
      <w:tblPr/>
      <w:tcPr>
        <w:shd w:val="clear" w:color="auto" w:fill="165788" w:themeFill="text2"/>
      </w:tcPr>
    </w:tblStylePr>
    <w:tblStylePr w:type="firstCol">
      <w:rPr>
        <w:b w:val="0"/>
      </w:rPr>
    </w:tblStylePr>
    <w:tblStylePr w:type="nwCell">
      <w:rPr>
        <w:b w:val="0"/>
      </w:rPr>
    </w:tblStylePr>
  </w:style>
  <w:style w:type="character" w:styleId="PageNumber">
    <w:name w:val="page number"/>
    <w:basedOn w:val="DefaultParagraphFont"/>
    <w:uiPriority w:val="99"/>
    <w:semiHidden/>
    <w:unhideWhenUsed/>
    <w:rsid w:val="00E307C4"/>
  </w:style>
  <w:style w:type="paragraph" w:styleId="NormalWeb">
    <w:name w:val="Normal (Web)"/>
    <w:basedOn w:val="Normal"/>
    <w:uiPriority w:val="99"/>
    <w:semiHidden/>
    <w:unhideWhenUsed/>
    <w:rsid w:val="00D04B9D"/>
    <w:pPr>
      <w:spacing w:before="100" w:beforeAutospacing="1" w:after="100" w:afterAutospacing="1"/>
    </w:pPr>
  </w:style>
  <w:style w:type="paragraph" w:styleId="Revision">
    <w:name w:val="Revision"/>
    <w:hidden/>
    <w:uiPriority w:val="99"/>
    <w:semiHidden/>
    <w:rsid w:val="00F048F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957717">
      <w:bodyDiv w:val="1"/>
      <w:marLeft w:val="0"/>
      <w:marRight w:val="0"/>
      <w:marTop w:val="0"/>
      <w:marBottom w:val="0"/>
      <w:divBdr>
        <w:top w:val="none" w:sz="0" w:space="0" w:color="auto"/>
        <w:left w:val="none" w:sz="0" w:space="0" w:color="auto"/>
        <w:bottom w:val="none" w:sz="0" w:space="0" w:color="auto"/>
        <w:right w:val="none" w:sz="0" w:space="0" w:color="auto"/>
      </w:divBdr>
      <w:divsChild>
        <w:div w:id="376900119">
          <w:marLeft w:val="0"/>
          <w:marRight w:val="0"/>
          <w:marTop w:val="0"/>
          <w:marBottom w:val="0"/>
          <w:divBdr>
            <w:top w:val="none" w:sz="0" w:space="0" w:color="auto"/>
            <w:left w:val="none" w:sz="0" w:space="0" w:color="auto"/>
            <w:bottom w:val="none" w:sz="0" w:space="0" w:color="auto"/>
            <w:right w:val="none" w:sz="0" w:space="0" w:color="auto"/>
          </w:divBdr>
          <w:divsChild>
            <w:div w:id="720907084">
              <w:marLeft w:val="0"/>
              <w:marRight w:val="0"/>
              <w:marTop w:val="0"/>
              <w:marBottom w:val="0"/>
              <w:divBdr>
                <w:top w:val="none" w:sz="0" w:space="0" w:color="auto"/>
                <w:left w:val="none" w:sz="0" w:space="0" w:color="auto"/>
                <w:bottom w:val="none" w:sz="0" w:space="0" w:color="auto"/>
                <w:right w:val="none" w:sz="0" w:space="0" w:color="auto"/>
              </w:divBdr>
              <w:divsChild>
                <w:div w:id="1234774667">
                  <w:marLeft w:val="0"/>
                  <w:marRight w:val="0"/>
                  <w:marTop w:val="0"/>
                  <w:marBottom w:val="0"/>
                  <w:divBdr>
                    <w:top w:val="none" w:sz="0" w:space="0" w:color="auto"/>
                    <w:left w:val="none" w:sz="0" w:space="0" w:color="auto"/>
                    <w:bottom w:val="none" w:sz="0" w:space="0" w:color="auto"/>
                    <w:right w:val="none" w:sz="0" w:space="0" w:color="auto"/>
                  </w:divBdr>
                  <w:divsChild>
                    <w:div w:id="143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87699">
      <w:bodyDiv w:val="1"/>
      <w:marLeft w:val="0"/>
      <w:marRight w:val="0"/>
      <w:marTop w:val="0"/>
      <w:marBottom w:val="0"/>
      <w:divBdr>
        <w:top w:val="none" w:sz="0" w:space="0" w:color="auto"/>
        <w:left w:val="none" w:sz="0" w:space="0" w:color="auto"/>
        <w:bottom w:val="none" w:sz="0" w:space="0" w:color="auto"/>
        <w:right w:val="none" w:sz="0" w:space="0" w:color="auto"/>
      </w:divBdr>
    </w:div>
    <w:div w:id="713769797">
      <w:bodyDiv w:val="1"/>
      <w:marLeft w:val="0"/>
      <w:marRight w:val="0"/>
      <w:marTop w:val="0"/>
      <w:marBottom w:val="0"/>
      <w:divBdr>
        <w:top w:val="none" w:sz="0" w:space="0" w:color="auto"/>
        <w:left w:val="none" w:sz="0" w:space="0" w:color="auto"/>
        <w:bottom w:val="none" w:sz="0" w:space="0" w:color="auto"/>
        <w:right w:val="none" w:sz="0" w:space="0" w:color="auto"/>
      </w:divBdr>
      <w:divsChild>
        <w:div w:id="205682244">
          <w:marLeft w:val="0"/>
          <w:marRight w:val="0"/>
          <w:marTop w:val="0"/>
          <w:marBottom w:val="0"/>
          <w:divBdr>
            <w:top w:val="none" w:sz="0" w:space="0" w:color="auto"/>
            <w:left w:val="none" w:sz="0" w:space="0" w:color="auto"/>
            <w:bottom w:val="none" w:sz="0" w:space="0" w:color="auto"/>
            <w:right w:val="none" w:sz="0" w:space="0" w:color="auto"/>
          </w:divBdr>
          <w:divsChild>
            <w:div w:id="965086499">
              <w:marLeft w:val="0"/>
              <w:marRight w:val="0"/>
              <w:marTop w:val="0"/>
              <w:marBottom w:val="0"/>
              <w:divBdr>
                <w:top w:val="none" w:sz="0" w:space="0" w:color="auto"/>
                <w:left w:val="none" w:sz="0" w:space="0" w:color="auto"/>
                <w:bottom w:val="none" w:sz="0" w:space="0" w:color="auto"/>
                <w:right w:val="none" w:sz="0" w:space="0" w:color="auto"/>
              </w:divBdr>
              <w:divsChild>
                <w:div w:id="15032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1932">
      <w:bodyDiv w:val="1"/>
      <w:marLeft w:val="0"/>
      <w:marRight w:val="0"/>
      <w:marTop w:val="0"/>
      <w:marBottom w:val="0"/>
      <w:divBdr>
        <w:top w:val="none" w:sz="0" w:space="0" w:color="auto"/>
        <w:left w:val="none" w:sz="0" w:space="0" w:color="auto"/>
        <w:bottom w:val="none" w:sz="0" w:space="0" w:color="auto"/>
        <w:right w:val="none" w:sz="0" w:space="0" w:color="auto"/>
      </w:divBdr>
      <w:divsChild>
        <w:div w:id="132020033">
          <w:marLeft w:val="0"/>
          <w:marRight w:val="0"/>
          <w:marTop w:val="0"/>
          <w:marBottom w:val="0"/>
          <w:divBdr>
            <w:top w:val="none" w:sz="0" w:space="0" w:color="auto"/>
            <w:left w:val="none" w:sz="0" w:space="0" w:color="auto"/>
            <w:bottom w:val="none" w:sz="0" w:space="0" w:color="auto"/>
            <w:right w:val="none" w:sz="0" w:space="0" w:color="auto"/>
          </w:divBdr>
          <w:divsChild>
            <w:div w:id="846597695">
              <w:marLeft w:val="0"/>
              <w:marRight w:val="0"/>
              <w:marTop w:val="0"/>
              <w:marBottom w:val="0"/>
              <w:divBdr>
                <w:top w:val="none" w:sz="0" w:space="0" w:color="auto"/>
                <w:left w:val="none" w:sz="0" w:space="0" w:color="auto"/>
                <w:bottom w:val="none" w:sz="0" w:space="0" w:color="auto"/>
                <w:right w:val="none" w:sz="0" w:space="0" w:color="auto"/>
              </w:divBdr>
              <w:divsChild>
                <w:div w:id="19728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04393578">
      <w:bodyDiv w:val="1"/>
      <w:marLeft w:val="0"/>
      <w:marRight w:val="0"/>
      <w:marTop w:val="0"/>
      <w:marBottom w:val="0"/>
      <w:divBdr>
        <w:top w:val="none" w:sz="0" w:space="0" w:color="auto"/>
        <w:left w:val="none" w:sz="0" w:space="0" w:color="auto"/>
        <w:bottom w:val="none" w:sz="0" w:space="0" w:color="auto"/>
        <w:right w:val="none" w:sz="0" w:space="0" w:color="auto"/>
      </w:divBdr>
    </w:div>
    <w:div w:id="818958659">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80853">
      <w:bodyDiv w:val="1"/>
      <w:marLeft w:val="0"/>
      <w:marRight w:val="0"/>
      <w:marTop w:val="0"/>
      <w:marBottom w:val="0"/>
      <w:divBdr>
        <w:top w:val="none" w:sz="0" w:space="0" w:color="auto"/>
        <w:left w:val="none" w:sz="0" w:space="0" w:color="auto"/>
        <w:bottom w:val="none" w:sz="0" w:space="0" w:color="auto"/>
        <w:right w:val="none" w:sz="0" w:space="0" w:color="auto"/>
      </w:divBdr>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01543">
      <w:bodyDiv w:val="1"/>
      <w:marLeft w:val="0"/>
      <w:marRight w:val="0"/>
      <w:marTop w:val="0"/>
      <w:marBottom w:val="0"/>
      <w:divBdr>
        <w:top w:val="none" w:sz="0" w:space="0" w:color="auto"/>
        <w:left w:val="none" w:sz="0" w:space="0" w:color="auto"/>
        <w:bottom w:val="none" w:sz="0" w:space="0" w:color="auto"/>
        <w:right w:val="none" w:sz="0" w:space="0" w:color="auto"/>
      </w:divBdr>
    </w:div>
    <w:div w:id="1569536840">
      <w:bodyDiv w:val="1"/>
      <w:marLeft w:val="0"/>
      <w:marRight w:val="0"/>
      <w:marTop w:val="0"/>
      <w:marBottom w:val="0"/>
      <w:divBdr>
        <w:top w:val="none" w:sz="0" w:space="0" w:color="auto"/>
        <w:left w:val="none" w:sz="0" w:space="0" w:color="auto"/>
        <w:bottom w:val="none" w:sz="0" w:space="0" w:color="auto"/>
        <w:right w:val="none" w:sz="0" w:space="0" w:color="auto"/>
      </w:divBdr>
    </w:div>
    <w:div w:id="1589726236">
      <w:bodyDiv w:val="1"/>
      <w:marLeft w:val="0"/>
      <w:marRight w:val="0"/>
      <w:marTop w:val="0"/>
      <w:marBottom w:val="0"/>
      <w:divBdr>
        <w:top w:val="none" w:sz="0" w:space="0" w:color="auto"/>
        <w:left w:val="none" w:sz="0" w:space="0" w:color="auto"/>
        <w:bottom w:val="none" w:sz="0" w:space="0" w:color="auto"/>
        <w:right w:val="none" w:sz="0" w:space="0" w:color="auto"/>
      </w:divBdr>
    </w:div>
    <w:div w:id="1609313530">
      <w:bodyDiv w:val="1"/>
      <w:marLeft w:val="0"/>
      <w:marRight w:val="0"/>
      <w:marTop w:val="0"/>
      <w:marBottom w:val="0"/>
      <w:divBdr>
        <w:top w:val="none" w:sz="0" w:space="0" w:color="auto"/>
        <w:left w:val="none" w:sz="0" w:space="0" w:color="auto"/>
        <w:bottom w:val="none" w:sz="0" w:space="0" w:color="auto"/>
        <w:right w:val="none" w:sz="0" w:space="0" w:color="auto"/>
      </w:divBdr>
    </w:div>
    <w:div w:id="1673145542">
      <w:bodyDiv w:val="1"/>
      <w:marLeft w:val="0"/>
      <w:marRight w:val="0"/>
      <w:marTop w:val="0"/>
      <w:marBottom w:val="0"/>
      <w:divBdr>
        <w:top w:val="none" w:sz="0" w:space="0" w:color="auto"/>
        <w:left w:val="none" w:sz="0" w:space="0" w:color="auto"/>
        <w:bottom w:val="none" w:sz="0" w:space="0" w:color="auto"/>
        <w:right w:val="none" w:sz="0" w:space="0" w:color="auto"/>
      </w:divBdr>
      <w:divsChild>
        <w:div w:id="2001154100">
          <w:marLeft w:val="0"/>
          <w:marRight w:val="0"/>
          <w:marTop w:val="0"/>
          <w:marBottom w:val="0"/>
          <w:divBdr>
            <w:top w:val="none" w:sz="0" w:space="0" w:color="auto"/>
            <w:left w:val="none" w:sz="0" w:space="0" w:color="auto"/>
            <w:bottom w:val="none" w:sz="0" w:space="0" w:color="auto"/>
            <w:right w:val="none" w:sz="0" w:space="0" w:color="auto"/>
          </w:divBdr>
          <w:divsChild>
            <w:div w:id="1554462090">
              <w:marLeft w:val="0"/>
              <w:marRight w:val="0"/>
              <w:marTop w:val="0"/>
              <w:marBottom w:val="0"/>
              <w:divBdr>
                <w:top w:val="none" w:sz="0" w:space="0" w:color="auto"/>
                <w:left w:val="none" w:sz="0" w:space="0" w:color="auto"/>
                <w:bottom w:val="none" w:sz="0" w:space="0" w:color="auto"/>
                <w:right w:val="none" w:sz="0" w:space="0" w:color="auto"/>
              </w:divBdr>
              <w:divsChild>
                <w:div w:id="11267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553">
      <w:bodyDiv w:val="1"/>
      <w:marLeft w:val="0"/>
      <w:marRight w:val="0"/>
      <w:marTop w:val="0"/>
      <w:marBottom w:val="0"/>
      <w:divBdr>
        <w:top w:val="none" w:sz="0" w:space="0" w:color="auto"/>
        <w:left w:val="none" w:sz="0" w:space="0" w:color="auto"/>
        <w:bottom w:val="none" w:sz="0" w:space="0" w:color="auto"/>
        <w:right w:val="none" w:sz="0" w:space="0" w:color="auto"/>
      </w:divBdr>
    </w:div>
    <w:div w:id="19040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newcastle.edu.au"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hinfra.health.nsw.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infra.health.nsw.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http://www.planning.nsw.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planningportal.nsw.gov.au" TargetMode="Externa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pp.remplan.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B3C1674685145921A871DD6A378D3" ma:contentTypeVersion="1" ma:contentTypeDescription="Create a new document." ma:contentTypeScope="" ma:versionID="f7d01cfe3a2a25597c25f7d1a6ae1281">
  <xsd:schema xmlns:xsd="http://www.w3.org/2001/XMLSchema" xmlns:xs="http://www.w3.org/2001/XMLSchema" xmlns:p="http://schemas.microsoft.com/office/2006/metadata/properties" xmlns:ns2="e65dc78a-081f-42c1-acdb-e32608777612" targetNamespace="http://schemas.microsoft.com/office/2006/metadata/properties" ma:root="true" ma:fieldsID="51a073ef5deeae9ab5e1e5643b67cad5" ns2:_="">
    <xsd:import namespace="e65dc78a-081f-42c1-acdb-e32608777612"/>
    <xsd:element name="properties">
      <xsd:complexType>
        <xsd:sequence>
          <xsd:element name="documentManagement">
            <xsd:complexType>
              <xsd:all>
                <xsd:element ref="ns2:_x0071_x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c78a-081f-42c1-acdb-e32608777612" elementFormDefault="qualified">
    <xsd:import namespace="http://schemas.microsoft.com/office/2006/documentManagement/types"/>
    <xsd:import namespace="http://schemas.microsoft.com/office/infopath/2007/PartnerControls"/>
    <xsd:element name="_x0071_xy2" ma:index="8" nillable="true" ma:displayName="Number" ma:internalName="_x0071_xy2">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71_xy2 xmlns="e65dc78a-081f-42c1-acdb-e326087776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2BD6-5A4D-4530-915B-03523CDC7219}">
  <ds:schemaRefs>
    <ds:schemaRef ds:uri="http://schemas.microsoft.com/sharepoint/v3/contenttype/forms"/>
  </ds:schemaRefs>
</ds:datastoreItem>
</file>

<file path=customXml/itemProps2.xml><?xml version="1.0" encoding="utf-8"?>
<ds:datastoreItem xmlns:ds="http://schemas.openxmlformats.org/officeDocument/2006/customXml" ds:itemID="{DCB1F9B6-C396-4965-ACE8-455EC8E58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c78a-081f-42c1-acdb-e32608777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8984E-8555-4BA4-AC00-790F52B8B571}">
  <ds:schemaRefs>
    <ds:schemaRef ds:uri="e65dc78a-081f-42c1-acdb-e32608777612"/>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CC5937DA-23CF-4265-8665-99CB8241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6283</Words>
  <Characters>36953</Characters>
  <Application>Microsoft Office Word</Application>
  <DocSecurity>0</DocSecurity>
  <Lines>612</Lines>
  <Paragraphs>234</Paragraphs>
  <ScaleCrop>false</ScaleCrop>
  <HeadingPairs>
    <vt:vector size="2" baseType="variant">
      <vt:variant>
        <vt:lpstr>Title</vt:lpstr>
      </vt:variant>
      <vt:variant>
        <vt:i4>1</vt:i4>
      </vt:variant>
    </vt:vector>
  </HeadingPairs>
  <TitlesOfParts>
    <vt:vector size="1" baseType="lpstr">
      <vt:lpstr>Interim Hunter Local Jobs Plan - October 2020</vt:lpstr>
    </vt:vector>
  </TitlesOfParts>
  <Company>Australian Government</Company>
  <LinksUpToDate>false</LinksUpToDate>
  <CharactersWithSpaces>43165</CharactersWithSpaces>
  <SharedDoc>false</SharedDoc>
  <HLinks>
    <vt:vector size="186" baseType="variant">
      <vt:variant>
        <vt:i4>8192053</vt:i4>
      </vt:variant>
      <vt:variant>
        <vt:i4>207</vt:i4>
      </vt:variant>
      <vt:variant>
        <vt:i4>0</vt:i4>
      </vt:variant>
      <vt:variant>
        <vt:i4>5</vt:i4>
      </vt:variant>
      <vt:variant>
        <vt:lpwstr>http://www.planning.nsw.gov.au/</vt:lpwstr>
      </vt:variant>
      <vt:variant>
        <vt:lpwstr/>
      </vt:variant>
      <vt:variant>
        <vt:i4>1966146</vt:i4>
      </vt:variant>
      <vt:variant>
        <vt:i4>204</vt:i4>
      </vt:variant>
      <vt:variant>
        <vt:i4>0</vt:i4>
      </vt:variant>
      <vt:variant>
        <vt:i4>5</vt:i4>
      </vt:variant>
      <vt:variant>
        <vt:lpwstr>http://www.planningportal.nsw.gov.au/</vt:lpwstr>
      </vt:variant>
      <vt:variant>
        <vt:lpwstr/>
      </vt:variant>
      <vt:variant>
        <vt:i4>1835096</vt:i4>
      </vt:variant>
      <vt:variant>
        <vt:i4>201</vt:i4>
      </vt:variant>
      <vt:variant>
        <vt:i4>0</vt:i4>
      </vt:variant>
      <vt:variant>
        <vt:i4>5</vt:i4>
      </vt:variant>
      <vt:variant>
        <vt:lpwstr>http://www.newcastle.edu.au/</vt:lpwstr>
      </vt:variant>
      <vt:variant>
        <vt:lpwstr/>
      </vt:variant>
      <vt:variant>
        <vt:i4>5636100</vt:i4>
      </vt:variant>
      <vt:variant>
        <vt:i4>198</vt:i4>
      </vt:variant>
      <vt:variant>
        <vt:i4>0</vt:i4>
      </vt:variant>
      <vt:variant>
        <vt:i4>5</vt:i4>
      </vt:variant>
      <vt:variant>
        <vt:lpwstr>http://www.hinfra.health.nsw.gov.au/</vt:lpwstr>
      </vt:variant>
      <vt:variant>
        <vt:lpwstr/>
      </vt:variant>
      <vt:variant>
        <vt:i4>1703986</vt:i4>
      </vt:variant>
      <vt:variant>
        <vt:i4>158</vt:i4>
      </vt:variant>
      <vt:variant>
        <vt:i4>0</vt:i4>
      </vt:variant>
      <vt:variant>
        <vt:i4>5</vt:i4>
      </vt:variant>
      <vt:variant>
        <vt:lpwstr/>
      </vt:variant>
      <vt:variant>
        <vt:lpwstr>_Toc72392543</vt:lpwstr>
      </vt:variant>
      <vt:variant>
        <vt:i4>1769522</vt:i4>
      </vt:variant>
      <vt:variant>
        <vt:i4>152</vt:i4>
      </vt:variant>
      <vt:variant>
        <vt:i4>0</vt:i4>
      </vt:variant>
      <vt:variant>
        <vt:i4>5</vt:i4>
      </vt:variant>
      <vt:variant>
        <vt:lpwstr/>
      </vt:variant>
      <vt:variant>
        <vt:lpwstr>_Toc72392542</vt:lpwstr>
      </vt:variant>
      <vt:variant>
        <vt:i4>1572914</vt:i4>
      </vt:variant>
      <vt:variant>
        <vt:i4>146</vt:i4>
      </vt:variant>
      <vt:variant>
        <vt:i4>0</vt:i4>
      </vt:variant>
      <vt:variant>
        <vt:i4>5</vt:i4>
      </vt:variant>
      <vt:variant>
        <vt:lpwstr/>
      </vt:variant>
      <vt:variant>
        <vt:lpwstr>_Toc72392541</vt:lpwstr>
      </vt:variant>
      <vt:variant>
        <vt:i4>1638450</vt:i4>
      </vt:variant>
      <vt:variant>
        <vt:i4>140</vt:i4>
      </vt:variant>
      <vt:variant>
        <vt:i4>0</vt:i4>
      </vt:variant>
      <vt:variant>
        <vt:i4>5</vt:i4>
      </vt:variant>
      <vt:variant>
        <vt:lpwstr/>
      </vt:variant>
      <vt:variant>
        <vt:lpwstr>_Toc72392540</vt:lpwstr>
      </vt:variant>
      <vt:variant>
        <vt:i4>1048629</vt:i4>
      </vt:variant>
      <vt:variant>
        <vt:i4>134</vt:i4>
      </vt:variant>
      <vt:variant>
        <vt:i4>0</vt:i4>
      </vt:variant>
      <vt:variant>
        <vt:i4>5</vt:i4>
      </vt:variant>
      <vt:variant>
        <vt:lpwstr/>
      </vt:variant>
      <vt:variant>
        <vt:lpwstr>_Toc72392539</vt:lpwstr>
      </vt:variant>
      <vt:variant>
        <vt:i4>1114165</vt:i4>
      </vt:variant>
      <vt:variant>
        <vt:i4>128</vt:i4>
      </vt:variant>
      <vt:variant>
        <vt:i4>0</vt:i4>
      </vt:variant>
      <vt:variant>
        <vt:i4>5</vt:i4>
      </vt:variant>
      <vt:variant>
        <vt:lpwstr/>
      </vt:variant>
      <vt:variant>
        <vt:lpwstr>_Toc72392538</vt:lpwstr>
      </vt:variant>
      <vt:variant>
        <vt:i4>1966133</vt:i4>
      </vt:variant>
      <vt:variant>
        <vt:i4>122</vt:i4>
      </vt:variant>
      <vt:variant>
        <vt:i4>0</vt:i4>
      </vt:variant>
      <vt:variant>
        <vt:i4>5</vt:i4>
      </vt:variant>
      <vt:variant>
        <vt:lpwstr/>
      </vt:variant>
      <vt:variant>
        <vt:lpwstr>_Toc72392537</vt:lpwstr>
      </vt:variant>
      <vt:variant>
        <vt:i4>2031669</vt:i4>
      </vt:variant>
      <vt:variant>
        <vt:i4>116</vt:i4>
      </vt:variant>
      <vt:variant>
        <vt:i4>0</vt:i4>
      </vt:variant>
      <vt:variant>
        <vt:i4>5</vt:i4>
      </vt:variant>
      <vt:variant>
        <vt:lpwstr/>
      </vt:variant>
      <vt:variant>
        <vt:lpwstr>_Toc72392536</vt:lpwstr>
      </vt:variant>
      <vt:variant>
        <vt:i4>1835061</vt:i4>
      </vt:variant>
      <vt:variant>
        <vt:i4>110</vt:i4>
      </vt:variant>
      <vt:variant>
        <vt:i4>0</vt:i4>
      </vt:variant>
      <vt:variant>
        <vt:i4>5</vt:i4>
      </vt:variant>
      <vt:variant>
        <vt:lpwstr/>
      </vt:variant>
      <vt:variant>
        <vt:lpwstr>_Toc72392535</vt:lpwstr>
      </vt:variant>
      <vt:variant>
        <vt:i4>1900597</vt:i4>
      </vt:variant>
      <vt:variant>
        <vt:i4>104</vt:i4>
      </vt:variant>
      <vt:variant>
        <vt:i4>0</vt:i4>
      </vt:variant>
      <vt:variant>
        <vt:i4>5</vt:i4>
      </vt:variant>
      <vt:variant>
        <vt:lpwstr/>
      </vt:variant>
      <vt:variant>
        <vt:lpwstr>_Toc72392534</vt:lpwstr>
      </vt:variant>
      <vt:variant>
        <vt:i4>1703989</vt:i4>
      </vt:variant>
      <vt:variant>
        <vt:i4>98</vt:i4>
      </vt:variant>
      <vt:variant>
        <vt:i4>0</vt:i4>
      </vt:variant>
      <vt:variant>
        <vt:i4>5</vt:i4>
      </vt:variant>
      <vt:variant>
        <vt:lpwstr/>
      </vt:variant>
      <vt:variant>
        <vt:lpwstr>_Toc72392533</vt:lpwstr>
      </vt:variant>
      <vt:variant>
        <vt:i4>1769525</vt:i4>
      </vt:variant>
      <vt:variant>
        <vt:i4>92</vt:i4>
      </vt:variant>
      <vt:variant>
        <vt:i4>0</vt:i4>
      </vt:variant>
      <vt:variant>
        <vt:i4>5</vt:i4>
      </vt:variant>
      <vt:variant>
        <vt:lpwstr/>
      </vt:variant>
      <vt:variant>
        <vt:lpwstr>_Toc72392532</vt:lpwstr>
      </vt:variant>
      <vt:variant>
        <vt:i4>1572917</vt:i4>
      </vt:variant>
      <vt:variant>
        <vt:i4>86</vt:i4>
      </vt:variant>
      <vt:variant>
        <vt:i4>0</vt:i4>
      </vt:variant>
      <vt:variant>
        <vt:i4>5</vt:i4>
      </vt:variant>
      <vt:variant>
        <vt:lpwstr/>
      </vt:variant>
      <vt:variant>
        <vt:lpwstr>_Toc72392531</vt:lpwstr>
      </vt:variant>
      <vt:variant>
        <vt:i4>1638453</vt:i4>
      </vt:variant>
      <vt:variant>
        <vt:i4>80</vt:i4>
      </vt:variant>
      <vt:variant>
        <vt:i4>0</vt:i4>
      </vt:variant>
      <vt:variant>
        <vt:i4>5</vt:i4>
      </vt:variant>
      <vt:variant>
        <vt:lpwstr/>
      </vt:variant>
      <vt:variant>
        <vt:lpwstr>_Toc72392530</vt:lpwstr>
      </vt:variant>
      <vt:variant>
        <vt:i4>1048628</vt:i4>
      </vt:variant>
      <vt:variant>
        <vt:i4>74</vt:i4>
      </vt:variant>
      <vt:variant>
        <vt:i4>0</vt:i4>
      </vt:variant>
      <vt:variant>
        <vt:i4>5</vt:i4>
      </vt:variant>
      <vt:variant>
        <vt:lpwstr/>
      </vt:variant>
      <vt:variant>
        <vt:lpwstr>_Toc72392529</vt:lpwstr>
      </vt:variant>
      <vt:variant>
        <vt:i4>1114164</vt:i4>
      </vt:variant>
      <vt:variant>
        <vt:i4>68</vt:i4>
      </vt:variant>
      <vt:variant>
        <vt:i4>0</vt:i4>
      </vt:variant>
      <vt:variant>
        <vt:i4>5</vt:i4>
      </vt:variant>
      <vt:variant>
        <vt:lpwstr/>
      </vt:variant>
      <vt:variant>
        <vt:lpwstr>_Toc72392528</vt:lpwstr>
      </vt:variant>
      <vt:variant>
        <vt:i4>1966132</vt:i4>
      </vt:variant>
      <vt:variant>
        <vt:i4>62</vt:i4>
      </vt:variant>
      <vt:variant>
        <vt:i4>0</vt:i4>
      </vt:variant>
      <vt:variant>
        <vt:i4>5</vt:i4>
      </vt:variant>
      <vt:variant>
        <vt:lpwstr/>
      </vt:variant>
      <vt:variant>
        <vt:lpwstr>_Toc72392527</vt:lpwstr>
      </vt:variant>
      <vt:variant>
        <vt:i4>2031668</vt:i4>
      </vt:variant>
      <vt:variant>
        <vt:i4>56</vt:i4>
      </vt:variant>
      <vt:variant>
        <vt:i4>0</vt:i4>
      </vt:variant>
      <vt:variant>
        <vt:i4>5</vt:i4>
      </vt:variant>
      <vt:variant>
        <vt:lpwstr/>
      </vt:variant>
      <vt:variant>
        <vt:lpwstr>_Toc72392526</vt:lpwstr>
      </vt:variant>
      <vt:variant>
        <vt:i4>1835060</vt:i4>
      </vt:variant>
      <vt:variant>
        <vt:i4>50</vt:i4>
      </vt:variant>
      <vt:variant>
        <vt:i4>0</vt:i4>
      </vt:variant>
      <vt:variant>
        <vt:i4>5</vt:i4>
      </vt:variant>
      <vt:variant>
        <vt:lpwstr/>
      </vt:variant>
      <vt:variant>
        <vt:lpwstr>_Toc72392525</vt:lpwstr>
      </vt:variant>
      <vt:variant>
        <vt:i4>1900596</vt:i4>
      </vt:variant>
      <vt:variant>
        <vt:i4>44</vt:i4>
      </vt:variant>
      <vt:variant>
        <vt:i4>0</vt:i4>
      </vt:variant>
      <vt:variant>
        <vt:i4>5</vt:i4>
      </vt:variant>
      <vt:variant>
        <vt:lpwstr/>
      </vt:variant>
      <vt:variant>
        <vt:lpwstr>_Toc72392524</vt:lpwstr>
      </vt:variant>
      <vt:variant>
        <vt:i4>1703988</vt:i4>
      </vt:variant>
      <vt:variant>
        <vt:i4>38</vt:i4>
      </vt:variant>
      <vt:variant>
        <vt:i4>0</vt:i4>
      </vt:variant>
      <vt:variant>
        <vt:i4>5</vt:i4>
      </vt:variant>
      <vt:variant>
        <vt:lpwstr/>
      </vt:variant>
      <vt:variant>
        <vt:lpwstr>_Toc72392523</vt:lpwstr>
      </vt:variant>
      <vt:variant>
        <vt:i4>1572916</vt:i4>
      </vt:variant>
      <vt:variant>
        <vt:i4>32</vt:i4>
      </vt:variant>
      <vt:variant>
        <vt:i4>0</vt:i4>
      </vt:variant>
      <vt:variant>
        <vt:i4>5</vt:i4>
      </vt:variant>
      <vt:variant>
        <vt:lpwstr/>
      </vt:variant>
      <vt:variant>
        <vt:lpwstr>_Toc72392521</vt:lpwstr>
      </vt:variant>
      <vt:variant>
        <vt:i4>1638452</vt:i4>
      </vt:variant>
      <vt:variant>
        <vt:i4>26</vt:i4>
      </vt:variant>
      <vt:variant>
        <vt:i4>0</vt:i4>
      </vt:variant>
      <vt:variant>
        <vt:i4>5</vt:i4>
      </vt:variant>
      <vt:variant>
        <vt:lpwstr/>
      </vt:variant>
      <vt:variant>
        <vt:lpwstr>_Toc72392520</vt:lpwstr>
      </vt:variant>
      <vt:variant>
        <vt:i4>1048631</vt:i4>
      </vt:variant>
      <vt:variant>
        <vt:i4>20</vt:i4>
      </vt:variant>
      <vt:variant>
        <vt:i4>0</vt:i4>
      </vt:variant>
      <vt:variant>
        <vt:i4>5</vt:i4>
      </vt:variant>
      <vt:variant>
        <vt:lpwstr/>
      </vt:variant>
      <vt:variant>
        <vt:lpwstr>_Toc72392519</vt:lpwstr>
      </vt:variant>
      <vt:variant>
        <vt:i4>1114167</vt:i4>
      </vt:variant>
      <vt:variant>
        <vt:i4>14</vt:i4>
      </vt:variant>
      <vt:variant>
        <vt:i4>0</vt:i4>
      </vt:variant>
      <vt:variant>
        <vt:i4>5</vt:i4>
      </vt:variant>
      <vt:variant>
        <vt:lpwstr/>
      </vt:variant>
      <vt:variant>
        <vt:lpwstr>_Toc72392518</vt:lpwstr>
      </vt:variant>
      <vt:variant>
        <vt:i4>1835063</vt:i4>
      </vt:variant>
      <vt:variant>
        <vt:i4>8</vt:i4>
      </vt:variant>
      <vt:variant>
        <vt:i4>0</vt:i4>
      </vt:variant>
      <vt:variant>
        <vt:i4>5</vt:i4>
      </vt:variant>
      <vt:variant>
        <vt:lpwstr/>
      </vt:variant>
      <vt:variant>
        <vt:lpwstr>_Toc72392515</vt:lpwstr>
      </vt:variant>
      <vt:variant>
        <vt:i4>1900599</vt:i4>
      </vt:variant>
      <vt:variant>
        <vt:i4>2</vt:i4>
      </vt:variant>
      <vt:variant>
        <vt:i4>0</vt:i4>
      </vt:variant>
      <vt:variant>
        <vt:i4>5</vt:i4>
      </vt:variant>
      <vt:variant>
        <vt:lpwstr/>
      </vt:variant>
      <vt:variant>
        <vt:lpwstr>_Toc72392514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Hunter Local Jobs Plan - October 2020</dc:title>
  <dc:creator>KEEN,Melanie</dc:creator>
  <cp:lastModifiedBy>BELL,Ellie</cp:lastModifiedBy>
  <cp:revision>7</cp:revision>
  <cp:lastPrinted>2022-06-14T04:36:00Z</cp:lastPrinted>
  <dcterms:created xsi:type="dcterms:W3CDTF">2022-05-20T03:57:00Z</dcterms:created>
  <dcterms:modified xsi:type="dcterms:W3CDTF">2022-06-14T04:36:00Z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0x010100DC7B3C1674685145921A871DD6A378D3</vt:lpwstr>
  </property>
  <property fmtid="{D5CDD505-2E9C-101B-9397-08002B2CF9AE}" pid="3" name="MSIP_Label_79d889eb-932f-4752-8739-64d25806ef64_Enabled">
    <vt:lpwstr>true</vt:lpwstr>
  </property>
  <property fmtid="{D5CDD505-2E9C-101B-9397-08002B2CF9AE}" pid="4" name="MSIP_Label_79d889eb-932f-4752-8739-64d25806ef64_SetDate">
    <vt:lpwstr>2022-05-20T03:57:13Z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a739abb5-175c-41be-8326-1cd16e8667e6</vt:lpwstr>
  </property>
  <property fmtid="{D5CDD505-2E9C-101B-9397-08002B2CF9AE}" pid="9" name="MSIP_Label_79d889eb-932f-4752-8739-64d25806ef64_ContentBits">
    <vt:lpwstr>0</vt:lpwstr>
  </property>
</Properties>
</file>