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FD1A" w14:textId="12204A92" w:rsidR="00675975" w:rsidRPr="009162A4" w:rsidRDefault="00675975" w:rsidP="00892967">
      <w:pPr>
        <w:pStyle w:val="Title"/>
        <w:spacing w:before="240" w:after="240"/>
      </w:pPr>
      <w:r w:rsidRPr="009162A4">
        <w:t>Fair Entitlements Guarantee</w:t>
      </w:r>
      <w:r w:rsidR="001D56CC" w:rsidRPr="009162A4">
        <w:t xml:space="preserve"> </w:t>
      </w:r>
      <w:r w:rsidRPr="009162A4">
        <w:t>Recovery Program</w:t>
      </w:r>
    </w:p>
    <w:p w14:paraId="6E9F3499" w14:textId="6A04F887" w:rsidR="00B1604D" w:rsidRPr="000F131C" w:rsidRDefault="00675975" w:rsidP="00892967">
      <w:pPr>
        <w:pStyle w:val="Intro"/>
        <w:spacing w:before="240"/>
      </w:pPr>
      <w:r w:rsidRPr="000F131C">
        <w:rPr>
          <w:rStyle w:val="Strong"/>
        </w:rPr>
        <w:t>This fact sheet provides information for insolvency practitioners about the Fair Entitlements Guarantee (FEG) Recovery Program, which aims to improve the recovery of employment entitlements advanced</w:t>
      </w:r>
      <w:r w:rsidR="001D56CC" w:rsidRPr="000F131C">
        <w:rPr>
          <w:rStyle w:val="Strong"/>
        </w:rPr>
        <w:t xml:space="preserve"> </w:t>
      </w:r>
      <w:r w:rsidRPr="000F131C">
        <w:rPr>
          <w:rStyle w:val="Strong"/>
        </w:rPr>
        <w:t>under FEG</w:t>
      </w:r>
      <w:r w:rsidR="00F03107" w:rsidRPr="000F131C">
        <w:rPr>
          <w:rStyle w:val="Strong"/>
        </w:rPr>
        <w:t xml:space="preserve"> </w:t>
      </w:r>
      <w:r w:rsidR="006B5B80" w:rsidRPr="000F131C">
        <w:rPr>
          <w:rStyle w:val="Strong"/>
        </w:rPr>
        <w:t>and outstanding superannuation entitlements</w:t>
      </w:r>
      <w:r w:rsidR="00F143CA" w:rsidRPr="000F131C">
        <w:rPr>
          <w:rStyle w:val="Strong"/>
        </w:rPr>
        <w:t>.</w:t>
      </w:r>
      <w:r w:rsidR="00B1604D" w:rsidRPr="000F131C">
        <w:rPr>
          <w:rStyle w:val="Strong"/>
        </w:rPr>
        <w:t xml:space="preserve">  </w:t>
      </w:r>
    </w:p>
    <w:p w14:paraId="15E037DE" w14:textId="77777777" w:rsidR="00B1604D" w:rsidRPr="00892967" w:rsidRDefault="00B1604D" w:rsidP="00892967">
      <w:pPr>
        <w:pStyle w:val="Heading2"/>
      </w:pPr>
      <w:r w:rsidRPr="00892967">
        <w:t>FEG Recovery Program</w:t>
      </w:r>
    </w:p>
    <w:p w14:paraId="097D9751" w14:textId="42059ED2" w:rsidR="00675975" w:rsidRPr="00E1452A" w:rsidRDefault="00675975" w:rsidP="00E1452A">
      <w:pPr>
        <w:rPr>
          <w:rFonts w:cstheme="minorHAnsi"/>
          <w:szCs w:val="20"/>
        </w:rPr>
      </w:pPr>
      <w:r w:rsidRPr="00E1452A">
        <w:rPr>
          <w:rFonts w:cstheme="minorHAnsi"/>
          <w:szCs w:val="20"/>
        </w:rPr>
        <w:t xml:space="preserve">FEG provides financial assistance for unpaid employment entitlements to eligible employees who lose their job through insolvency of their employer. Once entitlements are paid under FEG, the Commonwealth stands in the shoes of the employee as a subrogated creditor and is entitled to claim in the liquidation as a priority creditor under the </w:t>
      </w:r>
      <w:r w:rsidRPr="00E1452A">
        <w:rPr>
          <w:rFonts w:cstheme="minorHAnsi"/>
          <w:i/>
          <w:szCs w:val="20"/>
        </w:rPr>
        <w:t>Corporations Act 2001</w:t>
      </w:r>
      <w:r w:rsidRPr="00E1452A">
        <w:rPr>
          <w:rFonts w:cstheme="minorHAnsi"/>
          <w:szCs w:val="20"/>
        </w:rPr>
        <w:t>.</w:t>
      </w:r>
      <w:r w:rsidR="00507850" w:rsidRPr="00E1452A">
        <w:rPr>
          <w:rFonts w:cstheme="minorHAnsi"/>
          <w:szCs w:val="20"/>
        </w:rPr>
        <w:t xml:space="preserve"> </w:t>
      </w:r>
    </w:p>
    <w:p w14:paraId="140B0611" w14:textId="77777777" w:rsidR="00E1452A" w:rsidRPr="00E1452A" w:rsidRDefault="00791142" w:rsidP="00E1452A">
      <w:pPr>
        <w:spacing w:after="120"/>
        <w:rPr>
          <w:rFonts w:eastAsia="Times New Roman" w:cstheme="minorHAnsi"/>
          <w:color w:val="212121"/>
        </w:rPr>
      </w:pPr>
      <w:r w:rsidRPr="00E1452A">
        <w:rPr>
          <w:rFonts w:cstheme="minorHAnsi"/>
          <w:szCs w:val="20"/>
        </w:rPr>
        <w:t xml:space="preserve">The FEG Recovery Program is administered by the Department of Employment and Workplace Relations (the department) with the purpose of funding actions that will recover amounts advanced under FEG. </w:t>
      </w:r>
      <w:r w:rsidR="00204D01" w:rsidRPr="00E1452A">
        <w:rPr>
          <w:rFonts w:eastAsia="Times New Roman" w:cstheme="minorHAnsi"/>
          <w:color w:val="212121"/>
        </w:rPr>
        <w:t xml:space="preserve">As of 1 July 2024, the </w:t>
      </w:r>
      <w:r w:rsidR="00A03E2B" w:rsidRPr="00E1452A">
        <w:rPr>
          <w:rFonts w:eastAsia="Times New Roman" w:cstheme="minorHAnsi"/>
          <w:color w:val="212121"/>
        </w:rPr>
        <w:t>FEG</w:t>
      </w:r>
      <w:r w:rsidR="00204D01" w:rsidRPr="00E1452A">
        <w:rPr>
          <w:rFonts w:eastAsia="Times New Roman" w:cstheme="minorHAnsi"/>
          <w:color w:val="212121"/>
        </w:rPr>
        <w:t xml:space="preserve"> Recovery Program is being recalibrated to also actively pursue unpaid superannuation guarantee charge (SGC) amounts owed by employers who have entered liquidation or bankruptcy</w:t>
      </w:r>
      <w:r w:rsidR="00D470F8" w:rsidRPr="00E1452A">
        <w:rPr>
          <w:rFonts w:eastAsia="Times New Roman" w:cstheme="minorHAnsi"/>
          <w:color w:val="212121"/>
        </w:rPr>
        <w:t xml:space="preserve"> where </w:t>
      </w:r>
      <w:r w:rsidR="00E1452A" w:rsidRPr="00E1452A">
        <w:rPr>
          <w:rFonts w:cstheme="minorHAnsi"/>
          <w:szCs w:val="20"/>
        </w:rPr>
        <w:t>certain criteria are met (including where a FEG advance had been made to former employees).</w:t>
      </w:r>
    </w:p>
    <w:p w14:paraId="5CDEE89B" w14:textId="2127EF10" w:rsidR="00204D01" w:rsidRPr="00E1452A" w:rsidRDefault="00204D01" w:rsidP="00E1452A">
      <w:pPr>
        <w:spacing w:after="120"/>
        <w:rPr>
          <w:rFonts w:eastAsia="Times New Roman" w:cstheme="minorHAnsi"/>
          <w:color w:val="212121"/>
        </w:rPr>
      </w:pPr>
      <w:r w:rsidRPr="00E1452A">
        <w:rPr>
          <w:rFonts w:eastAsia="Times New Roman" w:cstheme="minorHAnsi"/>
          <w:color w:val="212121"/>
        </w:rPr>
        <w:t>The FEG scheme does not cover unpaid superannuation guarantee amounts. Compliance and enforcement of employer superannuation obligations remain the responsibility of the Australian Taxation Office. </w:t>
      </w:r>
    </w:p>
    <w:p w14:paraId="08FB2849" w14:textId="17AD6C0B" w:rsidR="00675975" w:rsidRPr="00E1452A" w:rsidRDefault="00675975" w:rsidP="00E1452A">
      <w:pPr>
        <w:rPr>
          <w:rFonts w:cstheme="minorHAnsi"/>
          <w:szCs w:val="20"/>
        </w:rPr>
      </w:pPr>
      <w:r w:rsidRPr="00E1452A">
        <w:rPr>
          <w:rFonts w:cstheme="minorHAnsi"/>
          <w:szCs w:val="20"/>
        </w:rPr>
        <w:t>The FEG Recovery Program’s key areas are FEG Recovery Funding and FEG Active Creditor.</w:t>
      </w:r>
    </w:p>
    <w:p w14:paraId="49B524C7" w14:textId="77777777" w:rsidR="00675975" w:rsidRDefault="00675975" w:rsidP="00892967">
      <w:pPr>
        <w:pStyle w:val="Heading2"/>
      </w:pPr>
      <w:r>
        <w:t>FEG Recovery Funding</w:t>
      </w:r>
    </w:p>
    <w:p w14:paraId="4550CBE5" w14:textId="77777777" w:rsidR="00675975" w:rsidRDefault="00675975" w:rsidP="00675975">
      <w:r>
        <w:rPr>
          <w:sz w:val="22"/>
        </w:rPr>
        <w:t xml:space="preserve">In </w:t>
      </w:r>
      <w:r>
        <w:t>the FEG Recovery Funding area, funding is available to liquidators to enable recovery efforts, including legal proceedings, which the liquidators do not otherwise have the financial resources to pursue.</w:t>
      </w:r>
    </w:p>
    <w:p w14:paraId="04A17268" w14:textId="77777777" w:rsidR="00675975" w:rsidRDefault="00675975" w:rsidP="00E959EC">
      <w:pPr>
        <w:pStyle w:val="Leadin"/>
      </w:pPr>
      <w:r>
        <w:t>Liquidators of insolvent entities where employment entitlements have been paid under FEG can apply for funding assistance where:</w:t>
      </w:r>
    </w:p>
    <w:p w14:paraId="0A72ED64" w14:textId="77777777" w:rsidR="00675975" w:rsidRDefault="00675975" w:rsidP="005D392C">
      <w:pPr>
        <w:pStyle w:val="ListParagraph"/>
        <w:rPr>
          <w:rFonts w:ascii="Symbol"/>
        </w:rPr>
      </w:pPr>
      <w:r>
        <w:t>claims could be brought against third parties to recover value for creditors</w:t>
      </w:r>
    </w:p>
    <w:p w14:paraId="7609D4CA" w14:textId="77777777" w:rsidR="00675975" w:rsidRPr="005D392C" w:rsidRDefault="00675975" w:rsidP="005D392C">
      <w:pPr>
        <w:pStyle w:val="ListParagraph"/>
      </w:pPr>
      <w:r w:rsidRPr="005D392C">
        <w:t>the claims have reasonable prospects of success or further investigations are required to determine the prospects of success</w:t>
      </w:r>
    </w:p>
    <w:p w14:paraId="723543D0" w14:textId="2F5DF23E" w:rsidR="00675975" w:rsidRDefault="00675975" w:rsidP="005D392C">
      <w:pPr>
        <w:pStyle w:val="ListParagraph"/>
        <w:rPr>
          <w:rFonts w:ascii="Symbol"/>
        </w:rPr>
      </w:pPr>
      <w:r w:rsidRPr="005D392C">
        <w:t>if successful, the claims</w:t>
      </w:r>
      <w:r>
        <w:t xml:space="preserve"> will result in a better return </w:t>
      </w:r>
      <w:r w:rsidR="00DD1999">
        <w:t xml:space="preserve">of </w:t>
      </w:r>
      <w:r>
        <w:t>advances made under</w:t>
      </w:r>
      <w:r>
        <w:rPr>
          <w:spacing w:val="-18"/>
        </w:rPr>
        <w:t xml:space="preserve"> </w:t>
      </w:r>
      <w:r>
        <w:t>FEG</w:t>
      </w:r>
      <w:r w:rsidR="00DD1999">
        <w:t xml:space="preserve"> or unpaid superannuation guarantee charge payable to the ATO</w:t>
      </w:r>
      <w:r w:rsidR="003532C6">
        <w:t xml:space="preserve"> for the benefit of </w:t>
      </w:r>
      <w:r w:rsidR="00B540B6">
        <w:t xml:space="preserve">the Commonwealth and </w:t>
      </w:r>
      <w:r w:rsidR="003532C6">
        <w:t>employees</w:t>
      </w:r>
      <w:r>
        <w:t>.</w:t>
      </w:r>
    </w:p>
    <w:p w14:paraId="00777B47" w14:textId="77777777" w:rsidR="00675975" w:rsidRDefault="00675975" w:rsidP="00E959EC">
      <w:pPr>
        <w:pStyle w:val="Leadin"/>
      </w:pPr>
      <w:r>
        <w:t>Claims the department may fund include:</w:t>
      </w:r>
    </w:p>
    <w:p w14:paraId="3FF26F92" w14:textId="77777777" w:rsidR="00675975" w:rsidRPr="005D392C" w:rsidRDefault="00675975" w:rsidP="005D392C">
      <w:pPr>
        <w:pStyle w:val="ListParagraph"/>
      </w:pPr>
      <w:r w:rsidRPr="005D392C">
        <w:t>investigations, such as public examinations, independent solvency reports and legal advice on prospects</w:t>
      </w:r>
    </w:p>
    <w:p w14:paraId="52AF0A8A" w14:textId="77777777" w:rsidR="00675975" w:rsidRPr="005D392C" w:rsidRDefault="00675975" w:rsidP="005D392C">
      <w:pPr>
        <w:pStyle w:val="ListParagraph"/>
      </w:pPr>
      <w:r w:rsidRPr="005D392C">
        <w:t>voidable transaction claims, such as unfair preferences and uncommercial transactions</w:t>
      </w:r>
    </w:p>
    <w:p w14:paraId="20344134" w14:textId="77777777" w:rsidR="00675975" w:rsidRPr="005D392C" w:rsidRDefault="00675975" w:rsidP="005D392C">
      <w:pPr>
        <w:pStyle w:val="ListParagraph"/>
      </w:pPr>
      <w:r w:rsidRPr="005D392C">
        <w:t>insolvent trading claims</w:t>
      </w:r>
    </w:p>
    <w:p w14:paraId="0FB61F0B" w14:textId="77777777" w:rsidR="00675975" w:rsidRPr="005D392C" w:rsidRDefault="00675975" w:rsidP="005D392C">
      <w:pPr>
        <w:pStyle w:val="ListParagraph"/>
      </w:pPr>
      <w:r w:rsidRPr="005D392C">
        <w:t xml:space="preserve">transactions </w:t>
      </w:r>
      <w:proofErr w:type="gramStart"/>
      <w:r w:rsidRPr="005D392C">
        <w:t>entered into</w:t>
      </w:r>
      <w:proofErr w:type="gramEnd"/>
      <w:r w:rsidRPr="005D392C">
        <w:t xml:space="preserve"> with the intention to avoid employment entitlements</w:t>
      </w:r>
    </w:p>
    <w:p w14:paraId="58D1907B" w14:textId="77777777" w:rsidR="00675975" w:rsidRPr="00D76C6D" w:rsidRDefault="00675975" w:rsidP="005D392C">
      <w:pPr>
        <w:pStyle w:val="ListParagraph"/>
        <w:rPr>
          <w:rFonts w:ascii="Symbol"/>
          <w:szCs w:val="21"/>
        </w:rPr>
      </w:pPr>
      <w:r w:rsidRPr="005D392C">
        <w:t>claims against</w:t>
      </w:r>
      <w:r w:rsidRPr="00781EEC">
        <w:rPr>
          <w:szCs w:val="21"/>
        </w:rPr>
        <w:t xml:space="preserve"> receivers and secured creditors for failure to pay employment</w:t>
      </w:r>
      <w:r w:rsidRPr="00781EEC">
        <w:rPr>
          <w:spacing w:val="-31"/>
          <w:szCs w:val="21"/>
        </w:rPr>
        <w:t xml:space="preserve"> </w:t>
      </w:r>
      <w:r w:rsidRPr="00781EEC">
        <w:rPr>
          <w:szCs w:val="21"/>
        </w:rPr>
        <w:t>entitlements.</w:t>
      </w:r>
    </w:p>
    <w:p w14:paraId="02328E60" w14:textId="4A247089" w:rsidR="00675975" w:rsidRPr="00892967" w:rsidRDefault="00675975" w:rsidP="00892967">
      <w:pPr>
        <w:pStyle w:val="Heading3"/>
      </w:pPr>
      <w:r w:rsidRPr="00892967">
        <w:lastRenderedPageBreak/>
        <w:t>Considerations</w:t>
      </w:r>
    </w:p>
    <w:p w14:paraId="688CB198" w14:textId="77777777" w:rsidR="00675975" w:rsidRDefault="00675975" w:rsidP="00E959EC">
      <w:pPr>
        <w:pStyle w:val="Leadin"/>
      </w:pPr>
      <w:r>
        <w:t>When determining whether to provide funding, the department will have regard to:</w:t>
      </w:r>
    </w:p>
    <w:p w14:paraId="47ED5CE3" w14:textId="77777777" w:rsidR="00675975" w:rsidRPr="005D392C" w:rsidRDefault="00675975" w:rsidP="005D392C">
      <w:pPr>
        <w:pStyle w:val="ListParagraph"/>
      </w:pPr>
      <w:r w:rsidRPr="005D392C">
        <w:t>the merits, prospects of success and risks of the proposed action</w:t>
      </w:r>
    </w:p>
    <w:p w14:paraId="78114FFF" w14:textId="77777777" w:rsidR="00675975" w:rsidRPr="005D392C" w:rsidRDefault="00675975" w:rsidP="005D392C">
      <w:pPr>
        <w:pStyle w:val="ListParagraph"/>
      </w:pPr>
      <w:r w:rsidRPr="005D392C">
        <w:t>the complexity of the proposed action and its likely duration</w:t>
      </w:r>
    </w:p>
    <w:p w14:paraId="4B36DA2E" w14:textId="47AC4C02" w:rsidR="00675975" w:rsidRPr="00773B68" w:rsidRDefault="00675975" w:rsidP="005D392C">
      <w:pPr>
        <w:pStyle w:val="ListParagraph"/>
        <w:rPr>
          <w:spacing w:val="-4"/>
        </w:rPr>
      </w:pPr>
      <w:r w:rsidRPr="00773B68">
        <w:rPr>
          <w:spacing w:val="-4"/>
        </w:rPr>
        <w:t>the total costs that are likely to be incurred, compared to the admitted value of the department's proof of debt</w:t>
      </w:r>
      <w:r w:rsidR="002F15B9">
        <w:rPr>
          <w:spacing w:val="-4"/>
        </w:rPr>
        <w:t xml:space="preserve"> and the outstanding superannuation guarantee charge</w:t>
      </w:r>
    </w:p>
    <w:p w14:paraId="125CE9F6" w14:textId="77777777" w:rsidR="00675975" w:rsidRPr="005D392C" w:rsidRDefault="00675975" w:rsidP="005D392C">
      <w:pPr>
        <w:pStyle w:val="ListParagraph"/>
      </w:pPr>
      <w:r w:rsidRPr="005D392C">
        <w:t>the availability of favourable evidence</w:t>
      </w:r>
    </w:p>
    <w:p w14:paraId="11882E47" w14:textId="77777777" w:rsidR="00675975" w:rsidRPr="005D392C" w:rsidRDefault="00675975" w:rsidP="005D392C">
      <w:pPr>
        <w:pStyle w:val="ListParagraph"/>
      </w:pPr>
      <w:r w:rsidRPr="005D392C">
        <w:t>whether the proposed defendant or defendants have sufficient assets to satisfy a judgment debt</w:t>
      </w:r>
    </w:p>
    <w:p w14:paraId="30641E34" w14:textId="77777777" w:rsidR="00675975" w:rsidRDefault="00675975" w:rsidP="005D392C">
      <w:pPr>
        <w:pStyle w:val="ListParagraph"/>
        <w:rPr>
          <w:rFonts w:ascii="Symbol"/>
        </w:rPr>
      </w:pPr>
      <w:r w:rsidRPr="005D392C">
        <w:t>any other</w:t>
      </w:r>
      <w:r>
        <w:t xml:space="preserve"> relevant</w:t>
      </w:r>
      <w:r>
        <w:rPr>
          <w:spacing w:val="-2"/>
        </w:rPr>
        <w:t xml:space="preserve"> </w:t>
      </w:r>
      <w:r>
        <w:t>matter.</w:t>
      </w:r>
    </w:p>
    <w:p w14:paraId="0BE78484" w14:textId="77777777" w:rsidR="00675975" w:rsidRDefault="00675975" w:rsidP="00675975">
      <w:r>
        <w:t>If the application is accepted, the liquidator will enter into a funding agreement with the department. The funding agreement will govern what the department will pay for and how monies recovered are to be applied.</w:t>
      </w:r>
    </w:p>
    <w:p w14:paraId="07BD33C7" w14:textId="77777777" w:rsidR="00675975" w:rsidRDefault="00675975" w:rsidP="00892967">
      <w:pPr>
        <w:pStyle w:val="Heading3"/>
      </w:pPr>
      <w:r>
        <w:t>How to apply</w:t>
      </w:r>
    </w:p>
    <w:p w14:paraId="66188323" w14:textId="40F71D33" w:rsidR="296BE195" w:rsidRPr="00F615A8" w:rsidRDefault="296BE195" w:rsidP="00F615A8">
      <w:pPr>
        <w:spacing w:after="120" w:line="240" w:lineRule="auto"/>
        <w:rPr>
          <w:rFonts w:eastAsiaTheme="minorEastAsia" w:cstheme="minorHAnsi"/>
          <w:szCs w:val="20"/>
        </w:rPr>
      </w:pPr>
      <w:r w:rsidRPr="00F615A8">
        <w:rPr>
          <w:rFonts w:eastAsiaTheme="minorEastAsia" w:cstheme="minorHAnsi"/>
          <w:color w:val="343741"/>
          <w:szCs w:val="20"/>
        </w:rPr>
        <w:t>Apply for FEG Recovery Funding by completing an </w:t>
      </w:r>
      <w:hyperlink r:id="rId8" w:history="1">
        <w:r w:rsidRPr="00F615A8">
          <w:rPr>
            <w:rStyle w:val="Hyperlink"/>
            <w:rFonts w:eastAsia="Roboto" w:cstheme="minorHAnsi"/>
            <w:szCs w:val="20"/>
          </w:rPr>
          <w:t>application form for funding assistance</w:t>
        </w:r>
      </w:hyperlink>
      <w:r w:rsidRPr="00F615A8">
        <w:rPr>
          <w:rFonts w:eastAsiaTheme="minorEastAsia" w:cstheme="minorHAnsi"/>
          <w:color w:val="343741"/>
          <w:szCs w:val="20"/>
        </w:rPr>
        <w:t xml:space="preserve"> together with a </w:t>
      </w:r>
      <w:hyperlink r:id="rId9" w:history="1">
        <w:r w:rsidRPr="00F615A8">
          <w:rPr>
            <w:rStyle w:val="Hyperlink"/>
            <w:rFonts w:eastAsia="Roboto" w:cstheme="minorHAnsi"/>
            <w:szCs w:val="20"/>
          </w:rPr>
          <w:t>budget estimate tool</w:t>
        </w:r>
      </w:hyperlink>
      <w:r w:rsidRPr="00F615A8">
        <w:rPr>
          <w:rFonts w:eastAsiaTheme="minorEastAsia" w:cstheme="minorHAnsi"/>
          <w:color w:val="343741"/>
          <w:szCs w:val="20"/>
        </w:rPr>
        <w:t xml:space="preserve"> and emailing it to </w:t>
      </w:r>
      <w:hyperlink r:id="rId10" w:history="1">
        <w:r w:rsidRPr="00F615A8">
          <w:rPr>
            <w:rStyle w:val="Hyperlink"/>
            <w:rFonts w:eastAsia="Roboto" w:cstheme="minorHAnsi"/>
            <w:szCs w:val="20"/>
          </w:rPr>
          <w:t>FEGRecoveryapplications@dewr.gov.au</w:t>
        </w:r>
      </w:hyperlink>
      <w:r w:rsidRPr="00F615A8">
        <w:rPr>
          <w:rFonts w:eastAsiaTheme="minorEastAsia" w:cstheme="minorHAnsi"/>
          <w:color w:val="343741"/>
          <w:szCs w:val="20"/>
        </w:rPr>
        <w:t>.</w:t>
      </w:r>
    </w:p>
    <w:p w14:paraId="43E26F3D" w14:textId="77777777" w:rsidR="00675975" w:rsidRDefault="00675975" w:rsidP="00892967">
      <w:pPr>
        <w:pStyle w:val="Heading2"/>
      </w:pPr>
      <w:r>
        <w:t>FEG Active Creditor</w:t>
      </w:r>
    </w:p>
    <w:p w14:paraId="60D25917" w14:textId="45354AC3" w:rsidR="00675975" w:rsidRDefault="00675975" w:rsidP="00773B68">
      <w:pPr>
        <w:pStyle w:val="Leadin"/>
      </w:pPr>
      <w:r>
        <w:t>Through the FEG Active Creditor area of the FEG Recovery Program, the department is an informed and engaged creditor. The FEG Active Creditor area aims to increase returns to the Commonwealth</w:t>
      </w:r>
      <w:r w:rsidR="004F6324">
        <w:t>, for amounts advanced under FEG or owing under the superannuation guarantee charge,</w:t>
      </w:r>
      <w:r>
        <w:t xml:space="preserve"> by positively influencing outcomes in liquidations. It also seeks to prevent or minimise unnecessary FEG claims being made via early intervention and active monitoring of insolvencies. Examples of activities include:</w:t>
      </w:r>
    </w:p>
    <w:p w14:paraId="1577D212" w14:textId="77777777" w:rsidR="00675975" w:rsidRPr="005D392C" w:rsidRDefault="00675975" w:rsidP="005D392C">
      <w:pPr>
        <w:pStyle w:val="ListParagraph"/>
      </w:pPr>
      <w:r w:rsidRPr="005D392C">
        <w:t>attending and voting at creditors’ meetings</w:t>
      </w:r>
    </w:p>
    <w:p w14:paraId="30C2A680" w14:textId="77777777" w:rsidR="00675975" w:rsidRPr="005D392C" w:rsidRDefault="00675975" w:rsidP="005D392C">
      <w:pPr>
        <w:pStyle w:val="ListParagraph"/>
      </w:pPr>
      <w:r w:rsidRPr="005D392C">
        <w:t>participating in Committees of Inspection</w:t>
      </w:r>
    </w:p>
    <w:p w14:paraId="367A570D" w14:textId="77777777" w:rsidR="00675975" w:rsidRPr="005D392C" w:rsidRDefault="00675975" w:rsidP="005D392C">
      <w:pPr>
        <w:pStyle w:val="ListParagraph"/>
      </w:pPr>
      <w:r w:rsidRPr="005D392C">
        <w:t>enquiring about dividends</w:t>
      </w:r>
    </w:p>
    <w:p w14:paraId="0E6A680D" w14:textId="77777777" w:rsidR="00675975" w:rsidRDefault="00675975" w:rsidP="005D392C">
      <w:pPr>
        <w:pStyle w:val="ListParagraph"/>
        <w:rPr>
          <w:rFonts w:ascii="Symbol"/>
        </w:rPr>
      </w:pPr>
      <w:r w:rsidRPr="005D392C">
        <w:t>engaging with insolvency practitioners on issues of law that concern the recovery of FEG advances</w:t>
      </w:r>
      <w:r>
        <w:t>, including appearing before the Court if the insolvency practitioner has sought directions.</w:t>
      </w:r>
    </w:p>
    <w:p w14:paraId="2326801C" w14:textId="77777777" w:rsidR="00675975" w:rsidRPr="00F91509" w:rsidRDefault="00675975" w:rsidP="00892967">
      <w:pPr>
        <w:pStyle w:val="Heading2"/>
      </w:pPr>
      <w:r w:rsidRPr="00F91509">
        <w:t>Want more information?</w:t>
      </w:r>
    </w:p>
    <w:p w14:paraId="2113DC9A" w14:textId="378F7DA9" w:rsidR="00675975" w:rsidRDefault="00675975" w:rsidP="00FF6DC9">
      <w:pPr>
        <w:pStyle w:val="Leadin"/>
        <w:rPr>
          <w:rFonts w:ascii="Symbol"/>
        </w:rPr>
      </w:pPr>
      <w:r>
        <w:t>Enquiries relating to the FEG Recovery Program can be made by</w:t>
      </w:r>
      <w:r w:rsidR="00815E2B">
        <w:t xml:space="preserve"> </w:t>
      </w:r>
      <w:r w:rsidR="418C9C59">
        <w:t>sending an email to</w:t>
      </w:r>
      <w:r w:rsidR="418C9C59">
        <w:rPr>
          <w:color w:val="0000FF"/>
          <w:spacing w:val="-8"/>
        </w:rPr>
        <w:t xml:space="preserve"> </w:t>
      </w:r>
      <w:hyperlink r:id="rId11" w:history="1">
        <w:r w:rsidR="1C7C905B" w:rsidRPr="00EA3E59">
          <w:rPr>
            <w:rStyle w:val="Hyperlink"/>
          </w:rPr>
          <w:t>FEGRecoveryapplications@dewr.gov.au</w:t>
        </w:r>
      </w:hyperlink>
      <w:r w:rsidR="00815E2B">
        <w:t>.</w:t>
      </w:r>
      <w:r w:rsidR="00815E2B">
        <w:br/>
      </w:r>
    </w:p>
    <w:p w14:paraId="318A67BC" w14:textId="77777777" w:rsidR="00D60805" w:rsidRDefault="00675975" w:rsidP="00D60805">
      <w:pPr>
        <w:rPr>
          <w:b/>
        </w:rPr>
      </w:pPr>
      <w:r>
        <w:t>If you speak a language other than English, you can call the Translating and Interpreting Service (TIS) on</w:t>
      </w:r>
      <w:r w:rsidR="001413F9">
        <w:br/>
      </w:r>
      <w:r>
        <w:t>13 14 50 for free help anytime. If you speak an Indigenous language, you may call the Aboriginal Interpreter Service on 1800 334 944</w:t>
      </w:r>
      <w:r>
        <w:rPr>
          <w:b/>
        </w:rPr>
        <w:t>.</w:t>
      </w:r>
    </w:p>
    <w:p w14:paraId="7B42CC84" w14:textId="77777777" w:rsidR="00D60805" w:rsidRDefault="00D60805" w:rsidP="00D60805">
      <w:pPr>
        <w:rPr>
          <w:b/>
        </w:rPr>
      </w:pPr>
    </w:p>
    <w:p w14:paraId="4317D235" w14:textId="25BA685F" w:rsidR="00405185" w:rsidRPr="002C5306" w:rsidRDefault="00675975" w:rsidP="00D60805">
      <w:pPr>
        <w:rPr>
          <w:sz w:val="16"/>
          <w:szCs w:val="16"/>
        </w:rPr>
      </w:pPr>
      <w:r w:rsidRPr="002C5306">
        <w:rPr>
          <w:sz w:val="16"/>
          <w:szCs w:val="16"/>
        </w:rPr>
        <w:t xml:space="preserve">The information contained in this fact sheet is not legal advice. Where necessary, you should seek your own independent legal advice relevant to your </w:t>
      </w:r>
      <w:proofErr w:type="gramStart"/>
      <w:r w:rsidRPr="002C5306">
        <w:rPr>
          <w:sz w:val="16"/>
          <w:szCs w:val="16"/>
        </w:rPr>
        <w:t>particular circumstances</w:t>
      </w:r>
      <w:proofErr w:type="gramEnd"/>
      <w:r w:rsidRPr="002C5306">
        <w:rPr>
          <w:sz w:val="16"/>
          <w:szCs w:val="16"/>
        </w:rPr>
        <w:t>. The Commonwealth does not make any representation or warranty about the accuracy, reliability, currency or completeness of the information contained in this fact sheet and is not liable for any loss resulting from any action taken or reliance made by you on the information contained in this fact sheet</w:t>
      </w:r>
    </w:p>
    <w:sectPr w:rsidR="00405185" w:rsidRPr="002C5306" w:rsidSect="00FC5EFC">
      <w:headerReference w:type="default" r:id="rId12"/>
      <w:headerReference w:type="first" r:id="rId13"/>
      <w:type w:val="continuous"/>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EFC07" w14:textId="77777777" w:rsidR="00631040" w:rsidRDefault="00631040" w:rsidP="005F1007">
      <w:pPr>
        <w:spacing w:after="0"/>
      </w:pPr>
      <w:r>
        <w:separator/>
      </w:r>
    </w:p>
  </w:endnote>
  <w:endnote w:type="continuationSeparator" w:id="0">
    <w:p w14:paraId="4E7B1E06" w14:textId="77777777" w:rsidR="00631040" w:rsidRDefault="00631040" w:rsidP="005F1007">
      <w:pPr>
        <w:spacing w:after="0"/>
      </w:pPr>
      <w:r>
        <w:continuationSeparator/>
      </w:r>
    </w:p>
  </w:endnote>
  <w:endnote w:type="continuationNotice" w:id="1">
    <w:p w14:paraId="629B9A1C" w14:textId="77777777" w:rsidR="00631040" w:rsidRDefault="00631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1E2C7" w14:textId="77777777" w:rsidR="00631040" w:rsidRDefault="00631040" w:rsidP="005F1007">
      <w:pPr>
        <w:spacing w:after="0"/>
      </w:pPr>
      <w:r>
        <w:separator/>
      </w:r>
    </w:p>
  </w:footnote>
  <w:footnote w:type="continuationSeparator" w:id="0">
    <w:p w14:paraId="0CA3036D" w14:textId="77777777" w:rsidR="00631040" w:rsidRDefault="00631040" w:rsidP="005F1007">
      <w:pPr>
        <w:spacing w:after="0"/>
      </w:pPr>
      <w:r>
        <w:continuationSeparator/>
      </w:r>
    </w:p>
  </w:footnote>
  <w:footnote w:type="continuationNotice" w:id="1">
    <w:p w14:paraId="43F0040D" w14:textId="77777777" w:rsidR="00631040" w:rsidRDefault="00631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8542" w14:textId="4FDCB0DA" w:rsidR="003D13A1" w:rsidRDefault="009E7946" w:rsidP="00C042F3">
    <w:pPr>
      <w:pStyle w:val="Header"/>
    </w:pPr>
    <w:r>
      <w:rPr>
        <w:noProof/>
      </w:rPr>
      <w:drawing>
        <wp:anchor distT="0" distB="0" distL="114300" distR="114300" simplePos="0" relativeHeight="251661314" behindDoc="0" locked="0" layoutInCell="1" allowOverlap="1" wp14:anchorId="5EA6111C" wp14:editId="77636C51">
          <wp:simplePos x="0" y="0"/>
          <wp:positionH relativeFrom="column">
            <wp:posOffset>3076548</wp:posOffset>
          </wp:positionH>
          <wp:positionV relativeFrom="paragraph">
            <wp:posOffset>73660</wp:posOffset>
          </wp:positionV>
          <wp:extent cx="1292225" cy="572135"/>
          <wp:effectExtent l="0" t="0" r="3175" b="0"/>
          <wp:wrapTopAndBottom/>
          <wp:docPr id="998913308" name="Picture 1" descr="A blue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01622" name="Picture 1" descr="A blue and white sig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72135"/>
                  </a:xfrm>
                  <a:prstGeom prst="rect">
                    <a:avLst/>
                  </a:prstGeom>
                  <a:noFill/>
                  <a:ln>
                    <a:noFill/>
                  </a:ln>
                </pic:spPr>
              </pic:pic>
            </a:graphicData>
          </a:graphic>
        </wp:anchor>
      </w:drawing>
    </w:r>
    <w:r>
      <w:rPr>
        <w:noProof/>
      </w:rPr>
      <w:drawing>
        <wp:anchor distT="0" distB="0" distL="114300" distR="114300" simplePos="0" relativeHeight="251660290" behindDoc="1" locked="0" layoutInCell="1" allowOverlap="1" wp14:anchorId="526C9AF2" wp14:editId="41A90315">
          <wp:simplePos x="0" y="0"/>
          <wp:positionH relativeFrom="margin">
            <wp:align>right</wp:align>
          </wp:positionH>
          <wp:positionV relativeFrom="paragraph">
            <wp:posOffset>45527</wp:posOffset>
          </wp:positionV>
          <wp:extent cx="1292225" cy="600710"/>
          <wp:effectExtent l="0" t="0" r="3175" b="8890"/>
          <wp:wrapTopAndBottom/>
          <wp:docPr id="70143575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86218" name="Picture 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600710"/>
                  </a:xfrm>
                  <a:prstGeom prst="rect">
                    <a:avLst/>
                  </a:prstGeom>
                  <a:noFill/>
                  <a:ln>
                    <a:noFill/>
                  </a:ln>
                </pic:spPr>
              </pic:pic>
            </a:graphicData>
          </a:graphic>
        </wp:anchor>
      </w:drawing>
    </w:r>
    <w:r w:rsidR="001D56CC">
      <w:rPr>
        <w:rFonts w:cstheme="minorHAnsi"/>
        <w:noProof/>
        <w:sz w:val="22"/>
      </w:rPr>
      <w:drawing>
        <wp:anchor distT="0" distB="0" distL="114300" distR="114300" simplePos="0" relativeHeight="251659266" behindDoc="0" locked="0" layoutInCell="1" allowOverlap="1" wp14:anchorId="3087C2F0" wp14:editId="73D43526">
          <wp:simplePos x="0" y="0"/>
          <wp:positionH relativeFrom="column">
            <wp:posOffset>0</wp:posOffset>
          </wp:positionH>
          <wp:positionV relativeFrom="paragraph">
            <wp:posOffset>3009</wp:posOffset>
          </wp:positionV>
          <wp:extent cx="2466000" cy="756000"/>
          <wp:effectExtent l="0" t="0" r="0" b="6350"/>
          <wp:wrapSquare wrapText="bothSides"/>
          <wp:docPr id="752109846" name="Picture 752109846"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anchor>
      </w:drawing>
    </w:r>
    <w:r w:rsidR="003D13A1">
      <w:rPr>
        <w:noProof/>
        <w:lang w:eastAsia="en-AU"/>
      </w:rPr>
      <w:drawing>
        <wp:anchor distT="0" distB="0" distL="114300" distR="114300" simplePos="0" relativeHeight="251658241" behindDoc="1" locked="0" layoutInCell="1" allowOverlap="1" wp14:anchorId="35ED0FBA" wp14:editId="6B5B0312">
          <wp:simplePos x="0" y="0"/>
          <wp:positionH relativeFrom="page">
            <wp:posOffset>0</wp:posOffset>
          </wp:positionH>
          <wp:positionV relativeFrom="page">
            <wp:posOffset>3114675</wp:posOffset>
          </wp:positionV>
          <wp:extent cx="853200" cy="7596000"/>
          <wp:effectExtent l="0" t="0" r="4445" b="5080"/>
          <wp:wrapNone/>
          <wp:docPr id="375753085" name="Picture 375753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42F7" w14:textId="0EAC515E" w:rsidR="003D13A1" w:rsidRPr="009B2D4F" w:rsidRDefault="003D13A1" w:rsidP="00427AFB">
    <w:pPr>
      <w:pStyle w:val="Header"/>
    </w:pPr>
    <w:r>
      <w:rPr>
        <w:rFonts w:asciiTheme="minorHAnsi" w:hAnsiTheme="minorHAnsi"/>
        <w:noProof/>
        <w:sz w:val="22"/>
        <w:lang w:eastAsia="en-AU"/>
      </w:rPr>
      <w:drawing>
        <wp:inline distT="0" distB="0" distL="0" distR="0" wp14:anchorId="10102FA4" wp14:editId="5B792C45">
          <wp:extent cx="857250" cy="7591425"/>
          <wp:effectExtent l="0" t="0" r="0" b="9525"/>
          <wp:docPr id="163387905" name="Picture 163387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sidR="004F6324">
      <w:rPr>
        <w:noProof/>
      </w:rPr>
      <mc:AlternateContent>
        <mc:Choice Requires="wps">
          <w:drawing>
            <wp:anchor distT="0" distB="0" distL="114300" distR="114300" simplePos="0" relativeHeight="251658240" behindDoc="0" locked="0" layoutInCell="1" allowOverlap="1" wp14:anchorId="48F3429F" wp14:editId="63E977F8">
              <wp:simplePos x="0" y="0"/>
              <wp:positionH relativeFrom="column">
                <wp:posOffset>5069205</wp:posOffset>
              </wp:positionH>
              <wp:positionV relativeFrom="paragraph">
                <wp:posOffset>1558290</wp:posOffset>
              </wp:positionV>
              <wp:extent cx="1373505" cy="308610"/>
              <wp:effectExtent l="0" t="0" r="0" b="0"/>
              <wp:wrapNone/>
              <wp:docPr id="1394985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wps:spPr>
                    <wps:txbx>
                      <w:txbxContent>
                        <w:p w14:paraId="09F36B6D" w14:textId="77777777" w:rsidR="003D13A1" w:rsidRPr="00390201" w:rsidRDefault="003D13A1"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F3429F" id="_x0000_t202" coordsize="21600,21600" o:spt="202" path="m,l,21600r21600,l21600,xe">
              <v:stroke joinstyle="miter"/>
              <v:path gradientshapeok="t" o:connecttype="rect"/>
            </v:shapetype>
            <v:shape id="Text Box 1" o:spid="_x0000_s1026" type="#_x0000_t202" style="position:absolute;margin-left:399.15pt;margin-top:122.7pt;width:108.15pt;height:2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09F36B6D" w14:textId="77777777" w:rsidR="003D13A1" w:rsidRPr="00390201" w:rsidRDefault="003D13A1"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3975E95"/>
    <w:multiLevelType w:val="multilevel"/>
    <w:tmpl w:val="9E48A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F112FAD"/>
    <w:multiLevelType w:val="hybridMultilevel"/>
    <w:tmpl w:val="B8E493D0"/>
    <w:lvl w:ilvl="0" w:tplc="F716D1E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F6840"/>
    <w:multiLevelType w:val="hybridMultilevel"/>
    <w:tmpl w:val="FBB047E0"/>
    <w:lvl w:ilvl="0" w:tplc="0C090001">
      <w:start w:val="1"/>
      <w:numFmt w:val="bullet"/>
      <w:lvlText w:val=""/>
      <w:lvlJc w:val="left"/>
      <w:pPr>
        <w:ind w:left="498" w:hanging="356"/>
      </w:pPr>
      <w:rPr>
        <w:rFonts w:ascii="Symbol" w:hAnsi="Symbol" w:hint="default"/>
        <w:w w:val="100"/>
        <w:lang w:val="en-AU" w:eastAsia="en-AU" w:bidi="en-AU"/>
      </w:rPr>
    </w:lvl>
    <w:lvl w:ilvl="1" w:tplc="D730FAE2">
      <w:numFmt w:val="bullet"/>
      <w:lvlText w:val="•"/>
      <w:lvlJc w:val="left"/>
      <w:pPr>
        <w:ind w:left="1382" w:hanging="356"/>
      </w:pPr>
      <w:rPr>
        <w:rFonts w:hint="default"/>
        <w:lang w:val="en-AU" w:eastAsia="en-AU" w:bidi="en-AU"/>
      </w:rPr>
    </w:lvl>
    <w:lvl w:ilvl="2" w:tplc="4650CEBA">
      <w:numFmt w:val="bullet"/>
      <w:lvlText w:val="•"/>
      <w:lvlJc w:val="left"/>
      <w:pPr>
        <w:ind w:left="2284" w:hanging="356"/>
      </w:pPr>
      <w:rPr>
        <w:rFonts w:hint="default"/>
        <w:lang w:val="en-AU" w:eastAsia="en-AU" w:bidi="en-AU"/>
      </w:rPr>
    </w:lvl>
    <w:lvl w:ilvl="3" w:tplc="303CF5A8">
      <w:numFmt w:val="bullet"/>
      <w:lvlText w:val="•"/>
      <w:lvlJc w:val="left"/>
      <w:pPr>
        <w:ind w:left="3187" w:hanging="356"/>
      </w:pPr>
      <w:rPr>
        <w:rFonts w:hint="default"/>
        <w:lang w:val="en-AU" w:eastAsia="en-AU" w:bidi="en-AU"/>
      </w:rPr>
    </w:lvl>
    <w:lvl w:ilvl="4" w:tplc="B5BC6F0C">
      <w:numFmt w:val="bullet"/>
      <w:lvlText w:val="•"/>
      <w:lvlJc w:val="left"/>
      <w:pPr>
        <w:ind w:left="4089" w:hanging="356"/>
      </w:pPr>
      <w:rPr>
        <w:rFonts w:hint="default"/>
        <w:lang w:val="en-AU" w:eastAsia="en-AU" w:bidi="en-AU"/>
      </w:rPr>
    </w:lvl>
    <w:lvl w:ilvl="5" w:tplc="B680D84E">
      <w:numFmt w:val="bullet"/>
      <w:lvlText w:val="•"/>
      <w:lvlJc w:val="left"/>
      <w:pPr>
        <w:ind w:left="4992" w:hanging="356"/>
      </w:pPr>
      <w:rPr>
        <w:rFonts w:hint="default"/>
        <w:lang w:val="en-AU" w:eastAsia="en-AU" w:bidi="en-AU"/>
      </w:rPr>
    </w:lvl>
    <w:lvl w:ilvl="6" w:tplc="BC2EE06E">
      <w:numFmt w:val="bullet"/>
      <w:lvlText w:val="•"/>
      <w:lvlJc w:val="left"/>
      <w:pPr>
        <w:ind w:left="5894" w:hanging="356"/>
      </w:pPr>
      <w:rPr>
        <w:rFonts w:hint="default"/>
        <w:lang w:val="en-AU" w:eastAsia="en-AU" w:bidi="en-AU"/>
      </w:rPr>
    </w:lvl>
    <w:lvl w:ilvl="7" w:tplc="87C071F6">
      <w:numFmt w:val="bullet"/>
      <w:lvlText w:val="•"/>
      <w:lvlJc w:val="left"/>
      <w:pPr>
        <w:ind w:left="6796" w:hanging="356"/>
      </w:pPr>
      <w:rPr>
        <w:rFonts w:hint="default"/>
        <w:lang w:val="en-AU" w:eastAsia="en-AU" w:bidi="en-AU"/>
      </w:rPr>
    </w:lvl>
    <w:lvl w:ilvl="8" w:tplc="8E96A5B6">
      <w:numFmt w:val="bullet"/>
      <w:lvlText w:val="•"/>
      <w:lvlJc w:val="left"/>
      <w:pPr>
        <w:ind w:left="7699" w:hanging="356"/>
      </w:pPr>
      <w:rPr>
        <w:rFonts w:hint="default"/>
        <w:lang w:val="en-AU" w:eastAsia="en-AU" w:bidi="en-AU"/>
      </w:rPr>
    </w:lvl>
  </w:abstractNum>
  <w:abstractNum w:abstractNumId="31"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8027055">
    <w:abstractNumId w:val="27"/>
  </w:num>
  <w:num w:numId="2" w16cid:durableId="913314978">
    <w:abstractNumId w:val="24"/>
  </w:num>
  <w:num w:numId="3" w16cid:durableId="2118672752">
    <w:abstractNumId w:val="24"/>
    <w:lvlOverride w:ilvl="0">
      <w:startOverride w:val="1"/>
    </w:lvlOverride>
  </w:num>
  <w:num w:numId="4" w16cid:durableId="143666289">
    <w:abstractNumId w:val="7"/>
  </w:num>
  <w:num w:numId="5" w16cid:durableId="29577548">
    <w:abstractNumId w:val="6"/>
  </w:num>
  <w:num w:numId="6" w16cid:durableId="1850943471">
    <w:abstractNumId w:val="5"/>
  </w:num>
  <w:num w:numId="7" w16cid:durableId="620845532">
    <w:abstractNumId w:val="4"/>
  </w:num>
  <w:num w:numId="8" w16cid:durableId="168644912">
    <w:abstractNumId w:val="8"/>
  </w:num>
  <w:num w:numId="9" w16cid:durableId="1574117762">
    <w:abstractNumId w:val="3"/>
  </w:num>
  <w:num w:numId="10" w16cid:durableId="34350917">
    <w:abstractNumId w:val="2"/>
  </w:num>
  <w:num w:numId="11" w16cid:durableId="1807432191">
    <w:abstractNumId w:val="1"/>
  </w:num>
  <w:num w:numId="12" w16cid:durableId="1697732694">
    <w:abstractNumId w:val="0"/>
  </w:num>
  <w:num w:numId="13" w16cid:durableId="1407193122">
    <w:abstractNumId w:val="18"/>
  </w:num>
  <w:num w:numId="14" w16cid:durableId="1915703456">
    <w:abstractNumId w:val="18"/>
  </w:num>
  <w:num w:numId="15" w16cid:durableId="1186670325">
    <w:abstractNumId w:val="12"/>
  </w:num>
  <w:num w:numId="16" w16cid:durableId="2062710881">
    <w:abstractNumId w:val="29"/>
  </w:num>
  <w:num w:numId="17" w16cid:durableId="1106267068">
    <w:abstractNumId w:val="28"/>
  </w:num>
  <w:num w:numId="18" w16cid:durableId="185095608">
    <w:abstractNumId w:val="19"/>
  </w:num>
  <w:num w:numId="19" w16cid:durableId="2068144884">
    <w:abstractNumId w:val="17"/>
  </w:num>
  <w:num w:numId="20" w16cid:durableId="828329188">
    <w:abstractNumId w:val="16"/>
  </w:num>
  <w:num w:numId="21" w16cid:durableId="630983325">
    <w:abstractNumId w:val="31"/>
  </w:num>
  <w:num w:numId="22" w16cid:durableId="1672103895">
    <w:abstractNumId w:val="32"/>
  </w:num>
  <w:num w:numId="23" w16cid:durableId="1005011715">
    <w:abstractNumId w:val="20"/>
  </w:num>
  <w:num w:numId="24" w16cid:durableId="291443648">
    <w:abstractNumId w:val="25"/>
  </w:num>
  <w:num w:numId="25" w16cid:durableId="1517378061">
    <w:abstractNumId w:val="26"/>
  </w:num>
  <w:num w:numId="26" w16cid:durableId="274677981">
    <w:abstractNumId w:val="13"/>
  </w:num>
  <w:num w:numId="27" w16cid:durableId="698817387">
    <w:abstractNumId w:val="21"/>
  </w:num>
  <w:num w:numId="28" w16cid:durableId="487330536">
    <w:abstractNumId w:val="10"/>
  </w:num>
  <w:num w:numId="29" w16cid:durableId="1034572724">
    <w:abstractNumId w:val="14"/>
  </w:num>
  <w:num w:numId="30" w16cid:durableId="302198460">
    <w:abstractNumId w:val="11"/>
  </w:num>
  <w:num w:numId="31" w16cid:durableId="1254584116">
    <w:abstractNumId w:val="15"/>
  </w:num>
  <w:num w:numId="32" w16cid:durableId="806244421">
    <w:abstractNumId w:val="23"/>
  </w:num>
  <w:num w:numId="33" w16cid:durableId="1495679481">
    <w:abstractNumId w:val="22"/>
  </w:num>
  <w:num w:numId="34" w16cid:durableId="851338443">
    <w:abstractNumId w:val="30"/>
  </w:num>
  <w:num w:numId="35" w16cid:durableId="1275743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1F"/>
    <w:rsid w:val="0000032C"/>
    <w:rsid w:val="000049FD"/>
    <w:rsid w:val="00010283"/>
    <w:rsid w:val="00012D38"/>
    <w:rsid w:val="00023157"/>
    <w:rsid w:val="000327C0"/>
    <w:rsid w:val="00033867"/>
    <w:rsid w:val="00037DB3"/>
    <w:rsid w:val="0005501A"/>
    <w:rsid w:val="00065A94"/>
    <w:rsid w:val="00066D43"/>
    <w:rsid w:val="0008369F"/>
    <w:rsid w:val="00084760"/>
    <w:rsid w:val="00090D89"/>
    <w:rsid w:val="00096A35"/>
    <w:rsid w:val="000A1815"/>
    <w:rsid w:val="000A43AB"/>
    <w:rsid w:val="000A5E40"/>
    <w:rsid w:val="000A78F5"/>
    <w:rsid w:val="000B5174"/>
    <w:rsid w:val="000B56A7"/>
    <w:rsid w:val="000B70B3"/>
    <w:rsid w:val="000C237E"/>
    <w:rsid w:val="000C3AE1"/>
    <w:rsid w:val="000C638A"/>
    <w:rsid w:val="000E435D"/>
    <w:rsid w:val="000F0D83"/>
    <w:rsid w:val="000F131C"/>
    <w:rsid w:val="001007F4"/>
    <w:rsid w:val="00100F54"/>
    <w:rsid w:val="00106165"/>
    <w:rsid w:val="00106D53"/>
    <w:rsid w:val="001133E2"/>
    <w:rsid w:val="00122246"/>
    <w:rsid w:val="00124AC4"/>
    <w:rsid w:val="001309B6"/>
    <w:rsid w:val="00130D31"/>
    <w:rsid w:val="00131F66"/>
    <w:rsid w:val="001337AF"/>
    <w:rsid w:val="001338E7"/>
    <w:rsid w:val="00133A61"/>
    <w:rsid w:val="001413F9"/>
    <w:rsid w:val="00142953"/>
    <w:rsid w:val="00142DC4"/>
    <w:rsid w:val="0015395C"/>
    <w:rsid w:val="00170825"/>
    <w:rsid w:val="0018072D"/>
    <w:rsid w:val="00195860"/>
    <w:rsid w:val="0019613A"/>
    <w:rsid w:val="001A1AC4"/>
    <w:rsid w:val="001A278A"/>
    <w:rsid w:val="001A6421"/>
    <w:rsid w:val="001B1D40"/>
    <w:rsid w:val="001B31C6"/>
    <w:rsid w:val="001B51A0"/>
    <w:rsid w:val="001C6443"/>
    <w:rsid w:val="001D24EE"/>
    <w:rsid w:val="001D2D9F"/>
    <w:rsid w:val="001D56CC"/>
    <w:rsid w:val="001E17AB"/>
    <w:rsid w:val="001E4498"/>
    <w:rsid w:val="001E4695"/>
    <w:rsid w:val="001F1798"/>
    <w:rsid w:val="001F1ACE"/>
    <w:rsid w:val="00204D01"/>
    <w:rsid w:val="00212201"/>
    <w:rsid w:val="00213B15"/>
    <w:rsid w:val="00216E12"/>
    <w:rsid w:val="00221C2F"/>
    <w:rsid w:val="00226D2E"/>
    <w:rsid w:val="00226D76"/>
    <w:rsid w:val="00232A44"/>
    <w:rsid w:val="00241B53"/>
    <w:rsid w:val="00243E23"/>
    <w:rsid w:val="00244C86"/>
    <w:rsid w:val="002668B3"/>
    <w:rsid w:val="00275CC2"/>
    <w:rsid w:val="00275CFF"/>
    <w:rsid w:val="00277621"/>
    <w:rsid w:val="00293200"/>
    <w:rsid w:val="00295DD6"/>
    <w:rsid w:val="002B1EC4"/>
    <w:rsid w:val="002C0CAE"/>
    <w:rsid w:val="002C5306"/>
    <w:rsid w:val="002F15B9"/>
    <w:rsid w:val="00313178"/>
    <w:rsid w:val="0031499B"/>
    <w:rsid w:val="0032048D"/>
    <w:rsid w:val="00323386"/>
    <w:rsid w:val="00325465"/>
    <w:rsid w:val="0032739B"/>
    <w:rsid w:val="00332E18"/>
    <w:rsid w:val="00337B49"/>
    <w:rsid w:val="00343A14"/>
    <w:rsid w:val="00344A3B"/>
    <w:rsid w:val="00350E4C"/>
    <w:rsid w:val="003532C6"/>
    <w:rsid w:val="00355198"/>
    <w:rsid w:val="003610E7"/>
    <w:rsid w:val="00363277"/>
    <w:rsid w:val="0036352C"/>
    <w:rsid w:val="003677B7"/>
    <w:rsid w:val="00372E9E"/>
    <w:rsid w:val="00373F8C"/>
    <w:rsid w:val="00380246"/>
    <w:rsid w:val="00383A55"/>
    <w:rsid w:val="003B2413"/>
    <w:rsid w:val="003B77B5"/>
    <w:rsid w:val="003C3B84"/>
    <w:rsid w:val="003C494D"/>
    <w:rsid w:val="003C7012"/>
    <w:rsid w:val="003D13A1"/>
    <w:rsid w:val="003D4B32"/>
    <w:rsid w:val="003D526B"/>
    <w:rsid w:val="003D65AE"/>
    <w:rsid w:val="003D661B"/>
    <w:rsid w:val="003E72F6"/>
    <w:rsid w:val="003F5E02"/>
    <w:rsid w:val="00400CD2"/>
    <w:rsid w:val="00405185"/>
    <w:rsid w:val="00406C81"/>
    <w:rsid w:val="004071B5"/>
    <w:rsid w:val="00411216"/>
    <w:rsid w:val="00427AFB"/>
    <w:rsid w:val="00427B08"/>
    <w:rsid w:val="00427DAD"/>
    <w:rsid w:val="004418C7"/>
    <w:rsid w:val="00444020"/>
    <w:rsid w:val="00444156"/>
    <w:rsid w:val="00444416"/>
    <w:rsid w:val="00446697"/>
    <w:rsid w:val="004472D8"/>
    <w:rsid w:val="0045174B"/>
    <w:rsid w:val="00454E98"/>
    <w:rsid w:val="00461C74"/>
    <w:rsid w:val="00466461"/>
    <w:rsid w:val="004666C8"/>
    <w:rsid w:val="004749E9"/>
    <w:rsid w:val="00482039"/>
    <w:rsid w:val="00483911"/>
    <w:rsid w:val="00484C33"/>
    <w:rsid w:val="00484E17"/>
    <w:rsid w:val="0048701C"/>
    <w:rsid w:val="0048754A"/>
    <w:rsid w:val="00487619"/>
    <w:rsid w:val="00493F23"/>
    <w:rsid w:val="00494170"/>
    <w:rsid w:val="00495A33"/>
    <w:rsid w:val="004A1B9E"/>
    <w:rsid w:val="004A6032"/>
    <w:rsid w:val="004B3FAE"/>
    <w:rsid w:val="004B725D"/>
    <w:rsid w:val="004D146F"/>
    <w:rsid w:val="004D27C1"/>
    <w:rsid w:val="004E03A8"/>
    <w:rsid w:val="004E5691"/>
    <w:rsid w:val="004F026F"/>
    <w:rsid w:val="004F1800"/>
    <w:rsid w:val="004F216C"/>
    <w:rsid w:val="004F46F9"/>
    <w:rsid w:val="004F6324"/>
    <w:rsid w:val="004F77E4"/>
    <w:rsid w:val="00507850"/>
    <w:rsid w:val="00510C94"/>
    <w:rsid w:val="005124E7"/>
    <w:rsid w:val="00517201"/>
    <w:rsid w:val="005261C9"/>
    <w:rsid w:val="005303CC"/>
    <w:rsid w:val="0053438A"/>
    <w:rsid w:val="005363A4"/>
    <w:rsid w:val="00540E03"/>
    <w:rsid w:val="005700EC"/>
    <w:rsid w:val="0057688E"/>
    <w:rsid w:val="00590071"/>
    <w:rsid w:val="0059037E"/>
    <w:rsid w:val="005B55F6"/>
    <w:rsid w:val="005D0F98"/>
    <w:rsid w:val="005D220B"/>
    <w:rsid w:val="005D392C"/>
    <w:rsid w:val="005D3B2C"/>
    <w:rsid w:val="005D462C"/>
    <w:rsid w:val="005D7ED6"/>
    <w:rsid w:val="005E6559"/>
    <w:rsid w:val="005F1007"/>
    <w:rsid w:val="00600E33"/>
    <w:rsid w:val="00601FC1"/>
    <w:rsid w:val="00605879"/>
    <w:rsid w:val="006066F2"/>
    <w:rsid w:val="006137BD"/>
    <w:rsid w:val="00623478"/>
    <w:rsid w:val="00624B69"/>
    <w:rsid w:val="00631040"/>
    <w:rsid w:val="00632A20"/>
    <w:rsid w:val="006404C7"/>
    <w:rsid w:val="00647AF6"/>
    <w:rsid w:val="00657B23"/>
    <w:rsid w:val="00661329"/>
    <w:rsid w:val="0066581D"/>
    <w:rsid w:val="006712A1"/>
    <w:rsid w:val="00675975"/>
    <w:rsid w:val="0068086C"/>
    <w:rsid w:val="00682012"/>
    <w:rsid w:val="00682871"/>
    <w:rsid w:val="00694EE1"/>
    <w:rsid w:val="0069500D"/>
    <w:rsid w:val="006978CD"/>
    <w:rsid w:val="006A16BC"/>
    <w:rsid w:val="006A7461"/>
    <w:rsid w:val="006B26DF"/>
    <w:rsid w:val="006B5B80"/>
    <w:rsid w:val="006B7907"/>
    <w:rsid w:val="006C05DC"/>
    <w:rsid w:val="006C2439"/>
    <w:rsid w:val="006C2C2B"/>
    <w:rsid w:val="006D353D"/>
    <w:rsid w:val="006E73EF"/>
    <w:rsid w:val="006F34FE"/>
    <w:rsid w:val="006F4168"/>
    <w:rsid w:val="0071455D"/>
    <w:rsid w:val="00742658"/>
    <w:rsid w:val="007427C3"/>
    <w:rsid w:val="00753AB1"/>
    <w:rsid w:val="00772E39"/>
    <w:rsid w:val="00773B68"/>
    <w:rsid w:val="00776C61"/>
    <w:rsid w:val="00777633"/>
    <w:rsid w:val="00791142"/>
    <w:rsid w:val="007A0F88"/>
    <w:rsid w:val="007A581F"/>
    <w:rsid w:val="007A5929"/>
    <w:rsid w:val="007B09B5"/>
    <w:rsid w:val="007E30FD"/>
    <w:rsid w:val="007E76EE"/>
    <w:rsid w:val="00801900"/>
    <w:rsid w:val="00810EB7"/>
    <w:rsid w:val="00811437"/>
    <w:rsid w:val="00812090"/>
    <w:rsid w:val="00815818"/>
    <w:rsid w:val="00815E2B"/>
    <w:rsid w:val="00822A17"/>
    <w:rsid w:val="008275D5"/>
    <w:rsid w:val="0083541A"/>
    <w:rsid w:val="00842220"/>
    <w:rsid w:val="008637C5"/>
    <w:rsid w:val="008657DB"/>
    <w:rsid w:val="00867788"/>
    <w:rsid w:val="00867F7A"/>
    <w:rsid w:val="008712A2"/>
    <w:rsid w:val="00874A5A"/>
    <w:rsid w:val="0089269D"/>
    <w:rsid w:val="00892967"/>
    <w:rsid w:val="008A05E1"/>
    <w:rsid w:val="008A5174"/>
    <w:rsid w:val="008B006E"/>
    <w:rsid w:val="008C468D"/>
    <w:rsid w:val="008D5A7F"/>
    <w:rsid w:val="008E3711"/>
    <w:rsid w:val="008F0619"/>
    <w:rsid w:val="008F0DA1"/>
    <w:rsid w:val="008F0F78"/>
    <w:rsid w:val="008F464E"/>
    <w:rsid w:val="008F6454"/>
    <w:rsid w:val="00902E16"/>
    <w:rsid w:val="0091005E"/>
    <w:rsid w:val="00910B9C"/>
    <w:rsid w:val="009162A4"/>
    <w:rsid w:val="009227CD"/>
    <w:rsid w:val="00932C7D"/>
    <w:rsid w:val="009354B8"/>
    <w:rsid w:val="00935DFC"/>
    <w:rsid w:val="00937B18"/>
    <w:rsid w:val="0094489E"/>
    <w:rsid w:val="00956663"/>
    <w:rsid w:val="0099188C"/>
    <w:rsid w:val="009A209C"/>
    <w:rsid w:val="009A3DD6"/>
    <w:rsid w:val="009A617A"/>
    <w:rsid w:val="009C48B4"/>
    <w:rsid w:val="009C760F"/>
    <w:rsid w:val="009D3C1F"/>
    <w:rsid w:val="009D530D"/>
    <w:rsid w:val="009D5FC3"/>
    <w:rsid w:val="009E0A73"/>
    <w:rsid w:val="009E34ED"/>
    <w:rsid w:val="009E68B2"/>
    <w:rsid w:val="009E7946"/>
    <w:rsid w:val="009F224A"/>
    <w:rsid w:val="00A003E4"/>
    <w:rsid w:val="00A0200F"/>
    <w:rsid w:val="00A03E2B"/>
    <w:rsid w:val="00A110A7"/>
    <w:rsid w:val="00A11213"/>
    <w:rsid w:val="00A153A7"/>
    <w:rsid w:val="00A1561E"/>
    <w:rsid w:val="00A174C1"/>
    <w:rsid w:val="00A25308"/>
    <w:rsid w:val="00A364C9"/>
    <w:rsid w:val="00A41DA0"/>
    <w:rsid w:val="00A64943"/>
    <w:rsid w:val="00A64F92"/>
    <w:rsid w:val="00A65131"/>
    <w:rsid w:val="00A67406"/>
    <w:rsid w:val="00A7033B"/>
    <w:rsid w:val="00A82501"/>
    <w:rsid w:val="00A83586"/>
    <w:rsid w:val="00A95458"/>
    <w:rsid w:val="00AA6465"/>
    <w:rsid w:val="00AB2A1C"/>
    <w:rsid w:val="00AD15DA"/>
    <w:rsid w:val="00AD2164"/>
    <w:rsid w:val="00AD2D1A"/>
    <w:rsid w:val="00AD4F45"/>
    <w:rsid w:val="00AE0B9F"/>
    <w:rsid w:val="00AE3F47"/>
    <w:rsid w:val="00AE706B"/>
    <w:rsid w:val="00B0065B"/>
    <w:rsid w:val="00B07470"/>
    <w:rsid w:val="00B07B55"/>
    <w:rsid w:val="00B1604D"/>
    <w:rsid w:val="00B21241"/>
    <w:rsid w:val="00B3470F"/>
    <w:rsid w:val="00B457FA"/>
    <w:rsid w:val="00B540B6"/>
    <w:rsid w:val="00B561D0"/>
    <w:rsid w:val="00B630B4"/>
    <w:rsid w:val="00B65EC5"/>
    <w:rsid w:val="00B66B69"/>
    <w:rsid w:val="00B72AE6"/>
    <w:rsid w:val="00B731AD"/>
    <w:rsid w:val="00B73773"/>
    <w:rsid w:val="00B76664"/>
    <w:rsid w:val="00B827F0"/>
    <w:rsid w:val="00B85E24"/>
    <w:rsid w:val="00B9034C"/>
    <w:rsid w:val="00B935FC"/>
    <w:rsid w:val="00B94C49"/>
    <w:rsid w:val="00B97615"/>
    <w:rsid w:val="00BA1D3B"/>
    <w:rsid w:val="00BA216A"/>
    <w:rsid w:val="00BC332F"/>
    <w:rsid w:val="00BC756F"/>
    <w:rsid w:val="00BD2DF6"/>
    <w:rsid w:val="00BE53FB"/>
    <w:rsid w:val="00BE5B52"/>
    <w:rsid w:val="00BF67A8"/>
    <w:rsid w:val="00C042F3"/>
    <w:rsid w:val="00C04B15"/>
    <w:rsid w:val="00C14394"/>
    <w:rsid w:val="00C21CBC"/>
    <w:rsid w:val="00C21ECF"/>
    <w:rsid w:val="00C22524"/>
    <w:rsid w:val="00C35EF7"/>
    <w:rsid w:val="00C438D8"/>
    <w:rsid w:val="00C453F8"/>
    <w:rsid w:val="00C51910"/>
    <w:rsid w:val="00C5544E"/>
    <w:rsid w:val="00C559F1"/>
    <w:rsid w:val="00C56EA9"/>
    <w:rsid w:val="00C619F9"/>
    <w:rsid w:val="00C63F2F"/>
    <w:rsid w:val="00C70300"/>
    <w:rsid w:val="00C86C69"/>
    <w:rsid w:val="00C93F8D"/>
    <w:rsid w:val="00CB11B0"/>
    <w:rsid w:val="00CB2D19"/>
    <w:rsid w:val="00CC4677"/>
    <w:rsid w:val="00CD4388"/>
    <w:rsid w:val="00CD594E"/>
    <w:rsid w:val="00CD60BF"/>
    <w:rsid w:val="00CE549B"/>
    <w:rsid w:val="00CF0720"/>
    <w:rsid w:val="00D12C95"/>
    <w:rsid w:val="00D14AA8"/>
    <w:rsid w:val="00D164F5"/>
    <w:rsid w:val="00D219BC"/>
    <w:rsid w:val="00D44E60"/>
    <w:rsid w:val="00D4536E"/>
    <w:rsid w:val="00D4541C"/>
    <w:rsid w:val="00D470F8"/>
    <w:rsid w:val="00D47817"/>
    <w:rsid w:val="00D52B60"/>
    <w:rsid w:val="00D57B91"/>
    <w:rsid w:val="00D60805"/>
    <w:rsid w:val="00D62C27"/>
    <w:rsid w:val="00D64949"/>
    <w:rsid w:val="00D76C6D"/>
    <w:rsid w:val="00D77928"/>
    <w:rsid w:val="00D85FF2"/>
    <w:rsid w:val="00DA66D0"/>
    <w:rsid w:val="00DB1613"/>
    <w:rsid w:val="00DB1CE3"/>
    <w:rsid w:val="00DB3360"/>
    <w:rsid w:val="00DB35AA"/>
    <w:rsid w:val="00DB4731"/>
    <w:rsid w:val="00DB4C09"/>
    <w:rsid w:val="00DC5348"/>
    <w:rsid w:val="00DC6A3C"/>
    <w:rsid w:val="00DD1999"/>
    <w:rsid w:val="00DD1BD7"/>
    <w:rsid w:val="00DD4E82"/>
    <w:rsid w:val="00DE6886"/>
    <w:rsid w:val="00DF74BC"/>
    <w:rsid w:val="00E0028D"/>
    <w:rsid w:val="00E07210"/>
    <w:rsid w:val="00E07CE2"/>
    <w:rsid w:val="00E1452A"/>
    <w:rsid w:val="00E228AB"/>
    <w:rsid w:val="00E22A18"/>
    <w:rsid w:val="00E47527"/>
    <w:rsid w:val="00E52671"/>
    <w:rsid w:val="00E5310C"/>
    <w:rsid w:val="00E634FA"/>
    <w:rsid w:val="00E7194A"/>
    <w:rsid w:val="00E72AC8"/>
    <w:rsid w:val="00E869DE"/>
    <w:rsid w:val="00E959EC"/>
    <w:rsid w:val="00E95D3D"/>
    <w:rsid w:val="00E97075"/>
    <w:rsid w:val="00EB40F9"/>
    <w:rsid w:val="00EC5120"/>
    <w:rsid w:val="00EC60D1"/>
    <w:rsid w:val="00EC7C4E"/>
    <w:rsid w:val="00EE0A43"/>
    <w:rsid w:val="00EE289B"/>
    <w:rsid w:val="00EE318E"/>
    <w:rsid w:val="00EE755B"/>
    <w:rsid w:val="00EF3997"/>
    <w:rsid w:val="00EF763E"/>
    <w:rsid w:val="00F03107"/>
    <w:rsid w:val="00F10792"/>
    <w:rsid w:val="00F12224"/>
    <w:rsid w:val="00F143CA"/>
    <w:rsid w:val="00F20475"/>
    <w:rsid w:val="00F34717"/>
    <w:rsid w:val="00F615A8"/>
    <w:rsid w:val="00F63076"/>
    <w:rsid w:val="00F66E7F"/>
    <w:rsid w:val="00F826E9"/>
    <w:rsid w:val="00F86168"/>
    <w:rsid w:val="00F91049"/>
    <w:rsid w:val="00F91509"/>
    <w:rsid w:val="00F93E22"/>
    <w:rsid w:val="00F96EB9"/>
    <w:rsid w:val="00FA2F83"/>
    <w:rsid w:val="00FA68F3"/>
    <w:rsid w:val="00FB60A5"/>
    <w:rsid w:val="00FC0670"/>
    <w:rsid w:val="00FC5EFC"/>
    <w:rsid w:val="00FD13AB"/>
    <w:rsid w:val="00FD5430"/>
    <w:rsid w:val="00FD610B"/>
    <w:rsid w:val="00FF6397"/>
    <w:rsid w:val="00FF6DC9"/>
    <w:rsid w:val="1C7C905B"/>
    <w:rsid w:val="296BE195"/>
    <w:rsid w:val="2EC5AF66"/>
    <w:rsid w:val="3241854D"/>
    <w:rsid w:val="3CC9BBE5"/>
    <w:rsid w:val="418C9C59"/>
    <w:rsid w:val="616F114C"/>
    <w:rsid w:val="63E01F6E"/>
    <w:rsid w:val="74B7CD31"/>
    <w:rsid w:val="798C6594"/>
    <w:rsid w:val="7C218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2E"/>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FEGHeading1"/>
    <w:next w:val="Normal"/>
    <w:link w:val="Heading2Char"/>
    <w:uiPriority w:val="9"/>
    <w:unhideWhenUsed/>
    <w:qFormat/>
    <w:rsid w:val="00892967"/>
    <w:pPr>
      <w:spacing w:line="276" w:lineRule="auto"/>
      <w:outlineLvl w:val="1"/>
    </w:pPr>
  </w:style>
  <w:style w:type="paragraph" w:styleId="Heading3">
    <w:name w:val="heading 3"/>
    <w:basedOn w:val="FEBHeading2"/>
    <w:next w:val="Normal"/>
    <w:link w:val="Heading3Char"/>
    <w:uiPriority w:val="9"/>
    <w:unhideWhenUsed/>
    <w:rsid w:val="0089296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892967"/>
    <w:rPr>
      <w:rFonts w:ascii="Arial" w:eastAsiaTheme="majorEastAsia" w:hAnsi="Arial" w:cstheme="majorBidi"/>
      <w:b/>
      <w:bCs/>
      <w:color w:val="78730A"/>
      <w:sz w:val="28"/>
      <w:szCs w:val="28"/>
    </w:rPr>
  </w:style>
  <w:style w:type="character" w:customStyle="1" w:styleId="Heading3Char">
    <w:name w:val="Heading 3 Char"/>
    <w:basedOn w:val="DefaultParagraphFont"/>
    <w:link w:val="Heading3"/>
    <w:uiPriority w:val="9"/>
    <w:rsid w:val="00892967"/>
    <w:rPr>
      <w:rFonts w:ascii="Arial" w:eastAsiaTheme="majorEastAsia" w:hAnsi="Arial" w:cstheme="majorBidi"/>
      <w:b/>
      <w:bCs/>
      <w:sz w:val="20"/>
      <w:szCs w:val="28"/>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1"/>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FEGTitle"/>
    <w:next w:val="Normal"/>
    <w:link w:val="TitleChar"/>
    <w:uiPriority w:val="10"/>
    <w:qFormat/>
    <w:rsid w:val="009162A4"/>
  </w:style>
  <w:style w:type="character" w:customStyle="1" w:styleId="TitleChar">
    <w:name w:val="Title Char"/>
    <w:basedOn w:val="DefaultParagraphFont"/>
    <w:link w:val="Title"/>
    <w:uiPriority w:val="10"/>
    <w:rsid w:val="009162A4"/>
    <w:rPr>
      <w:rFonts w:ascii="Arial" w:eastAsiaTheme="majorEastAsia" w:hAnsi="Arial" w:cstheme="majorBidi"/>
      <w:b/>
      <w:color w:val="78730A"/>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FEGHeading1"/>
    <w:qFormat/>
    <w:rsid w:val="000F131C"/>
    <w:pPr>
      <w:spacing w:line="276" w:lineRule="auto"/>
    </w:p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2C0CAE"/>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BHeading2">
    <w:name w:val="FEB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character" w:styleId="UnresolvedMention">
    <w:name w:val="Unresolved Mention"/>
    <w:basedOn w:val="DefaultParagraphFont"/>
    <w:uiPriority w:val="99"/>
    <w:semiHidden/>
    <w:unhideWhenUsed/>
    <w:rsid w:val="003D661B"/>
    <w:rPr>
      <w:color w:val="605E5C"/>
      <w:shd w:val="clear" w:color="auto" w:fill="E1DFDD"/>
    </w:rPr>
  </w:style>
  <w:style w:type="paragraph" w:styleId="Revision">
    <w:name w:val="Revision"/>
    <w:hidden/>
    <w:uiPriority w:val="99"/>
    <w:semiHidden/>
    <w:rsid w:val="0019613A"/>
    <w:pPr>
      <w:spacing w:after="0" w:line="240" w:lineRule="auto"/>
    </w:pPr>
    <w:rPr>
      <w:sz w:val="20"/>
    </w:rPr>
  </w:style>
  <w:style w:type="paragraph" w:customStyle="1" w:styleId="xmsonormal">
    <w:name w:val="x_msonormal"/>
    <w:basedOn w:val="Normal"/>
    <w:rsid w:val="00B1604D"/>
    <w:pPr>
      <w:spacing w:after="0" w:line="240" w:lineRule="auto"/>
    </w:pPr>
    <w:rPr>
      <w:rFonts w:ascii="Aptos" w:hAnsi="Aptos" w:cs="Aptos"/>
      <w:sz w:val="22"/>
      <w:lang w:eastAsia="en-AU"/>
    </w:rPr>
  </w:style>
  <w:style w:type="paragraph" w:customStyle="1" w:styleId="xmsolistparagraph">
    <w:name w:val="x_msolistparagraph"/>
    <w:basedOn w:val="Normal"/>
    <w:rsid w:val="00B1604D"/>
    <w:pPr>
      <w:ind w:left="357" w:hanging="357"/>
    </w:pPr>
    <w:rPr>
      <w:rFonts w:ascii="Aptos" w:hAnsi="Aptos" w:cs="Aptos"/>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13864">
      <w:bodyDiv w:val="1"/>
      <w:marLeft w:val="0"/>
      <w:marRight w:val="0"/>
      <w:marTop w:val="0"/>
      <w:marBottom w:val="0"/>
      <w:divBdr>
        <w:top w:val="none" w:sz="0" w:space="0" w:color="auto"/>
        <w:left w:val="none" w:sz="0" w:space="0" w:color="auto"/>
        <w:bottom w:val="none" w:sz="0" w:space="0" w:color="auto"/>
        <w:right w:val="none" w:sz="0" w:space="0" w:color="auto"/>
      </w:divBdr>
    </w:div>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530146174">
      <w:bodyDiv w:val="1"/>
      <w:marLeft w:val="0"/>
      <w:marRight w:val="0"/>
      <w:marTop w:val="0"/>
      <w:marBottom w:val="0"/>
      <w:divBdr>
        <w:top w:val="none" w:sz="0" w:space="0" w:color="auto"/>
        <w:left w:val="none" w:sz="0" w:space="0" w:color="auto"/>
        <w:bottom w:val="none" w:sz="0" w:space="0" w:color="auto"/>
        <w:right w:val="none" w:sz="0" w:space="0" w:color="auto"/>
      </w:divBdr>
    </w:div>
    <w:div w:id="665980927">
      <w:bodyDiv w:val="1"/>
      <w:marLeft w:val="0"/>
      <w:marRight w:val="0"/>
      <w:marTop w:val="0"/>
      <w:marBottom w:val="0"/>
      <w:divBdr>
        <w:top w:val="none" w:sz="0" w:space="0" w:color="auto"/>
        <w:left w:val="none" w:sz="0" w:space="0" w:color="auto"/>
        <w:bottom w:val="none" w:sz="0" w:space="0" w:color="auto"/>
        <w:right w:val="none" w:sz="0" w:space="0" w:color="auto"/>
      </w:divBdr>
    </w:div>
    <w:div w:id="1588028982">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wr.gov.au/fair-entitlements-guarantee/resources/feg-recovery-program-funding-application-templat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GRecoveryapplications@dew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GRecoveryapplications@dewr.gov.au" TargetMode="External"/><Relationship Id="rId4" Type="http://schemas.openxmlformats.org/officeDocument/2006/relationships/settings" Target="settings.xml"/><Relationship Id="rId9" Type="http://schemas.openxmlformats.org/officeDocument/2006/relationships/hyperlink" Target="https://www.dewr.gov.au/fair-entitlements-guarantee/resources/feg-recovery-program-budget-too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5630</CharactersWithSpaces>
  <SharedDoc>false</SharedDoc>
  <HLinks>
    <vt:vector size="24" baseType="variant">
      <vt:variant>
        <vt:i4>7012355</vt:i4>
      </vt:variant>
      <vt:variant>
        <vt:i4>9</vt:i4>
      </vt:variant>
      <vt:variant>
        <vt:i4>0</vt:i4>
      </vt:variant>
      <vt:variant>
        <vt:i4>5</vt:i4>
      </vt:variant>
      <vt:variant>
        <vt:lpwstr>mailto:FEGRecoveryapplications@dewr.gov.au</vt:lpwstr>
      </vt:variant>
      <vt:variant>
        <vt:lpwstr/>
      </vt:variant>
      <vt:variant>
        <vt:i4>7012355</vt:i4>
      </vt:variant>
      <vt:variant>
        <vt:i4>6</vt:i4>
      </vt:variant>
      <vt:variant>
        <vt:i4>0</vt:i4>
      </vt:variant>
      <vt:variant>
        <vt:i4>5</vt:i4>
      </vt:variant>
      <vt:variant>
        <vt:lpwstr>mailto:FEGRecoveryapplications@dewr.gov.au</vt:lpwstr>
      </vt:variant>
      <vt:variant>
        <vt:lpwstr/>
      </vt:variant>
      <vt:variant>
        <vt:i4>2949247</vt:i4>
      </vt:variant>
      <vt:variant>
        <vt:i4>3</vt:i4>
      </vt:variant>
      <vt:variant>
        <vt:i4>0</vt:i4>
      </vt:variant>
      <vt:variant>
        <vt:i4>5</vt:i4>
      </vt:variant>
      <vt:variant>
        <vt:lpwstr>https://www.dewr.gov.au/fair-entitlements-guarantee/resources/feg-recovery-program-budget-tool</vt:lpwstr>
      </vt:variant>
      <vt:variant>
        <vt:lpwstr/>
      </vt:variant>
      <vt:variant>
        <vt:i4>7929965</vt:i4>
      </vt:variant>
      <vt:variant>
        <vt:i4>0</vt:i4>
      </vt:variant>
      <vt:variant>
        <vt:i4>0</vt:i4>
      </vt:variant>
      <vt:variant>
        <vt:i4>5</vt:i4>
      </vt:variant>
      <vt:variant>
        <vt:lpwstr>https://www.dewr.gov.au/fair-entitlements-guarantee/resources/feg-recovery-program-funding-application-template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Entitlements Guarantee Recovery Program</dc:title>
  <dc:subject/>
  <dc:creator/>
  <cp:keywords/>
  <dc:description/>
  <cp:lastModifiedBy/>
  <cp:revision>1</cp:revision>
  <dcterms:created xsi:type="dcterms:W3CDTF">2025-06-10T00:54:00Z</dcterms:created>
  <dcterms:modified xsi:type="dcterms:W3CDTF">2025-06-10T00:54:00Z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2025-06-10T00:54:23Z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977126fe-2d74-4fb1-8279-3b22af95d469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